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7CB1"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45F03B36" w14:textId="68971C72" w:rsidR="00197F2E" w:rsidRDefault="00F04A4F" w:rsidP="00197F2E">
      <w:pPr>
        <w:pStyle w:val="Heading2"/>
      </w:pPr>
      <w:r w:rsidRPr="00F04A4F">
        <w:t>Low Dose Aspirin in Pregnancy</w:t>
      </w:r>
    </w:p>
    <w:p w14:paraId="2C1C6734" w14:textId="2849C9E6" w:rsidR="00CA4FDE" w:rsidRPr="00C34A10" w:rsidRDefault="00E31596" w:rsidP="00C34A10">
      <w:pPr>
        <w:pStyle w:val="BodyCopy"/>
        <w:spacing w:before="0" w:line="240" w:lineRule="auto"/>
        <w:rPr>
          <w:color w:val="575757" w:themeColor="text2"/>
        </w:rPr>
      </w:pPr>
      <w:r w:rsidRPr="00197F2E">
        <w:t>CHS</w:t>
      </w:r>
      <w:r w:rsidR="00E21B84">
        <w:t>24</w:t>
      </w:r>
      <w:r w:rsidRPr="00197F2E">
        <w:t>/</w:t>
      </w:r>
      <w:bookmarkStart w:id="1" w:name="_Hlk157074578"/>
      <w:r w:rsidR="00DD16BE">
        <w:t>549</w:t>
      </w:r>
    </w:p>
    <w:sdt>
      <w:sdtPr>
        <w:rPr>
          <w:sz w:val="32"/>
        </w:rPr>
        <w:id w:val="-1206019646"/>
        <w:docPartObj>
          <w:docPartGallery w:val="Table of Contents"/>
          <w:docPartUnique/>
        </w:docPartObj>
      </w:sdtPr>
      <w:sdtEndPr>
        <w:rPr>
          <w:noProof/>
        </w:rPr>
      </w:sdtEndPr>
      <w:sdtContent>
        <w:p w14:paraId="58AFEE89" w14:textId="77777777" w:rsidR="00A731B8" w:rsidRPr="000E7683" w:rsidRDefault="00A731B8">
          <w:pPr>
            <w:pStyle w:val="TOCHeading"/>
            <w:rPr>
              <w:rStyle w:val="Heading3Char"/>
              <w:b/>
              <w:bCs w:val="0"/>
            </w:rPr>
          </w:pPr>
          <w:r w:rsidRPr="007B1A7B">
            <w:rPr>
              <w:rStyle w:val="Heading3Char"/>
              <w:b/>
              <w:bCs w:val="0"/>
            </w:rPr>
            <w:t>Contents</w:t>
          </w:r>
        </w:p>
        <w:p w14:paraId="5D431DA7" w14:textId="51B2FF37" w:rsidR="00E21B84"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2488074" w:history="1">
            <w:r w:rsidR="00E21B84" w:rsidRPr="00182041">
              <w:rPr>
                <w:rStyle w:val="Hyperlink"/>
              </w:rPr>
              <w:t>Guideline Statement</w:t>
            </w:r>
            <w:r w:rsidR="00E21B84">
              <w:rPr>
                <w:webHidden/>
              </w:rPr>
              <w:tab/>
            </w:r>
            <w:r w:rsidR="00E21B84">
              <w:rPr>
                <w:webHidden/>
              </w:rPr>
              <w:fldChar w:fldCharType="begin"/>
            </w:r>
            <w:r w:rsidR="00E21B84">
              <w:rPr>
                <w:webHidden/>
              </w:rPr>
              <w:instrText xml:space="preserve"> PAGEREF _Toc182488074 \h </w:instrText>
            </w:r>
            <w:r w:rsidR="00E21B84">
              <w:rPr>
                <w:webHidden/>
              </w:rPr>
            </w:r>
            <w:r w:rsidR="00E21B84">
              <w:rPr>
                <w:webHidden/>
              </w:rPr>
              <w:fldChar w:fldCharType="separate"/>
            </w:r>
            <w:r w:rsidR="00E21B84">
              <w:rPr>
                <w:webHidden/>
              </w:rPr>
              <w:t>2</w:t>
            </w:r>
            <w:r w:rsidR="00E21B84">
              <w:rPr>
                <w:webHidden/>
              </w:rPr>
              <w:fldChar w:fldCharType="end"/>
            </w:r>
          </w:hyperlink>
        </w:p>
        <w:p w14:paraId="72D58634" w14:textId="123C55FD" w:rsidR="00E21B84" w:rsidRDefault="00FC6E57">
          <w:pPr>
            <w:pStyle w:val="TOC1"/>
            <w:rPr>
              <w:rFonts w:asciiTheme="minorHAnsi" w:eastAsiaTheme="minorEastAsia" w:hAnsiTheme="minorHAnsi" w:cstheme="minorBidi"/>
              <w:color w:val="auto"/>
              <w:kern w:val="2"/>
              <w14:ligatures w14:val="standardContextual"/>
            </w:rPr>
          </w:pPr>
          <w:hyperlink w:anchor="_Toc182488075" w:history="1">
            <w:r w:rsidR="00E21B84" w:rsidRPr="00182041">
              <w:rPr>
                <w:rStyle w:val="Hyperlink"/>
              </w:rPr>
              <w:t>Scope</w:t>
            </w:r>
            <w:r w:rsidR="00E21B84">
              <w:rPr>
                <w:webHidden/>
              </w:rPr>
              <w:tab/>
            </w:r>
            <w:r w:rsidR="00E21B84">
              <w:rPr>
                <w:webHidden/>
              </w:rPr>
              <w:fldChar w:fldCharType="begin"/>
            </w:r>
            <w:r w:rsidR="00E21B84">
              <w:rPr>
                <w:webHidden/>
              </w:rPr>
              <w:instrText xml:space="preserve"> PAGEREF _Toc182488075 \h </w:instrText>
            </w:r>
            <w:r w:rsidR="00E21B84">
              <w:rPr>
                <w:webHidden/>
              </w:rPr>
            </w:r>
            <w:r w:rsidR="00E21B84">
              <w:rPr>
                <w:webHidden/>
              </w:rPr>
              <w:fldChar w:fldCharType="separate"/>
            </w:r>
            <w:r w:rsidR="00E21B84">
              <w:rPr>
                <w:webHidden/>
              </w:rPr>
              <w:t>2</w:t>
            </w:r>
            <w:r w:rsidR="00E21B84">
              <w:rPr>
                <w:webHidden/>
              </w:rPr>
              <w:fldChar w:fldCharType="end"/>
            </w:r>
          </w:hyperlink>
        </w:p>
        <w:p w14:paraId="048A605F" w14:textId="2A3E83A8" w:rsidR="00E21B84" w:rsidRDefault="00FC6E57">
          <w:pPr>
            <w:pStyle w:val="TOC1"/>
            <w:rPr>
              <w:rFonts w:asciiTheme="minorHAnsi" w:eastAsiaTheme="minorEastAsia" w:hAnsiTheme="minorHAnsi" w:cstheme="minorBidi"/>
              <w:color w:val="auto"/>
              <w:kern w:val="2"/>
              <w14:ligatures w14:val="standardContextual"/>
            </w:rPr>
          </w:pPr>
          <w:hyperlink w:anchor="_Toc182488076" w:history="1">
            <w:r w:rsidR="00E21B84" w:rsidRPr="00182041">
              <w:rPr>
                <w:rStyle w:val="Hyperlink"/>
              </w:rPr>
              <w:t>Section 1 Risk factors for developing pre-eclampsia in pregnancy</w:t>
            </w:r>
            <w:r w:rsidR="00E21B84">
              <w:rPr>
                <w:webHidden/>
              </w:rPr>
              <w:tab/>
            </w:r>
            <w:r w:rsidR="00E21B84">
              <w:rPr>
                <w:webHidden/>
              </w:rPr>
              <w:fldChar w:fldCharType="begin"/>
            </w:r>
            <w:r w:rsidR="00E21B84">
              <w:rPr>
                <w:webHidden/>
              </w:rPr>
              <w:instrText xml:space="preserve"> PAGEREF _Toc182488076 \h </w:instrText>
            </w:r>
            <w:r w:rsidR="00E21B84">
              <w:rPr>
                <w:webHidden/>
              </w:rPr>
            </w:r>
            <w:r w:rsidR="00E21B84">
              <w:rPr>
                <w:webHidden/>
              </w:rPr>
              <w:fldChar w:fldCharType="separate"/>
            </w:r>
            <w:r w:rsidR="00E21B84">
              <w:rPr>
                <w:webHidden/>
              </w:rPr>
              <w:t>3</w:t>
            </w:r>
            <w:r w:rsidR="00E21B84">
              <w:rPr>
                <w:webHidden/>
              </w:rPr>
              <w:fldChar w:fldCharType="end"/>
            </w:r>
          </w:hyperlink>
        </w:p>
        <w:p w14:paraId="4B9FCA25" w14:textId="05647326" w:rsidR="00E21B84" w:rsidRDefault="00FC6E57">
          <w:pPr>
            <w:pStyle w:val="TOC1"/>
            <w:rPr>
              <w:rFonts w:asciiTheme="minorHAnsi" w:eastAsiaTheme="minorEastAsia" w:hAnsiTheme="minorHAnsi" w:cstheme="minorBidi"/>
              <w:color w:val="auto"/>
              <w:kern w:val="2"/>
              <w14:ligatures w14:val="standardContextual"/>
            </w:rPr>
          </w:pPr>
          <w:hyperlink w:anchor="_Toc182488077" w:history="1">
            <w:r w:rsidR="00E21B84" w:rsidRPr="00182041">
              <w:rPr>
                <w:rStyle w:val="Hyperlink"/>
              </w:rPr>
              <w:t>Section 2 – Recommended Aspirin Use</w:t>
            </w:r>
            <w:r w:rsidR="00E21B84">
              <w:rPr>
                <w:webHidden/>
              </w:rPr>
              <w:tab/>
            </w:r>
            <w:r w:rsidR="00E21B84">
              <w:rPr>
                <w:webHidden/>
              </w:rPr>
              <w:fldChar w:fldCharType="begin"/>
            </w:r>
            <w:r w:rsidR="00E21B84">
              <w:rPr>
                <w:webHidden/>
              </w:rPr>
              <w:instrText xml:space="preserve"> PAGEREF _Toc182488077 \h </w:instrText>
            </w:r>
            <w:r w:rsidR="00E21B84">
              <w:rPr>
                <w:webHidden/>
              </w:rPr>
            </w:r>
            <w:r w:rsidR="00E21B84">
              <w:rPr>
                <w:webHidden/>
              </w:rPr>
              <w:fldChar w:fldCharType="separate"/>
            </w:r>
            <w:r w:rsidR="00E21B84">
              <w:rPr>
                <w:webHidden/>
              </w:rPr>
              <w:t>4</w:t>
            </w:r>
            <w:r w:rsidR="00E21B84">
              <w:rPr>
                <w:webHidden/>
              </w:rPr>
              <w:fldChar w:fldCharType="end"/>
            </w:r>
          </w:hyperlink>
        </w:p>
        <w:p w14:paraId="4C1AB8AB" w14:textId="3C09785D" w:rsidR="00E21B84" w:rsidRDefault="00FC6E57">
          <w:pPr>
            <w:pStyle w:val="TOC1"/>
            <w:rPr>
              <w:rFonts w:asciiTheme="minorHAnsi" w:eastAsiaTheme="minorEastAsia" w:hAnsiTheme="minorHAnsi" w:cstheme="minorBidi"/>
              <w:color w:val="auto"/>
              <w:kern w:val="2"/>
              <w14:ligatures w14:val="standardContextual"/>
            </w:rPr>
          </w:pPr>
          <w:hyperlink w:anchor="_Toc182488078" w:history="1">
            <w:r w:rsidR="00E21B84" w:rsidRPr="00182041">
              <w:rPr>
                <w:rStyle w:val="Hyperlink"/>
              </w:rPr>
              <w:t>Evaluation</w:t>
            </w:r>
            <w:r w:rsidR="00E21B84">
              <w:rPr>
                <w:webHidden/>
              </w:rPr>
              <w:tab/>
            </w:r>
            <w:r w:rsidR="00E21B84">
              <w:rPr>
                <w:webHidden/>
              </w:rPr>
              <w:fldChar w:fldCharType="begin"/>
            </w:r>
            <w:r w:rsidR="00E21B84">
              <w:rPr>
                <w:webHidden/>
              </w:rPr>
              <w:instrText xml:space="preserve"> PAGEREF _Toc182488078 \h </w:instrText>
            </w:r>
            <w:r w:rsidR="00E21B84">
              <w:rPr>
                <w:webHidden/>
              </w:rPr>
            </w:r>
            <w:r w:rsidR="00E21B84">
              <w:rPr>
                <w:webHidden/>
              </w:rPr>
              <w:fldChar w:fldCharType="separate"/>
            </w:r>
            <w:r w:rsidR="00E21B84">
              <w:rPr>
                <w:webHidden/>
              </w:rPr>
              <w:t>5</w:t>
            </w:r>
            <w:r w:rsidR="00E21B84">
              <w:rPr>
                <w:webHidden/>
              </w:rPr>
              <w:fldChar w:fldCharType="end"/>
            </w:r>
          </w:hyperlink>
        </w:p>
        <w:p w14:paraId="382B600C" w14:textId="70F438BB" w:rsidR="00E21B84" w:rsidRDefault="00FC6E57">
          <w:pPr>
            <w:pStyle w:val="TOC1"/>
            <w:rPr>
              <w:rFonts w:asciiTheme="minorHAnsi" w:eastAsiaTheme="minorEastAsia" w:hAnsiTheme="minorHAnsi" w:cstheme="minorBidi"/>
              <w:color w:val="auto"/>
              <w:kern w:val="2"/>
              <w14:ligatures w14:val="standardContextual"/>
            </w:rPr>
          </w:pPr>
          <w:hyperlink w:anchor="_Toc182488079" w:history="1">
            <w:r w:rsidR="00E21B84" w:rsidRPr="00182041">
              <w:rPr>
                <w:rStyle w:val="Hyperlink"/>
              </w:rPr>
              <w:t>Related policies, procedures, guidelines and legislation</w:t>
            </w:r>
            <w:r w:rsidR="00E21B84">
              <w:rPr>
                <w:webHidden/>
              </w:rPr>
              <w:tab/>
            </w:r>
            <w:r w:rsidR="00E21B84">
              <w:rPr>
                <w:webHidden/>
              </w:rPr>
              <w:fldChar w:fldCharType="begin"/>
            </w:r>
            <w:r w:rsidR="00E21B84">
              <w:rPr>
                <w:webHidden/>
              </w:rPr>
              <w:instrText xml:space="preserve"> PAGEREF _Toc182488079 \h </w:instrText>
            </w:r>
            <w:r w:rsidR="00E21B84">
              <w:rPr>
                <w:webHidden/>
              </w:rPr>
            </w:r>
            <w:r w:rsidR="00E21B84">
              <w:rPr>
                <w:webHidden/>
              </w:rPr>
              <w:fldChar w:fldCharType="separate"/>
            </w:r>
            <w:r w:rsidR="00E21B84">
              <w:rPr>
                <w:webHidden/>
              </w:rPr>
              <w:t>6</w:t>
            </w:r>
            <w:r w:rsidR="00E21B84">
              <w:rPr>
                <w:webHidden/>
              </w:rPr>
              <w:fldChar w:fldCharType="end"/>
            </w:r>
          </w:hyperlink>
        </w:p>
        <w:p w14:paraId="731083B9" w14:textId="2D358A59" w:rsidR="00E21B84" w:rsidRDefault="00FC6E57">
          <w:pPr>
            <w:pStyle w:val="TOC1"/>
            <w:rPr>
              <w:rFonts w:asciiTheme="minorHAnsi" w:eastAsiaTheme="minorEastAsia" w:hAnsiTheme="minorHAnsi" w:cstheme="minorBidi"/>
              <w:color w:val="auto"/>
              <w:kern w:val="2"/>
              <w14:ligatures w14:val="standardContextual"/>
            </w:rPr>
          </w:pPr>
          <w:hyperlink w:anchor="_Toc182488080" w:history="1">
            <w:r w:rsidR="00E21B84" w:rsidRPr="00182041">
              <w:rPr>
                <w:rStyle w:val="Hyperlink"/>
              </w:rPr>
              <w:t>References</w:t>
            </w:r>
            <w:r w:rsidR="00E21B84">
              <w:rPr>
                <w:webHidden/>
              </w:rPr>
              <w:tab/>
            </w:r>
            <w:r w:rsidR="00E21B84">
              <w:rPr>
                <w:webHidden/>
              </w:rPr>
              <w:fldChar w:fldCharType="begin"/>
            </w:r>
            <w:r w:rsidR="00E21B84">
              <w:rPr>
                <w:webHidden/>
              </w:rPr>
              <w:instrText xml:space="preserve"> PAGEREF _Toc182488080 \h </w:instrText>
            </w:r>
            <w:r w:rsidR="00E21B84">
              <w:rPr>
                <w:webHidden/>
              </w:rPr>
            </w:r>
            <w:r w:rsidR="00E21B84">
              <w:rPr>
                <w:webHidden/>
              </w:rPr>
              <w:fldChar w:fldCharType="separate"/>
            </w:r>
            <w:r w:rsidR="00E21B84">
              <w:rPr>
                <w:webHidden/>
              </w:rPr>
              <w:t>6</w:t>
            </w:r>
            <w:r w:rsidR="00E21B84">
              <w:rPr>
                <w:webHidden/>
              </w:rPr>
              <w:fldChar w:fldCharType="end"/>
            </w:r>
          </w:hyperlink>
        </w:p>
        <w:p w14:paraId="5B9A4877" w14:textId="55AD4A01" w:rsidR="00E21B84" w:rsidRDefault="00FC6E57">
          <w:pPr>
            <w:pStyle w:val="TOC1"/>
            <w:rPr>
              <w:rFonts w:asciiTheme="minorHAnsi" w:eastAsiaTheme="minorEastAsia" w:hAnsiTheme="minorHAnsi" w:cstheme="minorBidi"/>
              <w:color w:val="auto"/>
              <w:kern w:val="2"/>
              <w14:ligatures w14:val="standardContextual"/>
            </w:rPr>
          </w:pPr>
          <w:hyperlink w:anchor="_Toc182488081" w:history="1">
            <w:r w:rsidR="00E21B84" w:rsidRPr="00182041">
              <w:rPr>
                <w:rStyle w:val="Hyperlink"/>
              </w:rPr>
              <w:t>Definition of Terms</w:t>
            </w:r>
            <w:r w:rsidR="00E21B84">
              <w:rPr>
                <w:webHidden/>
              </w:rPr>
              <w:tab/>
            </w:r>
            <w:r w:rsidR="00E21B84">
              <w:rPr>
                <w:webHidden/>
              </w:rPr>
              <w:fldChar w:fldCharType="begin"/>
            </w:r>
            <w:r w:rsidR="00E21B84">
              <w:rPr>
                <w:webHidden/>
              </w:rPr>
              <w:instrText xml:space="preserve"> PAGEREF _Toc182488081 \h </w:instrText>
            </w:r>
            <w:r w:rsidR="00E21B84">
              <w:rPr>
                <w:webHidden/>
              </w:rPr>
            </w:r>
            <w:r w:rsidR="00E21B84">
              <w:rPr>
                <w:webHidden/>
              </w:rPr>
              <w:fldChar w:fldCharType="separate"/>
            </w:r>
            <w:r w:rsidR="00E21B84">
              <w:rPr>
                <w:webHidden/>
              </w:rPr>
              <w:t>7</w:t>
            </w:r>
            <w:r w:rsidR="00E21B84">
              <w:rPr>
                <w:webHidden/>
              </w:rPr>
              <w:fldChar w:fldCharType="end"/>
            </w:r>
          </w:hyperlink>
        </w:p>
        <w:p w14:paraId="48DAEB9A" w14:textId="6F3375B1" w:rsidR="00E21B84" w:rsidRDefault="00FC6E57">
          <w:pPr>
            <w:pStyle w:val="TOC1"/>
            <w:rPr>
              <w:rFonts w:asciiTheme="minorHAnsi" w:eastAsiaTheme="minorEastAsia" w:hAnsiTheme="minorHAnsi" w:cstheme="minorBidi"/>
              <w:color w:val="auto"/>
              <w:kern w:val="2"/>
              <w14:ligatures w14:val="standardContextual"/>
            </w:rPr>
          </w:pPr>
          <w:hyperlink w:anchor="_Toc182488082" w:history="1">
            <w:r w:rsidR="00E21B84" w:rsidRPr="00182041">
              <w:rPr>
                <w:rStyle w:val="Hyperlink"/>
              </w:rPr>
              <w:t>Search Terms</w:t>
            </w:r>
            <w:r w:rsidR="00E21B84">
              <w:rPr>
                <w:webHidden/>
              </w:rPr>
              <w:tab/>
            </w:r>
            <w:r w:rsidR="00E21B84">
              <w:rPr>
                <w:webHidden/>
              </w:rPr>
              <w:fldChar w:fldCharType="begin"/>
            </w:r>
            <w:r w:rsidR="00E21B84">
              <w:rPr>
                <w:webHidden/>
              </w:rPr>
              <w:instrText xml:space="preserve"> PAGEREF _Toc182488082 \h </w:instrText>
            </w:r>
            <w:r w:rsidR="00E21B84">
              <w:rPr>
                <w:webHidden/>
              </w:rPr>
            </w:r>
            <w:r w:rsidR="00E21B84">
              <w:rPr>
                <w:webHidden/>
              </w:rPr>
              <w:fldChar w:fldCharType="separate"/>
            </w:r>
            <w:r w:rsidR="00E21B84">
              <w:rPr>
                <w:webHidden/>
              </w:rPr>
              <w:t>7</w:t>
            </w:r>
            <w:r w:rsidR="00E21B84">
              <w:rPr>
                <w:webHidden/>
              </w:rPr>
              <w:fldChar w:fldCharType="end"/>
            </w:r>
          </w:hyperlink>
        </w:p>
        <w:p w14:paraId="118D3BC7" w14:textId="17B1628C" w:rsidR="00E21B84" w:rsidRDefault="00FC6E57">
          <w:pPr>
            <w:pStyle w:val="TOC1"/>
            <w:rPr>
              <w:rFonts w:asciiTheme="minorHAnsi" w:eastAsiaTheme="minorEastAsia" w:hAnsiTheme="minorHAnsi" w:cstheme="minorBidi"/>
              <w:color w:val="auto"/>
              <w:kern w:val="2"/>
              <w14:ligatures w14:val="standardContextual"/>
            </w:rPr>
          </w:pPr>
          <w:hyperlink w:anchor="_Toc182488083" w:history="1">
            <w:r w:rsidR="00E21B84" w:rsidRPr="00182041">
              <w:rPr>
                <w:rStyle w:val="Hyperlink"/>
              </w:rPr>
              <w:t>Attachments</w:t>
            </w:r>
            <w:r w:rsidR="00E21B84">
              <w:rPr>
                <w:webHidden/>
              </w:rPr>
              <w:tab/>
            </w:r>
            <w:r w:rsidR="00E21B84">
              <w:rPr>
                <w:webHidden/>
              </w:rPr>
              <w:fldChar w:fldCharType="begin"/>
            </w:r>
            <w:r w:rsidR="00E21B84">
              <w:rPr>
                <w:webHidden/>
              </w:rPr>
              <w:instrText xml:space="preserve"> PAGEREF _Toc182488083 \h </w:instrText>
            </w:r>
            <w:r w:rsidR="00E21B84">
              <w:rPr>
                <w:webHidden/>
              </w:rPr>
            </w:r>
            <w:r w:rsidR="00E21B84">
              <w:rPr>
                <w:webHidden/>
              </w:rPr>
              <w:fldChar w:fldCharType="separate"/>
            </w:r>
            <w:r w:rsidR="00E21B84">
              <w:rPr>
                <w:webHidden/>
              </w:rPr>
              <w:t>7</w:t>
            </w:r>
            <w:r w:rsidR="00E21B84">
              <w:rPr>
                <w:webHidden/>
              </w:rPr>
              <w:fldChar w:fldCharType="end"/>
            </w:r>
          </w:hyperlink>
        </w:p>
        <w:p w14:paraId="723B0A0C" w14:textId="2718A31A" w:rsidR="00E21B84" w:rsidRDefault="00FC6E57">
          <w:pPr>
            <w:pStyle w:val="TOC1"/>
            <w:rPr>
              <w:rFonts w:asciiTheme="minorHAnsi" w:eastAsiaTheme="minorEastAsia" w:hAnsiTheme="minorHAnsi" w:cstheme="minorBidi"/>
              <w:color w:val="auto"/>
              <w:kern w:val="2"/>
              <w14:ligatures w14:val="standardContextual"/>
            </w:rPr>
          </w:pPr>
          <w:hyperlink w:anchor="_Toc182488084" w:history="1">
            <w:r w:rsidR="00E21B84" w:rsidRPr="00182041">
              <w:rPr>
                <w:rStyle w:val="Hyperlink"/>
              </w:rPr>
              <w:t>Attachment 1 Somanz Consumer Information Sheet: Use of aspirin in preventing preeclampsia</w:t>
            </w:r>
            <w:r w:rsidR="00E21B84">
              <w:rPr>
                <w:webHidden/>
              </w:rPr>
              <w:tab/>
            </w:r>
            <w:r w:rsidR="00E21B84">
              <w:rPr>
                <w:webHidden/>
              </w:rPr>
              <w:fldChar w:fldCharType="begin"/>
            </w:r>
            <w:r w:rsidR="00E21B84">
              <w:rPr>
                <w:webHidden/>
              </w:rPr>
              <w:instrText xml:space="preserve"> PAGEREF _Toc182488084 \h </w:instrText>
            </w:r>
            <w:r w:rsidR="00E21B84">
              <w:rPr>
                <w:webHidden/>
              </w:rPr>
            </w:r>
            <w:r w:rsidR="00E21B84">
              <w:rPr>
                <w:webHidden/>
              </w:rPr>
              <w:fldChar w:fldCharType="separate"/>
            </w:r>
            <w:r w:rsidR="00E21B84">
              <w:rPr>
                <w:webHidden/>
              </w:rPr>
              <w:t>9</w:t>
            </w:r>
            <w:r w:rsidR="00E21B84">
              <w:rPr>
                <w:webHidden/>
              </w:rPr>
              <w:fldChar w:fldCharType="end"/>
            </w:r>
          </w:hyperlink>
        </w:p>
        <w:p w14:paraId="40E02BDA" w14:textId="5DFD5682"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72FF2229" w14:textId="77777777" w:rsidR="00FE46F1" w:rsidRDefault="00FE46F1">
      <w:pPr>
        <w:spacing w:before="0" w:after="0" w:line="240" w:lineRule="auto"/>
        <w:rPr>
          <w:rFonts w:eastAsia="Times New Roman"/>
          <w:b/>
          <w:color w:val="FFFFFF" w:themeColor="background1"/>
          <w:szCs w:val="80"/>
          <w:lang w:eastAsia="en-US"/>
        </w:rPr>
      </w:pPr>
    </w:p>
    <w:p w14:paraId="40CE622D" w14:textId="77777777" w:rsidR="00201AF6" w:rsidRDefault="00201AF6">
      <w:pPr>
        <w:spacing w:before="0" w:after="0" w:line="240" w:lineRule="auto"/>
        <w:rPr>
          <w:rFonts w:eastAsia="Times New Roman"/>
          <w:b/>
          <w:bCs/>
          <w:iCs/>
          <w:color w:val="FFFFFF" w:themeColor="background1"/>
          <w:lang w:eastAsia="en-US"/>
        </w:rPr>
      </w:pPr>
      <w:r>
        <w:br w:type="page"/>
      </w:r>
    </w:p>
    <w:p w14:paraId="489925C0" w14:textId="3589E017" w:rsidR="0078367D" w:rsidRPr="00036249" w:rsidRDefault="0078367D" w:rsidP="00036249">
      <w:pPr>
        <w:pStyle w:val="Heading4"/>
      </w:pPr>
      <w:bookmarkStart w:id="2" w:name="_Toc182488074"/>
      <w:r w:rsidRPr="00036249">
        <w:lastRenderedPageBreak/>
        <w:t xml:space="preserve">Guideline </w:t>
      </w:r>
      <w:r w:rsidR="00F04A4F">
        <w:t>S</w:t>
      </w:r>
      <w:r w:rsidRPr="00036249">
        <w:t>tatement</w:t>
      </w:r>
      <w:bookmarkEnd w:id="2"/>
    </w:p>
    <w:p w14:paraId="364A0294" w14:textId="35B2F451" w:rsidR="00197F2E" w:rsidRDefault="00F04A4F" w:rsidP="00036249">
      <w:pPr>
        <w:pStyle w:val="BodyCopy"/>
      </w:pPr>
      <w:r>
        <w:t xml:space="preserve">This document provides recommendations regarding the use of Aspirin as prophylaxis for preterm preeclampsia prevention. Clinicians should refer to </w:t>
      </w:r>
      <w:r w:rsidRPr="00BA52E0">
        <w:t>The Society of Obstetric Medicine Australia and New Zealand (SOMANZ) 2023 Hypertension in Pregnancy Guideline</w:t>
      </w:r>
      <w:r>
        <w:t xml:space="preserve"> for other recommendations. The complete guideline can be accessed at </w:t>
      </w:r>
      <w:hyperlink r:id="rId11" w:history="1">
        <w:r w:rsidRPr="00354F16">
          <w:rPr>
            <w:color w:val="0000FF"/>
            <w:u w:val="single"/>
          </w:rPr>
          <w:t>SOMANZ Hypertension in Pregnancy Guideline 2023 - Society of Obstetric Medicine Australian and NZ</w:t>
        </w:r>
      </w:hyperlink>
    </w:p>
    <w:p w14:paraId="5051BAB6"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6A74B4E0" w14:textId="7CD1D662" w:rsidR="001F3ED6" w:rsidRDefault="00F04A4F" w:rsidP="001F3ED6">
      <w:pPr>
        <w:pStyle w:val="BodyCopy"/>
      </w:pPr>
      <w:r w:rsidRPr="003160C7">
        <w:t xml:space="preserve">Preeclampsia </w:t>
      </w:r>
      <w:r>
        <w:t xml:space="preserve">is a syndrome characterised by the new onset of hypertension plus proteinuria, end organ dysfunction, or both after 20 weeks of gestation in a previously normotensive individual. It is a </w:t>
      </w:r>
      <w:r w:rsidRPr="003160C7">
        <w:t xml:space="preserve">leading cause of maternal and neonatal morbidity and </w:t>
      </w:r>
      <w:r>
        <w:t xml:space="preserve">mortality. </w:t>
      </w:r>
      <w:r w:rsidRPr="00A35EE8">
        <w:t>Women who develop preeclampsia have increased risks of stroke and cardiovascular disease</w:t>
      </w:r>
      <w:r>
        <w:t xml:space="preserve"> and</w:t>
      </w:r>
      <w:r w:rsidRPr="00A35EE8">
        <w:t xml:space="preserve"> babies from a pre-eclamptic pregnancy have increased risks of preterm birth, neurodevelopmental challenges </w:t>
      </w:r>
      <w:r>
        <w:t xml:space="preserve">and </w:t>
      </w:r>
      <w:r w:rsidRPr="00A35EE8">
        <w:t>perinatal death</w:t>
      </w:r>
      <w:r w:rsidRPr="00A35EE8">
        <w:rPr>
          <w:vertAlign w:val="superscript"/>
        </w:rPr>
        <w:t>1,6</w:t>
      </w:r>
      <w:r w:rsidRPr="00A35EE8">
        <w:t>.</w:t>
      </w:r>
    </w:p>
    <w:p w14:paraId="0263D610" w14:textId="4B17E4DA" w:rsidR="00F04A4F" w:rsidRPr="001F3ED6" w:rsidRDefault="00F04A4F" w:rsidP="001F3ED6">
      <w:pPr>
        <w:pStyle w:val="BodyCopy"/>
        <w:rPr>
          <w:rFonts w:eastAsiaTheme="majorEastAsia"/>
        </w:rPr>
      </w:pPr>
      <w:r w:rsidRPr="00F04A4F">
        <w:rPr>
          <w:b/>
          <w:bCs w:val="0"/>
        </w:rPr>
        <w:t>Low-dose </w:t>
      </w:r>
      <w:hyperlink r:id="rId12" w:history="1">
        <w:r w:rsidRPr="00F04A4F">
          <w:rPr>
            <w:b/>
            <w:bCs w:val="0"/>
          </w:rPr>
          <w:t>aspirin</w:t>
        </w:r>
      </w:hyperlink>
      <w:r w:rsidRPr="00F04A4F">
        <w:t xml:space="preserve"> has be shown to significantly reduce the frequency of </w:t>
      </w:r>
      <w:r w:rsidRPr="00F04A4F">
        <w:rPr>
          <w:b/>
          <w:bCs w:val="0"/>
        </w:rPr>
        <w:t>preterm preeclampsia</w:t>
      </w:r>
      <w:r w:rsidRPr="00F04A4F">
        <w:t xml:space="preserve"> when commenced before 16 weeks of pregnancy</w:t>
      </w:r>
      <w:r w:rsidRPr="00F04A4F">
        <w:rPr>
          <w:vertAlign w:val="superscript"/>
        </w:rPr>
        <w:t xml:space="preserve"> 3,7</w:t>
      </w:r>
      <w:r w:rsidRPr="00F04A4F">
        <w:t>. The exact mechanism by which aspirin prevents preeclampsia remains unclear but is thought to have both anti-platelet and anti-inflammatory effects on placental development</w:t>
      </w:r>
      <w:r w:rsidRPr="00F04A4F">
        <w:rPr>
          <w:vertAlign w:val="superscript"/>
        </w:rPr>
        <w:t xml:space="preserve"> 2,3,6,7</w:t>
      </w:r>
      <w:r w:rsidRPr="00F04A4F">
        <w:t>. The ASPRE trial demonstrated that administration of aspirin, compared to placebo, resulted in a 62% reduction in the incidence of preterm-preeclampsia but had no significant effect on the incidence of term-preeclampsia</w:t>
      </w:r>
      <w:r w:rsidRPr="00F04A4F">
        <w:rPr>
          <w:vertAlign w:val="superscript"/>
        </w:rPr>
        <w:t>7</w:t>
      </w:r>
      <w:r>
        <w:t>.</w:t>
      </w:r>
    </w:p>
    <w:p w14:paraId="1A4BF0A2" w14:textId="77777777" w:rsidR="00DA5524" w:rsidRDefault="00DA5524" w:rsidP="00DA5524">
      <w:pPr>
        <w:pStyle w:val="Heading5"/>
        <w:rPr>
          <w:rStyle w:val="Heading5Char"/>
          <w:b/>
          <w:bCs/>
          <w:iCs/>
        </w:rPr>
      </w:pPr>
      <w:r>
        <w:rPr>
          <w:rStyle w:val="Heading5Char"/>
          <w:b/>
          <w:bCs/>
          <w:iCs/>
        </w:rPr>
        <w:t>Key Objective</w:t>
      </w:r>
    </w:p>
    <w:p w14:paraId="02C19372" w14:textId="77777777" w:rsidR="00F04A4F" w:rsidRPr="00F04A4F" w:rsidRDefault="00F04A4F" w:rsidP="00F04A4F">
      <w:pPr>
        <w:pStyle w:val="BodyCopy"/>
      </w:pPr>
      <w:r w:rsidRPr="00F04A4F">
        <w:t xml:space="preserve">This document recommends: </w:t>
      </w:r>
    </w:p>
    <w:p w14:paraId="5742306A" w14:textId="77777777" w:rsidR="00F04A4F" w:rsidRPr="00F04A4F" w:rsidRDefault="00F04A4F" w:rsidP="00F04A4F">
      <w:pPr>
        <w:pStyle w:val="Bullet"/>
      </w:pPr>
      <w:r w:rsidRPr="00F04A4F">
        <w:t xml:space="preserve">Use of a </w:t>
      </w:r>
      <w:r w:rsidRPr="00F04A4F">
        <w:rPr>
          <w:b/>
        </w:rPr>
        <w:t>combined first trimester screen</w:t>
      </w:r>
      <w:r w:rsidRPr="00F04A4F">
        <w:t xml:space="preserve"> </w:t>
      </w:r>
      <w:r w:rsidRPr="00F04A4F">
        <w:rPr>
          <w:i/>
        </w:rPr>
        <w:t>(maternal features, biomarkers, and sonography)</w:t>
      </w:r>
      <w:r w:rsidRPr="00F04A4F">
        <w:t xml:space="preserve"> to identify women at risk of developing preeclampsia. </w:t>
      </w:r>
    </w:p>
    <w:p w14:paraId="21482E99" w14:textId="77777777" w:rsidR="00F04A4F" w:rsidRPr="00F04A4F" w:rsidRDefault="00F04A4F" w:rsidP="00F04A4F">
      <w:pPr>
        <w:pStyle w:val="Bullet"/>
      </w:pPr>
      <w:r w:rsidRPr="00F04A4F">
        <w:t xml:space="preserve">Where combined </w:t>
      </w:r>
      <w:r w:rsidRPr="00F04A4F">
        <w:rPr>
          <w:b/>
        </w:rPr>
        <w:t>first trimester screen is not available</w:t>
      </w:r>
      <w:r w:rsidRPr="00F04A4F">
        <w:t>, preeclampsia risk stratification should be based on maternal risk factors (maternal characteristics, medical and obstetric history)</w:t>
      </w:r>
    </w:p>
    <w:p w14:paraId="6E5B48F8" w14:textId="58A2AAA9" w:rsidR="00DA5524" w:rsidRPr="00F04A4F" w:rsidRDefault="00F04A4F" w:rsidP="00DA5524">
      <w:pPr>
        <w:pStyle w:val="Bullet"/>
      </w:pPr>
      <w:r w:rsidRPr="00F04A4F">
        <w:t xml:space="preserve">Women at </w:t>
      </w:r>
      <w:r w:rsidRPr="00F04A4F">
        <w:rPr>
          <w:b/>
        </w:rPr>
        <w:t>high risk of developing preterm preeclampsia</w:t>
      </w:r>
      <w:r w:rsidRPr="00F04A4F">
        <w:t xml:space="preserve">, should commence Aspirin </w:t>
      </w:r>
      <w:r w:rsidRPr="00F04A4F">
        <w:rPr>
          <w:b/>
        </w:rPr>
        <w:t>prior to 16 weeks gestation, at a dose of 150 mg once per day</w:t>
      </w:r>
      <w:r w:rsidRPr="00F04A4F">
        <w:t>.</w:t>
      </w:r>
    </w:p>
    <w:p w14:paraId="3F0B554B" w14:textId="77777777" w:rsidR="00DA5524" w:rsidRPr="00DA5524" w:rsidRDefault="00DA5524" w:rsidP="00DA5524">
      <w:pPr>
        <w:pStyle w:val="Heading5"/>
      </w:pPr>
      <w:r w:rsidRPr="00DA5524">
        <w:t>Alerts</w:t>
      </w:r>
    </w:p>
    <w:p w14:paraId="30D3FA2F" w14:textId="39C7FB05" w:rsidR="00481A6C" w:rsidRDefault="00F04A4F" w:rsidP="00DA5524">
      <w:pPr>
        <w:pStyle w:val="BodyCopy"/>
      </w:pPr>
      <w:r w:rsidRPr="00BF758F">
        <w:rPr>
          <w:color w:val="231F20"/>
        </w:rPr>
        <w:t>Contraindications to aspirin use</w:t>
      </w:r>
      <w:r>
        <w:rPr>
          <w:color w:val="231F20"/>
        </w:rPr>
        <w:t xml:space="preserve"> include an allergy to aspirin or Non-Steroidal Anti-Inflammatory Drugs (NSAIDS) and aspirin sensitive asthma. Relative contraindications include a history of a previous gastrointestinal tract (GIT) bleed, severe hepatic dysfunction and peptic ulcer disease</w:t>
      </w:r>
      <w:r>
        <w:t>.</w:t>
      </w:r>
    </w:p>
    <w:p w14:paraId="4F31B20B" w14:textId="77777777" w:rsidR="00481A6C" w:rsidRDefault="00FC6E57" w:rsidP="00481A6C">
      <w:pPr>
        <w:pStyle w:val="BodyCopy"/>
        <w:rPr>
          <w:rStyle w:val="Hyperlink"/>
          <w:iCs w:val="0"/>
        </w:rPr>
      </w:pPr>
      <w:hyperlink w:anchor="_top" w:history="1">
        <w:r w:rsidR="00481A6C" w:rsidRPr="00481A6C">
          <w:rPr>
            <w:rStyle w:val="Hyperlink"/>
            <w:iCs w:val="0"/>
          </w:rPr>
          <w:t>Back to Contents</w:t>
        </w:r>
      </w:hyperlink>
    </w:p>
    <w:p w14:paraId="40882916" w14:textId="77777777" w:rsidR="0078367D" w:rsidRPr="00AC2EDE" w:rsidRDefault="0078367D" w:rsidP="00197F2E">
      <w:pPr>
        <w:pStyle w:val="Heading4"/>
      </w:pPr>
      <w:bookmarkStart w:id="3" w:name="_Toc182488075"/>
      <w:r w:rsidRPr="00AC2EDE">
        <w:rPr>
          <w:rStyle w:val="Hyperlink"/>
          <w:color w:val="FFFFFF" w:themeColor="background1"/>
          <w:u w:val="none"/>
        </w:rPr>
        <w:t>Scope</w:t>
      </w:r>
      <w:bookmarkEnd w:id="3"/>
    </w:p>
    <w:p w14:paraId="19F4EBB9" w14:textId="77777777" w:rsidR="00F04A4F" w:rsidRPr="00213AA2" w:rsidRDefault="00F04A4F" w:rsidP="00427110">
      <w:pPr>
        <w:pStyle w:val="BodyCopy"/>
      </w:pPr>
      <w:r w:rsidRPr="00213AA2">
        <w:lastRenderedPageBreak/>
        <w:t>This document applies to the following Canberra Health Services (CHS) Network inpatient facilities:</w:t>
      </w:r>
    </w:p>
    <w:p w14:paraId="6403E768" w14:textId="77777777" w:rsidR="00F04A4F" w:rsidRDefault="00F04A4F" w:rsidP="00427110">
      <w:pPr>
        <w:pStyle w:val="Bullet"/>
      </w:pPr>
      <w:r>
        <w:t>Canberra Hospital</w:t>
      </w:r>
    </w:p>
    <w:p w14:paraId="04D15A66" w14:textId="77777777" w:rsidR="00F04A4F" w:rsidRPr="00213AA2" w:rsidRDefault="00F04A4F" w:rsidP="00427110">
      <w:pPr>
        <w:pStyle w:val="Bullet"/>
      </w:pPr>
      <w:r w:rsidRPr="00213AA2">
        <w:t>Centenary Hospital for Women and Children (CHWC)</w:t>
      </w:r>
    </w:p>
    <w:p w14:paraId="1AE9D90B" w14:textId="31CB397B" w:rsidR="00F04A4F" w:rsidRDefault="00F04A4F" w:rsidP="00427110">
      <w:pPr>
        <w:pStyle w:val="Bullet"/>
      </w:pPr>
      <w:r w:rsidRPr="00213AA2">
        <w:t>North Canberra Hospital (NCH).</w:t>
      </w:r>
    </w:p>
    <w:p w14:paraId="18384840" w14:textId="77777777" w:rsidR="00F04A4F" w:rsidRDefault="00F04A4F" w:rsidP="00427110">
      <w:pPr>
        <w:pStyle w:val="BodyCopy"/>
      </w:pPr>
      <w:r w:rsidRPr="00213AA2">
        <w:t>This document applies to the following CHS staff working within their scope of practice:</w:t>
      </w:r>
    </w:p>
    <w:p w14:paraId="42387D24" w14:textId="77777777" w:rsidR="00F04A4F" w:rsidRDefault="00F04A4F" w:rsidP="00427110">
      <w:pPr>
        <w:pStyle w:val="Bullet"/>
      </w:pPr>
      <w:r w:rsidRPr="00213AA2">
        <w:t>Medical Officers</w:t>
      </w:r>
    </w:p>
    <w:p w14:paraId="0C25A945" w14:textId="77777777" w:rsidR="00F04A4F" w:rsidRDefault="00F04A4F" w:rsidP="00427110">
      <w:pPr>
        <w:pStyle w:val="Bullet"/>
      </w:pPr>
      <w:r>
        <w:t xml:space="preserve">Registered </w:t>
      </w:r>
      <w:r w:rsidRPr="00213AA2">
        <w:t xml:space="preserve">Nurses and </w:t>
      </w:r>
      <w:r>
        <w:t xml:space="preserve">Registered </w:t>
      </w:r>
      <w:r w:rsidRPr="00213AA2">
        <w:t>Midwives</w:t>
      </w:r>
    </w:p>
    <w:p w14:paraId="4816ECAA" w14:textId="77777777" w:rsidR="00F04A4F" w:rsidRPr="00F04A4F" w:rsidRDefault="00F04A4F" w:rsidP="00427110">
      <w:pPr>
        <w:pStyle w:val="Bullet"/>
      </w:pPr>
      <w:r w:rsidRPr="00213AA2">
        <w:t>Students working under direct supervision</w:t>
      </w:r>
    </w:p>
    <w:p w14:paraId="0B993B10" w14:textId="12C91AD4" w:rsidR="00481A6C" w:rsidRPr="00F04A4F" w:rsidRDefault="00F04A4F" w:rsidP="00427110">
      <w:pPr>
        <w:pStyle w:val="Bullet"/>
      </w:pPr>
      <w:r>
        <w:t>Pharmacists</w:t>
      </w:r>
      <w:r w:rsidR="00481A6C" w:rsidRPr="00481A6C">
        <w:t>.</w:t>
      </w:r>
      <w:r w:rsidR="00481A6C">
        <w:br/>
      </w:r>
      <w:r w:rsidR="00481A6C">
        <w:br/>
      </w:r>
      <w:hyperlink w:anchor="_top" w:history="1">
        <w:r w:rsidR="00481A6C" w:rsidRPr="00F04A4F">
          <w:rPr>
            <w:rStyle w:val="Hyperlink"/>
          </w:rPr>
          <w:t>Back to Contents</w:t>
        </w:r>
      </w:hyperlink>
    </w:p>
    <w:p w14:paraId="107B7C9A" w14:textId="08F4D61F" w:rsidR="0078367D" w:rsidRDefault="0078367D" w:rsidP="00197F2E">
      <w:pPr>
        <w:pStyle w:val="Heading4"/>
      </w:pPr>
      <w:bookmarkStart w:id="4" w:name="_Toc182488076"/>
      <w:r>
        <w:t xml:space="preserve">Section 1 </w:t>
      </w:r>
      <w:r w:rsidR="00427110" w:rsidRPr="00427110">
        <w:t>Risk factors for developing pre-eclampsia in pregnancy</w:t>
      </w:r>
      <w:bookmarkEnd w:id="4"/>
    </w:p>
    <w:p w14:paraId="3882B1CE" w14:textId="788C7F1A" w:rsidR="003B2AF4" w:rsidRPr="00CB4D59" w:rsidRDefault="003B2AF4" w:rsidP="00CB4D59">
      <w:pPr>
        <w:pStyle w:val="BodyCopy"/>
      </w:pPr>
      <w:r w:rsidRPr="00CB4D59">
        <w:t>Given the ability to reduce a woman’s risk of developing preeclampsia, SOMANZ strongly recommends screening all pregnant women for their risk of developing preeclampsia early in their pregnancy to provide an opportunity for timely prophylactic intervention</w:t>
      </w:r>
      <w:r w:rsidRPr="00CB4D59">
        <w:rPr>
          <w:vertAlign w:val="superscript"/>
        </w:rPr>
        <w:t xml:space="preserve"> 2,3</w:t>
      </w:r>
      <w:r w:rsidRPr="00CB4D59">
        <w:t xml:space="preserve">.  </w:t>
      </w:r>
    </w:p>
    <w:p w14:paraId="62B6831A" w14:textId="40F4FBC3" w:rsidR="003B2AF4" w:rsidRPr="00CB4D59" w:rsidRDefault="003B2AF4" w:rsidP="00CB4D59">
      <w:pPr>
        <w:pStyle w:val="BodyCopy"/>
      </w:pPr>
      <w:r w:rsidRPr="00CB4D59">
        <w:t xml:space="preserve">The use of a </w:t>
      </w:r>
      <w:r w:rsidRPr="00CB4D59">
        <w:rPr>
          <w:b/>
          <w:bCs w:val="0"/>
        </w:rPr>
        <w:t>combined first trimester screen</w:t>
      </w:r>
      <w:r w:rsidRPr="00CB4D59">
        <w:t xml:space="preserve"> (</w:t>
      </w:r>
      <w:r w:rsidRPr="00CB4D59">
        <w:rPr>
          <w:i/>
          <w:iCs w:val="0"/>
        </w:rPr>
        <w:t>combined maternal risk factors, serum-based biomarkers, and sonography results</w:t>
      </w:r>
      <w:r w:rsidRPr="00CB4D59">
        <w:t>) has been shown to improve accuracy in identifying women at risk of developing pre-term preeclampsia</w:t>
      </w:r>
      <w:r w:rsidRPr="00CB4D59">
        <w:rPr>
          <w:vertAlign w:val="superscript"/>
        </w:rPr>
        <w:t>3</w:t>
      </w:r>
      <w:r w:rsidRPr="00CB4D59">
        <w:t>.</w:t>
      </w:r>
    </w:p>
    <w:p w14:paraId="6D6D9371" w14:textId="116B304C" w:rsidR="003B2AF4" w:rsidRPr="00CB4D59" w:rsidRDefault="003B2AF4" w:rsidP="00CB4D59">
      <w:pPr>
        <w:pStyle w:val="BodyCopy"/>
      </w:pPr>
      <w:r w:rsidRPr="00CB4D59">
        <w:t xml:space="preserve">Where combined first trimester risk screening is </w:t>
      </w:r>
      <w:r w:rsidRPr="00CB4D59">
        <w:rPr>
          <w:b/>
          <w:bCs w:val="0"/>
        </w:rPr>
        <w:t>not available</w:t>
      </w:r>
      <w:r w:rsidRPr="00CB4D59">
        <w:t>, risk stratification for developing pre-term preeclampsia should be completed based on maternal risk factors (maternal characteristics, medical and obstetric history)</w:t>
      </w:r>
      <w:r w:rsidRPr="00CB4D59">
        <w:rPr>
          <w:vertAlign w:val="superscript"/>
        </w:rPr>
        <w:t xml:space="preserve"> 3</w:t>
      </w:r>
      <w:r w:rsidRPr="00CB4D59">
        <w:t xml:space="preserve">. </w:t>
      </w:r>
    </w:p>
    <w:p w14:paraId="62F75942" w14:textId="58289FE3" w:rsidR="003B2AF4" w:rsidRPr="00CB4D59" w:rsidRDefault="003B2AF4" w:rsidP="00CB4D59">
      <w:pPr>
        <w:pStyle w:val="BodyCopy"/>
      </w:pPr>
      <w:r w:rsidRPr="00CB4D59">
        <w:t>If a woman is &lt;16 weeks pregnant, has not commenced prophylactic low dose aspirin and has risk factors for developing pre-term preeclampsia, input should be sought regarding commencement of prophylactic low dose aspirin.</w:t>
      </w:r>
    </w:p>
    <w:p w14:paraId="3498DFA5" w14:textId="77777777" w:rsidR="00CB4D59" w:rsidRDefault="003B2AF4" w:rsidP="00CB4D59">
      <w:pPr>
        <w:pStyle w:val="BodyCopy"/>
      </w:pPr>
      <w:r w:rsidRPr="00CB4D59">
        <w:t>If a woman has commenced prophylactic low dose aspirin before attending pre-admission booking appointment, and indications do not meet recommendations as per this guideline, input should be sought from senior midwifery or medical team member prior to discussing cessation of low dose aspirin with the woman</w:t>
      </w:r>
      <w:r>
        <w:t>.</w:t>
      </w:r>
    </w:p>
    <w:p w14:paraId="6C67E4BA" w14:textId="67C88339" w:rsidR="00481A6C" w:rsidRDefault="00CB4D59" w:rsidP="00CB4D59">
      <w:pPr>
        <w:pStyle w:val="BodyCopy"/>
      </w:pPr>
      <w:r w:rsidRPr="00CB4D59">
        <w:rPr>
          <w:b/>
          <w:bCs w:val="0"/>
        </w:rPr>
        <w:t>Table 1</w:t>
      </w:r>
      <w:r w:rsidRPr="00CB4D59">
        <w:t xml:space="preserve"> summarises clinical risk factors that help identify women at risk of developing preeclampsia. Where </w:t>
      </w:r>
      <w:r w:rsidRPr="00CB4D59">
        <w:rPr>
          <w:b/>
          <w:bCs w:val="0"/>
          <w:i/>
          <w:iCs w:val="0"/>
        </w:rPr>
        <w:t>one or more ‘high-risk’</w:t>
      </w:r>
      <w:r w:rsidRPr="00CB4D59">
        <w:t xml:space="preserve"> factors are present or </w:t>
      </w:r>
      <w:r w:rsidRPr="00CB4D59">
        <w:rPr>
          <w:b/>
          <w:bCs w:val="0"/>
          <w:i/>
          <w:iCs w:val="0"/>
        </w:rPr>
        <w:t>two or more ‘moderate risk</w:t>
      </w:r>
      <w:r w:rsidRPr="00CB4D59">
        <w:t xml:space="preserve"> ‘factors are present in early pregnancy, consideration should be given to ways in which women’s risk of preeclampsia can be minimised</w:t>
      </w:r>
      <w:r w:rsidR="00481A6C" w:rsidRPr="00481A6C">
        <w:t>.</w:t>
      </w:r>
      <w:r w:rsidR="00481A6C">
        <w:t xml:space="preserve"> </w:t>
      </w:r>
    </w:p>
    <w:p w14:paraId="326B55D6" w14:textId="77777777" w:rsidR="00BC50A0" w:rsidRDefault="00BC50A0" w:rsidP="00A6051F">
      <w:pPr>
        <w:pStyle w:val="Heading5"/>
      </w:pPr>
    </w:p>
    <w:p w14:paraId="03003E16" w14:textId="366CB4FF" w:rsidR="00BC50A0" w:rsidRDefault="00737AB2" w:rsidP="00BC50A0">
      <w:pPr>
        <w:pStyle w:val="Heading5"/>
      </w:pPr>
      <w:r>
        <w:t>Table 1</w:t>
      </w:r>
      <w:r w:rsidR="00563265">
        <w:t xml:space="preserve"> </w:t>
      </w:r>
      <w:r>
        <w:t xml:space="preserve">Clinical </w:t>
      </w:r>
      <w:r w:rsidRPr="000103ED">
        <w:t>factors identified as high or moderate risk in identifying women at risk of</w:t>
      </w:r>
      <w:r>
        <w:t xml:space="preserve"> </w:t>
      </w:r>
      <w:r w:rsidRPr="000103ED">
        <w:t>developing preeclampsia</w:t>
      </w:r>
    </w:p>
    <w:tbl>
      <w:tblPr>
        <w:tblStyle w:val="TableGrid"/>
        <w:tblpPr w:leftFromText="180" w:rightFromText="180" w:vertAnchor="page" w:horzAnchor="margin" w:tblpY="2371"/>
        <w:tblW w:w="10201" w:type="dxa"/>
        <w:tblLook w:val="04A0" w:firstRow="1" w:lastRow="0" w:firstColumn="1" w:lastColumn="0" w:noHBand="0" w:noVBand="1"/>
      </w:tblPr>
      <w:tblGrid>
        <w:gridCol w:w="1696"/>
        <w:gridCol w:w="8505"/>
      </w:tblGrid>
      <w:tr w:rsidR="00BC50A0" w:rsidRPr="00737AB2" w14:paraId="3D228C81" w14:textId="77777777" w:rsidTr="00BC50A0">
        <w:tc>
          <w:tcPr>
            <w:tcW w:w="10201" w:type="dxa"/>
            <w:gridSpan w:val="2"/>
            <w:shd w:val="clear" w:color="auto" w:fill="D9D9D9" w:themeFill="background1" w:themeFillShade="D9"/>
          </w:tcPr>
          <w:p w14:paraId="7E0FBF15" w14:textId="77777777" w:rsidR="00BC50A0" w:rsidRPr="00737AB2" w:rsidRDefault="00BC50A0" w:rsidP="00BC50A0">
            <w:pPr>
              <w:pStyle w:val="Tablebody"/>
            </w:pPr>
            <w:r w:rsidRPr="00737AB2">
              <w:t>Factors identified as ‘High Risk’ for developing preeclampsia</w:t>
            </w:r>
          </w:p>
        </w:tc>
      </w:tr>
      <w:tr w:rsidR="00BC50A0" w:rsidRPr="00737AB2" w14:paraId="3082B06A" w14:textId="77777777" w:rsidTr="00BC50A0">
        <w:tc>
          <w:tcPr>
            <w:tcW w:w="1696" w:type="dxa"/>
            <w:vMerge w:val="restart"/>
          </w:tcPr>
          <w:p w14:paraId="7174FEB6" w14:textId="77777777" w:rsidR="00BC50A0" w:rsidRPr="00737AB2" w:rsidRDefault="00BC50A0" w:rsidP="00BC50A0">
            <w:pPr>
              <w:pStyle w:val="BodyCopy"/>
            </w:pPr>
          </w:p>
          <w:p w14:paraId="305C81C2" w14:textId="77777777" w:rsidR="00BC50A0" w:rsidRPr="00737AB2" w:rsidRDefault="00BC50A0" w:rsidP="00BC50A0">
            <w:pPr>
              <w:pStyle w:val="BodyCopy"/>
              <w:rPr>
                <w:b/>
              </w:rPr>
            </w:pPr>
            <w:r w:rsidRPr="00737AB2">
              <w:rPr>
                <w:b/>
              </w:rPr>
              <w:t>One or more risk factors</w:t>
            </w:r>
          </w:p>
        </w:tc>
        <w:tc>
          <w:tcPr>
            <w:tcW w:w="8505" w:type="dxa"/>
          </w:tcPr>
          <w:p w14:paraId="67EAA9D8" w14:textId="77777777" w:rsidR="00BC50A0" w:rsidRPr="00737AB2" w:rsidRDefault="00BC50A0" w:rsidP="00BC50A0">
            <w:pPr>
              <w:pStyle w:val="Tablebody"/>
            </w:pPr>
            <w:r w:rsidRPr="00737AB2">
              <w:t>Previous hypertensive disorder during prior pregnancy</w:t>
            </w:r>
          </w:p>
        </w:tc>
      </w:tr>
      <w:tr w:rsidR="00BC50A0" w:rsidRPr="00737AB2" w14:paraId="78C0E9D8" w14:textId="77777777" w:rsidTr="00BC50A0">
        <w:tc>
          <w:tcPr>
            <w:tcW w:w="1696" w:type="dxa"/>
            <w:vMerge/>
          </w:tcPr>
          <w:p w14:paraId="20B6B065" w14:textId="77777777" w:rsidR="00BC50A0" w:rsidRPr="00737AB2" w:rsidRDefault="00BC50A0" w:rsidP="00BC50A0">
            <w:pPr>
              <w:pStyle w:val="BodyCopy"/>
            </w:pPr>
          </w:p>
        </w:tc>
        <w:tc>
          <w:tcPr>
            <w:tcW w:w="8505" w:type="dxa"/>
          </w:tcPr>
          <w:p w14:paraId="1B99DD06" w14:textId="77777777" w:rsidR="00BC50A0" w:rsidRPr="00737AB2" w:rsidRDefault="00BC50A0" w:rsidP="00BC50A0">
            <w:pPr>
              <w:pStyle w:val="Tablebody"/>
            </w:pPr>
            <w:r w:rsidRPr="00737AB2">
              <w:t>Chronic kidney disease or kidney impairment</w:t>
            </w:r>
          </w:p>
        </w:tc>
      </w:tr>
      <w:tr w:rsidR="00BC50A0" w:rsidRPr="00737AB2" w14:paraId="5020BC16" w14:textId="77777777" w:rsidTr="00BC50A0">
        <w:tc>
          <w:tcPr>
            <w:tcW w:w="1696" w:type="dxa"/>
            <w:vMerge/>
          </w:tcPr>
          <w:p w14:paraId="1BD80C4A" w14:textId="77777777" w:rsidR="00BC50A0" w:rsidRPr="00737AB2" w:rsidRDefault="00BC50A0" w:rsidP="00BC50A0">
            <w:pPr>
              <w:pStyle w:val="BodyCopy"/>
            </w:pPr>
          </w:p>
        </w:tc>
        <w:tc>
          <w:tcPr>
            <w:tcW w:w="8505" w:type="dxa"/>
          </w:tcPr>
          <w:p w14:paraId="4A5C406F" w14:textId="77777777" w:rsidR="00BC50A0" w:rsidRPr="00737AB2" w:rsidRDefault="00BC50A0" w:rsidP="00BC50A0">
            <w:pPr>
              <w:pStyle w:val="Tablebody"/>
            </w:pPr>
            <w:r w:rsidRPr="00737AB2">
              <w:t>Multi-fetal gestation</w:t>
            </w:r>
          </w:p>
        </w:tc>
      </w:tr>
      <w:tr w:rsidR="00BC50A0" w:rsidRPr="00737AB2" w14:paraId="05236839" w14:textId="77777777" w:rsidTr="00BC50A0">
        <w:tc>
          <w:tcPr>
            <w:tcW w:w="1696" w:type="dxa"/>
            <w:vMerge/>
          </w:tcPr>
          <w:p w14:paraId="12DC8910" w14:textId="77777777" w:rsidR="00BC50A0" w:rsidRPr="00737AB2" w:rsidRDefault="00BC50A0" w:rsidP="00BC50A0">
            <w:pPr>
              <w:pStyle w:val="BodyCopy"/>
            </w:pPr>
          </w:p>
        </w:tc>
        <w:tc>
          <w:tcPr>
            <w:tcW w:w="8505" w:type="dxa"/>
          </w:tcPr>
          <w:p w14:paraId="3182E1F6" w14:textId="77777777" w:rsidR="00BC50A0" w:rsidRPr="00737AB2" w:rsidRDefault="00BC50A0" w:rsidP="00BC50A0">
            <w:pPr>
              <w:pStyle w:val="Tablebody"/>
            </w:pPr>
            <w:r w:rsidRPr="00737AB2">
              <w:t>Pre-existing chronic hypertension</w:t>
            </w:r>
          </w:p>
        </w:tc>
      </w:tr>
      <w:tr w:rsidR="00BC50A0" w:rsidRPr="00737AB2" w14:paraId="56A4C831" w14:textId="77777777" w:rsidTr="00BC50A0">
        <w:tc>
          <w:tcPr>
            <w:tcW w:w="1696" w:type="dxa"/>
            <w:vMerge/>
          </w:tcPr>
          <w:p w14:paraId="3A61FB9E" w14:textId="77777777" w:rsidR="00BC50A0" w:rsidRPr="00737AB2" w:rsidRDefault="00BC50A0" w:rsidP="00BC50A0">
            <w:pPr>
              <w:pStyle w:val="BodyCopy"/>
            </w:pPr>
          </w:p>
        </w:tc>
        <w:tc>
          <w:tcPr>
            <w:tcW w:w="8505" w:type="dxa"/>
          </w:tcPr>
          <w:p w14:paraId="5BFEBCFB" w14:textId="77777777" w:rsidR="00BC50A0" w:rsidRPr="00737AB2" w:rsidRDefault="00BC50A0" w:rsidP="00BC50A0">
            <w:pPr>
              <w:pStyle w:val="Tablebody"/>
            </w:pPr>
            <w:r w:rsidRPr="00737AB2">
              <w:t>Pre-existing Type 1 or Type 2 diabetes mellitus</w:t>
            </w:r>
          </w:p>
        </w:tc>
      </w:tr>
      <w:tr w:rsidR="00BC50A0" w:rsidRPr="00737AB2" w14:paraId="294558B6" w14:textId="77777777" w:rsidTr="00BC50A0">
        <w:tc>
          <w:tcPr>
            <w:tcW w:w="1696" w:type="dxa"/>
            <w:vMerge/>
          </w:tcPr>
          <w:p w14:paraId="0AA0E5EE" w14:textId="77777777" w:rsidR="00BC50A0" w:rsidRPr="00737AB2" w:rsidRDefault="00BC50A0" w:rsidP="00BC50A0">
            <w:pPr>
              <w:pStyle w:val="BodyCopy"/>
            </w:pPr>
          </w:p>
        </w:tc>
        <w:tc>
          <w:tcPr>
            <w:tcW w:w="8505" w:type="dxa"/>
          </w:tcPr>
          <w:p w14:paraId="59A1A50A" w14:textId="77777777" w:rsidR="00BC50A0" w:rsidRPr="00737AB2" w:rsidRDefault="00BC50A0" w:rsidP="00BC50A0">
            <w:pPr>
              <w:pStyle w:val="Tablebody"/>
            </w:pPr>
            <w:r w:rsidRPr="00737AB2">
              <w:t>Autoimmune disorders e.g., systemic lupus erythematous, anti-phospholipid syndrome</w:t>
            </w:r>
          </w:p>
        </w:tc>
      </w:tr>
      <w:tr w:rsidR="00BC50A0" w:rsidRPr="00737AB2" w14:paraId="2AC0F21B" w14:textId="77777777" w:rsidTr="00BC50A0">
        <w:tc>
          <w:tcPr>
            <w:tcW w:w="10201" w:type="dxa"/>
            <w:gridSpan w:val="2"/>
            <w:shd w:val="clear" w:color="auto" w:fill="D9D9D9" w:themeFill="background1" w:themeFillShade="D9"/>
          </w:tcPr>
          <w:p w14:paraId="6468FD0E" w14:textId="77777777" w:rsidR="00BC50A0" w:rsidRPr="00737AB2" w:rsidRDefault="00BC50A0" w:rsidP="00BC50A0">
            <w:pPr>
              <w:pStyle w:val="Tablebody"/>
            </w:pPr>
            <w:r w:rsidRPr="00737AB2">
              <w:t>Factors identified as ‘Moderate Risk’ for developing preeclampsia</w:t>
            </w:r>
          </w:p>
        </w:tc>
      </w:tr>
      <w:tr w:rsidR="00BC50A0" w:rsidRPr="00737AB2" w14:paraId="765D3B68" w14:textId="77777777" w:rsidTr="00BC50A0">
        <w:tc>
          <w:tcPr>
            <w:tcW w:w="1696" w:type="dxa"/>
            <w:vMerge w:val="restart"/>
          </w:tcPr>
          <w:p w14:paraId="4714BE7D" w14:textId="77777777" w:rsidR="00BC50A0" w:rsidRPr="00737AB2" w:rsidRDefault="00BC50A0" w:rsidP="00BC50A0">
            <w:pPr>
              <w:pStyle w:val="BodyCopy"/>
            </w:pPr>
          </w:p>
          <w:p w14:paraId="01DCA299" w14:textId="77777777" w:rsidR="00BC50A0" w:rsidRPr="00737AB2" w:rsidRDefault="00BC50A0" w:rsidP="00BC50A0">
            <w:pPr>
              <w:pStyle w:val="BodyCopy"/>
              <w:rPr>
                <w:b/>
              </w:rPr>
            </w:pPr>
            <w:r w:rsidRPr="00737AB2">
              <w:rPr>
                <w:b/>
              </w:rPr>
              <w:t>Two or more risk factors</w:t>
            </w:r>
          </w:p>
        </w:tc>
        <w:tc>
          <w:tcPr>
            <w:tcW w:w="8505" w:type="dxa"/>
          </w:tcPr>
          <w:p w14:paraId="08566B40" w14:textId="77777777" w:rsidR="00BC50A0" w:rsidRPr="00737AB2" w:rsidRDefault="00BC50A0" w:rsidP="00BC50A0">
            <w:pPr>
              <w:pStyle w:val="Tablebody"/>
            </w:pPr>
            <w:r w:rsidRPr="00737AB2">
              <w:t>Advanced maternal age (&gt;40)</w:t>
            </w:r>
          </w:p>
        </w:tc>
      </w:tr>
      <w:tr w:rsidR="00BC50A0" w:rsidRPr="00737AB2" w14:paraId="45EA4747" w14:textId="77777777" w:rsidTr="00BC50A0">
        <w:tc>
          <w:tcPr>
            <w:tcW w:w="1696" w:type="dxa"/>
            <w:vMerge/>
          </w:tcPr>
          <w:p w14:paraId="71BD0EB6" w14:textId="77777777" w:rsidR="00BC50A0" w:rsidRPr="00737AB2" w:rsidRDefault="00BC50A0" w:rsidP="00BC50A0">
            <w:pPr>
              <w:pStyle w:val="BodyCopy"/>
            </w:pPr>
          </w:p>
        </w:tc>
        <w:tc>
          <w:tcPr>
            <w:tcW w:w="8505" w:type="dxa"/>
          </w:tcPr>
          <w:p w14:paraId="7CEA5C77" w14:textId="77777777" w:rsidR="00BC50A0" w:rsidRPr="00737AB2" w:rsidRDefault="00BC50A0" w:rsidP="00BC50A0">
            <w:pPr>
              <w:pStyle w:val="Tablebody"/>
            </w:pPr>
            <w:r w:rsidRPr="00737AB2">
              <w:t>Obesity (BMI ≥35)</w:t>
            </w:r>
          </w:p>
        </w:tc>
      </w:tr>
      <w:tr w:rsidR="00BC50A0" w:rsidRPr="00737AB2" w14:paraId="48E31479" w14:textId="77777777" w:rsidTr="00BC50A0">
        <w:tc>
          <w:tcPr>
            <w:tcW w:w="1696" w:type="dxa"/>
            <w:vMerge/>
          </w:tcPr>
          <w:p w14:paraId="47BD46FC" w14:textId="77777777" w:rsidR="00BC50A0" w:rsidRPr="00737AB2" w:rsidRDefault="00BC50A0" w:rsidP="00BC50A0">
            <w:pPr>
              <w:pStyle w:val="BodyCopy"/>
            </w:pPr>
          </w:p>
        </w:tc>
        <w:tc>
          <w:tcPr>
            <w:tcW w:w="8505" w:type="dxa"/>
          </w:tcPr>
          <w:p w14:paraId="4359035E" w14:textId="77777777" w:rsidR="00BC50A0" w:rsidRPr="00737AB2" w:rsidRDefault="00BC50A0" w:rsidP="00BC50A0">
            <w:pPr>
              <w:pStyle w:val="Tablebody"/>
            </w:pPr>
            <w:r w:rsidRPr="00737AB2">
              <w:t>Nulliparity</w:t>
            </w:r>
          </w:p>
        </w:tc>
      </w:tr>
      <w:tr w:rsidR="00BC50A0" w:rsidRPr="00737AB2" w14:paraId="10416B0B" w14:textId="77777777" w:rsidTr="00BC50A0">
        <w:tc>
          <w:tcPr>
            <w:tcW w:w="1696" w:type="dxa"/>
            <w:vMerge/>
          </w:tcPr>
          <w:p w14:paraId="4A95524E" w14:textId="77777777" w:rsidR="00BC50A0" w:rsidRPr="00737AB2" w:rsidRDefault="00BC50A0" w:rsidP="00BC50A0">
            <w:pPr>
              <w:pStyle w:val="BodyCopy"/>
            </w:pPr>
          </w:p>
        </w:tc>
        <w:tc>
          <w:tcPr>
            <w:tcW w:w="8505" w:type="dxa"/>
          </w:tcPr>
          <w:p w14:paraId="5D8346D6" w14:textId="77777777" w:rsidR="00BC50A0" w:rsidRPr="00737AB2" w:rsidRDefault="00BC50A0" w:rsidP="00BC50A0">
            <w:pPr>
              <w:pStyle w:val="Tablebody"/>
            </w:pPr>
            <w:r w:rsidRPr="00737AB2">
              <w:t>Family history of preeclampsia</w:t>
            </w:r>
          </w:p>
        </w:tc>
      </w:tr>
      <w:tr w:rsidR="00BC50A0" w:rsidRPr="00737AB2" w14:paraId="07B462C2" w14:textId="77777777" w:rsidTr="00BC50A0">
        <w:tc>
          <w:tcPr>
            <w:tcW w:w="1696" w:type="dxa"/>
            <w:vMerge/>
          </w:tcPr>
          <w:p w14:paraId="38B43CAB" w14:textId="77777777" w:rsidR="00BC50A0" w:rsidRPr="00737AB2" w:rsidRDefault="00BC50A0" w:rsidP="00BC50A0">
            <w:pPr>
              <w:pStyle w:val="BodyCopy"/>
            </w:pPr>
          </w:p>
        </w:tc>
        <w:tc>
          <w:tcPr>
            <w:tcW w:w="8505" w:type="dxa"/>
          </w:tcPr>
          <w:p w14:paraId="75884462" w14:textId="77777777" w:rsidR="00BC50A0" w:rsidRPr="00737AB2" w:rsidRDefault="00BC50A0" w:rsidP="00BC50A0">
            <w:pPr>
              <w:pStyle w:val="Tablebody"/>
            </w:pPr>
            <w:r w:rsidRPr="00737AB2">
              <w:t>Interpregnancy interval of 10 or more years</w:t>
            </w:r>
          </w:p>
        </w:tc>
      </w:tr>
      <w:tr w:rsidR="00BC50A0" w:rsidRPr="00737AB2" w14:paraId="159025AE" w14:textId="77777777" w:rsidTr="00BC50A0">
        <w:tc>
          <w:tcPr>
            <w:tcW w:w="1696" w:type="dxa"/>
            <w:vMerge/>
          </w:tcPr>
          <w:p w14:paraId="2E3D6965" w14:textId="77777777" w:rsidR="00BC50A0" w:rsidRPr="00737AB2" w:rsidRDefault="00BC50A0" w:rsidP="00BC50A0">
            <w:pPr>
              <w:pStyle w:val="BodyCopy"/>
            </w:pPr>
          </w:p>
        </w:tc>
        <w:tc>
          <w:tcPr>
            <w:tcW w:w="8505" w:type="dxa"/>
          </w:tcPr>
          <w:p w14:paraId="05011505" w14:textId="77777777" w:rsidR="00BC50A0" w:rsidRPr="00737AB2" w:rsidRDefault="00BC50A0" w:rsidP="00BC50A0">
            <w:pPr>
              <w:pStyle w:val="Tablebody"/>
            </w:pPr>
            <w:r w:rsidRPr="00737AB2">
              <w:t>Assisted reproduction technologies</w:t>
            </w:r>
          </w:p>
        </w:tc>
      </w:tr>
      <w:tr w:rsidR="00BC50A0" w:rsidRPr="00737AB2" w14:paraId="0CD1E81C" w14:textId="77777777" w:rsidTr="00BC50A0">
        <w:tc>
          <w:tcPr>
            <w:tcW w:w="1696" w:type="dxa"/>
            <w:vMerge/>
          </w:tcPr>
          <w:p w14:paraId="560234EA" w14:textId="77777777" w:rsidR="00BC50A0" w:rsidRPr="00737AB2" w:rsidRDefault="00BC50A0" w:rsidP="00BC50A0">
            <w:pPr>
              <w:pStyle w:val="BodyCopy"/>
            </w:pPr>
          </w:p>
        </w:tc>
        <w:tc>
          <w:tcPr>
            <w:tcW w:w="8505" w:type="dxa"/>
          </w:tcPr>
          <w:p w14:paraId="2DB4D165" w14:textId="77777777" w:rsidR="00BC50A0" w:rsidRPr="00737AB2" w:rsidRDefault="00BC50A0" w:rsidP="00BC50A0">
            <w:pPr>
              <w:pStyle w:val="Tablebody"/>
            </w:pPr>
            <w:r w:rsidRPr="00737AB2">
              <w:t>Systolic blood pressure &gt;130mmHg and/or diastolic blood pressure &gt;80</w:t>
            </w:r>
          </w:p>
        </w:tc>
      </w:tr>
    </w:tbl>
    <w:p w14:paraId="524EDC77" w14:textId="77777777" w:rsidR="00BC50A0" w:rsidRDefault="00BC50A0" w:rsidP="00BC50A0">
      <w:pPr>
        <w:pStyle w:val="Bottomblocktext"/>
      </w:pPr>
      <w:r w:rsidRPr="00590B6A">
        <w:t>Source: SOMANZ Hypertension in pregnancy guideline 2023</w:t>
      </w:r>
      <w:r w:rsidRPr="00481A6C">
        <w:t>.</w:t>
      </w:r>
    </w:p>
    <w:p w14:paraId="18070C8E" w14:textId="232C5639" w:rsidR="00481A6C" w:rsidRPr="00481A6C" w:rsidRDefault="00FC6E57" w:rsidP="005C5F49">
      <w:pPr>
        <w:pStyle w:val="BodyCopy"/>
        <w:spacing w:before="240"/>
      </w:pPr>
      <w:hyperlink w:anchor="_top" w:history="1">
        <w:r w:rsidR="00481A6C" w:rsidRPr="00481A6C">
          <w:rPr>
            <w:rStyle w:val="Hyperlink"/>
            <w:iCs w:val="0"/>
          </w:rPr>
          <w:t>Back to Contents</w:t>
        </w:r>
      </w:hyperlink>
    </w:p>
    <w:p w14:paraId="61796A17" w14:textId="4C91CF3F" w:rsidR="0078367D" w:rsidRDefault="0078367D" w:rsidP="00A6051F">
      <w:pPr>
        <w:pStyle w:val="Heading4"/>
      </w:pPr>
      <w:bookmarkStart w:id="5" w:name="_Toc182488077"/>
      <w:r>
        <w:t xml:space="preserve">Section 2 </w:t>
      </w:r>
      <w:r w:rsidR="00CB4D59">
        <w:t>–</w:t>
      </w:r>
      <w:r>
        <w:t xml:space="preserve"> </w:t>
      </w:r>
      <w:r w:rsidR="00CB4D59">
        <w:t>Recommended Aspirin Use</w:t>
      </w:r>
      <w:bookmarkEnd w:id="5"/>
    </w:p>
    <w:p w14:paraId="0B74101E" w14:textId="42E07795" w:rsidR="00CB4D59" w:rsidRPr="005C5F49" w:rsidRDefault="00CB4D59" w:rsidP="00CB4D59">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sidRPr="00CB4D59">
        <w:t>Canberra Health Services follows the recommendations, as below, for the use of low dose aspirin as a preventative strategy for preterm preeclampsia. Recommendations are per the SOMANZ 2023 Hypertension in Pregnancy Guidelines</w:t>
      </w:r>
      <w:r>
        <w:t xml:space="preserve">. </w:t>
      </w:r>
    </w:p>
    <w:p w14:paraId="24213886" w14:textId="1B95C1A2" w:rsidR="00CB4D59" w:rsidRPr="001407F7" w:rsidRDefault="00CB4D59" w:rsidP="00CB4D59">
      <w:pPr>
        <w:rPr>
          <w:b/>
          <w:bCs/>
        </w:rPr>
      </w:pPr>
      <w:bookmarkStart w:id="6" w:name="_Hlk182311130"/>
      <w:r w:rsidRPr="00CB4D59">
        <w:rPr>
          <w:rStyle w:val="Heading5Char"/>
        </w:rPr>
        <w:t>Recommendations for low do</w:t>
      </w:r>
      <w:r w:rsidR="000D430C">
        <w:rPr>
          <w:rStyle w:val="Heading5Char"/>
        </w:rPr>
        <w:t>s</w:t>
      </w:r>
      <w:r w:rsidRPr="00CB4D59">
        <w:rPr>
          <w:rStyle w:val="Heading5Char"/>
        </w:rPr>
        <w:t>e aspirin prophylaxis to prevent pre-term preeclampsia</w:t>
      </w:r>
      <w:bookmarkEnd w:id="6"/>
    </w:p>
    <w:p w14:paraId="020C99B4" w14:textId="0FC8A97F" w:rsidR="00CB4D59" w:rsidRDefault="00CB4D59" w:rsidP="00BC50A0">
      <w:pPr>
        <w:pStyle w:val="Numberedlist"/>
      </w:pPr>
      <w:r w:rsidRPr="004F19F0">
        <w:rPr>
          <w:b/>
          <w:bCs/>
        </w:rPr>
        <w:t>Initiation of aspirin &lt; 16 weeks gestation</w:t>
      </w:r>
      <w:r>
        <w:t xml:space="preserve">. Based on the evidence of benefit, trivial risk of harm and accessibility to treatment, initiation of aspirin at &lt; 16 weeks gestation is strongly recommended in women at high risk of developing preeclampsia.  </w:t>
      </w:r>
    </w:p>
    <w:p w14:paraId="6DAD9FAA" w14:textId="201B3419" w:rsidR="00CB4D59" w:rsidRPr="00946B5F" w:rsidRDefault="00CB4D59" w:rsidP="00BC50A0">
      <w:pPr>
        <w:pStyle w:val="Numberedlist"/>
      </w:pPr>
      <w:r w:rsidRPr="004F19F0">
        <w:rPr>
          <w:b/>
          <w:bCs/>
        </w:rPr>
        <w:t>150mg</w:t>
      </w:r>
      <w:r>
        <w:rPr>
          <w:b/>
          <w:bCs/>
        </w:rPr>
        <w:t xml:space="preserve"> once per day</w:t>
      </w:r>
      <w:r w:rsidRPr="004F19F0">
        <w:rPr>
          <w:b/>
          <w:bCs/>
        </w:rPr>
        <w:t xml:space="preserve"> of Aspirin</w:t>
      </w:r>
      <w:r w:rsidRPr="00BF758F">
        <w:t xml:space="preserve"> is recommended for all women who have </w:t>
      </w:r>
      <w:r w:rsidRPr="00354F16">
        <w:rPr>
          <w:b/>
          <w:bCs/>
        </w:rPr>
        <w:t>one or more high risk factors</w:t>
      </w:r>
      <w:r w:rsidRPr="00BF758F">
        <w:t xml:space="preserve"> for developing preeclampsia in pregnancy or who are deemed high risk for developing pre-</w:t>
      </w:r>
      <w:r>
        <w:t>term</w:t>
      </w:r>
      <w:r w:rsidRPr="00BF758F">
        <w:t xml:space="preserve"> eclam</w:t>
      </w:r>
      <w:r>
        <w:t>p</w:t>
      </w:r>
      <w:r w:rsidRPr="00BF758F">
        <w:t>sia on first trimester screening.</w:t>
      </w:r>
      <w:r>
        <w:t xml:space="preserve"> </w:t>
      </w:r>
    </w:p>
    <w:p w14:paraId="38D32090" w14:textId="77777777" w:rsidR="00CB4D59" w:rsidRPr="00946B5F" w:rsidRDefault="00CB4D59" w:rsidP="00BC50A0">
      <w:pPr>
        <w:pStyle w:val="Numberedlist"/>
      </w:pPr>
      <w:r w:rsidRPr="00354F16">
        <w:rPr>
          <w:b/>
          <w:bCs/>
        </w:rPr>
        <w:t>150mg</w:t>
      </w:r>
      <w:r>
        <w:rPr>
          <w:b/>
          <w:bCs/>
        </w:rPr>
        <w:t xml:space="preserve"> once per day</w:t>
      </w:r>
      <w:r w:rsidRPr="00354F16">
        <w:rPr>
          <w:b/>
          <w:bCs/>
        </w:rPr>
        <w:t xml:space="preserve"> of Aspirin</w:t>
      </w:r>
      <w:r w:rsidRPr="00BF758F">
        <w:t xml:space="preserve"> is recommended for </w:t>
      </w:r>
      <w:r w:rsidRPr="00354F16">
        <w:rPr>
          <w:b/>
          <w:bCs/>
        </w:rPr>
        <w:t>all women with two or more moderate risk</w:t>
      </w:r>
      <w:r w:rsidRPr="0044566A">
        <w:t xml:space="preserve"> </w:t>
      </w:r>
      <w:r w:rsidRPr="00354F16">
        <w:rPr>
          <w:b/>
          <w:bCs/>
        </w:rPr>
        <w:t>factors</w:t>
      </w:r>
      <w:r>
        <w:t xml:space="preserve"> for developing preeclampsia or pre-term preeclampsia on combined risk screening.</w:t>
      </w:r>
    </w:p>
    <w:p w14:paraId="6EFC4375" w14:textId="4EAA5715" w:rsidR="00CB4D59" w:rsidRPr="00BC50A0" w:rsidRDefault="00CB4D59" w:rsidP="00BC50A0">
      <w:pPr>
        <w:pStyle w:val="Bullet"/>
        <w:numPr>
          <w:ilvl w:val="1"/>
          <w:numId w:val="1"/>
        </w:numPr>
      </w:pPr>
      <w:r w:rsidRPr="00BC50A0">
        <w:t>150mg of Aspirin was not associated with an increased risk of maternal or neonatal harm. Based on the evidence of benefit, low risk of harm and ability to achieve the desired dose, a preferred dose of 150mg of aspirin is strongly recommended3.</w:t>
      </w:r>
    </w:p>
    <w:p w14:paraId="31BEB379" w14:textId="77DB9CB6" w:rsidR="00CB4D59" w:rsidRPr="00CB4D59" w:rsidRDefault="00CB4D59" w:rsidP="00BC50A0">
      <w:pPr>
        <w:pStyle w:val="Numberedlist"/>
      </w:pPr>
      <w:r w:rsidRPr="00354F16">
        <w:rPr>
          <w:b/>
          <w:bCs/>
        </w:rPr>
        <w:lastRenderedPageBreak/>
        <w:t>Evening ingestion of aspirin is recommended</w:t>
      </w:r>
      <w:r>
        <w:t>. Evidence favours the use of bedtime aspirin in risk reduction for early-onset preeclampsia. Due to limited sample size, evening ingestion of aspirin is conditionally recommended at the time of this publication.</w:t>
      </w:r>
    </w:p>
    <w:p w14:paraId="4F81DF13" w14:textId="77777777" w:rsidR="00CB4D59" w:rsidRPr="00D06F8A" w:rsidRDefault="00CB4D59" w:rsidP="00BC50A0">
      <w:pPr>
        <w:pStyle w:val="Numberedlist"/>
        <w:rPr>
          <w:b/>
          <w:bCs/>
        </w:rPr>
      </w:pPr>
      <w:r w:rsidRPr="00354F16">
        <w:rPr>
          <w:b/>
          <w:bCs/>
        </w:rPr>
        <w:t>Cessation of aspirin between 34 weeks gestation to birth</w:t>
      </w:r>
      <w:r>
        <w:rPr>
          <w:b/>
          <w:bCs/>
        </w:rPr>
        <w:t>.</w:t>
      </w:r>
      <w:r w:rsidRPr="00354F16">
        <w:t xml:space="preserve"> </w:t>
      </w:r>
      <w:r>
        <w:t>The overall evidence did not demonstrate a difference in the benefit or harm for the timing of aspirin cessation.  Based on the absence of a difference in harm, the decision on the timing of ceasing aspirin between 34 weeks gestation and delivery should be individualised based on the women’s clinical history, risk of bleeding and through an informed, shared decision-making process with the women.</w:t>
      </w:r>
    </w:p>
    <w:p w14:paraId="09E7F1A4" w14:textId="38ABC4FB" w:rsidR="00481A6C" w:rsidRPr="00481A6C" w:rsidRDefault="00CB4D59" w:rsidP="00CB4D59">
      <w:pPr>
        <w:pStyle w:val="BodyCopy"/>
      </w:pPr>
      <w:r>
        <w:t>SOMANZ has developed a</w:t>
      </w:r>
      <w:r w:rsidRPr="00D06F8A">
        <w:t xml:space="preserve"> </w:t>
      </w:r>
      <w:r>
        <w:t xml:space="preserve">simple language </w:t>
      </w:r>
      <w:r w:rsidRPr="00D06F8A">
        <w:t xml:space="preserve">consumer information sheet </w:t>
      </w:r>
      <w:r>
        <w:t>to e</w:t>
      </w:r>
      <w:r w:rsidRPr="00D06F8A">
        <w:t>xplain</w:t>
      </w:r>
      <w:r>
        <w:t xml:space="preserve"> aspirin prophylaxis for </w:t>
      </w:r>
      <w:r w:rsidRPr="00D06F8A">
        <w:t>prevent</w:t>
      </w:r>
      <w:r>
        <w:t xml:space="preserve">ion of preterm </w:t>
      </w:r>
      <w:r w:rsidRPr="00D06F8A">
        <w:t>preeclampsia</w:t>
      </w:r>
      <w:r>
        <w:t xml:space="preserve"> (Attachment 1). This resource c</w:t>
      </w:r>
      <w:r w:rsidRPr="00D06F8A">
        <w:t xml:space="preserve">an be accessed using the following hyperlink </w:t>
      </w:r>
      <w:hyperlink r:id="rId13" w:history="1">
        <w:r w:rsidRPr="00D06F8A">
          <w:rPr>
            <w:rStyle w:val="Hyperlink"/>
          </w:rPr>
          <w:t>Information-sheet-3A.1-Use-of-aspirin-in-pregnancy.pdf (somanz.org)</w:t>
        </w:r>
      </w:hyperlink>
      <w:r>
        <w:t>. It is also available in 7 multilingual resources.</w:t>
      </w:r>
    </w:p>
    <w:p w14:paraId="48F7B10E" w14:textId="3625CAD8" w:rsidR="00481A6C" w:rsidRDefault="00FC6E57" w:rsidP="0091462B">
      <w:pPr>
        <w:pStyle w:val="BodyCopy"/>
      </w:pPr>
      <w:hyperlink w:anchor="_top" w:history="1">
        <w:r w:rsidR="00481A6C" w:rsidRPr="00481A6C">
          <w:rPr>
            <w:rStyle w:val="Hyperlink"/>
            <w:iCs w:val="0"/>
          </w:rPr>
          <w:t>Back to Contents</w:t>
        </w:r>
      </w:hyperlink>
    </w:p>
    <w:p w14:paraId="6150300A" w14:textId="77777777" w:rsidR="0078367D" w:rsidRDefault="0078367D" w:rsidP="00A6051F">
      <w:pPr>
        <w:pStyle w:val="Heading4"/>
      </w:pPr>
      <w:bookmarkStart w:id="7" w:name="_Toc176348490"/>
      <w:bookmarkStart w:id="8" w:name="_Toc182488078"/>
      <w:r>
        <w:t>Evaluation</w:t>
      </w:r>
      <w:bookmarkStart w:id="9" w:name="_Hlk43366294"/>
      <w:bookmarkEnd w:id="7"/>
      <w:bookmarkEnd w:id="8"/>
    </w:p>
    <w:p w14:paraId="0EFFC754" w14:textId="77777777" w:rsidR="00481A6C" w:rsidRDefault="00481A6C" w:rsidP="00C34A10">
      <w:pPr>
        <w:pStyle w:val="Heading5"/>
      </w:pPr>
      <w:bookmarkStart w:id="10" w:name="_Hlk170467190"/>
      <w:bookmarkEnd w:id="9"/>
      <w:r w:rsidRPr="00C34A10">
        <w:t>Outcome</w:t>
      </w:r>
    </w:p>
    <w:p w14:paraId="1950FF16" w14:textId="77777777" w:rsidR="00427110" w:rsidRPr="00427110" w:rsidRDefault="00427110" w:rsidP="00427110">
      <w:pPr>
        <w:pStyle w:val="Bullet"/>
      </w:pPr>
      <w:bookmarkStart w:id="11" w:name="_Hlk170467240"/>
      <w:bookmarkEnd w:id="10"/>
      <w:r w:rsidRPr="00427110">
        <w:t>First trimester screening for preterm preeclampsia will be directed by the recommendations in this guideline.</w:t>
      </w:r>
    </w:p>
    <w:p w14:paraId="5356B3C7" w14:textId="77777777" w:rsidR="00427110" w:rsidRPr="00427110" w:rsidRDefault="00427110" w:rsidP="00427110">
      <w:pPr>
        <w:pStyle w:val="Bullet"/>
      </w:pPr>
      <w:r w:rsidRPr="00427110">
        <w:t>When combined first trimester screening is not available, risk stratification for preterm preeclampsia should be based on maternal risk factors.</w:t>
      </w:r>
    </w:p>
    <w:p w14:paraId="22CCC5FC" w14:textId="6CF1A8DE" w:rsidR="00C34A10" w:rsidRDefault="00427110" w:rsidP="00427110">
      <w:pPr>
        <w:pStyle w:val="Bullet"/>
      </w:pPr>
      <w:r w:rsidRPr="00427110">
        <w:t>Recommendations for commencement, dosage and timing of low dose aspirin for pre-term preeclampsia prophylaxis, will be directed from this guideline.</w:t>
      </w:r>
    </w:p>
    <w:p w14:paraId="7536407F" w14:textId="0F513C91" w:rsidR="00C34A10" w:rsidRDefault="00C34A10" w:rsidP="0079295C">
      <w:pPr>
        <w:pStyle w:val="Heading5"/>
      </w:pPr>
      <w:r>
        <w:t>Measures</w:t>
      </w:r>
      <w:bookmarkEnd w:id="11"/>
    </w:p>
    <w:p w14:paraId="46BF4F5E" w14:textId="77777777" w:rsidR="0079295C" w:rsidRPr="0079295C" w:rsidRDefault="0079295C" w:rsidP="0079295C">
      <w:pPr>
        <w:pStyle w:val="Bullet"/>
      </w:pPr>
      <w:r w:rsidRPr="0079295C">
        <w:t>Monthly data collection required for AIHW and Stillbirth CRE reports will be reviewed to determine if any reportable parameters (missed fetal growth restriction/decreased fetal movements/fetal death) were related to not implementing care recommendations in this guideline (risk screening and low dose aspirin prophylaxis recommendations)</w:t>
      </w:r>
    </w:p>
    <w:p w14:paraId="090A82B5" w14:textId="3454A4C9" w:rsidR="00481A6C" w:rsidRPr="00C34A10" w:rsidRDefault="0079295C" w:rsidP="0079295C">
      <w:pPr>
        <w:pStyle w:val="Bullet"/>
      </w:pPr>
      <w:r w:rsidRPr="0079295C">
        <w:t>Information from review will be presented at the maternity Quality and Safety meeting as required. If required, feedback to eternal stakeholders regarding commencement of low dose aspirin will be initiated through this meeting platform</w:t>
      </w:r>
      <w:r w:rsidR="00C34A10">
        <w:t>.</w:t>
      </w:r>
    </w:p>
    <w:p w14:paraId="734510C0" w14:textId="77777777" w:rsidR="00481A6C" w:rsidRDefault="00FC6E57" w:rsidP="002D7682">
      <w:pPr>
        <w:pStyle w:val="BodyCopy"/>
        <w:spacing w:after="120"/>
        <w:rPr>
          <w:rStyle w:val="Hyperlink"/>
          <w:iCs w:val="0"/>
        </w:rPr>
      </w:pPr>
      <w:hyperlink w:anchor="_top" w:history="1">
        <w:r w:rsidR="00481A6C" w:rsidRPr="00481A6C">
          <w:rPr>
            <w:rStyle w:val="Hyperlink"/>
            <w:iCs w:val="0"/>
          </w:rPr>
          <w:t>Back to Contents</w:t>
        </w:r>
      </w:hyperlink>
    </w:p>
    <w:p w14:paraId="76B4CD19" w14:textId="1B897321" w:rsidR="00997834" w:rsidRDefault="00A6051F" w:rsidP="0079295C">
      <w:pPr>
        <w:pStyle w:val="Heading4"/>
      </w:pPr>
      <w:bookmarkStart w:id="12" w:name="_Toc182488079"/>
      <w:r>
        <w:t>Related policies, procedures, guidelines and legislation</w:t>
      </w:r>
      <w:bookmarkEnd w:id="12"/>
    </w:p>
    <w:p w14:paraId="112D216F" w14:textId="77777777" w:rsidR="00481A6C" w:rsidRDefault="00481A6C" w:rsidP="00A6051F">
      <w:pPr>
        <w:pStyle w:val="Heading5"/>
      </w:pPr>
      <w:r>
        <w:t>Procedures</w:t>
      </w:r>
    </w:p>
    <w:p w14:paraId="0C0A2F91" w14:textId="77777777" w:rsidR="0079295C" w:rsidRPr="00B61F35" w:rsidRDefault="0079295C" w:rsidP="0079295C">
      <w:pPr>
        <w:pStyle w:val="Bullet"/>
      </w:pPr>
      <w:r>
        <w:t>Infection Prevention and Control Procedure</w:t>
      </w:r>
    </w:p>
    <w:p w14:paraId="3E7C3A48" w14:textId="7DCF7A08" w:rsidR="00481A6C" w:rsidRPr="000E7683" w:rsidRDefault="0079295C" w:rsidP="0079295C">
      <w:pPr>
        <w:pStyle w:val="Bullet"/>
      </w:pPr>
      <w:r>
        <w:t>Patient Identification and Procedure Matching</w:t>
      </w:r>
      <w:r w:rsidR="00481A6C" w:rsidRPr="000E7683">
        <w:t xml:space="preserve"> </w:t>
      </w:r>
    </w:p>
    <w:p w14:paraId="3ED4A2F7" w14:textId="77777777" w:rsidR="00481A6C" w:rsidRDefault="00481A6C" w:rsidP="00A6051F">
      <w:pPr>
        <w:pStyle w:val="Heading5"/>
      </w:pPr>
      <w:r>
        <w:lastRenderedPageBreak/>
        <w:t xml:space="preserve">Guidelines </w:t>
      </w:r>
    </w:p>
    <w:p w14:paraId="40117E57" w14:textId="77777777" w:rsidR="0079295C" w:rsidRDefault="0079295C" w:rsidP="0079295C">
      <w:pPr>
        <w:pStyle w:val="Bullet"/>
      </w:pPr>
      <w:r>
        <w:t>Fasting Guidelines for Patients Undergoing Procedures Requiring Sedation or Anaesthesia</w:t>
      </w:r>
    </w:p>
    <w:p w14:paraId="7A289A28" w14:textId="77777777" w:rsidR="0079295C" w:rsidRDefault="0079295C" w:rsidP="0079295C">
      <w:pPr>
        <w:pStyle w:val="Bullet"/>
      </w:pPr>
      <w:r>
        <w:t xml:space="preserve">Hypertension in Pregnancy </w:t>
      </w:r>
    </w:p>
    <w:p w14:paraId="02AEE679" w14:textId="77777777" w:rsidR="0079295C" w:rsidRDefault="0079295C" w:rsidP="0079295C">
      <w:pPr>
        <w:pStyle w:val="Bullet"/>
      </w:pPr>
      <w:r w:rsidRPr="002B3BCB">
        <w:t>Pregnancy Care Guidelines</w:t>
      </w:r>
    </w:p>
    <w:p w14:paraId="7E7CAA27" w14:textId="0ACC5FD7" w:rsidR="009746B1" w:rsidRDefault="0079295C" w:rsidP="0079295C">
      <w:pPr>
        <w:pStyle w:val="Bullet"/>
      </w:pPr>
      <w:r>
        <w:t>Consent for Healthcare Treatment</w:t>
      </w:r>
    </w:p>
    <w:p w14:paraId="0F98A4DD" w14:textId="77777777" w:rsidR="00481A6C" w:rsidRDefault="00481A6C" w:rsidP="00A6051F">
      <w:pPr>
        <w:pStyle w:val="Heading5"/>
      </w:pPr>
      <w:r>
        <w:t>Legislation</w:t>
      </w:r>
    </w:p>
    <w:p w14:paraId="6DF96E26" w14:textId="77777777" w:rsidR="00481A6C" w:rsidRPr="000E7683" w:rsidRDefault="00481A6C" w:rsidP="000E7683">
      <w:pPr>
        <w:pStyle w:val="Bullet"/>
      </w:pPr>
      <w:r w:rsidRPr="00FE46F1">
        <w:rPr>
          <w:i/>
          <w:iCs/>
        </w:rPr>
        <w:t>Health Records (Privacy and Access) Act</w:t>
      </w:r>
      <w:r w:rsidRPr="000E7683">
        <w:t xml:space="preserve"> 1997</w:t>
      </w:r>
    </w:p>
    <w:p w14:paraId="1503AD08" w14:textId="77777777" w:rsidR="00481A6C" w:rsidRPr="000E7683" w:rsidRDefault="00481A6C" w:rsidP="000E7683">
      <w:pPr>
        <w:pStyle w:val="Bullet"/>
      </w:pPr>
      <w:r w:rsidRPr="00FE46F1">
        <w:rPr>
          <w:i/>
          <w:iCs/>
        </w:rPr>
        <w:t>Human Rights Act</w:t>
      </w:r>
      <w:r w:rsidRPr="000E7683">
        <w:t xml:space="preserve"> 2004</w:t>
      </w:r>
    </w:p>
    <w:p w14:paraId="4911BDE2" w14:textId="77777777" w:rsidR="00481A6C" w:rsidRPr="000E7683" w:rsidRDefault="00481A6C" w:rsidP="000E7683">
      <w:pPr>
        <w:pStyle w:val="Bullet"/>
      </w:pPr>
      <w:r w:rsidRPr="00FE46F1">
        <w:rPr>
          <w:i/>
          <w:iCs/>
        </w:rPr>
        <w:t>Work Health and Safety Act</w:t>
      </w:r>
      <w:r w:rsidRPr="000E7683">
        <w:t xml:space="preserve"> 2011</w:t>
      </w:r>
    </w:p>
    <w:p w14:paraId="48AE66DC" w14:textId="77777777" w:rsidR="00481A6C" w:rsidRPr="000E7683" w:rsidRDefault="00481A6C" w:rsidP="000E7683">
      <w:pPr>
        <w:pStyle w:val="Bullet"/>
      </w:pPr>
      <w:r w:rsidRPr="00FE46F1">
        <w:rPr>
          <w:i/>
          <w:iCs/>
        </w:rPr>
        <w:t>Carers Recognition Act</w:t>
      </w:r>
      <w:r w:rsidRPr="000E7683">
        <w:t xml:space="preserve"> 2021</w:t>
      </w:r>
    </w:p>
    <w:p w14:paraId="65ACE501" w14:textId="77777777" w:rsidR="00481A6C" w:rsidRDefault="00481A6C" w:rsidP="00A6051F">
      <w:pPr>
        <w:pStyle w:val="Heading5"/>
      </w:pPr>
      <w:r>
        <w:t>Other</w:t>
      </w:r>
    </w:p>
    <w:p w14:paraId="34DA4476" w14:textId="77777777" w:rsidR="000E7683" w:rsidRDefault="00481A6C" w:rsidP="00A66966">
      <w:pPr>
        <w:pStyle w:val="Bullet"/>
      </w:pPr>
      <w:r w:rsidRPr="00A66966">
        <w:t>Australian</w:t>
      </w:r>
      <w:r w:rsidRPr="000E7683">
        <w:t xml:space="preserve"> Charter of Healthcare Right</w:t>
      </w:r>
      <w:r w:rsidR="00280C5D" w:rsidRPr="000E7683">
        <w:t>s</w:t>
      </w:r>
    </w:p>
    <w:p w14:paraId="34812854" w14:textId="77777777" w:rsidR="000E7683" w:rsidRPr="000E7683" w:rsidRDefault="00FC6E57" w:rsidP="002D7682">
      <w:pPr>
        <w:pStyle w:val="BodyCopy"/>
      </w:pPr>
      <w:hyperlink w:anchor="_top" w:history="1">
        <w:r w:rsidR="000E7683" w:rsidRPr="004A7A7F">
          <w:rPr>
            <w:rStyle w:val="Hyperlink"/>
          </w:rPr>
          <w:t>Back to Contents</w:t>
        </w:r>
      </w:hyperlink>
    </w:p>
    <w:p w14:paraId="225955BB" w14:textId="5A01872C" w:rsidR="008579EC" w:rsidRDefault="0078367D" w:rsidP="008579EC">
      <w:pPr>
        <w:pStyle w:val="Heading4"/>
      </w:pPr>
      <w:bookmarkStart w:id="13" w:name="_Toc182488080"/>
      <w:r w:rsidRPr="0078367D">
        <w:t>References</w:t>
      </w:r>
      <w:bookmarkEnd w:id="13"/>
    </w:p>
    <w:p w14:paraId="16B006ED" w14:textId="77777777" w:rsidR="008579EC" w:rsidRDefault="008579EC" w:rsidP="008579EC">
      <w:pPr>
        <w:pStyle w:val="Numberedlist"/>
      </w:pPr>
      <w:r w:rsidRPr="002854E1">
        <w:t>Australian Institute of Health and Welfare</w:t>
      </w:r>
      <w:r>
        <w:t xml:space="preserve"> (AIHW). </w:t>
      </w:r>
      <w:r w:rsidRPr="002854E1">
        <w:t>Australia's mothers and babies [Internet]. Canberra: Australian Institute of Health and Welfare, 2023</w:t>
      </w:r>
      <w:r>
        <w:t xml:space="preserve">. </w:t>
      </w:r>
      <w:r w:rsidRPr="002854E1">
        <w:t xml:space="preserve">Available from: </w:t>
      </w:r>
      <w:hyperlink r:id="rId14" w:history="1">
        <w:r w:rsidRPr="0059159E">
          <w:rPr>
            <w:rStyle w:val="Hyperlink"/>
          </w:rPr>
          <w:t>https://www.aihw.gov.au/reports/mothers-babies/australias-mothers-babies</w:t>
        </w:r>
      </w:hyperlink>
      <w:r>
        <w:t xml:space="preserve"> </w:t>
      </w:r>
    </w:p>
    <w:p w14:paraId="7A065CF4" w14:textId="77777777" w:rsidR="008579EC" w:rsidRDefault="008579EC" w:rsidP="008579EC">
      <w:pPr>
        <w:pStyle w:val="Numberedlist"/>
      </w:pPr>
      <w:r w:rsidRPr="002854E1">
        <w:t xml:space="preserve">Society for Maternal-Fetal Medicine (SMFM). SMFM Patient Safety and Quality Committee. Society for Maternal-Fetal Medicine Special Statement: Prophylactic low-dose aspirin for preeclampsia prevention-quality metric and opportunities for quality improvement. Am J </w:t>
      </w:r>
      <w:proofErr w:type="spellStart"/>
      <w:r w:rsidRPr="002854E1">
        <w:t>Obstet</w:t>
      </w:r>
      <w:proofErr w:type="spellEnd"/>
      <w:r w:rsidRPr="002854E1">
        <w:t xml:space="preserve"> Gynecol. 2023 Aug;229(2): B2-B9. </w:t>
      </w:r>
      <w:r>
        <w:t xml:space="preserve">Available from </w:t>
      </w:r>
      <w:hyperlink r:id="rId15" w:history="1">
        <w:r w:rsidRPr="008579EC">
          <w:rPr>
            <w:rStyle w:val="Hyperlink"/>
          </w:rPr>
          <w:t>Society for Maternal-Fetal Medicine Special Statement: Prophylactic low-dose aspirin for preeclampsia prevention-quality metric and opportunities for quality improvement - PubMed (nih.gov)</w:t>
        </w:r>
      </w:hyperlink>
    </w:p>
    <w:p w14:paraId="6128F8F2" w14:textId="77777777" w:rsidR="008579EC" w:rsidRDefault="008579EC" w:rsidP="008579EC">
      <w:pPr>
        <w:pStyle w:val="Numberedlist"/>
      </w:pPr>
      <w:bookmarkStart w:id="14" w:name="_Hlk167735243"/>
      <w:r>
        <w:t>Society of Obstetric Medicine Australia and New Zealand (SOMANZ)</w:t>
      </w:r>
      <w:bookmarkEnd w:id="14"/>
      <w:r>
        <w:t xml:space="preserve">. Hypertension in Pregnancy Guideline. Sydney. 2023. Available from: </w:t>
      </w:r>
      <w:hyperlink r:id="rId16" w:history="1">
        <w:r w:rsidRPr="008579EC">
          <w:rPr>
            <w:rStyle w:val="Hyperlink"/>
          </w:rPr>
          <w:t>SOMANZ_Hypertension_in_Pregnancy_Guideline_2023.pdf</w:t>
        </w:r>
      </w:hyperlink>
    </w:p>
    <w:p w14:paraId="7BE342F0" w14:textId="77777777" w:rsidR="008579EC" w:rsidRDefault="008579EC" w:rsidP="008579EC">
      <w:pPr>
        <w:pStyle w:val="Numberedlist"/>
      </w:pPr>
      <w:bookmarkStart w:id="15" w:name="_Hlk161432937"/>
      <w:r>
        <w:t xml:space="preserve">National Institute for Healthcare and Excellence (NICE) </w:t>
      </w:r>
      <w:bookmarkEnd w:id="15"/>
      <w:r>
        <w:t xml:space="preserve">Quality Standard QS35. Hypertension in Pregnancy. 2019. Quality Statement 2. Antenatal assessment of pre-eclampsia risk. Available from: </w:t>
      </w:r>
      <w:hyperlink r:id="rId17" w:history="1">
        <w:r w:rsidRPr="008579EC">
          <w:rPr>
            <w:rStyle w:val="Hyperlink"/>
          </w:rPr>
          <w:t>Quality statement 2: Antenatal assessment of pre-eclampsia risk | Hypertension in pregnancy | Quality standards | NICE</w:t>
        </w:r>
      </w:hyperlink>
    </w:p>
    <w:p w14:paraId="588BE806" w14:textId="77777777" w:rsidR="008579EC" w:rsidRPr="003160C7" w:rsidRDefault="008579EC" w:rsidP="008579EC">
      <w:pPr>
        <w:pStyle w:val="Numberedlist"/>
        <w:rPr>
          <w:rStyle w:val="Hyperlink"/>
        </w:rPr>
      </w:pPr>
      <w:bookmarkStart w:id="16" w:name="_Hlk161433536"/>
      <w:r w:rsidRPr="00FB39BB">
        <w:t>American College of Obstetricians and Gynaecologists</w:t>
      </w:r>
      <w:bookmarkEnd w:id="16"/>
      <w:r>
        <w:t xml:space="preserve"> (ACOG).</w:t>
      </w:r>
      <w:r w:rsidRPr="00FB39BB">
        <w:rPr>
          <w:rFonts w:ascii="Roboto" w:hAnsi="Roboto"/>
          <w:color w:val="515151"/>
          <w:shd w:val="clear" w:color="auto" w:fill="FFFFFF"/>
        </w:rPr>
        <w:t xml:space="preserve"> </w:t>
      </w:r>
      <w:r w:rsidRPr="00FB39BB">
        <w:t>Low-dose aspirin use during pregnancy. ACOG Committee Opinion No. 743.</w:t>
      </w:r>
      <w:r w:rsidRPr="00FB39BB">
        <w:rPr>
          <w:rFonts w:ascii="Roboto" w:hAnsi="Roboto"/>
          <w:color w:val="515151"/>
          <w:shd w:val="clear" w:color="auto" w:fill="FFFFFF"/>
        </w:rPr>
        <w:t xml:space="preserve"> </w:t>
      </w:r>
      <w:proofErr w:type="spellStart"/>
      <w:r w:rsidRPr="00FB39BB">
        <w:t>Obstet</w:t>
      </w:r>
      <w:proofErr w:type="spellEnd"/>
      <w:r w:rsidRPr="00FB39BB">
        <w:t xml:space="preserve"> </w:t>
      </w:r>
      <w:proofErr w:type="spellStart"/>
      <w:r w:rsidRPr="00FB39BB">
        <w:t>Gynecol</w:t>
      </w:r>
      <w:proofErr w:type="spellEnd"/>
      <w:r w:rsidRPr="00FB39BB">
        <w:t xml:space="preserve"> 2018;132: e44-52.</w:t>
      </w:r>
      <w:r>
        <w:t xml:space="preserve"> Available from: </w:t>
      </w:r>
      <w:hyperlink r:id="rId18" w:history="1">
        <w:r w:rsidRPr="00FB39BB">
          <w:rPr>
            <w:rStyle w:val="Hyperlink"/>
          </w:rPr>
          <w:t>Low-Dose Aspirin Use During Pregnancy | ACOG</w:t>
        </w:r>
      </w:hyperlink>
    </w:p>
    <w:p w14:paraId="0A510B52" w14:textId="77777777" w:rsidR="008579EC" w:rsidRDefault="008579EC" w:rsidP="008579EC">
      <w:pPr>
        <w:pStyle w:val="Numberedlist"/>
      </w:pPr>
      <w:proofErr w:type="spellStart"/>
      <w:r w:rsidRPr="003160C7">
        <w:t>Pittara</w:t>
      </w:r>
      <w:proofErr w:type="spellEnd"/>
      <w:r w:rsidRPr="003160C7">
        <w:t> T, </w:t>
      </w:r>
      <w:proofErr w:type="spellStart"/>
      <w:r w:rsidRPr="003160C7">
        <w:t>Vyrides</w:t>
      </w:r>
      <w:proofErr w:type="spellEnd"/>
      <w:r w:rsidRPr="003160C7">
        <w:t> A, </w:t>
      </w:r>
      <w:proofErr w:type="spellStart"/>
      <w:r w:rsidRPr="003160C7">
        <w:t>Lamnisos</w:t>
      </w:r>
      <w:proofErr w:type="spellEnd"/>
      <w:r w:rsidRPr="003160C7">
        <w:t> D, </w:t>
      </w:r>
      <w:proofErr w:type="spellStart"/>
      <w:r w:rsidRPr="003160C7">
        <w:t>Giannakou</w:t>
      </w:r>
      <w:proofErr w:type="spellEnd"/>
      <w:r w:rsidRPr="003160C7">
        <w:t> K. Pre-eclampsia and long-term health outcomes for mother and infant: an umbrella review. </w:t>
      </w:r>
      <w:r w:rsidRPr="003160C7">
        <w:rPr>
          <w:i/>
          <w:iCs/>
        </w:rPr>
        <w:t>BJOG</w:t>
      </w:r>
      <w:r w:rsidRPr="003160C7">
        <w:t> 2021; 128: 1421–1430.</w:t>
      </w:r>
    </w:p>
    <w:p w14:paraId="622BF3CC" w14:textId="77777777" w:rsidR="008579EC" w:rsidRDefault="008579EC" w:rsidP="008579EC">
      <w:pPr>
        <w:pStyle w:val="Numberedlist"/>
      </w:pPr>
      <w:r w:rsidRPr="003160C7">
        <w:lastRenderedPageBreak/>
        <w:t xml:space="preserve"> </w:t>
      </w:r>
      <w:hyperlink r:id="rId19" w:history="1">
        <w:r w:rsidRPr="003160C7">
          <w:rPr>
            <w:rStyle w:val="Hyperlink"/>
          </w:rPr>
          <w:t>Pre</w:t>
        </w:r>
        <w:r w:rsidRPr="003160C7">
          <w:rPr>
            <w:rStyle w:val="Hyperlink"/>
            <w:rFonts w:ascii="Cambria Math" w:hAnsi="Cambria Math" w:cs="Cambria Math"/>
          </w:rPr>
          <w:t>‐</w:t>
        </w:r>
        <w:r w:rsidRPr="003160C7">
          <w:rPr>
            <w:rStyle w:val="Hyperlink"/>
          </w:rPr>
          <w:t>eclampsia and long</w:t>
        </w:r>
        <w:r w:rsidRPr="003160C7">
          <w:rPr>
            <w:rStyle w:val="Hyperlink"/>
            <w:rFonts w:ascii="Cambria Math" w:hAnsi="Cambria Math" w:cs="Cambria Math"/>
          </w:rPr>
          <w:t>‐</w:t>
        </w:r>
        <w:r w:rsidRPr="003160C7">
          <w:rPr>
            <w:rStyle w:val="Hyperlink"/>
          </w:rPr>
          <w:t>term health outcomes for mother and infant: an umbrella review (wiley.com)</w:t>
        </w:r>
      </w:hyperlink>
    </w:p>
    <w:p w14:paraId="4DC1DBE9" w14:textId="4B34BCFD" w:rsidR="00280C5D" w:rsidRDefault="008579EC" w:rsidP="008579EC">
      <w:pPr>
        <w:pStyle w:val="Numberedlist"/>
        <w:rPr>
          <w:lang w:eastAsia="en-US"/>
        </w:rPr>
      </w:pPr>
      <w:r w:rsidRPr="00BC5B1A">
        <w:t>Shen L, Martinez-</w:t>
      </w:r>
      <w:proofErr w:type="spellStart"/>
      <w:r w:rsidRPr="00BC5B1A">
        <w:t>Portilla</w:t>
      </w:r>
      <w:proofErr w:type="spellEnd"/>
      <w:r w:rsidRPr="00BC5B1A">
        <w:t xml:space="preserve"> RJ, Rolnik DL, Poon LC. ASPRE trial: risk factors for development of preterm pre-eclampsia despite aspirin prophylaxis. Ultrasound </w:t>
      </w:r>
      <w:proofErr w:type="spellStart"/>
      <w:r w:rsidRPr="00BC5B1A">
        <w:t>Obstet</w:t>
      </w:r>
      <w:proofErr w:type="spellEnd"/>
      <w:r w:rsidRPr="00BC5B1A">
        <w:t xml:space="preserve"> Gynecol. 2021 Oct;58(4):546-552. </w:t>
      </w:r>
      <w:proofErr w:type="spellStart"/>
      <w:r w:rsidRPr="00BC5B1A">
        <w:t>doi</w:t>
      </w:r>
      <w:proofErr w:type="spellEnd"/>
      <w:r w:rsidRPr="00BC5B1A">
        <w:t xml:space="preserve">: 10.1002/uog.23668. </w:t>
      </w:r>
      <w:proofErr w:type="spellStart"/>
      <w:r w:rsidRPr="00BC5B1A">
        <w:t>Epub</w:t>
      </w:r>
      <w:proofErr w:type="spellEnd"/>
      <w:r w:rsidRPr="00BC5B1A">
        <w:t xml:space="preserve"> 2021 Sep 6. PMID: 33998099.</w:t>
      </w:r>
      <w:r>
        <w:t xml:space="preserve"> </w:t>
      </w:r>
      <w:hyperlink r:id="rId20" w:history="1">
        <w:r w:rsidRPr="00BC5B1A">
          <w:rPr>
            <w:rStyle w:val="Hyperlink"/>
          </w:rPr>
          <w:t>ASPRE trial: risk factors for development of preterm pre-eclampsia despite aspirin prophylaxis - PubMed (nih.gov)</w:t>
        </w:r>
      </w:hyperlink>
      <w:r w:rsidR="00280C5D">
        <w:rPr>
          <w:lang w:eastAsia="en-US"/>
        </w:rPr>
        <w:t>.</w:t>
      </w:r>
    </w:p>
    <w:p w14:paraId="2E0472AE" w14:textId="77777777" w:rsidR="008579EC" w:rsidRDefault="008579EC" w:rsidP="008579EC">
      <w:pPr>
        <w:pStyle w:val="Numberedlist"/>
        <w:numPr>
          <w:ilvl w:val="0"/>
          <w:numId w:val="0"/>
        </w:numPr>
        <w:ind w:left="425"/>
        <w:rPr>
          <w:lang w:eastAsia="en-US"/>
        </w:rPr>
      </w:pPr>
    </w:p>
    <w:p w14:paraId="211E482C" w14:textId="77777777" w:rsidR="00280C5D" w:rsidRDefault="00FC6E57"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21C38140" w14:textId="579FB0EA" w:rsidR="0078367D" w:rsidRDefault="0078367D" w:rsidP="00A6051F">
      <w:pPr>
        <w:pStyle w:val="Heading4"/>
      </w:pPr>
      <w:bookmarkStart w:id="17" w:name="_Toc182488081"/>
      <w:r>
        <w:t xml:space="preserve">Definition of </w:t>
      </w:r>
      <w:r w:rsidR="003B2AF4">
        <w:t>T</w:t>
      </w:r>
      <w:r>
        <w:t>erms</w:t>
      </w:r>
      <w:bookmarkEnd w:id="17"/>
      <w:r>
        <w:t xml:space="preserve"> </w:t>
      </w:r>
    </w:p>
    <w:p w14:paraId="64422FBE" w14:textId="54599B3E" w:rsidR="00280C5D" w:rsidRDefault="003B2AF4" w:rsidP="00280C5D">
      <w:pPr>
        <w:pStyle w:val="BodyCopy"/>
      </w:pPr>
      <w:r w:rsidRPr="00BC5031">
        <w:rPr>
          <w:b/>
        </w:rPr>
        <w:t>Preeclampsia</w:t>
      </w:r>
      <w:r>
        <w:t xml:space="preserve">: A </w:t>
      </w:r>
      <w:r w:rsidRPr="00BC5031">
        <w:t xml:space="preserve">new-onset hypertension </w:t>
      </w:r>
      <w:r>
        <w:t xml:space="preserve">(systolic blood pressure ≥140 mmHg and/ or diastolic blood pressure ≥90 mmHg) </w:t>
      </w:r>
      <w:r w:rsidRPr="00BC5031">
        <w:t xml:space="preserve">after 20 weeks of gestation plus one other symptom of maternal organ dysfunction, </w:t>
      </w:r>
      <w:r>
        <w:t xml:space="preserve">this </w:t>
      </w:r>
      <w:r w:rsidRPr="00BC5031">
        <w:t>can include kidney, lung, brain, liver, or placental dysfunction</w:t>
      </w:r>
      <w:r w:rsidR="00280C5D" w:rsidRPr="006019FE">
        <w:t>.</w:t>
      </w:r>
    </w:p>
    <w:p w14:paraId="5A2E6E67" w14:textId="77777777" w:rsidR="00280C5D" w:rsidRDefault="00FC6E57" w:rsidP="002D7682">
      <w:pPr>
        <w:pStyle w:val="BodyCopy"/>
      </w:pPr>
      <w:hyperlink w:anchor="_top" w:history="1">
        <w:r w:rsidR="00280C5D" w:rsidRPr="00481A6C">
          <w:rPr>
            <w:rStyle w:val="Hyperlink"/>
            <w:iCs w:val="0"/>
          </w:rPr>
          <w:t>Back to Contents</w:t>
        </w:r>
      </w:hyperlink>
    </w:p>
    <w:p w14:paraId="424E5237" w14:textId="24BD9455" w:rsidR="0078367D" w:rsidRDefault="0078367D" w:rsidP="00A6051F">
      <w:pPr>
        <w:pStyle w:val="Heading4"/>
      </w:pPr>
      <w:bookmarkStart w:id="18" w:name="_Toc182488082"/>
      <w:r>
        <w:t xml:space="preserve">Search </w:t>
      </w:r>
      <w:r w:rsidR="003B2AF4">
        <w:t>T</w:t>
      </w:r>
      <w:r>
        <w:t>erms</w:t>
      </w:r>
      <w:bookmarkEnd w:id="18"/>
    </w:p>
    <w:p w14:paraId="51B4D7EE" w14:textId="70AE6D1A" w:rsidR="00280C5D" w:rsidRDefault="003B2AF4" w:rsidP="0078367D">
      <w:pPr>
        <w:pStyle w:val="BodyCopy"/>
        <w:rPr>
          <w:lang w:eastAsia="en-US"/>
        </w:rPr>
      </w:pPr>
      <w:r w:rsidRPr="00AF1DA4">
        <w:rPr>
          <w:color w:val="000000"/>
        </w:rPr>
        <w:t>Preeclampsia, Pre-term preeclampsia, Hypertensive disorders of pregnancy, Aspirin, Aspirin in pregnancy</w:t>
      </w:r>
      <w:r w:rsidR="00280C5D">
        <w:rPr>
          <w:lang w:eastAsia="en-US"/>
        </w:rPr>
        <w:t xml:space="preserve">. </w:t>
      </w:r>
    </w:p>
    <w:p w14:paraId="21CC9809" w14:textId="77777777" w:rsidR="00280C5D" w:rsidRDefault="00FC6E57"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40F14B30" w14:textId="0EE9139A" w:rsidR="0078367D" w:rsidRPr="009A5010" w:rsidRDefault="0078367D" w:rsidP="00A6051F">
      <w:pPr>
        <w:pStyle w:val="Heading4"/>
      </w:pPr>
      <w:bookmarkStart w:id="19" w:name="_Toc182488083"/>
      <w:r>
        <w:t>Attachments</w:t>
      </w:r>
      <w:bookmarkEnd w:id="19"/>
      <w:r w:rsidR="009746B1">
        <w:t xml:space="preserve"> </w:t>
      </w:r>
    </w:p>
    <w:p w14:paraId="042D1C71" w14:textId="7ADF64F8" w:rsidR="001F3ED6" w:rsidRDefault="001F3ED6" w:rsidP="00A513AA">
      <w:pPr>
        <w:pStyle w:val="Heading7"/>
        <w:rPr>
          <w:lang w:eastAsia="en-US"/>
        </w:rPr>
      </w:pPr>
      <w:r>
        <w:rPr>
          <w:lang w:eastAsia="en-US"/>
        </w:rPr>
        <w:t>Attachment 1</w:t>
      </w:r>
      <w:r w:rsidR="002140AE">
        <w:rPr>
          <w:lang w:eastAsia="en-US"/>
        </w:rPr>
        <w:t xml:space="preserve"> </w:t>
      </w:r>
      <w:r w:rsidR="003B2AF4">
        <w:rPr>
          <w:bCs/>
        </w:rPr>
        <w:t xml:space="preserve">Somanz </w:t>
      </w:r>
      <w:r w:rsidR="003B2AF4" w:rsidRPr="001407F7">
        <w:rPr>
          <w:bCs/>
        </w:rPr>
        <w:t>Consumer Information Sheet: Use of aspirin in preventing preeclampsia</w:t>
      </w:r>
    </w:p>
    <w:p w14:paraId="366157C9" w14:textId="77777777" w:rsidR="007B1A7B" w:rsidRDefault="00FC6E57" w:rsidP="002D7682">
      <w:pPr>
        <w:pStyle w:val="Bullet"/>
        <w:numPr>
          <w:ilvl w:val="0"/>
          <w:numId w:val="0"/>
        </w:numPr>
        <w:spacing w:after="240"/>
        <w:rPr>
          <w:rStyle w:val="Hyperlink"/>
        </w:rPr>
      </w:pPr>
      <w:hyperlink w:anchor="_top" w:history="1">
        <w:r w:rsidR="002D7682" w:rsidRPr="00481A6C">
          <w:rPr>
            <w:rStyle w:val="Hyperlink"/>
          </w:rPr>
          <w:t>Back to Contents</w:t>
        </w:r>
      </w:hyperlink>
    </w:p>
    <w:p w14:paraId="4F717C2E" w14:textId="77777777" w:rsidR="007B1A7B" w:rsidRDefault="007B1A7B">
      <w:pPr>
        <w:spacing w:before="0" w:after="0" w:line="240" w:lineRule="auto"/>
        <w:rPr>
          <w:rStyle w:val="Hyperlink"/>
          <w:rFonts w:eastAsia="Times New Roman"/>
        </w:rPr>
      </w:pPr>
      <w:r>
        <w:rPr>
          <w:rStyle w:val="Hyperlink"/>
        </w:rPr>
        <w:br w:type="page"/>
      </w:r>
    </w:p>
    <w:p w14:paraId="4FB5D976"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263"/>
        <w:gridCol w:w="2690"/>
        <w:gridCol w:w="2555"/>
        <w:gridCol w:w="2403"/>
      </w:tblGrid>
      <w:tr w:rsidR="00280C5D" w14:paraId="69BC07EB" w14:textId="77777777" w:rsidTr="00E21B84">
        <w:trPr>
          <w:cnfStyle w:val="100000000000" w:firstRow="1" w:lastRow="0" w:firstColumn="0" w:lastColumn="0" w:oddVBand="0" w:evenVBand="0" w:oddHBand="0" w:evenHBand="0" w:firstRowFirstColumn="0" w:firstRowLastColumn="0" w:lastRowFirstColumn="0" w:lastRowLastColumn="0"/>
        </w:trPr>
        <w:tc>
          <w:tcPr>
            <w:tcW w:w="2263" w:type="dxa"/>
          </w:tcPr>
          <w:p w14:paraId="0E645B29" w14:textId="77777777" w:rsidR="00280C5D" w:rsidRDefault="00280C5D" w:rsidP="003B0E72">
            <w:pPr>
              <w:pStyle w:val="Tableheader"/>
            </w:pPr>
            <w:r>
              <w:t>Date amended</w:t>
            </w:r>
          </w:p>
        </w:tc>
        <w:tc>
          <w:tcPr>
            <w:tcW w:w="2690" w:type="dxa"/>
          </w:tcPr>
          <w:p w14:paraId="3B09FED3" w14:textId="77777777" w:rsidR="00280C5D" w:rsidRDefault="00280C5D" w:rsidP="003B0E72">
            <w:pPr>
              <w:pStyle w:val="Tableheader"/>
            </w:pPr>
            <w:r>
              <w:t>Section amended</w:t>
            </w:r>
          </w:p>
        </w:tc>
        <w:tc>
          <w:tcPr>
            <w:tcW w:w="2555" w:type="dxa"/>
          </w:tcPr>
          <w:p w14:paraId="0981B0B5" w14:textId="77777777" w:rsidR="00280C5D" w:rsidRDefault="00280C5D" w:rsidP="003B0E72">
            <w:pPr>
              <w:pStyle w:val="Tableheader"/>
            </w:pPr>
            <w:r>
              <w:t>Divisional approval</w:t>
            </w:r>
          </w:p>
        </w:tc>
        <w:tc>
          <w:tcPr>
            <w:tcW w:w="2403" w:type="dxa"/>
          </w:tcPr>
          <w:p w14:paraId="4F64D13E" w14:textId="77777777" w:rsidR="00280C5D" w:rsidRDefault="00280C5D" w:rsidP="003B0E72">
            <w:pPr>
              <w:pStyle w:val="Tableheader"/>
            </w:pPr>
            <w:r>
              <w:t>Final approval</w:t>
            </w:r>
          </w:p>
        </w:tc>
      </w:tr>
      <w:tr w:rsidR="00280C5D" w14:paraId="135FCFC9" w14:textId="77777777" w:rsidTr="00E21B84">
        <w:tc>
          <w:tcPr>
            <w:tcW w:w="2263" w:type="dxa"/>
          </w:tcPr>
          <w:p w14:paraId="6D88BEC0" w14:textId="06D59CBF" w:rsidR="00280C5D" w:rsidRDefault="00E21B84" w:rsidP="003B0E72">
            <w:pPr>
              <w:pStyle w:val="Tablebody"/>
              <w:rPr>
                <w:lang w:eastAsia="en-US"/>
              </w:rPr>
            </w:pPr>
            <w:r>
              <w:rPr>
                <w:lang w:eastAsia="en-US"/>
              </w:rPr>
              <w:t>14/11/2024</w:t>
            </w:r>
          </w:p>
        </w:tc>
        <w:tc>
          <w:tcPr>
            <w:tcW w:w="2690" w:type="dxa"/>
          </w:tcPr>
          <w:p w14:paraId="320AB9AC" w14:textId="79F7B3E1" w:rsidR="00280C5D" w:rsidRDefault="00E21B84" w:rsidP="003B0E72">
            <w:pPr>
              <w:pStyle w:val="Tablebody"/>
              <w:rPr>
                <w:lang w:eastAsia="en-US"/>
              </w:rPr>
            </w:pPr>
            <w:r>
              <w:rPr>
                <w:lang w:eastAsia="en-US"/>
              </w:rPr>
              <w:t>New Document Added</w:t>
            </w:r>
          </w:p>
        </w:tc>
        <w:tc>
          <w:tcPr>
            <w:tcW w:w="2555" w:type="dxa"/>
          </w:tcPr>
          <w:p w14:paraId="6081C0F1" w14:textId="77777777" w:rsidR="00280C5D" w:rsidRDefault="00280C5D" w:rsidP="003B0E72">
            <w:pPr>
              <w:pStyle w:val="Tablebody"/>
              <w:rPr>
                <w:lang w:eastAsia="en-US"/>
              </w:rPr>
            </w:pPr>
          </w:p>
        </w:tc>
        <w:tc>
          <w:tcPr>
            <w:tcW w:w="2403" w:type="dxa"/>
          </w:tcPr>
          <w:p w14:paraId="6CD3C600" w14:textId="58DE716E" w:rsidR="00280C5D" w:rsidRDefault="00E21B84" w:rsidP="003B0E72">
            <w:pPr>
              <w:pStyle w:val="Tablebody"/>
              <w:rPr>
                <w:lang w:eastAsia="en-US"/>
              </w:rPr>
            </w:pPr>
            <w:r>
              <w:rPr>
                <w:lang w:eastAsia="en-US"/>
              </w:rPr>
              <w:t>CHS Policy Team</w:t>
            </w:r>
          </w:p>
        </w:tc>
      </w:tr>
      <w:tr w:rsidR="00280C5D" w14:paraId="0FE46681" w14:textId="77777777" w:rsidTr="00E21B84">
        <w:tc>
          <w:tcPr>
            <w:tcW w:w="2263" w:type="dxa"/>
          </w:tcPr>
          <w:p w14:paraId="5DB30724" w14:textId="77777777" w:rsidR="00280C5D" w:rsidRDefault="00280C5D" w:rsidP="003B0E72">
            <w:pPr>
              <w:pStyle w:val="Tablebody"/>
              <w:rPr>
                <w:lang w:eastAsia="en-US"/>
              </w:rPr>
            </w:pPr>
          </w:p>
        </w:tc>
        <w:tc>
          <w:tcPr>
            <w:tcW w:w="2690" w:type="dxa"/>
          </w:tcPr>
          <w:p w14:paraId="3825E7F7" w14:textId="77777777" w:rsidR="00280C5D" w:rsidRDefault="00280C5D" w:rsidP="003B0E72">
            <w:pPr>
              <w:pStyle w:val="Tablebody"/>
              <w:rPr>
                <w:lang w:eastAsia="en-US"/>
              </w:rPr>
            </w:pPr>
          </w:p>
        </w:tc>
        <w:tc>
          <w:tcPr>
            <w:tcW w:w="2555" w:type="dxa"/>
          </w:tcPr>
          <w:p w14:paraId="2140BA2F" w14:textId="77777777" w:rsidR="00280C5D" w:rsidRDefault="00280C5D" w:rsidP="003B0E72">
            <w:pPr>
              <w:pStyle w:val="Tablebody"/>
              <w:rPr>
                <w:lang w:eastAsia="en-US"/>
              </w:rPr>
            </w:pPr>
          </w:p>
        </w:tc>
        <w:tc>
          <w:tcPr>
            <w:tcW w:w="2403" w:type="dxa"/>
          </w:tcPr>
          <w:p w14:paraId="4B33738B" w14:textId="77777777" w:rsidR="00280C5D" w:rsidRDefault="00280C5D" w:rsidP="003B0E72">
            <w:pPr>
              <w:pStyle w:val="Tablebody"/>
              <w:rPr>
                <w:lang w:eastAsia="en-US"/>
              </w:rPr>
            </w:pPr>
          </w:p>
        </w:tc>
      </w:tr>
    </w:tbl>
    <w:p w14:paraId="483D0F85"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A6720D9"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6989450B" w14:textId="77777777" w:rsidR="00280C5D" w:rsidRDefault="00280C5D" w:rsidP="003B0E72">
            <w:pPr>
              <w:pStyle w:val="Tableheader"/>
            </w:pPr>
            <w:r>
              <w:t>Document number</w:t>
            </w:r>
          </w:p>
        </w:tc>
        <w:tc>
          <w:tcPr>
            <w:tcW w:w="7653" w:type="dxa"/>
          </w:tcPr>
          <w:p w14:paraId="522AAE22" w14:textId="77777777" w:rsidR="00280C5D" w:rsidRDefault="00280C5D" w:rsidP="003B0E72">
            <w:pPr>
              <w:pStyle w:val="Tableheader"/>
            </w:pPr>
            <w:r>
              <w:t>Document name</w:t>
            </w:r>
          </w:p>
        </w:tc>
      </w:tr>
      <w:tr w:rsidR="00280C5D" w14:paraId="0AC398C4" w14:textId="77777777" w:rsidTr="003B0E72">
        <w:tc>
          <w:tcPr>
            <w:tcW w:w="2548" w:type="dxa"/>
          </w:tcPr>
          <w:p w14:paraId="7163FE25" w14:textId="1A527899" w:rsidR="00280C5D" w:rsidRDefault="00FC6E57" w:rsidP="003B0E72">
            <w:pPr>
              <w:pStyle w:val="Tablebody"/>
              <w:rPr>
                <w:lang w:eastAsia="en-US"/>
              </w:rPr>
            </w:pPr>
            <w:r w:rsidRPr="00FC6E57">
              <w:rPr>
                <w:lang w:eastAsia="en-US"/>
              </w:rPr>
              <w:t>CHS21/196</w:t>
            </w:r>
          </w:p>
        </w:tc>
        <w:tc>
          <w:tcPr>
            <w:tcW w:w="7653" w:type="dxa"/>
          </w:tcPr>
          <w:p w14:paraId="2419BF10" w14:textId="441CA77E" w:rsidR="00280C5D" w:rsidRDefault="00FC6E57" w:rsidP="003B0E72">
            <w:pPr>
              <w:pStyle w:val="Tablebody"/>
              <w:rPr>
                <w:lang w:eastAsia="en-US"/>
              </w:rPr>
            </w:pPr>
            <w:r w:rsidRPr="00FC6E57">
              <w:rPr>
                <w:lang w:eastAsia="en-US"/>
              </w:rPr>
              <w:t>Low Dose Aspirin use in Pregnancy</w:t>
            </w:r>
          </w:p>
        </w:tc>
      </w:tr>
      <w:tr w:rsidR="00280C5D" w14:paraId="135D861A" w14:textId="77777777" w:rsidTr="003B0E72">
        <w:tc>
          <w:tcPr>
            <w:tcW w:w="2548" w:type="dxa"/>
          </w:tcPr>
          <w:p w14:paraId="0CC8436A" w14:textId="77777777" w:rsidR="00280C5D" w:rsidRDefault="00280C5D" w:rsidP="003B0E72">
            <w:pPr>
              <w:pStyle w:val="Tablebody"/>
              <w:rPr>
                <w:lang w:eastAsia="en-US"/>
              </w:rPr>
            </w:pPr>
          </w:p>
        </w:tc>
        <w:tc>
          <w:tcPr>
            <w:tcW w:w="7653" w:type="dxa"/>
          </w:tcPr>
          <w:p w14:paraId="79CEF36D" w14:textId="77777777" w:rsidR="00280C5D" w:rsidRDefault="00280C5D" w:rsidP="003B0E72">
            <w:pPr>
              <w:pStyle w:val="Tablebody"/>
              <w:rPr>
                <w:lang w:eastAsia="en-US"/>
              </w:rPr>
            </w:pPr>
          </w:p>
        </w:tc>
      </w:tr>
    </w:tbl>
    <w:p w14:paraId="05EE3D56" w14:textId="77777777" w:rsidR="00280C5D" w:rsidRPr="001F3ED6" w:rsidRDefault="00280C5D" w:rsidP="001F3ED6">
      <w:pPr>
        <w:pStyle w:val="BodyCopy"/>
        <w:rPr>
          <w:rStyle w:val="Bold"/>
        </w:rPr>
      </w:pPr>
      <w:r w:rsidRPr="001F3ED6">
        <w:rPr>
          <w:rStyle w:val="Bold"/>
        </w:rPr>
        <w:t>Disclaimer</w:t>
      </w:r>
    </w:p>
    <w:p w14:paraId="1FB3ADF6"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B25862A" w14:textId="77777777" w:rsidR="00280C5D" w:rsidRDefault="00FC6E57" w:rsidP="00280C5D">
      <w:pPr>
        <w:pStyle w:val="Bullet"/>
        <w:numPr>
          <w:ilvl w:val="0"/>
          <w:numId w:val="0"/>
        </w:numPr>
        <w:rPr>
          <w:rStyle w:val="Hyperlink"/>
        </w:rPr>
      </w:pPr>
      <w:hyperlink w:anchor="_top" w:history="1">
        <w:r w:rsidR="00280C5D" w:rsidRPr="00481A6C">
          <w:rPr>
            <w:rStyle w:val="Hyperlink"/>
          </w:rPr>
          <w:t>Back to Contents</w:t>
        </w:r>
      </w:hyperlink>
    </w:p>
    <w:p w14:paraId="7998E441"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528A31FC" w14:textId="77777777" w:rsidTr="003B0E72">
        <w:tc>
          <w:tcPr>
            <w:tcW w:w="5529" w:type="dxa"/>
            <w:shd w:val="clear" w:color="auto" w:fill="F4F3EE"/>
            <w:tcMar>
              <w:top w:w="142" w:type="dxa"/>
              <w:left w:w="170" w:type="dxa"/>
              <w:bottom w:w="142" w:type="dxa"/>
              <w:right w:w="170" w:type="dxa"/>
            </w:tcMar>
          </w:tcPr>
          <w:bookmarkStart w:id="20" w:name="_Hlk160027189" w:displacedByCustomXml="next"/>
          <w:sdt>
            <w:sdtPr>
              <w:rPr>
                <w:color w:val="auto"/>
                <w:u w:val="single"/>
              </w:rPr>
              <w:id w:val="643171884"/>
              <w:placeholder>
                <w:docPart w:val="69AF81B0692E411CBCBE9E7021CC8E22"/>
              </w:placeholder>
            </w:sdtPr>
            <w:sdtEndPr>
              <w:rPr>
                <w:color w:val="000000" w:themeColor="text1"/>
                <w:u w:val="none"/>
              </w:rPr>
            </w:sdtEndPr>
            <w:sdtContent>
              <w:p w14:paraId="79797A23" w14:textId="77777777" w:rsidR="00280C5D" w:rsidRPr="00350211" w:rsidRDefault="00280C5D" w:rsidP="003B0E72">
                <w:pPr>
                  <w:pStyle w:val="Bottomblocktext"/>
                  <w:rPr>
                    <w:b/>
                    <w:bCs w:val="0"/>
                    <w:sz w:val="20"/>
                    <w:szCs w:val="20"/>
                  </w:rPr>
                </w:pPr>
                <w:r>
                  <w:rPr>
                    <w:noProof/>
                    <w:sz w:val="20"/>
                    <w:szCs w:val="20"/>
                  </w:rPr>
                  <w:drawing>
                    <wp:inline distT="0" distB="0" distL="0" distR="0" wp14:anchorId="7B5D79BC" wp14:editId="4C1417AF">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44F798A"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37F68178"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BFD31DF2689749E299895704A891B8AE"/>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EF3DDD402D204C70BAF5D38A8C5EF210"/>
            </w:placeholder>
            <w:showingPlcHdr/>
          </w:sdtPr>
          <w:sdtEndPr/>
          <w:sdtContent>
            <w:tc>
              <w:tcPr>
                <w:tcW w:w="4665" w:type="dxa"/>
                <w:shd w:val="clear" w:color="auto" w:fill="F4F3EE"/>
                <w:tcMar>
                  <w:top w:w="142" w:type="dxa"/>
                  <w:left w:w="170" w:type="dxa"/>
                  <w:bottom w:w="142" w:type="dxa"/>
                  <w:right w:w="170" w:type="dxa"/>
                </w:tcMar>
              </w:tcPr>
              <w:p w14:paraId="06D1A66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9DD6E1D" wp14:editId="7ED62AB2">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930D889" wp14:editId="61EFF2E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3E852D2"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4D479BB5" wp14:editId="4F2D4346">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67AAA13" wp14:editId="7ADB65FA">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72BE00A0" w14:textId="77777777" w:rsidR="00280C5D" w:rsidRDefault="00FC6E57" w:rsidP="003B0E72">
                <w:pPr>
                  <w:pStyle w:val="Bottomblocktext"/>
                  <w:rPr>
                    <w:sz w:val="20"/>
                    <w:szCs w:val="20"/>
                  </w:rPr>
                </w:pPr>
                <w:hyperlink r:id="rId25" w:history="1">
                  <w:r w:rsidR="00280C5D" w:rsidRPr="00350211">
                    <w:rPr>
                      <w:rStyle w:val="Hyperlink"/>
                      <w:sz w:val="20"/>
                      <w:szCs w:val="20"/>
                    </w:rPr>
                    <w:t>canberrahealthservices.act.gov.au/accessibility</w:t>
                  </w:r>
                </w:hyperlink>
              </w:p>
              <w:p w14:paraId="7E2AFF1F" w14:textId="77777777" w:rsidR="00280C5D" w:rsidRDefault="00280C5D" w:rsidP="003B0E72">
                <w:pPr>
                  <w:pStyle w:val="Bottomblocktext"/>
                </w:pPr>
                <w:r>
                  <w:rPr>
                    <w:b/>
                    <w:bCs w:val="0"/>
                    <w:noProof/>
                  </w:rPr>
                  <w:drawing>
                    <wp:inline distT="0" distB="0" distL="0" distR="0" wp14:anchorId="4DE4282C" wp14:editId="44E5FFAB">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20"/>
    </w:tbl>
    <w:p w14:paraId="1AAC75C7" w14:textId="77777777" w:rsidR="00201AF6" w:rsidRDefault="00201AF6" w:rsidP="000E7683">
      <w:pPr>
        <w:rPr>
          <w:lang w:eastAsia="en-US"/>
        </w:rPr>
      </w:pPr>
    </w:p>
    <w:p w14:paraId="652F15FA" w14:textId="77777777" w:rsidR="00201AF6" w:rsidRDefault="00201AF6">
      <w:pPr>
        <w:spacing w:before="0" w:after="0" w:line="240" w:lineRule="auto"/>
        <w:rPr>
          <w:lang w:eastAsia="en-US"/>
        </w:rPr>
      </w:pPr>
      <w:r>
        <w:rPr>
          <w:lang w:eastAsia="en-US"/>
        </w:rPr>
        <w:br w:type="page"/>
      </w:r>
    </w:p>
    <w:p w14:paraId="5A6B0AFC" w14:textId="74124CF0" w:rsidR="004A7A7F" w:rsidRDefault="00201AF6" w:rsidP="00201AF6">
      <w:pPr>
        <w:pStyle w:val="Heading4"/>
      </w:pPr>
      <w:bookmarkStart w:id="21" w:name="_Toc182488084"/>
      <w:r>
        <w:lastRenderedPageBreak/>
        <w:t xml:space="preserve">Attachment 1 </w:t>
      </w:r>
      <w:r w:rsidR="00CD6897">
        <w:t xml:space="preserve">Somanz </w:t>
      </w:r>
      <w:r w:rsidR="00CD6897" w:rsidRPr="001407F7">
        <w:t>Consumer Information Sheet: Use of aspirin in preventing preeclampsia</w:t>
      </w:r>
      <w:bookmarkEnd w:id="21"/>
    </w:p>
    <w:p w14:paraId="1C1CE070" w14:textId="7CEF4606" w:rsidR="00201AF6" w:rsidRDefault="00E21B84" w:rsidP="00E21B84">
      <w:pPr>
        <w:pStyle w:val="BodyCopy"/>
      </w:pPr>
      <w:r w:rsidRPr="001407F7">
        <w:rPr>
          <w:b/>
          <w:bCs w:val="0"/>
          <w:noProof/>
        </w:rPr>
        <w:drawing>
          <wp:anchor distT="0" distB="0" distL="114300" distR="114300" simplePos="0" relativeHeight="251661312" behindDoc="1" locked="0" layoutInCell="1" allowOverlap="1" wp14:anchorId="025E5150" wp14:editId="77622AB9">
            <wp:simplePos x="0" y="0"/>
            <wp:positionH relativeFrom="margin">
              <wp:posOffset>0</wp:posOffset>
            </wp:positionH>
            <wp:positionV relativeFrom="page">
              <wp:posOffset>1618615</wp:posOffset>
            </wp:positionV>
            <wp:extent cx="6356985" cy="6879590"/>
            <wp:effectExtent l="0" t="0" r="5715" b="0"/>
            <wp:wrapTight wrapText="bothSides">
              <wp:wrapPolygon edited="0">
                <wp:start x="0" y="0"/>
                <wp:lineTo x="0" y="21532"/>
                <wp:lineTo x="21555" y="21532"/>
                <wp:lineTo x="21555" y="0"/>
                <wp:lineTo x="0" y="0"/>
              </wp:wrapPolygon>
            </wp:wrapTight>
            <wp:docPr id="723480691" name="Picture 72348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6356985" cy="6879590"/>
                    </a:xfrm>
                    <a:prstGeom prst="rect">
                      <a:avLst/>
                    </a:prstGeom>
                  </pic:spPr>
                </pic:pic>
              </a:graphicData>
            </a:graphic>
            <wp14:sizeRelH relativeFrom="margin">
              <wp14:pctWidth>0</wp14:pctWidth>
            </wp14:sizeRelH>
            <wp14:sizeRelV relativeFrom="margin">
              <wp14:pctHeight>0</wp14:pctHeight>
            </wp14:sizeRelV>
          </wp:anchor>
        </w:drawing>
      </w:r>
    </w:p>
    <w:p w14:paraId="74A34258" w14:textId="77777777" w:rsidR="00E21B84" w:rsidRDefault="00E21B84" w:rsidP="00E21B84">
      <w:pPr>
        <w:pStyle w:val="BodyCopy"/>
      </w:pPr>
    </w:p>
    <w:p w14:paraId="1ADAF38B" w14:textId="77777777" w:rsidR="00A513AA" w:rsidRDefault="00FC6E57" w:rsidP="00A513AA">
      <w:pPr>
        <w:pStyle w:val="Bullet"/>
        <w:numPr>
          <w:ilvl w:val="0"/>
          <w:numId w:val="0"/>
        </w:numPr>
        <w:rPr>
          <w:rStyle w:val="Hyperlink"/>
        </w:rPr>
      </w:pPr>
      <w:hyperlink w:anchor="_top" w:history="1">
        <w:r w:rsidR="00A513AA" w:rsidRPr="00481A6C">
          <w:rPr>
            <w:rStyle w:val="Hyperlink"/>
          </w:rPr>
          <w:t>Back to Contents</w:t>
        </w:r>
      </w:hyperlink>
    </w:p>
    <w:p w14:paraId="5CBDE094" w14:textId="77777777" w:rsidR="00A513AA" w:rsidRDefault="00A513AA" w:rsidP="00201AF6">
      <w:pPr>
        <w:pStyle w:val="BodyCopy"/>
      </w:pPr>
    </w:p>
    <w:sectPr w:rsidR="00A513AA" w:rsidSect="0007270D">
      <w:footerReference w:type="default" r:id="rId28"/>
      <w:headerReference w:type="first" r:id="rId29"/>
      <w:footerReference w:type="first" r:id="rId30"/>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26A5" w14:textId="77777777" w:rsidR="00B75DCF" w:rsidRDefault="00B75DCF" w:rsidP="00225769">
      <w:pPr>
        <w:spacing w:after="0" w:line="240" w:lineRule="auto"/>
      </w:pPr>
      <w:r>
        <w:separator/>
      </w:r>
    </w:p>
    <w:p w14:paraId="5F415C02" w14:textId="77777777" w:rsidR="00B75DCF" w:rsidRDefault="00B75DCF"/>
    <w:p w14:paraId="6973B149" w14:textId="77777777" w:rsidR="00B75DCF" w:rsidRDefault="00B75DCF"/>
    <w:p w14:paraId="16652154" w14:textId="77777777" w:rsidR="00B75DCF" w:rsidRDefault="00B75DCF"/>
    <w:p w14:paraId="40BC44E5" w14:textId="77777777" w:rsidR="00B75DCF" w:rsidRDefault="00B75DCF"/>
    <w:p w14:paraId="11ABD392" w14:textId="77777777" w:rsidR="00B75DCF" w:rsidRDefault="00B75DCF"/>
    <w:p w14:paraId="07E03B5E" w14:textId="77777777" w:rsidR="00B75DCF" w:rsidRDefault="00B75DCF"/>
  </w:endnote>
  <w:endnote w:type="continuationSeparator" w:id="0">
    <w:p w14:paraId="2FC2E7BC" w14:textId="77777777" w:rsidR="00B75DCF" w:rsidRDefault="00B75DCF" w:rsidP="00225769">
      <w:pPr>
        <w:spacing w:after="0" w:line="240" w:lineRule="auto"/>
      </w:pPr>
      <w:r>
        <w:continuationSeparator/>
      </w:r>
    </w:p>
    <w:p w14:paraId="6340E4C5" w14:textId="77777777" w:rsidR="00B75DCF" w:rsidRDefault="00B75DCF"/>
    <w:p w14:paraId="4B9552BA" w14:textId="77777777" w:rsidR="00B75DCF" w:rsidRDefault="00B75DCF"/>
    <w:p w14:paraId="3A937865" w14:textId="77777777" w:rsidR="00B75DCF" w:rsidRDefault="00B75DCF"/>
    <w:p w14:paraId="467E97D4" w14:textId="77777777" w:rsidR="00B75DCF" w:rsidRDefault="00B75DCF"/>
    <w:p w14:paraId="01937164" w14:textId="77777777" w:rsidR="00B75DCF" w:rsidRDefault="00B75DCF"/>
    <w:p w14:paraId="1071C6D9" w14:textId="77777777" w:rsidR="00B75DCF" w:rsidRDefault="00B75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58B169E3" w14:textId="77777777" w:rsidTr="003B0E72">
      <w:trPr>
        <w:jc w:val="center"/>
      </w:trPr>
      <w:tc>
        <w:tcPr>
          <w:tcW w:w="1515" w:type="dxa"/>
        </w:tcPr>
        <w:p w14:paraId="15A39802"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00B4205"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0AF083A0"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47F64161"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4D36FF2D"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51E8527D"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4DDA12A0" w14:textId="77777777" w:rsidTr="003B0E72">
      <w:trPr>
        <w:jc w:val="center"/>
      </w:trPr>
      <w:tc>
        <w:tcPr>
          <w:tcW w:w="1515" w:type="dxa"/>
        </w:tcPr>
        <w:p w14:paraId="2938198F" w14:textId="7DC80786" w:rsidR="00481A6C" w:rsidRPr="00954F7B" w:rsidRDefault="00E21B84" w:rsidP="00481A6C">
          <w:pPr>
            <w:pStyle w:val="Footer"/>
            <w:jc w:val="center"/>
            <w:rPr>
              <w:bCs/>
              <w:iCs/>
              <w:sz w:val="20"/>
              <w:szCs w:val="20"/>
            </w:rPr>
          </w:pPr>
          <w:r>
            <w:rPr>
              <w:bCs/>
              <w:iCs/>
              <w:sz w:val="20"/>
              <w:szCs w:val="20"/>
            </w:rPr>
            <w:t>CHS24</w:t>
          </w:r>
          <w:r w:rsidR="00481A6C" w:rsidRPr="00954F7B">
            <w:rPr>
              <w:bCs/>
              <w:iCs/>
              <w:sz w:val="20"/>
              <w:szCs w:val="20"/>
            </w:rPr>
            <w:t>/</w:t>
          </w:r>
          <w:r w:rsidR="00FC6E57">
            <w:rPr>
              <w:bCs/>
              <w:iCs/>
              <w:sz w:val="20"/>
              <w:szCs w:val="20"/>
            </w:rPr>
            <w:t>549</w:t>
          </w:r>
        </w:p>
      </w:tc>
      <w:tc>
        <w:tcPr>
          <w:tcW w:w="965" w:type="dxa"/>
        </w:tcPr>
        <w:p w14:paraId="68395299" w14:textId="67F0B0CA" w:rsidR="00481A6C" w:rsidRPr="00954F7B" w:rsidRDefault="00E21B84" w:rsidP="00481A6C">
          <w:pPr>
            <w:pStyle w:val="Footer"/>
            <w:jc w:val="center"/>
            <w:rPr>
              <w:bCs/>
              <w:iCs/>
              <w:sz w:val="20"/>
              <w:szCs w:val="20"/>
            </w:rPr>
          </w:pPr>
          <w:r>
            <w:rPr>
              <w:bCs/>
              <w:iCs/>
              <w:sz w:val="20"/>
              <w:szCs w:val="20"/>
            </w:rPr>
            <w:t>1</w:t>
          </w:r>
        </w:p>
      </w:tc>
      <w:tc>
        <w:tcPr>
          <w:tcW w:w="1552" w:type="dxa"/>
        </w:tcPr>
        <w:p w14:paraId="7A2294A4" w14:textId="091E34A6" w:rsidR="00481A6C" w:rsidRPr="00954F7B" w:rsidRDefault="00E21B84" w:rsidP="00481A6C">
          <w:pPr>
            <w:pStyle w:val="Footer"/>
            <w:jc w:val="center"/>
            <w:rPr>
              <w:bCs/>
              <w:iCs/>
              <w:sz w:val="20"/>
              <w:szCs w:val="20"/>
            </w:rPr>
          </w:pPr>
          <w:r>
            <w:rPr>
              <w:bCs/>
              <w:iCs/>
              <w:sz w:val="20"/>
              <w:szCs w:val="20"/>
            </w:rPr>
            <w:t>1</w:t>
          </w:r>
          <w:r w:rsidR="00FC6E57">
            <w:rPr>
              <w:bCs/>
              <w:iCs/>
              <w:sz w:val="20"/>
              <w:szCs w:val="20"/>
            </w:rPr>
            <w:t>5</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2024</w:t>
          </w:r>
        </w:p>
      </w:tc>
      <w:tc>
        <w:tcPr>
          <w:tcW w:w="1456" w:type="dxa"/>
        </w:tcPr>
        <w:p w14:paraId="1BAD4859" w14:textId="38433E01" w:rsidR="00481A6C" w:rsidRPr="00954F7B" w:rsidRDefault="00FC6E57"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2028</w:t>
          </w:r>
        </w:p>
      </w:tc>
      <w:tc>
        <w:tcPr>
          <w:tcW w:w="1746" w:type="dxa"/>
        </w:tcPr>
        <w:p w14:paraId="61BD400B" w14:textId="674F914F" w:rsidR="00481A6C" w:rsidRPr="00954F7B" w:rsidRDefault="00E21B84" w:rsidP="00481A6C">
          <w:pPr>
            <w:pStyle w:val="Footer"/>
            <w:jc w:val="center"/>
            <w:rPr>
              <w:bCs/>
              <w:iCs/>
              <w:sz w:val="20"/>
              <w:szCs w:val="20"/>
            </w:rPr>
          </w:pPr>
          <w:r>
            <w:rPr>
              <w:bCs/>
              <w:iCs/>
              <w:sz w:val="20"/>
              <w:szCs w:val="20"/>
            </w:rPr>
            <w:t>WY&amp;C</w:t>
          </w:r>
        </w:p>
      </w:tc>
      <w:tc>
        <w:tcPr>
          <w:tcW w:w="1836" w:type="dxa"/>
        </w:tcPr>
        <w:p w14:paraId="344ECB4D"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4209732B"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0678BF3F" w14:textId="77777777" w:rsidTr="008E1ED9">
      <w:trPr>
        <w:jc w:val="center"/>
      </w:trPr>
      <w:tc>
        <w:tcPr>
          <w:tcW w:w="1515" w:type="dxa"/>
        </w:tcPr>
        <w:p w14:paraId="04F67BDB"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7EFA2D10"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E9FBAF8"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0D4952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66C04CA"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5900959E"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08597D02" w14:textId="77777777" w:rsidTr="008E1ED9">
      <w:trPr>
        <w:jc w:val="center"/>
      </w:trPr>
      <w:tc>
        <w:tcPr>
          <w:tcW w:w="1515" w:type="dxa"/>
        </w:tcPr>
        <w:p w14:paraId="614D7621" w14:textId="5CE8865A" w:rsidR="008A3DD8" w:rsidRPr="00954F7B" w:rsidRDefault="00E21B84" w:rsidP="008A3DD8">
          <w:pPr>
            <w:pStyle w:val="Footer"/>
            <w:jc w:val="center"/>
            <w:rPr>
              <w:bCs/>
              <w:iCs/>
              <w:sz w:val="20"/>
              <w:szCs w:val="20"/>
            </w:rPr>
          </w:pPr>
          <w:r>
            <w:rPr>
              <w:bCs/>
              <w:iCs/>
              <w:sz w:val="20"/>
              <w:szCs w:val="20"/>
            </w:rPr>
            <w:t>CHS24</w:t>
          </w:r>
          <w:r w:rsidR="008A3DD8" w:rsidRPr="00954F7B">
            <w:rPr>
              <w:bCs/>
              <w:iCs/>
              <w:sz w:val="20"/>
              <w:szCs w:val="20"/>
            </w:rPr>
            <w:t>/</w:t>
          </w:r>
          <w:r w:rsidR="00FC6E57">
            <w:rPr>
              <w:bCs/>
              <w:iCs/>
              <w:sz w:val="20"/>
              <w:szCs w:val="20"/>
            </w:rPr>
            <w:t>549</w:t>
          </w:r>
        </w:p>
      </w:tc>
      <w:tc>
        <w:tcPr>
          <w:tcW w:w="965" w:type="dxa"/>
        </w:tcPr>
        <w:p w14:paraId="73B9AA33" w14:textId="6D188C76" w:rsidR="008A3DD8" w:rsidRPr="00954F7B" w:rsidRDefault="00E21B84" w:rsidP="008A3DD8">
          <w:pPr>
            <w:pStyle w:val="Footer"/>
            <w:jc w:val="center"/>
            <w:rPr>
              <w:bCs/>
              <w:iCs/>
              <w:sz w:val="20"/>
              <w:szCs w:val="20"/>
            </w:rPr>
          </w:pPr>
          <w:r>
            <w:rPr>
              <w:bCs/>
              <w:iCs/>
              <w:sz w:val="20"/>
              <w:szCs w:val="20"/>
            </w:rPr>
            <w:t>1</w:t>
          </w:r>
        </w:p>
      </w:tc>
      <w:tc>
        <w:tcPr>
          <w:tcW w:w="1552" w:type="dxa"/>
        </w:tcPr>
        <w:p w14:paraId="34C35B0B" w14:textId="73C5E822" w:rsidR="008A3DD8" w:rsidRPr="00954F7B" w:rsidRDefault="00E21B84" w:rsidP="008A3DD8">
          <w:pPr>
            <w:pStyle w:val="Footer"/>
            <w:jc w:val="center"/>
            <w:rPr>
              <w:bCs/>
              <w:iCs/>
              <w:sz w:val="20"/>
              <w:szCs w:val="20"/>
            </w:rPr>
          </w:pPr>
          <w:r>
            <w:rPr>
              <w:bCs/>
              <w:iCs/>
              <w:sz w:val="20"/>
              <w:szCs w:val="20"/>
            </w:rPr>
            <w:t>1</w:t>
          </w:r>
          <w:r w:rsidR="00FC6E57">
            <w:rPr>
              <w:bCs/>
              <w:iCs/>
              <w:sz w:val="20"/>
              <w:szCs w:val="20"/>
            </w:rPr>
            <w:t>5</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2024</w:t>
          </w:r>
        </w:p>
      </w:tc>
      <w:tc>
        <w:tcPr>
          <w:tcW w:w="1456" w:type="dxa"/>
        </w:tcPr>
        <w:p w14:paraId="458879DB" w14:textId="01ABDE70" w:rsidR="008A3DD8" w:rsidRPr="00954F7B" w:rsidRDefault="00FC6E57"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2028</w:t>
          </w:r>
        </w:p>
      </w:tc>
      <w:tc>
        <w:tcPr>
          <w:tcW w:w="1746" w:type="dxa"/>
        </w:tcPr>
        <w:p w14:paraId="1FB79DA1" w14:textId="2F650308" w:rsidR="008A3DD8" w:rsidRPr="00954F7B" w:rsidRDefault="00E21B84" w:rsidP="008A3DD8">
          <w:pPr>
            <w:pStyle w:val="Footer"/>
            <w:jc w:val="center"/>
            <w:rPr>
              <w:bCs/>
              <w:iCs/>
              <w:sz w:val="20"/>
              <w:szCs w:val="20"/>
            </w:rPr>
          </w:pPr>
          <w:r>
            <w:rPr>
              <w:bCs/>
              <w:iCs/>
              <w:sz w:val="20"/>
              <w:szCs w:val="20"/>
            </w:rPr>
            <w:t>WY&amp;C</w:t>
          </w:r>
        </w:p>
      </w:tc>
      <w:tc>
        <w:tcPr>
          <w:tcW w:w="1836" w:type="dxa"/>
        </w:tcPr>
        <w:p w14:paraId="6226DF83"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C1D7616"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78B2" w14:textId="77777777" w:rsidR="00B75DCF" w:rsidRDefault="00B75DCF" w:rsidP="009D493B">
      <w:pPr>
        <w:spacing w:after="0" w:line="240" w:lineRule="auto"/>
      </w:pPr>
      <w:r>
        <w:separator/>
      </w:r>
    </w:p>
  </w:footnote>
  <w:footnote w:type="continuationSeparator" w:id="0">
    <w:p w14:paraId="44169A72" w14:textId="77777777" w:rsidR="00B75DCF" w:rsidRDefault="00B75DCF" w:rsidP="00A9080B">
      <w:pPr>
        <w:spacing w:after="0" w:line="240" w:lineRule="auto"/>
      </w:pPr>
      <w:r>
        <w:continuationSeparator/>
      </w:r>
    </w:p>
    <w:p w14:paraId="322FE5FA" w14:textId="77777777" w:rsidR="00B75DCF" w:rsidRDefault="00B75DCF"/>
    <w:p w14:paraId="72966423" w14:textId="77777777" w:rsidR="00B75DCF" w:rsidRDefault="00B75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BDDD" w14:textId="77777777" w:rsidR="008A3DD8" w:rsidRDefault="008A3DD8">
    <w:pPr>
      <w:pStyle w:val="Header"/>
    </w:pPr>
    <w:r w:rsidRPr="00324CF9">
      <w:rPr>
        <w:noProof/>
      </w:rPr>
      <w:drawing>
        <wp:inline distT="0" distB="0" distL="0" distR="0" wp14:anchorId="4A188C3C" wp14:editId="2AC8A567">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B76E4A"/>
    <w:multiLevelType w:val="hybridMultilevel"/>
    <w:tmpl w:val="CA0CB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6" w15:restartNumberingAfterBreak="0">
    <w:nsid w:val="1BA24D57"/>
    <w:multiLevelType w:val="hybridMultilevel"/>
    <w:tmpl w:val="8B3CE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DF7A31"/>
    <w:multiLevelType w:val="hybridMultilevel"/>
    <w:tmpl w:val="EB70E60C"/>
    <w:lvl w:ilvl="0" w:tplc="0CE4EB4A">
      <w:start w:val="1"/>
      <w:numFmt w:val="decimal"/>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6" w15:restartNumberingAfterBreak="0">
    <w:nsid w:val="55061B65"/>
    <w:multiLevelType w:val="hybridMultilevel"/>
    <w:tmpl w:val="38DA94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8E2FA2"/>
    <w:multiLevelType w:val="multilevel"/>
    <w:tmpl w:val="B57CFB34"/>
    <w:lvl w:ilvl="0">
      <w:start w:val="1"/>
      <w:numFmt w:val="decimal"/>
      <w:pStyle w:val="Numberedlist"/>
      <w:lvlText w:val="%1."/>
      <w:lvlJc w:val="left"/>
      <w:pPr>
        <w:ind w:left="425" w:hanging="425"/>
      </w:pPr>
      <w:rPr>
        <w:rFonts w:hint="default"/>
        <w:b w:val="0"/>
        <w:bCs w:val="0"/>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8" w15:restartNumberingAfterBreak="0">
    <w:nsid w:val="68C10A2B"/>
    <w:multiLevelType w:val="hybridMultilevel"/>
    <w:tmpl w:val="41BC58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8E018B5"/>
    <w:multiLevelType w:val="hybridMultilevel"/>
    <w:tmpl w:val="63A4F6E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CE6FB6"/>
    <w:multiLevelType w:val="hybridMultilevel"/>
    <w:tmpl w:val="C0E836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7"/>
  </w:num>
  <w:num w:numId="2" w16cid:durableId="842209657">
    <w:abstractNumId w:val="5"/>
  </w:num>
  <w:num w:numId="3" w16cid:durableId="660542573">
    <w:abstractNumId w:val="17"/>
  </w:num>
  <w:num w:numId="4" w16cid:durableId="1971085616">
    <w:abstractNumId w:val="10"/>
  </w:num>
  <w:num w:numId="5" w16cid:durableId="252517802">
    <w:abstractNumId w:val="11"/>
  </w:num>
  <w:num w:numId="6" w16cid:durableId="420297118">
    <w:abstractNumId w:val="15"/>
  </w:num>
  <w:num w:numId="7" w16cid:durableId="353388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0"/>
    <w:lvlOverride w:ilvl="0">
      <w:startOverride w:val="1"/>
    </w:lvlOverride>
  </w:num>
  <w:num w:numId="9" w16cid:durableId="1747920389">
    <w:abstractNumId w:val="11"/>
    <w:lvlOverride w:ilvl="0">
      <w:startOverride w:val="1"/>
    </w:lvlOverride>
  </w:num>
  <w:num w:numId="10" w16cid:durableId="1001813381">
    <w:abstractNumId w:val="10"/>
    <w:lvlOverride w:ilvl="0">
      <w:startOverride w:val="1"/>
    </w:lvlOverride>
  </w:num>
  <w:num w:numId="11" w16cid:durableId="1103450744">
    <w:abstractNumId w:val="11"/>
    <w:lvlOverride w:ilvl="0">
      <w:startOverride w:val="1"/>
    </w:lvlOverride>
  </w:num>
  <w:num w:numId="12" w16cid:durableId="1549294228">
    <w:abstractNumId w:val="10"/>
    <w:lvlOverride w:ilvl="0">
      <w:startOverride w:val="1"/>
    </w:lvlOverride>
  </w:num>
  <w:num w:numId="13" w16cid:durableId="875854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1"/>
    <w:lvlOverride w:ilvl="0">
      <w:startOverride w:val="1"/>
    </w:lvlOverride>
  </w:num>
  <w:num w:numId="15" w16cid:durableId="1246453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7"/>
  </w:num>
  <w:num w:numId="17" w16cid:durableId="43412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8"/>
  </w:num>
  <w:num w:numId="19" w16cid:durableId="836698820">
    <w:abstractNumId w:val="13"/>
  </w:num>
  <w:num w:numId="20" w16cid:durableId="402803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4"/>
  </w:num>
  <w:num w:numId="22" w16cid:durableId="200242115">
    <w:abstractNumId w:val="2"/>
  </w:num>
  <w:num w:numId="23" w16cid:durableId="585068731">
    <w:abstractNumId w:val="4"/>
  </w:num>
  <w:num w:numId="24" w16cid:durableId="1431437445">
    <w:abstractNumId w:val="3"/>
  </w:num>
  <w:num w:numId="25" w16cid:durableId="507214046">
    <w:abstractNumId w:val="9"/>
  </w:num>
  <w:num w:numId="26" w16cid:durableId="753861848">
    <w:abstractNumId w:val="7"/>
  </w:num>
  <w:num w:numId="27" w16cid:durableId="160314924">
    <w:abstractNumId w:val="20"/>
  </w:num>
  <w:num w:numId="28" w16cid:durableId="1329594748">
    <w:abstractNumId w:val="0"/>
  </w:num>
  <w:num w:numId="29" w16cid:durableId="966660710">
    <w:abstractNumId w:val="1"/>
  </w:num>
  <w:num w:numId="30" w16cid:durableId="728114738">
    <w:abstractNumId w:val="6"/>
  </w:num>
  <w:num w:numId="31" w16cid:durableId="173424934">
    <w:abstractNumId w:val="12"/>
  </w:num>
  <w:num w:numId="32" w16cid:durableId="272633394">
    <w:abstractNumId w:val="16"/>
  </w:num>
  <w:num w:numId="33" w16cid:durableId="1673602661">
    <w:abstractNumId w:val="18"/>
  </w:num>
  <w:num w:numId="34" w16cid:durableId="204702414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E4"/>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2EE4"/>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430C"/>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6EF"/>
    <w:rsid w:val="00144A90"/>
    <w:rsid w:val="00154D8C"/>
    <w:rsid w:val="001575C5"/>
    <w:rsid w:val="001600FA"/>
    <w:rsid w:val="001616DD"/>
    <w:rsid w:val="00161AE4"/>
    <w:rsid w:val="00161FDC"/>
    <w:rsid w:val="00164201"/>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2AF4"/>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27110"/>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37AB2"/>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23F0"/>
    <w:rsid w:val="0078367D"/>
    <w:rsid w:val="00784D38"/>
    <w:rsid w:val="00785234"/>
    <w:rsid w:val="0079295C"/>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30BE"/>
    <w:rsid w:val="008540FA"/>
    <w:rsid w:val="008579EC"/>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97834"/>
    <w:rsid w:val="009A1396"/>
    <w:rsid w:val="009A2981"/>
    <w:rsid w:val="009A336D"/>
    <w:rsid w:val="009A5010"/>
    <w:rsid w:val="009A63B5"/>
    <w:rsid w:val="009A7037"/>
    <w:rsid w:val="009C11CF"/>
    <w:rsid w:val="009C13FA"/>
    <w:rsid w:val="009C2AED"/>
    <w:rsid w:val="009C3490"/>
    <w:rsid w:val="009C3BB0"/>
    <w:rsid w:val="009C575D"/>
    <w:rsid w:val="009C72D3"/>
    <w:rsid w:val="009D0722"/>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75DCF"/>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0A0"/>
    <w:rsid w:val="00BC5518"/>
    <w:rsid w:val="00BD054F"/>
    <w:rsid w:val="00BD078D"/>
    <w:rsid w:val="00BD429D"/>
    <w:rsid w:val="00BD44A9"/>
    <w:rsid w:val="00BD6D69"/>
    <w:rsid w:val="00BE1539"/>
    <w:rsid w:val="00BE2405"/>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4D59"/>
    <w:rsid w:val="00CB7E08"/>
    <w:rsid w:val="00CC4F4F"/>
    <w:rsid w:val="00CC5AD8"/>
    <w:rsid w:val="00CD434F"/>
    <w:rsid w:val="00CD6897"/>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16BE"/>
    <w:rsid w:val="00DD4464"/>
    <w:rsid w:val="00DD6074"/>
    <w:rsid w:val="00DD693A"/>
    <w:rsid w:val="00DE125D"/>
    <w:rsid w:val="00DE5620"/>
    <w:rsid w:val="00DE5C6B"/>
    <w:rsid w:val="00DE6056"/>
    <w:rsid w:val="00DE6090"/>
    <w:rsid w:val="00DF1CBC"/>
    <w:rsid w:val="00DF3EFE"/>
    <w:rsid w:val="00E02685"/>
    <w:rsid w:val="00E0642F"/>
    <w:rsid w:val="00E104DF"/>
    <w:rsid w:val="00E13350"/>
    <w:rsid w:val="00E17DC5"/>
    <w:rsid w:val="00E21634"/>
    <w:rsid w:val="00E21B8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114A"/>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285A"/>
    <w:rsid w:val="00EE3372"/>
    <w:rsid w:val="00EE5549"/>
    <w:rsid w:val="00EE5A45"/>
    <w:rsid w:val="00EE6F7A"/>
    <w:rsid w:val="00EF1F94"/>
    <w:rsid w:val="00EF273A"/>
    <w:rsid w:val="00EF46D9"/>
    <w:rsid w:val="00EF6148"/>
    <w:rsid w:val="00EF7E3E"/>
    <w:rsid w:val="00F03A6B"/>
    <w:rsid w:val="00F04A4F"/>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0B1B"/>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C6E57"/>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776357A0"/>
  <w15:docId w15:val="{F686D0E0-A420-447E-9774-202D5ED6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99"/>
    <w:qFormat/>
    <w:locked/>
    <w:rsid w:val="00F04A4F"/>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qFormat/>
    <w:rsid w:val="00F04A4F"/>
    <w:pPr>
      <w:numPr>
        <w:numId w:val="28"/>
      </w:numPr>
      <w:spacing w:before="0" w:after="0" w:line="240" w:lineRule="auto"/>
    </w:pPr>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omanz.org/content/uploads/2024/01/Information-sheet-3A.1-Use-of-aspirin-in-pregnancy.pdf" TargetMode="External"/><Relationship Id="rId18" Type="http://schemas.openxmlformats.org/officeDocument/2006/relationships/hyperlink" Target="https://www.acog.org/clinical/clinical-guidance/committee-opinion/articles/2018/07/low-dose-aspirin-use-during-pregnancy"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uptodate.com/contents/aspirin-drug-information?topicRef=6817&amp;source=see_link" TargetMode="External"/><Relationship Id="rId17" Type="http://schemas.openxmlformats.org/officeDocument/2006/relationships/hyperlink" Target="https://www.nice.org.uk/guidance/qs35/chapter/Quality-statement-2-Antenatal-assessment-of-pre-eclampsia-risk" TargetMode="External"/><Relationship Id="rId25" Type="http://schemas.openxmlformats.org/officeDocument/2006/relationships/hyperlink" Target="https://www.canberrahealthservices.act.gov.au/accessibil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manz.org/content/uploads/2024/01/SOMANZ_Hypertension_in_Pregnancy_Guideline_2023.pdf" TargetMode="External"/><Relationship Id="rId20" Type="http://schemas.openxmlformats.org/officeDocument/2006/relationships/hyperlink" Target="https://pubmed.ncbi.nlm.nih.gov/339980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manz.org/hypertension-in-pregnancy-guideline-2023/" TargetMode="External"/><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ubmed.ncbi.nlm.nih.gov/37146704/"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bgyn.onlinelibrary.wiley.com/doi/epdf/10.1111/1471-0528.1668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mothers-babies/australias-mothers-babies"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in%20Mathew\Downloads\CHS%20Guideline%20Template%20(7).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F81B0692E411CBCBE9E7021CC8E22"/>
        <w:category>
          <w:name w:val="General"/>
          <w:gallery w:val="placeholder"/>
        </w:category>
        <w:types>
          <w:type w:val="bbPlcHdr"/>
        </w:types>
        <w:behaviors>
          <w:behavior w:val="content"/>
        </w:behaviors>
        <w:guid w:val="{7211C83D-75AE-4B44-8818-7F8DF929190E}"/>
      </w:docPartPr>
      <w:docPartBody>
        <w:p w:rsidR="00F260CE" w:rsidRDefault="00F260CE">
          <w:pPr>
            <w:pStyle w:val="69AF81B0692E411CBCBE9E7021CC8E22"/>
          </w:pPr>
          <w:r>
            <w:rPr>
              <w:noProof/>
              <w:sz w:val="20"/>
              <w:szCs w:val="20"/>
            </w:rPr>
            <w:drawing>
              <wp:inline distT="0" distB="0" distL="0" distR="0" wp14:anchorId="31234937" wp14:editId="31BC98D9">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FD31DF2689749E299895704A891B8AE"/>
        <w:category>
          <w:name w:val="General"/>
          <w:gallery w:val="placeholder"/>
        </w:category>
        <w:types>
          <w:type w:val="bbPlcHdr"/>
        </w:types>
        <w:behaviors>
          <w:behavior w:val="content"/>
        </w:behaviors>
        <w:guid w:val="{DA690147-DBFB-42DE-AF13-1497D8BF0B89}"/>
      </w:docPartPr>
      <w:docPartBody>
        <w:p w:rsidR="00F260CE" w:rsidRDefault="00F260CE">
          <w:pPr>
            <w:pStyle w:val="BFD31DF2689749E299895704A891B8AE"/>
          </w:pPr>
          <w:r w:rsidRPr="00EE29F8">
            <w:rPr>
              <w:rStyle w:val="PlaceholderText"/>
            </w:rPr>
            <w:t>Choose an item.</w:t>
          </w:r>
        </w:p>
      </w:docPartBody>
    </w:docPart>
    <w:docPart>
      <w:docPartPr>
        <w:name w:val="EF3DDD402D204C70BAF5D38A8C5EF210"/>
        <w:category>
          <w:name w:val="General"/>
          <w:gallery w:val="placeholder"/>
        </w:category>
        <w:types>
          <w:type w:val="bbPlcHdr"/>
        </w:types>
        <w:behaviors>
          <w:behavior w:val="content"/>
        </w:behaviors>
        <w:guid w:val="{F587AF2C-EE76-43A8-9516-7034927CCCD4}"/>
      </w:docPartPr>
      <w:docPartBody>
        <w:p w:rsidR="00F260CE" w:rsidRPr="00F26C97" w:rsidRDefault="00F260CE" w:rsidP="003B0E72">
          <w:pPr>
            <w:pStyle w:val="Bottomblocktext"/>
            <w:rPr>
              <w:b/>
              <w:bCs w:val="0"/>
              <w:sz w:val="20"/>
              <w:szCs w:val="20"/>
            </w:rPr>
          </w:pPr>
          <w:r>
            <w:rPr>
              <w:b/>
              <w:bCs w:val="0"/>
              <w:noProof/>
              <w:sz w:val="20"/>
              <w:szCs w:val="20"/>
            </w:rPr>
            <w:drawing>
              <wp:inline distT="0" distB="0" distL="0" distR="0" wp14:anchorId="0739EA62" wp14:editId="53E174E3">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B4E06A7" wp14:editId="4B61F482">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260CE" w:rsidRPr="00F26C97" w:rsidRDefault="00F260CE" w:rsidP="003B0E72">
          <w:pPr>
            <w:pStyle w:val="Bottomblocktext"/>
            <w:rPr>
              <w:b/>
              <w:bCs w:val="0"/>
              <w:sz w:val="20"/>
              <w:szCs w:val="20"/>
            </w:rPr>
          </w:pPr>
          <w:r>
            <w:rPr>
              <w:b/>
              <w:bCs w:val="0"/>
              <w:noProof/>
              <w:sz w:val="20"/>
              <w:szCs w:val="20"/>
            </w:rPr>
            <w:drawing>
              <wp:inline distT="0" distB="0" distL="0" distR="0" wp14:anchorId="07EDEFC7" wp14:editId="4E1462E2">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F225DC7" wp14:editId="647487CA">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260CE" w:rsidRDefault="002B60EC" w:rsidP="003B0E72">
          <w:pPr>
            <w:pStyle w:val="Bottomblocktext"/>
            <w:rPr>
              <w:sz w:val="20"/>
              <w:szCs w:val="20"/>
            </w:rPr>
          </w:pPr>
          <w:hyperlink r:id="rId8" w:history="1">
            <w:r w:rsidR="00F260CE" w:rsidRPr="00350211">
              <w:rPr>
                <w:rStyle w:val="Hyperlink"/>
                <w:sz w:val="20"/>
                <w:szCs w:val="20"/>
              </w:rPr>
              <w:t>canberrahealthservices.act.gov.au/accessibility</w:t>
            </w:r>
          </w:hyperlink>
        </w:p>
        <w:p w:rsidR="00F260CE" w:rsidRDefault="00F260CE">
          <w:pPr>
            <w:pStyle w:val="EF3DDD402D204C70BAF5D38A8C5EF210"/>
          </w:pPr>
          <w:r>
            <w:rPr>
              <w:b/>
              <w:bCs/>
              <w:noProof/>
            </w:rPr>
            <w:drawing>
              <wp:inline distT="0" distB="0" distL="0" distR="0" wp14:anchorId="658A2AD2" wp14:editId="00999D59">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5C"/>
    <w:rsid w:val="0012055C"/>
    <w:rsid w:val="009D0722"/>
    <w:rsid w:val="00BE2405"/>
    <w:rsid w:val="00E8114A"/>
    <w:rsid w:val="00F26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F81B0692E411CBCBE9E7021CC8E22">
    <w:name w:val="69AF81B0692E411CBCBE9E7021CC8E22"/>
  </w:style>
  <w:style w:type="character" w:styleId="PlaceholderText">
    <w:name w:val="Placeholder Text"/>
    <w:basedOn w:val="DefaultParagraphFont"/>
    <w:uiPriority w:val="99"/>
    <w:semiHidden/>
    <w:rPr>
      <w:color w:val="808080"/>
    </w:rPr>
  </w:style>
  <w:style w:type="paragraph" w:customStyle="1" w:styleId="BFD31DF2689749E299895704A891B8AE">
    <w:name w:val="BFD31DF2689749E299895704A891B8AE"/>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EF3DDD402D204C70BAF5D38A8C5EF210">
    <w:name w:val="EF3DDD402D204C70BAF5D38A8C5EF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2024-10-22T13:00:00+00:00</Approval_x0020_Date>
    <Review_x0020_Date xmlns="690b2128-8961-48af-a473-22c34a9accba">2028-10-31T13:00:00+00:00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Preeclampsia, Pre-term preeclampsia, Hypertensive disorders of pregnancy, Aspirin, Aspirin in pregnancy</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CHS21/196 Low Dose Aspirin use in Pregnancy</Replaces_x003a_>
    <ISD_x0020_Submitted xmlns="690b2128-8961-48af-a473-22c34a9accba">Not Required</ISD_x0020_Submitted>
    <Risk_x0020_Rating xmlns="690b2128-8961-48af-a473-22c34a9accba">Medium</Risk_x0020_Rating>
    <Description0 xmlns="690b2128-8961-48af-a473-22c34a9accba">This document provides recommendations regarding the use of Aspirin as prophylaxis for preterm preeclampsia prevention.</Description0>
    <Display_x0020_on_x0020_Internet xmlns="690b2128-8961-48af-a473-22c34a9accba">true</Display_x0020_on_x0020_Internet>
    <Related_x0020_Documents xmlns="690b2128-8961-48af-a473-22c34a9accba" xsi:nil="true"/>
    <Decision_x0020_Number xmlns="690b2128-8961-48af-a473-22c34a9accba">CHS24/549</Decision_x0020_Number>
    <RelatedPolicies_x002c_ProceduresGuidelines xmlns="690b2128-8961-48af-a473-22c34a9accba">
      <Value>15087</Value>
      <Value>17468</Value>
      <Value>16587</Value>
      <Value>16707</Value>
      <Value>16612</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Women, Youth and Children (WY&amp;C) - Women's and Babies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1A12B-D413-4B65-A503-EC31E03A72EC}"/>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CHS Guideline Template (7)</Template>
  <TotalTime>18</TotalTime>
  <Pages>9</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15512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Dose Aspirin in Pregnancy</dc:title>
  <dc:creator>Mathew, Jerrin</dc:creator>
  <cp:lastModifiedBy>Mathew, Jerrin</cp:lastModifiedBy>
  <cp:revision>3</cp:revision>
  <cp:lastPrinted>2017-05-22T07:29:00Z</cp:lastPrinted>
  <dcterms:created xsi:type="dcterms:W3CDTF">2024-11-14T05:08:00Z</dcterms:created>
  <dcterms:modified xsi:type="dcterms:W3CDTF">2024-11-15T02:17:00Z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