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8C6C"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3D67DE2E" w14:textId="327C680F" w:rsidR="00197F2E" w:rsidRDefault="002F42B6" w:rsidP="00197F2E">
      <w:pPr>
        <w:pStyle w:val="Heading2"/>
      </w:pPr>
      <w:r>
        <w:t>Coagulation Factor Replacement Products – Continuous Infusion – Bolus Dosing – Adults, Paediatrics, including Adolescents and Infants (not Neonates)</w:t>
      </w:r>
    </w:p>
    <w:p w14:paraId="54C36779" w14:textId="54A76209" w:rsidR="00CA4FDE" w:rsidRPr="00C34A10" w:rsidRDefault="00E31596" w:rsidP="00C34A10">
      <w:pPr>
        <w:pStyle w:val="BodyCopy"/>
        <w:spacing w:before="0" w:line="240" w:lineRule="auto"/>
        <w:rPr>
          <w:color w:val="575757" w:themeColor="text2"/>
        </w:rPr>
      </w:pPr>
      <w:r w:rsidRPr="00197F2E">
        <w:t>CHS</w:t>
      </w:r>
      <w:r w:rsidR="00E12361">
        <w:t>26/015</w:t>
      </w:r>
      <w:bookmarkStart w:id="0" w:name="_Hlk157074578"/>
    </w:p>
    <w:sdt>
      <w:sdtPr>
        <w:rPr>
          <w:sz w:val="32"/>
          <w:szCs w:val="32"/>
        </w:rPr>
        <w:id w:val="-1206019646"/>
        <w:docPartObj>
          <w:docPartGallery w:val="Table of Contents"/>
          <w:docPartUnique/>
        </w:docPartObj>
      </w:sdtPr>
      <w:sdtEndPr>
        <w:rPr>
          <w:noProof/>
        </w:rPr>
      </w:sdtEndPr>
      <w:sdtContent>
        <w:p w14:paraId="676561D9" w14:textId="77777777" w:rsidR="00A731B8" w:rsidRPr="000E7683" w:rsidRDefault="00A731B8">
          <w:pPr>
            <w:pStyle w:val="TOCHeading"/>
            <w:rPr>
              <w:rStyle w:val="Heading3Char"/>
              <w:b/>
              <w:bCs w:val="0"/>
            </w:rPr>
          </w:pPr>
          <w:r w:rsidRPr="007B1A7B">
            <w:rPr>
              <w:rStyle w:val="Heading3Char"/>
              <w:b/>
              <w:bCs w:val="0"/>
            </w:rPr>
            <w:t>Contents</w:t>
          </w:r>
        </w:p>
        <w:p w14:paraId="0B3F747C" w14:textId="0F1167D8" w:rsidR="00610DC7"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19390976" w:history="1">
            <w:r w:rsidR="00610DC7" w:rsidRPr="007317EA">
              <w:rPr>
                <w:rStyle w:val="Hyperlink"/>
              </w:rPr>
              <w:t>Purpose</w:t>
            </w:r>
            <w:r w:rsidR="00610DC7">
              <w:rPr>
                <w:webHidden/>
              </w:rPr>
              <w:tab/>
            </w:r>
            <w:r w:rsidR="00610DC7">
              <w:rPr>
                <w:webHidden/>
              </w:rPr>
              <w:fldChar w:fldCharType="begin"/>
            </w:r>
            <w:r w:rsidR="00610DC7">
              <w:rPr>
                <w:webHidden/>
              </w:rPr>
              <w:instrText xml:space="preserve"> PAGEREF _Toc219390976 \h </w:instrText>
            </w:r>
            <w:r w:rsidR="00610DC7">
              <w:rPr>
                <w:webHidden/>
              </w:rPr>
            </w:r>
            <w:r w:rsidR="00610DC7">
              <w:rPr>
                <w:webHidden/>
              </w:rPr>
              <w:fldChar w:fldCharType="separate"/>
            </w:r>
            <w:r w:rsidR="00610DC7">
              <w:rPr>
                <w:webHidden/>
              </w:rPr>
              <w:t>2</w:t>
            </w:r>
            <w:r w:rsidR="00610DC7">
              <w:rPr>
                <w:webHidden/>
              </w:rPr>
              <w:fldChar w:fldCharType="end"/>
            </w:r>
          </w:hyperlink>
        </w:p>
        <w:p w14:paraId="1C647CA2" w14:textId="33AB2BFD" w:rsidR="00610DC7" w:rsidRDefault="00610DC7">
          <w:pPr>
            <w:pStyle w:val="TOC1"/>
            <w:rPr>
              <w:rFonts w:asciiTheme="minorHAnsi" w:eastAsiaTheme="minorEastAsia" w:hAnsiTheme="minorHAnsi" w:cstheme="minorBidi"/>
              <w:color w:val="auto"/>
              <w:kern w:val="2"/>
              <w14:ligatures w14:val="standardContextual"/>
            </w:rPr>
          </w:pPr>
          <w:hyperlink w:anchor="_Toc219390977" w:history="1">
            <w:r w:rsidRPr="007317EA">
              <w:rPr>
                <w:rStyle w:val="Hyperlink"/>
              </w:rPr>
              <w:t>Alerts</w:t>
            </w:r>
            <w:r>
              <w:rPr>
                <w:webHidden/>
              </w:rPr>
              <w:tab/>
            </w:r>
            <w:r>
              <w:rPr>
                <w:webHidden/>
              </w:rPr>
              <w:fldChar w:fldCharType="begin"/>
            </w:r>
            <w:r>
              <w:rPr>
                <w:webHidden/>
              </w:rPr>
              <w:instrText xml:space="preserve"> PAGEREF _Toc219390977 \h </w:instrText>
            </w:r>
            <w:r>
              <w:rPr>
                <w:webHidden/>
              </w:rPr>
            </w:r>
            <w:r>
              <w:rPr>
                <w:webHidden/>
              </w:rPr>
              <w:fldChar w:fldCharType="separate"/>
            </w:r>
            <w:r>
              <w:rPr>
                <w:webHidden/>
              </w:rPr>
              <w:t>2</w:t>
            </w:r>
            <w:r>
              <w:rPr>
                <w:webHidden/>
              </w:rPr>
              <w:fldChar w:fldCharType="end"/>
            </w:r>
          </w:hyperlink>
        </w:p>
        <w:p w14:paraId="560E268C" w14:textId="0AF80E31" w:rsidR="00610DC7" w:rsidRDefault="00610DC7">
          <w:pPr>
            <w:pStyle w:val="TOC1"/>
            <w:rPr>
              <w:rFonts w:asciiTheme="minorHAnsi" w:eastAsiaTheme="minorEastAsia" w:hAnsiTheme="minorHAnsi" w:cstheme="minorBidi"/>
              <w:color w:val="auto"/>
              <w:kern w:val="2"/>
              <w14:ligatures w14:val="standardContextual"/>
            </w:rPr>
          </w:pPr>
          <w:hyperlink w:anchor="_Toc219390978" w:history="1">
            <w:r w:rsidRPr="007317EA">
              <w:rPr>
                <w:rStyle w:val="Hyperlink"/>
              </w:rPr>
              <w:t>Scope</w:t>
            </w:r>
            <w:r>
              <w:rPr>
                <w:webHidden/>
              </w:rPr>
              <w:tab/>
            </w:r>
            <w:r>
              <w:rPr>
                <w:webHidden/>
              </w:rPr>
              <w:fldChar w:fldCharType="begin"/>
            </w:r>
            <w:r>
              <w:rPr>
                <w:webHidden/>
              </w:rPr>
              <w:instrText xml:space="preserve"> PAGEREF _Toc219390978 \h </w:instrText>
            </w:r>
            <w:r>
              <w:rPr>
                <w:webHidden/>
              </w:rPr>
            </w:r>
            <w:r>
              <w:rPr>
                <w:webHidden/>
              </w:rPr>
              <w:fldChar w:fldCharType="separate"/>
            </w:r>
            <w:r>
              <w:rPr>
                <w:webHidden/>
              </w:rPr>
              <w:t>3</w:t>
            </w:r>
            <w:r>
              <w:rPr>
                <w:webHidden/>
              </w:rPr>
              <w:fldChar w:fldCharType="end"/>
            </w:r>
          </w:hyperlink>
        </w:p>
        <w:p w14:paraId="77E99E93" w14:textId="1DD7FE6C" w:rsidR="00610DC7" w:rsidRDefault="00610DC7">
          <w:pPr>
            <w:pStyle w:val="TOC1"/>
            <w:rPr>
              <w:rFonts w:asciiTheme="minorHAnsi" w:eastAsiaTheme="minorEastAsia" w:hAnsiTheme="minorHAnsi" w:cstheme="minorBidi"/>
              <w:color w:val="auto"/>
              <w:kern w:val="2"/>
              <w14:ligatures w14:val="standardContextual"/>
            </w:rPr>
          </w:pPr>
          <w:hyperlink w:anchor="_Toc219390979" w:history="1">
            <w:r w:rsidRPr="007317EA">
              <w:rPr>
                <w:rStyle w:val="Hyperlink"/>
              </w:rPr>
              <w:t>Section 1 – Initial Assessment and Prescription</w:t>
            </w:r>
            <w:r>
              <w:rPr>
                <w:webHidden/>
              </w:rPr>
              <w:tab/>
            </w:r>
            <w:r>
              <w:rPr>
                <w:webHidden/>
              </w:rPr>
              <w:fldChar w:fldCharType="begin"/>
            </w:r>
            <w:r>
              <w:rPr>
                <w:webHidden/>
              </w:rPr>
              <w:instrText xml:space="preserve"> PAGEREF _Toc219390979 \h </w:instrText>
            </w:r>
            <w:r>
              <w:rPr>
                <w:webHidden/>
              </w:rPr>
            </w:r>
            <w:r>
              <w:rPr>
                <w:webHidden/>
              </w:rPr>
              <w:fldChar w:fldCharType="separate"/>
            </w:r>
            <w:r>
              <w:rPr>
                <w:webHidden/>
              </w:rPr>
              <w:t>4</w:t>
            </w:r>
            <w:r>
              <w:rPr>
                <w:webHidden/>
              </w:rPr>
              <w:fldChar w:fldCharType="end"/>
            </w:r>
          </w:hyperlink>
        </w:p>
        <w:p w14:paraId="587565D0" w14:textId="273FE96B" w:rsidR="00610DC7" w:rsidRDefault="00610DC7">
          <w:pPr>
            <w:pStyle w:val="TOC1"/>
            <w:rPr>
              <w:rFonts w:asciiTheme="minorHAnsi" w:eastAsiaTheme="minorEastAsia" w:hAnsiTheme="minorHAnsi" w:cstheme="minorBidi"/>
              <w:color w:val="auto"/>
              <w:kern w:val="2"/>
              <w14:ligatures w14:val="standardContextual"/>
            </w:rPr>
          </w:pPr>
          <w:hyperlink w:anchor="_Toc219390980" w:history="1">
            <w:r w:rsidRPr="007317EA">
              <w:rPr>
                <w:rStyle w:val="Hyperlink"/>
              </w:rPr>
              <w:t>Section 2 – Continuous Factor Replacement</w:t>
            </w:r>
            <w:r>
              <w:rPr>
                <w:webHidden/>
              </w:rPr>
              <w:tab/>
            </w:r>
            <w:r>
              <w:rPr>
                <w:webHidden/>
              </w:rPr>
              <w:fldChar w:fldCharType="begin"/>
            </w:r>
            <w:r>
              <w:rPr>
                <w:webHidden/>
              </w:rPr>
              <w:instrText xml:space="preserve"> PAGEREF _Toc219390980 \h </w:instrText>
            </w:r>
            <w:r>
              <w:rPr>
                <w:webHidden/>
              </w:rPr>
            </w:r>
            <w:r>
              <w:rPr>
                <w:webHidden/>
              </w:rPr>
              <w:fldChar w:fldCharType="separate"/>
            </w:r>
            <w:r>
              <w:rPr>
                <w:webHidden/>
              </w:rPr>
              <w:t>5</w:t>
            </w:r>
            <w:r>
              <w:rPr>
                <w:webHidden/>
              </w:rPr>
              <w:fldChar w:fldCharType="end"/>
            </w:r>
          </w:hyperlink>
        </w:p>
        <w:p w14:paraId="2ACFB282" w14:textId="11F8813D" w:rsidR="00610DC7" w:rsidRDefault="00610DC7">
          <w:pPr>
            <w:pStyle w:val="TOC1"/>
            <w:rPr>
              <w:rFonts w:asciiTheme="minorHAnsi" w:eastAsiaTheme="minorEastAsia" w:hAnsiTheme="minorHAnsi" w:cstheme="minorBidi"/>
              <w:color w:val="auto"/>
              <w:kern w:val="2"/>
              <w14:ligatures w14:val="standardContextual"/>
            </w:rPr>
          </w:pPr>
          <w:hyperlink w:anchor="_Toc219390981" w:history="1">
            <w:r w:rsidRPr="007317EA">
              <w:rPr>
                <w:rStyle w:val="Hyperlink"/>
              </w:rPr>
              <w:t>Section 3- Bolus Factor Replacement</w:t>
            </w:r>
            <w:r>
              <w:rPr>
                <w:webHidden/>
              </w:rPr>
              <w:tab/>
            </w:r>
            <w:r>
              <w:rPr>
                <w:webHidden/>
              </w:rPr>
              <w:fldChar w:fldCharType="begin"/>
            </w:r>
            <w:r>
              <w:rPr>
                <w:webHidden/>
              </w:rPr>
              <w:instrText xml:space="preserve"> PAGEREF _Toc219390981 \h </w:instrText>
            </w:r>
            <w:r>
              <w:rPr>
                <w:webHidden/>
              </w:rPr>
            </w:r>
            <w:r>
              <w:rPr>
                <w:webHidden/>
              </w:rPr>
              <w:fldChar w:fldCharType="separate"/>
            </w:r>
            <w:r>
              <w:rPr>
                <w:webHidden/>
              </w:rPr>
              <w:t>8</w:t>
            </w:r>
            <w:r>
              <w:rPr>
                <w:webHidden/>
              </w:rPr>
              <w:fldChar w:fldCharType="end"/>
            </w:r>
          </w:hyperlink>
        </w:p>
        <w:p w14:paraId="7CFFE5D0" w14:textId="054F80C0" w:rsidR="00610DC7" w:rsidRDefault="00610DC7">
          <w:pPr>
            <w:pStyle w:val="TOC1"/>
            <w:rPr>
              <w:rFonts w:asciiTheme="minorHAnsi" w:eastAsiaTheme="minorEastAsia" w:hAnsiTheme="minorHAnsi" w:cstheme="minorBidi"/>
              <w:color w:val="auto"/>
              <w:kern w:val="2"/>
              <w14:ligatures w14:val="standardContextual"/>
            </w:rPr>
          </w:pPr>
          <w:hyperlink w:anchor="_Toc219390982" w:history="1">
            <w:r w:rsidRPr="007317EA">
              <w:rPr>
                <w:rStyle w:val="Hyperlink"/>
              </w:rPr>
              <w:t>Evaluation</w:t>
            </w:r>
            <w:r>
              <w:rPr>
                <w:webHidden/>
              </w:rPr>
              <w:tab/>
            </w:r>
            <w:r>
              <w:rPr>
                <w:webHidden/>
              </w:rPr>
              <w:fldChar w:fldCharType="begin"/>
            </w:r>
            <w:r>
              <w:rPr>
                <w:webHidden/>
              </w:rPr>
              <w:instrText xml:space="preserve"> PAGEREF _Toc219390982 \h </w:instrText>
            </w:r>
            <w:r>
              <w:rPr>
                <w:webHidden/>
              </w:rPr>
            </w:r>
            <w:r>
              <w:rPr>
                <w:webHidden/>
              </w:rPr>
              <w:fldChar w:fldCharType="separate"/>
            </w:r>
            <w:r>
              <w:rPr>
                <w:webHidden/>
              </w:rPr>
              <w:t>12</w:t>
            </w:r>
            <w:r>
              <w:rPr>
                <w:webHidden/>
              </w:rPr>
              <w:fldChar w:fldCharType="end"/>
            </w:r>
          </w:hyperlink>
        </w:p>
        <w:p w14:paraId="00204C6F" w14:textId="7BE5D050" w:rsidR="00610DC7" w:rsidRDefault="00610DC7">
          <w:pPr>
            <w:pStyle w:val="TOC1"/>
            <w:rPr>
              <w:rFonts w:asciiTheme="minorHAnsi" w:eastAsiaTheme="minorEastAsia" w:hAnsiTheme="minorHAnsi" w:cstheme="minorBidi"/>
              <w:color w:val="auto"/>
              <w:kern w:val="2"/>
              <w14:ligatures w14:val="standardContextual"/>
            </w:rPr>
          </w:pPr>
          <w:hyperlink w:anchor="_Toc219390983" w:history="1">
            <w:r w:rsidRPr="007317EA">
              <w:rPr>
                <w:rStyle w:val="Hyperlink"/>
              </w:rPr>
              <w:t>Related policies, procedures, guidelines and legislation</w:t>
            </w:r>
            <w:r>
              <w:rPr>
                <w:webHidden/>
              </w:rPr>
              <w:tab/>
            </w:r>
            <w:r>
              <w:rPr>
                <w:webHidden/>
              </w:rPr>
              <w:fldChar w:fldCharType="begin"/>
            </w:r>
            <w:r>
              <w:rPr>
                <w:webHidden/>
              </w:rPr>
              <w:instrText xml:space="preserve"> PAGEREF _Toc219390983 \h </w:instrText>
            </w:r>
            <w:r>
              <w:rPr>
                <w:webHidden/>
              </w:rPr>
            </w:r>
            <w:r>
              <w:rPr>
                <w:webHidden/>
              </w:rPr>
              <w:fldChar w:fldCharType="separate"/>
            </w:r>
            <w:r>
              <w:rPr>
                <w:webHidden/>
              </w:rPr>
              <w:t>12</w:t>
            </w:r>
            <w:r>
              <w:rPr>
                <w:webHidden/>
              </w:rPr>
              <w:fldChar w:fldCharType="end"/>
            </w:r>
          </w:hyperlink>
        </w:p>
        <w:p w14:paraId="7220F924" w14:textId="4743E348" w:rsidR="00610DC7" w:rsidRDefault="00610DC7">
          <w:pPr>
            <w:pStyle w:val="TOC1"/>
            <w:rPr>
              <w:rFonts w:asciiTheme="minorHAnsi" w:eastAsiaTheme="minorEastAsia" w:hAnsiTheme="minorHAnsi" w:cstheme="minorBidi"/>
              <w:color w:val="auto"/>
              <w:kern w:val="2"/>
              <w14:ligatures w14:val="standardContextual"/>
            </w:rPr>
          </w:pPr>
          <w:hyperlink w:anchor="_Toc219390984" w:history="1">
            <w:r w:rsidRPr="007317EA">
              <w:rPr>
                <w:rStyle w:val="Hyperlink"/>
              </w:rPr>
              <w:t>References</w:t>
            </w:r>
            <w:r>
              <w:rPr>
                <w:webHidden/>
              </w:rPr>
              <w:tab/>
            </w:r>
            <w:r>
              <w:rPr>
                <w:webHidden/>
              </w:rPr>
              <w:fldChar w:fldCharType="begin"/>
            </w:r>
            <w:r>
              <w:rPr>
                <w:webHidden/>
              </w:rPr>
              <w:instrText xml:space="preserve"> PAGEREF _Toc219390984 \h </w:instrText>
            </w:r>
            <w:r>
              <w:rPr>
                <w:webHidden/>
              </w:rPr>
            </w:r>
            <w:r>
              <w:rPr>
                <w:webHidden/>
              </w:rPr>
              <w:fldChar w:fldCharType="separate"/>
            </w:r>
            <w:r>
              <w:rPr>
                <w:webHidden/>
              </w:rPr>
              <w:t>13</w:t>
            </w:r>
            <w:r>
              <w:rPr>
                <w:webHidden/>
              </w:rPr>
              <w:fldChar w:fldCharType="end"/>
            </w:r>
          </w:hyperlink>
        </w:p>
        <w:p w14:paraId="7602CA78" w14:textId="6658095D" w:rsidR="00610DC7" w:rsidRDefault="00610DC7">
          <w:pPr>
            <w:pStyle w:val="TOC1"/>
            <w:rPr>
              <w:rFonts w:asciiTheme="minorHAnsi" w:eastAsiaTheme="minorEastAsia" w:hAnsiTheme="minorHAnsi" w:cstheme="minorBidi"/>
              <w:color w:val="auto"/>
              <w:kern w:val="2"/>
              <w14:ligatures w14:val="standardContextual"/>
            </w:rPr>
          </w:pPr>
          <w:hyperlink w:anchor="_Toc219390985" w:history="1">
            <w:r w:rsidRPr="007317EA">
              <w:rPr>
                <w:rStyle w:val="Hyperlink"/>
              </w:rPr>
              <w:t>Search terms</w:t>
            </w:r>
            <w:r>
              <w:rPr>
                <w:webHidden/>
              </w:rPr>
              <w:tab/>
            </w:r>
            <w:r>
              <w:rPr>
                <w:webHidden/>
              </w:rPr>
              <w:fldChar w:fldCharType="begin"/>
            </w:r>
            <w:r>
              <w:rPr>
                <w:webHidden/>
              </w:rPr>
              <w:instrText xml:space="preserve"> PAGEREF _Toc219390985 \h </w:instrText>
            </w:r>
            <w:r>
              <w:rPr>
                <w:webHidden/>
              </w:rPr>
            </w:r>
            <w:r>
              <w:rPr>
                <w:webHidden/>
              </w:rPr>
              <w:fldChar w:fldCharType="separate"/>
            </w:r>
            <w:r>
              <w:rPr>
                <w:webHidden/>
              </w:rPr>
              <w:t>14</w:t>
            </w:r>
            <w:r>
              <w:rPr>
                <w:webHidden/>
              </w:rPr>
              <w:fldChar w:fldCharType="end"/>
            </w:r>
          </w:hyperlink>
        </w:p>
        <w:p w14:paraId="1D83ED30" w14:textId="641E5780"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692F06C1" w14:textId="77777777" w:rsidR="00FE46F1" w:rsidRDefault="00FE46F1">
      <w:pPr>
        <w:spacing w:before="0" w:after="0" w:line="240" w:lineRule="auto"/>
        <w:rPr>
          <w:rFonts w:eastAsia="Times New Roman"/>
          <w:b/>
          <w:color w:val="FFFFFF" w:themeColor="background1"/>
          <w:szCs w:val="80"/>
          <w:lang w:eastAsia="en-US"/>
        </w:rPr>
      </w:pPr>
    </w:p>
    <w:p w14:paraId="4C22FC6B" w14:textId="77777777" w:rsidR="00201AF6" w:rsidRDefault="00201AF6">
      <w:pPr>
        <w:spacing w:before="0" w:after="0" w:line="240" w:lineRule="auto"/>
        <w:rPr>
          <w:rFonts w:eastAsia="Times New Roman"/>
          <w:b/>
          <w:bCs/>
          <w:iCs/>
          <w:color w:val="FFFFFF" w:themeColor="background1"/>
          <w:lang w:eastAsia="en-US"/>
        </w:rPr>
      </w:pPr>
      <w:r>
        <w:br w:type="page"/>
      </w:r>
    </w:p>
    <w:p w14:paraId="753A7AB2" w14:textId="2C120DA9" w:rsidR="0078367D" w:rsidRPr="00036249" w:rsidRDefault="003254E1" w:rsidP="00036249">
      <w:pPr>
        <w:pStyle w:val="Heading4"/>
      </w:pPr>
      <w:bookmarkStart w:id="1" w:name="_Toc219390976"/>
      <w:r>
        <w:lastRenderedPageBreak/>
        <w:t>Purpose</w:t>
      </w:r>
      <w:bookmarkEnd w:id="1"/>
    </w:p>
    <w:p w14:paraId="3DB89B31" w14:textId="31013637" w:rsidR="002F42B6" w:rsidRPr="007C3029" w:rsidRDefault="002F42B6" w:rsidP="00CB462F">
      <w:pPr>
        <w:pStyle w:val="BodyCopy"/>
      </w:pPr>
      <w:r w:rsidRPr="007C3029">
        <w:t xml:space="preserve">The purpose of this </w:t>
      </w:r>
      <w:r w:rsidR="007E1101">
        <w:t>procedure</w:t>
      </w:r>
      <w:r w:rsidR="007E1101" w:rsidRPr="007C3029">
        <w:t xml:space="preserve"> </w:t>
      </w:r>
      <w:r w:rsidRPr="007C3029">
        <w:t>is to provide a systematic and consistent approach for the safe and appropriate administration of continuous coagulation factor replacement products</w:t>
      </w:r>
      <w:r>
        <w:t xml:space="preserve"> and bolus</w:t>
      </w:r>
      <w:r w:rsidRPr="007C3029">
        <w:t xml:space="preserve"> across </w:t>
      </w:r>
      <w:r>
        <w:t>Canberra Health Services (CHS)</w:t>
      </w:r>
      <w:r w:rsidRPr="007C3029">
        <w:t>.</w:t>
      </w:r>
    </w:p>
    <w:p w14:paraId="53DD3F5F" w14:textId="77777777" w:rsidR="002F42B6" w:rsidRPr="007C3029" w:rsidRDefault="002F42B6" w:rsidP="007E1101">
      <w:pPr>
        <w:pStyle w:val="BodyCopy"/>
      </w:pPr>
      <w:r w:rsidRPr="007C3029">
        <w:t xml:space="preserve">Continuous infusions of coagulation factor replacement aim to: </w:t>
      </w:r>
    </w:p>
    <w:p w14:paraId="69D513B9" w14:textId="77777777" w:rsidR="002F42B6" w:rsidRPr="002F42B6" w:rsidRDefault="002F42B6" w:rsidP="00CB462F">
      <w:pPr>
        <w:pStyle w:val="Bullet"/>
      </w:pPr>
      <w:r w:rsidRPr="002F42B6">
        <w:t>raise and maintain a constant factor level in plasma to sufficiently control and/or prevent bleeding</w:t>
      </w:r>
    </w:p>
    <w:p w14:paraId="2E6295D9" w14:textId="77777777" w:rsidR="002F42B6" w:rsidRPr="002F42B6" w:rsidRDefault="002F42B6" w:rsidP="00CB462F">
      <w:pPr>
        <w:pStyle w:val="Bullet"/>
      </w:pPr>
      <w:r w:rsidRPr="002F42B6">
        <w:t>avoid peaks and troughs of factor level thereby enhancing therapeutic efficacy</w:t>
      </w:r>
    </w:p>
    <w:p w14:paraId="171B600E" w14:textId="77777777" w:rsidR="002F42B6" w:rsidRPr="002F42B6" w:rsidRDefault="002F42B6" w:rsidP="00CB462F">
      <w:pPr>
        <w:pStyle w:val="Bullet"/>
      </w:pPr>
      <w:r w:rsidRPr="002F42B6">
        <w:t>reduce the overall use of factor product for the duration of need.</w:t>
      </w:r>
    </w:p>
    <w:p w14:paraId="1CEF3910" w14:textId="77777777" w:rsidR="002F42B6" w:rsidRPr="002F42B6" w:rsidRDefault="002F42B6" w:rsidP="00CB462F">
      <w:pPr>
        <w:pStyle w:val="BodyCopy"/>
      </w:pPr>
      <w:r w:rsidRPr="002F42B6">
        <w:t>Bolus coagulation factor replacement aims to:</w:t>
      </w:r>
    </w:p>
    <w:p w14:paraId="206CE465" w14:textId="77777777" w:rsidR="002F42B6" w:rsidRPr="002F42B6" w:rsidRDefault="002F42B6" w:rsidP="00CB462F">
      <w:pPr>
        <w:pStyle w:val="Bullet"/>
      </w:pPr>
      <w:r w:rsidRPr="002F42B6">
        <w:t>raise factor level in plasma to control and/or prevent bleeding</w:t>
      </w:r>
    </w:p>
    <w:p w14:paraId="0C82B868" w14:textId="4FEC0AB5" w:rsidR="002F42B6" w:rsidRPr="002F42B6" w:rsidRDefault="002F42B6" w:rsidP="00CB462F">
      <w:pPr>
        <w:pStyle w:val="Bullet"/>
      </w:pPr>
      <w:r w:rsidRPr="002F42B6">
        <w:t>allow patient to self-treat at home</w:t>
      </w:r>
    </w:p>
    <w:p w14:paraId="0DE92CB9" w14:textId="77777777" w:rsidR="002F42B6" w:rsidRPr="002F42B6" w:rsidRDefault="002F42B6" w:rsidP="00CB462F">
      <w:pPr>
        <w:pStyle w:val="Bullet"/>
      </w:pPr>
      <w:r w:rsidRPr="002F42B6">
        <w:t>allow patient to stay at home and present daily for bolus replacement therapy.</w:t>
      </w:r>
    </w:p>
    <w:p w14:paraId="1F437F79"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7B7E05D7" w14:textId="5A49E5A4" w:rsidR="0078367D" w:rsidRPr="00AC2EDE" w:rsidRDefault="003254E1" w:rsidP="00197F2E">
      <w:pPr>
        <w:pStyle w:val="Heading4"/>
      </w:pPr>
      <w:bookmarkStart w:id="2" w:name="_Toc219390977"/>
      <w:r>
        <w:rPr>
          <w:rStyle w:val="Hyperlink"/>
          <w:color w:val="FFFFFF" w:themeColor="background1"/>
          <w:u w:val="none"/>
        </w:rPr>
        <w:t>Alerts</w:t>
      </w:r>
      <w:bookmarkEnd w:id="2"/>
      <w:r>
        <w:rPr>
          <w:rStyle w:val="Hyperlink"/>
          <w:color w:val="FFFFFF" w:themeColor="background1"/>
          <w:u w:val="none"/>
        </w:rPr>
        <w:t xml:space="preserve"> </w:t>
      </w:r>
    </w:p>
    <w:p w14:paraId="63A986C4" w14:textId="3C6AE636" w:rsidR="0002570D" w:rsidRPr="0002570D" w:rsidRDefault="0002570D" w:rsidP="00CB462F">
      <w:pPr>
        <w:pStyle w:val="Bullet"/>
      </w:pPr>
      <w:r w:rsidRPr="0002570D">
        <w:t xml:space="preserve">Surgical procedures and interventions performed on patients with a known bleeding disorder should be coordinated through the </w:t>
      </w:r>
      <w:bookmarkStart w:id="3" w:name="_Hlk65478964"/>
      <w:r w:rsidRPr="0002570D">
        <w:t xml:space="preserve">Canberra Hospital Haemophilia Treatment Centre (HTC). </w:t>
      </w:r>
      <w:bookmarkEnd w:id="3"/>
      <w:r w:rsidRPr="0002570D">
        <w:t>The Canberra Hospital HTC is in Building 19 (Capital Region Cancer Centre), Level 4, and can be contacted on 51242286 or 0481013323.</w:t>
      </w:r>
    </w:p>
    <w:p w14:paraId="79A3EDA2" w14:textId="77777777" w:rsidR="0002570D" w:rsidRPr="0002570D" w:rsidRDefault="0002570D" w:rsidP="00CB462F">
      <w:pPr>
        <w:pStyle w:val="Bullet"/>
      </w:pPr>
      <w:r w:rsidRPr="0002570D">
        <w:t>Changes to dosage and/or infusion rates must be in consultation with the Haematology team at Canberra Hospital.</w:t>
      </w:r>
    </w:p>
    <w:p w14:paraId="20E0574A" w14:textId="03AF7802" w:rsidR="0002570D" w:rsidRPr="0002570D" w:rsidRDefault="0002570D" w:rsidP="00CB462F">
      <w:pPr>
        <w:pStyle w:val="Bullet"/>
      </w:pPr>
      <w:r w:rsidRPr="0002570D">
        <w:t>It is very important that the coagulation factor replacement infusion runs continuously and is not interrupted. If the infusion is stopped for longer than one hour due to unavoidable circumstances (i.e. intravenous cannula (IVC) tissued) the staff overseeing the infusion should contact the Haematology Registrar, Haemophilia Nurse or Consultant as a bolus dose may be required. For paediatric patients contact the Paediatric Registrar.</w:t>
      </w:r>
    </w:p>
    <w:p w14:paraId="59817A0A" w14:textId="54A86D25" w:rsidR="0002570D" w:rsidRPr="0002570D" w:rsidRDefault="0002570D" w:rsidP="00CB462F">
      <w:pPr>
        <w:pStyle w:val="Bullet"/>
      </w:pPr>
      <w:r>
        <w:t xml:space="preserve">As Factor </w:t>
      </w:r>
      <w:r w:rsidR="62D56ED0">
        <w:t>replacements</w:t>
      </w:r>
      <w:r>
        <w:t xml:space="preserve"> do not contain any antimicrobial agent, continuous infusion should be </w:t>
      </w:r>
      <w:r w:rsidR="00C52026">
        <w:t xml:space="preserve">completed and </w:t>
      </w:r>
      <w:r w:rsidR="00166FE4">
        <w:t xml:space="preserve">the infusion set </w:t>
      </w:r>
      <w:r w:rsidR="00C52026">
        <w:t xml:space="preserve">changed within </w:t>
      </w:r>
      <w:r>
        <w:t xml:space="preserve">24 hours. </w:t>
      </w:r>
    </w:p>
    <w:p w14:paraId="5733A866" w14:textId="05523157" w:rsidR="0002570D" w:rsidRPr="0002570D" w:rsidRDefault="0002570D" w:rsidP="00CB462F">
      <w:pPr>
        <w:pStyle w:val="Bullet"/>
      </w:pPr>
      <w:r w:rsidRPr="0002570D">
        <w:t>All bolus doses of coagulation factor must be prepared just prior to administration</w:t>
      </w:r>
      <w:r w:rsidR="007B7FFE">
        <w:t>.</w:t>
      </w:r>
    </w:p>
    <w:p w14:paraId="6B90B1F4" w14:textId="798B3CDE" w:rsidR="00317312" w:rsidRDefault="0002570D" w:rsidP="00CB462F">
      <w:pPr>
        <w:pStyle w:val="Bullet"/>
      </w:pPr>
      <w:r w:rsidRPr="0002570D">
        <w:t>For paediatric patients managed by Sydney Children’s Hospital</w:t>
      </w:r>
      <w:r w:rsidR="007B7FFE">
        <w:t>,</w:t>
      </w:r>
      <w:r w:rsidRPr="0002570D">
        <w:t xml:space="preserve"> any procedures or interventions, changes to medication etc</w:t>
      </w:r>
      <w:r w:rsidR="007B7FFE">
        <w:t>.,</w:t>
      </w:r>
      <w:r w:rsidRPr="0002570D">
        <w:t xml:space="preserve"> should be done in consultation with the Sydney Children’s Hospital Network. The Haemophilia Nurse at Sydney Children’s Hospital can be </w:t>
      </w:r>
      <w:bookmarkStart w:id="4" w:name="_Hlk218261902"/>
      <w:r w:rsidRPr="0002570D">
        <w:t>contacted during business hours on 0436 601238 or 02 9382 1240</w:t>
      </w:r>
      <w:r w:rsidR="007B7FFE">
        <w:t xml:space="preserve">. </w:t>
      </w:r>
      <w:bookmarkEnd w:id="4"/>
      <w:r w:rsidR="007B7FFE">
        <w:t>A</w:t>
      </w:r>
      <w:r w:rsidRPr="0002570D">
        <w:t>fter hours the Paediatric Haematologist/Paediatric Oncologist on-call can be contact via switch 02 9382 0000. In instances when medical officers within Sydney Children’s Hospital are not available the Canberra Hospital HTC should be contacted</w:t>
      </w:r>
      <w:r>
        <w:t>.</w:t>
      </w:r>
    </w:p>
    <w:p w14:paraId="092DF156" w14:textId="7C077E58" w:rsidR="00BC0414" w:rsidRDefault="00BC0414" w:rsidP="00CB462F">
      <w:pPr>
        <w:pStyle w:val="Bullet"/>
      </w:pPr>
      <w:r w:rsidRPr="00317312">
        <w:lastRenderedPageBreak/>
        <w:t xml:space="preserve">Confirm any required blood tests have been performed and the results obtained prior to the factor infusion. If a patient is on </w:t>
      </w:r>
      <w:proofErr w:type="spellStart"/>
      <w:r w:rsidR="007B7FFE">
        <w:t>e</w:t>
      </w:r>
      <w:r w:rsidRPr="00317312">
        <w:t>micizumab</w:t>
      </w:r>
      <w:proofErr w:type="spellEnd"/>
      <w:r w:rsidRPr="00317312">
        <w:t xml:space="preserve"> (Hemlibra</w:t>
      </w:r>
      <w:r w:rsidR="007B7FFE">
        <w:t>®</w:t>
      </w:r>
      <w:r w:rsidRPr="00317312">
        <w:t>) ensure that this</w:t>
      </w:r>
      <w:r w:rsidR="00317312" w:rsidRPr="00317312">
        <w:t xml:space="preserve"> is written on the pathology request form as coagulation testing is undertaken using a different process.</w:t>
      </w:r>
    </w:p>
    <w:p w14:paraId="5F3DCB42" w14:textId="7524B21F" w:rsidR="00481A6C" w:rsidRDefault="00481A6C" w:rsidP="00481A6C">
      <w:pPr>
        <w:pStyle w:val="BodyCopy"/>
        <w:rPr>
          <w:rStyle w:val="Hyperlink"/>
          <w:iCs w:val="0"/>
        </w:rPr>
      </w:pPr>
      <w:hyperlink w:anchor="_top" w:history="1">
        <w:r w:rsidRPr="00481A6C">
          <w:rPr>
            <w:rStyle w:val="Hyperlink"/>
            <w:iCs w:val="0"/>
          </w:rPr>
          <w:t>Back to Contents</w:t>
        </w:r>
      </w:hyperlink>
    </w:p>
    <w:p w14:paraId="60AB904C" w14:textId="77777777" w:rsidR="003254E1" w:rsidRDefault="003254E1" w:rsidP="003254E1">
      <w:pPr>
        <w:pStyle w:val="Heading4"/>
      </w:pPr>
      <w:bookmarkStart w:id="5" w:name="_Toc219390978"/>
      <w:r>
        <w:t>Scope</w:t>
      </w:r>
      <w:bookmarkEnd w:id="5"/>
    </w:p>
    <w:p w14:paraId="2AA3984D" w14:textId="1BEB9999" w:rsidR="00BB2A83" w:rsidRPr="00BB2A83" w:rsidRDefault="00BB2A83" w:rsidP="00CB462F">
      <w:pPr>
        <w:pStyle w:val="BodyCopy"/>
      </w:pPr>
      <w:r w:rsidRPr="00BB2A83">
        <w:t>This document applies to CHS staff involved in the intravenous administration of coagulation factors</w:t>
      </w:r>
      <w:r w:rsidR="00937EBD">
        <w:t xml:space="preserve"> at the Canberra Hospital</w:t>
      </w:r>
      <w:r w:rsidRPr="00BB2A83">
        <w:t xml:space="preserve">. </w:t>
      </w:r>
      <w:r w:rsidRPr="00CB462F">
        <w:t>This</w:t>
      </w:r>
      <w:r w:rsidRPr="00BB2A83">
        <w:t xml:space="preserve"> include</w:t>
      </w:r>
      <w:r w:rsidR="003A1703">
        <w:t>s</w:t>
      </w:r>
      <w:r w:rsidRPr="00BB2A83">
        <w:t xml:space="preserve"> the following staff working within their scope of practice: </w:t>
      </w:r>
    </w:p>
    <w:p w14:paraId="61169990" w14:textId="5CC30616" w:rsidR="00BB2A83" w:rsidRDefault="00B2389E" w:rsidP="00CB462F">
      <w:pPr>
        <w:pStyle w:val="Bullet"/>
      </w:pPr>
      <w:r>
        <w:t>M</w:t>
      </w:r>
      <w:r w:rsidR="00BB2A83" w:rsidRPr="00BB2A83">
        <w:t xml:space="preserve">edical </w:t>
      </w:r>
      <w:r>
        <w:t>O</w:t>
      </w:r>
      <w:r w:rsidR="00BB2A83" w:rsidRPr="00BB2A83">
        <w:t>fficers</w:t>
      </w:r>
      <w:r w:rsidR="009151A8">
        <w:t xml:space="preserve"> (MOs)</w:t>
      </w:r>
    </w:p>
    <w:p w14:paraId="538D8A1E" w14:textId="6A52E79D" w:rsidR="007C79A6" w:rsidRPr="00BB2A83" w:rsidRDefault="007C79A6" w:rsidP="00CB462F">
      <w:pPr>
        <w:pStyle w:val="Bullet"/>
      </w:pPr>
      <w:r>
        <w:t>Nurse Practitioners (NP</w:t>
      </w:r>
      <w:r w:rsidR="00651C5E">
        <w:t>s</w:t>
      </w:r>
      <w:r>
        <w:t>)</w:t>
      </w:r>
    </w:p>
    <w:p w14:paraId="3B0E101D" w14:textId="4EC1577B" w:rsidR="00BB2A83" w:rsidRPr="00BB2A83" w:rsidRDefault="00901B2C" w:rsidP="00CB462F">
      <w:pPr>
        <w:pStyle w:val="Bullet"/>
      </w:pPr>
      <w:r>
        <w:t xml:space="preserve">Registered </w:t>
      </w:r>
      <w:r w:rsidR="00B2389E">
        <w:t>N</w:t>
      </w:r>
      <w:r w:rsidR="00BB2A83" w:rsidRPr="00BB2A83">
        <w:t>urs</w:t>
      </w:r>
      <w:r w:rsidR="00AB5A6A">
        <w:t>es</w:t>
      </w:r>
    </w:p>
    <w:p w14:paraId="4DF97526" w14:textId="05BBCDC9" w:rsidR="00BB2A83" w:rsidRDefault="006F4C90" w:rsidP="00CB462F">
      <w:pPr>
        <w:pStyle w:val="Bullet"/>
      </w:pPr>
      <w:r>
        <w:t xml:space="preserve">Registered </w:t>
      </w:r>
      <w:r w:rsidR="00B2389E">
        <w:t>M</w:t>
      </w:r>
      <w:r w:rsidR="00BB2A83">
        <w:t>idwives</w:t>
      </w:r>
    </w:p>
    <w:p w14:paraId="1C0EC230" w14:textId="1C1D44A1" w:rsidR="003A1703" w:rsidRDefault="00FA7F73" w:rsidP="00AB5A6A">
      <w:pPr>
        <w:pStyle w:val="Bullet"/>
      </w:pPr>
      <w:r>
        <w:t>Transfusion Laboratory staff</w:t>
      </w:r>
      <w:r w:rsidR="00AB5A6A">
        <w:t>.</w:t>
      </w:r>
      <w:r>
        <w:t xml:space="preserve"> </w:t>
      </w:r>
    </w:p>
    <w:p w14:paraId="574D67A7" w14:textId="77777777" w:rsidR="003A1703" w:rsidRPr="007C3029" w:rsidRDefault="003A1703" w:rsidP="003A1703">
      <w:pPr>
        <w:pStyle w:val="BodyCopy"/>
      </w:pPr>
      <w:r w:rsidRPr="00867BC7">
        <w:t xml:space="preserve">All staff involved in the administration </w:t>
      </w:r>
      <w:r w:rsidRPr="007C3029">
        <w:t xml:space="preserve">of these products </w:t>
      </w:r>
      <w:r w:rsidRPr="005D75C7">
        <w:t>are r</w:t>
      </w:r>
      <w:r w:rsidRPr="007C3029">
        <w:t>esponsible for maintaining and updating their knowledge and practices</w:t>
      </w:r>
      <w:r>
        <w:t>.</w:t>
      </w:r>
    </w:p>
    <w:p w14:paraId="3C4EA2C5" w14:textId="41FD6EB0" w:rsidR="003A1703" w:rsidRPr="00BB2A83" w:rsidRDefault="003A1703" w:rsidP="003A1703">
      <w:pPr>
        <w:pStyle w:val="BodyCopy"/>
      </w:pPr>
      <w:r w:rsidRPr="007C3029">
        <w:t>New nursing, medical staff, or students (as described by their individual scope of practice) will be required to perform this procedure under the direct supervision of a credentialed and competent practitioner</w:t>
      </w:r>
      <w:r>
        <w:t>.</w:t>
      </w:r>
      <w:r w:rsidR="00B7084B">
        <w:t xml:space="preserve"> </w:t>
      </w:r>
      <w:r w:rsidR="00AB5A6A">
        <w:t>S</w:t>
      </w:r>
      <w:r w:rsidR="00B7084B">
        <w:t xml:space="preserve">taff are credentialed through </w:t>
      </w:r>
      <w:proofErr w:type="spellStart"/>
      <w:r w:rsidR="00B7084B">
        <w:t>BloodSafe</w:t>
      </w:r>
      <w:proofErr w:type="spellEnd"/>
      <w:r w:rsidR="00B7084B">
        <w:t xml:space="preserve"> eLearning Australia; Venepuncture and Cannulation Accreditation and Central Venous Access Device Management and Care and Aseptic Technique eLearning</w:t>
      </w:r>
      <w:r w:rsidR="002B119A">
        <w:t xml:space="preserve"> </w:t>
      </w:r>
      <w:r w:rsidR="00AB5A6A">
        <w:t>(all available via the e-Learning management system HRIMS)</w:t>
      </w:r>
      <w:r w:rsidR="00B7084B">
        <w:t>.</w:t>
      </w:r>
    </w:p>
    <w:p w14:paraId="10C77958" w14:textId="77777777" w:rsidR="003A1703" w:rsidRPr="00BB2A83" w:rsidRDefault="003A1703" w:rsidP="003A1703">
      <w:pPr>
        <w:pStyle w:val="BodyCopy"/>
      </w:pPr>
      <w:r w:rsidRPr="00BB2A83">
        <w:t xml:space="preserve">This procedure </w:t>
      </w:r>
      <w:r>
        <w:t>applies</w:t>
      </w:r>
      <w:r w:rsidRPr="00BB2A83">
        <w:t xml:space="preserve"> to patients with </w:t>
      </w:r>
      <w:r w:rsidRPr="00CB462F">
        <w:t>known</w:t>
      </w:r>
      <w:r w:rsidRPr="00BB2A83">
        <w:t xml:space="preserve"> bleeding disorders</w:t>
      </w:r>
      <w:r>
        <w:t xml:space="preserve"> receiving </w:t>
      </w:r>
      <w:r w:rsidRPr="00BB2A83">
        <w:t xml:space="preserve">intravenous administration of coagulation products.  </w:t>
      </w:r>
    </w:p>
    <w:p w14:paraId="151B1D60" w14:textId="77777777" w:rsidR="00BB2A83" w:rsidRPr="00BB2A83" w:rsidRDefault="00BB2A83" w:rsidP="00FE34D6">
      <w:pPr>
        <w:pStyle w:val="BodyCopy"/>
      </w:pPr>
      <w:r w:rsidRPr="00BB2A83">
        <w:t>For the purposes of this procedure:</w:t>
      </w:r>
    </w:p>
    <w:p w14:paraId="4C42BAED" w14:textId="0D7AF62F" w:rsidR="00BB2A83" w:rsidRPr="00BB2A83" w:rsidRDefault="007E1101" w:rsidP="00CB462F">
      <w:pPr>
        <w:pStyle w:val="Bullet"/>
      </w:pPr>
      <w:r>
        <w:t>a</w:t>
      </w:r>
      <w:r w:rsidR="00BB2A83" w:rsidRPr="00BB2A83">
        <w:t>dolescents are defined as 16</w:t>
      </w:r>
      <w:r w:rsidR="00FD0950">
        <w:t xml:space="preserve"> to </w:t>
      </w:r>
      <w:r w:rsidR="00BB2A83" w:rsidRPr="00BB2A83">
        <w:t>18 years of age</w:t>
      </w:r>
    </w:p>
    <w:p w14:paraId="3709E1C7" w14:textId="2BFB3BF3" w:rsidR="00BB2A83" w:rsidRPr="00BB2A83" w:rsidRDefault="007E1101" w:rsidP="00CB462F">
      <w:pPr>
        <w:pStyle w:val="Bullet"/>
      </w:pPr>
      <w:r>
        <w:t>p</w:t>
      </w:r>
      <w:r w:rsidR="00BB2A83" w:rsidRPr="00BB2A83">
        <w:t xml:space="preserve">aediatrics </w:t>
      </w:r>
      <w:proofErr w:type="gramStart"/>
      <w:r w:rsidR="00BB2A83" w:rsidRPr="00BB2A83">
        <w:t>are</w:t>
      </w:r>
      <w:proofErr w:type="gramEnd"/>
      <w:r w:rsidR="00BB2A83" w:rsidRPr="00BB2A83">
        <w:t xml:space="preserve"> defined as </w:t>
      </w:r>
      <w:r w:rsidR="0052700E">
        <w:t>between 12 months and 16 years.</w:t>
      </w:r>
      <w:r>
        <w:t xml:space="preserve"> </w:t>
      </w:r>
    </w:p>
    <w:p w14:paraId="1127544E" w14:textId="3405A96B" w:rsidR="00BB2A83" w:rsidRPr="00BB2A83" w:rsidRDefault="007E1101" w:rsidP="00CB462F">
      <w:pPr>
        <w:pStyle w:val="Bullet"/>
      </w:pPr>
      <w:r>
        <w:t>i</w:t>
      </w:r>
      <w:r w:rsidR="00BB2A83" w:rsidRPr="00BB2A83">
        <w:t>nfants are defined as between one month and twelve months of age</w:t>
      </w:r>
    </w:p>
    <w:p w14:paraId="2CD9F2FA" w14:textId="19315CD0" w:rsidR="00BB2A83" w:rsidRPr="00BB2A83" w:rsidRDefault="007E1101" w:rsidP="00CB462F">
      <w:pPr>
        <w:pStyle w:val="Bullet"/>
      </w:pPr>
      <w:r>
        <w:t>n</w:t>
      </w:r>
      <w:r w:rsidR="00BB2A83" w:rsidRPr="00BB2A83">
        <w:t xml:space="preserve">eonates are defined as less than 28 days of </w:t>
      </w:r>
      <w:r w:rsidR="00954894" w:rsidRPr="00BB2A83">
        <w:t>age and</w:t>
      </w:r>
      <w:r w:rsidR="00BB2A83" w:rsidRPr="00BB2A83">
        <w:t xml:space="preserve"> are out of scope of this procedure.</w:t>
      </w:r>
    </w:p>
    <w:p w14:paraId="203BC0E6" w14:textId="77777777" w:rsidR="00BB2A83" w:rsidRPr="00CB462F" w:rsidRDefault="00BB2A83" w:rsidP="00CB462F">
      <w:pPr>
        <w:pStyle w:val="BodyCopy"/>
      </w:pPr>
      <w:r w:rsidRPr="00CB462F">
        <w:t xml:space="preserve">Support for continuous or bolus factor replacement outside of this scope can be obtained from the on-call Haematology Specialist at Canberra Hospital. </w:t>
      </w:r>
    </w:p>
    <w:p w14:paraId="5F8C776D" w14:textId="3329A294" w:rsidR="00BB2A83" w:rsidRDefault="00BB2A83" w:rsidP="00CB462F">
      <w:pPr>
        <w:pStyle w:val="BodyCopy"/>
      </w:pPr>
      <w:r w:rsidRPr="00CB462F">
        <w:t xml:space="preserve">For paediatric patients managed by the Sydney </w:t>
      </w:r>
      <w:r w:rsidR="001135FC" w:rsidRPr="00CB462F">
        <w:t>Children’s</w:t>
      </w:r>
      <w:r w:rsidRPr="00CB462F">
        <w:t xml:space="preserve"> Hospital support should be obtained</w:t>
      </w:r>
      <w:r w:rsidRPr="00BB2A83">
        <w:t xml:space="preserve"> from the haematology team at Sydney </w:t>
      </w:r>
      <w:r w:rsidR="001135FC" w:rsidRPr="00BB2A83">
        <w:t>Children’s</w:t>
      </w:r>
      <w:r w:rsidRPr="00BB2A83">
        <w:t xml:space="preserve"> Hospital.</w:t>
      </w:r>
    </w:p>
    <w:p w14:paraId="5D36FF4D" w14:textId="6110E0C9" w:rsidR="003254E1" w:rsidRPr="003254E1" w:rsidRDefault="003254E1" w:rsidP="003254E1">
      <w:pPr>
        <w:pStyle w:val="BodyCopy"/>
        <w:spacing w:before="240"/>
      </w:pPr>
      <w:hyperlink w:anchor="_top" w:history="1">
        <w:r w:rsidRPr="00481A6C">
          <w:rPr>
            <w:rStyle w:val="Hyperlink"/>
            <w:iCs w:val="0"/>
          </w:rPr>
          <w:t>Back to Contents</w:t>
        </w:r>
      </w:hyperlink>
    </w:p>
    <w:p w14:paraId="6B4FE564" w14:textId="77777777" w:rsidR="001A34D0" w:rsidRDefault="001A34D0">
      <w:pPr>
        <w:spacing w:before="0" w:after="0" w:line="240" w:lineRule="auto"/>
        <w:rPr>
          <w:rFonts w:eastAsia="Times New Roman"/>
          <w:b/>
          <w:bCs/>
          <w:iCs/>
          <w:color w:val="FFFFFF" w:themeColor="background1"/>
          <w:lang w:eastAsia="en-US"/>
        </w:rPr>
      </w:pPr>
      <w:r>
        <w:br w:type="page"/>
      </w:r>
    </w:p>
    <w:p w14:paraId="21ED0A56" w14:textId="603BA5AE" w:rsidR="0078367D" w:rsidRDefault="0078367D" w:rsidP="00197F2E">
      <w:pPr>
        <w:pStyle w:val="Heading4"/>
      </w:pPr>
      <w:bookmarkStart w:id="6" w:name="_Toc219390979"/>
      <w:r>
        <w:lastRenderedPageBreak/>
        <w:t xml:space="preserve">Section 1 </w:t>
      </w:r>
      <w:r w:rsidR="006F7EC9">
        <w:t>–</w:t>
      </w:r>
      <w:r>
        <w:t xml:space="preserve"> </w:t>
      </w:r>
      <w:r w:rsidR="009151A8">
        <w:t>Initial Assessment and Prescription</w:t>
      </w:r>
      <w:bookmarkEnd w:id="6"/>
    </w:p>
    <w:p w14:paraId="49935DCC" w14:textId="35389514" w:rsidR="00B332B3" w:rsidRDefault="00B332B3" w:rsidP="00B332B3">
      <w:pPr>
        <w:pStyle w:val="Heading5"/>
      </w:pPr>
      <w:r>
        <w:t>Initial assessment</w:t>
      </w:r>
    </w:p>
    <w:p w14:paraId="25ADD8DB" w14:textId="1EEEBA40" w:rsidR="006F7EC9" w:rsidRPr="007C3029" w:rsidRDefault="006F7EC9" w:rsidP="00651C5E">
      <w:r>
        <w:t>MO</w:t>
      </w:r>
      <w:r w:rsidR="009151A8">
        <w:t>s</w:t>
      </w:r>
      <w:r w:rsidRPr="007C3029">
        <w:t xml:space="preserve"> and NP</w:t>
      </w:r>
      <w:r w:rsidR="009151A8">
        <w:t>s</w:t>
      </w:r>
      <w:r w:rsidRPr="007C3029">
        <w:t xml:space="preserve"> are responsible for conducting an initial assessment of the patient </w:t>
      </w:r>
      <w:r>
        <w:t xml:space="preserve">with a known bleeding disorder </w:t>
      </w:r>
      <w:r w:rsidRPr="007C3029">
        <w:t>on presentation</w:t>
      </w:r>
      <w:r>
        <w:t>.</w:t>
      </w:r>
      <w:r w:rsidR="00B7084B">
        <w:t xml:space="preserve"> NPs must be named on the Nurse Practitioner and Endorsed Midwife Register </w:t>
      </w:r>
      <w:r w:rsidR="00641410">
        <w:t>on</w:t>
      </w:r>
      <w:r w:rsidR="00B7084B">
        <w:t xml:space="preserve"> the intranet</w:t>
      </w:r>
      <w:r w:rsidR="00861084">
        <w:t xml:space="preserve"> which includes </w:t>
      </w:r>
      <w:r w:rsidR="00B7084B">
        <w:t xml:space="preserve">their scope of practice and </w:t>
      </w:r>
      <w:r w:rsidR="00861084">
        <w:t>current credentialling.</w:t>
      </w:r>
    </w:p>
    <w:p w14:paraId="55908E4E" w14:textId="77777777" w:rsidR="006F7EC9" w:rsidRPr="007C3029" w:rsidRDefault="006F7EC9" w:rsidP="006F7EC9">
      <w:pPr>
        <w:jc w:val="both"/>
      </w:pPr>
      <w:r w:rsidRPr="007C3029">
        <w:t>Factors to consider at time of presentation are:</w:t>
      </w:r>
    </w:p>
    <w:p w14:paraId="25B03C20" w14:textId="503293E1" w:rsidR="006F7EC9" w:rsidRPr="006F7EC9" w:rsidRDefault="006F7EC9" w:rsidP="00CB462F">
      <w:pPr>
        <w:pStyle w:val="Bullet"/>
      </w:pPr>
      <w:r w:rsidRPr="006F7EC9">
        <w:t>type of coagulation disorder e.g. haemophilia, von Willebrand disease or other (rare) bleeding disorder</w:t>
      </w:r>
      <w:r w:rsidR="009151A8">
        <w:t>s</w:t>
      </w:r>
    </w:p>
    <w:p w14:paraId="74FF5FC7" w14:textId="0E4C23CC" w:rsidR="006F7EC9" w:rsidRPr="006F7EC9" w:rsidRDefault="006F7EC9" w:rsidP="00CB462F">
      <w:pPr>
        <w:pStyle w:val="Bullet"/>
      </w:pPr>
      <w:r w:rsidRPr="006F7EC9">
        <w:t xml:space="preserve">patient’s existing treatment plan (documented in the patient’s </w:t>
      </w:r>
      <w:r w:rsidR="00FD0950">
        <w:t>c</w:t>
      </w:r>
      <w:r w:rsidRPr="006F7EC9">
        <w:t xml:space="preserve">linical </w:t>
      </w:r>
      <w:r w:rsidR="00FD0950">
        <w:t>r</w:t>
      </w:r>
      <w:r w:rsidRPr="006F7EC9">
        <w:t>ecord, or in the patient’s own hard copy</w:t>
      </w:r>
      <w:r w:rsidR="00FD0950">
        <w:t xml:space="preserve"> record</w:t>
      </w:r>
      <w:r w:rsidRPr="006F7EC9">
        <w:t>)</w:t>
      </w:r>
    </w:p>
    <w:p w14:paraId="1B08E043" w14:textId="40BD6D68" w:rsidR="006F7EC9" w:rsidRPr="00FE34D6" w:rsidRDefault="009151A8" w:rsidP="00CB462F">
      <w:pPr>
        <w:pStyle w:val="Bullet"/>
      </w:pPr>
      <w:r>
        <w:t>b</w:t>
      </w:r>
      <w:r w:rsidR="006F7EC9" w:rsidRPr="006F7EC9">
        <w:t>aseline Factor VIII/IX levels, and/or the presence of Factor VIII/IX inhibitors</w:t>
      </w:r>
    </w:p>
    <w:p w14:paraId="3E2D1A8D" w14:textId="4452A87B" w:rsidR="006F7EC9" w:rsidRPr="007C3029" w:rsidRDefault="006F7EC9" w:rsidP="00414AF5">
      <w:pPr>
        <w:pStyle w:val="Bullet"/>
        <w:numPr>
          <w:ilvl w:val="0"/>
          <w:numId w:val="0"/>
        </w:numPr>
        <w:pBdr>
          <w:top w:val="single" w:sz="4" w:space="1" w:color="auto"/>
          <w:left w:val="single" w:sz="4" w:space="4" w:color="auto"/>
          <w:bottom w:val="single" w:sz="4" w:space="1" w:color="auto"/>
          <w:right w:val="single" w:sz="4" w:space="4" w:color="auto"/>
        </w:pBdr>
        <w:ind w:left="360"/>
      </w:pPr>
      <w:r>
        <w:rPr>
          <w:b/>
          <w:bCs/>
        </w:rPr>
        <w:t>Alert</w:t>
      </w:r>
      <w:r w:rsidRPr="167C3360">
        <w:t xml:space="preserve"> </w:t>
      </w:r>
      <w:r>
        <w:br/>
      </w:r>
      <w:r w:rsidRPr="167C3360">
        <w:t>Haemophilia B patients with inhibitors (antibodies to Factor IX) are at risk of severe allergic reactions, including anaphylaxis, to Factor IX. This is assessed t</w:t>
      </w:r>
      <w:r>
        <w:t xml:space="preserve">hrough a simple assay via pathology coagulation with inhibitors and noted in the patient’s care plan. See </w:t>
      </w:r>
      <w:r w:rsidR="007C215A">
        <w:t>the</w:t>
      </w:r>
      <w:r w:rsidR="007C215A" w:rsidRPr="167C3360">
        <w:rPr>
          <w:i/>
          <w:iCs/>
        </w:rPr>
        <w:t xml:space="preserve"> Management</w:t>
      </w:r>
      <w:r w:rsidRPr="167C3360">
        <w:rPr>
          <w:i/>
          <w:iCs/>
        </w:rPr>
        <w:t xml:space="preserve"> of Anaphylaxis in Adults and Children Guidelin</w:t>
      </w:r>
      <w:r w:rsidR="009151A8">
        <w:rPr>
          <w:i/>
          <w:iCs/>
        </w:rPr>
        <w:t xml:space="preserve">e, </w:t>
      </w:r>
      <w:r w:rsidR="009151A8" w:rsidRPr="009151A8">
        <w:t>available on the Policy and Guidance Documents Register,</w:t>
      </w:r>
      <w:r>
        <w:t xml:space="preserve"> for more detail on anaphylaxis.</w:t>
      </w:r>
    </w:p>
    <w:p w14:paraId="636056A8" w14:textId="77777777" w:rsidR="006F7EC9" w:rsidRPr="006F7EC9" w:rsidRDefault="006F7EC9" w:rsidP="00CB462F">
      <w:pPr>
        <w:pStyle w:val="Bullet"/>
      </w:pPr>
      <w:r w:rsidRPr="006F7EC9">
        <w:t>type of surgical intervention planned</w:t>
      </w:r>
    </w:p>
    <w:p w14:paraId="01E95728" w14:textId="77777777" w:rsidR="006F7EC9" w:rsidRPr="006F7EC9" w:rsidRDefault="006F7EC9" w:rsidP="00CB462F">
      <w:pPr>
        <w:pStyle w:val="Bullet"/>
      </w:pPr>
      <w:r w:rsidRPr="006F7EC9">
        <w:t>assessment of site and extent of bleeding and the impact on function</w:t>
      </w:r>
    </w:p>
    <w:p w14:paraId="6FC15120" w14:textId="77777777" w:rsidR="006F7EC9" w:rsidRPr="006F7EC9" w:rsidRDefault="006F7EC9" w:rsidP="00CB462F">
      <w:pPr>
        <w:pStyle w:val="Bullet"/>
      </w:pPr>
      <w:r w:rsidRPr="006F7EC9">
        <w:t>risks associated with continuous or regular bolus</w:t>
      </w:r>
      <w:r w:rsidRPr="006F7EC9">
        <w:rPr>
          <w:color w:val="FF0000"/>
        </w:rPr>
        <w:t xml:space="preserve"> </w:t>
      </w:r>
      <w:r w:rsidRPr="006F7EC9">
        <w:t>infusion of factors such as inhibitor development and local thrombophlebitis</w:t>
      </w:r>
    </w:p>
    <w:p w14:paraId="66523049" w14:textId="77777777" w:rsidR="006F7EC9" w:rsidRPr="006F7EC9" w:rsidRDefault="006F7EC9" w:rsidP="00CB462F">
      <w:pPr>
        <w:pStyle w:val="Bullet"/>
      </w:pPr>
      <w:r w:rsidRPr="006F7EC9">
        <w:t>assessment of treatment outcome.</w:t>
      </w:r>
    </w:p>
    <w:p w14:paraId="475CABDB" w14:textId="35EE5536" w:rsidR="002D4BB3" w:rsidRPr="00A6051F" w:rsidRDefault="006F7EC9" w:rsidP="00651C5E">
      <w:pPr>
        <w:pStyle w:val="Heading5"/>
      </w:pPr>
      <w:r>
        <w:t>Prescription</w:t>
      </w:r>
      <w:bookmarkStart w:id="7" w:name="_Hlk172532356"/>
    </w:p>
    <w:p w14:paraId="28D5107F" w14:textId="4150D875" w:rsidR="006F7EC9" w:rsidRPr="00373143" w:rsidRDefault="006F7EC9" w:rsidP="00CB462F">
      <w:pPr>
        <w:pStyle w:val="Bullet"/>
      </w:pPr>
      <w:r w:rsidRPr="00373143">
        <w:t xml:space="preserve">Haemophilia patient records, treatment plans and treatment letters are held in </w:t>
      </w:r>
      <w:r w:rsidR="009151A8">
        <w:t xml:space="preserve">the </w:t>
      </w:r>
      <w:r w:rsidR="00CC4F44">
        <w:t>Digital Health Record (DHR). Historical records are</w:t>
      </w:r>
      <w:r w:rsidRPr="00373143">
        <w:t xml:space="preserve"> </w:t>
      </w:r>
      <w:r w:rsidR="00CC4F44">
        <w:t>av</w:t>
      </w:r>
      <w:r w:rsidRPr="00373143">
        <w:t>ailable on the hospital intranet Clinical Patient Folder</w:t>
      </w:r>
      <w:r w:rsidR="00CC4F44">
        <w:t xml:space="preserve"> (CPF). </w:t>
      </w:r>
      <w:r w:rsidRPr="00373143">
        <w:t xml:space="preserve">Patients may also carry treatment plans on cards from </w:t>
      </w:r>
      <w:r w:rsidR="009151A8">
        <w:t>t</w:t>
      </w:r>
      <w:r w:rsidRPr="00373143">
        <w:t>he Canberra Hospital, The Australian Bleeding Disorders Registry (‘</w:t>
      </w:r>
      <w:proofErr w:type="spellStart"/>
      <w:r w:rsidRPr="00373143">
        <w:t>MyABDR</w:t>
      </w:r>
      <w:proofErr w:type="spellEnd"/>
      <w:r w:rsidRPr="00373143">
        <w:t>’) or other haemophilia treatment centres.</w:t>
      </w:r>
    </w:p>
    <w:p w14:paraId="10E6AE3C" w14:textId="77777777" w:rsidR="006F7EC9" w:rsidRPr="00373143" w:rsidRDefault="006F7EC9" w:rsidP="00CB462F">
      <w:pPr>
        <w:pStyle w:val="Bullet"/>
      </w:pPr>
      <w:r w:rsidRPr="00373143">
        <w:t>Contact the HTC via Switch on 51242286 or 0481013323, or (internal 9) during business hours if these documents are unavailable.</w:t>
      </w:r>
    </w:p>
    <w:p w14:paraId="77FB0383" w14:textId="5895AADA" w:rsidR="00861084" w:rsidRPr="00651C5E" w:rsidRDefault="00861084" w:rsidP="00861084">
      <w:pPr>
        <w:pStyle w:val="Bullet"/>
        <w:rPr>
          <w:rFonts w:asciiTheme="minorHAnsi" w:hAnsiTheme="minorHAnsi" w:cstheme="minorHAnsi"/>
        </w:rPr>
      </w:pPr>
      <w:r w:rsidRPr="00651C5E">
        <w:rPr>
          <w:rStyle w:val="cf01"/>
          <w:rFonts w:asciiTheme="minorHAnsi" w:hAnsiTheme="minorHAnsi" w:cstheme="minorHAnsi"/>
        </w:rPr>
        <w:t xml:space="preserve">Send the Transfusion Laboratory a copy of the treatment plan via: </w:t>
      </w:r>
      <w:hyperlink r:id="rId11" w:history="1">
        <w:r w:rsidRPr="00651C5E">
          <w:rPr>
            <w:rStyle w:val="Hyperlink"/>
            <w:rFonts w:asciiTheme="minorHAnsi" w:hAnsiTheme="minorHAnsi" w:cstheme="minorHAnsi"/>
          </w:rPr>
          <w:t>TCHTransfusion@act.gov.au</w:t>
        </w:r>
      </w:hyperlink>
      <w:r w:rsidRPr="00651C5E">
        <w:rPr>
          <w:rStyle w:val="cf01"/>
          <w:rFonts w:asciiTheme="minorHAnsi" w:hAnsiTheme="minorHAnsi" w:cstheme="minorHAnsi"/>
        </w:rPr>
        <w:t xml:space="preserve">. The laboratory only stocks minimal inventory of factor replacements and </w:t>
      </w:r>
      <w:r w:rsidRPr="00651C5E">
        <w:rPr>
          <w:rStyle w:val="cf01"/>
          <w:rFonts w:asciiTheme="minorHAnsi" w:hAnsiTheme="minorHAnsi" w:cstheme="minorHAnsi"/>
          <w:b/>
          <w:bCs/>
        </w:rPr>
        <w:t xml:space="preserve">must </w:t>
      </w:r>
      <w:r>
        <w:rPr>
          <w:rStyle w:val="cf01"/>
          <w:rFonts w:asciiTheme="minorHAnsi" w:hAnsiTheme="minorHAnsi" w:cstheme="minorHAnsi"/>
        </w:rPr>
        <w:t>have</w:t>
      </w:r>
      <w:r w:rsidRPr="00651C5E">
        <w:rPr>
          <w:rStyle w:val="cf01"/>
          <w:rFonts w:asciiTheme="minorHAnsi" w:hAnsiTheme="minorHAnsi" w:cstheme="minorHAnsi"/>
        </w:rPr>
        <w:t xml:space="preserve"> prior notification to ensure sufficient stock of product is available.</w:t>
      </w:r>
    </w:p>
    <w:p w14:paraId="7CB6DBF4" w14:textId="56637B8A" w:rsidR="006F7EC9" w:rsidRPr="00373143" w:rsidRDefault="006F7EC9" w:rsidP="00CB462F">
      <w:pPr>
        <w:pStyle w:val="Bullet"/>
      </w:pPr>
      <w:r w:rsidRPr="00373143">
        <w:t>Read and be familiar with the supplied product information.</w:t>
      </w:r>
    </w:p>
    <w:p w14:paraId="0E212DA2" w14:textId="77777777" w:rsidR="006F7EC9" w:rsidRPr="00373143" w:rsidRDefault="006F7EC9" w:rsidP="00CB462F">
      <w:pPr>
        <w:pStyle w:val="Bullet"/>
      </w:pPr>
      <w:r w:rsidRPr="00373143">
        <w:t xml:space="preserve">Obtain and document informed consent </w:t>
      </w:r>
      <w:r w:rsidRPr="00373143">
        <w:rPr>
          <w:bCs/>
        </w:rPr>
        <w:t>from the patient.</w:t>
      </w:r>
    </w:p>
    <w:p w14:paraId="29E05B6C" w14:textId="77777777" w:rsidR="006F7EC9" w:rsidRPr="00373143" w:rsidRDefault="006F7EC9" w:rsidP="00CB462F">
      <w:pPr>
        <w:pStyle w:val="Bullet"/>
      </w:pPr>
      <w:r w:rsidRPr="00373143">
        <w:lastRenderedPageBreak/>
        <w:t>Ensure all interactions, discussions and treatment decisions are fully documented in the patient’s clinical record.</w:t>
      </w:r>
    </w:p>
    <w:p w14:paraId="29DBAA05" w14:textId="68476A40" w:rsidR="006F7EC9" w:rsidRDefault="006F7EC9" w:rsidP="00CB462F">
      <w:pPr>
        <w:pStyle w:val="Bullet"/>
      </w:pPr>
      <w:r w:rsidRPr="00373143">
        <w:t>Continuous and bolus intravenous (IV) factor infusions must be prescribed by the Haematologist or the Haematology Advanced Trainees in consultation with the Haematologist.</w:t>
      </w:r>
    </w:p>
    <w:p w14:paraId="5259FE20" w14:textId="1BB0C9C7" w:rsidR="006F7EC9" w:rsidRPr="00373143" w:rsidRDefault="006F7EC9" w:rsidP="00CB462F">
      <w:pPr>
        <w:pStyle w:val="BodyCopy"/>
      </w:pPr>
      <w:r w:rsidRPr="00373143">
        <w:t>Plasma derived products and Recombinant Coagulation Factors in Australia are funded by National and State Governments. The National Blood Authority manages national supply for treatment conducted under the direction of Haematologists working at designated haemophilia treatment centres.</w:t>
      </w:r>
    </w:p>
    <w:p w14:paraId="606E0B9C" w14:textId="16C4158F" w:rsidR="006F7EC9" w:rsidRPr="00373143" w:rsidRDefault="006F7EC9" w:rsidP="00CB462F">
      <w:pPr>
        <w:pStyle w:val="BodyCopy"/>
        <w:rPr>
          <w:b/>
        </w:rPr>
      </w:pPr>
      <w:r w:rsidRPr="00373143">
        <w:t>Most clotting factors are not recommended by manufacturers for continuous infusion. However,</w:t>
      </w:r>
      <w:r w:rsidRPr="00373143">
        <w:rPr>
          <w:sz w:val="12"/>
          <w:szCs w:val="12"/>
        </w:rPr>
        <w:t xml:space="preserve"> </w:t>
      </w:r>
      <w:r w:rsidRPr="00373143">
        <w:t xml:space="preserve">continuous infusion of these products has been proven to be safe and </w:t>
      </w:r>
      <w:proofErr w:type="spellStart"/>
      <w:r w:rsidRPr="00373143">
        <w:t>haemostatically</w:t>
      </w:r>
      <w:proofErr w:type="spellEnd"/>
      <w:r w:rsidRPr="00373143">
        <w:t xml:space="preserve"> effective in both the peri-operative management of major and minor surgery and in the treatment of major spontaneous or traumatic bleeds. It is the responsibility of the prescribing Haematologist (or the Haematology Trainee doctor under the guidance of the Haematologist), the Paediatric Haematologist, and the Nurse Practitioner, to ensure the product and delivery method most suited to each individual circumstance is appropriate.</w:t>
      </w:r>
    </w:p>
    <w:bookmarkEnd w:id="7"/>
    <w:p w14:paraId="704A9241" w14:textId="77777777" w:rsidR="00481A6C" w:rsidRPr="00481A6C" w:rsidRDefault="00481A6C" w:rsidP="005C5F49">
      <w:pPr>
        <w:pStyle w:val="BodyCopy"/>
        <w:spacing w:before="240"/>
      </w:pPr>
      <w:r>
        <w:fldChar w:fldCharType="begin"/>
      </w:r>
      <w:r>
        <w:instrText>HYPERLINK \l "_top"</w:instrText>
      </w:r>
      <w:r>
        <w:fldChar w:fldCharType="separate"/>
      </w:r>
      <w:r w:rsidRPr="00481A6C">
        <w:rPr>
          <w:rStyle w:val="Hyperlink"/>
          <w:iCs w:val="0"/>
        </w:rPr>
        <w:t>Back to Contents</w:t>
      </w:r>
      <w:r>
        <w:fldChar w:fldCharType="end"/>
      </w:r>
    </w:p>
    <w:p w14:paraId="77D9C6B0" w14:textId="3577093D" w:rsidR="0078367D" w:rsidRDefault="0078367D" w:rsidP="00A6051F">
      <w:pPr>
        <w:pStyle w:val="Heading4"/>
      </w:pPr>
      <w:bookmarkStart w:id="8" w:name="_Toc219390980"/>
      <w:r>
        <w:t xml:space="preserve">Section 2 </w:t>
      </w:r>
      <w:r w:rsidR="0019360E">
        <w:t>–</w:t>
      </w:r>
      <w:r>
        <w:t xml:space="preserve"> </w:t>
      </w:r>
      <w:r w:rsidR="0019360E">
        <w:t>Continuous Factor Replacement</w:t>
      </w:r>
      <w:bookmarkEnd w:id="8"/>
    </w:p>
    <w:p w14:paraId="78A85089" w14:textId="260D8821" w:rsidR="003254E1" w:rsidRDefault="003254E1" w:rsidP="003254E1">
      <w:pPr>
        <w:pStyle w:val="Heading5"/>
      </w:pPr>
      <w:r>
        <w:t xml:space="preserve">Equipment </w:t>
      </w:r>
    </w:p>
    <w:p w14:paraId="426C81B2" w14:textId="6F1A762D" w:rsidR="0019360E" w:rsidRPr="006100CE" w:rsidRDefault="00387287" w:rsidP="00CB462F">
      <w:pPr>
        <w:pStyle w:val="Bullet"/>
      </w:pPr>
      <w:proofErr w:type="spellStart"/>
      <w:r>
        <w:t>A</w:t>
      </w:r>
      <w:r w:rsidR="00C04F59">
        <w:t>rc</w:t>
      </w:r>
      <w:r>
        <w:t>omed</w:t>
      </w:r>
      <w:proofErr w:type="spellEnd"/>
      <w:r w:rsidR="00C04F59">
        <w:t>®</w:t>
      </w:r>
      <w:r w:rsidR="0019360E" w:rsidRPr="006100CE">
        <w:t xml:space="preserve"> </w:t>
      </w:r>
      <w:r w:rsidR="00C04F59">
        <w:t>p</w:t>
      </w:r>
      <w:r w:rsidR="0019360E" w:rsidRPr="006100CE">
        <w:t>ump (</w:t>
      </w:r>
      <w:r w:rsidR="00C04F59">
        <w:t>s</w:t>
      </w:r>
      <w:r w:rsidR="0019360E" w:rsidRPr="006100CE">
        <w:t xml:space="preserve">yringe </w:t>
      </w:r>
      <w:r w:rsidR="00C04F59">
        <w:t>p</w:t>
      </w:r>
      <w:r w:rsidR="0019360E" w:rsidRPr="006100CE">
        <w:t>ump)</w:t>
      </w:r>
    </w:p>
    <w:p w14:paraId="57B86C6B" w14:textId="4D61C642" w:rsidR="0019360E" w:rsidRPr="006100CE" w:rsidRDefault="0019360E" w:rsidP="00CB462F">
      <w:pPr>
        <w:pStyle w:val="Bullet"/>
      </w:pPr>
      <w:r>
        <w:t>a</w:t>
      </w:r>
      <w:r w:rsidRPr="006100CE">
        <w:t xml:space="preserve">ppropriate </w:t>
      </w:r>
      <w:r>
        <w:t>s</w:t>
      </w:r>
      <w:r w:rsidRPr="006100CE">
        <w:t xml:space="preserve">ize </w:t>
      </w:r>
      <w:r w:rsidR="00C04F59">
        <w:t>s</w:t>
      </w:r>
      <w:r w:rsidR="00C04F59" w:rsidRPr="006100CE">
        <w:t xml:space="preserve">yringe </w:t>
      </w:r>
      <w:r w:rsidRPr="006100CE">
        <w:t>(5</w:t>
      </w:r>
      <w:r>
        <w:t xml:space="preserve"> </w:t>
      </w:r>
      <w:r w:rsidRPr="006100CE">
        <w:t>m</w:t>
      </w:r>
      <w:r>
        <w:t>L</w:t>
      </w:r>
      <w:r w:rsidRPr="006100CE">
        <w:t xml:space="preserve"> - 50m</w:t>
      </w:r>
      <w:r>
        <w:t>L</w:t>
      </w:r>
      <w:r w:rsidRPr="006100CE">
        <w:t>)</w:t>
      </w:r>
    </w:p>
    <w:p w14:paraId="59242E25" w14:textId="520913C7" w:rsidR="0019360E" w:rsidRPr="006100CE" w:rsidRDefault="0019360E" w:rsidP="00CB462F">
      <w:pPr>
        <w:pStyle w:val="Bullet"/>
      </w:pPr>
      <w:proofErr w:type="spellStart"/>
      <w:r w:rsidRPr="006100CE">
        <w:t>Perfusor</w:t>
      </w:r>
      <w:proofErr w:type="spellEnd"/>
      <w:r w:rsidRPr="006100CE">
        <w:t xml:space="preserve"> </w:t>
      </w:r>
      <w:r w:rsidR="00B332B3">
        <w:t>g</w:t>
      </w:r>
      <w:r w:rsidRPr="006100CE">
        <w:t xml:space="preserve">iving </w:t>
      </w:r>
      <w:r w:rsidR="00B332B3">
        <w:t>s</w:t>
      </w:r>
      <w:r w:rsidRPr="006100CE">
        <w:t>et</w:t>
      </w:r>
    </w:p>
    <w:p w14:paraId="3A974473" w14:textId="77777777" w:rsidR="009E2081" w:rsidRDefault="009E2081" w:rsidP="00D60A56">
      <w:pPr>
        <w:pStyle w:val="Heading5"/>
      </w:pPr>
      <w:r>
        <w:t>Dosing</w:t>
      </w:r>
    </w:p>
    <w:p w14:paraId="2FFF4507" w14:textId="41E6494F" w:rsidR="00D60A56" w:rsidRDefault="00D60A56" w:rsidP="00A86EF5">
      <w:pPr>
        <w:pStyle w:val="Heading6"/>
      </w:pPr>
      <w:r>
        <w:t xml:space="preserve">Dose of recombinant Factor VIII and plasma derive Factor VIII: </w:t>
      </w:r>
    </w:p>
    <w:p w14:paraId="6F07E133" w14:textId="77777777" w:rsidR="00D60A56" w:rsidRPr="006100CE" w:rsidRDefault="00D60A56" w:rsidP="00D60A56">
      <w:pPr>
        <w:pStyle w:val="BodyCopy"/>
      </w:pPr>
      <w:hyperlink r:id="rId12" w:history="1">
        <w:r w:rsidRPr="00E22565">
          <w:t>Australian Haemophilia Centre Directors' Organisation (AHCDO) recommends</w:t>
        </w:r>
      </w:hyperlink>
      <w:r>
        <w:t xml:space="preserve"> d</w:t>
      </w:r>
      <w:r w:rsidRPr="006100CE">
        <w:t>osing (units/</w:t>
      </w:r>
      <w:r>
        <w:t>kg</w:t>
      </w:r>
      <w:r w:rsidRPr="006100CE">
        <w:t>) based on the day of surgery and required F</w:t>
      </w:r>
      <w:r>
        <w:t xml:space="preserve">actor </w:t>
      </w:r>
      <w:r w:rsidRPr="006100CE">
        <w:t>VIII steady state level (%)</w:t>
      </w:r>
      <w:r>
        <w:t>,</w:t>
      </w:r>
      <w:r w:rsidRPr="006100CE">
        <w:t xml:space="preserve"> which is as follows:</w:t>
      </w:r>
    </w:p>
    <w:p w14:paraId="1C57628E" w14:textId="223A7A70" w:rsidR="00D60A56" w:rsidRPr="007E1101" w:rsidRDefault="00D60A56" w:rsidP="00D60A56">
      <w:pPr>
        <w:pStyle w:val="Bullet"/>
      </w:pPr>
      <w:r w:rsidRPr="007E1101">
        <w:t>Pre-operative: 40</w:t>
      </w:r>
      <w:r w:rsidR="00414AF5">
        <w:t xml:space="preserve"> to </w:t>
      </w:r>
      <w:r w:rsidRPr="007E1101">
        <w:t xml:space="preserve">50 units/kg bolus loading dose, aiming for pre-operative levels of 80% </w:t>
      </w:r>
      <w:r>
        <w:t xml:space="preserve">or more </w:t>
      </w:r>
      <w:r w:rsidRPr="007E1101">
        <w:t>F</w:t>
      </w:r>
      <w:r>
        <w:t xml:space="preserve">actor </w:t>
      </w:r>
      <w:r w:rsidRPr="007E1101">
        <w:t xml:space="preserve">VIII plasma level </w:t>
      </w:r>
    </w:p>
    <w:p w14:paraId="5F6CB355" w14:textId="41810ED3" w:rsidR="00D60A56" w:rsidRPr="007E1101" w:rsidRDefault="00D60A56" w:rsidP="00D60A56">
      <w:pPr>
        <w:pStyle w:val="Bullet"/>
      </w:pPr>
      <w:r w:rsidRPr="007E1101">
        <w:t>Days 1</w:t>
      </w:r>
      <w:r w:rsidR="00414AF5">
        <w:t xml:space="preserve"> to </w:t>
      </w:r>
      <w:r w:rsidRPr="007E1101">
        <w:t xml:space="preserve">6: required level </w:t>
      </w:r>
      <w:r>
        <w:t xml:space="preserve">greater than </w:t>
      </w:r>
      <w:r w:rsidRPr="007E1101">
        <w:t>50%; dose at 3</w:t>
      </w:r>
      <w:r w:rsidR="00414AF5">
        <w:t xml:space="preserve"> to </w:t>
      </w:r>
      <w:r w:rsidRPr="007E1101">
        <w:t>5 units/kg/hour</w:t>
      </w:r>
    </w:p>
    <w:p w14:paraId="6828A43C" w14:textId="77777777" w:rsidR="00D60A56" w:rsidRPr="007E1101" w:rsidRDefault="00D60A56" w:rsidP="00D60A56">
      <w:pPr>
        <w:pStyle w:val="Bullet"/>
      </w:pPr>
      <w:r w:rsidRPr="007E1101">
        <w:t>Days 7 and beyond: often changed to bolus.</w:t>
      </w:r>
    </w:p>
    <w:p w14:paraId="7A318243" w14:textId="77777777" w:rsidR="00D60A56" w:rsidRPr="00D85CC2" w:rsidRDefault="00D60A56" w:rsidP="00651C5E">
      <w:pPr>
        <w:pStyle w:val="Heading6"/>
      </w:pPr>
      <w:r w:rsidRPr="003A0CA7">
        <w:t>Dose of recombinant Factor IX</w:t>
      </w:r>
      <w:r w:rsidRPr="0095483A">
        <w:rPr>
          <w:i/>
        </w:rPr>
        <w:t xml:space="preserve"> </w:t>
      </w:r>
    </w:p>
    <w:p w14:paraId="585F36D4" w14:textId="6CA2D2F4" w:rsidR="00D60A56" w:rsidRPr="009A4ECC" w:rsidRDefault="00D60A56" w:rsidP="00D60A56">
      <w:pPr>
        <w:pStyle w:val="BodyCopy"/>
      </w:pPr>
      <w:r w:rsidRPr="009A4ECC">
        <w:t>Although there is no clear recommendation on continuous infusion dosing including the AHCDO guideline, international studies suggest a Factor IX dose of 3</w:t>
      </w:r>
      <w:r w:rsidR="00414AF5">
        <w:t xml:space="preserve"> to </w:t>
      </w:r>
      <w:r w:rsidRPr="009A4ECC">
        <w:t xml:space="preserve">5 units/kg/hour is to be used. </w:t>
      </w:r>
    </w:p>
    <w:p w14:paraId="57C751D5" w14:textId="6E092DB5" w:rsidR="00D60A56" w:rsidRPr="00E63F30" w:rsidRDefault="00D60A56" w:rsidP="00D60A56">
      <w:pPr>
        <w:pStyle w:val="Bullet"/>
      </w:pPr>
      <w:r w:rsidRPr="00D85CC2">
        <w:lastRenderedPageBreak/>
        <w:t>40</w:t>
      </w:r>
      <w:r w:rsidR="00414AF5">
        <w:t xml:space="preserve"> to </w:t>
      </w:r>
      <w:r w:rsidRPr="00D85CC2">
        <w:t>50 units/kg bolus loading dose</w:t>
      </w:r>
      <w:r>
        <w:t>. S</w:t>
      </w:r>
      <w:r w:rsidRPr="00D85CC2">
        <w:t>ubsequent doses need to be determined based on the condition and/or complications at that time.</w:t>
      </w:r>
    </w:p>
    <w:p w14:paraId="149B4B06" w14:textId="77777777" w:rsidR="00D60A56" w:rsidRPr="003A0CA7" w:rsidRDefault="00D60A56" w:rsidP="00651C5E">
      <w:pPr>
        <w:pStyle w:val="Heading6"/>
      </w:pPr>
      <w:r w:rsidRPr="003A0CA7">
        <w:t>Dose of recombinant von Willebrand Factor</w:t>
      </w:r>
    </w:p>
    <w:p w14:paraId="2499D536" w14:textId="77777777" w:rsidR="00D60A56" w:rsidRPr="006100CE" w:rsidRDefault="00D60A56" w:rsidP="00D60A56">
      <w:pPr>
        <w:pStyle w:val="BodyCopy"/>
      </w:pPr>
      <w:r w:rsidRPr="006100CE">
        <w:t xml:space="preserve">For von Willebrand disease, surgery is usually adequately covered using </w:t>
      </w:r>
      <w:proofErr w:type="spellStart"/>
      <w:r w:rsidRPr="006100CE">
        <w:t>Biostate</w:t>
      </w:r>
      <w:proofErr w:type="spellEnd"/>
      <w:r w:rsidRPr="006100CE">
        <w:t xml:space="preserve"> bolus dosing. The treating </w:t>
      </w:r>
      <w:r>
        <w:t>H</w:t>
      </w:r>
      <w:r w:rsidRPr="006100CE">
        <w:t>aematologist should be contacted for instruction.</w:t>
      </w:r>
    </w:p>
    <w:p w14:paraId="1D569797" w14:textId="1344B46B" w:rsidR="003254E1" w:rsidRDefault="0019360E" w:rsidP="003254E1">
      <w:pPr>
        <w:pStyle w:val="Heading5"/>
      </w:pPr>
      <w:r>
        <w:t xml:space="preserve">Initial infusion </w:t>
      </w:r>
    </w:p>
    <w:p w14:paraId="504D3864" w14:textId="7E890408" w:rsidR="0019360E" w:rsidRPr="006100CE" w:rsidRDefault="0019360E" w:rsidP="00CB462F">
      <w:pPr>
        <w:pStyle w:val="Numberedlist"/>
      </w:pPr>
      <w:r w:rsidRPr="167C3360">
        <w:t>Confirm informed consent process has been followed and documented by the MO in the patient’s clinical records.</w:t>
      </w:r>
      <w:r>
        <w:t xml:space="preserve"> </w:t>
      </w:r>
      <w:r w:rsidR="005E52B4">
        <w:t xml:space="preserve">Refer to the </w:t>
      </w:r>
      <w:r w:rsidR="005E52B4">
        <w:rPr>
          <w:i/>
          <w:iCs/>
        </w:rPr>
        <w:t>Consent for Healthcare Treatment Guideline</w:t>
      </w:r>
      <w:r w:rsidR="005E52B4">
        <w:t>, available on the Policy and Guidance Documents Register.</w:t>
      </w:r>
      <w:r>
        <w:t xml:space="preserve"> </w:t>
      </w:r>
    </w:p>
    <w:p w14:paraId="3D793583" w14:textId="53B2ACE9" w:rsidR="0019360E" w:rsidRDefault="0019360E" w:rsidP="00CB462F">
      <w:pPr>
        <w:pStyle w:val="Numberedlist"/>
      </w:pPr>
      <w:bookmarkStart w:id="9" w:name="_Hlk218262511"/>
      <w:r>
        <w:t>Ensure that there is a current medical order</w:t>
      </w:r>
      <w:r w:rsidR="00E63D9D">
        <w:t xml:space="preserve"> place</w:t>
      </w:r>
      <w:r w:rsidR="00651C5E">
        <w:t>d</w:t>
      </w:r>
      <w:r w:rsidR="00E63D9D">
        <w:t xml:space="preserve"> through DHR medication orders</w:t>
      </w:r>
      <w:r w:rsidR="00651C5E">
        <w:t xml:space="preserve"> and a copy of the treatment plan is available in the clinical record</w:t>
      </w:r>
      <w:r w:rsidR="00E63D9D">
        <w:t>.</w:t>
      </w:r>
      <w:r w:rsidR="0048422E">
        <w:t xml:space="preserve"> The </w:t>
      </w:r>
      <w:r w:rsidR="00651C5E">
        <w:t>B</w:t>
      </w:r>
      <w:r w:rsidR="0048422E">
        <w:t xml:space="preserve">lood </w:t>
      </w:r>
      <w:r w:rsidR="00651C5E">
        <w:t>P</w:t>
      </w:r>
      <w:r w:rsidR="0048422E">
        <w:t xml:space="preserve">roduct </w:t>
      </w:r>
      <w:r w:rsidR="00651C5E">
        <w:t>P</w:t>
      </w:r>
      <w:r w:rsidR="0048422E">
        <w:t xml:space="preserve">rescription and </w:t>
      </w:r>
      <w:r w:rsidR="00651C5E">
        <w:t>C</w:t>
      </w:r>
      <w:r w:rsidR="0048422E">
        <w:t xml:space="preserve">hecklist form </w:t>
      </w:r>
      <w:r w:rsidR="00651C5E">
        <w:t xml:space="preserve">(located on the Clinical Forms Register) </w:t>
      </w:r>
      <w:r w:rsidR="0048422E">
        <w:t>is used for DHR down time procedures</w:t>
      </w:r>
      <w:bookmarkEnd w:id="9"/>
      <w:r w:rsidR="0048422E">
        <w:t>.</w:t>
      </w:r>
    </w:p>
    <w:p w14:paraId="111914EC" w14:textId="45D7BE44" w:rsidR="0019360E" w:rsidRPr="006100CE" w:rsidRDefault="0019360E" w:rsidP="00CB462F">
      <w:pPr>
        <w:pStyle w:val="Numberedlist"/>
      </w:pPr>
      <w:r w:rsidRPr="167C3360">
        <w:t>Confirm the exact product the patient was prescribed, e.</w:t>
      </w:r>
      <w:r>
        <w:t>g.</w:t>
      </w:r>
      <w:r w:rsidRPr="167C3360">
        <w:t xml:space="preserve"> recombinant factors, plasma-derived factors, or </w:t>
      </w:r>
      <w:r w:rsidR="005E52B4">
        <w:t>e</w:t>
      </w:r>
      <w:r w:rsidRPr="167C3360">
        <w:t>xtended half-life products.</w:t>
      </w:r>
    </w:p>
    <w:p w14:paraId="0A446E64" w14:textId="77777777" w:rsidR="0019360E" w:rsidRPr="005E52B4" w:rsidRDefault="0019360E" w:rsidP="00CB462F">
      <w:pPr>
        <w:pStyle w:val="Numberedlist"/>
      </w:pPr>
      <w:r w:rsidRPr="005E52B4">
        <w:t xml:space="preserve">Release the blood products in the patient’s clinical record for the transfusion laboratory to prepare the product for collection. </w:t>
      </w:r>
    </w:p>
    <w:p w14:paraId="7E4B9ED5" w14:textId="3E3105B0" w:rsidR="0019360E" w:rsidRPr="005E52B4" w:rsidRDefault="0019360E" w:rsidP="00CB462F">
      <w:pPr>
        <w:pStyle w:val="Numberedlist"/>
      </w:pPr>
      <w:r w:rsidRPr="005E52B4">
        <w:t xml:space="preserve">Ensure appropriate IV device has been inserted, flushed and </w:t>
      </w:r>
      <w:r w:rsidR="005E52B4" w:rsidRPr="005E52B4">
        <w:t xml:space="preserve">is </w:t>
      </w:r>
      <w:r w:rsidRPr="005E52B4">
        <w:t xml:space="preserve">patent. </w:t>
      </w:r>
    </w:p>
    <w:p w14:paraId="03C059DD" w14:textId="7E6E5B98" w:rsidR="0019360E" w:rsidRPr="005E52B4" w:rsidRDefault="0019360E" w:rsidP="00CB462F">
      <w:pPr>
        <w:pBdr>
          <w:top w:val="single" w:sz="4" w:space="1" w:color="auto"/>
          <w:left w:val="single" w:sz="4" w:space="4" w:color="auto"/>
          <w:bottom w:val="single" w:sz="4" w:space="1" w:color="auto"/>
          <w:right w:val="single" w:sz="4" w:space="4" w:color="auto"/>
        </w:pBdr>
        <w:ind w:left="567"/>
      </w:pPr>
      <w:r w:rsidRPr="005E52B4">
        <w:rPr>
          <w:b/>
          <w:bCs/>
        </w:rPr>
        <w:t xml:space="preserve">Alert </w:t>
      </w:r>
      <w:r w:rsidRPr="005E52B4">
        <w:br/>
        <w:t xml:space="preserve">The access device selected should meet the planned duration of therapy with minimal device changes or reinsertions (see the </w:t>
      </w:r>
      <w:r w:rsidRPr="007C215A">
        <w:rPr>
          <w:i/>
          <w:iCs/>
        </w:rPr>
        <w:t>Central</w:t>
      </w:r>
      <w:r w:rsidRPr="005E52B4">
        <w:t xml:space="preserve"> </w:t>
      </w:r>
      <w:r w:rsidRPr="007C215A">
        <w:rPr>
          <w:i/>
          <w:iCs/>
        </w:rPr>
        <w:t xml:space="preserve">Venous Access Device (CVAD) </w:t>
      </w:r>
      <w:r w:rsidR="00974DC4">
        <w:rPr>
          <w:i/>
          <w:iCs/>
        </w:rPr>
        <w:t xml:space="preserve">Care and </w:t>
      </w:r>
      <w:r w:rsidRPr="007C215A">
        <w:rPr>
          <w:i/>
          <w:iCs/>
        </w:rPr>
        <w:t>Management</w:t>
      </w:r>
      <w:r w:rsidR="00974DC4">
        <w:rPr>
          <w:i/>
          <w:iCs/>
        </w:rPr>
        <w:t xml:space="preserve"> – Adults and Paediatrics (not Neonates)</w:t>
      </w:r>
      <w:r w:rsidRPr="007C215A">
        <w:rPr>
          <w:i/>
          <w:iCs/>
        </w:rPr>
        <w:t xml:space="preserve"> Procedure</w:t>
      </w:r>
      <w:r w:rsidRPr="005E52B4">
        <w:t xml:space="preserve"> on the Policy </w:t>
      </w:r>
      <w:r w:rsidR="00974DC4">
        <w:t xml:space="preserve">and Guidance Documents </w:t>
      </w:r>
      <w:r w:rsidRPr="005E52B4">
        <w:t>Register). Factor infusions can be delivered by any form of IV access including peripheral cannula.</w:t>
      </w:r>
    </w:p>
    <w:p w14:paraId="2264BA74" w14:textId="71D13F26" w:rsidR="0019360E" w:rsidRPr="005E52B4" w:rsidRDefault="0019360E" w:rsidP="00914E60">
      <w:pPr>
        <w:pStyle w:val="Numberedlist"/>
      </w:pPr>
      <w:r w:rsidRPr="005E52B4">
        <w:t>Confirm the patient’s identity to ensure that the correct patient is receiving the correct product. Specifically check all patient details on the prescription against both the patient’s identification band and the product, and if possible, ask the patient to identify themselves (thus ensuring an incorrect name band has not been fixed to the patient).</w:t>
      </w:r>
      <w:r w:rsidR="00914E60">
        <w:t xml:space="preserve"> Refer to the </w:t>
      </w:r>
      <w:r w:rsidR="00914E60" w:rsidRPr="00914E60">
        <w:rPr>
          <w:i/>
          <w:iCs/>
        </w:rPr>
        <w:t xml:space="preserve">Patient Identification and Healthcare Activity </w:t>
      </w:r>
      <w:r w:rsidR="00914E60">
        <w:rPr>
          <w:i/>
          <w:iCs/>
        </w:rPr>
        <w:t xml:space="preserve">Matching </w:t>
      </w:r>
      <w:r w:rsidR="00914E60" w:rsidRPr="00914E60">
        <w:rPr>
          <w:i/>
          <w:iCs/>
        </w:rPr>
        <w:t>Procedure</w:t>
      </w:r>
      <w:r w:rsidR="00914E60">
        <w:rPr>
          <w:i/>
          <w:iCs/>
        </w:rPr>
        <w:t>,</w:t>
      </w:r>
      <w:r w:rsidR="00914E60">
        <w:t xml:space="preserve"> available on the Policy and Guidance Documents Register.</w:t>
      </w:r>
    </w:p>
    <w:p w14:paraId="0D51BE9F" w14:textId="57B617A9" w:rsidR="0019360E" w:rsidRPr="006100CE" w:rsidRDefault="0019360E" w:rsidP="00CB462F">
      <w:pPr>
        <w:pStyle w:val="Numberedlist"/>
      </w:pPr>
      <w:r w:rsidRPr="005E52B4">
        <w:t xml:space="preserve">Record baseline vital signs in the patient’s </w:t>
      </w:r>
      <w:r w:rsidR="00974DC4">
        <w:t>c</w:t>
      </w:r>
      <w:r w:rsidRPr="005E52B4">
        <w:t xml:space="preserve">linical </w:t>
      </w:r>
      <w:r w:rsidR="00974DC4">
        <w:t>r</w:t>
      </w:r>
      <w:r w:rsidRPr="005E52B4">
        <w:t xml:space="preserve">ecord. Continue minimum of once every 6 hours observations while the </w:t>
      </w:r>
      <w:r w:rsidRPr="006100CE">
        <w:t xml:space="preserve">infusion </w:t>
      </w:r>
      <w:r>
        <w:t xml:space="preserve">is </w:t>
      </w:r>
      <w:r w:rsidRPr="006100CE">
        <w:t>in progress</w:t>
      </w:r>
      <w:r>
        <w:t>,</w:t>
      </w:r>
      <w:r w:rsidRPr="006100CE">
        <w:t xml:space="preserve"> or as directed by clinical condition</w:t>
      </w:r>
      <w:r>
        <w:t xml:space="preserve">. For further information please see the </w:t>
      </w:r>
      <w:r w:rsidRPr="003A0CA7">
        <w:rPr>
          <w:i/>
          <w:iCs/>
        </w:rPr>
        <w:t>Post-Operative Handover and Observations – Adult Patients (</w:t>
      </w:r>
      <w:r>
        <w:rPr>
          <w:i/>
          <w:iCs/>
        </w:rPr>
        <w:t xml:space="preserve">First </w:t>
      </w:r>
      <w:r w:rsidRPr="003A0CA7">
        <w:rPr>
          <w:i/>
          <w:iCs/>
        </w:rPr>
        <w:t>24 hours) Procedure</w:t>
      </w:r>
      <w:r w:rsidRPr="009E7D11">
        <w:t>, available on the Policy and Guidance Documents Register</w:t>
      </w:r>
      <w:r>
        <w:t xml:space="preserve">. </w:t>
      </w:r>
    </w:p>
    <w:p w14:paraId="140AA25F" w14:textId="77777777" w:rsidR="0019360E" w:rsidRPr="008241B9" w:rsidRDefault="0019360E" w:rsidP="00CB462F">
      <w:pPr>
        <w:pStyle w:val="Numberedlist"/>
      </w:pPr>
      <w:r w:rsidRPr="167C3360">
        <w:t>A bolus dose may precede the continuous infusion and should be administered immediately prior to commencing continuous infusion. (A bolus may be required to achieve a therapeutic level prior to commencing continuous infusion).</w:t>
      </w:r>
    </w:p>
    <w:p w14:paraId="7703CA5C" w14:textId="77777777" w:rsidR="0019360E" w:rsidRPr="006100CE" w:rsidRDefault="0019360E" w:rsidP="00CB462F">
      <w:pPr>
        <w:pStyle w:val="Numberedlist"/>
      </w:pPr>
      <w:r>
        <w:t xml:space="preserve">Confirm </w:t>
      </w:r>
      <w:r w:rsidRPr="006100CE">
        <w:t xml:space="preserve">product </w:t>
      </w:r>
      <w:r>
        <w:t xml:space="preserve">is correct </w:t>
      </w:r>
      <w:r w:rsidRPr="006100CE">
        <w:t>against order with second registered nurse/midwife/</w:t>
      </w:r>
      <w:r>
        <w:t>MO</w:t>
      </w:r>
      <w:r w:rsidRPr="006100CE">
        <w:t>.</w:t>
      </w:r>
    </w:p>
    <w:p w14:paraId="67771FEF" w14:textId="77777777" w:rsidR="0019360E" w:rsidRPr="006100CE" w:rsidRDefault="0019360E" w:rsidP="00CB462F">
      <w:pPr>
        <w:pStyle w:val="Numberedlist"/>
      </w:pPr>
      <w:r w:rsidRPr="006100CE">
        <w:lastRenderedPageBreak/>
        <w:t>Reconstitute the factor replacement as per product specifications.</w:t>
      </w:r>
    </w:p>
    <w:p w14:paraId="6010FF0C" w14:textId="77777777" w:rsidR="0019360E" w:rsidRPr="0019360E" w:rsidRDefault="0019360E" w:rsidP="00CB462F">
      <w:pPr>
        <w:pStyle w:val="Bullet"/>
        <w:numPr>
          <w:ilvl w:val="1"/>
          <w:numId w:val="1"/>
        </w:numPr>
      </w:pPr>
      <w:r w:rsidRPr="0019360E">
        <w:t>Information on reconstitution is found in the packaging with the product.</w:t>
      </w:r>
    </w:p>
    <w:p w14:paraId="125E949E" w14:textId="6EB3C19C" w:rsidR="0019360E" w:rsidRPr="0019360E" w:rsidRDefault="0019360E" w:rsidP="00CB462F">
      <w:pPr>
        <w:pStyle w:val="Bullet"/>
        <w:numPr>
          <w:ilvl w:val="1"/>
          <w:numId w:val="1"/>
        </w:numPr>
      </w:pPr>
      <w:r w:rsidRPr="0019360E">
        <w:t>If staff are unsure about aspects of the process, please contact the Haemophilia Nurse at HTC in Canberra Hospital during business hours on 51242286 or 0481013323. For paediatric patients under the care of the Sydney Children’s Hospital advice should be sought from the Paediatric Haematology Nurse Coordinator at Sydney Children’s Hospital</w:t>
      </w:r>
      <w:r w:rsidR="00112193">
        <w:t xml:space="preserve">, </w:t>
      </w:r>
      <w:bookmarkStart w:id="10" w:name="_Hlk218262969"/>
      <w:r w:rsidR="00112193" w:rsidRPr="0002570D">
        <w:t>during business hours on 0436 601238 or 02 9382 1240</w:t>
      </w:r>
      <w:bookmarkEnd w:id="10"/>
      <w:r w:rsidR="00112193">
        <w:t>.</w:t>
      </w:r>
    </w:p>
    <w:p w14:paraId="21CF4386" w14:textId="1DE70A09" w:rsidR="00F83DC7" w:rsidRPr="006100CE" w:rsidRDefault="0019360E" w:rsidP="001A34D0">
      <w:pPr>
        <w:pBdr>
          <w:top w:val="single" w:sz="4" w:space="1" w:color="auto"/>
          <w:left w:val="single" w:sz="4" w:space="4" w:color="auto"/>
          <w:bottom w:val="single" w:sz="4" w:space="1" w:color="auto"/>
          <w:right w:val="single" w:sz="4" w:space="4" w:color="auto"/>
        </w:pBdr>
        <w:ind w:left="425"/>
      </w:pPr>
      <w:r>
        <w:rPr>
          <w:b/>
          <w:bCs/>
        </w:rPr>
        <w:t>Alert</w:t>
      </w:r>
      <w:r>
        <w:br/>
        <w:t xml:space="preserve">Many haemophilia patients </w:t>
      </w:r>
      <w:r w:rsidR="00F83DC7">
        <w:t>are highly experienced in managing their treatment and have been trained to reconstitute their product. Their involvement in this process reflects their expertise and contributes to patient safety.</w:t>
      </w:r>
      <w:r>
        <w:t xml:space="preserve"> However, it is the responsibility of the staff member to ensure this process is accurately performed against product specification.</w:t>
      </w:r>
    </w:p>
    <w:p w14:paraId="0BC975AF" w14:textId="77777777" w:rsidR="0019360E" w:rsidRPr="006100CE" w:rsidRDefault="0019360E" w:rsidP="00CB462F">
      <w:pPr>
        <w:pStyle w:val="Numberedlist"/>
      </w:pPr>
      <w:r w:rsidRPr="167C3360">
        <w:t>Draw up and combine individual vials of the factor replacement, reconstituted in a single appropriately sized syringe. There is no need to add extra water for injection or normal saline to the reconstituted solution. Mix gently, do not shake the vial.</w:t>
      </w:r>
      <w:r w:rsidRPr="001B797A">
        <w:t xml:space="preserve"> </w:t>
      </w:r>
      <w:r>
        <w:t>If you wish to increase the volume of product in the syringe you may add water for injection</w:t>
      </w:r>
      <w:r w:rsidRPr="008C4F48">
        <w:rPr>
          <w:color w:val="auto"/>
        </w:rPr>
        <w:t>.</w:t>
      </w:r>
    </w:p>
    <w:p w14:paraId="4AB481AE" w14:textId="77777777" w:rsidR="0019360E" w:rsidRPr="006100CE" w:rsidRDefault="0019360E" w:rsidP="00CB462F">
      <w:pPr>
        <w:pStyle w:val="Numberedlist"/>
      </w:pPr>
      <w:r w:rsidRPr="006100CE">
        <w:t>Apply</w:t>
      </w:r>
      <w:r>
        <w:t xml:space="preserve"> the</w:t>
      </w:r>
      <w:r w:rsidRPr="006100CE">
        <w:t xml:space="preserve"> infusion additive label with all documentation completed and appropriate signatures. </w:t>
      </w:r>
    </w:p>
    <w:p w14:paraId="09DFD884" w14:textId="615E8F9B" w:rsidR="0019360E" w:rsidRPr="006100CE" w:rsidRDefault="0019360E" w:rsidP="00CB462F">
      <w:pPr>
        <w:pStyle w:val="Numberedlist"/>
      </w:pPr>
      <w:r w:rsidRPr="167C3360">
        <w:t xml:space="preserve">Connect the </w:t>
      </w:r>
      <w:proofErr w:type="spellStart"/>
      <w:r w:rsidR="00B332B3">
        <w:t>Arcomed</w:t>
      </w:r>
      <w:proofErr w:type="spellEnd"/>
      <w:r w:rsidR="00B332B3">
        <w:t>® pump</w:t>
      </w:r>
      <w:r w:rsidRPr="167C3360">
        <w:t xml:space="preserve"> infusion giving set with the syringe containing the reconstituted factor replacement and prime the line using the</w:t>
      </w:r>
      <w:r w:rsidR="00387287">
        <w:t xml:space="preserve"> </w:t>
      </w:r>
      <w:proofErr w:type="spellStart"/>
      <w:r w:rsidR="00B332B3">
        <w:t>Arcomed</w:t>
      </w:r>
      <w:proofErr w:type="spellEnd"/>
      <w:r w:rsidR="00B332B3">
        <w:t>® pump</w:t>
      </w:r>
      <w:r w:rsidRPr="167C3360">
        <w:t xml:space="preserve"> (or manually) to ensure immediate and accurate availability to the patient, and to ensure the line tubing is purged of air.</w:t>
      </w:r>
    </w:p>
    <w:p w14:paraId="6B81ED6F" w14:textId="38FA03C8" w:rsidR="0019360E" w:rsidRPr="00731874" w:rsidRDefault="0019360E" w:rsidP="00CB462F">
      <w:pPr>
        <w:pStyle w:val="Numberedlist"/>
      </w:pPr>
      <w:r w:rsidRPr="167C3360">
        <w:t xml:space="preserve">Program the </w:t>
      </w:r>
      <w:proofErr w:type="spellStart"/>
      <w:r w:rsidR="00B332B3">
        <w:t>Arcomed</w:t>
      </w:r>
      <w:proofErr w:type="spellEnd"/>
      <w:r w:rsidR="00B332B3">
        <w:t>® pump</w:t>
      </w:r>
      <w:r w:rsidRPr="167C3360">
        <w:t xml:space="preserve">, ensuring the correct syringe brand and size have been selected. This will form part of the check with the second checker. Failure to do this may result in the infusion not running to time and potentially sub-therapeutic levels. </w:t>
      </w:r>
      <w:r>
        <w:t xml:space="preserve">The rate of infusion will be set by the prescribing clinician’s dose and determined by the reconstituted final volume (e.g. final pooled volume 15mL over 24 hours = 0.625mL/hour). Check programmed infusion rate with second RN, and by using a </w:t>
      </w:r>
      <w:r w:rsidR="00046399">
        <w:t>s</w:t>
      </w:r>
      <w:r>
        <w:t xml:space="preserve">mart </w:t>
      </w:r>
      <w:r w:rsidR="00046399">
        <w:t>p</w:t>
      </w:r>
      <w:r>
        <w:t>hone calculator.</w:t>
      </w:r>
    </w:p>
    <w:p w14:paraId="7FA1F871" w14:textId="72A13123" w:rsidR="0019360E" w:rsidRPr="00EB139E" w:rsidRDefault="0019360E" w:rsidP="004B3DD2">
      <w:pPr>
        <w:pStyle w:val="Numberedlist"/>
      </w:pPr>
      <w:r w:rsidRPr="00EB139E">
        <w:t>Commence infusion.</w:t>
      </w:r>
    </w:p>
    <w:p w14:paraId="03C4FC51" w14:textId="77777777" w:rsidR="0019360E" w:rsidRPr="00EB139E" w:rsidRDefault="0019360E" w:rsidP="004B3DD2">
      <w:pPr>
        <w:pStyle w:val="Numberedlist"/>
      </w:pPr>
      <w:r w:rsidRPr="00EB139E">
        <w:t>Document in the patient’s clinical record, including batch numbers, start times, when factor levels are due to be taken, dose and hourly rate.</w:t>
      </w:r>
    </w:p>
    <w:p w14:paraId="37106D3E" w14:textId="161BFCC5" w:rsidR="0019360E" w:rsidRPr="00EB139E" w:rsidRDefault="0019360E" w:rsidP="004B3DD2">
      <w:pPr>
        <w:pStyle w:val="Numberedlist"/>
      </w:pPr>
      <w:r w:rsidRPr="00EB139E">
        <w:t>Factor levels should be performed within 6</w:t>
      </w:r>
      <w:r w:rsidR="00414AF5">
        <w:t xml:space="preserve"> to </w:t>
      </w:r>
      <w:r w:rsidRPr="00EB139E">
        <w:t>12 hours of commencing the infusion.</w:t>
      </w:r>
    </w:p>
    <w:p w14:paraId="0C3BB7BF" w14:textId="73FA8A0E" w:rsidR="0019360E" w:rsidRPr="00EB139E" w:rsidRDefault="0019360E" w:rsidP="004B3DD2">
      <w:pPr>
        <w:pStyle w:val="Numberedlist"/>
      </w:pPr>
      <w:r>
        <w:t>Factor levels will be checked</w:t>
      </w:r>
      <w:r w:rsidR="7343FBBF">
        <w:t xml:space="preserve"> as per Haematologist treatment plan</w:t>
      </w:r>
      <w:r>
        <w:t xml:space="preserve"> during the continuous infusion to ensure adequate factor level is being maintained. </w:t>
      </w:r>
    </w:p>
    <w:p w14:paraId="6A04D427" w14:textId="5B4DDDCA" w:rsidR="0019360E" w:rsidRPr="00A82DEF" w:rsidRDefault="0019360E" w:rsidP="00004F52">
      <w:pPr>
        <w:pStyle w:val="Bullet"/>
        <w:numPr>
          <w:ilvl w:val="1"/>
          <w:numId w:val="1"/>
        </w:numPr>
      </w:pPr>
      <w:r w:rsidRPr="00A82DEF">
        <w:t>This is to be done prior to 0700</w:t>
      </w:r>
      <w:r w:rsidR="00414AF5">
        <w:t xml:space="preserve"> hours</w:t>
      </w:r>
      <w:r w:rsidRPr="00A82DEF">
        <w:t xml:space="preserve"> each morning as the results will determine if the infusion dose needs to be altered. Inform coagulation laboratory on 5124 2834 if weekend 0700</w:t>
      </w:r>
      <w:r w:rsidR="00414AF5">
        <w:t xml:space="preserve"> </w:t>
      </w:r>
      <w:r w:rsidRPr="00A82DEF">
        <w:t>h</w:t>
      </w:r>
      <w:r w:rsidR="00414AF5">
        <w:t>ou</w:t>
      </w:r>
      <w:r w:rsidRPr="00A82DEF">
        <w:t>r</w:t>
      </w:r>
      <w:r w:rsidR="00414AF5">
        <w:t>s</w:t>
      </w:r>
      <w:r w:rsidRPr="00A82DEF">
        <w:t xml:space="preserve"> testing is required.</w:t>
      </w:r>
    </w:p>
    <w:p w14:paraId="564BDE18" w14:textId="77777777" w:rsidR="0019360E" w:rsidRPr="00A82DEF" w:rsidRDefault="0019360E" w:rsidP="00004F52">
      <w:pPr>
        <w:pStyle w:val="Bullet"/>
        <w:numPr>
          <w:ilvl w:val="1"/>
          <w:numId w:val="1"/>
        </w:numPr>
      </w:pPr>
      <w:r w:rsidRPr="00A82DEF">
        <w:t>Factor levels require 1 x sodium citrate (blue top) tube. Tubes must be filled to the fill line indicated on the tube.</w:t>
      </w:r>
    </w:p>
    <w:p w14:paraId="37941736" w14:textId="77777777" w:rsidR="0019360E" w:rsidRPr="00A82DEF" w:rsidRDefault="0019360E" w:rsidP="00004F52">
      <w:pPr>
        <w:pStyle w:val="Bullet"/>
        <w:numPr>
          <w:ilvl w:val="1"/>
          <w:numId w:val="1"/>
        </w:numPr>
      </w:pPr>
      <w:r w:rsidRPr="00A82DEF">
        <w:lastRenderedPageBreak/>
        <w:t>There is no need to put the samples on ice, but they should be sent immediately to Pathology marked URGENT.</w:t>
      </w:r>
    </w:p>
    <w:p w14:paraId="474B39F3" w14:textId="77777777" w:rsidR="0019360E" w:rsidRPr="00A82DEF" w:rsidRDefault="0019360E" w:rsidP="00004F52">
      <w:pPr>
        <w:pStyle w:val="Bullet"/>
        <w:numPr>
          <w:ilvl w:val="1"/>
          <w:numId w:val="1"/>
        </w:numPr>
      </w:pPr>
      <w:r w:rsidRPr="00A82DEF">
        <w:t>Notify the laboratory to expect the sample by calling 5124 2834.</w:t>
      </w:r>
    </w:p>
    <w:p w14:paraId="2BFAF61F" w14:textId="5A3EFAE8" w:rsidR="0019360E" w:rsidRPr="00A82DEF" w:rsidRDefault="0019360E" w:rsidP="00004F52">
      <w:pPr>
        <w:pStyle w:val="Bullet"/>
        <w:numPr>
          <w:ilvl w:val="1"/>
          <w:numId w:val="1"/>
        </w:numPr>
      </w:pPr>
      <w:r w:rsidRPr="00A82DEF">
        <w:t xml:space="preserve">Low readings may occur when blood samples are not spun and separated within four hours. </w:t>
      </w:r>
    </w:p>
    <w:p w14:paraId="55C0CABE" w14:textId="7776E0F2" w:rsidR="0019360E" w:rsidRDefault="0019360E" w:rsidP="00004F52">
      <w:pPr>
        <w:pStyle w:val="Bullet"/>
        <w:numPr>
          <w:ilvl w:val="1"/>
          <w:numId w:val="1"/>
        </w:numPr>
      </w:pPr>
      <w:r w:rsidRPr="00A82DEF">
        <w:t xml:space="preserve">Do not cease the infusion to take these levels. </w:t>
      </w:r>
    </w:p>
    <w:p w14:paraId="4AD9F7F5" w14:textId="735A1931" w:rsidR="004B3DD2" w:rsidRPr="00A82DEF" w:rsidRDefault="004B3DD2" w:rsidP="00004F52">
      <w:pPr>
        <w:pStyle w:val="BodyCopy"/>
        <w:pBdr>
          <w:top w:val="single" w:sz="4" w:space="1" w:color="auto"/>
          <w:left w:val="single" w:sz="4" w:space="4" w:color="auto"/>
          <w:bottom w:val="single" w:sz="4" w:space="1" w:color="auto"/>
          <w:right w:val="single" w:sz="4" w:space="4" w:color="auto"/>
        </w:pBdr>
        <w:ind w:left="360"/>
      </w:pPr>
      <w:r w:rsidRPr="00004F52">
        <w:rPr>
          <w:b/>
          <w:bCs w:val="0"/>
        </w:rPr>
        <w:t>Note:</w:t>
      </w:r>
      <w:r w:rsidRPr="004B3DD2">
        <w:t xml:space="preserve"> Blood samples should be collected from the opposite arm to the infusion, not from the same arm as the infusion.</w:t>
      </w:r>
    </w:p>
    <w:p w14:paraId="7C810112" w14:textId="77777777" w:rsidR="0019360E" w:rsidRPr="006100CE" w:rsidRDefault="0019360E" w:rsidP="00A82DEF">
      <w:pPr>
        <w:pStyle w:val="Heading5"/>
        <w:rPr>
          <w:i/>
          <w:u w:val="single"/>
        </w:rPr>
      </w:pPr>
      <w:bookmarkStart w:id="11" w:name="_Toc489516226"/>
      <w:r w:rsidRPr="006100CE">
        <w:t>Subsequent infusions</w:t>
      </w:r>
      <w:bookmarkEnd w:id="11"/>
    </w:p>
    <w:p w14:paraId="7C131B6D" w14:textId="40875F6A" w:rsidR="0019360E" w:rsidRPr="00EB139E" w:rsidRDefault="0019360E" w:rsidP="007E1101">
      <w:pPr>
        <w:pStyle w:val="Numberedlist"/>
        <w:numPr>
          <w:ilvl w:val="0"/>
          <w:numId w:val="39"/>
        </w:numPr>
      </w:pPr>
      <w:r w:rsidRPr="00EB139E">
        <w:t xml:space="preserve">Arrange for the new supply to be delivered from the </w:t>
      </w:r>
      <w:r w:rsidR="00861084">
        <w:t>T</w:t>
      </w:r>
      <w:r w:rsidRPr="00EB139E">
        <w:t xml:space="preserve">ransfusion </w:t>
      </w:r>
      <w:r w:rsidR="00861084">
        <w:t>L</w:t>
      </w:r>
      <w:r w:rsidRPr="00EB139E">
        <w:t>aboratory in the patient’s clinical record</w:t>
      </w:r>
      <w:r w:rsidR="00861084">
        <w:t xml:space="preserve"> by calling extension </w:t>
      </w:r>
      <w:r w:rsidRPr="00EB139E">
        <w:t>42918 in enough time to prevent interruption to the infusion.</w:t>
      </w:r>
    </w:p>
    <w:p w14:paraId="04102999" w14:textId="77777777" w:rsidR="0019360E" w:rsidRPr="00EB139E" w:rsidRDefault="0019360E" w:rsidP="007E1101">
      <w:pPr>
        <w:pStyle w:val="Numberedlist"/>
        <w:numPr>
          <w:ilvl w:val="0"/>
          <w:numId w:val="39"/>
        </w:numPr>
      </w:pPr>
      <w:r w:rsidRPr="00EB139E">
        <w:t xml:space="preserve">The infusion </w:t>
      </w:r>
      <w:r w:rsidRPr="007E1101">
        <w:rPr>
          <w:b/>
        </w:rPr>
        <w:t>must not be ceased</w:t>
      </w:r>
      <w:r w:rsidRPr="00EB139E">
        <w:t xml:space="preserve"> whilst waiting for new orders (ensure orders are written up in advance).</w:t>
      </w:r>
    </w:p>
    <w:p w14:paraId="7B1895F0" w14:textId="77777777" w:rsidR="0019360E" w:rsidRPr="00EB139E" w:rsidRDefault="0019360E" w:rsidP="007E1101">
      <w:pPr>
        <w:pStyle w:val="Numberedlist"/>
        <w:numPr>
          <w:ilvl w:val="0"/>
          <w:numId w:val="39"/>
        </w:numPr>
      </w:pPr>
      <w:r w:rsidRPr="00EB139E">
        <w:t xml:space="preserve">Infusion should be changed every 24 hours. </w:t>
      </w:r>
    </w:p>
    <w:p w14:paraId="793D23B3" w14:textId="150D47B0" w:rsidR="0019360E" w:rsidRPr="00EB139E" w:rsidRDefault="0019360E" w:rsidP="007E1101">
      <w:pPr>
        <w:pStyle w:val="Numberedlist"/>
        <w:numPr>
          <w:ilvl w:val="0"/>
          <w:numId w:val="39"/>
        </w:numPr>
      </w:pPr>
      <w:r w:rsidRPr="00EB139E">
        <w:t xml:space="preserve">Line changes should be performed every 72 hours. Only </w:t>
      </w:r>
      <w:r w:rsidR="002C4D5E">
        <w:t>n</w:t>
      </w:r>
      <w:r w:rsidR="002C4D5E" w:rsidRPr="00EB139E">
        <w:t xml:space="preserve">ormal </w:t>
      </w:r>
      <w:r w:rsidRPr="00EB139E">
        <w:t xml:space="preserve">saline can be run concurrently with factor replacement products. A second IV access site is required if IV medications (i.e. antibiotics) are to be given.  </w:t>
      </w:r>
    </w:p>
    <w:p w14:paraId="4BA179B9" w14:textId="4B64B1FF" w:rsidR="002C4D5E" w:rsidRPr="00EB139E" w:rsidRDefault="002C4D5E" w:rsidP="00004F52">
      <w:pPr>
        <w:pStyle w:val="Numberedlist"/>
        <w:numPr>
          <w:ilvl w:val="0"/>
          <w:numId w:val="0"/>
        </w:numPr>
        <w:pBdr>
          <w:top w:val="single" w:sz="4" w:space="1" w:color="auto"/>
          <w:left w:val="single" w:sz="4" w:space="4" w:color="auto"/>
          <w:bottom w:val="single" w:sz="4" w:space="1" w:color="auto"/>
          <w:right w:val="single" w:sz="4" w:space="4" w:color="auto"/>
        </w:pBdr>
      </w:pPr>
      <w:r w:rsidRPr="00004F52">
        <w:rPr>
          <w:b/>
          <w:bCs/>
        </w:rPr>
        <w:t>Alert:</w:t>
      </w:r>
      <w:r>
        <w:t xml:space="preserve"> </w:t>
      </w:r>
      <w:r w:rsidRPr="00EB139E">
        <w:t>Most medications are incompatible with factor replacement infusions</w:t>
      </w:r>
    </w:p>
    <w:p w14:paraId="086BD7D4" w14:textId="77777777" w:rsidR="0019360E" w:rsidRPr="006100CE" w:rsidRDefault="0019360E" w:rsidP="00A82DEF">
      <w:pPr>
        <w:pStyle w:val="Heading5"/>
      </w:pPr>
      <w:bookmarkStart w:id="12" w:name="_Toc489516227"/>
      <w:r w:rsidRPr="006100CE">
        <w:t>Discontinuation of infusion</w:t>
      </w:r>
      <w:bookmarkEnd w:id="12"/>
    </w:p>
    <w:p w14:paraId="2C43875B" w14:textId="77777777" w:rsidR="0019360E" w:rsidRPr="005013B9" w:rsidRDefault="0019360E" w:rsidP="007E1101">
      <w:pPr>
        <w:pStyle w:val="Numberedlist"/>
        <w:numPr>
          <w:ilvl w:val="0"/>
          <w:numId w:val="40"/>
        </w:numPr>
      </w:pPr>
      <w:r w:rsidRPr="005013B9">
        <w:t>A bolus dose of factor may be ordered by the Haematologist or the Haematology Advanced Trainee when the infusion is to be discontinued.</w:t>
      </w:r>
    </w:p>
    <w:p w14:paraId="35AC6F66" w14:textId="77777777" w:rsidR="0019360E" w:rsidRPr="005013B9" w:rsidRDefault="0019360E" w:rsidP="007E1101">
      <w:pPr>
        <w:pStyle w:val="Numberedlist"/>
        <w:numPr>
          <w:ilvl w:val="0"/>
          <w:numId w:val="40"/>
        </w:numPr>
      </w:pPr>
      <w:r w:rsidRPr="005013B9">
        <w:t xml:space="preserve">Most haemophilia patients have been trained in the reconstitution and administration of their haemophilia product and may administer the bolus doses if they wish. </w:t>
      </w:r>
    </w:p>
    <w:p w14:paraId="333A5E84" w14:textId="77777777" w:rsidR="0019360E" w:rsidRPr="005013B9" w:rsidRDefault="0019360E" w:rsidP="007E1101">
      <w:pPr>
        <w:pStyle w:val="Numberedlist"/>
        <w:numPr>
          <w:ilvl w:val="0"/>
          <w:numId w:val="40"/>
        </w:numPr>
      </w:pPr>
      <w:r w:rsidRPr="005013B9">
        <w:t>Please do not discard any unused factor. At the time of discontinuation as directed by the Haematology consultant, any remaining factor may be given as a slow IV bolus immediately at time of cessation.</w:t>
      </w:r>
    </w:p>
    <w:p w14:paraId="555D1BDC" w14:textId="7E843688" w:rsidR="00481A6C" w:rsidRDefault="00481A6C" w:rsidP="0091462B">
      <w:pPr>
        <w:pStyle w:val="BodyCopy"/>
      </w:pPr>
      <w:hyperlink w:anchor="_top" w:history="1">
        <w:r w:rsidRPr="00481A6C">
          <w:rPr>
            <w:rStyle w:val="Hyperlink"/>
            <w:iCs w:val="0"/>
          </w:rPr>
          <w:t>Back to Contents</w:t>
        </w:r>
      </w:hyperlink>
    </w:p>
    <w:p w14:paraId="7002AACC" w14:textId="3AF97D6E" w:rsidR="0078367D" w:rsidRDefault="0078367D" w:rsidP="00A6051F">
      <w:pPr>
        <w:pStyle w:val="Heading4"/>
      </w:pPr>
      <w:bookmarkStart w:id="13" w:name="_Toc219390981"/>
      <w:r w:rsidRPr="0078367D">
        <w:t xml:space="preserve">Section </w:t>
      </w:r>
      <w:r w:rsidR="0021151B">
        <w:t>3- Bolus Factor Replacement</w:t>
      </w:r>
      <w:bookmarkEnd w:id="13"/>
    </w:p>
    <w:p w14:paraId="10D5DDDF" w14:textId="77777777" w:rsidR="00487AA6" w:rsidRDefault="00487AA6" w:rsidP="00487AA6">
      <w:pPr>
        <w:pStyle w:val="Heading5"/>
      </w:pPr>
      <w:r>
        <w:t>Equipment</w:t>
      </w:r>
    </w:p>
    <w:p w14:paraId="77AD696F" w14:textId="77777777" w:rsidR="00487AA6" w:rsidRPr="00487AA6" w:rsidRDefault="00487AA6" w:rsidP="007E1101">
      <w:pPr>
        <w:pStyle w:val="Bullet"/>
      </w:pPr>
      <w:r w:rsidRPr="00487AA6">
        <w:t>23G Butterfly</w:t>
      </w:r>
    </w:p>
    <w:p w14:paraId="52B2B4B8" w14:textId="510E0619" w:rsidR="00487AA6" w:rsidRPr="00487AA6" w:rsidRDefault="00487AA6" w:rsidP="007E1101">
      <w:pPr>
        <w:pStyle w:val="Bullet"/>
      </w:pPr>
      <w:r w:rsidRPr="00487AA6">
        <w:t xml:space="preserve">Required </w:t>
      </w:r>
      <w:r w:rsidR="00914E60">
        <w:t>f</w:t>
      </w:r>
      <w:r w:rsidRPr="00487AA6">
        <w:t>actor from transfusion laboratory (also contains dilutant)</w:t>
      </w:r>
    </w:p>
    <w:p w14:paraId="2CCBD82D" w14:textId="09F9FE2D" w:rsidR="00487AA6" w:rsidRPr="00487AA6" w:rsidRDefault="00487AA6" w:rsidP="007E1101">
      <w:pPr>
        <w:pStyle w:val="Bullet"/>
      </w:pPr>
      <w:r w:rsidRPr="00487AA6">
        <w:t>10</w:t>
      </w:r>
      <w:r w:rsidR="00414AF5">
        <w:t xml:space="preserve"> to </w:t>
      </w:r>
      <w:r w:rsidRPr="00487AA6">
        <w:t>20mL syringe</w:t>
      </w:r>
    </w:p>
    <w:p w14:paraId="2BFEF658" w14:textId="77777777" w:rsidR="00487AA6" w:rsidRPr="00867BC7" w:rsidRDefault="00487AA6" w:rsidP="00487AA6">
      <w:pPr>
        <w:pStyle w:val="Heading5"/>
      </w:pPr>
      <w:r w:rsidRPr="00867BC7">
        <w:lastRenderedPageBreak/>
        <w:t>Infusion</w:t>
      </w:r>
    </w:p>
    <w:p w14:paraId="6F3D5B4B" w14:textId="625179B6" w:rsidR="00487AA6" w:rsidRPr="00487AA6" w:rsidRDefault="00487AA6" w:rsidP="002E6B35">
      <w:pPr>
        <w:pStyle w:val="Numberedlist"/>
        <w:numPr>
          <w:ilvl w:val="0"/>
          <w:numId w:val="43"/>
        </w:numPr>
      </w:pPr>
      <w:r w:rsidRPr="00487AA6">
        <w:t>Confirm informed consent process has been followed and documented by the MO in the patient’s clinical records</w:t>
      </w:r>
      <w:r w:rsidR="00381E28">
        <w:t>.</w:t>
      </w:r>
      <w:r w:rsidRPr="00487AA6">
        <w:t xml:space="preserve"> See</w:t>
      </w:r>
      <w:r w:rsidR="00381E28">
        <w:t xml:space="preserve"> the</w:t>
      </w:r>
      <w:r w:rsidRPr="00487AA6">
        <w:t xml:space="preserve"> </w:t>
      </w:r>
      <w:r w:rsidR="00914E60" w:rsidRPr="00004F52">
        <w:rPr>
          <w:i/>
          <w:iCs/>
        </w:rPr>
        <w:t>Consent for Healthcare Treatment Guideline</w:t>
      </w:r>
      <w:r w:rsidR="00914E60">
        <w:t>.</w:t>
      </w:r>
    </w:p>
    <w:p w14:paraId="770697F7" w14:textId="2E3542B2" w:rsidR="00B964DE" w:rsidRDefault="00B964DE" w:rsidP="00B964DE">
      <w:pPr>
        <w:pStyle w:val="Numberedlist"/>
      </w:pPr>
      <w:r>
        <w:t>Ensure that there is a current medical order placed through DHR medication orders and a copy of the treatment plan is available in the clinical record. The Blood Product Prescription and Checklist form (located on the Clinical Forms Register) is used if the DHR is down.</w:t>
      </w:r>
    </w:p>
    <w:p w14:paraId="1130CDBD" w14:textId="1C4DB22D" w:rsidR="00487AA6" w:rsidRPr="00487AA6" w:rsidRDefault="00487AA6" w:rsidP="00914E60">
      <w:pPr>
        <w:pStyle w:val="Numberedlist"/>
      </w:pPr>
      <w:r w:rsidRPr="00487AA6">
        <w:t>Confirm any required blood tests have been performed and the results obtained prior to the factor infusi</w:t>
      </w:r>
      <w:r w:rsidR="000F7AAD">
        <w:t>on.</w:t>
      </w:r>
    </w:p>
    <w:p w14:paraId="185188A8" w14:textId="7745D1CE" w:rsidR="00487AA6" w:rsidRPr="00487AA6" w:rsidRDefault="00487AA6" w:rsidP="00914E60">
      <w:pPr>
        <w:pStyle w:val="Numberedlist"/>
      </w:pPr>
      <w:r w:rsidRPr="00487AA6">
        <w:t xml:space="preserve">Confirm the exact product the patient was prescribed, for example, recombinant factors, plasma derived factors, or </w:t>
      </w:r>
      <w:r w:rsidR="000F7AAD">
        <w:t>e</w:t>
      </w:r>
      <w:r w:rsidRPr="00487AA6">
        <w:t>xtended half-life products</w:t>
      </w:r>
      <w:r w:rsidR="00914E60">
        <w:t>.</w:t>
      </w:r>
    </w:p>
    <w:p w14:paraId="0AF442F7" w14:textId="050852B5" w:rsidR="00487AA6" w:rsidRPr="00487AA6" w:rsidRDefault="00487AA6" w:rsidP="00914E60">
      <w:pPr>
        <w:pStyle w:val="Numberedlist"/>
      </w:pPr>
      <w:r w:rsidRPr="00487AA6">
        <w:t>Release the blood product in the patient’s Clinical Record to ensure the Transfusion Laboratory can prepare the product for collection</w:t>
      </w:r>
      <w:r w:rsidR="00914E60">
        <w:t>.</w:t>
      </w:r>
    </w:p>
    <w:p w14:paraId="57B9BE78" w14:textId="4EA233BD" w:rsidR="00487AA6" w:rsidRPr="00487AA6" w:rsidRDefault="00487AA6" w:rsidP="00914E60">
      <w:pPr>
        <w:pStyle w:val="Numberedlist"/>
      </w:pPr>
      <w:r w:rsidRPr="00487AA6">
        <w:t xml:space="preserve">Ensure the appropriate IV device has been inserted, flushed and </w:t>
      </w:r>
      <w:r w:rsidR="00914E60">
        <w:t xml:space="preserve">is </w:t>
      </w:r>
      <w:r w:rsidRPr="00487AA6">
        <w:t>patent</w:t>
      </w:r>
      <w:r w:rsidR="00914E60">
        <w:t>.</w:t>
      </w:r>
    </w:p>
    <w:p w14:paraId="0BCCD90A" w14:textId="625F3DEC" w:rsidR="00487AA6" w:rsidRPr="00487AA6" w:rsidRDefault="00487AA6" w:rsidP="00914E60">
      <w:pPr>
        <w:pStyle w:val="Numberedlist"/>
      </w:pPr>
      <w:r w:rsidRPr="00487AA6">
        <w:t>Confirm the patient’s identity to ensure that the correct patient is receiving the correct product. Check the patient’s details on the prescription against both the patient’s identification band and the product and, if possible, ask the patient to identify themselves (ensuring an incorrect name band has not been fixed to the patient)</w:t>
      </w:r>
      <w:r w:rsidR="00914E60">
        <w:t xml:space="preserve">. Refer to the </w:t>
      </w:r>
      <w:r w:rsidR="00914E60" w:rsidRPr="00914E60">
        <w:rPr>
          <w:i/>
          <w:iCs/>
        </w:rPr>
        <w:t>Patient Identification and Healthcare Activity</w:t>
      </w:r>
      <w:r w:rsidR="00414AF5">
        <w:rPr>
          <w:i/>
          <w:iCs/>
        </w:rPr>
        <w:t xml:space="preserve"> Matching</w:t>
      </w:r>
      <w:r w:rsidR="00914E60" w:rsidRPr="00914E60">
        <w:rPr>
          <w:i/>
          <w:iCs/>
        </w:rPr>
        <w:t xml:space="preserve"> Procedure</w:t>
      </w:r>
      <w:r w:rsidR="00914E60">
        <w:t>.</w:t>
      </w:r>
    </w:p>
    <w:p w14:paraId="4CAF0722" w14:textId="5C4F7AE5" w:rsidR="00487AA6" w:rsidRPr="00487AA6" w:rsidRDefault="00487AA6" w:rsidP="00914E60">
      <w:pPr>
        <w:pStyle w:val="Numberedlist"/>
      </w:pPr>
      <w:r w:rsidRPr="00487AA6">
        <w:t xml:space="preserve">Record baseline vital signs in the patient’s </w:t>
      </w:r>
      <w:r w:rsidR="00414AF5">
        <w:t>c</w:t>
      </w:r>
      <w:r w:rsidRPr="00487AA6">
        <w:t xml:space="preserve">linical </w:t>
      </w:r>
      <w:r w:rsidR="00414AF5">
        <w:t>r</w:t>
      </w:r>
      <w:r w:rsidRPr="00487AA6">
        <w:t>ecord. No further observations are required</w:t>
      </w:r>
      <w:r w:rsidR="004F0CD0">
        <w:t>.</w:t>
      </w:r>
    </w:p>
    <w:p w14:paraId="71B18D86" w14:textId="311C13B2" w:rsidR="00487AA6" w:rsidRPr="00487AA6" w:rsidRDefault="00487AA6" w:rsidP="00914E60">
      <w:pPr>
        <w:pStyle w:val="Numberedlist"/>
      </w:pPr>
      <w:r w:rsidRPr="00487AA6">
        <w:t>Confirm product is correct against order with a second registered nurse/midwife/MO. Reconstitute the factor replacement as per the product specifications. Information on reconstitution is found in the packaging with the product</w:t>
      </w:r>
      <w:r w:rsidR="004F0CD0">
        <w:t>.</w:t>
      </w:r>
    </w:p>
    <w:p w14:paraId="438F3648" w14:textId="77912743" w:rsidR="00487AA6" w:rsidRPr="00487AA6" w:rsidRDefault="00487AA6" w:rsidP="00914E60">
      <w:pPr>
        <w:pStyle w:val="Numberedlist"/>
      </w:pPr>
      <w:r w:rsidRPr="00487AA6">
        <w:t xml:space="preserve">If staff are unsure about aspects of the process, they must contact the Haemophilia Nurse at HTC in Canberra Hospital during business hours on 5124 2286 or 0481 0133 323. For paediatric patients under the care of Sydney </w:t>
      </w:r>
      <w:r w:rsidR="00835A9B" w:rsidRPr="00487AA6">
        <w:t>Children’s</w:t>
      </w:r>
      <w:r w:rsidRPr="00487AA6">
        <w:t xml:space="preserve"> Hospital advice should be sought from the Paediatric Haematology Nurse Coordinator at Sydney </w:t>
      </w:r>
      <w:r w:rsidR="00835A9B" w:rsidRPr="00487AA6">
        <w:t>Children’s</w:t>
      </w:r>
      <w:r w:rsidRPr="00487AA6">
        <w:t xml:space="preserve"> Hospital</w:t>
      </w:r>
      <w:r w:rsidR="00835A9B">
        <w:t>, d</w:t>
      </w:r>
      <w:r w:rsidR="00835A9B" w:rsidRPr="0002570D">
        <w:t>uring business hours on 0436 601238 or 02 9382 1240</w:t>
      </w:r>
      <w:r w:rsidR="00B964DE">
        <w:t>.</w:t>
      </w:r>
    </w:p>
    <w:p w14:paraId="68223182" w14:textId="77777777" w:rsidR="00487AA6" w:rsidRPr="00487AA6" w:rsidRDefault="00487AA6" w:rsidP="00914E60">
      <w:pPr>
        <w:pStyle w:val="Numberedlist"/>
      </w:pPr>
      <w:r w:rsidRPr="00487AA6">
        <w:t xml:space="preserve">Insert butterfly and administer the bolus factor replacement using a pulsating action over 3 to 5 minutes. Remove the butterfly. Note there is no need to flush the butterfly. </w:t>
      </w:r>
    </w:p>
    <w:p w14:paraId="02D241C4" w14:textId="47165181" w:rsidR="00487AA6" w:rsidRDefault="00487AA6" w:rsidP="00914E60">
      <w:pPr>
        <w:pStyle w:val="Numberedlist"/>
      </w:pPr>
      <w:r w:rsidRPr="00487AA6">
        <w:t>Apply direct pressure to the insertion site for 10 minutes</w:t>
      </w:r>
      <w:r w:rsidR="004F0CD0">
        <w:t>.</w:t>
      </w:r>
    </w:p>
    <w:p w14:paraId="6A1171B0" w14:textId="6D570709" w:rsidR="008107B4" w:rsidRPr="00487AA6" w:rsidRDefault="008107B4" w:rsidP="00914E60">
      <w:pPr>
        <w:pStyle w:val="Numberedlist"/>
      </w:pPr>
      <w:r w:rsidRPr="00ED687D">
        <w:t>Document in the patient’s clinical record including batch numbers, start time and finish time</w:t>
      </w:r>
      <w:r w:rsidR="004F0CD0">
        <w:t>.</w:t>
      </w:r>
    </w:p>
    <w:p w14:paraId="5731A124" w14:textId="342D16F8" w:rsidR="00487AA6" w:rsidRPr="00487AA6" w:rsidRDefault="00487AA6" w:rsidP="00914E60">
      <w:pPr>
        <w:pStyle w:val="Numberedlist"/>
      </w:pPr>
      <w:r w:rsidRPr="00487AA6">
        <w:t>Haematologist will determine whether the patient should be admitted; this will depend on site and extent of bleeding. If no admission is necessary, observe the patient for 30 minutes post factor to ensure bleeding has stopped and then discharge</w:t>
      </w:r>
      <w:r w:rsidR="004F0CD0">
        <w:t>.</w:t>
      </w:r>
    </w:p>
    <w:p w14:paraId="25FFD0FA" w14:textId="77777777" w:rsidR="00487AA6" w:rsidRPr="00487AA6" w:rsidRDefault="00487AA6" w:rsidP="00914E60">
      <w:pPr>
        <w:pStyle w:val="Numberedlist"/>
      </w:pPr>
      <w:r w:rsidRPr="00487AA6">
        <w:t>Please notify haemophilia nurse of patient presentation on 0481013323 (leave message if after hours) and they will contact the patient regarding follow up care.</w:t>
      </w:r>
    </w:p>
    <w:p w14:paraId="7242B286" w14:textId="77777777" w:rsidR="001A34D0" w:rsidRDefault="001A34D0">
      <w:pPr>
        <w:spacing w:before="0" w:after="0" w:line="240" w:lineRule="auto"/>
        <w:rPr>
          <w:rFonts w:asciiTheme="minorHAnsi" w:eastAsia="Times New Roman" w:hAnsiTheme="minorHAnsi" w:cstheme="minorHAnsi"/>
          <w:b/>
          <w:bCs/>
          <w:color w:val="auto"/>
          <w:szCs w:val="20"/>
          <w:lang w:eastAsia="en-US"/>
        </w:rPr>
      </w:pPr>
      <w:r>
        <w:rPr>
          <w:rFonts w:asciiTheme="minorHAnsi" w:hAnsiTheme="minorHAnsi" w:cstheme="minorHAnsi"/>
          <w:b/>
          <w:bCs/>
        </w:rPr>
        <w:br w:type="page"/>
      </w:r>
    </w:p>
    <w:p w14:paraId="413D0DAE" w14:textId="75770689" w:rsidR="00487AA6" w:rsidRDefault="00487AA6" w:rsidP="00992499">
      <w:pPr>
        <w:pStyle w:val="ListBullet"/>
        <w:numPr>
          <w:ilvl w:val="0"/>
          <w:numId w:val="0"/>
        </w:numPr>
        <w:pBdr>
          <w:top w:val="single" w:sz="4" w:space="1" w:color="auto"/>
          <w:left w:val="single" w:sz="4" w:space="4" w:color="auto"/>
          <w:bottom w:val="single" w:sz="4" w:space="1" w:color="auto"/>
          <w:right w:val="single" w:sz="4" w:space="4" w:color="auto"/>
        </w:pBdr>
        <w:spacing w:before="120" w:after="240" w:line="276" w:lineRule="auto"/>
        <w:rPr>
          <w:rFonts w:asciiTheme="minorHAnsi" w:hAnsiTheme="minorHAnsi" w:cstheme="minorHAnsi"/>
        </w:rPr>
      </w:pPr>
      <w:r w:rsidRPr="00487AA6">
        <w:rPr>
          <w:rFonts w:asciiTheme="minorHAnsi" w:hAnsiTheme="minorHAnsi" w:cstheme="minorHAnsi"/>
          <w:b/>
          <w:bCs/>
        </w:rPr>
        <w:lastRenderedPageBreak/>
        <w:t>Alert</w:t>
      </w:r>
    </w:p>
    <w:p w14:paraId="536D4AF5" w14:textId="3FAF3DF6" w:rsidR="00487AA6" w:rsidRPr="00867BC7" w:rsidRDefault="00487AA6" w:rsidP="00992499">
      <w:pPr>
        <w:pStyle w:val="ListBullet"/>
        <w:numPr>
          <w:ilvl w:val="0"/>
          <w:numId w:val="0"/>
        </w:numPr>
        <w:pBdr>
          <w:top w:val="single" w:sz="4" w:space="1" w:color="auto"/>
          <w:left w:val="single" w:sz="4" w:space="4" w:color="auto"/>
          <w:bottom w:val="single" w:sz="4" w:space="1" w:color="auto"/>
          <w:right w:val="single" w:sz="4" w:space="4" w:color="auto"/>
        </w:pBdr>
        <w:spacing w:before="120" w:after="240" w:line="276" w:lineRule="auto"/>
      </w:pPr>
      <w:r>
        <w:rPr>
          <w:rFonts w:asciiTheme="minorHAnsi" w:hAnsiTheme="minorHAnsi" w:cstheme="minorHAnsi"/>
        </w:rPr>
        <w:t>M</w:t>
      </w:r>
      <w:r w:rsidRPr="00487AA6">
        <w:rPr>
          <w:rFonts w:asciiTheme="minorHAnsi" w:hAnsiTheme="minorHAnsi" w:cstheme="minorHAnsi"/>
        </w:rPr>
        <w:t>any haemophilia patients have been trained to reconstitute their product and insert their own butterfly. They can also guide staff through this process; however, it is the responsibility of the staff member to ensure this process is accurately performed against the product specification</w:t>
      </w:r>
      <w:r w:rsidRPr="00867BC7">
        <w:t>.</w:t>
      </w:r>
    </w:p>
    <w:p w14:paraId="7BFB79DF" w14:textId="77777777" w:rsidR="00487AA6" w:rsidRPr="00ED687D" w:rsidRDefault="00487AA6" w:rsidP="00ED687D">
      <w:pPr>
        <w:pStyle w:val="Heading5"/>
      </w:pPr>
      <w:r w:rsidRPr="00ED687D">
        <w:t>Dosing of Recombinant Factor VIII</w:t>
      </w:r>
    </w:p>
    <w:p w14:paraId="797F5B7E" w14:textId="77777777" w:rsidR="00487AA6" w:rsidRPr="00ED687D" w:rsidRDefault="00487AA6" w:rsidP="007E1101">
      <w:pPr>
        <w:pStyle w:val="BodyCopy"/>
      </w:pPr>
      <w:r w:rsidRPr="00ED687D">
        <w:t>Depends on site of bleeding:</w:t>
      </w:r>
    </w:p>
    <w:p w14:paraId="7D94A404" w14:textId="1DC5D36E" w:rsidR="00487AA6" w:rsidRPr="00ED687D" w:rsidRDefault="00487AA6" w:rsidP="007E1101">
      <w:pPr>
        <w:pStyle w:val="Bullet"/>
      </w:pPr>
      <w:r w:rsidRPr="00ED687D">
        <w:t>Joints/musculoskeletal bleeding: 40</w:t>
      </w:r>
      <w:r w:rsidR="00823C4F">
        <w:t xml:space="preserve"> International Units</w:t>
      </w:r>
      <w:r w:rsidRPr="00ED687D">
        <w:t>/kg</w:t>
      </w:r>
    </w:p>
    <w:p w14:paraId="4A6537C5" w14:textId="494CE14D" w:rsidR="00487AA6" w:rsidRPr="00ED687D" w:rsidRDefault="00487AA6" w:rsidP="007E1101">
      <w:pPr>
        <w:pStyle w:val="Bullet"/>
      </w:pPr>
      <w:r w:rsidRPr="00ED687D">
        <w:t>Gastrointestinal/genitourinary: 50</w:t>
      </w:r>
      <w:r w:rsidR="00823C4F">
        <w:t xml:space="preserve"> International Units</w:t>
      </w:r>
      <w:r w:rsidRPr="00ED687D">
        <w:t>/kg</w:t>
      </w:r>
    </w:p>
    <w:p w14:paraId="28196665" w14:textId="256C259C" w:rsidR="00487AA6" w:rsidRPr="00ED687D" w:rsidRDefault="00487AA6" w:rsidP="007E1101">
      <w:pPr>
        <w:pStyle w:val="Bullet"/>
      </w:pPr>
      <w:r w:rsidRPr="00ED687D">
        <w:t>Oral mucosa/dental/epistaxis: 30</w:t>
      </w:r>
      <w:r w:rsidR="00823C4F">
        <w:t xml:space="preserve"> International Units</w:t>
      </w:r>
      <w:r w:rsidRPr="00ED687D">
        <w:t>/kg (use of Tranexamic Acid is effective in preventing recurrence)</w:t>
      </w:r>
    </w:p>
    <w:p w14:paraId="717A04C2" w14:textId="40EB94F5" w:rsidR="00487AA6" w:rsidRPr="00ED687D" w:rsidRDefault="008E1F15" w:rsidP="007E1101">
      <w:pPr>
        <w:pStyle w:val="Bullet"/>
      </w:pPr>
      <w:r>
        <w:t>Central Nervous System (</w:t>
      </w:r>
      <w:r w:rsidR="00487AA6" w:rsidRPr="00ED687D">
        <w:t>CNS</w:t>
      </w:r>
      <w:r>
        <w:t>)</w:t>
      </w:r>
      <w:r w:rsidR="00487AA6" w:rsidRPr="00ED687D">
        <w:t>: 75</w:t>
      </w:r>
      <w:r w:rsidR="00823C4F">
        <w:t xml:space="preserve"> International Units</w:t>
      </w:r>
      <w:r w:rsidR="00487AA6" w:rsidRPr="00ED687D">
        <w:t>/kg</w:t>
      </w:r>
    </w:p>
    <w:p w14:paraId="71157F09" w14:textId="55F4F9EF" w:rsidR="00487AA6" w:rsidRPr="00ED687D" w:rsidRDefault="00487AA6" w:rsidP="007E1101">
      <w:pPr>
        <w:pStyle w:val="Bullet"/>
      </w:pPr>
      <w:r w:rsidRPr="00ED687D">
        <w:t>Trauma/surgery: 50-75</w:t>
      </w:r>
      <w:r w:rsidR="00823C4F">
        <w:t xml:space="preserve"> International Units </w:t>
      </w:r>
      <w:r w:rsidRPr="00ED687D">
        <w:t>/kg</w:t>
      </w:r>
    </w:p>
    <w:p w14:paraId="75F07096" w14:textId="77777777" w:rsidR="00487AA6" w:rsidRPr="00ED687D" w:rsidRDefault="00487AA6" w:rsidP="00ED687D">
      <w:pPr>
        <w:pStyle w:val="Heading5"/>
      </w:pPr>
      <w:bookmarkStart w:id="14" w:name="_Hlk74055617"/>
      <w:r w:rsidRPr="00ED687D">
        <w:t>Dosing of Recombinant Factor IX</w:t>
      </w:r>
    </w:p>
    <w:p w14:paraId="241C2214" w14:textId="77777777" w:rsidR="00487AA6" w:rsidRPr="00ED687D" w:rsidRDefault="00487AA6" w:rsidP="00992499">
      <w:pPr>
        <w:pStyle w:val="ListBullet"/>
        <w:numPr>
          <w:ilvl w:val="0"/>
          <w:numId w:val="0"/>
        </w:numPr>
        <w:spacing w:before="120" w:after="240" w:line="276" w:lineRule="auto"/>
        <w:ind w:left="425" w:hanging="425"/>
        <w:rPr>
          <w:rFonts w:asciiTheme="minorHAnsi" w:hAnsiTheme="minorHAnsi" w:cstheme="minorHAnsi"/>
          <w:szCs w:val="24"/>
        </w:rPr>
      </w:pPr>
      <w:r w:rsidRPr="00ED687D">
        <w:rPr>
          <w:rFonts w:asciiTheme="minorHAnsi" w:hAnsiTheme="minorHAnsi" w:cstheme="minorHAnsi"/>
          <w:szCs w:val="24"/>
        </w:rPr>
        <w:t>Depends on site of bleeding:</w:t>
      </w:r>
    </w:p>
    <w:p w14:paraId="66542F35" w14:textId="48101B34" w:rsidR="00487AA6" w:rsidRPr="00ED687D" w:rsidRDefault="00487AA6" w:rsidP="007E1101">
      <w:pPr>
        <w:pStyle w:val="Bullet"/>
      </w:pPr>
      <w:r w:rsidRPr="00ED687D">
        <w:t>Joints/musculoskeletal bleeding: 50</w:t>
      </w:r>
      <w:r w:rsidR="00823C4F">
        <w:t xml:space="preserve"> International Units</w:t>
      </w:r>
      <w:r w:rsidRPr="00ED687D">
        <w:t>/kg</w:t>
      </w:r>
    </w:p>
    <w:p w14:paraId="46A3EB35" w14:textId="58C2E676" w:rsidR="00487AA6" w:rsidRPr="00ED687D" w:rsidRDefault="00487AA6" w:rsidP="007E1101">
      <w:pPr>
        <w:pStyle w:val="Bullet"/>
      </w:pPr>
      <w:r w:rsidRPr="00ED687D">
        <w:t>Gastrointestinal/genitourinary: 75</w:t>
      </w:r>
      <w:r w:rsidR="00823C4F">
        <w:t xml:space="preserve"> International Units</w:t>
      </w:r>
      <w:r w:rsidRPr="00ED687D">
        <w:t>/kg</w:t>
      </w:r>
    </w:p>
    <w:p w14:paraId="198319C3" w14:textId="217FCF95" w:rsidR="00487AA6" w:rsidRPr="00ED687D" w:rsidRDefault="00487AA6" w:rsidP="007E1101">
      <w:pPr>
        <w:pStyle w:val="Bullet"/>
      </w:pPr>
      <w:r w:rsidRPr="00ED687D">
        <w:t>Oral mucosa/dental/epistaxis: 50</w:t>
      </w:r>
      <w:r w:rsidR="00823C4F">
        <w:t xml:space="preserve"> International Units</w:t>
      </w:r>
      <w:r w:rsidRPr="00ED687D">
        <w:t xml:space="preserve">/kg (use of </w:t>
      </w:r>
      <w:r w:rsidR="00F71D4A">
        <w:t>t</w:t>
      </w:r>
      <w:r w:rsidRPr="00ED687D">
        <w:t xml:space="preserve">ranexamic </w:t>
      </w:r>
      <w:r w:rsidR="00F71D4A">
        <w:t>a</w:t>
      </w:r>
      <w:r w:rsidRPr="00ED687D">
        <w:t>cid is effective in preventing recurrence)</w:t>
      </w:r>
    </w:p>
    <w:p w14:paraId="55800895" w14:textId="33B2E0BD" w:rsidR="00487AA6" w:rsidRPr="00ED687D" w:rsidRDefault="00487AA6" w:rsidP="007E1101">
      <w:pPr>
        <w:pStyle w:val="Bullet"/>
      </w:pPr>
      <w:r w:rsidRPr="00ED687D">
        <w:t>CNS: 125</w:t>
      </w:r>
      <w:r w:rsidR="00823C4F">
        <w:t xml:space="preserve"> International Units</w:t>
      </w:r>
      <w:r w:rsidRPr="00ED687D">
        <w:t>/kg</w:t>
      </w:r>
    </w:p>
    <w:p w14:paraId="2BD6258E" w14:textId="28BE5931" w:rsidR="00487AA6" w:rsidRDefault="00487AA6" w:rsidP="007E1101">
      <w:pPr>
        <w:pStyle w:val="Bullet"/>
      </w:pPr>
      <w:r w:rsidRPr="00ED687D">
        <w:t>Trauma/surgery: 75-125</w:t>
      </w:r>
      <w:r w:rsidR="00823C4F">
        <w:t xml:space="preserve"> International Units</w:t>
      </w:r>
      <w:r w:rsidRPr="00ED687D">
        <w:t>/kg</w:t>
      </w:r>
    </w:p>
    <w:p w14:paraId="76E56D6C" w14:textId="659BC021" w:rsidR="006A68EC" w:rsidRDefault="006A68EC" w:rsidP="00004F52">
      <w:pPr>
        <w:pStyle w:val="Heading6"/>
      </w:pPr>
      <w:r>
        <w:t>Dosing of Recombinant Factor IX (</w:t>
      </w:r>
      <w:proofErr w:type="spellStart"/>
      <w:r>
        <w:t>Albutrepenonacog</w:t>
      </w:r>
      <w:proofErr w:type="spellEnd"/>
      <w:r>
        <w:t xml:space="preserve"> alfa- </w:t>
      </w:r>
      <w:proofErr w:type="spellStart"/>
      <w:r>
        <w:t>Idelvion</w:t>
      </w:r>
      <w:proofErr w:type="spellEnd"/>
      <w:r>
        <w:t>)</w:t>
      </w:r>
    </w:p>
    <w:p w14:paraId="30E5F25E" w14:textId="45DA498C" w:rsidR="00DB46D7" w:rsidRPr="00627C4C" w:rsidRDefault="00DB46D7" w:rsidP="007E1101">
      <w:pPr>
        <w:pStyle w:val="BodyCopy"/>
      </w:pPr>
      <w:r w:rsidRPr="00004F52">
        <w:rPr>
          <w:rStyle w:val="Bold"/>
        </w:rPr>
        <w:t>Adults</w:t>
      </w:r>
      <w:r w:rsidR="00B964DE">
        <w:rPr>
          <w:rStyle w:val="Bold"/>
        </w:rPr>
        <w:t xml:space="preserve">, </w:t>
      </w:r>
      <w:r w:rsidRPr="00004F52">
        <w:rPr>
          <w:rStyle w:val="Bold"/>
        </w:rPr>
        <w:t xml:space="preserve">adolescents </w:t>
      </w:r>
      <w:r w:rsidR="00B964DE">
        <w:rPr>
          <w:rStyle w:val="Bold"/>
        </w:rPr>
        <w:t xml:space="preserve">and paediatric patients </w:t>
      </w:r>
      <w:r w:rsidRPr="00004F52">
        <w:rPr>
          <w:rStyle w:val="Bold"/>
        </w:rPr>
        <w:t>12 years of age</w:t>
      </w:r>
      <w:r w:rsidR="008E1F15" w:rsidRPr="00004F52">
        <w:rPr>
          <w:rStyle w:val="Bold"/>
        </w:rPr>
        <w:t xml:space="preserve"> or more:</w:t>
      </w:r>
      <w:r w:rsidRPr="00627C4C">
        <w:t xml:space="preserve"> For an incremental recovery of 1.3 </w:t>
      </w:r>
      <w:r w:rsidR="00823C4F">
        <w:t>International Units</w:t>
      </w:r>
      <w:r w:rsidRPr="00627C4C">
        <w:t xml:space="preserve">/dL per 1 </w:t>
      </w:r>
      <w:r w:rsidR="00823C4F">
        <w:t>International Units</w:t>
      </w:r>
      <w:r w:rsidRPr="00627C4C">
        <w:t>/kg, the dose is calculated as follows: Dose (</w:t>
      </w:r>
      <w:r w:rsidR="00823C4F">
        <w:t>International Units</w:t>
      </w:r>
      <w:r w:rsidRPr="00627C4C">
        <w:t>) = body weight (kg) x desired FIX increase (</w:t>
      </w:r>
      <w:r w:rsidR="00823C4F">
        <w:t xml:space="preserve">International Units </w:t>
      </w:r>
      <w:r w:rsidRPr="00627C4C">
        <w:t>/dL) x 0.77 dL/kg.</w:t>
      </w:r>
    </w:p>
    <w:p w14:paraId="178398EA" w14:textId="62445A4C" w:rsidR="00DB46D7" w:rsidRPr="00627C4C" w:rsidRDefault="00DB46D7" w:rsidP="007E1101">
      <w:pPr>
        <w:pStyle w:val="BodyCopy"/>
      </w:pPr>
      <w:r w:rsidRPr="00004F52">
        <w:rPr>
          <w:rStyle w:val="Bold"/>
        </w:rPr>
        <w:t xml:space="preserve">Paediatric </w:t>
      </w:r>
      <w:r w:rsidR="00B964DE">
        <w:rPr>
          <w:rStyle w:val="Bold"/>
        </w:rPr>
        <w:t xml:space="preserve">patients </w:t>
      </w:r>
      <w:r w:rsidR="008E1F15" w:rsidRPr="00004F52">
        <w:rPr>
          <w:rStyle w:val="Bold"/>
        </w:rPr>
        <w:t xml:space="preserve">under </w:t>
      </w:r>
      <w:r w:rsidRPr="00004F52">
        <w:rPr>
          <w:rStyle w:val="Bold"/>
        </w:rPr>
        <w:t>12 years of age</w:t>
      </w:r>
      <w:r w:rsidR="008E1F15" w:rsidRPr="00004F52">
        <w:rPr>
          <w:rStyle w:val="Bold"/>
        </w:rPr>
        <w:t>:</w:t>
      </w:r>
      <w:r w:rsidRPr="00627C4C">
        <w:t xml:space="preserve"> For an incremental recovery of 1 </w:t>
      </w:r>
      <w:r w:rsidR="00823C4F">
        <w:t xml:space="preserve">International Units </w:t>
      </w:r>
      <w:r w:rsidRPr="00627C4C">
        <w:t xml:space="preserve">/dL per 1 </w:t>
      </w:r>
      <w:r w:rsidR="00823C4F">
        <w:t xml:space="preserve">International Units </w:t>
      </w:r>
      <w:r w:rsidRPr="00627C4C">
        <w:t>/kg, the dose is calculated as follows: Dose (</w:t>
      </w:r>
      <w:r w:rsidR="00823C4F">
        <w:t>International Units</w:t>
      </w:r>
      <w:r w:rsidRPr="00627C4C">
        <w:t>) = body weight (kg) x desired FIX increase (</w:t>
      </w:r>
      <w:r w:rsidR="00823C4F">
        <w:t xml:space="preserve">International Units </w:t>
      </w:r>
      <w:r w:rsidRPr="00627C4C">
        <w:t>/dL) x 1 dL/kg</w:t>
      </w:r>
      <w:r w:rsidR="008E1F15">
        <w:t>.</w:t>
      </w:r>
    </w:p>
    <w:p w14:paraId="66E9498D" w14:textId="77777777" w:rsidR="00B964DE" w:rsidRDefault="00D54780" w:rsidP="003312C5">
      <w:pPr>
        <w:rPr>
          <w:rStyle w:val="Heading6Char"/>
        </w:rPr>
      </w:pPr>
      <w:r w:rsidRPr="00004F52">
        <w:rPr>
          <w:rStyle w:val="Heading6Char"/>
        </w:rPr>
        <w:t xml:space="preserve">Dosing for control and prevention of bleeding episodes and in the perioperative </w:t>
      </w:r>
      <w:r w:rsidR="00D87E35" w:rsidRPr="00004F52">
        <w:rPr>
          <w:rStyle w:val="Heading6Char"/>
        </w:rPr>
        <w:t>setting</w:t>
      </w:r>
      <w:r w:rsidR="00D87E35">
        <w:rPr>
          <w:rStyle w:val="Heading6Char"/>
        </w:rPr>
        <w:t xml:space="preserve">s </w:t>
      </w:r>
    </w:p>
    <w:p w14:paraId="538CF703" w14:textId="2DDD3B6B" w:rsidR="00D54780" w:rsidRDefault="00B964DE" w:rsidP="003312C5">
      <w:r>
        <w:t>F</w:t>
      </w:r>
      <w:r w:rsidR="00D87E35">
        <w:t>or</w:t>
      </w:r>
      <w:r w:rsidR="003312C5">
        <w:t xml:space="preserve"> adults and </w:t>
      </w:r>
      <w:r w:rsidR="00D87E35">
        <w:t>paediatric patients</w:t>
      </w:r>
      <w:r>
        <w:t xml:space="preserve"> refer to Table 1 (information taken from the</w:t>
      </w:r>
      <w:r w:rsidR="00641410">
        <w:t xml:space="preserve"> </w:t>
      </w:r>
      <w:r w:rsidR="00E06745">
        <w:t>Product Information</w:t>
      </w:r>
      <w:r w:rsidR="00641410">
        <w:t xml:space="preserve"> on the </w:t>
      </w:r>
      <w:proofErr w:type="spellStart"/>
      <w:r w:rsidR="00641410">
        <w:t>Idelvion</w:t>
      </w:r>
      <w:proofErr w:type="spellEnd"/>
      <w:r>
        <w:t>®</w:t>
      </w:r>
      <w:r w:rsidR="00641410">
        <w:t xml:space="preserve"> </w:t>
      </w:r>
      <w:r>
        <w:t>web</w:t>
      </w:r>
      <w:r w:rsidR="00641410">
        <w:t>site</w:t>
      </w:r>
      <w:r w:rsidR="00D87E35">
        <w:t xml:space="preserve"> (</w:t>
      </w:r>
      <w:r>
        <w:t xml:space="preserve">available at: </w:t>
      </w:r>
      <w:hyperlink r:id="rId13" w:history="1">
        <w:r>
          <w:rPr>
            <w:rStyle w:val="Hyperlink"/>
          </w:rPr>
          <w:t>https://labeling.cslbehring.com/PI/AU/IDELVION/EN/IDELVION-Product-Information.pdf</w:t>
        </w:r>
      </w:hyperlink>
      <w:r w:rsidR="003312C5">
        <w:t>)</w:t>
      </w:r>
    </w:p>
    <w:p w14:paraId="1DB11B5B" w14:textId="77777777" w:rsidR="001A34D0" w:rsidRDefault="001A34D0">
      <w:pPr>
        <w:spacing w:before="0" w:after="0" w:line="240" w:lineRule="auto"/>
        <w:rPr>
          <w:rFonts w:eastAsia="Times New Roman"/>
          <w:b/>
          <w:bCs/>
          <w:iCs/>
          <w:highlight w:val="lightGray"/>
          <w:lang w:val="en-US" w:eastAsia="en-US"/>
        </w:rPr>
      </w:pPr>
      <w:r>
        <w:rPr>
          <w:highlight w:val="lightGray"/>
        </w:rPr>
        <w:br w:type="page"/>
      </w:r>
    </w:p>
    <w:p w14:paraId="7C22CEB7" w14:textId="03C7A928" w:rsidR="00BC7EBB" w:rsidRDefault="00BC7EBB" w:rsidP="00CD55B7">
      <w:pPr>
        <w:pStyle w:val="Tabletitle-numbered"/>
      </w:pPr>
      <w:proofErr w:type="gramStart"/>
      <w:r>
        <w:lastRenderedPageBreak/>
        <w:t>Dosing</w:t>
      </w:r>
      <w:proofErr w:type="gramEnd"/>
      <w:r>
        <w:t xml:space="preserve"> for degree of haemorrhage</w:t>
      </w:r>
    </w:p>
    <w:tbl>
      <w:tblPr>
        <w:tblStyle w:val="ListTable3-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3"/>
        <w:gridCol w:w="3304"/>
        <w:gridCol w:w="3304"/>
      </w:tblGrid>
      <w:tr w:rsidR="00BC7EBB" w14:paraId="43F01ABA" w14:textId="77777777" w:rsidTr="00C0330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03" w:type="dxa"/>
            <w:tcBorders>
              <w:bottom w:val="none" w:sz="0" w:space="0" w:color="auto"/>
              <w:right w:val="none" w:sz="0" w:space="0" w:color="auto"/>
            </w:tcBorders>
          </w:tcPr>
          <w:p w14:paraId="5E614887" w14:textId="77777777" w:rsidR="00BC7EBB" w:rsidRPr="005C6687" w:rsidRDefault="00BC7EBB" w:rsidP="00C03308">
            <w:pPr>
              <w:pStyle w:val="ListBullet"/>
              <w:numPr>
                <w:ilvl w:val="0"/>
                <w:numId w:val="0"/>
              </w:numPr>
              <w:rPr>
                <w:rStyle w:val="Heading5Char"/>
                <w:rFonts w:asciiTheme="minorHAnsi" w:hAnsiTheme="minorHAnsi" w:cstheme="minorHAnsi"/>
                <w:b/>
                <w:bCs/>
                <w:color w:val="FFFFFF" w:themeColor="background1"/>
              </w:rPr>
            </w:pPr>
            <w:r w:rsidRPr="005C6687">
              <w:rPr>
                <w:rStyle w:val="Heading5Char"/>
                <w:rFonts w:asciiTheme="minorHAnsi" w:hAnsiTheme="minorHAnsi" w:cstheme="minorHAnsi"/>
                <w:b/>
                <w:bCs/>
                <w:color w:val="FFFFFF" w:themeColor="background1"/>
              </w:rPr>
              <w:t>Degree of Haemorrhage</w:t>
            </w:r>
          </w:p>
        </w:tc>
        <w:tc>
          <w:tcPr>
            <w:tcW w:w="3304" w:type="dxa"/>
          </w:tcPr>
          <w:p w14:paraId="55283B3C" w14:textId="6B11B118" w:rsidR="00BC7EBB" w:rsidRPr="003C43A8" w:rsidRDefault="00BC7EBB" w:rsidP="00C03308">
            <w:pPr>
              <w:pStyle w:val="ListBullet"/>
              <w:numPr>
                <w:ilvl w:val="0"/>
                <w:numId w:val="0"/>
              </w:numPr>
              <w:cnfStyle w:val="100000000000" w:firstRow="1" w:lastRow="0" w:firstColumn="0" w:lastColumn="0" w:oddVBand="0" w:evenVBand="0" w:oddHBand="0" w:evenHBand="0" w:firstRowFirstColumn="0" w:firstRowLastColumn="0" w:lastRowFirstColumn="0" w:lastRowLastColumn="0"/>
              <w:rPr>
                <w:rStyle w:val="Heading5Char"/>
                <w:rFonts w:asciiTheme="minorHAnsi" w:hAnsiTheme="minorHAnsi" w:cstheme="minorHAnsi"/>
                <w:b/>
                <w:bCs/>
                <w:color w:val="FFFFFF" w:themeColor="background1"/>
              </w:rPr>
            </w:pPr>
            <w:r>
              <w:rPr>
                <w:rStyle w:val="Heading5Char"/>
                <w:rFonts w:asciiTheme="minorHAnsi" w:hAnsiTheme="minorHAnsi" w:cstheme="minorHAnsi"/>
                <w:b/>
                <w:bCs/>
                <w:color w:val="FFFFFF" w:themeColor="background1"/>
              </w:rPr>
              <w:t>FIX level required (%) (</w:t>
            </w:r>
            <w:r w:rsidR="00823C4F">
              <w:rPr>
                <w:rStyle w:val="Heading5Char"/>
                <w:rFonts w:asciiTheme="minorHAnsi" w:hAnsiTheme="minorHAnsi" w:cstheme="minorHAnsi"/>
                <w:b/>
                <w:bCs/>
                <w:color w:val="FFFFFF" w:themeColor="background1"/>
              </w:rPr>
              <w:t xml:space="preserve">International Units </w:t>
            </w:r>
            <w:r>
              <w:rPr>
                <w:rStyle w:val="Heading5Char"/>
                <w:rFonts w:asciiTheme="minorHAnsi" w:hAnsiTheme="minorHAnsi" w:cstheme="minorHAnsi"/>
                <w:b/>
                <w:bCs/>
                <w:color w:val="FFFFFF" w:themeColor="background1"/>
              </w:rPr>
              <w:t>/dL)</w:t>
            </w:r>
          </w:p>
        </w:tc>
        <w:tc>
          <w:tcPr>
            <w:tcW w:w="3304" w:type="dxa"/>
          </w:tcPr>
          <w:p w14:paraId="03753E9F" w14:textId="77777777" w:rsidR="00BC7EBB" w:rsidRPr="003C43A8" w:rsidRDefault="00BC7EBB" w:rsidP="00C03308">
            <w:pPr>
              <w:pStyle w:val="ListBullet"/>
              <w:numPr>
                <w:ilvl w:val="0"/>
                <w:numId w:val="0"/>
              </w:numPr>
              <w:cnfStyle w:val="100000000000" w:firstRow="1" w:lastRow="0" w:firstColumn="0" w:lastColumn="0" w:oddVBand="0" w:evenVBand="0" w:oddHBand="0" w:evenHBand="0" w:firstRowFirstColumn="0" w:firstRowLastColumn="0" w:lastRowFirstColumn="0" w:lastRowLastColumn="0"/>
              <w:rPr>
                <w:rStyle w:val="Heading5Char"/>
                <w:rFonts w:asciiTheme="minorHAnsi" w:hAnsiTheme="minorHAnsi" w:cstheme="minorHAnsi"/>
                <w:b/>
                <w:bCs/>
                <w:color w:val="FFFFFF" w:themeColor="background1"/>
              </w:rPr>
            </w:pPr>
            <w:r>
              <w:rPr>
                <w:rStyle w:val="Heading5Char"/>
                <w:rFonts w:asciiTheme="minorHAnsi" w:hAnsiTheme="minorHAnsi" w:cstheme="minorHAnsi"/>
                <w:b/>
                <w:bCs/>
                <w:color w:val="FFFFFF" w:themeColor="background1"/>
              </w:rPr>
              <w:t>Frequency of doses (hours)/Duration of therapy (days)</w:t>
            </w:r>
          </w:p>
        </w:tc>
      </w:tr>
      <w:tr w:rsidR="00BC7EBB" w14:paraId="5EF48E87" w14:textId="77777777" w:rsidTr="00C03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3" w:type="dxa"/>
            <w:tcBorders>
              <w:top w:val="none" w:sz="0" w:space="0" w:color="auto"/>
              <w:bottom w:val="none" w:sz="0" w:space="0" w:color="auto"/>
              <w:right w:val="none" w:sz="0" w:space="0" w:color="auto"/>
            </w:tcBorders>
          </w:tcPr>
          <w:p w14:paraId="6D3E178D" w14:textId="77777777" w:rsidR="00BC7EBB" w:rsidRDefault="00BC7EBB" w:rsidP="00C03308">
            <w:pPr>
              <w:pStyle w:val="Tablebody"/>
              <w:rPr>
                <w:rStyle w:val="Heading5Char"/>
                <w:rFonts w:asciiTheme="minorHAnsi" w:hAnsiTheme="minorHAnsi" w:cstheme="minorHAnsi"/>
                <w:bCs w:val="0"/>
                <w:color w:val="auto"/>
              </w:rPr>
            </w:pPr>
            <w:r w:rsidRPr="005C6687">
              <w:rPr>
                <w:rStyle w:val="Heading5Char"/>
                <w:rFonts w:asciiTheme="minorHAnsi" w:hAnsiTheme="minorHAnsi" w:cstheme="minorHAnsi"/>
                <w:b/>
                <w:color w:val="auto"/>
              </w:rPr>
              <w:t>Minor or moderate</w:t>
            </w:r>
          </w:p>
          <w:p w14:paraId="021A6F18" w14:textId="77777777" w:rsidR="00BC7EBB" w:rsidRPr="005C6687" w:rsidRDefault="00BC7EBB" w:rsidP="00C03308">
            <w:pPr>
              <w:pStyle w:val="Tablebody"/>
              <w:rPr>
                <w:rStyle w:val="Heading5Char"/>
                <w:rFonts w:cs="Arial"/>
                <w:iCs/>
                <w:color w:val="000000" w:themeColor="text1"/>
                <w:szCs w:val="24"/>
              </w:rPr>
            </w:pPr>
            <w:proofErr w:type="spellStart"/>
            <w:r>
              <w:rPr>
                <w:rStyle w:val="Heading5Char"/>
                <w:rFonts w:cs="Arial"/>
                <w:iCs/>
                <w:color w:val="000000" w:themeColor="text1"/>
                <w:szCs w:val="24"/>
              </w:rPr>
              <w:t>ha</w:t>
            </w:r>
            <w:r w:rsidRPr="005C6687">
              <w:rPr>
                <w:rStyle w:val="Heading5Char"/>
                <w:rFonts w:cs="Arial"/>
                <w:iCs/>
                <w:color w:val="000000" w:themeColor="text1"/>
                <w:szCs w:val="24"/>
              </w:rPr>
              <w:t>emarthrosis</w:t>
            </w:r>
            <w:proofErr w:type="spellEnd"/>
            <w:r w:rsidRPr="005C6687">
              <w:rPr>
                <w:rStyle w:val="Heading5Char"/>
                <w:rFonts w:cs="Arial"/>
                <w:iCs/>
                <w:color w:val="000000" w:themeColor="text1"/>
                <w:szCs w:val="24"/>
              </w:rPr>
              <w:t>, muscle bleeding (except iliopsoas) or oral bleeding</w:t>
            </w:r>
          </w:p>
        </w:tc>
        <w:tc>
          <w:tcPr>
            <w:tcW w:w="3304" w:type="dxa"/>
            <w:tcBorders>
              <w:top w:val="none" w:sz="0" w:space="0" w:color="auto"/>
              <w:bottom w:val="none" w:sz="0" w:space="0" w:color="auto"/>
            </w:tcBorders>
          </w:tcPr>
          <w:p w14:paraId="4B248A5D" w14:textId="77777777" w:rsidR="00BC7EBB" w:rsidRPr="005C6687" w:rsidRDefault="00BC7EBB" w:rsidP="00C03308">
            <w:pPr>
              <w:pStyle w:val="Tablebody"/>
              <w:cnfStyle w:val="000000100000" w:firstRow="0" w:lastRow="0" w:firstColumn="0" w:lastColumn="0" w:oddVBand="0" w:evenVBand="0" w:oddHBand="1" w:evenHBand="0" w:firstRowFirstColumn="0" w:firstRowLastColumn="0" w:lastRowFirstColumn="0" w:lastRowLastColumn="0"/>
              <w:rPr>
                <w:rStyle w:val="Heading5Char"/>
                <w:rFonts w:asciiTheme="minorHAnsi" w:hAnsiTheme="minorHAnsi" w:cstheme="minorHAnsi"/>
                <w:b w:val="0"/>
                <w:bCs/>
                <w:color w:val="auto"/>
              </w:rPr>
            </w:pPr>
            <w:r w:rsidRPr="005C6687">
              <w:rPr>
                <w:rStyle w:val="Heading5Char"/>
                <w:rFonts w:asciiTheme="minorHAnsi" w:hAnsiTheme="minorHAnsi" w:cstheme="minorHAnsi"/>
                <w:b w:val="0"/>
                <w:bCs/>
                <w:color w:val="auto"/>
              </w:rPr>
              <w:t>30-60</w:t>
            </w:r>
          </w:p>
        </w:tc>
        <w:tc>
          <w:tcPr>
            <w:tcW w:w="3304" w:type="dxa"/>
            <w:tcBorders>
              <w:top w:val="none" w:sz="0" w:space="0" w:color="auto"/>
              <w:bottom w:val="none" w:sz="0" w:space="0" w:color="auto"/>
            </w:tcBorders>
          </w:tcPr>
          <w:p w14:paraId="53DCF6CA" w14:textId="77777777" w:rsidR="00BC7EBB" w:rsidRPr="003C43A8" w:rsidRDefault="00BC7EBB" w:rsidP="00C03308">
            <w:pPr>
              <w:pStyle w:val="Tablebody"/>
              <w:cnfStyle w:val="000000100000" w:firstRow="0" w:lastRow="0" w:firstColumn="0" w:lastColumn="0" w:oddVBand="0" w:evenVBand="0" w:oddHBand="1" w:evenHBand="0" w:firstRowFirstColumn="0" w:firstRowLastColumn="0" w:lastRowFirstColumn="0" w:lastRowLastColumn="0"/>
              <w:rPr>
                <w:rStyle w:val="Heading5Char"/>
                <w:rFonts w:asciiTheme="minorHAnsi" w:hAnsiTheme="minorHAnsi" w:cstheme="minorHAnsi"/>
                <w:b w:val="0"/>
                <w:bCs/>
                <w:color w:val="auto"/>
              </w:rPr>
            </w:pPr>
            <w:r w:rsidRPr="003C43A8">
              <w:rPr>
                <w:rStyle w:val="Heading5Char"/>
                <w:rFonts w:asciiTheme="minorHAnsi" w:hAnsiTheme="minorHAnsi" w:cstheme="minorHAnsi"/>
                <w:b w:val="0"/>
                <w:bCs/>
                <w:color w:val="auto"/>
              </w:rPr>
              <w:t>Single dose should be sufficient for majority of bleeds. Maintenance dose after 48-72 hours if there is further evidence of bleeding.</w:t>
            </w:r>
          </w:p>
        </w:tc>
      </w:tr>
      <w:tr w:rsidR="00BC7EBB" w14:paraId="3BB0FE09" w14:textId="77777777" w:rsidTr="00C03308">
        <w:trPr>
          <w:trHeight w:val="210"/>
        </w:trPr>
        <w:tc>
          <w:tcPr>
            <w:cnfStyle w:val="001000000000" w:firstRow="0" w:lastRow="0" w:firstColumn="1" w:lastColumn="0" w:oddVBand="0" w:evenVBand="0" w:oddHBand="0" w:evenHBand="0" w:firstRowFirstColumn="0" w:firstRowLastColumn="0" w:lastRowFirstColumn="0" w:lastRowLastColumn="0"/>
            <w:tcW w:w="3303" w:type="dxa"/>
            <w:tcBorders>
              <w:right w:val="none" w:sz="0" w:space="0" w:color="auto"/>
            </w:tcBorders>
          </w:tcPr>
          <w:p w14:paraId="670CC781" w14:textId="77777777" w:rsidR="00BC7EBB" w:rsidRDefault="00BC7EBB" w:rsidP="00C03308">
            <w:pPr>
              <w:pStyle w:val="Tablebody"/>
              <w:rPr>
                <w:rStyle w:val="Heading5Char"/>
                <w:rFonts w:asciiTheme="minorHAnsi" w:hAnsiTheme="minorHAnsi" w:cstheme="minorHAnsi"/>
                <w:bCs w:val="0"/>
                <w:color w:val="auto"/>
              </w:rPr>
            </w:pPr>
            <w:r w:rsidRPr="005C6687">
              <w:rPr>
                <w:rStyle w:val="Heading5Char"/>
                <w:rFonts w:asciiTheme="minorHAnsi" w:hAnsiTheme="minorHAnsi" w:cstheme="minorHAnsi"/>
                <w:b/>
                <w:color w:val="auto"/>
              </w:rPr>
              <w:t>Major</w:t>
            </w:r>
          </w:p>
          <w:p w14:paraId="704E805E" w14:textId="77777777" w:rsidR="00BC7EBB" w:rsidRPr="005C6687" w:rsidRDefault="00BC7EBB" w:rsidP="00C03308">
            <w:pPr>
              <w:pStyle w:val="Tablebody"/>
              <w:rPr>
                <w:rStyle w:val="Heading5Char"/>
                <w:rFonts w:asciiTheme="minorHAnsi" w:hAnsiTheme="minorHAnsi" w:cstheme="minorHAnsi"/>
                <w:bCs w:val="0"/>
                <w:color w:val="auto"/>
              </w:rPr>
            </w:pPr>
            <w:r>
              <w:rPr>
                <w:rStyle w:val="Heading5Char"/>
                <w:rFonts w:asciiTheme="minorHAnsi" w:hAnsiTheme="minorHAnsi" w:cstheme="minorHAnsi"/>
                <w:bCs w:val="0"/>
                <w:color w:val="auto"/>
              </w:rPr>
              <w:t>l</w:t>
            </w:r>
            <w:r w:rsidRPr="005C6687">
              <w:rPr>
                <w:rStyle w:val="Heading5Char"/>
                <w:rFonts w:asciiTheme="minorHAnsi" w:hAnsiTheme="minorHAnsi" w:cstheme="minorHAnsi"/>
                <w:bCs w:val="0"/>
                <w:color w:val="auto"/>
              </w:rPr>
              <w:t>ife threatening hemorrhages, deep muscle bleeding including iliopsoas.</w:t>
            </w:r>
          </w:p>
        </w:tc>
        <w:tc>
          <w:tcPr>
            <w:tcW w:w="3304" w:type="dxa"/>
          </w:tcPr>
          <w:p w14:paraId="0E9F948E" w14:textId="77777777" w:rsidR="00BC7EBB" w:rsidRPr="005C6687" w:rsidRDefault="00BC7EBB" w:rsidP="00C03308">
            <w:pPr>
              <w:pStyle w:val="Tablebody"/>
              <w:cnfStyle w:val="000000000000" w:firstRow="0" w:lastRow="0" w:firstColumn="0" w:lastColumn="0" w:oddVBand="0" w:evenVBand="0" w:oddHBand="0" w:evenHBand="0" w:firstRowFirstColumn="0" w:firstRowLastColumn="0" w:lastRowFirstColumn="0" w:lastRowLastColumn="0"/>
              <w:rPr>
                <w:rStyle w:val="Heading5Char"/>
                <w:rFonts w:asciiTheme="minorHAnsi" w:hAnsiTheme="minorHAnsi" w:cstheme="minorHAnsi"/>
                <w:b w:val="0"/>
                <w:bCs/>
                <w:color w:val="auto"/>
              </w:rPr>
            </w:pPr>
            <w:r w:rsidRPr="005C6687">
              <w:rPr>
                <w:rStyle w:val="Heading5Char"/>
                <w:rFonts w:asciiTheme="minorHAnsi" w:hAnsiTheme="minorHAnsi" w:cstheme="minorHAnsi"/>
                <w:b w:val="0"/>
                <w:bCs/>
                <w:color w:val="auto"/>
              </w:rPr>
              <w:t>60-100</w:t>
            </w:r>
          </w:p>
        </w:tc>
        <w:tc>
          <w:tcPr>
            <w:tcW w:w="3304" w:type="dxa"/>
          </w:tcPr>
          <w:p w14:paraId="1B12CF8C" w14:textId="77777777" w:rsidR="00BC7EBB" w:rsidRPr="005C6687" w:rsidRDefault="00BC7EBB" w:rsidP="00C03308">
            <w:pPr>
              <w:pStyle w:val="Tablebody"/>
              <w:cnfStyle w:val="000000000000" w:firstRow="0" w:lastRow="0" w:firstColumn="0" w:lastColumn="0" w:oddVBand="0" w:evenVBand="0" w:oddHBand="0" w:evenHBand="0" w:firstRowFirstColumn="0" w:firstRowLastColumn="0" w:lastRowFirstColumn="0" w:lastRowLastColumn="0"/>
              <w:rPr>
                <w:rStyle w:val="Heading5Char"/>
                <w:rFonts w:cs="Arial"/>
                <w:b w:val="0"/>
                <w:bCs/>
                <w:iCs/>
                <w:color w:val="000000" w:themeColor="text1"/>
                <w:szCs w:val="24"/>
              </w:rPr>
            </w:pPr>
            <w:r w:rsidRPr="005C6687">
              <w:rPr>
                <w:rStyle w:val="Heading5Char"/>
                <w:rFonts w:cs="Arial"/>
                <w:b w:val="0"/>
                <w:bCs/>
                <w:iCs/>
                <w:color w:val="000000" w:themeColor="text1"/>
                <w:szCs w:val="24"/>
              </w:rPr>
              <w:t>Repeat every 48-72 hours for the first week and then maintenance dose weekly until bleeding stops and healing is achieved.</w:t>
            </w:r>
          </w:p>
        </w:tc>
      </w:tr>
    </w:tbl>
    <w:p w14:paraId="100E6063" w14:textId="77777777" w:rsidR="00BC7EBB" w:rsidRDefault="00BC7EBB" w:rsidP="00BC7EBB">
      <w:pPr>
        <w:pStyle w:val="ListBullet"/>
        <w:numPr>
          <w:ilvl w:val="0"/>
          <w:numId w:val="0"/>
        </w:numPr>
        <w:ind w:left="425" w:hanging="425"/>
        <w:rPr>
          <w:rStyle w:val="Heading5Char"/>
          <w:rFonts w:asciiTheme="minorHAnsi" w:hAnsiTheme="minorHAnsi" w:cstheme="minorHAnsi"/>
        </w:rPr>
      </w:pPr>
    </w:p>
    <w:p w14:paraId="61BACFF0" w14:textId="77777777" w:rsidR="00BC7EBB" w:rsidRPr="00BC7EBB" w:rsidRDefault="00BC7EBB" w:rsidP="00BC7EBB">
      <w:pPr>
        <w:pStyle w:val="Tabletitle-numbered"/>
        <w:rPr>
          <w:rStyle w:val="Heading5Char"/>
          <w:rFonts w:cs="Arial"/>
          <w:b/>
          <w:bCs/>
          <w:iCs/>
          <w:color w:val="000000" w:themeColor="text1"/>
          <w:szCs w:val="24"/>
        </w:rPr>
      </w:pPr>
      <w:proofErr w:type="gramStart"/>
      <w:r w:rsidRPr="00BC7EBB">
        <w:rPr>
          <w:rStyle w:val="Heading5Char"/>
          <w:rFonts w:cs="Arial"/>
          <w:b/>
          <w:bCs/>
          <w:iCs/>
          <w:color w:val="000000" w:themeColor="text1"/>
          <w:szCs w:val="24"/>
        </w:rPr>
        <w:t>Dosing</w:t>
      </w:r>
      <w:proofErr w:type="gramEnd"/>
      <w:r w:rsidRPr="00BC7EBB">
        <w:rPr>
          <w:rStyle w:val="Heading5Char"/>
          <w:rFonts w:cs="Arial"/>
          <w:b/>
          <w:bCs/>
          <w:iCs/>
          <w:color w:val="000000" w:themeColor="text1"/>
          <w:szCs w:val="24"/>
        </w:rPr>
        <w:t xml:space="preserve"> for control and prevention of bleeding in the perioperative setting</w:t>
      </w:r>
    </w:p>
    <w:tbl>
      <w:tblPr>
        <w:tblStyle w:val="ListTable3-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3"/>
        <w:gridCol w:w="3304"/>
        <w:gridCol w:w="3304"/>
      </w:tblGrid>
      <w:tr w:rsidR="00BC7EBB" w14:paraId="126FE903" w14:textId="77777777" w:rsidTr="00C0330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03" w:type="dxa"/>
          </w:tcPr>
          <w:p w14:paraId="56C8163C" w14:textId="77777777" w:rsidR="00BC7EBB" w:rsidRPr="0047023D" w:rsidRDefault="00BC7EBB" w:rsidP="00C03308">
            <w:pPr>
              <w:pStyle w:val="ListBullet"/>
              <w:numPr>
                <w:ilvl w:val="0"/>
                <w:numId w:val="0"/>
              </w:numPr>
              <w:rPr>
                <w:rStyle w:val="Heading5Char"/>
                <w:rFonts w:asciiTheme="minorHAnsi" w:hAnsiTheme="minorHAnsi" w:cstheme="minorHAnsi"/>
                <w:b/>
                <w:bCs/>
                <w:color w:val="FFFFFF" w:themeColor="background1"/>
              </w:rPr>
            </w:pPr>
            <w:r w:rsidRPr="0047023D">
              <w:rPr>
                <w:rStyle w:val="Heading5Char"/>
                <w:rFonts w:asciiTheme="minorHAnsi" w:hAnsiTheme="minorHAnsi" w:cstheme="minorHAnsi"/>
                <w:b/>
                <w:bCs/>
                <w:color w:val="FFFFFF" w:themeColor="background1"/>
              </w:rPr>
              <w:t>Control and prevention of bleeding in the perioperative setting</w:t>
            </w:r>
          </w:p>
        </w:tc>
        <w:tc>
          <w:tcPr>
            <w:tcW w:w="3304" w:type="dxa"/>
          </w:tcPr>
          <w:p w14:paraId="5509D2CA" w14:textId="11D4D479" w:rsidR="00BC7EBB" w:rsidRPr="0047023D" w:rsidRDefault="00BC7EBB" w:rsidP="00C03308">
            <w:pPr>
              <w:pStyle w:val="ListBullet"/>
              <w:numPr>
                <w:ilvl w:val="0"/>
                <w:numId w:val="0"/>
              </w:numPr>
              <w:cnfStyle w:val="100000000000" w:firstRow="1" w:lastRow="0" w:firstColumn="0" w:lastColumn="0" w:oddVBand="0" w:evenVBand="0" w:oddHBand="0" w:evenHBand="0" w:firstRowFirstColumn="0" w:firstRowLastColumn="0" w:lastRowFirstColumn="0" w:lastRowLastColumn="0"/>
              <w:rPr>
                <w:rStyle w:val="Heading5Char"/>
                <w:rFonts w:asciiTheme="minorHAnsi" w:hAnsiTheme="minorHAnsi" w:cstheme="minorHAnsi"/>
                <w:b/>
                <w:bCs/>
                <w:color w:val="FFFFFF" w:themeColor="background1"/>
              </w:rPr>
            </w:pPr>
            <w:r w:rsidRPr="0047023D">
              <w:rPr>
                <w:rStyle w:val="Heading5Char"/>
                <w:rFonts w:asciiTheme="minorHAnsi" w:hAnsiTheme="minorHAnsi" w:cstheme="minorHAnsi"/>
                <w:b/>
                <w:bCs/>
                <w:color w:val="FFFFFF" w:themeColor="background1"/>
              </w:rPr>
              <w:t>FIX level required (%) (</w:t>
            </w:r>
            <w:r w:rsidR="00823C4F">
              <w:rPr>
                <w:rStyle w:val="Heading5Char"/>
                <w:rFonts w:asciiTheme="minorHAnsi" w:hAnsiTheme="minorHAnsi" w:cstheme="minorHAnsi"/>
                <w:b/>
                <w:bCs/>
                <w:color w:val="FFFFFF" w:themeColor="background1"/>
              </w:rPr>
              <w:t xml:space="preserve">International Units </w:t>
            </w:r>
            <w:r w:rsidRPr="0047023D">
              <w:rPr>
                <w:rStyle w:val="Heading5Char"/>
                <w:rFonts w:asciiTheme="minorHAnsi" w:hAnsiTheme="minorHAnsi" w:cstheme="minorHAnsi"/>
                <w:b/>
                <w:bCs/>
                <w:color w:val="FFFFFF" w:themeColor="background1"/>
              </w:rPr>
              <w:t>/dL)</w:t>
            </w:r>
          </w:p>
        </w:tc>
        <w:tc>
          <w:tcPr>
            <w:tcW w:w="3304" w:type="dxa"/>
          </w:tcPr>
          <w:p w14:paraId="74E864CC" w14:textId="77777777" w:rsidR="00BC7EBB" w:rsidRPr="0047023D" w:rsidRDefault="00BC7EBB" w:rsidP="00C03308">
            <w:pPr>
              <w:pStyle w:val="ListBullet"/>
              <w:numPr>
                <w:ilvl w:val="0"/>
                <w:numId w:val="0"/>
              </w:numPr>
              <w:cnfStyle w:val="100000000000" w:firstRow="1" w:lastRow="0" w:firstColumn="0" w:lastColumn="0" w:oddVBand="0" w:evenVBand="0" w:oddHBand="0" w:evenHBand="0" w:firstRowFirstColumn="0" w:firstRowLastColumn="0" w:lastRowFirstColumn="0" w:lastRowLastColumn="0"/>
              <w:rPr>
                <w:rStyle w:val="Heading5Char"/>
                <w:rFonts w:asciiTheme="minorHAnsi" w:hAnsiTheme="minorHAnsi" w:cstheme="minorHAnsi"/>
                <w:b/>
                <w:bCs/>
                <w:color w:val="FFFFFF" w:themeColor="background1"/>
              </w:rPr>
            </w:pPr>
            <w:r w:rsidRPr="0047023D">
              <w:rPr>
                <w:rStyle w:val="Heading5Char"/>
                <w:rFonts w:asciiTheme="minorHAnsi" w:hAnsiTheme="minorHAnsi" w:cstheme="minorHAnsi"/>
                <w:b/>
                <w:bCs/>
                <w:color w:val="FFFFFF" w:themeColor="background1"/>
              </w:rPr>
              <w:t>Frequency of doses (hours)/Duration of therapy (days)</w:t>
            </w:r>
          </w:p>
        </w:tc>
      </w:tr>
      <w:tr w:rsidR="00BC7EBB" w14:paraId="2B792D12" w14:textId="77777777" w:rsidTr="00C033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03" w:type="dxa"/>
          </w:tcPr>
          <w:p w14:paraId="6A4AD827" w14:textId="77777777" w:rsidR="00BC7EBB" w:rsidRPr="00D44842" w:rsidRDefault="00BC7EBB" w:rsidP="00C03308">
            <w:pPr>
              <w:pStyle w:val="Tablebody"/>
              <w:rPr>
                <w:rStyle w:val="Heading5Char"/>
                <w:rFonts w:cs="Arial"/>
                <w:b/>
                <w:bCs w:val="0"/>
                <w:iCs/>
                <w:color w:val="000000" w:themeColor="text1"/>
                <w:szCs w:val="24"/>
              </w:rPr>
            </w:pPr>
            <w:r w:rsidRPr="00D44842">
              <w:rPr>
                <w:rStyle w:val="Heading5Char"/>
                <w:rFonts w:cs="Arial"/>
                <w:b/>
                <w:bCs w:val="0"/>
                <w:iCs/>
                <w:color w:val="000000" w:themeColor="text1"/>
                <w:szCs w:val="24"/>
              </w:rPr>
              <w:t>Minor surgery</w:t>
            </w:r>
          </w:p>
          <w:p w14:paraId="5453359F" w14:textId="77777777" w:rsidR="00BC7EBB" w:rsidRPr="00D44842" w:rsidRDefault="00BC7EBB" w:rsidP="00C03308">
            <w:pPr>
              <w:pStyle w:val="Tablebody"/>
              <w:rPr>
                <w:rStyle w:val="Heading5Char"/>
                <w:rFonts w:cs="Arial"/>
                <w:iCs/>
                <w:color w:val="000000" w:themeColor="text1"/>
                <w:szCs w:val="24"/>
              </w:rPr>
            </w:pPr>
            <w:r w:rsidRPr="00D44842">
              <w:rPr>
                <w:rStyle w:val="Heading5Char"/>
                <w:rFonts w:cs="Arial"/>
                <w:iCs/>
                <w:color w:val="000000" w:themeColor="text1"/>
                <w:szCs w:val="24"/>
              </w:rPr>
              <w:t>Including uncomplicated tooth extraction</w:t>
            </w:r>
          </w:p>
        </w:tc>
        <w:tc>
          <w:tcPr>
            <w:tcW w:w="3304" w:type="dxa"/>
          </w:tcPr>
          <w:p w14:paraId="173CEC5B" w14:textId="77777777" w:rsidR="00BC7EBB" w:rsidRPr="00D44842" w:rsidRDefault="00BC7EBB" w:rsidP="00C03308">
            <w:pPr>
              <w:pStyle w:val="Tablebody"/>
              <w:cnfStyle w:val="000000100000" w:firstRow="0" w:lastRow="0" w:firstColumn="0" w:lastColumn="0" w:oddVBand="0" w:evenVBand="0" w:oddHBand="1" w:evenHBand="0" w:firstRowFirstColumn="0" w:firstRowLastColumn="0" w:lastRowFirstColumn="0" w:lastRowLastColumn="0"/>
              <w:rPr>
                <w:rStyle w:val="Heading5Char"/>
                <w:rFonts w:cs="Arial"/>
                <w:b w:val="0"/>
                <w:bCs/>
                <w:iCs/>
                <w:color w:val="000000" w:themeColor="text1"/>
                <w:szCs w:val="24"/>
              </w:rPr>
            </w:pPr>
            <w:r w:rsidRPr="00D44842">
              <w:rPr>
                <w:rStyle w:val="Heading5Char"/>
                <w:rFonts w:cs="Arial"/>
                <w:b w:val="0"/>
                <w:bCs/>
                <w:iCs/>
                <w:color w:val="000000" w:themeColor="text1"/>
                <w:szCs w:val="24"/>
              </w:rPr>
              <w:t>50–80 (initial level)</w:t>
            </w:r>
          </w:p>
        </w:tc>
        <w:tc>
          <w:tcPr>
            <w:tcW w:w="3304" w:type="dxa"/>
          </w:tcPr>
          <w:p w14:paraId="17441F80" w14:textId="77777777" w:rsidR="00BC7EBB" w:rsidRPr="00D44842" w:rsidRDefault="00BC7EBB" w:rsidP="00C03308">
            <w:pPr>
              <w:pStyle w:val="Tablebody"/>
              <w:cnfStyle w:val="000000100000" w:firstRow="0" w:lastRow="0" w:firstColumn="0" w:lastColumn="0" w:oddVBand="0" w:evenVBand="0" w:oddHBand="1" w:evenHBand="0" w:firstRowFirstColumn="0" w:firstRowLastColumn="0" w:lastRowFirstColumn="0" w:lastRowLastColumn="0"/>
              <w:rPr>
                <w:rStyle w:val="Heading5Char"/>
                <w:rFonts w:cs="Arial"/>
                <w:b w:val="0"/>
                <w:bCs/>
                <w:iCs/>
                <w:color w:val="000000" w:themeColor="text1"/>
                <w:szCs w:val="24"/>
              </w:rPr>
            </w:pPr>
            <w:r w:rsidRPr="00D44842">
              <w:rPr>
                <w:rStyle w:val="Heading5Char"/>
                <w:rFonts w:cs="Arial"/>
                <w:b w:val="0"/>
                <w:bCs/>
                <w:iCs/>
                <w:color w:val="000000" w:themeColor="text1"/>
                <w:szCs w:val="24"/>
              </w:rPr>
              <w:t>Single dose may be sufficient for a majority of minor surgeries. If needed, maintenance dose can be provided after 48-72 hours until bleeding stops and healing is achieved.</w:t>
            </w:r>
          </w:p>
        </w:tc>
      </w:tr>
      <w:tr w:rsidR="00BC7EBB" w14:paraId="3436F0A7" w14:textId="77777777" w:rsidTr="00C03308">
        <w:tc>
          <w:tcPr>
            <w:cnfStyle w:val="001000000000" w:firstRow="0" w:lastRow="0" w:firstColumn="1" w:lastColumn="0" w:oddVBand="0" w:evenVBand="0" w:oddHBand="0" w:evenHBand="0" w:firstRowFirstColumn="0" w:firstRowLastColumn="0" w:lastRowFirstColumn="0" w:lastRowLastColumn="0"/>
            <w:tcW w:w="3303" w:type="dxa"/>
          </w:tcPr>
          <w:p w14:paraId="62C2CE86" w14:textId="77777777" w:rsidR="00BC7EBB" w:rsidRPr="00D44842" w:rsidRDefault="00BC7EBB" w:rsidP="00C03308">
            <w:pPr>
              <w:pStyle w:val="Tablebody"/>
              <w:rPr>
                <w:rStyle w:val="Heading5Char"/>
                <w:rFonts w:cs="Arial"/>
                <w:b/>
                <w:bCs w:val="0"/>
                <w:iCs/>
                <w:color w:val="000000" w:themeColor="text1"/>
                <w:szCs w:val="24"/>
              </w:rPr>
            </w:pPr>
            <w:r w:rsidRPr="00D44842">
              <w:rPr>
                <w:rStyle w:val="Heading5Char"/>
                <w:rFonts w:cs="Arial"/>
                <w:b/>
                <w:bCs w:val="0"/>
                <w:iCs/>
                <w:color w:val="000000" w:themeColor="text1"/>
                <w:szCs w:val="24"/>
              </w:rPr>
              <w:t>Major surgery</w:t>
            </w:r>
          </w:p>
        </w:tc>
        <w:tc>
          <w:tcPr>
            <w:tcW w:w="3304" w:type="dxa"/>
          </w:tcPr>
          <w:p w14:paraId="6679D35A" w14:textId="77777777" w:rsidR="00BC7EBB" w:rsidRPr="00D44842" w:rsidRDefault="00BC7EBB" w:rsidP="00C03308">
            <w:pPr>
              <w:pStyle w:val="Tablebody"/>
              <w:cnfStyle w:val="000000000000" w:firstRow="0" w:lastRow="0" w:firstColumn="0" w:lastColumn="0" w:oddVBand="0" w:evenVBand="0" w:oddHBand="0" w:evenHBand="0" w:firstRowFirstColumn="0" w:firstRowLastColumn="0" w:lastRowFirstColumn="0" w:lastRowLastColumn="0"/>
              <w:rPr>
                <w:rStyle w:val="Heading5Char"/>
                <w:rFonts w:cs="Arial"/>
                <w:b w:val="0"/>
                <w:bCs/>
                <w:iCs/>
                <w:color w:val="000000" w:themeColor="text1"/>
                <w:szCs w:val="24"/>
              </w:rPr>
            </w:pPr>
            <w:r w:rsidRPr="00D44842">
              <w:rPr>
                <w:rStyle w:val="Heading5Char"/>
                <w:rFonts w:cs="Arial"/>
                <w:b w:val="0"/>
                <w:bCs/>
                <w:iCs/>
                <w:color w:val="000000" w:themeColor="text1"/>
                <w:szCs w:val="24"/>
              </w:rPr>
              <w:t>60–100 (initial level)</w:t>
            </w:r>
          </w:p>
        </w:tc>
        <w:tc>
          <w:tcPr>
            <w:tcW w:w="3304" w:type="dxa"/>
          </w:tcPr>
          <w:p w14:paraId="6AAE1A61" w14:textId="77777777" w:rsidR="00BC7EBB" w:rsidRPr="00D44842" w:rsidRDefault="00BC7EBB" w:rsidP="00C03308">
            <w:pPr>
              <w:pStyle w:val="Tablebody"/>
              <w:cnfStyle w:val="000000000000" w:firstRow="0" w:lastRow="0" w:firstColumn="0" w:lastColumn="0" w:oddVBand="0" w:evenVBand="0" w:oddHBand="0" w:evenHBand="0" w:firstRowFirstColumn="0" w:firstRowLastColumn="0" w:lastRowFirstColumn="0" w:lastRowLastColumn="0"/>
              <w:rPr>
                <w:rStyle w:val="Heading5Char"/>
                <w:rFonts w:cs="Arial"/>
                <w:b w:val="0"/>
                <w:bCs/>
                <w:iCs/>
                <w:color w:val="000000" w:themeColor="text1"/>
                <w:szCs w:val="24"/>
              </w:rPr>
            </w:pPr>
            <w:r w:rsidRPr="00D44842">
              <w:rPr>
                <w:rStyle w:val="Heading5Char"/>
                <w:rFonts w:cs="Arial"/>
                <w:b w:val="0"/>
                <w:bCs/>
                <w:iCs/>
                <w:color w:val="000000" w:themeColor="text1"/>
                <w:szCs w:val="24"/>
              </w:rPr>
              <w:t>Repeat every 48-72 hours for the first week, and then maintenance dose 1-2 times per week until bleeding stops and healing is achieved.</w:t>
            </w:r>
          </w:p>
        </w:tc>
      </w:tr>
    </w:tbl>
    <w:bookmarkEnd w:id="14"/>
    <w:p w14:paraId="2461EDDA" w14:textId="22CCF0D8" w:rsidR="00487AA6" w:rsidRPr="00ED687D" w:rsidRDefault="00487AA6" w:rsidP="00487AA6">
      <w:pPr>
        <w:pStyle w:val="ListBullet"/>
        <w:numPr>
          <w:ilvl w:val="0"/>
          <w:numId w:val="0"/>
        </w:numPr>
        <w:ind w:left="425" w:hanging="425"/>
        <w:rPr>
          <w:rFonts w:asciiTheme="minorHAnsi" w:hAnsiTheme="minorHAnsi" w:cstheme="minorHAnsi"/>
          <w:b/>
          <w:bCs/>
          <w:szCs w:val="24"/>
        </w:rPr>
      </w:pPr>
      <w:r w:rsidRPr="00ED687D">
        <w:rPr>
          <w:rStyle w:val="Heading5Char"/>
          <w:rFonts w:asciiTheme="minorHAnsi" w:hAnsiTheme="minorHAnsi" w:cstheme="minorHAnsi"/>
        </w:rPr>
        <w:t xml:space="preserve">Dosing of </w:t>
      </w:r>
      <w:proofErr w:type="spellStart"/>
      <w:r w:rsidRPr="00ED687D">
        <w:rPr>
          <w:rStyle w:val="Heading5Char"/>
          <w:rFonts w:asciiTheme="minorHAnsi" w:hAnsiTheme="minorHAnsi" w:cstheme="minorHAnsi"/>
        </w:rPr>
        <w:t>Biostate</w:t>
      </w:r>
      <w:proofErr w:type="spellEnd"/>
      <w:r w:rsidRPr="00ED687D">
        <w:rPr>
          <w:rStyle w:val="Heading5Char"/>
          <w:rFonts w:asciiTheme="minorHAnsi" w:hAnsiTheme="minorHAnsi" w:cstheme="minorHAnsi"/>
        </w:rPr>
        <w:t xml:space="preserve"> (use for </w:t>
      </w:r>
      <w:r w:rsidR="00F71D4A">
        <w:rPr>
          <w:rStyle w:val="Heading5Char"/>
          <w:rFonts w:asciiTheme="minorHAnsi" w:hAnsiTheme="minorHAnsi" w:cstheme="minorHAnsi"/>
        </w:rPr>
        <w:t>v</w:t>
      </w:r>
      <w:r w:rsidRPr="00ED687D">
        <w:rPr>
          <w:rStyle w:val="Heading5Char"/>
          <w:rFonts w:asciiTheme="minorHAnsi" w:hAnsiTheme="minorHAnsi" w:cstheme="minorHAnsi"/>
        </w:rPr>
        <w:t>on Willebrand Disease</w:t>
      </w:r>
      <w:r w:rsidRPr="00ED687D">
        <w:rPr>
          <w:rFonts w:asciiTheme="minorHAnsi" w:hAnsiTheme="minorHAnsi" w:cstheme="minorHAnsi"/>
          <w:b/>
          <w:bCs/>
          <w:szCs w:val="24"/>
        </w:rPr>
        <w:t>)</w:t>
      </w:r>
    </w:p>
    <w:p w14:paraId="5BEE939E" w14:textId="77777777" w:rsidR="00487AA6" w:rsidRPr="00ED687D" w:rsidRDefault="00487AA6" w:rsidP="007E1101">
      <w:pPr>
        <w:pStyle w:val="BodyCopy"/>
      </w:pPr>
      <w:r w:rsidRPr="00ED687D">
        <w:t>Depends on site of bleeding:</w:t>
      </w:r>
    </w:p>
    <w:p w14:paraId="6AA202EA" w14:textId="7348F8A9" w:rsidR="00487AA6" w:rsidRPr="00ED687D" w:rsidRDefault="00487AA6" w:rsidP="007E1101">
      <w:pPr>
        <w:pStyle w:val="Bullet"/>
      </w:pPr>
      <w:r w:rsidRPr="00ED687D">
        <w:t>Joints/musculoskeletal bleeding: 40</w:t>
      </w:r>
      <w:r w:rsidR="00823C4F">
        <w:t xml:space="preserve"> International Units </w:t>
      </w:r>
      <w:r w:rsidRPr="00ED687D">
        <w:t>/kg (96</w:t>
      </w:r>
      <w:r w:rsidR="00D95B03">
        <w:t xml:space="preserve"> </w:t>
      </w:r>
      <w:r w:rsidRPr="00ED687D">
        <w:t>v</w:t>
      </w:r>
      <w:r w:rsidR="00D95B03">
        <w:t>on Willebrand Factor</w:t>
      </w:r>
      <w:r w:rsidRPr="00ED687D">
        <w:t xml:space="preserve"> </w:t>
      </w:r>
      <w:r w:rsidR="00823C4F">
        <w:t xml:space="preserve">International Units </w:t>
      </w:r>
      <w:r w:rsidRPr="00ED687D">
        <w:t>/kg)</w:t>
      </w:r>
    </w:p>
    <w:p w14:paraId="6456C823" w14:textId="5178708B" w:rsidR="00487AA6" w:rsidRPr="00ED687D" w:rsidRDefault="00487AA6" w:rsidP="007E1101">
      <w:pPr>
        <w:pStyle w:val="Bullet"/>
      </w:pPr>
      <w:r w:rsidRPr="00ED687D">
        <w:t>Gastrointestinal/genitourinary: 40</w:t>
      </w:r>
      <w:r w:rsidR="00823C4F">
        <w:t xml:space="preserve"> International Units </w:t>
      </w:r>
      <w:r w:rsidRPr="00ED687D">
        <w:t>/kg (96</w:t>
      </w:r>
      <w:r w:rsidR="00D95B03">
        <w:t xml:space="preserve"> von Willebrand Factor</w:t>
      </w:r>
      <w:r w:rsidRPr="00ED687D">
        <w:t xml:space="preserve"> </w:t>
      </w:r>
      <w:r w:rsidR="00823C4F">
        <w:t xml:space="preserve">International Units </w:t>
      </w:r>
      <w:r w:rsidRPr="00ED687D">
        <w:t>/kg)</w:t>
      </w:r>
    </w:p>
    <w:p w14:paraId="7048CD97" w14:textId="148255CC" w:rsidR="00487AA6" w:rsidRPr="00ED687D" w:rsidRDefault="00487AA6" w:rsidP="007E1101">
      <w:pPr>
        <w:pStyle w:val="Bullet"/>
      </w:pPr>
      <w:r w:rsidRPr="00ED687D">
        <w:t>Oral mucosa/dental/epistaxis: 25</w:t>
      </w:r>
      <w:r w:rsidR="00823C4F">
        <w:t xml:space="preserve"> International Units </w:t>
      </w:r>
      <w:r w:rsidRPr="00ED687D">
        <w:t>/kg (60</w:t>
      </w:r>
      <w:r w:rsidR="00D95B03">
        <w:t xml:space="preserve"> </w:t>
      </w:r>
      <w:r w:rsidR="00F71D4A">
        <w:t>v</w:t>
      </w:r>
      <w:r w:rsidR="00D95B03">
        <w:t>on Willebrand Factor</w:t>
      </w:r>
      <w:r w:rsidRPr="00ED687D">
        <w:t xml:space="preserve"> </w:t>
      </w:r>
      <w:r w:rsidR="00823C4F">
        <w:t xml:space="preserve">International Units </w:t>
      </w:r>
      <w:r w:rsidRPr="00ED687D">
        <w:t xml:space="preserve">/kg) (use of </w:t>
      </w:r>
      <w:r w:rsidR="00F71D4A">
        <w:t>t</w:t>
      </w:r>
      <w:r w:rsidRPr="00ED687D">
        <w:t xml:space="preserve">ranexamic </w:t>
      </w:r>
      <w:r w:rsidR="00F71D4A">
        <w:t>a</w:t>
      </w:r>
      <w:r w:rsidRPr="00ED687D">
        <w:t>cid is effective in preventing recurrence)</w:t>
      </w:r>
    </w:p>
    <w:p w14:paraId="340402C2" w14:textId="24A4F4DD" w:rsidR="00487AA6" w:rsidRPr="00ED687D" w:rsidRDefault="00487AA6" w:rsidP="007E1101">
      <w:pPr>
        <w:pStyle w:val="Bullet"/>
      </w:pPr>
      <w:r w:rsidRPr="00ED687D">
        <w:t>CNS: 60</w:t>
      </w:r>
      <w:r w:rsidR="00823C4F">
        <w:t xml:space="preserve"> International Units </w:t>
      </w:r>
      <w:r w:rsidRPr="00ED687D">
        <w:t>/kg (144</w:t>
      </w:r>
      <w:r w:rsidR="00D95B03">
        <w:t xml:space="preserve"> Von Willebrand Factor</w:t>
      </w:r>
      <w:r w:rsidRPr="00ED687D">
        <w:t xml:space="preserve"> </w:t>
      </w:r>
      <w:r w:rsidR="00823C4F">
        <w:t xml:space="preserve">International Units </w:t>
      </w:r>
      <w:r w:rsidRPr="00ED687D">
        <w:t>/kg)</w:t>
      </w:r>
    </w:p>
    <w:p w14:paraId="0E768D5E" w14:textId="672229A8" w:rsidR="00487AA6" w:rsidRPr="008B4384" w:rsidRDefault="00487AA6" w:rsidP="007E1101">
      <w:pPr>
        <w:pStyle w:val="Bullet"/>
      </w:pPr>
      <w:r w:rsidRPr="00ED687D">
        <w:t>Trauma/surgery: 60</w:t>
      </w:r>
      <w:r w:rsidR="00823C4F">
        <w:t xml:space="preserve"> International Units </w:t>
      </w:r>
      <w:r w:rsidRPr="00ED687D">
        <w:t>/kg (144</w:t>
      </w:r>
      <w:r w:rsidR="00D95B03">
        <w:t xml:space="preserve"> V</w:t>
      </w:r>
      <w:r w:rsidR="008A27FE">
        <w:t>on</w:t>
      </w:r>
      <w:r w:rsidR="00D95B03">
        <w:t xml:space="preserve"> Willebrand Factor </w:t>
      </w:r>
      <w:r w:rsidR="00823C4F">
        <w:t xml:space="preserve">International Units </w:t>
      </w:r>
      <w:r w:rsidRPr="00ED687D">
        <w:t>/kg)</w:t>
      </w:r>
    </w:p>
    <w:p w14:paraId="31ED2A54" w14:textId="0B075E76" w:rsidR="00481A6C" w:rsidRDefault="00481A6C" w:rsidP="0091462B">
      <w:pPr>
        <w:pStyle w:val="BodyCopy"/>
      </w:pPr>
      <w:hyperlink w:anchor="_top" w:history="1">
        <w:r w:rsidRPr="00481A6C">
          <w:rPr>
            <w:rStyle w:val="Hyperlink"/>
            <w:iCs w:val="0"/>
          </w:rPr>
          <w:t>Back to Contents</w:t>
        </w:r>
      </w:hyperlink>
    </w:p>
    <w:p w14:paraId="727DB294" w14:textId="77777777" w:rsidR="0078367D" w:rsidRDefault="0078367D" w:rsidP="00A6051F">
      <w:pPr>
        <w:pStyle w:val="Heading4"/>
      </w:pPr>
      <w:bookmarkStart w:id="15" w:name="_Toc176348490"/>
      <w:bookmarkStart w:id="16" w:name="_Toc219390982"/>
      <w:r>
        <w:t>Evaluation</w:t>
      </w:r>
      <w:bookmarkStart w:id="17" w:name="_Hlk43366294"/>
      <w:bookmarkEnd w:id="15"/>
      <w:bookmarkEnd w:id="16"/>
    </w:p>
    <w:p w14:paraId="5C0E002C" w14:textId="77777777" w:rsidR="00481A6C" w:rsidRDefault="00481A6C" w:rsidP="00C34A10">
      <w:pPr>
        <w:pStyle w:val="Heading5"/>
      </w:pPr>
      <w:bookmarkStart w:id="18" w:name="_Hlk170467190"/>
      <w:bookmarkEnd w:id="17"/>
      <w:r w:rsidRPr="00C34A10">
        <w:t>Outcome</w:t>
      </w:r>
    </w:p>
    <w:p w14:paraId="589E5F02" w14:textId="58F5CD0F" w:rsidR="00D64EAD" w:rsidRPr="00D64EAD" w:rsidRDefault="00F71D4A" w:rsidP="007E1101">
      <w:pPr>
        <w:pStyle w:val="BodyCopy"/>
        <w:rPr>
          <w:lang w:eastAsia="en-US"/>
        </w:rPr>
      </w:pPr>
      <w:bookmarkStart w:id="19" w:name="_Hlk170467240"/>
      <w:bookmarkEnd w:id="18"/>
      <w:r>
        <w:t xml:space="preserve">The </w:t>
      </w:r>
      <w:r w:rsidRPr="007C3029">
        <w:t>administration of continuous coagulation factor replacement products</w:t>
      </w:r>
      <w:r>
        <w:t xml:space="preserve"> and bolus at C</w:t>
      </w:r>
      <w:r w:rsidR="00CD55B7">
        <w:t xml:space="preserve">anberra </w:t>
      </w:r>
      <w:r>
        <w:t>H</w:t>
      </w:r>
      <w:r w:rsidR="00CD55B7">
        <w:t xml:space="preserve">ospital </w:t>
      </w:r>
      <w:r>
        <w:t>is carried out</w:t>
      </w:r>
      <w:r w:rsidR="003A1703">
        <w:t xml:space="preserve"> in a safe and consistent way,</w:t>
      </w:r>
      <w:r>
        <w:t xml:space="preserve"> according to this procedure.</w:t>
      </w:r>
      <w:r w:rsidRPr="007C3029">
        <w:t xml:space="preserve"> </w:t>
      </w:r>
      <w:r w:rsidR="00D64EAD" w:rsidRPr="00D64EAD">
        <w:rPr>
          <w:lang w:eastAsia="en-US"/>
        </w:rPr>
        <w:t>There should be no significant incidents relating to Coagulation Factor Replacement.</w:t>
      </w:r>
    </w:p>
    <w:p w14:paraId="237FA3DA" w14:textId="77777777" w:rsidR="00481A6C" w:rsidRPr="00C34A10" w:rsidRDefault="00C34A10" w:rsidP="00C34A10">
      <w:pPr>
        <w:pStyle w:val="Heading5"/>
      </w:pPr>
      <w:r>
        <w:t>Measures</w:t>
      </w:r>
    </w:p>
    <w:bookmarkEnd w:id="19"/>
    <w:p w14:paraId="57453985" w14:textId="1D61F7C6" w:rsidR="00D64EAD" w:rsidRPr="00D64EAD" w:rsidRDefault="006F4C90" w:rsidP="007E1101">
      <w:pPr>
        <w:pStyle w:val="BodyCopy"/>
        <w:rPr>
          <w:lang w:eastAsia="en-US"/>
        </w:rPr>
      </w:pPr>
      <w:r>
        <w:rPr>
          <w:lang w:eastAsia="en-US"/>
        </w:rPr>
        <w:t xml:space="preserve">Incident data related to coagulation factor administration and bolus dosing will be reviewed regularly by the Lead Clinician and divisional Executive Director to assess staff are administering continuous coagulation factor replacement products and bolus dosing in a systematic and consistent way in accordance with this procedure. </w:t>
      </w:r>
    </w:p>
    <w:p w14:paraId="242C2871"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4D1842BA" w14:textId="77777777" w:rsidR="00A6051F" w:rsidRDefault="00A6051F" w:rsidP="00A6051F">
      <w:pPr>
        <w:pStyle w:val="Heading4"/>
      </w:pPr>
      <w:bookmarkStart w:id="20" w:name="_Toc219390983"/>
      <w:r>
        <w:t>Related policies, procedures, guidelines and legislation</w:t>
      </w:r>
      <w:bookmarkEnd w:id="20"/>
    </w:p>
    <w:p w14:paraId="35C4368E" w14:textId="77777777" w:rsidR="00481A6C" w:rsidRPr="00A66966" w:rsidRDefault="00481A6C" w:rsidP="00A6051F">
      <w:pPr>
        <w:pStyle w:val="Heading5"/>
      </w:pPr>
      <w:r w:rsidRPr="00A66966">
        <w:t>Policies</w:t>
      </w:r>
    </w:p>
    <w:p w14:paraId="30ADE8B3" w14:textId="15652BA3" w:rsidR="00025A1C" w:rsidRPr="007E1101" w:rsidRDefault="00A86197" w:rsidP="007E1101">
      <w:pPr>
        <w:pStyle w:val="Bullet"/>
      </w:pPr>
      <w:r>
        <w:t xml:space="preserve">Nursing </w:t>
      </w:r>
      <w:r w:rsidRPr="007E1101">
        <w:t>and Midwifery Board of Australia (NMBA) Requirements for Practice</w:t>
      </w:r>
    </w:p>
    <w:p w14:paraId="3B0E1D9E" w14:textId="77D04B73" w:rsidR="00025A1C" w:rsidRDefault="00025A1C" w:rsidP="007E1101">
      <w:pPr>
        <w:pStyle w:val="Bullet"/>
      </w:pPr>
      <w:r w:rsidRPr="007E1101">
        <w:t>Medication Handling</w:t>
      </w:r>
      <w:r w:rsidRPr="006100CE">
        <w:t xml:space="preserve"> </w:t>
      </w:r>
    </w:p>
    <w:p w14:paraId="637B1419" w14:textId="77777777" w:rsidR="00481A6C" w:rsidRDefault="00481A6C" w:rsidP="00A6051F">
      <w:pPr>
        <w:pStyle w:val="Heading5"/>
      </w:pPr>
      <w:r>
        <w:t>Procedures</w:t>
      </w:r>
    </w:p>
    <w:p w14:paraId="03BEE2C5" w14:textId="77777777" w:rsidR="00481A6C" w:rsidRPr="007E1101" w:rsidRDefault="00635114" w:rsidP="007E1101">
      <w:pPr>
        <w:pStyle w:val="Bullet"/>
      </w:pPr>
      <w:r w:rsidRPr="007E1101">
        <w:t>Infection Prevention and Control</w:t>
      </w:r>
    </w:p>
    <w:p w14:paraId="4D0E5151" w14:textId="0CEB6B19" w:rsidR="00481A6C" w:rsidRPr="007E1101" w:rsidRDefault="00481A6C" w:rsidP="007E1101">
      <w:pPr>
        <w:pStyle w:val="Bullet"/>
      </w:pPr>
      <w:r w:rsidRPr="007E1101">
        <w:t xml:space="preserve">Patient Identification and </w:t>
      </w:r>
      <w:r w:rsidR="00614D95">
        <w:t>Healthcare Activity</w:t>
      </w:r>
      <w:r w:rsidR="00614D95" w:rsidRPr="007E1101">
        <w:t xml:space="preserve"> </w:t>
      </w:r>
      <w:r w:rsidRPr="007E1101">
        <w:t xml:space="preserve">Matching </w:t>
      </w:r>
    </w:p>
    <w:p w14:paraId="7812FBDD" w14:textId="3E785C59" w:rsidR="00FB10E9" w:rsidRPr="007E1101" w:rsidRDefault="00FB10E9" w:rsidP="007E1101">
      <w:pPr>
        <w:pStyle w:val="Bullet"/>
      </w:pPr>
      <w:r w:rsidRPr="007E1101">
        <w:t xml:space="preserve">Central Venous Access Device (CVAD) </w:t>
      </w:r>
      <w:r w:rsidR="00614D95">
        <w:t xml:space="preserve">Care and </w:t>
      </w:r>
      <w:r w:rsidRPr="007E1101">
        <w:t xml:space="preserve">Management </w:t>
      </w:r>
      <w:r w:rsidR="00614D95">
        <w:t>– Adults and Paediatrics (not Neonates)</w:t>
      </w:r>
    </w:p>
    <w:p w14:paraId="0B555249" w14:textId="2A7B9A00" w:rsidR="00FB10E9" w:rsidRPr="007E1101" w:rsidRDefault="00FB10E9" w:rsidP="007E1101">
      <w:pPr>
        <w:pStyle w:val="Bullet"/>
      </w:pPr>
      <w:r w:rsidRPr="007E1101">
        <w:t>Fresh Blood Products Administration (Adults, Paediatrics and Neonates)</w:t>
      </w:r>
    </w:p>
    <w:p w14:paraId="42BD6D32" w14:textId="62CFB968" w:rsidR="00FB10E9" w:rsidRPr="00915D8B" w:rsidRDefault="00FB10E9" w:rsidP="007E1101">
      <w:pPr>
        <w:pStyle w:val="Bullet"/>
        <w:rPr>
          <w:rFonts w:asciiTheme="minorHAnsi" w:hAnsiTheme="minorHAnsi" w:cstheme="minorHAnsi"/>
        </w:rPr>
      </w:pPr>
      <w:r w:rsidRPr="007E1101">
        <w:t>Post Operative</w:t>
      </w:r>
      <w:r w:rsidRPr="003A0CA7">
        <w:t xml:space="preserve"> Handover and Observations – Adult Patients (</w:t>
      </w:r>
      <w:r w:rsidR="00614D95">
        <w:t xml:space="preserve">First </w:t>
      </w:r>
      <w:r w:rsidRPr="003A0CA7">
        <w:t xml:space="preserve">24 hours) </w:t>
      </w:r>
    </w:p>
    <w:p w14:paraId="395281A5" w14:textId="77777777" w:rsidR="00481A6C" w:rsidRDefault="00481A6C" w:rsidP="00A6051F">
      <w:pPr>
        <w:pStyle w:val="Heading5"/>
      </w:pPr>
      <w:r>
        <w:t xml:space="preserve">Guidelines </w:t>
      </w:r>
    </w:p>
    <w:p w14:paraId="2D445C07" w14:textId="77777777" w:rsidR="009746B1" w:rsidRPr="007E1101" w:rsidRDefault="009746B1" w:rsidP="007E1101">
      <w:pPr>
        <w:pStyle w:val="Bullet"/>
      </w:pPr>
      <w:r w:rsidRPr="007E1101">
        <w:t>Consent for Healthcare Treatment</w:t>
      </w:r>
    </w:p>
    <w:p w14:paraId="22AAC789" w14:textId="4D6E07D1" w:rsidR="00FB10E9" w:rsidRPr="007E1101" w:rsidRDefault="00FB10E9" w:rsidP="007E1101">
      <w:pPr>
        <w:pStyle w:val="Bullet"/>
      </w:pPr>
      <w:r w:rsidRPr="007E1101">
        <w:t>Fasting Guidelines for Patients undergoing procedures Requiring Sedation or Anaesthesia</w:t>
      </w:r>
    </w:p>
    <w:p w14:paraId="328B3E27" w14:textId="77777777" w:rsidR="00481A6C" w:rsidRDefault="00481A6C" w:rsidP="00A6051F">
      <w:pPr>
        <w:pStyle w:val="Heading5"/>
      </w:pPr>
      <w:r>
        <w:t>Legislation</w:t>
      </w:r>
    </w:p>
    <w:p w14:paraId="22DC2E32" w14:textId="77777777" w:rsidR="00481A6C" w:rsidRPr="000E7683" w:rsidRDefault="00481A6C" w:rsidP="000E7683">
      <w:pPr>
        <w:pStyle w:val="Bullet"/>
      </w:pPr>
      <w:r w:rsidRPr="00FE46F1">
        <w:rPr>
          <w:i/>
          <w:iCs/>
        </w:rPr>
        <w:t>Health Records (Privacy and Access) Act</w:t>
      </w:r>
      <w:r w:rsidRPr="000E7683">
        <w:t xml:space="preserve"> 1997</w:t>
      </w:r>
    </w:p>
    <w:p w14:paraId="73E4E756" w14:textId="77777777" w:rsidR="00481A6C" w:rsidRPr="000E7683" w:rsidRDefault="00481A6C" w:rsidP="000E7683">
      <w:pPr>
        <w:pStyle w:val="Bullet"/>
      </w:pPr>
      <w:r w:rsidRPr="00FE46F1">
        <w:rPr>
          <w:i/>
          <w:iCs/>
        </w:rPr>
        <w:t>Human Rights Act</w:t>
      </w:r>
      <w:r w:rsidRPr="000E7683">
        <w:t xml:space="preserve"> 2004</w:t>
      </w:r>
    </w:p>
    <w:p w14:paraId="2F8BD0C5" w14:textId="77777777" w:rsidR="00481A6C" w:rsidRDefault="00481A6C" w:rsidP="000E7683">
      <w:pPr>
        <w:pStyle w:val="Bullet"/>
      </w:pPr>
      <w:r w:rsidRPr="00FE46F1">
        <w:rPr>
          <w:i/>
          <w:iCs/>
        </w:rPr>
        <w:t>Work Health and Safety Act</w:t>
      </w:r>
      <w:r w:rsidRPr="000E7683">
        <w:t xml:space="preserve"> 2011</w:t>
      </w:r>
    </w:p>
    <w:p w14:paraId="728CCD3F" w14:textId="7BA95CB6" w:rsidR="00614D95" w:rsidRPr="000E7683" w:rsidRDefault="00614D95" w:rsidP="000E7683">
      <w:pPr>
        <w:pStyle w:val="Bullet"/>
      </w:pPr>
      <w:r>
        <w:rPr>
          <w:i/>
          <w:iCs/>
        </w:rPr>
        <w:t>Carers Recognition Act 2021</w:t>
      </w:r>
    </w:p>
    <w:p w14:paraId="7D9E60BB" w14:textId="77777777" w:rsidR="00481A6C" w:rsidRDefault="00481A6C" w:rsidP="00A6051F">
      <w:pPr>
        <w:pStyle w:val="Heading5"/>
      </w:pPr>
      <w:r>
        <w:lastRenderedPageBreak/>
        <w:t>Other</w:t>
      </w:r>
    </w:p>
    <w:p w14:paraId="3FF1DDE5" w14:textId="77777777" w:rsidR="000E7683" w:rsidRDefault="00481A6C" w:rsidP="00A66966">
      <w:pPr>
        <w:pStyle w:val="Bullet"/>
      </w:pPr>
      <w:r w:rsidRPr="00A66966">
        <w:t>Australian</w:t>
      </w:r>
      <w:r w:rsidRPr="000E7683">
        <w:t xml:space="preserve"> Charter of Healthcare Right</w:t>
      </w:r>
      <w:r w:rsidR="00280C5D" w:rsidRPr="000E7683">
        <w:t>s</w:t>
      </w:r>
    </w:p>
    <w:p w14:paraId="3CDA6CB0" w14:textId="77777777" w:rsidR="000E7683" w:rsidRPr="000E7683" w:rsidRDefault="000E7683" w:rsidP="002D7682">
      <w:pPr>
        <w:pStyle w:val="BodyCopy"/>
      </w:pPr>
      <w:hyperlink w:anchor="_top" w:history="1">
        <w:r w:rsidRPr="004A7A7F">
          <w:rPr>
            <w:rStyle w:val="Hyperlink"/>
          </w:rPr>
          <w:t>Back to Contents</w:t>
        </w:r>
      </w:hyperlink>
    </w:p>
    <w:p w14:paraId="22887541" w14:textId="77777777" w:rsidR="0078367D" w:rsidRPr="0078367D" w:rsidRDefault="0078367D" w:rsidP="00A6051F">
      <w:pPr>
        <w:pStyle w:val="Heading4"/>
      </w:pPr>
      <w:bookmarkStart w:id="21" w:name="_Toc219390984"/>
      <w:r w:rsidRPr="0078367D">
        <w:t>References</w:t>
      </w:r>
      <w:bookmarkEnd w:id="21"/>
    </w:p>
    <w:p w14:paraId="1FE940D0" w14:textId="50B440D6" w:rsidR="00F83E7D" w:rsidRPr="00F83E7D" w:rsidRDefault="00F83E7D" w:rsidP="007E1101">
      <w:pPr>
        <w:pStyle w:val="Numberedlist"/>
        <w:numPr>
          <w:ilvl w:val="0"/>
          <w:numId w:val="42"/>
        </w:numPr>
      </w:pPr>
      <w:r w:rsidRPr="00F83E7D">
        <w:t xml:space="preserve">ACT Health CACHS Haemophilia Orientation Manual 2020 </w:t>
      </w:r>
    </w:p>
    <w:p w14:paraId="00A686DC" w14:textId="39961E95" w:rsidR="00F83E7D" w:rsidRPr="00F83E7D" w:rsidRDefault="00F83E7D" w:rsidP="00614D95">
      <w:pPr>
        <w:pStyle w:val="Numberedlist"/>
        <w:numPr>
          <w:ilvl w:val="0"/>
          <w:numId w:val="42"/>
        </w:numPr>
      </w:pPr>
      <w:r w:rsidRPr="00F83E7D">
        <w:t xml:space="preserve">Australian Haemophilia Centre Directors’ Organisation, Guideline for the management of patients with haemophilia November 2016 </w:t>
      </w:r>
      <w:hyperlink r:id="rId14" w:history="1">
        <w:r w:rsidR="00614D95" w:rsidRPr="00333892">
          <w:rPr>
            <w:rStyle w:val="Hyperlink"/>
          </w:rPr>
          <w:t>https://www.ahcdo.org.au/guidelines/national-guidelines/national-haemophilia-guidelines</w:t>
        </w:r>
      </w:hyperlink>
    </w:p>
    <w:p w14:paraId="0F90525C" w14:textId="77777777" w:rsidR="00F83E7D" w:rsidRPr="00F83E7D" w:rsidRDefault="00F83E7D" w:rsidP="007E1101">
      <w:pPr>
        <w:pStyle w:val="Numberedlist"/>
        <w:numPr>
          <w:ilvl w:val="0"/>
          <w:numId w:val="42"/>
        </w:numPr>
      </w:pPr>
      <w:r w:rsidRPr="00F83E7D">
        <w:t xml:space="preserve">Australian Red Cross Lifeblood, Health Professionals, Blood Products and Transfusion practice for Professionals </w:t>
      </w:r>
      <w:hyperlink r:id="rId15" w:history="1">
        <w:r w:rsidRPr="007E1101">
          <w:rPr>
            <w:color w:val="0000FF"/>
            <w:u w:val="single"/>
          </w:rPr>
          <w:t>https://transfusion.com.au/</w:t>
        </w:r>
      </w:hyperlink>
    </w:p>
    <w:p w14:paraId="536A35BD" w14:textId="5FC79AE3" w:rsidR="00F83E7D" w:rsidRPr="00F83E7D" w:rsidRDefault="00F83E7D" w:rsidP="00614D95">
      <w:pPr>
        <w:pStyle w:val="Numberedlist"/>
        <w:numPr>
          <w:ilvl w:val="0"/>
          <w:numId w:val="42"/>
        </w:numPr>
      </w:pPr>
      <w:proofErr w:type="spellStart"/>
      <w:r w:rsidRPr="00F83E7D">
        <w:t>Batrova</w:t>
      </w:r>
      <w:proofErr w:type="spellEnd"/>
      <w:r w:rsidRPr="00F83E7D">
        <w:t>, et al Continuous infusion in haemophilia: current practice in Europe. Haemophilia (2012), 18, 753–759</w:t>
      </w:r>
      <w:r w:rsidR="00614D95">
        <w:t xml:space="preserve">  </w:t>
      </w:r>
      <w:hyperlink r:id="rId16" w:history="1">
        <w:r w:rsidRPr="00614D95">
          <w:rPr>
            <w:rStyle w:val="Hyperlink"/>
            <w:rFonts w:asciiTheme="minorHAnsi" w:hAnsiTheme="minorHAnsi" w:cstheme="minorHAnsi"/>
          </w:rPr>
          <w:t>http://onlinelibrary.wiley.com/doi/10.1111/j.1365-2516.2012.02810.x/pdf</w:t>
        </w:r>
      </w:hyperlink>
      <w:r w:rsidRPr="00F83E7D">
        <w:t xml:space="preserve"> </w:t>
      </w:r>
    </w:p>
    <w:p w14:paraId="2C9C73AF" w14:textId="77777777" w:rsidR="00F83E7D" w:rsidRPr="00F83E7D" w:rsidRDefault="00F83E7D" w:rsidP="007E1101">
      <w:pPr>
        <w:pStyle w:val="Numberedlist"/>
        <w:numPr>
          <w:ilvl w:val="0"/>
          <w:numId w:val="42"/>
        </w:numPr>
      </w:pPr>
      <w:proofErr w:type="spellStart"/>
      <w:r w:rsidRPr="00F83E7D">
        <w:t>Benefix</w:t>
      </w:r>
      <w:proofErr w:type="spellEnd"/>
      <w:r w:rsidRPr="00F83E7D">
        <w:t xml:space="preserve"> TM Consumer Medicine Information</w:t>
      </w:r>
    </w:p>
    <w:p w14:paraId="090EBE78" w14:textId="77777777" w:rsidR="00F83E7D" w:rsidRPr="00F83E7D" w:rsidRDefault="00F83E7D" w:rsidP="007E1101">
      <w:pPr>
        <w:pStyle w:val="Numberedlist"/>
        <w:numPr>
          <w:ilvl w:val="0"/>
          <w:numId w:val="42"/>
        </w:numPr>
      </w:pPr>
      <w:r w:rsidRPr="00F83E7D">
        <w:t xml:space="preserve">Chevalier, et al Seventy-two total knee arthroplasties performed in patients with haemophilia using continuous infusion. The International journal of Transfusion Medicine (2013), 104, 135-143. </w:t>
      </w:r>
      <w:hyperlink r:id="rId17" w:history="1">
        <w:r w:rsidRPr="007E1101">
          <w:rPr>
            <w:color w:val="0000FF"/>
            <w:u w:val="single"/>
          </w:rPr>
          <w:t>https://www.ncbi.nlm.nih.gov/pubmed/23025325</w:t>
        </w:r>
      </w:hyperlink>
    </w:p>
    <w:p w14:paraId="15ADB66C" w14:textId="77777777" w:rsidR="00F83E7D" w:rsidRPr="00F83E7D" w:rsidRDefault="00F83E7D" w:rsidP="007E1101">
      <w:pPr>
        <w:pStyle w:val="Numberedlist"/>
        <w:numPr>
          <w:ilvl w:val="0"/>
          <w:numId w:val="42"/>
        </w:numPr>
      </w:pPr>
      <w:r w:rsidRPr="00F83E7D">
        <w:t>Guidelines for the Treatment of Inhibitors in Haemophilia A and Haemophilia B</w:t>
      </w:r>
    </w:p>
    <w:p w14:paraId="4D47740A" w14:textId="078DEB22" w:rsidR="00F83E7D" w:rsidRPr="00F83E7D" w:rsidRDefault="00F83E7D" w:rsidP="00614D95">
      <w:pPr>
        <w:pStyle w:val="Numberedlist"/>
        <w:numPr>
          <w:ilvl w:val="0"/>
          <w:numId w:val="42"/>
        </w:numPr>
      </w:pPr>
      <w:r w:rsidRPr="00F83E7D">
        <w:t>Australian Haemophilia Centre Directors’ Organisation June 2008</w:t>
      </w:r>
      <w:r w:rsidR="00614D95">
        <w:t xml:space="preserve"> </w:t>
      </w:r>
      <w:hyperlink r:id="rId18" w:history="1">
        <w:r w:rsidR="00614D95" w:rsidRPr="00333892">
          <w:rPr>
            <w:rStyle w:val="Hyperlink"/>
          </w:rPr>
          <w:t>https://www.ahcdo.org.au/documents/item/16</w:t>
        </w:r>
      </w:hyperlink>
    </w:p>
    <w:p w14:paraId="493B789A" w14:textId="77777777" w:rsidR="00F83E7D" w:rsidRPr="00F83E7D" w:rsidRDefault="00F83E7D" w:rsidP="007E1101">
      <w:pPr>
        <w:pStyle w:val="Numberedlist"/>
        <w:numPr>
          <w:ilvl w:val="0"/>
          <w:numId w:val="42"/>
        </w:numPr>
      </w:pPr>
      <w:r w:rsidRPr="007E1101">
        <w:rPr>
          <w:rFonts w:eastAsiaTheme="minorHAnsi"/>
        </w:rPr>
        <w:t xml:space="preserve">Hoots WK, </w:t>
      </w:r>
      <w:proofErr w:type="spellStart"/>
      <w:r w:rsidRPr="007E1101">
        <w:rPr>
          <w:rFonts w:eastAsiaTheme="minorHAnsi"/>
        </w:rPr>
        <w:t>Leissinger</w:t>
      </w:r>
      <w:proofErr w:type="spellEnd"/>
      <w:r w:rsidRPr="007E1101">
        <w:rPr>
          <w:rFonts w:eastAsiaTheme="minorHAnsi"/>
        </w:rPr>
        <w:t xml:space="preserve"> C, Stabler S, et al; Continuous intravenous infusion of a plasma-derived factor IX concentrate (</w:t>
      </w:r>
      <w:proofErr w:type="spellStart"/>
      <w:r w:rsidRPr="007E1101">
        <w:rPr>
          <w:rFonts w:eastAsiaTheme="minorHAnsi"/>
        </w:rPr>
        <w:t>Mononine</w:t>
      </w:r>
      <w:proofErr w:type="spellEnd"/>
      <w:r w:rsidRPr="007E1101">
        <w:rPr>
          <w:rFonts w:eastAsiaTheme="minorHAnsi"/>
        </w:rPr>
        <w:t xml:space="preserve">_) in haemophilia B; Haemophilia (2003), 9, 164–172. </w:t>
      </w:r>
      <w:hyperlink r:id="rId19" w:history="1">
        <w:r w:rsidRPr="007E1101">
          <w:rPr>
            <w:color w:val="0000FF"/>
            <w:u w:val="single"/>
          </w:rPr>
          <w:t>https://www.ncbi.nlm.nih.gov/pubmed/12614367</w:t>
        </w:r>
      </w:hyperlink>
    </w:p>
    <w:p w14:paraId="098E850A" w14:textId="77777777" w:rsidR="00F83E7D" w:rsidRPr="00F83E7D" w:rsidRDefault="00F83E7D" w:rsidP="007E1101">
      <w:pPr>
        <w:pStyle w:val="Numberedlist"/>
        <w:numPr>
          <w:ilvl w:val="0"/>
          <w:numId w:val="42"/>
        </w:numPr>
      </w:pPr>
      <w:r w:rsidRPr="00F83E7D">
        <w:t>Hurst, et al Evaluation of recombinant factor VIII (</w:t>
      </w:r>
      <w:proofErr w:type="spellStart"/>
      <w:r w:rsidRPr="00F83E7D">
        <w:t>Kogenate</w:t>
      </w:r>
      <w:proofErr w:type="spellEnd"/>
      <w:r w:rsidRPr="00F83E7D">
        <w:t xml:space="preserve">) stability for continuous infusion using a minipump infusion device. Haemophilia (1998), 4, 785-789. </w:t>
      </w:r>
      <w:hyperlink r:id="rId20" w:history="1">
        <w:r w:rsidRPr="007E1101">
          <w:rPr>
            <w:color w:val="0000FF"/>
            <w:u w:val="single"/>
          </w:rPr>
          <w:t>https://www.ncbi.nlm.nih.gov/pubmed/10028298</w:t>
        </w:r>
      </w:hyperlink>
    </w:p>
    <w:p w14:paraId="3B9282FC" w14:textId="6A8223B5" w:rsidR="00F83E7D" w:rsidRPr="00F83E7D" w:rsidRDefault="00F83E7D" w:rsidP="007E1101">
      <w:pPr>
        <w:pStyle w:val="Numberedlist"/>
        <w:numPr>
          <w:ilvl w:val="0"/>
          <w:numId w:val="42"/>
        </w:numPr>
      </w:pPr>
      <w:r w:rsidRPr="00F83E7D">
        <w:t>McLeod, et al Loss of factor VIII activity during storage in PVC containers due to adsorption. Haemophilia (2000),6, 89-92.</w:t>
      </w:r>
      <w:r w:rsidR="00614D95">
        <w:t xml:space="preserve"> </w:t>
      </w:r>
      <w:hyperlink r:id="rId21" w:history="1">
        <w:r w:rsidR="00517A80" w:rsidRPr="00333892">
          <w:rPr>
            <w:rStyle w:val="Hyperlink"/>
          </w:rPr>
          <w:t>https://www.ncbi.nlm.nih.gov/pubmed/10781194</w:t>
        </w:r>
      </w:hyperlink>
    </w:p>
    <w:p w14:paraId="6E2ABE7F" w14:textId="1DA0C4FA" w:rsidR="00F83E7D" w:rsidRPr="00F83E7D" w:rsidRDefault="00F83E7D" w:rsidP="00614D95">
      <w:pPr>
        <w:pStyle w:val="Numberedlist"/>
        <w:numPr>
          <w:ilvl w:val="0"/>
          <w:numId w:val="42"/>
        </w:numPr>
      </w:pPr>
      <w:proofErr w:type="spellStart"/>
      <w:r w:rsidRPr="00F83E7D">
        <w:t>MonoFIX</w:t>
      </w:r>
      <w:proofErr w:type="spellEnd"/>
      <w:r w:rsidRPr="00F83E7D">
        <w:t>®-VF Product Information</w:t>
      </w:r>
      <w:r w:rsidR="00614D95">
        <w:t xml:space="preserve"> Available at:</w:t>
      </w:r>
      <w:hyperlink r:id="rId22" w:history="1">
        <w:r w:rsidR="00614D95" w:rsidRPr="00333892">
          <w:rPr>
            <w:rStyle w:val="Hyperlink"/>
          </w:rPr>
          <w:t>https://www.nps.org.au/assets/medicines/20de00c7-70ec-4d57-8ba8-a53300ff236e-reduced.pdf</w:t>
        </w:r>
      </w:hyperlink>
    </w:p>
    <w:p w14:paraId="78DAFD41" w14:textId="77777777" w:rsidR="00F83E7D" w:rsidRPr="00F83E7D" w:rsidRDefault="00F83E7D" w:rsidP="007E1101">
      <w:pPr>
        <w:pStyle w:val="Numberedlist"/>
        <w:numPr>
          <w:ilvl w:val="0"/>
          <w:numId w:val="42"/>
        </w:numPr>
      </w:pPr>
      <w:r w:rsidRPr="00F83E7D">
        <w:t xml:space="preserve">Mulcahy et al Retrospective Audit Of A Continuous Infusion Protocol For Haemophilia A At A Single Haemophilia Treatment Centre Haemophilia (2005) 11,2008-215 </w:t>
      </w:r>
      <w:hyperlink r:id="rId23" w:history="1">
        <w:r w:rsidRPr="007E1101">
          <w:rPr>
            <w:color w:val="0000FF"/>
            <w:u w:val="single"/>
          </w:rPr>
          <w:t>https://www.ncbi.nlm.nih.gov/pubmed/15876265</w:t>
        </w:r>
      </w:hyperlink>
    </w:p>
    <w:p w14:paraId="04328ED8" w14:textId="77777777" w:rsidR="00F83E7D" w:rsidRDefault="00F83E7D" w:rsidP="007E1101">
      <w:pPr>
        <w:pStyle w:val="Numberedlist"/>
        <w:numPr>
          <w:ilvl w:val="0"/>
          <w:numId w:val="42"/>
        </w:numPr>
      </w:pPr>
      <w:r w:rsidRPr="00F83E7D">
        <w:t>The Alfred. Ronald Sawers Haemophilia Centre – Management of Continuous infusion of haemophilia clotting factor</w:t>
      </w:r>
      <w:hyperlink r:id="rId24" w:history="1">
        <w:r w:rsidRPr="007E1101">
          <w:rPr>
            <w:color w:val="0000FF"/>
            <w:u w:val="single"/>
          </w:rPr>
          <w:t>https://www.alfredhealth.org.au/services/haemophilia-centre</w:t>
        </w:r>
      </w:hyperlink>
    </w:p>
    <w:p w14:paraId="34463EC3" w14:textId="68CE7A37" w:rsidR="00614D95" w:rsidRPr="00F83E7D" w:rsidRDefault="00614D95" w:rsidP="007E1101">
      <w:pPr>
        <w:pStyle w:val="Numberedlist"/>
        <w:numPr>
          <w:ilvl w:val="0"/>
          <w:numId w:val="42"/>
        </w:numPr>
      </w:pPr>
      <w:r w:rsidRPr="00614D95">
        <w:t>A</w:t>
      </w:r>
      <w:r>
        <w:t xml:space="preserve">ustralian Product Information </w:t>
      </w:r>
      <w:proofErr w:type="spellStart"/>
      <w:r>
        <w:t>Idelvion</w:t>
      </w:r>
      <w:proofErr w:type="spellEnd"/>
      <w:r w:rsidRPr="00614D95">
        <w:t>®</w:t>
      </w:r>
      <w:r>
        <w:t xml:space="preserve"> Available at: </w:t>
      </w:r>
      <w:hyperlink r:id="rId25" w:history="1">
        <w:r w:rsidRPr="00614D95">
          <w:rPr>
            <w:rStyle w:val="Hyperlink"/>
          </w:rPr>
          <w:t>https://labeling.cslbehring.com/PI/AU/IDELVION/EN/IDELVION-Product-Information.pdf</w:t>
        </w:r>
      </w:hyperlink>
      <w:r>
        <w:t xml:space="preserve"> </w:t>
      </w:r>
    </w:p>
    <w:p w14:paraId="3FF3415C"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6EA8D237" w14:textId="77777777" w:rsidR="0078367D" w:rsidRDefault="0078367D" w:rsidP="00A6051F">
      <w:pPr>
        <w:pStyle w:val="Heading4"/>
      </w:pPr>
      <w:bookmarkStart w:id="22" w:name="_Toc219390985"/>
      <w:r>
        <w:t>Search terms</w:t>
      </w:r>
      <w:bookmarkEnd w:id="22"/>
    </w:p>
    <w:p w14:paraId="6996F73F" w14:textId="5CA5A57C" w:rsidR="00F83E7D" w:rsidRPr="006100CE" w:rsidRDefault="00517A80" w:rsidP="00F83E7D">
      <w:r>
        <w:t xml:space="preserve">Coagulation, </w:t>
      </w:r>
      <w:r w:rsidR="00F83E7D" w:rsidRPr="003D7961">
        <w:t>Factor Replacement</w:t>
      </w:r>
      <w:r w:rsidR="00F83E7D">
        <w:t xml:space="preserve">, </w:t>
      </w:r>
      <w:r w:rsidR="00F83E7D" w:rsidRPr="003D7961">
        <w:t>Haemophilia</w:t>
      </w:r>
      <w:r w:rsidR="00F83E7D">
        <w:t xml:space="preserve">, </w:t>
      </w:r>
      <w:r w:rsidR="00F83E7D" w:rsidRPr="003D7961">
        <w:t>Continuous factor infusion</w:t>
      </w:r>
      <w:r w:rsidR="00F83E7D">
        <w:t xml:space="preserve">, </w:t>
      </w:r>
      <w:r w:rsidR="00F83E7D" w:rsidRPr="003D7961">
        <w:t>Continuous infusion</w:t>
      </w:r>
      <w:r w:rsidR="00F83E7D">
        <w:t xml:space="preserve">, </w:t>
      </w:r>
      <w:r w:rsidR="00F83E7D" w:rsidRPr="003D7961">
        <w:t>Intensive factor replacement</w:t>
      </w:r>
      <w:r w:rsidR="00F83E7D">
        <w:t xml:space="preserve">, </w:t>
      </w:r>
      <w:r w:rsidR="003A48B6" w:rsidRPr="003D7961">
        <w:t>Surgery</w:t>
      </w:r>
      <w:r w:rsidR="003A48B6">
        <w:t>, Factor</w:t>
      </w:r>
      <w:r w:rsidR="00F83E7D">
        <w:t xml:space="preserve"> VIII, Factor IX, von Willebrand Disease</w:t>
      </w:r>
    </w:p>
    <w:p w14:paraId="49D324A3"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40692479"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607EA13D"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1CA90815" w14:textId="77777777" w:rsidR="00280C5D" w:rsidRDefault="00280C5D" w:rsidP="003B0E72">
            <w:pPr>
              <w:pStyle w:val="Tableheader"/>
            </w:pPr>
            <w:r>
              <w:t>Date amended</w:t>
            </w:r>
          </w:p>
        </w:tc>
        <w:tc>
          <w:tcPr>
            <w:tcW w:w="2477" w:type="dxa"/>
          </w:tcPr>
          <w:p w14:paraId="1BA7C41B" w14:textId="77777777" w:rsidR="00280C5D" w:rsidRDefault="00280C5D" w:rsidP="003B0E72">
            <w:pPr>
              <w:pStyle w:val="Tableheader"/>
            </w:pPr>
            <w:r>
              <w:t>Section amended</w:t>
            </w:r>
          </w:p>
        </w:tc>
        <w:tc>
          <w:tcPr>
            <w:tcW w:w="2555" w:type="dxa"/>
          </w:tcPr>
          <w:p w14:paraId="0E1AF550" w14:textId="77777777" w:rsidR="00280C5D" w:rsidRDefault="00280C5D" w:rsidP="003B0E72">
            <w:pPr>
              <w:pStyle w:val="Tableheader"/>
            </w:pPr>
            <w:r>
              <w:t>Divisional approval</w:t>
            </w:r>
          </w:p>
        </w:tc>
        <w:tc>
          <w:tcPr>
            <w:tcW w:w="2403" w:type="dxa"/>
          </w:tcPr>
          <w:p w14:paraId="3B41A5B3" w14:textId="77777777" w:rsidR="00280C5D" w:rsidRDefault="00280C5D" w:rsidP="003B0E72">
            <w:pPr>
              <w:pStyle w:val="Tableheader"/>
            </w:pPr>
            <w:r>
              <w:t>Final approval</w:t>
            </w:r>
          </w:p>
        </w:tc>
      </w:tr>
      <w:tr w:rsidR="00280C5D" w14:paraId="6FEDBA19" w14:textId="77777777" w:rsidTr="003B0E72">
        <w:tc>
          <w:tcPr>
            <w:tcW w:w="2476" w:type="dxa"/>
          </w:tcPr>
          <w:p w14:paraId="74FC797F" w14:textId="27E44E45" w:rsidR="00280C5D" w:rsidRDefault="00916B80" w:rsidP="003B0E72">
            <w:pPr>
              <w:pStyle w:val="Tablebody"/>
              <w:rPr>
                <w:lang w:eastAsia="en-US"/>
              </w:rPr>
            </w:pPr>
            <w:r>
              <w:rPr>
                <w:lang w:eastAsia="en-US"/>
              </w:rPr>
              <w:t>19 January 2026</w:t>
            </w:r>
          </w:p>
        </w:tc>
        <w:tc>
          <w:tcPr>
            <w:tcW w:w="2477" w:type="dxa"/>
          </w:tcPr>
          <w:p w14:paraId="14CE0343" w14:textId="5870FEC2" w:rsidR="00280C5D" w:rsidRDefault="00916B80" w:rsidP="003B0E72">
            <w:pPr>
              <w:pStyle w:val="Tablebody"/>
              <w:rPr>
                <w:lang w:eastAsia="en-US"/>
              </w:rPr>
            </w:pPr>
            <w:r>
              <w:rPr>
                <w:lang w:eastAsia="en-US"/>
              </w:rPr>
              <w:t>Complete review</w:t>
            </w:r>
          </w:p>
        </w:tc>
        <w:tc>
          <w:tcPr>
            <w:tcW w:w="2555" w:type="dxa"/>
          </w:tcPr>
          <w:p w14:paraId="3E5FDA36" w14:textId="256ACB3B" w:rsidR="00280C5D" w:rsidRDefault="00916B80" w:rsidP="003B0E72">
            <w:pPr>
              <w:pStyle w:val="Tablebody"/>
              <w:rPr>
                <w:lang w:eastAsia="en-US"/>
              </w:rPr>
            </w:pPr>
            <w:r>
              <w:rPr>
                <w:lang w:eastAsia="en-US"/>
              </w:rPr>
              <w:t>Melissa O’Brien, ED CAS</w:t>
            </w:r>
          </w:p>
        </w:tc>
        <w:tc>
          <w:tcPr>
            <w:tcW w:w="2403" w:type="dxa"/>
          </w:tcPr>
          <w:p w14:paraId="7E431E48" w14:textId="466D155C" w:rsidR="00280C5D" w:rsidRDefault="00916B80" w:rsidP="003B0E72">
            <w:pPr>
              <w:pStyle w:val="Tablebody"/>
              <w:rPr>
                <w:lang w:eastAsia="en-US"/>
              </w:rPr>
            </w:pPr>
            <w:r>
              <w:rPr>
                <w:lang w:eastAsia="en-US"/>
              </w:rPr>
              <w:t>CHS Policy Document Review Panel</w:t>
            </w:r>
          </w:p>
        </w:tc>
      </w:tr>
      <w:tr w:rsidR="00280C5D" w14:paraId="124EEBAA" w14:textId="77777777" w:rsidTr="003B0E72">
        <w:tc>
          <w:tcPr>
            <w:tcW w:w="2476" w:type="dxa"/>
          </w:tcPr>
          <w:p w14:paraId="0E093A5C" w14:textId="77777777" w:rsidR="00280C5D" w:rsidRDefault="00280C5D" w:rsidP="003B0E72">
            <w:pPr>
              <w:pStyle w:val="Tablebody"/>
              <w:rPr>
                <w:lang w:eastAsia="en-US"/>
              </w:rPr>
            </w:pPr>
          </w:p>
        </w:tc>
        <w:tc>
          <w:tcPr>
            <w:tcW w:w="2477" w:type="dxa"/>
          </w:tcPr>
          <w:p w14:paraId="131096D8" w14:textId="77777777" w:rsidR="00280C5D" w:rsidRDefault="00280C5D" w:rsidP="003B0E72">
            <w:pPr>
              <w:pStyle w:val="Tablebody"/>
              <w:rPr>
                <w:lang w:eastAsia="en-US"/>
              </w:rPr>
            </w:pPr>
          </w:p>
        </w:tc>
        <w:tc>
          <w:tcPr>
            <w:tcW w:w="2555" w:type="dxa"/>
          </w:tcPr>
          <w:p w14:paraId="7E779184" w14:textId="77777777" w:rsidR="00280C5D" w:rsidRDefault="00280C5D" w:rsidP="003B0E72">
            <w:pPr>
              <w:pStyle w:val="Tablebody"/>
              <w:rPr>
                <w:lang w:eastAsia="en-US"/>
              </w:rPr>
            </w:pPr>
          </w:p>
        </w:tc>
        <w:tc>
          <w:tcPr>
            <w:tcW w:w="2403" w:type="dxa"/>
          </w:tcPr>
          <w:p w14:paraId="4C1665DF" w14:textId="77777777" w:rsidR="00280C5D" w:rsidRDefault="00280C5D" w:rsidP="003B0E72">
            <w:pPr>
              <w:pStyle w:val="Tablebody"/>
              <w:rPr>
                <w:lang w:eastAsia="en-US"/>
              </w:rPr>
            </w:pPr>
          </w:p>
        </w:tc>
      </w:tr>
    </w:tbl>
    <w:p w14:paraId="78B38F74"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6A86315C"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1B9345E9" w14:textId="77777777" w:rsidR="00280C5D" w:rsidRDefault="00280C5D" w:rsidP="003B0E72">
            <w:pPr>
              <w:pStyle w:val="Tableheader"/>
            </w:pPr>
            <w:r>
              <w:t>Document number</w:t>
            </w:r>
          </w:p>
        </w:tc>
        <w:tc>
          <w:tcPr>
            <w:tcW w:w="7653" w:type="dxa"/>
          </w:tcPr>
          <w:p w14:paraId="7BEDBD5A" w14:textId="77777777" w:rsidR="00280C5D" w:rsidRDefault="00280C5D" w:rsidP="003B0E72">
            <w:pPr>
              <w:pStyle w:val="Tableheader"/>
            </w:pPr>
            <w:r>
              <w:t>Document name</w:t>
            </w:r>
          </w:p>
        </w:tc>
      </w:tr>
      <w:tr w:rsidR="00280C5D" w14:paraId="3595981E" w14:textId="77777777" w:rsidTr="003B0E72">
        <w:tc>
          <w:tcPr>
            <w:tcW w:w="2548" w:type="dxa"/>
          </w:tcPr>
          <w:p w14:paraId="39208671" w14:textId="3DB818DC" w:rsidR="00280C5D" w:rsidRDefault="00E12361" w:rsidP="003B0E72">
            <w:pPr>
              <w:pStyle w:val="Tablebody"/>
              <w:rPr>
                <w:lang w:eastAsia="en-US"/>
              </w:rPr>
            </w:pPr>
            <w:r w:rsidRPr="00E12361">
              <w:rPr>
                <w:lang w:val="en-AU" w:eastAsia="en-US"/>
              </w:rPr>
              <w:t>CHS21/619</w:t>
            </w:r>
          </w:p>
        </w:tc>
        <w:tc>
          <w:tcPr>
            <w:tcW w:w="7653" w:type="dxa"/>
          </w:tcPr>
          <w:p w14:paraId="2FD265BC" w14:textId="5A9E729B" w:rsidR="00280C5D" w:rsidRDefault="00E12361" w:rsidP="003B0E72">
            <w:pPr>
              <w:pStyle w:val="Tablebody"/>
              <w:rPr>
                <w:lang w:eastAsia="en-US"/>
              </w:rPr>
            </w:pPr>
            <w:r w:rsidRPr="00E12361">
              <w:rPr>
                <w:lang w:val="en-AU" w:eastAsia="en-US"/>
              </w:rPr>
              <w:br/>
              <w:t>Coagulation Factor Replacement Products – Continuous Infusion – Bolus Dosing - Adults, Paediatrics, including Adolescents and Infants (not Neonates)</w:t>
            </w:r>
          </w:p>
        </w:tc>
      </w:tr>
      <w:tr w:rsidR="00280C5D" w14:paraId="199C7357" w14:textId="77777777" w:rsidTr="003B0E72">
        <w:tc>
          <w:tcPr>
            <w:tcW w:w="2548" w:type="dxa"/>
          </w:tcPr>
          <w:p w14:paraId="46F980ED" w14:textId="77777777" w:rsidR="00280C5D" w:rsidRDefault="00280C5D" w:rsidP="003B0E72">
            <w:pPr>
              <w:pStyle w:val="Tablebody"/>
              <w:rPr>
                <w:lang w:eastAsia="en-US"/>
              </w:rPr>
            </w:pPr>
          </w:p>
        </w:tc>
        <w:tc>
          <w:tcPr>
            <w:tcW w:w="7653" w:type="dxa"/>
          </w:tcPr>
          <w:p w14:paraId="6CD3EF9E" w14:textId="77777777" w:rsidR="00280C5D" w:rsidRDefault="00280C5D" w:rsidP="003B0E72">
            <w:pPr>
              <w:pStyle w:val="Tablebody"/>
              <w:rPr>
                <w:lang w:eastAsia="en-US"/>
              </w:rPr>
            </w:pPr>
          </w:p>
        </w:tc>
      </w:tr>
    </w:tbl>
    <w:p w14:paraId="22019CA9" w14:textId="77777777" w:rsidR="00280C5D" w:rsidRPr="001F3ED6" w:rsidRDefault="00280C5D" w:rsidP="001F3ED6">
      <w:pPr>
        <w:pStyle w:val="BodyCopy"/>
        <w:rPr>
          <w:rStyle w:val="Bold"/>
        </w:rPr>
      </w:pPr>
      <w:r w:rsidRPr="001F3ED6">
        <w:rPr>
          <w:rStyle w:val="Bold"/>
        </w:rPr>
        <w:t>Disclaimer</w:t>
      </w:r>
    </w:p>
    <w:p w14:paraId="32E3C0E2"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666B6E7F"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119D9FBC" w14:textId="77777777" w:rsidTr="00823C4F">
        <w:tc>
          <w:tcPr>
            <w:tcW w:w="5271" w:type="dxa"/>
            <w:shd w:val="clear" w:color="auto" w:fill="F4F3EE"/>
            <w:tcMar>
              <w:top w:w="142" w:type="dxa"/>
              <w:left w:w="170" w:type="dxa"/>
              <w:bottom w:w="142" w:type="dxa"/>
              <w:right w:w="170" w:type="dxa"/>
            </w:tcMar>
          </w:tcPr>
          <w:bookmarkStart w:id="23" w:name="_Hlk160027189" w:displacedByCustomXml="next"/>
          <w:sdt>
            <w:sdtPr>
              <w:rPr>
                <w:color w:val="auto"/>
                <w:u w:val="single"/>
              </w:rPr>
              <w:id w:val="643171884"/>
              <w:placeholder>
                <w:docPart w:val="3E011BEBCC644BD5BE9D6AFE1E4E4F67"/>
              </w:placeholder>
            </w:sdtPr>
            <w:sdtEndPr>
              <w:rPr>
                <w:color w:val="000000" w:themeColor="text1"/>
                <w:u w:val="none"/>
              </w:rPr>
            </w:sdtEndPr>
            <w:sdtContent>
              <w:p w14:paraId="02E987E1" w14:textId="77777777" w:rsidR="00280C5D" w:rsidRPr="00350211" w:rsidRDefault="00280C5D" w:rsidP="003B0E72">
                <w:pPr>
                  <w:pStyle w:val="Bottomblocktext"/>
                  <w:rPr>
                    <w:b/>
                    <w:bCs w:val="0"/>
                    <w:sz w:val="20"/>
                    <w:szCs w:val="20"/>
                  </w:rPr>
                </w:pPr>
                <w:r>
                  <w:rPr>
                    <w:noProof/>
                    <w:sz w:val="20"/>
                    <w:szCs w:val="20"/>
                  </w:rPr>
                  <w:drawing>
                    <wp:inline distT="0" distB="0" distL="0" distR="0" wp14:anchorId="4BCC9953" wp14:editId="0322F40D">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26"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540E61C2"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46C930F6"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44603778E83642D3BD658533B0B2CA89"/>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EE4DC592DA91459BAAE7C7FAB3E9078D"/>
            </w:placeholder>
            <w:showingPlcHdr/>
          </w:sdtPr>
          <w:sdtEndPr/>
          <w:sdtContent>
            <w:tc>
              <w:tcPr>
                <w:tcW w:w="4650" w:type="dxa"/>
                <w:shd w:val="clear" w:color="auto" w:fill="F4F3EE"/>
                <w:tcMar>
                  <w:top w:w="142" w:type="dxa"/>
                  <w:left w:w="170" w:type="dxa"/>
                  <w:bottom w:w="142" w:type="dxa"/>
                  <w:right w:w="170" w:type="dxa"/>
                </w:tcMar>
              </w:tcPr>
              <w:p w14:paraId="2F6823E9"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6EF9439A" wp14:editId="6BA36394">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27"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7630269D" wp14:editId="30464CFF">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28"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4936739E"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1404A523" wp14:editId="113FE2AB">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9"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5AE78160" wp14:editId="7E5B361C">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28"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48FE434C" w14:textId="77777777" w:rsidR="00280C5D" w:rsidRDefault="00280C5D" w:rsidP="003B0E72">
                <w:pPr>
                  <w:pStyle w:val="Bottomblocktext"/>
                  <w:rPr>
                    <w:sz w:val="20"/>
                    <w:szCs w:val="20"/>
                  </w:rPr>
                </w:pPr>
                <w:hyperlink r:id="rId30" w:history="1">
                  <w:r w:rsidRPr="00350211">
                    <w:rPr>
                      <w:rStyle w:val="Hyperlink"/>
                      <w:sz w:val="20"/>
                      <w:szCs w:val="20"/>
                    </w:rPr>
                    <w:t>canberrahealthservices.act.gov.au/accessibility</w:t>
                  </w:r>
                </w:hyperlink>
              </w:p>
              <w:p w14:paraId="5D689EB6" w14:textId="77777777" w:rsidR="00280C5D" w:rsidRDefault="00280C5D" w:rsidP="003B0E72">
                <w:pPr>
                  <w:pStyle w:val="Bottomblocktext"/>
                </w:pPr>
                <w:r>
                  <w:rPr>
                    <w:b/>
                    <w:bCs w:val="0"/>
                    <w:noProof/>
                  </w:rPr>
                  <w:drawing>
                    <wp:inline distT="0" distB="0" distL="0" distR="0" wp14:anchorId="0C37C224" wp14:editId="521F9D31">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31"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23"/>
    </w:tbl>
    <w:p w14:paraId="41B159BE" w14:textId="77777777" w:rsidR="00A513AA" w:rsidRDefault="00A513AA" w:rsidP="001A34D0"/>
    <w:sectPr w:rsidR="00A513AA" w:rsidSect="0007270D">
      <w:footerReference w:type="default" r:id="rId32"/>
      <w:headerReference w:type="first" r:id="rId33"/>
      <w:footerReference w:type="first" r:id="rId34"/>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F0830" w14:textId="77777777" w:rsidR="00661594" w:rsidRDefault="00661594" w:rsidP="00225769">
      <w:pPr>
        <w:spacing w:after="0" w:line="240" w:lineRule="auto"/>
      </w:pPr>
      <w:r>
        <w:separator/>
      </w:r>
    </w:p>
    <w:p w14:paraId="0299E0A0" w14:textId="77777777" w:rsidR="00661594" w:rsidRDefault="00661594"/>
    <w:p w14:paraId="644AFCAA" w14:textId="77777777" w:rsidR="00661594" w:rsidRDefault="00661594"/>
    <w:p w14:paraId="2BCBFBD9" w14:textId="77777777" w:rsidR="00661594" w:rsidRDefault="00661594"/>
    <w:p w14:paraId="4B898880" w14:textId="77777777" w:rsidR="00661594" w:rsidRDefault="00661594"/>
    <w:p w14:paraId="76467A14" w14:textId="77777777" w:rsidR="00661594" w:rsidRDefault="00661594"/>
    <w:p w14:paraId="08C63A78" w14:textId="77777777" w:rsidR="00661594" w:rsidRDefault="00661594"/>
  </w:endnote>
  <w:endnote w:type="continuationSeparator" w:id="0">
    <w:p w14:paraId="05C71FAA" w14:textId="77777777" w:rsidR="00661594" w:rsidRDefault="00661594" w:rsidP="00225769">
      <w:pPr>
        <w:spacing w:after="0" w:line="240" w:lineRule="auto"/>
      </w:pPr>
      <w:r>
        <w:continuationSeparator/>
      </w:r>
    </w:p>
    <w:p w14:paraId="431664B2" w14:textId="77777777" w:rsidR="00661594" w:rsidRDefault="00661594"/>
    <w:p w14:paraId="4D21D362" w14:textId="77777777" w:rsidR="00661594" w:rsidRDefault="00661594"/>
    <w:p w14:paraId="25B744D3" w14:textId="77777777" w:rsidR="00661594" w:rsidRDefault="00661594"/>
    <w:p w14:paraId="02D80D8D" w14:textId="77777777" w:rsidR="00661594" w:rsidRDefault="00661594"/>
    <w:p w14:paraId="358C84DC" w14:textId="77777777" w:rsidR="00661594" w:rsidRDefault="00661594"/>
    <w:p w14:paraId="6AD1ACF6" w14:textId="77777777" w:rsidR="00661594" w:rsidRDefault="006615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450"/>
      <w:gridCol w:w="1132"/>
    </w:tblGrid>
    <w:tr w:rsidR="00481A6C" w:rsidRPr="006B62B4" w14:paraId="6F1080EF" w14:textId="77777777" w:rsidTr="00E12361">
      <w:trPr>
        <w:jc w:val="center"/>
      </w:trPr>
      <w:tc>
        <w:tcPr>
          <w:tcW w:w="1515" w:type="dxa"/>
        </w:tcPr>
        <w:p w14:paraId="06129EAD"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135E0640"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19228FF5"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5DF96126"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2450" w:type="dxa"/>
        </w:tcPr>
        <w:p w14:paraId="4310E305"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132" w:type="dxa"/>
        </w:tcPr>
        <w:p w14:paraId="79E20616"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E12361" w:rsidRPr="006B62B4" w14:paraId="4DFD6FA6" w14:textId="77777777" w:rsidTr="00E12361">
      <w:trPr>
        <w:jc w:val="center"/>
      </w:trPr>
      <w:tc>
        <w:tcPr>
          <w:tcW w:w="1515" w:type="dxa"/>
        </w:tcPr>
        <w:p w14:paraId="672F5645" w14:textId="6E3ED842" w:rsidR="00E12361" w:rsidRPr="00954F7B" w:rsidRDefault="00E12361" w:rsidP="00E12361">
          <w:pPr>
            <w:pStyle w:val="Footer"/>
            <w:jc w:val="center"/>
            <w:rPr>
              <w:bCs/>
              <w:iCs/>
              <w:sz w:val="20"/>
              <w:szCs w:val="20"/>
            </w:rPr>
          </w:pPr>
          <w:r>
            <w:rPr>
              <w:bCs/>
              <w:iCs/>
              <w:sz w:val="20"/>
              <w:szCs w:val="20"/>
            </w:rPr>
            <w:t>CHS26/015</w:t>
          </w:r>
        </w:p>
      </w:tc>
      <w:tc>
        <w:tcPr>
          <w:tcW w:w="965" w:type="dxa"/>
        </w:tcPr>
        <w:p w14:paraId="1E0D823D" w14:textId="729C5E98" w:rsidR="00E12361" w:rsidRPr="00954F7B" w:rsidRDefault="00E12361" w:rsidP="00E12361">
          <w:pPr>
            <w:pStyle w:val="Footer"/>
            <w:jc w:val="center"/>
            <w:rPr>
              <w:bCs/>
              <w:iCs/>
              <w:sz w:val="20"/>
              <w:szCs w:val="20"/>
            </w:rPr>
          </w:pPr>
          <w:r>
            <w:rPr>
              <w:bCs/>
              <w:iCs/>
              <w:sz w:val="20"/>
              <w:szCs w:val="20"/>
            </w:rPr>
            <w:t>1</w:t>
          </w:r>
        </w:p>
      </w:tc>
      <w:tc>
        <w:tcPr>
          <w:tcW w:w="1552" w:type="dxa"/>
        </w:tcPr>
        <w:p w14:paraId="074A2A97" w14:textId="54E3B039" w:rsidR="00E12361" w:rsidRPr="00954F7B" w:rsidRDefault="00E12361" w:rsidP="00E12361">
          <w:pPr>
            <w:pStyle w:val="Footer"/>
            <w:jc w:val="center"/>
            <w:rPr>
              <w:bCs/>
              <w:iCs/>
              <w:sz w:val="20"/>
              <w:szCs w:val="20"/>
            </w:rPr>
          </w:pPr>
          <w:r>
            <w:rPr>
              <w:bCs/>
              <w:iCs/>
              <w:sz w:val="20"/>
              <w:szCs w:val="20"/>
            </w:rPr>
            <w:t>19/01/2026</w:t>
          </w:r>
        </w:p>
      </w:tc>
      <w:tc>
        <w:tcPr>
          <w:tcW w:w="1456" w:type="dxa"/>
        </w:tcPr>
        <w:p w14:paraId="4350A0D2" w14:textId="322EA599" w:rsidR="00E12361" w:rsidRPr="00954F7B" w:rsidRDefault="00E12361" w:rsidP="00E12361">
          <w:pPr>
            <w:pStyle w:val="Footer"/>
            <w:jc w:val="center"/>
            <w:rPr>
              <w:bCs/>
              <w:iCs/>
              <w:sz w:val="20"/>
              <w:szCs w:val="20"/>
            </w:rPr>
          </w:pPr>
          <w:r>
            <w:rPr>
              <w:bCs/>
              <w:iCs/>
              <w:sz w:val="20"/>
              <w:szCs w:val="20"/>
            </w:rPr>
            <w:t>01/02/2030</w:t>
          </w:r>
        </w:p>
      </w:tc>
      <w:tc>
        <w:tcPr>
          <w:tcW w:w="2450" w:type="dxa"/>
        </w:tcPr>
        <w:p w14:paraId="07367A73" w14:textId="343445A7" w:rsidR="00E12361" w:rsidRPr="00954F7B" w:rsidRDefault="00E12361" w:rsidP="00E12361">
          <w:pPr>
            <w:pStyle w:val="Footer"/>
            <w:jc w:val="center"/>
            <w:rPr>
              <w:bCs/>
              <w:iCs/>
              <w:sz w:val="20"/>
              <w:szCs w:val="20"/>
            </w:rPr>
          </w:pPr>
          <w:r>
            <w:rPr>
              <w:bCs/>
              <w:iCs/>
              <w:sz w:val="20"/>
              <w:szCs w:val="20"/>
            </w:rPr>
            <w:t xml:space="preserve">CAS – Haematology </w:t>
          </w:r>
        </w:p>
      </w:tc>
      <w:tc>
        <w:tcPr>
          <w:tcW w:w="1132" w:type="dxa"/>
        </w:tcPr>
        <w:p w14:paraId="50043F4E" w14:textId="77777777" w:rsidR="00E12361" w:rsidRPr="00954F7B" w:rsidRDefault="00E12361" w:rsidP="00E12361">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0EB104C1"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309"/>
      <w:gridCol w:w="1273"/>
    </w:tblGrid>
    <w:tr w:rsidR="008A3DD8" w:rsidRPr="006B62B4" w14:paraId="0D3CDD7A" w14:textId="77777777" w:rsidTr="00E12361">
      <w:trPr>
        <w:jc w:val="center"/>
      </w:trPr>
      <w:tc>
        <w:tcPr>
          <w:tcW w:w="1515" w:type="dxa"/>
        </w:tcPr>
        <w:p w14:paraId="23EBB394"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245506BD"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6CF04F8F"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5A29050D"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2309" w:type="dxa"/>
        </w:tcPr>
        <w:p w14:paraId="72B3B756"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273" w:type="dxa"/>
        </w:tcPr>
        <w:p w14:paraId="738D427E"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24605045" w14:textId="77777777" w:rsidTr="00E12361">
      <w:trPr>
        <w:jc w:val="center"/>
      </w:trPr>
      <w:tc>
        <w:tcPr>
          <w:tcW w:w="1515" w:type="dxa"/>
        </w:tcPr>
        <w:p w14:paraId="730954FA" w14:textId="378D22ED" w:rsidR="008A3DD8" w:rsidRPr="00954F7B" w:rsidRDefault="00E12361" w:rsidP="008A3DD8">
          <w:pPr>
            <w:pStyle w:val="Footer"/>
            <w:jc w:val="center"/>
            <w:rPr>
              <w:bCs/>
              <w:iCs/>
              <w:sz w:val="20"/>
              <w:szCs w:val="20"/>
            </w:rPr>
          </w:pPr>
          <w:r>
            <w:rPr>
              <w:bCs/>
              <w:iCs/>
              <w:sz w:val="20"/>
              <w:szCs w:val="20"/>
            </w:rPr>
            <w:t>CHS26/015</w:t>
          </w:r>
        </w:p>
      </w:tc>
      <w:tc>
        <w:tcPr>
          <w:tcW w:w="965" w:type="dxa"/>
        </w:tcPr>
        <w:p w14:paraId="480DFBD9" w14:textId="56E1EAB6" w:rsidR="008A3DD8" w:rsidRPr="00954F7B" w:rsidRDefault="00E12361" w:rsidP="008A3DD8">
          <w:pPr>
            <w:pStyle w:val="Footer"/>
            <w:jc w:val="center"/>
            <w:rPr>
              <w:bCs/>
              <w:iCs/>
              <w:sz w:val="20"/>
              <w:szCs w:val="20"/>
            </w:rPr>
          </w:pPr>
          <w:r>
            <w:rPr>
              <w:bCs/>
              <w:iCs/>
              <w:sz w:val="20"/>
              <w:szCs w:val="20"/>
            </w:rPr>
            <w:t>1</w:t>
          </w:r>
        </w:p>
      </w:tc>
      <w:tc>
        <w:tcPr>
          <w:tcW w:w="1552" w:type="dxa"/>
        </w:tcPr>
        <w:p w14:paraId="5B838594" w14:textId="0C4B1E8C" w:rsidR="008A3DD8" w:rsidRPr="00954F7B" w:rsidRDefault="00E12361" w:rsidP="008A3DD8">
          <w:pPr>
            <w:pStyle w:val="Footer"/>
            <w:jc w:val="center"/>
            <w:rPr>
              <w:bCs/>
              <w:iCs/>
              <w:sz w:val="20"/>
              <w:szCs w:val="20"/>
            </w:rPr>
          </w:pPr>
          <w:r>
            <w:rPr>
              <w:bCs/>
              <w:iCs/>
              <w:sz w:val="20"/>
              <w:szCs w:val="20"/>
            </w:rPr>
            <w:t>19/01/2026</w:t>
          </w:r>
        </w:p>
      </w:tc>
      <w:tc>
        <w:tcPr>
          <w:tcW w:w="1456" w:type="dxa"/>
        </w:tcPr>
        <w:p w14:paraId="5FA85F1F" w14:textId="1B880A0A" w:rsidR="008A3DD8" w:rsidRPr="00954F7B" w:rsidRDefault="00E12361" w:rsidP="008A3DD8">
          <w:pPr>
            <w:pStyle w:val="Footer"/>
            <w:jc w:val="center"/>
            <w:rPr>
              <w:bCs/>
              <w:iCs/>
              <w:sz w:val="20"/>
              <w:szCs w:val="20"/>
            </w:rPr>
          </w:pPr>
          <w:r>
            <w:rPr>
              <w:bCs/>
              <w:iCs/>
              <w:sz w:val="20"/>
              <w:szCs w:val="20"/>
            </w:rPr>
            <w:t>01/02/2030</w:t>
          </w:r>
        </w:p>
      </w:tc>
      <w:tc>
        <w:tcPr>
          <w:tcW w:w="2309" w:type="dxa"/>
        </w:tcPr>
        <w:p w14:paraId="595618BA" w14:textId="01E4A20F" w:rsidR="008A3DD8" w:rsidRPr="00954F7B" w:rsidRDefault="00E12361" w:rsidP="008A3DD8">
          <w:pPr>
            <w:pStyle w:val="Footer"/>
            <w:jc w:val="center"/>
            <w:rPr>
              <w:bCs/>
              <w:iCs/>
              <w:sz w:val="20"/>
              <w:szCs w:val="20"/>
            </w:rPr>
          </w:pPr>
          <w:r>
            <w:rPr>
              <w:bCs/>
              <w:iCs/>
              <w:sz w:val="20"/>
              <w:szCs w:val="20"/>
            </w:rPr>
            <w:t xml:space="preserve">CAS – Haematology </w:t>
          </w:r>
        </w:p>
      </w:tc>
      <w:tc>
        <w:tcPr>
          <w:tcW w:w="1273" w:type="dxa"/>
        </w:tcPr>
        <w:p w14:paraId="56FF8A0F"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1DF43359"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7D88F" w14:textId="77777777" w:rsidR="00661594" w:rsidRDefault="00661594" w:rsidP="009D493B">
      <w:pPr>
        <w:spacing w:after="0" w:line="240" w:lineRule="auto"/>
      </w:pPr>
      <w:r>
        <w:separator/>
      </w:r>
    </w:p>
  </w:footnote>
  <w:footnote w:type="continuationSeparator" w:id="0">
    <w:p w14:paraId="3737632E" w14:textId="77777777" w:rsidR="00661594" w:rsidRDefault="00661594" w:rsidP="00A9080B">
      <w:pPr>
        <w:spacing w:after="0" w:line="240" w:lineRule="auto"/>
      </w:pPr>
      <w:r>
        <w:continuationSeparator/>
      </w:r>
    </w:p>
    <w:p w14:paraId="62E4BB3E" w14:textId="77777777" w:rsidR="00661594" w:rsidRDefault="00661594"/>
    <w:p w14:paraId="7BF03587" w14:textId="77777777" w:rsidR="00661594" w:rsidRDefault="006615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8DC2B" w14:textId="77777777" w:rsidR="008A3DD8" w:rsidRDefault="008A3DD8">
    <w:pPr>
      <w:pStyle w:val="Header"/>
    </w:pPr>
    <w:r w:rsidRPr="00324CF9">
      <w:rPr>
        <w:noProof/>
      </w:rPr>
      <w:drawing>
        <wp:inline distT="0" distB="0" distL="0" distR="0" wp14:anchorId="48EB0B6E" wp14:editId="7C225E50">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14A28FA"/>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5"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6" w15:restartNumberingAfterBreak="0">
    <w:nsid w:val="2978265C"/>
    <w:multiLevelType w:val="hybridMultilevel"/>
    <w:tmpl w:val="7D2A45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2"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4" w15:restartNumberingAfterBreak="0">
    <w:nsid w:val="47F84865"/>
    <w:multiLevelType w:val="hybridMultilevel"/>
    <w:tmpl w:val="2C4CBA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0D545B4"/>
    <w:multiLevelType w:val="hybridMultilevel"/>
    <w:tmpl w:val="AC8CF39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57F28E2"/>
    <w:multiLevelType w:val="hybridMultilevel"/>
    <w:tmpl w:val="9556AD5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AC50126"/>
    <w:multiLevelType w:val="hybridMultilevel"/>
    <w:tmpl w:val="6D34BF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E36F28"/>
    <w:multiLevelType w:val="hybridMultilevel"/>
    <w:tmpl w:val="4BC2A8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61F70CC"/>
    <w:multiLevelType w:val="hybridMultilevel"/>
    <w:tmpl w:val="7284CEA0"/>
    <w:lvl w:ilvl="0" w:tplc="B9709290">
      <w:start w:val="1"/>
      <w:numFmt w:val="decimal"/>
      <w:lvlText w:val="%1."/>
      <w:lvlJc w:val="left"/>
      <w:pPr>
        <w:ind w:left="928" w:hanging="360"/>
      </w:pPr>
      <w:rPr>
        <w:b w:val="0"/>
        <w:i w:val="0"/>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1" w15:restartNumberingAfterBreak="0">
    <w:nsid w:val="697B626B"/>
    <w:multiLevelType w:val="hybridMultilevel"/>
    <w:tmpl w:val="87D0B2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0A07F50"/>
    <w:multiLevelType w:val="hybridMultilevel"/>
    <w:tmpl w:val="CEBCA28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6EE5D58"/>
    <w:multiLevelType w:val="hybridMultilevel"/>
    <w:tmpl w:val="6BC02F8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48431774">
    <w:abstractNumId w:val="5"/>
  </w:num>
  <w:num w:numId="2" w16cid:durableId="842209657">
    <w:abstractNumId w:val="4"/>
  </w:num>
  <w:num w:numId="3" w16cid:durableId="660542573">
    <w:abstractNumId w:val="20"/>
  </w:num>
  <w:num w:numId="4" w16cid:durableId="1971085616">
    <w:abstractNumId w:val="9"/>
  </w:num>
  <w:num w:numId="5" w16cid:durableId="252517802">
    <w:abstractNumId w:val="10"/>
  </w:num>
  <w:num w:numId="6" w16cid:durableId="420297118">
    <w:abstractNumId w:val="13"/>
  </w:num>
  <w:num w:numId="7" w16cid:durableId="3533880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9"/>
    <w:lvlOverride w:ilvl="0">
      <w:startOverride w:val="1"/>
    </w:lvlOverride>
  </w:num>
  <w:num w:numId="9" w16cid:durableId="1747920389">
    <w:abstractNumId w:val="10"/>
    <w:lvlOverride w:ilvl="0">
      <w:startOverride w:val="1"/>
    </w:lvlOverride>
  </w:num>
  <w:num w:numId="10" w16cid:durableId="1001813381">
    <w:abstractNumId w:val="9"/>
    <w:lvlOverride w:ilvl="0">
      <w:startOverride w:val="1"/>
    </w:lvlOverride>
  </w:num>
  <w:num w:numId="11" w16cid:durableId="1103450744">
    <w:abstractNumId w:val="10"/>
    <w:lvlOverride w:ilvl="0">
      <w:startOverride w:val="1"/>
    </w:lvlOverride>
  </w:num>
  <w:num w:numId="12" w16cid:durableId="1549294228">
    <w:abstractNumId w:val="9"/>
    <w:lvlOverride w:ilvl="0">
      <w:startOverride w:val="1"/>
    </w:lvlOverride>
  </w:num>
  <w:num w:numId="13" w16cid:durableId="8758549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0"/>
    <w:lvlOverride w:ilvl="0">
      <w:startOverride w:val="1"/>
    </w:lvlOverride>
  </w:num>
  <w:num w:numId="15" w16cid:durableId="12464539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20"/>
  </w:num>
  <w:num w:numId="17" w16cid:durableId="434129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7"/>
  </w:num>
  <w:num w:numId="19" w16cid:durableId="836698820">
    <w:abstractNumId w:val="11"/>
  </w:num>
  <w:num w:numId="20" w16cid:durableId="4028038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2"/>
  </w:num>
  <w:num w:numId="22" w16cid:durableId="200242115">
    <w:abstractNumId w:val="1"/>
  </w:num>
  <w:num w:numId="23" w16cid:durableId="585068731">
    <w:abstractNumId w:val="3"/>
  </w:num>
  <w:num w:numId="24" w16cid:durableId="1431437445">
    <w:abstractNumId w:val="2"/>
  </w:num>
  <w:num w:numId="25" w16cid:durableId="507214046">
    <w:abstractNumId w:val="8"/>
  </w:num>
  <w:num w:numId="26" w16cid:durableId="913591473">
    <w:abstractNumId w:val="5"/>
  </w:num>
  <w:num w:numId="27" w16cid:durableId="215317576">
    <w:abstractNumId w:val="0"/>
  </w:num>
  <w:num w:numId="28" w16cid:durableId="554314144">
    <w:abstractNumId w:val="6"/>
  </w:num>
  <w:num w:numId="29" w16cid:durableId="670762966">
    <w:abstractNumId w:val="17"/>
  </w:num>
  <w:num w:numId="30" w16cid:durableId="156700069">
    <w:abstractNumId w:val="19"/>
  </w:num>
  <w:num w:numId="31" w16cid:durableId="1465125210">
    <w:abstractNumId w:val="21"/>
  </w:num>
  <w:num w:numId="32" w16cid:durableId="501970419">
    <w:abstractNumId w:val="14"/>
  </w:num>
  <w:num w:numId="33" w16cid:durableId="329522743">
    <w:abstractNumId w:val="23"/>
  </w:num>
  <w:num w:numId="34" w16cid:durableId="1742407592">
    <w:abstractNumId w:val="15"/>
  </w:num>
  <w:num w:numId="35" w16cid:durableId="475730029">
    <w:abstractNumId w:val="16"/>
  </w:num>
  <w:num w:numId="36" w16cid:durableId="1777823977">
    <w:abstractNumId w:val="18"/>
  </w:num>
  <w:num w:numId="37" w16cid:durableId="740448774">
    <w:abstractNumId w:val="22"/>
  </w:num>
  <w:num w:numId="38" w16cid:durableId="7045206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415209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838408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653582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137690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434613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2B6"/>
    <w:rsid w:val="00000822"/>
    <w:rsid w:val="00003728"/>
    <w:rsid w:val="00004B91"/>
    <w:rsid w:val="00004F52"/>
    <w:rsid w:val="00006344"/>
    <w:rsid w:val="000068B9"/>
    <w:rsid w:val="000115AB"/>
    <w:rsid w:val="00012DA7"/>
    <w:rsid w:val="00014646"/>
    <w:rsid w:val="0001473F"/>
    <w:rsid w:val="00014D0A"/>
    <w:rsid w:val="00015018"/>
    <w:rsid w:val="000246D6"/>
    <w:rsid w:val="0002570D"/>
    <w:rsid w:val="00025A1C"/>
    <w:rsid w:val="00025C12"/>
    <w:rsid w:val="000347FB"/>
    <w:rsid w:val="00035A11"/>
    <w:rsid w:val="00036249"/>
    <w:rsid w:val="000379C5"/>
    <w:rsid w:val="00041D05"/>
    <w:rsid w:val="00042268"/>
    <w:rsid w:val="00043534"/>
    <w:rsid w:val="00046399"/>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3AA0"/>
    <w:rsid w:val="000A3EDF"/>
    <w:rsid w:val="000A3F9B"/>
    <w:rsid w:val="000A4C7E"/>
    <w:rsid w:val="000A6268"/>
    <w:rsid w:val="000B04DE"/>
    <w:rsid w:val="000B4346"/>
    <w:rsid w:val="000B4DF9"/>
    <w:rsid w:val="000B6A88"/>
    <w:rsid w:val="000C36A3"/>
    <w:rsid w:val="000C3973"/>
    <w:rsid w:val="000C48B1"/>
    <w:rsid w:val="000C57C6"/>
    <w:rsid w:val="000C76AA"/>
    <w:rsid w:val="000D0A42"/>
    <w:rsid w:val="000D1F50"/>
    <w:rsid w:val="000D551D"/>
    <w:rsid w:val="000D5D57"/>
    <w:rsid w:val="000D713F"/>
    <w:rsid w:val="000D742A"/>
    <w:rsid w:val="000E058F"/>
    <w:rsid w:val="000E07C3"/>
    <w:rsid w:val="000E1D08"/>
    <w:rsid w:val="000E5739"/>
    <w:rsid w:val="000E7683"/>
    <w:rsid w:val="000E77F0"/>
    <w:rsid w:val="000F1EB3"/>
    <w:rsid w:val="000F288B"/>
    <w:rsid w:val="000F300A"/>
    <w:rsid w:val="000F3A4B"/>
    <w:rsid w:val="000F5C20"/>
    <w:rsid w:val="000F79EA"/>
    <w:rsid w:val="000F7AAD"/>
    <w:rsid w:val="0010164B"/>
    <w:rsid w:val="00103F3D"/>
    <w:rsid w:val="00107118"/>
    <w:rsid w:val="00110D97"/>
    <w:rsid w:val="00112193"/>
    <w:rsid w:val="00112DAD"/>
    <w:rsid w:val="001135FC"/>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3C66"/>
    <w:rsid w:val="00144265"/>
    <w:rsid w:val="00144A90"/>
    <w:rsid w:val="00147327"/>
    <w:rsid w:val="00154D8C"/>
    <w:rsid w:val="001575C5"/>
    <w:rsid w:val="001600FA"/>
    <w:rsid w:val="001616DD"/>
    <w:rsid w:val="00161AE4"/>
    <w:rsid w:val="00161FDC"/>
    <w:rsid w:val="00164AA5"/>
    <w:rsid w:val="00166052"/>
    <w:rsid w:val="001660FE"/>
    <w:rsid w:val="00166FE4"/>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60E"/>
    <w:rsid w:val="00193907"/>
    <w:rsid w:val="00195EFB"/>
    <w:rsid w:val="00197F2E"/>
    <w:rsid w:val="001A0124"/>
    <w:rsid w:val="001A0D92"/>
    <w:rsid w:val="001A1DD6"/>
    <w:rsid w:val="001A2273"/>
    <w:rsid w:val="001A34D0"/>
    <w:rsid w:val="001A58C1"/>
    <w:rsid w:val="001B0DC3"/>
    <w:rsid w:val="001B1A6A"/>
    <w:rsid w:val="001B3430"/>
    <w:rsid w:val="001C0F5C"/>
    <w:rsid w:val="001C108E"/>
    <w:rsid w:val="001C223C"/>
    <w:rsid w:val="001C24A7"/>
    <w:rsid w:val="001C263F"/>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069"/>
    <w:rsid w:val="001E579B"/>
    <w:rsid w:val="001E5FF2"/>
    <w:rsid w:val="001E626E"/>
    <w:rsid w:val="001E7077"/>
    <w:rsid w:val="001E7A17"/>
    <w:rsid w:val="001F0765"/>
    <w:rsid w:val="001F2559"/>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51B"/>
    <w:rsid w:val="00211BFA"/>
    <w:rsid w:val="002124AC"/>
    <w:rsid w:val="00212F1D"/>
    <w:rsid w:val="002140AE"/>
    <w:rsid w:val="0022138F"/>
    <w:rsid w:val="00225769"/>
    <w:rsid w:val="00225E3B"/>
    <w:rsid w:val="00227104"/>
    <w:rsid w:val="00230054"/>
    <w:rsid w:val="0023370F"/>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56FA8"/>
    <w:rsid w:val="0026085A"/>
    <w:rsid w:val="002700D3"/>
    <w:rsid w:val="00271462"/>
    <w:rsid w:val="0027262B"/>
    <w:rsid w:val="00273A5A"/>
    <w:rsid w:val="00274308"/>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B119A"/>
    <w:rsid w:val="002B183F"/>
    <w:rsid w:val="002B2713"/>
    <w:rsid w:val="002B3511"/>
    <w:rsid w:val="002B3D19"/>
    <w:rsid w:val="002B3F13"/>
    <w:rsid w:val="002B434C"/>
    <w:rsid w:val="002B5D29"/>
    <w:rsid w:val="002C39F9"/>
    <w:rsid w:val="002C4D5E"/>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E6B35"/>
    <w:rsid w:val="002F2A26"/>
    <w:rsid w:val="002F42B6"/>
    <w:rsid w:val="002F57C1"/>
    <w:rsid w:val="002F6957"/>
    <w:rsid w:val="002F6CB3"/>
    <w:rsid w:val="002F7DE5"/>
    <w:rsid w:val="002F7DF1"/>
    <w:rsid w:val="003007EA"/>
    <w:rsid w:val="003027B6"/>
    <w:rsid w:val="00306981"/>
    <w:rsid w:val="00307FDA"/>
    <w:rsid w:val="0031196F"/>
    <w:rsid w:val="00312B51"/>
    <w:rsid w:val="00312C39"/>
    <w:rsid w:val="00314716"/>
    <w:rsid w:val="00316881"/>
    <w:rsid w:val="00317020"/>
    <w:rsid w:val="00317101"/>
    <w:rsid w:val="003172CB"/>
    <w:rsid w:val="00317312"/>
    <w:rsid w:val="00317F10"/>
    <w:rsid w:val="003201D8"/>
    <w:rsid w:val="00320BE8"/>
    <w:rsid w:val="003217E1"/>
    <w:rsid w:val="003218C1"/>
    <w:rsid w:val="0032423A"/>
    <w:rsid w:val="003247E9"/>
    <w:rsid w:val="003254E1"/>
    <w:rsid w:val="00330349"/>
    <w:rsid w:val="003303F9"/>
    <w:rsid w:val="00330A1E"/>
    <w:rsid w:val="003312C5"/>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3143"/>
    <w:rsid w:val="0037341B"/>
    <w:rsid w:val="00376B5F"/>
    <w:rsid w:val="00377AD9"/>
    <w:rsid w:val="00380288"/>
    <w:rsid w:val="003813DE"/>
    <w:rsid w:val="003817A2"/>
    <w:rsid w:val="00381E28"/>
    <w:rsid w:val="00383810"/>
    <w:rsid w:val="00385359"/>
    <w:rsid w:val="00385468"/>
    <w:rsid w:val="00387287"/>
    <w:rsid w:val="00390CE7"/>
    <w:rsid w:val="00390DAE"/>
    <w:rsid w:val="00393C61"/>
    <w:rsid w:val="00393FF3"/>
    <w:rsid w:val="0039618C"/>
    <w:rsid w:val="0039633A"/>
    <w:rsid w:val="00396B90"/>
    <w:rsid w:val="003A0BC9"/>
    <w:rsid w:val="003A0D26"/>
    <w:rsid w:val="003A1703"/>
    <w:rsid w:val="003A21CD"/>
    <w:rsid w:val="003A2A9E"/>
    <w:rsid w:val="003A40A7"/>
    <w:rsid w:val="003A48B6"/>
    <w:rsid w:val="003A55FF"/>
    <w:rsid w:val="003A5ADA"/>
    <w:rsid w:val="003A6511"/>
    <w:rsid w:val="003B28A5"/>
    <w:rsid w:val="003B3F9A"/>
    <w:rsid w:val="003B57A1"/>
    <w:rsid w:val="003B661D"/>
    <w:rsid w:val="003B720D"/>
    <w:rsid w:val="003B760C"/>
    <w:rsid w:val="003C218A"/>
    <w:rsid w:val="003C43A8"/>
    <w:rsid w:val="003C4430"/>
    <w:rsid w:val="003C5F3E"/>
    <w:rsid w:val="003C7810"/>
    <w:rsid w:val="003D10DD"/>
    <w:rsid w:val="003D1C0C"/>
    <w:rsid w:val="003D3B16"/>
    <w:rsid w:val="003D60E0"/>
    <w:rsid w:val="003D709B"/>
    <w:rsid w:val="003D7463"/>
    <w:rsid w:val="003E0103"/>
    <w:rsid w:val="003E0A22"/>
    <w:rsid w:val="003E727F"/>
    <w:rsid w:val="003E7D3D"/>
    <w:rsid w:val="003F01DF"/>
    <w:rsid w:val="003F2160"/>
    <w:rsid w:val="003F2C18"/>
    <w:rsid w:val="003F6C0E"/>
    <w:rsid w:val="00407C75"/>
    <w:rsid w:val="00411B14"/>
    <w:rsid w:val="00412C91"/>
    <w:rsid w:val="004132C5"/>
    <w:rsid w:val="00414064"/>
    <w:rsid w:val="00414AF5"/>
    <w:rsid w:val="00415DFF"/>
    <w:rsid w:val="00417745"/>
    <w:rsid w:val="00423CA6"/>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10"/>
    <w:rsid w:val="00457DCC"/>
    <w:rsid w:val="00461A18"/>
    <w:rsid w:val="00462060"/>
    <w:rsid w:val="00463C1A"/>
    <w:rsid w:val="00463EEC"/>
    <w:rsid w:val="004640FF"/>
    <w:rsid w:val="00465490"/>
    <w:rsid w:val="0047023D"/>
    <w:rsid w:val="00473FD3"/>
    <w:rsid w:val="00474746"/>
    <w:rsid w:val="00474A6A"/>
    <w:rsid w:val="00475AAB"/>
    <w:rsid w:val="00475FB0"/>
    <w:rsid w:val="00477432"/>
    <w:rsid w:val="00480537"/>
    <w:rsid w:val="00480DA2"/>
    <w:rsid w:val="00481A6C"/>
    <w:rsid w:val="0048389D"/>
    <w:rsid w:val="0048422E"/>
    <w:rsid w:val="00486165"/>
    <w:rsid w:val="00487A04"/>
    <w:rsid w:val="00487AA6"/>
    <w:rsid w:val="0049014C"/>
    <w:rsid w:val="00492356"/>
    <w:rsid w:val="004957A2"/>
    <w:rsid w:val="00497745"/>
    <w:rsid w:val="004A0201"/>
    <w:rsid w:val="004A178D"/>
    <w:rsid w:val="004A1C33"/>
    <w:rsid w:val="004A7A7F"/>
    <w:rsid w:val="004B031B"/>
    <w:rsid w:val="004B3DD2"/>
    <w:rsid w:val="004B474F"/>
    <w:rsid w:val="004B7AEC"/>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0CD0"/>
    <w:rsid w:val="004F1BEF"/>
    <w:rsid w:val="004F2430"/>
    <w:rsid w:val="004F2B91"/>
    <w:rsid w:val="004F3034"/>
    <w:rsid w:val="004F435E"/>
    <w:rsid w:val="004F568E"/>
    <w:rsid w:val="005013B9"/>
    <w:rsid w:val="00506D24"/>
    <w:rsid w:val="005077D2"/>
    <w:rsid w:val="005118F6"/>
    <w:rsid w:val="0051350A"/>
    <w:rsid w:val="00517604"/>
    <w:rsid w:val="00517A80"/>
    <w:rsid w:val="00517DA5"/>
    <w:rsid w:val="00517FA4"/>
    <w:rsid w:val="005216E4"/>
    <w:rsid w:val="00525801"/>
    <w:rsid w:val="0052700E"/>
    <w:rsid w:val="00530642"/>
    <w:rsid w:val="00530F88"/>
    <w:rsid w:val="00532B1C"/>
    <w:rsid w:val="00532EB9"/>
    <w:rsid w:val="00533388"/>
    <w:rsid w:val="00534E1F"/>
    <w:rsid w:val="00537269"/>
    <w:rsid w:val="005412CE"/>
    <w:rsid w:val="005443C8"/>
    <w:rsid w:val="0054607D"/>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78BD"/>
    <w:rsid w:val="00577A46"/>
    <w:rsid w:val="00577C65"/>
    <w:rsid w:val="00581121"/>
    <w:rsid w:val="005840B8"/>
    <w:rsid w:val="00585C01"/>
    <w:rsid w:val="005867DF"/>
    <w:rsid w:val="005900D8"/>
    <w:rsid w:val="005916F1"/>
    <w:rsid w:val="00592081"/>
    <w:rsid w:val="005A0348"/>
    <w:rsid w:val="005A1FA3"/>
    <w:rsid w:val="005A27C0"/>
    <w:rsid w:val="005A4691"/>
    <w:rsid w:val="005A74FF"/>
    <w:rsid w:val="005A7C67"/>
    <w:rsid w:val="005B194A"/>
    <w:rsid w:val="005B234E"/>
    <w:rsid w:val="005B3D8A"/>
    <w:rsid w:val="005B3EC2"/>
    <w:rsid w:val="005C1D68"/>
    <w:rsid w:val="005C58FA"/>
    <w:rsid w:val="005C5F49"/>
    <w:rsid w:val="005C6687"/>
    <w:rsid w:val="005C71BC"/>
    <w:rsid w:val="005D2629"/>
    <w:rsid w:val="005D4A78"/>
    <w:rsid w:val="005D54F1"/>
    <w:rsid w:val="005D5820"/>
    <w:rsid w:val="005E03EB"/>
    <w:rsid w:val="005E3D07"/>
    <w:rsid w:val="005E52B4"/>
    <w:rsid w:val="005E6B49"/>
    <w:rsid w:val="005E7252"/>
    <w:rsid w:val="005E7AA8"/>
    <w:rsid w:val="005F02C2"/>
    <w:rsid w:val="005F70F7"/>
    <w:rsid w:val="005F797F"/>
    <w:rsid w:val="006046D3"/>
    <w:rsid w:val="00605E3B"/>
    <w:rsid w:val="006065E8"/>
    <w:rsid w:val="00607869"/>
    <w:rsid w:val="00607B4C"/>
    <w:rsid w:val="00610940"/>
    <w:rsid w:val="00610DC7"/>
    <w:rsid w:val="00614D95"/>
    <w:rsid w:val="006155F0"/>
    <w:rsid w:val="00616766"/>
    <w:rsid w:val="00620386"/>
    <w:rsid w:val="006253B6"/>
    <w:rsid w:val="00625A15"/>
    <w:rsid w:val="00627BD8"/>
    <w:rsid w:val="00627C4C"/>
    <w:rsid w:val="0063178C"/>
    <w:rsid w:val="006349C4"/>
    <w:rsid w:val="00635114"/>
    <w:rsid w:val="00636177"/>
    <w:rsid w:val="006361D0"/>
    <w:rsid w:val="00637BE8"/>
    <w:rsid w:val="00637C90"/>
    <w:rsid w:val="00637D76"/>
    <w:rsid w:val="006408BF"/>
    <w:rsid w:val="00640A07"/>
    <w:rsid w:val="00641410"/>
    <w:rsid w:val="0064271E"/>
    <w:rsid w:val="006431FF"/>
    <w:rsid w:val="0064333A"/>
    <w:rsid w:val="00644F89"/>
    <w:rsid w:val="00651C5E"/>
    <w:rsid w:val="006553EC"/>
    <w:rsid w:val="00655674"/>
    <w:rsid w:val="00656027"/>
    <w:rsid w:val="00656746"/>
    <w:rsid w:val="00661594"/>
    <w:rsid w:val="006623D2"/>
    <w:rsid w:val="00666113"/>
    <w:rsid w:val="0067005A"/>
    <w:rsid w:val="00680130"/>
    <w:rsid w:val="006824E0"/>
    <w:rsid w:val="00684A68"/>
    <w:rsid w:val="00685883"/>
    <w:rsid w:val="00691C90"/>
    <w:rsid w:val="00692458"/>
    <w:rsid w:val="0069388D"/>
    <w:rsid w:val="006A0160"/>
    <w:rsid w:val="006A31AB"/>
    <w:rsid w:val="006A5215"/>
    <w:rsid w:val="006A68EC"/>
    <w:rsid w:val="006B18B2"/>
    <w:rsid w:val="006B3640"/>
    <w:rsid w:val="006B61AC"/>
    <w:rsid w:val="006B6444"/>
    <w:rsid w:val="006B6C90"/>
    <w:rsid w:val="006B7CA7"/>
    <w:rsid w:val="006C0039"/>
    <w:rsid w:val="006C1521"/>
    <w:rsid w:val="006C39B7"/>
    <w:rsid w:val="006C3C89"/>
    <w:rsid w:val="006C4E7E"/>
    <w:rsid w:val="006C7001"/>
    <w:rsid w:val="006C7362"/>
    <w:rsid w:val="006D11DF"/>
    <w:rsid w:val="006D2547"/>
    <w:rsid w:val="006D3EF5"/>
    <w:rsid w:val="006D47A7"/>
    <w:rsid w:val="006D534E"/>
    <w:rsid w:val="006E0951"/>
    <w:rsid w:val="006E10A6"/>
    <w:rsid w:val="006E4456"/>
    <w:rsid w:val="006E462E"/>
    <w:rsid w:val="006E5856"/>
    <w:rsid w:val="006E71A5"/>
    <w:rsid w:val="006E73F9"/>
    <w:rsid w:val="006F0585"/>
    <w:rsid w:val="006F47AA"/>
    <w:rsid w:val="006F4C90"/>
    <w:rsid w:val="006F73C8"/>
    <w:rsid w:val="006F7883"/>
    <w:rsid w:val="006F7EC9"/>
    <w:rsid w:val="00700549"/>
    <w:rsid w:val="00700B1E"/>
    <w:rsid w:val="00700B46"/>
    <w:rsid w:val="00702088"/>
    <w:rsid w:val="00702564"/>
    <w:rsid w:val="007033DE"/>
    <w:rsid w:val="00703CCF"/>
    <w:rsid w:val="00705460"/>
    <w:rsid w:val="00712F00"/>
    <w:rsid w:val="00721B04"/>
    <w:rsid w:val="00721E2A"/>
    <w:rsid w:val="00724D61"/>
    <w:rsid w:val="007277AF"/>
    <w:rsid w:val="00735CAA"/>
    <w:rsid w:val="0073719C"/>
    <w:rsid w:val="00742E09"/>
    <w:rsid w:val="00745452"/>
    <w:rsid w:val="00745956"/>
    <w:rsid w:val="00746818"/>
    <w:rsid w:val="00747FC4"/>
    <w:rsid w:val="00752457"/>
    <w:rsid w:val="0075311C"/>
    <w:rsid w:val="0075346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94435"/>
    <w:rsid w:val="00794ACF"/>
    <w:rsid w:val="007A1603"/>
    <w:rsid w:val="007A682A"/>
    <w:rsid w:val="007A7F29"/>
    <w:rsid w:val="007B03DA"/>
    <w:rsid w:val="007B1A7B"/>
    <w:rsid w:val="007B3138"/>
    <w:rsid w:val="007B40DC"/>
    <w:rsid w:val="007B6F78"/>
    <w:rsid w:val="007B75F4"/>
    <w:rsid w:val="007B7FFE"/>
    <w:rsid w:val="007C10BA"/>
    <w:rsid w:val="007C215A"/>
    <w:rsid w:val="007C2324"/>
    <w:rsid w:val="007C2806"/>
    <w:rsid w:val="007C5C1B"/>
    <w:rsid w:val="007C79A6"/>
    <w:rsid w:val="007D3448"/>
    <w:rsid w:val="007E04CD"/>
    <w:rsid w:val="007E1101"/>
    <w:rsid w:val="007E4E9A"/>
    <w:rsid w:val="007E6EE6"/>
    <w:rsid w:val="007F29F8"/>
    <w:rsid w:val="007F2D82"/>
    <w:rsid w:val="007F43F2"/>
    <w:rsid w:val="007F48B2"/>
    <w:rsid w:val="007F4EF0"/>
    <w:rsid w:val="007F5CFF"/>
    <w:rsid w:val="0081013E"/>
    <w:rsid w:val="008107B4"/>
    <w:rsid w:val="00810C0D"/>
    <w:rsid w:val="008113B4"/>
    <w:rsid w:val="008114F0"/>
    <w:rsid w:val="00814D74"/>
    <w:rsid w:val="00814DE5"/>
    <w:rsid w:val="00820942"/>
    <w:rsid w:val="00823C4F"/>
    <w:rsid w:val="008248D1"/>
    <w:rsid w:val="0082586A"/>
    <w:rsid w:val="008261B4"/>
    <w:rsid w:val="00827EDE"/>
    <w:rsid w:val="00832EAB"/>
    <w:rsid w:val="008358B4"/>
    <w:rsid w:val="00835A9B"/>
    <w:rsid w:val="00842EF4"/>
    <w:rsid w:val="0084374E"/>
    <w:rsid w:val="00843D15"/>
    <w:rsid w:val="00845AA0"/>
    <w:rsid w:val="008510FF"/>
    <w:rsid w:val="008530BE"/>
    <w:rsid w:val="008540FA"/>
    <w:rsid w:val="008606A0"/>
    <w:rsid w:val="00861084"/>
    <w:rsid w:val="00861E1B"/>
    <w:rsid w:val="00862F65"/>
    <w:rsid w:val="00863446"/>
    <w:rsid w:val="00863E4E"/>
    <w:rsid w:val="00867895"/>
    <w:rsid w:val="00875FE9"/>
    <w:rsid w:val="0087684F"/>
    <w:rsid w:val="00876CAC"/>
    <w:rsid w:val="00885A76"/>
    <w:rsid w:val="00886079"/>
    <w:rsid w:val="00891F34"/>
    <w:rsid w:val="00895C04"/>
    <w:rsid w:val="008970B7"/>
    <w:rsid w:val="008A0530"/>
    <w:rsid w:val="008A1B21"/>
    <w:rsid w:val="008A27FE"/>
    <w:rsid w:val="008A3DD8"/>
    <w:rsid w:val="008A3F85"/>
    <w:rsid w:val="008A47BD"/>
    <w:rsid w:val="008A51E8"/>
    <w:rsid w:val="008A7D2C"/>
    <w:rsid w:val="008B0AC9"/>
    <w:rsid w:val="008B0F37"/>
    <w:rsid w:val="008B4384"/>
    <w:rsid w:val="008B55D2"/>
    <w:rsid w:val="008B5C21"/>
    <w:rsid w:val="008B791D"/>
    <w:rsid w:val="008C1C7C"/>
    <w:rsid w:val="008C208A"/>
    <w:rsid w:val="008C4F48"/>
    <w:rsid w:val="008D0538"/>
    <w:rsid w:val="008D0D9A"/>
    <w:rsid w:val="008D2CA8"/>
    <w:rsid w:val="008D4AA6"/>
    <w:rsid w:val="008E0CD4"/>
    <w:rsid w:val="008E1F15"/>
    <w:rsid w:val="008E2267"/>
    <w:rsid w:val="008E6827"/>
    <w:rsid w:val="008F0F03"/>
    <w:rsid w:val="008F1341"/>
    <w:rsid w:val="008F2CF5"/>
    <w:rsid w:val="008F3034"/>
    <w:rsid w:val="008F3194"/>
    <w:rsid w:val="008F5E84"/>
    <w:rsid w:val="008F65FF"/>
    <w:rsid w:val="00901B2C"/>
    <w:rsid w:val="00901E01"/>
    <w:rsid w:val="00904BC8"/>
    <w:rsid w:val="00906D5B"/>
    <w:rsid w:val="00907133"/>
    <w:rsid w:val="009071E8"/>
    <w:rsid w:val="00910F06"/>
    <w:rsid w:val="009118F6"/>
    <w:rsid w:val="00911EB8"/>
    <w:rsid w:val="00912168"/>
    <w:rsid w:val="009139C7"/>
    <w:rsid w:val="00913CAC"/>
    <w:rsid w:val="0091437D"/>
    <w:rsid w:val="0091462B"/>
    <w:rsid w:val="009149B8"/>
    <w:rsid w:val="00914E60"/>
    <w:rsid w:val="009151A8"/>
    <w:rsid w:val="0091550B"/>
    <w:rsid w:val="00915D8B"/>
    <w:rsid w:val="0091658D"/>
    <w:rsid w:val="00916B80"/>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37EBD"/>
    <w:rsid w:val="00940816"/>
    <w:rsid w:val="00942585"/>
    <w:rsid w:val="0094333E"/>
    <w:rsid w:val="009448F7"/>
    <w:rsid w:val="00945A1D"/>
    <w:rsid w:val="00945CC4"/>
    <w:rsid w:val="00946533"/>
    <w:rsid w:val="00947A11"/>
    <w:rsid w:val="0095050A"/>
    <w:rsid w:val="0095266F"/>
    <w:rsid w:val="00953E59"/>
    <w:rsid w:val="00954894"/>
    <w:rsid w:val="0095533A"/>
    <w:rsid w:val="0095646B"/>
    <w:rsid w:val="00957565"/>
    <w:rsid w:val="00957A99"/>
    <w:rsid w:val="00964D8D"/>
    <w:rsid w:val="00964EDA"/>
    <w:rsid w:val="00965A01"/>
    <w:rsid w:val="00965EA8"/>
    <w:rsid w:val="0096731B"/>
    <w:rsid w:val="0096785D"/>
    <w:rsid w:val="00970842"/>
    <w:rsid w:val="00971125"/>
    <w:rsid w:val="00971F4F"/>
    <w:rsid w:val="00972140"/>
    <w:rsid w:val="00972D70"/>
    <w:rsid w:val="0097363B"/>
    <w:rsid w:val="009746B1"/>
    <w:rsid w:val="00974DC4"/>
    <w:rsid w:val="00975A13"/>
    <w:rsid w:val="00977BFB"/>
    <w:rsid w:val="00980104"/>
    <w:rsid w:val="00982385"/>
    <w:rsid w:val="00982810"/>
    <w:rsid w:val="009903CC"/>
    <w:rsid w:val="00992499"/>
    <w:rsid w:val="00995B1B"/>
    <w:rsid w:val="009A1396"/>
    <w:rsid w:val="009A2981"/>
    <w:rsid w:val="009A336D"/>
    <w:rsid w:val="009A4ECC"/>
    <w:rsid w:val="009A5010"/>
    <w:rsid w:val="009A63B5"/>
    <w:rsid w:val="009A7037"/>
    <w:rsid w:val="009B4D92"/>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2081"/>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157B"/>
    <w:rsid w:val="00A24C42"/>
    <w:rsid w:val="00A2629A"/>
    <w:rsid w:val="00A26F1E"/>
    <w:rsid w:val="00A272D4"/>
    <w:rsid w:val="00A2737A"/>
    <w:rsid w:val="00A303C6"/>
    <w:rsid w:val="00A31E06"/>
    <w:rsid w:val="00A32873"/>
    <w:rsid w:val="00A32B6F"/>
    <w:rsid w:val="00A333F2"/>
    <w:rsid w:val="00A347E2"/>
    <w:rsid w:val="00A34EAB"/>
    <w:rsid w:val="00A41E01"/>
    <w:rsid w:val="00A435C8"/>
    <w:rsid w:val="00A45D6C"/>
    <w:rsid w:val="00A470E3"/>
    <w:rsid w:val="00A513AA"/>
    <w:rsid w:val="00A6051F"/>
    <w:rsid w:val="00A60EED"/>
    <w:rsid w:val="00A621FE"/>
    <w:rsid w:val="00A6232E"/>
    <w:rsid w:val="00A64430"/>
    <w:rsid w:val="00A65C0A"/>
    <w:rsid w:val="00A66966"/>
    <w:rsid w:val="00A71200"/>
    <w:rsid w:val="00A721C0"/>
    <w:rsid w:val="00A7294C"/>
    <w:rsid w:val="00A731B8"/>
    <w:rsid w:val="00A7517C"/>
    <w:rsid w:val="00A774B1"/>
    <w:rsid w:val="00A82DEF"/>
    <w:rsid w:val="00A84013"/>
    <w:rsid w:val="00A84E3E"/>
    <w:rsid w:val="00A856B1"/>
    <w:rsid w:val="00A86197"/>
    <w:rsid w:val="00A86EF5"/>
    <w:rsid w:val="00A875F3"/>
    <w:rsid w:val="00A9080B"/>
    <w:rsid w:val="00A90E16"/>
    <w:rsid w:val="00A94E61"/>
    <w:rsid w:val="00A957B0"/>
    <w:rsid w:val="00A96564"/>
    <w:rsid w:val="00A96CD8"/>
    <w:rsid w:val="00A96DC9"/>
    <w:rsid w:val="00A979FD"/>
    <w:rsid w:val="00AA15EB"/>
    <w:rsid w:val="00AA2D7A"/>
    <w:rsid w:val="00AA2E86"/>
    <w:rsid w:val="00AA3498"/>
    <w:rsid w:val="00AA3549"/>
    <w:rsid w:val="00AA5307"/>
    <w:rsid w:val="00AB3BAC"/>
    <w:rsid w:val="00AB3F25"/>
    <w:rsid w:val="00AB4AD3"/>
    <w:rsid w:val="00AB5A6A"/>
    <w:rsid w:val="00AC0797"/>
    <w:rsid w:val="00AC2EDE"/>
    <w:rsid w:val="00AC53AF"/>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70A2"/>
    <w:rsid w:val="00B17F72"/>
    <w:rsid w:val="00B203FF"/>
    <w:rsid w:val="00B22277"/>
    <w:rsid w:val="00B22944"/>
    <w:rsid w:val="00B2389E"/>
    <w:rsid w:val="00B24D05"/>
    <w:rsid w:val="00B2758D"/>
    <w:rsid w:val="00B30482"/>
    <w:rsid w:val="00B31526"/>
    <w:rsid w:val="00B3226B"/>
    <w:rsid w:val="00B326A7"/>
    <w:rsid w:val="00B332B3"/>
    <w:rsid w:val="00B33322"/>
    <w:rsid w:val="00B33F30"/>
    <w:rsid w:val="00B33FA0"/>
    <w:rsid w:val="00B34124"/>
    <w:rsid w:val="00B3418C"/>
    <w:rsid w:val="00B34980"/>
    <w:rsid w:val="00B36C89"/>
    <w:rsid w:val="00B41CEE"/>
    <w:rsid w:val="00B420B6"/>
    <w:rsid w:val="00B450AD"/>
    <w:rsid w:val="00B47F44"/>
    <w:rsid w:val="00B500E8"/>
    <w:rsid w:val="00B506B5"/>
    <w:rsid w:val="00B52163"/>
    <w:rsid w:val="00B55EF6"/>
    <w:rsid w:val="00B61582"/>
    <w:rsid w:val="00B6217E"/>
    <w:rsid w:val="00B625F2"/>
    <w:rsid w:val="00B627C5"/>
    <w:rsid w:val="00B64367"/>
    <w:rsid w:val="00B64C8C"/>
    <w:rsid w:val="00B65F91"/>
    <w:rsid w:val="00B6769D"/>
    <w:rsid w:val="00B6772A"/>
    <w:rsid w:val="00B7084B"/>
    <w:rsid w:val="00B83559"/>
    <w:rsid w:val="00B853F1"/>
    <w:rsid w:val="00B86A43"/>
    <w:rsid w:val="00B91976"/>
    <w:rsid w:val="00B92CED"/>
    <w:rsid w:val="00B94117"/>
    <w:rsid w:val="00B94D42"/>
    <w:rsid w:val="00B964DE"/>
    <w:rsid w:val="00B968C2"/>
    <w:rsid w:val="00BA028D"/>
    <w:rsid w:val="00BA1722"/>
    <w:rsid w:val="00BA3E7C"/>
    <w:rsid w:val="00BA62AA"/>
    <w:rsid w:val="00BA6C5D"/>
    <w:rsid w:val="00BA6DD4"/>
    <w:rsid w:val="00BB1636"/>
    <w:rsid w:val="00BB1B98"/>
    <w:rsid w:val="00BB2A83"/>
    <w:rsid w:val="00BB3F7C"/>
    <w:rsid w:val="00BB5BAF"/>
    <w:rsid w:val="00BB6801"/>
    <w:rsid w:val="00BB7B1F"/>
    <w:rsid w:val="00BC0414"/>
    <w:rsid w:val="00BC12C5"/>
    <w:rsid w:val="00BC4D26"/>
    <w:rsid w:val="00BC5518"/>
    <w:rsid w:val="00BC7EBB"/>
    <w:rsid w:val="00BD054F"/>
    <w:rsid w:val="00BD078D"/>
    <w:rsid w:val="00BD429D"/>
    <w:rsid w:val="00BD44A9"/>
    <w:rsid w:val="00BD6D69"/>
    <w:rsid w:val="00BE1539"/>
    <w:rsid w:val="00BE4EDA"/>
    <w:rsid w:val="00BF0E7A"/>
    <w:rsid w:val="00BF116F"/>
    <w:rsid w:val="00BF27FA"/>
    <w:rsid w:val="00BF35EB"/>
    <w:rsid w:val="00BF36A0"/>
    <w:rsid w:val="00BF3884"/>
    <w:rsid w:val="00BF52DE"/>
    <w:rsid w:val="00BF6116"/>
    <w:rsid w:val="00C00318"/>
    <w:rsid w:val="00C01BE9"/>
    <w:rsid w:val="00C0323A"/>
    <w:rsid w:val="00C034D3"/>
    <w:rsid w:val="00C049CA"/>
    <w:rsid w:val="00C04F59"/>
    <w:rsid w:val="00C055ED"/>
    <w:rsid w:val="00C07276"/>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E26"/>
    <w:rsid w:val="00C52026"/>
    <w:rsid w:val="00C54D16"/>
    <w:rsid w:val="00C55135"/>
    <w:rsid w:val="00C57A55"/>
    <w:rsid w:val="00C6290F"/>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43F1"/>
    <w:rsid w:val="00CA4FDE"/>
    <w:rsid w:val="00CA70E7"/>
    <w:rsid w:val="00CB228A"/>
    <w:rsid w:val="00CB2E17"/>
    <w:rsid w:val="00CB3056"/>
    <w:rsid w:val="00CB3987"/>
    <w:rsid w:val="00CB462F"/>
    <w:rsid w:val="00CB7E08"/>
    <w:rsid w:val="00CC4F44"/>
    <w:rsid w:val="00CC4F4F"/>
    <w:rsid w:val="00CC5AD8"/>
    <w:rsid w:val="00CD434F"/>
    <w:rsid w:val="00CD55B7"/>
    <w:rsid w:val="00CD73E7"/>
    <w:rsid w:val="00CE1D90"/>
    <w:rsid w:val="00CE2446"/>
    <w:rsid w:val="00CE5F47"/>
    <w:rsid w:val="00CE6986"/>
    <w:rsid w:val="00CE78F5"/>
    <w:rsid w:val="00CF24D4"/>
    <w:rsid w:val="00CF3925"/>
    <w:rsid w:val="00D01536"/>
    <w:rsid w:val="00D027B9"/>
    <w:rsid w:val="00D0489B"/>
    <w:rsid w:val="00D052B4"/>
    <w:rsid w:val="00D07A8B"/>
    <w:rsid w:val="00D10F72"/>
    <w:rsid w:val="00D17891"/>
    <w:rsid w:val="00D206E0"/>
    <w:rsid w:val="00D223CA"/>
    <w:rsid w:val="00D228B8"/>
    <w:rsid w:val="00D25E0F"/>
    <w:rsid w:val="00D27637"/>
    <w:rsid w:val="00D30343"/>
    <w:rsid w:val="00D31BD9"/>
    <w:rsid w:val="00D3635A"/>
    <w:rsid w:val="00D36920"/>
    <w:rsid w:val="00D36B09"/>
    <w:rsid w:val="00D4154F"/>
    <w:rsid w:val="00D434D3"/>
    <w:rsid w:val="00D4358F"/>
    <w:rsid w:val="00D443D7"/>
    <w:rsid w:val="00D44842"/>
    <w:rsid w:val="00D5188B"/>
    <w:rsid w:val="00D520E7"/>
    <w:rsid w:val="00D53C66"/>
    <w:rsid w:val="00D54780"/>
    <w:rsid w:val="00D56DA0"/>
    <w:rsid w:val="00D600D7"/>
    <w:rsid w:val="00D609A1"/>
    <w:rsid w:val="00D60A56"/>
    <w:rsid w:val="00D62793"/>
    <w:rsid w:val="00D627BE"/>
    <w:rsid w:val="00D64EAD"/>
    <w:rsid w:val="00D6578B"/>
    <w:rsid w:val="00D65905"/>
    <w:rsid w:val="00D67E6B"/>
    <w:rsid w:val="00D71B35"/>
    <w:rsid w:val="00D74DFD"/>
    <w:rsid w:val="00D770C8"/>
    <w:rsid w:val="00D80302"/>
    <w:rsid w:val="00D81A2D"/>
    <w:rsid w:val="00D81CB0"/>
    <w:rsid w:val="00D82211"/>
    <w:rsid w:val="00D8365B"/>
    <w:rsid w:val="00D8559E"/>
    <w:rsid w:val="00D85CC2"/>
    <w:rsid w:val="00D863DB"/>
    <w:rsid w:val="00D87671"/>
    <w:rsid w:val="00D87E35"/>
    <w:rsid w:val="00D90346"/>
    <w:rsid w:val="00D92132"/>
    <w:rsid w:val="00D92CE7"/>
    <w:rsid w:val="00D931B6"/>
    <w:rsid w:val="00D95849"/>
    <w:rsid w:val="00D9595A"/>
    <w:rsid w:val="00D95B03"/>
    <w:rsid w:val="00D967DA"/>
    <w:rsid w:val="00D96A05"/>
    <w:rsid w:val="00D96ACC"/>
    <w:rsid w:val="00D974FB"/>
    <w:rsid w:val="00DA031B"/>
    <w:rsid w:val="00DA48F8"/>
    <w:rsid w:val="00DA5524"/>
    <w:rsid w:val="00DA5D62"/>
    <w:rsid w:val="00DA60A4"/>
    <w:rsid w:val="00DA6E33"/>
    <w:rsid w:val="00DB0295"/>
    <w:rsid w:val="00DB207B"/>
    <w:rsid w:val="00DB3285"/>
    <w:rsid w:val="00DB46D7"/>
    <w:rsid w:val="00DB5138"/>
    <w:rsid w:val="00DB6108"/>
    <w:rsid w:val="00DC008F"/>
    <w:rsid w:val="00DD4464"/>
    <w:rsid w:val="00DD6074"/>
    <w:rsid w:val="00DD693A"/>
    <w:rsid w:val="00DE125D"/>
    <w:rsid w:val="00DE5620"/>
    <w:rsid w:val="00DE5C6B"/>
    <w:rsid w:val="00DE6056"/>
    <w:rsid w:val="00DE6090"/>
    <w:rsid w:val="00DF1CBC"/>
    <w:rsid w:val="00DF3EFE"/>
    <w:rsid w:val="00E02685"/>
    <w:rsid w:val="00E0642F"/>
    <w:rsid w:val="00E06745"/>
    <w:rsid w:val="00E07B41"/>
    <w:rsid w:val="00E104DF"/>
    <w:rsid w:val="00E12361"/>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21"/>
    <w:rsid w:val="00E45436"/>
    <w:rsid w:val="00E47EAF"/>
    <w:rsid w:val="00E55664"/>
    <w:rsid w:val="00E563D9"/>
    <w:rsid w:val="00E56F2D"/>
    <w:rsid w:val="00E5710E"/>
    <w:rsid w:val="00E63D9D"/>
    <w:rsid w:val="00E63F30"/>
    <w:rsid w:val="00E63F4F"/>
    <w:rsid w:val="00E64DA3"/>
    <w:rsid w:val="00E679F9"/>
    <w:rsid w:val="00E7101C"/>
    <w:rsid w:val="00E710F2"/>
    <w:rsid w:val="00E72731"/>
    <w:rsid w:val="00E73A87"/>
    <w:rsid w:val="00E76C52"/>
    <w:rsid w:val="00E80B1C"/>
    <w:rsid w:val="00E870E4"/>
    <w:rsid w:val="00E8796B"/>
    <w:rsid w:val="00E90C07"/>
    <w:rsid w:val="00E93F27"/>
    <w:rsid w:val="00E94350"/>
    <w:rsid w:val="00E97B77"/>
    <w:rsid w:val="00EA060C"/>
    <w:rsid w:val="00EA4041"/>
    <w:rsid w:val="00EA4C6B"/>
    <w:rsid w:val="00EA7109"/>
    <w:rsid w:val="00EA7DDA"/>
    <w:rsid w:val="00EB103A"/>
    <w:rsid w:val="00EB139E"/>
    <w:rsid w:val="00EB256E"/>
    <w:rsid w:val="00EB26B6"/>
    <w:rsid w:val="00EB3883"/>
    <w:rsid w:val="00EB44CD"/>
    <w:rsid w:val="00EB70EE"/>
    <w:rsid w:val="00EC0190"/>
    <w:rsid w:val="00EC13DF"/>
    <w:rsid w:val="00EC3146"/>
    <w:rsid w:val="00EC4BB0"/>
    <w:rsid w:val="00EC4C64"/>
    <w:rsid w:val="00EC7202"/>
    <w:rsid w:val="00ED2843"/>
    <w:rsid w:val="00ED2DE6"/>
    <w:rsid w:val="00ED4AAB"/>
    <w:rsid w:val="00ED687D"/>
    <w:rsid w:val="00EE0C5F"/>
    <w:rsid w:val="00EE285A"/>
    <w:rsid w:val="00EE3372"/>
    <w:rsid w:val="00EE5549"/>
    <w:rsid w:val="00EE5A45"/>
    <w:rsid w:val="00EE6F7A"/>
    <w:rsid w:val="00EF1F94"/>
    <w:rsid w:val="00EF273A"/>
    <w:rsid w:val="00EF46D9"/>
    <w:rsid w:val="00EF6148"/>
    <w:rsid w:val="00EF7E3E"/>
    <w:rsid w:val="00F03A6B"/>
    <w:rsid w:val="00F04F4D"/>
    <w:rsid w:val="00F05244"/>
    <w:rsid w:val="00F071B9"/>
    <w:rsid w:val="00F07604"/>
    <w:rsid w:val="00F109DA"/>
    <w:rsid w:val="00F122F6"/>
    <w:rsid w:val="00F1265D"/>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37A37"/>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22D7"/>
    <w:rsid w:val="00F658A9"/>
    <w:rsid w:val="00F71652"/>
    <w:rsid w:val="00F71D4A"/>
    <w:rsid w:val="00F74407"/>
    <w:rsid w:val="00F764BE"/>
    <w:rsid w:val="00F77117"/>
    <w:rsid w:val="00F826D8"/>
    <w:rsid w:val="00F83DC7"/>
    <w:rsid w:val="00F83E7D"/>
    <w:rsid w:val="00F84AF1"/>
    <w:rsid w:val="00F86E9A"/>
    <w:rsid w:val="00F879C4"/>
    <w:rsid w:val="00F87D53"/>
    <w:rsid w:val="00F9196B"/>
    <w:rsid w:val="00F942C6"/>
    <w:rsid w:val="00F94451"/>
    <w:rsid w:val="00F9448A"/>
    <w:rsid w:val="00F947D6"/>
    <w:rsid w:val="00F94CDC"/>
    <w:rsid w:val="00F9579E"/>
    <w:rsid w:val="00F961BE"/>
    <w:rsid w:val="00FA029F"/>
    <w:rsid w:val="00FA1454"/>
    <w:rsid w:val="00FA16AF"/>
    <w:rsid w:val="00FA4E6F"/>
    <w:rsid w:val="00FA5C1A"/>
    <w:rsid w:val="00FA6EFF"/>
    <w:rsid w:val="00FA7F73"/>
    <w:rsid w:val="00FB0F2E"/>
    <w:rsid w:val="00FB10E9"/>
    <w:rsid w:val="00FB3E04"/>
    <w:rsid w:val="00FB4F23"/>
    <w:rsid w:val="00FB7092"/>
    <w:rsid w:val="00FC1860"/>
    <w:rsid w:val="00FC1B7F"/>
    <w:rsid w:val="00FC1F3B"/>
    <w:rsid w:val="00FC4A8E"/>
    <w:rsid w:val="00FC5688"/>
    <w:rsid w:val="00FD0950"/>
    <w:rsid w:val="00FD13BC"/>
    <w:rsid w:val="00FD3169"/>
    <w:rsid w:val="00FD4961"/>
    <w:rsid w:val="00FD7976"/>
    <w:rsid w:val="00FE0686"/>
    <w:rsid w:val="00FE34D6"/>
    <w:rsid w:val="00FE3BAC"/>
    <w:rsid w:val="00FE46F1"/>
    <w:rsid w:val="00FE4E5D"/>
    <w:rsid w:val="00FE5081"/>
    <w:rsid w:val="00FE70A6"/>
    <w:rsid w:val="00FE7FF1"/>
    <w:rsid w:val="00FF0FE9"/>
    <w:rsid w:val="00FF248A"/>
    <w:rsid w:val="00FF3F96"/>
    <w:rsid w:val="00FF55B2"/>
    <w:rsid w:val="00FF674A"/>
    <w:rsid w:val="00FF680D"/>
    <w:rsid w:val="0CF01B0E"/>
    <w:rsid w:val="112FF10E"/>
    <w:rsid w:val="254BFF62"/>
    <w:rsid w:val="28BBA1A7"/>
    <w:rsid w:val="29F44C98"/>
    <w:rsid w:val="46769E17"/>
    <w:rsid w:val="4BC5F6E2"/>
    <w:rsid w:val="5195C80B"/>
    <w:rsid w:val="61A55A39"/>
    <w:rsid w:val="62D56ED0"/>
    <w:rsid w:val="64707ADB"/>
    <w:rsid w:val="7343FBBF"/>
    <w:rsid w:val="73EAE052"/>
    <w:rsid w:val="77189E1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20460306"/>
  <w15:docId w15:val="{15A8C5D6-B38B-4B87-8724-D823571A3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Bullet">
    <w:name w:val="List Bullet"/>
    <w:basedOn w:val="Normal"/>
    <w:uiPriority w:val="99"/>
    <w:qFormat/>
    <w:rsid w:val="002F42B6"/>
    <w:pPr>
      <w:numPr>
        <w:numId w:val="27"/>
      </w:numPr>
      <w:tabs>
        <w:tab w:val="clear" w:pos="1080"/>
      </w:tabs>
      <w:spacing w:before="0" w:after="0" w:line="240" w:lineRule="auto"/>
      <w:ind w:left="426" w:hanging="426"/>
    </w:pPr>
    <w:rPr>
      <w:rFonts w:ascii="Calibri" w:eastAsia="Times New Roman" w:hAnsi="Calibri" w:cs="Times New Roman"/>
      <w:color w:val="auto"/>
      <w:szCs w:val="20"/>
      <w:lang w:eastAsia="en-US"/>
    </w:rPr>
  </w:style>
  <w:style w:type="paragraph" w:styleId="ListParagraph">
    <w:name w:val="List Paragraph"/>
    <w:basedOn w:val="Normal"/>
    <w:uiPriority w:val="34"/>
    <w:qFormat/>
    <w:locked/>
    <w:rsid w:val="00487AA6"/>
    <w:pPr>
      <w:spacing w:before="0" w:after="0" w:line="240" w:lineRule="auto"/>
      <w:ind w:left="720"/>
      <w:contextualSpacing/>
    </w:pPr>
    <w:rPr>
      <w:rFonts w:ascii="Calibri" w:eastAsia="Times New Roman" w:hAnsi="Calibri" w:cs="Times New Roman"/>
      <w:color w:val="auto"/>
      <w:szCs w:val="20"/>
      <w:lang w:eastAsia="en-US"/>
    </w:rPr>
  </w:style>
  <w:style w:type="paragraph" w:customStyle="1" w:styleId="Default">
    <w:name w:val="Default"/>
    <w:rsid w:val="00D64EAD"/>
    <w:pPr>
      <w:autoSpaceDE w:val="0"/>
      <w:autoSpaceDN w:val="0"/>
      <w:adjustRightInd w:val="0"/>
    </w:pPr>
    <w:rPr>
      <w:rFonts w:ascii="Times New Roman" w:eastAsia="Times New Roman" w:hAnsi="Times New Roman" w:cs="Times New Roman"/>
      <w:color w:val="000000"/>
    </w:rPr>
  </w:style>
  <w:style w:type="table" w:styleId="ListTable3-Accent1">
    <w:name w:val="List Table 3 Accent 1"/>
    <w:basedOn w:val="TableNormal"/>
    <w:uiPriority w:val="48"/>
    <w:locked/>
    <w:rsid w:val="003C43A8"/>
    <w:tblPr>
      <w:tblStyleRowBandSize w:val="1"/>
      <w:tblStyleColBandSize w:val="1"/>
      <w:tblBorders>
        <w:top w:val="single" w:sz="4" w:space="0" w:color="3D2262" w:themeColor="accent1"/>
        <w:left w:val="single" w:sz="4" w:space="0" w:color="3D2262" w:themeColor="accent1"/>
        <w:bottom w:val="single" w:sz="4" w:space="0" w:color="3D2262" w:themeColor="accent1"/>
        <w:right w:val="single" w:sz="4" w:space="0" w:color="3D2262" w:themeColor="accent1"/>
      </w:tblBorders>
    </w:tblPr>
    <w:tblStylePr w:type="firstRow">
      <w:rPr>
        <w:b/>
        <w:bCs/>
        <w:color w:val="FFFFFF" w:themeColor="background1"/>
      </w:rPr>
      <w:tblPr/>
      <w:tcPr>
        <w:shd w:val="clear" w:color="auto" w:fill="3D2262" w:themeFill="accent1"/>
      </w:tcPr>
    </w:tblStylePr>
    <w:tblStylePr w:type="lastRow">
      <w:rPr>
        <w:b/>
        <w:bCs/>
      </w:rPr>
      <w:tblPr/>
      <w:tcPr>
        <w:tcBorders>
          <w:top w:val="double" w:sz="4" w:space="0" w:color="3D226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D2262" w:themeColor="accent1"/>
          <w:right w:val="single" w:sz="4" w:space="0" w:color="3D2262" w:themeColor="accent1"/>
        </w:tcBorders>
      </w:tcPr>
    </w:tblStylePr>
    <w:tblStylePr w:type="band1Horz">
      <w:tblPr/>
      <w:tcPr>
        <w:tcBorders>
          <w:top w:val="single" w:sz="4" w:space="0" w:color="3D2262" w:themeColor="accent1"/>
          <w:bottom w:val="single" w:sz="4" w:space="0" w:color="3D226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D2262" w:themeColor="accent1"/>
          <w:left w:val="nil"/>
        </w:tcBorders>
      </w:tcPr>
    </w:tblStylePr>
    <w:tblStylePr w:type="swCell">
      <w:tblPr/>
      <w:tcPr>
        <w:tcBorders>
          <w:top w:val="double" w:sz="4" w:space="0" w:color="3D2262" w:themeColor="accent1"/>
          <w:right w:val="nil"/>
        </w:tcBorders>
      </w:tcPr>
    </w:tblStylePr>
  </w:style>
  <w:style w:type="character" w:customStyle="1" w:styleId="cf01">
    <w:name w:val="cf01"/>
    <w:basedOn w:val="DefaultParagraphFont"/>
    <w:rsid w:val="006B6444"/>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abeling.cslbehring.com/PI/AU/IDELVION/EN/IDELVION-Product-Information.pdf" TargetMode="External"/><Relationship Id="rId18" Type="http://schemas.openxmlformats.org/officeDocument/2006/relationships/hyperlink" Target="https://www.ahcdo.org.au/documents/item/16" TargetMode="External"/><Relationship Id="rId26" Type="http://schemas.openxmlformats.org/officeDocument/2006/relationships/image" Target="media/image1.png"/><Relationship Id="rId21" Type="http://schemas.openxmlformats.org/officeDocument/2006/relationships/hyperlink" Target="https://www.ncbi.nlm.nih.gov/pubmed/10781194"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ahcdo.org.au/sitebuilder/publications/knowledge/asset/files/10/surgeryguidelinesfinal2010.pdf" TargetMode="External"/><Relationship Id="rId17" Type="http://schemas.openxmlformats.org/officeDocument/2006/relationships/hyperlink" Target="https://www.ncbi.nlm.nih.gov/pubmed/23025325" TargetMode="External"/><Relationship Id="rId25" Type="http://schemas.openxmlformats.org/officeDocument/2006/relationships/hyperlink" Target="https://labeling.cslbehring.com/PI/AU/IDELVION/EN/IDELVION-Product-Information.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onlinelibrary.wiley.com/doi/10.1111/j.1365-2516.2012.02810.x/pdf" TargetMode="External"/><Relationship Id="rId20" Type="http://schemas.openxmlformats.org/officeDocument/2006/relationships/hyperlink" Target="https://www.ncbi.nlm.nih.gov/pubmed/10028298"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CHTransfusion@act.gov.au" TargetMode="External"/><Relationship Id="rId24" Type="http://schemas.openxmlformats.org/officeDocument/2006/relationships/hyperlink" Target="https://www.alfredhealth.org.au/services/haemophilia-centre"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ransfusion.com.au/" TargetMode="External"/><Relationship Id="rId23" Type="http://schemas.openxmlformats.org/officeDocument/2006/relationships/hyperlink" Target="https://www.ncbi.nlm.nih.gov/pubmed/15876265" TargetMode="External"/><Relationship Id="rId28" Type="http://schemas.openxmlformats.org/officeDocument/2006/relationships/image" Target="media/image3.png"/><Relationship Id="rId36"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ncbi.nlm.nih.gov/pubmed/12614367"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hcdo.org.au/guidelines/national-guidelines/national-haemophilia-guidelines" TargetMode="External"/><Relationship Id="rId22" Type="http://schemas.openxmlformats.org/officeDocument/2006/relationships/hyperlink" Target="https://www.nps.org.au/assets/medicines/20de00c7-70ec-4d57-8ba8-a53300ff236e-reduced.pdf" TargetMode="External"/><Relationship Id="rId27" Type="http://schemas.openxmlformats.org/officeDocument/2006/relationships/image" Target="media/image2.png"/><Relationship Id="rId30" Type="http://schemas.openxmlformats.org/officeDocument/2006/relationships/hyperlink" Target="https://www.canberrahealthservices.act.gov.au/accessibility"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011BEBCC644BD5BE9D6AFE1E4E4F67"/>
        <w:category>
          <w:name w:val="General"/>
          <w:gallery w:val="placeholder"/>
        </w:category>
        <w:types>
          <w:type w:val="bbPlcHdr"/>
        </w:types>
        <w:behaviors>
          <w:behavior w:val="content"/>
        </w:behaviors>
        <w:guid w:val="{776F6155-7E24-4A3C-BC81-65255E7FF12B}"/>
      </w:docPartPr>
      <w:docPartBody>
        <w:p w:rsidR="00AD5873" w:rsidRDefault="00AD5873">
          <w:pPr>
            <w:pStyle w:val="3E011BEBCC644BD5BE9D6AFE1E4E4F67"/>
          </w:pPr>
          <w:r>
            <w:rPr>
              <w:noProof/>
              <w:sz w:val="20"/>
              <w:szCs w:val="20"/>
            </w:rPr>
            <w:drawing>
              <wp:inline distT="0" distB="0" distL="0" distR="0" wp14:anchorId="19B00A6A" wp14:editId="19B00A6B">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44603778E83642D3BD658533B0B2CA89"/>
        <w:category>
          <w:name w:val="General"/>
          <w:gallery w:val="placeholder"/>
        </w:category>
        <w:types>
          <w:type w:val="bbPlcHdr"/>
        </w:types>
        <w:behaviors>
          <w:behavior w:val="content"/>
        </w:behaviors>
        <w:guid w:val="{F45C3EA6-9605-4A45-B825-90AB157AB481}"/>
      </w:docPartPr>
      <w:docPartBody>
        <w:p w:rsidR="00AD5873" w:rsidRDefault="00AD5873">
          <w:pPr>
            <w:pStyle w:val="44603778E83642D3BD658533B0B2CA89"/>
          </w:pPr>
          <w:r w:rsidRPr="00EE29F8">
            <w:rPr>
              <w:rStyle w:val="PlaceholderText"/>
            </w:rPr>
            <w:t>Choose an item.</w:t>
          </w:r>
        </w:p>
      </w:docPartBody>
    </w:docPart>
    <w:docPart>
      <w:docPartPr>
        <w:name w:val="EE4DC592DA91459BAAE7C7FAB3E9078D"/>
        <w:category>
          <w:name w:val="General"/>
          <w:gallery w:val="placeholder"/>
        </w:category>
        <w:types>
          <w:type w:val="bbPlcHdr"/>
        </w:types>
        <w:behaviors>
          <w:behavior w:val="content"/>
        </w:behaviors>
        <w:guid w:val="{CA8244C8-D53B-466D-A696-19BE5F43E9BA}"/>
      </w:docPartPr>
      <w:docPartBody>
        <w:p w:rsidR="00AD5873" w:rsidRPr="00F26C97" w:rsidRDefault="00AD5873" w:rsidP="003B0E72">
          <w:pPr>
            <w:pStyle w:val="Bottomblocktext"/>
            <w:rPr>
              <w:b/>
              <w:bCs w:val="0"/>
              <w:sz w:val="20"/>
              <w:szCs w:val="20"/>
            </w:rPr>
          </w:pPr>
          <w:r>
            <w:rPr>
              <w:b/>
              <w:bCs w:val="0"/>
              <w:noProof/>
              <w:sz w:val="20"/>
              <w:szCs w:val="20"/>
            </w:rPr>
            <w:drawing>
              <wp:inline distT="0" distB="0" distL="0" distR="0" wp14:anchorId="19B00A6C" wp14:editId="19B00A6D">
                <wp:extent cx="338275" cy="331065"/>
                <wp:effectExtent l="0" t="0" r="5080" b="0"/>
                <wp:docPr id="1449714449"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19B00A6E" wp14:editId="19B00A6F">
                <wp:extent cx="143919" cy="139700"/>
                <wp:effectExtent l="0" t="0" r="8890" b="0"/>
                <wp:docPr id="1631073197"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AD5873" w:rsidRPr="00F26C97" w:rsidRDefault="00AD5873" w:rsidP="003B0E72">
          <w:pPr>
            <w:pStyle w:val="Bottomblocktext"/>
            <w:rPr>
              <w:b/>
              <w:bCs w:val="0"/>
              <w:sz w:val="20"/>
              <w:szCs w:val="20"/>
            </w:rPr>
          </w:pPr>
          <w:r>
            <w:rPr>
              <w:b/>
              <w:bCs w:val="0"/>
              <w:noProof/>
              <w:sz w:val="20"/>
              <w:szCs w:val="20"/>
            </w:rPr>
            <w:drawing>
              <wp:inline distT="0" distB="0" distL="0" distR="0" wp14:anchorId="19B00A70" wp14:editId="19B00A71">
                <wp:extent cx="326104" cy="323850"/>
                <wp:effectExtent l="0" t="0" r="0" b="0"/>
                <wp:docPr id="998504741"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19B00A72" wp14:editId="19B00A73">
                <wp:extent cx="143919" cy="139700"/>
                <wp:effectExtent l="0" t="0" r="8890" b="0"/>
                <wp:docPr id="74168893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AD5873" w:rsidRDefault="00AD5873" w:rsidP="003B0E72">
          <w:pPr>
            <w:pStyle w:val="Bottomblocktext"/>
            <w:rPr>
              <w:sz w:val="20"/>
              <w:szCs w:val="20"/>
            </w:rPr>
          </w:pPr>
          <w:hyperlink r:id="rId8" w:history="1">
            <w:r w:rsidRPr="00350211">
              <w:rPr>
                <w:rStyle w:val="Hyperlink"/>
                <w:sz w:val="20"/>
                <w:szCs w:val="20"/>
              </w:rPr>
              <w:t>canberrahealthservices.act.gov.au/accessibility</w:t>
            </w:r>
          </w:hyperlink>
        </w:p>
        <w:p w:rsidR="00AD5873" w:rsidRDefault="00AD5873">
          <w:pPr>
            <w:pStyle w:val="EE4DC592DA91459BAAE7C7FAB3E9078D"/>
          </w:pPr>
          <w:r>
            <w:rPr>
              <w:b/>
              <w:bCs/>
              <w:noProof/>
            </w:rPr>
            <w:drawing>
              <wp:inline distT="0" distB="0" distL="0" distR="0" wp14:anchorId="19B00A74" wp14:editId="19B00A75">
                <wp:extent cx="1323833" cy="309418"/>
                <wp:effectExtent l="0" t="0" r="0" b="0"/>
                <wp:docPr id="1243030537"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50D"/>
    <w:rsid w:val="001B624C"/>
    <w:rsid w:val="00217FF5"/>
    <w:rsid w:val="00221997"/>
    <w:rsid w:val="00256FA8"/>
    <w:rsid w:val="002750A6"/>
    <w:rsid w:val="002B183F"/>
    <w:rsid w:val="003472CB"/>
    <w:rsid w:val="003813DE"/>
    <w:rsid w:val="00497745"/>
    <w:rsid w:val="0054607D"/>
    <w:rsid w:val="00577A46"/>
    <w:rsid w:val="00585C01"/>
    <w:rsid w:val="00666113"/>
    <w:rsid w:val="006D534E"/>
    <w:rsid w:val="006F7883"/>
    <w:rsid w:val="007171D1"/>
    <w:rsid w:val="0075346C"/>
    <w:rsid w:val="0084374E"/>
    <w:rsid w:val="008E4CA2"/>
    <w:rsid w:val="00910F06"/>
    <w:rsid w:val="00972140"/>
    <w:rsid w:val="009B4D92"/>
    <w:rsid w:val="00A1433A"/>
    <w:rsid w:val="00AD5873"/>
    <w:rsid w:val="00B6350D"/>
    <w:rsid w:val="00B94D42"/>
    <w:rsid w:val="00BF116F"/>
    <w:rsid w:val="00C0323A"/>
    <w:rsid w:val="00C6290F"/>
    <w:rsid w:val="00D4154F"/>
    <w:rsid w:val="00DA5D62"/>
    <w:rsid w:val="00E45421"/>
    <w:rsid w:val="00EB5423"/>
    <w:rsid w:val="00F37A37"/>
    <w:rsid w:val="00FA145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011BEBCC644BD5BE9D6AFE1E4E4F67">
    <w:name w:val="3E011BEBCC644BD5BE9D6AFE1E4E4F67"/>
  </w:style>
  <w:style w:type="character" w:styleId="PlaceholderText">
    <w:name w:val="Placeholder Text"/>
    <w:basedOn w:val="DefaultParagraphFont"/>
    <w:uiPriority w:val="99"/>
    <w:semiHidden/>
    <w:rPr>
      <w:color w:val="808080"/>
    </w:rPr>
  </w:style>
  <w:style w:type="paragraph" w:customStyle="1" w:styleId="44603778E83642D3BD658533B0B2CA89">
    <w:name w:val="44603778E83642D3BD658533B0B2CA89"/>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EE4DC592DA91459BAAE7C7FAB3E9078D">
    <w:name w:val="EE4DC592DA91459BAAE7C7FAB3E907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rogress xmlns="690b2128-8961-48af-a473-22c34a9accba" xsi:nil="true"/>
    <Approval_x0020_Date xmlns="690b2128-8961-48af-a473-22c34a9accba">2026-01-14T13:00:00+00:00</Approval_x0020_Date>
    <Review_x0020_Date xmlns="690b2128-8961-48af-a473-22c34a9accba">2030-01-31T13:00:00+00:00</Review_x0020_Date>
    <TaxCatchAll xmlns="c0239a80-7f07-4ed7-82c3-24ad7d76ada5">
      <Value>432</Value>
      <Value>417</Value>
      <Value>416</Value>
      <Value>415</Value>
    </TaxCatchAll>
    <Version_x0020_Number xmlns="690b2128-8961-48af-a473-22c34a9accba">1</Version_x0020_Number>
    <Notes0 xmlns="690b2128-8961-48af-a473-22c34a9accba" xsi:nil="true"/>
    <Key_x0020_Words xmlns="690b2128-8961-48af-a473-22c34a9accba">Coagulation, Factor Replacement, Haemophilia, Continuous factor infusion, Continuous infusion, Intensive factor replacement, Surgery, Factor VIII, Factor IX, von Willebrand Disease</Key_x0020_Words>
    <Type_x0020_of_x0020_Document xmlns="690b2128-8961-48af-a473-22c34a9accba">Procedure</Type_x0020_of_x0020_Document>
    <Approval_x0020_Name_x007c_Committee xmlns="690b2128-8961-48af-a473-22c34a9accba">CHS Policy Document Review Panel</Approval_x0020_Name_x007c_Committee>
    <Status xmlns="690b2128-8961-48af-a473-22c34a9accba">Approved</Status>
    <New_x0020_Applies_x0020_To xmlns="690b2128-8961-48af-a473-22c34a9accba">Canberra Health Services</New_x0020_Applies_x0020_To>
    <Replaces_x003a_ xmlns="690b2128-8961-48af-a473-22c34a9accba">CHS21/619 Coagulation Factor Replacement Products – Continuous Infusion – Bolus Dosing - Adults, Paediatrics, including Adolescents and Infants (not Neonates)</Replaces_x003a_>
    <ISD_x0020_Submitted xmlns="690b2128-8961-48af-a473-22c34a9accba">Not Required</ISD_x0020_Submitted>
    <Risk_x0020_Rating xmlns="690b2128-8961-48af-a473-22c34a9accba">Medium</Risk_x0020_Rating>
    <Description0 xmlns="690b2128-8961-48af-a473-22c34a9accba">The purpose of this procedure is to provide a systematic and consistent approach for the safe and appropriate administration of continuous coagulation factor replacement products and bolus across Canberra Health Services (CHS).</Description0>
    <Display_x0020_on_x0020_Internet xmlns="690b2128-8961-48af-a473-22c34a9accba">true</Display_x0020_on_x0020_Internet>
    <Related_x0020_Documents xmlns="690b2128-8961-48af-a473-22c34a9accba" xsi:nil="true"/>
    <Decision_x0020_Number xmlns="690b2128-8961-48af-a473-22c34a9accba">CHS26/015</Decision_x0020_Number>
    <RelatedPolicies_x002c_ProceduresGuidelines xmlns="690b2128-8961-48af-a473-22c34a9accba">
      <Value>17800</Value>
      <Value>16471</Value>
      <Value>18119</Value>
      <Value>17628</Value>
      <Value>17728</Value>
      <Value>16934</Value>
      <Value>16512</Value>
      <Value>17246</Value>
      <Value>16587</Value>
    </RelatedPolicies_x002c_ProceduresGuidelines>
    <k0794e393e1f41c2810d090eedba34a0 xmlns="690b2128-8961-48af-a473-22c34a9accba">
      <Terms xmlns="http://schemas.microsoft.com/office/infopath/2007/PartnerControls">
        <TermInfo xmlns="http://schemas.microsoft.com/office/infopath/2007/PartnerControls">
          <TermName xmlns="http://schemas.microsoft.com/office/infopath/2007/PartnerControls">Health Records (Privacy and Access) Act 1997 (Territory)</TermName>
          <TermId xmlns="http://schemas.microsoft.com/office/infopath/2007/PartnerControls">d07d1347-0355-417c-badf-2bae9c7c0e3b</TermId>
        </TermInfo>
        <TermInfo xmlns="http://schemas.microsoft.com/office/infopath/2007/PartnerControls">
          <TermName xmlns="http://schemas.microsoft.com/office/infopath/2007/PartnerControls">Human Rights Act 2004 (Territory)</TermName>
          <TermId xmlns="http://schemas.microsoft.com/office/infopath/2007/PartnerControls">bbb6fb4a-2117-4ff9-8364-021a762deae2</TermId>
        </TermInfo>
        <TermInfo xmlns="http://schemas.microsoft.com/office/infopath/2007/PartnerControls">
          <TermName xmlns="http://schemas.microsoft.com/office/infopath/2007/PartnerControls">Work Health and Safety Act 2011 (Territory)</TermName>
          <TermId xmlns="http://schemas.microsoft.com/office/infopath/2007/PartnerControls">ff017976-c7e7-4dc1-b890-63352415bc5e</TermId>
        </TermInfo>
        <TermInfo xmlns="http://schemas.microsoft.com/office/infopath/2007/PartnerControls">
          <TermName xmlns="http://schemas.microsoft.com/office/infopath/2007/PartnerControls">Carers Recognition Act 2021 (Territory)</TermName>
          <TermId xmlns="http://schemas.microsoft.com/office/infopath/2007/PartnerControls">a9c8282c-cc19-42a3-a6c3-de05b442298b</TermId>
        </TermInfo>
      </Terms>
    </k0794e393e1f41c2810d090eedba34a0>
    <New_x0020_Owner xmlns="690b2128-8961-48af-a473-22c34a9accba">Cancer and Ambulatory Support (CAS)</New_x0020_Owner>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7" ma:contentTypeDescription="Create a new document." ma:contentTypeScope="" ma:versionID="8f8c5908837496f01c66d057b0d7d235">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3ee8a0373fc63ef14a112032b8839ca5"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berra Hospital - Integrated Operations Centre"/>
              <xsd:enumeration value="Canberra Hospital - Integrated Operations Centre - Emergency Management Coordination"/>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ancer and Ambulatory Support (CAS) - Integrated Care Program"/>
              <xsd:enumeration value="CEO"/>
              <xsd:enumeration value="CEO - Canberra Hospital Foundation"/>
              <xsd:enumeration value="CEO - Office of Research and Education (ORE)"/>
              <xsd:enumeration value="COO"/>
              <xsd:enumeration value="CHS ED Medical Services"/>
              <xsd:enumeration value="CHS ED Medical Services - Donate Life"/>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DRSM"/>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NCH)"/>
              <xsd:enumeration value="North Canberra Hospital (NCH) - Corporate &amp; Finance - Corporate"/>
              <xsd:enumeration value="North Canberra Hospital (NCH) - Corporate &amp; Finance - Finance"/>
              <xsd:enumeration value="North Canberra Hospital (NCH) - Corporate &amp; Finance - Infrastructure"/>
              <xsd:enumeration value="North Canberra Hospital (NCH) - Corporate &amp; Finance - Clinical Support Services"/>
              <xsd:enumeration value="North Canberra Hospital (NCH) - Corporate &amp; Finance - Digital Health and IT"/>
              <xsd:enumeration value="North Canberra Hospital (NCH) - Critical Care - ICU/CCU"/>
              <xsd:enumeration value="North Canberra Hospital (NCH) - Critical Care - Emergency Department"/>
              <xsd:enumeration value="North Canberra Hospital (NCH) - People &amp; Culture - HR"/>
              <xsd:enumeration value="North Canberra Hospital (NCH) - People &amp; Culture - WHS"/>
              <xsd:enumeration value="North Canberra Hospital (NCH) - People &amp; Culture - L&amp;D"/>
              <xsd:enumeration value="North Canberra Hospital (NCH) - People &amp; Culture - Payroll"/>
              <xsd:enumeration value="North Canberra Hospital (NCH) - People &amp; Culture - Volunteer Services"/>
              <xsd:enumeration value="North Canberra Hospital (NCH) - People &amp; Culture - Security"/>
              <xsd:enumeration value="North Canberra Hospital (NCH) - People &amp; Culture - Injury Management"/>
              <xsd:enumeration value="North Canberra Hospital (NCH) - Nursing &amp; Midwifery - IPC"/>
              <xsd:enumeration value="North Canberra Hospital (NCH) - Nursing &amp; Midwifery - Patient Flow"/>
              <xsd:enumeration value="North Canberra Hospital (NCH) - Nursing &amp; Midwifery - Quality &amp; Safety"/>
              <xsd:enumeration value="North Canberra Hospital (NCH) - Nursing &amp; Midwifery - Professional Functions"/>
              <xsd:enumeration value="North Canberra Hospital (NCH) - Nursing &amp; Midwifery - Clinical L&amp;D"/>
              <xsd:enumeration value="North Canberra Hospital (NCH) - Women &amp; Children"/>
              <xsd:enumeration value="North Canberra Hospital (NCH) - Allied Health &amp; Palliative Care - Allied Health"/>
              <xsd:enumeration value="North Canberra Hospital (NCH) - Allied Health &amp; Palliative Care - Pharmacy"/>
              <xsd:enumeration value="North Canberra Hospital (NCH) - Allied Health &amp; Palliative Care - Palliative Care"/>
              <xsd:enumeration value="North Canberra Hospital (NCH) - Allied Health &amp; Palliative Care - Aboriginal &amp; Torres Strait Islander Liaison Service"/>
              <xsd:enumeration value="North Canberra Hospital (NCH) - Allied Health &amp; Palliative Care - Medical Imaging"/>
              <xsd:enumeration value="North Canberra Hospital (NCH) - Allied Health &amp; Palliative Care - Pastoral Care"/>
              <xsd:enumeration value="North Canberra Hospital (NCH) - Medical &amp; Mental Health - Medical"/>
              <xsd:enumeration value="North Canberra Hospital (NCH) - Medical &amp; Mental Health - Mental Health"/>
              <xsd:enumeration value="North Canberra Hospital (NCH) - Medical Services - Ambulatory Care"/>
              <xsd:enumeration value="North Canberra Hospital (NCH) - Medical Services - Medical Administration"/>
              <xsd:enumeration value="North Canberra Hospital (NCH) - Medical Services - Clinical Governance"/>
              <xsd:enumeration value="North Canberra Hospital (NCH) - Medical Services - Credentialling &amp; Scope of Practice"/>
              <xsd:enumeration value="North Canberra Hospital (NCH) - Medical Services - Research &amp; Innovation"/>
              <xsd:enumeration value="North Canberra Hospital (NCH) - Medical Services - Medical Education &amp; Training"/>
              <xsd:enumeration value="North Canberra Hospital (NCH) - Surgical Division - Perioperative Suite"/>
              <xsd:enumeration value="North Canberra Hospital (NCH) - Surgical Division - Surgical Inpatient"/>
              <xsd:enumeration value="North Canberra Hospital (NCH) - Surgical Division - ICU/CCU"/>
              <xsd:enumeration value="North Canberra Hospital (NCH) - Surgical Division - Preadmission"/>
              <xsd:enumeration value="North Canberra Hospital (NCH) - Surgical Division - Anaesthetics/Acute Pain Service"/>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enumeration value="Decision Support Unit, Health Information Servic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Not Required"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Guidelines and Industry Standard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E8A63B75-20D7-49CC-AE3C-BA4338A3CEE6}">
  <ds:schemaRefs>
    <ds:schemaRef ds:uri="http://schemas.openxmlformats.org/package/2006/metadata/core-properties"/>
    <ds:schemaRef ds:uri="690b2128-8961-48af-a473-22c34a9accba"/>
    <ds:schemaRef ds:uri="http://purl.org/dc/dcmitype/"/>
    <ds:schemaRef ds:uri="http://schemas.microsoft.com/office/2006/documentManagement/types"/>
    <ds:schemaRef ds:uri="http://www.w3.org/XML/1998/namespace"/>
    <ds:schemaRef ds:uri="http://purl.org/dc/elements/1.1/"/>
    <ds:schemaRef ds:uri="http://schemas.microsoft.com/office/infopath/2007/PartnerControls"/>
    <ds:schemaRef ds:uri="c0239a80-7f07-4ed7-82c3-24ad7d76ada5"/>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7D4A9525-279A-42AC-AEB4-574C77C9E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15</Pages>
  <Words>4587</Words>
  <Characters>26150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30676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Coagulation Factor Replacement Products – Continuous Infusion – Bolus Dosing – Adults, Paediatrics, including Adolescents and Infants (not Neonates)</dc:title>
  <dc:creator>Varghese, Rosamma (Health)</dc:creator>
  <cp:lastModifiedBy>Rusanov, Zoia</cp:lastModifiedBy>
  <cp:revision>6</cp:revision>
  <cp:lastPrinted>2017-05-22T07:29:00Z</cp:lastPrinted>
  <dcterms:created xsi:type="dcterms:W3CDTF">2026-01-15T06:15:00Z</dcterms:created>
  <dcterms:modified xsi:type="dcterms:W3CDTF">2026-05-25T06:28:00Z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0x0101002046B23B19A8774893278BE755DCE152</vt:lpwstr>
  </property>
  <property fmtid="{D5CDD505-2E9C-101B-9397-08002B2CF9AE}" pid="10" name="AdditionalInformation/Background">
    <vt:lpwstr/>
  </property>
  <property fmtid="{D5CDD505-2E9C-101B-9397-08002B2CF9AE}" pid="11" name="Related Legislation &amp; Guidelines">
    <vt:lpwstr>415;#Health Records (Privacy and Access) Act 1997 (Territory)|d07d1347-0355-417c-badf-2bae9c7c0e3b;#416;#Human Rights Act 2004 (Territory)|bbb6fb4a-2117-4ff9-8364-021a762deae2;#417;#Work Health and Safety Act 2011 (Territory)|ff017976-c7e7-4dc1-b890-63352415bc5e;#432;#Carers Recognition Act 2021 (Territory)|a9c8282c-cc19-42a3-a6c3-de05b442298b</vt:lpwstr>
  </property>
  <property fmtid="{D5CDD505-2E9C-101B-9397-08002B2CF9AE}" pid="12" name="Related_x0020_Legislation_x0020__x0026__x0020_Guidelines">
    <vt:lpwstr>415;#Health Records (Privacy and Access) Act 1997 (Territory)|d07d1347-0355-417c-badf-2bae9c7c0e3b;#416;#Human Rights Act 2004 (Territory)|bbb6fb4a-2117-4ff9-8364-021a762deae2;#417;#Work Health and Safety Act 2011 (Territory)|ff017976-c7e7-4dc1-b890-63352415bc5e;#432;#Carers Recognition Act 2021 (Territory)|a9c8282c-cc19-42a3-a6c3-de05b442298b</vt:lpwstr>
  </property>
</Properties>
</file>