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FAF8" w14:textId="77777777" w:rsidR="00197F2E" w:rsidRPr="000866CD" w:rsidRDefault="00EE0C5F" w:rsidP="000866CD">
      <w:pPr>
        <w:pStyle w:val="Heading1"/>
      </w:pPr>
      <w:r w:rsidRPr="000866CD">
        <w:t>Procedure</w:t>
      </w:r>
      <w:r w:rsidR="008606A0" w:rsidRPr="000866CD">
        <w:t xml:space="preserve"> | </w:t>
      </w:r>
      <w:r w:rsidR="00481A6C" w:rsidRPr="000866CD">
        <w:rPr>
          <w:b w:val="0"/>
          <w:bCs w:val="0"/>
        </w:rPr>
        <w:t>Canberra Health Services</w:t>
      </w:r>
    </w:p>
    <w:p w14:paraId="0C8AD556" w14:textId="3523A480" w:rsidR="00197F2E" w:rsidRPr="00054B3C" w:rsidRDefault="007F76DA" w:rsidP="000866CD">
      <w:pPr>
        <w:pStyle w:val="Heading2"/>
      </w:pPr>
      <w:r w:rsidRPr="00054B3C">
        <w:t xml:space="preserve">Organ and </w:t>
      </w:r>
      <w:r w:rsidRPr="000866CD">
        <w:t>Tissue</w:t>
      </w:r>
      <w:r w:rsidRPr="00054B3C">
        <w:t xml:space="preserve"> Donation</w:t>
      </w:r>
    </w:p>
    <w:p w14:paraId="45270488" w14:textId="4E9A2469" w:rsidR="00CA4FDE" w:rsidRPr="008B28FA" w:rsidRDefault="00E31596" w:rsidP="00C34A10">
      <w:pPr>
        <w:pStyle w:val="BodyCopy"/>
        <w:spacing w:before="0" w:line="240" w:lineRule="auto"/>
        <w:rPr>
          <w:rFonts w:ascii="Calibri" w:hAnsi="Calibri" w:cs="Calibri"/>
          <w:color w:val="575757" w:themeColor="text2"/>
        </w:rPr>
      </w:pPr>
      <w:r w:rsidRPr="00054B3C">
        <w:rPr>
          <w:rFonts w:asciiTheme="minorHAnsi" w:hAnsiTheme="minorHAnsi" w:cstheme="minorHAnsi"/>
        </w:rPr>
        <w:t>CHS</w:t>
      </w:r>
      <w:r w:rsidR="004714AD">
        <w:rPr>
          <w:rFonts w:asciiTheme="minorHAnsi" w:hAnsiTheme="minorHAnsi" w:cstheme="minorHAnsi"/>
        </w:rPr>
        <w:t>25/165</w:t>
      </w:r>
      <w:bookmarkStart w:id="0" w:name="_Hlk157074578"/>
    </w:p>
    <w:sdt>
      <w:sdtPr>
        <w:rPr>
          <w:rFonts w:ascii="Calibri" w:hAnsi="Calibri" w:cs="Calibri"/>
          <w:sz w:val="24"/>
          <w:szCs w:val="24"/>
        </w:rPr>
        <w:id w:val="-1206019646"/>
        <w:docPartObj>
          <w:docPartGallery w:val="Table of Contents"/>
          <w:docPartUnique/>
        </w:docPartObj>
      </w:sdtPr>
      <w:sdtEndPr>
        <w:rPr>
          <w:noProof/>
        </w:rPr>
      </w:sdtEndPr>
      <w:sdtContent>
        <w:p w14:paraId="04E5A968" w14:textId="77777777" w:rsidR="00A731B8" w:rsidRPr="008B28FA" w:rsidRDefault="00A731B8">
          <w:pPr>
            <w:pStyle w:val="TOCHeading"/>
            <w:rPr>
              <w:rStyle w:val="Heading3Char"/>
              <w:rFonts w:ascii="Calibri" w:hAnsi="Calibri" w:cs="Calibri"/>
              <w:b/>
              <w:bCs w:val="0"/>
              <w:sz w:val="24"/>
              <w:szCs w:val="24"/>
            </w:rPr>
          </w:pPr>
          <w:r w:rsidRPr="008B28FA">
            <w:rPr>
              <w:rStyle w:val="Heading3Char"/>
              <w:rFonts w:ascii="Calibri" w:hAnsi="Calibri" w:cs="Calibri"/>
              <w:b/>
              <w:bCs w:val="0"/>
              <w:sz w:val="24"/>
              <w:szCs w:val="24"/>
            </w:rPr>
            <w:t>Contents</w:t>
          </w:r>
        </w:p>
        <w:p w14:paraId="3541D18D" w14:textId="3FF6483C" w:rsidR="00FF3EB3" w:rsidRDefault="00A621FE">
          <w:pPr>
            <w:pStyle w:val="TOC1"/>
            <w:rPr>
              <w:rFonts w:asciiTheme="minorHAnsi" w:eastAsiaTheme="minorEastAsia" w:hAnsiTheme="minorHAnsi" w:cs="Arial Unicode MS"/>
              <w:color w:val="auto"/>
              <w:kern w:val="2"/>
              <w:lang w:bidi="ml-IN"/>
              <w14:ligatures w14:val="standardContextual"/>
            </w:rPr>
          </w:pPr>
          <w:r w:rsidRPr="008B28FA">
            <w:rPr>
              <w:rFonts w:ascii="Calibri" w:hAnsi="Calibri" w:cs="Calibri"/>
              <w:b/>
            </w:rPr>
            <w:fldChar w:fldCharType="begin"/>
          </w:r>
          <w:r w:rsidRPr="008B28FA">
            <w:rPr>
              <w:rFonts w:ascii="Calibri" w:hAnsi="Calibri" w:cs="Calibri"/>
              <w:b/>
            </w:rPr>
            <w:instrText xml:space="preserve"> TOC \h \z \u \t "Heading 4,1" </w:instrText>
          </w:r>
          <w:r w:rsidRPr="008B28FA">
            <w:rPr>
              <w:rFonts w:ascii="Calibri" w:hAnsi="Calibri" w:cs="Calibri"/>
              <w:b/>
            </w:rPr>
            <w:fldChar w:fldCharType="separate"/>
          </w:r>
          <w:hyperlink w:anchor="_Toc188011785" w:history="1">
            <w:r w:rsidR="00FF3EB3" w:rsidRPr="00E81670">
              <w:rPr>
                <w:rStyle w:val="Hyperlink"/>
              </w:rPr>
              <w:t>Purpose</w:t>
            </w:r>
            <w:r w:rsidR="00FF3EB3">
              <w:rPr>
                <w:webHidden/>
              </w:rPr>
              <w:tab/>
            </w:r>
            <w:r w:rsidR="00FF3EB3">
              <w:rPr>
                <w:webHidden/>
              </w:rPr>
              <w:fldChar w:fldCharType="begin"/>
            </w:r>
            <w:r w:rsidR="00FF3EB3">
              <w:rPr>
                <w:webHidden/>
              </w:rPr>
              <w:instrText xml:space="preserve"> PAGEREF _Toc188011785 \h </w:instrText>
            </w:r>
            <w:r w:rsidR="00FF3EB3">
              <w:rPr>
                <w:webHidden/>
              </w:rPr>
            </w:r>
            <w:r w:rsidR="00FF3EB3">
              <w:rPr>
                <w:webHidden/>
              </w:rPr>
              <w:fldChar w:fldCharType="separate"/>
            </w:r>
            <w:r w:rsidR="00FF3EB3">
              <w:rPr>
                <w:webHidden/>
              </w:rPr>
              <w:t>2</w:t>
            </w:r>
            <w:r w:rsidR="00FF3EB3">
              <w:rPr>
                <w:webHidden/>
              </w:rPr>
              <w:fldChar w:fldCharType="end"/>
            </w:r>
          </w:hyperlink>
        </w:p>
        <w:p w14:paraId="3910D601" w14:textId="4BDA9ADB"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86" w:history="1">
            <w:r w:rsidRPr="00E81670">
              <w:rPr>
                <w:rStyle w:val="Hyperlink"/>
              </w:rPr>
              <w:t>Scope</w:t>
            </w:r>
            <w:r>
              <w:rPr>
                <w:webHidden/>
              </w:rPr>
              <w:tab/>
            </w:r>
            <w:r>
              <w:rPr>
                <w:webHidden/>
              </w:rPr>
              <w:fldChar w:fldCharType="begin"/>
            </w:r>
            <w:r>
              <w:rPr>
                <w:webHidden/>
              </w:rPr>
              <w:instrText xml:space="preserve"> PAGEREF _Toc188011786 \h </w:instrText>
            </w:r>
            <w:r>
              <w:rPr>
                <w:webHidden/>
              </w:rPr>
            </w:r>
            <w:r>
              <w:rPr>
                <w:webHidden/>
              </w:rPr>
              <w:fldChar w:fldCharType="separate"/>
            </w:r>
            <w:r>
              <w:rPr>
                <w:webHidden/>
              </w:rPr>
              <w:t>2</w:t>
            </w:r>
            <w:r>
              <w:rPr>
                <w:webHidden/>
              </w:rPr>
              <w:fldChar w:fldCharType="end"/>
            </w:r>
          </w:hyperlink>
        </w:p>
        <w:p w14:paraId="55EEBEA7" w14:textId="1E8DBCCD"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87" w:history="1">
            <w:r w:rsidRPr="00E81670">
              <w:rPr>
                <w:rStyle w:val="Hyperlink"/>
              </w:rPr>
              <w:t>Section 1 – Organ and Tissue Donation</w:t>
            </w:r>
            <w:r>
              <w:rPr>
                <w:webHidden/>
              </w:rPr>
              <w:tab/>
            </w:r>
            <w:r>
              <w:rPr>
                <w:webHidden/>
              </w:rPr>
              <w:fldChar w:fldCharType="begin"/>
            </w:r>
            <w:r>
              <w:rPr>
                <w:webHidden/>
              </w:rPr>
              <w:instrText xml:space="preserve"> PAGEREF _Toc188011787 \h </w:instrText>
            </w:r>
            <w:r>
              <w:rPr>
                <w:webHidden/>
              </w:rPr>
            </w:r>
            <w:r>
              <w:rPr>
                <w:webHidden/>
              </w:rPr>
              <w:fldChar w:fldCharType="separate"/>
            </w:r>
            <w:r>
              <w:rPr>
                <w:webHidden/>
              </w:rPr>
              <w:t>2</w:t>
            </w:r>
            <w:r>
              <w:rPr>
                <w:webHidden/>
              </w:rPr>
              <w:fldChar w:fldCharType="end"/>
            </w:r>
          </w:hyperlink>
        </w:p>
        <w:p w14:paraId="4314E1C9" w14:textId="6FCB54D7"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88" w:history="1">
            <w:r w:rsidRPr="00E81670">
              <w:rPr>
                <w:rStyle w:val="Hyperlink"/>
              </w:rPr>
              <w:t>Section 2 – Roles and Responsibilities</w:t>
            </w:r>
            <w:r>
              <w:rPr>
                <w:webHidden/>
              </w:rPr>
              <w:tab/>
            </w:r>
            <w:r>
              <w:rPr>
                <w:webHidden/>
              </w:rPr>
              <w:fldChar w:fldCharType="begin"/>
            </w:r>
            <w:r>
              <w:rPr>
                <w:webHidden/>
              </w:rPr>
              <w:instrText xml:space="preserve"> PAGEREF _Toc188011788 \h </w:instrText>
            </w:r>
            <w:r>
              <w:rPr>
                <w:webHidden/>
              </w:rPr>
            </w:r>
            <w:r>
              <w:rPr>
                <w:webHidden/>
              </w:rPr>
              <w:fldChar w:fldCharType="separate"/>
            </w:r>
            <w:r>
              <w:rPr>
                <w:webHidden/>
              </w:rPr>
              <w:t>3</w:t>
            </w:r>
            <w:r>
              <w:rPr>
                <w:webHidden/>
              </w:rPr>
              <w:fldChar w:fldCharType="end"/>
            </w:r>
          </w:hyperlink>
        </w:p>
        <w:p w14:paraId="1326C30D" w14:textId="4A257494"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89" w:history="1">
            <w:r w:rsidRPr="00E81670">
              <w:rPr>
                <w:rStyle w:val="Hyperlink"/>
              </w:rPr>
              <w:t>Section 3 – End of Life at CHS</w:t>
            </w:r>
            <w:r>
              <w:rPr>
                <w:webHidden/>
              </w:rPr>
              <w:tab/>
            </w:r>
            <w:r>
              <w:rPr>
                <w:webHidden/>
              </w:rPr>
              <w:fldChar w:fldCharType="begin"/>
            </w:r>
            <w:r>
              <w:rPr>
                <w:webHidden/>
              </w:rPr>
              <w:instrText xml:space="preserve"> PAGEREF _Toc188011789 \h </w:instrText>
            </w:r>
            <w:r>
              <w:rPr>
                <w:webHidden/>
              </w:rPr>
            </w:r>
            <w:r>
              <w:rPr>
                <w:webHidden/>
              </w:rPr>
              <w:fldChar w:fldCharType="separate"/>
            </w:r>
            <w:r>
              <w:rPr>
                <w:webHidden/>
              </w:rPr>
              <w:t>4</w:t>
            </w:r>
            <w:r>
              <w:rPr>
                <w:webHidden/>
              </w:rPr>
              <w:fldChar w:fldCharType="end"/>
            </w:r>
          </w:hyperlink>
        </w:p>
        <w:p w14:paraId="511573D5" w14:textId="354C319B"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0" w:history="1">
            <w:r w:rsidRPr="00E81670">
              <w:rPr>
                <w:rStyle w:val="Hyperlink"/>
              </w:rPr>
              <w:t>Section 4 – Family Donation Conversation, Consent and Authorisation</w:t>
            </w:r>
            <w:r>
              <w:rPr>
                <w:webHidden/>
              </w:rPr>
              <w:tab/>
            </w:r>
            <w:r>
              <w:rPr>
                <w:webHidden/>
              </w:rPr>
              <w:fldChar w:fldCharType="begin"/>
            </w:r>
            <w:r>
              <w:rPr>
                <w:webHidden/>
              </w:rPr>
              <w:instrText xml:space="preserve"> PAGEREF _Toc188011790 \h </w:instrText>
            </w:r>
            <w:r>
              <w:rPr>
                <w:webHidden/>
              </w:rPr>
            </w:r>
            <w:r>
              <w:rPr>
                <w:webHidden/>
              </w:rPr>
              <w:fldChar w:fldCharType="separate"/>
            </w:r>
            <w:r>
              <w:rPr>
                <w:webHidden/>
              </w:rPr>
              <w:t>5</w:t>
            </w:r>
            <w:r>
              <w:rPr>
                <w:webHidden/>
              </w:rPr>
              <w:fldChar w:fldCharType="end"/>
            </w:r>
          </w:hyperlink>
        </w:p>
        <w:p w14:paraId="3F098F5E" w14:textId="2A4221CE"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1" w:history="1">
            <w:r w:rsidRPr="00E81670">
              <w:rPr>
                <w:rStyle w:val="Hyperlink"/>
              </w:rPr>
              <w:t>Section 5 - ICU Admission for exploration of organ donation</w:t>
            </w:r>
            <w:r>
              <w:rPr>
                <w:webHidden/>
              </w:rPr>
              <w:tab/>
            </w:r>
            <w:r>
              <w:rPr>
                <w:webHidden/>
              </w:rPr>
              <w:fldChar w:fldCharType="begin"/>
            </w:r>
            <w:r>
              <w:rPr>
                <w:webHidden/>
              </w:rPr>
              <w:instrText xml:space="preserve"> PAGEREF _Toc188011791 \h </w:instrText>
            </w:r>
            <w:r>
              <w:rPr>
                <w:webHidden/>
              </w:rPr>
            </w:r>
            <w:r>
              <w:rPr>
                <w:webHidden/>
              </w:rPr>
              <w:fldChar w:fldCharType="separate"/>
            </w:r>
            <w:r>
              <w:rPr>
                <w:webHidden/>
              </w:rPr>
              <w:t>9</w:t>
            </w:r>
            <w:r>
              <w:rPr>
                <w:webHidden/>
              </w:rPr>
              <w:fldChar w:fldCharType="end"/>
            </w:r>
          </w:hyperlink>
        </w:p>
        <w:p w14:paraId="6CCDCC95" w14:textId="03D8AE35"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2" w:history="1">
            <w:r w:rsidRPr="00E81670">
              <w:rPr>
                <w:rStyle w:val="Hyperlink"/>
              </w:rPr>
              <w:t>Section 6 – Organ Donation</w:t>
            </w:r>
            <w:r>
              <w:rPr>
                <w:webHidden/>
              </w:rPr>
              <w:tab/>
            </w:r>
            <w:r>
              <w:rPr>
                <w:webHidden/>
              </w:rPr>
              <w:fldChar w:fldCharType="begin"/>
            </w:r>
            <w:r>
              <w:rPr>
                <w:webHidden/>
              </w:rPr>
              <w:instrText xml:space="preserve"> PAGEREF _Toc188011792 \h </w:instrText>
            </w:r>
            <w:r>
              <w:rPr>
                <w:webHidden/>
              </w:rPr>
            </w:r>
            <w:r>
              <w:rPr>
                <w:webHidden/>
              </w:rPr>
              <w:fldChar w:fldCharType="separate"/>
            </w:r>
            <w:r>
              <w:rPr>
                <w:webHidden/>
              </w:rPr>
              <w:t>11</w:t>
            </w:r>
            <w:r>
              <w:rPr>
                <w:webHidden/>
              </w:rPr>
              <w:fldChar w:fldCharType="end"/>
            </w:r>
          </w:hyperlink>
        </w:p>
        <w:p w14:paraId="2E2E5C40" w14:textId="0687D52A"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3" w:history="1">
            <w:r w:rsidRPr="00E81670">
              <w:rPr>
                <w:rStyle w:val="Hyperlink"/>
              </w:rPr>
              <w:t>Section 7 – Tissue Donation</w:t>
            </w:r>
            <w:r>
              <w:rPr>
                <w:webHidden/>
              </w:rPr>
              <w:tab/>
            </w:r>
            <w:r>
              <w:rPr>
                <w:webHidden/>
              </w:rPr>
              <w:fldChar w:fldCharType="begin"/>
            </w:r>
            <w:r>
              <w:rPr>
                <w:webHidden/>
              </w:rPr>
              <w:instrText xml:space="preserve"> PAGEREF _Toc188011793 \h </w:instrText>
            </w:r>
            <w:r>
              <w:rPr>
                <w:webHidden/>
              </w:rPr>
            </w:r>
            <w:r>
              <w:rPr>
                <w:webHidden/>
              </w:rPr>
              <w:fldChar w:fldCharType="separate"/>
            </w:r>
            <w:r>
              <w:rPr>
                <w:webHidden/>
              </w:rPr>
              <w:t>11</w:t>
            </w:r>
            <w:r>
              <w:rPr>
                <w:webHidden/>
              </w:rPr>
              <w:fldChar w:fldCharType="end"/>
            </w:r>
          </w:hyperlink>
        </w:p>
        <w:p w14:paraId="4395E149" w14:textId="14C644B3"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4" w:history="1">
            <w:r w:rsidRPr="00E81670">
              <w:rPr>
                <w:rStyle w:val="Hyperlink"/>
              </w:rPr>
              <w:t>Section 8 – Operating Theatres</w:t>
            </w:r>
            <w:r>
              <w:rPr>
                <w:webHidden/>
              </w:rPr>
              <w:tab/>
            </w:r>
            <w:r>
              <w:rPr>
                <w:webHidden/>
              </w:rPr>
              <w:fldChar w:fldCharType="begin"/>
            </w:r>
            <w:r>
              <w:rPr>
                <w:webHidden/>
              </w:rPr>
              <w:instrText xml:space="preserve"> PAGEREF _Toc188011794 \h </w:instrText>
            </w:r>
            <w:r>
              <w:rPr>
                <w:webHidden/>
              </w:rPr>
            </w:r>
            <w:r>
              <w:rPr>
                <w:webHidden/>
              </w:rPr>
              <w:fldChar w:fldCharType="separate"/>
            </w:r>
            <w:r>
              <w:rPr>
                <w:webHidden/>
              </w:rPr>
              <w:t>12</w:t>
            </w:r>
            <w:r>
              <w:rPr>
                <w:webHidden/>
              </w:rPr>
              <w:fldChar w:fldCharType="end"/>
            </w:r>
          </w:hyperlink>
        </w:p>
        <w:p w14:paraId="67F085C8" w14:textId="0CA0F235"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5" w:history="1">
            <w:r w:rsidRPr="00E81670">
              <w:rPr>
                <w:rStyle w:val="Hyperlink"/>
              </w:rPr>
              <w:t>Evaluation</w:t>
            </w:r>
            <w:r>
              <w:rPr>
                <w:webHidden/>
              </w:rPr>
              <w:tab/>
            </w:r>
            <w:r>
              <w:rPr>
                <w:webHidden/>
              </w:rPr>
              <w:fldChar w:fldCharType="begin"/>
            </w:r>
            <w:r>
              <w:rPr>
                <w:webHidden/>
              </w:rPr>
              <w:instrText xml:space="preserve"> PAGEREF _Toc188011795 \h </w:instrText>
            </w:r>
            <w:r>
              <w:rPr>
                <w:webHidden/>
              </w:rPr>
            </w:r>
            <w:r>
              <w:rPr>
                <w:webHidden/>
              </w:rPr>
              <w:fldChar w:fldCharType="separate"/>
            </w:r>
            <w:r>
              <w:rPr>
                <w:webHidden/>
              </w:rPr>
              <w:t>13</w:t>
            </w:r>
            <w:r>
              <w:rPr>
                <w:webHidden/>
              </w:rPr>
              <w:fldChar w:fldCharType="end"/>
            </w:r>
          </w:hyperlink>
        </w:p>
        <w:p w14:paraId="114948D0" w14:textId="16AC74E2"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6" w:history="1">
            <w:r w:rsidRPr="00E81670">
              <w:rPr>
                <w:rStyle w:val="Hyperlink"/>
              </w:rPr>
              <w:t>Related policies, procedures, guidelines and legislation</w:t>
            </w:r>
            <w:r>
              <w:rPr>
                <w:webHidden/>
              </w:rPr>
              <w:tab/>
            </w:r>
            <w:r>
              <w:rPr>
                <w:webHidden/>
              </w:rPr>
              <w:fldChar w:fldCharType="begin"/>
            </w:r>
            <w:r>
              <w:rPr>
                <w:webHidden/>
              </w:rPr>
              <w:instrText xml:space="preserve"> PAGEREF _Toc188011796 \h </w:instrText>
            </w:r>
            <w:r>
              <w:rPr>
                <w:webHidden/>
              </w:rPr>
            </w:r>
            <w:r>
              <w:rPr>
                <w:webHidden/>
              </w:rPr>
              <w:fldChar w:fldCharType="separate"/>
            </w:r>
            <w:r>
              <w:rPr>
                <w:webHidden/>
              </w:rPr>
              <w:t>13</w:t>
            </w:r>
            <w:r>
              <w:rPr>
                <w:webHidden/>
              </w:rPr>
              <w:fldChar w:fldCharType="end"/>
            </w:r>
          </w:hyperlink>
        </w:p>
        <w:p w14:paraId="437B1068" w14:textId="69C4BE0C"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7" w:history="1">
            <w:r w:rsidRPr="00E81670">
              <w:rPr>
                <w:rStyle w:val="Hyperlink"/>
              </w:rPr>
              <w:t>References</w:t>
            </w:r>
            <w:r>
              <w:rPr>
                <w:webHidden/>
              </w:rPr>
              <w:tab/>
            </w:r>
            <w:r>
              <w:rPr>
                <w:webHidden/>
              </w:rPr>
              <w:fldChar w:fldCharType="begin"/>
            </w:r>
            <w:r>
              <w:rPr>
                <w:webHidden/>
              </w:rPr>
              <w:instrText xml:space="preserve"> PAGEREF _Toc188011797 \h </w:instrText>
            </w:r>
            <w:r>
              <w:rPr>
                <w:webHidden/>
              </w:rPr>
            </w:r>
            <w:r>
              <w:rPr>
                <w:webHidden/>
              </w:rPr>
              <w:fldChar w:fldCharType="separate"/>
            </w:r>
            <w:r>
              <w:rPr>
                <w:webHidden/>
              </w:rPr>
              <w:t>14</w:t>
            </w:r>
            <w:r>
              <w:rPr>
                <w:webHidden/>
              </w:rPr>
              <w:fldChar w:fldCharType="end"/>
            </w:r>
          </w:hyperlink>
        </w:p>
        <w:p w14:paraId="63312C23" w14:textId="58E4C627"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8" w:history="1">
            <w:r w:rsidRPr="00E81670">
              <w:rPr>
                <w:rStyle w:val="Hyperlink"/>
              </w:rPr>
              <w:t>Definition of terms</w:t>
            </w:r>
            <w:r>
              <w:rPr>
                <w:webHidden/>
              </w:rPr>
              <w:tab/>
            </w:r>
            <w:r>
              <w:rPr>
                <w:webHidden/>
              </w:rPr>
              <w:fldChar w:fldCharType="begin"/>
            </w:r>
            <w:r>
              <w:rPr>
                <w:webHidden/>
              </w:rPr>
              <w:instrText xml:space="preserve"> PAGEREF _Toc188011798 \h </w:instrText>
            </w:r>
            <w:r>
              <w:rPr>
                <w:webHidden/>
              </w:rPr>
            </w:r>
            <w:r>
              <w:rPr>
                <w:webHidden/>
              </w:rPr>
              <w:fldChar w:fldCharType="separate"/>
            </w:r>
            <w:r>
              <w:rPr>
                <w:webHidden/>
              </w:rPr>
              <w:t>15</w:t>
            </w:r>
            <w:r>
              <w:rPr>
                <w:webHidden/>
              </w:rPr>
              <w:fldChar w:fldCharType="end"/>
            </w:r>
          </w:hyperlink>
        </w:p>
        <w:p w14:paraId="70772A0E" w14:textId="0E966295" w:rsidR="00FF3EB3" w:rsidRDefault="00FF3EB3">
          <w:pPr>
            <w:pStyle w:val="TOC1"/>
            <w:rPr>
              <w:rFonts w:asciiTheme="minorHAnsi" w:eastAsiaTheme="minorEastAsia" w:hAnsiTheme="minorHAnsi" w:cs="Arial Unicode MS"/>
              <w:color w:val="auto"/>
              <w:kern w:val="2"/>
              <w:lang w:bidi="ml-IN"/>
              <w14:ligatures w14:val="standardContextual"/>
            </w:rPr>
          </w:pPr>
          <w:hyperlink w:anchor="_Toc188011799" w:history="1">
            <w:r w:rsidRPr="00E81670">
              <w:rPr>
                <w:rStyle w:val="Hyperlink"/>
              </w:rPr>
              <w:t>Search terms</w:t>
            </w:r>
            <w:r>
              <w:rPr>
                <w:webHidden/>
              </w:rPr>
              <w:tab/>
            </w:r>
            <w:r>
              <w:rPr>
                <w:webHidden/>
              </w:rPr>
              <w:fldChar w:fldCharType="begin"/>
            </w:r>
            <w:r>
              <w:rPr>
                <w:webHidden/>
              </w:rPr>
              <w:instrText xml:space="preserve"> PAGEREF _Toc188011799 \h </w:instrText>
            </w:r>
            <w:r>
              <w:rPr>
                <w:webHidden/>
              </w:rPr>
            </w:r>
            <w:r>
              <w:rPr>
                <w:webHidden/>
              </w:rPr>
              <w:fldChar w:fldCharType="separate"/>
            </w:r>
            <w:r>
              <w:rPr>
                <w:webHidden/>
              </w:rPr>
              <w:t>15</w:t>
            </w:r>
            <w:r>
              <w:rPr>
                <w:webHidden/>
              </w:rPr>
              <w:fldChar w:fldCharType="end"/>
            </w:r>
          </w:hyperlink>
        </w:p>
        <w:p w14:paraId="12AAD517" w14:textId="26955825" w:rsidR="00481A6C" w:rsidRPr="008B28FA" w:rsidRDefault="00A621FE" w:rsidP="00481A6C">
          <w:pPr>
            <w:pStyle w:val="TOCHeading2"/>
            <w:rPr>
              <w:rFonts w:ascii="Calibri" w:hAnsi="Calibri" w:cs="Calibri"/>
              <w:sz w:val="24"/>
              <w:szCs w:val="24"/>
            </w:rPr>
          </w:pPr>
          <w:r w:rsidRPr="008B28FA">
            <w:rPr>
              <w:rFonts w:ascii="Calibri" w:eastAsia="Calibri" w:hAnsi="Calibri" w:cs="Calibri"/>
              <w:b w:val="0"/>
              <w:noProof/>
              <w:color w:val="000000" w:themeColor="text1"/>
              <w:sz w:val="24"/>
              <w:szCs w:val="24"/>
              <w:lang w:eastAsia="en-AU"/>
            </w:rPr>
            <w:fldChar w:fldCharType="end"/>
          </w:r>
        </w:p>
      </w:sdtContent>
    </w:sdt>
    <w:p w14:paraId="3EBD8F00" w14:textId="77777777" w:rsidR="00FE46F1" w:rsidRPr="008B28FA" w:rsidRDefault="00FE46F1">
      <w:pPr>
        <w:spacing w:before="0" w:after="0" w:line="240" w:lineRule="auto"/>
        <w:rPr>
          <w:rFonts w:ascii="Calibri" w:eastAsia="Times New Roman" w:hAnsi="Calibri" w:cs="Calibri"/>
          <w:b/>
          <w:color w:val="FFFFFF" w:themeColor="background1"/>
          <w:lang w:eastAsia="en-US"/>
        </w:rPr>
      </w:pPr>
    </w:p>
    <w:p w14:paraId="0923BCF5" w14:textId="77777777" w:rsidR="00201AF6" w:rsidRPr="008B28FA" w:rsidRDefault="00201AF6">
      <w:pPr>
        <w:spacing w:before="0" w:after="0" w:line="240" w:lineRule="auto"/>
        <w:rPr>
          <w:rFonts w:ascii="Calibri" w:eastAsia="Times New Roman" w:hAnsi="Calibri" w:cs="Calibri"/>
          <w:b/>
          <w:bCs/>
          <w:iCs/>
          <w:color w:val="FFFFFF" w:themeColor="background1"/>
          <w:lang w:eastAsia="en-US"/>
        </w:rPr>
      </w:pPr>
      <w:r w:rsidRPr="008B28FA">
        <w:rPr>
          <w:rFonts w:ascii="Calibri" w:hAnsi="Calibri" w:cs="Calibri"/>
        </w:rPr>
        <w:br w:type="page"/>
      </w:r>
    </w:p>
    <w:p w14:paraId="3B14C132" w14:textId="00B8D7F4" w:rsidR="0078367D" w:rsidRPr="008B28FA" w:rsidRDefault="003254E1" w:rsidP="00FC3B37">
      <w:pPr>
        <w:pStyle w:val="Heading4"/>
      </w:pPr>
      <w:bookmarkStart w:id="1" w:name="_Toc188011785"/>
      <w:bookmarkStart w:id="2" w:name="_Toc176425606"/>
      <w:r w:rsidRPr="008B28FA">
        <w:lastRenderedPageBreak/>
        <w:t>Purpose</w:t>
      </w:r>
      <w:bookmarkEnd w:id="1"/>
      <w:r w:rsidR="009746B1" w:rsidRPr="008B28FA">
        <w:t xml:space="preserve"> </w:t>
      </w:r>
      <w:bookmarkEnd w:id="2"/>
    </w:p>
    <w:p w14:paraId="79995873" w14:textId="11507270" w:rsidR="007F76DA" w:rsidRPr="008B28FA" w:rsidRDefault="007F76DA" w:rsidP="003C3E2B">
      <w:pPr>
        <w:pStyle w:val="BodyCopy"/>
      </w:pPr>
      <w:r w:rsidRPr="008B28FA">
        <w:t xml:space="preserve">The purpose of this procedure is to clearly articulate the roles and responsibilities of staff </w:t>
      </w:r>
      <w:r w:rsidR="00987356">
        <w:t>across</w:t>
      </w:r>
      <w:r w:rsidRPr="008B28FA">
        <w:t xml:space="preserve"> Canberra Health Services (CHS) Network relating to organ and tissue donation. </w:t>
      </w:r>
    </w:p>
    <w:p w14:paraId="0AE32FF0" w14:textId="77777777" w:rsidR="007F76DA" w:rsidRPr="008B28FA" w:rsidRDefault="007F76DA" w:rsidP="003C3E2B">
      <w:pPr>
        <w:pStyle w:val="BodyCopy"/>
      </w:pPr>
      <w:r w:rsidRPr="008B28FA">
        <w:t>This will ensure CHS meets the requirements set out in the “Best Practice Guideline for Offering Organ and Tissue Donation in Australia” and remains committed to the federal government initiative.</w:t>
      </w:r>
    </w:p>
    <w:p w14:paraId="59F0CAA4" w14:textId="174A3D0B" w:rsidR="00481A6C" w:rsidRPr="003C3E2B" w:rsidRDefault="00481A6C" w:rsidP="003C3E2B">
      <w:pPr>
        <w:pStyle w:val="BodyCopy"/>
        <w:rPr>
          <w:rStyle w:val="Hyperlink"/>
          <w:color w:val="000000" w:themeColor="text1"/>
        </w:rPr>
      </w:pPr>
      <w:hyperlink w:anchor="_top" w:history="1">
        <w:r w:rsidRPr="003C3E2B">
          <w:rPr>
            <w:rStyle w:val="Hyperlink"/>
            <w:color w:val="000000" w:themeColor="text1"/>
          </w:rPr>
          <w:t>Back to Contents</w:t>
        </w:r>
      </w:hyperlink>
    </w:p>
    <w:p w14:paraId="059AEBE5" w14:textId="77777777" w:rsidR="003254E1" w:rsidRPr="008B28FA" w:rsidRDefault="003254E1" w:rsidP="00FC3B37">
      <w:pPr>
        <w:pStyle w:val="Heading4"/>
      </w:pPr>
      <w:bookmarkStart w:id="3" w:name="_Toc176425608"/>
      <w:bookmarkStart w:id="4" w:name="_Toc188011786"/>
      <w:r w:rsidRPr="008B28FA">
        <w:t>Scope</w:t>
      </w:r>
      <w:bookmarkEnd w:id="3"/>
      <w:bookmarkEnd w:id="4"/>
    </w:p>
    <w:p w14:paraId="1A7FF3A1" w14:textId="78538AAC" w:rsidR="007F76DA" w:rsidRPr="008B28FA" w:rsidRDefault="007F76DA" w:rsidP="003C3E2B">
      <w:pPr>
        <w:pStyle w:val="BodyCopy"/>
      </w:pPr>
      <w:r w:rsidRPr="008B28FA">
        <w:t xml:space="preserve">This document applies to the following CHS Network </w:t>
      </w:r>
      <w:r w:rsidR="00987356">
        <w:t xml:space="preserve">staff working within their scope of practice across all facilities </w:t>
      </w:r>
      <w:r w:rsidRPr="008B28FA">
        <w:t>including the inpatient facilities at Canberra Hospital, Clare Holland House, North Canberra Hospital, and University of Canberra and community based services:</w:t>
      </w:r>
    </w:p>
    <w:p w14:paraId="39B23531" w14:textId="77777777" w:rsidR="007F76DA" w:rsidRPr="008B28FA" w:rsidRDefault="007F76DA" w:rsidP="003C3E2B">
      <w:pPr>
        <w:pStyle w:val="Bullet"/>
      </w:pPr>
      <w:r w:rsidRPr="008B28FA">
        <w:t>Medical Officers</w:t>
      </w:r>
    </w:p>
    <w:p w14:paraId="04AF5A24" w14:textId="77777777" w:rsidR="007F76DA" w:rsidRPr="008B28FA" w:rsidRDefault="007F76DA" w:rsidP="003C3E2B">
      <w:pPr>
        <w:pStyle w:val="Bullet"/>
      </w:pPr>
      <w:r w:rsidRPr="008B28FA">
        <w:t>Nurses and Midwives</w:t>
      </w:r>
    </w:p>
    <w:p w14:paraId="6BA36164" w14:textId="18BE22E9" w:rsidR="007F76DA" w:rsidRPr="008B28FA" w:rsidRDefault="007F76DA" w:rsidP="003C3E2B">
      <w:pPr>
        <w:pStyle w:val="Bullet"/>
      </w:pPr>
      <w:r w:rsidRPr="008B28FA">
        <w:t>Allied Health Professionals.</w:t>
      </w:r>
    </w:p>
    <w:p w14:paraId="75DC267F" w14:textId="77777777" w:rsidR="007F76DA" w:rsidRPr="008B28FA" w:rsidRDefault="007F76DA" w:rsidP="003C3E2B">
      <w:pPr>
        <w:pStyle w:val="BodyCopy"/>
      </w:pPr>
      <w:r w:rsidRPr="008B28FA">
        <w:t>This procedure applies to adult, paediatric and neonatal patients at CHS.</w:t>
      </w:r>
    </w:p>
    <w:p w14:paraId="20D4F060" w14:textId="77777777" w:rsidR="007F76DA" w:rsidRDefault="007F76DA" w:rsidP="003C3E2B">
      <w:pPr>
        <w:pStyle w:val="BodyCopy"/>
      </w:pPr>
      <w:r w:rsidRPr="008B28FA">
        <w:t>This document does not cover the retrieval of organs or tissues for living donors, ACT pathological/research purposes, or body donation.</w:t>
      </w:r>
    </w:p>
    <w:p w14:paraId="5D307DAC" w14:textId="195A2714" w:rsidR="00AD4C38" w:rsidRPr="008B28FA" w:rsidRDefault="00AD4C38" w:rsidP="00AD4C38">
      <w:pPr>
        <w:pStyle w:val="BodyCopy"/>
      </w:pPr>
      <w:r>
        <w:t xml:space="preserve">This document does not currently cover the organ and tissue donation process for individuals accessing voluntary assisted dying. Further details on this process are outlined in the ACT Voluntary Assisted Dying Clinical Guidelines available from the ACT Government website </w:t>
      </w:r>
      <w:r w:rsidRPr="007A41BE">
        <w:rPr>
          <w:color w:val="auto"/>
          <w:szCs w:val="32"/>
          <w:lang w:eastAsia="en-US"/>
        </w:rPr>
        <w:t xml:space="preserve">(available at: </w:t>
      </w:r>
      <w:hyperlink r:id="rId11" w:history="1">
        <w:r w:rsidRPr="007A41BE">
          <w:rPr>
            <w:rStyle w:val="Hyperlink"/>
            <w:szCs w:val="32"/>
            <w:lang w:eastAsia="en-US"/>
          </w:rPr>
          <w:t>https://www.act.gov.au/health/end-of-life-and-palliative-care/providing-voluntary-assisted-dying-services-in-the-act</w:t>
        </w:r>
      </w:hyperlink>
      <w:r w:rsidRPr="007A41BE">
        <w:rPr>
          <w:color w:val="auto"/>
          <w:szCs w:val="32"/>
          <w:lang w:eastAsia="en-US"/>
        </w:rPr>
        <w:t>)</w:t>
      </w:r>
      <w:r>
        <w:t>.</w:t>
      </w:r>
    </w:p>
    <w:p w14:paraId="37462ED8" w14:textId="514E12A5" w:rsidR="007F76DA" w:rsidRPr="008B28FA" w:rsidRDefault="007F76DA" w:rsidP="003C3E2B">
      <w:pPr>
        <w:pStyle w:val="BodyCopy"/>
      </w:pPr>
      <w:r w:rsidRPr="008B28FA">
        <w:t>Specialist DonateLife ACT (DL ACT) staff have specific clinical guidelines as well as legislation to follow for the purpose of facilitating organ and tissue donation. These are not covered in this document.</w:t>
      </w:r>
    </w:p>
    <w:p w14:paraId="2B0E6DAD" w14:textId="439E9EFD" w:rsidR="003254E1" w:rsidRPr="003C3E2B" w:rsidRDefault="003254E1" w:rsidP="003C3E2B">
      <w:pPr>
        <w:pStyle w:val="BodyCopy"/>
        <w:rPr>
          <w:rStyle w:val="Hyperlink"/>
          <w:color w:val="000000" w:themeColor="text1"/>
        </w:rPr>
      </w:pPr>
      <w:hyperlink w:anchor="_top" w:history="1">
        <w:r w:rsidRPr="003C3E2B">
          <w:rPr>
            <w:rStyle w:val="Hyperlink"/>
            <w:color w:val="000000" w:themeColor="text1"/>
          </w:rPr>
          <w:t>Back to Contents</w:t>
        </w:r>
      </w:hyperlink>
    </w:p>
    <w:p w14:paraId="639248FB" w14:textId="7F90DBAA" w:rsidR="0078367D" w:rsidRPr="008B28FA" w:rsidRDefault="0078367D" w:rsidP="00FC3B37">
      <w:pPr>
        <w:pStyle w:val="Heading4"/>
      </w:pPr>
      <w:bookmarkStart w:id="5" w:name="_Toc176425609"/>
      <w:bookmarkStart w:id="6" w:name="_Toc188011787"/>
      <w:r w:rsidRPr="008B28FA">
        <w:t xml:space="preserve">Section 1 </w:t>
      </w:r>
      <w:r w:rsidR="007F76DA" w:rsidRPr="008B28FA">
        <w:t>–</w:t>
      </w:r>
      <w:r w:rsidRPr="008B28FA">
        <w:t xml:space="preserve"> </w:t>
      </w:r>
      <w:bookmarkEnd w:id="5"/>
      <w:r w:rsidR="007F76DA" w:rsidRPr="008B28FA">
        <w:t>Organ and Tissue Donation</w:t>
      </w:r>
      <w:bookmarkEnd w:id="6"/>
    </w:p>
    <w:p w14:paraId="69B6DDF8" w14:textId="77777777" w:rsidR="007F76DA" w:rsidRPr="008B28FA" w:rsidRDefault="007F76DA" w:rsidP="003C3E2B">
      <w:pPr>
        <w:pStyle w:val="BodyCopy"/>
      </w:pPr>
      <w:r w:rsidRPr="008B28FA">
        <w:t xml:space="preserve">CHS is committed to providing the community with an exceptional organ and tissue donation service. </w:t>
      </w:r>
    </w:p>
    <w:p w14:paraId="276E685C" w14:textId="77777777" w:rsidR="007F76DA" w:rsidRPr="008B28FA" w:rsidRDefault="007F76DA" w:rsidP="003C3E2B">
      <w:pPr>
        <w:pStyle w:val="BodyCopy"/>
      </w:pPr>
      <w:r w:rsidRPr="008B28FA">
        <w:t xml:space="preserve">CHS acknowledges that the donation of organs and tissues is an act of altruism and human solidarity that benefits those in need and society as a whole. </w:t>
      </w:r>
    </w:p>
    <w:p w14:paraId="51A64F29" w14:textId="77777777" w:rsidR="007F76DA" w:rsidRPr="008B28FA" w:rsidRDefault="007F76DA" w:rsidP="003C3E2B">
      <w:pPr>
        <w:pStyle w:val="BodyCopy"/>
      </w:pPr>
      <w:r w:rsidRPr="008B28FA">
        <w:lastRenderedPageBreak/>
        <w:t xml:space="preserve">End-of-life care at CHS is holistic and accommodates the physical, psychosocial, and spiritual needs of the patient, and includes the exploration of possibilities </w:t>
      </w:r>
      <w:r w:rsidRPr="008B28FA">
        <w:rPr>
          <w:lang w:val="en-GB"/>
        </w:rPr>
        <w:t>for deceased organ and tissue donation.</w:t>
      </w:r>
    </w:p>
    <w:p w14:paraId="7437CB82" w14:textId="77777777" w:rsidR="007F76DA" w:rsidRPr="008B28FA" w:rsidRDefault="007F76DA" w:rsidP="003C3E2B">
      <w:pPr>
        <w:pStyle w:val="BodyCopy"/>
      </w:pPr>
      <w:r w:rsidRPr="008B28FA">
        <w:t xml:space="preserve">To facilitate organ and tissue donation for transplantation, specialised systems and processes have been developed and implemented and specialist staff have been trained and employed. </w:t>
      </w:r>
    </w:p>
    <w:p w14:paraId="1B871E7C" w14:textId="10B72FE6" w:rsidR="007F76DA" w:rsidRPr="008B28FA" w:rsidRDefault="007F76DA" w:rsidP="003C3E2B">
      <w:pPr>
        <w:pStyle w:val="BodyCopy"/>
      </w:pPr>
      <w:r w:rsidRPr="008B28FA">
        <w:t xml:space="preserve">Organ and tissue donation is governed by legislation and national ethical and clinical guidelines (refer to Related Documents and References). Exploring and facilitating organ and tissue donation requires </w:t>
      </w:r>
      <w:r w:rsidR="00987356">
        <w:t xml:space="preserve">adherence to </w:t>
      </w:r>
      <w:r w:rsidRPr="008B28FA">
        <w:t>strict protocols reflecting best practice.</w:t>
      </w:r>
    </w:p>
    <w:p w14:paraId="21197C00" w14:textId="55BB9E07" w:rsidR="007F76DA" w:rsidRPr="008B28FA" w:rsidRDefault="007F76DA" w:rsidP="003C3E2B">
      <w:pPr>
        <w:pStyle w:val="BodyCopy"/>
      </w:pPr>
      <w:r w:rsidRPr="008B28FA">
        <w:t xml:space="preserve">CHS will provide families with the information and support required for them to make an informed, enduring decision regarding organ and tissue donation as part of their loved one’s end of life care. </w:t>
      </w:r>
      <w:r w:rsidR="00EE3510">
        <w:t xml:space="preserve"> </w:t>
      </w:r>
      <w:r w:rsidR="00EE3510" w:rsidRPr="000577A6">
        <w:t>Almost universally, most major religions and philosophies support organ donation as a noble and meritorious act and encourage it as an expression of generous solidarity. If patients and family are uncertain, a referral can be made to Spiritual Support Services, where a spiritual care practitioner or a professional chaplain from the patient or family’s community can provide support.</w:t>
      </w:r>
      <w:r w:rsidR="00EE3510">
        <w:t xml:space="preserve">  </w:t>
      </w:r>
      <w:r w:rsidRPr="008B28FA">
        <w:t>Aboriginal and Torres Strait Islander families will be offered the Aboriginal Liaison Officer (ALO) service  involve</w:t>
      </w:r>
      <w:r w:rsidR="00987356">
        <w:t>ment</w:t>
      </w:r>
      <w:r w:rsidRPr="008B28FA">
        <w:t xml:space="preserve"> in the process. </w:t>
      </w:r>
    </w:p>
    <w:p w14:paraId="7A1826E0" w14:textId="0FC559FA" w:rsidR="00481A6C" w:rsidRPr="003C3E2B" w:rsidRDefault="00481A6C" w:rsidP="003C3E2B">
      <w:pPr>
        <w:pStyle w:val="BodyCopy"/>
        <w:rPr>
          <w:rStyle w:val="Hyperlink"/>
          <w:color w:val="000000" w:themeColor="text1"/>
        </w:rPr>
      </w:pPr>
      <w:hyperlink w:anchor="_top" w:history="1">
        <w:r w:rsidRPr="003C3E2B">
          <w:rPr>
            <w:rStyle w:val="Hyperlink"/>
            <w:color w:val="000000" w:themeColor="text1"/>
          </w:rPr>
          <w:t>Back to Contents</w:t>
        </w:r>
      </w:hyperlink>
    </w:p>
    <w:p w14:paraId="0B9855FD" w14:textId="3F269DE2" w:rsidR="0078367D" w:rsidRPr="008B28FA" w:rsidRDefault="0078367D" w:rsidP="00FC3B37">
      <w:pPr>
        <w:pStyle w:val="Heading4"/>
      </w:pPr>
      <w:bookmarkStart w:id="7" w:name="_Toc176425610"/>
      <w:bookmarkStart w:id="8" w:name="_Toc188011788"/>
      <w:r w:rsidRPr="008B28FA">
        <w:t xml:space="preserve">Section 2 </w:t>
      </w:r>
      <w:r w:rsidR="007F76DA" w:rsidRPr="008B28FA">
        <w:t>–</w:t>
      </w:r>
      <w:r w:rsidRPr="008B28FA">
        <w:t xml:space="preserve"> </w:t>
      </w:r>
      <w:bookmarkEnd w:id="7"/>
      <w:r w:rsidR="007F76DA" w:rsidRPr="008B28FA">
        <w:t>Roles and Responsibilities</w:t>
      </w:r>
      <w:bookmarkEnd w:id="8"/>
    </w:p>
    <w:p w14:paraId="2A58E150" w14:textId="2A583862" w:rsidR="007F76DA" w:rsidRPr="008B28FA" w:rsidRDefault="007F76DA" w:rsidP="003C3E2B">
      <w:pPr>
        <w:pStyle w:val="BodyCopy"/>
      </w:pPr>
      <w:r w:rsidRPr="008B28FA">
        <w:t xml:space="preserve">All staff must comply with this procedure and related documentation to ensure their obligations are met, and that they provide evidence-based quality care. </w:t>
      </w:r>
    </w:p>
    <w:p w14:paraId="2EC892EE" w14:textId="77777777" w:rsidR="007F76DA" w:rsidRPr="003C3E2B" w:rsidRDefault="007F76DA" w:rsidP="003C3E2B">
      <w:pPr>
        <w:pStyle w:val="Bullet"/>
        <w:numPr>
          <w:ilvl w:val="0"/>
          <w:numId w:val="0"/>
        </w:numPr>
        <w:ind w:left="360" w:hanging="360"/>
      </w:pPr>
      <w:r w:rsidRPr="003C3E2B">
        <w:rPr>
          <w:b/>
          <w:bCs/>
        </w:rPr>
        <w:t>Managers and Supervisors</w:t>
      </w:r>
      <w:r w:rsidRPr="003C3E2B">
        <w:t xml:space="preserve"> are responsible for:</w:t>
      </w:r>
    </w:p>
    <w:p w14:paraId="3FED2738" w14:textId="228623D7" w:rsidR="007F76DA" w:rsidRPr="003C3E2B" w:rsidRDefault="007F76DA" w:rsidP="003C3E2B">
      <w:pPr>
        <w:pStyle w:val="Bullet"/>
      </w:pPr>
      <w:r w:rsidRPr="003C3E2B">
        <w:t>Ensuring staff can access, understand, and apply this document and are provided with education related to this procedure.</w:t>
      </w:r>
    </w:p>
    <w:p w14:paraId="0429847B" w14:textId="77777777" w:rsidR="007F76DA" w:rsidRPr="008B28FA" w:rsidRDefault="007F76DA" w:rsidP="003C3E2B">
      <w:pPr>
        <w:pStyle w:val="BodyCopy"/>
        <w:spacing w:after="0"/>
      </w:pPr>
      <w:r w:rsidRPr="008B28FA">
        <w:rPr>
          <w:b/>
        </w:rPr>
        <w:t>Critical Care staff:</w:t>
      </w:r>
      <w:r w:rsidRPr="008B28FA">
        <w:rPr>
          <w:i/>
        </w:rPr>
        <w:t xml:space="preserve"> </w:t>
      </w:r>
      <w:r w:rsidRPr="008B28FA">
        <w:t>Emergency Department (ED), Intensive Care Unit (ICU) and Neonatal Intensive Care Unit (NICU) are responsible for:</w:t>
      </w:r>
    </w:p>
    <w:p w14:paraId="47CC0F7E" w14:textId="77777777" w:rsidR="007F76DA" w:rsidRPr="008B28FA" w:rsidRDefault="007F76DA" w:rsidP="003C3E2B">
      <w:pPr>
        <w:pStyle w:val="Bullet"/>
      </w:pPr>
      <w:r w:rsidRPr="008B28FA">
        <w:t>Notifying DL ACT via CHS switchboard on 5124 0000 or NCH switchboard 6201 6111 in the following circumstances:</w:t>
      </w:r>
    </w:p>
    <w:p w14:paraId="7A7B2013" w14:textId="77777777" w:rsidR="007F76DA" w:rsidRPr="003C3E2B" w:rsidRDefault="007F76DA" w:rsidP="003C3E2B">
      <w:pPr>
        <w:pStyle w:val="Bullet"/>
        <w:numPr>
          <w:ilvl w:val="1"/>
          <w:numId w:val="1"/>
        </w:numPr>
      </w:pPr>
      <w:r w:rsidRPr="003C3E2B">
        <w:t>when there is medical consensus that a patient is near end of life</w:t>
      </w:r>
    </w:p>
    <w:p w14:paraId="608A67CB" w14:textId="77777777" w:rsidR="007F76DA" w:rsidRPr="003C3E2B" w:rsidRDefault="007F76DA" w:rsidP="003C3E2B">
      <w:pPr>
        <w:pStyle w:val="Bullet"/>
        <w:numPr>
          <w:ilvl w:val="1"/>
          <w:numId w:val="1"/>
        </w:numPr>
      </w:pPr>
      <w:r w:rsidRPr="003C3E2B">
        <w:t>at the commencement of End of Life Care (EOLC) planning and family discussions</w:t>
      </w:r>
    </w:p>
    <w:p w14:paraId="38BCD05B" w14:textId="77777777" w:rsidR="007F76DA" w:rsidRPr="003C3E2B" w:rsidRDefault="007F76DA" w:rsidP="003C3E2B">
      <w:pPr>
        <w:pStyle w:val="Bullet"/>
        <w:numPr>
          <w:ilvl w:val="1"/>
          <w:numId w:val="1"/>
        </w:numPr>
      </w:pPr>
      <w:r w:rsidRPr="003C3E2B">
        <w:t>at the request from patients and /or families for information about organ and tissue donation</w:t>
      </w:r>
    </w:p>
    <w:p w14:paraId="39A0A467" w14:textId="5E2DC2B4" w:rsidR="009C5CB2" w:rsidRPr="003C3E2B" w:rsidRDefault="007F76DA" w:rsidP="003C3E2B">
      <w:pPr>
        <w:pStyle w:val="Bullet"/>
        <w:numPr>
          <w:ilvl w:val="1"/>
          <w:numId w:val="1"/>
        </w:numPr>
      </w:pPr>
      <w:r w:rsidRPr="003C3E2B">
        <w:t>when a patient dies.</w:t>
      </w:r>
    </w:p>
    <w:p w14:paraId="65D8B480" w14:textId="56D80E12" w:rsidR="007F76DA" w:rsidRPr="008B28FA" w:rsidRDefault="007F76DA" w:rsidP="00FC3B37">
      <w:pPr>
        <w:pStyle w:val="BodyCopy"/>
        <w:spacing w:after="0"/>
        <w:rPr>
          <w:rFonts w:eastAsia="Arial"/>
        </w:rPr>
      </w:pPr>
      <w:r w:rsidRPr="003C3E2B">
        <w:rPr>
          <w:b/>
          <w:bCs w:val="0"/>
        </w:rPr>
        <w:t>CHS staff</w:t>
      </w:r>
      <w:r w:rsidRPr="003C3E2B">
        <w:rPr>
          <w:rFonts w:eastAsia="Arial"/>
          <w:b/>
          <w:bCs w:val="0"/>
        </w:rPr>
        <w:t xml:space="preserve"> in ward areas</w:t>
      </w:r>
      <w:r w:rsidRPr="008B28FA">
        <w:rPr>
          <w:rFonts w:eastAsia="Arial"/>
        </w:rPr>
        <w:t xml:space="preserve"> are responsible for:</w:t>
      </w:r>
    </w:p>
    <w:p w14:paraId="71FC99EC" w14:textId="2D24A316" w:rsidR="007F76DA" w:rsidRDefault="007F76DA" w:rsidP="003C3E2B">
      <w:pPr>
        <w:pStyle w:val="Bullet"/>
      </w:pPr>
      <w:r w:rsidRPr="008B28FA">
        <w:t>Forwarding all requests from patients and/or families for information about donation to DL ACT via CHS switchboard on 5124 0000</w:t>
      </w:r>
    </w:p>
    <w:p w14:paraId="077B4509" w14:textId="3A827EEC" w:rsidR="003C3E2B" w:rsidRPr="008B28FA" w:rsidRDefault="003C3E2B" w:rsidP="003C3E2B">
      <w:pPr>
        <w:pStyle w:val="Bullet"/>
      </w:pPr>
      <w:r w:rsidRPr="008B28FA">
        <w:lastRenderedPageBreak/>
        <w:t xml:space="preserve">Promptly entering a patient’s death into the </w:t>
      </w:r>
      <w:r w:rsidR="00285E08">
        <w:t>Digital Health Record (</w:t>
      </w:r>
      <w:r w:rsidRPr="008B28FA">
        <w:t>D</w:t>
      </w:r>
      <w:r w:rsidRPr="002A61AB">
        <w:rPr>
          <w:color w:val="auto"/>
        </w:rPr>
        <w:t>H</w:t>
      </w:r>
      <w:r w:rsidRPr="00557A5E">
        <w:rPr>
          <w:color w:val="auto"/>
        </w:rPr>
        <w:t>R</w:t>
      </w:r>
      <w:r w:rsidR="00285E08" w:rsidRPr="00557A5E">
        <w:rPr>
          <w:color w:val="auto"/>
        </w:rPr>
        <w:t>)</w:t>
      </w:r>
      <w:r w:rsidRPr="00557A5E">
        <w:rPr>
          <w:color w:val="auto"/>
        </w:rPr>
        <w:t>.</w:t>
      </w:r>
    </w:p>
    <w:p w14:paraId="7B0C7F34" w14:textId="38EAA5BD" w:rsidR="007F76DA" w:rsidRPr="008B28FA" w:rsidRDefault="007F76DA" w:rsidP="003C3E2B">
      <w:pPr>
        <w:pStyle w:val="BodyCopy"/>
        <w:pBdr>
          <w:top w:val="single" w:sz="4" w:space="1" w:color="auto"/>
          <w:left w:val="single" w:sz="4" w:space="4" w:color="auto"/>
          <w:bottom w:val="single" w:sz="4" w:space="1" w:color="auto"/>
          <w:right w:val="single" w:sz="4" w:space="4" w:color="auto"/>
        </w:pBdr>
        <w:ind w:left="426"/>
        <w:rPr>
          <w:b/>
        </w:rPr>
      </w:pPr>
      <w:r w:rsidRPr="008B28FA">
        <w:rPr>
          <w:b/>
        </w:rPr>
        <w:t xml:space="preserve">Note: </w:t>
      </w:r>
      <w:r w:rsidRPr="008B28FA">
        <w:t xml:space="preserve"> NCH staff</w:t>
      </w:r>
      <w:r w:rsidR="002A61AB">
        <w:t xml:space="preserve"> </w:t>
      </w:r>
      <w:r w:rsidRPr="008B28FA">
        <w:t>can call</w:t>
      </w:r>
      <w:r w:rsidR="002A61AB">
        <w:t xml:space="preserve"> CHS Switchboard on 5124 000 </w:t>
      </w:r>
      <w:r w:rsidRPr="008B28FA">
        <w:t xml:space="preserve">or NCH switchboard on 6201 6111 who will forward </w:t>
      </w:r>
      <w:r w:rsidR="003C3E2B">
        <w:t xml:space="preserve">them </w:t>
      </w:r>
      <w:r w:rsidRPr="008B28FA">
        <w:t xml:space="preserve"> to the DL ACT</w:t>
      </w:r>
      <w:r w:rsidR="002A61AB">
        <w:t>.</w:t>
      </w:r>
    </w:p>
    <w:p w14:paraId="28CA7A4B" w14:textId="3C0AF390" w:rsidR="003C3E2B" w:rsidRDefault="003C3E2B">
      <w:pPr>
        <w:spacing w:before="0" w:after="0" w:line="240" w:lineRule="auto"/>
        <w:rPr>
          <w:rFonts w:ascii="Calibri" w:hAnsi="Calibri" w:cs="Calibri"/>
        </w:rPr>
      </w:pPr>
      <w:r>
        <w:rPr>
          <w:rFonts w:ascii="Calibri" w:hAnsi="Calibri" w:cs="Calibri"/>
        </w:rPr>
        <w:br w:type="page"/>
      </w:r>
    </w:p>
    <w:p w14:paraId="0B2EB934" w14:textId="77777777" w:rsidR="007F76DA" w:rsidRPr="008B28FA" w:rsidRDefault="007F76DA" w:rsidP="00075ADE">
      <w:pPr>
        <w:spacing w:before="0" w:after="0" w:line="240" w:lineRule="auto"/>
        <w:ind w:left="426"/>
        <w:contextualSpacing/>
        <w:rPr>
          <w:rFonts w:ascii="Calibri" w:hAnsi="Calibri" w:cs="Calibri"/>
        </w:rPr>
      </w:pPr>
    </w:p>
    <w:p w14:paraId="2E3B2B4A" w14:textId="77777777" w:rsidR="007F76DA" w:rsidRPr="008B28FA" w:rsidRDefault="007F76DA" w:rsidP="00557A5E">
      <w:pPr>
        <w:pStyle w:val="Bullet"/>
        <w:numPr>
          <w:ilvl w:val="0"/>
          <w:numId w:val="0"/>
        </w:numPr>
      </w:pPr>
      <w:r w:rsidRPr="008B28FA">
        <w:rPr>
          <w:b/>
          <w:bCs/>
        </w:rPr>
        <w:t>All staff</w:t>
      </w:r>
      <w:r w:rsidRPr="008B28FA">
        <w:t xml:space="preserve"> are to be aware of:</w:t>
      </w:r>
    </w:p>
    <w:p w14:paraId="2EF88DC6" w14:textId="77777777" w:rsidR="007F76DA" w:rsidRPr="008B28FA" w:rsidRDefault="007F76DA" w:rsidP="003C3E2B">
      <w:pPr>
        <w:pStyle w:val="Bullet"/>
      </w:pPr>
      <w:r w:rsidRPr="008B28FA">
        <w:t xml:space="preserve">The potential for organ and tissue donation </w:t>
      </w:r>
    </w:p>
    <w:p w14:paraId="42D71A35" w14:textId="55BC4D47" w:rsidR="007F76DA" w:rsidRDefault="007F76DA" w:rsidP="003C3E2B">
      <w:pPr>
        <w:pStyle w:val="Bullet"/>
      </w:pPr>
      <w:r w:rsidRPr="008B28FA">
        <w:t>The rights of individuals and their families to make an informed decision regarding organ and/or tissue donation.</w:t>
      </w:r>
    </w:p>
    <w:p w14:paraId="0DED67D6" w14:textId="77777777" w:rsidR="00FC3B37" w:rsidRPr="003C3E2B" w:rsidRDefault="00FC3B37" w:rsidP="00FC3B37">
      <w:pPr>
        <w:pStyle w:val="Bullet"/>
        <w:numPr>
          <w:ilvl w:val="0"/>
          <w:numId w:val="0"/>
        </w:numPr>
        <w:ind w:left="360"/>
      </w:pPr>
    </w:p>
    <w:p w14:paraId="3D0B6CF1" w14:textId="77777777" w:rsidR="007F76DA" w:rsidRPr="00FC3B37" w:rsidRDefault="007F76DA" w:rsidP="00FC3B37">
      <w:pPr>
        <w:pStyle w:val="Bullet"/>
        <w:numPr>
          <w:ilvl w:val="0"/>
          <w:numId w:val="0"/>
        </w:numPr>
        <w:ind w:left="360" w:hanging="360"/>
        <w:rPr>
          <w:b/>
          <w:bCs/>
        </w:rPr>
      </w:pPr>
      <w:r w:rsidRPr="00FC3B37">
        <w:rPr>
          <w:b/>
          <w:bCs/>
        </w:rPr>
        <w:t xml:space="preserve">DonateLife ACT staff </w:t>
      </w:r>
      <w:r w:rsidRPr="00FC3B37">
        <w:t>are responsible for</w:t>
      </w:r>
      <w:r w:rsidRPr="00FC3B37">
        <w:rPr>
          <w:b/>
          <w:bCs/>
        </w:rPr>
        <w:t>:</w:t>
      </w:r>
    </w:p>
    <w:p w14:paraId="7A5F3423" w14:textId="77777777" w:rsidR="007F76DA" w:rsidRPr="00FC3B37" w:rsidRDefault="007F76DA" w:rsidP="00FC3B37">
      <w:pPr>
        <w:pStyle w:val="Bullet"/>
      </w:pPr>
      <w:r w:rsidRPr="00FC3B37">
        <w:t>Accessing the Australian Organ Donor Register (AODR) when a referral is made</w:t>
      </w:r>
    </w:p>
    <w:p w14:paraId="316013B5" w14:textId="77777777" w:rsidR="007F76DA" w:rsidRPr="00FC3B37" w:rsidRDefault="007F76DA" w:rsidP="00FC3B37">
      <w:pPr>
        <w:pStyle w:val="Bullet"/>
      </w:pPr>
      <w:r w:rsidRPr="00FC3B37">
        <w:t>Determining medical suitability for donation in consultation with the treating teams, transplantation teams and tissue banks</w:t>
      </w:r>
    </w:p>
    <w:p w14:paraId="4DE0DD4C" w14:textId="77777777" w:rsidR="007F76DA" w:rsidRPr="00FC3B37" w:rsidRDefault="007F76DA" w:rsidP="00FC3B37">
      <w:pPr>
        <w:pStyle w:val="Bullet"/>
      </w:pPr>
      <w:r w:rsidRPr="00FC3B37">
        <w:t>Discussing donation with the family as per National Best Practice Guidelines (see Section 4) after accessing the AODR and after assessing preliminary medical suitability</w:t>
      </w:r>
    </w:p>
    <w:p w14:paraId="7B1B7865" w14:textId="537F17DB" w:rsidR="009C5CB2" w:rsidRPr="00FC3B37" w:rsidRDefault="007F76DA" w:rsidP="0091462B">
      <w:pPr>
        <w:pStyle w:val="Bullet"/>
      </w:pPr>
      <w:r w:rsidRPr="00FC3B37">
        <w:t>Facilitating the end-to-end process of organ and tissue donation.</w:t>
      </w:r>
    </w:p>
    <w:p w14:paraId="3A443804" w14:textId="00DB60C1" w:rsidR="00481A6C" w:rsidRPr="00FC3B37" w:rsidRDefault="00481A6C" w:rsidP="0091462B">
      <w:pPr>
        <w:pStyle w:val="BodyCopy"/>
        <w:rPr>
          <w:rStyle w:val="Hyperlink"/>
          <w:color w:val="000000" w:themeColor="text1"/>
        </w:rPr>
      </w:pPr>
      <w:hyperlink w:anchor="_top" w:history="1">
        <w:r w:rsidRPr="00FC3B37">
          <w:rPr>
            <w:rStyle w:val="Hyperlink"/>
            <w:color w:val="000000" w:themeColor="text1"/>
          </w:rPr>
          <w:t>Back to Contents</w:t>
        </w:r>
      </w:hyperlink>
    </w:p>
    <w:p w14:paraId="6625D721" w14:textId="1CF2CED3" w:rsidR="0078367D" w:rsidRPr="00FC3B37" w:rsidRDefault="0078367D" w:rsidP="00FC3B37">
      <w:pPr>
        <w:pStyle w:val="Heading4"/>
      </w:pPr>
      <w:bookmarkStart w:id="9" w:name="_Toc176425611"/>
      <w:bookmarkStart w:id="10" w:name="_Toc188011789"/>
      <w:r w:rsidRPr="00FC3B37">
        <w:t xml:space="preserve">Section </w:t>
      </w:r>
      <w:bookmarkEnd w:id="9"/>
      <w:r w:rsidR="007F76DA" w:rsidRPr="00FC3B37">
        <w:t>3 – End of Life at CHS</w:t>
      </w:r>
      <w:bookmarkEnd w:id="10"/>
    </w:p>
    <w:p w14:paraId="63167FF6" w14:textId="77777777" w:rsidR="007F76DA" w:rsidRPr="008B28FA" w:rsidRDefault="007F76DA" w:rsidP="00FC3B37">
      <w:pPr>
        <w:pStyle w:val="BodyCopy"/>
      </w:pPr>
      <w:r w:rsidRPr="008B28FA">
        <w:t>In Australia, the trigger to consult donation staff occurs when there is medical consensus that the patient is near the end-of-life.</w:t>
      </w:r>
    </w:p>
    <w:p w14:paraId="07227046" w14:textId="0B8EED07" w:rsidR="007F76DA" w:rsidRPr="008B28FA" w:rsidRDefault="007F76DA" w:rsidP="00FC3B37">
      <w:pPr>
        <w:pStyle w:val="BodyCopy"/>
      </w:pPr>
      <w:r w:rsidRPr="008B28FA">
        <w:t xml:space="preserve">End-of-life decision-making should be a documented, collaborative process involving at least two independent medical teams (in ICU this is an </w:t>
      </w:r>
      <w:r w:rsidR="00285E08" w:rsidRPr="008B28FA">
        <w:t>Intensive Care Specialist</w:t>
      </w:r>
      <w:r w:rsidRPr="008B28FA">
        <w:t xml:space="preserve"> and the primary team’s specialist, e.g. neurosurgeon, neurologist, trauma specialist).</w:t>
      </w:r>
    </w:p>
    <w:p w14:paraId="7B2DEDAC" w14:textId="77777777" w:rsidR="007F76DA" w:rsidRPr="008B28FA" w:rsidRDefault="007F76DA" w:rsidP="00FC3B37">
      <w:pPr>
        <w:pStyle w:val="BodyCopy"/>
      </w:pPr>
      <w:r w:rsidRPr="008B28FA">
        <w:t>The decision to discontinue treatment should be made in accordance with the principles set out in the Australian and New Zealand Intensive Care Society (ANZICS) Statement on Care and Decision-Making at the End of Life for the Critically Ill. This decision is independent of any consideration of donation. In addition, there should be separation between the roles of the medical team involved in caring for the donor and their family and the medical team involved in retrieving organs and tissues.</w:t>
      </w:r>
    </w:p>
    <w:p w14:paraId="2C4FED2F" w14:textId="57D7B81E" w:rsidR="007F76DA" w:rsidRPr="008B28FA" w:rsidRDefault="007F76DA" w:rsidP="00FC3B37">
      <w:pPr>
        <w:pStyle w:val="BodyCopy"/>
      </w:pPr>
      <w:r w:rsidRPr="008B28FA">
        <w:t>Emergency Department</w:t>
      </w:r>
      <w:r w:rsidR="00285E08">
        <w:t xml:space="preserve"> </w:t>
      </w:r>
      <w:r w:rsidRPr="008B28FA">
        <w:t>and Intensive Care specialists who have dual roles as treating doctor and donation physician i.e., DL ACT Donation Specialist Medical (DSM) officer or DL ACT State Medical Director (SMD) are required to:</w:t>
      </w:r>
    </w:p>
    <w:p w14:paraId="114AFB98" w14:textId="77777777" w:rsidR="007F76DA" w:rsidRPr="008B28FA" w:rsidRDefault="007F76DA" w:rsidP="00285E08">
      <w:pPr>
        <w:pStyle w:val="Bullet"/>
      </w:pPr>
      <w:r w:rsidRPr="008B28FA">
        <w:t>Delegate the offering of organ and tissue donation to another appropriate person such as a Donation Specialist Nursing Coordinator (DSNC)</w:t>
      </w:r>
    </w:p>
    <w:p w14:paraId="703AD8FD" w14:textId="1D99F186" w:rsidR="007F76DA" w:rsidRPr="008B28FA" w:rsidRDefault="007F76DA" w:rsidP="00285E08">
      <w:pPr>
        <w:pStyle w:val="Bullet"/>
      </w:pPr>
      <w:r w:rsidRPr="008B28FA">
        <w:t>Delegate any decision making regarding the donation process, medical suitability or jurisdictional requests to another DSM</w:t>
      </w:r>
    </w:p>
    <w:p w14:paraId="3F7CAC60" w14:textId="35D361BF" w:rsidR="007F76DA" w:rsidRPr="008B28FA" w:rsidRDefault="007F76DA" w:rsidP="00285E08">
      <w:pPr>
        <w:pStyle w:val="BodyCopy"/>
      </w:pPr>
      <w:r w:rsidRPr="008B28FA">
        <w:t xml:space="preserve">This approach is to manage potential or perceived conflicts of interest and only applies when the SMD/DSM are rostered to work in both roles at the same time. </w:t>
      </w:r>
    </w:p>
    <w:p w14:paraId="33C91933" w14:textId="59C5293C" w:rsidR="007F76DA" w:rsidRPr="008B28FA" w:rsidRDefault="007F76DA" w:rsidP="00285E08">
      <w:pPr>
        <w:pStyle w:val="BodyCopy"/>
      </w:pPr>
      <w:r w:rsidRPr="008B28FA">
        <w:lastRenderedPageBreak/>
        <w:t xml:space="preserve">When there is medical consensus in the </w:t>
      </w:r>
      <w:r w:rsidRPr="008B28FA">
        <w:rPr>
          <w:b/>
        </w:rPr>
        <w:t>ED, ICU or NICU</w:t>
      </w:r>
      <w:r w:rsidRPr="008B28FA">
        <w:t xml:space="preserve"> that </w:t>
      </w:r>
      <w:r w:rsidRPr="008B28FA">
        <w:rPr>
          <w:i/>
        </w:rPr>
        <w:t>any</w:t>
      </w:r>
      <w:r w:rsidRPr="008B28FA">
        <w:t xml:space="preserve"> patient is near the end of life, referral/notification to DL ACT should take place. A preliminary assessment, including review of the Australian Organ Donor Register, will be made regarding the appropriateness of offering donation and allow a timely exploration of the donation process.</w:t>
      </w:r>
    </w:p>
    <w:p w14:paraId="09546B17" w14:textId="73EA97BF" w:rsidR="007F76DA" w:rsidRPr="008B28FA" w:rsidRDefault="007F76DA" w:rsidP="00285E08">
      <w:pPr>
        <w:pStyle w:val="BodyCopy"/>
      </w:pPr>
      <w:r w:rsidRPr="008B28FA">
        <w:t>Most patients who become organ donors are admitted to ICU with an uncertain but likely poor prognosis. ICU admission gives time for detailed prognostic assessment and for the family to come to terms with the situation and assimilate information. If a poor prognosis is subsequently confirmed, the option of organ donation is offered as part of end-of-life care</w:t>
      </w:r>
      <w:r w:rsidR="00285E08">
        <w:t>,</w:t>
      </w:r>
      <w:r w:rsidRPr="008B28FA">
        <w:t xml:space="preserve"> if the patient is medically suitable. Occasionally, when ICU admission is not offered for active treatment, it may be offered solely for the purpose of organ donation as part of end-of-life care. A referral to ICU should be made via the Outreach Registrar on 0401 691 565.</w:t>
      </w:r>
    </w:p>
    <w:p w14:paraId="5008D9F9" w14:textId="4DAE6EE9" w:rsidR="007F76DA" w:rsidRPr="008B28FA" w:rsidRDefault="007F76DA" w:rsidP="00285E08">
      <w:pPr>
        <w:pStyle w:val="BodyCopy"/>
        <w:pBdr>
          <w:top w:val="single" w:sz="4" w:space="1" w:color="auto"/>
          <w:left w:val="single" w:sz="4" w:space="4" w:color="auto"/>
          <w:bottom w:val="single" w:sz="4" w:space="1" w:color="auto"/>
          <w:right w:val="single" w:sz="4" w:space="4" w:color="auto"/>
        </w:pBdr>
      </w:pPr>
      <w:r w:rsidRPr="008B28FA">
        <w:rPr>
          <w:b/>
        </w:rPr>
        <w:t xml:space="preserve">Alert: </w:t>
      </w:r>
      <w:r w:rsidRPr="008B28FA">
        <w:t xml:space="preserve">Organ donation is best discussed between the patient’s family and specially trained DL ACT staff (see Section 4). </w:t>
      </w:r>
    </w:p>
    <w:p w14:paraId="37021DC5" w14:textId="37E1C772" w:rsidR="007F76DA" w:rsidRPr="008B28FA" w:rsidRDefault="007F76DA" w:rsidP="00285E08">
      <w:pPr>
        <w:pStyle w:val="BodyCopy"/>
      </w:pPr>
      <w:r w:rsidRPr="008B28FA">
        <w:t xml:space="preserve">All CHS staff are encouraged to refer to DL ACT, but senior medical officers in ED, ICU and NICU are ultimately responsible for ensuring DL ACT are notified when there is medical consensus that the patient is near the end of life. </w:t>
      </w:r>
    </w:p>
    <w:p w14:paraId="673CE734" w14:textId="77777777" w:rsidR="007F76DA" w:rsidRPr="00285E08" w:rsidRDefault="007F76DA" w:rsidP="00285E08">
      <w:pPr>
        <w:pStyle w:val="Heading5"/>
      </w:pPr>
      <w:r w:rsidRPr="00285E08">
        <w:t>End of life in Hospital Wards</w:t>
      </w:r>
    </w:p>
    <w:p w14:paraId="724718AA" w14:textId="431782BB" w:rsidR="009C5CB2" w:rsidRPr="00285E08" w:rsidRDefault="007F76DA" w:rsidP="0091462B">
      <w:pPr>
        <w:pStyle w:val="BodyCopy"/>
      </w:pPr>
      <w:r w:rsidRPr="008B28FA">
        <w:t>Patients who die outside of the ED or ICU environment cannot become organ donors, however they can potentially become tissue donors. Prompt entering of a patient’s death in the DHR is essential, but there is no requirement to refer a patient’s death in the hospital ward setting to DL ACT.</w:t>
      </w:r>
    </w:p>
    <w:p w14:paraId="47CD6D1C" w14:textId="34B080B9" w:rsidR="007F76DA" w:rsidRPr="00285E08" w:rsidRDefault="00481A6C" w:rsidP="0091462B">
      <w:pPr>
        <w:pStyle w:val="BodyCopy"/>
        <w:rPr>
          <w:rStyle w:val="Hyperlink"/>
          <w:color w:val="000000" w:themeColor="text1"/>
        </w:rPr>
      </w:pPr>
      <w:hyperlink w:anchor="_top" w:history="1">
        <w:r w:rsidRPr="00285E08">
          <w:rPr>
            <w:rStyle w:val="Hyperlink"/>
            <w:color w:val="000000" w:themeColor="text1"/>
          </w:rPr>
          <w:t>Back to Contents</w:t>
        </w:r>
      </w:hyperlink>
    </w:p>
    <w:p w14:paraId="624FD8D8" w14:textId="62321483" w:rsidR="007F76DA" w:rsidRPr="008B28FA" w:rsidRDefault="007F76DA" w:rsidP="00FC3B37">
      <w:pPr>
        <w:pStyle w:val="Heading4"/>
      </w:pPr>
      <w:bookmarkStart w:id="11" w:name="_Toc188011790"/>
      <w:r w:rsidRPr="008B28FA">
        <w:t>Section 4 – Family Donation Conversation, Consent and Authorisation</w:t>
      </w:r>
      <w:bookmarkEnd w:id="11"/>
    </w:p>
    <w:p w14:paraId="60A91D45" w14:textId="18A1D8B0" w:rsidR="009C5CB2" w:rsidRPr="009C5CB2" w:rsidRDefault="007F76DA" w:rsidP="00285E08">
      <w:pPr>
        <w:pStyle w:val="Heading5"/>
      </w:pPr>
      <w:r w:rsidRPr="008B28FA">
        <w:t xml:space="preserve">Discussing organ donation with the family  </w:t>
      </w:r>
    </w:p>
    <w:p w14:paraId="48489CD5" w14:textId="45A3837C" w:rsidR="007F76DA" w:rsidRPr="008B28FA" w:rsidRDefault="007F76DA" w:rsidP="00285E08">
      <w:pPr>
        <w:pStyle w:val="Bullet"/>
      </w:pPr>
      <w:r w:rsidRPr="008B28FA">
        <w:t xml:space="preserve">All intensivists and intensive care trainees who discuss </w:t>
      </w:r>
      <w:r w:rsidR="00875D2D">
        <w:t xml:space="preserve">organ </w:t>
      </w:r>
      <w:r w:rsidRPr="008B28FA">
        <w:t>donation with families should have completed, as a minimum, the Australian Organ and Tissue Authority Core Family Donation Conversation (cFDC) workshop, or the equivalent in New Zealand, and maintain skills in this area. Intensive care trainees, with support and supervision by intensivists and other involved staff, should be involved when the opportunity to consider organ donation arises (Section 4.1, The Statement on Death and Organ Donation. Edition 4.1, 2021. ANZICS).</w:t>
      </w:r>
    </w:p>
    <w:p w14:paraId="24B57B56" w14:textId="55E30D47" w:rsidR="007F76DA" w:rsidRPr="008B28FA" w:rsidRDefault="007F76DA" w:rsidP="00285E08">
      <w:pPr>
        <w:pStyle w:val="Bullet"/>
      </w:pPr>
      <w:r w:rsidRPr="008B28FA">
        <w:t xml:space="preserve">Even if the treating clinical </w:t>
      </w:r>
      <w:r w:rsidRPr="00826132">
        <w:t>specialist is an</w:t>
      </w:r>
      <w:r w:rsidR="00826132" w:rsidRPr="00826132">
        <w:t xml:space="preserve"> cFDC</w:t>
      </w:r>
      <w:r w:rsidR="00826132">
        <w:t>-t</w:t>
      </w:r>
      <w:r w:rsidRPr="00826132">
        <w:t>rained</w:t>
      </w:r>
      <w:r w:rsidRPr="008B28FA">
        <w:t xml:space="preserve"> Specialist, it is preferable that an additional cFDC-trained clinician is involved (such as a medical, nursing or donation staff member or another intensivist not involved in the care of the patient) who can then spend additional time with the family while they consider donation (Section 3.2.3, The Statement on Death and Organ Donation. Edition 4.1, 2021. ANZICS).</w:t>
      </w:r>
    </w:p>
    <w:p w14:paraId="6149518E" w14:textId="77777777" w:rsidR="007F76DA" w:rsidRPr="008B28FA" w:rsidRDefault="007F76DA" w:rsidP="00285E08">
      <w:pPr>
        <w:pStyle w:val="Bullet"/>
      </w:pPr>
      <w:bookmarkStart w:id="12" w:name="_Hlk46835925"/>
      <w:r w:rsidRPr="008B28FA">
        <w:lastRenderedPageBreak/>
        <w:t>Bedside nurses are encouraged to defer conversations regarding organ donation to DL ACT staff.</w:t>
      </w:r>
    </w:p>
    <w:p w14:paraId="54CAA115" w14:textId="19AA486A" w:rsidR="007F76DA" w:rsidRPr="008B28FA" w:rsidRDefault="007F76DA" w:rsidP="00285E08">
      <w:pPr>
        <w:pStyle w:val="Bullet"/>
      </w:pPr>
      <w:r w:rsidRPr="008B28FA">
        <w:t xml:space="preserve">If a family raises the possibility of organ donation before the treating team has discussed end of life care, DL ACT should be contacted as soon as practical and invited to speak with </w:t>
      </w:r>
      <w:r w:rsidR="00987356">
        <w:t>family</w:t>
      </w:r>
      <w:r w:rsidRPr="008B28FA">
        <w:t>.</w:t>
      </w:r>
    </w:p>
    <w:bookmarkEnd w:id="12"/>
    <w:p w14:paraId="7C927D10" w14:textId="77777777" w:rsidR="007F76DA" w:rsidRPr="008B28FA" w:rsidRDefault="007F76DA" w:rsidP="00285E08">
      <w:pPr>
        <w:pStyle w:val="Bullet"/>
      </w:pPr>
      <w:r w:rsidRPr="008B28FA">
        <w:t>A DSNC is available 24hrs a day via switchboard (02) 5124 0000.</w:t>
      </w:r>
    </w:p>
    <w:p w14:paraId="1AD4D83C" w14:textId="55B15F9F" w:rsidR="007F76DA" w:rsidRPr="008B28FA" w:rsidRDefault="007F76DA" w:rsidP="00285E08">
      <w:pPr>
        <w:pStyle w:val="Bullet"/>
      </w:pPr>
      <w:r w:rsidRPr="008B28FA">
        <w:t>For Aboriginal and Torres Strait Islander families</w:t>
      </w:r>
      <w:r w:rsidR="00987356">
        <w:t>,</w:t>
      </w:r>
      <w:r w:rsidRPr="008B28FA">
        <w:t xml:space="preserve"> ensure the ALO Service is involved to support the family and Senior Available Next of Kin (SANoK).</w:t>
      </w:r>
    </w:p>
    <w:p w14:paraId="0797AB50" w14:textId="77777777" w:rsidR="007F76DA" w:rsidRPr="008B28FA" w:rsidRDefault="007F76DA" w:rsidP="00285E08">
      <w:pPr>
        <w:pStyle w:val="BodyCopy"/>
      </w:pPr>
      <w:r w:rsidRPr="008B28FA">
        <w:t xml:space="preserve">The consenting and authorisation process for organ and tissue donation is the responsibility of the DSNC. </w:t>
      </w:r>
    </w:p>
    <w:p w14:paraId="01DE16BF" w14:textId="77777777" w:rsidR="007F76DA" w:rsidRPr="008B28FA" w:rsidRDefault="007F76DA" w:rsidP="00285E08">
      <w:pPr>
        <w:pStyle w:val="BodyCopy"/>
        <w:spacing w:after="0"/>
      </w:pPr>
      <w:r w:rsidRPr="008B28FA">
        <w:t>There are several components of consent/authorisation for organ and tissue donation:</w:t>
      </w:r>
    </w:p>
    <w:p w14:paraId="401B54C2" w14:textId="77777777" w:rsidR="007F76DA" w:rsidRPr="008B28FA" w:rsidRDefault="007F76DA" w:rsidP="00285E08">
      <w:pPr>
        <w:pStyle w:val="Bullet"/>
      </w:pPr>
      <w:r w:rsidRPr="008B28FA">
        <w:t>Donor</w:t>
      </w:r>
    </w:p>
    <w:p w14:paraId="738F793B" w14:textId="761DEB9B" w:rsidR="007F76DA" w:rsidRPr="008B28FA" w:rsidRDefault="007F76DA" w:rsidP="00285E08">
      <w:pPr>
        <w:pStyle w:val="Bullet"/>
      </w:pPr>
      <w:r w:rsidRPr="008B28FA">
        <w:t>Family and SANoK</w:t>
      </w:r>
      <w:r w:rsidR="001718F4">
        <w:t xml:space="preserve"> </w:t>
      </w:r>
    </w:p>
    <w:p w14:paraId="622ACCB6" w14:textId="77777777" w:rsidR="007F76DA" w:rsidRPr="008B28FA" w:rsidRDefault="007F76DA" w:rsidP="00285E08">
      <w:pPr>
        <w:pStyle w:val="Bullet"/>
      </w:pPr>
      <w:r w:rsidRPr="008B28FA">
        <w:t>Coroner (If required)</w:t>
      </w:r>
    </w:p>
    <w:p w14:paraId="1EFC3AC2" w14:textId="77777777" w:rsidR="007F76DA" w:rsidRPr="008B28FA" w:rsidRDefault="007F76DA" w:rsidP="00285E08">
      <w:pPr>
        <w:pStyle w:val="Bullet"/>
      </w:pPr>
      <w:r w:rsidRPr="008B28FA">
        <w:t>Designated Officer (DO)</w:t>
      </w:r>
    </w:p>
    <w:p w14:paraId="0287E2FE" w14:textId="0D4DAE5B" w:rsidR="007F76DA" w:rsidRPr="008B28FA" w:rsidRDefault="007F76DA" w:rsidP="00285E08">
      <w:pPr>
        <w:pStyle w:val="BodyCopy"/>
      </w:pPr>
      <w:r w:rsidRPr="008B28FA">
        <w:t>An appropriate consent/authorisation is generally determined through the deceased person’s ‘expressed wish’ for donation or lack of objection.</w:t>
      </w:r>
    </w:p>
    <w:p w14:paraId="6F735ED0" w14:textId="77777777" w:rsidR="007F76DA" w:rsidRPr="008B28FA" w:rsidRDefault="007F76DA" w:rsidP="00285E08">
      <w:pPr>
        <w:pStyle w:val="BodyCopy"/>
        <w:spacing w:after="0"/>
      </w:pPr>
      <w:r w:rsidRPr="008B28FA">
        <w:t xml:space="preserve">Confirmation of either an ‘expressed wish’ or ‘expressed objection’ may include: </w:t>
      </w:r>
    </w:p>
    <w:p w14:paraId="38094B52" w14:textId="270B8227" w:rsidR="007F76DA" w:rsidRPr="008B28FA" w:rsidRDefault="007F76DA" w:rsidP="00285E08">
      <w:pPr>
        <w:pStyle w:val="Bullet"/>
      </w:pPr>
      <w:r w:rsidRPr="008B28FA">
        <w:t>A consent, an intent or a refusal to organ donation +/- any limitation on the AODR</w:t>
      </w:r>
    </w:p>
    <w:p w14:paraId="579B6912" w14:textId="714C5273" w:rsidR="007F76DA" w:rsidRPr="008B28FA" w:rsidRDefault="007F76DA" w:rsidP="00285E08">
      <w:pPr>
        <w:pStyle w:val="Bullet"/>
      </w:pPr>
      <w:r w:rsidRPr="008B28FA">
        <w:t>Documentation in the person</w:t>
      </w:r>
      <w:r w:rsidR="00987356">
        <w:t>’</w:t>
      </w:r>
      <w:r w:rsidRPr="008B28FA">
        <w:t>s Will, Advanced Care Directive or End Of Life Care Plan</w:t>
      </w:r>
    </w:p>
    <w:p w14:paraId="001AC10B" w14:textId="77777777" w:rsidR="007F76DA" w:rsidRPr="008B28FA" w:rsidRDefault="007F76DA" w:rsidP="00285E08">
      <w:pPr>
        <w:pStyle w:val="Bullet"/>
      </w:pPr>
      <w:r w:rsidRPr="008B28FA">
        <w:t>Consent for organ and/or tissue donation obtained from the donor themselves</w:t>
      </w:r>
    </w:p>
    <w:p w14:paraId="6399E22F" w14:textId="506CB7BE" w:rsidR="007F76DA" w:rsidRPr="00285E08" w:rsidRDefault="007F76DA" w:rsidP="00285E08">
      <w:pPr>
        <w:pStyle w:val="Bullet"/>
      </w:pPr>
      <w:r w:rsidRPr="008B28FA">
        <w:t>The SANoK and other family/friend’s knowledge of the person’s wishes</w:t>
      </w:r>
      <w:bookmarkStart w:id="13" w:name="_Toc496604097"/>
      <w:r w:rsidRPr="008B28FA">
        <w:t>.</w:t>
      </w:r>
    </w:p>
    <w:p w14:paraId="21870343" w14:textId="77777777" w:rsidR="007F76DA" w:rsidRPr="008B28FA" w:rsidRDefault="007F76DA" w:rsidP="00875D2D">
      <w:pPr>
        <w:pStyle w:val="Heading5"/>
      </w:pPr>
      <w:bookmarkStart w:id="14" w:name="_Toc52277078"/>
      <w:r w:rsidRPr="008B28FA">
        <w:t>Australian Organ Donor Register (AODR) Status</w:t>
      </w:r>
      <w:bookmarkEnd w:id="13"/>
      <w:bookmarkEnd w:id="14"/>
    </w:p>
    <w:p w14:paraId="5394E12E" w14:textId="77777777" w:rsidR="007F76DA" w:rsidRPr="008B28FA" w:rsidRDefault="007F76DA" w:rsidP="00285E08">
      <w:pPr>
        <w:pStyle w:val="BodyCopy"/>
      </w:pPr>
      <w:r w:rsidRPr="008B28FA">
        <w:t>Prior to families being approached to discuss organ and tissue donation, the DSNC will check the AODR to determine if the patient had indicated their donation wishes:</w:t>
      </w:r>
    </w:p>
    <w:p w14:paraId="118F7243" w14:textId="77777777" w:rsidR="007F76DA" w:rsidRPr="008B28FA" w:rsidRDefault="007F76DA" w:rsidP="00285E08">
      <w:pPr>
        <w:pStyle w:val="Bullet"/>
      </w:pPr>
      <w:r w:rsidRPr="008B28FA">
        <w:t>Intent/ Consent</w:t>
      </w:r>
    </w:p>
    <w:p w14:paraId="471F31EE" w14:textId="77777777" w:rsidR="007F76DA" w:rsidRPr="008B28FA" w:rsidRDefault="007F76DA" w:rsidP="00285E08">
      <w:pPr>
        <w:pStyle w:val="Bullet"/>
      </w:pPr>
      <w:r w:rsidRPr="008B28FA">
        <w:t>Refusal</w:t>
      </w:r>
    </w:p>
    <w:p w14:paraId="1EC0F437" w14:textId="406297B1" w:rsidR="007F76DA" w:rsidRPr="00285E08" w:rsidRDefault="007F76DA" w:rsidP="00285E08">
      <w:pPr>
        <w:pStyle w:val="Bullet"/>
      </w:pPr>
      <w:r w:rsidRPr="008B28FA">
        <w:t>Not found/not listed</w:t>
      </w:r>
    </w:p>
    <w:p w14:paraId="333A7A24" w14:textId="7A2F3256" w:rsidR="007F76DA" w:rsidRPr="008B28FA" w:rsidRDefault="007F76DA" w:rsidP="00285E08">
      <w:pPr>
        <w:pStyle w:val="BodyCopy"/>
      </w:pPr>
      <w:r w:rsidRPr="008B28FA">
        <w:t xml:space="preserve">The family will be informed of any indicated donation wish for or against donation during the FDC. </w:t>
      </w:r>
    </w:p>
    <w:p w14:paraId="656C9603" w14:textId="77777777" w:rsidR="007F76DA" w:rsidRPr="008B28FA" w:rsidRDefault="007F76DA" w:rsidP="00285E08">
      <w:pPr>
        <w:pStyle w:val="Heading5"/>
      </w:pPr>
      <w:bookmarkStart w:id="15" w:name="_Toc496604098"/>
      <w:bookmarkStart w:id="16" w:name="_Toc52277079"/>
      <w:r w:rsidRPr="008B28FA">
        <w:t>Pre- Consent/ Authorisation</w:t>
      </w:r>
      <w:bookmarkEnd w:id="15"/>
      <w:bookmarkEnd w:id="16"/>
      <w:r w:rsidRPr="008B28FA">
        <w:t xml:space="preserve"> </w:t>
      </w:r>
    </w:p>
    <w:p w14:paraId="2018F4F4" w14:textId="7FAAF6F6" w:rsidR="007F76DA" w:rsidRPr="008B28FA" w:rsidRDefault="007F76DA" w:rsidP="00285E08">
      <w:pPr>
        <w:pStyle w:val="BodyCopy"/>
        <w:rPr>
          <w:b/>
        </w:rPr>
      </w:pPr>
      <w:bookmarkStart w:id="17" w:name="_Toc450568345"/>
      <w:bookmarkStart w:id="18" w:name="_Toc449602776"/>
      <w:r w:rsidRPr="008B28FA">
        <w:t>Obtaining pre-mortem consent/ authorisation is possible when DL ACT is contacted by a patient, patient’s family or a health care professional. The DSNC will meet with the patient/ patient’s family at their home or at the healthcare facility prior to death and obtain pre-</w:t>
      </w:r>
      <w:r w:rsidRPr="008B28FA">
        <w:lastRenderedPageBreak/>
        <w:t xml:space="preserve">consent/ authorisation for the removal of tissue after death </w:t>
      </w:r>
      <w:bookmarkEnd w:id="17"/>
      <w:r w:rsidRPr="008B28FA">
        <w:t>as appropriate. This is most likely to relate to post-mortem tissue donation and not organ donation.</w:t>
      </w:r>
      <w:bookmarkEnd w:id="18"/>
    </w:p>
    <w:p w14:paraId="7879F5FA" w14:textId="77777777" w:rsidR="007F76DA" w:rsidRPr="008B28FA" w:rsidRDefault="007F76DA" w:rsidP="00285E08">
      <w:pPr>
        <w:pStyle w:val="Heading5"/>
      </w:pPr>
      <w:bookmarkStart w:id="19" w:name="_Toc496604099"/>
      <w:bookmarkStart w:id="20" w:name="_Toc52277080"/>
      <w:r w:rsidRPr="008B28FA">
        <w:t>Consent/Authorisation from the patient’s SANoK via a Family Donation Conversation (FDC)</w:t>
      </w:r>
      <w:bookmarkEnd w:id="19"/>
      <w:bookmarkEnd w:id="20"/>
      <w:r w:rsidRPr="008B28FA">
        <w:t xml:space="preserve"> </w:t>
      </w:r>
    </w:p>
    <w:p w14:paraId="79DE60A4" w14:textId="77777777" w:rsidR="007F76DA" w:rsidRPr="008B28FA" w:rsidRDefault="007F76DA" w:rsidP="00285E08">
      <w:pPr>
        <w:pStyle w:val="Heading6"/>
      </w:pPr>
      <w:r w:rsidRPr="008B28FA">
        <w:t>FDC for Organ Donation:</w:t>
      </w:r>
    </w:p>
    <w:p w14:paraId="632E7846" w14:textId="77777777" w:rsidR="007F76DA" w:rsidRPr="008B28FA" w:rsidRDefault="007F76DA" w:rsidP="00285E08">
      <w:pPr>
        <w:pStyle w:val="Bullet"/>
      </w:pPr>
      <w:r w:rsidRPr="008B28FA">
        <w:t>Once the patient has been deemed potentially suitable for organ donation, the Intensivist or delegate, and DSNC will discuss the plan for the FDC</w:t>
      </w:r>
    </w:p>
    <w:p w14:paraId="08C909A6" w14:textId="77777777" w:rsidR="007F76DA" w:rsidRPr="008B28FA" w:rsidRDefault="007F76DA" w:rsidP="00285E08">
      <w:pPr>
        <w:pStyle w:val="Bullet"/>
      </w:pPr>
      <w:r w:rsidRPr="008B28FA">
        <w:t>The FDC will ONLY occur following End of Life Conversations (EOLC) and the family’s understanding and acceptance that the patient is at the end-of-life</w:t>
      </w:r>
    </w:p>
    <w:p w14:paraId="2383CE38" w14:textId="77777777" w:rsidR="007F76DA" w:rsidRPr="008B28FA" w:rsidRDefault="007F76DA" w:rsidP="00285E08">
      <w:pPr>
        <w:pStyle w:val="Bullet"/>
      </w:pPr>
      <w:r w:rsidRPr="008B28FA">
        <w:t>There should be clear separation (in time) between the EOLC and FDC conversation</w:t>
      </w:r>
    </w:p>
    <w:p w14:paraId="128AF491" w14:textId="77777777" w:rsidR="007F76DA" w:rsidRPr="008B28FA" w:rsidRDefault="007F76DA" w:rsidP="00285E08">
      <w:pPr>
        <w:pStyle w:val="Bullet"/>
      </w:pPr>
      <w:r w:rsidRPr="008B28FA">
        <w:t>If the family authorise donation, the SANoK is required to sign the authorisation form (or delegate this responsibility)</w:t>
      </w:r>
    </w:p>
    <w:p w14:paraId="77D51752" w14:textId="77777777" w:rsidR="007F76DA" w:rsidRPr="008B28FA" w:rsidRDefault="007F76DA" w:rsidP="00285E08">
      <w:pPr>
        <w:pStyle w:val="Bullet"/>
        <w:rPr>
          <w:i/>
        </w:rPr>
      </w:pPr>
      <w:r w:rsidRPr="008B28FA">
        <w:t>An original copy of the written authorisation is kept by DLACT and uploaded to the patient’s Digital Health Record</w:t>
      </w:r>
    </w:p>
    <w:p w14:paraId="68CA1F3C" w14:textId="77777777" w:rsidR="007F76DA" w:rsidRPr="008B28FA" w:rsidRDefault="007F76DA" w:rsidP="007F76DA">
      <w:pPr>
        <w:pStyle w:val="ListBullet"/>
        <w:numPr>
          <w:ilvl w:val="0"/>
          <w:numId w:val="0"/>
        </w:numPr>
        <w:rPr>
          <w:rFonts w:cs="Calibri"/>
          <w:i/>
          <w:szCs w:val="24"/>
        </w:rPr>
      </w:pPr>
    </w:p>
    <w:p w14:paraId="44EC8AEB" w14:textId="1DDE009C" w:rsidR="007F76DA" w:rsidRPr="008B28FA" w:rsidRDefault="007F76DA" w:rsidP="00285E08">
      <w:pPr>
        <w:pStyle w:val="Heading6"/>
      </w:pPr>
      <w:r w:rsidRPr="008B28FA">
        <w:t>FDC for Tissue Donation:</w:t>
      </w:r>
    </w:p>
    <w:p w14:paraId="653ABB1C" w14:textId="77777777" w:rsidR="007F76DA" w:rsidRPr="008B28FA" w:rsidRDefault="007F76DA" w:rsidP="00285E08">
      <w:pPr>
        <w:pStyle w:val="Bullet"/>
      </w:pPr>
      <w:r w:rsidRPr="008B28FA">
        <w:t>Once the patient has been deemed suitable for donation, the DSNC will telephone or will meet face to face with the SANoK to discuss tissue donation</w:t>
      </w:r>
    </w:p>
    <w:p w14:paraId="19290162" w14:textId="77777777" w:rsidR="007F76DA" w:rsidRPr="008B28FA" w:rsidRDefault="007F76DA" w:rsidP="00285E08">
      <w:pPr>
        <w:pStyle w:val="Bullet"/>
      </w:pPr>
      <w:r w:rsidRPr="008B28FA">
        <w:t>If the SANoK</w:t>
      </w:r>
      <w:r w:rsidRPr="008B28FA" w:rsidDel="00717EA2">
        <w:t xml:space="preserve"> </w:t>
      </w:r>
      <w:r w:rsidRPr="008B28FA">
        <w:t>authorises donation, the DSNC will obtain permission to record a verbal authorisation over the telephone (when authorisation is not sought face to face)</w:t>
      </w:r>
    </w:p>
    <w:p w14:paraId="5526C8C5" w14:textId="77777777" w:rsidR="007F76DA" w:rsidRPr="008B28FA" w:rsidRDefault="007F76DA" w:rsidP="00285E08">
      <w:pPr>
        <w:pStyle w:val="Bullet"/>
      </w:pPr>
      <w:r w:rsidRPr="008B28FA">
        <w:t>The verbal authorisation is saved securely in DonateLife files.</w:t>
      </w:r>
    </w:p>
    <w:p w14:paraId="4BF101EF" w14:textId="77777777" w:rsidR="007F76DA" w:rsidRPr="008B28FA" w:rsidRDefault="007F76DA" w:rsidP="00285E08">
      <w:pPr>
        <w:pStyle w:val="Bullet"/>
      </w:pPr>
      <w:r w:rsidRPr="008B28FA">
        <w:t>The authorisation form is added to the patient’s medical record</w:t>
      </w:r>
    </w:p>
    <w:p w14:paraId="4968F4A9" w14:textId="77777777" w:rsidR="008B28FA" w:rsidRDefault="008B28FA" w:rsidP="008B28FA">
      <w:pPr>
        <w:pStyle w:val="ListBullet"/>
        <w:numPr>
          <w:ilvl w:val="0"/>
          <w:numId w:val="0"/>
        </w:numPr>
        <w:rPr>
          <w:rFonts w:cs="Calibri"/>
          <w:szCs w:val="24"/>
        </w:rPr>
      </w:pPr>
    </w:p>
    <w:p w14:paraId="1C78D3F4" w14:textId="4D7CD7A0" w:rsidR="008B28FA" w:rsidRDefault="008B28FA" w:rsidP="00285E08">
      <w:pPr>
        <w:pStyle w:val="BodyCopy"/>
        <w:spacing w:after="0"/>
      </w:pPr>
      <w:r>
        <w:t>Wi</w:t>
      </w:r>
      <w:r w:rsidR="007F76DA" w:rsidRPr="008B28FA">
        <w:t>thin the FDC, families will be informed of the following:</w:t>
      </w:r>
      <w:r>
        <w:t xml:space="preserve">  </w:t>
      </w:r>
    </w:p>
    <w:p w14:paraId="05CCF406" w14:textId="6E531027" w:rsidR="008B28FA" w:rsidRPr="0001348C" w:rsidRDefault="008B28FA" w:rsidP="00285E08">
      <w:pPr>
        <w:pStyle w:val="Bullet"/>
      </w:pPr>
      <w:r w:rsidRPr="0001348C">
        <w:t>The AODR wishes of the patient</w:t>
      </w:r>
      <w:r>
        <w:t>:</w:t>
      </w:r>
    </w:p>
    <w:p w14:paraId="22BA3078" w14:textId="77777777" w:rsidR="008B28FA" w:rsidRPr="0001348C" w:rsidRDefault="008B28FA" w:rsidP="00285E08">
      <w:pPr>
        <w:pStyle w:val="Bullet"/>
        <w:numPr>
          <w:ilvl w:val="1"/>
          <w:numId w:val="1"/>
        </w:numPr>
      </w:pPr>
      <w:r w:rsidRPr="0001348C">
        <w:t>Intent/ Consent – the DSNC will advocate for the patient wishes</w:t>
      </w:r>
    </w:p>
    <w:p w14:paraId="5BE23E77" w14:textId="77777777" w:rsidR="008B28FA" w:rsidRPr="0001348C" w:rsidRDefault="008B28FA" w:rsidP="00285E08">
      <w:pPr>
        <w:pStyle w:val="Bullet"/>
        <w:numPr>
          <w:ilvl w:val="1"/>
          <w:numId w:val="1"/>
        </w:numPr>
      </w:pPr>
      <w:r w:rsidRPr="0001348C">
        <w:t>No wish registered – the DSNC will determine with the family if the patient had indicated an objection to donation in their lifetime. In the absence of an objection, the DSNC will explore if organ and tissue donation is the right decision for the patient and their family.</w:t>
      </w:r>
    </w:p>
    <w:p w14:paraId="11833107" w14:textId="77777777" w:rsidR="008B28FA" w:rsidRPr="0001348C" w:rsidRDefault="008B28FA" w:rsidP="00285E08">
      <w:pPr>
        <w:pStyle w:val="Bullet"/>
        <w:numPr>
          <w:ilvl w:val="1"/>
          <w:numId w:val="1"/>
        </w:numPr>
      </w:pPr>
      <w:r w:rsidRPr="0001348C">
        <w:t>If the patient had registered a refusal to donation, the family will be asked if this accurately represents the patient’s current wish regarding donation.</w:t>
      </w:r>
    </w:p>
    <w:p w14:paraId="70FC8C31" w14:textId="77777777" w:rsidR="008B28FA" w:rsidRPr="0001348C" w:rsidRDefault="008B28FA" w:rsidP="00285E08">
      <w:pPr>
        <w:pStyle w:val="Bullet"/>
      </w:pPr>
      <w:r w:rsidRPr="0001348C">
        <w:t xml:space="preserve">Explanation of the donation process </w:t>
      </w:r>
    </w:p>
    <w:p w14:paraId="239B2BEA" w14:textId="77777777" w:rsidR="008B28FA" w:rsidRPr="0001348C" w:rsidRDefault="008B28FA" w:rsidP="00285E08">
      <w:pPr>
        <w:pStyle w:val="Bullet"/>
      </w:pPr>
      <w:r w:rsidRPr="0001348C">
        <w:t>Importance and rarity of organ and tissue donation</w:t>
      </w:r>
    </w:p>
    <w:p w14:paraId="3D1936D4" w14:textId="2AED7389" w:rsidR="008B28FA" w:rsidRPr="00285E08" w:rsidRDefault="008B28FA" w:rsidP="00285E08">
      <w:pPr>
        <w:pStyle w:val="Bullet"/>
      </w:pPr>
      <w:r w:rsidRPr="0001348C">
        <w:t xml:space="preserve">Permission to </w:t>
      </w:r>
      <w:r>
        <w:t xml:space="preserve">seek and </w:t>
      </w:r>
      <w:r w:rsidRPr="0001348C">
        <w:t>share information about the patient with other health professionals</w:t>
      </w:r>
      <w:r>
        <w:t>.</w:t>
      </w:r>
    </w:p>
    <w:p w14:paraId="71028630" w14:textId="5AB76137" w:rsidR="008B28FA" w:rsidRPr="008B28FA" w:rsidRDefault="008B28FA" w:rsidP="00285E08">
      <w:pPr>
        <w:pStyle w:val="Heading5"/>
      </w:pPr>
      <w:bookmarkStart w:id="21" w:name="_Toc496604100"/>
      <w:bookmarkStart w:id="22" w:name="_Toc52277081"/>
      <w:bookmarkStart w:id="23" w:name="_Toc449602707"/>
      <w:bookmarkStart w:id="24" w:name="_Toc450568348"/>
      <w:r w:rsidRPr="008B28FA">
        <w:lastRenderedPageBreak/>
        <w:t xml:space="preserve">Coronial </w:t>
      </w:r>
      <w:bookmarkEnd w:id="23"/>
      <w:r w:rsidRPr="008B28FA">
        <w:t>Consent</w:t>
      </w:r>
      <w:bookmarkEnd w:id="24"/>
      <w:r w:rsidRPr="008B28FA">
        <w:t xml:space="preserve"> for Donation</w:t>
      </w:r>
      <w:bookmarkEnd w:id="21"/>
      <w:bookmarkEnd w:id="22"/>
    </w:p>
    <w:p w14:paraId="08E2E1E4" w14:textId="77777777" w:rsidR="008B28FA" w:rsidRPr="008B28FA" w:rsidRDefault="008B28FA" w:rsidP="005954B3">
      <w:pPr>
        <w:pStyle w:val="BodyCopy"/>
      </w:pPr>
      <w:r w:rsidRPr="008B28FA">
        <w:t xml:space="preserve">A reportable coronial death does not exclude the possibility of organ and tissue donation. </w:t>
      </w:r>
    </w:p>
    <w:p w14:paraId="4AB1813B" w14:textId="4AC500F3" w:rsidR="008B28FA" w:rsidRPr="008B28FA" w:rsidRDefault="008B28FA" w:rsidP="005954B3">
      <w:pPr>
        <w:pStyle w:val="BodyCopy"/>
      </w:pPr>
      <w:r w:rsidRPr="008B28FA">
        <w:t xml:space="preserve">The process of obtaining consent from the ACT Coroner for organ and tissue donation within the ACT is outlined in the </w:t>
      </w:r>
      <w:r w:rsidRPr="0004494A">
        <w:rPr>
          <w:i/>
          <w:iCs w:val="0"/>
        </w:rPr>
        <w:t>Coroners Act</w:t>
      </w:r>
      <w:r w:rsidRPr="008B28FA">
        <w:t xml:space="preserve"> 1997 section 15 and the </w:t>
      </w:r>
      <w:r w:rsidRPr="0004494A">
        <w:rPr>
          <w:i/>
          <w:iCs w:val="0"/>
        </w:rPr>
        <w:t>Transplant</w:t>
      </w:r>
      <w:r w:rsidR="0004494A" w:rsidRPr="0004494A">
        <w:rPr>
          <w:i/>
          <w:iCs w:val="0"/>
        </w:rPr>
        <w:t>ation</w:t>
      </w:r>
      <w:r w:rsidRPr="0004494A">
        <w:rPr>
          <w:i/>
          <w:iCs w:val="0"/>
        </w:rPr>
        <w:t xml:space="preserve"> and Anatomy Act</w:t>
      </w:r>
      <w:r w:rsidRPr="008B28FA">
        <w:t xml:space="preserve"> 1978 section 29.</w:t>
      </w:r>
    </w:p>
    <w:p w14:paraId="7EB5211A" w14:textId="05C3E6FF" w:rsidR="008B28FA" w:rsidRDefault="008B28FA" w:rsidP="005954B3">
      <w:pPr>
        <w:pStyle w:val="BodyCopy"/>
      </w:pPr>
      <w:r w:rsidRPr="008B28FA">
        <w:t xml:space="preserve">Determination of the requirement of Coronial referral is the responsibility of the treating team. If it is determined that a patient requires referral to the Coroner, Coroner’s consent must be gained for organ or tissue donation </w:t>
      </w:r>
      <w:r w:rsidRPr="008B28FA">
        <w:rPr>
          <w:b/>
        </w:rPr>
        <w:t>before</w:t>
      </w:r>
      <w:r w:rsidRPr="008B28FA">
        <w:t xml:space="preserve"> donation can proceed.</w:t>
      </w:r>
    </w:p>
    <w:p w14:paraId="05F88AC1" w14:textId="2AEFB42E" w:rsidR="008B28FA" w:rsidRPr="008B28FA" w:rsidRDefault="008B28FA" w:rsidP="005954B3">
      <w:pPr>
        <w:pStyle w:val="BodyCopy"/>
      </w:pPr>
      <w:r w:rsidRPr="008B28FA">
        <w:t>The process to gain the coroner’s consent is:</w:t>
      </w:r>
    </w:p>
    <w:p w14:paraId="60EE3DD3" w14:textId="77777777" w:rsidR="008B28FA" w:rsidRPr="008B28FA" w:rsidRDefault="008B28FA" w:rsidP="005954B3">
      <w:pPr>
        <w:pStyle w:val="Bullet"/>
      </w:pPr>
      <w:r w:rsidRPr="008B28FA">
        <w:t>The medical staff caring for the patient are required to contact the Coroner and inform them of the death (Donation after Neurological Determination of Death; DNDD) or expected death (Donation after Circulatory Determination of Death; DCDD)</w:t>
      </w:r>
    </w:p>
    <w:p w14:paraId="2EC6B0A1" w14:textId="77777777" w:rsidR="008B28FA" w:rsidRPr="008B28FA" w:rsidRDefault="008B28FA" w:rsidP="005954B3">
      <w:pPr>
        <w:pStyle w:val="Bullet"/>
      </w:pPr>
      <w:r w:rsidRPr="008B28FA">
        <w:t>The DSNC will then contact the Coroner’s Officer (after SANoK authorisation) to discuss the potential donor. The Coroner’s Officer will liaise with the Coroner who will provide consent according to their procedures and legal requirements.</w:t>
      </w:r>
    </w:p>
    <w:p w14:paraId="4F87208C" w14:textId="51A43647" w:rsidR="008B28FA" w:rsidRPr="005954B3" w:rsidRDefault="008B28FA" w:rsidP="005954B3">
      <w:pPr>
        <w:pStyle w:val="BodyCopy"/>
      </w:pPr>
      <w:r w:rsidRPr="008B28FA">
        <w:t>The Coroner’s Officer will advise the DSNC of the consent and if there are any restrictions on the donation (e.g. not allowing specific organs to be retrieved).</w:t>
      </w:r>
    </w:p>
    <w:p w14:paraId="601CF6FE" w14:textId="77777777" w:rsidR="008B28FA" w:rsidRPr="005954B3" w:rsidRDefault="008B28FA" w:rsidP="0004494A">
      <w:pPr>
        <w:pStyle w:val="Heading6"/>
      </w:pPr>
      <w:r w:rsidRPr="005954B3">
        <w:t>Body Identification for coronial cases</w:t>
      </w:r>
    </w:p>
    <w:p w14:paraId="2A89309F" w14:textId="5641CC24" w:rsidR="001D4C5C" w:rsidRPr="005954B3" w:rsidRDefault="008B28FA" w:rsidP="005954B3">
      <w:pPr>
        <w:pStyle w:val="BodyCopy"/>
      </w:pPr>
      <w:r w:rsidRPr="008B28FA">
        <w:t xml:space="preserve">Identification of the deceased is organised by the Coroner’s officers in liaison with the DSNC and is facilitated by the Australian Federal Police (AFP). Once identification of the deceased has been completed, the DSNC assumes responsibility for the body and acts as the Coroner’s delegate, as stated in the </w:t>
      </w:r>
      <w:r w:rsidRPr="0004494A">
        <w:rPr>
          <w:i/>
          <w:iCs w:val="0"/>
        </w:rPr>
        <w:t>Coroners Act</w:t>
      </w:r>
      <w:r w:rsidRPr="008B28FA">
        <w:t xml:space="preserve"> Section 15.</w:t>
      </w:r>
    </w:p>
    <w:p w14:paraId="48740448" w14:textId="77777777" w:rsidR="008B28FA" w:rsidRPr="008B28FA" w:rsidRDefault="008B28FA" w:rsidP="0004494A">
      <w:pPr>
        <w:pStyle w:val="Heading6"/>
      </w:pPr>
      <w:r w:rsidRPr="008B28FA">
        <w:t>Tissue Donation responsibilities</w:t>
      </w:r>
    </w:p>
    <w:p w14:paraId="25D50843" w14:textId="77777777" w:rsidR="008B28FA" w:rsidRPr="008B28FA" w:rsidRDefault="008B28FA" w:rsidP="0004494A">
      <w:pPr>
        <w:pStyle w:val="BodyCopy"/>
        <w:spacing w:after="0"/>
      </w:pPr>
      <w:r w:rsidRPr="008B28FA">
        <w:t xml:space="preserve">The treating team are responsible for referral to the coroner. </w:t>
      </w:r>
    </w:p>
    <w:p w14:paraId="736A63DD" w14:textId="04260D68" w:rsidR="005954B3" w:rsidRPr="0004494A" w:rsidRDefault="008B28FA" w:rsidP="0004494A">
      <w:pPr>
        <w:pStyle w:val="BodyCopy"/>
        <w:rPr>
          <w:b/>
        </w:rPr>
      </w:pPr>
      <w:r w:rsidRPr="008B28FA">
        <w:t>The DSNC is responsible for obtaining coronial consent for tissue donation.</w:t>
      </w:r>
    </w:p>
    <w:p w14:paraId="14A92114" w14:textId="77777777" w:rsidR="008B28FA" w:rsidRPr="008B28FA" w:rsidRDefault="008B28FA" w:rsidP="0004494A">
      <w:pPr>
        <w:pStyle w:val="Heading5"/>
      </w:pPr>
      <w:bookmarkStart w:id="25" w:name="_Toc449602712"/>
      <w:bookmarkStart w:id="26" w:name="_Toc450568353"/>
      <w:bookmarkStart w:id="27" w:name="_Toc496604101"/>
      <w:bookmarkStart w:id="28" w:name="_Toc52277082"/>
      <w:r w:rsidRPr="008B28FA">
        <w:t xml:space="preserve">Designated Officer </w:t>
      </w:r>
      <w:bookmarkEnd w:id="25"/>
      <w:r w:rsidRPr="008B28FA">
        <w:t>Authorisation</w:t>
      </w:r>
      <w:bookmarkEnd w:id="26"/>
      <w:bookmarkEnd w:id="27"/>
      <w:bookmarkEnd w:id="28"/>
    </w:p>
    <w:p w14:paraId="38E33FEA" w14:textId="596CAB41" w:rsidR="008B28FA" w:rsidRPr="005954B3" w:rsidRDefault="008B28FA" w:rsidP="005954B3">
      <w:pPr>
        <w:pStyle w:val="BodyCopy"/>
      </w:pPr>
      <w:r w:rsidRPr="008B28FA">
        <w:t xml:space="preserve">A Designated Officer (DO) is a person, appointed by the Chief Health Officer under the </w:t>
      </w:r>
      <w:r w:rsidRPr="0004494A">
        <w:rPr>
          <w:i/>
          <w:iCs w:val="0"/>
        </w:rPr>
        <w:t>Transplantation and Anatomy Act</w:t>
      </w:r>
      <w:r w:rsidRPr="008B28FA">
        <w:t xml:space="preserve"> 1978 (ACT). They are responsible for the authorisation of organ and/or tissue donation within a health care facility. </w:t>
      </w:r>
      <w:bookmarkStart w:id="29" w:name="_Hlk46836180"/>
      <w:r w:rsidRPr="008B28FA">
        <w:t xml:space="preserve">Designated Officers undergo specific training through their appointment process. </w:t>
      </w:r>
      <w:bookmarkEnd w:id="29"/>
    </w:p>
    <w:p w14:paraId="0117D3D8" w14:textId="77777777" w:rsidR="008B28FA" w:rsidRPr="008B28FA" w:rsidRDefault="008B28FA" w:rsidP="005954B3">
      <w:pPr>
        <w:pStyle w:val="BodyCopy"/>
      </w:pPr>
      <w:r w:rsidRPr="008B28FA">
        <w:t>DO authorisation is only required when the patient is in a hospital or health care facility.</w:t>
      </w:r>
    </w:p>
    <w:p w14:paraId="0A26C529" w14:textId="77777777" w:rsidR="008B28FA" w:rsidRPr="008B28FA" w:rsidRDefault="008B28FA" w:rsidP="005954B3">
      <w:pPr>
        <w:pStyle w:val="BodyCopy"/>
      </w:pPr>
      <w:r w:rsidRPr="008B28FA">
        <w:t>The DO is required to provide the final written authority for the removal of tissue from the body of a deceased person for the purpose of organ and/or tissue donation for transplantation, research or education.</w:t>
      </w:r>
    </w:p>
    <w:p w14:paraId="0C667883" w14:textId="77777777" w:rsidR="008B28FA" w:rsidRPr="008B28FA" w:rsidRDefault="008B28FA" w:rsidP="005954B3">
      <w:pPr>
        <w:pStyle w:val="BodyCopy"/>
      </w:pPr>
      <w:r w:rsidRPr="008B28FA">
        <w:lastRenderedPageBreak/>
        <w:t>The DO is:</w:t>
      </w:r>
    </w:p>
    <w:p w14:paraId="5229E48F" w14:textId="77777777" w:rsidR="008B28FA" w:rsidRPr="008B28FA" w:rsidRDefault="008B28FA" w:rsidP="005954B3">
      <w:pPr>
        <w:pStyle w:val="Bullet"/>
      </w:pPr>
      <w:r w:rsidRPr="008B28FA">
        <w:t>Impartial, not advocating for or against organ or tissue donation</w:t>
      </w:r>
    </w:p>
    <w:p w14:paraId="2C323587" w14:textId="77777777" w:rsidR="008B28FA" w:rsidRPr="008B28FA" w:rsidRDefault="008B28FA" w:rsidP="005954B3">
      <w:pPr>
        <w:pStyle w:val="Bullet"/>
      </w:pPr>
      <w:r w:rsidRPr="008B28FA">
        <w:t>Required to have an adequate clinical understanding of the context and is a senior nursing staff member or medical officer</w:t>
      </w:r>
    </w:p>
    <w:p w14:paraId="2CE305DB" w14:textId="34DAAA42" w:rsidR="008B28FA" w:rsidRPr="005954B3" w:rsidRDefault="008B28FA" w:rsidP="005954B3">
      <w:pPr>
        <w:pStyle w:val="Bullet"/>
      </w:pPr>
      <w:r w:rsidRPr="008B28FA">
        <w:t>Not involved in the potential donor’s current admission care.</w:t>
      </w:r>
    </w:p>
    <w:p w14:paraId="1C646925" w14:textId="77777777" w:rsidR="008B28FA" w:rsidRPr="008B28FA" w:rsidRDefault="008B28FA" w:rsidP="005954B3">
      <w:pPr>
        <w:pStyle w:val="BodyCopy"/>
      </w:pPr>
      <w:r w:rsidRPr="008B28FA">
        <w:t>The DO is required to, “after making reasonable enquiries” state via written authority on the “Authorisation by Designated Officer for removal of tissue after death” form that the person:</w:t>
      </w:r>
    </w:p>
    <w:p w14:paraId="532267F6" w14:textId="77777777" w:rsidR="008B28FA" w:rsidRPr="008B28FA" w:rsidRDefault="008B28FA" w:rsidP="005954B3">
      <w:pPr>
        <w:pStyle w:val="Bullet"/>
      </w:pPr>
      <w:r w:rsidRPr="008B28FA">
        <w:t>Had expressed a wish for organ donation, and had not withdrawn that wish</w:t>
      </w:r>
    </w:p>
    <w:p w14:paraId="69FB390F" w14:textId="77777777" w:rsidR="008B28FA" w:rsidRPr="008B28FA" w:rsidRDefault="008B28FA" w:rsidP="005954B3">
      <w:pPr>
        <w:pStyle w:val="Bullet"/>
        <w:numPr>
          <w:ilvl w:val="0"/>
          <w:numId w:val="0"/>
        </w:numPr>
        <w:ind w:left="360"/>
        <w:rPr>
          <w:rFonts w:ascii="Calibri" w:hAnsi="Calibri"/>
          <w:b/>
          <w:bCs/>
        </w:rPr>
      </w:pPr>
      <w:r w:rsidRPr="008B28FA">
        <w:rPr>
          <w:rFonts w:ascii="Calibri" w:hAnsi="Calibri"/>
          <w:b/>
          <w:bCs/>
        </w:rPr>
        <w:t>or</w:t>
      </w:r>
    </w:p>
    <w:p w14:paraId="65C8D57B" w14:textId="77777777" w:rsidR="008B28FA" w:rsidRPr="008B28FA" w:rsidRDefault="008B28FA" w:rsidP="005954B3">
      <w:pPr>
        <w:pStyle w:val="Bullet"/>
      </w:pPr>
      <w:r w:rsidRPr="008B28FA">
        <w:t>Had not expressed any objection to the removal of tissues from their body</w:t>
      </w:r>
    </w:p>
    <w:p w14:paraId="64B2B223" w14:textId="77777777" w:rsidR="008B28FA" w:rsidRPr="008B28FA" w:rsidRDefault="008B28FA" w:rsidP="005954B3">
      <w:pPr>
        <w:pStyle w:val="Bullet"/>
        <w:numPr>
          <w:ilvl w:val="0"/>
          <w:numId w:val="0"/>
        </w:numPr>
        <w:ind w:left="360"/>
        <w:rPr>
          <w:rFonts w:ascii="Calibri" w:hAnsi="Calibri"/>
          <w:b/>
          <w:bCs/>
        </w:rPr>
      </w:pPr>
      <w:r w:rsidRPr="008B28FA">
        <w:rPr>
          <w:rFonts w:ascii="Calibri" w:hAnsi="Calibri"/>
          <w:b/>
          <w:bCs/>
        </w:rPr>
        <w:t>and</w:t>
      </w:r>
    </w:p>
    <w:p w14:paraId="3668DC7B" w14:textId="77777777" w:rsidR="008B28FA" w:rsidRPr="008B28FA" w:rsidRDefault="008B28FA" w:rsidP="005954B3">
      <w:pPr>
        <w:pStyle w:val="Bullet"/>
      </w:pPr>
      <w:r w:rsidRPr="008B28FA">
        <w:t>The SANoK (or another NOK of the same or higher standing) has not objected to the removal of tissues from the person’s body</w:t>
      </w:r>
    </w:p>
    <w:p w14:paraId="6FDF2682" w14:textId="77777777" w:rsidR="008B28FA" w:rsidRPr="008B28FA" w:rsidRDefault="008B28FA" w:rsidP="005954B3">
      <w:pPr>
        <w:pStyle w:val="Bullet"/>
        <w:numPr>
          <w:ilvl w:val="0"/>
          <w:numId w:val="0"/>
        </w:numPr>
        <w:ind w:left="360"/>
        <w:rPr>
          <w:rFonts w:ascii="Calibri" w:hAnsi="Calibri"/>
          <w:b/>
          <w:bCs/>
        </w:rPr>
      </w:pPr>
      <w:r w:rsidRPr="008B28FA">
        <w:rPr>
          <w:rFonts w:ascii="Calibri" w:hAnsi="Calibri"/>
          <w:b/>
          <w:bCs/>
        </w:rPr>
        <w:t>or</w:t>
      </w:r>
    </w:p>
    <w:p w14:paraId="5ED54289" w14:textId="77777777" w:rsidR="008B28FA" w:rsidRPr="008B28FA" w:rsidRDefault="008B28FA" w:rsidP="005954B3">
      <w:pPr>
        <w:pStyle w:val="Bullet"/>
      </w:pPr>
      <w:r w:rsidRPr="008B28FA">
        <w:t>There is no SANoK</w:t>
      </w:r>
    </w:p>
    <w:p w14:paraId="36665E9B" w14:textId="77777777" w:rsidR="008B28FA" w:rsidRPr="008B28FA" w:rsidRDefault="008B28FA" w:rsidP="005954B3">
      <w:pPr>
        <w:pStyle w:val="Bullet"/>
        <w:numPr>
          <w:ilvl w:val="0"/>
          <w:numId w:val="0"/>
        </w:numPr>
        <w:ind w:left="360"/>
        <w:rPr>
          <w:rFonts w:ascii="Calibri" w:hAnsi="Calibri"/>
          <w:b/>
          <w:bCs/>
        </w:rPr>
      </w:pPr>
      <w:r w:rsidRPr="008B28FA">
        <w:rPr>
          <w:rFonts w:ascii="Calibri" w:hAnsi="Calibri"/>
          <w:b/>
          <w:bCs/>
        </w:rPr>
        <w:t>and</w:t>
      </w:r>
    </w:p>
    <w:p w14:paraId="10483C2D" w14:textId="77777777" w:rsidR="008B28FA" w:rsidRPr="008B28FA" w:rsidRDefault="008B28FA" w:rsidP="005954B3">
      <w:pPr>
        <w:pStyle w:val="Bullet"/>
      </w:pPr>
      <w:r w:rsidRPr="008B28FA">
        <w:t>Sight the death certificate</w:t>
      </w:r>
    </w:p>
    <w:p w14:paraId="3E3931FC" w14:textId="77777777" w:rsidR="008B28FA" w:rsidRPr="008B28FA" w:rsidRDefault="008B28FA" w:rsidP="005954B3">
      <w:pPr>
        <w:pStyle w:val="Bullet"/>
        <w:numPr>
          <w:ilvl w:val="0"/>
          <w:numId w:val="0"/>
        </w:numPr>
        <w:ind w:left="360"/>
        <w:rPr>
          <w:rFonts w:ascii="Calibri" w:hAnsi="Calibri"/>
          <w:b/>
          <w:bCs/>
        </w:rPr>
      </w:pPr>
      <w:r w:rsidRPr="008B28FA">
        <w:rPr>
          <w:rFonts w:ascii="Calibri" w:hAnsi="Calibri"/>
          <w:b/>
          <w:bCs/>
        </w:rPr>
        <w:t>or</w:t>
      </w:r>
    </w:p>
    <w:p w14:paraId="236283D2" w14:textId="2A37943C" w:rsidR="008B28FA" w:rsidRPr="005954B3" w:rsidRDefault="008B28FA" w:rsidP="005954B3">
      <w:pPr>
        <w:pStyle w:val="Bullet"/>
      </w:pPr>
      <w:r w:rsidRPr="008B28FA">
        <w:t xml:space="preserve">Sight the Coroner’s consent. </w:t>
      </w:r>
    </w:p>
    <w:p w14:paraId="113A3A5F" w14:textId="0F15B1FB" w:rsidR="007F76DA" w:rsidRPr="008B28FA" w:rsidRDefault="008B28FA" w:rsidP="005954B3">
      <w:pPr>
        <w:pStyle w:val="BodyCopy"/>
      </w:pPr>
      <w:bookmarkStart w:id="30" w:name="_Hlk46836270"/>
      <w:r w:rsidRPr="008B28FA">
        <w:t xml:space="preserve">The DSNC is required to share information directly with the DO as gained through the FDC and patient history to enable the DO to come to a decision. </w:t>
      </w:r>
      <w:bookmarkEnd w:id="30"/>
    </w:p>
    <w:p w14:paraId="7DD8E307" w14:textId="77777777" w:rsidR="007F76DA" w:rsidRPr="005954B3" w:rsidRDefault="007F76DA" w:rsidP="005954B3">
      <w:pPr>
        <w:pStyle w:val="BodyCopy"/>
        <w:rPr>
          <w:u w:val="single"/>
        </w:rPr>
      </w:pPr>
      <w:hyperlink w:anchor="_top" w:history="1">
        <w:r w:rsidRPr="005954B3">
          <w:rPr>
            <w:rStyle w:val="Hyperlink"/>
            <w:color w:val="000000" w:themeColor="text1"/>
          </w:rPr>
          <w:t>Back to Contents</w:t>
        </w:r>
      </w:hyperlink>
    </w:p>
    <w:p w14:paraId="643B9444" w14:textId="4E7ED3B6" w:rsidR="007F76DA" w:rsidRPr="008B28FA" w:rsidRDefault="007F76DA" w:rsidP="00FC3B37">
      <w:pPr>
        <w:pStyle w:val="Heading4"/>
      </w:pPr>
      <w:bookmarkStart w:id="31" w:name="_Toc188011791"/>
      <w:r w:rsidRPr="008B28FA">
        <w:t xml:space="preserve">Section </w:t>
      </w:r>
      <w:r w:rsidR="001D4C5C">
        <w:t>5 - ICU Admission for exploration of organ donation</w:t>
      </w:r>
      <w:bookmarkEnd w:id="31"/>
    </w:p>
    <w:p w14:paraId="5941DAB0" w14:textId="77777777" w:rsidR="00676542" w:rsidRPr="00676542" w:rsidRDefault="00676542" w:rsidP="005954B3">
      <w:pPr>
        <w:pStyle w:val="Heading5"/>
      </w:pPr>
      <w:r w:rsidRPr="00676542">
        <w:t>Referral for ICU admission</w:t>
      </w:r>
    </w:p>
    <w:p w14:paraId="25F08729" w14:textId="3420CDCA" w:rsidR="00676542" w:rsidRPr="00676542" w:rsidRDefault="00676542" w:rsidP="005954B3">
      <w:pPr>
        <w:pStyle w:val="BodyCopy"/>
        <w:rPr>
          <w:shd w:val="clear" w:color="auto" w:fill="FFFF00"/>
        </w:rPr>
      </w:pPr>
      <w:r w:rsidRPr="00676542">
        <w:t xml:space="preserve">Patients who are near the end of life in ED or in hospital wards other than ICU, and are considered for, or have requested organ donation, will be admitted to ICU. This is to ensure the </w:t>
      </w:r>
      <w:r w:rsidR="00054B3C" w:rsidRPr="00676542">
        <w:t>patient,</w:t>
      </w:r>
      <w:r w:rsidRPr="00676542">
        <w:t xml:space="preserve"> and their family is given time to come to terms with the patient’s prognosis and to explore the possibility of organ donation in an appropriate environment.</w:t>
      </w:r>
    </w:p>
    <w:p w14:paraId="58AA2A15" w14:textId="14FE7465" w:rsidR="00676542" w:rsidRPr="00676542" w:rsidRDefault="00676542" w:rsidP="005954B3">
      <w:pPr>
        <w:pStyle w:val="BodyCopy"/>
        <w:rPr>
          <w:shd w:val="clear" w:color="auto" w:fill="FFFF00"/>
        </w:rPr>
      </w:pPr>
      <w:r w:rsidRPr="00676542">
        <w:t xml:space="preserve">The potential for organ donation (as requested by the patient or family) should be supported until organ donation has been formally discussed. This includes physiological support and routine tests. </w:t>
      </w:r>
    </w:p>
    <w:p w14:paraId="63CD111E" w14:textId="00C3FCDE" w:rsidR="00676542" w:rsidRPr="00676542" w:rsidRDefault="00676542" w:rsidP="005954B3">
      <w:pPr>
        <w:pStyle w:val="BodyCopy"/>
        <w:rPr>
          <w:shd w:val="clear" w:color="auto" w:fill="FFFF00"/>
        </w:rPr>
      </w:pPr>
      <w:r w:rsidRPr="00676542">
        <w:t>It is the responsibility of all CHS staff that donation discussions with the family be deferred until DL ACT staff can meet with the family in an appropriate environment after admission to the ICU (see Section 4).</w:t>
      </w:r>
    </w:p>
    <w:p w14:paraId="4D169FE3" w14:textId="77777777" w:rsidR="00676542" w:rsidRPr="00676542" w:rsidRDefault="00676542" w:rsidP="005954B3">
      <w:pPr>
        <w:pStyle w:val="Heading5"/>
      </w:pPr>
      <w:r w:rsidRPr="00676542">
        <w:lastRenderedPageBreak/>
        <w:t>Admission via ED</w:t>
      </w:r>
    </w:p>
    <w:p w14:paraId="7800A832" w14:textId="77777777" w:rsidR="00676542" w:rsidRDefault="00676542" w:rsidP="005954B3">
      <w:pPr>
        <w:pStyle w:val="BodyCopy"/>
      </w:pPr>
      <w:r w:rsidRPr="00676542">
        <w:t xml:space="preserve">Neither consent nor authorisation for organ donation is required for admission to ICU via ED. </w:t>
      </w:r>
      <w:bookmarkStart w:id="32" w:name="_Toc450568372"/>
      <w:r w:rsidRPr="00676542">
        <w:t>It is best practice that the discussion of organ donation should occur in the ICU as part of the FDC to allow more appropriate family support. Patients who are medically assessed and appropriately deemed supportable for cardio-respiratory support and additionally, do not have absolute contraindications for organ donation as assessed by DL ACT staff will be admitted to the ICU. The possibility of organ donation will be discussed by DL ACT staff with the family after the patient’s admission to the ICU.  The discussion will occur when all relevant family members can be present and will be held in an appropriate environment.</w:t>
      </w:r>
      <w:bookmarkEnd w:id="32"/>
    </w:p>
    <w:p w14:paraId="01B6BB9A" w14:textId="77777777" w:rsidR="00676542" w:rsidRPr="00676542" w:rsidRDefault="00676542" w:rsidP="005954B3">
      <w:pPr>
        <w:pStyle w:val="Heading5"/>
      </w:pPr>
      <w:bookmarkStart w:id="33" w:name="_Toc450568373"/>
      <w:r w:rsidRPr="00676542">
        <w:t>Admission via the Ward</w:t>
      </w:r>
      <w:bookmarkEnd w:id="33"/>
    </w:p>
    <w:p w14:paraId="5A47B5D2" w14:textId="77777777" w:rsidR="00676542" w:rsidRPr="00676542" w:rsidRDefault="00676542" w:rsidP="005954B3">
      <w:pPr>
        <w:pStyle w:val="BodyCopy"/>
      </w:pPr>
      <w:r w:rsidRPr="00676542">
        <w:t>When organ donation is raised by the patient/family in a ward setting:</w:t>
      </w:r>
    </w:p>
    <w:p w14:paraId="0C171FF2" w14:textId="77777777" w:rsidR="00676542" w:rsidRPr="00676542" w:rsidRDefault="00676542" w:rsidP="005954B3">
      <w:pPr>
        <w:pStyle w:val="Bullet"/>
      </w:pPr>
      <w:r w:rsidRPr="00676542">
        <w:t>Prior to the patient/family being approached by DonateLife ACT, the Home Team Consultant along with an independent Medical Practitioner (&gt;5yrs Post Graduate) must both agree and document that prognosis is poor and death is considered imminent (within the next 7 days) as per CHS Clinical Ethics Committee recommendation.</w:t>
      </w:r>
    </w:p>
    <w:p w14:paraId="6E314B8C" w14:textId="77777777" w:rsidR="00676542" w:rsidRPr="0001348C" w:rsidRDefault="00676542" w:rsidP="005954B3">
      <w:pPr>
        <w:pStyle w:val="Bullet"/>
      </w:pPr>
      <w:r w:rsidRPr="0001348C">
        <w:t>The patient/family will be fully informed of the steps and all known interventions required to fulfil an organ donation wish – including the admission to ICU, intubation and mechanical ventilation if required.</w:t>
      </w:r>
    </w:p>
    <w:p w14:paraId="742C2262" w14:textId="77777777" w:rsidR="00676542" w:rsidRPr="0001348C" w:rsidRDefault="00676542" w:rsidP="005954B3">
      <w:pPr>
        <w:pStyle w:val="Bullet"/>
      </w:pPr>
      <w:r w:rsidRPr="0001348C">
        <w:t>A plan will be developed which consists of when and how the patient will be transferred to ICU to fulfil the patient’s/family’s decision</w:t>
      </w:r>
      <w:r>
        <w:t>.</w:t>
      </w:r>
    </w:p>
    <w:p w14:paraId="5C2FF26D" w14:textId="77777777" w:rsidR="00676542" w:rsidRDefault="00676542" w:rsidP="005954B3">
      <w:pPr>
        <w:pStyle w:val="Bullet"/>
      </w:pPr>
      <w:r>
        <w:t xml:space="preserve">The patient or family can revoke their decision at any time. </w:t>
      </w:r>
    </w:p>
    <w:p w14:paraId="2BD93A54" w14:textId="77777777" w:rsidR="00676542" w:rsidRPr="00676542" w:rsidRDefault="00676542" w:rsidP="005954B3">
      <w:pPr>
        <w:pStyle w:val="Heading6"/>
      </w:pPr>
      <w:bookmarkStart w:id="34" w:name="_Toc449602717"/>
      <w:bookmarkStart w:id="35" w:name="_Toc450568374"/>
      <w:bookmarkStart w:id="36" w:name="_Toc496604104"/>
      <w:r w:rsidRPr="00676542">
        <w:t>Admission Criteria</w:t>
      </w:r>
      <w:bookmarkEnd w:id="34"/>
      <w:bookmarkEnd w:id="35"/>
      <w:bookmarkEnd w:id="36"/>
    </w:p>
    <w:p w14:paraId="479F8281" w14:textId="77777777" w:rsidR="00676542" w:rsidRPr="0004494A" w:rsidRDefault="00676542" w:rsidP="00676542">
      <w:pPr>
        <w:spacing w:after="0"/>
        <w:rPr>
          <w:rFonts w:ascii="Calibri" w:hAnsi="Calibri" w:cs="Calibri"/>
          <w:b/>
          <w:bCs/>
          <w:iCs/>
        </w:rPr>
      </w:pPr>
      <w:bookmarkStart w:id="37" w:name="_Toc449602718"/>
      <w:bookmarkStart w:id="38" w:name="_Toc450568375"/>
      <w:r w:rsidRPr="0004494A">
        <w:rPr>
          <w:rFonts w:ascii="Calibri" w:hAnsi="Calibri" w:cs="Calibri"/>
          <w:b/>
          <w:bCs/>
          <w:iCs/>
        </w:rPr>
        <w:t>End of Life Care (EOLC) Discussions</w:t>
      </w:r>
      <w:bookmarkEnd w:id="37"/>
      <w:bookmarkEnd w:id="38"/>
    </w:p>
    <w:p w14:paraId="3AC0E91B" w14:textId="40AFF56C" w:rsidR="00676542" w:rsidRPr="005954B3" w:rsidRDefault="00676542" w:rsidP="0004494A">
      <w:pPr>
        <w:pStyle w:val="BodyCopy"/>
      </w:pPr>
      <w:r w:rsidRPr="00676542">
        <w:t xml:space="preserve">All patients who are commencing EOLC discussions in critical care areas should be referred to DL ACT.  The AODR will be checked prior to request for admission to ICU. For intent/ consent or not listed, the patient should be considered for admission to ICU. In the event there is a ‘refusal’ on the AODR, discussions will be held with the DL ACT Donation Specialist Medical Officer (DSM) prior to requesting admission to ICU. </w:t>
      </w:r>
    </w:p>
    <w:p w14:paraId="15BB7FC9" w14:textId="77777777" w:rsidR="00676542" w:rsidRPr="00676542" w:rsidRDefault="00676542" w:rsidP="005954B3">
      <w:pPr>
        <w:pStyle w:val="BodyCopy"/>
      </w:pPr>
      <w:r w:rsidRPr="00676542">
        <w:t xml:space="preserve">Preliminary medical suitability is reviewed and determined by the DSNC and the DSM, the following factors will be reviewed (but not limited to): </w:t>
      </w:r>
    </w:p>
    <w:p w14:paraId="552206BA" w14:textId="77777777" w:rsidR="00676542" w:rsidRPr="00676542" w:rsidRDefault="00676542" w:rsidP="005954B3">
      <w:pPr>
        <w:pStyle w:val="Bullet"/>
      </w:pPr>
      <w:r w:rsidRPr="00676542">
        <w:t>Disease process/ mechanism of injury</w:t>
      </w:r>
    </w:p>
    <w:p w14:paraId="1568FD11" w14:textId="77777777" w:rsidR="00676542" w:rsidRPr="00676542" w:rsidRDefault="00676542" w:rsidP="005954B3">
      <w:pPr>
        <w:pStyle w:val="Bullet"/>
      </w:pPr>
      <w:r w:rsidRPr="00676542">
        <w:t>Donation pathway</w:t>
      </w:r>
    </w:p>
    <w:p w14:paraId="77C13370" w14:textId="77777777" w:rsidR="00676542" w:rsidRPr="00676542" w:rsidRDefault="00676542" w:rsidP="005954B3">
      <w:pPr>
        <w:pStyle w:val="Bullet"/>
      </w:pPr>
      <w:r w:rsidRPr="00676542">
        <w:t>Suitability of organs dependent upon pathway and age</w:t>
      </w:r>
    </w:p>
    <w:p w14:paraId="16B55367" w14:textId="31BBEC99" w:rsidR="00676542" w:rsidRPr="005954B3" w:rsidRDefault="00676542" w:rsidP="00676542">
      <w:pPr>
        <w:pStyle w:val="Bullet"/>
      </w:pPr>
      <w:r w:rsidRPr="00676542">
        <w:t xml:space="preserve">Medical history as available at the time </w:t>
      </w:r>
      <w:bookmarkStart w:id="39" w:name="_Toc449602722"/>
      <w:bookmarkStart w:id="40" w:name="_Toc450568379"/>
    </w:p>
    <w:p w14:paraId="454D5BCD" w14:textId="77777777" w:rsidR="00676542" w:rsidRPr="00676542" w:rsidRDefault="00676542" w:rsidP="005954B3">
      <w:pPr>
        <w:pStyle w:val="Heading5"/>
      </w:pPr>
      <w:r w:rsidRPr="00676542">
        <w:lastRenderedPageBreak/>
        <w:t>Decision</w:t>
      </w:r>
      <w:bookmarkEnd w:id="39"/>
      <w:bookmarkEnd w:id="40"/>
      <w:r w:rsidRPr="00676542">
        <w:t xml:space="preserve"> to Admit to ICU</w:t>
      </w:r>
    </w:p>
    <w:p w14:paraId="5DA97E8B" w14:textId="7DBD7DF5" w:rsidR="00676542" w:rsidRPr="00676542" w:rsidRDefault="00676542" w:rsidP="005954B3">
      <w:pPr>
        <w:pStyle w:val="BodyCopy"/>
      </w:pPr>
      <w:r w:rsidRPr="00676542">
        <w:t>The decision to admit a patient to ICU to explore the possibility of organ donation is made in consultation with the Intensive Care Specialist, DSNC, DSM, admitting team and Nursing Manager from the ward area involved e.g. ED, ICU, NICU, Paediatrics and/or Access Unit/After Hours Hospital Manager (AHHM).</w:t>
      </w:r>
    </w:p>
    <w:p w14:paraId="6D36AE0A" w14:textId="063A07A9" w:rsidR="00676542" w:rsidRPr="007D7F27" w:rsidRDefault="00676542" w:rsidP="005954B3">
      <w:pPr>
        <w:pStyle w:val="BodyCopy"/>
      </w:pPr>
      <w:r w:rsidRPr="00676542">
        <w:t>An ICU admission to explore the possibility of organ donation is given the same priority as every other ICU admission.</w:t>
      </w:r>
    </w:p>
    <w:p w14:paraId="7C269836" w14:textId="77777777" w:rsidR="007F76DA" w:rsidRPr="005954B3" w:rsidRDefault="007F76DA" w:rsidP="005954B3">
      <w:pPr>
        <w:pStyle w:val="BodyCopy"/>
        <w:rPr>
          <w:u w:val="single"/>
        </w:rPr>
      </w:pPr>
      <w:hyperlink w:anchor="_top" w:history="1">
        <w:r w:rsidRPr="005954B3">
          <w:rPr>
            <w:rStyle w:val="Hyperlink"/>
            <w:color w:val="000000" w:themeColor="text1"/>
          </w:rPr>
          <w:t>Back to Contents</w:t>
        </w:r>
      </w:hyperlink>
    </w:p>
    <w:p w14:paraId="3C497994" w14:textId="1BC79510" w:rsidR="001D4C5C" w:rsidRPr="008B28FA" w:rsidRDefault="001D4C5C" w:rsidP="00FC3B37">
      <w:pPr>
        <w:pStyle w:val="Heading4"/>
      </w:pPr>
      <w:bookmarkStart w:id="41" w:name="_Toc188011792"/>
      <w:r w:rsidRPr="008B28FA">
        <w:t xml:space="preserve">Section </w:t>
      </w:r>
      <w:r w:rsidR="00676542">
        <w:t>6 – Organ Donation</w:t>
      </w:r>
      <w:bookmarkEnd w:id="41"/>
    </w:p>
    <w:p w14:paraId="5F858F1F" w14:textId="4FD94866" w:rsidR="00C544BC" w:rsidRPr="00C544BC" w:rsidRDefault="00C544BC" w:rsidP="005954B3">
      <w:pPr>
        <w:pStyle w:val="BodyCopy"/>
      </w:pPr>
      <w:r w:rsidRPr="00C544BC">
        <w:t xml:space="preserve">The organ donation process is managed by the DSNC in association with </w:t>
      </w:r>
      <w:r w:rsidR="00826132">
        <w:t xml:space="preserve">DSM, </w:t>
      </w:r>
      <w:r w:rsidRPr="00C544BC">
        <w:t xml:space="preserve">utilising process documentation from DonateLife ACT. </w:t>
      </w:r>
    </w:p>
    <w:p w14:paraId="21D089B5" w14:textId="77777777" w:rsidR="00C544BC" w:rsidRPr="00C544BC" w:rsidRDefault="00C544BC" w:rsidP="005954B3">
      <w:pPr>
        <w:pStyle w:val="Heading5"/>
      </w:pPr>
      <w:bookmarkStart w:id="42" w:name="_Toc449602727"/>
      <w:bookmarkStart w:id="43" w:name="_Toc450568386"/>
      <w:bookmarkStart w:id="44" w:name="_Toc496604108"/>
      <w:bookmarkStart w:id="45" w:name="_Toc52277088"/>
      <w:r w:rsidRPr="00C544BC">
        <w:t>Determination of Medical Suitability</w:t>
      </w:r>
      <w:bookmarkEnd w:id="42"/>
      <w:bookmarkEnd w:id="43"/>
      <w:bookmarkEnd w:id="44"/>
      <w:bookmarkEnd w:id="45"/>
    </w:p>
    <w:p w14:paraId="1AC5A0D9" w14:textId="61844E29" w:rsidR="00C544BC" w:rsidRPr="00C544BC" w:rsidRDefault="00C544BC" w:rsidP="005954B3">
      <w:pPr>
        <w:pStyle w:val="BodyCopy"/>
      </w:pPr>
      <w:bookmarkStart w:id="46" w:name="_Toc449602729"/>
      <w:bookmarkStart w:id="47" w:name="_Toc450568387"/>
      <w:r w:rsidRPr="00C544BC">
        <w:t>Determining medical suitability of the patient to be an organ donor is the</w:t>
      </w:r>
      <w:r w:rsidRPr="00C544BC">
        <w:rPr>
          <w:i/>
        </w:rPr>
        <w:t xml:space="preserve"> </w:t>
      </w:r>
      <w:r w:rsidRPr="00C544BC">
        <w:t xml:space="preserve">responsibility of the DSNC with the support of the DSM and transplant teams. </w:t>
      </w:r>
      <w:bookmarkEnd w:id="46"/>
      <w:bookmarkEnd w:id="47"/>
    </w:p>
    <w:p w14:paraId="2AB875FB" w14:textId="77777777" w:rsidR="00C544BC" w:rsidRPr="00C544BC" w:rsidRDefault="00C544BC" w:rsidP="005954B3">
      <w:pPr>
        <w:pStyle w:val="Heading5"/>
      </w:pPr>
      <w:bookmarkStart w:id="48" w:name="_Toc449602744"/>
      <w:bookmarkStart w:id="49" w:name="_Toc450568397"/>
      <w:bookmarkStart w:id="50" w:name="_Toc496604112"/>
      <w:bookmarkStart w:id="51" w:name="_Toc52277089"/>
      <w:r w:rsidRPr="00C544BC">
        <w:t>Donor Management</w:t>
      </w:r>
      <w:bookmarkEnd w:id="48"/>
      <w:bookmarkEnd w:id="49"/>
      <w:bookmarkEnd w:id="50"/>
      <w:bookmarkEnd w:id="51"/>
    </w:p>
    <w:p w14:paraId="0192ED2A" w14:textId="77777777" w:rsidR="00C544BC" w:rsidRPr="00C544BC" w:rsidRDefault="00C544BC" w:rsidP="005954B3">
      <w:pPr>
        <w:pStyle w:val="Heading6"/>
      </w:pPr>
      <w:bookmarkStart w:id="52" w:name="_Toc449602745"/>
      <w:bookmarkStart w:id="53" w:name="_Toc450568398"/>
      <w:r w:rsidRPr="00C544BC">
        <w:t>Acceptable Physiological Parameters</w:t>
      </w:r>
      <w:bookmarkEnd w:id="52"/>
      <w:bookmarkEnd w:id="53"/>
    </w:p>
    <w:p w14:paraId="3ADF350D" w14:textId="310066D9" w:rsidR="00075ADE" w:rsidRPr="005954B3" w:rsidRDefault="00C544BC" w:rsidP="005954B3">
      <w:pPr>
        <w:pStyle w:val="BodyCopy"/>
      </w:pPr>
      <w:r w:rsidRPr="00C544BC">
        <w:t xml:space="preserve">Donor management is the maintenance of optimal organ perfusion and ultimately aims to maximise organ viability for transplantation. </w:t>
      </w:r>
    </w:p>
    <w:p w14:paraId="068961DC" w14:textId="77777777" w:rsidR="00C544BC" w:rsidRDefault="00C544BC" w:rsidP="005954B3">
      <w:pPr>
        <w:pStyle w:val="BodyCopy"/>
      </w:pPr>
      <w:r w:rsidRPr="00C544BC">
        <w:t xml:space="preserve">All potential donors are managed by the ICU specialist or delegate with input from the DSNC and DSM on donation specific requirements. The ICU specialist will allocate a Registrar to liaise with the DSNC in facilitating investigations and clinical management of each potential donor. All potential donors must have a central line, an arterial line and an indwelling urinary catheter. Where there are requests from transplant teams, these will be relayed to the treating team and donor families as appropriate. </w:t>
      </w:r>
    </w:p>
    <w:p w14:paraId="7026DD5C" w14:textId="77777777" w:rsidR="00C544BC" w:rsidRPr="00C544BC" w:rsidRDefault="00C544BC" w:rsidP="005954B3">
      <w:pPr>
        <w:pStyle w:val="Heading6"/>
        <w:rPr>
          <w:lang w:val="en-US"/>
        </w:rPr>
      </w:pPr>
      <w:bookmarkStart w:id="54" w:name="_Toc52277090"/>
      <w:r w:rsidRPr="00C544BC">
        <w:rPr>
          <w:lang w:val="en-US"/>
        </w:rPr>
        <w:t>Palliation at end of life (Organ Donation - Circulatory Pathway)</w:t>
      </w:r>
      <w:bookmarkEnd w:id="54"/>
    </w:p>
    <w:p w14:paraId="1E070058" w14:textId="77777777" w:rsidR="00C544BC" w:rsidRPr="00C544BC" w:rsidRDefault="00C544BC" w:rsidP="005954B3">
      <w:pPr>
        <w:pStyle w:val="BodyCopy"/>
        <w:rPr>
          <w:lang w:val="en-US"/>
        </w:rPr>
      </w:pPr>
      <w:r w:rsidRPr="00C544BC">
        <w:rPr>
          <w:lang w:val="en-US"/>
        </w:rPr>
        <w:t>Withdrawal of cardiorespiratory support (WCRS) will occur in the Post-anaesthetic Care Unit. The bariatric room will be utilised if available, or alternatively the anaesthetic bay of the assigned theatre. This will minimise warm ischaemic times, maximising the chance of a successful transplant.</w:t>
      </w:r>
    </w:p>
    <w:p w14:paraId="0D2D9A75" w14:textId="7F8CC9B0" w:rsidR="00C544BC" w:rsidRPr="00C544BC" w:rsidRDefault="00C544BC" w:rsidP="005954B3">
      <w:pPr>
        <w:pStyle w:val="BodyCopy"/>
      </w:pPr>
      <w:r w:rsidRPr="00C544BC">
        <w:rPr>
          <w:lang w:val="en-US"/>
        </w:rPr>
        <w:t xml:space="preserve">Management of analgesia and sedation and other medical aspects of end-life care is directed by the treating intensivist. The palliation process is managed independently </w:t>
      </w:r>
      <w:r w:rsidR="00987356">
        <w:rPr>
          <w:lang w:val="en-US"/>
        </w:rPr>
        <w:t>of</w:t>
      </w:r>
      <w:r w:rsidRPr="00C544BC">
        <w:rPr>
          <w:lang w:val="en-US"/>
        </w:rPr>
        <w:t xml:space="preserve"> DonateLife ACT and transplantation staff. Medication must not be administered with the intention of hastening death nor should it be withheld when deemed necessary</w:t>
      </w:r>
    </w:p>
    <w:p w14:paraId="0662472C" w14:textId="77777777" w:rsidR="001D4C5C" w:rsidRPr="005954B3" w:rsidRDefault="001D4C5C" w:rsidP="005954B3">
      <w:pPr>
        <w:pStyle w:val="BodyCopy"/>
        <w:rPr>
          <w:rStyle w:val="Hyperlink"/>
          <w:color w:val="000000" w:themeColor="text1"/>
        </w:rPr>
      </w:pPr>
      <w:hyperlink w:anchor="_top" w:history="1">
        <w:r w:rsidRPr="005954B3">
          <w:rPr>
            <w:rStyle w:val="Hyperlink"/>
            <w:color w:val="000000" w:themeColor="text1"/>
          </w:rPr>
          <w:t>Back to Contents</w:t>
        </w:r>
      </w:hyperlink>
    </w:p>
    <w:p w14:paraId="464E993C" w14:textId="42DAA018" w:rsidR="000577A6" w:rsidRPr="008B28FA" w:rsidRDefault="000577A6" w:rsidP="00FC3B37">
      <w:pPr>
        <w:pStyle w:val="Heading4"/>
      </w:pPr>
      <w:bookmarkStart w:id="55" w:name="_Toc188011793"/>
      <w:r w:rsidRPr="008B28FA">
        <w:lastRenderedPageBreak/>
        <w:t xml:space="preserve">Section </w:t>
      </w:r>
      <w:r>
        <w:t>7 – Tissue Donation</w:t>
      </w:r>
      <w:bookmarkEnd w:id="55"/>
    </w:p>
    <w:p w14:paraId="77809242" w14:textId="77777777" w:rsidR="007D7F27" w:rsidRDefault="007D7F27" w:rsidP="005954B3">
      <w:pPr>
        <w:pStyle w:val="Heading5"/>
      </w:pPr>
      <w:r w:rsidRPr="007D7F27">
        <w:t>Eye Tissue Donation</w:t>
      </w:r>
    </w:p>
    <w:p w14:paraId="633C0908" w14:textId="0CDF8F13" w:rsidR="000577A6" w:rsidRPr="007D7F27" w:rsidRDefault="000577A6" w:rsidP="005954B3">
      <w:pPr>
        <w:pStyle w:val="BodyCopy"/>
        <w:rPr>
          <w:b/>
        </w:rPr>
      </w:pPr>
      <w:r w:rsidRPr="000577A6">
        <w:t>DLACT coordinates the collection of eye tissue for the NSW Tissue/Eye Bank. The DSNC is  responsible for assessing the suitability of eye tissue for donation and organising the retrieval process. Many DSNCs are trained non-medical enucleators (NMEs). Eye tissue retrieval occurs postmortem and can be carried out in various settings.</w:t>
      </w:r>
    </w:p>
    <w:p w14:paraId="1133671A" w14:textId="77777777" w:rsidR="000577A6" w:rsidRPr="000577A6" w:rsidRDefault="000577A6" w:rsidP="005954B3">
      <w:pPr>
        <w:pStyle w:val="BodyCopy"/>
      </w:pPr>
      <w:r w:rsidRPr="000577A6">
        <w:t>Accurate and timely documentation of death on the DHR is critical for the DSNCs in making an assessment. Each death is reviewed with the patient’s donation wishes and potential eye tissue donation in mind. If a patient or their family wishes to discuss eye tissue donation, please contact DLACT.</w:t>
      </w:r>
    </w:p>
    <w:p w14:paraId="7C071933" w14:textId="77777777" w:rsidR="000577A6" w:rsidRPr="000577A6" w:rsidRDefault="000577A6" w:rsidP="005954B3">
      <w:pPr>
        <w:pStyle w:val="BodyCopy"/>
      </w:pPr>
      <w:r w:rsidRPr="000577A6">
        <w:t>If, after death a patient is being considered for eye tissue donation, the attending clinician may be asked for specific information about the patient’s condition in the days leading up to death. This may include details about infection risks (e.g., presence of candidiasis), consciousness level, and whether the eyes were open or closed. The time elapsed before the body is refrigerated is also important. Clinicians may be asked to ensure that the deceased’s eyes are closed and kept moist with normal saline-soaked gauze until the DSNC arrives for retrieval.</w:t>
      </w:r>
    </w:p>
    <w:p w14:paraId="375EA1AE" w14:textId="23218483" w:rsidR="000577A6" w:rsidRPr="005954B3" w:rsidRDefault="000577A6" w:rsidP="005954B3">
      <w:pPr>
        <w:pStyle w:val="BodyCopy"/>
        <w:rPr>
          <w:rFonts w:asciiTheme="majorHAnsi" w:eastAsiaTheme="majorEastAsia" w:hAnsiTheme="majorHAnsi" w:cstheme="majorHAnsi"/>
          <w:b/>
          <w:color w:val="3D2262" w:themeColor="accent1"/>
          <w:szCs w:val="36"/>
        </w:rPr>
      </w:pPr>
      <w:r w:rsidRPr="005954B3">
        <w:rPr>
          <w:rStyle w:val="Heading5Char"/>
          <w:rFonts w:asciiTheme="majorHAnsi" w:hAnsiTheme="majorHAnsi" w:cstheme="majorHAnsi"/>
        </w:rPr>
        <w:t>Cardiovascular Tissue Donation</w:t>
      </w:r>
      <w:r w:rsidRPr="005954B3">
        <w:rPr>
          <w:rStyle w:val="Heading5Char"/>
          <w:rFonts w:asciiTheme="majorHAnsi" w:hAnsiTheme="majorHAnsi" w:cstheme="majorHAnsi"/>
        </w:rPr>
        <w:br/>
      </w:r>
      <w:r w:rsidRPr="000577A6">
        <w:t>Cardiovascular tissue donation is only possible if it is part of an organ donation surgery. The DSNC, in collaboration with the Sydney Heart Valve Bank, coordinates the assessment for suitability and the retrieval process for cardiovascular tissue donation.</w:t>
      </w:r>
    </w:p>
    <w:p w14:paraId="22B04D9F" w14:textId="4796FB78" w:rsidR="00676542" w:rsidRPr="00FC19DD" w:rsidRDefault="000577A6" w:rsidP="00FC19DD">
      <w:pPr>
        <w:pStyle w:val="BodyCopy"/>
        <w:rPr>
          <w:rStyle w:val="Hyperlink"/>
          <w:color w:val="000000" w:themeColor="text1"/>
        </w:rPr>
      </w:pPr>
      <w:hyperlink w:anchor="_top" w:history="1">
        <w:r w:rsidRPr="00FC19DD">
          <w:rPr>
            <w:rStyle w:val="Hyperlink"/>
            <w:color w:val="000000" w:themeColor="text1"/>
          </w:rPr>
          <w:t>Back to Contents</w:t>
        </w:r>
      </w:hyperlink>
    </w:p>
    <w:p w14:paraId="12D5B311" w14:textId="7BF0D299" w:rsidR="00676542" w:rsidRPr="008B28FA" w:rsidRDefault="00676542" w:rsidP="00FC3B37">
      <w:pPr>
        <w:pStyle w:val="Heading4"/>
      </w:pPr>
      <w:bookmarkStart w:id="56" w:name="_Toc188011794"/>
      <w:r w:rsidRPr="008B28FA">
        <w:t xml:space="preserve">Section </w:t>
      </w:r>
      <w:r w:rsidR="006D164E">
        <w:t>8</w:t>
      </w:r>
      <w:r w:rsidR="00C544BC">
        <w:t xml:space="preserve"> – Operating Theatres</w:t>
      </w:r>
      <w:bookmarkEnd w:id="56"/>
    </w:p>
    <w:p w14:paraId="74F2AEE0" w14:textId="572255A1" w:rsidR="00C544BC" w:rsidRPr="00C544BC" w:rsidRDefault="00C544BC" w:rsidP="005954B3">
      <w:pPr>
        <w:pStyle w:val="BodyCopy"/>
      </w:pPr>
      <w:r w:rsidRPr="00C544BC">
        <w:t xml:space="preserve">Organ Donation retrieval surgery is dependent upon several factors that need to be considered when negotiating an </w:t>
      </w:r>
      <w:r w:rsidR="00FC19DD">
        <w:t>Operating Theatre</w:t>
      </w:r>
      <w:r w:rsidR="00FC19DD" w:rsidRPr="00BE690C">
        <w:rPr>
          <w:color w:val="auto"/>
        </w:rPr>
        <w:t xml:space="preserve"> (</w:t>
      </w:r>
      <w:r w:rsidRPr="00BE690C">
        <w:rPr>
          <w:color w:val="auto"/>
        </w:rPr>
        <w:t>OT</w:t>
      </w:r>
      <w:r w:rsidR="00FC19DD" w:rsidRPr="00BE690C">
        <w:rPr>
          <w:color w:val="auto"/>
        </w:rPr>
        <w:t>)</w:t>
      </w:r>
      <w:r w:rsidRPr="00BE690C">
        <w:rPr>
          <w:color w:val="auto"/>
        </w:rPr>
        <w:t xml:space="preserve"> </w:t>
      </w:r>
      <w:r w:rsidRPr="00C544BC">
        <w:t xml:space="preserve">time. </w:t>
      </w:r>
    </w:p>
    <w:p w14:paraId="1D2BBE5D" w14:textId="77777777" w:rsidR="00C544BC" w:rsidRPr="00C544BC" w:rsidRDefault="00C544BC" w:rsidP="005954B3">
      <w:pPr>
        <w:pStyle w:val="BodyCopy"/>
      </w:pPr>
      <w:r w:rsidRPr="00C544BC">
        <w:t>The factors include – donor stability, availability of local OT, availability of retrieval teams, family support/wishes, ICU bed availability, recipient considerations and the life-saving nature of organ donation retrieval surgery.</w:t>
      </w:r>
    </w:p>
    <w:p w14:paraId="60DE4F9C" w14:textId="77777777" w:rsidR="00C544BC" w:rsidRPr="00C544BC" w:rsidRDefault="00C544BC" w:rsidP="005954B3">
      <w:pPr>
        <w:pStyle w:val="BodyCopy"/>
      </w:pPr>
      <w:r w:rsidRPr="00C544BC">
        <w:t>The responsibility of alerting OT and booking retrieval surgery lies with the DSNC.</w:t>
      </w:r>
    </w:p>
    <w:p w14:paraId="4BA0EBB6" w14:textId="77777777" w:rsidR="00C544BC" w:rsidRPr="00C544BC" w:rsidRDefault="00C544BC" w:rsidP="005954B3">
      <w:pPr>
        <w:pStyle w:val="BodyCopy"/>
        <w:rPr>
          <w:lang w:val="en-US"/>
        </w:rPr>
      </w:pPr>
      <w:r w:rsidRPr="00C544BC">
        <w:rPr>
          <w:lang w:val="en-US"/>
        </w:rPr>
        <w:t>If concerns are raised about OT availability the following escalation pathway is to take place:</w:t>
      </w:r>
    </w:p>
    <w:p w14:paraId="777F8F5D" w14:textId="522AF084" w:rsidR="00C544BC" w:rsidRPr="00C544BC" w:rsidRDefault="00C544BC" w:rsidP="005954B3">
      <w:pPr>
        <w:pStyle w:val="Bullet"/>
        <w:rPr>
          <w:lang w:val="en-US"/>
        </w:rPr>
      </w:pPr>
      <w:r w:rsidRPr="00C544BC">
        <w:rPr>
          <w:lang w:val="en-US"/>
        </w:rPr>
        <w:t xml:space="preserve">OT team leader to escalate to OT Assistant Director of Nursing (ADON), Director of Nursing (DON) or </w:t>
      </w:r>
      <w:r w:rsidR="00987356">
        <w:rPr>
          <w:lang w:val="en-US"/>
        </w:rPr>
        <w:t xml:space="preserve">Division of </w:t>
      </w:r>
      <w:r w:rsidRPr="00C544BC">
        <w:rPr>
          <w:lang w:val="en-US"/>
        </w:rPr>
        <w:t xml:space="preserve">Surgery Executive or </w:t>
      </w:r>
      <w:r w:rsidR="00FC19DD">
        <w:rPr>
          <w:lang w:val="en-US"/>
        </w:rPr>
        <w:t>E</w:t>
      </w:r>
      <w:r w:rsidRPr="00C544BC">
        <w:rPr>
          <w:lang w:val="en-US"/>
        </w:rPr>
        <w:t>xecutive on call after hours.</w:t>
      </w:r>
    </w:p>
    <w:p w14:paraId="73ABD25A" w14:textId="77777777" w:rsidR="00C544BC" w:rsidRPr="00C544BC" w:rsidRDefault="00C544BC" w:rsidP="005954B3">
      <w:pPr>
        <w:pStyle w:val="Bullet"/>
        <w:rPr>
          <w:lang w:val="en-US"/>
        </w:rPr>
      </w:pPr>
      <w:r w:rsidRPr="00C544BC">
        <w:rPr>
          <w:lang w:val="en-US"/>
        </w:rPr>
        <w:t>OT ADON/DON/Exec explore options to re-arrange OT cases</w:t>
      </w:r>
    </w:p>
    <w:p w14:paraId="39149ABD" w14:textId="47AE889E" w:rsidR="00C544BC" w:rsidRPr="00C544BC" w:rsidRDefault="00C544BC" w:rsidP="005954B3">
      <w:pPr>
        <w:pStyle w:val="Bullet"/>
      </w:pPr>
      <w:r w:rsidRPr="00C544BC">
        <w:lastRenderedPageBreak/>
        <w:t>DSNC liaise with family, transplant and retrieval teams to explore alternatives, and contact the ACT Medical Donation Specialist on-call to inform them of the potential issues.</w:t>
      </w:r>
    </w:p>
    <w:p w14:paraId="66810F49" w14:textId="77777777" w:rsidR="00C544BC" w:rsidRPr="00C544BC" w:rsidRDefault="00C544BC" w:rsidP="005954B3">
      <w:pPr>
        <w:pStyle w:val="BodyCopy"/>
      </w:pPr>
      <w:r w:rsidRPr="00C544BC">
        <w:rPr>
          <w:lang w:val="en-US"/>
        </w:rPr>
        <w:t>If a resolution cannot be reached:</w:t>
      </w:r>
    </w:p>
    <w:p w14:paraId="0034606E" w14:textId="77777777" w:rsidR="00C544BC" w:rsidRPr="00C544BC" w:rsidRDefault="00C544BC" w:rsidP="005954B3">
      <w:pPr>
        <w:pStyle w:val="Bullet"/>
      </w:pPr>
      <w:r w:rsidRPr="00C544BC">
        <w:t>DSNC contacts DSM on-call</w:t>
      </w:r>
    </w:p>
    <w:p w14:paraId="74640791" w14:textId="77777777" w:rsidR="00C544BC" w:rsidRPr="00C544BC" w:rsidRDefault="00C544BC" w:rsidP="005954B3">
      <w:pPr>
        <w:pStyle w:val="Bullet"/>
      </w:pPr>
      <w:r w:rsidRPr="00C544BC">
        <w:t>DSM contacts State Medical Director</w:t>
      </w:r>
    </w:p>
    <w:p w14:paraId="3C833AF1" w14:textId="77777777" w:rsidR="00C544BC" w:rsidRPr="00C544BC" w:rsidRDefault="00C544BC" w:rsidP="005954B3">
      <w:pPr>
        <w:pStyle w:val="Bullet"/>
      </w:pPr>
      <w:r w:rsidRPr="00C544BC">
        <w:t>State Medical Director contacts Executive Director of Surgery to explore options</w:t>
      </w:r>
    </w:p>
    <w:p w14:paraId="1178FBC2" w14:textId="77777777" w:rsidR="00C544BC" w:rsidRPr="00C544BC" w:rsidRDefault="00C544BC" w:rsidP="005954B3">
      <w:pPr>
        <w:pStyle w:val="Bullet"/>
      </w:pPr>
      <w:r w:rsidRPr="00C544BC">
        <w:t>State Medical Director may contact interjurisdictional State Medical Director to explore options</w:t>
      </w:r>
    </w:p>
    <w:p w14:paraId="695EEA89" w14:textId="77777777" w:rsidR="00C544BC" w:rsidRPr="00C544BC" w:rsidRDefault="00C544BC" w:rsidP="005954B3">
      <w:pPr>
        <w:pStyle w:val="Bullet"/>
      </w:pPr>
      <w:r w:rsidRPr="00C544BC">
        <w:t>State Medical Director communicates outcome to DSNC</w:t>
      </w:r>
    </w:p>
    <w:p w14:paraId="79587849" w14:textId="77777777" w:rsidR="00C544BC" w:rsidRDefault="00C544BC" w:rsidP="005954B3">
      <w:pPr>
        <w:pStyle w:val="Bullet"/>
      </w:pPr>
      <w:r w:rsidRPr="00C544BC">
        <w:t>Executive Director of Surgery communicates outcome with OT team.</w:t>
      </w:r>
    </w:p>
    <w:p w14:paraId="52FB6A95" w14:textId="6FCD8046" w:rsidR="007F76DA" w:rsidRPr="005954B3" w:rsidRDefault="00676542" w:rsidP="005954B3">
      <w:pPr>
        <w:pStyle w:val="BodyCopy"/>
        <w:rPr>
          <w:u w:val="single"/>
        </w:rPr>
      </w:pPr>
      <w:hyperlink w:anchor="_top" w:history="1">
        <w:r w:rsidRPr="005954B3">
          <w:rPr>
            <w:rStyle w:val="Hyperlink"/>
            <w:color w:val="000000" w:themeColor="text1"/>
          </w:rPr>
          <w:t>Back to Contents</w:t>
        </w:r>
      </w:hyperlink>
    </w:p>
    <w:p w14:paraId="77A74C19" w14:textId="77777777" w:rsidR="0078367D" w:rsidRPr="008B28FA" w:rsidRDefault="0078367D" w:rsidP="00FC3B37">
      <w:pPr>
        <w:pStyle w:val="Heading4"/>
      </w:pPr>
      <w:bookmarkStart w:id="57" w:name="_Toc176348490"/>
      <w:bookmarkStart w:id="58" w:name="_Toc176425612"/>
      <w:bookmarkStart w:id="59" w:name="_Toc188011795"/>
      <w:r w:rsidRPr="008B28FA">
        <w:t>Evaluation</w:t>
      </w:r>
      <w:bookmarkStart w:id="60" w:name="_Hlk43366294"/>
      <w:bookmarkEnd w:id="57"/>
      <w:bookmarkEnd w:id="58"/>
      <w:bookmarkEnd w:id="59"/>
    </w:p>
    <w:bookmarkEnd w:id="60"/>
    <w:p w14:paraId="7AFEAE23" w14:textId="77777777" w:rsidR="00075ADE" w:rsidRDefault="00075ADE" w:rsidP="005954B3">
      <w:pPr>
        <w:pStyle w:val="Heading5"/>
        <w:rPr>
          <w:lang w:eastAsia="en-US"/>
        </w:rPr>
      </w:pPr>
      <w:r>
        <w:rPr>
          <w:lang w:eastAsia="en-US"/>
        </w:rPr>
        <w:t>Outcome</w:t>
      </w:r>
    </w:p>
    <w:p w14:paraId="0E4945F4" w14:textId="5AE7B2B9" w:rsidR="00075ADE" w:rsidRPr="005954B3" w:rsidRDefault="00075ADE" w:rsidP="00075ADE">
      <w:pPr>
        <w:pStyle w:val="Bullet"/>
        <w:rPr>
          <w:lang w:eastAsia="en-US"/>
        </w:rPr>
      </w:pPr>
      <w:r w:rsidRPr="00751050">
        <w:rPr>
          <w:lang w:eastAsia="en-US"/>
        </w:rPr>
        <w:t>This document is followed by all CHS staff.</w:t>
      </w:r>
    </w:p>
    <w:p w14:paraId="2C0D4D40" w14:textId="77777777" w:rsidR="00075ADE" w:rsidRDefault="00075ADE" w:rsidP="005954B3">
      <w:pPr>
        <w:pStyle w:val="Heading5"/>
        <w:rPr>
          <w:lang w:eastAsia="en-US"/>
        </w:rPr>
      </w:pPr>
      <w:r>
        <w:rPr>
          <w:lang w:eastAsia="en-US"/>
        </w:rPr>
        <w:t>Measures</w:t>
      </w:r>
    </w:p>
    <w:p w14:paraId="15595F27" w14:textId="77777777" w:rsidR="00075ADE" w:rsidRDefault="00075ADE" w:rsidP="005954B3">
      <w:pPr>
        <w:pStyle w:val="Bullet"/>
        <w:rPr>
          <w:lang w:eastAsia="en-US"/>
        </w:rPr>
      </w:pPr>
      <w:r w:rsidRPr="003C3441">
        <w:rPr>
          <w:lang w:eastAsia="en-US"/>
        </w:rPr>
        <w:t xml:space="preserve">Each calendar year, one organ donation case and/or referral case will be reviewed to ensure the document was followed appropriately. This includes but is not limited to cases that are part of the DonateLife ACT Clinical Case Review. </w:t>
      </w:r>
    </w:p>
    <w:p w14:paraId="4F680DE2" w14:textId="77777777" w:rsidR="00481A6C" w:rsidRPr="00FC19DD" w:rsidRDefault="00481A6C" w:rsidP="00FC19DD">
      <w:pPr>
        <w:pStyle w:val="BodyCopy"/>
        <w:rPr>
          <w:rStyle w:val="Hyperlink"/>
          <w:color w:val="000000" w:themeColor="text1"/>
        </w:rPr>
      </w:pPr>
      <w:hyperlink w:anchor="_top" w:history="1">
        <w:r w:rsidRPr="00FC19DD">
          <w:rPr>
            <w:rStyle w:val="Hyperlink"/>
            <w:color w:val="000000" w:themeColor="text1"/>
          </w:rPr>
          <w:t>Back to Contents</w:t>
        </w:r>
      </w:hyperlink>
    </w:p>
    <w:p w14:paraId="65E96BFE" w14:textId="77777777" w:rsidR="00A6051F" w:rsidRPr="008B28FA" w:rsidRDefault="00A6051F" w:rsidP="00FC3B37">
      <w:pPr>
        <w:pStyle w:val="Heading4"/>
      </w:pPr>
      <w:bookmarkStart w:id="61" w:name="_Toc176425613"/>
      <w:bookmarkStart w:id="62" w:name="_Toc188011796"/>
      <w:r w:rsidRPr="008B28FA">
        <w:t>Related policies, procedures, guidelines and legislation</w:t>
      </w:r>
      <w:bookmarkEnd w:id="61"/>
      <w:bookmarkEnd w:id="62"/>
    </w:p>
    <w:p w14:paraId="2B4BC8FA" w14:textId="77777777" w:rsidR="00075ADE" w:rsidRPr="00075ADE" w:rsidRDefault="00075ADE" w:rsidP="005954B3">
      <w:pPr>
        <w:pStyle w:val="Heading7"/>
      </w:pPr>
      <w:r w:rsidRPr="00075ADE">
        <w:t>Policies</w:t>
      </w:r>
    </w:p>
    <w:p w14:paraId="1569E93A" w14:textId="77777777" w:rsidR="00075ADE" w:rsidRPr="00075ADE" w:rsidRDefault="00075ADE" w:rsidP="005954B3">
      <w:pPr>
        <w:pStyle w:val="Bullet"/>
      </w:pPr>
      <w:r w:rsidRPr="00075ADE">
        <w:t xml:space="preserve">Information Privacy </w:t>
      </w:r>
    </w:p>
    <w:p w14:paraId="1B2517B6" w14:textId="77777777" w:rsidR="00075ADE" w:rsidRPr="00075ADE" w:rsidRDefault="00075ADE" w:rsidP="005954B3">
      <w:pPr>
        <w:pStyle w:val="Bullet"/>
      </w:pPr>
      <w:r w:rsidRPr="00075ADE">
        <w:t>Consumer Privacy</w:t>
      </w:r>
    </w:p>
    <w:p w14:paraId="2B1701CF" w14:textId="1027E8C9" w:rsidR="00075ADE" w:rsidRPr="00075ADE" w:rsidRDefault="00075ADE" w:rsidP="005954B3">
      <w:pPr>
        <w:pStyle w:val="Heading7"/>
      </w:pPr>
      <w:r w:rsidRPr="00075ADE">
        <w:t>Procedures</w:t>
      </w:r>
    </w:p>
    <w:p w14:paraId="2CAD2E7A" w14:textId="77777777" w:rsidR="00075ADE" w:rsidRPr="00075ADE" w:rsidRDefault="00075ADE" w:rsidP="005954B3">
      <w:pPr>
        <w:pStyle w:val="Bullet"/>
      </w:pPr>
      <w:r w:rsidRPr="00075ADE">
        <w:t xml:space="preserve">Infection Prevention and Control:  Healthcare Associated Infections </w:t>
      </w:r>
    </w:p>
    <w:p w14:paraId="0ADCD4B7" w14:textId="77777777" w:rsidR="00075ADE" w:rsidRPr="00075ADE" w:rsidRDefault="00075ADE" w:rsidP="005954B3">
      <w:pPr>
        <w:pStyle w:val="Bullet"/>
      </w:pPr>
      <w:r w:rsidRPr="00075ADE">
        <w:t xml:space="preserve">Patient Identification and Procedure Matching </w:t>
      </w:r>
    </w:p>
    <w:p w14:paraId="54D93484" w14:textId="77777777" w:rsidR="00075ADE" w:rsidRPr="00075ADE" w:rsidRDefault="00075ADE" w:rsidP="005954B3">
      <w:pPr>
        <w:pStyle w:val="Bullet"/>
      </w:pPr>
      <w:r w:rsidRPr="00075ADE">
        <w:t>Providing Care After Death</w:t>
      </w:r>
    </w:p>
    <w:p w14:paraId="2BC08319" w14:textId="77777777" w:rsidR="00075ADE" w:rsidRPr="00075ADE" w:rsidRDefault="00075ADE" w:rsidP="005954B3">
      <w:pPr>
        <w:pStyle w:val="Bullet"/>
      </w:pPr>
      <w:r w:rsidRPr="00075ADE">
        <w:t xml:space="preserve">Goals of Patient Care Plan (adult and paediatric, not neonate) </w:t>
      </w:r>
    </w:p>
    <w:p w14:paraId="13721314" w14:textId="77777777" w:rsidR="00075ADE" w:rsidRPr="00075ADE" w:rsidRDefault="00075ADE" w:rsidP="005954B3">
      <w:pPr>
        <w:pStyle w:val="Bullet"/>
      </w:pPr>
      <w:r w:rsidRPr="00075ADE">
        <w:t xml:space="preserve">Venepuncture Blood Specimen Collection </w:t>
      </w:r>
    </w:p>
    <w:p w14:paraId="1A529433" w14:textId="77777777" w:rsidR="00075ADE" w:rsidRPr="00075ADE" w:rsidRDefault="00075ADE" w:rsidP="005954B3">
      <w:pPr>
        <w:pStyle w:val="Bullet"/>
      </w:pPr>
      <w:r w:rsidRPr="00075ADE">
        <w:t>Patient Identification – Pathology Specimen Labelling</w:t>
      </w:r>
    </w:p>
    <w:p w14:paraId="6D0C2943" w14:textId="77777777" w:rsidR="00075ADE" w:rsidRPr="00075ADE" w:rsidRDefault="00075ADE" w:rsidP="005954B3">
      <w:pPr>
        <w:pStyle w:val="Bullet"/>
      </w:pPr>
      <w:r w:rsidRPr="00075ADE">
        <w:t>Advance Care Planning</w:t>
      </w:r>
    </w:p>
    <w:p w14:paraId="0697ED26" w14:textId="77777777" w:rsidR="00075ADE" w:rsidRPr="00075ADE" w:rsidRDefault="00075ADE" w:rsidP="005954B3">
      <w:pPr>
        <w:pStyle w:val="Bullet"/>
      </w:pPr>
      <w:r w:rsidRPr="00075ADE">
        <w:t>Neonatal Death, Bereavement, Palliative Care and Borderline of Viability</w:t>
      </w:r>
    </w:p>
    <w:p w14:paraId="0D717D62" w14:textId="77777777" w:rsidR="00075ADE" w:rsidRPr="00075ADE" w:rsidRDefault="00075ADE" w:rsidP="005954B3">
      <w:pPr>
        <w:pStyle w:val="Bullet"/>
      </w:pPr>
      <w:r w:rsidRPr="00075ADE">
        <w:lastRenderedPageBreak/>
        <w:t>Subcutaneous Medication Management in the Care of the Palliative Patient – Adults Only</w:t>
      </w:r>
    </w:p>
    <w:p w14:paraId="55E3E361" w14:textId="77777777" w:rsidR="00075ADE" w:rsidRPr="00075ADE" w:rsidRDefault="00075ADE" w:rsidP="005954B3">
      <w:pPr>
        <w:pStyle w:val="Bullet"/>
      </w:pPr>
      <w:r w:rsidRPr="00075ADE">
        <w:t xml:space="preserve">Admission to Discharge </w:t>
      </w:r>
    </w:p>
    <w:p w14:paraId="2296E4B8" w14:textId="77777777" w:rsidR="00075ADE" w:rsidRPr="00075ADE" w:rsidRDefault="00075ADE" w:rsidP="005954B3">
      <w:pPr>
        <w:pStyle w:val="Bullet"/>
      </w:pPr>
      <w:r w:rsidRPr="00075ADE">
        <w:t xml:space="preserve">Capacity Escalation </w:t>
      </w:r>
    </w:p>
    <w:p w14:paraId="6A350C5B" w14:textId="77777777" w:rsidR="00075ADE" w:rsidRDefault="00075ADE" w:rsidP="00075ADE">
      <w:pPr>
        <w:rPr>
          <w:rFonts w:ascii="Calibri" w:hAnsi="Calibri" w:cs="Calibri"/>
        </w:rPr>
      </w:pPr>
    </w:p>
    <w:p w14:paraId="01BC18DE" w14:textId="63686AD8" w:rsidR="008120C3" w:rsidRPr="00557A5E" w:rsidRDefault="008120C3" w:rsidP="005954B3">
      <w:pPr>
        <w:pStyle w:val="Heading7"/>
        <w:rPr>
          <w:color w:val="auto"/>
        </w:rPr>
      </w:pPr>
      <w:r w:rsidRPr="00557A5E">
        <w:rPr>
          <w:color w:val="auto"/>
        </w:rPr>
        <w:t>Guidelines</w:t>
      </w:r>
    </w:p>
    <w:p w14:paraId="3619FDEE" w14:textId="1176B2B8" w:rsidR="008120C3" w:rsidRDefault="008120C3" w:rsidP="00557A5E">
      <w:pPr>
        <w:pStyle w:val="BodyCopy"/>
      </w:pPr>
      <w:r>
        <w:t>Consent in Healthcare Treatment</w:t>
      </w:r>
    </w:p>
    <w:p w14:paraId="58C0A06A" w14:textId="77777777" w:rsidR="008120C3" w:rsidRDefault="008120C3" w:rsidP="005954B3">
      <w:pPr>
        <w:pStyle w:val="Heading7"/>
      </w:pPr>
    </w:p>
    <w:p w14:paraId="2141470E" w14:textId="73D54B8F" w:rsidR="00075ADE" w:rsidRPr="00075ADE" w:rsidRDefault="00075ADE" w:rsidP="005954B3">
      <w:pPr>
        <w:pStyle w:val="Heading7"/>
      </w:pPr>
      <w:r w:rsidRPr="00075ADE">
        <w:t xml:space="preserve">National Guidelines </w:t>
      </w:r>
    </w:p>
    <w:p w14:paraId="604F9AC8" w14:textId="77777777" w:rsidR="00075ADE" w:rsidRPr="00075ADE" w:rsidRDefault="00075ADE" w:rsidP="005954B3">
      <w:pPr>
        <w:pStyle w:val="Bullet"/>
      </w:pPr>
      <w:r w:rsidRPr="00075ADE">
        <w:t>Australian and New Zealand Intensive Care Society (ANZICS), The Statement on Death and Organ Donation</w:t>
      </w:r>
    </w:p>
    <w:p w14:paraId="68F1DB6C" w14:textId="77777777" w:rsidR="00075ADE" w:rsidRPr="00075ADE" w:rsidRDefault="00075ADE" w:rsidP="005954B3">
      <w:pPr>
        <w:pStyle w:val="Bullet"/>
      </w:pPr>
      <w:r w:rsidRPr="00075ADE">
        <w:t xml:space="preserve">Public Interest Disclosure Guidelines </w:t>
      </w:r>
    </w:p>
    <w:p w14:paraId="217BA63D" w14:textId="77777777" w:rsidR="00075ADE" w:rsidRPr="00075ADE" w:rsidRDefault="00075ADE" w:rsidP="005954B3">
      <w:pPr>
        <w:pStyle w:val="Bullet"/>
      </w:pPr>
      <w:r w:rsidRPr="00075ADE">
        <w:t>The Transplantation Society of Australia and New Zealand (TSANZ), Clinical Guidelines for Organ Transplantation from Deceased Donors</w:t>
      </w:r>
    </w:p>
    <w:p w14:paraId="1FA52A22" w14:textId="77777777" w:rsidR="00075ADE" w:rsidRPr="00075ADE" w:rsidRDefault="00075ADE" w:rsidP="005954B3">
      <w:pPr>
        <w:pStyle w:val="Bullet"/>
      </w:pPr>
      <w:r w:rsidRPr="00075ADE">
        <w:t>National Health and Medical Research Council (NHMRC), Ethical Guidelines for Organ Transplantation from Deceased donors</w:t>
      </w:r>
    </w:p>
    <w:p w14:paraId="3766424C" w14:textId="7413A3B9" w:rsidR="00075ADE" w:rsidRPr="00996825" w:rsidRDefault="00075ADE" w:rsidP="005954B3">
      <w:pPr>
        <w:pStyle w:val="Bullet"/>
      </w:pPr>
      <w:r w:rsidRPr="00075ADE">
        <w:t>Best Practice Guideline for Offering Organ and Tissue Donation in Australia</w:t>
      </w:r>
    </w:p>
    <w:p w14:paraId="690A1BF3" w14:textId="77777777" w:rsidR="00075ADE" w:rsidRPr="00075ADE" w:rsidRDefault="00075ADE" w:rsidP="005954B3">
      <w:pPr>
        <w:pStyle w:val="Heading7"/>
      </w:pPr>
      <w:r w:rsidRPr="00075ADE">
        <w:t>Legislation</w:t>
      </w:r>
    </w:p>
    <w:p w14:paraId="43DF17E9" w14:textId="77777777" w:rsidR="00075ADE" w:rsidRPr="00075ADE" w:rsidRDefault="00075ADE" w:rsidP="005954B3">
      <w:pPr>
        <w:pStyle w:val="Bullet"/>
      </w:pPr>
      <w:r w:rsidRPr="005954B3">
        <w:rPr>
          <w:i/>
          <w:iCs/>
        </w:rPr>
        <w:t>Health Records (Privacy and Access) Act</w:t>
      </w:r>
      <w:r w:rsidRPr="00075ADE">
        <w:t xml:space="preserve"> 1997</w:t>
      </w:r>
    </w:p>
    <w:p w14:paraId="60A52F4B" w14:textId="77777777" w:rsidR="00075ADE" w:rsidRPr="00075ADE" w:rsidRDefault="00075ADE" w:rsidP="005954B3">
      <w:pPr>
        <w:pStyle w:val="Bullet"/>
      </w:pPr>
      <w:r w:rsidRPr="005954B3">
        <w:rPr>
          <w:i/>
          <w:iCs/>
        </w:rPr>
        <w:t>Human Rights Act</w:t>
      </w:r>
      <w:r w:rsidRPr="00075ADE">
        <w:t xml:space="preserve"> 2004</w:t>
      </w:r>
    </w:p>
    <w:p w14:paraId="3C142E6E" w14:textId="77777777" w:rsidR="00075ADE" w:rsidRPr="00075ADE" w:rsidRDefault="00075ADE" w:rsidP="005954B3">
      <w:pPr>
        <w:pStyle w:val="Bullet"/>
      </w:pPr>
      <w:r w:rsidRPr="005954B3">
        <w:rPr>
          <w:i/>
          <w:iCs/>
        </w:rPr>
        <w:t>Work Health and Safety Act</w:t>
      </w:r>
      <w:r w:rsidRPr="00075ADE">
        <w:t xml:space="preserve"> 2011</w:t>
      </w:r>
    </w:p>
    <w:p w14:paraId="6D461829" w14:textId="77777777" w:rsidR="00075ADE" w:rsidRPr="00075ADE" w:rsidRDefault="00075ADE" w:rsidP="005954B3">
      <w:pPr>
        <w:pStyle w:val="Bullet"/>
      </w:pPr>
      <w:r w:rsidRPr="005954B3">
        <w:rPr>
          <w:i/>
          <w:iCs/>
        </w:rPr>
        <w:t>Coroners Act</w:t>
      </w:r>
      <w:r w:rsidRPr="00075ADE">
        <w:t xml:space="preserve"> 1997</w:t>
      </w:r>
    </w:p>
    <w:p w14:paraId="3ADF69DE" w14:textId="483E0EF3" w:rsidR="00075ADE" w:rsidRPr="005954B3" w:rsidRDefault="00075ADE" w:rsidP="005954B3">
      <w:pPr>
        <w:pStyle w:val="Bullet"/>
      </w:pPr>
      <w:r w:rsidRPr="00FF3EB3">
        <w:rPr>
          <w:i/>
          <w:iCs/>
        </w:rPr>
        <w:t>Transplant</w:t>
      </w:r>
      <w:r w:rsidR="00FF3EB3">
        <w:rPr>
          <w:i/>
          <w:iCs/>
        </w:rPr>
        <w:t>ation</w:t>
      </w:r>
      <w:r w:rsidRPr="00FF3EB3">
        <w:rPr>
          <w:i/>
          <w:iCs/>
        </w:rPr>
        <w:t xml:space="preserve"> and Anatomy Act</w:t>
      </w:r>
      <w:r w:rsidRPr="00075ADE">
        <w:t xml:space="preserve"> 1978</w:t>
      </w:r>
    </w:p>
    <w:p w14:paraId="27ED2FEF" w14:textId="77777777" w:rsidR="00075ADE" w:rsidRPr="00075ADE" w:rsidRDefault="00075ADE" w:rsidP="00FF3EB3">
      <w:pPr>
        <w:pStyle w:val="Heading7"/>
      </w:pPr>
      <w:r w:rsidRPr="00075ADE">
        <w:t>Other</w:t>
      </w:r>
    </w:p>
    <w:p w14:paraId="5154A5D6" w14:textId="77777777" w:rsidR="00075ADE" w:rsidRPr="00075ADE" w:rsidRDefault="00075ADE" w:rsidP="00FF3EB3">
      <w:pPr>
        <w:pStyle w:val="Bullet"/>
      </w:pPr>
      <w:r w:rsidRPr="00075ADE">
        <w:t xml:space="preserve">Australian Charter in Healthcare Rights </w:t>
      </w:r>
    </w:p>
    <w:p w14:paraId="35E72E7C" w14:textId="77777777" w:rsidR="000E7683" w:rsidRPr="00FF3EB3" w:rsidRDefault="000E7683" w:rsidP="00FF3EB3">
      <w:pPr>
        <w:pStyle w:val="BodyCopy"/>
        <w:rPr>
          <w:u w:val="single"/>
        </w:rPr>
      </w:pPr>
      <w:hyperlink w:anchor="_top" w:history="1">
        <w:r w:rsidRPr="00FF3EB3">
          <w:rPr>
            <w:rStyle w:val="Hyperlink"/>
            <w:color w:val="000000" w:themeColor="text1"/>
          </w:rPr>
          <w:t>Back to Contents</w:t>
        </w:r>
      </w:hyperlink>
    </w:p>
    <w:p w14:paraId="00EF2052" w14:textId="77777777" w:rsidR="0078367D" w:rsidRPr="008B28FA" w:rsidRDefault="0078367D" w:rsidP="00FC3B37">
      <w:pPr>
        <w:pStyle w:val="Heading4"/>
      </w:pPr>
      <w:bookmarkStart w:id="63" w:name="_Toc176425614"/>
      <w:bookmarkStart w:id="64" w:name="_Toc188011797"/>
      <w:r w:rsidRPr="008B28FA">
        <w:t>References</w:t>
      </w:r>
      <w:bookmarkEnd w:id="63"/>
      <w:bookmarkEnd w:id="64"/>
    </w:p>
    <w:p w14:paraId="0810CE88" w14:textId="77777777" w:rsidR="00075ADE" w:rsidRPr="00075ADE" w:rsidRDefault="00075ADE" w:rsidP="00FF3EB3">
      <w:pPr>
        <w:pStyle w:val="BodyCopy"/>
        <w:numPr>
          <w:ilvl w:val="0"/>
          <w:numId w:val="35"/>
        </w:numPr>
      </w:pPr>
      <w:r w:rsidRPr="00075ADE">
        <w:t xml:space="preserve">Australian and New Zealand Intensive Care Society (ANZICS), ‘Statement on Care and Decision-Making at the End of Life for the Critically Ill’, Edition 1.0, 2014: </w:t>
      </w:r>
      <w:hyperlink r:id="rId12" w:history="1">
        <w:r w:rsidRPr="00075ADE">
          <w:rPr>
            <w:rStyle w:val="Hyperlink"/>
            <w:rFonts w:cs="Calibri"/>
          </w:rPr>
          <w:t>https://www.anzics.com.au/wp-content/uploads/2018/08/ANZICS-Statement-on-Care-and-Decision-Making-at-the-End-of-Life-for-the-Critically-Ill.pdf</w:t>
        </w:r>
      </w:hyperlink>
    </w:p>
    <w:p w14:paraId="4C36B703" w14:textId="32560C9F" w:rsidR="00075ADE" w:rsidRPr="00075ADE" w:rsidRDefault="00075ADE" w:rsidP="008120C3">
      <w:pPr>
        <w:pStyle w:val="BodyCopy"/>
        <w:numPr>
          <w:ilvl w:val="0"/>
          <w:numId w:val="35"/>
        </w:numPr>
      </w:pPr>
      <w:r w:rsidRPr="00075ADE">
        <w:t xml:space="preserve">Australian and New Zealand Intensive Care Society (ANZICS) Statement on Death and Organ Donation, Edition 4.0, 2019: </w:t>
      </w:r>
      <w:hyperlink r:id="rId13" w:history="1">
        <w:r w:rsidR="008120C3" w:rsidRPr="00441C44">
          <w:rPr>
            <w:rStyle w:val="Hyperlink"/>
            <w:rFonts w:cs="Calibri"/>
          </w:rPr>
          <w:t>https://www.anzics.com.au/wp-content/uploads/2020/07/ANZICS-Statement-on-Death-and-Organ-Donation-Edition-4.pdf</w:t>
        </w:r>
      </w:hyperlink>
      <w:r w:rsidRPr="00075ADE">
        <w:tab/>
        <w:t xml:space="preserve"> </w:t>
      </w:r>
    </w:p>
    <w:p w14:paraId="6A17BE39" w14:textId="77777777" w:rsidR="00075ADE" w:rsidRPr="00075ADE" w:rsidRDefault="00075ADE" w:rsidP="00FF3EB3">
      <w:pPr>
        <w:pStyle w:val="BodyCopy"/>
        <w:numPr>
          <w:ilvl w:val="0"/>
          <w:numId w:val="35"/>
        </w:numPr>
      </w:pPr>
      <w:r w:rsidRPr="00075ADE">
        <w:lastRenderedPageBreak/>
        <w:t xml:space="preserve">Australian Commission on Safety and Quality in Health Care, ‘National Consensus Statement: Essential Elements for Safe and High-Quality End-of-Life Care’, 2023, </w:t>
      </w:r>
      <w:hyperlink r:id="rId14" w:history="1">
        <w:r w:rsidRPr="00075ADE">
          <w:rPr>
            <w:rStyle w:val="Hyperlink"/>
            <w:rFonts w:cs="Calibri"/>
          </w:rPr>
          <w:t>National Consensus Statement: Essential elements for safe and high</w:t>
        </w:r>
        <w:r w:rsidRPr="00075ADE">
          <w:rPr>
            <w:rStyle w:val="Hyperlink"/>
            <w:rFonts w:cs="Calibri"/>
          </w:rPr>
          <w:noBreakHyphen/>
          <w:t>quality end</w:t>
        </w:r>
        <w:r w:rsidRPr="00075ADE">
          <w:rPr>
            <w:rStyle w:val="Hyperlink"/>
            <w:rFonts w:cs="Calibri"/>
          </w:rPr>
          <w:noBreakHyphen/>
          <w:t>of</w:t>
        </w:r>
        <w:r w:rsidRPr="00075ADE">
          <w:rPr>
            <w:rStyle w:val="Hyperlink"/>
            <w:rFonts w:cs="Calibri"/>
          </w:rPr>
          <w:noBreakHyphen/>
          <w:t>life care</w:t>
        </w:r>
      </w:hyperlink>
    </w:p>
    <w:p w14:paraId="390D3BF7" w14:textId="77777777" w:rsidR="00075ADE" w:rsidRPr="00075ADE" w:rsidRDefault="00075ADE" w:rsidP="00FF3EB3">
      <w:pPr>
        <w:pStyle w:val="BodyCopy"/>
        <w:numPr>
          <w:ilvl w:val="0"/>
          <w:numId w:val="35"/>
        </w:numPr>
      </w:pPr>
      <w:r w:rsidRPr="00075ADE">
        <w:t xml:space="preserve">DonateLife (2019), The Australian Organ and Tissue Donation and Transplantation Authority, viewed November 2024, </w:t>
      </w:r>
      <w:hyperlink r:id="rId15" w:history="1">
        <w:r w:rsidRPr="00075ADE">
          <w:rPr>
            <w:rStyle w:val="Hyperlink"/>
            <w:rFonts w:cs="Calibri"/>
          </w:rPr>
          <w:t>www.donatelife.gov.au</w:t>
        </w:r>
      </w:hyperlink>
      <w:r w:rsidRPr="00075ADE">
        <w:t xml:space="preserve"> </w:t>
      </w:r>
    </w:p>
    <w:p w14:paraId="4BC24C0B" w14:textId="56B30D2B" w:rsidR="00075ADE" w:rsidRPr="00075ADE" w:rsidRDefault="001D7823" w:rsidP="00FF3EB3">
      <w:pPr>
        <w:pStyle w:val="BodyCopy"/>
        <w:numPr>
          <w:ilvl w:val="0"/>
          <w:numId w:val="35"/>
        </w:numPr>
      </w:pPr>
      <w:r>
        <w:t xml:space="preserve">Australian Organ and Tissue Donation and Transplantation Authority, ‘Strategy 2022-2027’, 2022, </w:t>
      </w:r>
      <w:hyperlink r:id="rId16" w:history="1">
        <w:r w:rsidRPr="001D7823">
          <w:rPr>
            <w:rStyle w:val="Hyperlink"/>
          </w:rPr>
          <w:t>Organ and Tissue Authority Strategy 2022-2027</w:t>
        </w:r>
      </w:hyperlink>
    </w:p>
    <w:p w14:paraId="3AEB9046" w14:textId="75166482" w:rsidR="00075ADE" w:rsidRPr="00075ADE" w:rsidRDefault="00075ADE" w:rsidP="008120C3">
      <w:pPr>
        <w:pStyle w:val="BodyCopy"/>
        <w:numPr>
          <w:ilvl w:val="0"/>
          <w:numId w:val="35"/>
        </w:numPr>
      </w:pPr>
      <w:r w:rsidRPr="00075ADE">
        <w:t xml:space="preserve">Organ and Tissue Authority, ‘Best Practice Guideline for Offering Organ and Tissue Donation in Australia’, </w:t>
      </w:r>
      <w:r w:rsidR="007C57EA">
        <w:t>Edition</w:t>
      </w:r>
      <w:r w:rsidRPr="00075ADE">
        <w:t xml:space="preserve"> </w:t>
      </w:r>
      <w:r w:rsidR="007C57EA">
        <w:t>2</w:t>
      </w:r>
      <w:r w:rsidRPr="00075ADE">
        <w:t xml:space="preserve">.0, </w:t>
      </w:r>
      <w:r w:rsidR="007C57EA">
        <w:t>April 2021</w:t>
      </w:r>
      <w:r w:rsidRPr="00075ADE">
        <w:t xml:space="preserve"> </w:t>
      </w:r>
      <w:hyperlink r:id="rId17" w:history="1">
        <w:r w:rsidR="008120C3" w:rsidRPr="00441C44">
          <w:rPr>
            <w:rStyle w:val="Hyperlink"/>
            <w:rFonts w:cs="Calibri"/>
          </w:rPr>
          <w:t>https://donatelife.gov.au/resources/clinical-guidelines-and-protocols/best-practice-guideline-offering-organ-and-tissue</w:t>
        </w:r>
      </w:hyperlink>
    </w:p>
    <w:p w14:paraId="7A0A992E" w14:textId="77777777" w:rsidR="00075ADE" w:rsidRPr="00075ADE" w:rsidRDefault="00075ADE" w:rsidP="00FF3EB3">
      <w:pPr>
        <w:pStyle w:val="BodyCopy"/>
        <w:numPr>
          <w:ilvl w:val="0"/>
          <w:numId w:val="35"/>
        </w:numPr>
      </w:pPr>
      <w:r w:rsidRPr="00075ADE">
        <w:t xml:space="preserve">The National Health and Medical Research Council (NHMRC) – ‘Ethical Guidelines for Organ Transplantation from Deceased Donors’, Version 1.0 – April 2016, </w:t>
      </w:r>
      <w:hyperlink r:id="rId18" w:history="1">
        <w:r w:rsidRPr="00075ADE">
          <w:rPr>
            <w:rStyle w:val="Hyperlink"/>
            <w:rFonts w:cs="Calibri"/>
          </w:rPr>
          <w:t>https://www.nhmrc.gov.au/about-us/publications/ethical-guidelines-organ-transplantation-deceased-donors</w:t>
        </w:r>
      </w:hyperlink>
    </w:p>
    <w:p w14:paraId="40ABB20E" w14:textId="3B5EC961" w:rsidR="00075ADE" w:rsidRPr="00FF3EB3" w:rsidRDefault="00075ADE" w:rsidP="008120C3">
      <w:pPr>
        <w:pStyle w:val="BodyCopy"/>
        <w:numPr>
          <w:ilvl w:val="0"/>
          <w:numId w:val="35"/>
        </w:numPr>
      </w:pPr>
      <w:r w:rsidRPr="00075ADE">
        <w:t xml:space="preserve">The Transplantation Society of Australia and New Zealand (TSANZ) – ‘Clinical </w:t>
      </w:r>
      <w:r w:rsidR="008120C3" w:rsidRPr="00075ADE">
        <w:t>Guidelines</w:t>
      </w:r>
      <w:r w:rsidRPr="00075ADE">
        <w:t xml:space="preserve"> for Organ </w:t>
      </w:r>
      <w:r w:rsidR="008120C3" w:rsidRPr="00075ADE">
        <w:t>Transplantation</w:t>
      </w:r>
      <w:r w:rsidRPr="00075ADE">
        <w:t xml:space="preserve"> from Deceased Donors’</w:t>
      </w:r>
      <w:hyperlink r:id="rId19" w:history="1">
        <w:r w:rsidRPr="008120C3">
          <w:rPr>
            <w:rStyle w:val="Hyperlink"/>
            <w:rFonts w:cs="Calibri"/>
          </w:rPr>
          <w:t>TSANZ Clinical Guidelines - TSANZ</w:t>
        </w:r>
      </w:hyperlink>
      <w:r w:rsidR="007C57EA">
        <w:rPr>
          <w:rStyle w:val="Hyperlink"/>
          <w:rFonts w:cs="Calibri"/>
        </w:rPr>
        <w:t xml:space="preserve"> (</w:t>
      </w:r>
      <w:r w:rsidR="00BC66A2">
        <w:rPr>
          <w:rStyle w:val="Hyperlink"/>
          <w:rFonts w:cs="Calibri"/>
        </w:rPr>
        <w:t>version 1.13</w:t>
      </w:r>
      <w:r w:rsidR="007C57EA">
        <w:rPr>
          <w:rStyle w:val="Hyperlink"/>
          <w:rFonts w:cs="Calibri"/>
        </w:rPr>
        <w:t xml:space="preserve"> </w:t>
      </w:r>
      <w:r w:rsidR="007C57EA" w:rsidRPr="007C57EA">
        <w:rPr>
          <w:rFonts w:cs="Calibri"/>
          <w:color w:val="auto"/>
          <w:u w:val="single"/>
        </w:rPr>
        <w:t>September 2024</w:t>
      </w:r>
      <w:r w:rsidR="007C57EA">
        <w:rPr>
          <w:rFonts w:cs="Calibri"/>
          <w:color w:val="auto"/>
          <w:u w:val="single"/>
        </w:rPr>
        <w:t>)</w:t>
      </w:r>
    </w:p>
    <w:p w14:paraId="470B8838" w14:textId="15DAAB9D" w:rsidR="00280C5D" w:rsidRPr="00FF3EB3" w:rsidRDefault="00280C5D" w:rsidP="00FF3EB3">
      <w:pPr>
        <w:pStyle w:val="BodyCopy"/>
        <w:rPr>
          <w:u w:val="single"/>
        </w:rPr>
      </w:pPr>
      <w:hyperlink w:anchor="_top" w:history="1">
        <w:r w:rsidRPr="00FF3EB3">
          <w:rPr>
            <w:rStyle w:val="Hyperlink"/>
            <w:color w:val="000000" w:themeColor="text1"/>
          </w:rPr>
          <w:t>Back to Contents</w:t>
        </w:r>
      </w:hyperlink>
    </w:p>
    <w:p w14:paraId="20759B8C" w14:textId="52500621" w:rsidR="0078367D" w:rsidRPr="008B28FA" w:rsidRDefault="0078367D" w:rsidP="00FC3B37">
      <w:pPr>
        <w:pStyle w:val="Heading4"/>
      </w:pPr>
      <w:bookmarkStart w:id="65" w:name="_Toc188011798"/>
      <w:bookmarkStart w:id="66" w:name="_Toc176425615"/>
      <w:r w:rsidRPr="008B28FA">
        <w:t>Definition of terms</w:t>
      </w:r>
      <w:bookmarkEnd w:id="65"/>
      <w:r w:rsidRPr="008B28FA">
        <w:t xml:space="preserve"> </w:t>
      </w:r>
      <w:bookmarkEnd w:id="66"/>
    </w:p>
    <w:p w14:paraId="01455219" w14:textId="1BAEA9C3" w:rsidR="00075ADE" w:rsidRDefault="00075ADE" w:rsidP="00FF3EB3">
      <w:pPr>
        <w:pStyle w:val="BodyCopy"/>
      </w:pPr>
      <w:r w:rsidRPr="00075ADE">
        <w:rPr>
          <w:b/>
        </w:rPr>
        <w:t>Australian Organ Donor Register</w:t>
      </w:r>
      <w:r w:rsidR="00C60288">
        <w:rPr>
          <w:b/>
        </w:rPr>
        <w:t xml:space="preserve"> (AODR)</w:t>
      </w:r>
      <w:r w:rsidRPr="00075ADE">
        <w:rPr>
          <w:b/>
        </w:rPr>
        <w:t xml:space="preserve"> - </w:t>
      </w:r>
      <w:r w:rsidRPr="00075ADE">
        <w:t>The Australian national register for people to record their decision about becoming an organ and tissue donor for transplantation after death.</w:t>
      </w:r>
    </w:p>
    <w:p w14:paraId="388B8DAF" w14:textId="233EF0D2" w:rsidR="00C60288" w:rsidRPr="00075ADE" w:rsidRDefault="00C60288" w:rsidP="00FF3EB3">
      <w:pPr>
        <w:pStyle w:val="BodyCopy"/>
      </w:pPr>
      <w:r w:rsidRPr="00C60288">
        <w:rPr>
          <w:b/>
          <w:bCs w:val="0"/>
        </w:rPr>
        <w:t>Core Family Donation Conversation (cFDC) –</w:t>
      </w:r>
      <w:r>
        <w:t xml:space="preserve"> workshop that provides training to health professionals working in organ and tissue donation.</w:t>
      </w:r>
    </w:p>
    <w:p w14:paraId="5B6B2780" w14:textId="6EA4E051" w:rsidR="00075ADE" w:rsidRDefault="00075ADE" w:rsidP="00FF3EB3">
      <w:pPr>
        <w:pStyle w:val="BodyCopy"/>
      </w:pPr>
      <w:r w:rsidRPr="00075ADE">
        <w:rPr>
          <w:b/>
        </w:rPr>
        <w:t xml:space="preserve">Designated </w:t>
      </w:r>
      <w:r w:rsidR="00DE117D">
        <w:rPr>
          <w:b/>
        </w:rPr>
        <w:t>O</w:t>
      </w:r>
      <w:r w:rsidRPr="00075ADE">
        <w:rPr>
          <w:b/>
        </w:rPr>
        <w:t>fficer</w:t>
      </w:r>
      <w:r w:rsidR="00C60288">
        <w:rPr>
          <w:b/>
        </w:rPr>
        <w:t xml:space="preserve"> (DO)</w:t>
      </w:r>
      <w:r w:rsidRPr="00075ADE">
        <w:rPr>
          <w:b/>
        </w:rPr>
        <w:t xml:space="preserve"> -</w:t>
      </w:r>
      <w:r w:rsidRPr="00075ADE">
        <w:t xml:space="preserve">. </w:t>
      </w:r>
      <w:r w:rsidR="00FC19DD" w:rsidRPr="008B28FA">
        <w:t xml:space="preserve">A Designated Officer is a person, appointed by the Chief Health Officer under the </w:t>
      </w:r>
      <w:r w:rsidR="00FC19DD" w:rsidRPr="0004494A">
        <w:rPr>
          <w:i/>
          <w:iCs w:val="0"/>
        </w:rPr>
        <w:t>Transplantation and Anatomy Act</w:t>
      </w:r>
      <w:r w:rsidR="00FC19DD" w:rsidRPr="008B28FA">
        <w:t xml:space="preserve"> 1978 (ACT). They are responsible for the authorisation of organ and/or tissue donation within a health care facility. Designated Officers undergo specific training through their appointment process. </w:t>
      </w:r>
    </w:p>
    <w:p w14:paraId="410C0802" w14:textId="3C6C9A42" w:rsidR="00C60288" w:rsidRDefault="00C60288" w:rsidP="00FF3EB3">
      <w:pPr>
        <w:pStyle w:val="BodyCopy"/>
        <w:rPr>
          <w:b/>
          <w:bCs w:val="0"/>
        </w:rPr>
      </w:pPr>
      <w:r w:rsidRPr="00C60288">
        <w:rPr>
          <w:b/>
          <w:bCs w:val="0"/>
        </w:rPr>
        <w:t>Digital Health Record (DHR)</w:t>
      </w:r>
    </w:p>
    <w:p w14:paraId="07049929" w14:textId="027F3030" w:rsidR="00DE117D" w:rsidRDefault="00DE117D" w:rsidP="00FF3EB3">
      <w:pPr>
        <w:pStyle w:val="BodyCopy"/>
        <w:rPr>
          <w:b/>
          <w:bCs w:val="0"/>
        </w:rPr>
      </w:pPr>
      <w:r>
        <w:rPr>
          <w:b/>
          <w:bCs w:val="0"/>
        </w:rPr>
        <w:t>Donation after Circulatory Determination of Death (DCDD)</w:t>
      </w:r>
    </w:p>
    <w:p w14:paraId="6F81F66E" w14:textId="01216C5E" w:rsidR="00DE117D" w:rsidRPr="00C60288" w:rsidRDefault="00C60288" w:rsidP="00FF3EB3">
      <w:pPr>
        <w:pStyle w:val="BodyCopy"/>
        <w:rPr>
          <w:b/>
          <w:bCs w:val="0"/>
        </w:rPr>
      </w:pPr>
      <w:r>
        <w:rPr>
          <w:b/>
          <w:bCs w:val="0"/>
        </w:rPr>
        <w:t xml:space="preserve">Donation </w:t>
      </w:r>
      <w:r w:rsidR="00DE117D">
        <w:rPr>
          <w:b/>
          <w:bCs w:val="0"/>
        </w:rPr>
        <w:t>after Neurological Determination of Death (DNDD)</w:t>
      </w:r>
    </w:p>
    <w:p w14:paraId="38D74FF7" w14:textId="71652ED6" w:rsidR="00075ADE" w:rsidRPr="00075ADE" w:rsidRDefault="00075ADE" w:rsidP="00FF3EB3">
      <w:pPr>
        <w:pStyle w:val="BodyCopy"/>
      </w:pPr>
      <w:r w:rsidRPr="00075ADE">
        <w:rPr>
          <w:b/>
        </w:rPr>
        <w:lastRenderedPageBreak/>
        <w:t xml:space="preserve">DonateLife ACT </w:t>
      </w:r>
      <w:r w:rsidR="00C60288">
        <w:rPr>
          <w:b/>
        </w:rPr>
        <w:t>(DL ACT)</w:t>
      </w:r>
      <w:r w:rsidRPr="00075ADE">
        <w:rPr>
          <w:b/>
        </w:rPr>
        <w:t xml:space="preserve">- </w:t>
      </w:r>
      <w:r w:rsidRPr="00075ADE">
        <w:t xml:space="preserve">DonateLife agency in Canberra. </w:t>
      </w:r>
    </w:p>
    <w:p w14:paraId="37237C57" w14:textId="197EC875" w:rsidR="00075ADE" w:rsidRPr="00075ADE" w:rsidRDefault="00075ADE" w:rsidP="00FF3EB3">
      <w:pPr>
        <w:pStyle w:val="BodyCopy"/>
      </w:pPr>
      <w:r w:rsidRPr="00075ADE">
        <w:rPr>
          <w:b/>
        </w:rPr>
        <w:t>Donation Specialist Medical</w:t>
      </w:r>
      <w:r w:rsidR="00C60288">
        <w:rPr>
          <w:b/>
        </w:rPr>
        <w:t xml:space="preserve"> (DSM)</w:t>
      </w:r>
      <w:r w:rsidRPr="00075ADE">
        <w:rPr>
          <w:b/>
        </w:rPr>
        <w:t xml:space="preserve"> </w:t>
      </w:r>
      <w:r w:rsidRPr="00075ADE">
        <w:t>– Medical practitioner with the responsibility and accountability for the end-to- end process to optimise organ and tissue donation for transplantation.</w:t>
      </w:r>
    </w:p>
    <w:p w14:paraId="6765E5A0" w14:textId="554C7B88" w:rsidR="00075ADE" w:rsidRDefault="00075ADE" w:rsidP="00FF3EB3">
      <w:pPr>
        <w:pStyle w:val="BodyCopy"/>
      </w:pPr>
      <w:r w:rsidRPr="00075ADE">
        <w:rPr>
          <w:b/>
        </w:rPr>
        <w:t xml:space="preserve">Donation Specialist Nursing Coordinator </w:t>
      </w:r>
      <w:r w:rsidR="00C60288">
        <w:rPr>
          <w:b/>
        </w:rPr>
        <w:t>(DSNC)</w:t>
      </w:r>
      <w:r w:rsidRPr="00075ADE">
        <w:t>– Senior</w:t>
      </w:r>
      <w:r w:rsidRPr="00075ADE">
        <w:rPr>
          <w:b/>
        </w:rPr>
        <w:t xml:space="preserve"> </w:t>
      </w:r>
      <w:r w:rsidRPr="00075ADE">
        <w:t>Registered Nurse with responsibility for facilitating the process of organ and tissue donation.</w:t>
      </w:r>
    </w:p>
    <w:p w14:paraId="140581E7" w14:textId="350433E7" w:rsidR="00DE117D" w:rsidRPr="00DE117D" w:rsidRDefault="00DE117D" w:rsidP="00FF3EB3">
      <w:pPr>
        <w:pStyle w:val="BodyCopy"/>
        <w:rPr>
          <w:b/>
          <w:bCs w:val="0"/>
        </w:rPr>
      </w:pPr>
      <w:r w:rsidRPr="00DE117D">
        <w:rPr>
          <w:b/>
          <w:bCs w:val="0"/>
        </w:rPr>
        <w:t>End of Life Care (EOLC)</w:t>
      </w:r>
    </w:p>
    <w:p w14:paraId="4B272B07" w14:textId="39C5DA02" w:rsidR="00075ADE" w:rsidRDefault="00075ADE" w:rsidP="00FF3EB3">
      <w:pPr>
        <w:pStyle w:val="BodyCopy"/>
      </w:pPr>
      <w:r w:rsidRPr="00075ADE">
        <w:rPr>
          <w:b/>
        </w:rPr>
        <w:t xml:space="preserve">Family Donation Conversation </w:t>
      </w:r>
      <w:r w:rsidR="00C60288">
        <w:rPr>
          <w:b/>
        </w:rPr>
        <w:t>(FDC)</w:t>
      </w:r>
      <w:r w:rsidRPr="00075ADE">
        <w:rPr>
          <w:b/>
        </w:rPr>
        <w:t xml:space="preserve">- </w:t>
      </w:r>
      <w:r w:rsidRPr="00075ADE">
        <w:t>A conversation held with family members and a donation specialist to provide information to the family so they can make an informed and enduring decision about donation.</w:t>
      </w:r>
    </w:p>
    <w:p w14:paraId="08F9718E" w14:textId="35E1163D" w:rsidR="00DE117D" w:rsidRPr="00DE117D" w:rsidRDefault="00DE117D" w:rsidP="00FF3EB3">
      <w:pPr>
        <w:pStyle w:val="BodyCopy"/>
        <w:rPr>
          <w:b/>
          <w:bCs w:val="0"/>
        </w:rPr>
      </w:pPr>
      <w:r w:rsidRPr="00DE117D">
        <w:rPr>
          <w:b/>
          <w:bCs w:val="0"/>
        </w:rPr>
        <w:t>Non-medical Enucleator (NME)</w:t>
      </w:r>
      <w:r>
        <w:rPr>
          <w:b/>
          <w:bCs w:val="0"/>
        </w:rPr>
        <w:t xml:space="preserve"> – </w:t>
      </w:r>
      <w:r w:rsidRPr="00DE117D">
        <w:t>a non-medical clinician who has received additional training and has competency in enucleation.</w:t>
      </w:r>
      <w:r>
        <w:rPr>
          <w:b/>
          <w:bCs w:val="0"/>
        </w:rPr>
        <w:t xml:space="preserve"> </w:t>
      </w:r>
    </w:p>
    <w:p w14:paraId="37CE52A5" w14:textId="48B10A1C" w:rsidR="00075ADE" w:rsidRDefault="00075ADE" w:rsidP="00FF3EB3">
      <w:pPr>
        <w:pStyle w:val="BodyCopy"/>
      </w:pPr>
      <w:r w:rsidRPr="00075ADE">
        <w:rPr>
          <w:b/>
        </w:rPr>
        <w:t>Senior Available Next of Kin</w:t>
      </w:r>
      <w:r w:rsidR="00C60288">
        <w:rPr>
          <w:b/>
        </w:rPr>
        <w:t xml:space="preserve"> (SANoK)</w:t>
      </w:r>
      <w:r w:rsidRPr="00075ADE">
        <w:t xml:space="preserve">- the person or their delegate can authorise to the removal of the person’s organs and tissues for transplantation. </w:t>
      </w:r>
    </w:p>
    <w:p w14:paraId="54B09669" w14:textId="37FDD40F" w:rsidR="00C60288" w:rsidRDefault="00C60288" w:rsidP="00FF3EB3">
      <w:pPr>
        <w:pStyle w:val="BodyCopy"/>
      </w:pPr>
      <w:r w:rsidRPr="00C60288">
        <w:rPr>
          <w:b/>
          <w:bCs w:val="0"/>
        </w:rPr>
        <w:t>State Medical Director (SMD) –</w:t>
      </w:r>
      <w:r>
        <w:t xml:space="preserve"> Medical director for DonateLife ACT</w:t>
      </w:r>
    </w:p>
    <w:p w14:paraId="4A7E92C2" w14:textId="2718982A" w:rsidR="00DE117D" w:rsidRPr="00DE117D" w:rsidRDefault="00DE117D" w:rsidP="00FF3EB3">
      <w:pPr>
        <w:pStyle w:val="BodyCopy"/>
        <w:rPr>
          <w:b/>
          <w:bCs w:val="0"/>
        </w:rPr>
      </w:pPr>
      <w:r w:rsidRPr="00DE117D">
        <w:rPr>
          <w:b/>
          <w:bCs w:val="0"/>
        </w:rPr>
        <w:t>Withdrawal of Cardiorespiratory Support (WCRS)</w:t>
      </w:r>
    </w:p>
    <w:p w14:paraId="6AE6FE4D" w14:textId="0CCD3747" w:rsidR="00280C5D" w:rsidRPr="00FF3EB3" w:rsidRDefault="00280C5D" w:rsidP="00FF3EB3">
      <w:pPr>
        <w:pStyle w:val="BodyCopy"/>
        <w:rPr>
          <w:u w:val="single"/>
        </w:rPr>
      </w:pPr>
      <w:hyperlink w:anchor="_top" w:history="1">
        <w:r w:rsidRPr="00FF3EB3">
          <w:rPr>
            <w:rStyle w:val="Hyperlink"/>
            <w:color w:val="000000" w:themeColor="text1"/>
          </w:rPr>
          <w:t>Back to Contents</w:t>
        </w:r>
      </w:hyperlink>
    </w:p>
    <w:p w14:paraId="3AB6B5BA" w14:textId="77777777" w:rsidR="0078367D" w:rsidRPr="008B28FA" w:rsidRDefault="0078367D" w:rsidP="00FC3B37">
      <w:pPr>
        <w:pStyle w:val="Heading4"/>
      </w:pPr>
      <w:bookmarkStart w:id="67" w:name="_Toc176425616"/>
      <w:bookmarkStart w:id="68" w:name="_Toc188011799"/>
      <w:r w:rsidRPr="008B28FA">
        <w:t>Search terms</w:t>
      </w:r>
      <w:bookmarkEnd w:id="67"/>
      <w:bookmarkEnd w:id="68"/>
    </w:p>
    <w:p w14:paraId="105DAD87" w14:textId="72F27E0F" w:rsidR="00075ADE" w:rsidRPr="00075ADE" w:rsidRDefault="00075ADE" w:rsidP="00FF3EB3">
      <w:pPr>
        <w:pStyle w:val="BodyCopy"/>
      </w:pPr>
      <w:r w:rsidRPr="00075ADE">
        <w:t>Organ donation, Organ and tissue donation, Designated Officer, SANoK, Transplant, Donate, ICU, OT, Theatre, Surgery</w:t>
      </w:r>
      <w:r w:rsidR="00FF3EB3">
        <w:t>, NCH, North</w:t>
      </w:r>
    </w:p>
    <w:p w14:paraId="0A8FF58C" w14:textId="77777777" w:rsidR="00280C5D" w:rsidRPr="00FF3EB3" w:rsidRDefault="00280C5D" w:rsidP="00FF3EB3">
      <w:pPr>
        <w:pStyle w:val="BodyCopy"/>
        <w:rPr>
          <w:u w:val="single"/>
        </w:rPr>
      </w:pPr>
      <w:hyperlink w:anchor="_top" w:history="1">
        <w:r w:rsidRPr="00FF3EB3">
          <w:rPr>
            <w:rStyle w:val="Hyperlink"/>
            <w:color w:val="000000" w:themeColor="text1"/>
          </w:rPr>
          <w:t>Back to Contents</w:t>
        </w:r>
      </w:hyperlink>
    </w:p>
    <w:p w14:paraId="3C508A6D" w14:textId="42867153" w:rsidR="007B1A7B" w:rsidRPr="008B28FA" w:rsidRDefault="007B1A7B">
      <w:pPr>
        <w:spacing w:before="0" w:after="0" w:line="240" w:lineRule="auto"/>
        <w:rPr>
          <w:rStyle w:val="Hyperlink"/>
          <w:rFonts w:ascii="Calibri" w:eastAsia="Times New Roman" w:hAnsi="Calibri" w:cs="Calibri"/>
        </w:rPr>
      </w:pPr>
      <w:r w:rsidRPr="008B28FA">
        <w:rPr>
          <w:rStyle w:val="Hyperlink"/>
          <w:rFonts w:ascii="Calibri" w:hAnsi="Calibri" w:cs="Calibri"/>
        </w:rPr>
        <w:br w:type="page"/>
      </w:r>
      <w:r w:rsidR="000B70DA">
        <w:rPr>
          <w:rStyle w:val="Hyperlink"/>
          <w:rFonts w:ascii="Calibri" w:hAnsi="Calibri" w:cs="Calibri"/>
        </w:rPr>
        <w:lastRenderedPageBreak/>
        <w:t xml:space="preserve"> </w:t>
      </w:r>
    </w:p>
    <w:p w14:paraId="78DB4226" w14:textId="77777777" w:rsidR="009A5010" w:rsidRPr="008B28FA" w:rsidRDefault="00280C5D" w:rsidP="001F3ED6">
      <w:pPr>
        <w:pStyle w:val="BodyCopy"/>
        <w:rPr>
          <w:rStyle w:val="Bold"/>
          <w:rFonts w:ascii="Calibri" w:hAnsi="Calibri" w:cs="Calibri"/>
        </w:rPr>
      </w:pPr>
      <w:r w:rsidRPr="008B28FA">
        <w:rPr>
          <w:rStyle w:val="Bold"/>
          <w:rFonts w:ascii="Calibri" w:hAnsi="Calibri" w:cs="Calibri"/>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rsidRPr="008B28FA" w14:paraId="6F6FE92E"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0E85A1BF" w14:textId="77777777" w:rsidR="00280C5D" w:rsidRPr="008B28FA" w:rsidRDefault="00280C5D" w:rsidP="003B0E72">
            <w:pPr>
              <w:pStyle w:val="Tableheader"/>
              <w:rPr>
                <w:rFonts w:ascii="Calibri" w:hAnsi="Calibri" w:cs="Calibri"/>
              </w:rPr>
            </w:pPr>
            <w:r w:rsidRPr="008B28FA">
              <w:rPr>
                <w:rFonts w:ascii="Calibri" w:hAnsi="Calibri" w:cs="Calibri"/>
              </w:rPr>
              <w:t>Date amended</w:t>
            </w:r>
          </w:p>
        </w:tc>
        <w:tc>
          <w:tcPr>
            <w:tcW w:w="2477" w:type="dxa"/>
          </w:tcPr>
          <w:p w14:paraId="379ACC44" w14:textId="77777777" w:rsidR="00280C5D" w:rsidRPr="008B28FA" w:rsidRDefault="00280C5D" w:rsidP="003B0E72">
            <w:pPr>
              <w:pStyle w:val="Tableheader"/>
              <w:rPr>
                <w:rFonts w:ascii="Calibri" w:hAnsi="Calibri" w:cs="Calibri"/>
              </w:rPr>
            </w:pPr>
            <w:r w:rsidRPr="008B28FA">
              <w:rPr>
                <w:rFonts w:ascii="Calibri" w:hAnsi="Calibri" w:cs="Calibri"/>
              </w:rPr>
              <w:t>Section amended</w:t>
            </w:r>
          </w:p>
        </w:tc>
        <w:tc>
          <w:tcPr>
            <w:tcW w:w="2555" w:type="dxa"/>
          </w:tcPr>
          <w:p w14:paraId="489B292A" w14:textId="77777777" w:rsidR="00280C5D" w:rsidRPr="008B28FA" w:rsidRDefault="00280C5D" w:rsidP="003B0E72">
            <w:pPr>
              <w:pStyle w:val="Tableheader"/>
              <w:rPr>
                <w:rFonts w:ascii="Calibri" w:hAnsi="Calibri" w:cs="Calibri"/>
              </w:rPr>
            </w:pPr>
            <w:r w:rsidRPr="008B28FA">
              <w:rPr>
                <w:rFonts w:ascii="Calibri" w:hAnsi="Calibri" w:cs="Calibri"/>
              </w:rPr>
              <w:t>Divisional approval</w:t>
            </w:r>
          </w:p>
        </w:tc>
        <w:tc>
          <w:tcPr>
            <w:tcW w:w="2403" w:type="dxa"/>
          </w:tcPr>
          <w:p w14:paraId="03870FA5" w14:textId="77777777" w:rsidR="00280C5D" w:rsidRPr="008B28FA" w:rsidRDefault="00280C5D" w:rsidP="003B0E72">
            <w:pPr>
              <w:pStyle w:val="Tableheader"/>
              <w:rPr>
                <w:rFonts w:ascii="Calibri" w:hAnsi="Calibri" w:cs="Calibri"/>
              </w:rPr>
            </w:pPr>
            <w:r w:rsidRPr="008B28FA">
              <w:rPr>
                <w:rFonts w:ascii="Calibri" w:hAnsi="Calibri" w:cs="Calibri"/>
              </w:rPr>
              <w:t>Final approval</w:t>
            </w:r>
          </w:p>
        </w:tc>
      </w:tr>
      <w:tr w:rsidR="00280C5D" w:rsidRPr="008B28FA" w14:paraId="7E803051" w14:textId="77777777" w:rsidTr="003B0E72">
        <w:tc>
          <w:tcPr>
            <w:tcW w:w="2476" w:type="dxa"/>
          </w:tcPr>
          <w:p w14:paraId="33518B6A" w14:textId="393C9807" w:rsidR="00280C5D" w:rsidRPr="008B28FA" w:rsidRDefault="002E1D09" w:rsidP="003B0E72">
            <w:pPr>
              <w:pStyle w:val="Tablebody"/>
              <w:rPr>
                <w:rFonts w:ascii="Calibri" w:hAnsi="Calibri" w:cs="Calibri"/>
                <w:lang w:eastAsia="en-US"/>
              </w:rPr>
            </w:pPr>
            <w:r>
              <w:rPr>
                <w:rFonts w:ascii="Calibri" w:hAnsi="Calibri" w:cs="Calibri"/>
                <w:lang w:eastAsia="en-US"/>
              </w:rPr>
              <w:t>17/04/2025</w:t>
            </w:r>
          </w:p>
        </w:tc>
        <w:tc>
          <w:tcPr>
            <w:tcW w:w="2477" w:type="dxa"/>
          </w:tcPr>
          <w:p w14:paraId="5A5E252B" w14:textId="402841E3" w:rsidR="00280C5D" w:rsidRPr="008B28FA" w:rsidRDefault="002E1D09" w:rsidP="003B0E72">
            <w:pPr>
              <w:pStyle w:val="Tablebody"/>
              <w:rPr>
                <w:rFonts w:ascii="Calibri" w:hAnsi="Calibri" w:cs="Calibri"/>
                <w:lang w:eastAsia="en-US"/>
              </w:rPr>
            </w:pPr>
            <w:r>
              <w:rPr>
                <w:rFonts w:ascii="Calibri" w:hAnsi="Calibri" w:cs="Calibri"/>
                <w:lang w:eastAsia="en-US"/>
              </w:rPr>
              <w:t>Complete review</w:t>
            </w:r>
          </w:p>
        </w:tc>
        <w:tc>
          <w:tcPr>
            <w:tcW w:w="2555" w:type="dxa"/>
          </w:tcPr>
          <w:p w14:paraId="68C4BD48" w14:textId="42D4D1EF" w:rsidR="00280C5D" w:rsidRPr="008B28FA" w:rsidRDefault="002E1D09" w:rsidP="003B0E72">
            <w:pPr>
              <w:pStyle w:val="Tablebody"/>
              <w:rPr>
                <w:rFonts w:ascii="Calibri" w:hAnsi="Calibri" w:cs="Calibri"/>
                <w:lang w:eastAsia="en-US"/>
              </w:rPr>
            </w:pPr>
            <w:r>
              <w:rPr>
                <w:rFonts w:ascii="Calibri" w:hAnsi="Calibri" w:cs="Calibri"/>
                <w:lang w:eastAsia="en-US"/>
              </w:rPr>
              <w:t>Janet Zagari, A/g COO</w:t>
            </w:r>
          </w:p>
        </w:tc>
        <w:tc>
          <w:tcPr>
            <w:tcW w:w="2403" w:type="dxa"/>
          </w:tcPr>
          <w:p w14:paraId="5E9E6B1D" w14:textId="14677D38" w:rsidR="00280C5D" w:rsidRPr="008B28FA" w:rsidRDefault="002E1D09" w:rsidP="003B0E72">
            <w:pPr>
              <w:pStyle w:val="Tablebody"/>
              <w:rPr>
                <w:rFonts w:ascii="Calibri" w:hAnsi="Calibri" w:cs="Calibri"/>
                <w:lang w:eastAsia="en-US"/>
              </w:rPr>
            </w:pPr>
            <w:r>
              <w:rPr>
                <w:rFonts w:ascii="Calibri" w:hAnsi="Calibri" w:cs="Calibri"/>
                <w:lang w:eastAsia="en-US"/>
              </w:rPr>
              <w:t>CHS Policy Document Review Panel</w:t>
            </w:r>
          </w:p>
        </w:tc>
      </w:tr>
      <w:tr w:rsidR="00280C5D" w:rsidRPr="008B28FA" w14:paraId="063A8B30" w14:textId="77777777" w:rsidTr="003B0E72">
        <w:tc>
          <w:tcPr>
            <w:tcW w:w="2476" w:type="dxa"/>
          </w:tcPr>
          <w:p w14:paraId="16CA8C23" w14:textId="6C3393E6" w:rsidR="00280C5D" w:rsidRPr="008B28FA" w:rsidRDefault="009A36AD" w:rsidP="003B0E72">
            <w:pPr>
              <w:pStyle w:val="Tablebody"/>
              <w:rPr>
                <w:rFonts w:ascii="Calibri" w:hAnsi="Calibri" w:cs="Calibri"/>
                <w:lang w:eastAsia="en-US"/>
              </w:rPr>
            </w:pPr>
            <w:r>
              <w:rPr>
                <w:rFonts w:ascii="Calibri" w:hAnsi="Calibri" w:cs="Calibri"/>
                <w:lang w:eastAsia="en-US"/>
              </w:rPr>
              <w:t>26 September 2025</w:t>
            </w:r>
          </w:p>
        </w:tc>
        <w:tc>
          <w:tcPr>
            <w:tcW w:w="2477" w:type="dxa"/>
          </w:tcPr>
          <w:p w14:paraId="736EE62A" w14:textId="0DD615FD" w:rsidR="00280C5D" w:rsidRPr="008B28FA" w:rsidRDefault="009A36AD" w:rsidP="003B0E72">
            <w:pPr>
              <w:pStyle w:val="Tablebody"/>
              <w:rPr>
                <w:rFonts w:ascii="Calibri" w:hAnsi="Calibri" w:cs="Calibri"/>
                <w:lang w:eastAsia="en-US"/>
              </w:rPr>
            </w:pPr>
            <w:r>
              <w:rPr>
                <w:rFonts w:ascii="Calibri" w:hAnsi="Calibri" w:cs="Calibri"/>
                <w:lang w:eastAsia="en-US"/>
              </w:rPr>
              <w:t xml:space="preserve">Included </w:t>
            </w:r>
            <w:r w:rsidR="00411B18">
              <w:rPr>
                <w:rFonts w:ascii="Calibri" w:hAnsi="Calibri" w:cs="Calibri"/>
                <w:lang w:eastAsia="en-US"/>
              </w:rPr>
              <w:t>information on where to access organ and tissue donation in relation to VAD in the Scope</w:t>
            </w:r>
          </w:p>
        </w:tc>
        <w:tc>
          <w:tcPr>
            <w:tcW w:w="2555" w:type="dxa"/>
          </w:tcPr>
          <w:p w14:paraId="0080D618" w14:textId="2B4713CA" w:rsidR="00280C5D" w:rsidRPr="008B28FA" w:rsidRDefault="00411B18" w:rsidP="003B0E72">
            <w:pPr>
              <w:pStyle w:val="Tablebody"/>
              <w:rPr>
                <w:rFonts w:ascii="Calibri" w:hAnsi="Calibri" w:cs="Calibri"/>
                <w:lang w:eastAsia="en-US"/>
              </w:rPr>
            </w:pPr>
            <w:r>
              <w:rPr>
                <w:rFonts w:ascii="Calibri" w:hAnsi="Calibri" w:cs="Calibri"/>
                <w:lang w:eastAsia="en-US"/>
              </w:rPr>
              <w:t>Melissa O’Brien, ED CAS</w:t>
            </w:r>
          </w:p>
        </w:tc>
        <w:tc>
          <w:tcPr>
            <w:tcW w:w="2403" w:type="dxa"/>
          </w:tcPr>
          <w:p w14:paraId="69A1FB82" w14:textId="73473556" w:rsidR="00280C5D" w:rsidRPr="008B28FA" w:rsidRDefault="00411B18" w:rsidP="003B0E72">
            <w:pPr>
              <w:pStyle w:val="Tablebody"/>
              <w:rPr>
                <w:rFonts w:ascii="Calibri" w:hAnsi="Calibri" w:cs="Calibri"/>
                <w:lang w:eastAsia="en-US"/>
              </w:rPr>
            </w:pPr>
            <w:r>
              <w:rPr>
                <w:rFonts w:ascii="Calibri" w:hAnsi="Calibri" w:cs="Calibri"/>
                <w:lang w:eastAsia="en-US"/>
              </w:rPr>
              <w:t>Danielle Quiggin, Donation Specialist Nursing Coordinator</w:t>
            </w:r>
          </w:p>
        </w:tc>
      </w:tr>
    </w:tbl>
    <w:p w14:paraId="0EFA7107" w14:textId="77777777" w:rsidR="00280C5D" w:rsidRPr="008B28FA" w:rsidRDefault="00280C5D" w:rsidP="00A6051F">
      <w:pPr>
        <w:spacing w:after="120"/>
        <w:rPr>
          <w:rFonts w:ascii="Calibri" w:hAnsi="Calibri" w:cs="Calibri"/>
          <w:lang w:eastAsia="en-US"/>
        </w:rPr>
      </w:pPr>
      <w:r w:rsidRPr="008B28FA">
        <w:rPr>
          <w:rFonts w:ascii="Calibri" w:hAnsi="Calibri" w:cs="Calibri"/>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rsidRPr="008B28FA" w14:paraId="5228D2A7"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38CEE30C" w14:textId="77777777" w:rsidR="00280C5D" w:rsidRPr="008B28FA" w:rsidRDefault="00280C5D" w:rsidP="003B0E72">
            <w:pPr>
              <w:pStyle w:val="Tableheader"/>
              <w:rPr>
                <w:rFonts w:ascii="Calibri" w:hAnsi="Calibri" w:cs="Calibri"/>
              </w:rPr>
            </w:pPr>
            <w:r w:rsidRPr="008B28FA">
              <w:rPr>
                <w:rFonts w:ascii="Calibri" w:hAnsi="Calibri" w:cs="Calibri"/>
              </w:rPr>
              <w:t>Document number</w:t>
            </w:r>
          </w:p>
        </w:tc>
        <w:tc>
          <w:tcPr>
            <w:tcW w:w="7653" w:type="dxa"/>
          </w:tcPr>
          <w:p w14:paraId="73E92477" w14:textId="77777777" w:rsidR="00280C5D" w:rsidRPr="008B28FA" w:rsidRDefault="00280C5D" w:rsidP="003B0E72">
            <w:pPr>
              <w:pStyle w:val="Tableheader"/>
              <w:rPr>
                <w:rFonts w:ascii="Calibri" w:hAnsi="Calibri" w:cs="Calibri"/>
              </w:rPr>
            </w:pPr>
            <w:r w:rsidRPr="008B28FA">
              <w:rPr>
                <w:rFonts w:ascii="Calibri" w:hAnsi="Calibri" w:cs="Calibri"/>
              </w:rPr>
              <w:t>Document name</w:t>
            </w:r>
          </w:p>
        </w:tc>
      </w:tr>
      <w:tr w:rsidR="00280C5D" w:rsidRPr="008B28FA" w14:paraId="057CAF06" w14:textId="77777777" w:rsidTr="003B0E72">
        <w:tc>
          <w:tcPr>
            <w:tcW w:w="2548" w:type="dxa"/>
          </w:tcPr>
          <w:p w14:paraId="03264064" w14:textId="0C3BCAA3" w:rsidR="00280C5D" w:rsidRPr="008B28FA" w:rsidRDefault="002E1D09" w:rsidP="003B0E72">
            <w:pPr>
              <w:pStyle w:val="Tablebody"/>
              <w:rPr>
                <w:rFonts w:ascii="Calibri" w:hAnsi="Calibri" w:cs="Calibri"/>
                <w:lang w:eastAsia="en-US"/>
              </w:rPr>
            </w:pPr>
            <w:r>
              <w:rPr>
                <w:rFonts w:ascii="Calibri" w:hAnsi="Calibri" w:cs="Calibri"/>
                <w:lang w:eastAsia="en-US"/>
              </w:rPr>
              <w:t>CHS22/041</w:t>
            </w:r>
          </w:p>
        </w:tc>
        <w:tc>
          <w:tcPr>
            <w:tcW w:w="7653" w:type="dxa"/>
          </w:tcPr>
          <w:p w14:paraId="6D80E922" w14:textId="7E31FA44" w:rsidR="00280C5D" w:rsidRPr="008B28FA" w:rsidRDefault="00EA27AD" w:rsidP="003B0E72">
            <w:pPr>
              <w:pStyle w:val="Tablebody"/>
              <w:rPr>
                <w:rFonts w:ascii="Calibri" w:hAnsi="Calibri" w:cs="Calibri"/>
                <w:lang w:eastAsia="en-US"/>
              </w:rPr>
            </w:pPr>
            <w:r>
              <w:rPr>
                <w:rFonts w:ascii="Calibri" w:hAnsi="Calibri" w:cs="Calibri"/>
                <w:lang w:eastAsia="en-US"/>
              </w:rPr>
              <w:t xml:space="preserve">CHS </w:t>
            </w:r>
            <w:r w:rsidR="002E1D09">
              <w:rPr>
                <w:rFonts w:ascii="Calibri" w:hAnsi="Calibri" w:cs="Calibri"/>
                <w:lang w:eastAsia="en-US"/>
              </w:rPr>
              <w:t xml:space="preserve">Organ and Tissue Donation </w:t>
            </w:r>
          </w:p>
        </w:tc>
      </w:tr>
      <w:tr w:rsidR="00280C5D" w:rsidRPr="008B28FA" w14:paraId="085A1479" w14:textId="77777777" w:rsidTr="003B0E72">
        <w:tc>
          <w:tcPr>
            <w:tcW w:w="2548" w:type="dxa"/>
          </w:tcPr>
          <w:p w14:paraId="1B53325A" w14:textId="77777777" w:rsidR="00280C5D" w:rsidRPr="008B28FA" w:rsidRDefault="00280C5D" w:rsidP="003B0E72">
            <w:pPr>
              <w:pStyle w:val="Tablebody"/>
              <w:rPr>
                <w:rFonts w:ascii="Calibri" w:hAnsi="Calibri" w:cs="Calibri"/>
                <w:lang w:eastAsia="en-US"/>
              </w:rPr>
            </w:pPr>
          </w:p>
        </w:tc>
        <w:tc>
          <w:tcPr>
            <w:tcW w:w="7653" w:type="dxa"/>
          </w:tcPr>
          <w:p w14:paraId="61BF70DF" w14:textId="77777777" w:rsidR="00280C5D" w:rsidRPr="008B28FA" w:rsidRDefault="00280C5D" w:rsidP="003B0E72">
            <w:pPr>
              <w:pStyle w:val="Tablebody"/>
              <w:rPr>
                <w:rFonts w:ascii="Calibri" w:hAnsi="Calibri" w:cs="Calibri"/>
                <w:lang w:eastAsia="en-US"/>
              </w:rPr>
            </w:pPr>
          </w:p>
        </w:tc>
      </w:tr>
    </w:tbl>
    <w:p w14:paraId="02D02A4C" w14:textId="77777777" w:rsidR="00280C5D" w:rsidRPr="008B28FA" w:rsidRDefault="00280C5D" w:rsidP="001F3ED6">
      <w:pPr>
        <w:pStyle w:val="BodyCopy"/>
        <w:rPr>
          <w:rStyle w:val="Bold"/>
          <w:rFonts w:ascii="Calibri" w:hAnsi="Calibri" w:cs="Calibri"/>
        </w:rPr>
      </w:pPr>
      <w:r w:rsidRPr="008B28FA">
        <w:rPr>
          <w:rStyle w:val="Bold"/>
          <w:rFonts w:ascii="Calibri" w:hAnsi="Calibri" w:cs="Calibri"/>
        </w:rPr>
        <w:t>Disclaimer</w:t>
      </w:r>
    </w:p>
    <w:p w14:paraId="06F34BE7" w14:textId="77777777" w:rsidR="00280C5D" w:rsidRPr="008B28FA" w:rsidRDefault="00280C5D" w:rsidP="00280C5D">
      <w:pPr>
        <w:rPr>
          <w:rFonts w:ascii="Calibri" w:hAnsi="Calibri" w:cs="Calibri"/>
          <w:lang w:eastAsia="en-US"/>
        </w:rPr>
      </w:pPr>
      <w:r w:rsidRPr="008B28FA">
        <w:rPr>
          <w:rFonts w:ascii="Calibri" w:hAnsi="Calibri" w:cs="Calibri"/>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3EB3896E" w14:textId="77777777" w:rsidR="00280C5D" w:rsidRPr="008B28FA" w:rsidRDefault="00280C5D" w:rsidP="00280C5D">
      <w:pPr>
        <w:pStyle w:val="Bullet"/>
        <w:numPr>
          <w:ilvl w:val="0"/>
          <w:numId w:val="0"/>
        </w:numPr>
        <w:rPr>
          <w:rStyle w:val="Hyperlink"/>
          <w:rFonts w:ascii="Calibri" w:hAnsi="Calibri" w:cs="Calibri"/>
        </w:rPr>
      </w:pPr>
      <w:hyperlink w:anchor="_top" w:history="1">
        <w:r w:rsidRPr="008B28FA">
          <w:rPr>
            <w:rStyle w:val="Hyperlink"/>
            <w:rFonts w:ascii="Calibri" w:hAnsi="Calibri" w:cs="Calibri"/>
          </w:rPr>
          <w:t>Back to Contents</w:t>
        </w:r>
      </w:hyperlink>
    </w:p>
    <w:p w14:paraId="08AC0763" w14:textId="77777777" w:rsidR="00280C5D" w:rsidRPr="008B28FA" w:rsidRDefault="00280C5D" w:rsidP="00280C5D">
      <w:pPr>
        <w:pStyle w:val="Bullet"/>
        <w:numPr>
          <w:ilvl w:val="0"/>
          <w:numId w:val="0"/>
        </w:numPr>
        <w:rPr>
          <w:rStyle w:val="Hyperlink"/>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039"/>
        <w:gridCol w:w="4882"/>
      </w:tblGrid>
      <w:tr w:rsidR="00280C5D" w:rsidRPr="008B28FA" w14:paraId="07FBB326" w14:textId="77777777" w:rsidTr="003B0E72">
        <w:tc>
          <w:tcPr>
            <w:tcW w:w="5529" w:type="dxa"/>
            <w:shd w:val="clear" w:color="auto" w:fill="F4F3EE"/>
            <w:tcMar>
              <w:top w:w="142" w:type="dxa"/>
              <w:left w:w="170" w:type="dxa"/>
              <w:bottom w:w="142" w:type="dxa"/>
              <w:right w:w="170" w:type="dxa"/>
            </w:tcMar>
          </w:tcPr>
          <w:bookmarkStart w:id="69" w:name="_Hlk160027189" w:displacedByCustomXml="next"/>
          <w:sdt>
            <w:sdtPr>
              <w:rPr>
                <w:rFonts w:ascii="Calibri" w:hAnsi="Calibri" w:cs="Calibri"/>
                <w:color w:val="auto"/>
                <w:sz w:val="24"/>
                <w:szCs w:val="24"/>
                <w:u w:val="single"/>
              </w:rPr>
              <w:id w:val="643171884"/>
              <w:placeholder>
                <w:docPart w:val="A6DBBA86B19C474BA27AB5A13D81F205"/>
              </w:placeholder>
            </w:sdtPr>
            <w:sdtEndPr>
              <w:rPr>
                <w:color w:val="000000" w:themeColor="text1"/>
                <w:u w:val="none"/>
              </w:rPr>
            </w:sdtEndPr>
            <w:sdtContent>
              <w:p w14:paraId="4AA421A1" w14:textId="77777777" w:rsidR="00280C5D" w:rsidRPr="008B28FA" w:rsidRDefault="00280C5D" w:rsidP="003B0E72">
                <w:pPr>
                  <w:pStyle w:val="Bottomblocktext"/>
                  <w:rPr>
                    <w:rFonts w:ascii="Calibri" w:hAnsi="Calibri" w:cs="Calibri"/>
                    <w:b/>
                    <w:bCs w:val="0"/>
                    <w:sz w:val="24"/>
                    <w:szCs w:val="24"/>
                  </w:rPr>
                </w:pPr>
                <w:r w:rsidRPr="008B28FA">
                  <w:rPr>
                    <w:rFonts w:ascii="Calibri" w:hAnsi="Calibri" w:cs="Calibri"/>
                    <w:noProof/>
                    <w:sz w:val="24"/>
                    <w:szCs w:val="24"/>
                  </w:rPr>
                  <w:drawing>
                    <wp:inline distT="0" distB="0" distL="0" distR="0" wp14:anchorId="18EAB7E9" wp14:editId="7F9E275A">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0"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8B28FA">
                  <w:rPr>
                    <w:rFonts w:ascii="Calibri" w:hAnsi="Calibri" w:cs="Calibri"/>
                    <w:b/>
                    <w:bCs w:val="0"/>
                    <w:sz w:val="24"/>
                    <w:szCs w:val="24"/>
                  </w:rPr>
                  <w:t xml:space="preserve">Acknowledgement of Country </w:t>
                </w:r>
              </w:p>
              <w:p w14:paraId="15AAEDF7" w14:textId="77777777" w:rsidR="00280C5D" w:rsidRPr="008B28FA" w:rsidRDefault="00280C5D" w:rsidP="003B0E72">
                <w:pPr>
                  <w:pStyle w:val="Bottomblocktext"/>
                  <w:rPr>
                    <w:rFonts w:ascii="Calibri" w:hAnsi="Calibri" w:cs="Calibri"/>
                    <w:sz w:val="24"/>
                    <w:szCs w:val="24"/>
                  </w:rPr>
                </w:pPr>
                <w:r w:rsidRPr="008B28FA">
                  <w:rPr>
                    <w:rFonts w:ascii="Calibri" w:hAnsi="Calibri" w:cs="Calibri"/>
                    <w:sz w:val="24"/>
                    <w:szCs w:val="24"/>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977D35A" w14:textId="77777777" w:rsidR="00280C5D" w:rsidRPr="008B28FA" w:rsidRDefault="00280C5D" w:rsidP="003B0E72">
                <w:pPr>
                  <w:pStyle w:val="Bottomblocktext"/>
                  <w:rPr>
                    <w:rFonts w:ascii="Calibri" w:hAnsi="Calibri" w:cs="Calibri"/>
                    <w:sz w:val="24"/>
                    <w:szCs w:val="24"/>
                  </w:rPr>
                </w:pPr>
                <w:r w:rsidRPr="008B28FA">
                  <w:rPr>
                    <w:rFonts w:ascii="Calibri" w:hAnsi="Calibri" w:cs="Calibri"/>
                    <w:sz w:val="24"/>
                    <w:szCs w:val="24"/>
                  </w:rPr>
                  <w:t>© Australian Capital Territory, Canberra 20</w:t>
                </w:r>
                <w:sdt>
                  <w:sdtPr>
                    <w:rPr>
                      <w:rFonts w:ascii="Calibri" w:hAnsi="Calibri" w:cs="Calibri"/>
                      <w:sz w:val="24"/>
                      <w:szCs w:val="24"/>
                    </w:rPr>
                    <w:alias w:val="Year selector"/>
                    <w:tag w:val="Year selector"/>
                    <w:id w:val="1385675321"/>
                    <w:placeholder>
                      <w:docPart w:val="6964A76442364C95B87621E3C533774D"/>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8B28FA">
                      <w:rPr>
                        <w:rFonts w:ascii="Calibri" w:hAnsi="Calibri" w:cs="Calibri"/>
                        <w:sz w:val="24"/>
                        <w:szCs w:val="24"/>
                      </w:rPr>
                      <w:t>24</w:t>
                    </w:r>
                  </w:sdtContent>
                </w:sdt>
              </w:p>
            </w:sdtContent>
          </w:sdt>
        </w:tc>
        <w:sdt>
          <w:sdtPr>
            <w:rPr>
              <w:rFonts w:ascii="Calibri" w:hAnsi="Calibri" w:cs="Calibri"/>
              <w:sz w:val="24"/>
              <w:szCs w:val="24"/>
            </w:rPr>
            <w:id w:val="637692764"/>
            <w:placeholder>
              <w:docPart w:val="3BA99D9AE5BC483F86F3FA3881145134"/>
            </w:placeholder>
            <w:showingPlcHdr/>
          </w:sdtPr>
          <w:sdtEndPr/>
          <w:sdtContent>
            <w:tc>
              <w:tcPr>
                <w:tcW w:w="4665" w:type="dxa"/>
                <w:shd w:val="clear" w:color="auto" w:fill="F4F3EE"/>
                <w:tcMar>
                  <w:top w:w="142" w:type="dxa"/>
                  <w:left w:w="170" w:type="dxa"/>
                  <w:bottom w:w="142" w:type="dxa"/>
                  <w:right w:w="170" w:type="dxa"/>
                </w:tcMar>
              </w:tcPr>
              <w:p w14:paraId="64F40D7E" w14:textId="77777777" w:rsidR="00280C5D" w:rsidRPr="008B28FA" w:rsidRDefault="00280C5D" w:rsidP="003B0E72">
                <w:pPr>
                  <w:pStyle w:val="Bottomblocktext"/>
                  <w:rPr>
                    <w:rFonts w:ascii="Calibri" w:hAnsi="Calibri" w:cs="Calibri"/>
                    <w:b/>
                    <w:bCs w:val="0"/>
                    <w:sz w:val="24"/>
                    <w:szCs w:val="24"/>
                  </w:rPr>
                </w:pPr>
                <w:r w:rsidRPr="008B28FA">
                  <w:rPr>
                    <w:rFonts w:ascii="Calibri" w:hAnsi="Calibri" w:cs="Calibri"/>
                    <w:b/>
                    <w:bCs w:val="0"/>
                    <w:noProof/>
                    <w:sz w:val="24"/>
                    <w:szCs w:val="24"/>
                  </w:rPr>
                  <w:drawing>
                    <wp:inline distT="0" distB="0" distL="0" distR="0" wp14:anchorId="7158B35C" wp14:editId="72E5C070">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1"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8B28FA">
                  <w:rPr>
                    <w:rFonts w:ascii="Calibri" w:hAnsi="Calibri" w:cs="Calibri"/>
                    <w:b/>
                    <w:bCs w:val="0"/>
                    <w:sz w:val="24"/>
                    <w:szCs w:val="24"/>
                  </w:rPr>
                  <w:t xml:space="preserve">Accessibility </w:t>
                </w:r>
                <w:r w:rsidRPr="008B28FA">
                  <w:rPr>
                    <w:rFonts w:ascii="Calibri" w:hAnsi="Calibri" w:cs="Calibri"/>
                    <w:noProof/>
                    <w:sz w:val="24"/>
                    <w:szCs w:val="24"/>
                  </w:rPr>
                  <w:drawing>
                    <wp:inline distT="0" distB="0" distL="0" distR="0" wp14:anchorId="731477CE" wp14:editId="7345020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8B28FA">
                  <w:rPr>
                    <w:rFonts w:ascii="Calibri" w:hAnsi="Calibri" w:cs="Calibri"/>
                    <w:b/>
                    <w:sz w:val="24"/>
                    <w:szCs w:val="24"/>
                  </w:rPr>
                  <w:t xml:space="preserve"> </w:t>
                </w:r>
                <w:r w:rsidRPr="008B28FA">
                  <w:rPr>
                    <w:rFonts w:ascii="Calibri" w:hAnsi="Calibri" w:cs="Calibri"/>
                    <w:sz w:val="24"/>
                    <w:szCs w:val="24"/>
                  </w:rPr>
                  <w:t>call (02) 5124 0000</w:t>
                </w:r>
              </w:p>
              <w:p w14:paraId="01B686E6" w14:textId="77777777" w:rsidR="00280C5D" w:rsidRPr="008B28FA" w:rsidRDefault="00280C5D" w:rsidP="003B0E72">
                <w:pPr>
                  <w:pStyle w:val="Bottomblocktext"/>
                  <w:rPr>
                    <w:rFonts w:ascii="Calibri" w:hAnsi="Calibri" w:cs="Calibri"/>
                    <w:b/>
                    <w:bCs w:val="0"/>
                    <w:sz w:val="24"/>
                    <w:szCs w:val="24"/>
                  </w:rPr>
                </w:pPr>
                <w:r w:rsidRPr="008B28FA">
                  <w:rPr>
                    <w:rFonts w:ascii="Calibri" w:hAnsi="Calibri" w:cs="Calibri"/>
                    <w:b/>
                    <w:bCs w:val="0"/>
                    <w:noProof/>
                    <w:sz w:val="24"/>
                    <w:szCs w:val="24"/>
                  </w:rPr>
                  <w:drawing>
                    <wp:inline distT="0" distB="0" distL="0" distR="0" wp14:anchorId="396CECC4" wp14:editId="22C3E3A9">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3"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sidRPr="008B28FA">
                  <w:rPr>
                    <w:rFonts w:ascii="Calibri" w:hAnsi="Calibri" w:cs="Calibri"/>
                    <w:b/>
                    <w:bCs w:val="0"/>
                    <w:sz w:val="24"/>
                    <w:szCs w:val="24"/>
                  </w:rPr>
                  <w:t xml:space="preserve"> Interpreter </w:t>
                </w:r>
                <w:r w:rsidRPr="008B28FA">
                  <w:rPr>
                    <w:rFonts w:ascii="Calibri" w:hAnsi="Calibri" w:cs="Calibri"/>
                    <w:noProof/>
                    <w:sz w:val="24"/>
                    <w:szCs w:val="24"/>
                  </w:rPr>
                  <w:drawing>
                    <wp:inline distT="0" distB="0" distL="0" distR="0" wp14:anchorId="500196AC" wp14:editId="67FE1AE0">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8B28FA">
                  <w:rPr>
                    <w:rFonts w:ascii="Calibri" w:hAnsi="Calibri" w:cs="Calibri"/>
                    <w:b/>
                    <w:sz w:val="24"/>
                    <w:szCs w:val="24"/>
                  </w:rPr>
                  <w:t xml:space="preserve"> </w:t>
                </w:r>
                <w:r w:rsidRPr="008B28FA">
                  <w:rPr>
                    <w:rFonts w:ascii="Calibri" w:hAnsi="Calibri" w:cs="Calibri"/>
                    <w:sz w:val="24"/>
                    <w:szCs w:val="24"/>
                  </w:rPr>
                  <w:t>call 131 450</w:t>
                </w:r>
              </w:p>
              <w:p w14:paraId="5261DD27" w14:textId="77777777" w:rsidR="00280C5D" w:rsidRPr="008B28FA" w:rsidRDefault="00280C5D" w:rsidP="003B0E72">
                <w:pPr>
                  <w:pStyle w:val="Bottomblocktext"/>
                  <w:rPr>
                    <w:rFonts w:ascii="Calibri" w:hAnsi="Calibri" w:cs="Calibri"/>
                    <w:sz w:val="24"/>
                    <w:szCs w:val="24"/>
                  </w:rPr>
                </w:pPr>
                <w:hyperlink r:id="rId24" w:history="1">
                  <w:r w:rsidRPr="008B28FA">
                    <w:rPr>
                      <w:rStyle w:val="Hyperlink"/>
                      <w:rFonts w:ascii="Calibri" w:hAnsi="Calibri" w:cs="Calibri"/>
                      <w:sz w:val="24"/>
                      <w:szCs w:val="24"/>
                    </w:rPr>
                    <w:t>canberrahealthservices.act.gov.au/accessibility</w:t>
                  </w:r>
                </w:hyperlink>
              </w:p>
              <w:p w14:paraId="0F6DF279" w14:textId="77777777" w:rsidR="00280C5D" w:rsidRPr="008B28FA" w:rsidRDefault="00280C5D" w:rsidP="003B0E72">
                <w:pPr>
                  <w:pStyle w:val="Bottomblocktext"/>
                  <w:rPr>
                    <w:rFonts w:ascii="Calibri" w:hAnsi="Calibri" w:cs="Calibri"/>
                    <w:sz w:val="24"/>
                    <w:szCs w:val="24"/>
                  </w:rPr>
                </w:pPr>
                <w:r w:rsidRPr="008B28FA">
                  <w:rPr>
                    <w:rFonts w:ascii="Calibri" w:hAnsi="Calibri" w:cs="Calibri"/>
                    <w:b/>
                    <w:bCs w:val="0"/>
                    <w:noProof/>
                    <w:sz w:val="24"/>
                    <w:szCs w:val="24"/>
                  </w:rPr>
                  <w:drawing>
                    <wp:inline distT="0" distB="0" distL="0" distR="0" wp14:anchorId="1A59EDC7" wp14:editId="07039C13">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5"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69"/>
    </w:tbl>
    <w:p w14:paraId="5E146C34" w14:textId="77777777" w:rsidR="00201AF6" w:rsidRPr="008B28FA" w:rsidRDefault="00201AF6" w:rsidP="000E7683">
      <w:pPr>
        <w:rPr>
          <w:rFonts w:ascii="Calibri" w:hAnsi="Calibri" w:cs="Calibri"/>
          <w:lang w:eastAsia="en-US"/>
        </w:rPr>
      </w:pPr>
    </w:p>
    <w:p w14:paraId="3C94C16F" w14:textId="37CA2E4F" w:rsidR="00FF3EB3" w:rsidRPr="008B28FA" w:rsidRDefault="00FF3EB3">
      <w:pPr>
        <w:spacing w:before="0" w:after="0" w:line="240" w:lineRule="auto"/>
        <w:rPr>
          <w:rFonts w:ascii="Calibri" w:hAnsi="Calibri" w:cs="Calibri"/>
          <w:lang w:eastAsia="en-US"/>
        </w:rPr>
      </w:pPr>
    </w:p>
    <w:sectPr w:rsidR="00FF3EB3" w:rsidRPr="008B28FA" w:rsidSect="0007270D">
      <w:footerReference w:type="default" r:id="rId26"/>
      <w:headerReference w:type="first" r:id="rId27"/>
      <w:footerReference w:type="first" r:id="rId28"/>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5469" w14:textId="77777777" w:rsidR="00267221" w:rsidRDefault="00267221" w:rsidP="00225769">
      <w:pPr>
        <w:spacing w:after="0" w:line="240" w:lineRule="auto"/>
      </w:pPr>
      <w:r>
        <w:separator/>
      </w:r>
    </w:p>
    <w:p w14:paraId="0E320AA0" w14:textId="77777777" w:rsidR="00267221" w:rsidRDefault="00267221"/>
    <w:p w14:paraId="30CE64BB" w14:textId="77777777" w:rsidR="00267221" w:rsidRDefault="00267221"/>
    <w:p w14:paraId="78FB3425" w14:textId="77777777" w:rsidR="00267221" w:rsidRDefault="00267221"/>
    <w:p w14:paraId="580C63F4" w14:textId="77777777" w:rsidR="00267221" w:rsidRDefault="00267221"/>
    <w:p w14:paraId="6E6372DC" w14:textId="77777777" w:rsidR="00267221" w:rsidRDefault="00267221"/>
    <w:p w14:paraId="783A5F59" w14:textId="77777777" w:rsidR="00267221" w:rsidRDefault="00267221"/>
  </w:endnote>
  <w:endnote w:type="continuationSeparator" w:id="0">
    <w:p w14:paraId="3BD5A9DC" w14:textId="77777777" w:rsidR="00267221" w:rsidRDefault="00267221" w:rsidP="00225769">
      <w:pPr>
        <w:spacing w:after="0" w:line="240" w:lineRule="auto"/>
      </w:pPr>
      <w:r>
        <w:continuationSeparator/>
      </w:r>
    </w:p>
    <w:p w14:paraId="0EE24274" w14:textId="77777777" w:rsidR="00267221" w:rsidRDefault="00267221"/>
    <w:p w14:paraId="191C1457" w14:textId="77777777" w:rsidR="00267221" w:rsidRDefault="00267221"/>
    <w:p w14:paraId="654509EC" w14:textId="77777777" w:rsidR="00267221" w:rsidRDefault="00267221"/>
    <w:p w14:paraId="249A850B" w14:textId="77777777" w:rsidR="00267221" w:rsidRDefault="00267221"/>
    <w:p w14:paraId="56EEB676" w14:textId="77777777" w:rsidR="00267221" w:rsidRDefault="00267221"/>
    <w:p w14:paraId="1EDAA0F0" w14:textId="77777777" w:rsidR="00267221" w:rsidRDefault="00267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217"/>
      <w:gridCol w:w="1690"/>
      <w:gridCol w:w="2273"/>
      <w:gridCol w:w="1415"/>
    </w:tblGrid>
    <w:tr w:rsidR="00481A6C" w:rsidRPr="006B62B4" w14:paraId="3E5F456F" w14:textId="77777777" w:rsidTr="00EA27AD">
      <w:trPr>
        <w:jc w:val="center"/>
      </w:trPr>
      <w:tc>
        <w:tcPr>
          <w:tcW w:w="1515" w:type="dxa"/>
        </w:tcPr>
        <w:p w14:paraId="67F0EA9B"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20653C4A"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217" w:type="dxa"/>
        </w:tcPr>
        <w:p w14:paraId="66C69FA6"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690" w:type="dxa"/>
        </w:tcPr>
        <w:p w14:paraId="6CE7890E"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273" w:type="dxa"/>
        </w:tcPr>
        <w:p w14:paraId="0981D18E"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415" w:type="dxa"/>
        </w:tcPr>
        <w:p w14:paraId="5450E49D"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7598EBC9" w14:textId="77777777" w:rsidTr="00EA27AD">
      <w:trPr>
        <w:jc w:val="center"/>
      </w:trPr>
      <w:tc>
        <w:tcPr>
          <w:tcW w:w="1515" w:type="dxa"/>
        </w:tcPr>
        <w:p w14:paraId="67F78A77" w14:textId="726DD014" w:rsidR="00481A6C" w:rsidRPr="00954F7B" w:rsidRDefault="00EA27AD" w:rsidP="00481A6C">
          <w:pPr>
            <w:pStyle w:val="Footer"/>
            <w:jc w:val="center"/>
            <w:rPr>
              <w:bCs/>
              <w:iCs/>
              <w:sz w:val="20"/>
              <w:szCs w:val="20"/>
            </w:rPr>
          </w:pPr>
          <w:r>
            <w:rPr>
              <w:bCs/>
              <w:iCs/>
              <w:sz w:val="20"/>
              <w:szCs w:val="20"/>
            </w:rPr>
            <w:t>CHS25/165</w:t>
          </w:r>
        </w:p>
      </w:tc>
      <w:tc>
        <w:tcPr>
          <w:tcW w:w="965" w:type="dxa"/>
        </w:tcPr>
        <w:p w14:paraId="1E87DA96" w14:textId="3D8CF806" w:rsidR="00481A6C" w:rsidRPr="00954F7B" w:rsidRDefault="00EA27AD" w:rsidP="00481A6C">
          <w:pPr>
            <w:pStyle w:val="Footer"/>
            <w:jc w:val="center"/>
            <w:rPr>
              <w:bCs/>
              <w:iCs/>
              <w:sz w:val="20"/>
              <w:szCs w:val="20"/>
            </w:rPr>
          </w:pPr>
          <w:r>
            <w:rPr>
              <w:bCs/>
              <w:iCs/>
              <w:sz w:val="20"/>
              <w:szCs w:val="20"/>
            </w:rPr>
            <w:t>1</w:t>
          </w:r>
        </w:p>
      </w:tc>
      <w:tc>
        <w:tcPr>
          <w:tcW w:w="1217" w:type="dxa"/>
        </w:tcPr>
        <w:p w14:paraId="5CD980C9" w14:textId="03913681" w:rsidR="00481A6C" w:rsidRPr="00954F7B" w:rsidRDefault="00EA27AD" w:rsidP="00481A6C">
          <w:pPr>
            <w:pStyle w:val="Footer"/>
            <w:jc w:val="center"/>
            <w:rPr>
              <w:bCs/>
              <w:iCs/>
              <w:sz w:val="20"/>
              <w:szCs w:val="20"/>
            </w:rPr>
          </w:pPr>
          <w:r>
            <w:rPr>
              <w:bCs/>
              <w:iCs/>
              <w:sz w:val="20"/>
              <w:szCs w:val="20"/>
            </w:rPr>
            <w:t>17/04/2025</w:t>
          </w:r>
        </w:p>
      </w:tc>
      <w:tc>
        <w:tcPr>
          <w:tcW w:w="1690" w:type="dxa"/>
        </w:tcPr>
        <w:p w14:paraId="1F2E8620" w14:textId="3AB0F64E" w:rsidR="00481A6C" w:rsidRPr="00954F7B" w:rsidRDefault="00EA27AD" w:rsidP="00481A6C">
          <w:pPr>
            <w:pStyle w:val="Footer"/>
            <w:jc w:val="center"/>
            <w:rPr>
              <w:bCs/>
              <w:iCs/>
              <w:sz w:val="20"/>
              <w:szCs w:val="20"/>
            </w:rPr>
          </w:pPr>
          <w:r>
            <w:rPr>
              <w:bCs/>
              <w:iCs/>
              <w:sz w:val="20"/>
              <w:szCs w:val="20"/>
            </w:rPr>
            <w:t>01/04/2029</w:t>
          </w:r>
        </w:p>
      </w:tc>
      <w:tc>
        <w:tcPr>
          <w:tcW w:w="2273" w:type="dxa"/>
        </w:tcPr>
        <w:p w14:paraId="56DC2AB4" w14:textId="40117446" w:rsidR="00481A6C" w:rsidRPr="00954F7B" w:rsidRDefault="00EA27AD" w:rsidP="00481A6C">
          <w:pPr>
            <w:pStyle w:val="Footer"/>
            <w:jc w:val="center"/>
            <w:rPr>
              <w:bCs/>
              <w:iCs/>
              <w:sz w:val="20"/>
              <w:szCs w:val="20"/>
            </w:rPr>
          </w:pPr>
          <w:r>
            <w:rPr>
              <w:bCs/>
              <w:iCs/>
              <w:sz w:val="20"/>
              <w:szCs w:val="20"/>
            </w:rPr>
            <w:t>CHS ED Medical Services – Donate Life</w:t>
          </w:r>
        </w:p>
      </w:tc>
      <w:tc>
        <w:tcPr>
          <w:tcW w:w="1415" w:type="dxa"/>
        </w:tcPr>
        <w:p w14:paraId="575F1441"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069A66A0"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489"/>
      <w:gridCol w:w="1519"/>
      <w:gridCol w:w="2309"/>
      <w:gridCol w:w="1273"/>
    </w:tblGrid>
    <w:tr w:rsidR="008A3DD8" w:rsidRPr="006B62B4" w14:paraId="30E077A8" w14:textId="77777777" w:rsidTr="00EA27AD">
      <w:trPr>
        <w:jc w:val="center"/>
      </w:trPr>
      <w:tc>
        <w:tcPr>
          <w:tcW w:w="1515" w:type="dxa"/>
        </w:tcPr>
        <w:p w14:paraId="40FB08BE"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798B2C06"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489" w:type="dxa"/>
        </w:tcPr>
        <w:p w14:paraId="6B24DB90"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519" w:type="dxa"/>
        </w:tcPr>
        <w:p w14:paraId="0008070C"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309" w:type="dxa"/>
        </w:tcPr>
        <w:p w14:paraId="4F0301D8"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273" w:type="dxa"/>
        </w:tcPr>
        <w:p w14:paraId="416A94EF"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EA27AD" w:rsidRPr="006B62B4" w14:paraId="5CD8C61F" w14:textId="77777777" w:rsidTr="00EA27AD">
      <w:trPr>
        <w:jc w:val="center"/>
      </w:trPr>
      <w:tc>
        <w:tcPr>
          <w:tcW w:w="1515" w:type="dxa"/>
        </w:tcPr>
        <w:p w14:paraId="2E5B31E9" w14:textId="5C2A45E9" w:rsidR="00EA27AD" w:rsidRPr="00954F7B" w:rsidRDefault="00EA27AD" w:rsidP="00EA27AD">
          <w:pPr>
            <w:pStyle w:val="Footer"/>
            <w:jc w:val="center"/>
            <w:rPr>
              <w:bCs/>
              <w:iCs/>
              <w:sz w:val="20"/>
              <w:szCs w:val="20"/>
            </w:rPr>
          </w:pPr>
          <w:r>
            <w:rPr>
              <w:bCs/>
              <w:iCs/>
              <w:sz w:val="20"/>
              <w:szCs w:val="20"/>
            </w:rPr>
            <w:t>CHS25/165</w:t>
          </w:r>
        </w:p>
      </w:tc>
      <w:tc>
        <w:tcPr>
          <w:tcW w:w="965" w:type="dxa"/>
        </w:tcPr>
        <w:p w14:paraId="7B96953A" w14:textId="1B862049" w:rsidR="00EA27AD" w:rsidRPr="00954F7B" w:rsidRDefault="00D8356F" w:rsidP="00EA27AD">
          <w:pPr>
            <w:pStyle w:val="Footer"/>
            <w:jc w:val="center"/>
            <w:rPr>
              <w:bCs/>
              <w:iCs/>
              <w:sz w:val="20"/>
              <w:szCs w:val="20"/>
            </w:rPr>
          </w:pPr>
          <w:r>
            <w:rPr>
              <w:bCs/>
              <w:iCs/>
              <w:sz w:val="20"/>
              <w:szCs w:val="20"/>
            </w:rPr>
            <w:t>2</w:t>
          </w:r>
        </w:p>
      </w:tc>
      <w:tc>
        <w:tcPr>
          <w:tcW w:w="1489" w:type="dxa"/>
        </w:tcPr>
        <w:p w14:paraId="5AE7CD40" w14:textId="018319AE" w:rsidR="00EA27AD" w:rsidRPr="00954F7B" w:rsidRDefault="00EA27AD" w:rsidP="00EA27AD">
          <w:pPr>
            <w:pStyle w:val="Footer"/>
            <w:jc w:val="center"/>
            <w:rPr>
              <w:bCs/>
              <w:iCs/>
              <w:sz w:val="20"/>
              <w:szCs w:val="20"/>
            </w:rPr>
          </w:pPr>
          <w:r>
            <w:rPr>
              <w:bCs/>
              <w:iCs/>
              <w:sz w:val="20"/>
              <w:szCs w:val="20"/>
            </w:rPr>
            <w:t>17/04/2025</w:t>
          </w:r>
        </w:p>
      </w:tc>
      <w:tc>
        <w:tcPr>
          <w:tcW w:w="1519" w:type="dxa"/>
        </w:tcPr>
        <w:p w14:paraId="09BA01C5" w14:textId="5B18B432" w:rsidR="00EA27AD" w:rsidRPr="00954F7B" w:rsidRDefault="00EA27AD" w:rsidP="00EA27AD">
          <w:pPr>
            <w:pStyle w:val="Footer"/>
            <w:jc w:val="center"/>
            <w:rPr>
              <w:bCs/>
              <w:iCs/>
              <w:sz w:val="20"/>
              <w:szCs w:val="20"/>
            </w:rPr>
          </w:pPr>
          <w:r>
            <w:rPr>
              <w:bCs/>
              <w:iCs/>
              <w:sz w:val="20"/>
              <w:szCs w:val="20"/>
            </w:rPr>
            <w:t>01/04/2029</w:t>
          </w:r>
        </w:p>
      </w:tc>
      <w:tc>
        <w:tcPr>
          <w:tcW w:w="2309" w:type="dxa"/>
        </w:tcPr>
        <w:p w14:paraId="3FE29D29" w14:textId="05A655B1" w:rsidR="00EA27AD" w:rsidRPr="00954F7B" w:rsidRDefault="00EA27AD" w:rsidP="00EA27AD">
          <w:pPr>
            <w:pStyle w:val="Footer"/>
            <w:jc w:val="center"/>
            <w:rPr>
              <w:bCs/>
              <w:iCs/>
              <w:sz w:val="20"/>
              <w:szCs w:val="20"/>
            </w:rPr>
          </w:pPr>
          <w:r>
            <w:rPr>
              <w:bCs/>
              <w:iCs/>
              <w:sz w:val="20"/>
              <w:szCs w:val="20"/>
            </w:rPr>
            <w:t>CHS ED Medical Services – Donate Life</w:t>
          </w:r>
        </w:p>
      </w:tc>
      <w:tc>
        <w:tcPr>
          <w:tcW w:w="1273" w:type="dxa"/>
        </w:tcPr>
        <w:p w14:paraId="73B40961" w14:textId="77777777" w:rsidR="00EA27AD" w:rsidRPr="00954F7B" w:rsidRDefault="00EA27AD" w:rsidP="00EA27AD">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03358515"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2214" w14:textId="77777777" w:rsidR="00267221" w:rsidRDefault="00267221" w:rsidP="009D493B">
      <w:pPr>
        <w:spacing w:after="0" w:line="240" w:lineRule="auto"/>
      </w:pPr>
      <w:r>
        <w:separator/>
      </w:r>
    </w:p>
  </w:footnote>
  <w:footnote w:type="continuationSeparator" w:id="0">
    <w:p w14:paraId="3C806BC8" w14:textId="77777777" w:rsidR="00267221" w:rsidRDefault="00267221" w:rsidP="00A9080B">
      <w:pPr>
        <w:spacing w:after="0" w:line="240" w:lineRule="auto"/>
      </w:pPr>
      <w:r>
        <w:continuationSeparator/>
      </w:r>
    </w:p>
    <w:p w14:paraId="25B39D44" w14:textId="77777777" w:rsidR="00267221" w:rsidRDefault="00267221"/>
    <w:p w14:paraId="76A509B9" w14:textId="77777777" w:rsidR="00267221" w:rsidRDefault="00267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7112" w14:textId="77777777" w:rsidR="008A3DD8" w:rsidRDefault="008A3DD8">
    <w:pPr>
      <w:pStyle w:val="Header"/>
    </w:pPr>
    <w:r w:rsidRPr="00324CF9">
      <w:rPr>
        <w:noProof/>
      </w:rPr>
      <w:drawing>
        <wp:inline distT="0" distB="0" distL="0" distR="0" wp14:anchorId="674704FE" wp14:editId="2A97854D">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48C686"/>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447D36"/>
    <w:multiLevelType w:val="hybridMultilevel"/>
    <w:tmpl w:val="96721104"/>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6" w15:restartNumberingAfterBreak="0">
    <w:nsid w:val="1F941638"/>
    <w:multiLevelType w:val="hybridMultilevel"/>
    <w:tmpl w:val="3E22F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33877BB3"/>
    <w:multiLevelType w:val="hybridMultilevel"/>
    <w:tmpl w:val="BFDABBB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7E2B88"/>
    <w:multiLevelType w:val="hybridMultilevel"/>
    <w:tmpl w:val="9768D5B0"/>
    <w:lvl w:ilvl="0" w:tplc="0C090001">
      <w:start w:val="1"/>
      <w:numFmt w:val="bullet"/>
      <w:lvlText w:val=""/>
      <w:lvlJc w:val="left"/>
      <w:pPr>
        <w:ind w:left="1264" w:hanging="360"/>
      </w:pPr>
      <w:rPr>
        <w:rFonts w:ascii="Symbol" w:hAnsi="Symbol" w:hint="default"/>
      </w:rPr>
    </w:lvl>
    <w:lvl w:ilvl="1" w:tplc="0C090003">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1" w15:restartNumberingAfterBreak="0">
    <w:nsid w:val="3B9D3EED"/>
    <w:multiLevelType w:val="hybridMultilevel"/>
    <w:tmpl w:val="3C28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8"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9" w15:restartNumberingAfterBreak="0">
    <w:nsid w:val="72DE76A9"/>
    <w:multiLevelType w:val="hybridMultilevel"/>
    <w:tmpl w:val="F84AEC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8431774">
    <w:abstractNumId w:val="7"/>
  </w:num>
  <w:num w:numId="2" w16cid:durableId="842209657">
    <w:abstractNumId w:val="5"/>
  </w:num>
  <w:num w:numId="3" w16cid:durableId="660542573">
    <w:abstractNumId w:val="18"/>
  </w:num>
  <w:num w:numId="4" w16cid:durableId="1971085616">
    <w:abstractNumId w:val="13"/>
  </w:num>
  <w:num w:numId="5" w16cid:durableId="252517802">
    <w:abstractNumId w:val="14"/>
  </w:num>
  <w:num w:numId="6" w16cid:durableId="420297118">
    <w:abstractNumId w:val="17"/>
  </w:num>
  <w:num w:numId="7" w16cid:durableId="353388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3"/>
    <w:lvlOverride w:ilvl="0">
      <w:startOverride w:val="1"/>
    </w:lvlOverride>
  </w:num>
  <w:num w:numId="9" w16cid:durableId="1747920389">
    <w:abstractNumId w:val="14"/>
    <w:lvlOverride w:ilvl="0">
      <w:startOverride w:val="1"/>
    </w:lvlOverride>
  </w:num>
  <w:num w:numId="10" w16cid:durableId="1001813381">
    <w:abstractNumId w:val="13"/>
    <w:lvlOverride w:ilvl="0">
      <w:startOverride w:val="1"/>
    </w:lvlOverride>
  </w:num>
  <w:num w:numId="11" w16cid:durableId="1103450744">
    <w:abstractNumId w:val="14"/>
    <w:lvlOverride w:ilvl="0">
      <w:startOverride w:val="1"/>
    </w:lvlOverride>
  </w:num>
  <w:num w:numId="12" w16cid:durableId="1549294228">
    <w:abstractNumId w:val="13"/>
    <w:lvlOverride w:ilvl="0">
      <w:startOverride w:val="1"/>
    </w:lvlOverride>
  </w:num>
  <w:num w:numId="13" w16cid:durableId="875854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4"/>
    <w:lvlOverride w:ilvl="0">
      <w:startOverride w:val="1"/>
    </w:lvlOverride>
  </w:num>
  <w:num w:numId="15" w16cid:durableId="1246453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8"/>
  </w:num>
  <w:num w:numId="17" w16cid:durableId="43412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9"/>
  </w:num>
  <w:num w:numId="19" w16cid:durableId="836698820">
    <w:abstractNumId w:val="15"/>
  </w:num>
  <w:num w:numId="20" w16cid:durableId="402803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6"/>
  </w:num>
  <w:num w:numId="22" w16cid:durableId="200242115">
    <w:abstractNumId w:val="1"/>
  </w:num>
  <w:num w:numId="23" w16cid:durableId="585068731">
    <w:abstractNumId w:val="4"/>
  </w:num>
  <w:num w:numId="24" w16cid:durableId="1431437445">
    <w:abstractNumId w:val="3"/>
  </w:num>
  <w:num w:numId="25" w16cid:durableId="507214046">
    <w:abstractNumId w:val="12"/>
  </w:num>
  <w:num w:numId="26" w16cid:durableId="913591473">
    <w:abstractNumId w:val="7"/>
  </w:num>
  <w:num w:numId="27" w16cid:durableId="230971388">
    <w:abstractNumId w:val="0"/>
  </w:num>
  <w:num w:numId="28" w16cid:durableId="761681612">
    <w:abstractNumId w:val="10"/>
  </w:num>
  <w:num w:numId="29" w16cid:durableId="1271157771">
    <w:abstractNumId w:val="8"/>
  </w:num>
  <w:num w:numId="30" w16cid:durableId="487064597">
    <w:abstractNumId w:val="2"/>
  </w:num>
  <w:num w:numId="31" w16cid:durableId="1246185120">
    <w:abstractNumId w:val="11"/>
  </w:num>
  <w:num w:numId="32" w16cid:durableId="740566809">
    <w:abstractNumId w:val="19"/>
  </w:num>
  <w:num w:numId="33" w16cid:durableId="1458331634">
    <w:abstractNumId w:val="7"/>
  </w:num>
  <w:num w:numId="34" w16cid:durableId="172886284">
    <w:abstractNumId w:val="7"/>
  </w:num>
  <w:num w:numId="35" w16cid:durableId="213321077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BE"/>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494A"/>
    <w:rsid w:val="00046D4C"/>
    <w:rsid w:val="00047707"/>
    <w:rsid w:val="00050A6B"/>
    <w:rsid w:val="000513FD"/>
    <w:rsid w:val="00052D11"/>
    <w:rsid w:val="00053BD7"/>
    <w:rsid w:val="00053CC3"/>
    <w:rsid w:val="00053D2F"/>
    <w:rsid w:val="0005461D"/>
    <w:rsid w:val="00054B3C"/>
    <w:rsid w:val="0005626F"/>
    <w:rsid w:val="0005685E"/>
    <w:rsid w:val="000570A6"/>
    <w:rsid w:val="000577A6"/>
    <w:rsid w:val="00061582"/>
    <w:rsid w:val="00067976"/>
    <w:rsid w:val="000707E9"/>
    <w:rsid w:val="00070945"/>
    <w:rsid w:val="000717BA"/>
    <w:rsid w:val="0007270D"/>
    <w:rsid w:val="00075506"/>
    <w:rsid w:val="00075ADE"/>
    <w:rsid w:val="00080F06"/>
    <w:rsid w:val="00080FC2"/>
    <w:rsid w:val="000825CF"/>
    <w:rsid w:val="00082C60"/>
    <w:rsid w:val="00082EB1"/>
    <w:rsid w:val="00083D66"/>
    <w:rsid w:val="000848B6"/>
    <w:rsid w:val="000858DB"/>
    <w:rsid w:val="000866CD"/>
    <w:rsid w:val="000905E4"/>
    <w:rsid w:val="0009157D"/>
    <w:rsid w:val="00096D01"/>
    <w:rsid w:val="00097F70"/>
    <w:rsid w:val="000A0C18"/>
    <w:rsid w:val="000A3AA0"/>
    <w:rsid w:val="000A3F9B"/>
    <w:rsid w:val="000A4C7E"/>
    <w:rsid w:val="000A6268"/>
    <w:rsid w:val="000B04DE"/>
    <w:rsid w:val="000B4346"/>
    <w:rsid w:val="000B4DF9"/>
    <w:rsid w:val="000B6A88"/>
    <w:rsid w:val="000B70DA"/>
    <w:rsid w:val="000C36A3"/>
    <w:rsid w:val="000C3973"/>
    <w:rsid w:val="000C48B1"/>
    <w:rsid w:val="000C57C6"/>
    <w:rsid w:val="000C76AA"/>
    <w:rsid w:val="000C79BE"/>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3973"/>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18F4"/>
    <w:rsid w:val="00173EDD"/>
    <w:rsid w:val="00174ECE"/>
    <w:rsid w:val="00175212"/>
    <w:rsid w:val="00175FF8"/>
    <w:rsid w:val="001767CA"/>
    <w:rsid w:val="00181504"/>
    <w:rsid w:val="00181729"/>
    <w:rsid w:val="001819E4"/>
    <w:rsid w:val="00183E97"/>
    <w:rsid w:val="0018427C"/>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A6703"/>
    <w:rsid w:val="001B0DC3"/>
    <w:rsid w:val="001B1A6A"/>
    <w:rsid w:val="001B3430"/>
    <w:rsid w:val="001C0F5C"/>
    <w:rsid w:val="001C108E"/>
    <w:rsid w:val="001C223C"/>
    <w:rsid w:val="001C24A7"/>
    <w:rsid w:val="001C263F"/>
    <w:rsid w:val="001C3B67"/>
    <w:rsid w:val="001C5958"/>
    <w:rsid w:val="001D12A9"/>
    <w:rsid w:val="001D140D"/>
    <w:rsid w:val="001D150B"/>
    <w:rsid w:val="001D195F"/>
    <w:rsid w:val="001D4C5C"/>
    <w:rsid w:val="001D780B"/>
    <w:rsid w:val="001D7823"/>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06171"/>
    <w:rsid w:val="00211BFA"/>
    <w:rsid w:val="00212F1D"/>
    <w:rsid w:val="002140AE"/>
    <w:rsid w:val="0022138F"/>
    <w:rsid w:val="00225769"/>
    <w:rsid w:val="00225E3B"/>
    <w:rsid w:val="00227104"/>
    <w:rsid w:val="00230054"/>
    <w:rsid w:val="0023668B"/>
    <w:rsid w:val="00240DC9"/>
    <w:rsid w:val="00241A68"/>
    <w:rsid w:val="00242601"/>
    <w:rsid w:val="002427B0"/>
    <w:rsid w:val="0024353D"/>
    <w:rsid w:val="00244149"/>
    <w:rsid w:val="00245BF4"/>
    <w:rsid w:val="00246EDC"/>
    <w:rsid w:val="00247BAF"/>
    <w:rsid w:val="00251D96"/>
    <w:rsid w:val="00253A48"/>
    <w:rsid w:val="00253EC8"/>
    <w:rsid w:val="0025483C"/>
    <w:rsid w:val="00256701"/>
    <w:rsid w:val="0026085A"/>
    <w:rsid w:val="00267221"/>
    <w:rsid w:val="002700D3"/>
    <w:rsid w:val="002715E0"/>
    <w:rsid w:val="0027262B"/>
    <w:rsid w:val="00274308"/>
    <w:rsid w:val="00280051"/>
    <w:rsid w:val="00280C5D"/>
    <w:rsid w:val="00281798"/>
    <w:rsid w:val="00281830"/>
    <w:rsid w:val="002827C4"/>
    <w:rsid w:val="00284D13"/>
    <w:rsid w:val="00285E08"/>
    <w:rsid w:val="00292A6B"/>
    <w:rsid w:val="00293B6B"/>
    <w:rsid w:val="00294B76"/>
    <w:rsid w:val="00294F1A"/>
    <w:rsid w:val="00295D79"/>
    <w:rsid w:val="0029655B"/>
    <w:rsid w:val="002A0163"/>
    <w:rsid w:val="002A295E"/>
    <w:rsid w:val="002A61AB"/>
    <w:rsid w:val="002B2713"/>
    <w:rsid w:val="002B3511"/>
    <w:rsid w:val="002B3D19"/>
    <w:rsid w:val="002B3F13"/>
    <w:rsid w:val="002B434C"/>
    <w:rsid w:val="002B4E6D"/>
    <w:rsid w:val="002B5D29"/>
    <w:rsid w:val="002C39F9"/>
    <w:rsid w:val="002C58B8"/>
    <w:rsid w:val="002C7500"/>
    <w:rsid w:val="002C75BC"/>
    <w:rsid w:val="002D1CA0"/>
    <w:rsid w:val="002D22CF"/>
    <w:rsid w:val="002D4BB3"/>
    <w:rsid w:val="002D56A1"/>
    <w:rsid w:val="002D59A9"/>
    <w:rsid w:val="002D5A00"/>
    <w:rsid w:val="002D7682"/>
    <w:rsid w:val="002E1D09"/>
    <w:rsid w:val="002E1E63"/>
    <w:rsid w:val="002E1FA1"/>
    <w:rsid w:val="002E63E1"/>
    <w:rsid w:val="002E6515"/>
    <w:rsid w:val="002E6517"/>
    <w:rsid w:val="002E6687"/>
    <w:rsid w:val="002F1196"/>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86914"/>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3E2B"/>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3F762D"/>
    <w:rsid w:val="00407C75"/>
    <w:rsid w:val="00411B14"/>
    <w:rsid w:val="00411B18"/>
    <w:rsid w:val="00412C91"/>
    <w:rsid w:val="004132C5"/>
    <w:rsid w:val="00414064"/>
    <w:rsid w:val="0041475B"/>
    <w:rsid w:val="00414E62"/>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5E0E"/>
    <w:rsid w:val="00457272"/>
    <w:rsid w:val="00457D10"/>
    <w:rsid w:val="00457DCC"/>
    <w:rsid w:val="00461A18"/>
    <w:rsid w:val="00462060"/>
    <w:rsid w:val="00463C1A"/>
    <w:rsid w:val="00463EEC"/>
    <w:rsid w:val="004640FF"/>
    <w:rsid w:val="00465490"/>
    <w:rsid w:val="004714AD"/>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803"/>
    <w:rsid w:val="004A7A7F"/>
    <w:rsid w:val="004B031B"/>
    <w:rsid w:val="004B474F"/>
    <w:rsid w:val="004C221A"/>
    <w:rsid w:val="004C2563"/>
    <w:rsid w:val="004C39F8"/>
    <w:rsid w:val="004C416A"/>
    <w:rsid w:val="004C55B7"/>
    <w:rsid w:val="004C5D35"/>
    <w:rsid w:val="004D0A68"/>
    <w:rsid w:val="004D20BF"/>
    <w:rsid w:val="004D2C70"/>
    <w:rsid w:val="004D31D0"/>
    <w:rsid w:val="004D31F1"/>
    <w:rsid w:val="004D3E70"/>
    <w:rsid w:val="004D4286"/>
    <w:rsid w:val="004D4733"/>
    <w:rsid w:val="004D4B45"/>
    <w:rsid w:val="004D5167"/>
    <w:rsid w:val="004D6C3E"/>
    <w:rsid w:val="004D7B29"/>
    <w:rsid w:val="004E14DE"/>
    <w:rsid w:val="004E2562"/>
    <w:rsid w:val="004E2E2F"/>
    <w:rsid w:val="004E6E2D"/>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57A5E"/>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954B3"/>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3BCF"/>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76542"/>
    <w:rsid w:val="00680130"/>
    <w:rsid w:val="006824E0"/>
    <w:rsid w:val="00684627"/>
    <w:rsid w:val="00684A68"/>
    <w:rsid w:val="00685883"/>
    <w:rsid w:val="00691C90"/>
    <w:rsid w:val="00692458"/>
    <w:rsid w:val="0069388D"/>
    <w:rsid w:val="006A0160"/>
    <w:rsid w:val="006A31AB"/>
    <w:rsid w:val="006A5215"/>
    <w:rsid w:val="006B18B2"/>
    <w:rsid w:val="006B3640"/>
    <w:rsid w:val="006B61AC"/>
    <w:rsid w:val="006B6C90"/>
    <w:rsid w:val="006B7CA7"/>
    <w:rsid w:val="006C0039"/>
    <w:rsid w:val="006C1521"/>
    <w:rsid w:val="006C39B7"/>
    <w:rsid w:val="006C3C89"/>
    <w:rsid w:val="006C4E7E"/>
    <w:rsid w:val="006C7001"/>
    <w:rsid w:val="006C7362"/>
    <w:rsid w:val="006D11DF"/>
    <w:rsid w:val="006D164E"/>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3C39"/>
    <w:rsid w:val="00784CA8"/>
    <w:rsid w:val="00784D38"/>
    <w:rsid w:val="00785234"/>
    <w:rsid w:val="007864F1"/>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7EA"/>
    <w:rsid w:val="007C5C1B"/>
    <w:rsid w:val="007D3448"/>
    <w:rsid w:val="007D7F27"/>
    <w:rsid w:val="007E04CD"/>
    <w:rsid w:val="007E4E9A"/>
    <w:rsid w:val="007E6EE6"/>
    <w:rsid w:val="007F29F8"/>
    <w:rsid w:val="007F2D82"/>
    <w:rsid w:val="007F43F2"/>
    <w:rsid w:val="007F48B2"/>
    <w:rsid w:val="007F4EF0"/>
    <w:rsid w:val="007F5CFF"/>
    <w:rsid w:val="007F76DA"/>
    <w:rsid w:val="007F7B03"/>
    <w:rsid w:val="0081013E"/>
    <w:rsid w:val="00810C0D"/>
    <w:rsid w:val="008113B4"/>
    <w:rsid w:val="008114F0"/>
    <w:rsid w:val="008120C3"/>
    <w:rsid w:val="00814D74"/>
    <w:rsid w:val="00814DE5"/>
    <w:rsid w:val="00820942"/>
    <w:rsid w:val="008248D1"/>
    <w:rsid w:val="0082586A"/>
    <w:rsid w:val="00826132"/>
    <w:rsid w:val="008261B4"/>
    <w:rsid w:val="00827EDE"/>
    <w:rsid w:val="00832EAB"/>
    <w:rsid w:val="008358B4"/>
    <w:rsid w:val="00840A61"/>
    <w:rsid w:val="00842EF4"/>
    <w:rsid w:val="00843D15"/>
    <w:rsid w:val="00845AA0"/>
    <w:rsid w:val="008510FF"/>
    <w:rsid w:val="008530BE"/>
    <w:rsid w:val="008540FA"/>
    <w:rsid w:val="00857E94"/>
    <w:rsid w:val="008606A0"/>
    <w:rsid w:val="00861E1B"/>
    <w:rsid w:val="00863446"/>
    <w:rsid w:val="00863E4E"/>
    <w:rsid w:val="00867895"/>
    <w:rsid w:val="00875D2D"/>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28FA"/>
    <w:rsid w:val="008B55D2"/>
    <w:rsid w:val="008B5C21"/>
    <w:rsid w:val="008B791D"/>
    <w:rsid w:val="008C1C7C"/>
    <w:rsid w:val="008C208A"/>
    <w:rsid w:val="008D0538"/>
    <w:rsid w:val="008D0D9A"/>
    <w:rsid w:val="008D2CA8"/>
    <w:rsid w:val="008D37DA"/>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429"/>
    <w:rsid w:val="0097363B"/>
    <w:rsid w:val="009746B1"/>
    <w:rsid w:val="00975A13"/>
    <w:rsid w:val="00977BFB"/>
    <w:rsid w:val="00982385"/>
    <w:rsid w:val="00982810"/>
    <w:rsid w:val="00987356"/>
    <w:rsid w:val="009903CC"/>
    <w:rsid w:val="00995B1B"/>
    <w:rsid w:val="009A1396"/>
    <w:rsid w:val="009A18AA"/>
    <w:rsid w:val="009A2981"/>
    <w:rsid w:val="009A336D"/>
    <w:rsid w:val="009A36AD"/>
    <w:rsid w:val="009A5010"/>
    <w:rsid w:val="009A63B5"/>
    <w:rsid w:val="009A7037"/>
    <w:rsid w:val="009C11CF"/>
    <w:rsid w:val="009C13FA"/>
    <w:rsid w:val="009C2AED"/>
    <w:rsid w:val="009C3490"/>
    <w:rsid w:val="009C3BB0"/>
    <w:rsid w:val="009C575D"/>
    <w:rsid w:val="009C5CB2"/>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258D"/>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35817"/>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55A"/>
    <w:rsid w:val="00AC0797"/>
    <w:rsid w:val="00AC2EDE"/>
    <w:rsid w:val="00AC53AF"/>
    <w:rsid w:val="00AD4C38"/>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1C77"/>
    <w:rsid w:val="00B22277"/>
    <w:rsid w:val="00B22944"/>
    <w:rsid w:val="00B2758D"/>
    <w:rsid w:val="00B30482"/>
    <w:rsid w:val="00B31526"/>
    <w:rsid w:val="00B3226B"/>
    <w:rsid w:val="00B326A7"/>
    <w:rsid w:val="00B33322"/>
    <w:rsid w:val="00B33F30"/>
    <w:rsid w:val="00B33FA0"/>
    <w:rsid w:val="00B34124"/>
    <w:rsid w:val="00B3418C"/>
    <w:rsid w:val="00B34980"/>
    <w:rsid w:val="00B36A89"/>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10F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C66A2"/>
    <w:rsid w:val="00BD054F"/>
    <w:rsid w:val="00BD078D"/>
    <w:rsid w:val="00BD429D"/>
    <w:rsid w:val="00BD44A9"/>
    <w:rsid w:val="00BD6D69"/>
    <w:rsid w:val="00BE1539"/>
    <w:rsid w:val="00BE4EDA"/>
    <w:rsid w:val="00BE690C"/>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4BC"/>
    <w:rsid w:val="00C54D16"/>
    <w:rsid w:val="00C55135"/>
    <w:rsid w:val="00C57A55"/>
    <w:rsid w:val="00C60288"/>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09A1"/>
    <w:rsid w:val="00D62793"/>
    <w:rsid w:val="00D627BE"/>
    <w:rsid w:val="00D6578B"/>
    <w:rsid w:val="00D65905"/>
    <w:rsid w:val="00D67E6B"/>
    <w:rsid w:val="00D71B35"/>
    <w:rsid w:val="00D74DFD"/>
    <w:rsid w:val="00D770C8"/>
    <w:rsid w:val="00D80302"/>
    <w:rsid w:val="00D81A2D"/>
    <w:rsid w:val="00D81B38"/>
    <w:rsid w:val="00D81CB0"/>
    <w:rsid w:val="00D82211"/>
    <w:rsid w:val="00D8356F"/>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1DA9"/>
    <w:rsid w:val="00DA48F8"/>
    <w:rsid w:val="00DA5524"/>
    <w:rsid w:val="00DA60A4"/>
    <w:rsid w:val="00DB0295"/>
    <w:rsid w:val="00DB207B"/>
    <w:rsid w:val="00DB3285"/>
    <w:rsid w:val="00DB5138"/>
    <w:rsid w:val="00DB6108"/>
    <w:rsid w:val="00DC008F"/>
    <w:rsid w:val="00DD4464"/>
    <w:rsid w:val="00DD6074"/>
    <w:rsid w:val="00DD693A"/>
    <w:rsid w:val="00DE117D"/>
    <w:rsid w:val="00DE125D"/>
    <w:rsid w:val="00DE5620"/>
    <w:rsid w:val="00DE5C6B"/>
    <w:rsid w:val="00DE6056"/>
    <w:rsid w:val="00DE6090"/>
    <w:rsid w:val="00DF1CBC"/>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77D99"/>
    <w:rsid w:val="00E80B1C"/>
    <w:rsid w:val="00E870E4"/>
    <w:rsid w:val="00E8796B"/>
    <w:rsid w:val="00E90C07"/>
    <w:rsid w:val="00E93F27"/>
    <w:rsid w:val="00E94350"/>
    <w:rsid w:val="00E97B77"/>
    <w:rsid w:val="00EA060C"/>
    <w:rsid w:val="00EA27AD"/>
    <w:rsid w:val="00EA4041"/>
    <w:rsid w:val="00EA4C6B"/>
    <w:rsid w:val="00EA7109"/>
    <w:rsid w:val="00EB103A"/>
    <w:rsid w:val="00EB22C5"/>
    <w:rsid w:val="00EB256E"/>
    <w:rsid w:val="00EB26B6"/>
    <w:rsid w:val="00EB44CD"/>
    <w:rsid w:val="00EB70EE"/>
    <w:rsid w:val="00EC0190"/>
    <w:rsid w:val="00EC3146"/>
    <w:rsid w:val="00EC4BB0"/>
    <w:rsid w:val="00EC4C64"/>
    <w:rsid w:val="00EC7202"/>
    <w:rsid w:val="00ED1006"/>
    <w:rsid w:val="00ED2843"/>
    <w:rsid w:val="00ED2DE6"/>
    <w:rsid w:val="00ED4AAB"/>
    <w:rsid w:val="00EE0C5F"/>
    <w:rsid w:val="00EE285A"/>
    <w:rsid w:val="00EE3372"/>
    <w:rsid w:val="00EE3510"/>
    <w:rsid w:val="00EE5549"/>
    <w:rsid w:val="00EE5A45"/>
    <w:rsid w:val="00EE6F7A"/>
    <w:rsid w:val="00EF1F94"/>
    <w:rsid w:val="00EF273A"/>
    <w:rsid w:val="00EF46D9"/>
    <w:rsid w:val="00EF50B1"/>
    <w:rsid w:val="00EF6148"/>
    <w:rsid w:val="00EF7E3E"/>
    <w:rsid w:val="00F02520"/>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96A94"/>
    <w:rsid w:val="00FA029F"/>
    <w:rsid w:val="00FA16AF"/>
    <w:rsid w:val="00FA4E6F"/>
    <w:rsid w:val="00FA5C1A"/>
    <w:rsid w:val="00FA6EFF"/>
    <w:rsid w:val="00FB0F2E"/>
    <w:rsid w:val="00FB3E04"/>
    <w:rsid w:val="00FB4F23"/>
    <w:rsid w:val="00FB7092"/>
    <w:rsid w:val="00FC1860"/>
    <w:rsid w:val="00FC19DD"/>
    <w:rsid w:val="00FC1B7F"/>
    <w:rsid w:val="00FC1F3B"/>
    <w:rsid w:val="00FC3B37"/>
    <w:rsid w:val="00FC4A8E"/>
    <w:rsid w:val="00FC5688"/>
    <w:rsid w:val="00FD13BC"/>
    <w:rsid w:val="00FD3169"/>
    <w:rsid w:val="00FD4961"/>
    <w:rsid w:val="00FD7976"/>
    <w:rsid w:val="00FE0686"/>
    <w:rsid w:val="00FE46F1"/>
    <w:rsid w:val="00FE5081"/>
    <w:rsid w:val="00FE70A6"/>
    <w:rsid w:val="00FE7FF1"/>
    <w:rsid w:val="00FF0FE9"/>
    <w:rsid w:val="00FF248A"/>
    <w:rsid w:val="00FF3EB3"/>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9A62F76"/>
  <w15:docId w15:val="{6F310AAE-24F7-4E88-89E3-0C89F7BF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FC3B37"/>
    <w:pPr>
      <w:shd w:val="clear" w:color="auto" w:fill="3D2262" w:themeFill="accent1"/>
      <w:spacing w:before="0" w:after="120" w:line="460" w:lineRule="exact"/>
      <w:outlineLvl w:val="3"/>
    </w:pPr>
    <w:rPr>
      <w:rFonts w:ascii="Calibri" w:hAnsi="Calibri" w:cs="Calibri"/>
      <w:b/>
      <w:color w:val="FFFFFF" w:themeColor="background1"/>
      <w:sz w:val="28"/>
      <w:szCs w:val="28"/>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FC3B37"/>
    <w:rPr>
      <w:rFonts w:ascii="Calibri" w:eastAsia="Times New Roman" w:hAnsi="Calibri" w:cs="Calibri"/>
      <w:b/>
      <w:bCs/>
      <w:iCs/>
      <w:color w:val="FFFFFF" w:themeColor="background1"/>
      <w:sz w:val="28"/>
      <w:szCs w:val="28"/>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7F76DA"/>
    <w:pPr>
      <w:numPr>
        <w:numId w:val="27"/>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7F76DA"/>
    <w:pPr>
      <w:spacing w:before="0" w:after="0" w:line="240" w:lineRule="auto"/>
      <w:ind w:left="720"/>
      <w:contextualSpacing/>
    </w:pPr>
    <w:rPr>
      <w:rFonts w:ascii="Calibri" w:eastAsia="Times New Roman" w:hAnsi="Calibri" w:cs="Times New Roman"/>
      <w:color w:val="auto"/>
      <w:szCs w:val="20"/>
      <w:lang w:eastAsia="en-US"/>
    </w:rPr>
  </w:style>
  <w:style w:type="paragraph" w:customStyle="1" w:styleId="Default">
    <w:name w:val="Default"/>
    <w:rsid w:val="00075ADE"/>
    <w:pPr>
      <w:autoSpaceDE w:val="0"/>
      <w:autoSpaceDN w:val="0"/>
      <w:adjustRightInd w:val="0"/>
    </w:pPr>
    <w:rPr>
      <w:rFonts w:ascii="Times New Roman" w:eastAsia="Times New Roman" w:hAnsi="Times New Roman" w:cs="Times New Roman"/>
      <w:color w:val="000000"/>
    </w:rPr>
  </w:style>
  <w:style w:type="paragraph" w:styleId="NormalWeb">
    <w:name w:val="Normal (Web)"/>
    <w:basedOn w:val="Normal"/>
    <w:uiPriority w:val="99"/>
    <w:semiHidden/>
    <w:unhideWhenUsed/>
    <w:rsid w:val="000577A6"/>
    <w:pPr>
      <w:spacing w:before="100" w:beforeAutospacing="1" w:after="100" w:afterAutospacing="1" w:line="240" w:lineRule="auto"/>
    </w:pPr>
    <w:rPr>
      <w:rFonts w:ascii="Times New Roman" w:eastAsia="Times New Roman" w:hAnsi="Times New Roman" w:cs="Times New Roman"/>
      <w:color w:val="auto"/>
    </w:rPr>
  </w:style>
  <w:style w:type="character" w:styleId="Strong">
    <w:name w:val="Strong"/>
    <w:basedOn w:val="DefaultParagraphFont"/>
    <w:uiPriority w:val="22"/>
    <w:qFormat/>
    <w:locked/>
    <w:rsid w:val="00057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zics.com.au/wp-content/uploads/2020/07/ANZICS-Statement-on-Death-and-Organ-Donation-Edition-4.pdf" TargetMode="External"/><Relationship Id="rId18" Type="http://schemas.openxmlformats.org/officeDocument/2006/relationships/hyperlink" Target="https://www.nhmrc.gov.au/about-us/publications/ethical-guidelines-organ-transplantation-deceased-dono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anzics.com.au/wp-content/uploads/2018/08/ANZICS-Statement-on-Care-and-Decision-Making-at-the-End-of-Life-for-the-Critically-Ill.pdf" TargetMode="External"/><Relationship Id="rId17" Type="http://schemas.openxmlformats.org/officeDocument/2006/relationships/hyperlink" Target="https://donatelife.gov.au/resources/clinical-guidelines-and-protocols/best-practice-guideline-offering-organ-and-tissue"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donatelife.gov.au/sites/default/files/2022-08/OTA%20Strategy%202022-2027.pdf"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health/end-of-life-and-palliative-care/providing-voluntary-assisted-dying-services-in-the-act" TargetMode="External"/><Relationship Id="rId24" Type="http://schemas.openxmlformats.org/officeDocument/2006/relationships/hyperlink" Target="https://www.canberrahealthservices.act.gov.au/accessibility" TargetMode="External"/><Relationship Id="rId5" Type="http://schemas.openxmlformats.org/officeDocument/2006/relationships/numbering" Target="numbering.xml"/><Relationship Id="rId15" Type="http://schemas.openxmlformats.org/officeDocument/2006/relationships/hyperlink" Target="http://www.donatelife.gov.au"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sanz.com.au/guidelinesethics-documents/tsanz-clinical-guidelines.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ites/default/files/2023-12/national_consensus_statement_-_essential_elements_for_safe_and_high-quality_end-of-life_care.pdf"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DBBA86B19C474BA27AB5A13D81F205"/>
        <w:category>
          <w:name w:val="General"/>
          <w:gallery w:val="placeholder"/>
        </w:category>
        <w:types>
          <w:type w:val="bbPlcHdr"/>
        </w:types>
        <w:behaviors>
          <w:behavior w:val="content"/>
        </w:behaviors>
        <w:guid w:val="{42315DC1-92A4-4C5E-B4AE-906C220C62BD}"/>
      </w:docPartPr>
      <w:docPartBody>
        <w:p w:rsidR="003A5A8F" w:rsidRDefault="003A5A8F">
          <w:pPr>
            <w:pStyle w:val="A6DBBA86B19C474BA27AB5A13D81F205"/>
          </w:pPr>
          <w:r>
            <w:rPr>
              <w:noProof/>
              <w:sz w:val="20"/>
              <w:szCs w:val="20"/>
            </w:rPr>
            <w:drawing>
              <wp:inline distT="0" distB="0" distL="0" distR="0" wp14:anchorId="1D897CC9" wp14:editId="1D897CCA">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6964A76442364C95B87621E3C533774D"/>
        <w:category>
          <w:name w:val="General"/>
          <w:gallery w:val="placeholder"/>
        </w:category>
        <w:types>
          <w:type w:val="bbPlcHdr"/>
        </w:types>
        <w:behaviors>
          <w:behavior w:val="content"/>
        </w:behaviors>
        <w:guid w:val="{9C0C08AD-FB3E-43C7-9F12-9820D9387D01}"/>
      </w:docPartPr>
      <w:docPartBody>
        <w:p w:rsidR="003A5A8F" w:rsidRDefault="003A5A8F">
          <w:pPr>
            <w:pStyle w:val="6964A76442364C95B87621E3C533774D"/>
          </w:pPr>
          <w:r w:rsidRPr="00EE29F8">
            <w:rPr>
              <w:rStyle w:val="PlaceholderText"/>
            </w:rPr>
            <w:t>Choose an item.</w:t>
          </w:r>
        </w:p>
      </w:docPartBody>
    </w:docPart>
    <w:docPart>
      <w:docPartPr>
        <w:name w:val="3BA99D9AE5BC483F86F3FA3881145134"/>
        <w:category>
          <w:name w:val="General"/>
          <w:gallery w:val="placeholder"/>
        </w:category>
        <w:types>
          <w:type w:val="bbPlcHdr"/>
        </w:types>
        <w:behaviors>
          <w:behavior w:val="content"/>
        </w:behaviors>
        <w:guid w:val="{BD6C1A0A-CDAF-473F-A19F-82B0DEA3E6DD}"/>
      </w:docPartPr>
      <w:docPartBody>
        <w:p w:rsidR="003A5A8F" w:rsidRPr="00F26C97" w:rsidRDefault="003A5A8F" w:rsidP="003B0E72">
          <w:pPr>
            <w:pStyle w:val="Bottomblocktext"/>
            <w:rPr>
              <w:b/>
              <w:bCs w:val="0"/>
              <w:sz w:val="20"/>
              <w:szCs w:val="20"/>
            </w:rPr>
          </w:pPr>
          <w:r>
            <w:rPr>
              <w:b/>
              <w:bCs w:val="0"/>
              <w:noProof/>
              <w:sz w:val="20"/>
              <w:szCs w:val="20"/>
            </w:rPr>
            <w:drawing>
              <wp:inline distT="0" distB="0" distL="0" distR="0" wp14:anchorId="1D897CCB" wp14:editId="1D897CCC">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D897CCD" wp14:editId="1D897CCE">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3A5A8F" w:rsidRPr="00F26C97" w:rsidRDefault="003A5A8F" w:rsidP="003B0E72">
          <w:pPr>
            <w:pStyle w:val="Bottomblocktext"/>
            <w:rPr>
              <w:b/>
              <w:bCs w:val="0"/>
              <w:sz w:val="20"/>
              <w:szCs w:val="20"/>
            </w:rPr>
          </w:pPr>
          <w:r>
            <w:rPr>
              <w:b/>
              <w:bCs w:val="0"/>
              <w:noProof/>
              <w:sz w:val="20"/>
              <w:szCs w:val="20"/>
            </w:rPr>
            <w:drawing>
              <wp:inline distT="0" distB="0" distL="0" distR="0" wp14:anchorId="1D897CCF" wp14:editId="1D897CD0">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D897CD1" wp14:editId="1D897CD2">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3A5A8F" w:rsidRDefault="003A5A8F" w:rsidP="003B0E72">
          <w:pPr>
            <w:pStyle w:val="Bottomblocktext"/>
            <w:rPr>
              <w:sz w:val="20"/>
              <w:szCs w:val="20"/>
            </w:rPr>
          </w:pPr>
          <w:hyperlink r:id="rId8" w:history="1">
            <w:r w:rsidRPr="00350211">
              <w:rPr>
                <w:rStyle w:val="Hyperlink"/>
                <w:sz w:val="20"/>
                <w:szCs w:val="20"/>
              </w:rPr>
              <w:t>canberrahealthservices.act.gov.au/accessibility</w:t>
            </w:r>
          </w:hyperlink>
        </w:p>
        <w:p w:rsidR="003A5A8F" w:rsidRDefault="003A5A8F">
          <w:pPr>
            <w:pStyle w:val="3BA99D9AE5BC483F86F3FA3881145134"/>
          </w:pPr>
          <w:r>
            <w:rPr>
              <w:b/>
              <w:bCs/>
              <w:noProof/>
            </w:rPr>
            <w:drawing>
              <wp:inline distT="0" distB="0" distL="0" distR="0" wp14:anchorId="1D897CD3" wp14:editId="1D897CD4">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8F"/>
    <w:rsid w:val="001C3B67"/>
    <w:rsid w:val="002715E0"/>
    <w:rsid w:val="002B4E6D"/>
    <w:rsid w:val="00392CBD"/>
    <w:rsid w:val="003A5A8F"/>
    <w:rsid w:val="00414E62"/>
    <w:rsid w:val="00455E0E"/>
    <w:rsid w:val="004A7803"/>
    <w:rsid w:val="004D5167"/>
    <w:rsid w:val="00502B8A"/>
    <w:rsid w:val="005C04EA"/>
    <w:rsid w:val="005F3BCF"/>
    <w:rsid w:val="00783C39"/>
    <w:rsid w:val="007E7B0A"/>
    <w:rsid w:val="008C228A"/>
    <w:rsid w:val="009F258D"/>
    <w:rsid w:val="00B36A89"/>
    <w:rsid w:val="00C8118D"/>
    <w:rsid w:val="00CC4D38"/>
    <w:rsid w:val="00D81B38"/>
    <w:rsid w:val="00DA1DA9"/>
    <w:rsid w:val="00EF50B1"/>
    <w:rsid w:val="00F96A94"/>
    <w:rsid w:val="00FB6FBA"/>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DBBA86B19C474BA27AB5A13D81F205">
    <w:name w:val="A6DBBA86B19C474BA27AB5A13D81F205"/>
    <w:rPr>
      <w:rFonts w:cs="Arial Unicode MS"/>
    </w:rPr>
  </w:style>
  <w:style w:type="character" w:styleId="PlaceholderText">
    <w:name w:val="Placeholder Text"/>
    <w:basedOn w:val="DefaultParagraphFont"/>
    <w:uiPriority w:val="99"/>
    <w:semiHidden/>
    <w:rPr>
      <w:color w:val="808080"/>
    </w:rPr>
  </w:style>
  <w:style w:type="paragraph" w:customStyle="1" w:styleId="6964A76442364C95B87621E3C533774D">
    <w:name w:val="6964A76442364C95B87621E3C533774D"/>
    <w:rPr>
      <w:rFonts w:cs="Arial Unicode MS"/>
    </w:rPr>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bidi="ar-SA"/>
      <w14:ligatures w14:val="none"/>
    </w:rPr>
  </w:style>
  <w:style w:type="paragraph" w:customStyle="1" w:styleId="3BA99D9AE5BC483F86F3FA3881145134">
    <w:name w:val="3BA99D9AE5BC483F86F3FA3881145134"/>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2025-03-20T13:00:00+00:00</Approval_x0020_Date>
    <Review_x0020_Date xmlns="690b2128-8961-48af-a473-22c34a9accba">2029-03-31T13:00:00+00:00</Review_x0020_Date>
    <TaxCatchAll xmlns="c0239a80-7f07-4ed7-82c3-24ad7d76ada5">
      <Value>460</Value>
      <Value>417</Value>
      <Value>416</Value>
      <Value>415</Value>
      <Value>499</Value>
    </TaxCatchAll>
    <Version_x0020_Number xmlns="690b2128-8961-48af-a473-22c34a9accba">2</Version_x0020_Number>
    <Notes0 xmlns="690b2128-8961-48af-a473-22c34a9accba">26 September 2025	Included information on where to access organ and tissue donation in relation to VAD in the Scope.</Notes0>
    <Key_x0020_Words xmlns="690b2128-8961-48af-a473-22c34a9accba">Organ donation, Organ and tissue donation, Designated Officer, SANoK, Transplant, Donate, ICU, OT, Theatre, Surgery, NCH, North</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CHS22/041 CHS Organ and Tissue Donation </Replaces_x003a_>
    <ISD_x0020_Submitted xmlns="690b2128-8961-48af-a473-22c34a9accba">Not Required</ISD_x0020_Submitted>
    <Risk_x0020_Rating xmlns="690b2128-8961-48af-a473-22c34a9accba">Medium</Risk_x0020_Rating>
    <Description0 xmlns="690b2128-8961-48af-a473-22c34a9accba">The purpose of this procedure is to clearly articulate the roles and responsibilities of staff across Canberra Health Services (CHS) Network relating to organ and tissue donation.</Description0>
    <Display_x0020_on_x0020_Internet xmlns="690b2128-8961-48af-a473-22c34a9accba">true</Display_x0020_on_x0020_Internet>
    <Related_x0020_Documents xmlns="690b2128-8961-48af-a473-22c34a9accba" xsi:nil="true"/>
    <Decision_x0020_Number xmlns="690b2128-8961-48af-a473-22c34a9accba">CHS25/165</Decision_x0020_Number>
    <RelatedPolicies_x002c_ProceduresGuidelines xmlns="690b2128-8961-48af-a473-22c34a9accba">
      <Value>17362</Value>
      <Value>17513</Value>
      <Value>17468</Value>
      <Value>17628</Value>
      <Value>17692</Value>
      <Value>17733</Value>
      <Value>17469</Value>
      <Value>16515</Value>
      <Value>16035</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Coroners Act 1997 (Territory)</TermName>
          <TermId xmlns="http://schemas.microsoft.com/office/infopath/2007/PartnerControls">1553e02c-d66a-4c00-87f4-08d1fbdf545b</TermId>
        </TermInfo>
        <TermInfo xmlns="http://schemas.microsoft.com/office/infopath/2007/PartnerControls">
          <TermName xmlns="http://schemas.microsoft.com/office/infopath/2007/PartnerControls">Transplantation and Anatomy Act 1978 (Territory)</TermName>
          <TermId xmlns="http://schemas.microsoft.com/office/infopath/2007/PartnerControls">bd6561f5-99e4-4884-a486-da27dbad38e7</TermId>
        </TermInfo>
      </Terms>
    </k0794e393e1f41c2810d090eedba34a0>
    <New_x0020_Owner xmlns="690b2128-8961-48af-a473-22c34a9accba">CHS ED Medical Services – Donate Life</New_x0020_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08F479F7-317B-462B-AD66-D0950C922A81}">
  <ds:schemaRefs>
    <ds:schemaRef ds:uri="http://www.w3.org/XML/1998/namespace"/>
    <ds:schemaRef ds:uri="http://schemas.microsoft.com/office/2006/documentManagement/types"/>
    <ds:schemaRef ds:uri="http://schemas.microsoft.com/office/2006/metadata/properties"/>
    <ds:schemaRef ds:uri="c0239a80-7f07-4ed7-82c3-24ad7d76ada5"/>
    <ds:schemaRef ds:uri="http://schemas.openxmlformats.org/package/2006/metadata/core-properties"/>
    <ds:schemaRef ds:uri="http://purl.org/dc/terms/"/>
    <ds:schemaRef ds:uri="690b2128-8961-48af-a473-22c34a9accba"/>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229A1511-E597-4B21-83AF-A78C8F33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5274</Words>
  <Characters>30065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35269</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and Tissue Donation</dc:title>
  <dc:creator>Thomas, Raichel (Health)</dc:creator>
  <cp:lastModifiedBy>Rusanov, Zoia</cp:lastModifiedBy>
  <cp:revision>11</cp:revision>
  <cp:lastPrinted>2017-05-22T07:29:00Z</cp:lastPrinted>
  <dcterms:created xsi:type="dcterms:W3CDTF">2025-04-16T00:42:00Z</dcterms:created>
  <dcterms:modified xsi:type="dcterms:W3CDTF">2025-10-27T03:28:00Z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(Territory)|ff017976-c7e7-4dc1-b890-63352415bc5e;#460;#Coroners Act 1997 (Territory)|1553e02c-d66a-4c00-87f4-08d1fbdf545b;#499;#Transplantation and Anatomy Act 1978 (Territory)|bd6561f5-99e4-4884-a486-da27dbad38e7</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(Territory)|ff017976-c7e7-4dc1-b890-63352415bc5e;#460;#Coroners Act 1997 (Territory)|1553e02c-d66a-4c00-87f4-08d1fbdf545b;#499;#Transplantation and Anatomy Act 1978 (Territory)|bd6561f5-99e4-4884-a486-da27dbad38e7</vt:lpwstr>
  </property>
</Properties>
</file>