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7F0D36D0" w:rsidR="00EF02B0" w:rsidRPr="00EF02B0" w:rsidRDefault="00EF02B0" w:rsidP="00D4155A">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38FCB2C8" w:rsidR="00EF02B0" w:rsidRPr="00931B93" w:rsidRDefault="00EF02B0" w:rsidP="00D4155A">
      <w:pPr>
        <w:rPr>
          <w:rFonts w:cs="Arial"/>
          <w:b/>
          <w:i/>
          <w:sz w:val="28"/>
          <w:szCs w:val="44"/>
        </w:rPr>
      </w:pPr>
      <w:r w:rsidRPr="00EF02B0">
        <w:rPr>
          <w:rFonts w:cs="Arial"/>
          <w:b/>
          <w:sz w:val="44"/>
          <w:szCs w:val="44"/>
        </w:rPr>
        <w:t>Procedure</w:t>
      </w:r>
      <w:r w:rsidR="00931B93">
        <w:rPr>
          <w:rFonts w:cs="Arial"/>
          <w:b/>
          <w:sz w:val="44"/>
          <w:szCs w:val="44"/>
        </w:rPr>
        <w:t xml:space="preserve"> </w:t>
      </w:r>
    </w:p>
    <w:p w14:paraId="5ABF0C0A" w14:textId="674059BC" w:rsidR="00DD53FD" w:rsidRPr="00D4155A" w:rsidRDefault="00DD53FD" w:rsidP="00D4155A">
      <w:pPr>
        <w:pStyle w:val="Title"/>
        <w:pBdr>
          <w:bottom w:val="none" w:sz="0" w:space="0" w:color="auto"/>
        </w:pBdr>
        <w:spacing w:after="0" w:line="240" w:lineRule="auto"/>
        <w:rPr>
          <w:b/>
          <w:color w:val="auto"/>
          <w:sz w:val="36"/>
          <w:szCs w:val="36"/>
        </w:rPr>
      </w:pPr>
      <w:r w:rsidRPr="00D4155A">
        <w:rPr>
          <w:b/>
          <w:color w:val="auto"/>
          <w:sz w:val="36"/>
          <w:szCs w:val="36"/>
        </w:rPr>
        <w:t>Anti</w:t>
      </w:r>
      <w:r w:rsidR="00B625B6" w:rsidRPr="00D4155A">
        <w:rPr>
          <w:b/>
          <w:color w:val="auto"/>
          <w:sz w:val="36"/>
          <w:szCs w:val="36"/>
        </w:rPr>
        <w:t>microbial</w:t>
      </w:r>
      <w:r w:rsidRPr="00D4155A">
        <w:rPr>
          <w:b/>
          <w:color w:val="auto"/>
          <w:sz w:val="36"/>
          <w:szCs w:val="36"/>
        </w:rPr>
        <w:t xml:space="preserve"> Choice and Administration for Adult Hospital in the Home (HITH) Patients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12678499"/>
            <w:r w:rsidRPr="00CD1C0E">
              <w:t>Contents</w:t>
            </w:r>
            <w:bookmarkEnd w:id="5"/>
            <w:bookmarkEnd w:id="6"/>
            <w:bookmarkEnd w:id="7"/>
          </w:p>
        </w:tc>
      </w:tr>
    </w:tbl>
    <w:p w14:paraId="2F51A853" w14:textId="77777777" w:rsidR="007B6904" w:rsidRDefault="007B6904" w:rsidP="007B6904"/>
    <w:p w14:paraId="4565DC2D" w14:textId="19C8DBF6" w:rsidR="00DD2505" w:rsidRDefault="0042482C">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112678499" w:history="1">
        <w:r w:rsidR="00DD2505" w:rsidRPr="006D5B53">
          <w:rPr>
            <w:rStyle w:val="Hyperlink"/>
            <w:noProof/>
          </w:rPr>
          <w:t>Contents</w:t>
        </w:r>
        <w:r w:rsidR="00DD2505">
          <w:rPr>
            <w:noProof/>
            <w:webHidden/>
          </w:rPr>
          <w:tab/>
        </w:r>
        <w:r w:rsidR="00DD2505">
          <w:rPr>
            <w:noProof/>
            <w:webHidden/>
          </w:rPr>
          <w:fldChar w:fldCharType="begin"/>
        </w:r>
        <w:r w:rsidR="00DD2505">
          <w:rPr>
            <w:noProof/>
            <w:webHidden/>
          </w:rPr>
          <w:instrText xml:space="preserve"> PAGEREF _Toc112678499 \h </w:instrText>
        </w:r>
        <w:r w:rsidR="00DD2505">
          <w:rPr>
            <w:noProof/>
            <w:webHidden/>
          </w:rPr>
        </w:r>
        <w:r w:rsidR="00DD2505">
          <w:rPr>
            <w:noProof/>
            <w:webHidden/>
          </w:rPr>
          <w:fldChar w:fldCharType="separate"/>
        </w:r>
        <w:r w:rsidR="00DD2505">
          <w:rPr>
            <w:noProof/>
            <w:webHidden/>
          </w:rPr>
          <w:t>1</w:t>
        </w:r>
        <w:r w:rsidR="00DD2505">
          <w:rPr>
            <w:noProof/>
            <w:webHidden/>
          </w:rPr>
          <w:fldChar w:fldCharType="end"/>
        </w:r>
      </w:hyperlink>
    </w:p>
    <w:p w14:paraId="6FBC8828" w14:textId="3ACB8050" w:rsidR="00DD2505" w:rsidRDefault="00000000">
      <w:pPr>
        <w:pStyle w:val="TOC1"/>
        <w:tabs>
          <w:tab w:val="right" w:leader="dot" w:pos="9060"/>
        </w:tabs>
        <w:rPr>
          <w:rFonts w:eastAsiaTheme="minorEastAsia" w:cstheme="minorBidi"/>
          <w:noProof/>
          <w:sz w:val="22"/>
          <w:szCs w:val="22"/>
          <w:lang w:eastAsia="en-AU"/>
        </w:rPr>
      </w:pPr>
      <w:hyperlink w:anchor="_Toc112678500" w:history="1">
        <w:r w:rsidR="00DD2505" w:rsidRPr="006D5B53">
          <w:rPr>
            <w:rStyle w:val="Hyperlink"/>
            <w:noProof/>
          </w:rPr>
          <w:t>Purpose</w:t>
        </w:r>
        <w:r w:rsidR="00DD2505">
          <w:rPr>
            <w:noProof/>
            <w:webHidden/>
          </w:rPr>
          <w:tab/>
        </w:r>
        <w:r w:rsidR="00DD2505">
          <w:rPr>
            <w:noProof/>
            <w:webHidden/>
          </w:rPr>
          <w:fldChar w:fldCharType="begin"/>
        </w:r>
        <w:r w:rsidR="00DD2505">
          <w:rPr>
            <w:noProof/>
            <w:webHidden/>
          </w:rPr>
          <w:instrText xml:space="preserve"> PAGEREF _Toc112678500 \h </w:instrText>
        </w:r>
        <w:r w:rsidR="00DD2505">
          <w:rPr>
            <w:noProof/>
            <w:webHidden/>
          </w:rPr>
        </w:r>
        <w:r w:rsidR="00DD2505">
          <w:rPr>
            <w:noProof/>
            <w:webHidden/>
          </w:rPr>
          <w:fldChar w:fldCharType="separate"/>
        </w:r>
        <w:r w:rsidR="00DD2505">
          <w:rPr>
            <w:noProof/>
            <w:webHidden/>
          </w:rPr>
          <w:t>2</w:t>
        </w:r>
        <w:r w:rsidR="00DD2505">
          <w:rPr>
            <w:noProof/>
            <w:webHidden/>
          </w:rPr>
          <w:fldChar w:fldCharType="end"/>
        </w:r>
      </w:hyperlink>
    </w:p>
    <w:p w14:paraId="2EC05042" w14:textId="71232A0F" w:rsidR="00DD2505" w:rsidRDefault="00000000">
      <w:pPr>
        <w:pStyle w:val="TOC1"/>
        <w:tabs>
          <w:tab w:val="right" w:leader="dot" w:pos="9060"/>
        </w:tabs>
        <w:rPr>
          <w:rFonts w:eastAsiaTheme="minorEastAsia" w:cstheme="minorBidi"/>
          <w:noProof/>
          <w:sz w:val="22"/>
          <w:szCs w:val="22"/>
          <w:lang w:eastAsia="en-AU"/>
        </w:rPr>
      </w:pPr>
      <w:hyperlink w:anchor="_Toc112678501" w:history="1">
        <w:r w:rsidR="00DD2505" w:rsidRPr="006D5B53">
          <w:rPr>
            <w:rStyle w:val="Hyperlink"/>
            <w:noProof/>
          </w:rPr>
          <w:t>Alerts</w:t>
        </w:r>
        <w:r w:rsidR="00DD2505">
          <w:rPr>
            <w:noProof/>
            <w:webHidden/>
          </w:rPr>
          <w:tab/>
        </w:r>
        <w:r w:rsidR="00DD2505">
          <w:rPr>
            <w:noProof/>
            <w:webHidden/>
          </w:rPr>
          <w:fldChar w:fldCharType="begin"/>
        </w:r>
        <w:r w:rsidR="00DD2505">
          <w:rPr>
            <w:noProof/>
            <w:webHidden/>
          </w:rPr>
          <w:instrText xml:space="preserve"> PAGEREF _Toc112678501 \h </w:instrText>
        </w:r>
        <w:r w:rsidR="00DD2505">
          <w:rPr>
            <w:noProof/>
            <w:webHidden/>
          </w:rPr>
        </w:r>
        <w:r w:rsidR="00DD2505">
          <w:rPr>
            <w:noProof/>
            <w:webHidden/>
          </w:rPr>
          <w:fldChar w:fldCharType="separate"/>
        </w:r>
        <w:r w:rsidR="00DD2505">
          <w:rPr>
            <w:noProof/>
            <w:webHidden/>
          </w:rPr>
          <w:t>2</w:t>
        </w:r>
        <w:r w:rsidR="00DD2505">
          <w:rPr>
            <w:noProof/>
            <w:webHidden/>
          </w:rPr>
          <w:fldChar w:fldCharType="end"/>
        </w:r>
      </w:hyperlink>
    </w:p>
    <w:p w14:paraId="22D3B2D8" w14:textId="3A18ADAD" w:rsidR="00DD2505" w:rsidRDefault="00000000">
      <w:pPr>
        <w:pStyle w:val="TOC1"/>
        <w:tabs>
          <w:tab w:val="right" w:leader="dot" w:pos="9060"/>
        </w:tabs>
        <w:rPr>
          <w:rFonts w:eastAsiaTheme="minorEastAsia" w:cstheme="minorBidi"/>
          <w:noProof/>
          <w:sz w:val="22"/>
          <w:szCs w:val="22"/>
          <w:lang w:eastAsia="en-AU"/>
        </w:rPr>
      </w:pPr>
      <w:hyperlink w:anchor="_Toc112678502" w:history="1">
        <w:r w:rsidR="00DD2505" w:rsidRPr="006D5B53">
          <w:rPr>
            <w:rStyle w:val="Hyperlink"/>
            <w:noProof/>
          </w:rPr>
          <w:t>Scope</w:t>
        </w:r>
        <w:r w:rsidR="00DD2505">
          <w:rPr>
            <w:noProof/>
            <w:webHidden/>
          </w:rPr>
          <w:tab/>
        </w:r>
        <w:r w:rsidR="00DD2505">
          <w:rPr>
            <w:noProof/>
            <w:webHidden/>
          </w:rPr>
          <w:fldChar w:fldCharType="begin"/>
        </w:r>
        <w:r w:rsidR="00DD2505">
          <w:rPr>
            <w:noProof/>
            <w:webHidden/>
          </w:rPr>
          <w:instrText xml:space="preserve"> PAGEREF _Toc112678502 \h </w:instrText>
        </w:r>
        <w:r w:rsidR="00DD2505">
          <w:rPr>
            <w:noProof/>
            <w:webHidden/>
          </w:rPr>
        </w:r>
        <w:r w:rsidR="00DD2505">
          <w:rPr>
            <w:noProof/>
            <w:webHidden/>
          </w:rPr>
          <w:fldChar w:fldCharType="separate"/>
        </w:r>
        <w:r w:rsidR="00DD2505">
          <w:rPr>
            <w:noProof/>
            <w:webHidden/>
          </w:rPr>
          <w:t>2</w:t>
        </w:r>
        <w:r w:rsidR="00DD2505">
          <w:rPr>
            <w:noProof/>
            <w:webHidden/>
          </w:rPr>
          <w:fldChar w:fldCharType="end"/>
        </w:r>
      </w:hyperlink>
    </w:p>
    <w:p w14:paraId="2E80CB28" w14:textId="79B0861A" w:rsidR="00DD2505" w:rsidRDefault="00000000">
      <w:pPr>
        <w:pStyle w:val="TOC1"/>
        <w:tabs>
          <w:tab w:val="right" w:leader="dot" w:pos="9060"/>
        </w:tabs>
        <w:rPr>
          <w:rFonts w:eastAsiaTheme="minorEastAsia" w:cstheme="minorBidi"/>
          <w:noProof/>
          <w:sz w:val="22"/>
          <w:szCs w:val="22"/>
          <w:lang w:eastAsia="en-AU"/>
        </w:rPr>
      </w:pPr>
      <w:hyperlink w:anchor="_Toc112678503" w:history="1">
        <w:r w:rsidR="00DD2505" w:rsidRPr="006D5B53">
          <w:rPr>
            <w:rStyle w:val="Hyperlink"/>
            <w:noProof/>
          </w:rPr>
          <w:t>Section 1 – Background Information</w:t>
        </w:r>
        <w:r w:rsidR="00DD2505">
          <w:rPr>
            <w:noProof/>
            <w:webHidden/>
          </w:rPr>
          <w:tab/>
        </w:r>
        <w:r w:rsidR="00DD2505">
          <w:rPr>
            <w:noProof/>
            <w:webHidden/>
          </w:rPr>
          <w:fldChar w:fldCharType="begin"/>
        </w:r>
        <w:r w:rsidR="00DD2505">
          <w:rPr>
            <w:noProof/>
            <w:webHidden/>
          </w:rPr>
          <w:instrText xml:space="preserve"> PAGEREF _Toc112678503 \h </w:instrText>
        </w:r>
        <w:r w:rsidR="00DD2505">
          <w:rPr>
            <w:noProof/>
            <w:webHidden/>
          </w:rPr>
        </w:r>
        <w:r w:rsidR="00DD2505">
          <w:rPr>
            <w:noProof/>
            <w:webHidden/>
          </w:rPr>
          <w:fldChar w:fldCharType="separate"/>
        </w:r>
        <w:r w:rsidR="00DD2505">
          <w:rPr>
            <w:noProof/>
            <w:webHidden/>
          </w:rPr>
          <w:t>3</w:t>
        </w:r>
        <w:r w:rsidR="00DD2505">
          <w:rPr>
            <w:noProof/>
            <w:webHidden/>
          </w:rPr>
          <w:fldChar w:fldCharType="end"/>
        </w:r>
      </w:hyperlink>
    </w:p>
    <w:p w14:paraId="1DFE8A56" w14:textId="10F504EC" w:rsidR="00DD2505" w:rsidRDefault="00000000">
      <w:pPr>
        <w:pStyle w:val="TOC2"/>
        <w:tabs>
          <w:tab w:val="right" w:leader="dot" w:pos="9060"/>
        </w:tabs>
        <w:rPr>
          <w:rFonts w:eastAsiaTheme="minorEastAsia" w:cstheme="minorBidi"/>
          <w:noProof/>
          <w:sz w:val="22"/>
          <w:szCs w:val="22"/>
          <w:lang w:eastAsia="en-AU"/>
        </w:rPr>
      </w:pPr>
      <w:hyperlink w:anchor="_Toc112678504" w:history="1">
        <w:r w:rsidR="00DD2505" w:rsidRPr="006D5B53">
          <w:rPr>
            <w:rStyle w:val="Hyperlink"/>
            <w:noProof/>
          </w:rPr>
          <w:t>1. Initial Antimicrobial Choice</w:t>
        </w:r>
        <w:r w:rsidR="00DD2505">
          <w:rPr>
            <w:noProof/>
            <w:webHidden/>
          </w:rPr>
          <w:tab/>
        </w:r>
        <w:r w:rsidR="00DD2505">
          <w:rPr>
            <w:noProof/>
            <w:webHidden/>
          </w:rPr>
          <w:fldChar w:fldCharType="begin"/>
        </w:r>
        <w:r w:rsidR="00DD2505">
          <w:rPr>
            <w:noProof/>
            <w:webHidden/>
          </w:rPr>
          <w:instrText xml:space="preserve"> PAGEREF _Toc112678504 \h </w:instrText>
        </w:r>
        <w:r w:rsidR="00DD2505">
          <w:rPr>
            <w:noProof/>
            <w:webHidden/>
          </w:rPr>
        </w:r>
        <w:r w:rsidR="00DD2505">
          <w:rPr>
            <w:noProof/>
            <w:webHidden/>
          </w:rPr>
          <w:fldChar w:fldCharType="separate"/>
        </w:r>
        <w:r w:rsidR="00DD2505">
          <w:rPr>
            <w:noProof/>
            <w:webHidden/>
          </w:rPr>
          <w:t>3</w:t>
        </w:r>
        <w:r w:rsidR="00DD2505">
          <w:rPr>
            <w:noProof/>
            <w:webHidden/>
          </w:rPr>
          <w:fldChar w:fldCharType="end"/>
        </w:r>
      </w:hyperlink>
    </w:p>
    <w:p w14:paraId="490DBFB0" w14:textId="5DD89A3C" w:rsidR="00DD2505" w:rsidRDefault="00000000">
      <w:pPr>
        <w:pStyle w:val="TOC2"/>
        <w:tabs>
          <w:tab w:val="right" w:leader="dot" w:pos="9060"/>
        </w:tabs>
        <w:rPr>
          <w:rFonts w:eastAsiaTheme="minorEastAsia" w:cstheme="minorBidi"/>
          <w:noProof/>
          <w:sz w:val="22"/>
          <w:szCs w:val="22"/>
          <w:lang w:eastAsia="en-AU"/>
        </w:rPr>
      </w:pPr>
      <w:hyperlink w:anchor="_Toc112678505" w:history="1">
        <w:r w:rsidR="00DD2505" w:rsidRPr="006D5B53">
          <w:rPr>
            <w:rStyle w:val="Hyperlink"/>
            <w:noProof/>
            <w:lang w:eastAsia="en-AU"/>
          </w:rPr>
          <w:t>2. Specific HITH Antimicrobial Suitability</w:t>
        </w:r>
        <w:r w:rsidR="00DD2505">
          <w:rPr>
            <w:noProof/>
            <w:webHidden/>
          </w:rPr>
          <w:tab/>
        </w:r>
        <w:r w:rsidR="00DD2505">
          <w:rPr>
            <w:noProof/>
            <w:webHidden/>
          </w:rPr>
          <w:fldChar w:fldCharType="begin"/>
        </w:r>
        <w:r w:rsidR="00DD2505">
          <w:rPr>
            <w:noProof/>
            <w:webHidden/>
          </w:rPr>
          <w:instrText xml:space="preserve"> PAGEREF _Toc112678505 \h </w:instrText>
        </w:r>
        <w:r w:rsidR="00DD2505">
          <w:rPr>
            <w:noProof/>
            <w:webHidden/>
          </w:rPr>
        </w:r>
        <w:r w:rsidR="00DD2505">
          <w:rPr>
            <w:noProof/>
            <w:webHidden/>
          </w:rPr>
          <w:fldChar w:fldCharType="separate"/>
        </w:r>
        <w:r w:rsidR="00DD2505">
          <w:rPr>
            <w:noProof/>
            <w:webHidden/>
          </w:rPr>
          <w:t>4</w:t>
        </w:r>
        <w:r w:rsidR="00DD2505">
          <w:rPr>
            <w:noProof/>
            <w:webHidden/>
          </w:rPr>
          <w:fldChar w:fldCharType="end"/>
        </w:r>
      </w:hyperlink>
    </w:p>
    <w:p w14:paraId="2F7F907D" w14:textId="1D2B214C" w:rsidR="00DD2505" w:rsidRDefault="00000000">
      <w:pPr>
        <w:pStyle w:val="TOC2"/>
        <w:tabs>
          <w:tab w:val="right" w:leader="dot" w:pos="9060"/>
        </w:tabs>
        <w:rPr>
          <w:rFonts w:eastAsiaTheme="minorEastAsia" w:cstheme="minorBidi"/>
          <w:noProof/>
          <w:sz w:val="22"/>
          <w:szCs w:val="22"/>
          <w:lang w:eastAsia="en-AU"/>
        </w:rPr>
      </w:pPr>
      <w:hyperlink w:anchor="_Toc112678506" w:history="1">
        <w:r w:rsidR="00DD2505" w:rsidRPr="006D5B53">
          <w:rPr>
            <w:rStyle w:val="Hyperlink"/>
            <w:noProof/>
            <w:lang w:eastAsia="en-AU"/>
          </w:rPr>
          <w:t>3. Administration Frequency</w:t>
        </w:r>
        <w:r w:rsidR="00DD2505">
          <w:rPr>
            <w:noProof/>
            <w:webHidden/>
          </w:rPr>
          <w:tab/>
        </w:r>
        <w:r w:rsidR="00DD2505">
          <w:rPr>
            <w:noProof/>
            <w:webHidden/>
          </w:rPr>
          <w:fldChar w:fldCharType="begin"/>
        </w:r>
        <w:r w:rsidR="00DD2505">
          <w:rPr>
            <w:noProof/>
            <w:webHidden/>
          </w:rPr>
          <w:instrText xml:space="preserve"> PAGEREF _Toc112678506 \h </w:instrText>
        </w:r>
        <w:r w:rsidR="00DD2505">
          <w:rPr>
            <w:noProof/>
            <w:webHidden/>
          </w:rPr>
        </w:r>
        <w:r w:rsidR="00DD2505">
          <w:rPr>
            <w:noProof/>
            <w:webHidden/>
          </w:rPr>
          <w:fldChar w:fldCharType="separate"/>
        </w:r>
        <w:r w:rsidR="00DD2505">
          <w:rPr>
            <w:noProof/>
            <w:webHidden/>
          </w:rPr>
          <w:t>4</w:t>
        </w:r>
        <w:r w:rsidR="00DD2505">
          <w:rPr>
            <w:noProof/>
            <w:webHidden/>
          </w:rPr>
          <w:fldChar w:fldCharType="end"/>
        </w:r>
      </w:hyperlink>
    </w:p>
    <w:p w14:paraId="4BD6E52D" w14:textId="1755D434" w:rsidR="00DD2505" w:rsidRDefault="00000000">
      <w:pPr>
        <w:pStyle w:val="TOC2"/>
        <w:tabs>
          <w:tab w:val="right" w:leader="dot" w:pos="9060"/>
        </w:tabs>
        <w:rPr>
          <w:rFonts w:eastAsiaTheme="minorEastAsia" w:cstheme="minorBidi"/>
          <w:noProof/>
          <w:sz w:val="22"/>
          <w:szCs w:val="22"/>
          <w:lang w:eastAsia="en-AU"/>
        </w:rPr>
      </w:pPr>
      <w:hyperlink w:anchor="_Toc112678507" w:history="1">
        <w:r w:rsidR="00DD2505" w:rsidRPr="006D5B53">
          <w:rPr>
            <w:rStyle w:val="Hyperlink"/>
            <w:noProof/>
            <w:lang w:eastAsia="en-AU"/>
          </w:rPr>
          <w:t>4. Antimicrobial Approvals</w:t>
        </w:r>
        <w:r w:rsidR="00DD2505">
          <w:rPr>
            <w:noProof/>
            <w:webHidden/>
          </w:rPr>
          <w:tab/>
        </w:r>
        <w:r w:rsidR="00DD2505">
          <w:rPr>
            <w:noProof/>
            <w:webHidden/>
          </w:rPr>
          <w:fldChar w:fldCharType="begin"/>
        </w:r>
        <w:r w:rsidR="00DD2505">
          <w:rPr>
            <w:noProof/>
            <w:webHidden/>
          </w:rPr>
          <w:instrText xml:space="preserve"> PAGEREF _Toc112678507 \h </w:instrText>
        </w:r>
        <w:r w:rsidR="00DD2505">
          <w:rPr>
            <w:noProof/>
            <w:webHidden/>
          </w:rPr>
        </w:r>
        <w:r w:rsidR="00DD2505">
          <w:rPr>
            <w:noProof/>
            <w:webHidden/>
          </w:rPr>
          <w:fldChar w:fldCharType="separate"/>
        </w:r>
        <w:r w:rsidR="00DD2505">
          <w:rPr>
            <w:noProof/>
            <w:webHidden/>
          </w:rPr>
          <w:t>5</w:t>
        </w:r>
        <w:r w:rsidR="00DD2505">
          <w:rPr>
            <w:noProof/>
            <w:webHidden/>
          </w:rPr>
          <w:fldChar w:fldCharType="end"/>
        </w:r>
      </w:hyperlink>
    </w:p>
    <w:p w14:paraId="0E22BA0E" w14:textId="715C7384" w:rsidR="00DD2505" w:rsidRDefault="00000000">
      <w:pPr>
        <w:pStyle w:val="TOC2"/>
        <w:tabs>
          <w:tab w:val="right" w:leader="dot" w:pos="9060"/>
        </w:tabs>
        <w:rPr>
          <w:rFonts w:eastAsiaTheme="minorEastAsia" w:cstheme="minorBidi"/>
          <w:noProof/>
          <w:sz w:val="22"/>
          <w:szCs w:val="22"/>
          <w:lang w:eastAsia="en-AU"/>
        </w:rPr>
      </w:pPr>
      <w:hyperlink w:anchor="_Toc112678508" w:history="1">
        <w:r w:rsidR="00DD2505" w:rsidRPr="006D5B53">
          <w:rPr>
            <w:rStyle w:val="Hyperlink"/>
            <w:noProof/>
            <w:lang w:val="en" w:eastAsia="en-AU"/>
          </w:rPr>
          <w:t>5. Patient Review</w:t>
        </w:r>
        <w:r w:rsidR="00DD2505">
          <w:rPr>
            <w:noProof/>
            <w:webHidden/>
          </w:rPr>
          <w:tab/>
        </w:r>
        <w:r w:rsidR="00DD2505">
          <w:rPr>
            <w:noProof/>
            <w:webHidden/>
          </w:rPr>
          <w:fldChar w:fldCharType="begin"/>
        </w:r>
        <w:r w:rsidR="00DD2505">
          <w:rPr>
            <w:noProof/>
            <w:webHidden/>
          </w:rPr>
          <w:instrText xml:space="preserve"> PAGEREF _Toc112678508 \h </w:instrText>
        </w:r>
        <w:r w:rsidR="00DD2505">
          <w:rPr>
            <w:noProof/>
            <w:webHidden/>
          </w:rPr>
        </w:r>
        <w:r w:rsidR="00DD2505">
          <w:rPr>
            <w:noProof/>
            <w:webHidden/>
          </w:rPr>
          <w:fldChar w:fldCharType="separate"/>
        </w:r>
        <w:r w:rsidR="00DD2505">
          <w:rPr>
            <w:noProof/>
            <w:webHidden/>
          </w:rPr>
          <w:t>5</w:t>
        </w:r>
        <w:r w:rsidR="00DD2505">
          <w:rPr>
            <w:noProof/>
            <w:webHidden/>
          </w:rPr>
          <w:fldChar w:fldCharType="end"/>
        </w:r>
      </w:hyperlink>
    </w:p>
    <w:p w14:paraId="6548623B" w14:textId="4711D04E" w:rsidR="00DD2505" w:rsidRDefault="00000000">
      <w:pPr>
        <w:pStyle w:val="TOC1"/>
        <w:tabs>
          <w:tab w:val="right" w:leader="dot" w:pos="9060"/>
        </w:tabs>
        <w:rPr>
          <w:rFonts w:eastAsiaTheme="minorEastAsia" w:cstheme="minorBidi"/>
          <w:noProof/>
          <w:sz w:val="22"/>
          <w:szCs w:val="22"/>
          <w:lang w:eastAsia="en-AU"/>
        </w:rPr>
      </w:pPr>
      <w:hyperlink w:anchor="_Toc112678509" w:history="1">
        <w:r w:rsidR="00DD2505" w:rsidRPr="006D5B53">
          <w:rPr>
            <w:rStyle w:val="Hyperlink"/>
            <w:noProof/>
          </w:rPr>
          <w:t>Section 2 – HITH Antimicrobial Recommendations</w:t>
        </w:r>
        <w:r w:rsidR="00DD2505">
          <w:rPr>
            <w:noProof/>
            <w:webHidden/>
          </w:rPr>
          <w:tab/>
        </w:r>
        <w:r w:rsidR="00DD2505">
          <w:rPr>
            <w:noProof/>
            <w:webHidden/>
          </w:rPr>
          <w:fldChar w:fldCharType="begin"/>
        </w:r>
        <w:r w:rsidR="00DD2505">
          <w:rPr>
            <w:noProof/>
            <w:webHidden/>
          </w:rPr>
          <w:instrText xml:space="preserve"> PAGEREF _Toc112678509 \h </w:instrText>
        </w:r>
        <w:r w:rsidR="00DD2505">
          <w:rPr>
            <w:noProof/>
            <w:webHidden/>
          </w:rPr>
        </w:r>
        <w:r w:rsidR="00DD2505">
          <w:rPr>
            <w:noProof/>
            <w:webHidden/>
          </w:rPr>
          <w:fldChar w:fldCharType="separate"/>
        </w:r>
        <w:r w:rsidR="00DD2505">
          <w:rPr>
            <w:noProof/>
            <w:webHidden/>
          </w:rPr>
          <w:t>6</w:t>
        </w:r>
        <w:r w:rsidR="00DD2505">
          <w:rPr>
            <w:noProof/>
            <w:webHidden/>
          </w:rPr>
          <w:fldChar w:fldCharType="end"/>
        </w:r>
      </w:hyperlink>
    </w:p>
    <w:p w14:paraId="24ED65A6" w14:textId="17B56E75" w:rsidR="00DD2505" w:rsidRDefault="00000000">
      <w:pPr>
        <w:pStyle w:val="TOC1"/>
        <w:tabs>
          <w:tab w:val="right" w:leader="dot" w:pos="9060"/>
        </w:tabs>
        <w:rPr>
          <w:rFonts w:eastAsiaTheme="minorEastAsia" w:cstheme="minorBidi"/>
          <w:noProof/>
          <w:sz w:val="22"/>
          <w:szCs w:val="22"/>
          <w:lang w:eastAsia="en-AU"/>
        </w:rPr>
      </w:pPr>
      <w:hyperlink w:anchor="_Toc112678510" w:history="1">
        <w:r w:rsidR="00DD2505" w:rsidRPr="006D5B53">
          <w:rPr>
            <w:rStyle w:val="Hyperlink"/>
            <w:noProof/>
          </w:rPr>
          <w:t>Section 3 – How to Administer IV Antimicrobials Commonly Prescribed in HITH</w:t>
        </w:r>
        <w:r w:rsidR="00DD2505">
          <w:rPr>
            <w:noProof/>
            <w:webHidden/>
          </w:rPr>
          <w:tab/>
        </w:r>
        <w:r w:rsidR="00DD2505">
          <w:rPr>
            <w:noProof/>
            <w:webHidden/>
          </w:rPr>
          <w:fldChar w:fldCharType="begin"/>
        </w:r>
        <w:r w:rsidR="00DD2505">
          <w:rPr>
            <w:noProof/>
            <w:webHidden/>
          </w:rPr>
          <w:instrText xml:space="preserve"> PAGEREF _Toc112678510 \h </w:instrText>
        </w:r>
        <w:r w:rsidR="00DD2505">
          <w:rPr>
            <w:noProof/>
            <w:webHidden/>
          </w:rPr>
        </w:r>
        <w:r w:rsidR="00DD2505">
          <w:rPr>
            <w:noProof/>
            <w:webHidden/>
          </w:rPr>
          <w:fldChar w:fldCharType="separate"/>
        </w:r>
        <w:r w:rsidR="00DD2505">
          <w:rPr>
            <w:noProof/>
            <w:webHidden/>
          </w:rPr>
          <w:t>8</w:t>
        </w:r>
        <w:r w:rsidR="00DD2505">
          <w:rPr>
            <w:noProof/>
            <w:webHidden/>
          </w:rPr>
          <w:fldChar w:fldCharType="end"/>
        </w:r>
      </w:hyperlink>
    </w:p>
    <w:p w14:paraId="42616094" w14:textId="41A3D1D0" w:rsidR="00DD2505" w:rsidRDefault="00000000">
      <w:pPr>
        <w:pStyle w:val="TOC1"/>
        <w:tabs>
          <w:tab w:val="right" w:leader="dot" w:pos="9060"/>
        </w:tabs>
        <w:rPr>
          <w:rFonts w:eastAsiaTheme="minorEastAsia" w:cstheme="minorBidi"/>
          <w:noProof/>
          <w:sz w:val="22"/>
          <w:szCs w:val="22"/>
          <w:lang w:eastAsia="en-AU"/>
        </w:rPr>
      </w:pPr>
      <w:hyperlink w:anchor="_Toc112678511" w:history="1">
        <w:r w:rsidR="00DD2505" w:rsidRPr="006D5B53">
          <w:rPr>
            <w:rStyle w:val="Hyperlink"/>
            <w:noProof/>
          </w:rPr>
          <w:t>Evaluation</w:t>
        </w:r>
        <w:r w:rsidR="00DD2505">
          <w:rPr>
            <w:noProof/>
            <w:webHidden/>
          </w:rPr>
          <w:tab/>
        </w:r>
        <w:r w:rsidR="00DD2505">
          <w:rPr>
            <w:noProof/>
            <w:webHidden/>
          </w:rPr>
          <w:fldChar w:fldCharType="begin"/>
        </w:r>
        <w:r w:rsidR="00DD2505">
          <w:rPr>
            <w:noProof/>
            <w:webHidden/>
          </w:rPr>
          <w:instrText xml:space="preserve"> PAGEREF _Toc112678511 \h </w:instrText>
        </w:r>
        <w:r w:rsidR="00DD2505">
          <w:rPr>
            <w:noProof/>
            <w:webHidden/>
          </w:rPr>
        </w:r>
        <w:r w:rsidR="00DD2505">
          <w:rPr>
            <w:noProof/>
            <w:webHidden/>
          </w:rPr>
          <w:fldChar w:fldCharType="separate"/>
        </w:r>
        <w:r w:rsidR="00DD2505">
          <w:rPr>
            <w:noProof/>
            <w:webHidden/>
          </w:rPr>
          <w:t>10</w:t>
        </w:r>
        <w:r w:rsidR="00DD2505">
          <w:rPr>
            <w:noProof/>
            <w:webHidden/>
          </w:rPr>
          <w:fldChar w:fldCharType="end"/>
        </w:r>
      </w:hyperlink>
    </w:p>
    <w:p w14:paraId="2CC2EE5A" w14:textId="7B04AE90" w:rsidR="00DD2505" w:rsidRDefault="00000000">
      <w:pPr>
        <w:pStyle w:val="TOC1"/>
        <w:tabs>
          <w:tab w:val="right" w:leader="dot" w:pos="9060"/>
        </w:tabs>
        <w:rPr>
          <w:rFonts w:eastAsiaTheme="minorEastAsia" w:cstheme="minorBidi"/>
          <w:noProof/>
          <w:sz w:val="22"/>
          <w:szCs w:val="22"/>
          <w:lang w:eastAsia="en-AU"/>
        </w:rPr>
      </w:pPr>
      <w:hyperlink w:anchor="_Toc112678512" w:history="1">
        <w:r w:rsidR="00DD2505" w:rsidRPr="006D5B53">
          <w:rPr>
            <w:rStyle w:val="Hyperlink"/>
            <w:noProof/>
          </w:rPr>
          <w:t>Related Policies, Procedures, Guidelines and Legislation</w:t>
        </w:r>
        <w:r w:rsidR="00DD2505">
          <w:rPr>
            <w:noProof/>
            <w:webHidden/>
          </w:rPr>
          <w:tab/>
        </w:r>
        <w:r w:rsidR="00DD2505">
          <w:rPr>
            <w:noProof/>
            <w:webHidden/>
          </w:rPr>
          <w:fldChar w:fldCharType="begin"/>
        </w:r>
        <w:r w:rsidR="00DD2505">
          <w:rPr>
            <w:noProof/>
            <w:webHidden/>
          </w:rPr>
          <w:instrText xml:space="preserve"> PAGEREF _Toc112678512 \h </w:instrText>
        </w:r>
        <w:r w:rsidR="00DD2505">
          <w:rPr>
            <w:noProof/>
            <w:webHidden/>
          </w:rPr>
        </w:r>
        <w:r w:rsidR="00DD2505">
          <w:rPr>
            <w:noProof/>
            <w:webHidden/>
          </w:rPr>
          <w:fldChar w:fldCharType="separate"/>
        </w:r>
        <w:r w:rsidR="00DD2505">
          <w:rPr>
            <w:noProof/>
            <w:webHidden/>
          </w:rPr>
          <w:t>11</w:t>
        </w:r>
        <w:r w:rsidR="00DD2505">
          <w:rPr>
            <w:noProof/>
            <w:webHidden/>
          </w:rPr>
          <w:fldChar w:fldCharType="end"/>
        </w:r>
      </w:hyperlink>
    </w:p>
    <w:p w14:paraId="4D3EAB57" w14:textId="70A36267" w:rsidR="00DD2505" w:rsidRDefault="00000000">
      <w:pPr>
        <w:pStyle w:val="TOC1"/>
        <w:tabs>
          <w:tab w:val="right" w:leader="dot" w:pos="9060"/>
        </w:tabs>
        <w:rPr>
          <w:rFonts w:eastAsiaTheme="minorEastAsia" w:cstheme="minorBidi"/>
          <w:noProof/>
          <w:sz w:val="22"/>
          <w:szCs w:val="22"/>
          <w:lang w:eastAsia="en-AU"/>
        </w:rPr>
      </w:pPr>
      <w:hyperlink w:anchor="_Toc112678513" w:history="1">
        <w:r w:rsidR="00DD2505" w:rsidRPr="006D5B53">
          <w:rPr>
            <w:rStyle w:val="Hyperlink"/>
            <w:noProof/>
          </w:rPr>
          <w:t>References</w:t>
        </w:r>
        <w:r w:rsidR="00DD2505">
          <w:rPr>
            <w:noProof/>
            <w:webHidden/>
          </w:rPr>
          <w:tab/>
        </w:r>
        <w:r w:rsidR="00DD2505">
          <w:rPr>
            <w:noProof/>
            <w:webHidden/>
          </w:rPr>
          <w:fldChar w:fldCharType="begin"/>
        </w:r>
        <w:r w:rsidR="00DD2505">
          <w:rPr>
            <w:noProof/>
            <w:webHidden/>
          </w:rPr>
          <w:instrText xml:space="preserve"> PAGEREF _Toc112678513 \h </w:instrText>
        </w:r>
        <w:r w:rsidR="00DD2505">
          <w:rPr>
            <w:noProof/>
            <w:webHidden/>
          </w:rPr>
        </w:r>
        <w:r w:rsidR="00DD2505">
          <w:rPr>
            <w:noProof/>
            <w:webHidden/>
          </w:rPr>
          <w:fldChar w:fldCharType="separate"/>
        </w:r>
        <w:r w:rsidR="00DD2505">
          <w:rPr>
            <w:noProof/>
            <w:webHidden/>
          </w:rPr>
          <w:t>11</w:t>
        </w:r>
        <w:r w:rsidR="00DD2505">
          <w:rPr>
            <w:noProof/>
            <w:webHidden/>
          </w:rPr>
          <w:fldChar w:fldCharType="end"/>
        </w:r>
      </w:hyperlink>
    </w:p>
    <w:p w14:paraId="78400EBB" w14:textId="641DE024" w:rsidR="00DD2505" w:rsidRDefault="00000000">
      <w:pPr>
        <w:pStyle w:val="TOC1"/>
        <w:tabs>
          <w:tab w:val="right" w:leader="dot" w:pos="9060"/>
        </w:tabs>
        <w:rPr>
          <w:rFonts w:eastAsiaTheme="minorEastAsia" w:cstheme="minorBidi"/>
          <w:noProof/>
          <w:sz w:val="22"/>
          <w:szCs w:val="22"/>
          <w:lang w:eastAsia="en-AU"/>
        </w:rPr>
      </w:pPr>
      <w:hyperlink w:anchor="_Toc112678514" w:history="1">
        <w:r w:rsidR="00DD2505" w:rsidRPr="006D5B53">
          <w:rPr>
            <w:rStyle w:val="Hyperlink"/>
            <w:noProof/>
          </w:rPr>
          <w:t>Definition of Terms</w:t>
        </w:r>
        <w:r w:rsidR="00DD2505">
          <w:rPr>
            <w:noProof/>
            <w:webHidden/>
          </w:rPr>
          <w:tab/>
        </w:r>
        <w:r w:rsidR="00DD2505">
          <w:rPr>
            <w:noProof/>
            <w:webHidden/>
          </w:rPr>
          <w:fldChar w:fldCharType="begin"/>
        </w:r>
        <w:r w:rsidR="00DD2505">
          <w:rPr>
            <w:noProof/>
            <w:webHidden/>
          </w:rPr>
          <w:instrText xml:space="preserve"> PAGEREF _Toc112678514 \h </w:instrText>
        </w:r>
        <w:r w:rsidR="00DD2505">
          <w:rPr>
            <w:noProof/>
            <w:webHidden/>
          </w:rPr>
        </w:r>
        <w:r w:rsidR="00DD2505">
          <w:rPr>
            <w:noProof/>
            <w:webHidden/>
          </w:rPr>
          <w:fldChar w:fldCharType="separate"/>
        </w:r>
        <w:r w:rsidR="00DD2505">
          <w:rPr>
            <w:noProof/>
            <w:webHidden/>
          </w:rPr>
          <w:t>12</w:t>
        </w:r>
        <w:r w:rsidR="00DD2505">
          <w:rPr>
            <w:noProof/>
            <w:webHidden/>
          </w:rPr>
          <w:fldChar w:fldCharType="end"/>
        </w:r>
      </w:hyperlink>
    </w:p>
    <w:p w14:paraId="4C820BE0" w14:textId="32F3B2C1" w:rsidR="00DD2505" w:rsidRDefault="00000000">
      <w:pPr>
        <w:pStyle w:val="TOC1"/>
        <w:tabs>
          <w:tab w:val="right" w:leader="dot" w:pos="9060"/>
        </w:tabs>
        <w:rPr>
          <w:rFonts w:eastAsiaTheme="minorEastAsia" w:cstheme="minorBidi"/>
          <w:noProof/>
          <w:sz w:val="22"/>
          <w:szCs w:val="22"/>
          <w:lang w:eastAsia="en-AU"/>
        </w:rPr>
      </w:pPr>
      <w:hyperlink w:anchor="_Toc112678515" w:history="1">
        <w:r w:rsidR="00DD2505" w:rsidRPr="006D5B53">
          <w:rPr>
            <w:rStyle w:val="Hyperlink"/>
            <w:noProof/>
          </w:rPr>
          <w:t>Search Terms</w:t>
        </w:r>
        <w:r w:rsidR="00DD2505">
          <w:rPr>
            <w:noProof/>
            <w:webHidden/>
          </w:rPr>
          <w:tab/>
        </w:r>
        <w:r w:rsidR="00DD2505">
          <w:rPr>
            <w:noProof/>
            <w:webHidden/>
          </w:rPr>
          <w:fldChar w:fldCharType="begin"/>
        </w:r>
        <w:r w:rsidR="00DD2505">
          <w:rPr>
            <w:noProof/>
            <w:webHidden/>
          </w:rPr>
          <w:instrText xml:space="preserve"> PAGEREF _Toc112678515 \h </w:instrText>
        </w:r>
        <w:r w:rsidR="00DD2505">
          <w:rPr>
            <w:noProof/>
            <w:webHidden/>
          </w:rPr>
        </w:r>
        <w:r w:rsidR="00DD2505">
          <w:rPr>
            <w:noProof/>
            <w:webHidden/>
          </w:rPr>
          <w:fldChar w:fldCharType="separate"/>
        </w:r>
        <w:r w:rsidR="00DD2505">
          <w:rPr>
            <w:noProof/>
            <w:webHidden/>
          </w:rPr>
          <w:t>12</w:t>
        </w:r>
        <w:r w:rsidR="00DD2505">
          <w:rPr>
            <w:noProof/>
            <w:webHidden/>
          </w:rPr>
          <w:fldChar w:fldCharType="end"/>
        </w:r>
      </w:hyperlink>
    </w:p>
    <w:p w14:paraId="2F51A861" w14:textId="340E789A" w:rsidR="007052B1" w:rsidRDefault="0042482C" w:rsidP="007B6904">
      <w:pPr>
        <w:rPr>
          <w:rFonts w:asciiTheme="minorHAnsi" w:hAnsiTheme="minorHAnsi"/>
        </w:rPr>
      </w:pPr>
      <w:r>
        <w:rPr>
          <w:rFonts w:asciiTheme="minorHAnsi" w:hAnsiTheme="minorHAnsi"/>
        </w:rPr>
        <w:fldChar w:fldCharType="end"/>
      </w:r>
    </w:p>
    <w:p w14:paraId="2F51A863" w14:textId="2AAB79C4" w:rsidR="007B6904" w:rsidRPr="00D4155A" w:rsidRDefault="007052B1" w:rsidP="00D4155A">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112678500"/>
            <w:r w:rsidRPr="00CD1C0E">
              <w:lastRenderedPageBreak/>
              <w:t>Purpose</w:t>
            </w:r>
            <w:bookmarkEnd w:id="8"/>
            <w:bookmarkEnd w:id="9"/>
          </w:p>
        </w:tc>
      </w:tr>
    </w:tbl>
    <w:p w14:paraId="18F418D9" w14:textId="77777777" w:rsidR="006706ED" w:rsidRDefault="006706ED" w:rsidP="006706ED">
      <w:pPr>
        <w:rPr>
          <w:rFonts w:cs="Arial"/>
          <w:i/>
          <w:szCs w:val="24"/>
        </w:rPr>
      </w:pPr>
    </w:p>
    <w:p w14:paraId="676A09DB" w14:textId="77777777" w:rsidR="006706ED" w:rsidRPr="009412FD" w:rsidRDefault="006706ED" w:rsidP="006706ED">
      <w:r w:rsidRPr="009412FD">
        <w:t xml:space="preserve">This procedure </w:t>
      </w:r>
      <w:r>
        <w:t>provides</w:t>
      </w:r>
      <w:r w:rsidRPr="009412FD">
        <w:t xml:space="preserve"> guid</w:t>
      </w:r>
      <w:r>
        <w:t xml:space="preserve">ance to </w:t>
      </w:r>
      <w:r w:rsidRPr="009412FD">
        <w:t>Hospital in the Home</w:t>
      </w:r>
      <w:r>
        <w:t xml:space="preserve"> (HITH) and referring c</w:t>
      </w:r>
      <w:r w:rsidRPr="009412FD">
        <w:t>linicians in the</w:t>
      </w:r>
      <w:r>
        <w:t xml:space="preserve"> </w:t>
      </w:r>
      <w:r w:rsidRPr="009412FD">
        <w:t>appropriate choice and administration of anti</w:t>
      </w:r>
      <w:r>
        <w:t>microbial</w:t>
      </w:r>
      <w:r w:rsidRPr="009412FD">
        <w:t xml:space="preserve"> therapy for patients being treated under the </w:t>
      </w:r>
      <w:r>
        <w:t xml:space="preserve">HITH </w:t>
      </w:r>
      <w:r w:rsidRPr="009412FD">
        <w:t>service</w:t>
      </w:r>
      <w:r>
        <w:t>s across the CHS Network</w:t>
      </w:r>
      <w:r w:rsidRPr="009412FD">
        <w:t>.</w:t>
      </w:r>
      <w:r>
        <w:t xml:space="preserve"> </w:t>
      </w:r>
    </w:p>
    <w:p w14:paraId="6A090C45" w14:textId="77777777" w:rsidR="006706ED" w:rsidRPr="00BF078E" w:rsidRDefault="006706ED" w:rsidP="006706ED">
      <w:pPr>
        <w:rPr>
          <w:rFonts w:cs="Arial"/>
          <w:i/>
          <w:szCs w:val="24"/>
        </w:rPr>
      </w:pPr>
    </w:p>
    <w:p w14:paraId="78289A9D" w14:textId="77777777" w:rsidR="006706ED" w:rsidRPr="00CD1C0E" w:rsidRDefault="006706ED" w:rsidP="006706ED">
      <w:pPr>
        <w:jc w:val="right"/>
        <w:rPr>
          <w:rFonts w:cs="Arial"/>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706ED" w:rsidRPr="00CD1C0E" w14:paraId="1B202919" w14:textId="77777777" w:rsidTr="00147382">
        <w:trPr>
          <w:cantSplit/>
          <w:trHeight w:val="285"/>
        </w:trPr>
        <w:tc>
          <w:tcPr>
            <w:tcW w:w="9158" w:type="dxa"/>
            <w:shd w:val="clear" w:color="auto" w:fill="A6A6A6" w:themeFill="background1" w:themeFillShade="A6"/>
          </w:tcPr>
          <w:p w14:paraId="48C07A49" w14:textId="77777777" w:rsidR="006706ED" w:rsidRPr="00CD1C0E" w:rsidRDefault="006706ED" w:rsidP="00147382">
            <w:pPr>
              <w:pStyle w:val="Heading1"/>
            </w:pPr>
            <w:bookmarkStart w:id="10" w:name="_Toc389473276"/>
            <w:bookmarkStart w:id="11" w:name="_Toc112678501"/>
            <w:r>
              <w:t>Alerts</w:t>
            </w:r>
            <w:bookmarkEnd w:id="10"/>
            <w:bookmarkEnd w:id="11"/>
            <w:r>
              <w:t xml:space="preserve"> </w:t>
            </w:r>
          </w:p>
        </w:tc>
      </w:tr>
    </w:tbl>
    <w:p w14:paraId="3BD5711C" w14:textId="77777777" w:rsidR="006706ED" w:rsidRDefault="006706ED" w:rsidP="006706ED">
      <w:pPr>
        <w:rPr>
          <w:i/>
        </w:rPr>
      </w:pPr>
    </w:p>
    <w:p w14:paraId="06610E86" w14:textId="77777777" w:rsidR="006706ED" w:rsidRPr="00835CC3" w:rsidRDefault="006706ED" w:rsidP="006706ED">
      <w:pPr>
        <w:pStyle w:val="ListBullet"/>
      </w:pPr>
      <w:r w:rsidRPr="00835CC3">
        <w:t xml:space="preserve">Not all intravenous </w:t>
      </w:r>
      <w:r>
        <w:t xml:space="preserve">(IV) </w:t>
      </w:r>
      <w:r w:rsidRPr="00835CC3">
        <w:t>anti</w:t>
      </w:r>
      <w:r>
        <w:t>microbials</w:t>
      </w:r>
      <w:r w:rsidRPr="00835CC3">
        <w:t xml:space="preserve"> are able to be administered in HITH in the same way that they are prescribed on the ward. </w:t>
      </w:r>
      <w:r>
        <w:t>Some are simply unsuitable for use in the HITH service. For further advice, r</w:t>
      </w:r>
      <w:r w:rsidRPr="00835CC3">
        <w:t xml:space="preserve">efer to this procedure, </w:t>
      </w:r>
      <w:r>
        <w:t xml:space="preserve">the </w:t>
      </w:r>
      <w:r w:rsidRPr="00835CC3">
        <w:t xml:space="preserve">Therapeutic </w:t>
      </w:r>
      <w:r>
        <w:t>G</w:t>
      </w:r>
      <w:r w:rsidRPr="00835CC3">
        <w:t>uidelines</w:t>
      </w:r>
      <w:r>
        <w:t>: Antibiotic,</w:t>
      </w:r>
      <w:r w:rsidRPr="00835CC3">
        <w:t xml:space="preserve"> </w:t>
      </w:r>
      <w:r>
        <w:t>and</w:t>
      </w:r>
      <w:r w:rsidRPr="00835CC3">
        <w:t xml:space="preserve"> speak to</w:t>
      </w:r>
      <w:r>
        <w:t xml:space="preserve"> staff in</w:t>
      </w:r>
      <w:r w:rsidRPr="00835CC3">
        <w:t xml:space="preserve"> HIT</w:t>
      </w:r>
      <w:r>
        <w:t>H,</w:t>
      </w:r>
      <w:r w:rsidRPr="00835CC3">
        <w:t xml:space="preserve"> Infectious Diseases (ID)</w:t>
      </w:r>
      <w:r>
        <w:t>,</w:t>
      </w:r>
      <w:r w:rsidRPr="00835CC3">
        <w:t xml:space="preserve"> and/or </w:t>
      </w:r>
      <w:r>
        <w:t>P</w:t>
      </w:r>
      <w:r w:rsidRPr="00835CC3">
        <w:t>harmacy</w:t>
      </w:r>
      <w:r>
        <w:t>.</w:t>
      </w:r>
    </w:p>
    <w:p w14:paraId="5476EBDE" w14:textId="77777777" w:rsidR="006706ED" w:rsidRPr="00835CC3" w:rsidRDefault="006706ED" w:rsidP="006706ED">
      <w:pPr>
        <w:pStyle w:val="ListBullet"/>
      </w:pPr>
      <w:r w:rsidRPr="00835CC3">
        <w:t>Some anti</w:t>
      </w:r>
      <w:r>
        <w:t>microbial</w:t>
      </w:r>
      <w:r w:rsidRPr="00835CC3">
        <w:t xml:space="preserve"> choices in HITH r</w:t>
      </w:r>
      <w:r>
        <w:t>e</w:t>
      </w:r>
      <w:r w:rsidRPr="00835CC3">
        <w:t>quire Antimicrobial Stewardship (AMS) approva</w:t>
      </w:r>
      <w:r>
        <w:t xml:space="preserve">l </w:t>
      </w:r>
      <w:r w:rsidRPr="00835CC3">
        <w:t xml:space="preserve">prior to prescription to HITH patients. </w:t>
      </w:r>
      <w:r>
        <w:t xml:space="preserve">Antimicrobials used in HITH are colour coded </w:t>
      </w:r>
      <w:r w:rsidRPr="007F56B4">
        <w:rPr>
          <w:color w:val="FF0000"/>
        </w:rPr>
        <w:t>red</w:t>
      </w:r>
      <w:r>
        <w:t xml:space="preserve"> (AMS referral or approval required by second dose), </w:t>
      </w:r>
      <w:r w:rsidRPr="007F56B4">
        <w:rPr>
          <w:color w:val="E36C0A" w:themeColor="accent6" w:themeShade="BF"/>
        </w:rPr>
        <w:t xml:space="preserve">orange </w:t>
      </w:r>
      <w:r>
        <w:t xml:space="preserve">(AMS referral and/or approval required by second day) or </w:t>
      </w:r>
      <w:r w:rsidRPr="007F56B4">
        <w:rPr>
          <w:color w:val="00B050"/>
        </w:rPr>
        <w:t>green</w:t>
      </w:r>
      <w:r>
        <w:t xml:space="preserve"> (no approval required but must be in accordance with available guidelines including local policies and/or Therapeutic Guidelines if possible) in this procedure</w:t>
      </w:r>
    </w:p>
    <w:p w14:paraId="71437E89" w14:textId="77777777" w:rsidR="006706ED" w:rsidRDefault="006706ED" w:rsidP="006706ED">
      <w:pPr>
        <w:pStyle w:val="ListBullet"/>
      </w:pPr>
      <w:r w:rsidRPr="009A0ED8">
        <w:t>IV anti</w:t>
      </w:r>
      <w:r>
        <w:t>microbials</w:t>
      </w:r>
      <w:r w:rsidRPr="009A0ED8">
        <w:t xml:space="preserve"> requiring Therapeutic Drug Monitoring (TDM) need to be monitored in HITH as </w:t>
      </w:r>
      <w:r>
        <w:t>they would on an inpatient</w:t>
      </w:r>
      <w:r w:rsidRPr="009A0ED8">
        <w:t xml:space="preserve"> ward</w:t>
      </w:r>
    </w:p>
    <w:p w14:paraId="455A3445" w14:textId="77777777" w:rsidR="006706ED" w:rsidRDefault="006706ED" w:rsidP="006706ED">
      <w:pPr>
        <w:pStyle w:val="ListBullet"/>
      </w:pPr>
      <w:r>
        <w:t>The first dose of IV antimicrobials should ideally be administered in the hospital – whether in the Emergency Department or HITH clinic (with the exception of Residential Aged Care Facility (RACF) patients being directly admitted to HITH at the RACF)</w:t>
      </w:r>
    </w:p>
    <w:p w14:paraId="3094277D" w14:textId="77777777" w:rsidR="006706ED" w:rsidRDefault="006706ED" w:rsidP="006706ED">
      <w:pPr>
        <w:pStyle w:val="ListBullet"/>
      </w:pPr>
      <w:r>
        <w:t xml:space="preserve">Antimicrobial allergy status must be closely checked and recorded by the HITH staff when patients are receiving IV antimicrobials at home. </w:t>
      </w:r>
    </w:p>
    <w:p w14:paraId="3EBBB9E1" w14:textId="77777777" w:rsidR="006706ED" w:rsidRDefault="006706ED" w:rsidP="006706ED">
      <w:pPr>
        <w:pStyle w:val="ListBullet"/>
      </w:pPr>
      <w:r>
        <w:t>HITH nurses must be trained to know what process to follow when a HITH patient has an allergic/anaphylactic response at home</w:t>
      </w:r>
    </w:p>
    <w:p w14:paraId="42D6D3EA" w14:textId="77777777" w:rsidR="006706ED" w:rsidRDefault="006706ED" w:rsidP="006706ED">
      <w:pPr>
        <w:rPr>
          <w:rFonts w:cs="Arial"/>
          <w:b/>
          <w:szCs w:val="24"/>
        </w:rPr>
      </w:pPr>
    </w:p>
    <w:p w14:paraId="468C966B" w14:textId="77777777" w:rsidR="006706ED" w:rsidRPr="009121F9" w:rsidRDefault="006706ED" w:rsidP="006706ED">
      <w:pPr>
        <w:jc w:val="right"/>
        <w:rPr>
          <w:rFonts w:cs="Arial"/>
          <w:b/>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706ED" w:rsidRPr="00CD1C0E" w14:paraId="568E8095" w14:textId="77777777" w:rsidTr="00147382">
        <w:trPr>
          <w:cantSplit/>
          <w:trHeight w:val="285"/>
        </w:trPr>
        <w:tc>
          <w:tcPr>
            <w:tcW w:w="9158" w:type="dxa"/>
            <w:shd w:val="clear" w:color="auto" w:fill="A6A6A6" w:themeFill="background1" w:themeFillShade="A6"/>
          </w:tcPr>
          <w:p w14:paraId="1A735B9E" w14:textId="77777777" w:rsidR="006706ED" w:rsidRPr="003D2D06" w:rsidRDefault="006706ED" w:rsidP="00147382">
            <w:pPr>
              <w:pStyle w:val="Heading1"/>
            </w:pPr>
            <w:bookmarkStart w:id="12" w:name="_Toc389473277"/>
            <w:bookmarkStart w:id="13" w:name="_Toc112678502"/>
            <w:r w:rsidRPr="003D2D06">
              <w:t>Scope</w:t>
            </w:r>
            <w:bookmarkEnd w:id="12"/>
            <w:bookmarkEnd w:id="13"/>
          </w:p>
        </w:tc>
      </w:tr>
    </w:tbl>
    <w:p w14:paraId="33E7B935" w14:textId="77777777" w:rsidR="006706ED" w:rsidRDefault="006706ED" w:rsidP="006706ED">
      <w:pPr>
        <w:rPr>
          <w:rFonts w:cs="Arial"/>
          <w:i/>
          <w:szCs w:val="24"/>
        </w:rPr>
      </w:pPr>
    </w:p>
    <w:p w14:paraId="5BB9015E" w14:textId="77777777" w:rsidR="006706ED" w:rsidRPr="00BF078E" w:rsidRDefault="006706ED" w:rsidP="006706ED">
      <w:r w:rsidRPr="00BF078E">
        <w:t xml:space="preserve">This document </w:t>
      </w:r>
      <w:r>
        <w:t>applie</w:t>
      </w:r>
      <w:r w:rsidRPr="00BF078E">
        <w:t xml:space="preserve">s to </w:t>
      </w:r>
      <w:r>
        <w:t xml:space="preserve">staff </w:t>
      </w:r>
      <w:r w:rsidRPr="00BF078E">
        <w:t>car</w:t>
      </w:r>
      <w:r>
        <w:t xml:space="preserve">ing </w:t>
      </w:r>
      <w:r w:rsidRPr="00BF078E">
        <w:t>for</w:t>
      </w:r>
      <w:r>
        <w:t xml:space="preserve"> adults</w:t>
      </w:r>
      <w:r w:rsidRPr="00BF078E">
        <w:t xml:space="preserve"> in the </w:t>
      </w:r>
      <w:r>
        <w:t>HITH</w:t>
      </w:r>
      <w:r w:rsidRPr="00BF078E">
        <w:t xml:space="preserve"> </w:t>
      </w:r>
      <w:r>
        <w:t>service, and the following CHS Network staff working within their scope of practice</w:t>
      </w:r>
      <w:r w:rsidRPr="00BF078E">
        <w:t>:</w:t>
      </w:r>
    </w:p>
    <w:p w14:paraId="63764831" w14:textId="77777777" w:rsidR="006706ED" w:rsidRPr="00F14EC1" w:rsidRDefault="006706ED" w:rsidP="006706ED">
      <w:pPr>
        <w:pStyle w:val="ListBullet"/>
      </w:pPr>
      <w:r>
        <w:t xml:space="preserve">HITH </w:t>
      </w:r>
      <w:r w:rsidRPr="00F14EC1">
        <w:t>Medical Officers</w:t>
      </w:r>
      <w:r>
        <w:t xml:space="preserve"> and Medical Officers referring to HITH</w:t>
      </w:r>
    </w:p>
    <w:p w14:paraId="4BBC5FDC" w14:textId="77777777" w:rsidR="006706ED" w:rsidRPr="00F14EC1" w:rsidRDefault="006706ED" w:rsidP="006706ED">
      <w:pPr>
        <w:pStyle w:val="ListBullet"/>
      </w:pPr>
      <w:r>
        <w:t xml:space="preserve">HITH </w:t>
      </w:r>
      <w:r w:rsidRPr="00F14EC1">
        <w:t xml:space="preserve">Nurses </w:t>
      </w:r>
      <w:r>
        <w:t>and Nurses referring to HITH</w:t>
      </w:r>
    </w:p>
    <w:p w14:paraId="14B64F85" w14:textId="77777777" w:rsidR="006706ED" w:rsidRDefault="006706ED" w:rsidP="006706ED">
      <w:pPr>
        <w:pStyle w:val="ListBullet"/>
      </w:pPr>
      <w:r>
        <w:t xml:space="preserve">Pharmacy </w:t>
      </w:r>
    </w:p>
    <w:p w14:paraId="31155791" w14:textId="77777777" w:rsidR="006706ED" w:rsidRDefault="006706ED" w:rsidP="006706ED">
      <w:pPr>
        <w:pStyle w:val="ListBullet"/>
        <w:numPr>
          <w:ilvl w:val="0"/>
          <w:numId w:val="0"/>
        </w:numPr>
        <w:ind w:left="426" w:hanging="426"/>
      </w:pPr>
    </w:p>
    <w:p w14:paraId="1ACD1CA3" w14:textId="77777777" w:rsidR="006706ED" w:rsidRDefault="006706ED" w:rsidP="006706ED">
      <w:pPr>
        <w:jc w:val="right"/>
        <w:rPr>
          <w:rStyle w:val="Hyperlink"/>
          <w:rFonts w:cs="Arial"/>
          <w:i/>
          <w:szCs w:val="24"/>
        </w:rPr>
      </w:pPr>
      <w:hyperlink w:anchor="Contents" w:history="1">
        <w:r w:rsidRPr="00590902">
          <w:rPr>
            <w:rStyle w:val="Hyperlink"/>
            <w:rFonts w:cs="Arial"/>
            <w:i/>
            <w:szCs w:val="24"/>
          </w:rPr>
          <w:t>Back to Table of Contents</w:t>
        </w:r>
      </w:hyperlink>
    </w:p>
    <w:p w14:paraId="49D04D37" w14:textId="77777777" w:rsidR="006706ED" w:rsidRDefault="006706ED" w:rsidP="006706ED">
      <w:pPr>
        <w:jc w:val="right"/>
        <w:rPr>
          <w:rStyle w:val="Hyperlink"/>
          <w:rFonts w:cs="Arial"/>
          <w:i/>
          <w:szCs w:val="24"/>
        </w:rPr>
      </w:pPr>
    </w:p>
    <w:p w14:paraId="572F1311" w14:textId="77777777" w:rsidR="006706ED" w:rsidRPr="00CD1C0E" w:rsidRDefault="006706ED" w:rsidP="006706ED">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6706ED" w:rsidRPr="00CD1C0E" w14:paraId="1C22347B" w14:textId="77777777" w:rsidTr="00147382">
        <w:trPr>
          <w:cantSplit/>
          <w:trHeight w:val="285"/>
        </w:trPr>
        <w:tc>
          <w:tcPr>
            <w:tcW w:w="9158" w:type="dxa"/>
            <w:shd w:val="clear" w:color="auto" w:fill="A6A6A6" w:themeFill="background1" w:themeFillShade="A6"/>
          </w:tcPr>
          <w:p w14:paraId="43FB5615" w14:textId="77777777" w:rsidR="006706ED" w:rsidRPr="00C76688" w:rsidRDefault="006706ED" w:rsidP="00147382">
            <w:pPr>
              <w:pStyle w:val="Heading1"/>
            </w:pPr>
            <w:bookmarkStart w:id="14" w:name="_Toc389473278"/>
            <w:bookmarkStart w:id="15" w:name="_Toc112678503"/>
            <w:r w:rsidRPr="00C76688">
              <w:lastRenderedPageBreak/>
              <w:t>Section 1 –</w:t>
            </w:r>
            <w:r>
              <w:t xml:space="preserve"> </w:t>
            </w:r>
            <w:bookmarkEnd w:id="14"/>
            <w:r>
              <w:t>Background Information</w:t>
            </w:r>
            <w:bookmarkEnd w:id="15"/>
          </w:p>
        </w:tc>
      </w:tr>
    </w:tbl>
    <w:p w14:paraId="674405C8" w14:textId="77777777" w:rsidR="006706ED" w:rsidRDefault="006706ED" w:rsidP="006706ED">
      <w:pPr>
        <w:outlineLvl w:val="0"/>
        <w:rPr>
          <w:szCs w:val="24"/>
        </w:rPr>
      </w:pPr>
    </w:p>
    <w:p w14:paraId="379EC537" w14:textId="77777777" w:rsidR="006706ED" w:rsidRDefault="006706ED" w:rsidP="006706ED">
      <w:pPr>
        <w:rPr>
          <w:rFonts w:cs="Arial"/>
          <w:szCs w:val="24"/>
        </w:rPr>
      </w:pPr>
      <w:r w:rsidRPr="008E1697">
        <w:rPr>
          <w:rFonts w:cs="Arial"/>
          <w:szCs w:val="24"/>
        </w:rPr>
        <w:t>When IV anti</w:t>
      </w:r>
      <w:r>
        <w:rPr>
          <w:rFonts w:cs="Arial"/>
          <w:szCs w:val="24"/>
        </w:rPr>
        <w:t>microbials</w:t>
      </w:r>
      <w:r w:rsidRPr="008E1697">
        <w:rPr>
          <w:rFonts w:cs="Arial"/>
          <w:szCs w:val="24"/>
        </w:rPr>
        <w:t xml:space="preserve"> are being prescribed,</w:t>
      </w:r>
      <w:r>
        <w:rPr>
          <w:rFonts w:cs="Arial"/>
          <w:b/>
          <w:bCs/>
          <w:szCs w:val="24"/>
        </w:rPr>
        <w:t xml:space="preserve"> </w:t>
      </w:r>
      <w:r w:rsidRPr="00A50347">
        <w:rPr>
          <w:rFonts w:cs="Arial"/>
          <w:b/>
          <w:bCs/>
          <w:szCs w:val="24"/>
        </w:rPr>
        <w:t>IV access</w:t>
      </w:r>
      <w:r w:rsidRPr="00973679">
        <w:rPr>
          <w:rFonts w:cs="Arial"/>
          <w:szCs w:val="24"/>
        </w:rPr>
        <w:t xml:space="preserve"> </w:t>
      </w:r>
      <w:r>
        <w:rPr>
          <w:rFonts w:cs="Arial"/>
          <w:szCs w:val="24"/>
        </w:rPr>
        <w:t>can</w:t>
      </w:r>
      <w:r w:rsidRPr="00973679">
        <w:rPr>
          <w:rFonts w:cs="Arial"/>
          <w:szCs w:val="24"/>
        </w:rPr>
        <w:t xml:space="preserve"> be via peripheral cannula or Per</w:t>
      </w:r>
      <w:r>
        <w:rPr>
          <w:rFonts w:cs="Arial"/>
          <w:szCs w:val="24"/>
        </w:rPr>
        <w:t>ipherally</w:t>
      </w:r>
      <w:r w:rsidRPr="00973679">
        <w:rPr>
          <w:rFonts w:cs="Arial"/>
          <w:szCs w:val="24"/>
        </w:rPr>
        <w:t xml:space="preserve"> Inserted Central Catheter (PICC) depending upon anti</w:t>
      </w:r>
      <w:r>
        <w:rPr>
          <w:rFonts w:cs="Arial"/>
          <w:szCs w:val="24"/>
        </w:rPr>
        <w:t>microbial</w:t>
      </w:r>
      <w:r w:rsidRPr="00973679">
        <w:rPr>
          <w:rFonts w:cs="Arial"/>
          <w:szCs w:val="24"/>
        </w:rPr>
        <w:t xml:space="preserve"> choice and proposed duration of treatment </w:t>
      </w:r>
      <w:r>
        <w:rPr>
          <w:rFonts w:cs="Arial"/>
          <w:szCs w:val="24"/>
        </w:rPr>
        <w:t xml:space="preserve">(see table in section 3). A PICC is required if predicted duration of IV antimicrobial therapy </w:t>
      </w:r>
      <w:r w:rsidRPr="00B65A68">
        <w:rPr>
          <w:rFonts w:cs="Arial"/>
          <w:b/>
          <w:bCs/>
          <w:szCs w:val="24"/>
        </w:rPr>
        <w:t>exceeds 2 weeks</w:t>
      </w:r>
      <w:r>
        <w:rPr>
          <w:rFonts w:cs="Arial"/>
          <w:b/>
          <w:bCs/>
          <w:szCs w:val="24"/>
        </w:rPr>
        <w:t xml:space="preserve"> unless an active clinical decision is made with the patient to continue with PIVC</w:t>
      </w:r>
      <w:r>
        <w:rPr>
          <w:rFonts w:cs="Arial"/>
          <w:szCs w:val="24"/>
        </w:rPr>
        <w:t>.</w:t>
      </w:r>
    </w:p>
    <w:p w14:paraId="6100969C" w14:textId="77777777" w:rsidR="006706ED" w:rsidRDefault="006706ED" w:rsidP="006706ED">
      <w:pPr>
        <w:rPr>
          <w:rFonts w:cs="Arial"/>
          <w:szCs w:val="24"/>
        </w:rPr>
      </w:pPr>
    </w:p>
    <w:p w14:paraId="6E9ED162" w14:textId="77777777" w:rsidR="006706ED" w:rsidRDefault="006706ED" w:rsidP="006706ED">
      <w:pPr>
        <w:rPr>
          <w:rFonts w:cs="Arial"/>
          <w:szCs w:val="24"/>
        </w:rPr>
      </w:pPr>
      <w:r>
        <w:rPr>
          <w:rFonts w:cs="Arial"/>
          <w:szCs w:val="24"/>
        </w:rPr>
        <w:t xml:space="preserve">An elastomeric </w:t>
      </w:r>
      <w:r w:rsidRPr="00A50347">
        <w:rPr>
          <w:rFonts w:cs="Arial"/>
          <w:b/>
          <w:bCs/>
          <w:szCs w:val="24"/>
        </w:rPr>
        <w:t>infusion pump</w:t>
      </w:r>
      <w:r>
        <w:rPr>
          <w:rFonts w:cs="Arial"/>
          <w:szCs w:val="24"/>
        </w:rPr>
        <w:t xml:space="preserve"> or electronic pump is required for antimicrobials being run as an infusion.</w:t>
      </w:r>
    </w:p>
    <w:p w14:paraId="5DD3A053" w14:textId="77777777" w:rsidR="006706ED" w:rsidRDefault="006706ED" w:rsidP="006706ED">
      <w:pPr>
        <w:rPr>
          <w:rFonts w:cs="Arial"/>
          <w:szCs w:val="24"/>
        </w:rPr>
      </w:pPr>
    </w:p>
    <w:p w14:paraId="1ABA7695" w14:textId="77777777" w:rsidR="006706ED" w:rsidRPr="001874AB" w:rsidRDefault="006706ED" w:rsidP="006706ED">
      <w:pPr>
        <w:pStyle w:val="Heading2"/>
      </w:pPr>
      <w:bookmarkStart w:id="16" w:name="_Toc112678504"/>
      <w:r>
        <w:t>1. Initial Antimicrobial Choice</w:t>
      </w:r>
      <w:bookmarkEnd w:id="16"/>
    </w:p>
    <w:p w14:paraId="7E63F137" w14:textId="77777777" w:rsidR="006706ED" w:rsidRDefault="006706ED" w:rsidP="006706ED">
      <w:pPr>
        <w:shd w:val="clear" w:color="auto" w:fill="FFFFFF"/>
        <w:jc w:val="both"/>
        <w:textAlignment w:val="baseline"/>
        <w:rPr>
          <w:rFonts w:cs="Times"/>
          <w:lang w:eastAsia="en-AU"/>
        </w:rPr>
      </w:pPr>
      <w:r w:rsidRPr="009412FD">
        <w:rPr>
          <w:rFonts w:cs="Times"/>
          <w:lang w:eastAsia="en-AU"/>
        </w:rPr>
        <w:t xml:space="preserve">The </w:t>
      </w:r>
      <w:r w:rsidRPr="003F28FA">
        <w:rPr>
          <w:rFonts w:cs="Times"/>
          <w:b/>
          <w:lang w:eastAsia="en-AU"/>
        </w:rPr>
        <w:t>criteria for selecting anti</w:t>
      </w:r>
      <w:r>
        <w:rPr>
          <w:rFonts w:cs="Times"/>
          <w:b/>
          <w:lang w:eastAsia="en-AU"/>
        </w:rPr>
        <w:t>microbials</w:t>
      </w:r>
      <w:r w:rsidRPr="009412FD">
        <w:rPr>
          <w:rFonts w:cs="Times"/>
          <w:lang w:eastAsia="en-AU"/>
        </w:rPr>
        <w:t xml:space="preserve"> for HITH patients should be similar</w:t>
      </w:r>
      <w:r>
        <w:rPr>
          <w:rFonts w:cs="Times"/>
          <w:lang w:eastAsia="en-AU"/>
        </w:rPr>
        <w:t xml:space="preserve"> </w:t>
      </w:r>
      <w:r w:rsidRPr="009412FD">
        <w:rPr>
          <w:rFonts w:cs="Times"/>
          <w:lang w:eastAsia="en-AU"/>
        </w:rPr>
        <w:t>to those applied to in</w:t>
      </w:r>
      <w:r>
        <w:rPr>
          <w:rFonts w:cs="Times"/>
          <w:lang w:eastAsia="en-AU"/>
        </w:rPr>
        <w:t>-</w:t>
      </w:r>
      <w:r w:rsidRPr="009412FD">
        <w:rPr>
          <w:rFonts w:cs="Times"/>
          <w:lang w:eastAsia="en-AU"/>
        </w:rPr>
        <w:t>hospital care. Prescribing decisions should be guided by</w:t>
      </w:r>
      <w:r>
        <w:rPr>
          <w:rFonts w:cs="Times"/>
          <w:lang w:eastAsia="en-AU"/>
        </w:rPr>
        <w:t>:</w:t>
      </w:r>
    </w:p>
    <w:p w14:paraId="5B29C8EF" w14:textId="77777777" w:rsidR="006706ED" w:rsidRPr="00F72606" w:rsidRDefault="006706ED" w:rsidP="006706ED">
      <w:pPr>
        <w:pStyle w:val="ListBullet"/>
        <w:rPr>
          <w:lang w:val="en" w:eastAsia="en-AU"/>
        </w:rPr>
      </w:pPr>
      <w:r>
        <w:rPr>
          <w:lang w:val="en" w:eastAsia="en-AU"/>
        </w:rPr>
        <w:t>A</w:t>
      </w:r>
      <w:r w:rsidRPr="00F72606">
        <w:rPr>
          <w:lang w:val="en" w:eastAsia="en-AU"/>
        </w:rPr>
        <w:t>ssessment of whether ongoing antimicrobial therapy is indicated</w:t>
      </w:r>
      <w:r>
        <w:rPr>
          <w:lang w:val="en" w:eastAsia="en-AU"/>
        </w:rPr>
        <w:t xml:space="preserve"> and if HITH admission is required vs oral antimicrobial therapy with GP.</w:t>
      </w:r>
    </w:p>
    <w:p w14:paraId="6D0E5FB3" w14:textId="77777777" w:rsidR="006706ED" w:rsidRDefault="006706ED" w:rsidP="006706ED">
      <w:pPr>
        <w:pStyle w:val="ListBullet"/>
        <w:rPr>
          <w:lang w:val="en" w:eastAsia="en-AU"/>
        </w:rPr>
      </w:pPr>
      <w:r>
        <w:rPr>
          <w:lang w:val="en" w:eastAsia="en-AU"/>
        </w:rPr>
        <w:t>U</w:t>
      </w:r>
      <w:r w:rsidRPr="00F72606">
        <w:rPr>
          <w:lang w:val="en" w:eastAsia="en-AU"/>
        </w:rPr>
        <w:t>se the narrowest spectrum, clinically appropriate antimicrobial based on, where possible, available microbiology</w:t>
      </w:r>
      <w:r>
        <w:rPr>
          <w:lang w:val="en" w:eastAsia="en-AU"/>
        </w:rPr>
        <w:t xml:space="preserve"> (also referred to as “directed therapy”).</w:t>
      </w:r>
    </w:p>
    <w:p w14:paraId="5B7A3EED" w14:textId="77777777" w:rsidR="006706ED" w:rsidRPr="00CA2175" w:rsidRDefault="006706ED" w:rsidP="006706ED">
      <w:pPr>
        <w:pStyle w:val="ListBullet"/>
        <w:rPr>
          <w:lang w:val="en" w:eastAsia="en-AU"/>
        </w:rPr>
      </w:pPr>
      <w:r>
        <w:rPr>
          <w:lang w:val="en" w:eastAsia="en-AU"/>
        </w:rPr>
        <w:t>W</w:t>
      </w:r>
      <w:r w:rsidRPr="00F72606">
        <w:rPr>
          <w:lang w:val="en" w:eastAsia="en-AU"/>
        </w:rPr>
        <w:t xml:space="preserve">hen therapy is not able to be directed by microbiology, follow (in order of preference) local guidelines, </w:t>
      </w:r>
      <w:r>
        <w:rPr>
          <w:lang w:val="en" w:eastAsia="en-AU"/>
        </w:rPr>
        <w:t xml:space="preserve">the </w:t>
      </w:r>
      <w:r w:rsidRPr="00F72606">
        <w:rPr>
          <w:lang w:val="en" w:eastAsia="en-AU"/>
        </w:rPr>
        <w:t>Therapeutic Guidelines</w:t>
      </w:r>
      <w:r>
        <w:rPr>
          <w:lang w:val="en" w:eastAsia="en-AU"/>
        </w:rPr>
        <w:t>:</w:t>
      </w:r>
      <w:r w:rsidRPr="0018069E">
        <w:t xml:space="preserve"> </w:t>
      </w:r>
      <w:hyperlink r:id="rId11" w:history="1">
        <w:r>
          <w:rPr>
            <w:rStyle w:val="Hyperlink"/>
          </w:rPr>
          <w:t>Therapeutic Guidelines Home | Therapeutic Guidelines (tg.org.au)</w:t>
        </w:r>
      </w:hyperlink>
      <w:r>
        <w:rPr>
          <w:lang w:val="en" w:eastAsia="en-AU"/>
        </w:rPr>
        <w:t xml:space="preserve"> Antibiotic,</w:t>
      </w:r>
      <w:r w:rsidRPr="00F72606">
        <w:rPr>
          <w:lang w:val="en" w:eastAsia="en-AU"/>
        </w:rPr>
        <w:t xml:space="preserve"> or else I</w:t>
      </w:r>
      <w:r>
        <w:rPr>
          <w:lang w:val="en" w:eastAsia="en-AU"/>
        </w:rPr>
        <w:t>D</w:t>
      </w:r>
      <w:r w:rsidRPr="00F72606">
        <w:rPr>
          <w:lang w:val="en" w:eastAsia="en-AU"/>
        </w:rPr>
        <w:t>/Antimicrobial Stewardship advice</w:t>
      </w:r>
      <w:r>
        <w:rPr>
          <w:lang w:val="en" w:eastAsia="en-AU"/>
        </w:rPr>
        <w:t>.</w:t>
      </w:r>
    </w:p>
    <w:p w14:paraId="7BCCEF53" w14:textId="77777777" w:rsidR="006706ED" w:rsidRPr="00F72606" w:rsidRDefault="006706ED" w:rsidP="006706ED">
      <w:pPr>
        <w:pStyle w:val="ListBullet"/>
        <w:rPr>
          <w:lang w:val="en" w:eastAsia="en-AU"/>
        </w:rPr>
      </w:pPr>
      <w:r>
        <w:rPr>
          <w:lang w:val="en" w:eastAsia="en-AU"/>
        </w:rPr>
        <w:t>S</w:t>
      </w:r>
      <w:r w:rsidRPr="00F72606">
        <w:rPr>
          <w:lang w:val="en" w:eastAsia="en-AU"/>
        </w:rPr>
        <w:t>elect an appropriate dose, frequency and route; use oral therapy when clinically appropriate and if ongoing IV therapy is required, prescribe according to suitability for HITH administration</w:t>
      </w:r>
      <w:r>
        <w:rPr>
          <w:lang w:val="en" w:eastAsia="en-AU"/>
        </w:rPr>
        <w:t>.</w:t>
      </w:r>
    </w:p>
    <w:p w14:paraId="00062C35" w14:textId="77777777" w:rsidR="006706ED" w:rsidRPr="00F72606" w:rsidRDefault="006706ED" w:rsidP="006706ED">
      <w:pPr>
        <w:pStyle w:val="ListBullet"/>
        <w:rPr>
          <w:lang w:val="en" w:eastAsia="en-AU"/>
        </w:rPr>
      </w:pPr>
      <w:r>
        <w:rPr>
          <w:lang w:val="en" w:eastAsia="en-AU"/>
        </w:rPr>
        <w:t>P</w:t>
      </w:r>
      <w:r w:rsidRPr="00F72606">
        <w:rPr>
          <w:lang w:val="en" w:eastAsia="en-AU"/>
        </w:rPr>
        <w:t>rescribe the shortest possible duration of therapy, consistent with the condition being treated and the patient’s clinical response</w:t>
      </w:r>
      <w:r>
        <w:rPr>
          <w:lang w:val="en" w:eastAsia="en-AU"/>
        </w:rPr>
        <w:t>.</w:t>
      </w:r>
    </w:p>
    <w:p w14:paraId="07DA93D9" w14:textId="77777777" w:rsidR="006706ED" w:rsidRPr="00F72606" w:rsidRDefault="006706ED" w:rsidP="006706ED">
      <w:pPr>
        <w:pStyle w:val="ListBullet"/>
        <w:rPr>
          <w:lang w:val="en" w:eastAsia="en-AU"/>
        </w:rPr>
      </w:pPr>
      <w:r>
        <w:rPr>
          <w:lang w:val="en" w:eastAsia="en-AU"/>
        </w:rPr>
        <w:t>D</w:t>
      </w:r>
      <w:r w:rsidRPr="00F72606">
        <w:rPr>
          <w:lang w:val="en" w:eastAsia="en-AU"/>
        </w:rPr>
        <w:t>ocument the antimicrobial therapy in the patient’s</w:t>
      </w:r>
      <w:r>
        <w:rPr>
          <w:lang w:val="en" w:eastAsia="en-AU"/>
        </w:rPr>
        <w:t xml:space="preserve"> health </w:t>
      </w:r>
      <w:r w:rsidRPr="00F72606">
        <w:rPr>
          <w:lang w:val="en" w:eastAsia="en-AU"/>
        </w:rPr>
        <w:t>record or medication chart</w:t>
      </w:r>
      <w:r>
        <w:rPr>
          <w:lang w:val="en" w:eastAsia="en-AU"/>
        </w:rPr>
        <w:t xml:space="preserve"> in the DHR</w:t>
      </w:r>
      <w:r w:rsidRPr="00F72606">
        <w:rPr>
          <w:lang w:val="en" w:eastAsia="en-AU"/>
        </w:rPr>
        <w:t>, including the indication and the intended duration of therapy before further review or cessation</w:t>
      </w:r>
      <w:r>
        <w:rPr>
          <w:lang w:val="en" w:eastAsia="en-AU"/>
        </w:rPr>
        <w:t>.</w:t>
      </w:r>
    </w:p>
    <w:p w14:paraId="67668DD9" w14:textId="77777777" w:rsidR="006706ED" w:rsidRPr="00F72606" w:rsidRDefault="006706ED" w:rsidP="006706ED">
      <w:pPr>
        <w:pStyle w:val="ListBullet"/>
        <w:rPr>
          <w:lang w:eastAsia="en-AU"/>
        </w:rPr>
      </w:pPr>
      <w:r>
        <w:rPr>
          <w:lang w:val="en" w:eastAsia="en-AU"/>
        </w:rPr>
        <w:t>H</w:t>
      </w:r>
      <w:r w:rsidRPr="00F72606">
        <w:rPr>
          <w:lang w:val="en" w:eastAsia="en-AU"/>
        </w:rPr>
        <w:t>ighly</w:t>
      </w:r>
      <w:r>
        <w:rPr>
          <w:lang w:val="en" w:eastAsia="en-AU"/>
        </w:rPr>
        <w:t xml:space="preserve"> </w:t>
      </w:r>
      <w:r w:rsidRPr="00F72606">
        <w:rPr>
          <w:lang w:val="en" w:eastAsia="en-AU"/>
        </w:rPr>
        <w:t>bioavailable</w:t>
      </w:r>
      <w:r>
        <w:rPr>
          <w:lang w:val="en" w:eastAsia="en-AU"/>
        </w:rPr>
        <w:t xml:space="preserve"> oral </w:t>
      </w:r>
      <w:r w:rsidRPr="00F72606">
        <w:rPr>
          <w:lang w:val="en" w:eastAsia="en-AU"/>
        </w:rPr>
        <w:t xml:space="preserve">antimicrobials should not be administered intravenously when the patient fulfils the requirements for oral or enteral administration.  Highly bioavailable antimicrobials are detailed </w:t>
      </w:r>
      <w:r>
        <w:rPr>
          <w:lang w:val="en" w:eastAsia="en-AU"/>
        </w:rPr>
        <w:t xml:space="preserve">in Table 1 </w:t>
      </w:r>
      <w:r w:rsidRPr="00F72606">
        <w:rPr>
          <w:lang w:val="en" w:eastAsia="en-AU"/>
        </w:rPr>
        <w:t>below</w:t>
      </w:r>
      <w:r>
        <w:rPr>
          <w:lang w:val="en" w:eastAsia="en-AU"/>
        </w:rPr>
        <w:t>.</w:t>
      </w:r>
      <w:r w:rsidRPr="00F72606">
        <w:rPr>
          <w:lang w:val="en" w:eastAsia="en-AU"/>
        </w:rPr>
        <w:t xml:space="preserve"> </w:t>
      </w:r>
    </w:p>
    <w:p w14:paraId="645CB728" w14:textId="77777777" w:rsidR="006706ED" w:rsidRDefault="006706ED" w:rsidP="006706ED">
      <w:pPr>
        <w:pStyle w:val="ListBullet"/>
        <w:rPr>
          <w:lang w:val="en" w:eastAsia="en-AU"/>
        </w:rPr>
      </w:pPr>
      <w:r>
        <w:rPr>
          <w:lang w:val="en" w:eastAsia="en-AU"/>
        </w:rPr>
        <w:t>O</w:t>
      </w:r>
      <w:r w:rsidRPr="00F72606">
        <w:rPr>
          <w:lang w:val="en" w:eastAsia="en-AU"/>
        </w:rPr>
        <w:t>ral rather than IV anti</w:t>
      </w:r>
      <w:r>
        <w:rPr>
          <w:lang w:val="en" w:eastAsia="en-AU"/>
        </w:rPr>
        <w:t>microbials</w:t>
      </w:r>
      <w:r w:rsidRPr="00F72606">
        <w:rPr>
          <w:lang w:val="en" w:eastAsia="en-AU"/>
        </w:rPr>
        <w:t xml:space="preserve"> do not necessarily preclude HITH admission (but may shorten </w:t>
      </w:r>
      <w:r>
        <w:rPr>
          <w:lang w:val="en" w:eastAsia="en-AU"/>
        </w:rPr>
        <w:t>the duration</w:t>
      </w:r>
      <w:r w:rsidRPr="00F72606">
        <w:rPr>
          <w:lang w:val="en" w:eastAsia="en-AU"/>
        </w:rPr>
        <w:t>)</w:t>
      </w:r>
      <w:r>
        <w:rPr>
          <w:lang w:val="en" w:eastAsia="en-AU"/>
        </w:rPr>
        <w:t>.</w:t>
      </w:r>
    </w:p>
    <w:p w14:paraId="53EB74CA" w14:textId="77777777" w:rsidR="006706ED" w:rsidRDefault="006706ED" w:rsidP="006706ED">
      <w:pPr>
        <w:shd w:val="clear" w:color="auto" w:fill="FFFFFF"/>
        <w:spacing w:line="276" w:lineRule="auto"/>
        <w:jc w:val="both"/>
        <w:textAlignment w:val="baseline"/>
        <w:rPr>
          <w:rFonts w:cs="Times"/>
          <w:lang w:eastAsia="en-AU"/>
        </w:rPr>
      </w:pPr>
      <w:r w:rsidRPr="00071548">
        <w:rPr>
          <w:b/>
          <w:bCs/>
          <w:lang w:val="en" w:eastAsia="en-AU"/>
        </w:rPr>
        <w:t>Note</w:t>
      </w:r>
      <w:r>
        <w:rPr>
          <w:lang w:val="en" w:eastAsia="en-AU"/>
        </w:rPr>
        <w:t xml:space="preserve">: </w:t>
      </w:r>
      <w:r w:rsidRPr="009412FD">
        <w:rPr>
          <w:rFonts w:cs="Times"/>
          <w:lang w:eastAsia="en-AU"/>
        </w:rPr>
        <w:t xml:space="preserve">Restricted agents </w:t>
      </w:r>
      <w:r>
        <w:rPr>
          <w:rFonts w:cs="Times"/>
          <w:lang w:eastAsia="en-AU"/>
        </w:rPr>
        <w:t xml:space="preserve">(IV or oral) </w:t>
      </w:r>
      <w:r w:rsidRPr="009412FD">
        <w:rPr>
          <w:rFonts w:cs="Times"/>
          <w:lang w:eastAsia="en-AU"/>
        </w:rPr>
        <w:t xml:space="preserve">require infectious diseases (ID) approval before they can be prescribed. </w:t>
      </w:r>
      <w:r>
        <w:rPr>
          <w:rFonts w:cs="Times"/>
          <w:lang w:eastAsia="en-AU"/>
        </w:rPr>
        <w:t xml:space="preserve">At NCH only the Black restricted antimicrobials require infection diseases approval. </w:t>
      </w:r>
    </w:p>
    <w:p w14:paraId="0AEC3B82" w14:textId="77777777" w:rsidR="006706ED" w:rsidRDefault="006706ED" w:rsidP="006706ED">
      <w:pPr>
        <w:rPr>
          <w:lang w:val="en" w:eastAsia="en-AU"/>
        </w:rPr>
      </w:pPr>
    </w:p>
    <w:p w14:paraId="23B3A0B4" w14:textId="77777777" w:rsidR="006706ED" w:rsidRDefault="006706ED" w:rsidP="006706ED">
      <w:pPr>
        <w:spacing w:after="200" w:line="276" w:lineRule="auto"/>
        <w:rPr>
          <w:lang w:val="en" w:eastAsia="en-AU"/>
        </w:rPr>
      </w:pPr>
      <w:r>
        <w:rPr>
          <w:lang w:val="en" w:eastAsia="en-AU"/>
        </w:rPr>
        <w:br w:type="page"/>
      </w:r>
    </w:p>
    <w:p w14:paraId="3D28CEE4" w14:textId="77777777" w:rsidR="006706ED" w:rsidRPr="00ED3AAC" w:rsidRDefault="006706ED" w:rsidP="006706ED">
      <w:pPr>
        <w:spacing w:after="200"/>
        <w:rPr>
          <w:szCs w:val="24"/>
        </w:rPr>
      </w:pPr>
      <w:r>
        <w:rPr>
          <w:b/>
          <w:bCs/>
          <w:szCs w:val="24"/>
        </w:rPr>
        <w:lastRenderedPageBreak/>
        <w:t xml:space="preserve">Table 1: </w:t>
      </w:r>
      <w:r w:rsidRPr="004F3BE4">
        <w:rPr>
          <w:b/>
          <w:bCs/>
          <w:szCs w:val="24"/>
        </w:rPr>
        <w:t>Highly bioavailable antimicrobials</w:t>
      </w:r>
      <w:r>
        <w:rPr>
          <w:b/>
          <w:bCs/>
          <w:szCs w:val="24"/>
        </w:rPr>
        <w:t xml:space="preserve"> </w:t>
      </w:r>
      <w:r>
        <w:rPr>
          <w:szCs w:val="24"/>
        </w:rPr>
        <w:t xml:space="preserve">(from CHS AMS Procedure) </w:t>
      </w:r>
    </w:p>
    <w:tbl>
      <w:tblPr>
        <w:tblStyle w:val="TableGrid"/>
        <w:tblW w:w="0" w:type="auto"/>
        <w:tblLook w:val="04A0" w:firstRow="1" w:lastRow="0" w:firstColumn="1" w:lastColumn="0" w:noHBand="0" w:noVBand="1"/>
      </w:tblPr>
      <w:tblGrid>
        <w:gridCol w:w="3388"/>
        <w:gridCol w:w="1568"/>
        <w:gridCol w:w="1991"/>
        <w:gridCol w:w="2113"/>
      </w:tblGrid>
      <w:tr w:rsidR="006706ED" w:rsidRPr="00984482" w14:paraId="3241B501" w14:textId="77777777" w:rsidTr="00147382">
        <w:tc>
          <w:tcPr>
            <w:tcW w:w="3388" w:type="dxa"/>
          </w:tcPr>
          <w:p w14:paraId="6195CED4" w14:textId="77777777" w:rsidR="006706ED" w:rsidRPr="00984482" w:rsidRDefault="006706ED" w:rsidP="00147382">
            <w:r w:rsidRPr="00984482">
              <w:t>Antimicrobial</w:t>
            </w:r>
          </w:p>
        </w:tc>
        <w:tc>
          <w:tcPr>
            <w:tcW w:w="1568" w:type="dxa"/>
          </w:tcPr>
          <w:p w14:paraId="4B2C783A" w14:textId="77777777" w:rsidR="006706ED" w:rsidRPr="00984482" w:rsidRDefault="006706ED" w:rsidP="00147382">
            <w:r w:rsidRPr="00984482">
              <w:t>Approximate bioavailability</w:t>
            </w:r>
          </w:p>
        </w:tc>
        <w:tc>
          <w:tcPr>
            <w:tcW w:w="1991" w:type="dxa"/>
          </w:tcPr>
          <w:p w14:paraId="040D216A" w14:textId="77777777" w:rsidR="006706ED" w:rsidRPr="00984482" w:rsidRDefault="006706ED" w:rsidP="00147382">
            <w:r w:rsidRPr="00984482">
              <w:t>IV dose</w:t>
            </w:r>
          </w:p>
        </w:tc>
        <w:tc>
          <w:tcPr>
            <w:tcW w:w="2113" w:type="dxa"/>
          </w:tcPr>
          <w:p w14:paraId="06C798E8" w14:textId="77777777" w:rsidR="006706ED" w:rsidRPr="00984482" w:rsidRDefault="006706ED" w:rsidP="00147382">
            <w:r w:rsidRPr="00984482">
              <w:t>PO dose</w:t>
            </w:r>
          </w:p>
        </w:tc>
      </w:tr>
      <w:tr w:rsidR="006706ED" w:rsidRPr="00984482" w14:paraId="02843CF4" w14:textId="77777777" w:rsidTr="00147382">
        <w:tc>
          <w:tcPr>
            <w:tcW w:w="3388" w:type="dxa"/>
          </w:tcPr>
          <w:p w14:paraId="1DC9AE19" w14:textId="77777777" w:rsidR="006706ED" w:rsidRPr="00984482" w:rsidRDefault="006706ED" w:rsidP="00147382">
            <w:r w:rsidRPr="00984482">
              <w:t>Amoxicillin</w:t>
            </w:r>
          </w:p>
          <w:p w14:paraId="5D28BA8A" w14:textId="77777777" w:rsidR="006706ED" w:rsidRPr="00984482" w:rsidRDefault="006706ED" w:rsidP="00147382">
            <w:pPr>
              <w:rPr>
                <w:i/>
                <w:iCs/>
              </w:rPr>
            </w:pPr>
            <w:bookmarkStart w:id="17" w:name="_Hlk65143500"/>
            <w:r w:rsidRPr="00984482">
              <w:rPr>
                <w:i/>
                <w:iCs/>
              </w:rPr>
              <w:t>*</w:t>
            </w:r>
            <w:bookmarkEnd w:id="17"/>
            <w:r w:rsidRPr="00984482">
              <w:rPr>
                <w:i/>
                <w:iCs/>
              </w:rPr>
              <w:t>(Ampicillin is IV equivalent)</w:t>
            </w:r>
          </w:p>
        </w:tc>
        <w:tc>
          <w:tcPr>
            <w:tcW w:w="1568" w:type="dxa"/>
          </w:tcPr>
          <w:p w14:paraId="7E892894" w14:textId="77777777" w:rsidR="006706ED" w:rsidRPr="00984482" w:rsidRDefault="006706ED" w:rsidP="00147382">
            <w:r w:rsidRPr="00984482">
              <w:t>80%</w:t>
            </w:r>
          </w:p>
        </w:tc>
        <w:tc>
          <w:tcPr>
            <w:tcW w:w="1991" w:type="dxa"/>
          </w:tcPr>
          <w:p w14:paraId="6EE6BDE8" w14:textId="77777777" w:rsidR="006706ED" w:rsidRPr="00984482" w:rsidRDefault="006706ED" w:rsidP="00147382">
            <w:r w:rsidRPr="00984482">
              <w:t>2000mg Q4-6H*</w:t>
            </w:r>
          </w:p>
        </w:tc>
        <w:tc>
          <w:tcPr>
            <w:tcW w:w="2113" w:type="dxa"/>
          </w:tcPr>
          <w:p w14:paraId="25106F22" w14:textId="77777777" w:rsidR="006706ED" w:rsidRPr="00984482" w:rsidRDefault="006706ED" w:rsidP="00147382">
            <w:r w:rsidRPr="00984482">
              <w:t>500-1000mg TDS</w:t>
            </w:r>
          </w:p>
        </w:tc>
      </w:tr>
      <w:tr w:rsidR="006706ED" w:rsidRPr="00984482" w14:paraId="6F6E3C17" w14:textId="77777777" w:rsidTr="00147382">
        <w:tc>
          <w:tcPr>
            <w:tcW w:w="3388" w:type="dxa"/>
          </w:tcPr>
          <w:p w14:paraId="262308B3" w14:textId="77777777" w:rsidR="006706ED" w:rsidRPr="00984482" w:rsidRDefault="006706ED" w:rsidP="00147382">
            <w:r w:rsidRPr="00984482">
              <w:t>Ciprofloxacin</w:t>
            </w:r>
          </w:p>
        </w:tc>
        <w:tc>
          <w:tcPr>
            <w:tcW w:w="1568" w:type="dxa"/>
          </w:tcPr>
          <w:p w14:paraId="29118D61" w14:textId="77777777" w:rsidR="006706ED" w:rsidRPr="00984482" w:rsidRDefault="006706ED" w:rsidP="00147382">
            <w:r w:rsidRPr="00984482">
              <w:t>70-80%</w:t>
            </w:r>
          </w:p>
        </w:tc>
        <w:tc>
          <w:tcPr>
            <w:tcW w:w="1991" w:type="dxa"/>
          </w:tcPr>
          <w:p w14:paraId="21697E42" w14:textId="77777777" w:rsidR="006706ED" w:rsidRPr="00984482" w:rsidRDefault="006706ED" w:rsidP="00147382">
            <w:r w:rsidRPr="00984482">
              <w:t>400mg Q8-12H</w:t>
            </w:r>
          </w:p>
        </w:tc>
        <w:tc>
          <w:tcPr>
            <w:tcW w:w="2113" w:type="dxa"/>
          </w:tcPr>
          <w:p w14:paraId="671D7068" w14:textId="77777777" w:rsidR="006706ED" w:rsidRPr="00984482" w:rsidRDefault="006706ED" w:rsidP="00147382">
            <w:r w:rsidRPr="00984482">
              <w:t>500mg BD</w:t>
            </w:r>
          </w:p>
        </w:tc>
      </w:tr>
      <w:tr w:rsidR="006706ED" w:rsidRPr="00984482" w14:paraId="2F445A19" w14:textId="77777777" w:rsidTr="00147382">
        <w:tc>
          <w:tcPr>
            <w:tcW w:w="3388" w:type="dxa"/>
          </w:tcPr>
          <w:p w14:paraId="73043749" w14:textId="77777777" w:rsidR="006706ED" w:rsidRPr="00984482" w:rsidRDefault="006706ED" w:rsidP="00147382">
            <w:r w:rsidRPr="00984482">
              <w:t>Clindamycin</w:t>
            </w:r>
          </w:p>
        </w:tc>
        <w:tc>
          <w:tcPr>
            <w:tcW w:w="1568" w:type="dxa"/>
          </w:tcPr>
          <w:p w14:paraId="03C9F252" w14:textId="77777777" w:rsidR="006706ED" w:rsidRPr="00984482" w:rsidRDefault="006706ED" w:rsidP="00147382">
            <w:r w:rsidRPr="00984482">
              <w:t>~90%</w:t>
            </w:r>
          </w:p>
        </w:tc>
        <w:tc>
          <w:tcPr>
            <w:tcW w:w="1991" w:type="dxa"/>
          </w:tcPr>
          <w:p w14:paraId="7561DE92" w14:textId="77777777" w:rsidR="006706ED" w:rsidRPr="00984482" w:rsidRDefault="006706ED" w:rsidP="00147382">
            <w:r w:rsidRPr="00984482">
              <w:t>600mg Q8H</w:t>
            </w:r>
          </w:p>
        </w:tc>
        <w:tc>
          <w:tcPr>
            <w:tcW w:w="2113" w:type="dxa"/>
          </w:tcPr>
          <w:p w14:paraId="46A47C60" w14:textId="77777777" w:rsidR="006706ED" w:rsidRPr="00984482" w:rsidRDefault="006706ED" w:rsidP="00147382">
            <w:r w:rsidRPr="00984482">
              <w:t>450mg TDS</w:t>
            </w:r>
          </w:p>
        </w:tc>
      </w:tr>
      <w:tr w:rsidR="006706ED" w:rsidRPr="00984482" w14:paraId="4C7B5A94" w14:textId="77777777" w:rsidTr="00147382">
        <w:tc>
          <w:tcPr>
            <w:tcW w:w="3388" w:type="dxa"/>
          </w:tcPr>
          <w:p w14:paraId="6C414825" w14:textId="77777777" w:rsidR="006706ED" w:rsidRPr="00984482" w:rsidRDefault="006706ED" w:rsidP="00147382">
            <w:r w:rsidRPr="00984482">
              <w:t>Fluconazole</w:t>
            </w:r>
          </w:p>
        </w:tc>
        <w:tc>
          <w:tcPr>
            <w:tcW w:w="1568" w:type="dxa"/>
          </w:tcPr>
          <w:p w14:paraId="1F79B632" w14:textId="77777777" w:rsidR="006706ED" w:rsidRPr="00984482" w:rsidRDefault="006706ED" w:rsidP="00147382">
            <w:r w:rsidRPr="00984482">
              <w:t>&gt;90%</w:t>
            </w:r>
          </w:p>
        </w:tc>
        <w:tc>
          <w:tcPr>
            <w:tcW w:w="4104" w:type="dxa"/>
            <w:gridSpan w:val="2"/>
          </w:tcPr>
          <w:p w14:paraId="1B4F4E4B" w14:textId="77777777" w:rsidR="006706ED" w:rsidRPr="00984482" w:rsidRDefault="006706ED" w:rsidP="00147382">
            <w:r w:rsidRPr="00984482">
              <w:t>IV and oral dose are equivalent</w:t>
            </w:r>
          </w:p>
        </w:tc>
      </w:tr>
      <w:tr w:rsidR="006706ED" w:rsidRPr="00984482" w14:paraId="128C6B98" w14:textId="77777777" w:rsidTr="00147382">
        <w:tc>
          <w:tcPr>
            <w:tcW w:w="3388" w:type="dxa"/>
          </w:tcPr>
          <w:p w14:paraId="334EB69C" w14:textId="77777777" w:rsidR="006706ED" w:rsidRPr="00984482" w:rsidRDefault="006706ED" w:rsidP="00147382">
            <w:r w:rsidRPr="00984482">
              <w:t>Linezolid</w:t>
            </w:r>
          </w:p>
        </w:tc>
        <w:tc>
          <w:tcPr>
            <w:tcW w:w="1568" w:type="dxa"/>
          </w:tcPr>
          <w:p w14:paraId="6DC04627" w14:textId="77777777" w:rsidR="006706ED" w:rsidRPr="00984482" w:rsidRDefault="006706ED" w:rsidP="00147382">
            <w:r w:rsidRPr="00984482">
              <w:t>~100%</w:t>
            </w:r>
          </w:p>
        </w:tc>
        <w:tc>
          <w:tcPr>
            <w:tcW w:w="4104" w:type="dxa"/>
            <w:gridSpan w:val="2"/>
          </w:tcPr>
          <w:p w14:paraId="04502AF3" w14:textId="77777777" w:rsidR="006706ED" w:rsidRPr="00984482" w:rsidRDefault="006706ED" w:rsidP="00147382">
            <w:r w:rsidRPr="00984482">
              <w:t>IV and oral dose are equivalent</w:t>
            </w:r>
          </w:p>
        </w:tc>
      </w:tr>
      <w:tr w:rsidR="006706ED" w:rsidRPr="00984482" w14:paraId="64EDA1E5" w14:textId="77777777" w:rsidTr="00147382">
        <w:tc>
          <w:tcPr>
            <w:tcW w:w="3388" w:type="dxa"/>
          </w:tcPr>
          <w:p w14:paraId="30086C5A" w14:textId="77777777" w:rsidR="006706ED" w:rsidRPr="00984482" w:rsidRDefault="006706ED" w:rsidP="00147382">
            <w:r w:rsidRPr="00984482">
              <w:t>Metronidazole</w:t>
            </w:r>
          </w:p>
        </w:tc>
        <w:tc>
          <w:tcPr>
            <w:tcW w:w="1568" w:type="dxa"/>
          </w:tcPr>
          <w:p w14:paraId="4E319322" w14:textId="77777777" w:rsidR="006706ED" w:rsidRPr="00984482" w:rsidRDefault="006706ED" w:rsidP="00147382">
            <w:r w:rsidRPr="00984482">
              <w:t>100%</w:t>
            </w:r>
          </w:p>
        </w:tc>
        <w:tc>
          <w:tcPr>
            <w:tcW w:w="1991" w:type="dxa"/>
          </w:tcPr>
          <w:p w14:paraId="5EE66268" w14:textId="77777777" w:rsidR="006706ED" w:rsidRPr="00984482" w:rsidRDefault="006706ED" w:rsidP="00147382">
            <w:r w:rsidRPr="00984482">
              <w:t>500mg BD</w:t>
            </w:r>
          </w:p>
        </w:tc>
        <w:tc>
          <w:tcPr>
            <w:tcW w:w="2113" w:type="dxa"/>
          </w:tcPr>
          <w:p w14:paraId="475A0E91" w14:textId="77777777" w:rsidR="006706ED" w:rsidRPr="00984482" w:rsidRDefault="006706ED" w:rsidP="00147382">
            <w:r w:rsidRPr="00984482">
              <w:t xml:space="preserve">400mg BD for common infections (except </w:t>
            </w:r>
            <w:r w:rsidRPr="00984482">
              <w:rPr>
                <w:i/>
                <w:iCs/>
              </w:rPr>
              <w:t>C. difficile</w:t>
            </w:r>
            <w:r w:rsidRPr="00984482">
              <w:t xml:space="preserve"> therapy)</w:t>
            </w:r>
          </w:p>
        </w:tc>
      </w:tr>
      <w:tr w:rsidR="006706ED" w:rsidRPr="00984482" w14:paraId="1E36E108" w14:textId="77777777" w:rsidTr="00147382">
        <w:tc>
          <w:tcPr>
            <w:tcW w:w="3388" w:type="dxa"/>
          </w:tcPr>
          <w:p w14:paraId="0B68CA80" w14:textId="77777777" w:rsidR="006706ED" w:rsidRPr="00984482" w:rsidRDefault="006706ED" w:rsidP="00147382">
            <w:r w:rsidRPr="00984482">
              <w:t>Moxifloxacin</w:t>
            </w:r>
          </w:p>
        </w:tc>
        <w:tc>
          <w:tcPr>
            <w:tcW w:w="1568" w:type="dxa"/>
          </w:tcPr>
          <w:p w14:paraId="4E2D5116" w14:textId="77777777" w:rsidR="006706ED" w:rsidRPr="00984482" w:rsidRDefault="006706ED" w:rsidP="00147382">
            <w:r w:rsidRPr="00984482">
              <w:t>~90%</w:t>
            </w:r>
          </w:p>
        </w:tc>
        <w:tc>
          <w:tcPr>
            <w:tcW w:w="4104" w:type="dxa"/>
            <w:gridSpan w:val="2"/>
          </w:tcPr>
          <w:p w14:paraId="3B8CA8DC" w14:textId="77777777" w:rsidR="006706ED" w:rsidRPr="00984482" w:rsidRDefault="006706ED" w:rsidP="00147382">
            <w:r w:rsidRPr="00984482">
              <w:t>IV and oral dose are equivalent</w:t>
            </w:r>
          </w:p>
        </w:tc>
      </w:tr>
      <w:tr w:rsidR="006706ED" w:rsidRPr="00984482" w14:paraId="418B26B1" w14:textId="77777777" w:rsidTr="00147382">
        <w:tc>
          <w:tcPr>
            <w:tcW w:w="3388" w:type="dxa"/>
          </w:tcPr>
          <w:p w14:paraId="3A63B2F8" w14:textId="77777777" w:rsidR="006706ED" w:rsidRPr="00984482" w:rsidRDefault="006706ED" w:rsidP="00147382">
            <w:r w:rsidRPr="00984482">
              <w:t>Trimethoprim/sulfamethoxazole</w:t>
            </w:r>
          </w:p>
        </w:tc>
        <w:tc>
          <w:tcPr>
            <w:tcW w:w="1568" w:type="dxa"/>
          </w:tcPr>
          <w:p w14:paraId="1DD59D60" w14:textId="77777777" w:rsidR="006706ED" w:rsidRPr="00984482" w:rsidRDefault="006706ED" w:rsidP="00147382">
            <w:r w:rsidRPr="00984482">
              <w:t>90-100%</w:t>
            </w:r>
          </w:p>
        </w:tc>
        <w:tc>
          <w:tcPr>
            <w:tcW w:w="4104" w:type="dxa"/>
            <w:gridSpan w:val="2"/>
          </w:tcPr>
          <w:p w14:paraId="27033814" w14:textId="77777777" w:rsidR="006706ED" w:rsidRPr="00984482" w:rsidRDefault="006706ED" w:rsidP="00147382">
            <w:r w:rsidRPr="00984482">
              <w:t>IV and oral dose are equivalent</w:t>
            </w:r>
          </w:p>
        </w:tc>
      </w:tr>
      <w:tr w:rsidR="006706ED" w:rsidRPr="00984482" w14:paraId="43445273" w14:textId="77777777" w:rsidTr="00147382">
        <w:tc>
          <w:tcPr>
            <w:tcW w:w="3388" w:type="dxa"/>
          </w:tcPr>
          <w:p w14:paraId="12581C76" w14:textId="77777777" w:rsidR="006706ED" w:rsidRPr="00984482" w:rsidRDefault="006706ED" w:rsidP="00147382">
            <w:r w:rsidRPr="00984482">
              <w:t>Voriconazole</w:t>
            </w:r>
          </w:p>
        </w:tc>
        <w:tc>
          <w:tcPr>
            <w:tcW w:w="1568" w:type="dxa"/>
          </w:tcPr>
          <w:p w14:paraId="59488B45" w14:textId="77777777" w:rsidR="006706ED" w:rsidRPr="00984482" w:rsidRDefault="006706ED" w:rsidP="00147382">
            <w:r w:rsidRPr="00984482">
              <w:t>~96%</w:t>
            </w:r>
          </w:p>
        </w:tc>
        <w:tc>
          <w:tcPr>
            <w:tcW w:w="4104" w:type="dxa"/>
            <w:gridSpan w:val="2"/>
          </w:tcPr>
          <w:p w14:paraId="4F13BCF1" w14:textId="77777777" w:rsidR="006706ED" w:rsidRPr="00984482" w:rsidRDefault="006706ED" w:rsidP="00147382">
            <w:r w:rsidRPr="00984482">
              <w:t>IV and oral dose are equivalent</w:t>
            </w:r>
          </w:p>
        </w:tc>
      </w:tr>
    </w:tbl>
    <w:p w14:paraId="2F1BEB02" w14:textId="77777777" w:rsidR="006706ED" w:rsidRDefault="006706ED" w:rsidP="006706ED">
      <w:pPr>
        <w:rPr>
          <w:b/>
          <w:bCs/>
          <w:lang w:val="en" w:eastAsia="en-AU"/>
        </w:rPr>
      </w:pPr>
    </w:p>
    <w:p w14:paraId="5D136E69" w14:textId="77777777" w:rsidR="006706ED" w:rsidRDefault="006706ED" w:rsidP="006706ED">
      <w:pPr>
        <w:pStyle w:val="Heading2"/>
        <w:rPr>
          <w:lang w:eastAsia="en-AU"/>
        </w:rPr>
      </w:pPr>
      <w:bookmarkStart w:id="18" w:name="_Toc112678505"/>
      <w:r w:rsidRPr="006B4697">
        <w:rPr>
          <w:lang w:eastAsia="en-AU"/>
        </w:rPr>
        <w:t>2.</w:t>
      </w:r>
      <w:r>
        <w:rPr>
          <w:lang w:eastAsia="en-AU"/>
        </w:rPr>
        <w:t xml:space="preserve"> Specific</w:t>
      </w:r>
      <w:r w:rsidRPr="006B4697">
        <w:rPr>
          <w:lang w:eastAsia="en-AU"/>
        </w:rPr>
        <w:t xml:space="preserve"> HITH Antimicrobial Suitability</w:t>
      </w:r>
      <w:bookmarkEnd w:id="18"/>
    </w:p>
    <w:p w14:paraId="4D7FA54F" w14:textId="77777777" w:rsidR="006706ED" w:rsidRPr="000E4FE4" w:rsidRDefault="006706ED" w:rsidP="006706ED">
      <w:pPr>
        <w:pStyle w:val="ListBullet"/>
        <w:rPr>
          <w:lang w:val="en" w:eastAsia="en-AU"/>
        </w:rPr>
      </w:pPr>
      <w:r>
        <w:rPr>
          <w:lang w:val="en" w:eastAsia="en-AU"/>
        </w:rPr>
        <w:t xml:space="preserve">IV </w:t>
      </w:r>
      <w:r w:rsidRPr="000E4FE4">
        <w:rPr>
          <w:lang w:val="en" w:eastAsia="en-AU"/>
        </w:rPr>
        <w:t xml:space="preserve">antimicrobials administered in HITH must have certain characteristics, such as </w:t>
      </w:r>
      <w:r w:rsidRPr="000E4FE4">
        <w:rPr>
          <w:b/>
          <w:bCs/>
          <w:lang w:val="en" w:eastAsia="en-AU"/>
        </w:rPr>
        <w:t>antimicrobial stability</w:t>
      </w:r>
      <w:r w:rsidRPr="000E4FE4">
        <w:rPr>
          <w:lang w:val="en" w:eastAsia="en-AU"/>
        </w:rPr>
        <w:t xml:space="preserve"> and a </w:t>
      </w:r>
      <w:r w:rsidRPr="000E4FE4">
        <w:rPr>
          <w:b/>
          <w:bCs/>
          <w:lang w:val="en" w:eastAsia="en-AU"/>
        </w:rPr>
        <w:t>low frequency of administration</w:t>
      </w:r>
      <w:r w:rsidRPr="000E4FE4">
        <w:rPr>
          <w:lang w:val="en" w:eastAsia="en-AU"/>
        </w:rPr>
        <w:t xml:space="preserve"> which may be facilitated by specialised IV infusion devices. </w:t>
      </w:r>
    </w:p>
    <w:p w14:paraId="34F5A882" w14:textId="77777777" w:rsidR="006706ED" w:rsidRPr="000E4FE4" w:rsidRDefault="006706ED" w:rsidP="006706ED">
      <w:pPr>
        <w:pStyle w:val="ListBullet"/>
      </w:pPr>
      <w:r w:rsidRPr="000E4FE4">
        <w:t xml:space="preserve">A list of </w:t>
      </w:r>
      <w:r w:rsidRPr="00CA1A2A">
        <w:rPr>
          <w:b/>
          <w:bCs/>
        </w:rPr>
        <w:t>suitable anti</w:t>
      </w:r>
      <w:r>
        <w:rPr>
          <w:b/>
          <w:bCs/>
        </w:rPr>
        <w:t>microbials</w:t>
      </w:r>
      <w:r w:rsidRPr="00CA1A2A">
        <w:rPr>
          <w:b/>
          <w:bCs/>
        </w:rPr>
        <w:t xml:space="preserve"> for infectious diseases commonly treated in HITH</w:t>
      </w:r>
      <w:r w:rsidRPr="000E4FE4">
        <w:t xml:space="preserve"> is suggested in </w:t>
      </w:r>
      <w:r>
        <w:t>S</w:t>
      </w:r>
      <w:r w:rsidRPr="000E4FE4">
        <w:t xml:space="preserve">ection 2 and </w:t>
      </w:r>
      <w:r w:rsidRPr="00CA1A2A">
        <w:rPr>
          <w:b/>
          <w:bCs/>
        </w:rPr>
        <w:t>methods of administration</w:t>
      </w:r>
      <w:r w:rsidRPr="000E4FE4">
        <w:t xml:space="preserve"> in </w:t>
      </w:r>
      <w:r>
        <w:t>S</w:t>
      </w:r>
      <w:r w:rsidRPr="000E4FE4">
        <w:t xml:space="preserve">ection 3. </w:t>
      </w:r>
    </w:p>
    <w:p w14:paraId="4F4E50C7" w14:textId="77777777" w:rsidR="006706ED" w:rsidRDefault="006706ED" w:rsidP="006706ED">
      <w:pPr>
        <w:pStyle w:val="ListBullet"/>
        <w:rPr>
          <w:rFonts w:cs="Times"/>
          <w:lang w:eastAsia="en-AU"/>
        </w:rPr>
      </w:pPr>
      <w:r w:rsidRPr="00C175D1">
        <w:rPr>
          <w:rFonts w:cs="Times"/>
          <w:b/>
          <w:bCs/>
          <w:lang w:eastAsia="en-AU"/>
        </w:rPr>
        <w:t>Antimicrobial Stewardship</w:t>
      </w:r>
      <w:r>
        <w:rPr>
          <w:rFonts w:cs="Times"/>
          <w:lang w:eastAsia="en-AU"/>
        </w:rPr>
        <w:t>. A</w:t>
      </w:r>
      <w:r w:rsidRPr="00FE3B73">
        <w:rPr>
          <w:rFonts w:cs="Times"/>
          <w:lang w:eastAsia="en-AU"/>
        </w:rPr>
        <w:t>nti</w:t>
      </w:r>
      <w:r>
        <w:rPr>
          <w:rFonts w:cs="Times"/>
          <w:lang w:eastAsia="en-AU"/>
        </w:rPr>
        <w:t>microbials</w:t>
      </w:r>
      <w:r w:rsidRPr="00FE3B73">
        <w:rPr>
          <w:rFonts w:cs="Times"/>
          <w:lang w:eastAsia="en-AU"/>
        </w:rPr>
        <w:t xml:space="preserve"> that are usually prescribed once daily</w:t>
      </w:r>
      <w:r>
        <w:rPr>
          <w:rFonts w:cs="Times"/>
          <w:lang w:eastAsia="en-AU"/>
        </w:rPr>
        <w:t>,</w:t>
      </w:r>
      <w:r w:rsidRPr="00FE3B73">
        <w:rPr>
          <w:rFonts w:cs="Times"/>
          <w:lang w:eastAsia="en-AU"/>
        </w:rPr>
        <w:t xml:space="preserve"> such as ceftriaxone</w:t>
      </w:r>
      <w:r>
        <w:rPr>
          <w:rFonts w:cs="Times"/>
          <w:lang w:eastAsia="en-AU"/>
        </w:rPr>
        <w:t>,</w:t>
      </w:r>
      <w:r w:rsidRPr="00FE3B73">
        <w:rPr>
          <w:rFonts w:cs="Times"/>
          <w:lang w:eastAsia="en-AU"/>
        </w:rPr>
        <w:t xml:space="preserve"> should not be utilised in HITH purely for convenience when a narrower spectrum agent option is available</w:t>
      </w:r>
      <w:r>
        <w:rPr>
          <w:rFonts w:cs="Times"/>
          <w:lang w:eastAsia="en-AU"/>
        </w:rPr>
        <w:t>.</w:t>
      </w:r>
      <w:r w:rsidRPr="00FE3B73">
        <w:rPr>
          <w:rFonts w:cs="Times"/>
          <w:lang w:eastAsia="en-AU"/>
        </w:rPr>
        <w:t xml:space="preserve"> </w:t>
      </w:r>
      <w:r>
        <w:rPr>
          <w:rFonts w:cs="Times"/>
          <w:lang w:eastAsia="en-AU"/>
        </w:rPr>
        <w:t>For example,</w:t>
      </w:r>
      <w:r w:rsidRPr="00FE3B73">
        <w:rPr>
          <w:rFonts w:cs="Times"/>
          <w:lang w:eastAsia="en-AU"/>
        </w:rPr>
        <w:t xml:space="preserve"> buffered benzylpenicillin can be prescribed as a 24</w:t>
      </w:r>
      <w:r>
        <w:rPr>
          <w:rFonts w:cs="Times"/>
          <w:lang w:eastAsia="en-AU"/>
        </w:rPr>
        <w:t xml:space="preserve"> </w:t>
      </w:r>
      <w:r w:rsidRPr="00FE3B73">
        <w:rPr>
          <w:rFonts w:cs="Times"/>
          <w:lang w:eastAsia="en-AU"/>
        </w:rPr>
        <w:t>hour infusion rather than using a once daily ceftriaxone injection</w:t>
      </w:r>
      <w:r>
        <w:rPr>
          <w:rFonts w:cs="Times"/>
          <w:lang w:eastAsia="en-AU"/>
        </w:rPr>
        <w:t xml:space="preserve"> in the treatment of community acquired pneumonia</w:t>
      </w:r>
    </w:p>
    <w:p w14:paraId="0A7DBC10" w14:textId="77777777" w:rsidR="006706ED" w:rsidRPr="00CA1A2A" w:rsidRDefault="006706ED" w:rsidP="006706ED">
      <w:pPr>
        <w:pStyle w:val="ListBullet"/>
        <w:rPr>
          <w:rFonts w:cs="Arial"/>
          <w:lang w:eastAsia="en-AU"/>
        </w:rPr>
      </w:pPr>
      <w:r w:rsidRPr="00CA1A2A">
        <w:rPr>
          <w:rFonts w:cs="Arial"/>
          <w:b/>
          <w:color w:val="333333"/>
          <w:lang w:eastAsia="en-AU"/>
        </w:rPr>
        <w:t>Oral Anti</w:t>
      </w:r>
      <w:r>
        <w:rPr>
          <w:rFonts w:cs="Arial"/>
          <w:b/>
          <w:color w:val="333333"/>
          <w:lang w:eastAsia="en-AU"/>
        </w:rPr>
        <w:t>microbials</w:t>
      </w:r>
      <w:r w:rsidRPr="00CA1A2A">
        <w:rPr>
          <w:rFonts w:cs="Arial"/>
          <w:color w:val="333333"/>
          <w:lang w:eastAsia="en-AU"/>
        </w:rPr>
        <w:t>. H</w:t>
      </w:r>
      <w:r w:rsidRPr="00CA1A2A">
        <w:rPr>
          <w:rFonts w:cs="Arial"/>
          <w:lang w:eastAsia="en-AU"/>
        </w:rPr>
        <w:t>ome-based</w:t>
      </w:r>
      <w:r>
        <w:rPr>
          <w:rFonts w:cs="Arial"/>
          <w:lang w:eastAsia="en-AU"/>
        </w:rPr>
        <w:t xml:space="preserve"> IV</w:t>
      </w:r>
      <w:r w:rsidRPr="00CA1A2A">
        <w:rPr>
          <w:rFonts w:cs="Arial"/>
          <w:lang w:eastAsia="en-AU"/>
        </w:rPr>
        <w:t xml:space="preserve"> therapy should only be undertaken when oral therapy is not appropriate – when the infection has not responded to appropriate oral anti</w:t>
      </w:r>
      <w:r>
        <w:rPr>
          <w:rFonts w:cs="Arial"/>
          <w:lang w:eastAsia="en-AU"/>
        </w:rPr>
        <w:t>microbials,</w:t>
      </w:r>
      <w:r w:rsidRPr="00CA1A2A">
        <w:rPr>
          <w:rFonts w:cs="Arial"/>
          <w:lang w:eastAsia="en-AU"/>
        </w:rPr>
        <w:t xml:space="preserve"> the infection is judged to be moderately severe at diagnosis (severe infection should be treated in hospital)</w:t>
      </w:r>
      <w:r>
        <w:rPr>
          <w:rFonts w:cs="Arial"/>
          <w:lang w:eastAsia="en-AU"/>
        </w:rPr>
        <w:t xml:space="preserve"> or a suitable oral antimicrobial is not available for the specific infection.</w:t>
      </w:r>
    </w:p>
    <w:p w14:paraId="14A45628" w14:textId="77777777" w:rsidR="006706ED" w:rsidRPr="00C175D1" w:rsidRDefault="006706ED" w:rsidP="006706ED">
      <w:pPr>
        <w:pStyle w:val="ListBullet"/>
        <w:rPr>
          <w:rFonts w:cs="Times"/>
          <w:lang w:eastAsia="en-AU"/>
        </w:rPr>
      </w:pPr>
      <w:r>
        <w:rPr>
          <w:rFonts w:cs="Times"/>
          <w:lang w:eastAsia="en-AU"/>
        </w:rPr>
        <w:t>S</w:t>
      </w:r>
      <w:r w:rsidRPr="00CA1A2A">
        <w:rPr>
          <w:rFonts w:cs="Times"/>
          <w:lang w:eastAsia="en-AU"/>
        </w:rPr>
        <w:t>ome anti</w:t>
      </w:r>
      <w:r>
        <w:rPr>
          <w:rFonts w:cs="Times"/>
          <w:lang w:eastAsia="en-AU"/>
        </w:rPr>
        <w:t>microbials</w:t>
      </w:r>
      <w:r w:rsidRPr="00CA1A2A">
        <w:rPr>
          <w:rFonts w:cs="Times"/>
          <w:lang w:eastAsia="en-AU"/>
        </w:rPr>
        <w:t xml:space="preserve"> have sufficient oral bioavailability such that oral doses achieve serum drug levels comparable to those after </w:t>
      </w:r>
      <w:r>
        <w:rPr>
          <w:rFonts w:cs="Times"/>
          <w:lang w:eastAsia="en-AU"/>
        </w:rPr>
        <w:t>IV</w:t>
      </w:r>
      <w:r w:rsidRPr="00CA1A2A">
        <w:rPr>
          <w:rFonts w:cs="Times"/>
          <w:lang w:eastAsia="en-AU"/>
        </w:rPr>
        <w:t xml:space="preserve"> administration</w:t>
      </w:r>
      <w:r w:rsidRPr="00CA1A2A">
        <w:rPr>
          <w:rFonts w:cs="Times"/>
          <w:color w:val="FF0000"/>
          <w:lang w:eastAsia="en-AU"/>
        </w:rPr>
        <w:t xml:space="preserve"> </w:t>
      </w:r>
      <w:r w:rsidRPr="00CA1A2A">
        <w:rPr>
          <w:rFonts w:cs="Times"/>
          <w:lang w:eastAsia="en-AU"/>
        </w:rPr>
        <w:t>in patients with normal intestinal</w:t>
      </w:r>
      <w:r w:rsidRPr="00CA1A2A">
        <w:rPr>
          <w:rFonts w:ascii="Arial" w:hAnsi="Arial" w:cs="Times"/>
          <w:color w:val="FF0000"/>
          <w:lang w:eastAsia="en-AU"/>
        </w:rPr>
        <w:t xml:space="preserve"> </w:t>
      </w:r>
      <w:r w:rsidRPr="00CA1A2A">
        <w:rPr>
          <w:rFonts w:cs="Times"/>
          <w:lang w:eastAsia="en-AU"/>
        </w:rPr>
        <w:t>absorption</w:t>
      </w:r>
      <w:bookmarkStart w:id="19" w:name="elementId-1071302"/>
      <w:bookmarkEnd w:id="19"/>
      <w:r>
        <w:rPr>
          <w:rFonts w:cs="Times"/>
          <w:lang w:eastAsia="en-AU"/>
        </w:rPr>
        <w:t xml:space="preserve">. </w:t>
      </w:r>
      <w:r w:rsidRPr="00C175D1">
        <w:rPr>
          <w:rFonts w:cs="Arial"/>
          <w:lang w:eastAsia="en-AU"/>
        </w:rPr>
        <w:t>It may still be appropriate for a patient on oral</w:t>
      </w:r>
      <w:r>
        <w:rPr>
          <w:rFonts w:cs="Arial"/>
          <w:lang w:eastAsia="en-AU"/>
        </w:rPr>
        <w:t xml:space="preserve"> </w:t>
      </w:r>
      <w:r w:rsidRPr="00C175D1">
        <w:rPr>
          <w:rFonts w:cs="Arial"/>
          <w:lang w:eastAsia="en-AU"/>
        </w:rPr>
        <w:t>antimicrobials to be admitted under HITH, at least initially, for more intensive observation/monitoring purposes.</w:t>
      </w:r>
    </w:p>
    <w:p w14:paraId="7F89F3AD" w14:textId="77777777" w:rsidR="006706ED" w:rsidRDefault="006706ED" w:rsidP="006706ED">
      <w:pPr>
        <w:rPr>
          <w:lang w:eastAsia="en-AU"/>
        </w:rPr>
      </w:pPr>
    </w:p>
    <w:p w14:paraId="6A56280F" w14:textId="77777777" w:rsidR="006706ED" w:rsidRDefault="006706ED" w:rsidP="006706ED">
      <w:pPr>
        <w:pStyle w:val="Heading2"/>
        <w:rPr>
          <w:lang w:eastAsia="en-AU"/>
        </w:rPr>
      </w:pPr>
      <w:bookmarkStart w:id="20" w:name="_Toc112678506"/>
      <w:r>
        <w:rPr>
          <w:lang w:eastAsia="en-AU"/>
        </w:rPr>
        <w:t>3. Administration Frequency</w:t>
      </w:r>
      <w:bookmarkEnd w:id="20"/>
    </w:p>
    <w:p w14:paraId="064BBD2A" w14:textId="77777777" w:rsidR="006706ED" w:rsidRPr="00CA2175" w:rsidRDefault="006706ED" w:rsidP="006706ED">
      <w:pPr>
        <w:pStyle w:val="CommentText"/>
        <w:rPr>
          <w:sz w:val="24"/>
          <w:szCs w:val="24"/>
        </w:rPr>
      </w:pPr>
      <w:r w:rsidRPr="00A35624">
        <w:rPr>
          <w:sz w:val="24"/>
          <w:szCs w:val="24"/>
        </w:rPr>
        <w:t>Antimicrobials delivered via HITH must in general</w:t>
      </w:r>
      <w:r>
        <w:rPr>
          <w:sz w:val="24"/>
          <w:szCs w:val="24"/>
        </w:rPr>
        <w:t>,</w:t>
      </w:r>
      <w:r w:rsidRPr="00A35624">
        <w:rPr>
          <w:sz w:val="24"/>
          <w:szCs w:val="24"/>
        </w:rPr>
        <w:t xml:space="preserve"> be completed within a</w:t>
      </w:r>
      <w:r>
        <w:rPr>
          <w:sz w:val="24"/>
          <w:szCs w:val="24"/>
        </w:rPr>
        <w:t xml:space="preserve"> </w:t>
      </w:r>
      <w:r w:rsidRPr="00A35624">
        <w:rPr>
          <w:sz w:val="24"/>
          <w:szCs w:val="24"/>
        </w:rPr>
        <w:t>maximum of two home visits per day.  The following methods of administration are appropriate for this requirement</w:t>
      </w:r>
      <w:r>
        <w:rPr>
          <w:sz w:val="24"/>
          <w:szCs w:val="24"/>
        </w:rPr>
        <w:t>:</w:t>
      </w:r>
    </w:p>
    <w:p w14:paraId="22A4B573" w14:textId="77777777" w:rsidR="006706ED" w:rsidRPr="00A36A26" w:rsidRDefault="006706ED" w:rsidP="006706ED">
      <w:pPr>
        <w:pStyle w:val="ListBullet"/>
        <w:rPr>
          <w:lang w:eastAsia="en-AU"/>
        </w:rPr>
      </w:pPr>
      <w:r w:rsidRPr="00A36A26">
        <w:rPr>
          <w:b/>
          <w:lang w:eastAsia="en-AU"/>
        </w:rPr>
        <w:lastRenderedPageBreak/>
        <w:t>Continuous infusion</w:t>
      </w:r>
      <w:r w:rsidRPr="00A36A26">
        <w:rPr>
          <w:lang w:eastAsia="en-AU"/>
        </w:rPr>
        <w:t>. Most beta-lactam anti</w:t>
      </w:r>
      <w:r>
        <w:rPr>
          <w:lang w:eastAsia="en-AU"/>
        </w:rPr>
        <w:t xml:space="preserve">microbials </w:t>
      </w:r>
      <w:r w:rsidRPr="00A36A26">
        <w:rPr>
          <w:lang w:eastAsia="en-AU"/>
        </w:rPr>
        <w:t>that are dosed frequently can be given by continuous 24</w:t>
      </w:r>
      <w:r>
        <w:rPr>
          <w:lang w:eastAsia="en-AU"/>
        </w:rPr>
        <w:t>-</w:t>
      </w:r>
      <w:r w:rsidRPr="00A36A26">
        <w:rPr>
          <w:lang w:eastAsia="en-AU"/>
        </w:rPr>
        <w:t>hour infusion in a home setting, both for convenience and for pharmacodynamic superiority</w:t>
      </w:r>
      <w:r>
        <w:rPr>
          <w:lang w:eastAsia="en-AU"/>
        </w:rPr>
        <w:t>.</w:t>
      </w:r>
      <w:r w:rsidRPr="00A36A26">
        <w:rPr>
          <w:lang w:eastAsia="en-AU"/>
        </w:rPr>
        <w:t xml:space="preserve"> These include </w:t>
      </w:r>
      <w:r w:rsidRPr="00A36A26">
        <w:rPr>
          <w:color w:val="00B050"/>
          <w:lang w:eastAsia="en-AU"/>
        </w:rPr>
        <w:t>flucloxacillin</w:t>
      </w:r>
      <w:r w:rsidRPr="00A36A26">
        <w:rPr>
          <w:lang w:eastAsia="en-AU"/>
        </w:rPr>
        <w:t xml:space="preserve">, </w:t>
      </w:r>
      <w:r w:rsidRPr="00A36A26">
        <w:rPr>
          <w:color w:val="00B050"/>
          <w:lang w:eastAsia="en-AU"/>
        </w:rPr>
        <w:t>benzylpenicillin</w:t>
      </w:r>
      <w:r w:rsidRPr="00A36A26">
        <w:rPr>
          <w:lang w:eastAsia="en-AU"/>
        </w:rPr>
        <w:t xml:space="preserve">, </w:t>
      </w:r>
      <w:r w:rsidRPr="00A36A26">
        <w:rPr>
          <w:color w:val="00B050"/>
          <w:lang w:eastAsia="en-AU"/>
        </w:rPr>
        <w:t>ce</w:t>
      </w:r>
      <w:r>
        <w:rPr>
          <w:color w:val="00B050"/>
          <w:lang w:eastAsia="en-AU"/>
        </w:rPr>
        <w:t>f</w:t>
      </w:r>
      <w:r w:rsidRPr="00A36A26">
        <w:rPr>
          <w:color w:val="00B050"/>
          <w:lang w:eastAsia="en-AU"/>
        </w:rPr>
        <w:t xml:space="preserve">azolin </w:t>
      </w:r>
      <w:r w:rsidRPr="00A36A26">
        <w:rPr>
          <w:lang w:eastAsia="en-AU"/>
        </w:rPr>
        <w:t>and</w:t>
      </w:r>
      <w:r w:rsidRPr="00A36A26">
        <w:rPr>
          <w:color w:val="00B050"/>
          <w:lang w:eastAsia="en-AU"/>
        </w:rPr>
        <w:t xml:space="preserve"> </w:t>
      </w:r>
      <w:r w:rsidRPr="00A36A26">
        <w:rPr>
          <w:color w:val="FF0000"/>
          <w:lang w:eastAsia="en-AU"/>
        </w:rPr>
        <w:t>piperacillin/tazobactam</w:t>
      </w:r>
      <w:r w:rsidRPr="00A36A26">
        <w:rPr>
          <w:lang w:eastAsia="en-AU"/>
        </w:rPr>
        <w:t>.</w:t>
      </w:r>
      <w:r w:rsidRPr="00A36A26">
        <w:rPr>
          <w:color w:val="FF0000"/>
          <w:lang w:eastAsia="en-AU"/>
        </w:rPr>
        <w:t xml:space="preserve">  Vancomycin </w:t>
      </w:r>
      <w:r w:rsidRPr="00A36A26">
        <w:rPr>
          <w:lang w:eastAsia="en-AU"/>
        </w:rPr>
        <w:t>can also be given via 24</w:t>
      </w:r>
      <w:r>
        <w:rPr>
          <w:lang w:eastAsia="en-AU"/>
        </w:rPr>
        <w:t>-</w:t>
      </w:r>
      <w:r w:rsidRPr="00A36A26">
        <w:rPr>
          <w:lang w:eastAsia="en-AU"/>
        </w:rPr>
        <w:t xml:space="preserve">hour continuous infusion. </w:t>
      </w:r>
      <w:r w:rsidRPr="00A36A26">
        <w:rPr>
          <w:color w:val="FF0000"/>
          <w:lang w:eastAsia="en-AU"/>
        </w:rPr>
        <w:t>Cefepime</w:t>
      </w:r>
      <w:r w:rsidRPr="00A36A26">
        <w:rPr>
          <w:lang w:eastAsia="en-AU"/>
        </w:rPr>
        <w:t xml:space="preserve"> </w:t>
      </w:r>
      <w:r>
        <w:rPr>
          <w:lang w:eastAsia="en-AU"/>
        </w:rPr>
        <w:t xml:space="preserve">and </w:t>
      </w:r>
      <w:r w:rsidRPr="005A620D">
        <w:rPr>
          <w:color w:val="FF0000"/>
          <w:lang w:eastAsia="en-AU"/>
        </w:rPr>
        <w:t>ceftazidime</w:t>
      </w:r>
      <w:r>
        <w:rPr>
          <w:lang w:eastAsia="en-AU"/>
        </w:rPr>
        <w:t xml:space="preserve"> can potentially</w:t>
      </w:r>
      <w:r w:rsidRPr="00A36A26">
        <w:rPr>
          <w:lang w:eastAsia="en-AU"/>
        </w:rPr>
        <w:t xml:space="preserve"> be infused as 2 x12 hr infusions</w:t>
      </w:r>
      <w:r>
        <w:rPr>
          <w:lang w:eastAsia="en-AU"/>
        </w:rPr>
        <w:t xml:space="preserve"> but are not stable enough for 24-hour infusion at standard doses.</w:t>
      </w:r>
    </w:p>
    <w:p w14:paraId="23D1B14E" w14:textId="77777777" w:rsidR="006706ED" w:rsidRPr="006868E9" w:rsidRDefault="006706ED" w:rsidP="006706ED">
      <w:pPr>
        <w:pStyle w:val="ListBullet"/>
        <w:rPr>
          <w:lang w:eastAsia="en-AU"/>
        </w:rPr>
      </w:pPr>
      <w:r w:rsidRPr="00A36A26">
        <w:rPr>
          <w:b/>
          <w:lang w:eastAsia="en-AU"/>
        </w:rPr>
        <w:t xml:space="preserve">Once to twice daily </w:t>
      </w:r>
      <w:r w:rsidRPr="00A36A26">
        <w:rPr>
          <w:lang w:eastAsia="en-AU"/>
        </w:rPr>
        <w:t>via slow push or short infusion. Commonly used anti</w:t>
      </w:r>
      <w:r>
        <w:rPr>
          <w:lang w:eastAsia="en-AU"/>
        </w:rPr>
        <w:t>microbials</w:t>
      </w:r>
      <w:r w:rsidRPr="00A36A26">
        <w:rPr>
          <w:lang w:eastAsia="en-AU"/>
        </w:rPr>
        <w:t xml:space="preserve"> in HITH, which can be used once to twice daily include </w:t>
      </w:r>
      <w:r w:rsidRPr="00A36A26">
        <w:rPr>
          <w:color w:val="00B050"/>
          <w:lang w:eastAsia="en-AU"/>
        </w:rPr>
        <w:t>ce</w:t>
      </w:r>
      <w:r>
        <w:rPr>
          <w:color w:val="00B050"/>
          <w:lang w:eastAsia="en-AU"/>
        </w:rPr>
        <w:t>f</w:t>
      </w:r>
      <w:r w:rsidRPr="00A36A26">
        <w:rPr>
          <w:color w:val="00B050"/>
          <w:lang w:eastAsia="en-AU"/>
        </w:rPr>
        <w:t>azolin</w:t>
      </w:r>
      <w:r w:rsidRPr="00A36A26">
        <w:rPr>
          <w:lang w:eastAsia="en-AU"/>
        </w:rPr>
        <w:t xml:space="preserve"> (post probenecid </w:t>
      </w:r>
      <w:r>
        <w:rPr>
          <w:lang w:eastAsia="en-AU"/>
        </w:rPr>
        <w:t xml:space="preserve">or via infusion </w:t>
      </w:r>
      <w:r w:rsidRPr="00A36A26">
        <w:rPr>
          <w:lang w:eastAsia="en-AU"/>
        </w:rPr>
        <w:t xml:space="preserve">for once daily), </w:t>
      </w:r>
      <w:r w:rsidRPr="00A36A26">
        <w:rPr>
          <w:color w:val="E36C0A" w:themeColor="accent6" w:themeShade="BF"/>
          <w:lang w:eastAsia="en-AU"/>
        </w:rPr>
        <w:t>ceftriaxone</w:t>
      </w:r>
      <w:r w:rsidRPr="00A36A26">
        <w:rPr>
          <w:lang w:eastAsia="en-AU"/>
        </w:rPr>
        <w:t xml:space="preserve"> and </w:t>
      </w:r>
      <w:r w:rsidRPr="00A36A26">
        <w:rPr>
          <w:color w:val="FF0000"/>
          <w:lang w:eastAsia="en-AU"/>
        </w:rPr>
        <w:t>ertapenem</w:t>
      </w:r>
      <w:r w:rsidRPr="00A36A26">
        <w:rPr>
          <w:lang w:eastAsia="en-AU"/>
        </w:rPr>
        <w:t>. Aminoglycosides (</w:t>
      </w:r>
      <w:r w:rsidRPr="008E0FB3">
        <w:rPr>
          <w:color w:val="00B050"/>
          <w:lang w:eastAsia="en-AU"/>
        </w:rPr>
        <w:t xml:space="preserve">gentamicin, tobramycin </w:t>
      </w:r>
      <w:r w:rsidRPr="00A36A26">
        <w:rPr>
          <w:lang w:eastAsia="en-AU"/>
        </w:rPr>
        <w:t xml:space="preserve">and </w:t>
      </w:r>
      <w:r w:rsidRPr="00A36A26">
        <w:rPr>
          <w:color w:val="FF0000"/>
          <w:lang w:eastAsia="en-AU"/>
        </w:rPr>
        <w:t>amikacin</w:t>
      </w:r>
      <w:r w:rsidRPr="00A36A26">
        <w:rPr>
          <w:lang w:eastAsia="en-AU"/>
        </w:rPr>
        <w:t xml:space="preserve">) can be given, but these must be monitored due to their potential for toxicity. Less frequently used and that require AMS approval and ID advice, include once daily </w:t>
      </w:r>
      <w:r w:rsidRPr="00A36A26">
        <w:rPr>
          <w:color w:val="FF0000"/>
          <w:lang w:eastAsia="en-AU"/>
        </w:rPr>
        <w:t>teicoplanin</w:t>
      </w:r>
      <w:r w:rsidRPr="00A36A26">
        <w:rPr>
          <w:lang w:eastAsia="en-AU"/>
        </w:rPr>
        <w:t xml:space="preserve"> and </w:t>
      </w:r>
      <w:r w:rsidRPr="00A36A26">
        <w:rPr>
          <w:color w:val="FF0000"/>
          <w:lang w:eastAsia="en-AU"/>
        </w:rPr>
        <w:t>daptomycin</w:t>
      </w:r>
      <w:r w:rsidRPr="00A36A26">
        <w:rPr>
          <w:lang w:eastAsia="en-AU"/>
        </w:rPr>
        <w:t xml:space="preserve">. </w:t>
      </w:r>
    </w:p>
    <w:p w14:paraId="3E8BBD7A" w14:textId="77777777" w:rsidR="006706ED" w:rsidRPr="00BD6AE4" w:rsidRDefault="006706ED" w:rsidP="006706ED">
      <w:pPr>
        <w:pStyle w:val="ListBullet"/>
        <w:rPr>
          <w:rFonts w:asciiTheme="minorHAnsi" w:hAnsiTheme="minorHAnsi" w:cstheme="minorHAnsi"/>
          <w:szCs w:val="24"/>
          <w:lang w:val="en" w:eastAsia="en-AU"/>
        </w:rPr>
      </w:pPr>
      <w:r w:rsidRPr="00A36A26">
        <w:rPr>
          <w:b/>
          <w:lang w:eastAsia="en-AU"/>
        </w:rPr>
        <w:t>IV anti</w:t>
      </w:r>
      <w:r>
        <w:rPr>
          <w:b/>
          <w:lang w:eastAsia="en-AU"/>
        </w:rPr>
        <w:t>microbials</w:t>
      </w:r>
      <w:r w:rsidRPr="00A36A26">
        <w:rPr>
          <w:b/>
          <w:lang w:eastAsia="en-AU"/>
        </w:rPr>
        <w:t xml:space="preserve"> that are</w:t>
      </w:r>
      <w:r w:rsidRPr="00A36A26">
        <w:rPr>
          <w:lang w:eastAsia="en-AU"/>
        </w:rPr>
        <w:t xml:space="preserve"> </w:t>
      </w:r>
      <w:r w:rsidRPr="00A36A26">
        <w:rPr>
          <w:b/>
          <w:lang w:eastAsia="en-AU"/>
        </w:rPr>
        <w:t xml:space="preserve">generally </w:t>
      </w:r>
      <w:r w:rsidRPr="00275C98">
        <w:rPr>
          <w:b/>
          <w:i/>
          <w:iCs/>
          <w:lang w:eastAsia="en-AU"/>
        </w:rPr>
        <w:t>not</w:t>
      </w:r>
      <w:r w:rsidRPr="00A36A26">
        <w:rPr>
          <w:b/>
          <w:lang w:eastAsia="en-AU"/>
        </w:rPr>
        <w:t xml:space="preserve"> suitable for HITH</w:t>
      </w:r>
      <w:r w:rsidRPr="00A36A26">
        <w:rPr>
          <w:lang w:eastAsia="en-AU"/>
        </w:rPr>
        <w:t xml:space="preserve"> </w:t>
      </w:r>
      <w:r w:rsidRPr="00092ADF">
        <w:rPr>
          <w:lang w:eastAsia="en-AU"/>
        </w:rPr>
        <w:t xml:space="preserve">include ampicillin, </w:t>
      </w:r>
      <w:r>
        <w:rPr>
          <w:lang w:eastAsia="en-AU"/>
        </w:rPr>
        <w:t>amoxicillin</w:t>
      </w:r>
      <w:r w:rsidRPr="00092ADF">
        <w:rPr>
          <w:lang w:eastAsia="en-AU"/>
        </w:rPr>
        <w:t>/</w:t>
      </w:r>
      <w:r>
        <w:rPr>
          <w:lang w:eastAsia="en-AU"/>
        </w:rPr>
        <w:t>clavulanic acid</w:t>
      </w:r>
      <w:r w:rsidRPr="00092ADF">
        <w:rPr>
          <w:lang w:eastAsia="en-AU"/>
        </w:rPr>
        <w:t xml:space="preserve"> and meropenem because of frequent dosing needs and are too unstable to be prescribed as a 12</w:t>
      </w:r>
      <w:r>
        <w:rPr>
          <w:lang w:eastAsia="en-AU"/>
        </w:rPr>
        <w:t>-</w:t>
      </w:r>
      <w:r w:rsidRPr="00092ADF">
        <w:rPr>
          <w:lang w:eastAsia="en-AU"/>
        </w:rPr>
        <w:t xml:space="preserve"> to 24</w:t>
      </w:r>
      <w:r>
        <w:rPr>
          <w:lang w:eastAsia="en-AU"/>
        </w:rPr>
        <w:t>-</w:t>
      </w:r>
      <w:r w:rsidRPr="00092ADF">
        <w:rPr>
          <w:lang w:eastAsia="en-AU"/>
        </w:rPr>
        <w:t xml:space="preserve">hour infusion at home. </w:t>
      </w:r>
      <w:r w:rsidRPr="00BD6AE4">
        <w:rPr>
          <w:rFonts w:asciiTheme="minorHAnsi" w:hAnsiTheme="minorHAnsi" w:cstheme="minorHAnsi"/>
          <w:szCs w:val="24"/>
          <w:lang w:val="en" w:eastAsia="en-AU"/>
        </w:rPr>
        <w:t xml:space="preserve">In certain circumstances however, antimicrobials that are not usually administered or infrequently used in HITH may be prescribed, but this is only in conjunction with </w:t>
      </w:r>
      <w:r>
        <w:rPr>
          <w:rFonts w:asciiTheme="minorHAnsi" w:hAnsiTheme="minorHAnsi" w:cstheme="minorHAnsi"/>
          <w:szCs w:val="24"/>
          <w:lang w:val="en" w:eastAsia="en-AU"/>
        </w:rPr>
        <w:t>ID</w:t>
      </w:r>
      <w:r w:rsidRPr="00BD6AE4">
        <w:rPr>
          <w:rFonts w:asciiTheme="minorHAnsi" w:hAnsiTheme="minorHAnsi" w:cstheme="minorHAnsi"/>
          <w:szCs w:val="24"/>
          <w:lang w:val="en" w:eastAsia="en-AU"/>
        </w:rPr>
        <w:t xml:space="preserve"> specialist oversight. </w:t>
      </w:r>
    </w:p>
    <w:p w14:paraId="11F0B762" w14:textId="77777777" w:rsidR="006706ED" w:rsidRPr="00A36A26" w:rsidRDefault="006706ED" w:rsidP="006706ED">
      <w:pPr>
        <w:pStyle w:val="ListParagraph"/>
        <w:shd w:val="clear" w:color="auto" w:fill="FFFFFF"/>
        <w:jc w:val="both"/>
        <w:textAlignment w:val="baseline"/>
        <w:rPr>
          <w:rFonts w:cs="Times"/>
          <w:lang w:eastAsia="en-AU"/>
        </w:rPr>
      </w:pPr>
    </w:p>
    <w:p w14:paraId="5AB7D7B5" w14:textId="77777777" w:rsidR="006706ED" w:rsidRDefault="006706ED" w:rsidP="006706ED">
      <w:pPr>
        <w:pStyle w:val="Heading2"/>
        <w:rPr>
          <w:lang w:eastAsia="en-AU"/>
        </w:rPr>
      </w:pPr>
      <w:bookmarkStart w:id="21" w:name="_Toc112678507"/>
      <w:r>
        <w:rPr>
          <w:lang w:eastAsia="en-AU"/>
        </w:rPr>
        <w:t>4. Antimicrobial Approvals</w:t>
      </w:r>
      <w:bookmarkEnd w:id="21"/>
    </w:p>
    <w:p w14:paraId="59DB21EE" w14:textId="77777777" w:rsidR="006706ED" w:rsidRDefault="006706ED" w:rsidP="006706ED">
      <w:pPr>
        <w:pStyle w:val="ListBullet"/>
        <w:numPr>
          <w:ilvl w:val="0"/>
          <w:numId w:val="0"/>
        </w:numPr>
        <w:ind w:left="426"/>
        <w:rPr>
          <w:lang w:val="en" w:eastAsia="en-AU"/>
        </w:rPr>
      </w:pPr>
      <w:r w:rsidRPr="00A04411">
        <w:rPr>
          <w:lang w:val="en" w:eastAsia="en-AU"/>
        </w:rPr>
        <w:t>An antimicrobial approval code must be obtained for</w:t>
      </w:r>
      <w:r w:rsidRPr="00A04411">
        <w:rPr>
          <w:color w:val="F79646" w:themeColor="accent6"/>
          <w:lang w:val="en" w:eastAsia="en-AU"/>
        </w:rPr>
        <w:t xml:space="preserve"> orange </w:t>
      </w:r>
      <w:r w:rsidRPr="00A04411">
        <w:rPr>
          <w:lang w:val="en" w:eastAsia="en-AU"/>
        </w:rPr>
        <w:t xml:space="preserve">and </w:t>
      </w:r>
      <w:r w:rsidRPr="00A04411">
        <w:rPr>
          <w:color w:val="FF0000"/>
          <w:lang w:val="en" w:eastAsia="en-AU"/>
        </w:rPr>
        <w:t>red</w:t>
      </w:r>
      <w:r w:rsidRPr="00A04411">
        <w:rPr>
          <w:lang w:val="en" w:eastAsia="en-AU"/>
        </w:rPr>
        <w:t xml:space="preserve"> antimicrobials </w:t>
      </w:r>
      <w:r w:rsidRPr="00A04411">
        <w:rPr>
          <w:lang w:eastAsia="en-AU"/>
        </w:rPr>
        <w:t xml:space="preserve">prior to administration in HITH. This is </w:t>
      </w:r>
      <w:r w:rsidRPr="00A04411">
        <w:rPr>
          <w:lang w:val="en" w:eastAsia="en-AU"/>
        </w:rPr>
        <w:t xml:space="preserve">provided via the </w:t>
      </w:r>
      <w:r>
        <w:rPr>
          <w:lang w:val="en" w:eastAsia="en-AU"/>
        </w:rPr>
        <w:t>AMS</w:t>
      </w:r>
      <w:r w:rsidRPr="00A04411">
        <w:rPr>
          <w:lang w:val="en" w:eastAsia="en-AU"/>
        </w:rPr>
        <w:t xml:space="preserve"> program during business hours for all patients not under active care by the </w:t>
      </w:r>
      <w:r>
        <w:rPr>
          <w:lang w:val="en" w:eastAsia="en-AU"/>
        </w:rPr>
        <w:t>ID</w:t>
      </w:r>
      <w:r w:rsidRPr="00A04411">
        <w:rPr>
          <w:lang w:val="en" w:eastAsia="en-AU"/>
        </w:rPr>
        <w:t xml:space="preserve"> team, or the </w:t>
      </w:r>
      <w:r>
        <w:rPr>
          <w:lang w:val="en" w:eastAsia="en-AU"/>
        </w:rPr>
        <w:t>ID</w:t>
      </w:r>
      <w:r w:rsidRPr="00A04411">
        <w:rPr>
          <w:lang w:val="en" w:eastAsia="en-AU"/>
        </w:rPr>
        <w:t xml:space="preserve"> team if being consulted for clinical care. </w:t>
      </w:r>
      <w:r>
        <w:rPr>
          <w:lang w:val="en" w:eastAsia="en-AU"/>
        </w:rPr>
        <w:t xml:space="preserve">HITH transfer cannot occur until approvals have been completed as per hospital policy. Refer to the Antimicrobial Stewardship procedure. </w:t>
      </w:r>
    </w:p>
    <w:p w14:paraId="46B185DF" w14:textId="77777777" w:rsidR="006706ED" w:rsidRPr="00A04411" w:rsidRDefault="006706ED" w:rsidP="006706ED">
      <w:pPr>
        <w:rPr>
          <w:lang w:val="en" w:eastAsia="en-AU"/>
        </w:rPr>
      </w:pPr>
    </w:p>
    <w:p w14:paraId="236990C2" w14:textId="77777777" w:rsidR="006706ED" w:rsidRPr="00A04411" w:rsidRDefault="006706ED" w:rsidP="006706ED">
      <w:pPr>
        <w:pStyle w:val="Heading2"/>
        <w:rPr>
          <w:lang w:val="en" w:eastAsia="en-AU"/>
        </w:rPr>
      </w:pPr>
      <w:bookmarkStart w:id="22" w:name="_Toc112678508"/>
      <w:r w:rsidRPr="00A04411">
        <w:rPr>
          <w:lang w:val="en" w:eastAsia="en-AU"/>
        </w:rPr>
        <w:t>5. Patient Review</w:t>
      </w:r>
      <w:bookmarkEnd w:id="22"/>
    </w:p>
    <w:p w14:paraId="23E326AA" w14:textId="77777777" w:rsidR="006706ED" w:rsidRPr="00275C98" w:rsidRDefault="006706ED" w:rsidP="006706ED">
      <w:pPr>
        <w:pStyle w:val="ListBullet"/>
        <w:numPr>
          <w:ilvl w:val="0"/>
          <w:numId w:val="0"/>
        </w:numPr>
        <w:ind w:left="426"/>
        <w:rPr>
          <w:rFonts w:cs="Times"/>
          <w:i/>
          <w:lang w:eastAsia="en-AU"/>
        </w:rPr>
      </w:pPr>
      <w:r>
        <w:t xml:space="preserve">Review of the </w:t>
      </w:r>
      <w:r w:rsidRPr="005A2794">
        <w:rPr>
          <w:b/>
          <w:bCs/>
          <w:i/>
          <w:iCs/>
        </w:rPr>
        <w:t>ongoing need</w:t>
      </w:r>
      <w:r>
        <w:t xml:space="preserve"> </w:t>
      </w:r>
      <w:r w:rsidRPr="005A2794">
        <w:rPr>
          <w:b/>
          <w:bCs/>
          <w:i/>
          <w:iCs/>
        </w:rPr>
        <w:t>for</w:t>
      </w:r>
      <w:r>
        <w:rPr>
          <w:b/>
          <w:bCs/>
          <w:i/>
          <w:iCs/>
        </w:rPr>
        <w:t xml:space="preserve"> IV </w:t>
      </w:r>
      <w:r w:rsidRPr="005A2794">
        <w:rPr>
          <w:b/>
          <w:bCs/>
          <w:i/>
          <w:iCs/>
        </w:rPr>
        <w:t>antimicrobial therapy</w:t>
      </w:r>
      <w:r>
        <w:t xml:space="preserve"> should be done as soon as clinically appropriate. IV to oral switch should be in line with generally accepted protocols (Figure 1, South Australian (SA) Health).  Additionally, </w:t>
      </w:r>
      <w:r w:rsidRPr="008534EA">
        <w:t xml:space="preserve">antimicrobial </w:t>
      </w:r>
      <w:r w:rsidRPr="00275C98">
        <w:rPr>
          <w:rFonts w:asciiTheme="minorHAnsi" w:hAnsiTheme="minorHAnsi" w:cstheme="minorHAnsi"/>
          <w:szCs w:val="24"/>
          <w:lang w:val="en" w:eastAsia="en-AU"/>
        </w:rPr>
        <w:t xml:space="preserve">approval codes expire </w:t>
      </w:r>
      <w:r>
        <w:rPr>
          <w:rFonts w:asciiTheme="minorHAnsi" w:hAnsiTheme="minorHAnsi" w:cstheme="minorHAnsi"/>
          <w:szCs w:val="24"/>
          <w:lang w:val="en" w:eastAsia="en-AU"/>
        </w:rPr>
        <w:t xml:space="preserve">on a date determined by the approving infectious diseases specialist. </w:t>
      </w:r>
      <w:r w:rsidRPr="00275C98">
        <w:rPr>
          <w:rFonts w:asciiTheme="minorHAnsi" w:hAnsiTheme="minorHAnsi" w:cstheme="minorHAnsi"/>
          <w:szCs w:val="24"/>
          <w:lang w:val="en" w:eastAsia="en-AU"/>
        </w:rPr>
        <w:t xml:space="preserve">HITH </w:t>
      </w:r>
      <w:r>
        <w:rPr>
          <w:rFonts w:asciiTheme="minorHAnsi" w:hAnsiTheme="minorHAnsi" w:cstheme="minorHAnsi"/>
          <w:szCs w:val="24"/>
          <w:lang w:val="en" w:eastAsia="en-AU"/>
        </w:rPr>
        <w:t>medical review</w:t>
      </w:r>
      <w:r w:rsidRPr="00275C98">
        <w:rPr>
          <w:rFonts w:asciiTheme="minorHAnsi" w:hAnsiTheme="minorHAnsi" w:cstheme="minorHAnsi"/>
          <w:szCs w:val="24"/>
          <w:lang w:val="en" w:eastAsia="en-AU"/>
        </w:rPr>
        <w:t xml:space="preserve"> </w:t>
      </w:r>
      <w:r>
        <w:rPr>
          <w:rFonts w:asciiTheme="minorHAnsi" w:hAnsiTheme="minorHAnsi" w:cstheme="minorHAnsi"/>
          <w:szCs w:val="24"/>
          <w:lang w:val="en" w:eastAsia="en-AU"/>
        </w:rPr>
        <w:t>should</w:t>
      </w:r>
      <w:r w:rsidRPr="00275C98">
        <w:rPr>
          <w:rFonts w:asciiTheme="minorHAnsi" w:hAnsiTheme="minorHAnsi" w:cstheme="minorHAnsi"/>
          <w:szCs w:val="24"/>
          <w:lang w:val="en" w:eastAsia="en-AU"/>
        </w:rPr>
        <w:t xml:space="preserve"> be scheduled to ensure review occur</w:t>
      </w:r>
      <w:r>
        <w:rPr>
          <w:rFonts w:asciiTheme="minorHAnsi" w:hAnsiTheme="minorHAnsi" w:cstheme="minorHAnsi"/>
          <w:szCs w:val="24"/>
          <w:lang w:val="en" w:eastAsia="en-AU"/>
        </w:rPr>
        <w:t>s</w:t>
      </w:r>
      <w:r w:rsidRPr="00275C98">
        <w:rPr>
          <w:rFonts w:asciiTheme="minorHAnsi" w:hAnsiTheme="minorHAnsi" w:cstheme="minorHAnsi"/>
          <w:szCs w:val="24"/>
          <w:lang w:val="en" w:eastAsia="en-AU"/>
        </w:rPr>
        <w:t xml:space="preserve"> based on these expiry dates</w:t>
      </w:r>
      <w:r>
        <w:rPr>
          <w:rFonts w:asciiTheme="minorHAnsi" w:hAnsiTheme="minorHAnsi" w:cstheme="minorHAnsi"/>
          <w:szCs w:val="24"/>
          <w:lang w:val="en" w:eastAsia="en-AU"/>
        </w:rPr>
        <w:t>.</w:t>
      </w:r>
      <w:r w:rsidRPr="00275C98">
        <w:rPr>
          <w:rFonts w:asciiTheme="minorHAnsi" w:hAnsiTheme="minorHAnsi" w:cstheme="minorHAnsi"/>
          <w:szCs w:val="24"/>
          <w:lang w:val="en" w:eastAsia="en-AU"/>
        </w:rPr>
        <w:t xml:space="preserve"> </w:t>
      </w:r>
      <w:r>
        <w:rPr>
          <w:rFonts w:asciiTheme="minorHAnsi" w:hAnsiTheme="minorHAnsi" w:cstheme="minorHAnsi"/>
          <w:szCs w:val="24"/>
          <w:lang w:val="en" w:eastAsia="en-AU"/>
        </w:rPr>
        <w:t>In accordance with the AMS Procedure, further doses of restricted antimicrobials cannot be supplied by Pharmacy if appropriate approval to continue has not been sought.</w:t>
      </w:r>
    </w:p>
    <w:p w14:paraId="5C4F0679" w14:textId="77777777" w:rsidR="006706ED" w:rsidRDefault="006706ED" w:rsidP="006706ED">
      <w:pPr>
        <w:jc w:val="right"/>
        <w:rPr>
          <w:rFonts w:cs="Arial"/>
          <w:i/>
          <w:szCs w:val="24"/>
        </w:rPr>
      </w:pPr>
    </w:p>
    <w:p w14:paraId="5EB82B11" w14:textId="77777777" w:rsidR="006706ED" w:rsidRDefault="006706ED" w:rsidP="006706ED">
      <w:pPr>
        <w:spacing w:after="200" w:line="276" w:lineRule="auto"/>
        <w:rPr>
          <w:b/>
          <w:bCs/>
        </w:rPr>
      </w:pPr>
      <w:r>
        <w:rPr>
          <w:b/>
          <w:bCs/>
        </w:rPr>
        <w:br w:type="page"/>
      </w:r>
    </w:p>
    <w:p w14:paraId="5A592695" w14:textId="77777777" w:rsidR="006706ED" w:rsidRPr="00060A35" w:rsidRDefault="006706ED" w:rsidP="006706ED">
      <w:pPr>
        <w:rPr>
          <w:b/>
          <w:bCs/>
          <w:vertAlign w:val="superscript"/>
        </w:rPr>
      </w:pPr>
      <w:r w:rsidRPr="002B2D41">
        <w:rPr>
          <w:b/>
          <w:bCs/>
        </w:rPr>
        <w:lastRenderedPageBreak/>
        <w:t xml:space="preserve">Figure </w:t>
      </w:r>
      <w:r>
        <w:rPr>
          <w:b/>
          <w:bCs/>
        </w:rPr>
        <w:t>1:</w:t>
      </w:r>
      <w:r w:rsidRPr="002B2D41">
        <w:rPr>
          <w:b/>
          <w:bCs/>
        </w:rPr>
        <w:t xml:space="preserve"> IV to Oral Switch</w:t>
      </w:r>
      <w:r>
        <w:rPr>
          <w:b/>
          <w:bCs/>
        </w:rPr>
        <w:t xml:space="preserve"> (Adapted from SA Health)</w:t>
      </w:r>
      <w:r>
        <w:rPr>
          <w:b/>
          <w:bCs/>
          <w:vertAlign w:val="superscript"/>
        </w:rPr>
        <w:t>7</w:t>
      </w:r>
    </w:p>
    <w:p w14:paraId="292A0230" w14:textId="77777777" w:rsidR="006706ED" w:rsidRDefault="006706ED" w:rsidP="006706ED">
      <w:r>
        <w:rPr>
          <w:noProof/>
          <w:lang w:eastAsia="en-AU"/>
        </w:rPr>
        <w:drawing>
          <wp:inline distT="0" distB="0" distL="0" distR="0" wp14:anchorId="47568490" wp14:editId="5D285DF4">
            <wp:extent cx="5732891" cy="6182296"/>
            <wp:effectExtent l="0" t="0" r="12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91490" cy="6245489"/>
                    </a:xfrm>
                    <a:prstGeom prst="rect">
                      <a:avLst/>
                    </a:prstGeom>
                  </pic:spPr>
                </pic:pic>
              </a:graphicData>
            </a:graphic>
          </wp:inline>
        </w:drawing>
      </w:r>
      <w:r w:rsidRPr="00CE70C4">
        <w:t xml:space="preserve"> </w:t>
      </w:r>
    </w:p>
    <w:p w14:paraId="4BA2C008" w14:textId="77777777" w:rsidR="006706ED" w:rsidRDefault="006706ED" w:rsidP="006706ED">
      <w:pPr>
        <w:rPr>
          <w:rFonts w:cs="Arial"/>
          <w:i/>
          <w:szCs w:val="24"/>
        </w:rPr>
      </w:pPr>
      <w:r>
        <w:rPr>
          <w:noProof/>
          <w:lang w:eastAsia="en-AU"/>
        </w:rPr>
        <mc:AlternateContent>
          <mc:Choice Requires="wps">
            <w:drawing>
              <wp:anchor distT="45720" distB="45720" distL="114300" distR="114300" simplePos="0" relativeHeight="251660288" behindDoc="0" locked="0" layoutInCell="1" allowOverlap="1" wp14:anchorId="70A94B14" wp14:editId="29B23E9F">
                <wp:simplePos x="0" y="0"/>
                <wp:positionH relativeFrom="margin">
                  <wp:posOffset>93980</wp:posOffset>
                </wp:positionH>
                <wp:positionV relativeFrom="paragraph">
                  <wp:posOffset>6085205</wp:posOffset>
                </wp:positionV>
                <wp:extent cx="549275" cy="2413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41300"/>
                        </a:xfrm>
                        <a:prstGeom prst="rect">
                          <a:avLst/>
                        </a:prstGeom>
                        <a:solidFill>
                          <a:srgbClr val="4F81BD">
                            <a:lumMod val="75000"/>
                          </a:srgbClr>
                        </a:solidFill>
                        <a:ln w="9525">
                          <a:noFill/>
                          <a:miter lim="800000"/>
                          <a:headEnd/>
                          <a:tailEnd/>
                        </a:ln>
                      </wps:spPr>
                      <wps:txbx>
                        <w:txbxContent>
                          <w:p w14:paraId="500F0905" w14:textId="77777777" w:rsidR="006706ED" w:rsidRPr="0074086A" w:rsidRDefault="006706ED" w:rsidP="006706ED">
                            <w:pPr>
                              <w:rPr>
                                <w:b/>
                                <w:bCs/>
                                <w:color w:val="FFFFFF" w:themeColor="background1"/>
                                <w:sz w:val="22"/>
                                <w:szCs w:val="22"/>
                              </w:rPr>
                            </w:pPr>
                            <w:r w:rsidRPr="0074086A">
                              <w:rPr>
                                <w:b/>
                                <w:bCs/>
                                <w:color w:val="FFFFFF" w:themeColor="background1"/>
                                <w:sz w:val="22"/>
                                <w:szCs w:val="22"/>
                              </w:rPr>
                              <w:t>Box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A94B14" id="_x0000_t202" coordsize="21600,21600" o:spt="202" path="m,l,21600r21600,l21600,xe">
                <v:stroke joinstyle="miter"/>
                <v:path gradientshapeok="t" o:connecttype="rect"/>
              </v:shapetype>
              <v:shape id="Text Box 5" o:spid="_x0000_s1026" type="#_x0000_t202" style="position:absolute;margin-left:7.4pt;margin-top:479.15pt;width:43.25pt;height:1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MhHgIAABcEAAAOAAAAZHJzL2Uyb0RvYy54bWysU9tu2zAMfR+wfxD0vvgyZ02MOEWbLMOA&#10;7gJ0+wBZlmNhkuhJSuzs60vJaZptb8NeBFIkD8lDcnU7akWOwjoJpqLZLKVEGA6NNPuKfv+2e7Og&#10;xHlmGqbAiIqehKO369evVkNfihw6UI2wBEGMK4e+op33fZkkjndCMzeDXhg0tmA186jafdJYNiC6&#10;Vkmepu+SAWzTW+DCOfzdTka6jvhtK7j/0rZOeKIqirX5+Nr41uFN1itW7i3rO8nPZbB/qEIzaTDp&#10;BWrLPCMHK/+C0pJbcND6GQedQNtKLmIP2E2W/tHNY8d6EXtBclx/ocn9P1j++fjYf7XEj/cw4gBj&#10;E65/AP7DEQObjpm9uLMWhk6wBhNngbJk6F15Dg1Uu9IFkHr4BA0OmR08RKCxtTqwgn0SRMcBnC6k&#10;i9ETjp/zYpnfzCnhaMqL7G0ah5Kw8jm4t85/EKBJECpqcaYRnB0fnA/FsPLZJeRyoGSzk0pFxe7r&#10;jbLkyHD+xW6R3W9jrDpoLHX6vpmnl5xu8o+gvwEpQ4aKLuf5PMYbCBni8mjpcYOV1BVdINAExcpA&#10;13vTRBfPpJpkrFWZM3+Bsok8P9YjOgYea2hOyKSFaVPxslDowP6iZMAtraj7eWBWUKI+GpzGMiuK&#10;sNZRKeY3OSr22lJfW5jhCFVRT8kkbnw8hcCUgTucWisjoy+VnGvF7YucnC8lrPe1Hr1e7nn9BAAA&#10;//8DAFBLAwQUAAYACAAAACEAU2Gv8t0AAAAKAQAADwAAAGRycy9kb3ducmV2LnhtbEyPwW7CMBBE&#10;75X6D9Yi9VYcoEWQxkEIVNFr03yAE2+TkHidxoaEv+9yam87u6PZN8lusp244uAbRwoW8wgEUulM&#10;Q5WC/Ov9eQPCB01Gd45QwQ097NLHh0THxo30idcsVIJDyMdaQR1CH0vpyxqt9nPXI/Ht2w1WB5ZD&#10;Jc2gRw63nVxG0Vpa3RB/qHWPhxrLNrtYBf5n/MjKtvXLkz3sqyI/HnM8K/U0m/ZvIAJO4c8Md3xG&#10;h5SZCnch40XH+oXJg4Lt62YF4m6IFjwUvNmuVyDTRP6vkP4CAAD//wMAUEsBAi0AFAAGAAgAAAAh&#10;ALaDOJL+AAAA4QEAABMAAAAAAAAAAAAAAAAAAAAAAFtDb250ZW50X1R5cGVzXS54bWxQSwECLQAU&#10;AAYACAAAACEAOP0h/9YAAACUAQAACwAAAAAAAAAAAAAAAAAvAQAAX3JlbHMvLnJlbHNQSwECLQAU&#10;AAYACAAAACEA0jzDIR4CAAAXBAAADgAAAAAAAAAAAAAAAAAuAgAAZHJzL2Uyb0RvYy54bWxQSwEC&#10;LQAUAAYACAAAACEAU2Gv8t0AAAAKAQAADwAAAAAAAAAAAAAAAAB4BAAAZHJzL2Rvd25yZXYueG1s&#10;UEsFBgAAAAAEAAQA8wAAAIIFAAAAAA==&#10;" fillcolor="#376092" stroked="f">
                <v:textbox>
                  <w:txbxContent>
                    <w:p w14:paraId="500F0905" w14:textId="77777777" w:rsidR="006706ED" w:rsidRPr="0074086A" w:rsidRDefault="006706ED" w:rsidP="006706ED">
                      <w:pPr>
                        <w:rPr>
                          <w:b/>
                          <w:bCs/>
                          <w:color w:val="FFFFFF" w:themeColor="background1"/>
                          <w:sz w:val="22"/>
                          <w:szCs w:val="22"/>
                        </w:rPr>
                      </w:pPr>
                      <w:r w:rsidRPr="0074086A">
                        <w:rPr>
                          <w:b/>
                          <w:bCs/>
                          <w:color w:val="FFFFFF" w:themeColor="background1"/>
                          <w:sz w:val="22"/>
                          <w:szCs w:val="22"/>
                        </w:rPr>
                        <w:t>Box 3</w:t>
                      </w:r>
                    </w:p>
                  </w:txbxContent>
                </v:textbox>
                <w10:wrap anchorx="margin"/>
              </v:shape>
            </w:pict>
          </mc:Fallback>
        </mc:AlternateContent>
      </w:r>
      <w:r>
        <w:rPr>
          <w:noProof/>
          <w:lang w:eastAsia="en-AU"/>
        </w:rPr>
        <mc:AlternateContent>
          <mc:Choice Requires="wps">
            <w:drawing>
              <wp:anchor distT="45720" distB="45720" distL="114300" distR="114300" simplePos="0" relativeHeight="251659264" behindDoc="0" locked="0" layoutInCell="1" allowOverlap="1" wp14:anchorId="36191315" wp14:editId="7AFDE4BE">
                <wp:simplePos x="0" y="0"/>
                <wp:positionH relativeFrom="margin">
                  <wp:posOffset>2995295</wp:posOffset>
                </wp:positionH>
                <wp:positionV relativeFrom="paragraph">
                  <wp:posOffset>3022600</wp:posOffset>
                </wp:positionV>
                <wp:extent cx="2768600" cy="431482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4314825"/>
                        </a:xfrm>
                        <a:prstGeom prst="rect">
                          <a:avLst/>
                        </a:prstGeom>
                        <a:solidFill>
                          <a:sysClr val="window" lastClr="FFFFFF"/>
                        </a:solidFill>
                        <a:ln w="9525">
                          <a:noFill/>
                          <a:miter lim="800000"/>
                          <a:headEnd/>
                          <a:tailEnd/>
                        </a:ln>
                      </wps:spPr>
                      <wps:txbx>
                        <w:txbxContent>
                          <w:p w14:paraId="6BD9EC5D" w14:textId="77777777" w:rsidR="006706ED" w:rsidRDefault="006706ED" w:rsidP="006706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91315" id="Text Box 4" o:spid="_x0000_s1027" type="#_x0000_t202" style="position:absolute;margin-left:235.85pt;margin-top:238pt;width:218pt;height:339.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ZRGQIAAA4EAAAOAAAAZHJzL2Uyb0RvYy54bWysU9tuGyEQfa/Uf0C817t27cRZGUepU1eV&#10;0ouU9gMwsF5UlqGAvet+fQZ247jtW1UeEMPAmZkzZ1a3fWvIUfmgwTI6nZSUKCtAartn9Pu37Zsl&#10;JSFyK7kBqxg9qUBv169frTpXqRk0YKTyBEFsqDrHaBOjq4oiiEa1PEzAKYvOGnzLI5p+X0jPO0Rv&#10;TTEry6uiAy+dB6FCwNv7wUnXGb+ulYhf6jqoSAyjmFvMu8/7Lu3FesWrveeu0WJMg/9DFi3XFoOe&#10;oe555OTg9V9QrRYeAtRxIqAtoK61ULkGrGZa/lHNY8OdyrUgOcGdaQr/D1Z8Pj66r57E/h302MBc&#10;RHAPIH4EYmHTcLtXd95D1yguMfA0UVZ0LlTj10R1qEIC2XWfQGKT+SFCBupr3yZWsE6C6NiA05l0&#10;1Uci8HJ2fbW8KtEl0Dd/O50vZ4scg1fP350P8YOClqQDox67muH58SHElA6vnp+kaAGMllttTDZO&#10;YWM8OXIUAOpGQkeJ4SHiJaPbvMZov30zlnSM3iwwl4RiIeFlsbQ6omKNbhldlmkNGkr0vLcyP4lc&#10;m+GMmRk78pUoGsiK/a4nWo5kJvp2IE9IoIdBoDhQeGjA/6KkQ3EyGn4euFeY+keLTbiZzudJzdmY&#10;L65naPhLz+7Sw61AKEYjJcNxE/MEDIXdYbNqnWl8yWRMGUWX2R0HJKn60s6vXsZ4/QQAAP//AwBQ&#10;SwMEFAAGAAgAAAAhAMWqyw7hAAAADAEAAA8AAABkcnMvZG93bnJldi54bWxMjzFPwzAQhXck/oN1&#10;SCyI2kGkaUOcCoEYSgfUlKHjNTZxRGxHsZOGf891gu3u3qd37xWb2XZs0kNovZOQLAQw7WqvWtdI&#10;+Dy83a+AhYhOYeedlvCjA2zK66sCc+XPbq+nKjaMTFzIUYKJsc85D7XRFsPC99qR9uUHi5HWoeFq&#10;wDOZ244/CLHkFltHHwz2+sXo+rsarYRXvJsrYbbHfb1bv/Np5Ae+/ZDy9mZ+fgIW9Rz/YLjEp+hQ&#10;UqaTH50KrJPwmCUZoZdhSaWIWIuMLidCkzRNgZcF/1+i/AUAAP//AwBQSwECLQAUAAYACAAAACEA&#10;toM4kv4AAADhAQAAEwAAAAAAAAAAAAAAAAAAAAAAW0NvbnRlbnRfVHlwZXNdLnhtbFBLAQItABQA&#10;BgAIAAAAIQA4/SH/1gAAAJQBAAALAAAAAAAAAAAAAAAAAC8BAABfcmVscy8ucmVsc1BLAQItABQA&#10;BgAIAAAAIQBQzgZRGQIAAA4EAAAOAAAAAAAAAAAAAAAAAC4CAABkcnMvZTJvRG9jLnhtbFBLAQIt&#10;ABQABgAIAAAAIQDFqssO4QAAAAwBAAAPAAAAAAAAAAAAAAAAAHMEAABkcnMvZG93bnJldi54bWxQ&#10;SwUGAAAAAAQABADzAAAAgQUAAAAA&#10;" fillcolor="window" stroked="f">
                <v:textbox>
                  <w:txbxContent>
                    <w:p w14:paraId="6BD9EC5D" w14:textId="77777777" w:rsidR="006706ED" w:rsidRDefault="006706ED" w:rsidP="006706ED"/>
                  </w:txbxContent>
                </v:textbox>
                <w10:wrap anchorx="margin"/>
              </v:shape>
            </w:pict>
          </mc:Fallback>
        </mc:AlternateContent>
      </w:r>
      <w:r>
        <w:rPr>
          <w:noProof/>
          <w:lang w:eastAsia="en-AU"/>
        </w:rPr>
        <mc:AlternateContent>
          <mc:Choice Requires="wps">
            <w:drawing>
              <wp:anchor distT="45720" distB="45720" distL="114300" distR="114300" simplePos="0" relativeHeight="251661312" behindDoc="0" locked="0" layoutInCell="1" allowOverlap="1" wp14:anchorId="793D3E3D" wp14:editId="3D8995AF">
                <wp:simplePos x="0" y="0"/>
                <wp:positionH relativeFrom="margin">
                  <wp:posOffset>539115</wp:posOffset>
                </wp:positionH>
                <wp:positionV relativeFrom="paragraph">
                  <wp:posOffset>3538855</wp:posOffset>
                </wp:positionV>
                <wp:extent cx="1113155" cy="7391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739140"/>
                        </a:xfrm>
                        <a:prstGeom prst="rect">
                          <a:avLst/>
                        </a:prstGeom>
                        <a:solidFill>
                          <a:sysClr val="window" lastClr="FFFFFF"/>
                        </a:solidFill>
                        <a:ln w="9525">
                          <a:solidFill>
                            <a:srgbClr val="9BBB59">
                              <a:lumMod val="75000"/>
                            </a:srgbClr>
                          </a:solidFill>
                          <a:miter lim="800000"/>
                          <a:headEnd/>
                          <a:tailEnd/>
                        </a:ln>
                        <a:effectLst/>
                      </wps:spPr>
                      <wps:txbx>
                        <w:txbxContent>
                          <w:p w14:paraId="224DAD0A" w14:textId="77777777" w:rsidR="006706ED" w:rsidRPr="00BA6054" w:rsidRDefault="006706ED" w:rsidP="006706ED">
                            <w:pPr>
                              <w:rPr>
                                <w:b/>
                                <w:bCs/>
                                <w:color w:val="365F91" w:themeColor="accent1" w:themeShade="BF"/>
                                <w:sz w:val="16"/>
                                <w:szCs w:val="16"/>
                              </w:rPr>
                            </w:pPr>
                            <w:r w:rsidRPr="00907372">
                              <w:rPr>
                                <w:b/>
                                <w:bCs/>
                                <w:color w:val="000000" w:themeColor="text1"/>
                                <w:sz w:val="18"/>
                                <w:szCs w:val="18"/>
                              </w:rPr>
                              <w:t xml:space="preserve">Possible to switch? </w:t>
                            </w:r>
                            <w:r>
                              <w:rPr>
                                <w:b/>
                                <w:bCs/>
                                <w:color w:val="365F91" w:themeColor="accent1" w:themeShade="BF"/>
                                <w:sz w:val="16"/>
                                <w:szCs w:val="16"/>
                              </w:rPr>
                              <w:t xml:space="preserve">(Prolonged therapy required for the following indications shown in </w:t>
                            </w:r>
                            <w:r w:rsidRPr="00BA6054">
                              <w:rPr>
                                <w:b/>
                                <w:bCs/>
                                <w:color w:val="365F91" w:themeColor="accent1" w:themeShade="BF"/>
                                <w:sz w:val="16"/>
                                <w:szCs w:val="16"/>
                              </w:rPr>
                              <w:t>Box 3</w:t>
                            </w:r>
                            <w:r>
                              <w:rPr>
                                <w:b/>
                                <w:bCs/>
                                <w:color w:val="365F91" w:themeColor="accent1" w:themeShade="BF"/>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D3E3D" id="Text Box 3" o:spid="_x0000_s1028" type="#_x0000_t202" style="position:absolute;margin-left:42.45pt;margin-top:278.65pt;width:87.65pt;height:58.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gpcPQIAAGYEAAAOAAAAZHJzL2Uyb0RvYy54bWysVF1v2yAUfZ+0/4B4Xxyn9dpYcaomXaZJ&#10;3YfU7QdgwDEacD0gsbNfvwtO0rR7m5YHxPWFc+8555LF3WA02UvnFdiK5pMpJdJyEMpuK/rj++bd&#10;LSU+MCuYBisrepCe3i3fvln0XSln0IIW0hEEsb7su4q2IXRllnneSsP8BDppMdmAMyxg6LaZcKxH&#10;dKOz2XT6PuvBic4Bl97j14cxSZcJv2kkD1+bxstAdEWxt5BWl9Y6rtlywcqtY12r+LEN9g9dGKYs&#10;Fj1DPbDAyM6pv6CM4g48NGHCwWTQNIrLxAHZ5NNXbJ5a1snEBcXx3Vkm//9g+Zf9U/fNkTCsYEAD&#10;EwnfPQL/6YmFdcvsVt47B30rmcDCeZQs6ztfHq9GqX3pI0jdfwaBJrNdgAQ0NM5EVZAnQXQ04HAW&#10;XQ6B8Fgyz6/yoqCEY+7map5fJ1cyVp5ud86HjxIMiZuKOjQ1obP9ow+xG1aejsRiHrQSG6V1Cg5+&#10;rR3ZM/Qfx0ZAT4lmPuDHim7SLxF6dU1b0ld0XsyKUZAXkG5bnzHnq9WqmKdDemeQ/ljqpphOTzT8&#10;eD71+aI3owLOvlamord4fLzAyij0ByvSZAam9LhHktpGRjJN9ZH5SfrRhDDUA1GiorPIKeZqEAc0&#10;xsE4+PhQcdOC+01Jj0NfUf9rx5xETT5ZNBfFR/VJSMF1cTPDwF1m6ssMsxyhKhooGbfrkF5W7NLC&#10;PQ5Bo5I/z50cRweHOclxfHjxtVzG6dTz38PyDwAAAP//AwBQSwMEFAAGAAgAAAAhAMJ73/TfAAAA&#10;CgEAAA8AAABkcnMvZG93bnJldi54bWxMj8tOwzAQRfdI/IM1SOyo07TNi0wqVJQPIGUBOzd246jx&#10;OMROG/4es4Ll6B7de6bcL2ZgVzW53hLCehUBU9Ra2VOH8H6snzJgzguSYrCkEL6Vg311f1eKQtob&#10;valr4zsWSsgVAkF7Pxacu1YrI9zKjopCdraTET6cU8flJG6h3Aw8jqKEG9FTWNBiVAet2kszG4Sv&#10;4eM8vya5y/rtIuvP7qDzukF8fFhenoF5tfg/GH71gzpUwelkZ5KODQjZNg8kwm6XboAFIE6iGNgJ&#10;IUk3KfCq5P9fqH4AAAD//wMAUEsBAi0AFAAGAAgAAAAhALaDOJL+AAAA4QEAABMAAAAAAAAAAAAA&#10;AAAAAAAAAFtDb250ZW50X1R5cGVzXS54bWxQSwECLQAUAAYACAAAACEAOP0h/9YAAACUAQAACwAA&#10;AAAAAAAAAAAAAAAvAQAAX3JlbHMvLnJlbHNQSwECLQAUAAYACAAAACEAGXIKXD0CAABmBAAADgAA&#10;AAAAAAAAAAAAAAAuAgAAZHJzL2Uyb0RvYy54bWxQSwECLQAUAAYACAAAACEAwnvf9N8AAAAKAQAA&#10;DwAAAAAAAAAAAAAAAACXBAAAZHJzL2Rvd25yZXYueG1sUEsFBgAAAAAEAAQA8wAAAKMFAAAAAA==&#10;" fillcolor="window" strokecolor="#77933c">
                <v:textbox>
                  <w:txbxContent>
                    <w:p w14:paraId="224DAD0A" w14:textId="77777777" w:rsidR="006706ED" w:rsidRPr="00BA6054" w:rsidRDefault="006706ED" w:rsidP="006706ED">
                      <w:pPr>
                        <w:rPr>
                          <w:b/>
                          <w:bCs/>
                          <w:color w:val="365F91" w:themeColor="accent1" w:themeShade="BF"/>
                          <w:sz w:val="16"/>
                          <w:szCs w:val="16"/>
                        </w:rPr>
                      </w:pPr>
                      <w:r w:rsidRPr="00907372">
                        <w:rPr>
                          <w:b/>
                          <w:bCs/>
                          <w:color w:val="000000" w:themeColor="text1"/>
                          <w:sz w:val="18"/>
                          <w:szCs w:val="18"/>
                        </w:rPr>
                        <w:t xml:space="preserve">Possible to switch? </w:t>
                      </w:r>
                      <w:r>
                        <w:rPr>
                          <w:b/>
                          <w:bCs/>
                          <w:color w:val="365F91" w:themeColor="accent1" w:themeShade="BF"/>
                          <w:sz w:val="16"/>
                          <w:szCs w:val="16"/>
                        </w:rPr>
                        <w:t xml:space="preserve">(Prolonged therapy required for the following indications shown in </w:t>
                      </w:r>
                      <w:r w:rsidRPr="00BA6054">
                        <w:rPr>
                          <w:b/>
                          <w:bCs/>
                          <w:color w:val="365F91" w:themeColor="accent1" w:themeShade="BF"/>
                          <w:sz w:val="16"/>
                          <w:szCs w:val="16"/>
                        </w:rPr>
                        <w:t>Box 3</w:t>
                      </w:r>
                      <w:r>
                        <w:rPr>
                          <w:b/>
                          <w:bCs/>
                          <w:color w:val="365F91" w:themeColor="accent1" w:themeShade="BF"/>
                          <w:sz w:val="16"/>
                          <w:szCs w:val="16"/>
                        </w:rPr>
                        <w:t>)</w:t>
                      </w:r>
                    </w:p>
                  </w:txbxContent>
                </v:textbox>
                <w10:wrap anchorx="margin"/>
              </v:shape>
            </w:pict>
          </mc:Fallback>
        </mc:AlternateContent>
      </w:r>
      <w:r>
        <w:rPr>
          <w:noProof/>
          <w:lang w:eastAsia="en-AU"/>
        </w:rPr>
        <w:t xml:space="preserve"> </w:t>
      </w:r>
    </w:p>
    <w:p w14:paraId="3DADCF85" w14:textId="77777777" w:rsidR="006706ED" w:rsidRPr="005A4DB7" w:rsidRDefault="006706ED" w:rsidP="006706ED">
      <w:pPr>
        <w:shd w:val="clear" w:color="auto" w:fill="FFFFFF"/>
        <w:overflowPunct w:val="0"/>
        <w:autoSpaceDE w:val="0"/>
        <w:autoSpaceDN w:val="0"/>
        <w:adjustRightInd w:val="0"/>
        <w:spacing w:line="276" w:lineRule="auto"/>
        <w:jc w:val="right"/>
        <w:rPr>
          <w:rFonts w:cs="Arial"/>
          <w:i/>
          <w:color w:val="0000FF"/>
          <w:szCs w:val="24"/>
          <w:u w:val="single"/>
        </w:rPr>
      </w:pPr>
      <w:hyperlink w:anchor="Contents" w:history="1">
        <w:r w:rsidRPr="00590902">
          <w:rPr>
            <w:rStyle w:val="Hyperlink"/>
            <w:rFonts w:cs="Arial"/>
            <w:i/>
            <w:szCs w:val="24"/>
          </w:rPr>
          <w:t>Back to Table of Contents</w:t>
        </w:r>
      </w:hyperlink>
    </w:p>
    <w:p w14:paraId="4FFEE846" w14:textId="77777777" w:rsidR="006706ED" w:rsidRDefault="006706ED" w:rsidP="006706ED">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6706ED" w:rsidRPr="00CD1C0E" w14:paraId="01FC0AD6" w14:textId="77777777" w:rsidTr="00147382">
        <w:trPr>
          <w:cantSplit/>
          <w:trHeight w:val="285"/>
        </w:trPr>
        <w:tc>
          <w:tcPr>
            <w:tcW w:w="9158" w:type="dxa"/>
            <w:shd w:val="clear" w:color="auto" w:fill="A6A6A6" w:themeFill="background1" w:themeFillShade="A6"/>
          </w:tcPr>
          <w:p w14:paraId="01219FCC" w14:textId="77777777" w:rsidR="006706ED" w:rsidRPr="003D2D06" w:rsidRDefault="006706ED" w:rsidP="00147382">
            <w:pPr>
              <w:pStyle w:val="Heading1"/>
            </w:pPr>
            <w:bookmarkStart w:id="23" w:name="_Toc389473284"/>
            <w:bookmarkStart w:id="24" w:name="_Toc112678509"/>
            <w:r>
              <w:t xml:space="preserve">Section </w:t>
            </w:r>
            <w:bookmarkEnd w:id="23"/>
            <w:r>
              <w:t>2 – HITH Antimicrobial Recommendations</w:t>
            </w:r>
            <w:bookmarkEnd w:id="24"/>
          </w:p>
        </w:tc>
      </w:tr>
    </w:tbl>
    <w:p w14:paraId="3D387049" w14:textId="77777777" w:rsidR="006706ED" w:rsidRDefault="006706ED" w:rsidP="006706ED">
      <w:pPr>
        <w:shd w:val="clear" w:color="auto" w:fill="FFFFFF"/>
        <w:overflowPunct w:val="0"/>
        <w:autoSpaceDE w:val="0"/>
        <w:autoSpaceDN w:val="0"/>
        <w:adjustRightInd w:val="0"/>
        <w:spacing w:before="100" w:beforeAutospacing="1" w:after="100" w:afterAutospacing="1" w:line="276" w:lineRule="auto"/>
        <w:jc w:val="both"/>
        <w:rPr>
          <w:rFonts w:cs="Times"/>
          <w:b/>
          <w:lang w:eastAsia="en-AU"/>
        </w:rPr>
      </w:pPr>
    </w:p>
    <w:p w14:paraId="39387CDE" w14:textId="77777777" w:rsidR="006706ED" w:rsidRDefault="006706ED" w:rsidP="006706ED">
      <w:pPr>
        <w:shd w:val="clear" w:color="auto" w:fill="FFFFFF"/>
        <w:overflowPunct w:val="0"/>
        <w:autoSpaceDE w:val="0"/>
        <w:autoSpaceDN w:val="0"/>
        <w:adjustRightInd w:val="0"/>
        <w:spacing w:before="100" w:beforeAutospacing="1" w:after="100" w:afterAutospacing="1" w:line="276" w:lineRule="auto"/>
        <w:jc w:val="both"/>
        <w:rPr>
          <w:rFonts w:cs="Times"/>
          <w:b/>
          <w:lang w:eastAsia="en-AU"/>
        </w:rPr>
      </w:pPr>
      <w:r>
        <w:rPr>
          <w:rFonts w:cs="Times"/>
          <w:b/>
          <w:lang w:eastAsia="en-AU"/>
        </w:rPr>
        <w:t>2.1 Antibiotics and clinical situations requiring PICC lines</w:t>
      </w:r>
    </w:p>
    <w:p w14:paraId="471B21CC" w14:textId="77777777" w:rsidR="006706ED" w:rsidRDefault="006706ED" w:rsidP="006706ED">
      <w:pPr>
        <w:pStyle w:val="ListParagraph"/>
        <w:numPr>
          <w:ilvl w:val="0"/>
          <w:numId w:val="31"/>
        </w:numPr>
        <w:shd w:val="clear" w:color="auto" w:fill="FFFFFF"/>
        <w:overflowPunct w:val="0"/>
        <w:autoSpaceDE w:val="0"/>
        <w:autoSpaceDN w:val="0"/>
        <w:adjustRightInd w:val="0"/>
        <w:spacing w:before="100" w:beforeAutospacing="1" w:after="100" w:afterAutospacing="1" w:line="276" w:lineRule="auto"/>
        <w:contextualSpacing w:val="0"/>
        <w:jc w:val="both"/>
        <w:rPr>
          <w:rFonts w:cs="Times"/>
          <w:lang w:eastAsia="en-AU"/>
        </w:rPr>
      </w:pPr>
      <w:r>
        <w:rPr>
          <w:rFonts w:cs="Times"/>
          <w:lang w:eastAsia="en-AU"/>
        </w:rPr>
        <w:t>Antibiotics due to risk of significant thrombophlebitis (in these cases PICC line must be in place prior to transfer to HITH)</w:t>
      </w:r>
    </w:p>
    <w:p w14:paraId="76EC5E15" w14:textId="77777777" w:rsidR="006706ED" w:rsidRDefault="006706ED" w:rsidP="006706ED">
      <w:pPr>
        <w:pStyle w:val="ListParagraph"/>
        <w:numPr>
          <w:ilvl w:val="1"/>
          <w:numId w:val="31"/>
        </w:numPr>
        <w:shd w:val="clear" w:color="auto" w:fill="FFFFFF"/>
        <w:overflowPunct w:val="0"/>
        <w:autoSpaceDE w:val="0"/>
        <w:autoSpaceDN w:val="0"/>
        <w:adjustRightInd w:val="0"/>
        <w:spacing w:before="100" w:beforeAutospacing="1" w:after="100" w:afterAutospacing="1" w:line="276" w:lineRule="auto"/>
        <w:contextualSpacing w:val="0"/>
        <w:jc w:val="both"/>
        <w:rPr>
          <w:rFonts w:cs="Times"/>
          <w:lang w:eastAsia="en-AU"/>
        </w:rPr>
      </w:pPr>
      <w:r>
        <w:rPr>
          <w:rFonts w:cs="Times"/>
          <w:lang w:eastAsia="en-AU"/>
        </w:rPr>
        <w:lastRenderedPageBreak/>
        <w:t>Vancomycin</w:t>
      </w:r>
    </w:p>
    <w:p w14:paraId="64E236B3" w14:textId="77777777" w:rsidR="006706ED" w:rsidRDefault="006706ED" w:rsidP="006706ED">
      <w:pPr>
        <w:pStyle w:val="ListParagraph"/>
        <w:numPr>
          <w:ilvl w:val="1"/>
          <w:numId w:val="31"/>
        </w:numPr>
        <w:shd w:val="clear" w:color="auto" w:fill="FFFFFF"/>
        <w:overflowPunct w:val="0"/>
        <w:autoSpaceDE w:val="0"/>
        <w:autoSpaceDN w:val="0"/>
        <w:adjustRightInd w:val="0"/>
        <w:spacing w:before="100" w:beforeAutospacing="1" w:after="100" w:afterAutospacing="1" w:line="276" w:lineRule="auto"/>
        <w:contextualSpacing w:val="0"/>
        <w:jc w:val="both"/>
        <w:rPr>
          <w:rFonts w:cs="Times"/>
          <w:lang w:eastAsia="en-AU"/>
        </w:rPr>
      </w:pPr>
      <w:r>
        <w:rPr>
          <w:rFonts w:cs="Times"/>
          <w:lang w:eastAsia="en-AU"/>
        </w:rPr>
        <w:t>Flucloxacillin</w:t>
      </w:r>
    </w:p>
    <w:p w14:paraId="55596098" w14:textId="77777777" w:rsidR="006706ED" w:rsidRDefault="006706ED" w:rsidP="006706ED">
      <w:pPr>
        <w:pStyle w:val="ListParagraph"/>
        <w:numPr>
          <w:ilvl w:val="0"/>
          <w:numId w:val="31"/>
        </w:numPr>
        <w:shd w:val="clear" w:color="auto" w:fill="FFFFFF"/>
        <w:overflowPunct w:val="0"/>
        <w:autoSpaceDE w:val="0"/>
        <w:autoSpaceDN w:val="0"/>
        <w:adjustRightInd w:val="0"/>
        <w:spacing w:before="100" w:beforeAutospacing="1" w:after="100" w:afterAutospacing="1" w:line="276" w:lineRule="auto"/>
        <w:contextualSpacing w:val="0"/>
        <w:jc w:val="both"/>
        <w:rPr>
          <w:rFonts w:cs="Times"/>
          <w:lang w:eastAsia="en-AU"/>
        </w:rPr>
      </w:pPr>
      <w:r>
        <w:rPr>
          <w:rFonts w:cs="Times"/>
          <w:lang w:eastAsia="en-AU"/>
        </w:rPr>
        <w:t xml:space="preserve">Patient requiring prolonged parenteral therapy </w:t>
      </w:r>
    </w:p>
    <w:p w14:paraId="60DB92D0" w14:textId="77777777" w:rsidR="006706ED" w:rsidRDefault="006706ED" w:rsidP="006706ED">
      <w:pPr>
        <w:pStyle w:val="ListParagraph"/>
        <w:numPr>
          <w:ilvl w:val="1"/>
          <w:numId w:val="31"/>
        </w:numPr>
        <w:shd w:val="clear" w:color="auto" w:fill="FFFFFF"/>
        <w:overflowPunct w:val="0"/>
        <w:autoSpaceDE w:val="0"/>
        <w:autoSpaceDN w:val="0"/>
        <w:adjustRightInd w:val="0"/>
        <w:spacing w:before="100" w:beforeAutospacing="1" w:after="100" w:afterAutospacing="1" w:line="276" w:lineRule="auto"/>
        <w:contextualSpacing w:val="0"/>
        <w:jc w:val="both"/>
        <w:rPr>
          <w:rFonts w:cs="Times"/>
          <w:lang w:eastAsia="en-AU"/>
        </w:rPr>
      </w:pPr>
      <w:r>
        <w:rPr>
          <w:rFonts w:cs="Times"/>
          <w:lang w:eastAsia="en-AU"/>
        </w:rPr>
        <w:t>Osteomyelitis</w:t>
      </w:r>
    </w:p>
    <w:p w14:paraId="629C2F78" w14:textId="77777777" w:rsidR="006706ED" w:rsidRDefault="006706ED" w:rsidP="006706ED">
      <w:pPr>
        <w:pStyle w:val="ListParagraph"/>
        <w:numPr>
          <w:ilvl w:val="1"/>
          <w:numId w:val="31"/>
        </w:numPr>
        <w:shd w:val="clear" w:color="auto" w:fill="FFFFFF"/>
        <w:overflowPunct w:val="0"/>
        <w:autoSpaceDE w:val="0"/>
        <w:autoSpaceDN w:val="0"/>
        <w:adjustRightInd w:val="0"/>
        <w:spacing w:before="100" w:beforeAutospacing="1" w:after="100" w:afterAutospacing="1" w:line="276" w:lineRule="auto"/>
        <w:contextualSpacing w:val="0"/>
        <w:jc w:val="both"/>
        <w:rPr>
          <w:rFonts w:cs="Times"/>
          <w:lang w:eastAsia="en-AU"/>
        </w:rPr>
      </w:pPr>
      <w:r>
        <w:rPr>
          <w:rFonts w:cs="Times"/>
          <w:lang w:eastAsia="en-AU"/>
        </w:rPr>
        <w:t>Vertebrodiscitis</w:t>
      </w:r>
    </w:p>
    <w:p w14:paraId="1CD5FCBE" w14:textId="77777777" w:rsidR="006706ED" w:rsidRDefault="006706ED" w:rsidP="006706ED">
      <w:pPr>
        <w:pStyle w:val="ListParagraph"/>
        <w:numPr>
          <w:ilvl w:val="1"/>
          <w:numId w:val="31"/>
        </w:numPr>
        <w:shd w:val="clear" w:color="auto" w:fill="FFFFFF"/>
        <w:overflowPunct w:val="0"/>
        <w:autoSpaceDE w:val="0"/>
        <w:autoSpaceDN w:val="0"/>
        <w:adjustRightInd w:val="0"/>
        <w:spacing w:before="100" w:beforeAutospacing="1" w:after="100" w:afterAutospacing="1" w:line="276" w:lineRule="auto"/>
        <w:contextualSpacing w:val="0"/>
        <w:jc w:val="both"/>
        <w:rPr>
          <w:rFonts w:cs="Times"/>
          <w:lang w:eastAsia="en-AU"/>
        </w:rPr>
      </w:pPr>
      <w:r>
        <w:rPr>
          <w:rFonts w:cs="Times"/>
          <w:lang w:eastAsia="en-AU"/>
        </w:rPr>
        <w:t>Septic arthritis</w:t>
      </w:r>
    </w:p>
    <w:p w14:paraId="584DB8F3" w14:textId="77777777" w:rsidR="006706ED" w:rsidRDefault="006706ED" w:rsidP="006706ED">
      <w:pPr>
        <w:pStyle w:val="ListParagraph"/>
        <w:numPr>
          <w:ilvl w:val="1"/>
          <w:numId w:val="31"/>
        </w:numPr>
        <w:shd w:val="clear" w:color="auto" w:fill="FFFFFF"/>
        <w:overflowPunct w:val="0"/>
        <w:autoSpaceDE w:val="0"/>
        <w:autoSpaceDN w:val="0"/>
        <w:adjustRightInd w:val="0"/>
        <w:spacing w:before="100" w:beforeAutospacing="1" w:after="100" w:afterAutospacing="1" w:line="276" w:lineRule="auto"/>
        <w:contextualSpacing w:val="0"/>
        <w:jc w:val="both"/>
        <w:rPr>
          <w:rFonts w:cs="Times"/>
          <w:lang w:eastAsia="en-AU"/>
        </w:rPr>
      </w:pPr>
      <w:r>
        <w:rPr>
          <w:rFonts w:cs="Times"/>
          <w:lang w:eastAsia="en-AU"/>
        </w:rPr>
        <w:t>Endocarditis</w:t>
      </w:r>
    </w:p>
    <w:p w14:paraId="38BD1766" w14:textId="77777777" w:rsidR="006706ED" w:rsidRDefault="006706ED" w:rsidP="006706ED">
      <w:pPr>
        <w:pStyle w:val="ListParagraph"/>
        <w:numPr>
          <w:ilvl w:val="0"/>
          <w:numId w:val="31"/>
        </w:numPr>
        <w:shd w:val="clear" w:color="auto" w:fill="FFFFFF"/>
        <w:overflowPunct w:val="0"/>
        <w:autoSpaceDE w:val="0"/>
        <w:autoSpaceDN w:val="0"/>
        <w:adjustRightInd w:val="0"/>
        <w:spacing w:before="100" w:beforeAutospacing="1" w:after="100" w:afterAutospacing="1" w:line="276" w:lineRule="auto"/>
        <w:contextualSpacing w:val="0"/>
        <w:jc w:val="both"/>
        <w:rPr>
          <w:rFonts w:cs="Times"/>
          <w:lang w:eastAsia="en-AU"/>
        </w:rPr>
      </w:pPr>
      <w:r>
        <w:rPr>
          <w:rFonts w:cs="Times"/>
          <w:lang w:eastAsia="en-AU"/>
        </w:rPr>
        <w:t>Patients requiring medium duration IV therapy (ie anticipated 1-2 weeks) with poor IV access options where an oral option is not applicable.</w:t>
      </w:r>
    </w:p>
    <w:p w14:paraId="493764B8" w14:textId="77777777" w:rsidR="006706ED" w:rsidRPr="00792AB1" w:rsidRDefault="006706ED" w:rsidP="006706ED">
      <w:pPr>
        <w:shd w:val="clear" w:color="auto" w:fill="FFFFFF"/>
        <w:overflowPunct w:val="0"/>
        <w:spacing w:before="100" w:beforeAutospacing="1" w:after="100" w:afterAutospacing="1" w:line="276" w:lineRule="auto"/>
        <w:jc w:val="both"/>
        <w:rPr>
          <w:rFonts w:cs="Times"/>
          <w:lang w:eastAsia="en-AU"/>
        </w:rPr>
      </w:pPr>
      <w:r>
        <w:rPr>
          <w:rFonts w:cs="Times"/>
          <w:lang w:eastAsia="en-AU"/>
        </w:rPr>
        <w:t>In 2) and 3) PICC line can be arranged for insertion after transfer to HITH with infusion started, as long as IV access is available in some other form until the PICC line is inserted.</w:t>
      </w:r>
    </w:p>
    <w:p w14:paraId="6D1FB750" w14:textId="77777777" w:rsidR="006706ED" w:rsidRPr="00071548" w:rsidRDefault="006706ED" w:rsidP="006706ED">
      <w:pPr>
        <w:shd w:val="clear" w:color="auto" w:fill="FFFFFF"/>
        <w:overflowPunct w:val="0"/>
        <w:autoSpaceDE w:val="0"/>
        <w:autoSpaceDN w:val="0"/>
        <w:adjustRightInd w:val="0"/>
        <w:jc w:val="both"/>
        <w:rPr>
          <w:rFonts w:cs="Times"/>
          <w:b/>
          <w:bCs/>
          <w:lang w:eastAsia="en-AU"/>
        </w:rPr>
      </w:pPr>
      <w:r w:rsidRPr="00071548">
        <w:rPr>
          <w:rFonts w:cs="Times"/>
          <w:b/>
          <w:bCs/>
          <w:lang w:eastAsia="en-AU"/>
        </w:rPr>
        <w:t xml:space="preserve">2.2 HITH </w:t>
      </w:r>
      <w:r>
        <w:rPr>
          <w:rFonts w:cs="Times"/>
          <w:b/>
          <w:bCs/>
          <w:lang w:eastAsia="en-AU"/>
        </w:rPr>
        <w:t xml:space="preserve">Antibiotic suggestions </w:t>
      </w:r>
    </w:p>
    <w:p w14:paraId="74C87B69" w14:textId="77777777" w:rsidR="006706ED" w:rsidRDefault="006706ED" w:rsidP="006706ED">
      <w:pPr>
        <w:shd w:val="clear" w:color="auto" w:fill="FFFFFF"/>
        <w:overflowPunct w:val="0"/>
        <w:autoSpaceDE w:val="0"/>
        <w:autoSpaceDN w:val="0"/>
        <w:adjustRightInd w:val="0"/>
        <w:jc w:val="both"/>
        <w:rPr>
          <w:rFonts w:cs="Times"/>
          <w:lang w:eastAsia="en-AU"/>
        </w:rPr>
      </w:pPr>
    </w:p>
    <w:p w14:paraId="4A335505" w14:textId="77777777" w:rsidR="006706ED" w:rsidRDefault="006706ED" w:rsidP="006706ED">
      <w:pPr>
        <w:rPr>
          <w:lang w:eastAsia="en-AU"/>
        </w:rPr>
      </w:pPr>
      <w:r w:rsidRPr="009412FD">
        <w:rPr>
          <w:lang w:eastAsia="en-AU"/>
        </w:rPr>
        <w:t xml:space="preserve">Below are some </w:t>
      </w:r>
      <w:r w:rsidRPr="00723B2E">
        <w:rPr>
          <w:b/>
          <w:bCs/>
          <w:lang w:eastAsia="en-AU"/>
        </w:rPr>
        <w:t xml:space="preserve">initial </w:t>
      </w:r>
      <w:r w:rsidRPr="009412FD">
        <w:rPr>
          <w:lang w:eastAsia="en-AU"/>
        </w:rPr>
        <w:t>suggestions for HITH anti</w:t>
      </w:r>
      <w:r>
        <w:rPr>
          <w:lang w:eastAsia="en-AU"/>
        </w:rPr>
        <w:t>microbial</w:t>
      </w:r>
      <w:r w:rsidRPr="009412FD">
        <w:rPr>
          <w:lang w:eastAsia="en-AU"/>
        </w:rPr>
        <w:t xml:space="preserve"> choices for infections commonly treated by Hospital in the Home (with </w:t>
      </w:r>
      <w:r w:rsidRPr="00723B2E">
        <w:rPr>
          <w:b/>
          <w:bCs/>
          <w:lang w:eastAsia="en-AU"/>
        </w:rPr>
        <w:t>further anti</w:t>
      </w:r>
      <w:r>
        <w:rPr>
          <w:b/>
          <w:bCs/>
          <w:lang w:eastAsia="en-AU"/>
        </w:rPr>
        <w:t>microbial</w:t>
      </w:r>
      <w:r w:rsidRPr="00723B2E">
        <w:rPr>
          <w:b/>
          <w:bCs/>
          <w:lang w:eastAsia="en-AU"/>
        </w:rPr>
        <w:t xml:space="preserve"> choice guided by culture/sensitivity results</w:t>
      </w:r>
      <w:r w:rsidRPr="009412FD">
        <w:rPr>
          <w:lang w:eastAsia="en-AU"/>
        </w:rPr>
        <w:t xml:space="preserve"> where available and advice from Infectious Disease/appropriate subspecialists</w:t>
      </w:r>
      <w:r>
        <w:rPr>
          <w:lang w:eastAsia="en-AU"/>
        </w:rPr>
        <w:t xml:space="preserve"> as appropriate</w:t>
      </w:r>
      <w:r w:rsidRPr="009412FD">
        <w:rPr>
          <w:lang w:eastAsia="en-AU"/>
        </w:rPr>
        <w:t>)</w:t>
      </w:r>
      <w:r>
        <w:rPr>
          <w:lang w:eastAsia="en-AU"/>
        </w:rPr>
        <w:t xml:space="preserve">. Plus refer to relevant diagnosis specific HITH clinical procedures or Therapeutic Guidelines </w:t>
      </w:r>
      <w:hyperlink r:id="rId13" w:history="1">
        <w:r>
          <w:rPr>
            <w:rStyle w:val="Hyperlink"/>
          </w:rPr>
          <w:t>Therapeutic Guidelines Home | Therapeutic Guidelines (tg.org.au)</w:t>
        </w:r>
      </w:hyperlink>
      <w:r>
        <w:rPr>
          <w:lang w:eastAsia="en-AU"/>
        </w:rPr>
        <w:t xml:space="preserve">– Antibiotic and/or the Australian Injectable Drugs Handbook </w:t>
      </w:r>
      <w:hyperlink r:id="rId14" w:history="1">
        <w:r>
          <w:rPr>
            <w:rStyle w:val="Hyperlink"/>
          </w:rPr>
          <w:t>AIDH - ABOUT AIDH (hcn.com.au)</w:t>
        </w:r>
      </w:hyperlink>
      <w:r>
        <w:rPr>
          <w:lang w:eastAsia="en-AU"/>
        </w:rPr>
        <w:t xml:space="preserve"> for more details.</w:t>
      </w:r>
    </w:p>
    <w:p w14:paraId="2E516D9F" w14:textId="77777777" w:rsidR="006706ED" w:rsidRDefault="006706ED" w:rsidP="006706ED">
      <w:pPr>
        <w:rPr>
          <w:lang w:eastAsia="en-AU"/>
        </w:rPr>
      </w:pPr>
      <w:r w:rsidRPr="00071548">
        <w:rPr>
          <w:b/>
          <w:bCs/>
          <w:lang w:eastAsia="en-AU"/>
        </w:rPr>
        <w:t>Note</w:t>
      </w:r>
      <w:r>
        <w:rPr>
          <w:b/>
          <w:bCs/>
          <w:lang w:eastAsia="en-AU"/>
        </w:rPr>
        <w:t>s</w:t>
      </w:r>
      <w:r>
        <w:rPr>
          <w:lang w:eastAsia="en-AU"/>
        </w:rPr>
        <w:t>:</w:t>
      </w:r>
    </w:p>
    <w:p w14:paraId="04E72736" w14:textId="77777777" w:rsidR="006706ED" w:rsidRPr="003E2A05" w:rsidRDefault="006706ED" w:rsidP="006706ED">
      <w:pPr>
        <w:pStyle w:val="ListParagraph"/>
        <w:numPr>
          <w:ilvl w:val="0"/>
          <w:numId w:val="29"/>
        </w:numPr>
        <w:rPr>
          <w:lang w:eastAsia="en-AU"/>
        </w:rPr>
      </w:pPr>
      <w:r w:rsidRPr="003E2A05">
        <w:rPr>
          <w:rFonts w:cs="Times"/>
          <w:lang w:eastAsia="en-AU"/>
        </w:rPr>
        <w:t>these recommendations are based on the assumption that the decision has already been made that the patient cannot be safely treated with empirical oral antibiotics</w:t>
      </w:r>
      <w:r>
        <w:rPr>
          <w:rFonts w:cs="Times"/>
          <w:lang w:eastAsia="en-AU"/>
        </w:rPr>
        <w:t>,</w:t>
      </w:r>
    </w:p>
    <w:p w14:paraId="32D7E9CE" w14:textId="77777777" w:rsidR="006706ED" w:rsidRPr="00071548" w:rsidRDefault="006706ED" w:rsidP="006706ED">
      <w:pPr>
        <w:pStyle w:val="ListParagraph"/>
        <w:numPr>
          <w:ilvl w:val="0"/>
          <w:numId w:val="29"/>
        </w:numPr>
        <w:rPr>
          <w:rFonts w:cs="Times"/>
          <w:lang w:eastAsia="en-AU"/>
        </w:rPr>
      </w:pPr>
      <w:r w:rsidRPr="00071548">
        <w:rPr>
          <w:rFonts w:cs="Times"/>
          <w:lang w:eastAsia="en-AU"/>
        </w:rPr>
        <w:t>any prolonged antibiotics and broad</w:t>
      </w:r>
      <w:r>
        <w:rPr>
          <w:rFonts w:cs="Times"/>
          <w:lang w:eastAsia="en-AU"/>
        </w:rPr>
        <w:t>-</w:t>
      </w:r>
      <w:r w:rsidRPr="00071548">
        <w:rPr>
          <w:rFonts w:cs="Times"/>
          <w:lang w:eastAsia="en-AU"/>
        </w:rPr>
        <w:t>spectrum antibiotics can increase the risk of C diff infections. Thus in patients on antibiotics who develop watery or persistent diarrhoea a stool sample should be sent to test for C diff.</w:t>
      </w:r>
    </w:p>
    <w:p w14:paraId="20315D9A" w14:textId="77777777" w:rsidR="006706ED" w:rsidRDefault="006706ED" w:rsidP="006706ED">
      <w:pPr>
        <w:pStyle w:val="ListParagraph"/>
        <w:ind w:left="780"/>
        <w:rPr>
          <w:b/>
          <w:bCs/>
          <w:lang w:eastAsia="en-A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2736"/>
        <w:gridCol w:w="3040"/>
        <w:gridCol w:w="2210"/>
      </w:tblGrid>
      <w:tr w:rsidR="006706ED" w:rsidRPr="009412FD" w14:paraId="3C0A7742" w14:textId="77777777" w:rsidTr="00147382">
        <w:trPr>
          <w:tblHeader/>
        </w:trPr>
        <w:tc>
          <w:tcPr>
            <w:tcW w:w="2215" w:type="dxa"/>
            <w:tcBorders>
              <w:top w:val="single" w:sz="4" w:space="0" w:color="auto"/>
              <w:left w:val="single" w:sz="4" w:space="0" w:color="auto"/>
              <w:bottom w:val="single" w:sz="4" w:space="0" w:color="auto"/>
              <w:right w:val="single" w:sz="4" w:space="0" w:color="auto"/>
            </w:tcBorders>
            <w:hideMark/>
          </w:tcPr>
          <w:p w14:paraId="20E0A7A7" w14:textId="77777777" w:rsidR="006706ED" w:rsidRPr="00D4155A" w:rsidRDefault="006706ED" w:rsidP="00147382">
            <w:pPr>
              <w:rPr>
                <w:b/>
                <w:bCs/>
                <w:lang w:eastAsia="en-AU"/>
              </w:rPr>
            </w:pPr>
            <w:r w:rsidRPr="00D4155A">
              <w:rPr>
                <w:b/>
                <w:bCs/>
                <w:lang w:eastAsia="en-AU"/>
              </w:rPr>
              <w:t>Condition</w:t>
            </w:r>
          </w:p>
        </w:tc>
        <w:tc>
          <w:tcPr>
            <w:tcW w:w="2736" w:type="dxa"/>
            <w:tcBorders>
              <w:top w:val="single" w:sz="4" w:space="0" w:color="auto"/>
              <w:left w:val="single" w:sz="4" w:space="0" w:color="auto"/>
              <w:bottom w:val="single" w:sz="4" w:space="0" w:color="auto"/>
              <w:right w:val="single" w:sz="4" w:space="0" w:color="auto"/>
            </w:tcBorders>
            <w:hideMark/>
          </w:tcPr>
          <w:p w14:paraId="658C68D0" w14:textId="77777777" w:rsidR="006706ED" w:rsidRPr="00D4155A" w:rsidRDefault="006706ED" w:rsidP="00147382">
            <w:pPr>
              <w:rPr>
                <w:b/>
                <w:bCs/>
                <w:lang w:eastAsia="en-AU"/>
              </w:rPr>
            </w:pPr>
            <w:r w:rsidRPr="00D4155A">
              <w:rPr>
                <w:b/>
                <w:bCs/>
                <w:lang w:eastAsia="en-AU"/>
              </w:rPr>
              <w:t>Treatment</w:t>
            </w:r>
          </w:p>
        </w:tc>
        <w:tc>
          <w:tcPr>
            <w:tcW w:w="3040" w:type="dxa"/>
            <w:tcBorders>
              <w:top w:val="single" w:sz="4" w:space="0" w:color="auto"/>
              <w:left w:val="single" w:sz="4" w:space="0" w:color="auto"/>
              <w:bottom w:val="single" w:sz="4" w:space="0" w:color="auto"/>
              <w:right w:val="single" w:sz="4" w:space="0" w:color="auto"/>
            </w:tcBorders>
          </w:tcPr>
          <w:p w14:paraId="569DE7C6" w14:textId="77777777" w:rsidR="006706ED" w:rsidRPr="00D4155A" w:rsidRDefault="006706ED" w:rsidP="00147382">
            <w:pPr>
              <w:rPr>
                <w:b/>
                <w:bCs/>
                <w:lang w:eastAsia="en-AU"/>
              </w:rPr>
            </w:pPr>
            <w:r>
              <w:rPr>
                <w:b/>
                <w:bCs/>
                <w:lang w:eastAsia="en-AU"/>
              </w:rPr>
              <w:t xml:space="preserve">Additional advice </w:t>
            </w:r>
          </w:p>
        </w:tc>
        <w:tc>
          <w:tcPr>
            <w:tcW w:w="2210" w:type="dxa"/>
            <w:tcBorders>
              <w:top w:val="single" w:sz="4" w:space="0" w:color="auto"/>
              <w:left w:val="single" w:sz="4" w:space="0" w:color="auto"/>
              <w:bottom w:val="single" w:sz="4" w:space="0" w:color="auto"/>
              <w:right w:val="single" w:sz="4" w:space="0" w:color="auto"/>
            </w:tcBorders>
            <w:hideMark/>
          </w:tcPr>
          <w:p w14:paraId="02D18C92" w14:textId="77777777" w:rsidR="006706ED" w:rsidRPr="00D4155A" w:rsidRDefault="006706ED" w:rsidP="00147382">
            <w:pPr>
              <w:rPr>
                <w:b/>
                <w:bCs/>
                <w:lang w:eastAsia="en-AU"/>
              </w:rPr>
            </w:pPr>
            <w:r>
              <w:rPr>
                <w:b/>
                <w:bCs/>
                <w:lang w:eastAsia="en-AU"/>
              </w:rPr>
              <w:t>IV access</w:t>
            </w:r>
          </w:p>
        </w:tc>
      </w:tr>
      <w:tr w:rsidR="006706ED" w:rsidRPr="009412FD" w14:paraId="1E696C6E" w14:textId="77777777" w:rsidTr="00147382">
        <w:trPr>
          <w:trHeight w:val="3292"/>
        </w:trPr>
        <w:tc>
          <w:tcPr>
            <w:tcW w:w="2215" w:type="dxa"/>
            <w:tcBorders>
              <w:top w:val="single" w:sz="4" w:space="0" w:color="auto"/>
              <w:left w:val="single" w:sz="4" w:space="0" w:color="auto"/>
              <w:bottom w:val="single" w:sz="4" w:space="0" w:color="auto"/>
              <w:right w:val="single" w:sz="4" w:space="0" w:color="auto"/>
            </w:tcBorders>
            <w:hideMark/>
          </w:tcPr>
          <w:p w14:paraId="788DFDFC" w14:textId="77777777" w:rsidR="006706ED" w:rsidRPr="00D4155A" w:rsidRDefault="006706ED" w:rsidP="00147382">
            <w:pPr>
              <w:rPr>
                <w:rFonts w:cs="Arial"/>
                <w:b/>
                <w:bCs/>
                <w:lang w:eastAsia="en-AU"/>
              </w:rPr>
            </w:pPr>
            <w:r w:rsidRPr="00D4155A">
              <w:rPr>
                <w:rFonts w:cs="Arial"/>
                <w:b/>
                <w:bCs/>
                <w:lang w:eastAsia="en-AU"/>
              </w:rPr>
              <w:t>Cellulitis</w:t>
            </w:r>
          </w:p>
          <w:p w14:paraId="7A55A9AD" w14:textId="77777777" w:rsidR="006706ED" w:rsidRPr="00D4155A" w:rsidRDefault="006706ED" w:rsidP="00147382">
            <w:pPr>
              <w:rPr>
                <w:rFonts w:cs="Arial"/>
                <w:b/>
                <w:bCs/>
                <w:lang w:eastAsia="en-AU"/>
              </w:rPr>
            </w:pPr>
            <w:r w:rsidRPr="00D4155A">
              <w:rPr>
                <w:rFonts w:cs="Arial"/>
                <w:b/>
                <w:bCs/>
                <w:lang w:eastAsia="en-AU"/>
              </w:rPr>
              <w:t>(and mastitis)</w:t>
            </w:r>
          </w:p>
          <w:p w14:paraId="435B38E0" w14:textId="77777777" w:rsidR="006706ED" w:rsidRPr="00D4155A" w:rsidRDefault="006706ED" w:rsidP="00147382">
            <w:pPr>
              <w:rPr>
                <w:rFonts w:cs="Arial"/>
                <w:b/>
                <w:bCs/>
                <w:lang w:eastAsia="en-AU"/>
              </w:rPr>
            </w:pPr>
          </w:p>
        </w:tc>
        <w:tc>
          <w:tcPr>
            <w:tcW w:w="2736" w:type="dxa"/>
            <w:tcBorders>
              <w:top w:val="single" w:sz="4" w:space="0" w:color="auto"/>
              <w:left w:val="single" w:sz="4" w:space="0" w:color="auto"/>
              <w:bottom w:val="single" w:sz="4" w:space="0" w:color="auto"/>
              <w:right w:val="single" w:sz="4" w:space="0" w:color="auto"/>
            </w:tcBorders>
            <w:hideMark/>
          </w:tcPr>
          <w:p w14:paraId="1DA1B9ED" w14:textId="77777777" w:rsidR="006706ED" w:rsidRDefault="006706ED" w:rsidP="00147382">
            <w:pPr>
              <w:pStyle w:val="CommentText"/>
              <w:rPr>
                <w:rFonts w:cs="Arial"/>
                <w:lang w:eastAsia="en-AU"/>
              </w:rPr>
            </w:pPr>
            <w:r w:rsidRPr="003D7AC0">
              <w:rPr>
                <w:rFonts w:cs="Arial"/>
                <w:color w:val="00B050"/>
                <w:sz w:val="24"/>
                <w:szCs w:val="24"/>
                <w:lang w:eastAsia="en-AU"/>
              </w:rPr>
              <w:t>Cefazolin</w:t>
            </w:r>
            <w:r w:rsidRPr="003D7AC0">
              <w:rPr>
                <w:rFonts w:cs="Arial"/>
                <w:sz w:val="24"/>
                <w:szCs w:val="24"/>
                <w:lang w:eastAsia="en-AU"/>
              </w:rPr>
              <w:t xml:space="preserve"> 6g can be given as a 24-hour infusion via peripheral cannula, same total 24-hour dose as for in hospital dosing</w:t>
            </w:r>
            <w:r>
              <w:rPr>
                <w:rFonts w:cs="Arial"/>
                <w:lang w:eastAsia="en-AU"/>
              </w:rPr>
              <w:t xml:space="preserve"> </w:t>
            </w:r>
          </w:p>
          <w:p w14:paraId="606676B0" w14:textId="77777777" w:rsidR="006706ED" w:rsidRDefault="006706ED" w:rsidP="00147382">
            <w:pPr>
              <w:pStyle w:val="CommentText"/>
            </w:pPr>
          </w:p>
          <w:p w14:paraId="55E4239D" w14:textId="77777777" w:rsidR="006706ED" w:rsidRDefault="006706ED" w:rsidP="00147382">
            <w:pPr>
              <w:pStyle w:val="CommentText"/>
            </w:pPr>
            <w:r w:rsidRPr="00B06E8E">
              <w:rPr>
                <w:sz w:val="24"/>
                <w:szCs w:val="24"/>
              </w:rPr>
              <w:t xml:space="preserve">(Cefazolin 8g over 24 hours </w:t>
            </w:r>
            <w:r>
              <w:rPr>
                <w:sz w:val="24"/>
                <w:szCs w:val="24"/>
              </w:rPr>
              <w:t xml:space="preserve">dose </w:t>
            </w:r>
            <w:r w:rsidRPr="00B06E8E">
              <w:rPr>
                <w:sz w:val="24"/>
                <w:szCs w:val="24"/>
              </w:rPr>
              <w:t>for obesity or severe infection – see Section 3 below</w:t>
            </w:r>
            <w:r>
              <w:t xml:space="preserve">) </w:t>
            </w:r>
          </w:p>
          <w:p w14:paraId="2C372A88" w14:textId="77777777" w:rsidR="006706ED" w:rsidRPr="009412FD" w:rsidRDefault="006706ED" w:rsidP="00147382">
            <w:pPr>
              <w:rPr>
                <w:rFonts w:cs="Arial"/>
                <w:lang w:eastAsia="en-AU"/>
              </w:rPr>
            </w:pPr>
          </w:p>
          <w:p w14:paraId="5B677DD8" w14:textId="77777777" w:rsidR="006706ED" w:rsidRDefault="006706ED" w:rsidP="00147382">
            <w:pPr>
              <w:rPr>
                <w:rFonts w:cs="Arial"/>
                <w:lang w:eastAsia="en-AU"/>
              </w:rPr>
            </w:pPr>
            <w:r>
              <w:rPr>
                <w:rFonts w:cs="Arial"/>
                <w:lang w:eastAsia="en-AU"/>
              </w:rPr>
              <w:t>OR</w:t>
            </w:r>
          </w:p>
          <w:p w14:paraId="2C53AA87" w14:textId="77777777" w:rsidR="006706ED" w:rsidRPr="009412FD" w:rsidRDefault="006706ED" w:rsidP="00147382">
            <w:pPr>
              <w:rPr>
                <w:rFonts w:cs="Arial"/>
                <w:lang w:eastAsia="en-AU"/>
              </w:rPr>
            </w:pPr>
            <w:r w:rsidRPr="009314E3">
              <w:rPr>
                <w:rFonts w:cs="Arial"/>
                <w:color w:val="00B050"/>
                <w:lang w:eastAsia="en-AU"/>
              </w:rPr>
              <w:t>Cefazolin</w:t>
            </w:r>
            <w:r>
              <w:rPr>
                <w:rFonts w:cs="Arial"/>
                <w:lang w:eastAsia="en-AU"/>
              </w:rPr>
              <w:t xml:space="preserve"> </w:t>
            </w:r>
            <w:r w:rsidRPr="009412FD">
              <w:rPr>
                <w:rFonts w:cs="Arial"/>
                <w:lang w:eastAsia="en-AU"/>
              </w:rPr>
              <w:t xml:space="preserve">2 g IV once daily </w:t>
            </w:r>
            <w:r w:rsidRPr="009412FD">
              <w:rPr>
                <w:rFonts w:cs="Arial"/>
                <w:iCs/>
                <w:lang w:eastAsia="en-AU"/>
              </w:rPr>
              <w:t xml:space="preserve">30 min after </w:t>
            </w:r>
            <w:r w:rsidRPr="009412FD">
              <w:rPr>
                <w:rFonts w:cs="Arial"/>
                <w:lang w:eastAsia="en-AU"/>
              </w:rPr>
              <w:lastRenderedPageBreak/>
              <w:t>probenecid 1 g orally daily</w:t>
            </w:r>
            <w:r>
              <w:rPr>
                <w:rFonts w:cs="Arial"/>
                <w:lang w:eastAsia="en-AU"/>
              </w:rPr>
              <w:t>.</w:t>
            </w:r>
          </w:p>
          <w:p w14:paraId="20C1B577" w14:textId="77777777" w:rsidR="006706ED" w:rsidRPr="00071548" w:rsidRDefault="006706ED" w:rsidP="00147382">
            <w:pPr>
              <w:rPr>
                <w:rFonts w:cs="Arial"/>
                <w:i/>
                <w:iCs/>
                <w:lang w:eastAsia="en-AU"/>
              </w:rPr>
            </w:pPr>
            <w:r>
              <w:rPr>
                <w:rFonts w:cs="Arial"/>
                <w:i/>
                <w:iCs/>
                <w:lang w:eastAsia="en-AU"/>
              </w:rPr>
              <w:t xml:space="preserve">Note: Seek pharmacy advice prior to prescribing and/or administering probenecid if patient pregnant or breastfeeding. </w:t>
            </w:r>
          </w:p>
          <w:p w14:paraId="425B6774" w14:textId="77777777" w:rsidR="006706ED" w:rsidRPr="00E408E4" w:rsidRDefault="006706ED" w:rsidP="00147382">
            <w:pPr>
              <w:rPr>
                <w:rFonts w:cs="Arial"/>
                <w:lang w:eastAsia="en-AU"/>
              </w:rPr>
            </w:pPr>
            <w:r w:rsidRPr="00E408E4">
              <w:rPr>
                <w:rFonts w:cs="Arial"/>
                <w:lang w:eastAsia="en-AU"/>
              </w:rPr>
              <w:t>OR</w:t>
            </w:r>
          </w:p>
          <w:p w14:paraId="479CA315" w14:textId="77777777" w:rsidR="006706ED" w:rsidRDefault="006706ED" w:rsidP="00147382">
            <w:pPr>
              <w:rPr>
                <w:rFonts w:cs="Arial"/>
                <w:lang w:eastAsia="en-AU"/>
              </w:rPr>
            </w:pPr>
            <w:r w:rsidRPr="009314E3">
              <w:rPr>
                <w:rFonts w:cs="Arial"/>
                <w:color w:val="00B050"/>
                <w:lang w:eastAsia="en-AU"/>
              </w:rPr>
              <w:t>Cefazolin</w:t>
            </w:r>
            <w:r w:rsidRPr="009412FD">
              <w:rPr>
                <w:rFonts w:cs="Arial"/>
                <w:lang w:eastAsia="en-AU"/>
              </w:rPr>
              <w:t xml:space="preserve"> 2 g IV twice daily</w:t>
            </w:r>
            <w:r>
              <w:rPr>
                <w:rFonts w:cs="Arial"/>
                <w:lang w:eastAsia="en-AU"/>
              </w:rPr>
              <w:t xml:space="preserve"> (consider 3g bd in patients weighing &gt; 100kg)</w:t>
            </w:r>
          </w:p>
          <w:p w14:paraId="5F294394" w14:textId="77777777" w:rsidR="006706ED" w:rsidRPr="009412FD" w:rsidRDefault="006706ED" w:rsidP="00147382">
            <w:pPr>
              <w:rPr>
                <w:rFonts w:cs="Arial"/>
                <w:iCs/>
                <w:lang w:eastAsia="en-AU"/>
              </w:rPr>
            </w:pPr>
          </w:p>
        </w:tc>
        <w:tc>
          <w:tcPr>
            <w:tcW w:w="3040" w:type="dxa"/>
            <w:tcBorders>
              <w:top w:val="single" w:sz="4" w:space="0" w:color="auto"/>
              <w:left w:val="single" w:sz="4" w:space="0" w:color="auto"/>
              <w:bottom w:val="single" w:sz="4" w:space="0" w:color="auto"/>
              <w:right w:val="single" w:sz="4" w:space="0" w:color="auto"/>
            </w:tcBorders>
          </w:tcPr>
          <w:p w14:paraId="4D1274A2" w14:textId="77777777" w:rsidR="006706ED" w:rsidRPr="003A5310" w:rsidRDefault="006706ED" w:rsidP="00147382">
            <w:pPr>
              <w:overflowPunct w:val="0"/>
              <w:spacing w:after="100" w:afterAutospacing="1" w:line="276" w:lineRule="auto"/>
              <w:rPr>
                <w:rFonts w:cs="Arial"/>
                <w:lang w:eastAsia="en-AU"/>
              </w:rPr>
            </w:pPr>
            <w:r w:rsidRPr="003A5310">
              <w:rPr>
                <w:rFonts w:cs="Arial"/>
                <w:lang w:eastAsia="en-AU"/>
              </w:rPr>
              <w:lastRenderedPageBreak/>
              <w:t>Swab for MC&amp;S should be taken before starting antibiotics if an ulcer or discharging pus can be swabbed</w:t>
            </w:r>
          </w:p>
          <w:p w14:paraId="58114BF5" w14:textId="77777777" w:rsidR="006706ED" w:rsidRPr="003A5310" w:rsidRDefault="006706ED" w:rsidP="00147382">
            <w:pPr>
              <w:overflowPunct w:val="0"/>
              <w:spacing w:line="276" w:lineRule="auto"/>
              <w:rPr>
                <w:rFonts w:cs="Arial"/>
                <w:lang w:eastAsia="en-AU"/>
              </w:rPr>
            </w:pPr>
            <w:r w:rsidRPr="003A5310">
              <w:rPr>
                <w:rFonts w:cs="Arial"/>
                <w:lang w:eastAsia="en-AU"/>
              </w:rPr>
              <w:t>Dose adjustment:</w:t>
            </w:r>
          </w:p>
          <w:p w14:paraId="2A9BDF6E" w14:textId="77777777" w:rsidR="006706ED" w:rsidRPr="003A5310" w:rsidRDefault="006706ED" w:rsidP="00147382">
            <w:pPr>
              <w:numPr>
                <w:ilvl w:val="0"/>
                <w:numId w:val="30"/>
              </w:numPr>
              <w:overflowPunct w:val="0"/>
              <w:autoSpaceDE w:val="0"/>
              <w:autoSpaceDN w:val="0"/>
              <w:adjustRightInd w:val="0"/>
              <w:spacing w:before="120" w:line="276" w:lineRule="auto"/>
              <w:rPr>
                <w:rFonts w:cs="Arial"/>
                <w:lang w:eastAsia="en-AU"/>
              </w:rPr>
            </w:pPr>
            <w:r w:rsidRPr="003A5310">
              <w:rPr>
                <w:rFonts w:cs="Arial"/>
                <w:lang w:eastAsia="en-AU"/>
              </w:rPr>
              <w:t>Reduce dose if renal impairment eGFR &lt; 50</w:t>
            </w:r>
          </w:p>
          <w:p w14:paraId="38D7483E" w14:textId="77777777" w:rsidR="006706ED" w:rsidRPr="003A5310" w:rsidRDefault="006706ED" w:rsidP="00147382">
            <w:pPr>
              <w:numPr>
                <w:ilvl w:val="0"/>
                <w:numId w:val="30"/>
              </w:numPr>
              <w:overflowPunct w:val="0"/>
              <w:autoSpaceDE w:val="0"/>
              <w:autoSpaceDN w:val="0"/>
              <w:adjustRightInd w:val="0"/>
              <w:spacing w:before="120" w:line="276" w:lineRule="auto"/>
              <w:rPr>
                <w:rFonts w:cs="Arial"/>
                <w:lang w:eastAsia="en-AU"/>
              </w:rPr>
            </w:pPr>
            <w:r w:rsidRPr="003A5310">
              <w:rPr>
                <w:rFonts w:cs="Arial"/>
                <w:lang w:eastAsia="en-AU"/>
              </w:rPr>
              <w:t>Increase dose if &gt; 120kg</w:t>
            </w:r>
          </w:p>
          <w:p w14:paraId="35FB3EBA" w14:textId="77777777" w:rsidR="006706ED" w:rsidRPr="003A5310" w:rsidRDefault="006706ED" w:rsidP="00147382">
            <w:pPr>
              <w:overflowPunct w:val="0"/>
              <w:spacing w:after="100" w:afterAutospacing="1" w:line="276" w:lineRule="auto"/>
              <w:rPr>
                <w:rFonts w:cs="Arial"/>
                <w:lang w:eastAsia="en-AU"/>
              </w:rPr>
            </w:pPr>
            <w:r w:rsidRPr="003A5310">
              <w:rPr>
                <w:rFonts w:cs="Arial"/>
                <w:lang w:eastAsia="en-AU"/>
              </w:rPr>
              <w:lastRenderedPageBreak/>
              <w:t>Any dose adjustments should be confirmed with pharmacist.</w:t>
            </w:r>
          </w:p>
          <w:p w14:paraId="02A23500" w14:textId="77777777" w:rsidR="006706ED" w:rsidRPr="003A5310" w:rsidRDefault="006706ED" w:rsidP="00147382">
            <w:pPr>
              <w:overflowPunct w:val="0"/>
              <w:spacing w:after="100" w:afterAutospacing="1" w:line="276" w:lineRule="auto"/>
              <w:rPr>
                <w:rFonts w:cs="Arial"/>
                <w:lang w:eastAsia="en-AU"/>
              </w:rPr>
            </w:pPr>
            <w:r w:rsidRPr="003A5310">
              <w:rPr>
                <w:rFonts w:cs="Arial"/>
                <w:lang w:eastAsia="en-AU"/>
              </w:rPr>
              <w:t>IV Flucloxacillin is not used for this category of patients in HITH as it will cause thrombophlebitis when given as an infusion and PICC insertion for short duration treatment is not advised.</w:t>
            </w:r>
          </w:p>
          <w:p w14:paraId="23D7E2CB" w14:textId="77777777" w:rsidR="006706ED" w:rsidRDefault="006706ED" w:rsidP="00147382">
            <w:pPr>
              <w:rPr>
                <w:rFonts w:cs="Arial"/>
                <w:u w:val="single"/>
                <w:lang w:eastAsia="en-AU"/>
              </w:rPr>
            </w:pPr>
            <w:r w:rsidRPr="003A5310">
              <w:rPr>
                <w:rFonts w:cs="Arial"/>
                <w:u w:val="single"/>
                <w:lang w:eastAsia="en-AU"/>
              </w:rPr>
              <w:t>Ongoing treatment should be based on MC&amp;S results and or clinical progress.</w:t>
            </w:r>
          </w:p>
          <w:p w14:paraId="2C245C84" w14:textId="77777777" w:rsidR="006706ED" w:rsidRDefault="006706ED" w:rsidP="00147382">
            <w:pPr>
              <w:rPr>
                <w:rFonts w:cs="Arial"/>
                <w:u w:val="single"/>
                <w:lang w:eastAsia="en-AU"/>
              </w:rPr>
            </w:pPr>
          </w:p>
          <w:p w14:paraId="09FE0B79" w14:textId="77777777" w:rsidR="006706ED" w:rsidRDefault="006706ED" w:rsidP="00147382">
            <w:pPr>
              <w:rPr>
                <w:rFonts w:cs="Arial"/>
                <w:lang w:eastAsia="en-AU"/>
              </w:rPr>
            </w:pPr>
            <w:r>
              <w:rPr>
                <w:rFonts w:cs="Arial"/>
                <w:lang w:eastAsia="en-AU"/>
              </w:rPr>
              <w:t>Total duration of 5-10 days (IV plus oral) therapy is recommended.</w:t>
            </w:r>
          </w:p>
          <w:p w14:paraId="720ADA6D" w14:textId="77777777" w:rsidR="006706ED" w:rsidRPr="009412FD" w:rsidRDefault="006706ED" w:rsidP="00147382">
            <w:pPr>
              <w:rPr>
                <w:rFonts w:cs="Arial"/>
                <w:lang w:eastAsia="en-AU"/>
              </w:rPr>
            </w:pPr>
          </w:p>
          <w:p w14:paraId="256A6DA7" w14:textId="77777777" w:rsidR="006706ED" w:rsidRPr="005A4639" w:rsidRDefault="006706ED" w:rsidP="00147382">
            <w:pPr>
              <w:rPr>
                <w:rFonts w:cs="Arial"/>
                <w:lang w:eastAsia="en-AU"/>
              </w:rPr>
            </w:pPr>
            <w:r w:rsidRPr="009412FD">
              <w:rPr>
                <w:rFonts w:cs="Arial"/>
                <w:lang w:eastAsia="en-AU"/>
              </w:rPr>
              <w:t xml:space="preserve">Refer to </w:t>
            </w:r>
          </w:p>
          <w:p w14:paraId="7EFD626D" w14:textId="77777777" w:rsidR="006706ED" w:rsidRDefault="006706ED" w:rsidP="00147382">
            <w:pPr>
              <w:rPr>
                <w:rFonts w:cs="Arial"/>
                <w:lang w:eastAsia="en-AU"/>
              </w:rPr>
            </w:pPr>
            <w:r>
              <w:rPr>
                <w:rFonts w:cs="Arial"/>
                <w:lang w:eastAsia="en-AU"/>
              </w:rPr>
              <w:t>Cellulitis and Erysipelas in Therapeutic Guidelines: Antibiotic</w:t>
            </w:r>
          </w:p>
        </w:tc>
        <w:tc>
          <w:tcPr>
            <w:tcW w:w="2210" w:type="dxa"/>
            <w:tcBorders>
              <w:top w:val="single" w:sz="4" w:space="0" w:color="auto"/>
              <w:left w:val="single" w:sz="4" w:space="0" w:color="auto"/>
              <w:bottom w:val="single" w:sz="4" w:space="0" w:color="auto"/>
              <w:right w:val="single" w:sz="4" w:space="0" w:color="auto"/>
            </w:tcBorders>
          </w:tcPr>
          <w:p w14:paraId="59B5E9BB" w14:textId="77777777" w:rsidR="006706ED" w:rsidRPr="003A5310" w:rsidRDefault="006706ED" w:rsidP="00147382">
            <w:pPr>
              <w:overflowPunct w:val="0"/>
              <w:autoSpaceDE w:val="0"/>
              <w:autoSpaceDN w:val="0"/>
              <w:adjustRightInd w:val="0"/>
              <w:spacing w:after="100" w:afterAutospacing="1" w:line="276" w:lineRule="auto"/>
              <w:rPr>
                <w:rFonts w:cs="Arial"/>
                <w:lang w:eastAsia="en-AU"/>
              </w:rPr>
            </w:pPr>
            <w:r w:rsidRPr="003A5310">
              <w:rPr>
                <w:rFonts w:cs="Arial"/>
                <w:lang w:eastAsia="en-AU"/>
              </w:rPr>
              <w:lastRenderedPageBreak/>
              <w:t>IV cannula:</w:t>
            </w:r>
          </w:p>
          <w:p w14:paraId="32D487C5" w14:textId="77777777" w:rsidR="006706ED" w:rsidRPr="009412FD" w:rsidRDefault="006706ED" w:rsidP="00147382">
            <w:pPr>
              <w:rPr>
                <w:rFonts w:cs="Arial"/>
                <w:lang w:eastAsia="en-AU"/>
              </w:rPr>
            </w:pPr>
            <w:r w:rsidRPr="001A4A15">
              <w:rPr>
                <w:rFonts w:cs="Arial"/>
                <w:b/>
                <w:lang w:eastAsia="en-AU"/>
              </w:rPr>
              <w:t xml:space="preserve">Preferable not overlying </w:t>
            </w:r>
            <w:r w:rsidRPr="003A5310">
              <w:rPr>
                <w:rFonts w:cs="Arial"/>
                <w:b/>
                <w:lang w:eastAsia="en-AU"/>
              </w:rPr>
              <w:t>a joint to allow for infusion</w:t>
            </w:r>
          </w:p>
        </w:tc>
      </w:tr>
      <w:tr w:rsidR="006706ED" w:rsidRPr="009412FD" w14:paraId="6DCB3092" w14:textId="77777777" w:rsidTr="00147382">
        <w:trPr>
          <w:trHeight w:val="2910"/>
        </w:trPr>
        <w:tc>
          <w:tcPr>
            <w:tcW w:w="2215" w:type="dxa"/>
            <w:tcBorders>
              <w:top w:val="single" w:sz="4" w:space="0" w:color="auto"/>
              <w:left w:val="single" w:sz="4" w:space="0" w:color="auto"/>
              <w:bottom w:val="single" w:sz="4" w:space="0" w:color="auto"/>
              <w:right w:val="single" w:sz="4" w:space="0" w:color="auto"/>
            </w:tcBorders>
          </w:tcPr>
          <w:p w14:paraId="4D7185F6" w14:textId="77777777" w:rsidR="006706ED" w:rsidRPr="00D4155A" w:rsidRDefault="006706ED" w:rsidP="00147382">
            <w:pPr>
              <w:rPr>
                <w:rFonts w:cs="Arial"/>
                <w:b/>
                <w:bCs/>
                <w:lang w:eastAsia="en-AU"/>
              </w:rPr>
            </w:pPr>
            <w:r w:rsidRPr="00D4155A">
              <w:rPr>
                <w:rFonts w:cs="Arial"/>
                <w:b/>
                <w:bCs/>
                <w:lang w:eastAsia="en-AU"/>
              </w:rPr>
              <w:t>Endocarditis</w:t>
            </w:r>
          </w:p>
        </w:tc>
        <w:tc>
          <w:tcPr>
            <w:tcW w:w="2736" w:type="dxa"/>
            <w:tcBorders>
              <w:top w:val="single" w:sz="4" w:space="0" w:color="auto"/>
              <w:left w:val="single" w:sz="4" w:space="0" w:color="auto"/>
              <w:bottom w:val="single" w:sz="4" w:space="0" w:color="auto"/>
              <w:right w:val="single" w:sz="4" w:space="0" w:color="auto"/>
            </w:tcBorders>
          </w:tcPr>
          <w:p w14:paraId="172D0B95" w14:textId="77777777" w:rsidR="006706ED" w:rsidRPr="00110F3A" w:rsidRDefault="006706ED" w:rsidP="00147382">
            <w:pPr>
              <w:rPr>
                <w:rFonts w:cs="Arial"/>
                <w:iCs/>
                <w:color w:val="FF0000"/>
                <w:lang w:eastAsia="en-AU"/>
              </w:rPr>
            </w:pPr>
            <w:r>
              <w:t>Antimicrobials dependant on culture results and in discussion with ID</w:t>
            </w:r>
          </w:p>
        </w:tc>
        <w:tc>
          <w:tcPr>
            <w:tcW w:w="3040" w:type="dxa"/>
            <w:tcBorders>
              <w:top w:val="single" w:sz="4" w:space="0" w:color="auto"/>
              <w:left w:val="single" w:sz="4" w:space="0" w:color="auto"/>
              <w:bottom w:val="single" w:sz="4" w:space="0" w:color="auto"/>
              <w:right w:val="single" w:sz="4" w:space="0" w:color="auto"/>
            </w:tcBorders>
          </w:tcPr>
          <w:p w14:paraId="3622051B" w14:textId="77777777" w:rsidR="006706ED" w:rsidRDefault="006706ED" w:rsidP="00147382">
            <w:pPr>
              <w:rPr>
                <w:rFonts w:cs="Arial"/>
                <w:lang w:eastAsia="en-AU"/>
              </w:rPr>
            </w:pPr>
            <w:r w:rsidRPr="009412FD">
              <w:rPr>
                <w:rFonts w:cs="Arial"/>
                <w:lang w:eastAsia="en-AU"/>
              </w:rPr>
              <w:t xml:space="preserve">Duration of IV therapy will </w:t>
            </w:r>
            <w:r>
              <w:rPr>
                <w:rFonts w:cs="Arial"/>
                <w:lang w:eastAsia="en-AU"/>
              </w:rPr>
              <w:t xml:space="preserve">usually be a minimum of 2 </w:t>
            </w:r>
            <w:r w:rsidRPr="009412FD">
              <w:rPr>
                <w:rFonts w:cs="Arial"/>
                <w:lang w:eastAsia="en-AU"/>
              </w:rPr>
              <w:t>weeks</w:t>
            </w:r>
            <w:r>
              <w:rPr>
                <w:rFonts w:cs="Arial"/>
                <w:lang w:eastAsia="en-AU"/>
              </w:rPr>
              <w:t xml:space="preserve"> and possibly up to 6 weeks, with transfer to HITH once stable. </w:t>
            </w:r>
          </w:p>
          <w:p w14:paraId="522ABC91" w14:textId="77777777" w:rsidR="006706ED" w:rsidRPr="003A5310" w:rsidRDefault="006706ED" w:rsidP="00147382">
            <w:pPr>
              <w:overflowPunct w:val="0"/>
              <w:autoSpaceDE w:val="0"/>
              <w:autoSpaceDN w:val="0"/>
              <w:adjustRightInd w:val="0"/>
              <w:spacing w:line="276" w:lineRule="auto"/>
              <w:rPr>
                <w:rFonts w:cs="Arial"/>
                <w:lang w:eastAsia="en-AU"/>
              </w:rPr>
            </w:pPr>
            <w:r>
              <w:rPr>
                <w:rFonts w:cs="Arial"/>
                <w:lang w:eastAsia="en-AU"/>
              </w:rPr>
              <w:t xml:space="preserve">Duration as per eTG and Infectious Diseases advice. </w:t>
            </w:r>
          </w:p>
        </w:tc>
        <w:tc>
          <w:tcPr>
            <w:tcW w:w="2210" w:type="dxa"/>
            <w:tcBorders>
              <w:top w:val="single" w:sz="4" w:space="0" w:color="auto"/>
              <w:left w:val="single" w:sz="4" w:space="0" w:color="auto"/>
              <w:bottom w:val="single" w:sz="4" w:space="0" w:color="auto"/>
              <w:right w:val="single" w:sz="4" w:space="0" w:color="auto"/>
            </w:tcBorders>
          </w:tcPr>
          <w:p w14:paraId="4C90E5C2" w14:textId="77777777" w:rsidR="006706ED" w:rsidRPr="003A5310" w:rsidRDefault="006706ED" w:rsidP="00147382">
            <w:pPr>
              <w:overflowPunct w:val="0"/>
              <w:autoSpaceDE w:val="0"/>
              <w:autoSpaceDN w:val="0"/>
              <w:adjustRightInd w:val="0"/>
              <w:spacing w:after="100" w:afterAutospacing="1" w:line="276" w:lineRule="auto"/>
              <w:rPr>
                <w:rFonts w:cs="Arial"/>
                <w:lang w:eastAsia="en-AU"/>
              </w:rPr>
            </w:pPr>
            <w:r w:rsidRPr="003A5310">
              <w:rPr>
                <w:rFonts w:cs="Arial"/>
                <w:lang w:eastAsia="en-AU"/>
              </w:rPr>
              <w:t>Given duration of treatment PICC line generally required</w:t>
            </w:r>
          </w:p>
        </w:tc>
      </w:tr>
      <w:tr w:rsidR="006706ED" w:rsidRPr="009412FD" w14:paraId="3036541B" w14:textId="77777777" w:rsidTr="00147382">
        <w:trPr>
          <w:trHeight w:val="2910"/>
        </w:trPr>
        <w:tc>
          <w:tcPr>
            <w:tcW w:w="2215" w:type="dxa"/>
            <w:tcBorders>
              <w:top w:val="single" w:sz="4" w:space="0" w:color="auto"/>
              <w:left w:val="single" w:sz="4" w:space="0" w:color="auto"/>
              <w:bottom w:val="single" w:sz="4" w:space="0" w:color="auto"/>
              <w:right w:val="single" w:sz="4" w:space="0" w:color="auto"/>
            </w:tcBorders>
            <w:hideMark/>
          </w:tcPr>
          <w:p w14:paraId="27133CDD" w14:textId="77777777" w:rsidR="006706ED" w:rsidRDefault="006706ED" w:rsidP="00147382">
            <w:pPr>
              <w:rPr>
                <w:rFonts w:cs="Arial"/>
                <w:b/>
                <w:bCs/>
                <w:lang w:eastAsia="en-AU"/>
              </w:rPr>
            </w:pPr>
            <w:r w:rsidRPr="00D4155A">
              <w:rPr>
                <w:rFonts w:cs="Arial"/>
                <w:b/>
                <w:bCs/>
                <w:lang w:eastAsia="en-AU"/>
              </w:rPr>
              <w:lastRenderedPageBreak/>
              <w:t>Infected Bite Wounds</w:t>
            </w:r>
            <w:r>
              <w:rPr>
                <w:rFonts w:cs="Arial"/>
                <w:b/>
                <w:bCs/>
                <w:lang w:eastAsia="en-AU"/>
              </w:rPr>
              <w:t xml:space="preserve"> </w:t>
            </w:r>
          </w:p>
          <w:p w14:paraId="2812AC73" w14:textId="77777777" w:rsidR="006706ED" w:rsidRPr="00D4155A" w:rsidRDefault="006706ED" w:rsidP="00147382">
            <w:pPr>
              <w:rPr>
                <w:rFonts w:cs="Arial"/>
                <w:b/>
                <w:bCs/>
                <w:lang w:eastAsia="en-AU"/>
              </w:rPr>
            </w:pPr>
            <w:r w:rsidRPr="00E408E4">
              <w:rPr>
                <w:rFonts w:cs="Arial"/>
                <w:lang w:eastAsia="en-AU"/>
              </w:rPr>
              <w:t xml:space="preserve">(if associated with systemic features or </w:t>
            </w:r>
            <w:r>
              <w:rPr>
                <w:rFonts w:cs="Arial"/>
                <w:lang w:eastAsia="en-AU"/>
              </w:rPr>
              <w:t>i</w:t>
            </w:r>
            <w:r w:rsidRPr="00E408E4">
              <w:rPr>
                <w:rFonts w:cs="Arial"/>
                <w:lang w:eastAsia="en-AU"/>
              </w:rPr>
              <w:t>nvolving deeper tissues)</w:t>
            </w:r>
            <w:r>
              <w:rPr>
                <w:rFonts w:cs="Arial"/>
                <w:b/>
                <w:bCs/>
                <w:lang w:eastAsia="en-AU"/>
              </w:rPr>
              <w:t xml:space="preserve"> </w:t>
            </w:r>
          </w:p>
        </w:tc>
        <w:tc>
          <w:tcPr>
            <w:tcW w:w="2736" w:type="dxa"/>
            <w:tcBorders>
              <w:top w:val="single" w:sz="4" w:space="0" w:color="auto"/>
              <w:left w:val="single" w:sz="4" w:space="0" w:color="auto"/>
              <w:bottom w:val="single" w:sz="4" w:space="0" w:color="auto"/>
              <w:right w:val="single" w:sz="4" w:space="0" w:color="auto"/>
            </w:tcBorders>
            <w:hideMark/>
          </w:tcPr>
          <w:p w14:paraId="6F6E7A29" w14:textId="77777777" w:rsidR="006706ED" w:rsidRDefault="006706ED" w:rsidP="00147382">
            <w:pPr>
              <w:rPr>
                <w:rFonts w:cs="Arial"/>
                <w:iCs/>
                <w:lang w:eastAsia="en-AU"/>
              </w:rPr>
            </w:pPr>
            <w:r w:rsidRPr="00110F3A">
              <w:rPr>
                <w:rFonts w:cs="Arial"/>
                <w:iCs/>
                <w:color w:val="FF0000"/>
                <w:lang w:eastAsia="en-AU"/>
              </w:rPr>
              <w:t xml:space="preserve">Piperacillin/tazobactam </w:t>
            </w:r>
            <w:r>
              <w:rPr>
                <w:rFonts w:cs="Arial"/>
                <w:iCs/>
                <w:lang w:eastAsia="en-AU"/>
              </w:rPr>
              <w:t>13.5g/ 24-hour infusion (for human or animal e.g. dog bites, not insects, spiders).</w:t>
            </w:r>
          </w:p>
          <w:p w14:paraId="7C51748C" w14:textId="77777777" w:rsidR="006706ED" w:rsidRDefault="006706ED" w:rsidP="00147382">
            <w:pPr>
              <w:rPr>
                <w:rFonts w:cs="Arial"/>
                <w:bCs/>
                <w:iCs/>
                <w:lang w:eastAsia="en-AU"/>
              </w:rPr>
            </w:pPr>
            <w:r w:rsidRPr="005E2143">
              <w:rPr>
                <w:rFonts w:cs="Arial"/>
                <w:bCs/>
                <w:iCs/>
                <w:lang w:eastAsia="en-AU"/>
              </w:rPr>
              <w:t>OR</w:t>
            </w:r>
          </w:p>
          <w:p w14:paraId="5BF11039" w14:textId="77777777" w:rsidR="006706ED" w:rsidRPr="001E35D1" w:rsidRDefault="006706ED" w:rsidP="00147382">
            <w:pPr>
              <w:rPr>
                <w:rFonts w:cs="Arial"/>
                <w:iCs/>
                <w:lang w:eastAsia="en-AU"/>
              </w:rPr>
            </w:pPr>
            <w:r w:rsidRPr="001E35D1">
              <w:rPr>
                <w:rFonts w:cs="Arial"/>
                <w:iCs/>
                <w:lang w:eastAsia="en-AU"/>
              </w:rPr>
              <w:t>(penici</w:t>
            </w:r>
            <w:r>
              <w:rPr>
                <w:rFonts w:cs="Arial"/>
                <w:iCs/>
                <w:lang w:eastAsia="en-AU"/>
              </w:rPr>
              <w:t>ll</w:t>
            </w:r>
            <w:r w:rsidRPr="001E35D1">
              <w:rPr>
                <w:rFonts w:cs="Arial"/>
                <w:iCs/>
                <w:lang w:eastAsia="en-AU"/>
              </w:rPr>
              <w:t>in allergic</w:t>
            </w:r>
            <w:r>
              <w:rPr>
                <w:rFonts w:cs="Arial"/>
                <w:iCs/>
                <w:lang w:eastAsia="en-AU"/>
              </w:rPr>
              <w:t>, PO preferable</w:t>
            </w:r>
            <w:r w:rsidRPr="001E35D1">
              <w:rPr>
                <w:rFonts w:cs="Arial"/>
                <w:iCs/>
                <w:lang w:eastAsia="en-AU"/>
              </w:rPr>
              <w:t>)</w:t>
            </w:r>
          </w:p>
          <w:p w14:paraId="4A08542A" w14:textId="77777777" w:rsidR="006706ED" w:rsidRDefault="006706ED" w:rsidP="00147382">
            <w:pPr>
              <w:rPr>
                <w:rFonts w:cs="Arial"/>
                <w:iCs/>
                <w:lang w:eastAsia="en-AU"/>
              </w:rPr>
            </w:pPr>
            <w:r w:rsidRPr="00110F3A">
              <w:rPr>
                <w:rFonts w:cs="Arial"/>
                <w:iCs/>
                <w:color w:val="F79646" w:themeColor="accent6"/>
                <w:lang w:eastAsia="en-AU"/>
              </w:rPr>
              <w:t>Ciprofloxacin</w:t>
            </w:r>
            <w:r>
              <w:rPr>
                <w:rFonts w:cs="Arial"/>
                <w:iCs/>
                <w:lang w:eastAsia="en-AU"/>
              </w:rPr>
              <w:t xml:space="preserve"> 500mg bd PO </w:t>
            </w:r>
          </w:p>
          <w:p w14:paraId="3C91B9F5" w14:textId="77777777" w:rsidR="006706ED" w:rsidRPr="006130C4" w:rsidRDefault="006706ED" w:rsidP="00147382">
            <w:pPr>
              <w:rPr>
                <w:rFonts w:cs="Arial"/>
                <w:bCs/>
                <w:iCs/>
                <w:lang w:eastAsia="en-AU"/>
              </w:rPr>
            </w:pPr>
            <w:r w:rsidRPr="006130C4">
              <w:rPr>
                <w:rFonts w:cs="Arial"/>
                <w:bCs/>
                <w:iCs/>
                <w:lang w:eastAsia="en-AU"/>
              </w:rPr>
              <w:t>PLUS</w:t>
            </w:r>
          </w:p>
          <w:p w14:paraId="3D97B8A8" w14:textId="77777777" w:rsidR="006706ED" w:rsidRPr="009412FD" w:rsidRDefault="006706ED" w:rsidP="00147382">
            <w:pPr>
              <w:rPr>
                <w:rFonts w:cs="Arial"/>
                <w:iCs/>
                <w:lang w:eastAsia="en-AU"/>
              </w:rPr>
            </w:pPr>
            <w:r w:rsidRPr="00110F3A">
              <w:rPr>
                <w:rFonts w:cs="Arial"/>
                <w:iCs/>
                <w:color w:val="F79646" w:themeColor="accent6"/>
                <w:lang w:eastAsia="en-AU"/>
              </w:rPr>
              <w:t>Clindamycin</w:t>
            </w:r>
            <w:r>
              <w:rPr>
                <w:rFonts w:cs="Arial"/>
                <w:iCs/>
                <w:lang w:eastAsia="en-AU"/>
              </w:rPr>
              <w:t xml:space="preserve"> </w:t>
            </w:r>
            <w:r w:rsidRPr="009412FD">
              <w:rPr>
                <w:rFonts w:cs="Arial"/>
                <w:iCs/>
                <w:lang w:eastAsia="en-AU"/>
              </w:rPr>
              <w:t>4</w:t>
            </w:r>
            <w:r>
              <w:rPr>
                <w:rFonts w:cs="Arial"/>
                <w:iCs/>
                <w:lang w:eastAsia="en-AU"/>
              </w:rPr>
              <w:t>5</w:t>
            </w:r>
            <w:r w:rsidRPr="009412FD">
              <w:rPr>
                <w:rFonts w:cs="Arial"/>
                <w:iCs/>
                <w:lang w:eastAsia="en-AU"/>
              </w:rPr>
              <w:t xml:space="preserve">0 mg </w:t>
            </w:r>
            <w:r>
              <w:rPr>
                <w:rFonts w:cs="Arial"/>
                <w:iCs/>
                <w:lang w:eastAsia="en-AU"/>
              </w:rPr>
              <w:t xml:space="preserve">tds PO </w:t>
            </w:r>
          </w:p>
        </w:tc>
        <w:tc>
          <w:tcPr>
            <w:tcW w:w="3040" w:type="dxa"/>
            <w:tcBorders>
              <w:top w:val="single" w:sz="4" w:space="0" w:color="auto"/>
              <w:left w:val="single" w:sz="4" w:space="0" w:color="auto"/>
              <w:bottom w:val="single" w:sz="4" w:space="0" w:color="auto"/>
              <w:right w:val="single" w:sz="4" w:space="0" w:color="auto"/>
            </w:tcBorders>
          </w:tcPr>
          <w:p w14:paraId="0093D7E8" w14:textId="77777777" w:rsidR="006706ED" w:rsidRDefault="006706ED" w:rsidP="00147382">
            <w:pPr>
              <w:overflowPunct w:val="0"/>
              <w:autoSpaceDE w:val="0"/>
              <w:autoSpaceDN w:val="0"/>
              <w:adjustRightInd w:val="0"/>
              <w:spacing w:line="276" w:lineRule="auto"/>
              <w:rPr>
                <w:rFonts w:cs="Arial"/>
                <w:lang w:eastAsia="en-AU"/>
              </w:rPr>
            </w:pPr>
            <w:r w:rsidRPr="003A5310">
              <w:rPr>
                <w:rFonts w:cs="Arial"/>
                <w:lang w:eastAsia="en-AU"/>
              </w:rPr>
              <w:t>Always consider and assess for possible tendon and or joint infection. If possible, consult with Orthopaedics or plastics</w:t>
            </w:r>
          </w:p>
          <w:p w14:paraId="42CE8EB6" w14:textId="77777777" w:rsidR="006706ED" w:rsidRPr="003A5310" w:rsidRDefault="006706ED" w:rsidP="00147382">
            <w:pPr>
              <w:overflowPunct w:val="0"/>
              <w:autoSpaceDE w:val="0"/>
              <w:autoSpaceDN w:val="0"/>
              <w:adjustRightInd w:val="0"/>
              <w:spacing w:line="276" w:lineRule="auto"/>
              <w:rPr>
                <w:rFonts w:cs="Arial"/>
                <w:lang w:eastAsia="en-AU"/>
              </w:rPr>
            </w:pPr>
          </w:p>
          <w:p w14:paraId="0945B523" w14:textId="77777777" w:rsidR="006706ED" w:rsidRDefault="006706ED" w:rsidP="00147382">
            <w:pPr>
              <w:rPr>
                <w:rFonts w:cs="Arial"/>
                <w:lang w:eastAsia="en-AU"/>
              </w:rPr>
            </w:pPr>
            <w:r w:rsidRPr="003A5310">
              <w:rPr>
                <w:rFonts w:cs="Arial"/>
                <w:lang w:eastAsia="en-AU"/>
              </w:rPr>
              <w:t>Cipro</w:t>
            </w:r>
            <w:r>
              <w:rPr>
                <w:rFonts w:cs="Arial"/>
                <w:lang w:eastAsia="en-AU"/>
              </w:rPr>
              <w:t>floxacin</w:t>
            </w:r>
            <w:r w:rsidRPr="003A5310">
              <w:rPr>
                <w:rFonts w:cs="Arial"/>
                <w:lang w:eastAsia="en-AU"/>
              </w:rPr>
              <w:t xml:space="preserve"> and clinda</w:t>
            </w:r>
            <w:r>
              <w:rPr>
                <w:rFonts w:cs="Arial"/>
                <w:lang w:eastAsia="en-AU"/>
              </w:rPr>
              <w:t>mycin</w:t>
            </w:r>
            <w:r w:rsidRPr="003A5310">
              <w:rPr>
                <w:rFonts w:cs="Arial"/>
                <w:lang w:eastAsia="en-AU"/>
              </w:rPr>
              <w:t xml:space="preserve"> combination although oral is of greater efficacy tha</w:t>
            </w:r>
            <w:r>
              <w:rPr>
                <w:rFonts w:cs="Arial"/>
                <w:lang w:eastAsia="en-AU"/>
              </w:rPr>
              <w:t>n</w:t>
            </w:r>
            <w:r w:rsidRPr="003A5310">
              <w:rPr>
                <w:rFonts w:cs="Arial"/>
                <w:lang w:eastAsia="en-AU"/>
              </w:rPr>
              <w:t xml:space="preserve"> oral </w:t>
            </w:r>
            <w:r>
              <w:rPr>
                <w:rFonts w:cs="Arial"/>
                <w:lang w:eastAsia="en-AU"/>
              </w:rPr>
              <w:t>Augmentin.</w:t>
            </w:r>
          </w:p>
          <w:p w14:paraId="5242B690" w14:textId="77777777" w:rsidR="006706ED" w:rsidRDefault="006706ED" w:rsidP="00147382">
            <w:pPr>
              <w:rPr>
                <w:rFonts w:cs="Arial"/>
                <w:lang w:eastAsia="en-AU"/>
              </w:rPr>
            </w:pPr>
          </w:p>
          <w:p w14:paraId="64628AA7" w14:textId="77777777" w:rsidR="006706ED" w:rsidRPr="00071548" w:rsidRDefault="006706ED" w:rsidP="00147382">
            <w:pPr>
              <w:rPr>
                <w:rFonts w:cs="Arial"/>
                <w:u w:val="single"/>
                <w:lang w:eastAsia="en-AU"/>
              </w:rPr>
            </w:pPr>
            <w:r w:rsidRPr="00071548">
              <w:rPr>
                <w:rFonts w:cs="Arial"/>
                <w:u w:val="single"/>
                <w:lang w:eastAsia="en-AU"/>
              </w:rPr>
              <w:t xml:space="preserve">Modify according to Gram stain and culture. </w:t>
            </w:r>
          </w:p>
          <w:p w14:paraId="336E086D" w14:textId="77777777" w:rsidR="006706ED" w:rsidRDefault="006706ED" w:rsidP="00147382">
            <w:pPr>
              <w:rPr>
                <w:rFonts w:cs="Arial"/>
                <w:lang w:eastAsia="en-AU"/>
              </w:rPr>
            </w:pPr>
          </w:p>
          <w:p w14:paraId="1F461CAF" w14:textId="77777777" w:rsidR="006706ED" w:rsidRDefault="006706ED" w:rsidP="00147382">
            <w:pPr>
              <w:rPr>
                <w:rFonts w:cs="Arial"/>
                <w:lang w:eastAsia="en-AU"/>
              </w:rPr>
            </w:pPr>
            <w:r w:rsidRPr="009412FD">
              <w:rPr>
                <w:rFonts w:cs="Arial"/>
                <w:lang w:eastAsia="en-AU"/>
              </w:rPr>
              <w:t xml:space="preserve">For </w:t>
            </w:r>
            <w:r>
              <w:rPr>
                <w:rFonts w:cs="Arial"/>
                <w:lang w:eastAsia="en-AU"/>
              </w:rPr>
              <w:t>wounds with systemic features</w:t>
            </w:r>
            <w:r w:rsidRPr="009412FD">
              <w:rPr>
                <w:rFonts w:cs="Arial"/>
                <w:lang w:eastAsia="en-AU"/>
              </w:rPr>
              <w:t xml:space="preserve">, treatment duration </w:t>
            </w:r>
            <w:r>
              <w:rPr>
                <w:rFonts w:cs="Arial"/>
                <w:lang w:eastAsia="en-AU"/>
              </w:rPr>
              <w:t xml:space="preserve">should be </w:t>
            </w:r>
            <w:r w:rsidRPr="009412FD">
              <w:rPr>
                <w:rFonts w:cs="Arial"/>
                <w:lang w:eastAsia="en-AU"/>
              </w:rPr>
              <w:t>14 days (IV + oral).</w:t>
            </w:r>
          </w:p>
          <w:p w14:paraId="5FC72C4E" w14:textId="77777777" w:rsidR="006706ED" w:rsidRDefault="006706ED" w:rsidP="00147382">
            <w:pPr>
              <w:rPr>
                <w:rFonts w:cs="Arial"/>
                <w:lang w:eastAsia="en-AU"/>
              </w:rPr>
            </w:pPr>
          </w:p>
          <w:p w14:paraId="76FB9828" w14:textId="77777777" w:rsidR="006706ED" w:rsidRDefault="006706ED" w:rsidP="00147382">
            <w:pPr>
              <w:rPr>
                <w:rFonts w:cs="Arial"/>
                <w:lang w:eastAsia="en-AU"/>
              </w:rPr>
            </w:pPr>
            <w:r w:rsidRPr="009412FD">
              <w:rPr>
                <w:rFonts w:cs="Arial"/>
                <w:lang w:eastAsia="en-AU"/>
              </w:rPr>
              <w:t xml:space="preserve">Longer therapy is needed for injuries involving </w:t>
            </w:r>
            <w:r>
              <w:rPr>
                <w:rFonts w:cs="Arial"/>
                <w:lang w:eastAsia="en-AU"/>
              </w:rPr>
              <w:t xml:space="preserve">deeper tissues i.e. </w:t>
            </w:r>
            <w:r w:rsidRPr="009412FD">
              <w:rPr>
                <w:rFonts w:cs="Arial"/>
                <w:lang w:eastAsia="en-AU"/>
              </w:rPr>
              <w:t>bones, joints and/or tendons;</w:t>
            </w:r>
            <w:r>
              <w:rPr>
                <w:rFonts w:cs="Arial"/>
                <w:lang w:eastAsia="en-AU"/>
              </w:rPr>
              <w:t xml:space="preserve"> Consult with orthopaedics/plastic surgery/ID as appropriate.</w:t>
            </w:r>
          </w:p>
          <w:p w14:paraId="2D091EFC" w14:textId="77777777" w:rsidR="006706ED" w:rsidRDefault="006706ED" w:rsidP="00147382">
            <w:pPr>
              <w:rPr>
                <w:rFonts w:cs="Arial"/>
                <w:lang w:eastAsia="en-AU"/>
              </w:rPr>
            </w:pPr>
          </w:p>
          <w:p w14:paraId="51F6651D" w14:textId="77777777" w:rsidR="006706ED" w:rsidRDefault="006706ED" w:rsidP="00147382">
            <w:pPr>
              <w:rPr>
                <w:rFonts w:cs="Arial"/>
                <w:lang w:eastAsia="en-AU"/>
              </w:rPr>
            </w:pPr>
            <w:r>
              <w:rPr>
                <w:rFonts w:cs="Arial"/>
                <w:lang w:eastAsia="en-AU"/>
              </w:rPr>
              <w:t>Refer to Bite and Clenched Fist Injury Infections in Therapeutic Guidelines: Antibiotic</w:t>
            </w:r>
          </w:p>
          <w:p w14:paraId="7491F2E2" w14:textId="77777777" w:rsidR="006706ED" w:rsidRDefault="006706ED" w:rsidP="00147382">
            <w:pPr>
              <w:rPr>
                <w:rFonts w:cs="Arial"/>
                <w:lang w:eastAsia="en-AU"/>
              </w:rPr>
            </w:pPr>
          </w:p>
          <w:p w14:paraId="1E1FB0C7" w14:textId="77777777" w:rsidR="006706ED" w:rsidRDefault="006706ED" w:rsidP="00147382">
            <w:pPr>
              <w:shd w:val="clear" w:color="auto" w:fill="FFFFFF"/>
              <w:spacing w:line="360" w:lineRule="atLeast"/>
              <w:textAlignment w:val="baseline"/>
              <w:rPr>
                <w:rFonts w:cstheme="minorHAnsi"/>
                <w:color w:val="333333"/>
                <w:lang w:eastAsia="en-AU"/>
              </w:rPr>
            </w:pPr>
            <w:r w:rsidRPr="003A5310">
              <w:rPr>
                <w:rFonts w:cstheme="minorHAnsi"/>
                <w:color w:val="333333"/>
                <w:lang w:eastAsia="en-AU"/>
              </w:rPr>
              <w:t>Stop ciprofloxacin treatment at first sign of tendon pain, inflammation or peripheral neuropathy</w:t>
            </w:r>
            <w:r>
              <w:rPr>
                <w:rFonts w:cstheme="minorHAnsi"/>
                <w:color w:val="333333"/>
                <w:lang w:eastAsia="en-AU"/>
              </w:rPr>
              <w:t>. Also be aware of QT effects of Ciprofloxacin</w:t>
            </w:r>
          </w:p>
          <w:p w14:paraId="40CD92B1" w14:textId="77777777" w:rsidR="006706ED" w:rsidRPr="003A5310" w:rsidRDefault="006706ED" w:rsidP="00147382">
            <w:pPr>
              <w:overflowPunct w:val="0"/>
              <w:autoSpaceDE w:val="0"/>
              <w:autoSpaceDN w:val="0"/>
              <w:adjustRightInd w:val="0"/>
              <w:spacing w:line="276" w:lineRule="auto"/>
              <w:rPr>
                <w:rFonts w:cs="Arial"/>
                <w:lang w:eastAsia="en-AU"/>
              </w:rPr>
            </w:pPr>
            <w:r>
              <w:rPr>
                <w:rFonts w:cstheme="minorHAnsi"/>
                <w:color w:val="333333"/>
                <w:lang w:eastAsia="en-AU"/>
              </w:rPr>
              <w:t xml:space="preserve">Beware risk of </w:t>
            </w:r>
            <w:r w:rsidRPr="00092D66">
              <w:rPr>
                <w:rFonts w:cstheme="minorHAnsi"/>
                <w:i/>
                <w:color w:val="333333"/>
                <w:lang w:eastAsia="en-AU"/>
              </w:rPr>
              <w:t>C. difficile</w:t>
            </w:r>
            <w:r w:rsidRPr="003A5310">
              <w:rPr>
                <w:rFonts w:cs="Arial"/>
                <w:lang w:eastAsia="en-AU"/>
              </w:rPr>
              <w:t xml:space="preserve"> </w:t>
            </w:r>
          </w:p>
          <w:p w14:paraId="29816652" w14:textId="77777777" w:rsidR="006706ED" w:rsidRPr="009412FD" w:rsidRDefault="006706ED" w:rsidP="00147382">
            <w:pPr>
              <w:rPr>
                <w:rFonts w:cs="Arial"/>
                <w:lang w:eastAsia="en-AU"/>
              </w:rPr>
            </w:pPr>
          </w:p>
        </w:tc>
        <w:tc>
          <w:tcPr>
            <w:tcW w:w="2210" w:type="dxa"/>
            <w:tcBorders>
              <w:top w:val="single" w:sz="4" w:space="0" w:color="auto"/>
              <w:left w:val="single" w:sz="4" w:space="0" w:color="auto"/>
              <w:bottom w:val="single" w:sz="4" w:space="0" w:color="auto"/>
              <w:right w:val="single" w:sz="4" w:space="0" w:color="auto"/>
            </w:tcBorders>
          </w:tcPr>
          <w:p w14:paraId="643F1F58" w14:textId="77777777" w:rsidR="006706ED" w:rsidRPr="003A5310" w:rsidRDefault="006706ED" w:rsidP="00147382">
            <w:pPr>
              <w:overflowPunct w:val="0"/>
              <w:autoSpaceDE w:val="0"/>
              <w:autoSpaceDN w:val="0"/>
              <w:adjustRightInd w:val="0"/>
              <w:spacing w:after="100" w:afterAutospacing="1" w:line="276" w:lineRule="auto"/>
              <w:rPr>
                <w:rFonts w:cs="Arial"/>
                <w:lang w:eastAsia="en-AU"/>
              </w:rPr>
            </w:pPr>
            <w:r w:rsidRPr="003A5310">
              <w:rPr>
                <w:rFonts w:cs="Arial"/>
                <w:lang w:eastAsia="en-AU"/>
              </w:rPr>
              <w:t>Only required for PIPTAZ.</w:t>
            </w:r>
          </w:p>
          <w:p w14:paraId="64A25EB7" w14:textId="77777777" w:rsidR="006706ED" w:rsidRPr="003A5310" w:rsidRDefault="006706ED" w:rsidP="00147382">
            <w:pPr>
              <w:overflowPunct w:val="0"/>
              <w:autoSpaceDE w:val="0"/>
              <w:autoSpaceDN w:val="0"/>
              <w:adjustRightInd w:val="0"/>
              <w:spacing w:after="100" w:afterAutospacing="1" w:line="276" w:lineRule="auto"/>
              <w:rPr>
                <w:rFonts w:cs="Arial"/>
                <w:lang w:eastAsia="en-AU"/>
              </w:rPr>
            </w:pPr>
            <w:r w:rsidRPr="003A5310">
              <w:rPr>
                <w:rFonts w:cs="Arial"/>
                <w:lang w:eastAsia="en-AU"/>
              </w:rPr>
              <w:t>IV cannula:</w:t>
            </w:r>
          </w:p>
          <w:p w14:paraId="441873F6" w14:textId="77777777" w:rsidR="006706ED" w:rsidRDefault="006706ED" w:rsidP="00147382">
            <w:pPr>
              <w:rPr>
                <w:rFonts w:cs="Arial"/>
                <w:lang w:eastAsia="en-AU"/>
              </w:rPr>
            </w:pPr>
            <w:r w:rsidRPr="003A5310">
              <w:rPr>
                <w:rFonts w:cs="Arial"/>
                <w:b/>
                <w:lang w:eastAsia="en-AU"/>
              </w:rPr>
              <w:t>Preferable not overlying a joint to allow for infusion</w:t>
            </w:r>
          </w:p>
          <w:p w14:paraId="79258A44" w14:textId="77777777" w:rsidR="006706ED" w:rsidRPr="009412FD" w:rsidRDefault="006706ED" w:rsidP="00147382">
            <w:pPr>
              <w:rPr>
                <w:rFonts w:cs="Arial"/>
                <w:lang w:eastAsia="en-AU"/>
              </w:rPr>
            </w:pPr>
          </w:p>
        </w:tc>
      </w:tr>
      <w:tr w:rsidR="006706ED" w:rsidRPr="00D363A3" w14:paraId="1C30C38D" w14:textId="77777777" w:rsidTr="00147382">
        <w:tc>
          <w:tcPr>
            <w:tcW w:w="2215" w:type="dxa"/>
            <w:tcBorders>
              <w:top w:val="single" w:sz="4" w:space="0" w:color="auto"/>
              <w:left w:val="single" w:sz="4" w:space="0" w:color="auto"/>
              <w:bottom w:val="single" w:sz="4" w:space="0" w:color="auto"/>
              <w:right w:val="single" w:sz="4" w:space="0" w:color="auto"/>
            </w:tcBorders>
          </w:tcPr>
          <w:p w14:paraId="2F455DF6" w14:textId="77777777" w:rsidR="006706ED" w:rsidRPr="00D4155A" w:rsidRDefault="006706ED" w:rsidP="00147382">
            <w:pPr>
              <w:rPr>
                <w:rFonts w:cs="Arial"/>
                <w:b/>
                <w:bCs/>
                <w:lang w:eastAsia="en-AU"/>
              </w:rPr>
            </w:pPr>
            <w:r w:rsidRPr="00D4155A">
              <w:rPr>
                <w:rFonts w:cs="Arial"/>
                <w:b/>
                <w:bCs/>
                <w:lang w:eastAsia="en-AU"/>
              </w:rPr>
              <w:lastRenderedPageBreak/>
              <w:t>Osteomyelitis (acute)</w:t>
            </w:r>
          </w:p>
          <w:p w14:paraId="13326B28" w14:textId="77777777" w:rsidR="006706ED" w:rsidRPr="00D4155A" w:rsidRDefault="006706ED" w:rsidP="00147382">
            <w:pPr>
              <w:rPr>
                <w:rFonts w:cs="Arial"/>
                <w:b/>
                <w:bCs/>
                <w:lang w:eastAsia="en-AU"/>
              </w:rPr>
            </w:pPr>
          </w:p>
        </w:tc>
        <w:tc>
          <w:tcPr>
            <w:tcW w:w="2736" w:type="dxa"/>
            <w:tcBorders>
              <w:top w:val="single" w:sz="4" w:space="0" w:color="auto"/>
              <w:left w:val="single" w:sz="4" w:space="0" w:color="auto"/>
              <w:bottom w:val="single" w:sz="4" w:space="0" w:color="auto"/>
              <w:right w:val="single" w:sz="4" w:space="0" w:color="auto"/>
            </w:tcBorders>
          </w:tcPr>
          <w:p w14:paraId="10458745" w14:textId="77777777" w:rsidR="006706ED" w:rsidRDefault="006706ED" w:rsidP="00147382">
            <w:r w:rsidRPr="009D795D">
              <w:rPr>
                <w:color w:val="00B050"/>
              </w:rPr>
              <w:t>Flucloxacillin</w:t>
            </w:r>
            <w:r w:rsidRPr="009412FD">
              <w:t xml:space="preserve"> 8g infusion over </w:t>
            </w:r>
            <w:r>
              <w:t xml:space="preserve">      </w:t>
            </w:r>
            <w:r w:rsidRPr="009412FD">
              <w:t xml:space="preserve">24 </w:t>
            </w:r>
            <w:r>
              <w:t>hours</w:t>
            </w:r>
          </w:p>
          <w:p w14:paraId="56631C36" w14:textId="77777777" w:rsidR="006706ED" w:rsidRDefault="006706ED" w:rsidP="00147382">
            <w:r>
              <w:t>OR</w:t>
            </w:r>
          </w:p>
          <w:p w14:paraId="333E1BA9" w14:textId="77777777" w:rsidR="006706ED" w:rsidRDefault="006706ED" w:rsidP="00147382">
            <w:r w:rsidRPr="009D795D">
              <w:rPr>
                <w:color w:val="00B050"/>
              </w:rPr>
              <w:t>Cefazolin</w:t>
            </w:r>
            <w:r w:rsidRPr="00255168">
              <w:t xml:space="preserve"> 6 g over 24 hours for penicillin allergic patients</w:t>
            </w:r>
          </w:p>
          <w:p w14:paraId="70B7E647" w14:textId="77777777" w:rsidR="006706ED" w:rsidRDefault="006706ED" w:rsidP="00147382"/>
          <w:p w14:paraId="5A0A215C" w14:textId="77777777" w:rsidR="006706ED" w:rsidRDefault="006706ED" w:rsidP="00147382">
            <w:pPr>
              <w:pStyle w:val="CommentText"/>
            </w:pPr>
            <w:r w:rsidRPr="00B06E8E">
              <w:rPr>
                <w:sz w:val="24"/>
                <w:szCs w:val="24"/>
              </w:rPr>
              <w:t xml:space="preserve">(Cefazolin 8g over 24 hours </w:t>
            </w:r>
            <w:r>
              <w:rPr>
                <w:sz w:val="24"/>
                <w:szCs w:val="24"/>
              </w:rPr>
              <w:t xml:space="preserve">dose </w:t>
            </w:r>
            <w:r w:rsidRPr="00B06E8E">
              <w:rPr>
                <w:sz w:val="24"/>
                <w:szCs w:val="24"/>
              </w:rPr>
              <w:t>for obesity or severe infection – see Section 3 below</w:t>
            </w:r>
            <w:r>
              <w:t xml:space="preserve">) </w:t>
            </w:r>
          </w:p>
          <w:p w14:paraId="51AEB218" w14:textId="77777777" w:rsidR="006706ED" w:rsidRPr="005D747C" w:rsidRDefault="006706ED" w:rsidP="00147382">
            <w:pPr>
              <w:rPr>
                <w:rFonts w:cs="Arial"/>
                <w:bCs/>
                <w:color w:val="00B050"/>
                <w:szCs w:val="24"/>
                <w:lang w:eastAsia="en-AU"/>
              </w:rPr>
            </w:pPr>
          </w:p>
        </w:tc>
        <w:tc>
          <w:tcPr>
            <w:tcW w:w="3040" w:type="dxa"/>
            <w:tcBorders>
              <w:top w:val="single" w:sz="4" w:space="0" w:color="auto"/>
              <w:left w:val="single" w:sz="4" w:space="0" w:color="auto"/>
              <w:bottom w:val="single" w:sz="4" w:space="0" w:color="auto"/>
              <w:right w:val="single" w:sz="4" w:space="0" w:color="auto"/>
            </w:tcBorders>
          </w:tcPr>
          <w:p w14:paraId="35F31D3C" w14:textId="77777777" w:rsidR="006706ED" w:rsidRDefault="006706ED" w:rsidP="00147382">
            <w:pPr>
              <w:rPr>
                <w:rFonts w:cs="Arial"/>
                <w:lang w:eastAsia="en-AU"/>
              </w:rPr>
            </w:pPr>
            <w:r w:rsidRPr="009412FD">
              <w:rPr>
                <w:rFonts w:cs="Arial"/>
                <w:lang w:eastAsia="en-AU"/>
              </w:rPr>
              <w:t>Duration of IV therapy</w:t>
            </w:r>
            <w:r>
              <w:rPr>
                <w:rFonts w:cs="Arial"/>
                <w:lang w:eastAsia="en-AU"/>
              </w:rPr>
              <w:t xml:space="preserve"> may</w:t>
            </w:r>
            <w:r w:rsidRPr="009412FD">
              <w:rPr>
                <w:rFonts w:cs="Arial"/>
                <w:lang w:eastAsia="en-AU"/>
              </w:rPr>
              <w:t xml:space="preserve"> need to be </w:t>
            </w:r>
            <w:r>
              <w:rPr>
                <w:rFonts w:cs="Arial"/>
                <w:lang w:eastAsia="en-AU"/>
              </w:rPr>
              <w:t>up to</w:t>
            </w:r>
            <w:r w:rsidRPr="009412FD">
              <w:rPr>
                <w:rFonts w:cs="Arial"/>
                <w:lang w:eastAsia="en-AU"/>
              </w:rPr>
              <w:t xml:space="preserve"> 4 weeks</w:t>
            </w:r>
            <w:r>
              <w:rPr>
                <w:rFonts w:cs="Arial"/>
                <w:lang w:eastAsia="en-AU"/>
              </w:rPr>
              <w:t xml:space="preserve"> in liaison with orthopaedics and ID</w:t>
            </w:r>
          </w:p>
          <w:p w14:paraId="4AB54A75" w14:textId="77777777" w:rsidR="006706ED" w:rsidRDefault="006706ED" w:rsidP="00147382">
            <w:pPr>
              <w:rPr>
                <w:rFonts w:cs="Arial"/>
                <w:lang w:eastAsia="en-AU"/>
              </w:rPr>
            </w:pPr>
          </w:p>
          <w:p w14:paraId="27F6452B" w14:textId="77777777" w:rsidR="006706ED" w:rsidRPr="00071548" w:rsidRDefault="006706ED" w:rsidP="00147382">
            <w:pPr>
              <w:overflowPunct w:val="0"/>
              <w:autoSpaceDE w:val="0"/>
              <w:autoSpaceDN w:val="0"/>
              <w:adjustRightInd w:val="0"/>
              <w:spacing w:line="276" w:lineRule="auto"/>
              <w:rPr>
                <w:rFonts w:cs="Arial"/>
                <w:lang w:eastAsia="en-AU"/>
              </w:rPr>
            </w:pPr>
            <w:r w:rsidRPr="00071548">
              <w:rPr>
                <w:rFonts w:cs="Arial"/>
                <w:lang w:eastAsia="en-AU"/>
              </w:rPr>
              <w:t xml:space="preserve">Modify therapy according to Gram stain and culture. </w:t>
            </w:r>
          </w:p>
          <w:p w14:paraId="2DC85438" w14:textId="77777777" w:rsidR="006706ED" w:rsidRPr="003A5310" w:rsidRDefault="006706ED" w:rsidP="00147382">
            <w:pPr>
              <w:overflowPunct w:val="0"/>
              <w:autoSpaceDE w:val="0"/>
              <w:autoSpaceDN w:val="0"/>
              <w:adjustRightInd w:val="0"/>
              <w:spacing w:line="276" w:lineRule="auto"/>
              <w:rPr>
                <w:rFonts w:cs="Arial"/>
                <w:lang w:eastAsia="en-AU"/>
              </w:rPr>
            </w:pPr>
          </w:p>
        </w:tc>
        <w:tc>
          <w:tcPr>
            <w:tcW w:w="2210" w:type="dxa"/>
            <w:tcBorders>
              <w:top w:val="single" w:sz="4" w:space="0" w:color="auto"/>
              <w:left w:val="single" w:sz="4" w:space="0" w:color="auto"/>
              <w:bottom w:val="single" w:sz="4" w:space="0" w:color="auto"/>
              <w:right w:val="single" w:sz="4" w:space="0" w:color="auto"/>
            </w:tcBorders>
          </w:tcPr>
          <w:p w14:paraId="7953BAC3" w14:textId="77777777" w:rsidR="006706ED" w:rsidRPr="003A5310" w:rsidRDefault="006706ED" w:rsidP="00147382">
            <w:pPr>
              <w:overflowPunct w:val="0"/>
              <w:autoSpaceDE w:val="0"/>
              <w:autoSpaceDN w:val="0"/>
              <w:adjustRightInd w:val="0"/>
              <w:spacing w:line="276" w:lineRule="auto"/>
              <w:rPr>
                <w:rFonts w:cs="Arial"/>
                <w:lang w:eastAsia="en-AU"/>
              </w:rPr>
            </w:pPr>
            <w:r w:rsidRPr="003A5310">
              <w:rPr>
                <w:rFonts w:cs="Arial"/>
                <w:lang w:eastAsia="en-AU"/>
              </w:rPr>
              <w:t>Given duration of treatment PICC line generally required</w:t>
            </w:r>
          </w:p>
        </w:tc>
      </w:tr>
      <w:tr w:rsidR="006706ED" w:rsidRPr="00D363A3" w14:paraId="4B0ED5DF" w14:textId="77777777" w:rsidTr="00147382">
        <w:tc>
          <w:tcPr>
            <w:tcW w:w="2215" w:type="dxa"/>
            <w:tcBorders>
              <w:top w:val="single" w:sz="4" w:space="0" w:color="auto"/>
              <w:left w:val="single" w:sz="4" w:space="0" w:color="auto"/>
              <w:bottom w:val="single" w:sz="4" w:space="0" w:color="auto"/>
              <w:right w:val="single" w:sz="4" w:space="0" w:color="auto"/>
            </w:tcBorders>
            <w:hideMark/>
          </w:tcPr>
          <w:p w14:paraId="15CAC3AE" w14:textId="77777777" w:rsidR="006706ED" w:rsidRPr="00D4155A" w:rsidRDefault="006706ED" w:rsidP="00147382">
            <w:pPr>
              <w:rPr>
                <w:b/>
                <w:bCs/>
                <w:lang w:eastAsia="en-AU"/>
              </w:rPr>
            </w:pPr>
            <w:r w:rsidRPr="00D4155A">
              <w:rPr>
                <w:rFonts w:cs="Arial"/>
                <w:b/>
                <w:bCs/>
                <w:lang w:eastAsia="en-AU"/>
              </w:rPr>
              <w:t>Pyelonephritis</w:t>
            </w:r>
            <w:r>
              <w:rPr>
                <w:rFonts w:cs="Arial"/>
                <w:b/>
                <w:bCs/>
                <w:lang w:eastAsia="en-AU"/>
              </w:rPr>
              <w:t>/ UTI requiring IV antibiotics</w:t>
            </w:r>
          </w:p>
        </w:tc>
        <w:tc>
          <w:tcPr>
            <w:tcW w:w="2736" w:type="dxa"/>
            <w:tcBorders>
              <w:top w:val="single" w:sz="4" w:space="0" w:color="auto"/>
              <w:left w:val="single" w:sz="4" w:space="0" w:color="auto"/>
              <w:bottom w:val="single" w:sz="4" w:space="0" w:color="auto"/>
              <w:right w:val="single" w:sz="4" w:space="0" w:color="auto"/>
            </w:tcBorders>
            <w:hideMark/>
          </w:tcPr>
          <w:p w14:paraId="1EC19A51" w14:textId="77777777" w:rsidR="006706ED" w:rsidRDefault="006706ED" w:rsidP="00147382">
            <w:pPr>
              <w:rPr>
                <w:bCs/>
                <w:szCs w:val="24"/>
              </w:rPr>
            </w:pPr>
            <w:r w:rsidRPr="005D747C">
              <w:rPr>
                <w:rFonts w:cs="Arial"/>
                <w:bCs/>
                <w:color w:val="00B050"/>
                <w:szCs w:val="24"/>
                <w:lang w:eastAsia="en-AU"/>
              </w:rPr>
              <w:t xml:space="preserve">Gentamicin </w:t>
            </w:r>
            <w:r w:rsidRPr="00D4155A">
              <w:rPr>
                <w:rFonts w:cs="Arial"/>
                <w:bCs/>
                <w:szCs w:val="24"/>
                <w:lang w:eastAsia="en-AU"/>
              </w:rPr>
              <w:t>(4-</w:t>
            </w:r>
            <w:r>
              <w:rPr>
                <w:rFonts w:cs="Arial"/>
                <w:bCs/>
                <w:szCs w:val="24"/>
                <w:lang w:eastAsia="en-AU"/>
              </w:rPr>
              <w:t>6</w:t>
            </w:r>
            <w:r w:rsidRPr="00D4155A">
              <w:rPr>
                <w:rFonts w:cs="Arial"/>
                <w:bCs/>
                <w:szCs w:val="24"/>
                <w:lang w:eastAsia="en-AU"/>
              </w:rPr>
              <w:t xml:space="preserve">mg/kg/day IV) </w:t>
            </w:r>
            <w:r w:rsidRPr="00D4155A">
              <w:rPr>
                <w:bCs/>
                <w:szCs w:val="24"/>
              </w:rPr>
              <w:t>for a maximum of 3 doses in patients with eGFR &gt;60mL/min</w:t>
            </w:r>
            <w:r>
              <w:rPr>
                <w:bCs/>
                <w:szCs w:val="24"/>
              </w:rPr>
              <w:t>*</w:t>
            </w:r>
          </w:p>
          <w:p w14:paraId="0449E06F" w14:textId="77777777" w:rsidR="006706ED" w:rsidRDefault="006706ED" w:rsidP="00147382">
            <w:pPr>
              <w:rPr>
                <w:bCs/>
                <w:szCs w:val="24"/>
              </w:rPr>
            </w:pPr>
            <w:r>
              <w:rPr>
                <w:bCs/>
                <w:szCs w:val="24"/>
              </w:rPr>
              <w:t>or in patients allergic to penicillin/</w:t>
            </w:r>
            <w:r w:rsidRPr="003A5310">
              <w:rPr>
                <w:rFonts w:cs="Arial"/>
                <w:lang w:eastAsia="en-AU"/>
              </w:rPr>
              <w:t xml:space="preserve"> cephalosporins</w:t>
            </w:r>
          </w:p>
          <w:p w14:paraId="2133AEFC" w14:textId="77777777" w:rsidR="006706ED" w:rsidRDefault="006706ED" w:rsidP="00147382">
            <w:pPr>
              <w:rPr>
                <w:bCs/>
                <w:szCs w:val="24"/>
              </w:rPr>
            </w:pPr>
            <w:r>
              <w:rPr>
                <w:bCs/>
                <w:szCs w:val="24"/>
              </w:rPr>
              <w:t xml:space="preserve"> </w:t>
            </w:r>
          </w:p>
          <w:p w14:paraId="56CCB6E9" w14:textId="77777777" w:rsidR="006706ED" w:rsidRDefault="006706ED" w:rsidP="00147382">
            <w:pPr>
              <w:rPr>
                <w:bCs/>
                <w:szCs w:val="24"/>
              </w:rPr>
            </w:pPr>
            <w:r>
              <w:rPr>
                <w:bCs/>
                <w:szCs w:val="24"/>
              </w:rPr>
              <w:t>OR</w:t>
            </w:r>
          </w:p>
          <w:p w14:paraId="0691FFC9" w14:textId="77777777" w:rsidR="006706ED" w:rsidRDefault="006706ED" w:rsidP="00147382">
            <w:pPr>
              <w:rPr>
                <w:rFonts w:cs="Arial"/>
                <w:bCs/>
                <w:szCs w:val="24"/>
                <w:lang w:eastAsia="en-AU"/>
              </w:rPr>
            </w:pPr>
            <w:r w:rsidRPr="00D4155A">
              <w:rPr>
                <w:rFonts w:cs="Arial"/>
                <w:bCs/>
                <w:color w:val="F79646" w:themeColor="accent6"/>
                <w:szCs w:val="24"/>
                <w:lang w:eastAsia="en-AU"/>
              </w:rPr>
              <w:t>Ceftriaxone</w:t>
            </w:r>
            <w:r w:rsidRPr="00D4155A">
              <w:rPr>
                <w:rFonts w:cs="Arial"/>
                <w:bCs/>
                <w:szCs w:val="24"/>
                <w:lang w:eastAsia="en-AU"/>
              </w:rPr>
              <w:t xml:space="preserve"> 1g daily IV</w:t>
            </w:r>
          </w:p>
          <w:p w14:paraId="2A0E6E27" w14:textId="77777777" w:rsidR="006706ED" w:rsidRPr="003A5310" w:rsidRDefault="006706ED" w:rsidP="00147382">
            <w:pPr>
              <w:overflowPunct w:val="0"/>
              <w:autoSpaceDE w:val="0"/>
              <w:autoSpaceDN w:val="0"/>
              <w:adjustRightInd w:val="0"/>
              <w:spacing w:line="276" w:lineRule="auto"/>
              <w:rPr>
                <w:rFonts w:cs="Arial"/>
                <w:lang w:eastAsia="en-AU"/>
              </w:rPr>
            </w:pPr>
            <w:r w:rsidRPr="003A5310">
              <w:rPr>
                <w:rFonts w:cs="Arial"/>
                <w:lang w:eastAsia="en-AU"/>
              </w:rPr>
              <w:t>Ceftriaxone 1g daily IV</w:t>
            </w:r>
          </w:p>
          <w:p w14:paraId="06A4A77C" w14:textId="77777777" w:rsidR="006706ED" w:rsidRPr="00D4155A" w:rsidRDefault="006706ED" w:rsidP="00147382">
            <w:pPr>
              <w:rPr>
                <w:rFonts w:cs="Arial"/>
                <w:bCs/>
                <w:szCs w:val="24"/>
                <w:lang w:eastAsia="en-AU"/>
              </w:rPr>
            </w:pPr>
            <w:r w:rsidRPr="003A5310">
              <w:rPr>
                <w:rFonts w:cs="Arial"/>
                <w:lang w:eastAsia="en-AU"/>
              </w:rPr>
              <w:t>(Ampicillin is not stable as an infusion and requires QID dosing</w:t>
            </w:r>
            <w:r>
              <w:rPr>
                <w:rFonts w:cs="Arial"/>
                <w:lang w:eastAsia="en-AU"/>
              </w:rPr>
              <w:t xml:space="preserve"> </w:t>
            </w:r>
            <w:r w:rsidRPr="003A5310">
              <w:rPr>
                <w:rFonts w:cs="Arial"/>
                <w:lang w:eastAsia="en-AU"/>
              </w:rPr>
              <w:t>and therefore cannot be used in the HITH setting. For this reason the combination of IV ampicillin and gentamicin is not an option for treatment of Pyelonephritis in HITH)</w:t>
            </w:r>
          </w:p>
          <w:p w14:paraId="75BA074D" w14:textId="77777777" w:rsidR="006706ED" w:rsidRPr="00D4155A" w:rsidRDefault="006706ED" w:rsidP="00147382">
            <w:pPr>
              <w:rPr>
                <w:bCs/>
                <w:szCs w:val="24"/>
              </w:rPr>
            </w:pPr>
          </w:p>
          <w:p w14:paraId="7CB70B35" w14:textId="77777777" w:rsidR="006706ED" w:rsidRPr="00ED3AAC" w:rsidRDefault="006706ED" w:rsidP="00147382">
            <w:pPr>
              <w:rPr>
                <w:bCs/>
                <w:szCs w:val="24"/>
              </w:rPr>
            </w:pPr>
            <w:r w:rsidRPr="00D4155A">
              <w:rPr>
                <w:bCs/>
                <w:szCs w:val="24"/>
              </w:rPr>
              <w:t xml:space="preserve"> </w:t>
            </w:r>
            <w:r>
              <w:rPr>
                <w:bCs/>
                <w:szCs w:val="24"/>
              </w:rPr>
              <w:t>*</w:t>
            </w:r>
            <w:r w:rsidRPr="00D4155A">
              <w:rPr>
                <w:bCs/>
                <w:szCs w:val="24"/>
              </w:rPr>
              <w:t>See CHS Intravenous Dosing and Monitoring of Aminoglycosides in Adults procedure</w:t>
            </w:r>
            <w:r>
              <w:rPr>
                <w:bCs/>
                <w:szCs w:val="24"/>
              </w:rPr>
              <w:t xml:space="preserve"> to determine dose according to patients age and gender and see Section 3 below </w:t>
            </w:r>
          </w:p>
        </w:tc>
        <w:tc>
          <w:tcPr>
            <w:tcW w:w="3040" w:type="dxa"/>
            <w:tcBorders>
              <w:top w:val="single" w:sz="4" w:space="0" w:color="auto"/>
              <w:left w:val="single" w:sz="4" w:space="0" w:color="auto"/>
              <w:bottom w:val="single" w:sz="4" w:space="0" w:color="auto"/>
              <w:right w:val="single" w:sz="4" w:space="0" w:color="auto"/>
            </w:tcBorders>
          </w:tcPr>
          <w:p w14:paraId="1535E25F" w14:textId="77777777" w:rsidR="006706ED" w:rsidRDefault="006706ED" w:rsidP="00147382">
            <w:pPr>
              <w:overflowPunct w:val="0"/>
              <w:autoSpaceDE w:val="0"/>
              <w:autoSpaceDN w:val="0"/>
              <w:adjustRightInd w:val="0"/>
              <w:spacing w:line="276" w:lineRule="auto"/>
              <w:rPr>
                <w:rFonts w:cs="Arial"/>
                <w:bCs/>
                <w:lang w:eastAsia="en-AU"/>
              </w:rPr>
            </w:pPr>
            <w:r w:rsidRPr="003A5310">
              <w:rPr>
                <w:rFonts w:cs="Arial"/>
                <w:lang w:eastAsia="en-AU"/>
              </w:rPr>
              <w:t>IV ceftriaxone should be followed by oral therapy to complete a total of 10-</w:t>
            </w:r>
            <w:r>
              <w:rPr>
                <w:rFonts w:cs="Arial"/>
                <w:lang w:eastAsia="en-AU"/>
              </w:rPr>
              <w:t>14 day</w:t>
            </w:r>
            <w:r w:rsidRPr="003A5310">
              <w:rPr>
                <w:rFonts w:cs="Arial"/>
                <w:lang w:eastAsia="en-AU"/>
              </w:rPr>
              <w:t xml:space="preserve"> treatment</w:t>
            </w:r>
            <w:r w:rsidRPr="003A5310">
              <w:rPr>
                <w:rFonts w:cs="Arial"/>
                <w:bCs/>
                <w:lang w:eastAsia="en-AU"/>
              </w:rPr>
              <w:t>.</w:t>
            </w:r>
          </w:p>
          <w:p w14:paraId="4F3A2290" w14:textId="77777777" w:rsidR="006706ED" w:rsidRDefault="006706ED" w:rsidP="00147382">
            <w:pPr>
              <w:rPr>
                <w:rFonts w:cs="Arial"/>
                <w:lang w:eastAsia="en-AU"/>
              </w:rPr>
            </w:pPr>
          </w:p>
          <w:p w14:paraId="044CD62B" w14:textId="77777777" w:rsidR="006706ED" w:rsidRPr="008D0CC8" w:rsidRDefault="006706ED" w:rsidP="00147382">
            <w:pPr>
              <w:overflowPunct w:val="0"/>
              <w:autoSpaceDE w:val="0"/>
              <w:autoSpaceDN w:val="0"/>
              <w:adjustRightInd w:val="0"/>
              <w:spacing w:line="276" w:lineRule="auto"/>
              <w:rPr>
                <w:rFonts w:cs="Arial"/>
                <w:bCs/>
                <w:u w:val="single"/>
                <w:lang w:eastAsia="en-AU"/>
              </w:rPr>
            </w:pPr>
            <w:r w:rsidRPr="008D0CC8">
              <w:rPr>
                <w:rFonts w:cs="Arial"/>
                <w:bCs/>
                <w:u w:val="single"/>
                <w:lang w:eastAsia="en-AU"/>
              </w:rPr>
              <w:t>Check urine culture results re ongoing oral therapy</w:t>
            </w:r>
          </w:p>
          <w:p w14:paraId="12C0D9A9" w14:textId="77777777" w:rsidR="006706ED" w:rsidRPr="003A5310" w:rsidRDefault="006706ED" w:rsidP="00147382">
            <w:pPr>
              <w:overflowPunct w:val="0"/>
              <w:autoSpaceDE w:val="0"/>
              <w:autoSpaceDN w:val="0"/>
              <w:adjustRightInd w:val="0"/>
              <w:spacing w:line="276" w:lineRule="auto"/>
              <w:rPr>
                <w:rFonts w:cs="Arial"/>
                <w:bCs/>
                <w:u w:val="single"/>
                <w:lang w:eastAsia="en-AU"/>
              </w:rPr>
            </w:pPr>
          </w:p>
          <w:p w14:paraId="0B6AD80D" w14:textId="77777777" w:rsidR="006706ED" w:rsidRDefault="006706ED" w:rsidP="00147382">
            <w:pPr>
              <w:rPr>
                <w:rFonts w:asciiTheme="minorHAnsi" w:hAnsiTheme="minorHAnsi" w:cstheme="minorHAnsi"/>
                <w:bCs/>
                <w:szCs w:val="24"/>
                <w:lang w:eastAsia="en-AU"/>
              </w:rPr>
            </w:pPr>
            <w:r w:rsidRPr="00071548">
              <w:rPr>
                <w:rFonts w:asciiTheme="minorHAnsi" w:hAnsiTheme="minorHAnsi" w:cstheme="minorHAnsi"/>
                <w:bCs/>
                <w:szCs w:val="24"/>
                <w:lang w:eastAsia="en-AU"/>
              </w:rPr>
              <w:t>Check gentamicin levels as per protocol – specific sample timing required:</w:t>
            </w:r>
          </w:p>
          <w:p w14:paraId="1CEF3248" w14:textId="77777777" w:rsidR="006706ED" w:rsidRPr="00071548" w:rsidRDefault="006706ED" w:rsidP="00147382">
            <w:pPr>
              <w:rPr>
                <w:rFonts w:asciiTheme="minorHAnsi" w:hAnsiTheme="minorHAnsi" w:cstheme="minorHAnsi"/>
                <w:bCs/>
                <w:szCs w:val="24"/>
                <w:lang w:eastAsia="en-AU"/>
              </w:rPr>
            </w:pPr>
            <w:r>
              <w:rPr>
                <w:bCs/>
                <w:szCs w:val="24"/>
              </w:rPr>
              <w:t xml:space="preserve">See </w:t>
            </w:r>
            <w:r w:rsidRPr="00D4155A">
              <w:rPr>
                <w:bCs/>
                <w:szCs w:val="24"/>
              </w:rPr>
              <w:t>CHS Intravenous Dosing and Monitoring of Aminoglycosides in Adults</w:t>
            </w:r>
            <w:r w:rsidRPr="00071548">
              <w:rPr>
                <w:rFonts w:asciiTheme="minorHAnsi" w:hAnsiTheme="minorHAnsi" w:cstheme="minorHAnsi"/>
                <w:bCs/>
                <w:szCs w:val="24"/>
                <w:lang w:eastAsia="en-AU"/>
              </w:rPr>
              <w:t xml:space="preserve"> </w:t>
            </w:r>
          </w:p>
          <w:p w14:paraId="1F68B98B" w14:textId="77777777" w:rsidR="006706ED" w:rsidRPr="003A5310" w:rsidRDefault="006706ED" w:rsidP="00147382">
            <w:pPr>
              <w:jc w:val="center"/>
              <w:rPr>
                <w:rFonts w:eastAsia="Calibri"/>
                <w:sz w:val="20"/>
              </w:rPr>
            </w:pPr>
          </w:p>
          <w:p w14:paraId="0FA2C49E" w14:textId="77777777" w:rsidR="006706ED" w:rsidRPr="00071548" w:rsidRDefault="006706ED" w:rsidP="00147382">
            <w:pPr>
              <w:rPr>
                <w:rFonts w:asciiTheme="minorHAnsi" w:hAnsiTheme="minorHAnsi" w:cstheme="minorHAnsi"/>
                <w:szCs w:val="24"/>
                <w:lang w:eastAsia="en-AU"/>
              </w:rPr>
            </w:pPr>
            <w:r>
              <w:rPr>
                <w:rFonts w:asciiTheme="minorHAnsi" w:hAnsiTheme="minorHAnsi" w:cstheme="minorHAnsi"/>
                <w:bCs/>
                <w:szCs w:val="24"/>
                <w:lang w:eastAsia="en-AU"/>
              </w:rPr>
              <w:t>For NCH - r</w:t>
            </w:r>
            <w:r w:rsidRPr="00071548">
              <w:rPr>
                <w:rFonts w:asciiTheme="minorHAnsi" w:hAnsiTheme="minorHAnsi" w:cstheme="minorHAnsi"/>
                <w:bCs/>
                <w:szCs w:val="24"/>
                <w:lang w:eastAsia="en-AU"/>
              </w:rPr>
              <w:t xml:space="preserve">efer </w:t>
            </w:r>
            <w:r>
              <w:rPr>
                <w:rFonts w:asciiTheme="minorHAnsi" w:hAnsiTheme="minorHAnsi" w:cstheme="minorHAnsi"/>
                <w:bCs/>
                <w:szCs w:val="24"/>
                <w:lang w:eastAsia="en-AU"/>
              </w:rPr>
              <w:t xml:space="preserve">also </w:t>
            </w:r>
            <w:r w:rsidRPr="00071548">
              <w:rPr>
                <w:rFonts w:asciiTheme="minorHAnsi" w:hAnsiTheme="minorHAnsi" w:cstheme="minorHAnsi"/>
                <w:bCs/>
                <w:szCs w:val="24"/>
                <w:lang w:eastAsia="en-AU"/>
              </w:rPr>
              <w:t>to</w:t>
            </w:r>
            <w:r w:rsidRPr="00071548">
              <w:rPr>
                <w:rFonts w:asciiTheme="minorHAnsi" w:eastAsia="Calibri" w:hAnsiTheme="minorHAnsi" w:cstheme="minorHAnsi"/>
                <w:szCs w:val="24"/>
              </w:rPr>
              <w:t xml:space="preserve"> </w:t>
            </w:r>
            <w:hyperlink r:id="rId15" w:tooltip="Pyelonephritis Management" w:history="1">
              <w:r w:rsidRPr="00071548">
                <w:rPr>
                  <w:rFonts w:asciiTheme="minorHAnsi" w:eastAsia="Calibri" w:hAnsiTheme="minorHAnsi" w:cstheme="minorHAnsi"/>
                  <w:color w:val="0563C1"/>
                  <w:szCs w:val="24"/>
                  <w:u w:val="single"/>
                </w:rPr>
                <w:t>Pyelonephritis Management</w:t>
              </w:r>
            </w:hyperlink>
            <w:r w:rsidRPr="00071548">
              <w:rPr>
                <w:rFonts w:asciiTheme="minorHAnsi" w:eastAsia="Calibri" w:hAnsiTheme="minorHAnsi" w:cstheme="minorHAnsi"/>
                <w:szCs w:val="24"/>
              </w:rPr>
              <w:t xml:space="preserve"> Procedure</w:t>
            </w:r>
          </w:p>
        </w:tc>
        <w:tc>
          <w:tcPr>
            <w:tcW w:w="2210" w:type="dxa"/>
            <w:tcBorders>
              <w:top w:val="single" w:sz="4" w:space="0" w:color="auto"/>
              <w:left w:val="single" w:sz="4" w:space="0" w:color="auto"/>
              <w:bottom w:val="single" w:sz="4" w:space="0" w:color="auto"/>
              <w:right w:val="single" w:sz="4" w:space="0" w:color="auto"/>
            </w:tcBorders>
            <w:hideMark/>
          </w:tcPr>
          <w:p w14:paraId="725DA0EF" w14:textId="77777777" w:rsidR="006706ED" w:rsidRPr="003A5310" w:rsidRDefault="006706ED" w:rsidP="00147382">
            <w:pPr>
              <w:overflowPunct w:val="0"/>
              <w:autoSpaceDE w:val="0"/>
              <w:autoSpaceDN w:val="0"/>
              <w:adjustRightInd w:val="0"/>
              <w:spacing w:line="276" w:lineRule="auto"/>
              <w:rPr>
                <w:rFonts w:cs="Arial"/>
                <w:lang w:eastAsia="en-AU"/>
              </w:rPr>
            </w:pPr>
            <w:r w:rsidRPr="003A5310">
              <w:rPr>
                <w:rFonts w:cs="Arial"/>
                <w:lang w:eastAsia="en-AU"/>
              </w:rPr>
              <w:t>IV cannula:</w:t>
            </w:r>
          </w:p>
          <w:p w14:paraId="0CF3F23B" w14:textId="77777777" w:rsidR="006706ED" w:rsidRDefault="006706ED" w:rsidP="00147382">
            <w:pPr>
              <w:rPr>
                <w:rFonts w:cs="Arial"/>
                <w:b/>
                <w:lang w:eastAsia="en-AU"/>
              </w:rPr>
            </w:pPr>
            <w:r w:rsidRPr="003A5310">
              <w:rPr>
                <w:rFonts w:cs="Arial"/>
                <w:b/>
                <w:lang w:eastAsia="en-AU"/>
              </w:rPr>
              <w:t>Preferable not overlying a joint to allow for infusion</w:t>
            </w:r>
          </w:p>
          <w:p w14:paraId="05A06939" w14:textId="77777777" w:rsidR="006706ED" w:rsidRDefault="006706ED" w:rsidP="00147382">
            <w:pPr>
              <w:rPr>
                <w:rFonts w:cs="Arial"/>
                <w:b/>
                <w:lang w:eastAsia="en-AU"/>
              </w:rPr>
            </w:pPr>
          </w:p>
          <w:p w14:paraId="75F1747D" w14:textId="77777777" w:rsidR="006706ED" w:rsidRPr="00D363A3" w:rsidRDefault="006706ED" w:rsidP="00147382">
            <w:pPr>
              <w:rPr>
                <w:rFonts w:cs="Arial"/>
              </w:rPr>
            </w:pPr>
          </w:p>
        </w:tc>
      </w:tr>
      <w:tr w:rsidR="006706ED" w:rsidRPr="009412FD" w14:paraId="3D20384F" w14:textId="77777777" w:rsidTr="00147382">
        <w:trPr>
          <w:trHeight w:val="3394"/>
        </w:trPr>
        <w:tc>
          <w:tcPr>
            <w:tcW w:w="2215" w:type="dxa"/>
            <w:tcBorders>
              <w:top w:val="single" w:sz="4" w:space="0" w:color="auto"/>
              <w:left w:val="single" w:sz="4" w:space="0" w:color="auto"/>
              <w:bottom w:val="single" w:sz="4" w:space="0" w:color="auto"/>
              <w:right w:val="single" w:sz="4" w:space="0" w:color="auto"/>
            </w:tcBorders>
          </w:tcPr>
          <w:p w14:paraId="132FAC99" w14:textId="77777777" w:rsidR="006706ED" w:rsidRPr="00D4155A" w:rsidRDefault="006706ED" w:rsidP="00147382">
            <w:pPr>
              <w:rPr>
                <w:rFonts w:cs="Arial"/>
                <w:b/>
                <w:bCs/>
                <w:lang w:eastAsia="en-AU"/>
              </w:rPr>
            </w:pPr>
            <w:r w:rsidRPr="00D4155A">
              <w:rPr>
                <w:rFonts w:cs="Arial"/>
                <w:b/>
                <w:bCs/>
                <w:lang w:eastAsia="en-AU"/>
              </w:rPr>
              <w:lastRenderedPageBreak/>
              <w:t>Pneumonia (community-acquired, moderate severity)</w:t>
            </w:r>
          </w:p>
          <w:p w14:paraId="26FD223B" w14:textId="77777777" w:rsidR="006706ED" w:rsidRPr="00D4155A" w:rsidRDefault="006706ED" w:rsidP="00147382">
            <w:pPr>
              <w:rPr>
                <w:rFonts w:cs="Arial"/>
                <w:b/>
                <w:bCs/>
                <w:lang w:eastAsia="en-AU"/>
              </w:rPr>
            </w:pPr>
          </w:p>
          <w:p w14:paraId="5816F132" w14:textId="77777777" w:rsidR="006706ED" w:rsidRPr="00D4155A" w:rsidRDefault="006706ED" w:rsidP="00147382">
            <w:pPr>
              <w:rPr>
                <w:rFonts w:cs="Arial"/>
                <w:b/>
                <w:bCs/>
                <w:lang w:eastAsia="en-AU"/>
              </w:rPr>
            </w:pPr>
          </w:p>
          <w:p w14:paraId="032FFB1C" w14:textId="77777777" w:rsidR="006706ED" w:rsidRPr="00D4155A" w:rsidRDefault="006706ED" w:rsidP="00147382">
            <w:pPr>
              <w:rPr>
                <w:rFonts w:cs="Arial"/>
                <w:b/>
                <w:bCs/>
                <w:lang w:eastAsia="en-AU"/>
              </w:rPr>
            </w:pPr>
          </w:p>
          <w:p w14:paraId="62C122E2" w14:textId="77777777" w:rsidR="006706ED" w:rsidRPr="00D4155A" w:rsidRDefault="006706ED" w:rsidP="00147382">
            <w:pPr>
              <w:rPr>
                <w:rFonts w:cs="Arial"/>
                <w:b/>
                <w:bCs/>
                <w:lang w:eastAsia="en-AU"/>
              </w:rPr>
            </w:pPr>
          </w:p>
          <w:p w14:paraId="26641D69" w14:textId="77777777" w:rsidR="006706ED" w:rsidRPr="00D4155A" w:rsidRDefault="006706ED" w:rsidP="00147382">
            <w:pPr>
              <w:rPr>
                <w:rFonts w:cs="Arial"/>
                <w:b/>
                <w:bCs/>
                <w:lang w:eastAsia="en-AU"/>
              </w:rPr>
            </w:pPr>
          </w:p>
          <w:p w14:paraId="69C8FF70" w14:textId="77777777" w:rsidR="006706ED" w:rsidRPr="00D4155A" w:rsidRDefault="006706ED" w:rsidP="00147382">
            <w:pPr>
              <w:rPr>
                <w:b/>
                <w:bCs/>
                <w:lang w:eastAsia="en-AU"/>
              </w:rPr>
            </w:pPr>
          </w:p>
        </w:tc>
        <w:tc>
          <w:tcPr>
            <w:tcW w:w="2736" w:type="dxa"/>
            <w:tcBorders>
              <w:top w:val="single" w:sz="4" w:space="0" w:color="auto"/>
              <w:left w:val="single" w:sz="4" w:space="0" w:color="auto"/>
              <w:bottom w:val="single" w:sz="4" w:space="0" w:color="auto"/>
              <w:right w:val="single" w:sz="4" w:space="0" w:color="auto"/>
            </w:tcBorders>
          </w:tcPr>
          <w:p w14:paraId="5EFC51AA" w14:textId="77777777" w:rsidR="006706ED" w:rsidRDefault="006706ED" w:rsidP="00147382">
            <w:pPr>
              <w:rPr>
                <w:rFonts w:cs="Arial"/>
                <w:iCs/>
                <w:lang w:eastAsia="en-AU"/>
              </w:rPr>
            </w:pPr>
            <w:r w:rsidRPr="009412FD">
              <w:rPr>
                <w:rFonts w:cs="Arial"/>
                <w:iCs/>
                <w:lang w:eastAsia="en-AU"/>
              </w:rPr>
              <w:t>Preferred</w:t>
            </w:r>
          </w:p>
          <w:p w14:paraId="10D5C8C4" w14:textId="77777777" w:rsidR="006706ED" w:rsidRDefault="006706ED" w:rsidP="00147382">
            <w:pPr>
              <w:rPr>
                <w:rFonts w:cs="Arial"/>
                <w:lang w:eastAsia="en-AU"/>
              </w:rPr>
            </w:pPr>
            <w:r w:rsidRPr="00110F3A">
              <w:rPr>
                <w:rFonts w:cs="Arial"/>
                <w:color w:val="00B050"/>
                <w:lang w:eastAsia="en-AU"/>
              </w:rPr>
              <w:t>Benzylpenicillin</w:t>
            </w:r>
            <w:r w:rsidRPr="009412FD">
              <w:rPr>
                <w:rFonts w:cs="Arial"/>
                <w:lang w:eastAsia="en-AU"/>
              </w:rPr>
              <w:t xml:space="preserve"> 4.8g</w:t>
            </w:r>
            <w:r>
              <w:rPr>
                <w:rFonts w:cs="Arial"/>
                <w:lang w:eastAsia="en-AU"/>
              </w:rPr>
              <w:t xml:space="preserve"> </w:t>
            </w:r>
            <w:r w:rsidRPr="009412FD">
              <w:rPr>
                <w:rFonts w:cs="Arial"/>
                <w:lang w:eastAsia="en-AU"/>
              </w:rPr>
              <w:t xml:space="preserve">as </w:t>
            </w:r>
          </w:p>
          <w:p w14:paraId="7483D128" w14:textId="77777777" w:rsidR="006706ED" w:rsidRDefault="006706ED" w:rsidP="00147382">
            <w:pPr>
              <w:rPr>
                <w:rFonts w:cs="Arial"/>
                <w:lang w:eastAsia="en-AU"/>
              </w:rPr>
            </w:pPr>
            <w:r w:rsidRPr="009412FD">
              <w:rPr>
                <w:rFonts w:cs="Arial"/>
                <w:lang w:eastAsia="en-AU"/>
              </w:rPr>
              <w:t>24hr infusion</w:t>
            </w:r>
          </w:p>
          <w:p w14:paraId="7FFBD015" w14:textId="77777777" w:rsidR="006706ED" w:rsidRPr="009412FD" w:rsidRDefault="006706ED" w:rsidP="00147382">
            <w:pPr>
              <w:rPr>
                <w:rFonts w:cs="Arial"/>
                <w:lang w:eastAsia="en-AU"/>
              </w:rPr>
            </w:pPr>
            <w:r>
              <w:rPr>
                <w:rFonts w:cs="Arial"/>
                <w:lang w:eastAsia="en-AU"/>
              </w:rPr>
              <w:t>OR</w:t>
            </w:r>
          </w:p>
          <w:p w14:paraId="7A6AACD6" w14:textId="77777777" w:rsidR="006706ED" w:rsidRPr="009412FD" w:rsidRDefault="006706ED" w:rsidP="00147382">
            <w:pPr>
              <w:rPr>
                <w:lang w:eastAsia="en-AU"/>
              </w:rPr>
            </w:pPr>
            <w:r w:rsidRPr="00110F3A">
              <w:rPr>
                <w:rFonts w:cs="Arial"/>
                <w:color w:val="F79646" w:themeColor="accent6"/>
                <w:lang w:eastAsia="en-AU"/>
              </w:rPr>
              <w:t>Ceftriaxone</w:t>
            </w:r>
            <w:r w:rsidRPr="009412FD">
              <w:rPr>
                <w:rFonts w:cs="Arial"/>
                <w:lang w:eastAsia="en-AU"/>
              </w:rPr>
              <w:t xml:space="preserve"> 1 g IV daily</w:t>
            </w:r>
            <w:r>
              <w:rPr>
                <w:rFonts w:cs="Arial"/>
                <w:lang w:eastAsia="en-AU"/>
              </w:rPr>
              <w:t xml:space="preserve"> (only for patients with penicillin allergy or in whom a continuous infusion device may be problematic) </w:t>
            </w:r>
          </w:p>
          <w:p w14:paraId="69758DA5" w14:textId="77777777" w:rsidR="006706ED" w:rsidRPr="009412FD" w:rsidRDefault="006706ED" w:rsidP="00147382">
            <w:pPr>
              <w:rPr>
                <w:rFonts w:cs="Arial"/>
                <w:lang w:eastAsia="en-AU"/>
              </w:rPr>
            </w:pPr>
            <w:r>
              <w:rPr>
                <w:rFonts w:cs="Arial"/>
                <w:lang w:eastAsia="en-AU"/>
              </w:rPr>
              <w:t>WITH</w:t>
            </w:r>
          </w:p>
          <w:p w14:paraId="5DC7CF2D" w14:textId="77777777" w:rsidR="006706ED" w:rsidRPr="009412FD" w:rsidRDefault="006706ED" w:rsidP="00147382">
            <w:pPr>
              <w:rPr>
                <w:rFonts w:cs="Arial"/>
                <w:lang w:eastAsia="en-AU"/>
              </w:rPr>
            </w:pPr>
          </w:p>
          <w:p w14:paraId="5563E230" w14:textId="77777777" w:rsidR="006706ED" w:rsidRDefault="006706ED" w:rsidP="00147382">
            <w:pPr>
              <w:rPr>
                <w:rFonts w:cs="Arial"/>
                <w:lang w:eastAsia="en-AU"/>
              </w:rPr>
            </w:pPr>
            <w:r w:rsidRPr="00110F3A">
              <w:rPr>
                <w:rFonts w:cs="Arial"/>
                <w:color w:val="00B050"/>
                <w:lang w:eastAsia="en-AU"/>
              </w:rPr>
              <w:t>Doxycycline</w:t>
            </w:r>
            <w:r w:rsidRPr="009412FD">
              <w:rPr>
                <w:rFonts w:cs="Arial"/>
                <w:lang w:eastAsia="en-AU"/>
              </w:rPr>
              <w:t xml:space="preserve"> 100mg bd orally </w:t>
            </w:r>
          </w:p>
          <w:p w14:paraId="73E93A67" w14:textId="77777777" w:rsidR="006706ED" w:rsidRDefault="006706ED" w:rsidP="00147382">
            <w:pPr>
              <w:rPr>
                <w:rFonts w:cs="Arial"/>
                <w:lang w:eastAsia="en-AU"/>
              </w:rPr>
            </w:pPr>
          </w:p>
          <w:p w14:paraId="557281FE" w14:textId="77777777" w:rsidR="006706ED" w:rsidRPr="008534EA" w:rsidRDefault="006706ED" w:rsidP="00147382">
            <w:pPr>
              <w:rPr>
                <w:rFonts w:cs="Arial"/>
                <w:lang w:eastAsia="en-AU"/>
              </w:rPr>
            </w:pPr>
            <w:r>
              <w:t xml:space="preserve">Total IV and oral treatment </w:t>
            </w:r>
            <w:r w:rsidRPr="009412FD">
              <w:t>for 7 days</w:t>
            </w:r>
          </w:p>
        </w:tc>
        <w:tc>
          <w:tcPr>
            <w:tcW w:w="3040" w:type="dxa"/>
            <w:tcBorders>
              <w:top w:val="single" w:sz="4" w:space="0" w:color="auto"/>
              <w:left w:val="single" w:sz="4" w:space="0" w:color="auto"/>
              <w:bottom w:val="single" w:sz="4" w:space="0" w:color="auto"/>
              <w:right w:val="single" w:sz="4" w:space="0" w:color="auto"/>
            </w:tcBorders>
          </w:tcPr>
          <w:p w14:paraId="24F1E1CA" w14:textId="77777777" w:rsidR="006706ED" w:rsidRDefault="006706ED" w:rsidP="00147382">
            <w:pPr>
              <w:rPr>
                <w:rFonts w:cs="Arial"/>
                <w:lang w:eastAsia="en-AU"/>
              </w:rPr>
            </w:pPr>
            <w:r w:rsidRPr="009412FD">
              <w:rPr>
                <w:rFonts w:cs="Arial"/>
                <w:lang w:eastAsia="en-AU"/>
              </w:rPr>
              <w:t>Careful patient selection is essential.</w:t>
            </w:r>
          </w:p>
          <w:p w14:paraId="6E6FC72A" w14:textId="77777777" w:rsidR="006706ED" w:rsidRDefault="006706ED" w:rsidP="00147382">
            <w:pPr>
              <w:rPr>
                <w:rFonts w:cs="Arial"/>
                <w:lang w:eastAsia="en-AU"/>
              </w:rPr>
            </w:pPr>
          </w:p>
          <w:p w14:paraId="51388CB8" w14:textId="77777777" w:rsidR="006706ED" w:rsidRDefault="006706ED" w:rsidP="00147382">
            <w:pPr>
              <w:rPr>
                <w:rFonts w:cs="Arial"/>
                <w:lang w:eastAsia="en-AU"/>
              </w:rPr>
            </w:pPr>
            <w:r w:rsidRPr="009412FD">
              <w:rPr>
                <w:rFonts w:cs="Arial"/>
                <w:lang w:eastAsia="en-AU"/>
              </w:rPr>
              <w:t>Ceftriaxone is not the usual first choice for in-hospital care, and few patients require its broad-spectrum activity.</w:t>
            </w:r>
          </w:p>
          <w:p w14:paraId="017B4F6E" w14:textId="77777777" w:rsidR="006706ED" w:rsidRDefault="006706ED" w:rsidP="00147382">
            <w:pPr>
              <w:rPr>
                <w:rFonts w:cs="Arial"/>
                <w:lang w:eastAsia="en-AU"/>
              </w:rPr>
            </w:pPr>
          </w:p>
          <w:p w14:paraId="72A2E79B" w14:textId="77777777" w:rsidR="006706ED" w:rsidRDefault="006706ED" w:rsidP="00147382">
            <w:pPr>
              <w:rPr>
                <w:rFonts w:cs="Arial"/>
                <w:lang w:eastAsia="en-AU"/>
              </w:rPr>
            </w:pPr>
            <w:r w:rsidRPr="009412FD">
              <w:rPr>
                <w:rFonts w:cs="Arial"/>
                <w:lang w:eastAsia="en-AU"/>
              </w:rPr>
              <w:t>Duration of IV therapy is dependent on clinical response</w:t>
            </w:r>
            <w:r>
              <w:rPr>
                <w:rFonts w:cs="Arial"/>
                <w:lang w:eastAsia="en-AU"/>
              </w:rPr>
              <w:t>.</w:t>
            </w:r>
          </w:p>
          <w:p w14:paraId="6E9C0B6F" w14:textId="77777777" w:rsidR="006706ED" w:rsidRDefault="006706ED" w:rsidP="00147382">
            <w:pPr>
              <w:rPr>
                <w:rFonts w:cs="Arial"/>
                <w:lang w:eastAsia="en-AU"/>
              </w:rPr>
            </w:pPr>
          </w:p>
          <w:p w14:paraId="736F9CE1" w14:textId="77777777" w:rsidR="006706ED" w:rsidRDefault="006706ED" w:rsidP="00147382">
            <w:pPr>
              <w:rPr>
                <w:rFonts w:cs="Arial"/>
                <w:lang w:eastAsia="en-AU"/>
              </w:rPr>
            </w:pPr>
            <w:r>
              <w:rPr>
                <w:rFonts w:cs="Arial"/>
                <w:lang w:eastAsia="en-AU"/>
              </w:rPr>
              <w:t>See IV to oral switch chart</w:t>
            </w:r>
            <w:r w:rsidRPr="009412FD">
              <w:rPr>
                <w:rFonts w:cs="Arial"/>
                <w:lang w:eastAsia="en-AU"/>
              </w:rPr>
              <w:t xml:space="preserve">. </w:t>
            </w:r>
          </w:p>
          <w:p w14:paraId="1BE251CF" w14:textId="77777777" w:rsidR="006706ED" w:rsidRDefault="006706ED" w:rsidP="00147382">
            <w:pPr>
              <w:rPr>
                <w:rFonts w:cs="Arial"/>
                <w:lang w:eastAsia="en-AU"/>
              </w:rPr>
            </w:pPr>
          </w:p>
          <w:p w14:paraId="54694598" w14:textId="77777777" w:rsidR="006706ED" w:rsidRDefault="006706ED" w:rsidP="00147382">
            <w:pPr>
              <w:rPr>
                <w:rFonts w:cs="Arial"/>
                <w:lang w:eastAsia="en-AU"/>
              </w:rPr>
            </w:pPr>
            <w:r>
              <w:rPr>
                <w:rFonts w:cs="Arial"/>
                <w:lang w:eastAsia="en-AU"/>
              </w:rPr>
              <w:t>Suggested t</w:t>
            </w:r>
            <w:r w:rsidRPr="009412FD">
              <w:rPr>
                <w:rFonts w:cs="Arial"/>
                <w:lang w:eastAsia="en-AU"/>
              </w:rPr>
              <w:t xml:space="preserve">otal antibiotic therapy </w:t>
            </w:r>
            <w:r>
              <w:rPr>
                <w:rFonts w:cs="Arial"/>
                <w:lang w:eastAsia="en-AU"/>
              </w:rPr>
              <w:t xml:space="preserve">(IV plus PO) </w:t>
            </w:r>
            <w:r w:rsidRPr="009412FD">
              <w:rPr>
                <w:rFonts w:cs="Arial"/>
                <w:lang w:eastAsia="en-AU"/>
              </w:rPr>
              <w:t xml:space="preserve">duration of </w:t>
            </w:r>
            <w:r>
              <w:rPr>
                <w:rFonts w:cs="Arial"/>
                <w:lang w:eastAsia="en-AU"/>
              </w:rPr>
              <w:t>5-7 days</w:t>
            </w:r>
          </w:p>
          <w:p w14:paraId="659FB86D" w14:textId="77777777" w:rsidR="006706ED" w:rsidRDefault="006706ED" w:rsidP="00147382">
            <w:pPr>
              <w:rPr>
                <w:rFonts w:cs="Arial"/>
                <w:lang w:eastAsia="en-AU"/>
              </w:rPr>
            </w:pPr>
          </w:p>
          <w:p w14:paraId="3B731021" w14:textId="77777777" w:rsidR="006706ED" w:rsidRPr="009412FD" w:rsidRDefault="006706ED" w:rsidP="00147382">
            <w:pPr>
              <w:rPr>
                <w:rFonts w:cs="Arial"/>
                <w:lang w:eastAsia="en-AU"/>
              </w:rPr>
            </w:pPr>
            <w:r w:rsidRPr="009412FD">
              <w:rPr>
                <w:rFonts w:cs="Arial"/>
                <w:lang w:eastAsia="en-AU"/>
              </w:rPr>
              <w:t xml:space="preserve">Refer to </w:t>
            </w:r>
            <w:r>
              <w:rPr>
                <w:rFonts w:cs="Arial"/>
                <w:lang w:eastAsia="en-AU"/>
              </w:rPr>
              <w:t>Community Acquired Pneumonia in Adults in Therapeutic Guidelines: Antibiotic</w:t>
            </w:r>
          </w:p>
        </w:tc>
        <w:tc>
          <w:tcPr>
            <w:tcW w:w="2210" w:type="dxa"/>
            <w:tcBorders>
              <w:top w:val="single" w:sz="4" w:space="0" w:color="auto"/>
              <w:left w:val="single" w:sz="4" w:space="0" w:color="auto"/>
              <w:bottom w:val="single" w:sz="4" w:space="0" w:color="auto"/>
              <w:right w:val="single" w:sz="4" w:space="0" w:color="auto"/>
            </w:tcBorders>
          </w:tcPr>
          <w:p w14:paraId="483E965B" w14:textId="77777777" w:rsidR="006706ED" w:rsidRPr="003A5310" w:rsidRDefault="006706ED" w:rsidP="00147382">
            <w:pPr>
              <w:rPr>
                <w:rFonts w:cs="Arial"/>
                <w:lang w:eastAsia="en-AU"/>
              </w:rPr>
            </w:pPr>
            <w:r w:rsidRPr="003A5310">
              <w:rPr>
                <w:rFonts w:cs="Arial"/>
                <w:lang w:eastAsia="en-AU"/>
              </w:rPr>
              <w:t>IV cannula:</w:t>
            </w:r>
          </w:p>
          <w:p w14:paraId="241B0F21" w14:textId="77777777" w:rsidR="006706ED" w:rsidRPr="009412FD" w:rsidRDefault="006706ED" w:rsidP="00147382">
            <w:pPr>
              <w:rPr>
                <w:rFonts w:cs="Arial"/>
                <w:lang w:eastAsia="en-AU"/>
              </w:rPr>
            </w:pPr>
            <w:r w:rsidRPr="003A5310">
              <w:rPr>
                <w:rFonts w:cs="Arial"/>
                <w:b/>
                <w:lang w:eastAsia="en-AU"/>
              </w:rPr>
              <w:t>Preferable not overlying a joint to allow for infusion</w:t>
            </w:r>
          </w:p>
        </w:tc>
      </w:tr>
      <w:tr w:rsidR="006706ED" w:rsidRPr="009412FD" w14:paraId="57CE39C2" w14:textId="77777777" w:rsidTr="00147382">
        <w:tc>
          <w:tcPr>
            <w:tcW w:w="2215" w:type="dxa"/>
            <w:tcBorders>
              <w:top w:val="single" w:sz="4" w:space="0" w:color="auto"/>
              <w:left w:val="single" w:sz="4" w:space="0" w:color="auto"/>
              <w:bottom w:val="single" w:sz="4" w:space="0" w:color="auto"/>
              <w:right w:val="single" w:sz="4" w:space="0" w:color="auto"/>
            </w:tcBorders>
          </w:tcPr>
          <w:p w14:paraId="181D07F1" w14:textId="77777777" w:rsidR="006706ED" w:rsidRPr="00D4155A" w:rsidRDefault="006706ED" w:rsidP="00147382">
            <w:pPr>
              <w:rPr>
                <w:rFonts w:cs="Arial"/>
                <w:b/>
                <w:bCs/>
                <w:lang w:eastAsia="en-AU"/>
              </w:rPr>
            </w:pPr>
            <w:r w:rsidRPr="003A5310">
              <w:rPr>
                <w:rFonts w:cs="Arial"/>
                <w:b/>
                <w:lang w:eastAsia="en-AU"/>
              </w:rPr>
              <w:t>Resistant and Multiresistant bacterial infections MRSA/ESBL</w:t>
            </w:r>
          </w:p>
        </w:tc>
        <w:tc>
          <w:tcPr>
            <w:tcW w:w="2736" w:type="dxa"/>
            <w:tcBorders>
              <w:top w:val="single" w:sz="4" w:space="0" w:color="auto"/>
              <w:left w:val="single" w:sz="4" w:space="0" w:color="auto"/>
              <w:bottom w:val="single" w:sz="4" w:space="0" w:color="auto"/>
              <w:right w:val="single" w:sz="4" w:space="0" w:color="auto"/>
            </w:tcBorders>
          </w:tcPr>
          <w:p w14:paraId="2CC668D7" w14:textId="77777777" w:rsidR="006706ED" w:rsidRPr="003A5310" w:rsidRDefault="006706ED" w:rsidP="00147382">
            <w:pPr>
              <w:overflowPunct w:val="0"/>
              <w:autoSpaceDE w:val="0"/>
              <w:autoSpaceDN w:val="0"/>
              <w:adjustRightInd w:val="0"/>
              <w:spacing w:after="100" w:afterAutospacing="1" w:line="276" w:lineRule="auto"/>
            </w:pPr>
            <w:r w:rsidRPr="003A5310">
              <w:t>Antibiotics indicated as per culture results and require ID approval could include:</w:t>
            </w:r>
          </w:p>
          <w:p w14:paraId="52B0D419" w14:textId="77777777" w:rsidR="006706ED" w:rsidRPr="003A5310" w:rsidRDefault="006706ED" w:rsidP="00147382">
            <w:pPr>
              <w:overflowPunct w:val="0"/>
              <w:autoSpaceDE w:val="0"/>
              <w:autoSpaceDN w:val="0"/>
              <w:adjustRightInd w:val="0"/>
            </w:pPr>
            <w:r w:rsidRPr="003A5310">
              <w:t>Ertapenem</w:t>
            </w:r>
          </w:p>
          <w:p w14:paraId="64C5B4AC" w14:textId="77777777" w:rsidR="006706ED" w:rsidRPr="003A5310" w:rsidRDefault="006706ED" w:rsidP="00147382">
            <w:pPr>
              <w:overflowPunct w:val="0"/>
              <w:autoSpaceDE w:val="0"/>
              <w:autoSpaceDN w:val="0"/>
              <w:adjustRightInd w:val="0"/>
            </w:pPr>
            <w:r w:rsidRPr="003A5310">
              <w:t>Meropenem</w:t>
            </w:r>
            <w:r>
              <w:t xml:space="preserve"> (requires temperature control)</w:t>
            </w:r>
          </w:p>
          <w:p w14:paraId="0FB1126A" w14:textId="77777777" w:rsidR="006706ED" w:rsidRPr="003A5310" w:rsidRDefault="006706ED" w:rsidP="00147382">
            <w:pPr>
              <w:overflowPunct w:val="0"/>
              <w:autoSpaceDE w:val="0"/>
              <w:autoSpaceDN w:val="0"/>
              <w:adjustRightInd w:val="0"/>
            </w:pPr>
            <w:r w:rsidRPr="003A5310">
              <w:t>Vancomycin</w:t>
            </w:r>
          </w:p>
          <w:p w14:paraId="171C1D84" w14:textId="77777777" w:rsidR="006706ED" w:rsidRPr="003A5310" w:rsidRDefault="006706ED" w:rsidP="00147382">
            <w:pPr>
              <w:overflowPunct w:val="0"/>
              <w:autoSpaceDE w:val="0"/>
              <w:autoSpaceDN w:val="0"/>
              <w:adjustRightInd w:val="0"/>
            </w:pPr>
            <w:r w:rsidRPr="003A5310">
              <w:t>Piperacillin</w:t>
            </w:r>
            <w:r>
              <w:t>/T</w:t>
            </w:r>
            <w:r w:rsidRPr="003A5310">
              <w:t>azobactam</w:t>
            </w:r>
          </w:p>
          <w:p w14:paraId="2CA4FC7D" w14:textId="77777777" w:rsidR="006706ED" w:rsidRDefault="006706ED" w:rsidP="00147382">
            <w:r>
              <w:t>Cefepime (requires temperature control)</w:t>
            </w:r>
          </w:p>
        </w:tc>
        <w:tc>
          <w:tcPr>
            <w:tcW w:w="3040" w:type="dxa"/>
            <w:tcBorders>
              <w:top w:val="single" w:sz="4" w:space="0" w:color="auto"/>
              <w:left w:val="single" w:sz="4" w:space="0" w:color="auto"/>
              <w:bottom w:val="single" w:sz="4" w:space="0" w:color="auto"/>
              <w:right w:val="single" w:sz="4" w:space="0" w:color="auto"/>
            </w:tcBorders>
          </w:tcPr>
          <w:p w14:paraId="50770F57" w14:textId="77777777" w:rsidR="006706ED" w:rsidRPr="009412FD" w:rsidRDefault="006706ED" w:rsidP="00147382">
            <w:pPr>
              <w:rPr>
                <w:rFonts w:cs="Arial"/>
                <w:lang w:eastAsia="en-AU"/>
              </w:rPr>
            </w:pPr>
            <w:r>
              <w:rPr>
                <w:rFonts w:cs="Times"/>
                <w:lang w:eastAsia="en-AU"/>
              </w:rPr>
              <w:t>See antibiotic section re Vancomycin levels</w:t>
            </w:r>
          </w:p>
        </w:tc>
        <w:tc>
          <w:tcPr>
            <w:tcW w:w="2210" w:type="dxa"/>
            <w:tcBorders>
              <w:top w:val="single" w:sz="4" w:space="0" w:color="auto"/>
              <w:left w:val="single" w:sz="4" w:space="0" w:color="auto"/>
              <w:bottom w:val="single" w:sz="4" w:space="0" w:color="auto"/>
              <w:right w:val="single" w:sz="4" w:space="0" w:color="auto"/>
            </w:tcBorders>
          </w:tcPr>
          <w:p w14:paraId="029464D6" w14:textId="77777777" w:rsidR="006706ED" w:rsidRDefault="006706ED" w:rsidP="00147382">
            <w:pPr>
              <w:rPr>
                <w:lang w:eastAsia="en-AU"/>
              </w:rPr>
            </w:pPr>
            <w:r>
              <w:rPr>
                <w:lang w:eastAsia="en-AU"/>
              </w:rPr>
              <w:t>Vancomycin req</w:t>
            </w:r>
            <w:r w:rsidRPr="003A5310">
              <w:rPr>
                <w:lang w:eastAsia="en-AU"/>
              </w:rPr>
              <w:t xml:space="preserve">uires a PICC line </w:t>
            </w:r>
            <w:r>
              <w:rPr>
                <w:lang w:eastAsia="en-AU"/>
              </w:rPr>
              <w:t>prior to</w:t>
            </w:r>
            <w:r w:rsidRPr="003A5310">
              <w:rPr>
                <w:lang w:eastAsia="en-AU"/>
              </w:rPr>
              <w:t xml:space="preserve"> patient</w:t>
            </w:r>
            <w:r>
              <w:rPr>
                <w:lang w:eastAsia="en-AU"/>
              </w:rPr>
              <w:t xml:space="preserve"> transfer</w:t>
            </w:r>
            <w:r w:rsidRPr="003A5310">
              <w:rPr>
                <w:lang w:eastAsia="en-AU"/>
              </w:rPr>
              <w:t xml:space="preserve"> to HITH. </w:t>
            </w:r>
          </w:p>
          <w:p w14:paraId="11ED0C42" w14:textId="77777777" w:rsidR="006706ED" w:rsidRDefault="006706ED" w:rsidP="00147382">
            <w:pPr>
              <w:rPr>
                <w:lang w:eastAsia="en-AU"/>
              </w:rPr>
            </w:pPr>
          </w:p>
          <w:p w14:paraId="4DFC0164" w14:textId="77777777" w:rsidR="006706ED" w:rsidRPr="009412FD" w:rsidDel="00A32E40" w:rsidRDefault="006706ED" w:rsidP="00147382">
            <w:pPr>
              <w:rPr>
                <w:rFonts w:cs="Arial"/>
                <w:lang w:eastAsia="en-AU"/>
              </w:rPr>
            </w:pPr>
            <w:r w:rsidRPr="003A5310">
              <w:rPr>
                <w:rFonts w:cs="Arial"/>
                <w:lang w:eastAsia="en-AU"/>
              </w:rPr>
              <w:t>All others can be given via a peripheral line</w:t>
            </w:r>
          </w:p>
        </w:tc>
      </w:tr>
    </w:tbl>
    <w:p w14:paraId="1D8ABEEA" w14:textId="77777777" w:rsidR="006706ED" w:rsidRDefault="006706ED" w:rsidP="006706ED">
      <w:r>
        <w:t xml:space="preserve">                                                                                                                       </w:t>
      </w:r>
    </w:p>
    <w:p w14:paraId="6ECADF03" w14:textId="77777777" w:rsidR="006706ED" w:rsidRDefault="006706ED" w:rsidP="006706ED">
      <w:pPr>
        <w:jc w:val="right"/>
        <w:rPr>
          <w:rStyle w:val="Hyperlink"/>
          <w:rFonts w:cs="Arial"/>
          <w:i/>
          <w:szCs w:val="24"/>
        </w:rPr>
      </w:pPr>
      <w:hyperlink w:anchor="Contents" w:history="1">
        <w:r w:rsidRPr="00590902">
          <w:rPr>
            <w:rStyle w:val="Hyperlink"/>
            <w:rFonts w:cs="Arial"/>
            <w:i/>
            <w:szCs w:val="24"/>
          </w:rPr>
          <w:t>Back to Table of Contents</w:t>
        </w:r>
      </w:hyperlink>
    </w:p>
    <w:p w14:paraId="77DA6548" w14:textId="77777777" w:rsidR="006706ED" w:rsidRDefault="006706ED" w:rsidP="006706ED">
      <w:pPr>
        <w:jc w:val="right"/>
        <w:rPr>
          <w:rStyle w:val="Hyperlink"/>
          <w:rFonts w:cs="Arial"/>
          <w:i/>
        </w:rPr>
      </w:pPr>
    </w:p>
    <w:p w14:paraId="106C6A47" w14:textId="77777777" w:rsidR="006706ED" w:rsidRDefault="006706ED" w:rsidP="006706ED">
      <w:pPr>
        <w:jc w:val="right"/>
        <w:rPr>
          <w:rStyle w:val="Hyperlink"/>
          <w:rFonts w:cs="Arial"/>
          <w:i/>
        </w:rPr>
      </w:pPr>
    </w:p>
    <w:p w14:paraId="2A35E7A8" w14:textId="77777777" w:rsidR="006706ED" w:rsidRDefault="006706ED" w:rsidP="006706ED">
      <w:pPr>
        <w:jc w:val="right"/>
        <w:rPr>
          <w:rStyle w:val="Hyperlink"/>
          <w:rFonts w:cs="Arial"/>
          <w:i/>
        </w:rPr>
      </w:pPr>
    </w:p>
    <w:p w14:paraId="7104E4E8" w14:textId="77777777" w:rsidR="006706ED" w:rsidRPr="005A4DB7" w:rsidRDefault="006706ED" w:rsidP="006706ED">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6706ED" w:rsidRPr="00CD1C0E" w14:paraId="041388F5" w14:textId="77777777" w:rsidTr="00147382">
        <w:trPr>
          <w:cantSplit/>
          <w:trHeight w:val="285"/>
        </w:trPr>
        <w:tc>
          <w:tcPr>
            <w:tcW w:w="9158" w:type="dxa"/>
            <w:shd w:val="clear" w:color="auto" w:fill="A6A6A6" w:themeFill="background1" w:themeFillShade="A6"/>
          </w:tcPr>
          <w:p w14:paraId="63CE800E" w14:textId="77777777" w:rsidR="006706ED" w:rsidRPr="003D2D06" w:rsidRDefault="006706ED" w:rsidP="00147382">
            <w:pPr>
              <w:pStyle w:val="Heading1"/>
            </w:pPr>
            <w:bookmarkStart w:id="25" w:name="_Toc112678510"/>
            <w:r>
              <w:lastRenderedPageBreak/>
              <w:t>Section 3 – How to Administer IV Antimicrobials Commonly Prescribed in HITH</w:t>
            </w:r>
            <w:bookmarkEnd w:id="25"/>
            <w:r>
              <w:t xml:space="preserve"> </w:t>
            </w:r>
          </w:p>
        </w:tc>
      </w:tr>
    </w:tbl>
    <w:p w14:paraId="7C79D9BF" w14:textId="77777777" w:rsidR="006706ED" w:rsidRDefault="006706ED" w:rsidP="006706ED"/>
    <w:p w14:paraId="69A35DCF" w14:textId="77777777" w:rsidR="006706ED" w:rsidRPr="00EE3C3F" w:rsidRDefault="006706ED" w:rsidP="006706ED">
      <w:pPr>
        <w:pStyle w:val="ListBullet"/>
      </w:pPr>
      <w:r>
        <w:t>As per the table below, the dosages are indicative only, further reference needs to be made to the indication, infection severity and drug excretion.</w:t>
      </w:r>
    </w:p>
    <w:p w14:paraId="3B52BDEB" w14:textId="77777777" w:rsidR="006706ED" w:rsidRPr="009412FD" w:rsidRDefault="006706ED" w:rsidP="006706ED">
      <w:pPr>
        <w:pStyle w:val="ListBullet"/>
      </w:pPr>
      <w:r>
        <w:t>For further detail, refer to</w:t>
      </w:r>
      <w:r w:rsidRPr="009412FD">
        <w:t xml:space="preserve"> the </w:t>
      </w:r>
      <w:r>
        <w:t xml:space="preserve">Australian Injectable Drugs Handbook </w:t>
      </w:r>
      <w:hyperlink r:id="rId16" w:history="1">
        <w:r>
          <w:rPr>
            <w:rStyle w:val="Hyperlink"/>
          </w:rPr>
          <w:t>AIDH - ABOUT AIDH (hcn.com.au)</w:t>
        </w:r>
      </w:hyperlink>
      <w:r>
        <w:t xml:space="preserve"> or Community Based Parenteral Antimicrobial Therapy section in Therapeutic Guidelines: Antibiotic (see </w:t>
      </w:r>
      <w:hyperlink r:id="rId17" w:history="1">
        <w:r>
          <w:rPr>
            <w:rStyle w:val="Hyperlink"/>
          </w:rPr>
          <w:t>Therapeutic Guidelines Home | Therapeutic Guidelines (tg.org.au)</w:t>
        </w:r>
      </w:hyperlink>
      <w:r>
        <w:t xml:space="preserve">), </w:t>
      </w:r>
      <w:r w:rsidRPr="009412FD">
        <w:t>or the ward pharmacist. Baxter medicines information can also provide specific advice</w:t>
      </w:r>
      <w:r>
        <w:t>.</w:t>
      </w:r>
    </w:p>
    <w:p w14:paraId="704CB38A" w14:textId="77777777" w:rsidR="006706ED" w:rsidRPr="00D363A3" w:rsidRDefault="006706ED" w:rsidP="006706ED">
      <w:pPr>
        <w:pStyle w:val="ListBullet"/>
      </w:pPr>
      <w:r w:rsidRPr="00ED3AAC">
        <w:rPr>
          <w:rFonts w:cs="GillSans-Light"/>
          <w:lang w:eastAsia="en-AU"/>
        </w:rPr>
        <w:t>Continuous infusion of beta-lactam</w:t>
      </w:r>
      <w:r w:rsidRPr="009412FD">
        <w:t xml:space="preserve"> </w:t>
      </w:r>
      <w:r w:rsidRPr="00ED3AAC">
        <w:rPr>
          <w:rFonts w:cs="GillSans-Light"/>
          <w:lang w:eastAsia="en-AU"/>
        </w:rPr>
        <w:t>antimicrobials has been widely promoted</w:t>
      </w:r>
      <w:r w:rsidRPr="009412FD">
        <w:t xml:space="preserve"> </w:t>
      </w:r>
      <w:r w:rsidRPr="00ED3AAC">
        <w:rPr>
          <w:rFonts w:cs="GillSans-Light"/>
          <w:lang w:eastAsia="en-AU"/>
        </w:rPr>
        <w:t>to optimise their time-dependent</w:t>
      </w:r>
      <w:r w:rsidRPr="009412FD">
        <w:t xml:space="preserve"> bactericidal </w:t>
      </w:r>
      <w:r w:rsidRPr="00ED3AAC">
        <w:rPr>
          <w:rFonts w:cs="GillSans-Light"/>
          <w:lang w:eastAsia="en-AU"/>
        </w:rPr>
        <w:t>activity. A number of these can be given via peripheral cannula e.g. cefazolin, buffered benzylpenicillin and piperacillin-tazobactam</w:t>
      </w:r>
    </w:p>
    <w:p w14:paraId="4990A6CC" w14:textId="77777777" w:rsidR="006706ED" w:rsidRPr="00ED3AAC" w:rsidRDefault="006706ED" w:rsidP="006706ED">
      <w:pPr>
        <w:pStyle w:val="ListBullet"/>
      </w:pPr>
      <w:r w:rsidRPr="00ED3AAC">
        <w:rPr>
          <w:rFonts w:cs="GillSans-Light"/>
          <w:lang w:eastAsia="en-AU"/>
        </w:rPr>
        <w:t>If continuous infusions are to be made, please liaise with pharmacy as soon as possible, as this will need to be included in their daily schedule of IV product preparation</w:t>
      </w:r>
      <w:r>
        <w:rPr>
          <w:rFonts w:cs="GillSans-Light"/>
          <w:lang w:eastAsia="en-AU"/>
        </w:rPr>
        <w:t xml:space="preserve"> and/or to make up infusions in time for patient discharge the same day. At NCH, the HITH nurse prepares elastomeric infusors if required e.g. Vancomycin. </w:t>
      </w:r>
    </w:p>
    <w:p w14:paraId="4D5BCF14" w14:textId="77777777" w:rsidR="006706ED" w:rsidRDefault="006706ED" w:rsidP="006706ED">
      <w:pPr>
        <w:pStyle w:val="ListBullet"/>
        <w:numPr>
          <w:ilvl w:val="0"/>
          <w:numId w:val="0"/>
        </w:numPr>
        <w:ind w:left="426" w:hanging="426"/>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6080"/>
      </w:tblGrid>
      <w:tr w:rsidR="006706ED" w:rsidRPr="009412FD" w14:paraId="4B970E87" w14:textId="77777777" w:rsidTr="00147382">
        <w:tc>
          <w:tcPr>
            <w:tcW w:w="2987" w:type="dxa"/>
            <w:tcBorders>
              <w:top w:val="single" w:sz="4" w:space="0" w:color="auto"/>
              <w:left w:val="single" w:sz="4" w:space="0" w:color="auto"/>
              <w:bottom w:val="single" w:sz="4" w:space="0" w:color="auto"/>
              <w:right w:val="single" w:sz="4" w:space="0" w:color="auto"/>
            </w:tcBorders>
            <w:hideMark/>
          </w:tcPr>
          <w:p w14:paraId="56240C7A" w14:textId="77777777" w:rsidR="006706ED" w:rsidRPr="009412FD" w:rsidRDefault="006706ED" w:rsidP="00147382">
            <w:pPr>
              <w:overflowPunct w:val="0"/>
              <w:autoSpaceDE w:val="0"/>
              <w:autoSpaceDN w:val="0"/>
              <w:adjustRightInd w:val="0"/>
              <w:spacing w:line="276" w:lineRule="auto"/>
              <w:rPr>
                <w:b/>
              </w:rPr>
            </w:pPr>
            <w:r>
              <w:rPr>
                <w:b/>
              </w:rPr>
              <w:t>Antimicrobial</w:t>
            </w:r>
          </w:p>
        </w:tc>
        <w:tc>
          <w:tcPr>
            <w:tcW w:w="6080" w:type="dxa"/>
            <w:tcBorders>
              <w:top w:val="single" w:sz="4" w:space="0" w:color="auto"/>
              <w:left w:val="single" w:sz="4" w:space="0" w:color="auto"/>
              <w:bottom w:val="single" w:sz="4" w:space="0" w:color="auto"/>
              <w:right w:val="single" w:sz="4" w:space="0" w:color="auto"/>
            </w:tcBorders>
            <w:hideMark/>
          </w:tcPr>
          <w:p w14:paraId="3FFF98D6" w14:textId="77777777" w:rsidR="006706ED" w:rsidRPr="009412FD" w:rsidRDefault="006706ED" w:rsidP="00147382">
            <w:pPr>
              <w:overflowPunct w:val="0"/>
              <w:autoSpaceDE w:val="0"/>
              <w:autoSpaceDN w:val="0"/>
              <w:adjustRightInd w:val="0"/>
              <w:spacing w:line="276" w:lineRule="auto"/>
              <w:rPr>
                <w:b/>
              </w:rPr>
            </w:pPr>
            <w:r>
              <w:rPr>
                <w:b/>
              </w:rPr>
              <w:t>Administration Options</w:t>
            </w:r>
          </w:p>
        </w:tc>
      </w:tr>
      <w:tr w:rsidR="006706ED" w:rsidRPr="009412FD" w14:paraId="7920A664" w14:textId="77777777" w:rsidTr="00147382">
        <w:tc>
          <w:tcPr>
            <w:tcW w:w="2987" w:type="dxa"/>
            <w:tcBorders>
              <w:top w:val="single" w:sz="4" w:space="0" w:color="auto"/>
              <w:left w:val="single" w:sz="4" w:space="0" w:color="auto"/>
              <w:bottom w:val="single" w:sz="4" w:space="0" w:color="auto"/>
              <w:right w:val="single" w:sz="4" w:space="0" w:color="auto"/>
            </w:tcBorders>
            <w:hideMark/>
          </w:tcPr>
          <w:p w14:paraId="7D152123" w14:textId="77777777" w:rsidR="006706ED" w:rsidRPr="009412FD" w:rsidRDefault="006706ED" w:rsidP="00147382">
            <w:pPr>
              <w:overflowPunct w:val="0"/>
              <w:autoSpaceDE w:val="0"/>
              <w:autoSpaceDN w:val="0"/>
              <w:adjustRightInd w:val="0"/>
              <w:spacing w:line="276" w:lineRule="auto"/>
            </w:pPr>
            <w:r w:rsidRPr="00B625B6">
              <w:rPr>
                <w:color w:val="00B050"/>
              </w:rPr>
              <w:t>Cefazolin</w:t>
            </w:r>
            <w:r w:rsidRPr="009412FD">
              <w:t xml:space="preserve"> *</w:t>
            </w:r>
          </w:p>
        </w:tc>
        <w:tc>
          <w:tcPr>
            <w:tcW w:w="6080" w:type="dxa"/>
            <w:tcBorders>
              <w:top w:val="single" w:sz="4" w:space="0" w:color="auto"/>
              <w:left w:val="single" w:sz="4" w:space="0" w:color="auto"/>
              <w:bottom w:val="single" w:sz="4" w:space="0" w:color="auto"/>
              <w:right w:val="single" w:sz="4" w:space="0" w:color="auto"/>
            </w:tcBorders>
            <w:hideMark/>
          </w:tcPr>
          <w:p w14:paraId="2EA54296" w14:textId="77777777" w:rsidR="006706ED" w:rsidRDefault="006706ED" w:rsidP="00147382">
            <w:pPr>
              <w:overflowPunct w:val="0"/>
              <w:autoSpaceDE w:val="0"/>
              <w:autoSpaceDN w:val="0"/>
              <w:adjustRightInd w:val="0"/>
              <w:spacing w:line="276" w:lineRule="auto"/>
            </w:pPr>
            <w:r w:rsidRPr="00B06E8E">
              <w:rPr>
                <w:b/>
                <w:bCs/>
              </w:rPr>
              <w:t>Continu</w:t>
            </w:r>
            <w:r>
              <w:rPr>
                <w:b/>
                <w:bCs/>
              </w:rPr>
              <w:t>ou</w:t>
            </w:r>
            <w:r w:rsidRPr="00B06E8E">
              <w:rPr>
                <w:b/>
                <w:bCs/>
              </w:rPr>
              <w:t>s infusion</w:t>
            </w:r>
            <w:r>
              <w:t xml:space="preserve"> 4-8g over 24 hours, </w:t>
            </w:r>
            <w:r w:rsidRPr="009412FD">
              <w:t>2</w:t>
            </w:r>
            <w:r>
              <w:t>-3</w:t>
            </w:r>
            <w:r w:rsidRPr="009412FD">
              <w:t xml:space="preserve">g bd </w:t>
            </w:r>
            <w:r w:rsidRPr="006C32E2">
              <w:t>as</w:t>
            </w:r>
            <w:r w:rsidRPr="00306DFB">
              <w:rPr>
                <w:b/>
              </w:rPr>
              <w:t xml:space="preserve"> slow push</w:t>
            </w:r>
            <w:r w:rsidRPr="009412FD">
              <w:t xml:space="preserve"> (3-5 minutes) or 2g daily if given with probenecid 1g PO 30 min prior</w:t>
            </w:r>
            <w:r>
              <w:t xml:space="preserve"> (if no contraindication to Probenecid)</w:t>
            </w:r>
          </w:p>
          <w:p w14:paraId="14F84C89" w14:textId="77777777" w:rsidR="006706ED" w:rsidRDefault="006706ED" w:rsidP="00147382">
            <w:pPr>
              <w:overflowPunct w:val="0"/>
              <w:autoSpaceDE w:val="0"/>
              <w:autoSpaceDN w:val="0"/>
              <w:adjustRightInd w:val="0"/>
              <w:spacing w:line="276" w:lineRule="auto"/>
            </w:pPr>
          </w:p>
          <w:p w14:paraId="149CE7A8" w14:textId="77777777" w:rsidR="006706ED" w:rsidRDefault="006706ED" w:rsidP="00147382">
            <w:pPr>
              <w:overflowPunct w:val="0"/>
              <w:autoSpaceDE w:val="0"/>
              <w:autoSpaceDN w:val="0"/>
              <w:adjustRightInd w:val="0"/>
              <w:spacing w:line="276" w:lineRule="auto"/>
            </w:pPr>
            <w:r>
              <w:t>Usual 24 hour infusion dose is 6g but may give Cefazolin 8g over 24 hours in obese patients with severe infection or where BMI&gt;60 (per ‘Drug Dosing in Obesity Volume1: Antimicrobials’) or upon recommendation of ID or AMS)</w:t>
            </w:r>
            <w:r w:rsidRPr="009412FD">
              <w:t xml:space="preserve"> </w:t>
            </w:r>
          </w:p>
          <w:p w14:paraId="626FE13C" w14:textId="77777777" w:rsidR="006706ED" w:rsidRPr="00071548" w:rsidRDefault="006706ED" w:rsidP="00147382">
            <w:pPr>
              <w:overflowPunct w:val="0"/>
              <w:autoSpaceDE w:val="0"/>
              <w:autoSpaceDN w:val="0"/>
              <w:adjustRightInd w:val="0"/>
              <w:spacing w:line="276" w:lineRule="auto"/>
              <w:rPr>
                <w:b/>
                <w:bCs/>
              </w:rPr>
            </w:pPr>
          </w:p>
        </w:tc>
      </w:tr>
      <w:tr w:rsidR="006706ED" w:rsidRPr="009412FD" w14:paraId="5BF19AC9" w14:textId="77777777" w:rsidTr="00147382">
        <w:tc>
          <w:tcPr>
            <w:tcW w:w="2987" w:type="dxa"/>
            <w:tcBorders>
              <w:top w:val="single" w:sz="4" w:space="0" w:color="auto"/>
              <w:left w:val="single" w:sz="4" w:space="0" w:color="auto"/>
              <w:bottom w:val="single" w:sz="4" w:space="0" w:color="auto"/>
              <w:right w:val="single" w:sz="4" w:space="0" w:color="auto"/>
            </w:tcBorders>
          </w:tcPr>
          <w:p w14:paraId="749C443C" w14:textId="77777777" w:rsidR="006706ED" w:rsidRPr="00B625B6" w:rsidRDefault="006706ED" w:rsidP="00147382">
            <w:pPr>
              <w:overflowPunct w:val="0"/>
              <w:autoSpaceDE w:val="0"/>
              <w:autoSpaceDN w:val="0"/>
              <w:adjustRightInd w:val="0"/>
              <w:spacing w:line="276" w:lineRule="auto"/>
              <w:rPr>
                <w:color w:val="00B050"/>
              </w:rPr>
            </w:pPr>
            <w:r w:rsidRPr="00B625B6">
              <w:rPr>
                <w:color w:val="00B050"/>
              </w:rPr>
              <w:t>Benzylpenicillin</w:t>
            </w:r>
            <w:r w:rsidRPr="009412FD">
              <w:t>*</w:t>
            </w:r>
          </w:p>
        </w:tc>
        <w:tc>
          <w:tcPr>
            <w:tcW w:w="6080" w:type="dxa"/>
            <w:tcBorders>
              <w:top w:val="single" w:sz="4" w:space="0" w:color="auto"/>
              <w:left w:val="single" w:sz="4" w:space="0" w:color="auto"/>
              <w:bottom w:val="single" w:sz="4" w:space="0" w:color="auto"/>
              <w:right w:val="single" w:sz="4" w:space="0" w:color="auto"/>
            </w:tcBorders>
          </w:tcPr>
          <w:p w14:paraId="29F2A005" w14:textId="77777777" w:rsidR="006706ED" w:rsidRPr="009412FD" w:rsidRDefault="006706ED" w:rsidP="00147382">
            <w:pPr>
              <w:overflowPunct w:val="0"/>
              <w:autoSpaceDE w:val="0"/>
              <w:autoSpaceDN w:val="0"/>
              <w:adjustRightInd w:val="0"/>
              <w:spacing w:line="276" w:lineRule="auto"/>
            </w:pPr>
            <w:r w:rsidRPr="00306DFB">
              <w:rPr>
                <w:b/>
              </w:rPr>
              <w:t xml:space="preserve">24 hr continuous infusion </w:t>
            </w:r>
            <w:r w:rsidRPr="006C32E2">
              <w:t>possible</w:t>
            </w:r>
            <w:r w:rsidRPr="009412FD">
              <w:t xml:space="preserve"> – needs to be formulated in buffer solution to increase stability.  Usual dose 4.8 to 14.4g over 24 hours </w:t>
            </w:r>
            <w:r>
              <w:t>dependant on clinical diagnosis</w:t>
            </w:r>
          </w:p>
        </w:tc>
      </w:tr>
      <w:tr w:rsidR="006706ED" w:rsidRPr="009412FD" w14:paraId="54188815" w14:textId="77777777" w:rsidTr="00147382">
        <w:tc>
          <w:tcPr>
            <w:tcW w:w="2987" w:type="dxa"/>
            <w:tcBorders>
              <w:top w:val="single" w:sz="4" w:space="0" w:color="auto"/>
              <w:left w:val="single" w:sz="4" w:space="0" w:color="auto"/>
              <w:bottom w:val="single" w:sz="4" w:space="0" w:color="auto"/>
              <w:right w:val="single" w:sz="4" w:space="0" w:color="auto"/>
            </w:tcBorders>
          </w:tcPr>
          <w:p w14:paraId="5ECBE8FC" w14:textId="77777777" w:rsidR="006706ED" w:rsidRPr="009412FD" w:rsidRDefault="006706ED" w:rsidP="00147382">
            <w:pPr>
              <w:overflowPunct w:val="0"/>
              <w:autoSpaceDE w:val="0"/>
              <w:autoSpaceDN w:val="0"/>
              <w:adjustRightInd w:val="0"/>
              <w:spacing w:line="276" w:lineRule="auto"/>
            </w:pPr>
            <w:r w:rsidRPr="00B625B6">
              <w:rPr>
                <w:color w:val="00B050"/>
              </w:rPr>
              <w:t>Flucloxacillin</w:t>
            </w:r>
            <w:r w:rsidRPr="009412FD">
              <w:t>*</w:t>
            </w:r>
          </w:p>
          <w:p w14:paraId="4FB5EED4" w14:textId="77777777" w:rsidR="006706ED" w:rsidRDefault="006706ED" w:rsidP="00147382">
            <w:pPr>
              <w:overflowPunct w:val="0"/>
              <w:autoSpaceDE w:val="0"/>
              <w:autoSpaceDN w:val="0"/>
              <w:adjustRightInd w:val="0"/>
              <w:spacing w:line="276" w:lineRule="auto"/>
              <w:rPr>
                <w:b/>
                <w:i/>
              </w:rPr>
            </w:pPr>
            <w:r w:rsidRPr="00C30DE1">
              <w:rPr>
                <w:b/>
                <w:i/>
              </w:rPr>
              <w:t>Central IV access required</w:t>
            </w:r>
            <w:r>
              <w:rPr>
                <w:b/>
                <w:i/>
              </w:rPr>
              <w:t xml:space="preserve"> prior to transfer to HITH </w:t>
            </w:r>
          </w:p>
          <w:p w14:paraId="11980858" w14:textId="77777777" w:rsidR="006706ED" w:rsidRPr="00B625B6" w:rsidRDefault="006706ED" w:rsidP="00147382">
            <w:pPr>
              <w:overflowPunct w:val="0"/>
              <w:autoSpaceDE w:val="0"/>
              <w:autoSpaceDN w:val="0"/>
              <w:adjustRightInd w:val="0"/>
              <w:spacing w:line="276" w:lineRule="auto"/>
              <w:rPr>
                <w:color w:val="00B050"/>
              </w:rPr>
            </w:pPr>
            <w:r w:rsidRPr="00750CB6">
              <w:rPr>
                <w:i/>
              </w:rPr>
              <w:t>(high phlebitis incidence)</w:t>
            </w:r>
          </w:p>
        </w:tc>
        <w:tc>
          <w:tcPr>
            <w:tcW w:w="6080" w:type="dxa"/>
            <w:tcBorders>
              <w:top w:val="single" w:sz="4" w:space="0" w:color="auto"/>
              <w:left w:val="single" w:sz="4" w:space="0" w:color="auto"/>
              <w:bottom w:val="single" w:sz="4" w:space="0" w:color="auto"/>
              <w:right w:val="single" w:sz="4" w:space="0" w:color="auto"/>
            </w:tcBorders>
          </w:tcPr>
          <w:p w14:paraId="1084DCD5" w14:textId="77777777" w:rsidR="006706ED" w:rsidRPr="00306DFB" w:rsidRDefault="006706ED" w:rsidP="00147382">
            <w:pPr>
              <w:overflowPunct w:val="0"/>
              <w:autoSpaceDE w:val="0"/>
              <w:autoSpaceDN w:val="0"/>
              <w:adjustRightInd w:val="0"/>
              <w:spacing w:line="276" w:lineRule="auto"/>
              <w:rPr>
                <w:b/>
              </w:rPr>
            </w:pPr>
            <w:r w:rsidRPr="009412FD">
              <w:t xml:space="preserve">8-12g dose can be given by </w:t>
            </w:r>
            <w:r w:rsidRPr="00306DFB">
              <w:rPr>
                <w:b/>
              </w:rPr>
              <w:t>24</w:t>
            </w:r>
            <w:r>
              <w:rPr>
                <w:b/>
              </w:rPr>
              <w:t>-</w:t>
            </w:r>
            <w:r w:rsidRPr="00306DFB">
              <w:rPr>
                <w:b/>
              </w:rPr>
              <w:t>hour infusion</w:t>
            </w:r>
            <w:r w:rsidRPr="009412FD">
              <w:t xml:space="preserve"> </w:t>
            </w:r>
            <w:r>
              <w:t xml:space="preserve">if a buffered solution </w:t>
            </w:r>
            <w:r w:rsidRPr="009412FD">
              <w:t>(normally 2g qid dosing otherwise)</w:t>
            </w:r>
          </w:p>
        </w:tc>
      </w:tr>
      <w:tr w:rsidR="006706ED" w:rsidRPr="009412FD" w14:paraId="43228A15" w14:textId="77777777" w:rsidTr="00147382">
        <w:tc>
          <w:tcPr>
            <w:tcW w:w="2987" w:type="dxa"/>
            <w:tcBorders>
              <w:top w:val="single" w:sz="4" w:space="0" w:color="auto"/>
              <w:left w:val="single" w:sz="4" w:space="0" w:color="auto"/>
              <w:bottom w:val="single" w:sz="4" w:space="0" w:color="auto"/>
              <w:right w:val="single" w:sz="4" w:space="0" w:color="auto"/>
            </w:tcBorders>
            <w:hideMark/>
          </w:tcPr>
          <w:p w14:paraId="4C296A04" w14:textId="77777777" w:rsidR="006706ED" w:rsidRPr="009412FD" w:rsidRDefault="006706ED" w:rsidP="00147382">
            <w:pPr>
              <w:overflowPunct w:val="0"/>
              <w:autoSpaceDE w:val="0"/>
              <w:autoSpaceDN w:val="0"/>
              <w:adjustRightInd w:val="0"/>
              <w:spacing w:line="276" w:lineRule="auto"/>
            </w:pPr>
            <w:r w:rsidRPr="00B625B6">
              <w:rPr>
                <w:color w:val="F79646" w:themeColor="accent6"/>
              </w:rPr>
              <w:t>Ceftriaxone</w:t>
            </w:r>
            <w:r w:rsidRPr="009412FD">
              <w:t xml:space="preserve"> #</w:t>
            </w:r>
          </w:p>
        </w:tc>
        <w:tc>
          <w:tcPr>
            <w:tcW w:w="6080" w:type="dxa"/>
            <w:tcBorders>
              <w:top w:val="single" w:sz="4" w:space="0" w:color="auto"/>
              <w:left w:val="single" w:sz="4" w:space="0" w:color="auto"/>
              <w:bottom w:val="single" w:sz="4" w:space="0" w:color="auto"/>
              <w:right w:val="single" w:sz="4" w:space="0" w:color="auto"/>
            </w:tcBorders>
            <w:hideMark/>
          </w:tcPr>
          <w:p w14:paraId="6BD4F3DE" w14:textId="77777777" w:rsidR="006706ED" w:rsidRPr="009412FD" w:rsidRDefault="006706ED" w:rsidP="00147382">
            <w:pPr>
              <w:overflowPunct w:val="0"/>
              <w:autoSpaceDE w:val="0"/>
              <w:autoSpaceDN w:val="0"/>
              <w:adjustRightInd w:val="0"/>
              <w:spacing w:line="276" w:lineRule="auto"/>
            </w:pPr>
            <w:r w:rsidRPr="009412FD">
              <w:t xml:space="preserve">1g daily dose given by </w:t>
            </w:r>
            <w:r w:rsidRPr="006C32E2">
              <w:rPr>
                <w:b/>
              </w:rPr>
              <w:t>slow push</w:t>
            </w:r>
            <w:r w:rsidRPr="009412FD">
              <w:t xml:space="preserve"> (2-4 minutes), 2g dose </w:t>
            </w:r>
            <w:r w:rsidRPr="006C32E2">
              <w:rPr>
                <w:b/>
              </w:rPr>
              <w:t>infused</w:t>
            </w:r>
            <w:r w:rsidRPr="009412FD">
              <w:t xml:space="preserve"> </w:t>
            </w:r>
            <w:r w:rsidRPr="004B6BFF">
              <w:rPr>
                <w:b/>
                <w:bCs/>
              </w:rPr>
              <w:t>over 30 minutes</w:t>
            </w:r>
            <w:r>
              <w:rPr>
                <w:b/>
                <w:bCs/>
              </w:rPr>
              <w:t xml:space="preserve"> </w:t>
            </w:r>
            <w:r w:rsidRPr="00071548">
              <w:t>(generally in the setting of bacteraemia)</w:t>
            </w:r>
            <w:r>
              <w:t xml:space="preserve"> May be required twice a day for some diagnoses</w:t>
            </w:r>
          </w:p>
          <w:p w14:paraId="639C7260" w14:textId="77777777" w:rsidR="006706ED" w:rsidRDefault="006706ED" w:rsidP="00147382">
            <w:pPr>
              <w:overflowPunct w:val="0"/>
              <w:autoSpaceDE w:val="0"/>
              <w:autoSpaceDN w:val="0"/>
              <w:adjustRightInd w:val="0"/>
              <w:spacing w:line="276" w:lineRule="auto"/>
            </w:pPr>
          </w:p>
          <w:p w14:paraId="03DCA7EB" w14:textId="77777777" w:rsidR="006706ED" w:rsidRPr="009412FD" w:rsidRDefault="006706ED" w:rsidP="00147382">
            <w:pPr>
              <w:overflowPunct w:val="0"/>
              <w:autoSpaceDE w:val="0"/>
              <w:autoSpaceDN w:val="0"/>
              <w:adjustRightInd w:val="0"/>
              <w:spacing w:line="276" w:lineRule="auto"/>
            </w:pPr>
            <w:r w:rsidRPr="009412FD">
              <w:lastRenderedPageBreak/>
              <w:t xml:space="preserve">1g can be given </w:t>
            </w:r>
            <w:r w:rsidRPr="006C32E2">
              <w:rPr>
                <w:b/>
              </w:rPr>
              <w:t>IM</w:t>
            </w:r>
            <w:r>
              <w:rPr>
                <w:b/>
              </w:rPr>
              <w:t xml:space="preserve"> </w:t>
            </w:r>
            <w:r w:rsidRPr="00071548">
              <w:rPr>
                <w:bCs/>
              </w:rPr>
              <w:t>(although this is rarely required)</w:t>
            </w:r>
            <w:r w:rsidRPr="009412FD">
              <w:t xml:space="preserve"> – use lignocaine to reconstitute</w:t>
            </w:r>
          </w:p>
        </w:tc>
      </w:tr>
      <w:tr w:rsidR="006706ED" w:rsidRPr="009412FD" w14:paraId="29F42D69" w14:textId="77777777" w:rsidTr="00147382">
        <w:tc>
          <w:tcPr>
            <w:tcW w:w="2987" w:type="dxa"/>
            <w:tcBorders>
              <w:top w:val="single" w:sz="4" w:space="0" w:color="auto"/>
              <w:left w:val="single" w:sz="4" w:space="0" w:color="auto"/>
              <w:bottom w:val="single" w:sz="4" w:space="0" w:color="auto"/>
              <w:right w:val="single" w:sz="4" w:space="0" w:color="auto"/>
            </w:tcBorders>
            <w:hideMark/>
          </w:tcPr>
          <w:p w14:paraId="1F182BCF" w14:textId="77777777" w:rsidR="006706ED" w:rsidRPr="009D795D" w:rsidRDefault="006706ED" w:rsidP="00147382">
            <w:pPr>
              <w:overflowPunct w:val="0"/>
              <w:autoSpaceDE w:val="0"/>
              <w:autoSpaceDN w:val="0"/>
              <w:adjustRightInd w:val="0"/>
              <w:spacing w:line="276" w:lineRule="auto"/>
              <w:rPr>
                <w:szCs w:val="24"/>
              </w:rPr>
            </w:pPr>
            <w:r w:rsidRPr="005D747C">
              <w:rPr>
                <w:color w:val="00B050"/>
                <w:szCs w:val="24"/>
              </w:rPr>
              <w:lastRenderedPageBreak/>
              <w:t xml:space="preserve">Gentamicin </w:t>
            </w:r>
            <w:r w:rsidRPr="009D795D">
              <w:rPr>
                <w:szCs w:val="24"/>
              </w:rPr>
              <w:t xml:space="preserve">** </w:t>
            </w:r>
          </w:p>
          <w:p w14:paraId="7D55786A" w14:textId="77777777" w:rsidR="006706ED" w:rsidRDefault="006706ED" w:rsidP="00147382">
            <w:pPr>
              <w:pStyle w:val="CommentText"/>
              <w:rPr>
                <w:sz w:val="24"/>
                <w:szCs w:val="24"/>
              </w:rPr>
            </w:pPr>
            <w:r w:rsidRPr="009D795D">
              <w:rPr>
                <w:sz w:val="24"/>
                <w:szCs w:val="24"/>
              </w:rPr>
              <w:t xml:space="preserve">See CHS Intravenous Dosing and Monitoring of Aminoglycosides in Adults procedure. </w:t>
            </w:r>
          </w:p>
          <w:p w14:paraId="52F98101" w14:textId="77777777" w:rsidR="006706ED" w:rsidRPr="009D795D" w:rsidRDefault="006706ED" w:rsidP="00147382">
            <w:pPr>
              <w:pStyle w:val="CommentText"/>
              <w:rPr>
                <w:sz w:val="24"/>
                <w:szCs w:val="24"/>
              </w:rPr>
            </w:pPr>
            <w:r w:rsidRPr="009D795D">
              <w:rPr>
                <w:b/>
                <w:bCs/>
                <w:i/>
                <w:iCs/>
                <w:sz w:val="24"/>
                <w:szCs w:val="24"/>
              </w:rPr>
              <w:t xml:space="preserve">TDM </w:t>
            </w:r>
            <w:r>
              <w:rPr>
                <w:b/>
                <w:bCs/>
                <w:i/>
                <w:iCs/>
                <w:sz w:val="24"/>
                <w:szCs w:val="24"/>
              </w:rPr>
              <w:t xml:space="preserve">may be </w:t>
            </w:r>
            <w:r w:rsidRPr="009D795D">
              <w:rPr>
                <w:b/>
                <w:bCs/>
                <w:i/>
                <w:iCs/>
                <w:sz w:val="24"/>
                <w:szCs w:val="24"/>
              </w:rPr>
              <w:t>required</w:t>
            </w:r>
          </w:p>
          <w:p w14:paraId="48D6DF00" w14:textId="77777777" w:rsidR="006706ED" w:rsidRPr="00BE73CE" w:rsidRDefault="006706ED" w:rsidP="00147382">
            <w:pPr>
              <w:overflowPunct w:val="0"/>
              <w:autoSpaceDE w:val="0"/>
              <w:autoSpaceDN w:val="0"/>
              <w:adjustRightInd w:val="0"/>
              <w:spacing w:line="276" w:lineRule="auto"/>
              <w:rPr>
                <w:sz w:val="20"/>
              </w:rPr>
            </w:pPr>
          </w:p>
        </w:tc>
        <w:tc>
          <w:tcPr>
            <w:tcW w:w="6080" w:type="dxa"/>
            <w:tcBorders>
              <w:top w:val="single" w:sz="4" w:space="0" w:color="auto"/>
              <w:left w:val="single" w:sz="4" w:space="0" w:color="auto"/>
              <w:bottom w:val="single" w:sz="4" w:space="0" w:color="auto"/>
              <w:right w:val="single" w:sz="4" w:space="0" w:color="auto"/>
            </w:tcBorders>
            <w:hideMark/>
          </w:tcPr>
          <w:p w14:paraId="7635E275" w14:textId="77777777" w:rsidR="006706ED" w:rsidRDefault="006706ED" w:rsidP="00147382">
            <w:pPr>
              <w:overflowPunct w:val="0"/>
              <w:autoSpaceDE w:val="0"/>
              <w:autoSpaceDN w:val="0"/>
              <w:adjustRightInd w:val="0"/>
              <w:spacing w:line="276" w:lineRule="auto"/>
            </w:pPr>
            <w:r>
              <w:t xml:space="preserve">Initial dose if normal weight range and renal function is 4-7 mg / kg. Refer to the Australian Injectable Drug Handbook for further information. </w:t>
            </w:r>
          </w:p>
          <w:p w14:paraId="0C3D8C15" w14:textId="77777777" w:rsidR="006706ED" w:rsidRDefault="006706ED" w:rsidP="00147382">
            <w:pPr>
              <w:overflowPunct w:val="0"/>
              <w:autoSpaceDE w:val="0"/>
              <w:autoSpaceDN w:val="0"/>
              <w:adjustRightInd w:val="0"/>
              <w:spacing w:line="276" w:lineRule="auto"/>
            </w:pPr>
          </w:p>
          <w:p w14:paraId="3033B28F" w14:textId="77777777" w:rsidR="006706ED" w:rsidRDefault="006706ED" w:rsidP="00147382">
            <w:pPr>
              <w:overflowPunct w:val="0"/>
              <w:autoSpaceDE w:val="0"/>
              <w:autoSpaceDN w:val="0"/>
              <w:adjustRightInd w:val="0"/>
              <w:spacing w:line="276" w:lineRule="auto"/>
            </w:pPr>
          </w:p>
          <w:p w14:paraId="4A55E2E1" w14:textId="77777777" w:rsidR="006706ED" w:rsidRDefault="006706ED" w:rsidP="00147382">
            <w:pPr>
              <w:overflowPunct w:val="0"/>
              <w:autoSpaceDE w:val="0"/>
              <w:autoSpaceDN w:val="0"/>
              <w:adjustRightInd w:val="0"/>
              <w:spacing w:line="276" w:lineRule="auto"/>
            </w:pPr>
            <w:r w:rsidRPr="009626D1">
              <w:t>Can be given as</w:t>
            </w:r>
            <w:r>
              <w:t xml:space="preserve"> slow push over 3-5 min but this will affect TDM interpretation</w:t>
            </w:r>
          </w:p>
          <w:p w14:paraId="5BED9DCA" w14:textId="77777777" w:rsidR="006706ED" w:rsidRDefault="006706ED" w:rsidP="00147382">
            <w:pPr>
              <w:overflowPunct w:val="0"/>
              <w:autoSpaceDE w:val="0"/>
              <w:autoSpaceDN w:val="0"/>
              <w:adjustRightInd w:val="0"/>
              <w:spacing w:line="276" w:lineRule="auto"/>
            </w:pPr>
          </w:p>
          <w:p w14:paraId="45CB363C" w14:textId="77777777" w:rsidR="006706ED" w:rsidRDefault="006706ED" w:rsidP="00147382">
            <w:pPr>
              <w:overflowPunct w:val="0"/>
              <w:autoSpaceDE w:val="0"/>
              <w:autoSpaceDN w:val="0"/>
              <w:adjustRightInd w:val="0"/>
              <w:spacing w:line="276" w:lineRule="auto"/>
            </w:pPr>
            <w:r>
              <w:t>Dose adjustments required based on weight and renal function, and dosing frequency dependent on level.</w:t>
            </w:r>
          </w:p>
          <w:p w14:paraId="1FEC6C32" w14:textId="77777777" w:rsidR="006706ED" w:rsidRDefault="006706ED" w:rsidP="00147382">
            <w:pPr>
              <w:overflowPunct w:val="0"/>
              <w:autoSpaceDE w:val="0"/>
              <w:autoSpaceDN w:val="0"/>
              <w:adjustRightInd w:val="0"/>
              <w:spacing w:line="276" w:lineRule="auto"/>
            </w:pPr>
          </w:p>
          <w:p w14:paraId="4BFF902E" w14:textId="77777777" w:rsidR="006706ED" w:rsidRDefault="006706ED" w:rsidP="00147382">
            <w:pPr>
              <w:overflowPunct w:val="0"/>
              <w:autoSpaceDE w:val="0"/>
              <w:autoSpaceDN w:val="0"/>
              <w:adjustRightInd w:val="0"/>
              <w:spacing w:line="276" w:lineRule="auto"/>
              <w:rPr>
                <w:u w:val="single"/>
              </w:rPr>
            </w:pPr>
            <w:r>
              <w:t xml:space="preserve">Note: For gentamicin levels, one level is required 6-8 hours after the infusion. </w:t>
            </w:r>
            <w:r w:rsidRPr="00E66B73">
              <w:rPr>
                <w:u w:val="single"/>
              </w:rPr>
              <w:t xml:space="preserve">When levels are taken the time of last dose, time sample taken, weight and creatinine of </w:t>
            </w:r>
            <w:r>
              <w:rPr>
                <w:u w:val="single"/>
              </w:rPr>
              <w:t>patient</w:t>
            </w:r>
            <w:r w:rsidRPr="00E66B73">
              <w:rPr>
                <w:u w:val="single"/>
              </w:rPr>
              <w:t xml:space="preserve"> should be included on the request form.</w:t>
            </w:r>
            <w:r>
              <w:rPr>
                <w:u w:val="single"/>
              </w:rPr>
              <w:t xml:space="preserve"> </w:t>
            </w:r>
          </w:p>
          <w:p w14:paraId="264B22A2" w14:textId="77777777" w:rsidR="006706ED" w:rsidRDefault="006706ED" w:rsidP="00147382">
            <w:pPr>
              <w:overflowPunct w:val="0"/>
              <w:autoSpaceDE w:val="0"/>
              <w:autoSpaceDN w:val="0"/>
              <w:adjustRightInd w:val="0"/>
              <w:spacing w:line="276" w:lineRule="auto"/>
            </w:pPr>
            <w:r>
              <w:t>(Occasionally patients require two levels (1 hour after the start of the infusion and 6-8 hours after the infusion) ).</w:t>
            </w:r>
          </w:p>
          <w:p w14:paraId="2B7C663D" w14:textId="77777777" w:rsidR="006706ED" w:rsidRDefault="006706ED" w:rsidP="00147382">
            <w:pPr>
              <w:overflowPunct w:val="0"/>
              <w:autoSpaceDE w:val="0"/>
              <w:autoSpaceDN w:val="0"/>
              <w:adjustRightInd w:val="0"/>
              <w:spacing w:line="276" w:lineRule="auto"/>
            </w:pPr>
          </w:p>
          <w:p w14:paraId="5E6AED47" w14:textId="77777777" w:rsidR="006706ED" w:rsidRPr="009626D1" w:rsidRDefault="006706ED" w:rsidP="00147382">
            <w:pPr>
              <w:overflowPunct w:val="0"/>
              <w:autoSpaceDE w:val="0"/>
              <w:autoSpaceDN w:val="0"/>
              <w:adjustRightInd w:val="0"/>
              <w:spacing w:line="276" w:lineRule="auto"/>
            </w:pPr>
            <w:r>
              <w:t xml:space="preserve">TDM not required if giving up to 3 doses (at day 0, day 1 and day 2) and CrCL &gt;60 mL/min </w:t>
            </w:r>
          </w:p>
          <w:p w14:paraId="471DA2B2" w14:textId="77777777" w:rsidR="006706ED" w:rsidRDefault="006706ED" w:rsidP="00147382">
            <w:pPr>
              <w:overflowPunct w:val="0"/>
              <w:autoSpaceDE w:val="0"/>
              <w:autoSpaceDN w:val="0"/>
              <w:adjustRightInd w:val="0"/>
              <w:spacing w:line="276" w:lineRule="auto"/>
            </w:pPr>
          </w:p>
          <w:p w14:paraId="56F761B3" w14:textId="77777777" w:rsidR="006706ED" w:rsidRDefault="006706ED" w:rsidP="00147382">
            <w:pPr>
              <w:overflowPunct w:val="0"/>
              <w:autoSpaceDE w:val="0"/>
              <w:autoSpaceDN w:val="0"/>
              <w:adjustRightInd w:val="0"/>
              <w:spacing w:line="276" w:lineRule="auto"/>
            </w:pPr>
            <w:r>
              <w:t>TDM required if CrCL 40-60mL/min or if gentamicin to be prescribed for &gt;48 hours – gentamicin level to be checked after 1</w:t>
            </w:r>
            <w:r w:rsidRPr="002F7A82">
              <w:rPr>
                <w:vertAlign w:val="superscript"/>
              </w:rPr>
              <w:t>st</w:t>
            </w:r>
            <w:r>
              <w:t xml:space="preserve"> dose. For patients with CrCL &lt;40mL/min renal team should be involved in prescribing (can give 1 initial dose).</w:t>
            </w:r>
          </w:p>
          <w:p w14:paraId="6B6C0477" w14:textId="77777777" w:rsidR="006706ED" w:rsidRPr="009412FD" w:rsidRDefault="006706ED" w:rsidP="00147382">
            <w:pPr>
              <w:overflowPunct w:val="0"/>
              <w:autoSpaceDE w:val="0"/>
              <w:autoSpaceDN w:val="0"/>
              <w:adjustRightInd w:val="0"/>
              <w:spacing w:line="276" w:lineRule="auto"/>
            </w:pPr>
          </w:p>
        </w:tc>
      </w:tr>
      <w:tr w:rsidR="006706ED" w:rsidRPr="009412FD" w14:paraId="3DEBAB50" w14:textId="77777777" w:rsidTr="00147382">
        <w:tc>
          <w:tcPr>
            <w:tcW w:w="2987" w:type="dxa"/>
            <w:tcBorders>
              <w:top w:val="single" w:sz="4" w:space="0" w:color="auto"/>
              <w:left w:val="single" w:sz="4" w:space="0" w:color="auto"/>
              <w:bottom w:val="single" w:sz="4" w:space="0" w:color="auto"/>
              <w:right w:val="single" w:sz="4" w:space="0" w:color="auto"/>
            </w:tcBorders>
            <w:hideMark/>
          </w:tcPr>
          <w:p w14:paraId="177EE971" w14:textId="77777777" w:rsidR="006706ED" w:rsidRPr="009D795D" w:rsidRDefault="006706ED" w:rsidP="00147382">
            <w:pPr>
              <w:overflowPunct w:val="0"/>
              <w:autoSpaceDE w:val="0"/>
              <w:autoSpaceDN w:val="0"/>
              <w:adjustRightInd w:val="0"/>
              <w:spacing w:line="276" w:lineRule="auto"/>
              <w:rPr>
                <w:szCs w:val="24"/>
              </w:rPr>
            </w:pPr>
            <w:r w:rsidRPr="00B625B6">
              <w:rPr>
                <w:color w:val="FF0000"/>
                <w:szCs w:val="24"/>
              </w:rPr>
              <w:t>Vancomycin</w:t>
            </w:r>
            <w:r w:rsidRPr="009D795D">
              <w:rPr>
                <w:szCs w:val="24"/>
              </w:rPr>
              <w:t>**</w:t>
            </w:r>
          </w:p>
          <w:p w14:paraId="7ACE54C9" w14:textId="77777777" w:rsidR="006706ED" w:rsidRPr="009D795D" w:rsidRDefault="006706ED" w:rsidP="00147382">
            <w:pPr>
              <w:overflowPunct w:val="0"/>
              <w:autoSpaceDE w:val="0"/>
              <w:autoSpaceDN w:val="0"/>
              <w:adjustRightInd w:val="0"/>
              <w:spacing w:line="276" w:lineRule="auto"/>
              <w:rPr>
                <w:b/>
                <w:i/>
                <w:szCs w:val="24"/>
              </w:rPr>
            </w:pPr>
            <w:r w:rsidRPr="009D795D">
              <w:rPr>
                <w:b/>
                <w:i/>
                <w:szCs w:val="24"/>
              </w:rPr>
              <w:t>Central IV access required</w:t>
            </w:r>
            <w:r>
              <w:rPr>
                <w:b/>
                <w:i/>
                <w:szCs w:val="24"/>
              </w:rPr>
              <w:t xml:space="preserve"> prior to transfer to HITH</w:t>
            </w:r>
          </w:p>
          <w:p w14:paraId="5897A0D3" w14:textId="77777777" w:rsidR="006706ED" w:rsidRPr="009D795D" w:rsidRDefault="006706ED" w:rsidP="00147382">
            <w:pPr>
              <w:overflowPunct w:val="0"/>
              <w:autoSpaceDE w:val="0"/>
              <w:autoSpaceDN w:val="0"/>
              <w:adjustRightInd w:val="0"/>
              <w:spacing w:line="276" w:lineRule="auto"/>
              <w:rPr>
                <w:i/>
                <w:szCs w:val="24"/>
              </w:rPr>
            </w:pPr>
            <w:r w:rsidRPr="009D795D">
              <w:rPr>
                <w:i/>
                <w:szCs w:val="24"/>
              </w:rPr>
              <w:t>(acidic pH 2.5-4.5)</w:t>
            </w:r>
          </w:p>
          <w:p w14:paraId="4C019798" w14:textId="77777777" w:rsidR="006706ED" w:rsidRDefault="006706ED" w:rsidP="00147382">
            <w:pPr>
              <w:overflowPunct w:val="0"/>
              <w:autoSpaceDE w:val="0"/>
              <w:autoSpaceDN w:val="0"/>
              <w:adjustRightInd w:val="0"/>
              <w:spacing w:line="276" w:lineRule="auto"/>
              <w:rPr>
                <w:b/>
                <w:bCs/>
                <w:i/>
                <w:szCs w:val="24"/>
              </w:rPr>
            </w:pPr>
            <w:r w:rsidRPr="009D795D">
              <w:rPr>
                <w:b/>
                <w:bCs/>
                <w:i/>
                <w:szCs w:val="24"/>
              </w:rPr>
              <w:t>TDM required</w:t>
            </w:r>
          </w:p>
          <w:p w14:paraId="74216CFF" w14:textId="77777777" w:rsidR="006706ED" w:rsidRDefault="006706ED" w:rsidP="00147382">
            <w:pPr>
              <w:overflowPunct w:val="0"/>
              <w:autoSpaceDE w:val="0"/>
              <w:autoSpaceDN w:val="0"/>
              <w:adjustRightInd w:val="0"/>
              <w:spacing w:line="276" w:lineRule="auto"/>
              <w:rPr>
                <w:b/>
                <w:bCs/>
                <w:i/>
                <w:szCs w:val="24"/>
              </w:rPr>
            </w:pPr>
          </w:p>
          <w:p w14:paraId="415F571E" w14:textId="77777777" w:rsidR="006706ED" w:rsidRDefault="006706ED" w:rsidP="00147382">
            <w:pPr>
              <w:pStyle w:val="CommentText"/>
            </w:pPr>
          </w:p>
          <w:p w14:paraId="019DE3B5" w14:textId="77777777" w:rsidR="006706ED" w:rsidRPr="00F90952" w:rsidRDefault="006706ED" w:rsidP="00147382">
            <w:pPr>
              <w:overflowPunct w:val="0"/>
              <w:autoSpaceDE w:val="0"/>
              <w:autoSpaceDN w:val="0"/>
              <w:adjustRightInd w:val="0"/>
              <w:spacing w:line="276" w:lineRule="auto"/>
              <w:rPr>
                <w:b/>
                <w:bCs/>
                <w:i/>
              </w:rPr>
            </w:pPr>
          </w:p>
        </w:tc>
        <w:tc>
          <w:tcPr>
            <w:tcW w:w="6080" w:type="dxa"/>
            <w:tcBorders>
              <w:top w:val="single" w:sz="4" w:space="0" w:color="auto"/>
              <w:left w:val="single" w:sz="4" w:space="0" w:color="auto"/>
              <w:bottom w:val="single" w:sz="4" w:space="0" w:color="auto"/>
              <w:right w:val="single" w:sz="4" w:space="0" w:color="auto"/>
            </w:tcBorders>
            <w:hideMark/>
          </w:tcPr>
          <w:p w14:paraId="21354703" w14:textId="77777777" w:rsidR="006706ED" w:rsidRDefault="006706ED" w:rsidP="00147382">
            <w:pPr>
              <w:overflowPunct w:val="0"/>
              <w:autoSpaceDE w:val="0"/>
              <w:autoSpaceDN w:val="0"/>
              <w:adjustRightInd w:val="0"/>
              <w:spacing w:line="276" w:lineRule="auto"/>
            </w:pPr>
            <w:r w:rsidRPr="009412FD">
              <w:t xml:space="preserve">1-4g given as </w:t>
            </w:r>
            <w:r w:rsidRPr="00306DFB">
              <w:rPr>
                <w:b/>
              </w:rPr>
              <w:t>24</w:t>
            </w:r>
            <w:r>
              <w:rPr>
                <w:b/>
              </w:rPr>
              <w:t>-</w:t>
            </w:r>
            <w:r w:rsidRPr="00306DFB">
              <w:rPr>
                <w:b/>
              </w:rPr>
              <w:t>hour infusion</w:t>
            </w:r>
            <w:r w:rsidRPr="009412FD">
              <w:t xml:space="preserve"> (preferred, dose dependent on renal function) or at max of 10mg/min. Dose dependent on plasma concentration monitoring. May need initial bolus.</w:t>
            </w:r>
            <w:r>
              <w:t xml:space="preserve"> Liaise with pharmacy</w:t>
            </w:r>
          </w:p>
          <w:p w14:paraId="13F1F0AC" w14:textId="77777777" w:rsidR="006706ED" w:rsidRDefault="006706ED" w:rsidP="00147382">
            <w:pPr>
              <w:overflowPunct w:val="0"/>
              <w:autoSpaceDE w:val="0"/>
              <w:autoSpaceDN w:val="0"/>
              <w:adjustRightInd w:val="0"/>
              <w:spacing w:line="276" w:lineRule="auto"/>
            </w:pPr>
          </w:p>
          <w:p w14:paraId="43AAA667" w14:textId="77777777" w:rsidR="006706ED" w:rsidRDefault="006706ED" w:rsidP="00147382">
            <w:pPr>
              <w:pStyle w:val="CommentText"/>
              <w:rPr>
                <w:rStyle w:val="CommentReference"/>
                <w:sz w:val="24"/>
                <w:szCs w:val="24"/>
              </w:rPr>
            </w:pPr>
            <w:r w:rsidRPr="00B06E8E">
              <w:rPr>
                <w:rStyle w:val="CommentReference"/>
                <w:sz w:val="24"/>
                <w:szCs w:val="24"/>
              </w:rPr>
              <w:t xml:space="preserve">Please refer to eTG “Principles of vancomycin use” for recommendations on the optimal timing and dosage adjustments of vancomycin in individual patients. </w:t>
            </w:r>
          </w:p>
          <w:p w14:paraId="04BE8A30" w14:textId="77777777" w:rsidR="006706ED" w:rsidRDefault="006706ED" w:rsidP="00147382">
            <w:pPr>
              <w:pStyle w:val="CommentText"/>
              <w:rPr>
                <w:rStyle w:val="CommentReference"/>
                <w:sz w:val="24"/>
                <w:szCs w:val="24"/>
              </w:rPr>
            </w:pPr>
          </w:p>
          <w:p w14:paraId="1CC7F741" w14:textId="77777777" w:rsidR="006706ED" w:rsidRDefault="006706ED" w:rsidP="00147382">
            <w:pPr>
              <w:pStyle w:val="CommentText"/>
              <w:rPr>
                <w:rStyle w:val="CommentReference"/>
                <w:sz w:val="24"/>
                <w:szCs w:val="24"/>
              </w:rPr>
            </w:pPr>
            <w:r w:rsidRPr="00B06E8E">
              <w:rPr>
                <w:rStyle w:val="CommentReference"/>
                <w:sz w:val="24"/>
                <w:szCs w:val="24"/>
              </w:rPr>
              <w:t xml:space="preserve">TDM required within 24-36 hours of commencing 24-hour infusion and within 36 hours of each dose change. </w:t>
            </w:r>
          </w:p>
          <w:p w14:paraId="3E654BB6" w14:textId="77777777" w:rsidR="006706ED" w:rsidRDefault="006706ED" w:rsidP="00147382">
            <w:pPr>
              <w:pStyle w:val="CommentText"/>
              <w:rPr>
                <w:rStyle w:val="CommentReference"/>
                <w:sz w:val="24"/>
                <w:szCs w:val="24"/>
              </w:rPr>
            </w:pPr>
          </w:p>
          <w:p w14:paraId="4F164974" w14:textId="77777777" w:rsidR="006706ED" w:rsidRDefault="006706ED" w:rsidP="00147382">
            <w:pPr>
              <w:pStyle w:val="CommentText"/>
              <w:rPr>
                <w:rStyle w:val="CommentReference"/>
                <w:sz w:val="24"/>
                <w:szCs w:val="24"/>
              </w:rPr>
            </w:pPr>
            <w:r w:rsidRPr="00B06E8E">
              <w:rPr>
                <w:rStyle w:val="CommentReference"/>
                <w:sz w:val="24"/>
                <w:szCs w:val="24"/>
              </w:rPr>
              <w:lastRenderedPageBreak/>
              <w:t>In general target spot (random) vancomycin level of 20-25mg/L, except in CNS infections.</w:t>
            </w:r>
          </w:p>
          <w:p w14:paraId="250CB3CB" w14:textId="77777777" w:rsidR="006706ED" w:rsidRDefault="006706ED" w:rsidP="00147382">
            <w:pPr>
              <w:pStyle w:val="CommentText"/>
              <w:rPr>
                <w:rStyle w:val="CommentReference"/>
                <w:sz w:val="24"/>
              </w:rPr>
            </w:pPr>
          </w:p>
          <w:p w14:paraId="735A459D" w14:textId="77777777" w:rsidR="006706ED" w:rsidRDefault="006706ED" w:rsidP="00147382">
            <w:pPr>
              <w:pStyle w:val="CommentText"/>
              <w:rPr>
                <w:rStyle w:val="CommentReference"/>
                <w:b/>
                <w:bCs/>
                <w:sz w:val="24"/>
              </w:rPr>
            </w:pPr>
            <w:r w:rsidRPr="00071548">
              <w:rPr>
                <w:rStyle w:val="CommentReference"/>
                <w:b/>
                <w:bCs/>
                <w:sz w:val="24"/>
              </w:rPr>
              <w:t xml:space="preserve">For NCH: </w:t>
            </w:r>
          </w:p>
          <w:p w14:paraId="692D9430" w14:textId="77777777" w:rsidR="006706ED" w:rsidRDefault="006706ED" w:rsidP="00147382">
            <w:r>
              <w:t xml:space="preserve">Require AMS/ID approval for the use of Vancomycin </w:t>
            </w:r>
          </w:p>
          <w:p w14:paraId="149AF4E5" w14:textId="77777777" w:rsidR="006706ED" w:rsidRDefault="006706ED" w:rsidP="00147382">
            <w:r>
              <w:t xml:space="preserve">The dose for the 24 hours infusion is determined in discussion with pharmacy dependant on </w:t>
            </w:r>
          </w:p>
          <w:p w14:paraId="17B1A78C" w14:textId="77777777" w:rsidR="006706ED" w:rsidRDefault="006706ED" w:rsidP="00147382">
            <w:r>
              <w:t>a) the dose and levels achieved with prior intermittent dosing if used, or b) dependant on weight and renal function.</w:t>
            </w:r>
          </w:p>
          <w:p w14:paraId="15755BBC" w14:textId="77777777" w:rsidR="006706ED" w:rsidRDefault="006706ED" w:rsidP="00147382">
            <w:pPr>
              <w:pStyle w:val="CommentText"/>
              <w:rPr>
                <w:b/>
                <w:bCs/>
                <w:sz w:val="24"/>
                <w:szCs w:val="24"/>
              </w:rPr>
            </w:pPr>
          </w:p>
          <w:p w14:paraId="524D05C6" w14:textId="77777777" w:rsidR="006706ED" w:rsidRDefault="006706ED" w:rsidP="00147382">
            <w:r>
              <w:t xml:space="preserve">Dilution of the vancomycin for infusion will be determined by pharmacy. </w:t>
            </w:r>
          </w:p>
          <w:p w14:paraId="6FE36BE5" w14:textId="77777777" w:rsidR="006706ED" w:rsidRDefault="006706ED" w:rsidP="00147382">
            <w:pPr>
              <w:pStyle w:val="ListParagraph"/>
              <w:numPr>
                <w:ilvl w:val="0"/>
                <w:numId w:val="32"/>
              </w:numPr>
              <w:contextualSpacing w:val="0"/>
            </w:pPr>
            <w:r>
              <w:t xml:space="preserve">Doses up to (and including) 1250mg can be in 250mL (=5mg/mL) and doses greater than 1250mg must be in 500mL N. saline. </w:t>
            </w:r>
          </w:p>
          <w:p w14:paraId="02AF30C6" w14:textId="77777777" w:rsidR="006706ED" w:rsidRDefault="006706ED" w:rsidP="00147382">
            <w:r>
              <w:t>HITH patient will be visited in the AM:</w:t>
            </w:r>
          </w:p>
          <w:p w14:paraId="15EEC3B8" w14:textId="77777777" w:rsidR="006706ED" w:rsidRDefault="006706ED" w:rsidP="00147382">
            <w:r>
              <w:t xml:space="preserve">HITH patients will require levels to be taken in the morning between 25 and 48 hours after the infusion is commenced. </w:t>
            </w:r>
          </w:p>
          <w:p w14:paraId="03D72EA2" w14:textId="77777777" w:rsidR="006706ED" w:rsidRDefault="006706ED" w:rsidP="00147382">
            <w:pPr>
              <w:pStyle w:val="ListParagraph"/>
              <w:numPr>
                <w:ilvl w:val="0"/>
                <w:numId w:val="32"/>
              </w:numPr>
              <w:contextualSpacing w:val="0"/>
            </w:pPr>
            <w:r>
              <w:t xml:space="preserve">A new Vancomycin infusion bag will be commenced at the time of this visit </w:t>
            </w:r>
          </w:p>
          <w:p w14:paraId="7124BD96" w14:textId="77777777" w:rsidR="006706ED" w:rsidRDefault="006706ED" w:rsidP="00147382">
            <w:pPr>
              <w:pStyle w:val="ListParagraph"/>
              <w:numPr>
                <w:ilvl w:val="0"/>
                <w:numId w:val="32"/>
              </w:numPr>
              <w:contextualSpacing w:val="0"/>
            </w:pPr>
            <w:r>
              <w:t xml:space="preserve">Vancomycin level specimens are to be at pathology for processing by 11am </w:t>
            </w:r>
          </w:p>
          <w:p w14:paraId="298A214C" w14:textId="77777777" w:rsidR="006706ED" w:rsidRDefault="006706ED" w:rsidP="00147382">
            <w:r>
              <w:t>Response to Vancomycin levels:</w:t>
            </w:r>
          </w:p>
          <w:p w14:paraId="332C398D" w14:textId="77777777" w:rsidR="006706ED" w:rsidRDefault="006706ED" w:rsidP="00147382">
            <w:pPr>
              <w:pStyle w:val="ListParagraph"/>
              <w:numPr>
                <w:ilvl w:val="0"/>
                <w:numId w:val="32"/>
              </w:numPr>
              <w:contextualSpacing w:val="0"/>
            </w:pPr>
            <w:r>
              <w:t>If the level is therapeutic the same dose will be made for the subsequent day’s bag. The level should be rechecked in 48 - 72 hours dependent on the stability.</w:t>
            </w:r>
          </w:p>
          <w:p w14:paraId="42A8A100" w14:textId="77777777" w:rsidR="006706ED" w:rsidRDefault="006706ED" w:rsidP="00147382">
            <w:pPr>
              <w:pStyle w:val="ListParagraph"/>
              <w:numPr>
                <w:ilvl w:val="0"/>
                <w:numId w:val="32"/>
              </w:numPr>
              <w:contextualSpacing w:val="0"/>
            </w:pPr>
            <w:r>
              <w:t>If the level is outside of the therapeutic range of 20-25, an adjusted dose will be made for the next infusion bag</w:t>
            </w:r>
          </w:p>
          <w:p w14:paraId="5A35617A" w14:textId="77777777" w:rsidR="006706ED" w:rsidRDefault="006706ED" w:rsidP="00147382">
            <w:pPr>
              <w:pStyle w:val="ListParagraph"/>
              <w:numPr>
                <w:ilvl w:val="1"/>
                <w:numId w:val="32"/>
              </w:numPr>
              <w:contextualSpacing w:val="0"/>
            </w:pPr>
            <w:r>
              <w:t xml:space="preserve">If the level is &lt; 19 or &gt; 26 </w:t>
            </w:r>
          </w:p>
          <w:p w14:paraId="4CE9756A" w14:textId="77777777" w:rsidR="006706ED" w:rsidRDefault="006706ED" w:rsidP="00147382">
            <w:pPr>
              <w:pStyle w:val="ListParagraph"/>
              <w:numPr>
                <w:ilvl w:val="2"/>
                <w:numId w:val="32"/>
              </w:numPr>
              <w:contextualSpacing w:val="0"/>
            </w:pPr>
            <w:r>
              <w:t xml:space="preserve">Two bags of the new infusion dose need to be made up that day </w:t>
            </w:r>
          </w:p>
          <w:p w14:paraId="334A3328" w14:textId="77777777" w:rsidR="006706ED" w:rsidRDefault="006706ED" w:rsidP="00147382">
            <w:pPr>
              <w:pStyle w:val="ListParagraph"/>
              <w:numPr>
                <w:ilvl w:val="2"/>
                <w:numId w:val="32"/>
              </w:numPr>
              <w:contextualSpacing w:val="0"/>
            </w:pPr>
            <w:r>
              <w:t xml:space="preserve">One new infusion bag will be commenced in the afternoon of the same day of sampling </w:t>
            </w:r>
          </w:p>
          <w:p w14:paraId="40996298" w14:textId="77777777" w:rsidR="006706ED" w:rsidRDefault="006706ED" w:rsidP="00147382">
            <w:pPr>
              <w:pStyle w:val="ListParagraph"/>
              <w:numPr>
                <w:ilvl w:val="2"/>
                <w:numId w:val="32"/>
              </w:numPr>
              <w:contextualSpacing w:val="0"/>
            </w:pPr>
            <w:r>
              <w:t xml:space="preserve">The second should be started at the am visit the following day. </w:t>
            </w:r>
          </w:p>
          <w:p w14:paraId="57682B9F" w14:textId="77777777" w:rsidR="006706ED" w:rsidRDefault="006706ED" w:rsidP="00147382">
            <w:pPr>
              <w:pStyle w:val="ListParagraph"/>
              <w:numPr>
                <w:ilvl w:val="2"/>
                <w:numId w:val="32"/>
              </w:numPr>
              <w:contextualSpacing w:val="0"/>
            </w:pPr>
            <w:r>
              <w:t xml:space="preserve">The next level is to be taken no earlier than 36hrs after commencing the new infusion bag </w:t>
            </w:r>
          </w:p>
          <w:p w14:paraId="525E5AC3" w14:textId="77777777" w:rsidR="006706ED" w:rsidRDefault="006706ED" w:rsidP="00147382">
            <w:pPr>
              <w:pStyle w:val="ListParagraph"/>
              <w:numPr>
                <w:ilvl w:val="2"/>
                <w:numId w:val="32"/>
              </w:numPr>
              <w:contextualSpacing w:val="0"/>
            </w:pPr>
            <w:r>
              <w:rPr>
                <w:u w:val="single"/>
              </w:rPr>
              <w:t xml:space="preserve">NOTE: if the level is &gt; 26 the other option In consultation with the HITH Pharmacist (or Dispensary Pharmacist </w:t>
            </w:r>
            <w:r>
              <w:rPr>
                <w:u w:val="single"/>
              </w:rPr>
              <w:lastRenderedPageBreak/>
              <w:t xml:space="preserve">on the weekends) is that the bag rate can be reduced to give a lower dosage until the next bag is hung the following day. </w:t>
            </w:r>
          </w:p>
          <w:p w14:paraId="08CCC92E" w14:textId="77777777" w:rsidR="006706ED" w:rsidRDefault="006706ED" w:rsidP="00147382">
            <w:pPr>
              <w:pStyle w:val="ListParagraph"/>
              <w:numPr>
                <w:ilvl w:val="1"/>
                <w:numId w:val="32"/>
              </w:numPr>
              <w:contextualSpacing w:val="0"/>
            </w:pPr>
            <w:r>
              <w:t xml:space="preserve">If the level is 19 – 19.9 or 25.1-26 </w:t>
            </w:r>
          </w:p>
          <w:p w14:paraId="334E9120" w14:textId="77777777" w:rsidR="006706ED" w:rsidRDefault="006706ED" w:rsidP="00147382">
            <w:pPr>
              <w:pStyle w:val="ListParagraph"/>
              <w:numPr>
                <w:ilvl w:val="2"/>
                <w:numId w:val="32"/>
              </w:numPr>
              <w:contextualSpacing w:val="0"/>
            </w:pPr>
            <w:r>
              <w:t xml:space="preserve">One bag of the new infusion dose needs to be made up that day </w:t>
            </w:r>
          </w:p>
          <w:p w14:paraId="682240EE" w14:textId="77777777" w:rsidR="006706ED" w:rsidRDefault="006706ED" w:rsidP="00147382">
            <w:pPr>
              <w:pStyle w:val="ListParagraph"/>
              <w:numPr>
                <w:ilvl w:val="2"/>
                <w:numId w:val="32"/>
              </w:numPr>
              <w:contextualSpacing w:val="0"/>
            </w:pPr>
            <w:r>
              <w:t xml:space="preserve">This bag is to be hooked up on the following day am visit </w:t>
            </w:r>
          </w:p>
          <w:p w14:paraId="0521CF2B" w14:textId="77777777" w:rsidR="006706ED" w:rsidRDefault="006706ED" w:rsidP="00147382">
            <w:pPr>
              <w:pStyle w:val="ListParagraph"/>
              <w:numPr>
                <w:ilvl w:val="2"/>
                <w:numId w:val="32"/>
              </w:numPr>
              <w:contextualSpacing w:val="0"/>
            </w:pPr>
            <w:r>
              <w:t>The next level is to be taken the following day no earlier than 24hrs</w:t>
            </w:r>
          </w:p>
          <w:p w14:paraId="7D155CE4" w14:textId="77777777" w:rsidR="006706ED" w:rsidRDefault="006706ED" w:rsidP="00147382">
            <w:pPr>
              <w:rPr>
                <w:szCs w:val="24"/>
              </w:rPr>
            </w:pPr>
          </w:p>
          <w:p w14:paraId="3799807A" w14:textId="77777777" w:rsidR="006706ED" w:rsidRDefault="006706ED" w:rsidP="00147382">
            <w:pPr>
              <w:rPr>
                <w:szCs w:val="24"/>
              </w:rPr>
            </w:pPr>
            <w:r w:rsidRPr="006D7D95">
              <w:rPr>
                <w:szCs w:val="24"/>
              </w:rPr>
              <w:t>Vancomycin Levels are preferred to be taken peripherally from the opposite arm. The Vancomycin Infusion is to be switched off for between 10 and 15mins before taking levels.</w:t>
            </w:r>
          </w:p>
          <w:p w14:paraId="16E2A6A8" w14:textId="77777777" w:rsidR="006706ED" w:rsidRPr="006D7D95" w:rsidRDefault="006706ED" w:rsidP="00147382">
            <w:pPr>
              <w:rPr>
                <w:szCs w:val="24"/>
              </w:rPr>
            </w:pPr>
          </w:p>
          <w:p w14:paraId="102048CF" w14:textId="77777777" w:rsidR="006706ED" w:rsidRPr="006D7D95" w:rsidRDefault="006706ED" w:rsidP="00147382">
            <w:pPr>
              <w:pStyle w:val="CommentText"/>
              <w:rPr>
                <w:b/>
                <w:bCs/>
                <w:sz w:val="24"/>
                <w:szCs w:val="24"/>
              </w:rPr>
            </w:pPr>
            <w:r w:rsidRPr="00071548">
              <w:rPr>
                <w:sz w:val="24"/>
                <w:szCs w:val="24"/>
              </w:rPr>
              <w:t>If however peripheral access is unsuccessful then levels can be taken from the CVAD. Refer to the policy on blood sampling for CVADs. Ensure that the infusion is switched off for a minimum of 10mins and line to infusion is clamped or a non-return bung is in place. Flush CVAD with a minimum of 20mls of Normal Saline using a pulsating action. Discard a minimum of 15mls before taking level.</w:t>
            </w:r>
          </w:p>
          <w:p w14:paraId="4195F581" w14:textId="77777777" w:rsidR="006706ED" w:rsidRPr="00071548" w:rsidRDefault="006706ED" w:rsidP="00147382">
            <w:pPr>
              <w:pStyle w:val="CommentText"/>
              <w:rPr>
                <w:b/>
                <w:bCs/>
                <w:sz w:val="24"/>
                <w:szCs w:val="24"/>
              </w:rPr>
            </w:pPr>
          </w:p>
          <w:p w14:paraId="30F83A91" w14:textId="77777777" w:rsidR="006706ED" w:rsidRPr="009412FD" w:rsidRDefault="006706ED" w:rsidP="00147382">
            <w:pPr>
              <w:overflowPunct w:val="0"/>
              <w:autoSpaceDE w:val="0"/>
              <w:autoSpaceDN w:val="0"/>
              <w:adjustRightInd w:val="0"/>
              <w:spacing w:line="276" w:lineRule="auto"/>
            </w:pPr>
          </w:p>
        </w:tc>
      </w:tr>
      <w:tr w:rsidR="006706ED" w:rsidRPr="009412FD" w14:paraId="67BEA927" w14:textId="77777777" w:rsidTr="00147382">
        <w:tc>
          <w:tcPr>
            <w:tcW w:w="2987" w:type="dxa"/>
            <w:tcBorders>
              <w:top w:val="single" w:sz="4" w:space="0" w:color="auto"/>
              <w:left w:val="single" w:sz="4" w:space="0" w:color="auto"/>
              <w:bottom w:val="single" w:sz="4" w:space="0" w:color="auto"/>
              <w:right w:val="single" w:sz="4" w:space="0" w:color="auto"/>
            </w:tcBorders>
            <w:hideMark/>
          </w:tcPr>
          <w:p w14:paraId="1517DF5A" w14:textId="77777777" w:rsidR="006706ED" w:rsidRPr="009412FD" w:rsidRDefault="006706ED" w:rsidP="00147382">
            <w:pPr>
              <w:overflowPunct w:val="0"/>
              <w:autoSpaceDE w:val="0"/>
              <w:autoSpaceDN w:val="0"/>
              <w:adjustRightInd w:val="0"/>
              <w:spacing w:line="276" w:lineRule="auto"/>
            </w:pPr>
            <w:r w:rsidRPr="00310D6D">
              <w:rPr>
                <w:color w:val="FF0000"/>
              </w:rPr>
              <w:lastRenderedPageBreak/>
              <w:t>Piperacillin/Tazobactam</w:t>
            </w:r>
            <w:r w:rsidRPr="00F409ED">
              <w:t>*</w:t>
            </w:r>
          </w:p>
        </w:tc>
        <w:tc>
          <w:tcPr>
            <w:tcW w:w="6080" w:type="dxa"/>
            <w:tcBorders>
              <w:top w:val="single" w:sz="4" w:space="0" w:color="auto"/>
              <w:left w:val="single" w:sz="4" w:space="0" w:color="auto"/>
              <w:bottom w:val="single" w:sz="4" w:space="0" w:color="auto"/>
              <w:right w:val="single" w:sz="4" w:space="0" w:color="auto"/>
            </w:tcBorders>
            <w:hideMark/>
          </w:tcPr>
          <w:p w14:paraId="4FE03784" w14:textId="77777777" w:rsidR="006706ED" w:rsidRPr="009412FD" w:rsidRDefault="006706ED" w:rsidP="00147382">
            <w:pPr>
              <w:overflowPunct w:val="0"/>
              <w:autoSpaceDE w:val="0"/>
              <w:autoSpaceDN w:val="0"/>
              <w:adjustRightInd w:val="0"/>
              <w:spacing w:line="276" w:lineRule="auto"/>
            </w:pPr>
            <w:r w:rsidRPr="00306DFB">
              <w:rPr>
                <w:b/>
              </w:rPr>
              <w:t>Give by continuous 24 hr infusion</w:t>
            </w:r>
            <w:r w:rsidRPr="009412FD">
              <w:t xml:space="preserve"> e</w:t>
            </w:r>
            <w:r>
              <w:t>.</w:t>
            </w:r>
            <w:r w:rsidRPr="009412FD">
              <w:t>g</w:t>
            </w:r>
            <w:r>
              <w:t>.</w:t>
            </w:r>
            <w:r w:rsidRPr="009412FD">
              <w:t xml:space="preserve"> equivalent of 4.5g tds </w:t>
            </w:r>
            <w:r>
              <w:t>is</w:t>
            </w:r>
            <w:r w:rsidRPr="009412FD">
              <w:t xml:space="preserve"> 13.5</w:t>
            </w:r>
            <w:r>
              <w:t>g</w:t>
            </w:r>
            <w:r w:rsidRPr="009412FD">
              <w:t xml:space="preserve"> over 24 hours</w:t>
            </w:r>
            <w:r>
              <w:t xml:space="preserve"> (may dose up to 18g/24 hours)</w:t>
            </w:r>
          </w:p>
        </w:tc>
      </w:tr>
      <w:tr w:rsidR="006706ED" w:rsidRPr="009412FD" w14:paraId="5092CD50" w14:textId="77777777" w:rsidTr="00147382">
        <w:tc>
          <w:tcPr>
            <w:tcW w:w="2987" w:type="dxa"/>
            <w:tcBorders>
              <w:top w:val="single" w:sz="4" w:space="0" w:color="auto"/>
              <w:left w:val="single" w:sz="4" w:space="0" w:color="auto"/>
              <w:bottom w:val="single" w:sz="4" w:space="0" w:color="auto"/>
              <w:right w:val="single" w:sz="4" w:space="0" w:color="auto"/>
            </w:tcBorders>
            <w:hideMark/>
          </w:tcPr>
          <w:p w14:paraId="186C3415" w14:textId="77777777" w:rsidR="006706ED" w:rsidRPr="009412FD" w:rsidRDefault="006706ED" w:rsidP="00147382">
            <w:pPr>
              <w:overflowPunct w:val="0"/>
              <w:autoSpaceDE w:val="0"/>
              <w:autoSpaceDN w:val="0"/>
              <w:adjustRightInd w:val="0"/>
              <w:spacing w:line="276" w:lineRule="auto"/>
            </w:pPr>
            <w:r w:rsidRPr="00B625B6">
              <w:rPr>
                <w:color w:val="FF0000"/>
              </w:rPr>
              <w:t>Ertapenem</w:t>
            </w:r>
            <w:r w:rsidRPr="009412FD">
              <w:t>#</w:t>
            </w:r>
          </w:p>
        </w:tc>
        <w:tc>
          <w:tcPr>
            <w:tcW w:w="6080" w:type="dxa"/>
            <w:tcBorders>
              <w:top w:val="single" w:sz="4" w:space="0" w:color="auto"/>
              <w:left w:val="single" w:sz="4" w:space="0" w:color="auto"/>
              <w:bottom w:val="single" w:sz="4" w:space="0" w:color="auto"/>
              <w:right w:val="single" w:sz="4" w:space="0" w:color="auto"/>
            </w:tcBorders>
            <w:hideMark/>
          </w:tcPr>
          <w:p w14:paraId="0A16C739" w14:textId="77777777" w:rsidR="006706ED" w:rsidRDefault="006706ED" w:rsidP="00147382">
            <w:pPr>
              <w:overflowPunct w:val="0"/>
              <w:autoSpaceDE w:val="0"/>
              <w:autoSpaceDN w:val="0"/>
              <w:adjustRightInd w:val="0"/>
              <w:spacing w:line="276" w:lineRule="auto"/>
            </w:pPr>
            <w:r w:rsidRPr="009412FD">
              <w:t xml:space="preserve">0.5-1g </w:t>
            </w:r>
            <w:r w:rsidRPr="00306DFB">
              <w:rPr>
                <w:b/>
              </w:rPr>
              <w:t>30</w:t>
            </w:r>
            <w:r>
              <w:rPr>
                <w:b/>
              </w:rPr>
              <w:t xml:space="preserve"> </w:t>
            </w:r>
            <w:r w:rsidRPr="00306DFB">
              <w:rPr>
                <w:b/>
              </w:rPr>
              <w:t>min infusion</w:t>
            </w:r>
            <w:r w:rsidRPr="009412FD">
              <w:t xml:space="preserve"> once daily</w:t>
            </w:r>
            <w:r>
              <w:t xml:space="preserve"> or </w:t>
            </w:r>
          </w:p>
          <w:p w14:paraId="26E59506" w14:textId="77777777" w:rsidR="006706ED" w:rsidRPr="009412FD" w:rsidRDefault="006706ED" w:rsidP="00147382">
            <w:pPr>
              <w:overflowPunct w:val="0"/>
              <w:autoSpaceDE w:val="0"/>
              <w:autoSpaceDN w:val="0"/>
              <w:adjustRightInd w:val="0"/>
              <w:spacing w:line="276" w:lineRule="auto"/>
            </w:pPr>
            <w:r>
              <w:t>as an IV injection i.e. 1g dose over 5 minutes or at a rate of 2ml/minute (</w:t>
            </w:r>
            <w:r>
              <w:rPr>
                <w:rStyle w:val="cf01"/>
              </w:rPr>
              <w:t>https://aidh.hcn.com.au/browse/e/ertapenem)</w:t>
            </w:r>
          </w:p>
        </w:tc>
      </w:tr>
      <w:tr w:rsidR="006706ED" w:rsidRPr="009412FD" w14:paraId="7890235E" w14:textId="77777777" w:rsidTr="00147382">
        <w:tc>
          <w:tcPr>
            <w:tcW w:w="2987" w:type="dxa"/>
            <w:tcBorders>
              <w:top w:val="single" w:sz="4" w:space="0" w:color="auto"/>
              <w:left w:val="single" w:sz="4" w:space="0" w:color="auto"/>
              <w:bottom w:val="single" w:sz="4" w:space="0" w:color="auto"/>
              <w:right w:val="single" w:sz="4" w:space="0" w:color="auto"/>
            </w:tcBorders>
          </w:tcPr>
          <w:p w14:paraId="2ADB5081" w14:textId="77777777" w:rsidR="006706ED" w:rsidRPr="00591356" w:rsidRDefault="006706ED" w:rsidP="00147382">
            <w:pPr>
              <w:overflowPunct w:val="0"/>
              <w:autoSpaceDE w:val="0"/>
              <w:autoSpaceDN w:val="0"/>
              <w:adjustRightInd w:val="0"/>
              <w:spacing w:line="276" w:lineRule="auto"/>
            </w:pPr>
            <w:r>
              <w:rPr>
                <w:color w:val="FF0000"/>
              </w:rPr>
              <w:t>Cefepime</w:t>
            </w:r>
            <w:r>
              <w:t>*</w:t>
            </w:r>
          </w:p>
        </w:tc>
        <w:tc>
          <w:tcPr>
            <w:tcW w:w="6080" w:type="dxa"/>
            <w:tcBorders>
              <w:top w:val="single" w:sz="4" w:space="0" w:color="auto"/>
              <w:left w:val="single" w:sz="4" w:space="0" w:color="auto"/>
              <w:bottom w:val="single" w:sz="4" w:space="0" w:color="auto"/>
              <w:right w:val="single" w:sz="4" w:space="0" w:color="auto"/>
            </w:tcBorders>
          </w:tcPr>
          <w:p w14:paraId="3AAC218E" w14:textId="77777777" w:rsidR="006706ED" w:rsidRPr="009412FD" w:rsidRDefault="006706ED" w:rsidP="00147382">
            <w:pPr>
              <w:overflowPunct w:val="0"/>
              <w:autoSpaceDE w:val="0"/>
              <w:autoSpaceDN w:val="0"/>
              <w:adjustRightInd w:val="0"/>
              <w:spacing w:line="276" w:lineRule="auto"/>
            </w:pPr>
            <w:r>
              <w:t xml:space="preserve">3g bd given as </w:t>
            </w:r>
            <w:r w:rsidRPr="00591356">
              <w:rPr>
                <w:b/>
                <w:bCs/>
              </w:rPr>
              <w:t>2 x 12</w:t>
            </w:r>
            <w:r>
              <w:rPr>
                <w:b/>
                <w:bCs/>
              </w:rPr>
              <w:t>-</w:t>
            </w:r>
            <w:r w:rsidRPr="00591356">
              <w:rPr>
                <w:b/>
                <w:bCs/>
              </w:rPr>
              <w:t>hour infusions</w:t>
            </w:r>
            <w:r>
              <w:t xml:space="preserve"> daily (total daily dose 6g). Use ice pack in carry bag at all times to increase stability. Electronic infuser to be used rather than elastomeric</w:t>
            </w:r>
          </w:p>
        </w:tc>
      </w:tr>
      <w:tr w:rsidR="006706ED" w:rsidRPr="009412FD" w14:paraId="56936BBD" w14:textId="77777777" w:rsidTr="00147382">
        <w:tc>
          <w:tcPr>
            <w:tcW w:w="2987" w:type="dxa"/>
            <w:tcBorders>
              <w:top w:val="single" w:sz="4" w:space="0" w:color="auto"/>
              <w:left w:val="single" w:sz="4" w:space="0" w:color="auto"/>
              <w:bottom w:val="single" w:sz="4" w:space="0" w:color="auto"/>
              <w:right w:val="single" w:sz="4" w:space="0" w:color="auto"/>
            </w:tcBorders>
          </w:tcPr>
          <w:p w14:paraId="4CA9C4BC" w14:textId="77777777" w:rsidR="006706ED" w:rsidRDefault="006706ED" w:rsidP="00147382">
            <w:pPr>
              <w:overflowPunct w:val="0"/>
              <w:autoSpaceDE w:val="0"/>
              <w:autoSpaceDN w:val="0"/>
              <w:adjustRightInd w:val="0"/>
              <w:spacing w:line="276" w:lineRule="auto"/>
              <w:rPr>
                <w:color w:val="FF0000"/>
              </w:rPr>
            </w:pPr>
            <w:r w:rsidRPr="00310D6D">
              <w:rPr>
                <w:color w:val="FF0000"/>
              </w:rPr>
              <w:t>Amphotericin</w:t>
            </w:r>
            <w:r>
              <w:t xml:space="preserve"> </w:t>
            </w:r>
            <w:r w:rsidRPr="00310D6D">
              <w:rPr>
                <w:color w:val="FF0000"/>
              </w:rPr>
              <w:t>B liposomal</w:t>
            </w:r>
          </w:p>
          <w:p w14:paraId="27ED363E" w14:textId="77777777" w:rsidR="006706ED" w:rsidRPr="00781D30" w:rsidRDefault="006706ED" w:rsidP="00147382">
            <w:pPr>
              <w:overflowPunct w:val="0"/>
              <w:autoSpaceDE w:val="0"/>
              <w:autoSpaceDN w:val="0"/>
              <w:adjustRightInd w:val="0"/>
              <w:spacing w:line="276" w:lineRule="auto"/>
              <w:rPr>
                <w:i/>
                <w:iCs/>
              </w:rPr>
            </w:pPr>
            <w:r w:rsidRPr="00781D30">
              <w:rPr>
                <w:i/>
                <w:iCs/>
              </w:rPr>
              <w:t xml:space="preserve">Monitor </w:t>
            </w:r>
            <w:r>
              <w:rPr>
                <w:i/>
                <w:iCs/>
              </w:rPr>
              <w:t>Full Blood Count/ Urea Electrolytes &amp; Creatinine/Magnesium/ Liver Function Tests</w:t>
            </w:r>
          </w:p>
        </w:tc>
        <w:tc>
          <w:tcPr>
            <w:tcW w:w="6080" w:type="dxa"/>
            <w:tcBorders>
              <w:top w:val="single" w:sz="4" w:space="0" w:color="auto"/>
              <w:left w:val="single" w:sz="4" w:space="0" w:color="auto"/>
              <w:bottom w:val="single" w:sz="4" w:space="0" w:color="auto"/>
              <w:right w:val="single" w:sz="4" w:space="0" w:color="auto"/>
            </w:tcBorders>
          </w:tcPr>
          <w:p w14:paraId="5246A91C" w14:textId="77777777" w:rsidR="006706ED" w:rsidRDefault="006706ED" w:rsidP="00147382">
            <w:pPr>
              <w:overflowPunct w:val="0"/>
              <w:autoSpaceDE w:val="0"/>
              <w:autoSpaceDN w:val="0"/>
              <w:adjustRightInd w:val="0"/>
              <w:spacing w:line="276" w:lineRule="auto"/>
              <w:rPr>
                <w:b/>
                <w:bCs/>
              </w:rPr>
            </w:pPr>
            <w:r>
              <w:t xml:space="preserve">3-5mg/kg per day as once daily </w:t>
            </w:r>
            <w:r w:rsidRPr="00B625B6">
              <w:rPr>
                <w:b/>
                <w:bCs/>
              </w:rPr>
              <w:t>30-60 min infusion</w:t>
            </w:r>
          </w:p>
          <w:p w14:paraId="7BD28709" w14:textId="77777777" w:rsidR="006706ED" w:rsidRPr="00502AA8" w:rsidRDefault="006706ED" w:rsidP="00147382">
            <w:pPr>
              <w:overflowPunct w:val="0"/>
              <w:autoSpaceDE w:val="0"/>
              <w:autoSpaceDN w:val="0"/>
              <w:adjustRightInd w:val="0"/>
              <w:spacing w:line="276" w:lineRule="auto"/>
            </w:pPr>
            <w:r w:rsidRPr="00502AA8">
              <w:t xml:space="preserve">Higher doses may be used for more resistant infections – see </w:t>
            </w:r>
            <w:r>
              <w:t>CHS Febrile Neutropenia Management Guideline Section 8</w:t>
            </w:r>
          </w:p>
        </w:tc>
      </w:tr>
    </w:tbl>
    <w:p w14:paraId="70991B15" w14:textId="77777777" w:rsidR="006706ED" w:rsidRDefault="006706ED" w:rsidP="006706ED">
      <w:r w:rsidRPr="009412FD">
        <w:t xml:space="preserve">** renal function and </w:t>
      </w:r>
      <w:r>
        <w:t xml:space="preserve">therapeutic </w:t>
      </w:r>
      <w:r w:rsidRPr="009412FD">
        <w:t xml:space="preserve">drug </w:t>
      </w:r>
      <w:r>
        <w:t xml:space="preserve">level </w:t>
      </w:r>
      <w:r w:rsidRPr="009412FD">
        <w:t>monitoring required re dosing and potential for toxici</w:t>
      </w:r>
      <w:r>
        <w:t>ty</w:t>
      </w:r>
    </w:p>
    <w:p w14:paraId="3CB0E446" w14:textId="77777777" w:rsidR="006706ED" w:rsidRDefault="006706ED" w:rsidP="006706ED">
      <w:r>
        <w:t xml:space="preserve"> </w:t>
      </w:r>
      <w:r w:rsidRPr="009412FD">
        <w:t xml:space="preserve">*dosages may need to be altered in the presence of renal dysfunction </w:t>
      </w:r>
      <w:r>
        <w:t xml:space="preserve">  </w:t>
      </w:r>
    </w:p>
    <w:p w14:paraId="69321DC8" w14:textId="77777777" w:rsidR="006706ED" w:rsidRDefault="006706ED" w:rsidP="006706ED">
      <w:r>
        <w:t xml:space="preserve"> </w:t>
      </w:r>
      <w:r w:rsidRPr="009412FD">
        <w:t># dose adjustment necessar</w:t>
      </w:r>
      <w:r>
        <w:t>y with severe renal impairment</w:t>
      </w:r>
    </w:p>
    <w:p w14:paraId="42AD5F04" w14:textId="77777777" w:rsidR="006706ED" w:rsidRDefault="006706ED" w:rsidP="006706ED">
      <w:pPr>
        <w:jc w:val="right"/>
      </w:pPr>
    </w:p>
    <w:p w14:paraId="102302BC" w14:textId="77777777" w:rsidR="006706ED" w:rsidRDefault="006706ED" w:rsidP="006706ED">
      <w:pPr>
        <w:jc w:val="right"/>
        <w:rPr>
          <w:rFonts w:cs="Arial"/>
          <w:i/>
          <w:szCs w:val="24"/>
        </w:rPr>
      </w:pPr>
      <w:hyperlink w:anchor="Contents" w:history="1">
        <w:r w:rsidRPr="00590902">
          <w:rPr>
            <w:rStyle w:val="Hyperlink"/>
            <w:rFonts w:cs="Arial"/>
            <w:i/>
            <w:szCs w:val="24"/>
          </w:rPr>
          <w:t>Back to Table of Contents</w:t>
        </w:r>
      </w:hyperlink>
      <w:r>
        <w:rPr>
          <w:rFonts w:cs="Arial"/>
          <w:i/>
          <w:szCs w:val="24"/>
        </w:rPr>
        <w:t xml:space="preserve"> </w:t>
      </w:r>
    </w:p>
    <w:p w14:paraId="2A2C9774" w14:textId="77777777" w:rsidR="006706ED" w:rsidRPr="00D4155A" w:rsidRDefault="006706ED" w:rsidP="006706ED">
      <w:pPr>
        <w:jc w:val="right"/>
        <w:rPr>
          <w:rFonts w:cs="Arial"/>
          <w:i/>
          <w:szCs w:val="24"/>
        </w:rPr>
      </w:pPr>
    </w:p>
    <w:p w14:paraId="0BBAF69D" w14:textId="77777777" w:rsidR="006706ED" w:rsidRDefault="006706ED" w:rsidP="006706ED">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6706ED" w:rsidRPr="00CD1C0E" w14:paraId="2123362F" w14:textId="77777777" w:rsidTr="00147382">
        <w:trPr>
          <w:cantSplit/>
          <w:trHeight w:val="285"/>
        </w:trPr>
        <w:tc>
          <w:tcPr>
            <w:tcW w:w="9158" w:type="dxa"/>
            <w:shd w:val="clear" w:color="auto" w:fill="A6A6A6" w:themeFill="background1" w:themeFillShade="A6"/>
          </w:tcPr>
          <w:p w14:paraId="1E93A4BA" w14:textId="77777777" w:rsidR="006706ED" w:rsidRPr="00CD1C0E" w:rsidRDefault="006706ED" w:rsidP="00147382">
            <w:pPr>
              <w:pStyle w:val="Heading1"/>
            </w:pPr>
            <w:bookmarkStart w:id="26" w:name="_Toc112678511"/>
            <w:r>
              <w:t>Evaluation</w:t>
            </w:r>
            <w:bookmarkEnd w:id="26"/>
            <w:r>
              <w:t xml:space="preserve"> </w:t>
            </w:r>
          </w:p>
        </w:tc>
      </w:tr>
    </w:tbl>
    <w:p w14:paraId="5EE26EE8" w14:textId="77777777" w:rsidR="006706ED" w:rsidRDefault="006706ED" w:rsidP="006706ED">
      <w:pPr>
        <w:pStyle w:val="Default"/>
        <w:rPr>
          <w:rFonts w:ascii="Calibri" w:hAnsi="Calibri"/>
          <w:b/>
          <w:bCs/>
        </w:rPr>
      </w:pPr>
      <w:bookmarkStart w:id="27" w:name="_Hlk159334593"/>
      <w:r>
        <w:rPr>
          <w:rFonts w:ascii="Calibri" w:hAnsi="Calibri"/>
          <w:b/>
          <w:bCs/>
        </w:rPr>
        <w:t>Outcome</w:t>
      </w:r>
    </w:p>
    <w:p w14:paraId="2FC59F36" w14:textId="77777777" w:rsidR="006706ED" w:rsidRDefault="006706ED" w:rsidP="006706ED">
      <w:pPr>
        <w:pStyle w:val="Default"/>
        <w:rPr>
          <w:rFonts w:ascii="Calibri" w:hAnsi="Calibri"/>
        </w:rPr>
      </w:pPr>
      <w:r>
        <w:rPr>
          <w:rFonts w:ascii="Calibri" w:hAnsi="Calibri"/>
        </w:rPr>
        <w:t>Patients of the HITH service requiring antimicrobial therapy will have them prescribed and administered as directed by this procedure.</w:t>
      </w:r>
    </w:p>
    <w:p w14:paraId="4B79A7CB" w14:textId="77777777" w:rsidR="006706ED" w:rsidRPr="005A4DB7" w:rsidRDefault="006706ED" w:rsidP="006706ED">
      <w:pPr>
        <w:pStyle w:val="Default"/>
        <w:rPr>
          <w:rFonts w:ascii="Calibri" w:hAnsi="Calibri"/>
        </w:rPr>
      </w:pPr>
    </w:p>
    <w:p w14:paraId="1526F409" w14:textId="77777777" w:rsidR="006706ED" w:rsidRDefault="006706ED" w:rsidP="006706ED">
      <w:pPr>
        <w:pStyle w:val="Default"/>
        <w:rPr>
          <w:rFonts w:ascii="Calibri" w:hAnsi="Calibri"/>
          <w:b/>
          <w:bCs/>
        </w:rPr>
      </w:pPr>
      <w:r>
        <w:rPr>
          <w:rFonts w:ascii="Calibri" w:hAnsi="Calibri"/>
          <w:b/>
          <w:bCs/>
        </w:rPr>
        <w:t>Measure</w:t>
      </w:r>
    </w:p>
    <w:p w14:paraId="126CB638" w14:textId="77777777" w:rsidR="006706ED" w:rsidRPr="005A4DB7" w:rsidRDefault="006706ED" w:rsidP="006706ED">
      <w:pPr>
        <w:pStyle w:val="ListBullet"/>
      </w:pPr>
      <w:bookmarkStart w:id="28" w:name="_Hlk159334560"/>
      <w:r>
        <w:t xml:space="preserve">Review of rate of compliance to AMS Procedure through Red Dot and Orange Dot reporting for HITH. </w:t>
      </w:r>
    </w:p>
    <w:bookmarkEnd w:id="27"/>
    <w:bookmarkEnd w:id="28"/>
    <w:p w14:paraId="6F97379D" w14:textId="77777777" w:rsidR="006706ED" w:rsidRPr="00AC7025" w:rsidRDefault="006706ED" w:rsidP="006706ED">
      <w:pPr>
        <w:pStyle w:val="Default"/>
        <w:jc w:val="right"/>
        <w:rPr>
          <w:rFonts w:ascii="Calibri" w:hAnsi="Calibri" w:cs="Arial"/>
          <w:i/>
          <w:color w:val="auto"/>
          <w:lang w:eastAsia="en-US"/>
        </w:rPr>
      </w:pPr>
      <w:r>
        <w:fldChar w:fldCharType="begin"/>
      </w:r>
      <w:r>
        <w:instrText>HYPERLINK \l "Contents"</w:instrText>
      </w:r>
      <w:r>
        <w:fldChar w:fldCharType="separate"/>
      </w:r>
      <w:r w:rsidRPr="00590902">
        <w:rPr>
          <w:rStyle w:val="Hyperlink"/>
          <w:rFonts w:ascii="Calibri" w:hAnsi="Calibri" w:cs="Arial"/>
          <w:i/>
        </w:rPr>
        <w:t>Back to Table of Contents</w:t>
      </w:r>
      <w:r>
        <w:rPr>
          <w:rStyle w:val="Hyperlink"/>
          <w:rFonts w:ascii="Calibri" w:hAnsi="Calibri" w:cs="Arial"/>
          <w:i/>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6706ED" w:rsidRPr="00CD1C0E" w14:paraId="2E91C649" w14:textId="77777777" w:rsidTr="00147382">
        <w:trPr>
          <w:cantSplit/>
          <w:trHeight w:val="285"/>
        </w:trPr>
        <w:tc>
          <w:tcPr>
            <w:tcW w:w="9158" w:type="dxa"/>
            <w:shd w:val="clear" w:color="auto" w:fill="A6A6A6" w:themeFill="background1" w:themeFillShade="A6"/>
          </w:tcPr>
          <w:p w14:paraId="173D87DC" w14:textId="77777777" w:rsidR="006706ED" w:rsidRPr="00CD1C0E" w:rsidRDefault="006706ED" w:rsidP="00147382">
            <w:pPr>
              <w:pStyle w:val="Heading1"/>
            </w:pPr>
            <w:bookmarkStart w:id="29" w:name="_Toc389473287"/>
            <w:bookmarkStart w:id="30" w:name="_Toc112678512"/>
            <w:r>
              <w:t>Related Policies, Procedures</w:t>
            </w:r>
            <w:bookmarkEnd w:id="29"/>
            <w:r>
              <w:t>, Guidelines and Legislation</w:t>
            </w:r>
            <w:bookmarkEnd w:id="30"/>
          </w:p>
        </w:tc>
      </w:tr>
    </w:tbl>
    <w:p w14:paraId="29709D50" w14:textId="77777777" w:rsidR="006706ED" w:rsidRDefault="006706ED" w:rsidP="006706ED">
      <w:pPr>
        <w:rPr>
          <w:b/>
        </w:rPr>
      </w:pPr>
    </w:p>
    <w:p w14:paraId="604FC1C7" w14:textId="77777777" w:rsidR="006706ED" w:rsidRDefault="006706ED" w:rsidP="006706ED">
      <w:pPr>
        <w:rPr>
          <w:b/>
        </w:rPr>
      </w:pPr>
      <w:r>
        <w:rPr>
          <w:b/>
        </w:rPr>
        <w:t>Policies</w:t>
      </w:r>
    </w:p>
    <w:p w14:paraId="6EC9E694" w14:textId="77777777" w:rsidR="006706ED" w:rsidRDefault="006706ED" w:rsidP="006706ED">
      <w:pPr>
        <w:pStyle w:val="ListParagraph"/>
        <w:numPr>
          <w:ilvl w:val="0"/>
          <w:numId w:val="26"/>
        </w:numPr>
        <w:rPr>
          <w:bCs/>
        </w:rPr>
      </w:pPr>
      <w:r>
        <w:rPr>
          <w:bCs/>
        </w:rPr>
        <w:t xml:space="preserve">Medication Handling </w:t>
      </w:r>
    </w:p>
    <w:p w14:paraId="529F9C33" w14:textId="77777777" w:rsidR="006706ED" w:rsidRPr="00A22DFB" w:rsidRDefault="006706ED" w:rsidP="006706ED">
      <w:pPr>
        <w:pStyle w:val="ListParagraph"/>
        <w:ind w:left="360"/>
        <w:rPr>
          <w:bCs/>
        </w:rPr>
      </w:pPr>
    </w:p>
    <w:p w14:paraId="503821AD" w14:textId="77777777" w:rsidR="006706ED" w:rsidRPr="00201FB6" w:rsidRDefault="006706ED" w:rsidP="006706ED">
      <w:pPr>
        <w:rPr>
          <w:b/>
        </w:rPr>
      </w:pPr>
      <w:r w:rsidRPr="00201FB6">
        <w:rPr>
          <w:b/>
        </w:rPr>
        <w:t>Procedures</w:t>
      </w:r>
    </w:p>
    <w:p w14:paraId="1470B8D3" w14:textId="77777777" w:rsidR="006706ED" w:rsidRDefault="006706ED" w:rsidP="006706ED">
      <w:pPr>
        <w:numPr>
          <w:ilvl w:val="0"/>
          <w:numId w:val="3"/>
        </w:numPr>
        <w:ind w:left="360"/>
        <w:rPr>
          <w:rFonts w:cs="Arial"/>
          <w:szCs w:val="24"/>
        </w:rPr>
      </w:pPr>
      <w:r>
        <w:rPr>
          <w:rFonts w:cs="Arial"/>
          <w:szCs w:val="24"/>
        </w:rPr>
        <w:t>Antimicrobial Stewardship – Clinical Procedure</w:t>
      </w:r>
    </w:p>
    <w:p w14:paraId="436F3B5D" w14:textId="77777777" w:rsidR="006706ED" w:rsidRDefault="006706ED" w:rsidP="006706ED">
      <w:pPr>
        <w:numPr>
          <w:ilvl w:val="0"/>
          <w:numId w:val="3"/>
        </w:numPr>
        <w:ind w:left="360"/>
        <w:rPr>
          <w:rFonts w:cs="Arial"/>
          <w:szCs w:val="24"/>
        </w:rPr>
      </w:pPr>
      <w:r>
        <w:rPr>
          <w:rFonts w:cs="Arial"/>
          <w:szCs w:val="24"/>
        </w:rPr>
        <w:t>Antimicrobial Stewardship – Clinical Care Standard</w:t>
      </w:r>
    </w:p>
    <w:p w14:paraId="1D4527EB" w14:textId="77777777" w:rsidR="006706ED" w:rsidRDefault="006706ED" w:rsidP="006706ED">
      <w:pPr>
        <w:numPr>
          <w:ilvl w:val="0"/>
          <w:numId w:val="3"/>
        </w:numPr>
        <w:ind w:left="360"/>
        <w:rPr>
          <w:rFonts w:cs="Arial"/>
          <w:szCs w:val="24"/>
        </w:rPr>
      </w:pPr>
      <w:r w:rsidRPr="008E72A4">
        <w:rPr>
          <w:rFonts w:cs="Arial"/>
          <w:szCs w:val="24"/>
        </w:rPr>
        <w:t xml:space="preserve">Intravenous Dosing and Monitoring of Aminoglycosides (gentamicin, tobramycin and amikacin) in Adults </w:t>
      </w:r>
    </w:p>
    <w:p w14:paraId="011920A4" w14:textId="77777777" w:rsidR="006706ED" w:rsidRDefault="006706ED" w:rsidP="006706ED">
      <w:pPr>
        <w:numPr>
          <w:ilvl w:val="0"/>
          <w:numId w:val="3"/>
        </w:numPr>
        <w:ind w:left="360"/>
        <w:rPr>
          <w:rFonts w:cs="Arial"/>
          <w:szCs w:val="24"/>
        </w:rPr>
      </w:pPr>
      <w:r w:rsidRPr="00F92471">
        <w:rPr>
          <w:rFonts w:cs="Arial"/>
          <w:szCs w:val="24"/>
        </w:rPr>
        <w:t>Peripheral Intravenous Cannula (PIVC), Adults and Children (Not neonates)</w:t>
      </w:r>
      <w:r>
        <w:rPr>
          <w:rFonts w:cs="Arial"/>
          <w:szCs w:val="24"/>
        </w:rPr>
        <w:t xml:space="preserve"> </w:t>
      </w:r>
    </w:p>
    <w:p w14:paraId="3C05E4E2" w14:textId="77777777" w:rsidR="006706ED" w:rsidRDefault="006706ED" w:rsidP="006706ED">
      <w:pPr>
        <w:numPr>
          <w:ilvl w:val="0"/>
          <w:numId w:val="3"/>
        </w:numPr>
        <w:ind w:left="360"/>
        <w:rPr>
          <w:rFonts w:cs="Arial"/>
          <w:szCs w:val="24"/>
        </w:rPr>
      </w:pPr>
      <w:r>
        <w:rPr>
          <w:rFonts w:cs="Arial"/>
          <w:szCs w:val="24"/>
        </w:rPr>
        <w:t>Infection Prevention and Control</w:t>
      </w:r>
    </w:p>
    <w:p w14:paraId="492A7982" w14:textId="77777777" w:rsidR="006706ED" w:rsidRDefault="006706ED" w:rsidP="006706ED">
      <w:pPr>
        <w:numPr>
          <w:ilvl w:val="0"/>
          <w:numId w:val="3"/>
        </w:numPr>
        <w:ind w:left="360"/>
        <w:rPr>
          <w:rFonts w:cs="Arial"/>
          <w:szCs w:val="24"/>
        </w:rPr>
      </w:pPr>
      <w:r>
        <w:rPr>
          <w:rFonts w:cs="Arial"/>
          <w:szCs w:val="24"/>
        </w:rPr>
        <w:t>Administration of Antibiotics by Community Nurses – Adults Only</w:t>
      </w:r>
    </w:p>
    <w:p w14:paraId="7D84597F" w14:textId="77777777" w:rsidR="006706ED" w:rsidRDefault="006706ED" w:rsidP="006706ED">
      <w:pPr>
        <w:numPr>
          <w:ilvl w:val="0"/>
          <w:numId w:val="3"/>
        </w:numPr>
        <w:ind w:left="360"/>
        <w:rPr>
          <w:rFonts w:cs="Arial"/>
          <w:szCs w:val="24"/>
        </w:rPr>
      </w:pPr>
      <w:r>
        <w:rPr>
          <w:rFonts w:cs="Arial"/>
          <w:szCs w:val="24"/>
        </w:rPr>
        <w:t>Wound Prevention and Management</w:t>
      </w:r>
    </w:p>
    <w:p w14:paraId="596A6535" w14:textId="77777777" w:rsidR="006706ED" w:rsidRDefault="006706ED" w:rsidP="006706ED">
      <w:pPr>
        <w:numPr>
          <w:ilvl w:val="0"/>
          <w:numId w:val="3"/>
        </w:numPr>
        <w:ind w:left="360"/>
        <w:rPr>
          <w:rFonts w:cs="Arial"/>
          <w:szCs w:val="24"/>
        </w:rPr>
      </w:pPr>
      <w:r>
        <w:rPr>
          <w:rFonts w:cs="Arial"/>
          <w:szCs w:val="24"/>
        </w:rPr>
        <w:t>Patient Identification and Procedure Matching</w:t>
      </w:r>
    </w:p>
    <w:p w14:paraId="61B976B2" w14:textId="77777777" w:rsidR="006706ED" w:rsidRDefault="006706ED" w:rsidP="006706ED">
      <w:pPr>
        <w:numPr>
          <w:ilvl w:val="0"/>
          <w:numId w:val="3"/>
        </w:numPr>
        <w:ind w:left="360"/>
        <w:rPr>
          <w:rFonts w:cs="Arial"/>
          <w:szCs w:val="24"/>
        </w:rPr>
      </w:pPr>
      <w:r>
        <w:rPr>
          <w:rFonts w:cs="Arial"/>
          <w:szCs w:val="24"/>
        </w:rPr>
        <w:t>Febrile Neutropenia Management Guideline</w:t>
      </w:r>
    </w:p>
    <w:p w14:paraId="230B7FB4" w14:textId="77777777" w:rsidR="006706ED" w:rsidRDefault="006706ED" w:rsidP="006706ED">
      <w:pPr>
        <w:ind w:left="360"/>
        <w:rPr>
          <w:rFonts w:cs="Arial"/>
          <w:szCs w:val="24"/>
        </w:rPr>
      </w:pPr>
    </w:p>
    <w:p w14:paraId="0B2EEB98" w14:textId="77777777" w:rsidR="006706ED" w:rsidRDefault="006706ED" w:rsidP="006706ED">
      <w:pPr>
        <w:rPr>
          <w:rFonts w:cs="Arial"/>
          <w:b/>
          <w:bCs/>
          <w:szCs w:val="24"/>
        </w:rPr>
      </w:pPr>
      <w:r w:rsidRPr="00A22DFB">
        <w:rPr>
          <w:rFonts w:cs="Arial"/>
          <w:b/>
          <w:bCs/>
          <w:szCs w:val="24"/>
        </w:rPr>
        <w:t>Legislation</w:t>
      </w:r>
    </w:p>
    <w:p w14:paraId="2210D979" w14:textId="77777777" w:rsidR="006706ED" w:rsidRPr="00A22DFB" w:rsidRDefault="006706ED" w:rsidP="006706ED">
      <w:pPr>
        <w:pStyle w:val="ListParagraph"/>
        <w:numPr>
          <w:ilvl w:val="0"/>
          <w:numId w:val="27"/>
        </w:numPr>
        <w:rPr>
          <w:rFonts w:cs="Arial"/>
          <w:b/>
          <w:bCs/>
          <w:szCs w:val="24"/>
        </w:rPr>
      </w:pPr>
      <w:r w:rsidRPr="00A22DFB">
        <w:rPr>
          <w:rFonts w:cs="Arial"/>
          <w:i/>
          <w:iCs/>
          <w:szCs w:val="24"/>
        </w:rPr>
        <w:t>Medicines, Poisons and Therapeutic Goods Act</w:t>
      </w:r>
      <w:r>
        <w:rPr>
          <w:rFonts w:cs="Arial"/>
          <w:szCs w:val="24"/>
        </w:rPr>
        <w:t xml:space="preserve"> 2008</w:t>
      </w:r>
    </w:p>
    <w:p w14:paraId="7B73B3B8" w14:textId="77777777" w:rsidR="006706ED" w:rsidRPr="00A22DFB" w:rsidRDefault="006706ED" w:rsidP="006706ED">
      <w:pPr>
        <w:pStyle w:val="ListParagraph"/>
        <w:numPr>
          <w:ilvl w:val="0"/>
          <w:numId w:val="27"/>
        </w:numPr>
        <w:rPr>
          <w:rFonts w:cs="Arial"/>
          <w:b/>
          <w:bCs/>
          <w:szCs w:val="24"/>
        </w:rPr>
      </w:pPr>
      <w:r w:rsidRPr="00A22DFB">
        <w:rPr>
          <w:rFonts w:cs="Arial"/>
          <w:i/>
          <w:iCs/>
          <w:szCs w:val="24"/>
        </w:rPr>
        <w:t>Medicines, Poisons and Therapeutic Goods Regulation</w:t>
      </w:r>
      <w:r>
        <w:rPr>
          <w:rFonts w:cs="Arial"/>
          <w:szCs w:val="24"/>
        </w:rPr>
        <w:t xml:space="preserve"> 2008</w:t>
      </w:r>
    </w:p>
    <w:p w14:paraId="20C2A5F6" w14:textId="77777777" w:rsidR="006706ED" w:rsidRPr="00A22DFB" w:rsidRDefault="006706ED" w:rsidP="006706ED">
      <w:pPr>
        <w:pStyle w:val="ListParagraph"/>
        <w:numPr>
          <w:ilvl w:val="0"/>
          <w:numId w:val="27"/>
        </w:numPr>
        <w:rPr>
          <w:rFonts w:cs="Arial"/>
          <w:b/>
          <w:bCs/>
          <w:szCs w:val="24"/>
        </w:rPr>
      </w:pPr>
      <w:r w:rsidRPr="00A22DFB">
        <w:rPr>
          <w:rFonts w:cs="Arial"/>
          <w:i/>
          <w:iCs/>
          <w:szCs w:val="24"/>
        </w:rPr>
        <w:t>Health Practitioner Regulation Law (ACT) Act</w:t>
      </w:r>
      <w:r>
        <w:rPr>
          <w:rFonts w:cs="Arial"/>
          <w:szCs w:val="24"/>
        </w:rPr>
        <w:t xml:space="preserve"> 2010</w:t>
      </w:r>
    </w:p>
    <w:p w14:paraId="66659B9E" w14:textId="77777777" w:rsidR="006706ED" w:rsidRPr="00A22DFB" w:rsidRDefault="006706ED" w:rsidP="006706ED">
      <w:pPr>
        <w:pStyle w:val="ListParagraph"/>
        <w:numPr>
          <w:ilvl w:val="0"/>
          <w:numId w:val="27"/>
        </w:numPr>
        <w:rPr>
          <w:rFonts w:cs="Arial"/>
          <w:b/>
          <w:bCs/>
          <w:szCs w:val="24"/>
        </w:rPr>
      </w:pPr>
      <w:r w:rsidRPr="00A22DFB">
        <w:rPr>
          <w:rFonts w:cs="Arial"/>
          <w:i/>
          <w:iCs/>
          <w:szCs w:val="24"/>
        </w:rPr>
        <w:t>Work Health and Safety Act</w:t>
      </w:r>
      <w:r>
        <w:rPr>
          <w:rFonts w:cs="Arial"/>
          <w:szCs w:val="24"/>
        </w:rPr>
        <w:t xml:space="preserve"> 2011</w:t>
      </w:r>
    </w:p>
    <w:p w14:paraId="630FE0A7" w14:textId="77777777" w:rsidR="006706ED" w:rsidRPr="005A4DB7" w:rsidRDefault="006706ED" w:rsidP="006706ED">
      <w:pPr>
        <w:pStyle w:val="ListParagraph"/>
        <w:numPr>
          <w:ilvl w:val="0"/>
          <w:numId w:val="27"/>
        </w:numPr>
        <w:rPr>
          <w:rFonts w:cs="Arial"/>
          <w:b/>
          <w:bCs/>
          <w:szCs w:val="24"/>
        </w:rPr>
      </w:pPr>
      <w:r>
        <w:rPr>
          <w:rFonts w:cs="Arial"/>
          <w:i/>
          <w:iCs/>
          <w:szCs w:val="24"/>
        </w:rPr>
        <w:t xml:space="preserve">Public Health Act </w:t>
      </w:r>
      <w:r>
        <w:rPr>
          <w:rFonts w:cs="Arial"/>
          <w:szCs w:val="24"/>
        </w:rPr>
        <w:t>1997</w:t>
      </w:r>
    </w:p>
    <w:p w14:paraId="732A41DA" w14:textId="77777777" w:rsidR="006706ED" w:rsidRPr="005A4DB7" w:rsidRDefault="006706ED" w:rsidP="006706ED">
      <w:pPr>
        <w:pStyle w:val="ListParagraph"/>
        <w:numPr>
          <w:ilvl w:val="0"/>
          <w:numId w:val="27"/>
        </w:numPr>
        <w:rPr>
          <w:rFonts w:cs="Arial"/>
          <w:b/>
          <w:bCs/>
          <w:szCs w:val="24"/>
        </w:rPr>
      </w:pPr>
      <w:r>
        <w:rPr>
          <w:rFonts w:cs="Arial"/>
          <w:i/>
          <w:iCs/>
          <w:szCs w:val="24"/>
        </w:rPr>
        <w:t xml:space="preserve">Human Rights Act </w:t>
      </w:r>
      <w:r w:rsidRPr="005A4DB7">
        <w:rPr>
          <w:rFonts w:cs="Arial"/>
          <w:szCs w:val="24"/>
        </w:rPr>
        <w:t>2004</w:t>
      </w:r>
    </w:p>
    <w:p w14:paraId="372D4A92" w14:textId="77777777" w:rsidR="006706ED" w:rsidRPr="005A4DB7" w:rsidRDefault="006706ED" w:rsidP="006706ED">
      <w:pPr>
        <w:pStyle w:val="ListParagraph"/>
        <w:numPr>
          <w:ilvl w:val="0"/>
          <w:numId w:val="27"/>
        </w:numPr>
        <w:rPr>
          <w:rFonts w:cs="Arial"/>
          <w:b/>
          <w:bCs/>
          <w:szCs w:val="24"/>
        </w:rPr>
      </w:pPr>
      <w:r>
        <w:rPr>
          <w:rFonts w:cs="Arial"/>
          <w:i/>
          <w:iCs/>
          <w:szCs w:val="24"/>
        </w:rPr>
        <w:t xml:space="preserve">Health Records (Privacy and Access) Act </w:t>
      </w:r>
      <w:r w:rsidRPr="005A4DB7">
        <w:rPr>
          <w:rFonts w:cs="Arial"/>
          <w:szCs w:val="24"/>
        </w:rPr>
        <w:t>1994</w:t>
      </w:r>
    </w:p>
    <w:p w14:paraId="5F929EF9" w14:textId="77777777" w:rsidR="006706ED" w:rsidRDefault="006706ED" w:rsidP="006706ED">
      <w:pPr>
        <w:rPr>
          <w:rFonts w:cs="Arial"/>
          <w:szCs w:val="24"/>
        </w:rPr>
      </w:pPr>
    </w:p>
    <w:p w14:paraId="16E9B1CB" w14:textId="77777777" w:rsidR="006706ED" w:rsidRPr="005A4DB7" w:rsidRDefault="006706ED" w:rsidP="006706ED">
      <w:pPr>
        <w:rPr>
          <w:rFonts w:cs="Arial"/>
          <w:b/>
          <w:bCs/>
          <w:szCs w:val="24"/>
        </w:rPr>
      </w:pPr>
      <w:r w:rsidRPr="005A4DB7">
        <w:rPr>
          <w:rFonts w:cs="Arial"/>
          <w:b/>
          <w:bCs/>
          <w:szCs w:val="24"/>
        </w:rPr>
        <w:t>Other</w:t>
      </w:r>
    </w:p>
    <w:p w14:paraId="1E566B7A" w14:textId="77777777" w:rsidR="006706ED" w:rsidRDefault="006706ED" w:rsidP="006706ED">
      <w:pPr>
        <w:pStyle w:val="ListBullet"/>
      </w:pPr>
      <w:r>
        <w:t>Australian Charter of Healthcare Rights</w:t>
      </w:r>
    </w:p>
    <w:p w14:paraId="7465D9AB" w14:textId="77777777" w:rsidR="006706ED" w:rsidRDefault="006706ED" w:rsidP="006706ED">
      <w:pPr>
        <w:pStyle w:val="ListBullet"/>
      </w:pPr>
      <w:r w:rsidRPr="009412FD">
        <w:rPr>
          <w:rFonts w:cs="Times"/>
          <w:lang w:eastAsia="en-AU"/>
        </w:rPr>
        <w:t xml:space="preserve">Therapeutic Guidelines (Antibiotic) </w:t>
      </w:r>
      <w:hyperlink r:id="rId18" w:history="1">
        <w:r w:rsidRPr="004B04B8">
          <w:rPr>
            <w:rStyle w:val="Hyperlink"/>
            <w:rFonts w:cs="Times"/>
            <w:lang w:eastAsia="en-AU"/>
          </w:rPr>
          <w:t>https://tgldcdp.tg.org.au/topicTeaser?guidelinePage=Antibiotic&amp;etgAccess=true</w:t>
        </w:r>
      </w:hyperlink>
      <w:r>
        <w:t xml:space="preserve"> </w:t>
      </w:r>
    </w:p>
    <w:p w14:paraId="025C77BA" w14:textId="77777777" w:rsidR="006706ED" w:rsidRPr="008E72A4" w:rsidRDefault="006706ED" w:rsidP="006706ED">
      <w:pPr>
        <w:rPr>
          <w:rFonts w:cs="Arial"/>
          <w:szCs w:val="24"/>
        </w:rPr>
      </w:pPr>
    </w:p>
    <w:p w14:paraId="3069BEC3" w14:textId="77777777" w:rsidR="006706ED" w:rsidRDefault="006706ED" w:rsidP="006706ED">
      <w:pPr>
        <w:pStyle w:val="ListParagraph"/>
        <w:jc w:val="right"/>
        <w:rPr>
          <w:rStyle w:val="Hyperlink"/>
          <w:rFonts w:cs="Arial"/>
          <w:i/>
          <w:szCs w:val="24"/>
        </w:rPr>
      </w:pPr>
      <w:hyperlink w:anchor="Contents" w:history="1">
        <w:r w:rsidRPr="00590902">
          <w:rPr>
            <w:rStyle w:val="Hyperlink"/>
            <w:rFonts w:cs="Arial"/>
            <w:i/>
            <w:szCs w:val="24"/>
          </w:rPr>
          <w:t>Back to Table of Contents</w:t>
        </w:r>
      </w:hyperlink>
    </w:p>
    <w:p w14:paraId="63C80E6A" w14:textId="77777777" w:rsidR="006706ED" w:rsidRDefault="006706ED" w:rsidP="006706ED">
      <w:pPr>
        <w:pStyle w:val="ListParagraph"/>
        <w:jc w:val="right"/>
        <w:rPr>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6706ED" w:rsidRPr="00CD1C0E" w14:paraId="37BE30C5" w14:textId="77777777" w:rsidTr="00147382">
        <w:trPr>
          <w:cantSplit/>
          <w:trHeight w:val="285"/>
        </w:trPr>
        <w:tc>
          <w:tcPr>
            <w:tcW w:w="9158" w:type="dxa"/>
            <w:shd w:val="clear" w:color="auto" w:fill="A6A6A6" w:themeFill="background1" w:themeFillShade="A6"/>
          </w:tcPr>
          <w:p w14:paraId="0CDDE59B" w14:textId="77777777" w:rsidR="006706ED" w:rsidRPr="00CD1C0E" w:rsidRDefault="006706ED" w:rsidP="00147382">
            <w:pPr>
              <w:pStyle w:val="Heading1"/>
            </w:pPr>
            <w:bookmarkStart w:id="31" w:name="_Toc389473288"/>
            <w:bookmarkStart w:id="32" w:name="_Toc112678513"/>
            <w:r>
              <w:t>References</w:t>
            </w:r>
            <w:bookmarkEnd w:id="31"/>
            <w:bookmarkEnd w:id="32"/>
          </w:p>
        </w:tc>
      </w:tr>
    </w:tbl>
    <w:p w14:paraId="1661B7A8" w14:textId="77777777" w:rsidR="006706ED" w:rsidRPr="00DE4E25" w:rsidRDefault="006706ED" w:rsidP="006706ED">
      <w:pPr>
        <w:rPr>
          <w:rFonts w:asciiTheme="majorHAnsi" w:hAnsiTheme="majorHAnsi" w:cstheme="majorHAnsi"/>
          <w:szCs w:val="24"/>
        </w:rPr>
      </w:pPr>
      <w:bookmarkStart w:id="33" w:name="_Toc389131245"/>
    </w:p>
    <w:p w14:paraId="3DCF6373" w14:textId="77777777" w:rsidR="006706ED" w:rsidRPr="00DD2505" w:rsidRDefault="006706ED" w:rsidP="006706ED">
      <w:pPr>
        <w:pStyle w:val="ListParagraph"/>
        <w:numPr>
          <w:ilvl w:val="0"/>
          <w:numId w:val="25"/>
        </w:numPr>
        <w:overflowPunct w:val="0"/>
        <w:autoSpaceDE w:val="0"/>
        <w:autoSpaceDN w:val="0"/>
        <w:adjustRightInd w:val="0"/>
        <w:contextualSpacing w:val="0"/>
        <w:rPr>
          <w:rFonts w:asciiTheme="minorHAnsi" w:hAnsiTheme="minorHAnsi" w:cstheme="minorHAnsi"/>
          <w:szCs w:val="24"/>
        </w:rPr>
      </w:pPr>
      <w:r w:rsidRPr="007C011B">
        <w:rPr>
          <w:rFonts w:asciiTheme="minorHAnsi" w:hAnsiTheme="minorHAnsi" w:cstheme="minorHAnsi"/>
          <w:szCs w:val="24"/>
        </w:rPr>
        <w:t xml:space="preserve">Therapeutic Guidelines </w:t>
      </w:r>
      <w:hyperlink r:id="rId19" w:history="1">
        <w:r w:rsidRPr="007C011B">
          <w:rPr>
            <w:rFonts w:asciiTheme="minorHAnsi" w:hAnsiTheme="minorHAnsi" w:cstheme="minorHAnsi"/>
            <w:szCs w:val="24"/>
          </w:rPr>
          <w:t>eTG complete</w:t>
        </w:r>
      </w:hyperlink>
      <w:r w:rsidRPr="007C011B">
        <w:rPr>
          <w:rFonts w:asciiTheme="minorHAnsi" w:hAnsiTheme="minorHAnsi" w:cstheme="minorHAnsi"/>
          <w:szCs w:val="24"/>
        </w:rPr>
        <w:t xml:space="preserve"> </w:t>
      </w:r>
      <w:hyperlink r:id="rId20" w:history="1">
        <w:r>
          <w:rPr>
            <w:rStyle w:val="Hyperlink"/>
          </w:rPr>
          <w:t>Therapeutic Guidelines Home | Therapeutic Guidelines (tg.org.au)</w:t>
        </w:r>
      </w:hyperlink>
      <w:r w:rsidRPr="007C011B" w:rsidDel="00562D85">
        <w:rPr>
          <w:rFonts w:asciiTheme="minorHAnsi" w:hAnsiTheme="minorHAnsi" w:cstheme="minorHAnsi"/>
          <w:szCs w:val="24"/>
        </w:rPr>
        <w:t xml:space="preserve"> </w:t>
      </w:r>
    </w:p>
    <w:p w14:paraId="58270E30" w14:textId="77777777" w:rsidR="006706ED" w:rsidRPr="00DD2505" w:rsidRDefault="006706ED" w:rsidP="006706ED">
      <w:pPr>
        <w:pStyle w:val="ListParagraph"/>
        <w:numPr>
          <w:ilvl w:val="0"/>
          <w:numId w:val="25"/>
        </w:numPr>
        <w:overflowPunct w:val="0"/>
        <w:autoSpaceDE w:val="0"/>
        <w:autoSpaceDN w:val="0"/>
        <w:adjustRightInd w:val="0"/>
        <w:contextualSpacing w:val="0"/>
        <w:rPr>
          <w:rFonts w:asciiTheme="minorHAnsi" w:hAnsiTheme="minorHAnsi" w:cstheme="minorHAnsi"/>
          <w:szCs w:val="24"/>
        </w:rPr>
      </w:pPr>
      <w:r w:rsidRPr="00D4155A">
        <w:rPr>
          <w:rFonts w:asciiTheme="minorHAnsi" w:hAnsiTheme="minorHAnsi" w:cstheme="minorHAnsi"/>
          <w:szCs w:val="24"/>
        </w:rPr>
        <w:t xml:space="preserve">SHPA (Society of Hospital Pharmacists Australia) Australian Injectable Drugs Handbook </w:t>
      </w:r>
      <w:r>
        <w:rPr>
          <w:rFonts w:asciiTheme="minorHAnsi" w:hAnsiTheme="minorHAnsi" w:cstheme="minorHAnsi"/>
          <w:szCs w:val="24"/>
        </w:rPr>
        <w:t>8</w:t>
      </w:r>
      <w:r w:rsidRPr="00D4155A">
        <w:rPr>
          <w:rFonts w:asciiTheme="minorHAnsi" w:hAnsiTheme="minorHAnsi" w:cstheme="minorHAnsi"/>
          <w:szCs w:val="24"/>
          <w:vertAlign w:val="superscript"/>
        </w:rPr>
        <w:t>th</w:t>
      </w:r>
      <w:r w:rsidRPr="00D4155A">
        <w:rPr>
          <w:rFonts w:asciiTheme="minorHAnsi" w:hAnsiTheme="minorHAnsi" w:cstheme="minorHAnsi"/>
          <w:szCs w:val="24"/>
        </w:rPr>
        <w:t xml:space="preserve"> edition, </w:t>
      </w:r>
      <w:r>
        <w:rPr>
          <w:rFonts w:asciiTheme="minorHAnsi" w:hAnsiTheme="minorHAnsi" w:cstheme="minorHAnsi"/>
          <w:szCs w:val="24"/>
        </w:rPr>
        <w:t>March 2022</w:t>
      </w:r>
      <w:r w:rsidRPr="00D4155A">
        <w:rPr>
          <w:rFonts w:asciiTheme="minorHAnsi" w:hAnsiTheme="minorHAnsi" w:cstheme="minorHAnsi"/>
          <w:szCs w:val="24"/>
        </w:rPr>
        <w:t>. References to included antibiotics in document.</w:t>
      </w:r>
    </w:p>
    <w:p w14:paraId="6D58385A" w14:textId="77777777" w:rsidR="006706ED" w:rsidRPr="00DD2505" w:rsidRDefault="006706ED" w:rsidP="006706ED">
      <w:pPr>
        <w:pStyle w:val="ListParagraph"/>
        <w:numPr>
          <w:ilvl w:val="0"/>
          <w:numId w:val="25"/>
        </w:numPr>
        <w:overflowPunct w:val="0"/>
        <w:autoSpaceDE w:val="0"/>
        <w:autoSpaceDN w:val="0"/>
        <w:adjustRightInd w:val="0"/>
        <w:contextualSpacing w:val="0"/>
        <w:rPr>
          <w:rFonts w:asciiTheme="minorHAnsi" w:hAnsiTheme="minorHAnsi" w:cstheme="minorHAnsi"/>
          <w:szCs w:val="24"/>
        </w:rPr>
      </w:pPr>
      <w:r w:rsidRPr="00D4155A">
        <w:rPr>
          <w:rFonts w:asciiTheme="minorHAnsi" w:hAnsiTheme="minorHAnsi" w:cstheme="minorHAnsi"/>
          <w:szCs w:val="24"/>
        </w:rPr>
        <w:t>Australian Medicines Handbook online J</w:t>
      </w:r>
      <w:r>
        <w:rPr>
          <w:rFonts w:asciiTheme="minorHAnsi" w:hAnsiTheme="minorHAnsi" w:cstheme="minorHAnsi"/>
          <w:szCs w:val="24"/>
        </w:rPr>
        <w:t xml:space="preserve">anuary </w:t>
      </w:r>
      <w:r w:rsidRPr="00D4155A">
        <w:rPr>
          <w:rFonts w:asciiTheme="minorHAnsi" w:hAnsiTheme="minorHAnsi" w:cstheme="minorHAnsi"/>
          <w:szCs w:val="24"/>
        </w:rPr>
        <w:t>20</w:t>
      </w:r>
      <w:r>
        <w:rPr>
          <w:rFonts w:asciiTheme="minorHAnsi" w:hAnsiTheme="minorHAnsi" w:cstheme="minorHAnsi"/>
          <w:szCs w:val="24"/>
        </w:rPr>
        <w:t>22</w:t>
      </w:r>
    </w:p>
    <w:p w14:paraId="6C76CAA1" w14:textId="77777777" w:rsidR="006706ED" w:rsidRPr="00DD2505" w:rsidRDefault="006706ED" w:rsidP="006706ED">
      <w:pPr>
        <w:pStyle w:val="ListParagraph"/>
        <w:numPr>
          <w:ilvl w:val="0"/>
          <w:numId w:val="25"/>
        </w:numPr>
        <w:overflowPunct w:val="0"/>
        <w:autoSpaceDE w:val="0"/>
        <w:autoSpaceDN w:val="0"/>
        <w:adjustRightInd w:val="0"/>
        <w:contextualSpacing w:val="0"/>
        <w:rPr>
          <w:rFonts w:asciiTheme="minorHAnsi" w:hAnsiTheme="minorHAnsi" w:cstheme="minorHAnsi"/>
          <w:szCs w:val="24"/>
        </w:rPr>
      </w:pPr>
      <w:r w:rsidRPr="00D4155A">
        <w:rPr>
          <w:rFonts w:asciiTheme="minorHAnsi" w:hAnsiTheme="minorHAnsi" w:cstheme="minorHAnsi"/>
          <w:szCs w:val="24"/>
        </w:rPr>
        <w:t xml:space="preserve">Baxter Pharmacy Services app on Antibiotic Drug Suitability for Peripheral Infusion. Available via </w:t>
      </w:r>
      <w:hyperlink r:id="rId21" w:history="1">
        <w:r w:rsidRPr="00D4155A">
          <w:rPr>
            <w:rStyle w:val="Hyperlink"/>
            <w:rFonts w:asciiTheme="minorHAnsi" w:hAnsiTheme="minorHAnsi" w:cstheme="minorHAnsi"/>
            <w:szCs w:val="24"/>
          </w:rPr>
          <w:t>www.baxterprofessional.com.au</w:t>
        </w:r>
      </w:hyperlink>
      <w:r w:rsidRPr="00D4155A">
        <w:rPr>
          <w:rFonts w:asciiTheme="minorHAnsi" w:hAnsiTheme="minorHAnsi" w:cstheme="minorHAnsi"/>
          <w:szCs w:val="24"/>
        </w:rPr>
        <w:t xml:space="preserve"> </w:t>
      </w:r>
    </w:p>
    <w:p w14:paraId="24487F19" w14:textId="77777777" w:rsidR="006706ED" w:rsidRPr="00DD2505" w:rsidRDefault="006706ED" w:rsidP="006706ED">
      <w:pPr>
        <w:pStyle w:val="ListParagraph"/>
        <w:numPr>
          <w:ilvl w:val="0"/>
          <w:numId w:val="25"/>
        </w:numPr>
        <w:overflowPunct w:val="0"/>
        <w:autoSpaceDE w:val="0"/>
        <w:autoSpaceDN w:val="0"/>
        <w:adjustRightInd w:val="0"/>
        <w:contextualSpacing w:val="0"/>
        <w:rPr>
          <w:rFonts w:asciiTheme="minorHAnsi" w:hAnsiTheme="minorHAnsi" w:cstheme="minorHAnsi"/>
          <w:szCs w:val="24"/>
        </w:rPr>
      </w:pPr>
      <w:r w:rsidRPr="00D4155A">
        <w:rPr>
          <w:rFonts w:asciiTheme="minorHAnsi" w:hAnsiTheme="minorHAnsi" w:cstheme="minorHAnsi"/>
          <w:szCs w:val="24"/>
        </w:rPr>
        <w:t>E Bailey, M Birrell, R Fraser, S Lang, K O’Halloran, D Loader, C Tucker, B Wallis, A Fuller. Cephazolin use on the Alfred Hospital in the Home program from 2005 - 2016. The Alfred Health HITH experience. Alfred Hospital, Melbourne, Australia. Oral Presentation (OR 17) at 10th HITH Society Australasia Scientific Meeting 2018</w:t>
      </w:r>
    </w:p>
    <w:p w14:paraId="0C409842" w14:textId="77777777" w:rsidR="006706ED" w:rsidRPr="00DD2505" w:rsidRDefault="006706ED" w:rsidP="006706ED">
      <w:pPr>
        <w:pStyle w:val="ListParagraph"/>
        <w:numPr>
          <w:ilvl w:val="0"/>
          <w:numId w:val="25"/>
        </w:numPr>
        <w:overflowPunct w:val="0"/>
        <w:autoSpaceDE w:val="0"/>
        <w:autoSpaceDN w:val="0"/>
        <w:adjustRightInd w:val="0"/>
        <w:contextualSpacing w:val="0"/>
        <w:rPr>
          <w:rFonts w:asciiTheme="minorHAnsi" w:hAnsiTheme="minorHAnsi" w:cstheme="minorHAnsi"/>
          <w:szCs w:val="24"/>
        </w:rPr>
      </w:pPr>
      <w:r w:rsidRPr="00D4155A">
        <w:rPr>
          <w:rFonts w:asciiTheme="minorHAnsi" w:hAnsiTheme="minorHAnsi" w:cstheme="minorHAnsi"/>
          <w:szCs w:val="24"/>
        </w:rPr>
        <w:t xml:space="preserve">MIMS Online, </w:t>
      </w:r>
      <w:r>
        <w:rPr>
          <w:rFonts w:asciiTheme="minorHAnsi" w:hAnsiTheme="minorHAnsi" w:cstheme="minorHAnsi"/>
          <w:szCs w:val="24"/>
        </w:rPr>
        <w:t>May 2022</w:t>
      </w:r>
      <w:r w:rsidRPr="00D4155A">
        <w:rPr>
          <w:rFonts w:asciiTheme="minorHAnsi" w:hAnsiTheme="minorHAnsi" w:cstheme="minorHAnsi"/>
          <w:szCs w:val="24"/>
        </w:rPr>
        <w:t>.  Sections on included antibiotics in document.</w:t>
      </w:r>
    </w:p>
    <w:p w14:paraId="251DDBF8" w14:textId="77777777" w:rsidR="006706ED" w:rsidRPr="007C011B" w:rsidRDefault="006706ED" w:rsidP="006706ED">
      <w:pPr>
        <w:pStyle w:val="ListParagraph"/>
        <w:numPr>
          <w:ilvl w:val="0"/>
          <w:numId w:val="25"/>
        </w:numPr>
        <w:overflowPunct w:val="0"/>
        <w:autoSpaceDE w:val="0"/>
        <w:autoSpaceDN w:val="0"/>
        <w:adjustRightInd w:val="0"/>
        <w:contextualSpacing w:val="0"/>
        <w:rPr>
          <w:rFonts w:asciiTheme="minorHAnsi" w:hAnsiTheme="minorHAnsi" w:cstheme="minorHAnsi"/>
          <w:szCs w:val="24"/>
        </w:rPr>
      </w:pPr>
      <w:r w:rsidRPr="007C011B">
        <w:rPr>
          <w:rFonts w:asciiTheme="minorHAnsi" w:hAnsiTheme="minorHAnsi" w:cstheme="minorHAnsi"/>
          <w:szCs w:val="24"/>
          <w:lang w:val="en" w:eastAsia="en-AU"/>
        </w:rPr>
        <w:t>Figure 2:  IV to oral switch</w:t>
      </w:r>
      <w:r>
        <w:rPr>
          <w:rFonts w:asciiTheme="minorHAnsi" w:hAnsiTheme="minorHAnsi" w:cstheme="minorHAnsi"/>
          <w:szCs w:val="24"/>
          <w:lang w:val="en" w:eastAsia="en-AU"/>
        </w:rPr>
        <w:t>. Adapted from SA Health IV to Oral Switch Clinical Guideline for adult patients: Can antibiotics S.T.O.P. Version No 1.1 October 2017</w:t>
      </w:r>
    </w:p>
    <w:p w14:paraId="058C7138" w14:textId="77777777" w:rsidR="006706ED" w:rsidRPr="00275ADA" w:rsidRDefault="006706ED" w:rsidP="006706ED">
      <w:pPr>
        <w:overflowPunct w:val="0"/>
        <w:autoSpaceDE w:val="0"/>
        <w:autoSpaceDN w:val="0"/>
        <w:adjustRightInd w:val="0"/>
        <w:ind w:left="360"/>
        <w:rPr>
          <w:rFonts w:asciiTheme="minorHAnsi" w:hAnsiTheme="minorHAnsi" w:cstheme="minorHAnsi"/>
          <w:color w:val="0000FF"/>
          <w:szCs w:val="24"/>
          <w:u w:val="single"/>
          <w:lang w:val="en" w:eastAsia="en-AU"/>
        </w:rPr>
      </w:pPr>
      <w:hyperlink r:id="rId22" w:history="1">
        <w:r w:rsidRPr="00D4155A">
          <w:rPr>
            <w:rStyle w:val="Hyperlink"/>
            <w:rFonts w:asciiTheme="minorHAnsi" w:hAnsiTheme="minorHAnsi" w:cstheme="minorHAnsi"/>
            <w:szCs w:val="24"/>
            <w:lang w:val="en" w:eastAsia="en-AU"/>
          </w:rPr>
          <w:t>https://www.sahealth.sa.gov.au/wps/wcm/connect/86d0af8047ca4a108ca28dfc651ee2b2/IV+to+Oral+Switch+Guideline+for+Adult+Patients_Mar2015.pdf?MOD=AJPERES&amp;CACHE=NONE</w:t>
        </w:r>
      </w:hyperlink>
    </w:p>
    <w:bookmarkEnd w:id="33"/>
    <w:p w14:paraId="77E026B1" w14:textId="77777777" w:rsidR="006706ED" w:rsidRPr="00DE4E25" w:rsidRDefault="006706ED" w:rsidP="006706ED">
      <w:pPr>
        <w:jc w:val="right"/>
        <w:rPr>
          <w:szCs w:val="24"/>
        </w:rPr>
      </w:pPr>
    </w:p>
    <w:p w14:paraId="6D393ABA" w14:textId="77777777" w:rsidR="006706ED" w:rsidRDefault="006706ED" w:rsidP="006706ED">
      <w:pPr>
        <w:jc w:val="right"/>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706ED" w:rsidRPr="000F1F60" w14:paraId="4DDEB8B7" w14:textId="77777777" w:rsidTr="00147382">
        <w:trPr>
          <w:cantSplit/>
          <w:trHeight w:val="285"/>
        </w:trPr>
        <w:tc>
          <w:tcPr>
            <w:tcW w:w="9158" w:type="dxa"/>
            <w:shd w:val="clear" w:color="auto" w:fill="A6A6A6" w:themeFill="background1" w:themeFillShade="A6"/>
          </w:tcPr>
          <w:p w14:paraId="478ED719" w14:textId="77777777" w:rsidR="006706ED" w:rsidRPr="000F1F60" w:rsidRDefault="006706ED" w:rsidP="00147382">
            <w:pPr>
              <w:pStyle w:val="Heading1"/>
            </w:pPr>
            <w:bookmarkStart w:id="34" w:name="_Toc112678514"/>
            <w:r>
              <w:t>Definition of Terms</w:t>
            </w:r>
            <w:bookmarkEnd w:id="34"/>
            <w:r>
              <w:t xml:space="preserve"> </w:t>
            </w:r>
          </w:p>
        </w:tc>
      </w:tr>
    </w:tbl>
    <w:p w14:paraId="74612E20" w14:textId="77777777" w:rsidR="006706ED" w:rsidRDefault="006706ED" w:rsidP="006706ED">
      <w:pPr>
        <w:rPr>
          <w:rFonts w:cs="Arial"/>
          <w:szCs w:val="24"/>
        </w:rPr>
      </w:pPr>
    </w:p>
    <w:p w14:paraId="4F33862C" w14:textId="77777777" w:rsidR="006706ED" w:rsidRDefault="006706ED" w:rsidP="006706ED">
      <w:pPr>
        <w:rPr>
          <w:rFonts w:cs="Arial"/>
          <w:szCs w:val="24"/>
        </w:rPr>
      </w:pPr>
      <w:r w:rsidRPr="00DD2505">
        <w:rPr>
          <w:rFonts w:cs="Arial"/>
          <w:b/>
          <w:bCs/>
          <w:szCs w:val="24"/>
        </w:rPr>
        <w:t>Antimicrobial</w:t>
      </w:r>
      <w:r>
        <w:rPr>
          <w:rFonts w:cs="Arial"/>
          <w:szCs w:val="24"/>
        </w:rPr>
        <w:t>: An agent that is used against microorganisms/microbes or inhibits their growth</w:t>
      </w:r>
    </w:p>
    <w:p w14:paraId="06AF2C44" w14:textId="77777777" w:rsidR="006706ED" w:rsidRDefault="006706ED" w:rsidP="006706ED">
      <w:pPr>
        <w:rPr>
          <w:rFonts w:cs="Arial"/>
          <w:szCs w:val="24"/>
        </w:rPr>
      </w:pPr>
    </w:p>
    <w:p w14:paraId="0941DDDC" w14:textId="77777777" w:rsidR="006706ED" w:rsidRDefault="006706ED" w:rsidP="006706ED">
      <w:pPr>
        <w:rPr>
          <w:rFonts w:cs="Arial"/>
          <w:szCs w:val="24"/>
        </w:rPr>
      </w:pPr>
      <w:r w:rsidRPr="00DD2505">
        <w:rPr>
          <w:rFonts w:cs="Arial"/>
          <w:b/>
          <w:bCs/>
          <w:szCs w:val="24"/>
        </w:rPr>
        <w:t>Antibiotic</w:t>
      </w:r>
      <w:r>
        <w:rPr>
          <w:rFonts w:cs="Arial"/>
          <w:szCs w:val="24"/>
        </w:rPr>
        <w:t>: An agent that is used against bacteria or inhibits their growth</w:t>
      </w:r>
    </w:p>
    <w:p w14:paraId="3EE8FA64" w14:textId="77777777" w:rsidR="006706ED" w:rsidRDefault="006706ED" w:rsidP="006706ED">
      <w:pPr>
        <w:rPr>
          <w:rFonts w:cs="Arial"/>
          <w:szCs w:val="24"/>
        </w:rPr>
      </w:pPr>
    </w:p>
    <w:p w14:paraId="0ADAB462" w14:textId="77777777" w:rsidR="006706ED" w:rsidRDefault="006706ED" w:rsidP="006706ED">
      <w:r w:rsidRPr="00DD2505">
        <w:rPr>
          <w:b/>
          <w:bCs/>
        </w:rPr>
        <w:t>CrCL</w:t>
      </w:r>
      <w:r>
        <w:t>:</w:t>
      </w:r>
      <w:r>
        <w:tab/>
        <w:t xml:space="preserve">Creatinine Clearance </w:t>
      </w:r>
    </w:p>
    <w:p w14:paraId="0346D638" w14:textId="77777777" w:rsidR="006706ED" w:rsidRDefault="006706ED" w:rsidP="006706ED">
      <w:pPr>
        <w:rPr>
          <w:rFonts w:cs="Arial"/>
          <w:szCs w:val="24"/>
        </w:rPr>
      </w:pPr>
    </w:p>
    <w:p w14:paraId="4F94C1D0" w14:textId="77777777" w:rsidR="006706ED" w:rsidRDefault="006706ED" w:rsidP="006706ED">
      <w:pPr>
        <w:rPr>
          <w:rFonts w:cs="Arial"/>
          <w:szCs w:val="24"/>
        </w:rPr>
      </w:pPr>
      <w:r w:rsidRPr="00DD2505">
        <w:rPr>
          <w:rFonts w:cs="Arial"/>
          <w:b/>
          <w:bCs/>
          <w:szCs w:val="24"/>
        </w:rPr>
        <w:t>Hospital in the Home (HITH)</w:t>
      </w:r>
      <w:r>
        <w:rPr>
          <w:rFonts w:cs="Arial"/>
          <w:szCs w:val="24"/>
        </w:rPr>
        <w:t>: An acute hospital ward substitution service where hospital patients are inpatients in their own home.</w:t>
      </w:r>
    </w:p>
    <w:p w14:paraId="18DC2D7F" w14:textId="77777777" w:rsidR="006706ED" w:rsidRDefault="006706ED" w:rsidP="006706ED">
      <w:pPr>
        <w:rPr>
          <w:rFonts w:cs="Arial"/>
          <w:szCs w:val="24"/>
        </w:rPr>
      </w:pPr>
    </w:p>
    <w:p w14:paraId="51CA1EF4" w14:textId="77777777" w:rsidR="006706ED" w:rsidRDefault="006706ED" w:rsidP="006706ED">
      <w:pPr>
        <w:rPr>
          <w:rFonts w:cs="Arial"/>
          <w:szCs w:val="24"/>
        </w:rPr>
      </w:pPr>
      <w:r w:rsidRPr="00DD2505">
        <w:rPr>
          <w:rFonts w:cs="Arial"/>
          <w:b/>
          <w:bCs/>
          <w:szCs w:val="24"/>
        </w:rPr>
        <w:t>TDM</w:t>
      </w:r>
      <w:r>
        <w:rPr>
          <w:rFonts w:cs="Arial"/>
          <w:szCs w:val="24"/>
        </w:rPr>
        <w:t>:</w:t>
      </w:r>
      <w:r>
        <w:rPr>
          <w:rFonts w:cs="Arial"/>
          <w:szCs w:val="24"/>
        </w:rPr>
        <w:tab/>
        <w:t>Therapeutic Drug Monitoring</w:t>
      </w:r>
    </w:p>
    <w:p w14:paraId="52124ADC" w14:textId="77777777" w:rsidR="006706ED" w:rsidRPr="00F766E6" w:rsidRDefault="006706ED" w:rsidP="006706ED">
      <w:pPr>
        <w:jc w:val="right"/>
        <w:rPr>
          <w:rFonts w:cs="Calibri,Bold"/>
          <w:bCs/>
          <w:i/>
          <w:szCs w:val="24"/>
          <w:lang w:eastAsia="en-AU"/>
        </w:rPr>
      </w:pPr>
      <w:hyperlink w:anchor="Contents" w:history="1">
        <w:r w:rsidRPr="00590902">
          <w:rPr>
            <w:rStyle w:val="Hyperlink"/>
            <w:rFonts w:cs="Arial"/>
            <w:i/>
            <w:szCs w:val="24"/>
          </w:rPr>
          <w:t>Back to Table of Contents</w:t>
        </w:r>
      </w:hyperlink>
      <w:bookmarkStart w:id="35" w:name="_Toc389473290"/>
    </w:p>
    <w:tbl>
      <w:tblPr>
        <w:tblpPr w:leftFromText="180" w:rightFromText="180" w:vertAnchor="text" w:horzAnchor="margin" w:tblpY="181"/>
        <w:tblW w:w="9158" w:type="dxa"/>
        <w:tblLook w:val="0000" w:firstRow="0" w:lastRow="0" w:firstColumn="0" w:lastColumn="0" w:noHBand="0" w:noVBand="0"/>
      </w:tblPr>
      <w:tblGrid>
        <w:gridCol w:w="9158"/>
      </w:tblGrid>
      <w:tr w:rsidR="006706ED" w:rsidRPr="00CD1C0E" w14:paraId="6FC486A5" w14:textId="77777777" w:rsidTr="00147382">
        <w:trPr>
          <w:cantSplit/>
          <w:trHeight w:val="285"/>
        </w:trPr>
        <w:tc>
          <w:tcPr>
            <w:tcW w:w="9158" w:type="dxa"/>
            <w:shd w:val="clear" w:color="auto" w:fill="A6A6A6" w:themeFill="background1" w:themeFillShade="A6"/>
          </w:tcPr>
          <w:p w14:paraId="22CEBA0F" w14:textId="77777777" w:rsidR="006706ED" w:rsidRPr="00CD1C0E" w:rsidRDefault="006706ED" w:rsidP="00147382">
            <w:pPr>
              <w:pStyle w:val="Heading1"/>
            </w:pPr>
            <w:bookmarkStart w:id="36" w:name="_Toc112678515"/>
            <w:r>
              <w:t>Search Terms</w:t>
            </w:r>
            <w:bookmarkEnd w:id="35"/>
            <w:bookmarkEnd w:id="36"/>
            <w:r>
              <w:t xml:space="preserve"> </w:t>
            </w:r>
          </w:p>
        </w:tc>
      </w:tr>
    </w:tbl>
    <w:p w14:paraId="616E66CB" w14:textId="77777777" w:rsidR="006706ED" w:rsidRDefault="006706ED" w:rsidP="006706ED">
      <w:pPr>
        <w:rPr>
          <w:rFonts w:cs="Calibri,Bold"/>
          <w:bCs/>
          <w:szCs w:val="24"/>
          <w:lang w:eastAsia="en-AU"/>
        </w:rPr>
      </w:pPr>
    </w:p>
    <w:p w14:paraId="636A6784" w14:textId="77777777" w:rsidR="006706ED" w:rsidRDefault="006706ED" w:rsidP="006706ED">
      <w:pPr>
        <w:rPr>
          <w:rFonts w:cs="Calibri,Bold"/>
          <w:bCs/>
          <w:szCs w:val="24"/>
          <w:lang w:eastAsia="en-AU"/>
        </w:rPr>
      </w:pPr>
      <w:r w:rsidRPr="00C01E90">
        <w:rPr>
          <w:rFonts w:cs="Calibri,Bold"/>
          <w:bCs/>
          <w:szCs w:val="24"/>
          <w:lang w:eastAsia="en-AU"/>
        </w:rPr>
        <w:t>HITH</w:t>
      </w:r>
      <w:r>
        <w:rPr>
          <w:rFonts w:cs="Calibri,Bold"/>
          <w:bCs/>
          <w:szCs w:val="24"/>
          <w:lang w:eastAsia="en-AU"/>
        </w:rPr>
        <w:t xml:space="preserve">, </w:t>
      </w:r>
      <w:r w:rsidRPr="00C01E90">
        <w:rPr>
          <w:rFonts w:cs="Calibri,Bold"/>
          <w:bCs/>
          <w:szCs w:val="24"/>
          <w:lang w:eastAsia="en-AU"/>
        </w:rPr>
        <w:t>Hospital in the Home</w:t>
      </w:r>
      <w:r>
        <w:rPr>
          <w:rFonts w:cs="Calibri,Bold"/>
          <w:bCs/>
          <w:szCs w:val="24"/>
          <w:lang w:eastAsia="en-AU"/>
        </w:rPr>
        <w:t xml:space="preserve">, </w:t>
      </w:r>
      <w:r w:rsidRPr="00C01E90">
        <w:rPr>
          <w:rFonts w:cs="Calibri,Bold"/>
          <w:bCs/>
          <w:szCs w:val="24"/>
          <w:lang w:eastAsia="en-AU"/>
        </w:rPr>
        <w:t>Antibiotic</w:t>
      </w:r>
      <w:r>
        <w:rPr>
          <w:rFonts w:cs="Calibri,Bold"/>
          <w:bCs/>
          <w:szCs w:val="24"/>
          <w:lang w:eastAsia="en-AU"/>
        </w:rPr>
        <w:t>, antimicrobial, IV, intravenous, antibiotics, antimicrobials, oral</w:t>
      </w:r>
    </w:p>
    <w:p w14:paraId="041210C4" w14:textId="77777777" w:rsidR="006706ED" w:rsidRDefault="006706ED" w:rsidP="006706ED">
      <w:pPr>
        <w:rPr>
          <w:rFonts w:cs="Calibri,Bold"/>
          <w:bCs/>
          <w:szCs w:val="24"/>
          <w:lang w:eastAsia="en-AU"/>
        </w:rPr>
      </w:pPr>
    </w:p>
    <w:p w14:paraId="4419F290" w14:textId="77777777" w:rsidR="006706ED" w:rsidRPr="008202D3" w:rsidRDefault="006706ED" w:rsidP="006706ED">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327B6378" w14:textId="77777777" w:rsidR="006706ED" w:rsidRPr="008202D3" w:rsidRDefault="006706ED" w:rsidP="006706ED">
      <w:pPr>
        <w:rPr>
          <w:rFonts w:cs="Arial"/>
          <w:i/>
          <w:iCs/>
          <w:sz w:val="20"/>
        </w:rPr>
      </w:pPr>
    </w:p>
    <w:p w14:paraId="42A3AE50" w14:textId="77777777" w:rsidR="006706ED" w:rsidRPr="008202D3" w:rsidRDefault="006706ED" w:rsidP="006706ED">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6706ED" w:rsidRPr="008202D3" w14:paraId="4AFEAB60" w14:textId="77777777" w:rsidTr="00147382">
        <w:tc>
          <w:tcPr>
            <w:tcW w:w="2265" w:type="dxa"/>
          </w:tcPr>
          <w:p w14:paraId="1C6303FD" w14:textId="77777777" w:rsidR="006706ED" w:rsidRPr="008202D3" w:rsidRDefault="006706ED" w:rsidP="00147382">
            <w:pPr>
              <w:rPr>
                <w:i/>
                <w:sz w:val="20"/>
              </w:rPr>
            </w:pPr>
            <w:r w:rsidRPr="008202D3">
              <w:rPr>
                <w:i/>
                <w:sz w:val="20"/>
              </w:rPr>
              <w:t>Date Amended</w:t>
            </w:r>
          </w:p>
        </w:tc>
        <w:tc>
          <w:tcPr>
            <w:tcW w:w="2265" w:type="dxa"/>
          </w:tcPr>
          <w:p w14:paraId="1D9CBAFB" w14:textId="77777777" w:rsidR="006706ED" w:rsidRPr="008202D3" w:rsidRDefault="006706ED" w:rsidP="00147382">
            <w:pPr>
              <w:rPr>
                <w:i/>
                <w:sz w:val="20"/>
              </w:rPr>
            </w:pPr>
            <w:r w:rsidRPr="008202D3">
              <w:rPr>
                <w:i/>
                <w:sz w:val="20"/>
              </w:rPr>
              <w:t>Section Amended</w:t>
            </w:r>
          </w:p>
        </w:tc>
        <w:tc>
          <w:tcPr>
            <w:tcW w:w="2265" w:type="dxa"/>
          </w:tcPr>
          <w:p w14:paraId="20BE0042" w14:textId="77777777" w:rsidR="006706ED" w:rsidRPr="008202D3" w:rsidRDefault="006706ED" w:rsidP="00147382">
            <w:pPr>
              <w:rPr>
                <w:i/>
                <w:sz w:val="20"/>
              </w:rPr>
            </w:pPr>
            <w:r w:rsidRPr="008202D3">
              <w:rPr>
                <w:i/>
                <w:sz w:val="20"/>
              </w:rPr>
              <w:t>Divisional Approval</w:t>
            </w:r>
          </w:p>
        </w:tc>
        <w:tc>
          <w:tcPr>
            <w:tcW w:w="2265" w:type="dxa"/>
          </w:tcPr>
          <w:p w14:paraId="341CABFC" w14:textId="77777777" w:rsidR="006706ED" w:rsidRPr="008202D3" w:rsidRDefault="006706ED" w:rsidP="00147382">
            <w:pPr>
              <w:rPr>
                <w:i/>
                <w:sz w:val="20"/>
              </w:rPr>
            </w:pPr>
            <w:r w:rsidRPr="008202D3">
              <w:rPr>
                <w:i/>
                <w:sz w:val="20"/>
              </w:rPr>
              <w:t xml:space="preserve">Final Approval </w:t>
            </w:r>
          </w:p>
        </w:tc>
      </w:tr>
      <w:tr w:rsidR="006706ED" w:rsidRPr="008202D3" w14:paraId="59289CC4" w14:textId="77777777" w:rsidTr="00147382">
        <w:tc>
          <w:tcPr>
            <w:tcW w:w="2265" w:type="dxa"/>
          </w:tcPr>
          <w:p w14:paraId="270170FF" w14:textId="77777777" w:rsidR="006706ED" w:rsidRPr="008202D3" w:rsidRDefault="006706ED" w:rsidP="00147382">
            <w:pPr>
              <w:rPr>
                <w:i/>
                <w:sz w:val="20"/>
              </w:rPr>
            </w:pPr>
            <w:r>
              <w:rPr>
                <w:i/>
                <w:sz w:val="20"/>
              </w:rPr>
              <w:t>29/08/2022</w:t>
            </w:r>
          </w:p>
        </w:tc>
        <w:tc>
          <w:tcPr>
            <w:tcW w:w="2265" w:type="dxa"/>
          </w:tcPr>
          <w:p w14:paraId="7D58A86C" w14:textId="77777777" w:rsidR="006706ED" w:rsidRPr="008202D3" w:rsidRDefault="006706ED" w:rsidP="00147382">
            <w:pPr>
              <w:rPr>
                <w:i/>
                <w:sz w:val="20"/>
              </w:rPr>
            </w:pPr>
            <w:r>
              <w:rPr>
                <w:i/>
                <w:sz w:val="20"/>
              </w:rPr>
              <w:t>Full review</w:t>
            </w:r>
          </w:p>
        </w:tc>
        <w:tc>
          <w:tcPr>
            <w:tcW w:w="2265" w:type="dxa"/>
          </w:tcPr>
          <w:p w14:paraId="4D422381" w14:textId="77777777" w:rsidR="006706ED" w:rsidRPr="008202D3" w:rsidRDefault="006706ED" w:rsidP="00147382">
            <w:pPr>
              <w:rPr>
                <w:i/>
                <w:sz w:val="20"/>
              </w:rPr>
            </w:pPr>
            <w:r>
              <w:rPr>
                <w:i/>
                <w:sz w:val="20"/>
              </w:rPr>
              <w:t>Jacqui Taylor, ED Medicine</w:t>
            </w:r>
          </w:p>
        </w:tc>
        <w:tc>
          <w:tcPr>
            <w:tcW w:w="2265" w:type="dxa"/>
          </w:tcPr>
          <w:p w14:paraId="7D58F7D5" w14:textId="77777777" w:rsidR="006706ED" w:rsidRPr="008202D3" w:rsidRDefault="006706ED" w:rsidP="00147382">
            <w:pPr>
              <w:rPr>
                <w:i/>
                <w:sz w:val="20"/>
              </w:rPr>
            </w:pPr>
            <w:r>
              <w:rPr>
                <w:i/>
                <w:sz w:val="20"/>
              </w:rPr>
              <w:t xml:space="preserve">CHS Policy Committee </w:t>
            </w:r>
          </w:p>
        </w:tc>
      </w:tr>
      <w:tr w:rsidR="006706ED" w:rsidRPr="008202D3" w14:paraId="44455C34" w14:textId="77777777" w:rsidTr="00147382">
        <w:tc>
          <w:tcPr>
            <w:tcW w:w="2265" w:type="dxa"/>
          </w:tcPr>
          <w:p w14:paraId="0612E4BF" w14:textId="77777777" w:rsidR="006706ED" w:rsidRPr="008202D3" w:rsidRDefault="006706ED" w:rsidP="00147382">
            <w:pPr>
              <w:rPr>
                <w:i/>
                <w:sz w:val="20"/>
              </w:rPr>
            </w:pPr>
            <w:r>
              <w:rPr>
                <w:i/>
                <w:sz w:val="20"/>
              </w:rPr>
              <w:t>30/01/2023</w:t>
            </w:r>
          </w:p>
        </w:tc>
        <w:tc>
          <w:tcPr>
            <w:tcW w:w="2265" w:type="dxa"/>
          </w:tcPr>
          <w:p w14:paraId="1DDE2930" w14:textId="77777777" w:rsidR="006706ED" w:rsidRPr="008202D3" w:rsidRDefault="006706ED" w:rsidP="00147382">
            <w:pPr>
              <w:rPr>
                <w:i/>
                <w:sz w:val="20"/>
              </w:rPr>
            </w:pPr>
            <w:r>
              <w:rPr>
                <w:i/>
                <w:sz w:val="20"/>
              </w:rPr>
              <w:t>Amendments made related to DHR</w:t>
            </w:r>
          </w:p>
        </w:tc>
        <w:tc>
          <w:tcPr>
            <w:tcW w:w="2265" w:type="dxa"/>
          </w:tcPr>
          <w:p w14:paraId="6EDED9F2" w14:textId="77777777" w:rsidR="006706ED" w:rsidRPr="008202D3" w:rsidRDefault="006706ED" w:rsidP="00147382">
            <w:pPr>
              <w:rPr>
                <w:i/>
                <w:sz w:val="20"/>
              </w:rPr>
            </w:pPr>
            <w:r w:rsidRPr="00DD79AA">
              <w:rPr>
                <w:i/>
                <w:sz w:val="20"/>
              </w:rPr>
              <w:t>Louisa Andrews HITH CNC</w:t>
            </w:r>
          </w:p>
        </w:tc>
        <w:tc>
          <w:tcPr>
            <w:tcW w:w="2265" w:type="dxa"/>
          </w:tcPr>
          <w:p w14:paraId="765C0C00" w14:textId="77777777" w:rsidR="006706ED" w:rsidRPr="008202D3" w:rsidRDefault="006706ED" w:rsidP="00147382">
            <w:pPr>
              <w:rPr>
                <w:i/>
                <w:sz w:val="20"/>
              </w:rPr>
            </w:pPr>
            <w:r>
              <w:rPr>
                <w:i/>
                <w:sz w:val="20"/>
              </w:rPr>
              <w:t>CHS Policy Team</w:t>
            </w:r>
          </w:p>
        </w:tc>
      </w:tr>
      <w:tr w:rsidR="00BF5E89" w:rsidRPr="008202D3" w14:paraId="45B67D6B" w14:textId="77777777" w:rsidTr="00147382">
        <w:tc>
          <w:tcPr>
            <w:tcW w:w="2265" w:type="dxa"/>
          </w:tcPr>
          <w:p w14:paraId="1BBF5A1C" w14:textId="6389A49C" w:rsidR="00BF5E89" w:rsidRDefault="00BF5E89" w:rsidP="00147382">
            <w:pPr>
              <w:rPr>
                <w:i/>
                <w:sz w:val="20"/>
              </w:rPr>
            </w:pPr>
            <w:r>
              <w:rPr>
                <w:i/>
                <w:sz w:val="20"/>
              </w:rPr>
              <w:t>03/04/2024</w:t>
            </w:r>
          </w:p>
        </w:tc>
        <w:tc>
          <w:tcPr>
            <w:tcW w:w="2265" w:type="dxa"/>
          </w:tcPr>
          <w:p w14:paraId="16F0A1D7" w14:textId="2848370B" w:rsidR="00BF5E89" w:rsidRDefault="00BF5E89" w:rsidP="00147382">
            <w:pPr>
              <w:rPr>
                <w:i/>
                <w:sz w:val="20"/>
              </w:rPr>
            </w:pPr>
            <w:r>
              <w:rPr>
                <w:i/>
                <w:sz w:val="20"/>
              </w:rPr>
              <w:t>Full Review</w:t>
            </w:r>
          </w:p>
        </w:tc>
        <w:tc>
          <w:tcPr>
            <w:tcW w:w="2265" w:type="dxa"/>
          </w:tcPr>
          <w:p w14:paraId="287D7B64" w14:textId="66BCE32B" w:rsidR="00BF5E89" w:rsidRPr="00DD79AA" w:rsidRDefault="00BF5E89" w:rsidP="00147382">
            <w:pPr>
              <w:rPr>
                <w:i/>
                <w:sz w:val="20"/>
              </w:rPr>
            </w:pPr>
            <w:r>
              <w:rPr>
                <w:i/>
                <w:sz w:val="20"/>
              </w:rPr>
              <w:t>CHS Policy Team</w:t>
            </w:r>
          </w:p>
        </w:tc>
        <w:tc>
          <w:tcPr>
            <w:tcW w:w="2265" w:type="dxa"/>
          </w:tcPr>
          <w:p w14:paraId="70F36D56" w14:textId="628A7D59" w:rsidR="00BF5E89" w:rsidRDefault="00BF5E89" w:rsidP="00147382">
            <w:pPr>
              <w:rPr>
                <w:i/>
                <w:sz w:val="20"/>
              </w:rPr>
            </w:pPr>
            <w:r>
              <w:rPr>
                <w:i/>
                <w:sz w:val="20"/>
              </w:rPr>
              <w:t>CHS Policy Team</w:t>
            </w:r>
          </w:p>
        </w:tc>
      </w:tr>
    </w:tbl>
    <w:p w14:paraId="33EF08A3" w14:textId="77777777" w:rsidR="006706ED" w:rsidRPr="008202D3" w:rsidRDefault="006706ED" w:rsidP="006706ED">
      <w:pPr>
        <w:rPr>
          <w:rFonts w:cs="Arial"/>
          <w:sz w:val="20"/>
        </w:rPr>
      </w:pPr>
    </w:p>
    <w:p w14:paraId="742B3592" w14:textId="77777777" w:rsidR="006706ED" w:rsidRPr="008202D3" w:rsidRDefault="006706ED" w:rsidP="006706ED">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706ED" w:rsidRPr="008202D3" w14:paraId="67443862" w14:textId="77777777" w:rsidTr="00147382">
        <w:tc>
          <w:tcPr>
            <w:tcW w:w="2122" w:type="dxa"/>
          </w:tcPr>
          <w:p w14:paraId="38B31282" w14:textId="77777777" w:rsidR="006706ED" w:rsidRPr="008202D3" w:rsidRDefault="006706ED" w:rsidP="00147382">
            <w:pPr>
              <w:rPr>
                <w:i/>
                <w:sz w:val="20"/>
              </w:rPr>
            </w:pPr>
            <w:r w:rsidRPr="008202D3">
              <w:rPr>
                <w:i/>
                <w:sz w:val="20"/>
              </w:rPr>
              <w:t>Document Number</w:t>
            </w:r>
          </w:p>
        </w:tc>
        <w:tc>
          <w:tcPr>
            <w:tcW w:w="6938" w:type="dxa"/>
          </w:tcPr>
          <w:p w14:paraId="48D9D16E" w14:textId="77777777" w:rsidR="006706ED" w:rsidRPr="008202D3" w:rsidRDefault="006706ED" w:rsidP="00147382">
            <w:pPr>
              <w:rPr>
                <w:i/>
                <w:sz w:val="20"/>
              </w:rPr>
            </w:pPr>
            <w:r w:rsidRPr="008202D3">
              <w:rPr>
                <w:i/>
                <w:sz w:val="20"/>
              </w:rPr>
              <w:t>Document Name</w:t>
            </w:r>
          </w:p>
        </w:tc>
      </w:tr>
      <w:tr w:rsidR="006706ED" w:rsidRPr="008202D3" w14:paraId="0F3A256C" w14:textId="77777777" w:rsidTr="00147382">
        <w:tc>
          <w:tcPr>
            <w:tcW w:w="2122" w:type="dxa"/>
          </w:tcPr>
          <w:p w14:paraId="3F33F61F" w14:textId="77777777" w:rsidR="006706ED" w:rsidRPr="008202D3" w:rsidRDefault="006706ED" w:rsidP="00147382">
            <w:pPr>
              <w:rPr>
                <w:i/>
                <w:sz w:val="20"/>
              </w:rPr>
            </w:pPr>
          </w:p>
        </w:tc>
        <w:tc>
          <w:tcPr>
            <w:tcW w:w="6938" w:type="dxa"/>
          </w:tcPr>
          <w:p w14:paraId="4775DA07" w14:textId="77777777" w:rsidR="006706ED" w:rsidRPr="008202D3" w:rsidRDefault="006706ED" w:rsidP="00147382">
            <w:pPr>
              <w:rPr>
                <w:i/>
                <w:sz w:val="20"/>
              </w:rPr>
            </w:pPr>
          </w:p>
        </w:tc>
      </w:tr>
      <w:tr w:rsidR="006706ED" w:rsidRPr="008202D3" w14:paraId="7400C8CB" w14:textId="77777777" w:rsidTr="00147382">
        <w:tc>
          <w:tcPr>
            <w:tcW w:w="2122" w:type="dxa"/>
          </w:tcPr>
          <w:p w14:paraId="44BA62C5" w14:textId="77777777" w:rsidR="006706ED" w:rsidRPr="008202D3" w:rsidRDefault="006706ED" w:rsidP="00147382">
            <w:pPr>
              <w:rPr>
                <w:i/>
                <w:sz w:val="20"/>
              </w:rPr>
            </w:pPr>
          </w:p>
        </w:tc>
        <w:tc>
          <w:tcPr>
            <w:tcW w:w="6938" w:type="dxa"/>
          </w:tcPr>
          <w:p w14:paraId="3D6C04CC" w14:textId="77777777" w:rsidR="006706ED" w:rsidRPr="008202D3" w:rsidRDefault="006706ED" w:rsidP="00147382">
            <w:pPr>
              <w:rPr>
                <w:i/>
                <w:sz w:val="20"/>
              </w:rPr>
            </w:pPr>
          </w:p>
        </w:tc>
      </w:tr>
    </w:tbl>
    <w:p w14:paraId="5D2406E9" w14:textId="77777777" w:rsidR="006706ED" w:rsidRPr="00010E74" w:rsidRDefault="006706ED" w:rsidP="006706ED">
      <w:pPr>
        <w:rPr>
          <w:i/>
          <w:sz w:val="20"/>
          <w:szCs w:val="24"/>
        </w:rPr>
      </w:pPr>
    </w:p>
    <w:p w14:paraId="4A29F987" w14:textId="77777777" w:rsidR="006706ED" w:rsidRDefault="006706ED" w:rsidP="006706ED">
      <w:pPr>
        <w:rPr>
          <w:rFonts w:cs="Arial"/>
          <w:szCs w:val="24"/>
        </w:rPr>
      </w:pPr>
    </w:p>
    <w:p w14:paraId="2F51A905" w14:textId="77777777" w:rsidR="00395E36" w:rsidRDefault="00395E36" w:rsidP="006706ED">
      <w:pPr>
        <w:rPr>
          <w:rFonts w:cs="Arial"/>
          <w:szCs w:val="24"/>
        </w:rPr>
      </w:pPr>
    </w:p>
    <w:sectPr w:rsidR="00395E36" w:rsidSect="00866B30">
      <w:headerReference w:type="default" r:id="rId23"/>
      <w:footerReference w:type="default" r:id="rId24"/>
      <w:pgSz w:w="11906" w:h="16838" w:code="9"/>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8727E" w14:textId="77777777" w:rsidR="00866B30" w:rsidRDefault="00866B30" w:rsidP="00F66CB0">
      <w:r>
        <w:separator/>
      </w:r>
    </w:p>
  </w:endnote>
  <w:endnote w:type="continuationSeparator" w:id="0">
    <w:p w14:paraId="7619A781" w14:textId="77777777" w:rsidR="00866B30" w:rsidRDefault="00866B30" w:rsidP="00F66CB0">
      <w:r>
        <w:continuationSeparator/>
      </w:r>
    </w:p>
  </w:endnote>
  <w:endnote w:type="continuationNotice" w:id="1">
    <w:p w14:paraId="06C9F344" w14:textId="77777777" w:rsidR="00866B30" w:rsidRDefault="00866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GillSans-Light">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B5528A" w:rsidRPr="00AE7C5C" w14:paraId="2F51A914" w14:textId="77777777" w:rsidTr="005E1140">
      <w:tc>
        <w:tcPr>
          <w:tcW w:w="1515" w:type="dxa"/>
        </w:tcPr>
        <w:p w14:paraId="2F51A90E" w14:textId="77777777" w:rsidR="00B5528A" w:rsidRPr="00B3752F" w:rsidRDefault="00B5528A" w:rsidP="004213C3">
          <w:pPr>
            <w:pStyle w:val="Footer"/>
            <w:rPr>
              <w:rFonts w:cs="Arial"/>
              <w:b/>
              <w:bCs/>
              <w:i/>
              <w:sz w:val="20"/>
            </w:rPr>
          </w:pPr>
          <w:r w:rsidRPr="00B3752F">
            <w:rPr>
              <w:rFonts w:cs="Arial"/>
              <w:b/>
              <w:bCs/>
              <w:i/>
              <w:sz w:val="20"/>
            </w:rPr>
            <w:t>Doc Number</w:t>
          </w:r>
        </w:p>
      </w:tc>
      <w:tc>
        <w:tcPr>
          <w:tcW w:w="965" w:type="dxa"/>
        </w:tcPr>
        <w:p w14:paraId="2F51A90F" w14:textId="77777777" w:rsidR="00B5528A" w:rsidRPr="00B3752F" w:rsidRDefault="00B5528A" w:rsidP="004213C3">
          <w:pPr>
            <w:pStyle w:val="Footer"/>
            <w:rPr>
              <w:rFonts w:cs="Arial"/>
              <w:b/>
              <w:bCs/>
              <w:i/>
              <w:sz w:val="20"/>
            </w:rPr>
          </w:pPr>
          <w:r w:rsidRPr="00B3752F">
            <w:rPr>
              <w:rFonts w:cs="Arial"/>
              <w:b/>
              <w:bCs/>
              <w:i/>
              <w:sz w:val="20"/>
            </w:rPr>
            <w:t>Version</w:t>
          </w:r>
        </w:p>
      </w:tc>
      <w:tc>
        <w:tcPr>
          <w:tcW w:w="1552" w:type="dxa"/>
        </w:tcPr>
        <w:p w14:paraId="2F51A910" w14:textId="77777777" w:rsidR="00B5528A" w:rsidRPr="00B3752F" w:rsidRDefault="00B5528A" w:rsidP="004213C3">
          <w:pPr>
            <w:pStyle w:val="Footer"/>
            <w:rPr>
              <w:rFonts w:cs="Arial"/>
              <w:b/>
              <w:bCs/>
              <w:i/>
              <w:sz w:val="20"/>
            </w:rPr>
          </w:pPr>
          <w:r w:rsidRPr="00B3752F">
            <w:rPr>
              <w:rFonts w:cs="Arial"/>
              <w:b/>
              <w:bCs/>
              <w:i/>
              <w:sz w:val="20"/>
            </w:rPr>
            <w:t>Issued</w:t>
          </w:r>
        </w:p>
      </w:tc>
      <w:tc>
        <w:tcPr>
          <w:tcW w:w="1456" w:type="dxa"/>
        </w:tcPr>
        <w:p w14:paraId="2F51A911" w14:textId="77777777" w:rsidR="00B5528A" w:rsidRPr="00B3752F" w:rsidRDefault="00B5528A" w:rsidP="004213C3">
          <w:pPr>
            <w:pStyle w:val="Footer"/>
            <w:rPr>
              <w:rFonts w:cs="Arial"/>
              <w:b/>
              <w:bCs/>
              <w:i/>
              <w:sz w:val="20"/>
            </w:rPr>
          </w:pPr>
          <w:r w:rsidRPr="00B3752F">
            <w:rPr>
              <w:rFonts w:cs="Arial"/>
              <w:b/>
              <w:bCs/>
              <w:i/>
              <w:sz w:val="20"/>
            </w:rPr>
            <w:t>Review Date</w:t>
          </w:r>
        </w:p>
      </w:tc>
      <w:tc>
        <w:tcPr>
          <w:tcW w:w="1746" w:type="dxa"/>
        </w:tcPr>
        <w:p w14:paraId="2F51A912" w14:textId="77777777" w:rsidR="00B5528A" w:rsidRPr="00B3752F" w:rsidRDefault="00B5528A" w:rsidP="004213C3">
          <w:pPr>
            <w:pStyle w:val="Footer"/>
            <w:rPr>
              <w:rFonts w:cs="Arial"/>
              <w:b/>
              <w:bCs/>
              <w:i/>
              <w:sz w:val="20"/>
            </w:rPr>
          </w:pPr>
          <w:r w:rsidRPr="00B3752F">
            <w:rPr>
              <w:rFonts w:cs="Arial"/>
              <w:b/>
              <w:bCs/>
              <w:i/>
              <w:sz w:val="20"/>
            </w:rPr>
            <w:t>Area Responsible</w:t>
          </w:r>
        </w:p>
      </w:tc>
      <w:tc>
        <w:tcPr>
          <w:tcW w:w="1836" w:type="dxa"/>
        </w:tcPr>
        <w:p w14:paraId="2F51A913" w14:textId="77777777" w:rsidR="00B5528A" w:rsidRPr="00B3752F" w:rsidRDefault="00B5528A" w:rsidP="004213C3">
          <w:pPr>
            <w:pStyle w:val="Footer"/>
            <w:rPr>
              <w:rFonts w:cs="Arial"/>
              <w:b/>
              <w:bCs/>
              <w:i/>
              <w:sz w:val="20"/>
            </w:rPr>
          </w:pPr>
          <w:r w:rsidRPr="00B3752F">
            <w:rPr>
              <w:rFonts w:cs="Arial"/>
              <w:b/>
              <w:bCs/>
              <w:i/>
              <w:sz w:val="20"/>
            </w:rPr>
            <w:t>Page</w:t>
          </w:r>
        </w:p>
      </w:tc>
    </w:tr>
    <w:tr w:rsidR="00B5528A" w14:paraId="2F51A91B" w14:textId="77777777" w:rsidTr="005E1140">
      <w:tc>
        <w:tcPr>
          <w:tcW w:w="1515" w:type="dxa"/>
        </w:tcPr>
        <w:p w14:paraId="2F51A915" w14:textId="1FE788D4" w:rsidR="00B5528A" w:rsidRPr="00542EE6" w:rsidRDefault="004E26E2" w:rsidP="004213C3">
          <w:pPr>
            <w:pStyle w:val="Footer"/>
            <w:rPr>
              <w:rFonts w:cs="Arial"/>
              <w:b/>
              <w:bCs/>
              <w:sz w:val="20"/>
            </w:rPr>
          </w:pPr>
          <w:r>
            <w:rPr>
              <w:b/>
              <w:sz w:val="20"/>
            </w:rPr>
            <w:t>CHS2</w:t>
          </w:r>
          <w:r w:rsidR="00DD2505">
            <w:rPr>
              <w:b/>
              <w:sz w:val="20"/>
            </w:rPr>
            <w:t>2/345</w:t>
          </w:r>
        </w:p>
      </w:tc>
      <w:tc>
        <w:tcPr>
          <w:tcW w:w="965" w:type="dxa"/>
        </w:tcPr>
        <w:p w14:paraId="2F51A916" w14:textId="0AD8BBB5" w:rsidR="00B5528A" w:rsidRPr="00B3752F" w:rsidRDefault="004E26E2" w:rsidP="004213C3">
          <w:pPr>
            <w:pStyle w:val="Footer"/>
            <w:rPr>
              <w:rFonts w:cs="Arial"/>
              <w:b/>
              <w:bCs/>
              <w:sz w:val="20"/>
            </w:rPr>
          </w:pPr>
          <w:r>
            <w:rPr>
              <w:rFonts w:cs="Arial"/>
              <w:b/>
              <w:bCs/>
              <w:sz w:val="20"/>
            </w:rPr>
            <w:t>1</w:t>
          </w:r>
        </w:p>
      </w:tc>
      <w:tc>
        <w:tcPr>
          <w:tcW w:w="1552" w:type="dxa"/>
        </w:tcPr>
        <w:p w14:paraId="2F51A917" w14:textId="4C3E4589" w:rsidR="00B5528A" w:rsidRPr="00B3752F" w:rsidRDefault="00DD2505" w:rsidP="004213C3">
          <w:pPr>
            <w:pStyle w:val="Footer"/>
            <w:rPr>
              <w:rFonts w:cs="Arial"/>
              <w:b/>
              <w:bCs/>
              <w:sz w:val="20"/>
            </w:rPr>
          </w:pPr>
          <w:r>
            <w:rPr>
              <w:rFonts w:cs="Arial"/>
              <w:b/>
              <w:bCs/>
              <w:sz w:val="20"/>
            </w:rPr>
            <w:t>29/08/20222</w:t>
          </w:r>
        </w:p>
      </w:tc>
      <w:tc>
        <w:tcPr>
          <w:tcW w:w="1456" w:type="dxa"/>
        </w:tcPr>
        <w:p w14:paraId="2F51A918" w14:textId="73B36D2D" w:rsidR="00B5528A" w:rsidRPr="00B3752F" w:rsidRDefault="004E26E2" w:rsidP="004213C3">
          <w:pPr>
            <w:pStyle w:val="Footer"/>
            <w:rPr>
              <w:rFonts w:cs="Arial"/>
              <w:b/>
              <w:bCs/>
              <w:sz w:val="20"/>
            </w:rPr>
          </w:pPr>
          <w:r>
            <w:rPr>
              <w:rFonts w:cs="Arial"/>
              <w:b/>
              <w:bCs/>
              <w:sz w:val="20"/>
            </w:rPr>
            <w:t>01/</w:t>
          </w:r>
          <w:r w:rsidR="00DD2505">
            <w:rPr>
              <w:rFonts w:cs="Arial"/>
              <w:b/>
              <w:bCs/>
              <w:sz w:val="20"/>
            </w:rPr>
            <w:t>08/2025</w:t>
          </w:r>
        </w:p>
      </w:tc>
      <w:tc>
        <w:tcPr>
          <w:tcW w:w="1746" w:type="dxa"/>
        </w:tcPr>
        <w:p w14:paraId="2F51A919" w14:textId="7C0E7989" w:rsidR="00B5528A" w:rsidRPr="00B3752F" w:rsidRDefault="004E26E2" w:rsidP="004213C3">
          <w:pPr>
            <w:pStyle w:val="Footer"/>
            <w:rPr>
              <w:rFonts w:cs="Arial"/>
              <w:b/>
              <w:bCs/>
              <w:sz w:val="20"/>
            </w:rPr>
          </w:pPr>
          <w:r>
            <w:rPr>
              <w:rFonts w:cs="Arial"/>
              <w:b/>
              <w:bCs/>
              <w:sz w:val="20"/>
            </w:rPr>
            <w:t>Medicine - HITH</w:t>
          </w:r>
        </w:p>
      </w:tc>
      <w:tc>
        <w:tcPr>
          <w:tcW w:w="1836" w:type="dxa"/>
        </w:tcPr>
        <w:p w14:paraId="2F51A91A" w14:textId="77777777" w:rsidR="00B5528A" w:rsidRPr="00B3752F" w:rsidRDefault="00B5528A"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13</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14</w:t>
          </w:r>
          <w:r w:rsidRPr="00B3752F">
            <w:rPr>
              <w:rStyle w:val="PageNumber"/>
              <w:sz w:val="20"/>
            </w:rPr>
            <w:fldChar w:fldCharType="end"/>
          </w:r>
        </w:p>
      </w:tc>
    </w:tr>
    <w:tr w:rsidR="00B5528A" w14:paraId="668DA41F" w14:textId="77777777" w:rsidTr="007F56B4">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2B39C5F7" w:rsidR="00B5528A" w:rsidRPr="002C1428" w:rsidRDefault="00B5528A"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B5528A" w:rsidRPr="00AE7C5C" w:rsidRDefault="00B5528A" w:rsidP="00D41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A6DD0" w14:textId="77777777" w:rsidR="00866B30" w:rsidRDefault="00866B30" w:rsidP="00F66CB0">
      <w:r>
        <w:separator/>
      </w:r>
    </w:p>
  </w:footnote>
  <w:footnote w:type="continuationSeparator" w:id="0">
    <w:p w14:paraId="01C25238" w14:textId="77777777" w:rsidR="00866B30" w:rsidRDefault="00866B30" w:rsidP="00F66CB0">
      <w:r>
        <w:continuationSeparator/>
      </w:r>
    </w:p>
  </w:footnote>
  <w:footnote w:type="continuationNotice" w:id="1">
    <w:p w14:paraId="180601DA" w14:textId="77777777" w:rsidR="00866B30" w:rsidRDefault="00866B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B5528A" w14:paraId="2F51A90C" w14:textId="77777777" w:rsidTr="0074223E">
      <w:trPr>
        <w:trHeight w:val="1418"/>
      </w:trPr>
      <w:tc>
        <w:tcPr>
          <w:tcW w:w="5556" w:type="dxa"/>
          <w:vAlign w:val="center"/>
          <w:hideMark/>
        </w:tcPr>
        <w:p w14:paraId="2F51A90A" w14:textId="5F72D3B6" w:rsidR="00B5528A" w:rsidRDefault="00B5528A"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56B9F40F" w:rsidR="00B5528A" w:rsidRDefault="004E26E2">
          <w:pPr>
            <w:pStyle w:val="Header"/>
            <w:tabs>
              <w:tab w:val="left" w:pos="720"/>
            </w:tabs>
            <w:jc w:val="right"/>
            <w:rPr>
              <w:sz w:val="20"/>
            </w:rPr>
          </w:pPr>
          <w:bookmarkStart w:id="37" w:name="_top"/>
          <w:bookmarkEnd w:id="37"/>
          <w:r>
            <w:rPr>
              <w:sz w:val="20"/>
            </w:rPr>
            <w:t>CHS2</w:t>
          </w:r>
          <w:r w:rsidR="00DD2505">
            <w:rPr>
              <w:sz w:val="20"/>
            </w:rPr>
            <w:t>2/345</w:t>
          </w:r>
        </w:p>
      </w:tc>
    </w:tr>
  </w:tbl>
  <w:p w14:paraId="2F51A90D" w14:textId="77777777" w:rsidR="00B5528A" w:rsidRPr="00FC3538" w:rsidRDefault="00B5528A">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F725AF"/>
    <w:multiLevelType w:val="hybridMultilevel"/>
    <w:tmpl w:val="DA48B8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57809E7"/>
    <w:multiLevelType w:val="hybridMultilevel"/>
    <w:tmpl w:val="2718070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 w15:restartNumberingAfterBreak="0">
    <w:nsid w:val="06411DA8"/>
    <w:multiLevelType w:val="hybridMultilevel"/>
    <w:tmpl w:val="E72C285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15:restartNumberingAfterBreak="0">
    <w:nsid w:val="08E2675B"/>
    <w:multiLevelType w:val="hybridMultilevel"/>
    <w:tmpl w:val="D0B2C0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192B80"/>
    <w:multiLevelType w:val="hybridMultilevel"/>
    <w:tmpl w:val="F6827E7A"/>
    <w:lvl w:ilvl="0" w:tplc="D7E61CD8">
      <w:numFmt w:val="bullet"/>
      <w:lvlText w:val=""/>
      <w:lvlJc w:val="left"/>
      <w:pPr>
        <w:ind w:left="720" w:hanging="360"/>
      </w:pPr>
      <w:rPr>
        <w:rFonts w:ascii="Symbol" w:eastAsia="Calibri" w:hAnsi="Symbol"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1BB23673"/>
    <w:multiLevelType w:val="hybridMultilevel"/>
    <w:tmpl w:val="26D056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D23598"/>
    <w:multiLevelType w:val="hybridMultilevel"/>
    <w:tmpl w:val="0234F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813E26"/>
    <w:multiLevelType w:val="hybridMultilevel"/>
    <w:tmpl w:val="1716141E"/>
    <w:lvl w:ilvl="0" w:tplc="31143F12">
      <w:numFmt w:val="bullet"/>
      <w:lvlText w:val=""/>
      <w:lvlJc w:val="left"/>
      <w:pPr>
        <w:ind w:left="957" w:hanging="568"/>
      </w:pPr>
      <w:rPr>
        <w:rFonts w:ascii="Wingdings" w:eastAsia="Wingdings" w:hAnsi="Wingdings" w:cs="Wingdings" w:hint="default"/>
        <w:w w:val="100"/>
        <w:sz w:val="32"/>
        <w:szCs w:val="32"/>
        <w:lang w:val="en-US" w:eastAsia="en-US" w:bidi="en-US"/>
      </w:rPr>
    </w:lvl>
    <w:lvl w:ilvl="1" w:tplc="093CA85A">
      <w:numFmt w:val="bullet"/>
      <w:lvlText w:val="•"/>
      <w:lvlJc w:val="left"/>
      <w:pPr>
        <w:ind w:left="2455" w:hanging="568"/>
      </w:pPr>
      <w:rPr>
        <w:rFonts w:hint="default"/>
        <w:lang w:val="en-US" w:eastAsia="en-US" w:bidi="en-US"/>
      </w:rPr>
    </w:lvl>
    <w:lvl w:ilvl="2" w:tplc="1E6455F2">
      <w:numFmt w:val="bullet"/>
      <w:lvlText w:val="•"/>
      <w:lvlJc w:val="left"/>
      <w:pPr>
        <w:ind w:left="3951" w:hanging="568"/>
      </w:pPr>
      <w:rPr>
        <w:rFonts w:hint="default"/>
        <w:lang w:val="en-US" w:eastAsia="en-US" w:bidi="en-US"/>
      </w:rPr>
    </w:lvl>
    <w:lvl w:ilvl="3" w:tplc="80A83BA8">
      <w:numFmt w:val="bullet"/>
      <w:lvlText w:val="•"/>
      <w:lvlJc w:val="left"/>
      <w:pPr>
        <w:ind w:left="5447" w:hanging="568"/>
      </w:pPr>
      <w:rPr>
        <w:rFonts w:hint="default"/>
        <w:lang w:val="en-US" w:eastAsia="en-US" w:bidi="en-US"/>
      </w:rPr>
    </w:lvl>
    <w:lvl w:ilvl="4" w:tplc="0DAA9A64">
      <w:numFmt w:val="bullet"/>
      <w:lvlText w:val="•"/>
      <w:lvlJc w:val="left"/>
      <w:pPr>
        <w:ind w:left="6943" w:hanging="568"/>
      </w:pPr>
      <w:rPr>
        <w:rFonts w:hint="default"/>
        <w:lang w:val="en-US" w:eastAsia="en-US" w:bidi="en-US"/>
      </w:rPr>
    </w:lvl>
    <w:lvl w:ilvl="5" w:tplc="7DBE71C2">
      <w:numFmt w:val="bullet"/>
      <w:lvlText w:val="•"/>
      <w:lvlJc w:val="left"/>
      <w:pPr>
        <w:ind w:left="8438" w:hanging="568"/>
      </w:pPr>
      <w:rPr>
        <w:rFonts w:hint="default"/>
        <w:lang w:val="en-US" w:eastAsia="en-US" w:bidi="en-US"/>
      </w:rPr>
    </w:lvl>
    <w:lvl w:ilvl="6" w:tplc="7D520F36">
      <w:numFmt w:val="bullet"/>
      <w:lvlText w:val="•"/>
      <w:lvlJc w:val="left"/>
      <w:pPr>
        <w:ind w:left="9934" w:hanging="568"/>
      </w:pPr>
      <w:rPr>
        <w:rFonts w:hint="default"/>
        <w:lang w:val="en-US" w:eastAsia="en-US" w:bidi="en-US"/>
      </w:rPr>
    </w:lvl>
    <w:lvl w:ilvl="7" w:tplc="02E4670C">
      <w:numFmt w:val="bullet"/>
      <w:lvlText w:val="•"/>
      <w:lvlJc w:val="left"/>
      <w:pPr>
        <w:ind w:left="11430" w:hanging="568"/>
      </w:pPr>
      <w:rPr>
        <w:rFonts w:hint="default"/>
        <w:lang w:val="en-US" w:eastAsia="en-US" w:bidi="en-US"/>
      </w:rPr>
    </w:lvl>
    <w:lvl w:ilvl="8" w:tplc="A4B43FFA">
      <w:numFmt w:val="bullet"/>
      <w:lvlText w:val="•"/>
      <w:lvlJc w:val="left"/>
      <w:pPr>
        <w:ind w:left="12926" w:hanging="568"/>
      </w:pPr>
      <w:rPr>
        <w:rFonts w:hint="default"/>
        <w:lang w:val="en-US" w:eastAsia="en-US" w:bidi="en-US"/>
      </w:rPr>
    </w:lvl>
  </w:abstractNum>
  <w:abstractNum w:abstractNumId="12" w15:restartNumberingAfterBreak="0">
    <w:nsid w:val="33F910AB"/>
    <w:multiLevelType w:val="hybridMultilevel"/>
    <w:tmpl w:val="57A03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543829"/>
    <w:multiLevelType w:val="hybridMultilevel"/>
    <w:tmpl w:val="9DFC7D22"/>
    <w:lvl w:ilvl="0" w:tplc="0E423A18">
      <w:start w:val="1"/>
      <w:numFmt w:val="decimal"/>
      <w:lvlText w:val="%1."/>
      <w:lvlJc w:val="left"/>
      <w:pPr>
        <w:ind w:left="673" w:hanging="284"/>
        <w:jc w:val="left"/>
      </w:pPr>
      <w:rPr>
        <w:rFonts w:ascii="Calibri" w:eastAsia="Calibri" w:hAnsi="Calibri" w:cs="Calibri" w:hint="default"/>
        <w:w w:val="75"/>
        <w:sz w:val="14"/>
        <w:szCs w:val="14"/>
        <w:lang w:val="en-US" w:eastAsia="en-US" w:bidi="en-US"/>
      </w:rPr>
    </w:lvl>
    <w:lvl w:ilvl="1" w:tplc="0F20859E">
      <w:numFmt w:val="bullet"/>
      <w:lvlText w:val="•"/>
      <w:lvlJc w:val="left"/>
      <w:pPr>
        <w:ind w:left="1366" w:hanging="284"/>
      </w:pPr>
      <w:rPr>
        <w:rFonts w:hint="default"/>
        <w:lang w:val="en-US" w:eastAsia="en-US" w:bidi="en-US"/>
      </w:rPr>
    </w:lvl>
    <w:lvl w:ilvl="2" w:tplc="6EB21832">
      <w:numFmt w:val="bullet"/>
      <w:lvlText w:val="•"/>
      <w:lvlJc w:val="left"/>
      <w:pPr>
        <w:ind w:left="2052" w:hanging="284"/>
      </w:pPr>
      <w:rPr>
        <w:rFonts w:hint="default"/>
        <w:lang w:val="en-US" w:eastAsia="en-US" w:bidi="en-US"/>
      </w:rPr>
    </w:lvl>
    <w:lvl w:ilvl="3" w:tplc="926004C0">
      <w:numFmt w:val="bullet"/>
      <w:lvlText w:val="•"/>
      <w:lvlJc w:val="left"/>
      <w:pPr>
        <w:ind w:left="2738" w:hanging="284"/>
      </w:pPr>
      <w:rPr>
        <w:rFonts w:hint="default"/>
        <w:lang w:val="en-US" w:eastAsia="en-US" w:bidi="en-US"/>
      </w:rPr>
    </w:lvl>
    <w:lvl w:ilvl="4" w:tplc="BD309066">
      <w:numFmt w:val="bullet"/>
      <w:lvlText w:val="•"/>
      <w:lvlJc w:val="left"/>
      <w:pPr>
        <w:ind w:left="3424" w:hanging="284"/>
      </w:pPr>
      <w:rPr>
        <w:rFonts w:hint="default"/>
        <w:lang w:val="en-US" w:eastAsia="en-US" w:bidi="en-US"/>
      </w:rPr>
    </w:lvl>
    <w:lvl w:ilvl="5" w:tplc="110C78CE">
      <w:numFmt w:val="bullet"/>
      <w:lvlText w:val="•"/>
      <w:lvlJc w:val="left"/>
      <w:pPr>
        <w:ind w:left="4111" w:hanging="284"/>
      </w:pPr>
      <w:rPr>
        <w:rFonts w:hint="default"/>
        <w:lang w:val="en-US" w:eastAsia="en-US" w:bidi="en-US"/>
      </w:rPr>
    </w:lvl>
    <w:lvl w:ilvl="6" w:tplc="FCFAA5B8">
      <w:numFmt w:val="bullet"/>
      <w:lvlText w:val="•"/>
      <w:lvlJc w:val="left"/>
      <w:pPr>
        <w:ind w:left="4797" w:hanging="284"/>
      </w:pPr>
      <w:rPr>
        <w:rFonts w:hint="default"/>
        <w:lang w:val="en-US" w:eastAsia="en-US" w:bidi="en-US"/>
      </w:rPr>
    </w:lvl>
    <w:lvl w:ilvl="7" w:tplc="176A8A9A">
      <w:numFmt w:val="bullet"/>
      <w:lvlText w:val="•"/>
      <w:lvlJc w:val="left"/>
      <w:pPr>
        <w:ind w:left="5483" w:hanging="284"/>
      </w:pPr>
      <w:rPr>
        <w:rFonts w:hint="default"/>
        <w:lang w:val="en-US" w:eastAsia="en-US" w:bidi="en-US"/>
      </w:rPr>
    </w:lvl>
    <w:lvl w:ilvl="8" w:tplc="A878751A">
      <w:numFmt w:val="bullet"/>
      <w:lvlText w:val="•"/>
      <w:lvlJc w:val="left"/>
      <w:pPr>
        <w:ind w:left="6169" w:hanging="284"/>
      </w:pPr>
      <w:rPr>
        <w:rFonts w:hint="default"/>
        <w:lang w:val="en-US" w:eastAsia="en-US" w:bidi="en-US"/>
      </w:rPr>
    </w:lvl>
  </w:abstractNum>
  <w:abstractNum w:abstractNumId="14" w15:restartNumberingAfterBreak="0">
    <w:nsid w:val="36CF6B3B"/>
    <w:multiLevelType w:val="hybridMultilevel"/>
    <w:tmpl w:val="E82A26F6"/>
    <w:lvl w:ilvl="0" w:tplc="8FF4300E">
      <w:start w:val="1"/>
      <w:numFmt w:val="decimal"/>
      <w:lvlText w:val="%1)"/>
      <w:lvlJc w:val="left"/>
      <w:pPr>
        <w:ind w:left="720" w:hanging="360"/>
      </w:pPr>
      <w:rPr>
        <w:rFonts w:ascii="Calibri" w:eastAsia="Times New Roman" w:hAnsi="Calibri" w:cs="Arial"/>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84322FC"/>
    <w:multiLevelType w:val="hybridMultilevel"/>
    <w:tmpl w:val="C3A63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827EEF"/>
    <w:multiLevelType w:val="hybridMultilevel"/>
    <w:tmpl w:val="1B9692C8"/>
    <w:lvl w:ilvl="0" w:tplc="948AD874">
      <w:start w:val="1"/>
      <w:numFmt w:val="bullet"/>
      <w:lvlText w:val=""/>
      <w:lvlJc w:val="left"/>
      <w:pPr>
        <w:ind w:left="107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3715EF"/>
    <w:multiLevelType w:val="hybridMultilevel"/>
    <w:tmpl w:val="526EA5D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FCC32D2"/>
    <w:multiLevelType w:val="multilevel"/>
    <w:tmpl w:val="C69E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BE501F"/>
    <w:multiLevelType w:val="hybridMultilevel"/>
    <w:tmpl w:val="48844F0E"/>
    <w:lvl w:ilvl="0" w:tplc="23164A4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7F1BEF"/>
    <w:multiLevelType w:val="hybridMultilevel"/>
    <w:tmpl w:val="B25AB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135300"/>
    <w:multiLevelType w:val="hybridMultilevel"/>
    <w:tmpl w:val="2D0EDB0A"/>
    <w:lvl w:ilvl="0" w:tplc="8FF4300E">
      <w:start w:val="1"/>
      <w:numFmt w:val="decimal"/>
      <w:lvlText w:val="%1)"/>
      <w:lvlJc w:val="left"/>
      <w:pPr>
        <w:ind w:left="360" w:hanging="360"/>
      </w:pPr>
      <w:rPr>
        <w:rFonts w:ascii="Calibri" w:eastAsia="Times New Roman" w:hAnsi="Calibri" w:cs="Aria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3" w15:restartNumberingAfterBreak="0">
    <w:nsid w:val="5DA66E87"/>
    <w:multiLevelType w:val="hybridMultilevel"/>
    <w:tmpl w:val="C4FEB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F90FA0"/>
    <w:multiLevelType w:val="hybridMultilevel"/>
    <w:tmpl w:val="32DA5EF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84E33EC"/>
    <w:multiLevelType w:val="hybridMultilevel"/>
    <w:tmpl w:val="55340814"/>
    <w:lvl w:ilvl="0" w:tplc="60368E24">
      <w:numFmt w:val="bullet"/>
      <w:lvlText w:val="•"/>
      <w:lvlJc w:val="left"/>
      <w:pPr>
        <w:ind w:left="850" w:hanging="568"/>
      </w:pPr>
      <w:rPr>
        <w:rFonts w:ascii="Calibri" w:eastAsia="Calibri" w:hAnsi="Calibri" w:cs="Calibri" w:hint="default"/>
        <w:w w:val="71"/>
        <w:sz w:val="32"/>
        <w:szCs w:val="32"/>
        <w:lang w:val="en-US" w:eastAsia="en-US" w:bidi="en-US"/>
      </w:rPr>
    </w:lvl>
    <w:lvl w:ilvl="1" w:tplc="970AEDBA">
      <w:numFmt w:val="bullet"/>
      <w:lvlText w:val="•"/>
      <w:lvlJc w:val="left"/>
      <w:pPr>
        <w:ind w:left="1545" w:hanging="568"/>
      </w:pPr>
      <w:rPr>
        <w:rFonts w:hint="default"/>
        <w:lang w:val="en-US" w:eastAsia="en-US" w:bidi="en-US"/>
      </w:rPr>
    </w:lvl>
    <w:lvl w:ilvl="2" w:tplc="8E1AF05C">
      <w:numFmt w:val="bullet"/>
      <w:lvlText w:val="•"/>
      <w:lvlJc w:val="left"/>
      <w:pPr>
        <w:ind w:left="2230" w:hanging="568"/>
      </w:pPr>
      <w:rPr>
        <w:rFonts w:hint="default"/>
        <w:lang w:val="en-US" w:eastAsia="en-US" w:bidi="en-US"/>
      </w:rPr>
    </w:lvl>
    <w:lvl w:ilvl="3" w:tplc="891201BA">
      <w:numFmt w:val="bullet"/>
      <w:lvlText w:val="•"/>
      <w:lvlJc w:val="left"/>
      <w:pPr>
        <w:ind w:left="2915" w:hanging="568"/>
      </w:pPr>
      <w:rPr>
        <w:rFonts w:hint="default"/>
        <w:lang w:val="en-US" w:eastAsia="en-US" w:bidi="en-US"/>
      </w:rPr>
    </w:lvl>
    <w:lvl w:ilvl="4" w:tplc="98266394">
      <w:numFmt w:val="bullet"/>
      <w:lvlText w:val="•"/>
      <w:lvlJc w:val="left"/>
      <w:pPr>
        <w:ind w:left="3600" w:hanging="568"/>
      </w:pPr>
      <w:rPr>
        <w:rFonts w:hint="default"/>
        <w:lang w:val="en-US" w:eastAsia="en-US" w:bidi="en-US"/>
      </w:rPr>
    </w:lvl>
    <w:lvl w:ilvl="5" w:tplc="B07AB442">
      <w:numFmt w:val="bullet"/>
      <w:lvlText w:val="•"/>
      <w:lvlJc w:val="left"/>
      <w:pPr>
        <w:ind w:left="4285" w:hanging="568"/>
      </w:pPr>
      <w:rPr>
        <w:rFonts w:hint="default"/>
        <w:lang w:val="en-US" w:eastAsia="en-US" w:bidi="en-US"/>
      </w:rPr>
    </w:lvl>
    <w:lvl w:ilvl="6" w:tplc="BE240AA2">
      <w:numFmt w:val="bullet"/>
      <w:lvlText w:val="•"/>
      <w:lvlJc w:val="left"/>
      <w:pPr>
        <w:ind w:left="4970" w:hanging="568"/>
      </w:pPr>
      <w:rPr>
        <w:rFonts w:hint="default"/>
        <w:lang w:val="en-US" w:eastAsia="en-US" w:bidi="en-US"/>
      </w:rPr>
    </w:lvl>
    <w:lvl w:ilvl="7" w:tplc="25046FDC">
      <w:numFmt w:val="bullet"/>
      <w:lvlText w:val="•"/>
      <w:lvlJc w:val="left"/>
      <w:pPr>
        <w:ind w:left="5655" w:hanging="568"/>
      </w:pPr>
      <w:rPr>
        <w:rFonts w:hint="default"/>
        <w:lang w:val="en-US" w:eastAsia="en-US" w:bidi="en-US"/>
      </w:rPr>
    </w:lvl>
    <w:lvl w:ilvl="8" w:tplc="C8144F80">
      <w:numFmt w:val="bullet"/>
      <w:lvlText w:val="•"/>
      <w:lvlJc w:val="left"/>
      <w:pPr>
        <w:ind w:left="6340" w:hanging="568"/>
      </w:pPr>
      <w:rPr>
        <w:rFonts w:hint="default"/>
        <w:lang w:val="en-US" w:eastAsia="en-US" w:bidi="en-US"/>
      </w:rPr>
    </w:lvl>
  </w:abstractNum>
  <w:abstractNum w:abstractNumId="26" w15:restartNumberingAfterBreak="0">
    <w:nsid w:val="737C3EA0"/>
    <w:multiLevelType w:val="hybridMultilevel"/>
    <w:tmpl w:val="8DA8FD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69C1179"/>
    <w:multiLevelType w:val="hybridMultilevel"/>
    <w:tmpl w:val="16DA2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837006"/>
    <w:multiLevelType w:val="hybridMultilevel"/>
    <w:tmpl w:val="57246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10552992">
    <w:abstractNumId w:val="0"/>
  </w:num>
  <w:num w:numId="2" w16cid:durableId="821044452">
    <w:abstractNumId w:val="2"/>
  </w:num>
  <w:num w:numId="3" w16cid:durableId="1260987835">
    <w:abstractNumId w:val="28"/>
  </w:num>
  <w:num w:numId="4" w16cid:durableId="1908999386">
    <w:abstractNumId w:val="6"/>
  </w:num>
  <w:num w:numId="5" w16cid:durableId="1465196037">
    <w:abstractNumId w:val="9"/>
  </w:num>
  <w:num w:numId="6" w16cid:durableId="1993562998">
    <w:abstractNumId w:val="29"/>
  </w:num>
  <w:num w:numId="7" w16cid:durableId="129832059">
    <w:abstractNumId w:val="22"/>
  </w:num>
  <w:num w:numId="8" w16cid:durableId="2051152010">
    <w:abstractNumId w:val="0"/>
  </w:num>
  <w:num w:numId="9" w16cid:durableId="1042755729">
    <w:abstractNumId w:val="0"/>
  </w:num>
  <w:num w:numId="10" w16cid:durableId="1734234856">
    <w:abstractNumId w:val="19"/>
  </w:num>
  <w:num w:numId="11" w16cid:durableId="1797724046">
    <w:abstractNumId w:val="12"/>
  </w:num>
  <w:num w:numId="12" w16cid:durableId="1403794326">
    <w:abstractNumId w:val="16"/>
  </w:num>
  <w:num w:numId="13" w16cid:durableId="81857306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9336727">
    <w:abstractNumId w:val="20"/>
  </w:num>
  <w:num w:numId="15" w16cid:durableId="1506748940">
    <w:abstractNumId w:val="1"/>
  </w:num>
  <w:num w:numId="16" w16cid:durableId="604508292">
    <w:abstractNumId w:val="27"/>
  </w:num>
  <w:num w:numId="17" w16cid:durableId="415826275">
    <w:abstractNumId w:val="10"/>
  </w:num>
  <w:num w:numId="18" w16cid:durableId="1479178898">
    <w:abstractNumId w:val="18"/>
  </w:num>
  <w:num w:numId="19" w16cid:durableId="286280438">
    <w:abstractNumId w:val="26"/>
  </w:num>
  <w:num w:numId="20" w16cid:durableId="554465646">
    <w:abstractNumId w:val="3"/>
  </w:num>
  <w:num w:numId="21" w16cid:durableId="445740317">
    <w:abstractNumId w:val="23"/>
  </w:num>
  <w:num w:numId="22" w16cid:durableId="862717609">
    <w:abstractNumId w:val="13"/>
  </w:num>
  <w:num w:numId="23" w16cid:durableId="1294873591">
    <w:abstractNumId w:val="25"/>
  </w:num>
  <w:num w:numId="24" w16cid:durableId="1335258518">
    <w:abstractNumId w:val="11"/>
  </w:num>
  <w:num w:numId="25" w16cid:durableId="878665996">
    <w:abstractNumId w:val="24"/>
  </w:num>
  <w:num w:numId="26" w16cid:durableId="688681447">
    <w:abstractNumId w:val="8"/>
  </w:num>
  <w:num w:numId="27" w16cid:durableId="480272372">
    <w:abstractNumId w:val="5"/>
  </w:num>
  <w:num w:numId="28" w16cid:durableId="977880025">
    <w:abstractNumId w:val="15"/>
  </w:num>
  <w:num w:numId="29" w16cid:durableId="1132795134">
    <w:abstractNumId w:val="4"/>
  </w:num>
  <w:num w:numId="30" w16cid:durableId="1579707132">
    <w:abstractNumId w:val="21"/>
  </w:num>
  <w:num w:numId="31" w16cid:durableId="131798808">
    <w:abstractNumId w:val="14"/>
  </w:num>
  <w:num w:numId="32" w16cid:durableId="21300779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1144"/>
    <w:rsid w:val="000121C3"/>
    <w:rsid w:val="00015B90"/>
    <w:rsid w:val="0001607A"/>
    <w:rsid w:val="00016595"/>
    <w:rsid w:val="00046894"/>
    <w:rsid w:val="000555DA"/>
    <w:rsid w:val="000577B8"/>
    <w:rsid w:val="00060A35"/>
    <w:rsid w:val="00060B37"/>
    <w:rsid w:val="00067C2A"/>
    <w:rsid w:val="00072AEF"/>
    <w:rsid w:val="000765DB"/>
    <w:rsid w:val="00091AC9"/>
    <w:rsid w:val="00092ADF"/>
    <w:rsid w:val="00095ECD"/>
    <w:rsid w:val="00096C1C"/>
    <w:rsid w:val="000A0172"/>
    <w:rsid w:val="000A30EB"/>
    <w:rsid w:val="000A646F"/>
    <w:rsid w:val="000A7335"/>
    <w:rsid w:val="000B1620"/>
    <w:rsid w:val="000B27CD"/>
    <w:rsid w:val="000B56DD"/>
    <w:rsid w:val="000B5C8C"/>
    <w:rsid w:val="000B71ED"/>
    <w:rsid w:val="000C257F"/>
    <w:rsid w:val="000C59E2"/>
    <w:rsid w:val="000C5DBE"/>
    <w:rsid w:val="000C7B2D"/>
    <w:rsid w:val="000E2FD2"/>
    <w:rsid w:val="000E4FE4"/>
    <w:rsid w:val="000F7B7E"/>
    <w:rsid w:val="00103EEA"/>
    <w:rsid w:val="00110EFC"/>
    <w:rsid w:val="00110F3A"/>
    <w:rsid w:val="001115D7"/>
    <w:rsid w:val="00113ACA"/>
    <w:rsid w:val="00114EE6"/>
    <w:rsid w:val="00117E78"/>
    <w:rsid w:val="00121A33"/>
    <w:rsid w:val="00123572"/>
    <w:rsid w:val="00123C5B"/>
    <w:rsid w:val="00123DC3"/>
    <w:rsid w:val="00125C50"/>
    <w:rsid w:val="001330FE"/>
    <w:rsid w:val="001356BB"/>
    <w:rsid w:val="0015053E"/>
    <w:rsid w:val="00170999"/>
    <w:rsid w:val="00172457"/>
    <w:rsid w:val="001748E7"/>
    <w:rsid w:val="00183CFB"/>
    <w:rsid w:val="001874AB"/>
    <w:rsid w:val="001879F2"/>
    <w:rsid w:val="00191109"/>
    <w:rsid w:val="00191235"/>
    <w:rsid w:val="0019165F"/>
    <w:rsid w:val="00191B16"/>
    <w:rsid w:val="001926F4"/>
    <w:rsid w:val="001A0053"/>
    <w:rsid w:val="001B2465"/>
    <w:rsid w:val="001B2C0E"/>
    <w:rsid w:val="001B3435"/>
    <w:rsid w:val="001C4AAD"/>
    <w:rsid w:val="001C628D"/>
    <w:rsid w:val="001D50D4"/>
    <w:rsid w:val="001D5300"/>
    <w:rsid w:val="001E2F08"/>
    <w:rsid w:val="001E35D1"/>
    <w:rsid w:val="001F2A9B"/>
    <w:rsid w:val="001F3F8B"/>
    <w:rsid w:val="001F6D2D"/>
    <w:rsid w:val="00200D04"/>
    <w:rsid w:val="00201FB6"/>
    <w:rsid w:val="00212C8A"/>
    <w:rsid w:val="00221B1F"/>
    <w:rsid w:val="00225E5A"/>
    <w:rsid w:val="0022713E"/>
    <w:rsid w:val="00235050"/>
    <w:rsid w:val="00236E85"/>
    <w:rsid w:val="00240599"/>
    <w:rsid w:val="002405CF"/>
    <w:rsid w:val="00240B97"/>
    <w:rsid w:val="00244BDF"/>
    <w:rsid w:val="002535FB"/>
    <w:rsid w:val="0025382D"/>
    <w:rsid w:val="00262312"/>
    <w:rsid w:val="00263BA6"/>
    <w:rsid w:val="00270A1B"/>
    <w:rsid w:val="0027264D"/>
    <w:rsid w:val="00275ADA"/>
    <w:rsid w:val="00275C98"/>
    <w:rsid w:val="00283F1C"/>
    <w:rsid w:val="00285D38"/>
    <w:rsid w:val="00293E43"/>
    <w:rsid w:val="00296BF3"/>
    <w:rsid w:val="00297953"/>
    <w:rsid w:val="00297BBD"/>
    <w:rsid w:val="002A7217"/>
    <w:rsid w:val="002B2D41"/>
    <w:rsid w:val="002B5F43"/>
    <w:rsid w:val="002C118B"/>
    <w:rsid w:val="002C154B"/>
    <w:rsid w:val="002D53E0"/>
    <w:rsid w:val="002E3F91"/>
    <w:rsid w:val="002F06DB"/>
    <w:rsid w:val="002F15D8"/>
    <w:rsid w:val="002F2840"/>
    <w:rsid w:val="002F7A82"/>
    <w:rsid w:val="00305438"/>
    <w:rsid w:val="003068CB"/>
    <w:rsid w:val="00310D6D"/>
    <w:rsid w:val="00313707"/>
    <w:rsid w:val="00317001"/>
    <w:rsid w:val="0032270B"/>
    <w:rsid w:val="00325B90"/>
    <w:rsid w:val="00337E7C"/>
    <w:rsid w:val="00343FC3"/>
    <w:rsid w:val="0035094D"/>
    <w:rsid w:val="00351CD9"/>
    <w:rsid w:val="00353CBB"/>
    <w:rsid w:val="00360598"/>
    <w:rsid w:val="00376A6D"/>
    <w:rsid w:val="00380B98"/>
    <w:rsid w:val="003944CF"/>
    <w:rsid w:val="00394FA1"/>
    <w:rsid w:val="00395E36"/>
    <w:rsid w:val="00396023"/>
    <w:rsid w:val="003A1813"/>
    <w:rsid w:val="003B07E1"/>
    <w:rsid w:val="003B1809"/>
    <w:rsid w:val="003B7930"/>
    <w:rsid w:val="003C204E"/>
    <w:rsid w:val="003C4BB5"/>
    <w:rsid w:val="003D7AC0"/>
    <w:rsid w:val="003E4CC0"/>
    <w:rsid w:val="003E5271"/>
    <w:rsid w:val="003E6797"/>
    <w:rsid w:val="003F28FA"/>
    <w:rsid w:val="003F3D8F"/>
    <w:rsid w:val="003F7EF8"/>
    <w:rsid w:val="0040411B"/>
    <w:rsid w:val="00410409"/>
    <w:rsid w:val="00412CED"/>
    <w:rsid w:val="0041309D"/>
    <w:rsid w:val="00416751"/>
    <w:rsid w:val="00417F96"/>
    <w:rsid w:val="00420F9E"/>
    <w:rsid w:val="004213C3"/>
    <w:rsid w:val="004227FB"/>
    <w:rsid w:val="004236F3"/>
    <w:rsid w:val="0042413C"/>
    <w:rsid w:val="0042482C"/>
    <w:rsid w:val="00427139"/>
    <w:rsid w:val="004300E5"/>
    <w:rsid w:val="00431A1C"/>
    <w:rsid w:val="004358E9"/>
    <w:rsid w:val="00436BE5"/>
    <w:rsid w:val="00446719"/>
    <w:rsid w:val="004537B3"/>
    <w:rsid w:val="00454B83"/>
    <w:rsid w:val="00455180"/>
    <w:rsid w:val="00456115"/>
    <w:rsid w:val="00457457"/>
    <w:rsid w:val="0046125B"/>
    <w:rsid w:val="00466790"/>
    <w:rsid w:val="004748B9"/>
    <w:rsid w:val="0048050C"/>
    <w:rsid w:val="00481E2E"/>
    <w:rsid w:val="00487DD5"/>
    <w:rsid w:val="00490BEE"/>
    <w:rsid w:val="00490E12"/>
    <w:rsid w:val="00492451"/>
    <w:rsid w:val="004947A7"/>
    <w:rsid w:val="004A0003"/>
    <w:rsid w:val="004A2E02"/>
    <w:rsid w:val="004A52E9"/>
    <w:rsid w:val="004B37B4"/>
    <w:rsid w:val="004B6BFF"/>
    <w:rsid w:val="004B7C43"/>
    <w:rsid w:val="004C0D0D"/>
    <w:rsid w:val="004C2B20"/>
    <w:rsid w:val="004D2C57"/>
    <w:rsid w:val="004D6468"/>
    <w:rsid w:val="004D6932"/>
    <w:rsid w:val="004E26E2"/>
    <w:rsid w:val="004E28AD"/>
    <w:rsid w:val="004E2A1C"/>
    <w:rsid w:val="004E6A03"/>
    <w:rsid w:val="004E7ED6"/>
    <w:rsid w:val="004F0503"/>
    <w:rsid w:val="004F0F49"/>
    <w:rsid w:val="004F1D05"/>
    <w:rsid w:val="004F2008"/>
    <w:rsid w:val="004F3550"/>
    <w:rsid w:val="00502AA8"/>
    <w:rsid w:val="00504E1F"/>
    <w:rsid w:val="00505B5D"/>
    <w:rsid w:val="005067CA"/>
    <w:rsid w:val="005163F4"/>
    <w:rsid w:val="00523323"/>
    <w:rsid w:val="0052344F"/>
    <w:rsid w:val="005234AD"/>
    <w:rsid w:val="0052443C"/>
    <w:rsid w:val="0052775E"/>
    <w:rsid w:val="00530F7D"/>
    <w:rsid w:val="00537623"/>
    <w:rsid w:val="005416F0"/>
    <w:rsid w:val="00541DC0"/>
    <w:rsid w:val="00542514"/>
    <w:rsid w:val="00546AED"/>
    <w:rsid w:val="005512EF"/>
    <w:rsid w:val="005621E4"/>
    <w:rsid w:val="00565C05"/>
    <w:rsid w:val="0057549C"/>
    <w:rsid w:val="005834A0"/>
    <w:rsid w:val="00590902"/>
    <w:rsid w:val="00591356"/>
    <w:rsid w:val="00592A14"/>
    <w:rsid w:val="005947CA"/>
    <w:rsid w:val="00594BF3"/>
    <w:rsid w:val="00596FD7"/>
    <w:rsid w:val="005A2794"/>
    <w:rsid w:val="005A3625"/>
    <w:rsid w:val="005A4DB7"/>
    <w:rsid w:val="005A620D"/>
    <w:rsid w:val="005A66F0"/>
    <w:rsid w:val="005A7FCB"/>
    <w:rsid w:val="005B0EB8"/>
    <w:rsid w:val="005B4738"/>
    <w:rsid w:val="005B759E"/>
    <w:rsid w:val="005C121E"/>
    <w:rsid w:val="005C212D"/>
    <w:rsid w:val="005C3CB0"/>
    <w:rsid w:val="005C6166"/>
    <w:rsid w:val="005C6B37"/>
    <w:rsid w:val="005D747C"/>
    <w:rsid w:val="005E1140"/>
    <w:rsid w:val="005E2143"/>
    <w:rsid w:val="005F02B9"/>
    <w:rsid w:val="005F3214"/>
    <w:rsid w:val="0061075F"/>
    <w:rsid w:val="00610AD1"/>
    <w:rsid w:val="006119C7"/>
    <w:rsid w:val="00612231"/>
    <w:rsid w:val="00612A4F"/>
    <w:rsid w:val="006130C4"/>
    <w:rsid w:val="00626B54"/>
    <w:rsid w:val="00632C13"/>
    <w:rsid w:val="00635A4E"/>
    <w:rsid w:val="00635EB1"/>
    <w:rsid w:val="00640B14"/>
    <w:rsid w:val="00644FD0"/>
    <w:rsid w:val="006473BB"/>
    <w:rsid w:val="006625DE"/>
    <w:rsid w:val="00664019"/>
    <w:rsid w:val="0066495D"/>
    <w:rsid w:val="0067067F"/>
    <w:rsid w:val="006706ED"/>
    <w:rsid w:val="0067470F"/>
    <w:rsid w:val="0067517D"/>
    <w:rsid w:val="006809E0"/>
    <w:rsid w:val="006868E9"/>
    <w:rsid w:val="00690CAF"/>
    <w:rsid w:val="00695EB6"/>
    <w:rsid w:val="006965B3"/>
    <w:rsid w:val="006A1086"/>
    <w:rsid w:val="006A3770"/>
    <w:rsid w:val="006A4D46"/>
    <w:rsid w:val="006A6024"/>
    <w:rsid w:val="006B4697"/>
    <w:rsid w:val="006B649A"/>
    <w:rsid w:val="006C21C0"/>
    <w:rsid w:val="006C31FF"/>
    <w:rsid w:val="006C32E2"/>
    <w:rsid w:val="006C6256"/>
    <w:rsid w:val="006C6B6C"/>
    <w:rsid w:val="006C704D"/>
    <w:rsid w:val="006D31A2"/>
    <w:rsid w:val="006E4B4F"/>
    <w:rsid w:val="0070331D"/>
    <w:rsid w:val="007052B1"/>
    <w:rsid w:val="00711BF4"/>
    <w:rsid w:val="007165E9"/>
    <w:rsid w:val="0071741B"/>
    <w:rsid w:val="00723B2E"/>
    <w:rsid w:val="00725400"/>
    <w:rsid w:val="00733659"/>
    <w:rsid w:val="0074086A"/>
    <w:rsid w:val="00741866"/>
    <w:rsid w:val="00741B43"/>
    <w:rsid w:val="0074223E"/>
    <w:rsid w:val="00743A4A"/>
    <w:rsid w:val="00750CB6"/>
    <w:rsid w:val="007543AC"/>
    <w:rsid w:val="00754CCF"/>
    <w:rsid w:val="00756537"/>
    <w:rsid w:val="007568E8"/>
    <w:rsid w:val="00756A2B"/>
    <w:rsid w:val="00764C92"/>
    <w:rsid w:val="00781D30"/>
    <w:rsid w:val="007A0EBC"/>
    <w:rsid w:val="007A3DA5"/>
    <w:rsid w:val="007B27F1"/>
    <w:rsid w:val="007B4967"/>
    <w:rsid w:val="007B4ABB"/>
    <w:rsid w:val="007B6904"/>
    <w:rsid w:val="007B6E61"/>
    <w:rsid w:val="007B7628"/>
    <w:rsid w:val="007C011B"/>
    <w:rsid w:val="007C03A6"/>
    <w:rsid w:val="007C1C97"/>
    <w:rsid w:val="007C2F1C"/>
    <w:rsid w:val="007C36E4"/>
    <w:rsid w:val="007C768F"/>
    <w:rsid w:val="007D303E"/>
    <w:rsid w:val="007F13D9"/>
    <w:rsid w:val="007F27B4"/>
    <w:rsid w:val="007F56B4"/>
    <w:rsid w:val="0080785F"/>
    <w:rsid w:val="008125EC"/>
    <w:rsid w:val="00813B98"/>
    <w:rsid w:val="008153BD"/>
    <w:rsid w:val="00816782"/>
    <w:rsid w:val="0082141D"/>
    <w:rsid w:val="00827F24"/>
    <w:rsid w:val="00835CC3"/>
    <w:rsid w:val="00842D50"/>
    <w:rsid w:val="0084590D"/>
    <w:rsid w:val="00847E9F"/>
    <w:rsid w:val="008534EA"/>
    <w:rsid w:val="00855DA8"/>
    <w:rsid w:val="008619B4"/>
    <w:rsid w:val="00862A04"/>
    <w:rsid w:val="00866796"/>
    <w:rsid w:val="00866B30"/>
    <w:rsid w:val="00872FE2"/>
    <w:rsid w:val="00874952"/>
    <w:rsid w:val="00886399"/>
    <w:rsid w:val="008974CA"/>
    <w:rsid w:val="008A36C6"/>
    <w:rsid w:val="008E0FB3"/>
    <w:rsid w:val="008E1593"/>
    <w:rsid w:val="008E1697"/>
    <w:rsid w:val="008E1F7F"/>
    <w:rsid w:val="008E5041"/>
    <w:rsid w:val="008E72A4"/>
    <w:rsid w:val="008F00E8"/>
    <w:rsid w:val="008F0F4A"/>
    <w:rsid w:val="008F2E3B"/>
    <w:rsid w:val="009042CF"/>
    <w:rsid w:val="00907372"/>
    <w:rsid w:val="0092706F"/>
    <w:rsid w:val="00927427"/>
    <w:rsid w:val="009314E3"/>
    <w:rsid w:val="00931B93"/>
    <w:rsid w:val="00933EED"/>
    <w:rsid w:val="00934CC8"/>
    <w:rsid w:val="00937E73"/>
    <w:rsid w:val="00940CDE"/>
    <w:rsid w:val="00944514"/>
    <w:rsid w:val="009511E5"/>
    <w:rsid w:val="00952DE1"/>
    <w:rsid w:val="009561FB"/>
    <w:rsid w:val="0095784E"/>
    <w:rsid w:val="009626D1"/>
    <w:rsid w:val="00962C46"/>
    <w:rsid w:val="00963301"/>
    <w:rsid w:val="009722C9"/>
    <w:rsid w:val="00972FCD"/>
    <w:rsid w:val="00973679"/>
    <w:rsid w:val="0097742A"/>
    <w:rsid w:val="0097744F"/>
    <w:rsid w:val="00980CC9"/>
    <w:rsid w:val="00980EED"/>
    <w:rsid w:val="00991670"/>
    <w:rsid w:val="00997856"/>
    <w:rsid w:val="009A0ED8"/>
    <w:rsid w:val="009B6C8C"/>
    <w:rsid w:val="009C0A48"/>
    <w:rsid w:val="009C0FCA"/>
    <w:rsid w:val="009C3963"/>
    <w:rsid w:val="009C3E25"/>
    <w:rsid w:val="009D2036"/>
    <w:rsid w:val="009D323C"/>
    <w:rsid w:val="009D3D5D"/>
    <w:rsid w:val="009D795D"/>
    <w:rsid w:val="009E70F4"/>
    <w:rsid w:val="009F6482"/>
    <w:rsid w:val="00A04411"/>
    <w:rsid w:val="00A063BB"/>
    <w:rsid w:val="00A105CE"/>
    <w:rsid w:val="00A15BBD"/>
    <w:rsid w:val="00A22DFB"/>
    <w:rsid w:val="00A35624"/>
    <w:rsid w:val="00A35E2D"/>
    <w:rsid w:val="00A36A26"/>
    <w:rsid w:val="00A50347"/>
    <w:rsid w:val="00A54CB3"/>
    <w:rsid w:val="00A55FDD"/>
    <w:rsid w:val="00A65E44"/>
    <w:rsid w:val="00A74B8A"/>
    <w:rsid w:val="00A76BE7"/>
    <w:rsid w:val="00A77A32"/>
    <w:rsid w:val="00A82B94"/>
    <w:rsid w:val="00A8454F"/>
    <w:rsid w:val="00A85F61"/>
    <w:rsid w:val="00A86DB3"/>
    <w:rsid w:val="00A92E4F"/>
    <w:rsid w:val="00AA25DC"/>
    <w:rsid w:val="00AB0997"/>
    <w:rsid w:val="00AB1BAA"/>
    <w:rsid w:val="00AB50DD"/>
    <w:rsid w:val="00AB57B0"/>
    <w:rsid w:val="00AC13E6"/>
    <w:rsid w:val="00AC20C9"/>
    <w:rsid w:val="00AC2EF4"/>
    <w:rsid w:val="00AC7025"/>
    <w:rsid w:val="00AD196F"/>
    <w:rsid w:val="00AD1FB6"/>
    <w:rsid w:val="00AD3CCE"/>
    <w:rsid w:val="00AD4C9A"/>
    <w:rsid w:val="00AE7D32"/>
    <w:rsid w:val="00AF24FC"/>
    <w:rsid w:val="00AF5956"/>
    <w:rsid w:val="00B06E8E"/>
    <w:rsid w:val="00B07A46"/>
    <w:rsid w:val="00B07DCE"/>
    <w:rsid w:val="00B106FE"/>
    <w:rsid w:val="00B12123"/>
    <w:rsid w:val="00B1501A"/>
    <w:rsid w:val="00B209D8"/>
    <w:rsid w:val="00B21043"/>
    <w:rsid w:val="00B23E0B"/>
    <w:rsid w:val="00B36FB9"/>
    <w:rsid w:val="00B42EA0"/>
    <w:rsid w:val="00B44CAC"/>
    <w:rsid w:val="00B52771"/>
    <w:rsid w:val="00B5528A"/>
    <w:rsid w:val="00B573D6"/>
    <w:rsid w:val="00B625B6"/>
    <w:rsid w:val="00B65A68"/>
    <w:rsid w:val="00B66669"/>
    <w:rsid w:val="00B73E65"/>
    <w:rsid w:val="00B80272"/>
    <w:rsid w:val="00B81455"/>
    <w:rsid w:val="00B82BF2"/>
    <w:rsid w:val="00B859F4"/>
    <w:rsid w:val="00B9627F"/>
    <w:rsid w:val="00B96492"/>
    <w:rsid w:val="00BA1307"/>
    <w:rsid w:val="00BA2415"/>
    <w:rsid w:val="00BA4DB2"/>
    <w:rsid w:val="00BA4F95"/>
    <w:rsid w:val="00BA6054"/>
    <w:rsid w:val="00BB1DBD"/>
    <w:rsid w:val="00BB31C9"/>
    <w:rsid w:val="00BB33F9"/>
    <w:rsid w:val="00BC0FE1"/>
    <w:rsid w:val="00BC3CE6"/>
    <w:rsid w:val="00BD47E9"/>
    <w:rsid w:val="00BD6AE4"/>
    <w:rsid w:val="00BD6F08"/>
    <w:rsid w:val="00BE5E41"/>
    <w:rsid w:val="00BF078E"/>
    <w:rsid w:val="00BF5E89"/>
    <w:rsid w:val="00BF5ED9"/>
    <w:rsid w:val="00C01E90"/>
    <w:rsid w:val="00C16DFC"/>
    <w:rsid w:val="00C175D1"/>
    <w:rsid w:val="00C23699"/>
    <w:rsid w:val="00C2476A"/>
    <w:rsid w:val="00C24EDC"/>
    <w:rsid w:val="00C25A76"/>
    <w:rsid w:val="00C30DE1"/>
    <w:rsid w:val="00C31EB3"/>
    <w:rsid w:val="00C32206"/>
    <w:rsid w:val="00C337D3"/>
    <w:rsid w:val="00C3418E"/>
    <w:rsid w:val="00C35D28"/>
    <w:rsid w:val="00C422C8"/>
    <w:rsid w:val="00C453D3"/>
    <w:rsid w:val="00C45C67"/>
    <w:rsid w:val="00C47091"/>
    <w:rsid w:val="00C47365"/>
    <w:rsid w:val="00C517A8"/>
    <w:rsid w:val="00C523FF"/>
    <w:rsid w:val="00C71600"/>
    <w:rsid w:val="00C71C3C"/>
    <w:rsid w:val="00C73173"/>
    <w:rsid w:val="00C74EA7"/>
    <w:rsid w:val="00C75278"/>
    <w:rsid w:val="00C76998"/>
    <w:rsid w:val="00C77AE6"/>
    <w:rsid w:val="00C9158E"/>
    <w:rsid w:val="00C91BFB"/>
    <w:rsid w:val="00C92731"/>
    <w:rsid w:val="00C93E83"/>
    <w:rsid w:val="00C94FED"/>
    <w:rsid w:val="00C954B2"/>
    <w:rsid w:val="00C95705"/>
    <w:rsid w:val="00CA1A2A"/>
    <w:rsid w:val="00CA2175"/>
    <w:rsid w:val="00CA593D"/>
    <w:rsid w:val="00CA713E"/>
    <w:rsid w:val="00CA7D48"/>
    <w:rsid w:val="00CB2238"/>
    <w:rsid w:val="00CC0972"/>
    <w:rsid w:val="00CC1AA1"/>
    <w:rsid w:val="00CC5D11"/>
    <w:rsid w:val="00CD3A1D"/>
    <w:rsid w:val="00CD5B7F"/>
    <w:rsid w:val="00CE25F3"/>
    <w:rsid w:val="00CE70C4"/>
    <w:rsid w:val="00D21780"/>
    <w:rsid w:val="00D23346"/>
    <w:rsid w:val="00D243B8"/>
    <w:rsid w:val="00D34794"/>
    <w:rsid w:val="00D4155A"/>
    <w:rsid w:val="00D4502D"/>
    <w:rsid w:val="00D507EB"/>
    <w:rsid w:val="00D514CB"/>
    <w:rsid w:val="00D530CE"/>
    <w:rsid w:val="00D53E3C"/>
    <w:rsid w:val="00D73361"/>
    <w:rsid w:val="00D77950"/>
    <w:rsid w:val="00D85629"/>
    <w:rsid w:val="00D8637B"/>
    <w:rsid w:val="00D975CC"/>
    <w:rsid w:val="00DC3762"/>
    <w:rsid w:val="00DC3A89"/>
    <w:rsid w:val="00DC5C47"/>
    <w:rsid w:val="00DD0017"/>
    <w:rsid w:val="00DD2505"/>
    <w:rsid w:val="00DD53FD"/>
    <w:rsid w:val="00DD616A"/>
    <w:rsid w:val="00DD6F44"/>
    <w:rsid w:val="00DD79AA"/>
    <w:rsid w:val="00DE0465"/>
    <w:rsid w:val="00DE04C9"/>
    <w:rsid w:val="00DE4E25"/>
    <w:rsid w:val="00DE788B"/>
    <w:rsid w:val="00DF5FB6"/>
    <w:rsid w:val="00E049ED"/>
    <w:rsid w:val="00E113E6"/>
    <w:rsid w:val="00E23A13"/>
    <w:rsid w:val="00E2543C"/>
    <w:rsid w:val="00E34E6D"/>
    <w:rsid w:val="00E37CD4"/>
    <w:rsid w:val="00E408E4"/>
    <w:rsid w:val="00E57848"/>
    <w:rsid w:val="00E73A8A"/>
    <w:rsid w:val="00E750BF"/>
    <w:rsid w:val="00E87E17"/>
    <w:rsid w:val="00E90708"/>
    <w:rsid w:val="00E96268"/>
    <w:rsid w:val="00EB2AA9"/>
    <w:rsid w:val="00EB5915"/>
    <w:rsid w:val="00EC2480"/>
    <w:rsid w:val="00EC72AB"/>
    <w:rsid w:val="00ED21C3"/>
    <w:rsid w:val="00ED2485"/>
    <w:rsid w:val="00ED388C"/>
    <w:rsid w:val="00ED3A1F"/>
    <w:rsid w:val="00ED3AAC"/>
    <w:rsid w:val="00ED46C3"/>
    <w:rsid w:val="00ED7277"/>
    <w:rsid w:val="00EE3C3F"/>
    <w:rsid w:val="00EE57B9"/>
    <w:rsid w:val="00EF02B0"/>
    <w:rsid w:val="00EF13A4"/>
    <w:rsid w:val="00EF474C"/>
    <w:rsid w:val="00F012E6"/>
    <w:rsid w:val="00F01B61"/>
    <w:rsid w:val="00F11338"/>
    <w:rsid w:val="00F12981"/>
    <w:rsid w:val="00F13AE5"/>
    <w:rsid w:val="00F13D80"/>
    <w:rsid w:val="00F149FD"/>
    <w:rsid w:val="00F14EC1"/>
    <w:rsid w:val="00F31C2B"/>
    <w:rsid w:val="00F330BA"/>
    <w:rsid w:val="00F37066"/>
    <w:rsid w:val="00F409ED"/>
    <w:rsid w:val="00F4262F"/>
    <w:rsid w:val="00F53719"/>
    <w:rsid w:val="00F57291"/>
    <w:rsid w:val="00F6052F"/>
    <w:rsid w:val="00F66CB0"/>
    <w:rsid w:val="00F67D4A"/>
    <w:rsid w:val="00F72606"/>
    <w:rsid w:val="00F7436D"/>
    <w:rsid w:val="00F766E6"/>
    <w:rsid w:val="00F76C89"/>
    <w:rsid w:val="00F90952"/>
    <w:rsid w:val="00F91468"/>
    <w:rsid w:val="00F92471"/>
    <w:rsid w:val="00FA29B8"/>
    <w:rsid w:val="00FA3205"/>
    <w:rsid w:val="00FC1579"/>
    <w:rsid w:val="00FC6507"/>
    <w:rsid w:val="00FC7CBC"/>
    <w:rsid w:val="00FD3D92"/>
    <w:rsid w:val="00FE2FEA"/>
    <w:rsid w:val="00FE3B73"/>
    <w:rsid w:val="00FE7012"/>
    <w:rsid w:val="00FE7587"/>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uiPriority w:val="9"/>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Title">
    <w:name w:val="Title"/>
    <w:basedOn w:val="Heading1"/>
    <w:next w:val="Normal"/>
    <w:link w:val="TitleChar"/>
    <w:uiPriority w:val="10"/>
    <w:qFormat/>
    <w:rsid w:val="00DD53FD"/>
    <w:pPr>
      <w:pBdr>
        <w:bottom w:val="single" w:sz="4" w:space="1" w:color="95C3E9"/>
      </w:pBdr>
      <w:spacing w:before="0" w:after="120" w:line="276" w:lineRule="auto"/>
    </w:pPr>
    <w:rPr>
      <w:rFonts w:cs="Calibri"/>
      <w:b w:val="0"/>
      <w:bCs/>
      <w:iCs w:val="0"/>
      <w:color w:val="1F3886"/>
      <w:sz w:val="52"/>
      <w:szCs w:val="52"/>
      <w:lang w:eastAsia="en-AU"/>
    </w:rPr>
  </w:style>
  <w:style w:type="character" w:customStyle="1" w:styleId="TitleChar">
    <w:name w:val="Title Char"/>
    <w:basedOn w:val="DefaultParagraphFont"/>
    <w:link w:val="Title"/>
    <w:uiPriority w:val="10"/>
    <w:rsid w:val="00DD53FD"/>
    <w:rPr>
      <w:rFonts w:ascii="Calibri" w:eastAsia="Times New Roman" w:hAnsi="Calibri" w:cs="Calibri"/>
      <w:bCs/>
      <w:color w:val="1F3886"/>
      <w:sz w:val="52"/>
      <w:szCs w:val="52"/>
      <w:lang w:eastAsia="en-AU"/>
    </w:rPr>
  </w:style>
  <w:style w:type="character" w:customStyle="1" w:styleId="ListParagraphChar">
    <w:name w:val="List Paragraph Char"/>
    <w:basedOn w:val="DefaultParagraphFont"/>
    <w:link w:val="ListParagraph"/>
    <w:uiPriority w:val="34"/>
    <w:rsid w:val="00096C1C"/>
    <w:rPr>
      <w:rFonts w:ascii="Calibri" w:eastAsia="Times New Roman" w:hAnsi="Calibri" w:cs="Times New Roman"/>
      <w:sz w:val="24"/>
      <w:szCs w:val="20"/>
    </w:rPr>
  </w:style>
  <w:style w:type="character" w:customStyle="1" w:styleId="UnresolvedMention1">
    <w:name w:val="Unresolved Mention1"/>
    <w:basedOn w:val="DefaultParagraphFont"/>
    <w:uiPriority w:val="99"/>
    <w:semiHidden/>
    <w:unhideWhenUsed/>
    <w:rsid w:val="00CC0972"/>
    <w:rPr>
      <w:color w:val="605E5C"/>
      <w:shd w:val="clear" w:color="auto" w:fill="E1DFDD"/>
    </w:rPr>
  </w:style>
  <w:style w:type="paragraph" w:styleId="Revision">
    <w:name w:val="Revision"/>
    <w:hidden/>
    <w:uiPriority w:val="99"/>
    <w:semiHidden/>
    <w:rsid w:val="004D6468"/>
    <w:pPr>
      <w:spacing w:after="0" w:line="240" w:lineRule="auto"/>
    </w:pPr>
    <w:rPr>
      <w:rFonts w:ascii="Calibri" w:eastAsia="Times New Roman" w:hAnsi="Calibri" w:cs="Times New Roman"/>
      <w:sz w:val="24"/>
      <w:szCs w:val="20"/>
    </w:rPr>
  </w:style>
  <w:style w:type="paragraph" w:styleId="BodyText">
    <w:name w:val="Body Text"/>
    <w:basedOn w:val="Normal"/>
    <w:link w:val="BodyTextChar"/>
    <w:uiPriority w:val="1"/>
    <w:qFormat/>
    <w:rsid w:val="005834A0"/>
    <w:pPr>
      <w:widowControl w:val="0"/>
      <w:autoSpaceDE w:val="0"/>
      <w:autoSpaceDN w:val="0"/>
    </w:pPr>
    <w:rPr>
      <w:rFonts w:eastAsia="Calibri" w:cs="Calibri"/>
      <w:sz w:val="14"/>
      <w:szCs w:val="14"/>
      <w:lang w:val="en-US" w:bidi="en-US"/>
    </w:rPr>
  </w:style>
  <w:style w:type="character" w:customStyle="1" w:styleId="BodyTextChar">
    <w:name w:val="Body Text Char"/>
    <w:basedOn w:val="DefaultParagraphFont"/>
    <w:link w:val="BodyText"/>
    <w:uiPriority w:val="1"/>
    <w:rsid w:val="005834A0"/>
    <w:rPr>
      <w:rFonts w:ascii="Calibri" w:eastAsia="Calibri" w:hAnsi="Calibri" w:cs="Calibri"/>
      <w:sz w:val="14"/>
      <w:szCs w:val="14"/>
      <w:lang w:val="en-US" w:bidi="en-US"/>
    </w:rPr>
  </w:style>
  <w:style w:type="paragraph" w:customStyle="1" w:styleId="TableParagraph">
    <w:name w:val="Table Paragraph"/>
    <w:basedOn w:val="Normal"/>
    <w:uiPriority w:val="1"/>
    <w:qFormat/>
    <w:rsid w:val="005834A0"/>
    <w:pPr>
      <w:widowControl w:val="0"/>
      <w:autoSpaceDE w:val="0"/>
      <w:autoSpaceDN w:val="0"/>
      <w:spacing w:before="59"/>
      <w:ind w:left="109"/>
    </w:pPr>
    <w:rPr>
      <w:rFonts w:eastAsia="Calibri" w:cs="Calibri"/>
      <w:sz w:val="22"/>
      <w:szCs w:val="22"/>
      <w:lang w:val="en-US" w:bidi="en-US"/>
    </w:rPr>
  </w:style>
  <w:style w:type="character" w:customStyle="1" w:styleId="cf01">
    <w:name w:val="cf01"/>
    <w:basedOn w:val="DefaultParagraphFont"/>
    <w:rsid w:val="006706E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612">
      <w:bodyDiv w:val="1"/>
      <w:marLeft w:val="0"/>
      <w:marRight w:val="0"/>
      <w:marTop w:val="0"/>
      <w:marBottom w:val="0"/>
      <w:divBdr>
        <w:top w:val="none" w:sz="0" w:space="0" w:color="auto"/>
        <w:left w:val="none" w:sz="0" w:space="0" w:color="auto"/>
        <w:bottom w:val="none" w:sz="0" w:space="0" w:color="auto"/>
        <w:right w:val="none" w:sz="0" w:space="0" w:color="auto"/>
      </w:divBdr>
      <w:divsChild>
        <w:div w:id="38094196">
          <w:marLeft w:val="0"/>
          <w:marRight w:val="0"/>
          <w:marTop w:val="0"/>
          <w:marBottom w:val="0"/>
          <w:divBdr>
            <w:top w:val="none" w:sz="0" w:space="0" w:color="auto"/>
            <w:left w:val="none" w:sz="0" w:space="0" w:color="auto"/>
            <w:bottom w:val="none" w:sz="0" w:space="0" w:color="auto"/>
            <w:right w:val="none" w:sz="0" w:space="0" w:color="auto"/>
          </w:divBdr>
          <w:divsChild>
            <w:div w:id="1928881349">
              <w:marLeft w:val="-225"/>
              <w:marRight w:val="-225"/>
              <w:marTop w:val="0"/>
              <w:marBottom w:val="0"/>
              <w:divBdr>
                <w:top w:val="none" w:sz="0" w:space="0" w:color="auto"/>
                <w:left w:val="none" w:sz="0" w:space="0" w:color="auto"/>
                <w:bottom w:val="none" w:sz="0" w:space="0" w:color="auto"/>
                <w:right w:val="none" w:sz="0" w:space="0" w:color="auto"/>
              </w:divBdr>
              <w:divsChild>
                <w:div w:id="177887448">
                  <w:marLeft w:val="0"/>
                  <w:marRight w:val="0"/>
                  <w:marTop w:val="0"/>
                  <w:marBottom w:val="0"/>
                  <w:divBdr>
                    <w:top w:val="none" w:sz="0" w:space="0" w:color="auto"/>
                    <w:left w:val="none" w:sz="0" w:space="0" w:color="auto"/>
                    <w:bottom w:val="none" w:sz="0" w:space="0" w:color="auto"/>
                    <w:right w:val="none" w:sz="0" w:space="0" w:color="auto"/>
                  </w:divBdr>
                  <w:divsChild>
                    <w:div w:id="800658537">
                      <w:marLeft w:val="0"/>
                      <w:marRight w:val="0"/>
                      <w:marTop w:val="0"/>
                      <w:marBottom w:val="0"/>
                      <w:divBdr>
                        <w:top w:val="none" w:sz="0" w:space="0" w:color="auto"/>
                        <w:left w:val="none" w:sz="0" w:space="0" w:color="auto"/>
                        <w:bottom w:val="none" w:sz="0" w:space="0" w:color="auto"/>
                        <w:right w:val="none" w:sz="0" w:space="0" w:color="auto"/>
                      </w:divBdr>
                      <w:divsChild>
                        <w:div w:id="2058039888">
                          <w:marLeft w:val="0"/>
                          <w:marRight w:val="0"/>
                          <w:marTop w:val="0"/>
                          <w:marBottom w:val="0"/>
                          <w:divBdr>
                            <w:top w:val="none" w:sz="0" w:space="0" w:color="auto"/>
                            <w:left w:val="none" w:sz="0" w:space="0" w:color="auto"/>
                            <w:bottom w:val="none" w:sz="0" w:space="0" w:color="auto"/>
                            <w:right w:val="none" w:sz="0" w:space="0" w:color="auto"/>
                          </w:divBdr>
                          <w:divsChild>
                            <w:div w:id="252012137">
                              <w:marLeft w:val="0"/>
                              <w:marRight w:val="0"/>
                              <w:marTop w:val="0"/>
                              <w:marBottom w:val="0"/>
                              <w:divBdr>
                                <w:top w:val="none" w:sz="0" w:space="0" w:color="auto"/>
                                <w:left w:val="none" w:sz="0" w:space="0" w:color="auto"/>
                                <w:bottom w:val="none" w:sz="0" w:space="0" w:color="auto"/>
                                <w:right w:val="none" w:sz="0" w:space="0" w:color="auto"/>
                              </w:divBdr>
                              <w:divsChild>
                                <w:div w:id="1605381814">
                                  <w:marLeft w:val="0"/>
                                  <w:marRight w:val="0"/>
                                  <w:marTop w:val="0"/>
                                  <w:marBottom w:val="0"/>
                                  <w:divBdr>
                                    <w:top w:val="none" w:sz="0" w:space="0" w:color="auto"/>
                                    <w:left w:val="none" w:sz="0" w:space="0" w:color="auto"/>
                                    <w:bottom w:val="none" w:sz="0" w:space="0" w:color="auto"/>
                                    <w:right w:val="none" w:sz="0" w:space="0" w:color="auto"/>
                                  </w:divBdr>
                                  <w:divsChild>
                                    <w:div w:id="1541165476">
                                      <w:marLeft w:val="0"/>
                                      <w:marRight w:val="0"/>
                                      <w:marTop w:val="0"/>
                                      <w:marBottom w:val="0"/>
                                      <w:divBdr>
                                        <w:top w:val="none" w:sz="0" w:space="0" w:color="auto"/>
                                        <w:left w:val="none" w:sz="0" w:space="0" w:color="auto"/>
                                        <w:bottom w:val="none" w:sz="0" w:space="0" w:color="auto"/>
                                        <w:right w:val="none" w:sz="0" w:space="0" w:color="auto"/>
                                      </w:divBdr>
                                    </w:div>
                                    <w:div w:id="806121298">
                                      <w:marLeft w:val="0"/>
                                      <w:marRight w:val="0"/>
                                      <w:marTop w:val="0"/>
                                      <w:marBottom w:val="0"/>
                                      <w:divBdr>
                                        <w:top w:val="none" w:sz="0" w:space="0" w:color="auto"/>
                                        <w:left w:val="none" w:sz="0" w:space="0" w:color="auto"/>
                                        <w:bottom w:val="none" w:sz="0" w:space="0" w:color="auto"/>
                                        <w:right w:val="none" w:sz="0" w:space="0" w:color="auto"/>
                                      </w:divBdr>
                                    </w:div>
                                    <w:div w:id="1345202850">
                                      <w:marLeft w:val="0"/>
                                      <w:marRight w:val="0"/>
                                      <w:marTop w:val="0"/>
                                      <w:marBottom w:val="0"/>
                                      <w:divBdr>
                                        <w:top w:val="none" w:sz="0" w:space="0" w:color="auto"/>
                                        <w:left w:val="none" w:sz="0" w:space="0" w:color="auto"/>
                                        <w:bottom w:val="none" w:sz="0" w:space="0" w:color="auto"/>
                                        <w:right w:val="none" w:sz="0" w:space="0" w:color="auto"/>
                                      </w:divBdr>
                                    </w:div>
                                    <w:div w:id="185825050">
                                      <w:marLeft w:val="0"/>
                                      <w:marRight w:val="0"/>
                                      <w:marTop w:val="0"/>
                                      <w:marBottom w:val="0"/>
                                      <w:divBdr>
                                        <w:top w:val="none" w:sz="0" w:space="0" w:color="auto"/>
                                        <w:left w:val="none" w:sz="0" w:space="0" w:color="auto"/>
                                        <w:bottom w:val="none" w:sz="0" w:space="0" w:color="auto"/>
                                        <w:right w:val="none" w:sz="0" w:space="0" w:color="auto"/>
                                      </w:divBdr>
                                    </w:div>
                                    <w:div w:id="983658461">
                                      <w:marLeft w:val="0"/>
                                      <w:marRight w:val="0"/>
                                      <w:marTop w:val="0"/>
                                      <w:marBottom w:val="0"/>
                                      <w:divBdr>
                                        <w:top w:val="none" w:sz="0" w:space="0" w:color="auto"/>
                                        <w:left w:val="none" w:sz="0" w:space="0" w:color="auto"/>
                                        <w:bottom w:val="none" w:sz="0" w:space="0" w:color="auto"/>
                                        <w:right w:val="none" w:sz="0" w:space="0" w:color="auto"/>
                                      </w:divBdr>
                                    </w:div>
                                    <w:div w:id="28065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gldcdp.tg.org.au/etgAccess" TargetMode="External"/><Relationship Id="rId18" Type="http://schemas.openxmlformats.org/officeDocument/2006/relationships/hyperlink" Target="https://tgldcdp.tg.org.au/topicTeaser?guidelinePage=Antibiotic&amp;etgAccess=tru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baxterprofessional.com.a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tgldcdp.tg.org.au/etgAcces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idh.hcn.com.au/browse/about_aidh" TargetMode="External"/><Relationship Id="rId20" Type="http://schemas.openxmlformats.org/officeDocument/2006/relationships/hyperlink" Target="https://tgldcdp.tg.org.au/etgAcces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gldcdp.tg.org.au/etgAcces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connect.calvarycare.org.au/ID=CCID729796"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tgldcdp.tg.org.au/etgAcc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idh.hcn.com.au/browse/about_aidh" TargetMode="External"/><Relationship Id="rId22" Type="http://schemas.openxmlformats.org/officeDocument/2006/relationships/hyperlink" Target="https://www.sahealth.sa.gov.au/wps/wcm/connect/86d0af8047ca4a108ca28dfc651ee2b2/IV+to+Oral+Switch+Guideline+for+Adult+Patients_Mar2015.pdf?MOD=AJPERES&amp;CACHE=NO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2022-08-06T14:00:00+00:00</Approval_x0020_Date>
    <Review_x0020_Date xmlns="690b2128-8961-48af-a473-22c34a9accba">2025-07-31T14:00:00+00:00</Review_x0020_Date>
    <TaxCatchAll xmlns="c0239a80-7f07-4ed7-82c3-24ad7d76ada5" xsi:nil="true"/>
    <Version_x0020_Number xmlns="690b2128-8961-48af-a473-22c34a9accba">1</Version_x0020_Number>
    <Notes0 xmlns="690b2128-8961-48af-a473-22c34a9accba" xsi:nil="true"/>
    <Key_x0020_Words xmlns="690b2128-8961-48af-a473-22c34a9accba">HITH, Hospital in the Home, Antibiotic, antimicrobial, IV, intravenous, antibiotics, antimicrobials, oral</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CHS20/072 Antimicrobial Choice and Administration for Adult Hospital in the Home (HITH) Patients</Replaces_x003a_>
    <Risk_x0020_Rating xmlns="690b2128-8961-48af-a473-22c34a9accba">High</Risk_x0020_Rating>
    <Description0 xmlns="690b2128-8961-48af-a473-22c34a9accba">This procedure provides guidance to Hospital in the Home (HITH) and referring clinicians in the appropriate choice and administration of antimicrobial therapy for patients being treated under the HITH service.</Description0>
    <Display_x0020_on_x0020_Internet xmlns="690b2128-8961-48af-a473-22c34a9accba">true</Display_x0020_on_x0020_Internet>
    <Related_x0020_Documents xmlns="690b2128-8961-48af-a473-22c34a9accba" xsi:nil="true"/>
    <Decision_x0020_Number xmlns="690b2128-8961-48af-a473-22c34a9accba">CHS22/345</Decision_x0020_Number>
    <New_x0020_Owner xmlns="690b2128-8961-48af-a473-22c34a9accba">Medicine - HITH</New_x0020_Owner>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FED39DFA-8AA4-423F-97EB-C8E1ABECCFB9}"/>
</file>

<file path=customXml/itemProps3.xml><?xml version="1.0" encoding="utf-8"?>
<ds:datastoreItem xmlns:ds="http://schemas.openxmlformats.org/officeDocument/2006/customXml" ds:itemID="{69002B29-22C7-45A6-A523-44429DC96FF0}">
  <ds:schemaRefs>
    <ds:schemaRef ds:uri="http://schemas.openxmlformats.org/officeDocument/2006/bibliography"/>
  </ds:schemaRefs>
</ds:datastoreItem>
</file>

<file path=customXml/itemProps4.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18</Pages>
  <Words>4590</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Antimicrobial Choice and Administration for Adult HITH Patients</vt:lpstr>
    </vt:vector>
  </TitlesOfParts>
  <Company>ACT Government</Company>
  <LinksUpToDate>false</LinksUpToDate>
  <CharactersWithSpaces>30698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Antimicrobial Choice and Administration for Adult Hospital in the Home (HITH) Patients</dc:title>
  <dc:subject>23;#;#25;#;#2;#</dc:subject>
  <dc:creator>Guy, Shane (Health)</dc:creator>
  <cp:lastModifiedBy>Hoffmann, Cameron (Health)</cp:lastModifiedBy>
  <cp:revision>9</cp:revision>
  <cp:lastPrinted>2019-10-27T22:25:00Z</cp:lastPrinted>
  <dcterms:created xsi:type="dcterms:W3CDTF">2022-08-18T00:05:00Z</dcterms:created>
  <dcterms:modified xsi:type="dcterms:W3CDTF">2024-04-03T02:07:00Z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y fmtid="{D5CDD505-2E9C-101B-9397-08002B2CF9AE}" pid="7" name="Related Legislation &amp; Guidelines">
    <vt:lpwstr/>
  </property>
</Properties>
</file>