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67C2BF6D" w:rsidR="009A534C" w:rsidRPr="00DA3910" w:rsidRDefault="00D749CF" w:rsidP="009A534C">
      <w:pPr>
        <w:rPr>
          <w:rFonts w:cs="Arial"/>
          <w:b/>
          <w:sz w:val="40"/>
          <w:szCs w:val="40"/>
        </w:rPr>
      </w:pPr>
      <w:r>
        <w:rPr>
          <w:rFonts w:cs="Arial"/>
          <w:b/>
          <w:sz w:val="40"/>
          <w:szCs w:val="40"/>
        </w:rPr>
        <w:t>Procedure</w:t>
      </w:r>
    </w:p>
    <w:p w14:paraId="086829D2" w14:textId="7CCB36C7" w:rsidR="009A534C" w:rsidRDefault="00AD0366" w:rsidP="009A534C">
      <w:pPr>
        <w:rPr>
          <w:rFonts w:cs="Arial"/>
          <w:b/>
          <w:sz w:val="36"/>
          <w:szCs w:val="36"/>
        </w:rPr>
      </w:pPr>
      <w:r>
        <w:rPr>
          <w:rFonts w:cs="Arial"/>
          <w:b/>
          <w:i/>
          <w:sz w:val="36"/>
          <w:szCs w:val="36"/>
        </w:rPr>
        <w:t xml:space="preserve">Adult Bi-level </w:t>
      </w:r>
      <w:r w:rsidR="00106AB2">
        <w:rPr>
          <w:rFonts w:cs="Arial"/>
          <w:b/>
          <w:i/>
          <w:sz w:val="36"/>
          <w:szCs w:val="36"/>
        </w:rPr>
        <w:t>Ventilation Equipment – Domiciliary Oxygen and Respiratory Support Scheme (DORSS)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21824706"/>
            <w:r w:rsidRPr="00CD1C0E">
              <w:t>Contents</w:t>
            </w:r>
            <w:bookmarkEnd w:id="0"/>
            <w:bookmarkEnd w:id="1"/>
            <w:bookmarkEnd w:id="2"/>
            <w:bookmarkEnd w:id="3"/>
          </w:p>
        </w:tc>
      </w:tr>
    </w:tbl>
    <w:p w14:paraId="086829D5" w14:textId="77777777" w:rsidR="009A534C" w:rsidRDefault="009A534C" w:rsidP="00C13D33"/>
    <w:p w14:paraId="54210E4F" w14:textId="62F7DBEE" w:rsidR="00FD396E"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21824706" w:history="1">
        <w:r w:rsidR="00FD396E" w:rsidRPr="005A3D16">
          <w:rPr>
            <w:rStyle w:val="Hyperlink"/>
            <w:noProof/>
          </w:rPr>
          <w:t>Contents</w:t>
        </w:r>
        <w:r w:rsidR="00FD396E">
          <w:rPr>
            <w:noProof/>
            <w:webHidden/>
          </w:rPr>
          <w:tab/>
        </w:r>
        <w:r w:rsidR="00FD396E">
          <w:rPr>
            <w:noProof/>
            <w:webHidden/>
          </w:rPr>
          <w:fldChar w:fldCharType="begin"/>
        </w:r>
        <w:r w:rsidR="00FD396E">
          <w:rPr>
            <w:noProof/>
            <w:webHidden/>
          </w:rPr>
          <w:instrText xml:space="preserve"> PAGEREF _Toc121824706 \h </w:instrText>
        </w:r>
        <w:r w:rsidR="00FD396E">
          <w:rPr>
            <w:noProof/>
            <w:webHidden/>
          </w:rPr>
        </w:r>
        <w:r w:rsidR="00FD396E">
          <w:rPr>
            <w:noProof/>
            <w:webHidden/>
          </w:rPr>
          <w:fldChar w:fldCharType="separate"/>
        </w:r>
        <w:r w:rsidR="00FD396E">
          <w:rPr>
            <w:noProof/>
            <w:webHidden/>
          </w:rPr>
          <w:t>1</w:t>
        </w:r>
        <w:r w:rsidR="00FD396E">
          <w:rPr>
            <w:noProof/>
            <w:webHidden/>
          </w:rPr>
          <w:fldChar w:fldCharType="end"/>
        </w:r>
      </w:hyperlink>
    </w:p>
    <w:p w14:paraId="132EC4D1" w14:textId="5E1A07D1" w:rsidR="00FD396E" w:rsidRDefault="00FD396E">
      <w:pPr>
        <w:pStyle w:val="TOC1"/>
        <w:tabs>
          <w:tab w:val="right" w:leader="dot" w:pos="9060"/>
        </w:tabs>
        <w:rPr>
          <w:rFonts w:eastAsiaTheme="minorEastAsia" w:cstheme="minorBidi"/>
          <w:noProof/>
          <w:sz w:val="22"/>
          <w:szCs w:val="22"/>
          <w:lang w:eastAsia="en-AU"/>
        </w:rPr>
      </w:pPr>
      <w:hyperlink w:anchor="_Toc121824707" w:history="1">
        <w:r w:rsidRPr="005A3D16">
          <w:rPr>
            <w:rStyle w:val="Hyperlink"/>
            <w:noProof/>
          </w:rPr>
          <w:t>Purpose</w:t>
        </w:r>
        <w:r>
          <w:rPr>
            <w:noProof/>
            <w:webHidden/>
          </w:rPr>
          <w:tab/>
        </w:r>
        <w:r>
          <w:rPr>
            <w:noProof/>
            <w:webHidden/>
          </w:rPr>
          <w:fldChar w:fldCharType="begin"/>
        </w:r>
        <w:r>
          <w:rPr>
            <w:noProof/>
            <w:webHidden/>
          </w:rPr>
          <w:instrText xml:space="preserve"> PAGEREF _Toc121824707 \h </w:instrText>
        </w:r>
        <w:r>
          <w:rPr>
            <w:noProof/>
            <w:webHidden/>
          </w:rPr>
        </w:r>
        <w:r>
          <w:rPr>
            <w:noProof/>
            <w:webHidden/>
          </w:rPr>
          <w:fldChar w:fldCharType="separate"/>
        </w:r>
        <w:r>
          <w:rPr>
            <w:noProof/>
            <w:webHidden/>
          </w:rPr>
          <w:t>2</w:t>
        </w:r>
        <w:r>
          <w:rPr>
            <w:noProof/>
            <w:webHidden/>
          </w:rPr>
          <w:fldChar w:fldCharType="end"/>
        </w:r>
      </w:hyperlink>
    </w:p>
    <w:p w14:paraId="044150C8" w14:textId="325CF842" w:rsidR="00FD396E" w:rsidRDefault="00FD396E">
      <w:pPr>
        <w:pStyle w:val="TOC1"/>
        <w:tabs>
          <w:tab w:val="right" w:leader="dot" w:pos="9060"/>
        </w:tabs>
        <w:rPr>
          <w:rFonts w:eastAsiaTheme="minorEastAsia" w:cstheme="minorBidi"/>
          <w:noProof/>
          <w:sz w:val="22"/>
          <w:szCs w:val="22"/>
          <w:lang w:eastAsia="en-AU"/>
        </w:rPr>
      </w:pPr>
      <w:hyperlink w:anchor="_Toc121824708" w:history="1">
        <w:r w:rsidRPr="005A3D16">
          <w:rPr>
            <w:rStyle w:val="Hyperlink"/>
            <w:noProof/>
          </w:rPr>
          <w:t>Scope</w:t>
        </w:r>
        <w:r>
          <w:rPr>
            <w:noProof/>
            <w:webHidden/>
          </w:rPr>
          <w:tab/>
        </w:r>
        <w:r>
          <w:rPr>
            <w:noProof/>
            <w:webHidden/>
          </w:rPr>
          <w:fldChar w:fldCharType="begin"/>
        </w:r>
        <w:r>
          <w:rPr>
            <w:noProof/>
            <w:webHidden/>
          </w:rPr>
          <w:instrText xml:space="preserve"> PAGEREF _Toc121824708 \h </w:instrText>
        </w:r>
        <w:r>
          <w:rPr>
            <w:noProof/>
            <w:webHidden/>
          </w:rPr>
        </w:r>
        <w:r>
          <w:rPr>
            <w:noProof/>
            <w:webHidden/>
          </w:rPr>
          <w:fldChar w:fldCharType="separate"/>
        </w:r>
        <w:r>
          <w:rPr>
            <w:noProof/>
            <w:webHidden/>
          </w:rPr>
          <w:t>2</w:t>
        </w:r>
        <w:r>
          <w:rPr>
            <w:noProof/>
            <w:webHidden/>
          </w:rPr>
          <w:fldChar w:fldCharType="end"/>
        </w:r>
      </w:hyperlink>
    </w:p>
    <w:p w14:paraId="58C4CDBD" w14:textId="33488F61" w:rsidR="00FD396E" w:rsidRDefault="00FD396E">
      <w:pPr>
        <w:pStyle w:val="TOC1"/>
        <w:tabs>
          <w:tab w:val="right" w:leader="dot" w:pos="9060"/>
        </w:tabs>
        <w:rPr>
          <w:rFonts w:eastAsiaTheme="minorEastAsia" w:cstheme="minorBidi"/>
          <w:noProof/>
          <w:sz w:val="22"/>
          <w:szCs w:val="22"/>
          <w:lang w:eastAsia="en-AU"/>
        </w:rPr>
      </w:pPr>
      <w:hyperlink w:anchor="_Toc121824709" w:history="1">
        <w:r w:rsidRPr="005A3D16">
          <w:rPr>
            <w:rStyle w:val="Hyperlink"/>
            <w:noProof/>
          </w:rPr>
          <w:t>Section 1 – Eligibility</w:t>
        </w:r>
        <w:r>
          <w:rPr>
            <w:noProof/>
            <w:webHidden/>
          </w:rPr>
          <w:tab/>
        </w:r>
        <w:r>
          <w:rPr>
            <w:noProof/>
            <w:webHidden/>
          </w:rPr>
          <w:fldChar w:fldCharType="begin"/>
        </w:r>
        <w:r>
          <w:rPr>
            <w:noProof/>
            <w:webHidden/>
          </w:rPr>
          <w:instrText xml:space="preserve"> PAGEREF _Toc121824709 \h </w:instrText>
        </w:r>
        <w:r>
          <w:rPr>
            <w:noProof/>
            <w:webHidden/>
          </w:rPr>
        </w:r>
        <w:r>
          <w:rPr>
            <w:noProof/>
            <w:webHidden/>
          </w:rPr>
          <w:fldChar w:fldCharType="separate"/>
        </w:r>
        <w:r>
          <w:rPr>
            <w:noProof/>
            <w:webHidden/>
          </w:rPr>
          <w:t>2</w:t>
        </w:r>
        <w:r>
          <w:rPr>
            <w:noProof/>
            <w:webHidden/>
          </w:rPr>
          <w:fldChar w:fldCharType="end"/>
        </w:r>
      </w:hyperlink>
    </w:p>
    <w:p w14:paraId="1115B7A3" w14:textId="3EA67446" w:rsidR="00FD396E" w:rsidRDefault="00FD396E">
      <w:pPr>
        <w:pStyle w:val="TOC1"/>
        <w:tabs>
          <w:tab w:val="right" w:leader="dot" w:pos="9060"/>
        </w:tabs>
        <w:rPr>
          <w:rFonts w:eastAsiaTheme="minorEastAsia" w:cstheme="minorBidi"/>
          <w:noProof/>
          <w:sz w:val="22"/>
          <w:szCs w:val="22"/>
          <w:lang w:eastAsia="en-AU"/>
        </w:rPr>
      </w:pPr>
      <w:hyperlink w:anchor="_Toc121824710" w:history="1">
        <w:r w:rsidRPr="005A3D16">
          <w:rPr>
            <w:rStyle w:val="Hyperlink"/>
            <w:noProof/>
          </w:rPr>
          <w:t>Section 2 – Bi-level Titration Studies</w:t>
        </w:r>
        <w:r>
          <w:rPr>
            <w:noProof/>
            <w:webHidden/>
          </w:rPr>
          <w:tab/>
        </w:r>
        <w:r>
          <w:rPr>
            <w:noProof/>
            <w:webHidden/>
          </w:rPr>
          <w:fldChar w:fldCharType="begin"/>
        </w:r>
        <w:r>
          <w:rPr>
            <w:noProof/>
            <w:webHidden/>
          </w:rPr>
          <w:instrText xml:space="preserve"> PAGEREF _Toc121824710 \h </w:instrText>
        </w:r>
        <w:r>
          <w:rPr>
            <w:noProof/>
            <w:webHidden/>
          </w:rPr>
        </w:r>
        <w:r>
          <w:rPr>
            <w:noProof/>
            <w:webHidden/>
          </w:rPr>
          <w:fldChar w:fldCharType="separate"/>
        </w:r>
        <w:r>
          <w:rPr>
            <w:noProof/>
            <w:webHidden/>
          </w:rPr>
          <w:t>3</w:t>
        </w:r>
        <w:r>
          <w:rPr>
            <w:noProof/>
            <w:webHidden/>
          </w:rPr>
          <w:fldChar w:fldCharType="end"/>
        </w:r>
      </w:hyperlink>
    </w:p>
    <w:p w14:paraId="093291E1" w14:textId="1A354B97" w:rsidR="00FD396E" w:rsidRDefault="00FD396E">
      <w:pPr>
        <w:pStyle w:val="TOC1"/>
        <w:tabs>
          <w:tab w:val="right" w:leader="dot" w:pos="9060"/>
        </w:tabs>
        <w:rPr>
          <w:rFonts w:eastAsiaTheme="minorEastAsia" w:cstheme="minorBidi"/>
          <w:noProof/>
          <w:sz w:val="22"/>
          <w:szCs w:val="22"/>
          <w:lang w:eastAsia="en-AU"/>
        </w:rPr>
      </w:pPr>
      <w:hyperlink w:anchor="_Toc121824711" w:history="1">
        <w:r w:rsidRPr="005A3D16">
          <w:rPr>
            <w:rStyle w:val="Hyperlink"/>
            <w:noProof/>
          </w:rPr>
          <w:t>Section 3 – Bi-level Provision Criteria</w:t>
        </w:r>
        <w:r>
          <w:rPr>
            <w:noProof/>
            <w:webHidden/>
          </w:rPr>
          <w:tab/>
        </w:r>
        <w:r>
          <w:rPr>
            <w:noProof/>
            <w:webHidden/>
          </w:rPr>
          <w:fldChar w:fldCharType="begin"/>
        </w:r>
        <w:r>
          <w:rPr>
            <w:noProof/>
            <w:webHidden/>
          </w:rPr>
          <w:instrText xml:space="preserve"> PAGEREF _Toc121824711 \h </w:instrText>
        </w:r>
        <w:r>
          <w:rPr>
            <w:noProof/>
            <w:webHidden/>
          </w:rPr>
        </w:r>
        <w:r>
          <w:rPr>
            <w:noProof/>
            <w:webHidden/>
          </w:rPr>
          <w:fldChar w:fldCharType="separate"/>
        </w:r>
        <w:r>
          <w:rPr>
            <w:noProof/>
            <w:webHidden/>
          </w:rPr>
          <w:t>3</w:t>
        </w:r>
        <w:r>
          <w:rPr>
            <w:noProof/>
            <w:webHidden/>
          </w:rPr>
          <w:fldChar w:fldCharType="end"/>
        </w:r>
      </w:hyperlink>
    </w:p>
    <w:p w14:paraId="741317E9" w14:textId="4D5FF5AB" w:rsidR="00FD396E" w:rsidRDefault="00FD396E">
      <w:pPr>
        <w:pStyle w:val="TOC1"/>
        <w:tabs>
          <w:tab w:val="right" w:leader="dot" w:pos="9060"/>
        </w:tabs>
        <w:rPr>
          <w:rFonts w:eastAsiaTheme="minorEastAsia" w:cstheme="minorBidi"/>
          <w:noProof/>
          <w:sz w:val="22"/>
          <w:szCs w:val="22"/>
          <w:lang w:eastAsia="en-AU"/>
        </w:rPr>
      </w:pPr>
      <w:hyperlink w:anchor="_Toc121824712" w:history="1">
        <w:r w:rsidRPr="005A3D16">
          <w:rPr>
            <w:rStyle w:val="Hyperlink"/>
            <w:noProof/>
          </w:rPr>
          <w:t>Section 4 – Application Processing</w:t>
        </w:r>
        <w:r>
          <w:rPr>
            <w:noProof/>
            <w:webHidden/>
          </w:rPr>
          <w:tab/>
        </w:r>
        <w:r>
          <w:rPr>
            <w:noProof/>
            <w:webHidden/>
          </w:rPr>
          <w:fldChar w:fldCharType="begin"/>
        </w:r>
        <w:r>
          <w:rPr>
            <w:noProof/>
            <w:webHidden/>
          </w:rPr>
          <w:instrText xml:space="preserve"> PAGEREF _Toc121824712 \h </w:instrText>
        </w:r>
        <w:r>
          <w:rPr>
            <w:noProof/>
            <w:webHidden/>
          </w:rPr>
        </w:r>
        <w:r>
          <w:rPr>
            <w:noProof/>
            <w:webHidden/>
          </w:rPr>
          <w:fldChar w:fldCharType="separate"/>
        </w:r>
        <w:r>
          <w:rPr>
            <w:noProof/>
            <w:webHidden/>
          </w:rPr>
          <w:t>4</w:t>
        </w:r>
        <w:r>
          <w:rPr>
            <w:noProof/>
            <w:webHidden/>
          </w:rPr>
          <w:fldChar w:fldCharType="end"/>
        </w:r>
      </w:hyperlink>
    </w:p>
    <w:p w14:paraId="1B89482C" w14:textId="5F17D451" w:rsidR="00FD396E" w:rsidRDefault="00FD396E">
      <w:pPr>
        <w:pStyle w:val="TOC1"/>
        <w:tabs>
          <w:tab w:val="right" w:leader="dot" w:pos="9060"/>
        </w:tabs>
        <w:rPr>
          <w:rFonts w:eastAsiaTheme="minorEastAsia" w:cstheme="minorBidi"/>
          <w:noProof/>
          <w:sz w:val="22"/>
          <w:szCs w:val="22"/>
          <w:lang w:eastAsia="en-AU"/>
        </w:rPr>
      </w:pPr>
      <w:hyperlink w:anchor="_Toc121824713" w:history="1">
        <w:r w:rsidRPr="005A3D16">
          <w:rPr>
            <w:rStyle w:val="Hyperlink"/>
            <w:noProof/>
          </w:rPr>
          <w:t>Evaluation</w:t>
        </w:r>
        <w:r>
          <w:rPr>
            <w:noProof/>
            <w:webHidden/>
          </w:rPr>
          <w:tab/>
        </w:r>
        <w:r>
          <w:rPr>
            <w:noProof/>
            <w:webHidden/>
          </w:rPr>
          <w:fldChar w:fldCharType="begin"/>
        </w:r>
        <w:r>
          <w:rPr>
            <w:noProof/>
            <w:webHidden/>
          </w:rPr>
          <w:instrText xml:space="preserve"> PAGEREF _Toc121824713 \h </w:instrText>
        </w:r>
        <w:r>
          <w:rPr>
            <w:noProof/>
            <w:webHidden/>
          </w:rPr>
        </w:r>
        <w:r>
          <w:rPr>
            <w:noProof/>
            <w:webHidden/>
          </w:rPr>
          <w:fldChar w:fldCharType="separate"/>
        </w:r>
        <w:r>
          <w:rPr>
            <w:noProof/>
            <w:webHidden/>
          </w:rPr>
          <w:t>5</w:t>
        </w:r>
        <w:r>
          <w:rPr>
            <w:noProof/>
            <w:webHidden/>
          </w:rPr>
          <w:fldChar w:fldCharType="end"/>
        </w:r>
      </w:hyperlink>
    </w:p>
    <w:p w14:paraId="7CA283A4" w14:textId="604EB0B4" w:rsidR="00FD396E" w:rsidRDefault="00FD396E">
      <w:pPr>
        <w:pStyle w:val="TOC1"/>
        <w:tabs>
          <w:tab w:val="right" w:leader="dot" w:pos="9060"/>
        </w:tabs>
        <w:rPr>
          <w:rFonts w:eastAsiaTheme="minorEastAsia" w:cstheme="minorBidi"/>
          <w:noProof/>
          <w:sz w:val="22"/>
          <w:szCs w:val="22"/>
          <w:lang w:eastAsia="en-AU"/>
        </w:rPr>
      </w:pPr>
      <w:hyperlink w:anchor="_Toc121824714" w:history="1">
        <w:r w:rsidRPr="005A3D16">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_Toc121824714 \h </w:instrText>
        </w:r>
        <w:r>
          <w:rPr>
            <w:noProof/>
            <w:webHidden/>
          </w:rPr>
        </w:r>
        <w:r>
          <w:rPr>
            <w:noProof/>
            <w:webHidden/>
          </w:rPr>
          <w:fldChar w:fldCharType="separate"/>
        </w:r>
        <w:r>
          <w:rPr>
            <w:noProof/>
            <w:webHidden/>
          </w:rPr>
          <w:t>5</w:t>
        </w:r>
        <w:r>
          <w:rPr>
            <w:noProof/>
            <w:webHidden/>
          </w:rPr>
          <w:fldChar w:fldCharType="end"/>
        </w:r>
      </w:hyperlink>
    </w:p>
    <w:p w14:paraId="01A12B9C" w14:textId="537C6B9E" w:rsidR="00FD396E" w:rsidRDefault="00FD396E">
      <w:pPr>
        <w:pStyle w:val="TOC1"/>
        <w:tabs>
          <w:tab w:val="right" w:leader="dot" w:pos="9060"/>
        </w:tabs>
        <w:rPr>
          <w:rFonts w:eastAsiaTheme="minorEastAsia" w:cstheme="minorBidi"/>
          <w:noProof/>
          <w:sz w:val="22"/>
          <w:szCs w:val="22"/>
          <w:lang w:eastAsia="en-AU"/>
        </w:rPr>
      </w:pPr>
      <w:hyperlink w:anchor="_Toc121824715" w:history="1">
        <w:r w:rsidRPr="005A3D16">
          <w:rPr>
            <w:rStyle w:val="Hyperlink"/>
            <w:noProof/>
          </w:rPr>
          <w:t>References</w:t>
        </w:r>
        <w:r>
          <w:rPr>
            <w:noProof/>
            <w:webHidden/>
          </w:rPr>
          <w:tab/>
        </w:r>
        <w:r>
          <w:rPr>
            <w:noProof/>
            <w:webHidden/>
          </w:rPr>
          <w:fldChar w:fldCharType="begin"/>
        </w:r>
        <w:r>
          <w:rPr>
            <w:noProof/>
            <w:webHidden/>
          </w:rPr>
          <w:instrText xml:space="preserve"> PAGEREF _Toc121824715 \h </w:instrText>
        </w:r>
        <w:r>
          <w:rPr>
            <w:noProof/>
            <w:webHidden/>
          </w:rPr>
        </w:r>
        <w:r>
          <w:rPr>
            <w:noProof/>
            <w:webHidden/>
          </w:rPr>
          <w:fldChar w:fldCharType="separate"/>
        </w:r>
        <w:r>
          <w:rPr>
            <w:noProof/>
            <w:webHidden/>
          </w:rPr>
          <w:t>5</w:t>
        </w:r>
        <w:r>
          <w:rPr>
            <w:noProof/>
            <w:webHidden/>
          </w:rPr>
          <w:fldChar w:fldCharType="end"/>
        </w:r>
      </w:hyperlink>
    </w:p>
    <w:p w14:paraId="1F12AB0F" w14:textId="0CB0D360" w:rsidR="00FD396E" w:rsidRDefault="00FD396E">
      <w:pPr>
        <w:pStyle w:val="TOC1"/>
        <w:tabs>
          <w:tab w:val="right" w:leader="dot" w:pos="9060"/>
        </w:tabs>
        <w:rPr>
          <w:rFonts w:eastAsiaTheme="minorEastAsia" w:cstheme="minorBidi"/>
          <w:noProof/>
          <w:sz w:val="22"/>
          <w:szCs w:val="22"/>
          <w:lang w:eastAsia="en-AU"/>
        </w:rPr>
      </w:pPr>
      <w:hyperlink w:anchor="_Toc121824716" w:history="1">
        <w:r w:rsidRPr="005A3D16">
          <w:rPr>
            <w:rStyle w:val="Hyperlink"/>
            <w:noProof/>
          </w:rPr>
          <w:t>Search Terms</w:t>
        </w:r>
        <w:r>
          <w:rPr>
            <w:noProof/>
            <w:webHidden/>
          </w:rPr>
          <w:tab/>
        </w:r>
        <w:r>
          <w:rPr>
            <w:noProof/>
            <w:webHidden/>
          </w:rPr>
          <w:fldChar w:fldCharType="begin"/>
        </w:r>
        <w:r>
          <w:rPr>
            <w:noProof/>
            <w:webHidden/>
          </w:rPr>
          <w:instrText xml:space="preserve"> PAGEREF _Toc121824716 \h </w:instrText>
        </w:r>
        <w:r>
          <w:rPr>
            <w:noProof/>
            <w:webHidden/>
          </w:rPr>
        </w:r>
        <w:r>
          <w:rPr>
            <w:noProof/>
            <w:webHidden/>
          </w:rPr>
          <w:fldChar w:fldCharType="separate"/>
        </w:r>
        <w:r>
          <w:rPr>
            <w:noProof/>
            <w:webHidden/>
          </w:rPr>
          <w:t>6</w:t>
        </w:r>
        <w:r>
          <w:rPr>
            <w:noProof/>
            <w:webHidden/>
          </w:rPr>
          <w:fldChar w:fldCharType="end"/>
        </w:r>
      </w:hyperlink>
    </w:p>
    <w:p w14:paraId="2A391872" w14:textId="1304B8F9" w:rsidR="00FD396E" w:rsidRDefault="00FD396E">
      <w:pPr>
        <w:pStyle w:val="TOC1"/>
        <w:tabs>
          <w:tab w:val="right" w:leader="dot" w:pos="9060"/>
        </w:tabs>
        <w:rPr>
          <w:rFonts w:eastAsiaTheme="minorEastAsia" w:cstheme="minorBidi"/>
          <w:noProof/>
          <w:sz w:val="22"/>
          <w:szCs w:val="22"/>
          <w:lang w:eastAsia="en-AU"/>
        </w:rPr>
      </w:pPr>
      <w:hyperlink w:anchor="_Toc121824717" w:history="1">
        <w:r w:rsidRPr="005A3D16">
          <w:rPr>
            <w:rStyle w:val="Hyperlink"/>
            <w:noProof/>
          </w:rPr>
          <w:t>Attachments</w:t>
        </w:r>
        <w:r>
          <w:rPr>
            <w:noProof/>
            <w:webHidden/>
          </w:rPr>
          <w:tab/>
        </w:r>
        <w:r>
          <w:rPr>
            <w:noProof/>
            <w:webHidden/>
          </w:rPr>
          <w:fldChar w:fldCharType="begin"/>
        </w:r>
        <w:r>
          <w:rPr>
            <w:noProof/>
            <w:webHidden/>
          </w:rPr>
          <w:instrText xml:space="preserve"> PAGEREF _Toc121824717 \h </w:instrText>
        </w:r>
        <w:r>
          <w:rPr>
            <w:noProof/>
            <w:webHidden/>
          </w:rPr>
        </w:r>
        <w:r>
          <w:rPr>
            <w:noProof/>
            <w:webHidden/>
          </w:rPr>
          <w:fldChar w:fldCharType="separate"/>
        </w:r>
        <w:r>
          <w:rPr>
            <w:noProof/>
            <w:webHidden/>
          </w:rPr>
          <w:t>6</w:t>
        </w:r>
        <w:r>
          <w:rPr>
            <w:noProof/>
            <w:webHidden/>
          </w:rPr>
          <w:fldChar w:fldCharType="end"/>
        </w:r>
      </w:hyperlink>
    </w:p>
    <w:p w14:paraId="086829E2" w14:textId="6B6BA304"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10C21D7B" w:rsidR="009A534C" w:rsidRPr="002E3BFE" w:rsidRDefault="00D749CF" w:rsidP="00B10F87">
            <w:pPr>
              <w:pStyle w:val="Heading1"/>
            </w:pPr>
            <w:bookmarkStart w:id="4" w:name="_Toc121824707"/>
            <w:r>
              <w:lastRenderedPageBreak/>
              <w:t>Purpose</w:t>
            </w:r>
            <w:bookmarkEnd w:id="4"/>
          </w:p>
        </w:tc>
      </w:tr>
    </w:tbl>
    <w:p w14:paraId="086829E6" w14:textId="77777777" w:rsidR="009A534C" w:rsidRDefault="009A534C" w:rsidP="00C13D33">
      <w:pPr>
        <w:rPr>
          <w:rFonts w:cs="Arial"/>
          <w:b/>
          <w:szCs w:val="24"/>
        </w:rPr>
      </w:pPr>
    </w:p>
    <w:p w14:paraId="086829E8" w14:textId="5197EBBD" w:rsidR="00B10F87" w:rsidRPr="00AD0366" w:rsidRDefault="00DF3B20" w:rsidP="00C13D33">
      <w:pPr>
        <w:rPr>
          <w:rFonts w:cs="Arial"/>
          <w:b/>
          <w:iCs/>
          <w:szCs w:val="24"/>
        </w:rPr>
      </w:pPr>
      <w:r w:rsidRPr="00AD0366">
        <w:rPr>
          <w:iCs/>
        </w:rPr>
        <w:t xml:space="preserve">This guideline provides recommendations and defines the eligibility criteria for the supply of loan bi-level </w:t>
      </w:r>
      <w:r w:rsidR="00106AB2">
        <w:rPr>
          <w:iCs/>
        </w:rPr>
        <w:t xml:space="preserve">ventilation </w:t>
      </w:r>
      <w:r w:rsidRPr="00AD0366">
        <w:rPr>
          <w:iCs/>
        </w:rPr>
        <w:t>equipment to eligible clients by the ACT Domiciliary Oxygen and Respiratory Support Scheme (DORSS).</w:t>
      </w:r>
    </w:p>
    <w:p w14:paraId="086829EE" w14:textId="77777777" w:rsidR="00010E74" w:rsidRPr="00010E74" w:rsidRDefault="00010E74" w:rsidP="00C13D33"/>
    <w:p w14:paraId="086829F2" w14:textId="77777777" w:rsidR="0098579F" w:rsidRDefault="009A534C" w:rsidP="00C13D33">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21824708"/>
            <w:r>
              <w:t>Scope</w:t>
            </w:r>
            <w:bookmarkEnd w:id="5"/>
          </w:p>
        </w:tc>
      </w:tr>
    </w:tbl>
    <w:p w14:paraId="086829F5" w14:textId="77777777" w:rsidR="0098579F" w:rsidRDefault="0098579F" w:rsidP="0098579F"/>
    <w:p w14:paraId="086829FE" w14:textId="24C9BE82" w:rsidR="00C13D33" w:rsidRDefault="00DF3B20" w:rsidP="00C13D33">
      <w:pPr>
        <w:rPr>
          <w:rFonts w:cs="Arial"/>
          <w:iCs/>
          <w:szCs w:val="24"/>
        </w:rPr>
      </w:pPr>
      <w:r w:rsidRPr="00AD0366">
        <w:rPr>
          <w:rFonts w:cs="Arial"/>
          <w:iCs/>
          <w:szCs w:val="24"/>
        </w:rPr>
        <w:t xml:space="preserve">This </w:t>
      </w:r>
      <w:r w:rsidR="00106AB2">
        <w:rPr>
          <w:rFonts w:cs="Arial"/>
          <w:iCs/>
          <w:szCs w:val="24"/>
        </w:rPr>
        <w:t>g</w:t>
      </w:r>
      <w:r w:rsidRPr="00AD0366">
        <w:rPr>
          <w:rFonts w:cs="Arial"/>
          <w:iCs/>
          <w:szCs w:val="24"/>
        </w:rPr>
        <w:t>uideline provides information for all Canberra Health Services</w:t>
      </w:r>
      <w:r w:rsidR="00106AB2">
        <w:rPr>
          <w:rFonts w:cs="Arial"/>
          <w:iCs/>
          <w:szCs w:val="24"/>
        </w:rPr>
        <w:t xml:space="preserve"> (CHS)</w:t>
      </w:r>
      <w:r w:rsidRPr="00AD0366">
        <w:rPr>
          <w:rFonts w:cs="Arial"/>
          <w:iCs/>
          <w:szCs w:val="24"/>
        </w:rPr>
        <w:t xml:space="preserve"> employees, Private Sleep Physicians/Laboratories and other health professionals involved in the management of patients with complex sleep disorders requiring bi-level ventilation.</w:t>
      </w:r>
    </w:p>
    <w:p w14:paraId="44BB7EF6" w14:textId="680271AA" w:rsidR="00106AB2" w:rsidRDefault="00106AB2" w:rsidP="00C13D33">
      <w:pPr>
        <w:rPr>
          <w:rFonts w:cs="Arial"/>
          <w:iCs/>
          <w:szCs w:val="24"/>
        </w:rPr>
      </w:pPr>
    </w:p>
    <w:p w14:paraId="40CF7FD8" w14:textId="4E5FAE99" w:rsidR="00106AB2" w:rsidRDefault="00106AB2" w:rsidP="00C13D33">
      <w:pPr>
        <w:rPr>
          <w:rFonts w:cs="Arial"/>
          <w:iCs/>
          <w:szCs w:val="24"/>
        </w:rPr>
      </w:pPr>
      <w:r>
        <w:rPr>
          <w:rFonts w:cs="Arial"/>
          <w:iCs/>
          <w:szCs w:val="24"/>
        </w:rPr>
        <w:t>The guideline applies to the following CHS staff working within their scope of practice:</w:t>
      </w:r>
    </w:p>
    <w:p w14:paraId="1392CFF7" w14:textId="3877E90D" w:rsidR="00106AB2" w:rsidRDefault="00106AB2" w:rsidP="00106AB2">
      <w:pPr>
        <w:pStyle w:val="ListBullet"/>
      </w:pPr>
      <w:r>
        <w:t>Medical Officers</w:t>
      </w:r>
    </w:p>
    <w:p w14:paraId="6B34626D" w14:textId="1091BE6D" w:rsidR="00106AB2" w:rsidRDefault="00106AB2" w:rsidP="00106AB2">
      <w:pPr>
        <w:pStyle w:val="ListBullet"/>
      </w:pPr>
      <w:r>
        <w:t>Nurses and Midwives</w:t>
      </w:r>
    </w:p>
    <w:p w14:paraId="424305EF" w14:textId="1424C486" w:rsidR="00106AB2" w:rsidRDefault="00106AB2" w:rsidP="00106AB2">
      <w:pPr>
        <w:pStyle w:val="ListBullet"/>
      </w:pPr>
      <w:r>
        <w:t>Allied Health Professionals</w:t>
      </w:r>
    </w:p>
    <w:p w14:paraId="61940200" w14:textId="06C7970B" w:rsidR="00106AB2" w:rsidRDefault="00106AB2" w:rsidP="00106AB2">
      <w:pPr>
        <w:pStyle w:val="ListBullet"/>
      </w:pPr>
      <w:r>
        <w:t>Administration team members</w:t>
      </w:r>
    </w:p>
    <w:p w14:paraId="31FA3872" w14:textId="05D1E59F" w:rsidR="00106AB2" w:rsidRDefault="00106AB2" w:rsidP="00106AB2">
      <w:pPr>
        <w:pStyle w:val="ListBullet"/>
      </w:pPr>
      <w:r>
        <w:t>Students under direct supervision.</w:t>
      </w:r>
    </w:p>
    <w:p w14:paraId="472FEA81" w14:textId="77777777" w:rsidR="006A75B7" w:rsidRPr="00AD0366" w:rsidRDefault="006A75B7" w:rsidP="00C13D33">
      <w:pPr>
        <w:rPr>
          <w:rFonts w:cs="Arial"/>
          <w:iCs/>
          <w:szCs w:val="24"/>
        </w:rPr>
      </w:pPr>
    </w:p>
    <w:p w14:paraId="086829FF" w14:textId="77777777" w:rsidR="00C13D33" w:rsidRPr="00AD0366" w:rsidRDefault="00C13D33" w:rsidP="009A534C">
      <w:pPr>
        <w:jc w:val="right"/>
        <w:rPr>
          <w:rFonts w:cs="Arial"/>
          <w:iCs/>
          <w:szCs w:val="24"/>
        </w:rPr>
      </w:pPr>
      <w:hyperlink w:anchor="Contents" w:history="1">
        <w:r w:rsidRPr="00AD0366">
          <w:rPr>
            <w:rStyle w:val="Hyperlink"/>
            <w:rFonts w:eastAsiaTheme="majorEastAsia" w:cs="Arial"/>
            <w:iCs/>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01" w14:textId="77777777" w:rsidTr="008E74FD">
        <w:trPr>
          <w:cantSplit/>
          <w:trHeight w:val="285"/>
        </w:trPr>
        <w:tc>
          <w:tcPr>
            <w:tcW w:w="9158" w:type="dxa"/>
            <w:shd w:val="clear" w:color="auto" w:fill="D9D9D9" w:themeFill="background1" w:themeFillShade="D9"/>
          </w:tcPr>
          <w:p w14:paraId="08682A00" w14:textId="55087631" w:rsidR="009A534C" w:rsidRPr="00AD0366" w:rsidRDefault="009A534C" w:rsidP="00B10F87">
            <w:pPr>
              <w:pStyle w:val="Heading1"/>
            </w:pPr>
            <w:bookmarkStart w:id="6" w:name="_Toc389473278"/>
            <w:bookmarkStart w:id="7" w:name="_Toc393203334"/>
            <w:bookmarkStart w:id="8" w:name="_Toc121824709"/>
            <w:r w:rsidRPr="00AD0366">
              <w:t xml:space="preserve">Section 1 – </w:t>
            </w:r>
            <w:bookmarkEnd w:id="6"/>
            <w:bookmarkEnd w:id="7"/>
            <w:r w:rsidR="001915E7" w:rsidRPr="00AD0366">
              <w:t>Eligibility</w:t>
            </w:r>
            <w:bookmarkEnd w:id="8"/>
          </w:p>
        </w:tc>
      </w:tr>
    </w:tbl>
    <w:p w14:paraId="08682A02" w14:textId="0957C0A1" w:rsidR="009A534C" w:rsidRPr="00AD0366" w:rsidRDefault="009A534C" w:rsidP="009A534C">
      <w:pPr>
        <w:outlineLvl w:val="0"/>
        <w:rPr>
          <w:iCs/>
          <w:szCs w:val="24"/>
        </w:rPr>
      </w:pPr>
    </w:p>
    <w:p w14:paraId="30CE305C" w14:textId="77777777" w:rsidR="00CE1018" w:rsidRPr="00AD0366" w:rsidRDefault="00CE1018" w:rsidP="006A75B7">
      <w:pPr>
        <w:pStyle w:val="Heading2"/>
      </w:pPr>
      <w:r w:rsidRPr="00AD0366">
        <w:t>Patient Criteria</w:t>
      </w:r>
    </w:p>
    <w:p w14:paraId="0685A55A" w14:textId="7A910ACC" w:rsidR="00CE1018" w:rsidRPr="00AD0366" w:rsidRDefault="00CE1018" w:rsidP="00CE1018">
      <w:pPr>
        <w:outlineLvl w:val="0"/>
        <w:rPr>
          <w:iCs/>
          <w:szCs w:val="24"/>
        </w:rPr>
      </w:pPr>
      <w:r w:rsidRPr="00AD0366">
        <w:rPr>
          <w:iCs/>
          <w:szCs w:val="24"/>
        </w:rPr>
        <w:t>Patients must fulfil the</w:t>
      </w:r>
      <w:r w:rsidR="006A75B7">
        <w:rPr>
          <w:iCs/>
          <w:szCs w:val="24"/>
        </w:rPr>
        <w:t xml:space="preserve"> following </w:t>
      </w:r>
      <w:r w:rsidRPr="00AD0366">
        <w:rPr>
          <w:iCs/>
          <w:szCs w:val="24"/>
        </w:rPr>
        <w:t>criteria to be eligible for bi-level equipment</w:t>
      </w:r>
      <w:r w:rsidR="006A75B7">
        <w:rPr>
          <w:iCs/>
          <w:szCs w:val="24"/>
        </w:rPr>
        <w:t>:</w:t>
      </w:r>
    </w:p>
    <w:p w14:paraId="0712FE7D" w14:textId="5A82ACE0" w:rsidR="001915E7" w:rsidRPr="00AD0366" w:rsidRDefault="001915E7" w:rsidP="00106AB2">
      <w:pPr>
        <w:pStyle w:val="ListBullet"/>
      </w:pPr>
      <w:r w:rsidRPr="00AD0366">
        <w:t xml:space="preserve">Hold a current Pensioner Concession Card or Health Care Card in </w:t>
      </w:r>
      <w:r w:rsidR="006A75B7">
        <w:t>their</w:t>
      </w:r>
      <w:r w:rsidRPr="00AD0366">
        <w:t xml:space="preserve"> name (this does not include Seniors Health Care Card (SHC), Mobility MO Health Care Card or Department of Veterans Affairs (DVA) Gold Card)</w:t>
      </w:r>
    </w:p>
    <w:p w14:paraId="7EB9C3CB" w14:textId="3965ACE9" w:rsidR="001915E7" w:rsidRPr="00AD0366" w:rsidRDefault="001915E7" w:rsidP="00106AB2">
      <w:pPr>
        <w:pStyle w:val="ListBullet"/>
      </w:pPr>
      <w:r w:rsidRPr="00AD0366">
        <w:t>Be a permanent resident of the ACT</w:t>
      </w:r>
    </w:p>
    <w:p w14:paraId="37994067" w14:textId="07B7E2D8" w:rsidR="001915E7" w:rsidRPr="00AD0366" w:rsidRDefault="001915E7" w:rsidP="00106AB2">
      <w:pPr>
        <w:pStyle w:val="ListBullet"/>
      </w:pPr>
      <w:r w:rsidRPr="00AD0366">
        <w:t>Be living in the community (excluding high level care nursing homes)</w:t>
      </w:r>
    </w:p>
    <w:p w14:paraId="0D487A6D" w14:textId="18F7C41C" w:rsidR="001915E7" w:rsidRPr="00AD0366" w:rsidRDefault="001915E7" w:rsidP="00106AB2">
      <w:pPr>
        <w:pStyle w:val="ListBullet"/>
      </w:pPr>
      <w:r w:rsidRPr="00AD0366">
        <w:t>Be an Australian citizen or the holder of a permanent visa</w:t>
      </w:r>
    </w:p>
    <w:p w14:paraId="308D5442" w14:textId="33D18EFF" w:rsidR="001915E7" w:rsidRPr="00AD0366" w:rsidRDefault="001915E7" w:rsidP="00106AB2">
      <w:pPr>
        <w:pStyle w:val="ListBullet"/>
      </w:pPr>
      <w:r w:rsidRPr="00AD0366">
        <w:t xml:space="preserve">Have not received compensation through insurance or legal recourse or damages in respect of the disability for which the item has been prescribed. </w:t>
      </w:r>
    </w:p>
    <w:p w14:paraId="38E62558" w14:textId="6664FF45" w:rsidR="001915E7" w:rsidRPr="00AD0366" w:rsidRDefault="001915E7" w:rsidP="00106AB2">
      <w:pPr>
        <w:pStyle w:val="ListBullet"/>
      </w:pPr>
      <w:r w:rsidRPr="00AD0366">
        <w:t>Be ineligible to receive the equipment requested from any other funding program</w:t>
      </w:r>
    </w:p>
    <w:p w14:paraId="703371BD" w14:textId="1C28677D" w:rsidR="001915E7" w:rsidRPr="00AD0366" w:rsidRDefault="001915E7" w:rsidP="00106AB2">
      <w:pPr>
        <w:pStyle w:val="ListBullet"/>
      </w:pPr>
      <w:r w:rsidRPr="00AD0366">
        <w:t>Not be an outpatient who is provided with long-term equipment by their treating hospital for an acute medical condition</w:t>
      </w:r>
    </w:p>
    <w:p w14:paraId="009F5886" w14:textId="6997A0CA" w:rsidR="001915E7" w:rsidRPr="00AD0366" w:rsidRDefault="001915E7" w:rsidP="00106AB2">
      <w:pPr>
        <w:pStyle w:val="ListBullet"/>
      </w:pPr>
      <w:r w:rsidRPr="00AD0366">
        <w:t>Not be able to make an equivalent claim for the required appliance through their Private Health Fund</w:t>
      </w:r>
    </w:p>
    <w:p w14:paraId="7C13BFB4" w14:textId="46C548AC" w:rsidR="001915E7" w:rsidRPr="00AD0366" w:rsidRDefault="00106AB2" w:rsidP="00106AB2">
      <w:pPr>
        <w:pStyle w:val="ListBullet"/>
      </w:pPr>
      <w:r>
        <w:t>B</w:t>
      </w:r>
      <w:r w:rsidR="001915E7" w:rsidRPr="00AD0366">
        <w:t>e assessed and referred by an approved consultant</w:t>
      </w:r>
    </w:p>
    <w:p w14:paraId="215F0864" w14:textId="77777777" w:rsidR="006F0C27" w:rsidRPr="00AD0366" w:rsidRDefault="006F0C27" w:rsidP="006F0C27">
      <w:pPr>
        <w:pStyle w:val="ListBullet"/>
      </w:pPr>
      <w:r>
        <w:lastRenderedPageBreak/>
        <w:t>H</w:t>
      </w:r>
      <w:r w:rsidRPr="00AD0366">
        <w:t xml:space="preserve">ave completed studies at a recognised sleep study unit within the last three years and successfully trialled the recommended unit for a minimum of </w:t>
      </w:r>
      <w:r>
        <w:t>four consecutive weeks</w:t>
      </w:r>
      <w:r w:rsidRPr="00AD0366">
        <w:t xml:space="preserve">. </w:t>
      </w:r>
    </w:p>
    <w:p w14:paraId="55D199FA" w14:textId="77777777" w:rsidR="006F0C27" w:rsidRPr="00AD0366" w:rsidRDefault="006F0C27" w:rsidP="006F0C27">
      <w:pPr>
        <w:pStyle w:val="ListBullet"/>
      </w:pPr>
      <w:r w:rsidRPr="00AD0366">
        <w:t xml:space="preserve">Rent a bi-level device at their own expense for </w:t>
      </w:r>
      <w:r>
        <w:t>the</w:t>
      </w:r>
      <w:r w:rsidRPr="00AD0366">
        <w:t xml:space="preserve"> minimum </w:t>
      </w:r>
      <w:r>
        <w:t>1</w:t>
      </w:r>
      <w:r w:rsidRPr="00AD0366">
        <w:t>-month home treatment trial</w:t>
      </w:r>
    </w:p>
    <w:p w14:paraId="650CE7C1" w14:textId="77777777" w:rsidR="006F0C27" w:rsidRPr="00AD0366" w:rsidRDefault="006F0C27" w:rsidP="006F0C27">
      <w:pPr>
        <w:pStyle w:val="ListBullet"/>
      </w:pPr>
      <w:r>
        <w:t>Have a</w:t>
      </w:r>
      <w:r w:rsidRPr="00AD0366">
        <w:t xml:space="preserve"> download report which demonstrates usage of &gt;4 hours per night for &gt;70% of nights over the </w:t>
      </w:r>
      <w:r>
        <w:t>1</w:t>
      </w:r>
      <w:r w:rsidRPr="00AD0366">
        <w:t xml:space="preserve">-month period to show compliance. If compliance is not met during that time a further 30 days compliance to prove that </w:t>
      </w:r>
      <w:r>
        <w:t>device</w:t>
      </w:r>
      <w:r w:rsidRPr="00AD0366">
        <w:t xml:space="preserve"> is needed can be provided.</w:t>
      </w:r>
    </w:p>
    <w:p w14:paraId="08682A06" w14:textId="39ED50FA" w:rsidR="009A534C" w:rsidRPr="00AD0366" w:rsidRDefault="009A534C" w:rsidP="009A534C">
      <w:pPr>
        <w:rPr>
          <w:rFonts w:cs="Arial"/>
          <w:iCs/>
          <w:szCs w:val="24"/>
        </w:rPr>
      </w:pPr>
    </w:p>
    <w:p w14:paraId="08682A07" w14:textId="77777777" w:rsidR="009A534C" w:rsidRPr="00AD0366" w:rsidRDefault="009A534C" w:rsidP="009A534C">
      <w:pPr>
        <w:jc w:val="right"/>
        <w:rPr>
          <w:rFonts w:cs="Arial"/>
          <w:iCs/>
          <w:szCs w:val="24"/>
        </w:rPr>
      </w:pPr>
      <w:hyperlink w:anchor="Contents" w:history="1">
        <w:r w:rsidRPr="00AD0366">
          <w:rPr>
            <w:rStyle w:val="Hyperlink"/>
            <w:rFonts w:eastAsiaTheme="majorEastAsia" w:cs="Arial"/>
            <w:iCs/>
            <w:szCs w:val="24"/>
          </w:rPr>
          <w:t>Back to Table of Contents</w:t>
        </w:r>
      </w:hyperlink>
      <w:r w:rsidRPr="00AD0366">
        <w:rPr>
          <w:rFonts w:cs="Arial"/>
          <w:iCs/>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09" w14:textId="77777777" w:rsidTr="008E74FD">
        <w:trPr>
          <w:cantSplit/>
          <w:trHeight w:val="285"/>
        </w:trPr>
        <w:tc>
          <w:tcPr>
            <w:tcW w:w="9158" w:type="dxa"/>
            <w:shd w:val="clear" w:color="auto" w:fill="D9D9D9" w:themeFill="background1" w:themeFillShade="D9"/>
          </w:tcPr>
          <w:p w14:paraId="08682A08" w14:textId="31128E59" w:rsidR="009A534C" w:rsidRPr="00AD0366" w:rsidRDefault="009A534C" w:rsidP="00010E74">
            <w:pPr>
              <w:pStyle w:val="Heading1"/>
            </w:pPr>
            <w:bookmarkStart w:id="9" w:name="_Toc389473281"/>
            <w:bookmarkStart w:id="10" w:name="_Toc393203337"/>
            <w:bookmarkStart w:id="11" w:name="_Toc121824710"/>
            <w:r w:rsidRPr="00AD0366">
              <w:t xml:space="preserve">Section 2 </w:t>
            </w:r>
            <w:r w:rsidR="00157E55" w:rsidRPr="00AD0366">
              <w:t>– Bi</w:t>
            </w:r>
            <w:r w:rsidR="001915E7" w:rsidRPr="00AD0366">
              <w:t>-level Titration Studies</w:t>
            </w:r>
            <w:bookmarkEnd w:id="9"/>
            <w:bookmarkEnd w:id="10"/>
            <w:bookmarkEnd w:id="11"/>
          </w:p>
        </w:tc>
      </w:tr>
    </w:tbl>
    <w:p w14:paraId="08682A0B" w14:textId="77777777" w:rsidR="008E74FD" w:rsidRPr="00AD0366" w:rsidRDefault="008E74FD" w:rsidP="00D54ED5">
      <w:pPr>
        <w:rPr>
          <w:rFonts w:cs="Arial"/>
          <w:iCs/>
          <w:szCs w:val="24"/>
        </w:rPr>
      </w:pPr>
    </w:p>
    <w:p w14:paraId="16D09F8E" w14:textId="02F04E9B" w:rsidR="001915E7" w:rsidRDefault="001915E7" w:rsidP="001915E7">
      <w:pPr>
        <w:rPr>
          <w:rFonts w:cs="Arial"/>
          <w:iCs/>
          <w:szCs w:val="24"/>
        </w:rPr>
      </w:pPr>
      <w:r w:rsidRPr="00AD0366">
        <w:rPr>
          <w:rFonts w:cs="Arial"/>
          <w:iCs/>
          <w:szCs w:val="24"/>
        </w:rPr>
        <w:t xml:space="preserve">Due to the potential seriousness of their condition and therapy cost, patients being considered for issue or trial of bi-level (including </w:t>
      </w:r>
      <w:r w:rsidR="008951D1">
        <w:rPr>
          <w:rFonts w:cs="Arial"/>
          <w:iCs/>
          <w:szCs w:val="24"/>
        </w:rPr>
        <w:t>Adaptive Servo Ventilation (A</w:t>
      </w:r>
      <w:r w:rsidRPr="00AD0366">
        <w:rPr>
          <w:rFonts w:cs="Arial"/>
          <w:iCs/>
          <w:szCs w:val="24"/>
        </w:rPr>
        <w:t>SV</w:t>
      </w:r>
      <w:r w:rsidR="008951D1">
        <w:rPr>
          <w:rFonts w:cs="Arial"/>
          <w:iCs/>
          <w:szCs w:val="24"/>
        </w:rPr>
        <w:t>)</w:t>
      </w:r>
      <w:r w:rsidRPr="00AD0366">
        <w:rPr>
          <w:rFonts w:cs="Arial"/>
          <w:iCs/>
          <w:szCs w:val="24"/>
        </w:rPr>
        <w:t xml:space="preserve">) </w:t>
      </w:r>
      <w:r w:rsidR="008951D1">
        <w:rPr>
          <w:rFonts w:cs="Arial"/>
          <w:iCs/>
          <w:szCs w:val="24"/>
        </w:rPr>
        <w:t xml:space="preserve">ventilation </w:t>
      </w:r>
      <w:r w:rsidRPr="00AD0366">
        <w:rPr>
          <w:rFonts w:cs="Arial"/>
          <w:iCs/>
          <w:szCs w:val="24"/>
        </w:rPr>
        <w:t>equipment must have their studies conducted in a sleep study unit. Details of arterial blood gas</w:t>
      </w:r>
      <w:r w:rsidR="008951D1">
        <w:rPr>
          <w:rFonts w:cs="Arial"/>
          <w:iCs/>
          <w:szCs w:val="24"/>
        </w:rPr>
        <w:t xml:space="preserve"> (ABG) test results</w:t>
      </w:r>
      <w:r w:rsidRPr="00AD0366">
        <w:rPr>
          <w:rFonts w:cs="Arial"/>
          <w:iCs/>
          <w:szCs w:val="24"/>
        </w:rPr>
        <w:t xml:space="preserve"> must be provided. Overnight oximetry for diagnosis of nocturnal hypoventilation may be accepted if the treating sleep physician believes that this represents the best mode of investigation, </w:t>
      </w:r>
      <w:r w:rsidR="00157E55" w:rsidRPr="00AD0366">
        <w:rPr>
          <w:rFonts w:cs="Arial"/>
          <w:iCs/>
          <w:szCs w:val="24"/>
        </w:rPr>
        <w:t>considering</w:t>
      </w:r>
      <w:r w:rsidRPr="00AD0366">
        <w:rPr>
          <w:rFonts w:cs="Arial"/>
          <w:iCs/>
          <w:szCs w:val="24"/>
        </w:rPr>
        <w:t xml:space="preserve"> the patient’s condition and the rate of progress of respiratory failure. Where possible, all patients should have a full treatment </w:t>
      </w:r>
      <w:r w:rsidR="008951D1">
        <w:rPr>
          <w:rFonts w:cs="Arial"/>
          <w:iCs/>
          <w:szCs w:val="24"/>
        </w:rPr>
        <w:t>Polysomnography (</w:t>
      </w:r>
      <w:r w:rsidRPr="00AD0366">
        <w:rPr>
          <w:rFonts w:cs="Arial"/>
          <w:iCs/>
          <w:szCs w:val="24"/>
        </w:rPr>
        <w:t>PSG</w:t>
      </w:r>
      <w:r w:rsidR="008951D1">
        <w:rPr>
          <w:rFonts w:cs="Arial"/>
          <w:iCs/>
          <w:szCs w:val="24"/>
        </w:rPr>
        <w:t>)/sleep study</w:t>
      </w:r>
      <w:r w:rsidRPr="00AD0366">
        <w:rPr>
          <w:rFonts w:cs="Arial"/>
          <w:iCs/>
          <w:szCs w:val="24"/>
        </w:rPr>
        <w:t>.</w:t>
      </w:r>
    </w:p>
    <w:p w14:paraId="580454CB" w14:textId="77777777" w:rsidR="007005AE" w:rsidRPr="00AD0366" w:rsidRDefault="007005AE" w:rsidP="001915E7">
      <w:pPr>
        <w:rPr>
          <w:rFonts w:cs="Arial"/>
          <w:iCs/>
          <w:szCs w:val="24"/>
        </w:rPr>
      </w:pPr>
    </w:p>
    <w:bookmarkStart w:id="12" w:name="_Hlk121823870"/>
    <w:p w14:paraId="08682A10" w14:textId="28A681DC" w:rsidR="009A534C" w:rsidRPr="00AD0366" w:rsidRDefault="00FD396E" w:rsidP="001915E7">
      <w:pPr>
        <w:ind w:left="5760" w:firstLine="720"/>
        <w:rPr>
          <w:rFonts w:cs="Arial"/>
          <w:iCs/>
          <w:szCs w:val="24"/>
        </w:rPr>
      </w:pPr>
      <w:r>
        <w:fldChar w:fldCharType="begin"/>
      </w:r>
      <w:r>
        <w:instrText xml:space="preserve"> HYPERLINK \l "Contents" </w:instrText>
      </w:r>
      <w:r>
        <w:fldChar w:fldCharType="separate"/>
      </w:r>
      <w:r w:rsidR="009A534C" w:rsidRPr="00AD0366">
        <w:rPr>
          <w:rStyle w:val="Hyperlink"/>
          <w:rFonts w:eastAsiaTheme="majorEastAsia" w:cs="Arial"/>
          <w:iCs/>
          <w:szCs w:val="24"/>
        </w:rPr>
        <w:t>Back to Table of Contents</w:t>
      </w:r>
      <w:r>
        <w:rPr>
          <w:rStyle w:val="Hyperlink"/>
          <w:rFonts w:eastAsiaTheme="majorEastAsia" w:cs="Arial"/>
          <w:iCs/>
          <w:szCs w:val="24"/>
        </w:rPr>
        <w:fldChar w:fldCharType="end"/>
      </w:r>
      <w:r w:rsidR="009A534C" w:rsidRPr="00AD0366">
        <w:rPr>
          <w:rFonts w:cs="Arial"/>
          <w:iCs/>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12" w14:textId="77777777" w:rsidTr="008E74FD">
        <w:trPr>
          <w:cantSplit/>
          <w:trHeight w:val="285"/>
        </w:trPr>
        <w:tc>
          <w:tcPr>
            <w:tcW w:w="9158" w:type="dxa"/>
            <w:shd w:val="clear" w:color="auto" w:fill="D9D9D9" w:themeFill="background1" w:themeFillShade="D9"/>
          </w:tcPr>
          <w:p w14:paraId="08682A11" w14:textId="02D6DB96" w:rsidR="009A534C" w:rsidRPr="00AD0366" w:rsidRDefault="00010E74" w:rsidP="00B10F87">
            <w:pPr>
              <w:pStyle w:val="Heading1"/>
            </w:pPr>
            <w:bookmarkStart w:id="13" w:name="_Toc389473284"/>
            <w:bookmarkStart w:id="14" w:name="_Toc393203340"/>
            <w:bookmarkStart w:id="15" w:name="_Toc121824711"/>
            <w:bookmarkEnd w:id="12"/>
            <w:r w:rsidRPr="00AD0366">
              <w:t xml:space="preserve">Section </w:t>
            </w:r>
            <w:r w:rsidR="001915E7" w:rsidRPr="00AD0366">
              <w:t>3</w:t>
            </w:r>
            <w:r w:rsidR="009A534C" w:rsidRPr="00AD0366">
              <w:t xml:space="preserve"> – </w:t>
            </w:r>
            <w:bookmarkStart w:id="16" w:name="_Hlk118362904"/>
            <w:r w:rsidR="001915E7" w:rsidRPr="00AD0366">
              <w:t>Bi-level Provision Criteria</w:t>
            </w:r>
            <w:bookmarkEnd w:id="13"/>
            <w:bookmarkEnd w:id="14"/>
            <w:bookmarkEnd w:id="15"/>
            <w:bookmarkEnd w:id="16"/>
          </w:p>
        </w:tc>
      </w:tr>
    </w:tbl>
    <w:p w14:paraId="08682A13" w14:textId="77777777" w:rsidR="009A534C" w:rsidRPr="00AD0366" w:rsidRDefault="009A534C" w:rsidP="009A534C">
      <w:pPr>
        <w:pStyle w:val="Heading2"/>
        <w:rPr>
          <w:iCs/>
        </w:rPr>
      </w:pPr>
    </w:p>
    <w:p w14:paraId="69D71229" w14:textId="77777777" w:rsidR="001915E7" w:rsidRPr="00AD0366" w:rsidRDefault="001915E7" w:rsidP="001915E7">
      <w:pPr>
        <w:rPr>
          <w:rFonts w:cs="Arial"/>
          <w:iCs/>
          <w:szCs w:val="24"/>
        </w:rPr>
      </w:pPr>
      <w:r w:rsidRPr="00AD0366">
        <w:rPr>
          <w:rFonts w:cs="Arial"/>
          <w:iCs/>
          <w:szCs w:val="24"/>
        </w:rPr>
        <w:t xml:space="preserve">Bi-level devices may be provided for patients meeting </w:t>
      </w:r>
      <w:r w:rsidRPr="00AD0366">
        <w:rPr>
          <w:rFonts w:cs="Arial"/>
          <w:b/>
          <w:bCs/>
          <w:iCs/>
          <w:szCs w:val="24"/>
        </w:rPr>
        <w:t>ALL</w:t>
      </w:r>
      <w:r w:rsidRPr="00AD0366">
        <w:rPr>
          <w:rFonts w:cs="Arial"/>
          <w:iCs/>
          <w:szCs w:val="24"/>
        </w:rPr>
        <w:t xml:space="preserve"> the following criteria </w:t>
      </w:r>
    </w:p>
    <w:p w14:paraId="7AE093E5" w14:textId="77777777" w:rsidR="001915E7" w:rsidRPr="00AD0366" w:rsidRDefault="001915E7" w:rsidP="001915E7">
      <w:pPr>
        <w:rPr>
          <w:rFonts w:cs="Arial"/>
          <w:iCs/>
          <w:szCs w:val="24"/>
        </w:rPr>
      </w:pPr>
      <w:r w:rsidRPr="00AD0366">
        <w:rPr>
          <w:rFonts w:cs="Arial"/>
          <w:b/>
          <w:bCs/>
          <w:iCs/>
          <w:szCs w:val="24"/>
        </w:rPr>
        <w:t>IN ADDITION</w:t>
      </w:r>
      <w:r w:rsidRPr="00AD0366">
        <w:rPr>
          <w:rFonts w:cs="Arial"/>
          <w:iCs/>
          <w:szCs w:val="24"/>
        </w:rPr>
        <w:t xml:space="preserve"> to </w:t>
      </w:r>
      <w:r w:rsidRPr="00AD0366">
        <w:rPr>
          <w:rFonts w:cs="Arial"/>
          <w:b/>
          <w:bCs/>
          <w:iCs/>
          <w:szCs w:val="24"/>
        </w:rPr>
        <w:t>DISEASE SPECIFIC CRITERIA</w:t>
      </w:r>
      <w:r w:rsidRPr="00AD0366">
        <w:rPr>
          <w:rFonts w:cs="Arial"/>
          <w:iCs/>
          <w:szCs w:val="24"/>
        </w:rPr>
        <w:t xml:space="preserve"> as outlined:</w:t>
      </w:r>
    </w:p>
    <w:p w14:paraId="1496BE2B" w14:textId="77777777" w:rsidR="001915E7" w:rsidRPr="00AD0366" w:rsidRDefault="001915E7" w:rsidP="001915E7">
      <w:pPr>
        <w:rPr>
          <w:rFonts w:cs="Arial"/>
          <w:iCs/>
          <w:szCs w:val="24"/>
        </w:rPr>
      </w:pPr>
    </w:p>
    <w:p w14:paraId="760A2267" w14:textId="71D3FFA3" w:rsidR="001915E7" w:rsidRPr="008951D1" w:rsidRDefault="001915E7" w:rsidP="008951D1">
      <w:pPr>
        <w:pStyle w:val="ListParagraph"/>
        <w:numPr>
          <w:ilvl w:val="0"/>
          <w:numId w:val="13"/>
        </w:numPr>
        <w:rPr>
          <w:rFonts w:cs="Arial"/>
          <w:iCs/>
          <w:szCs w:val="24"/>
        </w:rPr>
      </w:pPr>
      <w:r w:rsidRPr="008951D1">
        <w:rPr>
          <w:rFonts w:cs="Arial"/>
          <w:iCs/>
          <w:szCs w:val="24"/>
        </w:rPr>
        <w:t xml:space="preserve">An awake PaCO2≥45mmHg </w:t>
      </w:r>
      <w:r w:rsidRPr="008951D1">
        <w:rPr>
          <w:rFonts w:cs="Arial"/>
          <w:b/>
          <w:bCs/>
          <w:iCs/>
          <w:szCs w:val="24"/>
        </w:rPr>
        <w:t>OR</w:t>
      </w:r>
      <w:r w:rsidRPr="008951D1">
        <w:rPr>
          <w:rFonts w:cs="Arial"/>
          <w:iCs/>
          <w:szCs w:val="24"/>
        </w:rPr>
        <w:t xml:space="preserve"> Sleep hypoventilation on a full diagnostic sleep study as evidenced by a rise in TcCO2 ≥ 10 mmHg from baseline </w:t>
      </w:r>
      <w:r w:rsidRPr="008951D1">
        <w:rPr>
          <w:rFonts w:cs="Arial"/>
          <w:b/>
          <w:bCs/>
          <w:iCs/>
          <w:szCs w:val="24"/>
        </w:rPr>
        <w:t>OR</w:t>
      </w:r>
      <w:r w:rsidRPr="008951D1">
        <w:rPr>
          <w:rFonts w:cs="Arial"/>
          <w:iCs/>
          <w:szCs w:val="24"/>
        </w:rPr>
        <w:t xml:space="preserve"> PaCO2 ≥ 10 mmHg from paired evening-morning ABG’s </w:t>
      </w:r>
    </w:p>
    <w:p w14:paraId="7DD6BEC1" w14:textId="77777777" w:rsidR="001915E7" w:rsidRPr="00AD0366" w:rsidRDefault="001915E7" w:rsidP="001915E7">
      <w:pPr>
        <w:ind w:left="2880" w:firstLine="720"/>
        <w:rPr>
          <w:rFonts w:cs="Arial"/>
          <w:b/>
          <w:bCs/>
          <w:iCs/>
          <w:szCs w:val="24"/>
        </w:rPr>
      </w:pPr>
      <w:r w:rsidRPr="00AD0366">
        <w:rPr>
          <w:rFonts w:cs="Arial"/>
          <w:b/>
          <w:bCs/>
          <w:iCs/>
          <w:szCs w:val="24"/>
        </w:rPr>
        <w:t>AND</w:t>
      </w:r>
    </w:p>
    <w:p w14:paraId="3260DD56" w14:textId="437A01D7" w:rsidR="001915E7" w:rsidRPr="008951D1" w:rsidRDefault="001915E7" w:rsidP="008951D1">
      <w:pPr>
        <w:pStyle w:val="ListParagraph"/>
        <w:numPr>
          <w:ilvl w:val="0"/>
          <w:numId w:val="13"/>
        </w:numPr>
        <w:rPr>
          <w:rFonts w:cs="Arial"/>
          <w:iCs/>
          <w:szCs w:val="24"/>
        </w:rPr>
      </w:pPr>
      <w:r w:rsidRPr="008951D1">
        <w:rPr>
          <w:rFonts w:cs="Arial"/>
          <w:iCs/>
          <w:szCs w:val="24"/>
        </w:rPr>
        <w:t>Where significant upper airway obstruction is seen on a diagnostic study and C</w:t>
      </w:r>
      <w:r w:rsidR="008951D1">
        <w:rPr>
          <w:rFonts w:cs="Arial"/>
          <w:iCs/>
          <w:szCs w:val="24"/>
        </w:rPr>
        <w:t xml:space="preserve">ontinuous </w:t>
      </w:r>
      <w:r w:rsidRPr="008951D1">
        <w:rPr>
          <w:rFonts w:cs="Arial"/>
          <w:iCs/>
          <w:szCs w:val="24"/>
        </w:rPr>
        <w:t>P</w:t>
      </w:r>
      <w:r w:rsidR="008951D1">
        <w:rPr>
          <w:rFonts w:cs="Arial"/>
          <w:iCs/>
          <w:szCs w:val="24"/>
        </w:rPr>
        <w:t xml:space="preserve">ositive </w:t>
      </w:r>
      <w:r w:rsidRPr="008951D1">
        <w:rPr>
          <w:rFonts w:cs="Arial"/>
          <w:iCs/>
          <w:szCs w:val="24"/>
        </w:rPr>
        <w:t>A</w:t>
      </w:r>
      <w:r w:rsidR="008951D1">
        <w:rPr>
          <w:rFonts w:cs="Arial"/>
          <w:iCs/>
          <w:szCs w:val="24"/>
        </w:rPr>
        <w:t xml:space="preserve">irway </w:t>
      </w:r>
      <w:r w:rsidRPr="008951D1">
        <w:rPr>
          <w:rFonts w:cs="Arial"/>
          <w:iCs/>
          <w:szCs w:val="24"/>
        </w:rPr>
        <w:t>P</w:t>
      </w:r>
      <w:r w:rsidR="008951D1">
        <w:rPr>
          <w:rFonts w:cs="Arial"/>
          <w:iCs/>
          <w:szCs w:val="24"/>
        </w:rPr>
        <w:t>ressure (CPAP)</w:t>
      </w:r>
      <w:r w:rsidRPr="008951D1">
        <w:rPr>
          <w:rFonts w:cs="Arial"/>
          <w:iCs/>
          <w:szCs w:val="24"/>
        </w:rPr>
        <w:t xml:space="preserve"> has been shown to be insufficient in treating </w:t>
      </w:r>
      <w:r w:rsidR="008951D1">
        <w:rPr>
          <w:rFonts w:cs="Arial"/>
          <w:iCs/>
          <w:szCs w:val="24"/>
        </w:rPr>
        <w:t>sleep disordered breathing (</w:t>
      </w:r>
      <w:r w:rsidRPr="008951D1">
        <w:rPr>
          <w:rFonts w:cs="Arial"/>
          <w:iCs/>
          <w:szCs w:val="24"/>
        </w:rPr>
        <w:t>SDB</w:t>
      </w:r>
      <w:r w:rsidR="008951D1">
        <w:rPr>
          <w:rFonts w:cs="Arial"/>
          <w:iCs/>
          <w:szCs w:val="24"/>
        </w:rPr>
        <w:t>)</w:t>
      </w:r>
      <w:r w:rsidRPr="008951D1">
        <w:rPr>
          <w:rFonts w:cs="Arial"/>
          <w:iCs/>
          <w:szCs w:val="24"/>
        </w:rPr>
        <w:t xml:space="preserve">. </w:t>
      </w:r>
      <w:r w:rsidR="00157E55" w:rsidRPr="008951D1">
        <w:rPr>
          <w:rFonts w:cs="Arial"/>
          <w:iCs/>
          <w:szCs w:val="24"/>
        </w:rPr>
        <w:t>i.e.,</w:t>
      </w:r>
      <w:r w:rsidRPr="008951D1">
        <w:rPr>
          <w:rFonts w:cs="Arial"/>
          <w:iCs/>
          <w:szCs w:val="24"/>
        </w:rPr>
        <w:t xml:space="preserve"> continued CO2 retention ≥ 10 mmHg from baseline or sustained oxygen desaturation ≤ 88%</w:t>
      </w:r>
    </w:p>
    <w:p w14:paraId="49180362" w14:textId="77777777" w:rsidR="001915E7" w:rsidRPr="00AD0366" w:rsidRDefault="001915E7" w:rsidP="001915E7">
      <w:pPr>
        <w:ind w:left="2880" w:firstLine="720"/>
        <w:rPr>
          <w:rFonts w:cs="Arial"/>
          <w:b/>
          <w:bCs/>
          <w:iCs/>
          <w:szCs w:val="24"/>
        </w:rPr>
      </w:pPr>
      <w:r w:rsidRPr="00AD0366">
        <w:rPr>
          <w:rFonts w:cs="Arial"/>
          <w:b/>
          <w:bCs/>
          <w:iCs/>
          <w:szCs w:val="24"/>
        </w:rPr>
        <w:t>AND</w:t>
      </w:r>
    </w:p>
    <w:p w14:paraId="3946A9F5" w14:textId="77777777" w:rsidR="001915E7" w:rsidRPr="008951D1" w:rsidRDefault="001915E7" w:rsidP="008951D1">
      <w:pPr>
        <w:pStyle w:val="ListParagraph"/>
        <w:numPr>
          <w:ilvl w:val="0"/>
          <w:numId w:val="13"/>
        </w:numPr>
        <w:rPr>
          <w:rFonts w:cs="Arial"/>
          <w:iCs/>
          <w:szCs w:val="24"/>
        </w:rPr>
      </w:pPr>
      <w:r w:rsidRPr="008951D1">
        <w:rPr>
          <w:rFonts w:cs="Arial"/>
          <w:iCs/>
          <w:szCs w:val="24"/>
        </w:rPr>
        <w:t>A bi-level titration Type 1 sleep study with sufficient sleep achieved, demonstrating improved control of SDB and gas exchange.</w:t>
      </w:r>
    </w:p>
    <w:p w14:paraId="66F2F04C" w14:textId="77777777" w:rsidR="001915E7" w:rsidRPr="00AD0366" w:rsidRDefault="001915E7" w:rsidP="001915E7">
      <w:pPr>
        <w:rPr>
          <w:rFonts w:cs="Arial"/>
          <w:iCs/>
          <w:szCs w:val="24"/>
        </w:rPr>
      </w:pPr>
    </w:p>
    <w:p w14:paraId="10F97AB7" w14:textId="77777777" w:rsidR="001915E7" w:rsidRPr="00AD0366" w:rsidRDefault="001915E7" w:rsidP="001915E7">
      <w:pPr>
        <w:rPr>
          <w:rFonts w:cs="Arial"/>
          <w:b/>
          <w:bCs/>
          <w:iCs/>
          <w:szCs w:val="24"/>
        </w:rPr>
      </w:pPr>
      <w:r w:rsidRPr="00AD0366">
        <w:rPr>
          <w:rFonts w:cs="Arial"/>
          <w:b/>
          <w:bCs/>
          <w:iCs/>
          <w:szCs w:val="24"/>
        </w:rPr>
        <w:t>Disease Specific Criteria:</w:t>
      </w:r>
    </w:p>
    <w:p w14:paraId="4DE56F8F" w14:textId="56442C26" w:rsidR="001915E7" w:rsidRPr="00AD0366" w:rsidRDefault="001915E7" w:rsidP="007005AE">
      <w:pPr>
        <w:pStyle w:val="ListBullet"/>
      </w:pPr>
      <w:r w:rsidRPr="00AD0366">
        <w:t>Motor Neuron Disease</w:t>
      </w:r>
    </w:p>
    <w:p w14:paraId="75F599D0" w14:textId="156CB7C8" w:rsidR="001915E7" w:rsidRPr="00AD0366" w:rsidRDefault="001915E7" w:rsidP="007005AE">
      <w:pPr>
        <w:pStyle w:val="ListBullet"/>
      </w:pPr>
      <w:r w:rsidRPr="00AD0366">
        <w:t>Obesity hypoventilation syndrome.</w:t>
      </w:r>
    </w:p>
    <w:p w14:paraId="6A1AAABC" w14:textId="6D4EF7FF" w:rsidR="001915E7" w:rsidRPr="00AD0366" w:rsidRDefault="001915E7" w:rsidP="007005AE">
      <w:pPr>
        <w:pStyle w:val="ListBullet"/>
      </w:pPr>
      <w:r w:rsidRPr="00AD0366">
        <w:lastRenderedPageBreak/>
        <w:t>Neuromuscular disorders affecting respiratory muscles (examples Duchenne muscular dystrophy, post-polio syndrome and Myotonic dystrophy).</w:t>
      </w:r>
    </w:p>
    <w:p w14:paraId="1C14D6F9" w14:textId="7C0A5ABF" w:rsidR="001915E7" w:rsidRPr="00AD0366" w:rsidRDefault="001915E7" w:rsidP="007005AE">
      <w:pPr>
        <w:pStyle w:val="ListBullet"/>
      </w:pPr>
      <w:r w:rsidRPr="00AD0366">
        <w:t>Restricted diseases of the chest wall (examples: kyphoscoliosis and thoracoplasty)</w:t>
      </w:r>
    </w:p>
    <w:p w14:paraId="6687DEC7" w14:textId="783D3220" w:rsidR="001915E7" w:rsidRPr="00AD0366" w:rsidRDefault="001915E7" w:rsidP="007005AE">
      <w:pPr>
        <w:pStyle w:val="ListBullet"/>
      </w:pPr>
      <w:r w:rsidRPr="00AD0366">
        <w:t>Overlap syndrome (concurrent C</w:t>
      </w:r>
      <w:r w:rsidR="007005AE">
        <w:t>hronic Obstructive Pulmonary Disease (C</w:t>
      </w:r>
      <w:r w:rsidRPr="00AD0366">
        <w:t>OPD</w:t>
      </w:r>
      <w:r w:rsidR="007005AE">
        <w:t>)</w:t>
      </w:r>
      <w:r w:rsidRPr="00AD0366">
        <w:t xml:space="preserve"> and </w:t>
      </w:r>
      <w:r w:rsidR="007005AE">
        <w:t>Obstructive Sleep Apnoea (</w:t>
      </w:r>
      <w:r w:rsidRPr="00AD0366">
        <w:t>OSA</w:t>
      </w:r>
      <w:r w:rsidR="007005AE">
        <w:t>)</w:t>
      </w:r>
      <w:r w:rsidRPr="00AD0366">
        <w:t>).</w:t>
      </w:r>
    </w:p>
    <w:p w14:paraId="057A6DB6" w14:textId="5FA026DF" w:rsidR="001915E7" w:rsidRDefault="001915E7" w:rsidP="007005AE">
      <w:pPr>
        <w:pStyle w:val="ListBullet"/>
      </w:pPr>
      <w:r w:rsidRPr="00AD0366">
        <w:t xml:space="preserve">Respiratory failure where nocturnal hypoventilation is thought to be an important contributor. </w:t>
      </w:r>
    </w:p>
    <w:p w14:paraId="2D5B214B" w14:textId="77777777" w:rsidR="00BB731D" w:rsidRDefault="00BB731D" w:rsidP="00BB731D">
      <w:pPr>
        <w:pStyle w:val="ListBullet"/>
        <w:numPr>
          <w:ilvl w:val="0"/>
          <w:numId w:val="0"/>
        </w:numPr>
        <w:ind w:left="426" w:hanging="426"/>
      </w:pPr>
    </w:p>
    <w:p w14:paraId="1C1914B0" w14:textId="77777777" w:rsidR="00BB731D" w:rsidRPr="00BE64D7" w:rsidRDefault="00BB731D" w:rsidP="00BB731D">
      <w:pPr>
        <w:rPr>
          <w:b/>
          <w:bCs/>
        </w:rPr>
      </w:pPr>
      <w:r w:rsidRPr="00251089">
        <w:rPr>
          <w:b/>
          <w:bCs/>
        </w:rPr>
        <w:t>A</w:t>
      </w:r>
      <w:r>
        <w:rPr>
          <w:b/>
          <w:bCs/>
        </w:rPr>
        <w:t xml:space="preserve">daptive Servo Ventilation </w:t>
      </w:r>
      <w:r w:rsidRPr="00251089">
        <w:rPr>
          <w:b/>
          <w:bCs/>
        </w:rPr>
        <w:t xml:space="preserve"> </w:t>
      </w:r>
    </w:p>
    <w:p w14:paraId="093B60A2" w14:textId="77777777" w:rsidR="00BB731D" w:rsidRDefault="00BB731D" w:rsidP="00BB731D">
      <w:r>
        <w:t xml:space="preserve">For clients with Central Sleep Apnoea, Adaptive Servo Ventilation (ASV) can be considered for those who meet </w:t>
      </w:r>
      <w:proofErr w:type="gramStart"/>
      <w:r w:rsidRPr="00662261">
        <w:rPr>
          <w:b/>
          <w:bCs/>
        </w:rPr>
        <w:t xml:space="preserve">ALL </w:t>
      </w:r>
      <w:r>
        <w:t>of</w:t>
      </w:r>
      <w:proofErr w:type="gramEnd"/>
      <w:r>
        <w:t xml:space="preserve"> the following criteria:</w:t>
      </w:r>
    </w:p>
    <w:p w14:paraId="45F6DF46" w14:textId="77777777" w:rsidR="00BB731D" w:rsidRDefault="00BB731D" w:rsidP="00BB731D"/>
    <w:p w14:paraId="2AE051A7" w14:textId="77777777" w:rsidR="00BB731D" w:rsidRDefault="00BB731D" w:rsidP="00BB731D">
      <w:pPr>
        <w:pStyle w:val="ListParagraph"/>
        <w:numPr>
          <w:ilvl w:val="0"/>
          <w:numId w:val="14"/>
        </w:numPr>
        <w:spacing w:after="160" w:line="259" w:lineRule="auto"/>
        <w:ind w:left="360"/>
      </w:pPr>
      <w:r>
        <w:t xml:space="preserve">Diagnostic PSG showing CSA/Cheyne-Stokes Respiration (CSR) with an AHI&gt;20 with CSA for </w:t>
      </w:r>
      <w:proofErr w:type="gramStart"/>
      <w:r>
        <w:t>a majority of</w:t>
      </w:r>
      <w:proofErr w:type="gramEnd"/>
      <w:r>
        <w:t xml:space="preserve"> the events (&gt;50%) </w:t>
      </w:r>
      <w:r w:rsidRPr="00CE240B">
        <w:rPr>
          <w:b/>
          <w:bCs/>
        </w:rPr>
        <w:t>OR</w:t>
      </w:r>
      <w:r>
        <w:t xml:space="preserve"> a CPAP titration study demonstrating </w:t>
      </w:r>
      <w:r w:rsidRPr="00251089">
        <w:t xml:space="preserve">CSA/CSR with AHI ≥ 20/hr </w:t>
      </w:r>
      <w:r>
        <w:t>CSA for a majority of the events (&gt;50%).</w:t>
      </w:r>
    </w:p>
    <w:p w14:paraId="7AA9499C" w14:textId="77777777" w:rsidR="00BB731D" w:rsidRPr="00CE240B" w:rsidRDefault="00BB731D" w:rsidP="00BB731D">
      <w:pPr>
        <w:pStyle w:val="ListParagraph"/>
        <w:ind w:left="360"/>
        <w:rPr>
          <w:b/>
          <w:bCs/>
        </w:rPr>
      </w:pPr>
      <w:r w:rsidRPr="00CE240B">
        <w:rPr>
          <w:b/>
          <w:bCs/>
        </w:rPr>
        <w:t xml:space="preserve">AND </w:t>
      </w:r>
    </w:p>
    <w:p w14:paraId="4B79CC9F" w14:textId="77777777" w:rsidR="00BB731D" w:rsidRDefault="00BB731D" w:rsidP="00BB731D">
      <w:pPr>
        <w:pStyle w:val="ListParagraph"/>
        <w:numPr>
          <w:ilvl w:val="0"/>
          <w:numId w:val="14"/>
        </w:numPr>
        <w:spacing w:after="160" w:line="259" w:lineRule="auto"/>
        <w:ind w:left="360"/>
      </w:pPr>
      <w:r w:rsidRPr="00BE64D7">
        <w:t xml:space="preserve">CPAP download showing persistent central </w:t>
      </w:r>
      <w:proofErr w:type="spellStart"/>
      <w:r w:rsidRPr="00BE64D7">
        <w:t>apnoeas</w:t>
      </w:r>
      <w:proofErr w:type="spellEnd"/>
      <w:r>
        <w:t>. A fixed pressure trial must be done before ASV treatment.</w:t>
      </w:r>
    </w:p>
    <w:p w14:paraId="1AABDFC8" w14:textId="77777777" w:rsidR="00BB731D" w:rsidRPr="00CE240B" w:rsidRDefault="00BB731D" w:rsidP="00BB731D">
      <w:pPr>
        <w:pStyle w:val="ListParagraph"/>
        <w:ind w:left="360"/>
        <w:rPr>
          <w:b/>
          <w:bCs/>
        </w:rPr>
      </w:pPr>
      <w:r w:rsidRPr="00CE240B">
        <w:rPr>
          <w:b/>
          <w:bCs/>
        </w:rPr>
        <w:t>AND</w:t>
      </w:r>
    </w:p>
    <w:p w14:paraId="4EB4C456" w14:textId="77777777" w:rsidR="00BB731D" w:rsidRDefault="00BB731D" w:rsidP="00BB731D">
      <w:pPr>
        <w:pStyle w:val="ListParagraph"/>
        <w:numPr>
          <w:ilvl w:val="0"/>
          <w:numId w:val="14"/>
        </w:numPr>
        <w:spacing w:after="160" w:line="259" w:lineRule="auto"/>
        <w:ind w:left="360"/>
      </w:pPr>
      <w:r>
        <w:t>D</w:t>
      </w:r>
      <w:r w:rsidRPr="00BE64D7">
        <w:t xml:space="preserve">ocumentation from the sleep physician or cardiologist (evidence </w:t>
      </w:r>
      <w:r>
        <w:t xml:space="preserve">confirming </w:t>
      </w:r>
      <w:r w:rsidRPr="00BE64D7">
        <w:t>LVEF</w:t>
      </w:r>
      <w:r>
        <w:t xml:space="preserve"> &gt;45% </w:t>
      </w:r>
      <w:r w:rsidRPr="00BE64D7">
        <w:t>from a</w:t>
      </w:r>
      <w:r>
        <w:t xml:space="preserve"> recent </w:t>
      </w:r>
      <w:r w:rsidRPr="00BE64D7">
        <w:t>echocardiogram) stating that there is no evidence of heart failure or management of patient's cardiac failure is optimised and ASV is safe to use.</w:t>
      </w:r>
    </w:p>
    <w:p w14:paraId="07DCF86E" w14:textId="77777777" w:rsidR="00BB731D" w:rsidRPr="00BE64D7" w:rsidRDefault="00BB731D" w:rsidP="00BB731D">
      <w:pPr>
        <w:pStyle w:val="ListParagraph"/>
        <w:ind w:left="360"/>
        <w:rPr>
          <w:b/>
          <w:bCs/>
        </w:rPr>
      </w:pPr>
      <w:r w:rsidRPr="00CE240B">
        <w:rPr>
          <w:b/>
          <w:bCs/>
        </w:rPr>
        <w:t>AND</w:t>
      </w:r>
    </w:p>
    <w:p w14:paraId="1E002CDA" w14:textId="549A365B" w:rsidR="007005AE" w:rsidRPr="00AD0366" w:rsidRDefault="00BB731D" w:rsidP="00BB731D">
      <w:pPr>
        <w:pStyle w:val="ListParagraph"/>
        <w:numPr>
          <w:ilvl w:val="0"/>
          <w:numId w:val="14"/>
        </w:numPr>
        <w:spacing w:after="160" w:line="259" w:lineRule="auto"/>
        <w:ind w:left="360"/>
      </w:pPr>
      <w:r w:rsidRPr="00BE64D7">
        <w:t>Type 1 ASV titration study with sufficient sleep achieved, demonstrating control of sleep disordered breathing</w:t>
      </w:r>
      <w:r>
        <w:t xml:space="preserve"> and gas exchange.</w:t>
      </w:r>
    </w:p>
    <w:p w14:paraId="48FEE668" w14:textId="3935CA56" w:rsidR="001915E7" w:rsidRPr="007005AE" w:rsidRDefault="007005AE" w:rsidP="007005AE">
      <w:pPr>
        <w:ind w:left="5760" w:firstLine="720"/>
        <w:rPr>
          <w:rFonts w:cs="Arial"/>
          <w:iCs/>
          <w:szCs w:val="24"/>
        </w:rPr>
      </w:pPr>
      <w:hyperlink w:anchor="Contents" w:history="1">
        <w:r w:rsidRPr="00AD0366">
          <w:rPr>
            <w:rStyle w:val="Hyperlink"/>
            <w:rFonts w:eastAsiaTheme="majorEastAsia" w:cs="Arial"/>
            <w:iCs/>
            <w:szCs w:val="24"/>
          </w:rPr>
          <w:t>Back to Table of Contents</w:t>
        </w:r>
      </w:hyperlink>
      <w:r w:rsidRPr="00AD0366">
        <w:rPr>
          <w:rFonts w:cs="Arial"/>
          <w:iCs/>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005AE" w:rsidRPr="00AD0366" w14:paraId="4BDAF9BE" w14:textId="77777777" w:rsidTr="001D4CFF">
        <w:trPr>
          <w:cantSplit/>
          <w:trHeight w:val="285"/>
        </w:trPr>
        <w:tc>
          <w:tcPr>
            <w:tcW w:w="9158" w:type="dxa"/>
            <w:shd w:val="clear" w:color="auto" w:fill="D9D9D9" w:themeFill="background1" w:themeFillShade="D9"/>
          </w:tcPr>
          <w:p w14:paraId="2C6F7B53" w14:textId="47EA4F48" w:rsidR="007005AE" w:rsidRPr="00AD0366" w:rsidRDefault="007005AE" w:rsidP="001D4CFF">
            <w:pPr>
              <w:pStyle w:val="Heading1"/>
            </w:pPr>
            <w:bookmarkStart w:id="17" w:name="_Toc121824712"/>
            <w:r w:rsidRPr="007005AE">
              <w:t>Section 4 – Application Processing</w:t>
            </w:r>
            <w:bookmarkEnd w:id="17"/>
          </w:p>
        </w:tc>
      </w:tr>
    </w:tbl>
    <w:p w14:paraId="55CD222B" w14:textId="77777777" w:rsidR="00B65E54" w:rsidRPr="00AD0366" w:rsidRDefault="00B65E54" w:rsidP="001915E7">
      <w:pPr>
        <w:rPr>
          <w:rFonts w:cs="Arial"/>
          <w:bCs/>
          <w:iCs/>
          <w:szCs w:val="24"/>
        </w:rPr>
      </w:pPr>
    </w:p>
    <w:p w14:paraId="600BA53A" w14:textId="27E9F79E" w:rsidR="001915E7" w:rsidRPr="00AD0366" w:rsidRDefault="001915E7" w:rsidP="001915E7">
      <w:pPr>
        <w:rPr>
          <w:rFonts w:cs="Arial"/>
          <w:bCs/>
          <w:iCs/>
          <w:szCs w:val="24"/>
        </w:rPr>
      </w:pPr>
      <w:r w:rsidRPr="00AD0366">
        <w:rPr>
          <w:rFonts w:cs="Arial"/>
          <w:bCs/>
          <w:iCs/>
          <w:szCs w:val="24"/>
        </w:rPr>
        <w:t xml:space="preserve">Application forms for bi-level must be completed and authorised by a sleep physician. Client applications that do not meet the eligibility criteria will not be considered for supply. Unsuccessful applicants will be informed in </w:t>
      </w:r>
      <w:proofErr w:type="gramStart"/>
      <w:r w:rsidRPr="00AD0366">
        <w:rPr>
          <w:rFonts w:cs="Arial"/>
          <w:bCs/>
          <w:iCs/>
          <w:szCs w:val="24"/>
        </w:rPr>
        <w:t>writing</w:t>
      </w:r>
      <w:proofErr w:type="gramEnd"/>
      <w:r w:rsidRPr="00AD0366">
        <w:rPr>
          <w:rFonts w:cs="Arial"/>
          <w:bCs/>
          <w:iCs/>
          <w:szCs w:val="24"/>
        </w:rPr>
        <w:t xml:space="preserve"> and the applications will be returned to the prescriber with reasons for refusal. </w:t>
      </w:r>
    </w:p>
    <w:p w14:paraId="39CE9875" w14:textId="77777777" w:rsidR="001915E7" w:rsidRPr="00AD0366" w:rsidRDefault="001915E7" w:rsidP="001915E7">
      <w:pPr>
        <w:rPr>
          <w:rFonts w:cs="Arial"/>
          <w:bCs/>
          <w:iCs/>
          <w:szCs w:val="24"/>
        </w:rPr>
      </w:pPr>
    </w:p>
    <w:p w14:paraId="45BB9A0B" w14:textId="77777777" w:rsidR="001915E7" w:rsidRPr="00AD0366" w:rsidRDefault="001915E7" w:rsidP="001915E7">
      <w:pPr>
        <w:rPr>
          <w:rFonts w:cs="Arial"/>
          <w:b/>
          <w:iCs/>
          <w:szCs w:val="24"/>
        </w:rPr>
      </w:pPr>
      <w:r w:rsidRPr="00AD0366">
        <w:rPr>
          <w:rFonts w:cs="Arial"/>
          <w:b/>
          <w:iCs/>
          <w:szCs w:val="24"/>
        </w:rPr>
        <w:t>The required information includes</w:t>
      </w:r>
    </w:p>
    <w:p w14:paraId="49117428" w14:textId="0FA449BF" w:rsidR="001915E7" w:rsidRPr="00AD0366" w:rsidRDefault="001915E7" w:rsidP="00065A3C">
      <w:pPr>
        <w:pStyle w:val="ListBullet"/>
      </w:pPr>
      <w:r w:rsidRPr="00AD0366">
        <w:t>Demographic details</w:t>
      </w:r>
    </w:p>
    <w:p w14:paraId="3DA20C68" w14:textId="2669D200" w:rsidR="001915E7" w:rsidRPr="00AD0366" w:rsidRDefault="001915E7" w:rsidP="00065A3C">
      <w:pPr>
        <w:pStyle w:val="ListBullet"/>
      </w:pPr>
      <w:r w:rsidRPr="00AD0366">
        <w:t>Eligibility criteria</w:t>
      </w:r>
    </w:p>
    <w:p w14:paraId="0CC2BE83" w14:textId="49E6920D" w:rsidR="001915E7" w:rsidRPr="00AD0366" w:rsidRDefault="001915E7" w:rsidP="00065A3C">
      <w:pPr>
        <w:pStyle w:val="ListBullet"/>
      </w:pPr>
      <w:r w:rsidRPr="00AD0366">
        <w:t>Other clinical data – including previous treatments</w:t>
      </w:r>
    </w:p>
    <w:p w14:paraId="26135B11" w14:textId="4F21898B" w:rsidR="001915E7" w:rsidRPr="00AD0366" w:rsidRDefault="001915E7" w:rsidP="00065A3C">
      <w:pPr>
        <w:pStyle w:val="ListBullet"/>
      </w:pPr>
      <w:r w:rsidRPr="00AD0366">
        <w:t>Results of both diagnostic and treatment sleep studies</w:t>
      </w:r>
    </w:p>
    <w:p w14:paraId="4F996CD9" w14:textId="142173B2" w:rsidR="001915E7" w:rsidRPr="00AD0366" w:rsidRDefault="001915E7" w:rsidP="00065A3C">
      <w:pPr>
        <w:pStyle w:val="ListBullet"/>
      </w:pPr>
      <w:r w:rsidRPr="00AD0366">
        <w:t>Rental details (period of rental and objective compliance measures)</w:t>
      </w:r>
    </w:p>
    <w:p w14:paraId="4BF19A39" w14:textId="3FCB7C25" w:rsidR="001915E7" w:rsidRDefault="001915E7" w:rsidP="001915E7">
      <w:pPr>
        <w:rPr>
          <w:rFonts w:cs="Arial"/>
          <w:bCs/>
          <w:iCs/>
          <w:szCs w:val="24"/>
        </w:rPr>
      </w:pPr>
    </w:p>
    <w:p w14:paraId="7C666729" w14:textId="278A63BA" w:rsidR="00065A3C" w:rsidRPr="00065A3C" w:rsidRDefault="00065A3C" w:rsidP="001915E7">
      <w:pPr>
        <w:rPr>
          <w:rFonts w:cs="Arial"/>
          <w:b/>
          <w:iCs/>
          <w:szCs w:val="24"/>
        </w:rPr>
      </w:pPr>
      <w:r w:rsidRPr="00065A3C">
        <w:rPr>
          <w:rFonts w:cs="Arial"/>
          <w:b/>
          <w:iCs/>
          <w:szCs w:val="24"/>
        </w:rPr>
        <w:t>Processing</w:t>
      </w:r>
    </w:p>
    <w:p w14:paraId="0EB64AEF" w14:textId="1ADA3261" w:rsidR="001915E7" w:rsidRPr="00AD0366" w:rsidRDefault="001915E7" w:rsidP="00065A3C">
      <w:pPr>
        <w:pStyle w:val="ListBullet"/>
      </w:pPr>
      <w:r w:rsidRPr="00AD0366">
        <w:lastRenderedPageBreak/>
        <w:t>Once a referral is received and eligibility is established, the application will be processed by the DORSS Administration Officer.</w:t>
      </w:r>
    </w:p>
    <w:p w14:paraId="02657E95" w14:textId="732457BA" w:rsidR="001915E7" w:rsidRDefault="001915E7" w:rsidP="00065A3C">
      <w:pPr>
        <w:pStyle w:val="ListBullet"/>
      </w:pPr>
      <w:r w:rsidRPr="00AD0366">
        <w:t>In special circumstances or for urgent applications, referrals will be made to the DORSS Advisory Committee or to the Executive Sub-Group consisting of the Respiratory Physician, Committee Chair (Director of Client Support Services) and Executive Director, RACC</w:t>
      </w:r>
    </w:p>
    <w:p w14:paraId="54466412" w14:textId="2B79EDDE" w:rsidR="00065A3C" w:rsidRDefault="00065A3C" w:rsidP="00065A3C">
      <w:pPr>
        <w:pStyle w:val="ListBullet"/>
        <w:numPr>
          <w:ilvl w:val="0"/>
          <w:numId w:val="0"/>
        </w:numPr>
      </w:pPr>
    </w:p>
    <w:p w14:paraId="7FA723A1" w14:textId="0E53F1E5" w:rsidR="00065A3C" w:rsidRPr="00065A3C" w:rsidRDefault="00065A3C" w:rsidP="00065A3C">
      <w:pPr>
        <w:pStyle w:val="ListBullet"/>
        <w:numPr>
          <w:ilvl w:val="0"/>
          <w:numId w:val="0"/>
        </w:numPr>
        <w:rPr>
          <w:b/>
          <w:bCs/>
        </w:rPr>
      </w:pPr>
      <w:r>
        <w:rPr>
          <w:b/>
          <w:bCs/>
        </w:rPr>
        <w:t>Supply</w:t>
      </w:r>
    </w:p>
    <w:p w14:paraId="0AB5BFBF" w14:textId="60D347B6" w:rsidR="001915E7" w:rsidRPr="00AD0366" w:rsidRDefault="001915E7" w:rsidP="00065A3C">
      <w:pPr>
        <w:pStyle w:val="ListBullet"/>
      </w:pPr>
      <w:r w:rsidRPr="00AD0366">
        <w:t>Applicants will be provided with one mask and associated tubing on initial application only. Replacement / repair of respiratory unit mask, tubing and filters is the responsibility of the client.</w:t>
      </w:r>
    </w:p>
    <w:p w14:paraId="7989BCE8" w14:textId="6B2A8274" w:rsidR="001915E7" w:rsidRPr="00AD0366" w:rsidRDefault="001915E7" w:rsidP="00065A3C">
      <w:pPr>
        <w:pStyle w:val="ListBullet"/>
      </w:pPr>
      <w:r w:rsidRPr="00AD0366">
        <w:t xml:space="preserve">All respiratory units, repairs and maintenance will be supplied and carried out through the current ACT Government Health Directorate DORSS Purchasing Contract. </w:t>
      </w:r>
    </w:p>
    <w:p w14:paraId="3420FBCC" w14:textId="339CACD7" w:rsidR="001915E7" w:rsidRPr="00AD0366" w:rsidRDefault="001915E7" w:rsidP="00065A3C">
      <w:pPr>
        <w:pStyle w:val="ListBullet"/>
      </w:pPr>
      <w:r w:rsidRPr="00AD0366">
        <w:t xml:space="preserve">Clients will be supplied with a machine that meets their clinical needs. Specific devices/brands will not be considered unless clinical justification can be provided as to why the other devices will not control the client’s symptoms. </w:t>
      </w:r>
    </w:p>
    <w:p w14:paraId="0D3972AE" w14:textId="01C4BA1B" w:rsidR="001915E7" w:rsidRPr="00065A3C" w:rsidRDefault="001915E7" w:rsidP="009A534C">
      <w:pPr>
        <w:pStyle w:val="ListBullet"/>
      </w:pPr>
      <w:r w:rsidRPr="00AD0366">
        <w:t>Bi-level equipment will not be delivered to hospital in-patients.</w:t>
      </w:r>
    </w:p>
    <w:p w14:paraId="15BA0106" w14:textId="77777777" w:rsidR="001915E7" w:rsidRPr="00AD0366" w:rsidRDefault="001915E7" w:rsidP="009A534C">
      <w:pPr>
        <w:rPr>
          <w:rFonts w:cs="Arial"/>
          <w:b/>
          <w:iCs/>
          <w:szCs w:val="24"/>
        </w:rPr>
      </w:pPr>
    </w:p>
    <w:p w14:paraId="08682A18" w14:textId="45738FF2" w:rsidR="009A534C" w:rsidRDefault="009A534C" w:rsidP="009A534C">
      <w:pPr>
        <w:jc w:val="right"/>
        <w:rPr>
          <w:rFonts w:cs="Arial"/>
          <w:iCs/>
          <w:szCs w:val="24"/>
        </w:rPr>
      </w:pPr>
      <w:hyperlink w:anchor="Contents" w:history="1">
        <w:r w:rsidRPr="00AD0366">
          <w:rPr>
            <w:rStyle w:val="Hyperlink"/>
            <w:rFonts w:eastAsiaTheme="majorEastAsia" w:cs="Arial"/>
            <w:iCs/>
            <w:szCs w:val="24"/>
          </w:rPr>
          <w:t>Back to Table of Contents</w:t>
        </w:r>
      </w:hyperlink>
      <w:r w:rsidRPr="00AD0366">
        <w:rPr>
          <w:rFonts w:cs="Arial"/>
          <w:iCs/>
          <w:szCs w:val="24"/>
        </w:rPr>
        <w:t xml:space="preserve"> </w:t>
      </w:r>
    </w:p>
    <w:p w14:paraId="7D6601C4" w14:textId="4D5EA7A6" w:rsidR="00065A3C" w:rsidRDefault="00065A3C" w:rsidP="009A534C">
      <w:pPr>
        <w:jc w:val="right"/>
        <w:rPr>
          <w:rFonts w:cs="Arial"/>
          <w:b/>
          <w:iCs/>
          <w:szCs w:val="24"/>
        </w:rPr>
      </w:pPr>
    </w:p>
    <w:p w14:paraId="4352776D" w14:textId="77777777" w:rsidR="00065A3C" w:rsidRPr="00AD0366" w:rsidRDefault="00065A3C" w:rsidP="009A534C">
      <w:pPr>
        <w:jc w:val="right"/>
        <w:rPr>
          <w:rFonts w:cs="Arial"/>
          <w:b/>
          <w:iCs/>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1A" w14:textId="77777777" w:rsidTr="008E74FD">
        <w:trPr>
          <w:cantSplit/>
          <w:trHeight w:val="285"/>
        </w:trPr>
        <w:tc>
          <w:tcPr>
            <w:tcW w:w="9158" w:type="dxa"/>
            <w:shd w:val="clear" w:color="auto" w:fill="D9D9D9" w:themeFill="background1" w:themeFillShade="D9"/>
          </w:tcPr>
          <w:p w14:paraId="08682A19" w14:textId="07436912" w:rsidR="009A534C" w:rsidRPr="00AD0366" w:rsidRDefault="002B478A" w:rsidP="00B10F87">
            <w:pPr>
              <w:pStyle w:val="Heading1"/>
            </w:pPr>
            <w:bookmarkStart w:id="18" w:name="_Toc121824713"/>
            <w:bookmarkStart w:id="19" w:name="_Hlk118209279"/>
            <w:r w:rsidRPr="00AD0366">
              <w:t>Evaluation</w:t>
            </w:r>
            <w:bookmarkEnd w:id="18"/>
            <w:r w:rsidR="009A534C" w:rsidRPr="00AD0366">
              <w:t xml:space="preserve"> </w:t>
            </w:r>
          </w:p>
        </w:tc>
      </w:tr>
      <w:bookmarkEnd w:id="19"/>
    </w:tbl>
    <w:p w14:paraId="61082B88" w14:textId="77777777" w:rsidR="00D006EF" w:rsidRPr="00AD0366" w:rsidRDefault="00D006EF" w:rsidP="00D006EF">
      <w:pPr>
        <w:pStyle w:val="Default"/>
        <w:rPr>
          <w:rFonts w:ascii="Calibri" w:hAnsi="Calibri"/>
          <w:b/>
          <w:bCs/>
          <w:iCs/>
          <w:sz w:val="28"/>
          <w:szCs w:val="28"/>
        </w:rPr>
      </w:pPr>
    </w:p>
    <w:p w14:paraId="1C85DBCE" w14:textId="77777777" w:rsidR="00B65E54" w:rsidRPr="00AD0366" w:rsidRDefault="00B65E54" w:rsidP="00B65E54">
      <w:pPr>
        <w:pStyle w:val="Default"/>
        <w:rPr>
          <w:rFonts w:ascii="Calibri" w:hAnsi="Calibri" w:cs="Arial"/>
          <w:b/>
          <w:bCs/>
          <w:iCs/>
          <w:color w:val="auto"/>
          <w:sz w:val="28"/>
          <w:szCs w:val="28"/>
          <w:lang w:eastAsia="en-US"/>
        </w:rPr>
      </w:pPr>
      <w:r w:rsidRPr="00AD0366">
        <w:rPr>
          <w:rFonts w:ascii="Calibri" w:hAnsi="Calibri" w:cs="Arial"/>
          <w:b/>
          <w:bCs/>
          <w:iCs/>
          <w:color w:val="auto"/>
          <w:sz w:val="28"/>
          <w:szCs w:val="28"/>
          <w:lang w:eastAsia="en-US"/>
        </w:rPr>
        <w:t>Outcome</w:t>
      </w:r>
    </w:p>
    <w:p w14:paraId="564E3B16" w14:textId="7251468A" w:rsidR="00B65E54" w:rsidRPr="00AD0366" w:rsidRDefault="00B65E54" w:rsidP="00065A3C">
      <w:pPr>
        <w:pStyle w:val="ListBullet"/>
      </w:pPr>
      <w:r w:rsidRPr="00AD0366">
        <w:t xml:space="preserve">Referrals </w:t>
      </w:r>
      <w:r w:rsidR="00065A3C">
        <w:t xml:space="preserve">to DORSS for bi level ventilation equipment will be </w:t>
      </w:r>
      <w:r w:rsidRPr="00AD0366">
        <w:t>processed in a timely manner</w:t>
      </w:r>
    </w:p>
    <w:p w14:paraId="123D9F40" w14:textId="70CD6FB1" w:rsidR="00B65E54" w:rsidRPr="00AD0366" w:rsidRDefault="00B65E54" w:rsidP="00065A3C">
      <w:pPr>
        <w:pStyle w:val="ListBullet"/>
      </w:pPr>
      <w:r w:rsidRPr="00AD0366">
        <w:t>Eligible clients will receive approved scripted equipment</w:t>
      </w:r>
    </w:p>
    <w:p w14:paraId="333627EA" w14:textId="77777777" w:rsidR="00B65E54" w:rsidRPr="00AD0366" w:rsidRDefault="00B65E54" w:rsidP="00B65E54">
      <w:pPr>
        <w:pStyle w:val="Default"/>
        <w:rPr>
          <w:rFonts w:ascii="Calibri" w:hAnsi="Calibri" w:cs="Arial"/>
          <w:iCs/>
          <w:color w:val="auto"/>
          <w:lang w:eastAsia="en-US"/>
        </w:rPr>
      </w:pPr>
    </w:p>
    <w:p w14:paraId="3FA617F2" w14:textId="77777777" w:rsidR="00B65E54" w:rsidRPr="00AD0366" w:rsidRDefault="00B65E54" w:rsidP="00B65E54">
      <w:pPr>
        <w:pStyle w:val="Default"/>
        <w:rPr>
          <w:rFonts w:ascii="Calibri" w:hAnsi="Calibri" w:cs="Arial"/>
          <w:b/>
          <w:bCs/>
          <w:iCs/>
          <w:color w:val="auto"/>
          <w:sz w:val="28"/>
          <w:szCs w:val="28"/>
          <w:lang w:eastAsia="en-US"/>
        </w:rPr>
      </w:pPr>
      <w:r w:rsidRPr="00AD0366">
        <w:rPr>
          <w:rFonts w:ascii="Calibri" w:hAnsi="Calibri" w:cs="Arial"/>
          <w:b/>
          <w:bCs/>
          <w:iCs/>
          <w:color w:val="auto"/>
          <w:sz w:val="28"/>
          <w:szCs w:val="28"/>
          <w:lang w:eastAsia="en-US"/>
        </w:rPr>
        <w:t>Measures</w:t>
      </w:r>
    </w:p>
    <w:p w14:paraId="61F173E2" w14:textId="4046E5D1" w:rsidR="00B65E54" w:rsidRPr="00AD0366" w:rsidRDefault="00B65E54" w:rsidP="00065A3C">
      <w:pPr>
        <w:pStyle w:val="ListBullet"/>
      </w:pPr>
      <w:r w:rsidRPr="00AD0366">
        <w:t>Monthly reporting to DORSS advisory committee</w:t>
      </w:r>
    </w:p>
    <w:p w14:paraId="42E81A80" w14:textId="34638514" w:rsidR="00D006EF" w:rsidRPr="00AD0366" w:rsidRDefault="00B65E54" w:rsidP="00065A3C">
      <w:pPr>
        <w:pStyle w:val="ListBullet"/>
      </w:pPr>
      <w:r w:rsidRPr="00AD0366">
        <w:t>Clinical and quality outcomes are evaluated through patient experience questionnaires and consumer feedback data</w:t>
      </w:r>
    </w:p>
    <w:p w14:paraId="5ED58E15" w14:textId="77777777" w:rsidR="00D006EF" w:rsidRPr="00AD0366" w:rsidRDefault="00D006EF" w:rsidP="00D006EF">
      <w:pPr>
        <w:jc w:val="right"/>
        <w:rPr>
          <w:iCs/>
        </w:rPr>
      </w:pPr>
      <w:hyperlink r:id="rId11" w:anchor="Contents" w:history="1">
        <w:r w:rsidRPr="00AD0366">
          <w:rPr>
            <w:rStyle w:val="Hyperlink"/>
            <w:rFonts w:eastAsiaTheme="majorEastAsia"/>
            <w:iCs/>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20" w14:textId="77777777" w:rsidTr="008E74FD">
        <w:trPr>
          <w:cantSplit/>
          <w:trHeight w:val="285"/>
        </w:trPr>
        <w:tc>
          <w:tcPr>
            <w:tcW w:w="9158" w:type="dxa"/>
            <w:shd w:val="clear" w:color="auto" w:fill="D9D9D9" w:themeFill="background1" w:themeFillShade="D9"/>
          </w:tcPr>
          <w:p w14:paraId="08682A1F" w14:textId="77777777" w:rsidR="009A534C" w:rsidRPr="00AD0366" w:rsidRDefault="009A534C" w:rsidP="00B10F87">
            <w:pPr>
              <w:pStyle w:val="Heading1"/>
            </w:pPr>
            <w:bookmarkStart w:id="20" w:name="_Toc389473287"/>
            <w:bookmarkStart w:id="21" w:name="_Toc393203347"/>
            <w:bookmarkStart w:id="22" w:name="_Toc121824714"/>
            <w:r w:rsidRPr="00AD0366">
              <w:t>Related Policies, Procedures</w:t>
            </w:r>
            <w:bookmarkEnd w:id="20"/>
            <w:r w:rsidRPr="00AD0366">
              <w:t>, Guidelines and Legislation</w:t>
            </w:r>
            <w:bookmarkEnd w:id="21"/>
            <w:bookmarkEnd w:id="22"/>
          </w:p>
        </w:tc>
      </w:tr>
    </w:tbl>
    <w:p w14:paraId="08682A21" w14:textId="77777777" w:rsidR="009A534C" w:rsidRPr="00AD0366" w:rsidRDefault="009A534C" w:rsidP="009A534C">
      <w:pPr>
        <w:rPr>
          <w:iCs/>
          <w:szCs w:val="24"/>
        </w:rPr>
      </w:pPr>
    </w:p>
    <w:p w14:paraId="013AFAD1" w14:textId="6BC279B2" w:rsidR="00AD0366" w:rsidRPr="00065A3C" w:rsidRDefault="00B61F35" w:rsidP="00065A3C">
      <w:pPr>
        <w:rPr>
          <w:b/>
          <w:iCs/>
        </w:rPr>
      </w:pPr>
      <w:r w:rsidRPr="00AD0366">
        <w:rPr>
          <w:b/>
          <w:iCs/>
        </w:rPr>
        <w:t>Policies</w:t>
      </w:r>
    </w:p>
    <w:p w14:paraId="7B84D59A" w14:textId="514C361A" w:rsidR="00AD0366" w:rsidRDefault="00065A3C" w:rsidP="00065A3C">
      <w:pPr>
        <w:pStyle w:val="ListBullet"/>
      </w:pPr>
      <w:r>
        <w:t xml:space="preserve">Informed </w:t>
      </w:r>
      <w:r w:rsidR="00AD0366" w:rsidRPr="00AD0366">
        <w:t>Consent</w:t>
      </w:r>
      <w:r>
        <w:t xml:space="preserve"> – Clinical</w:t>
      </w:r>
    </w:p>
    <w:p w14:paraId="7B56972E" w14:textId="27B55E3B" w:rsidR="00065A3C" w:rsidRPr="00AD0366" w:rsidRDefault="00065A3C" w:rsidP="00065A3C">
      <w:pPr>
        <w:pStyle w:val="ListBullet"/>
      </w:pPr>
      <w:r>
        <w:t>Clinical Records Management</w:t>
      </w:r>
    </w:p>
    <w:p w14:paraId="08682A27" w14:textId="77777777" w:rsidR="00B61F35" w:rsidRPr="00AD0366" w:rsidRDefault="00B61F35" w:rsidP="00B61F35">
      <w:pPr>
        <w:rPr>
          <w:rFonts w:cs="Arial"/>
          <w:iCs/>
          <w:szCs w:val="24"/>
        </w:rPr>
      </w:pPr>
    </w:p>
    <w:p w14:paraId="08682A28" w14:textId="77777777" w:rsidR="00B61F35" w:rsidRPr="00AD0366" w:rsidRDefault="00B61F35" w:rsidP="006743DB">
      <w:pPr>
        <w:rPr>
          <w:b/>
          <w:iCs/>
        </w:rPr>
      </w:pPr>
      <w:r w:rsidRPr="00AD0366">
        <w:rPr>
          <w:b/>
          <w:iCs/>
        </w:rPr>
        <w:t>Procedures</w:t>
      </w:r>
    </w:p>
    <w:p w14:paraId="5C311DC1" w14:textId="0846D393" w:rsidR="00AD0366" w:rsidRPr="00AD0366" w:rsidRDefault="00AD0366" w:rsidP="00065A3C">
      <w:pPr>
        <w:pStyle w:val="ListBullet"/>
      </w:pPr>
      <w:r w:rsidRPr="00AD0366">
        <w:t>Infection</w:t>
      </w:r>
      <w:r w:rsidR="00065A3C">
        <w:t xml:space="preserve"> Prevention and Control </w:t>
      </w:r>
    </w:p>
    <w:p w14:paraId="08682A2B" w14:textId="46D2A9DC" w:rsidR="00B61F35" w:rsidRDefault="00AD0366" w:rsidP="00065A3C">
      <w:pPr>
        <w:pStyle w:val="ListBullet"/>
      </w:pPr>
      <w:r w:rsidRPr="00AD0366">
        <w:lastRenderedPageBreak/>
        <w:t xml:space="preserve">Patient Identification and Procedure Matching </w:t>
      </w:r>
    </w:p>
    <w:p w14:paraId="1ACB3710" w14:textId="5D33277A" w:rsidR="00065A3C" w:rsidRDefault="00FD7936" w:rsidP="00065A3C">
      <w:pPr>
        <w:pStyle w:val="ListBullet"/>
      </w:pPr>
      <w:r>
        <w:t>Domiciliary Oxygen and Respiratory Support Scheme</w:t>
      </w:r>
      <w:r w:rsidR="00065A3C">
        <w:t xml:space="preserve"> </w:t>
      </w:r>
      <w:r>
        <w:t>(</w:t>
      </w:r>
      <w:r w:rsidR="00065A3C">
        <w:t>DORSS</w:t>
      </w:r>
      <w:r>
        <w:t>)</w:t>
      </w:r>
      <w:r w:rsidR="00065A3C">
        <w:t xml:space="preserve"> </w:t>
      </w:r>
      <w:r w:rsidR="2D47F0D8">
        <w:t>CPAP</w:t>
      </w:r>
    </w:p>
    <w:p w14:paraId="3271A800" w14:textId="5FE5926D" w:rsidR="00FD7936" w:rsidRDefault="00FD7936" w:rsidP="00FD7936">
      <w:pPr>
        <w:pStyle w:val="ListBullet"/>
        <w:numPr>
          <w:ilvl w:val="0"/>
          <w:numId w:val="0"/>
        </w:numPr>
        <w:rPr>
          <w:b/>
          <w:iCs/>
        </w:rPr>
      </w:pPr>
    </w:p>
    <w:p w14:paraId="052F553D" w14:textId="3544CD82" w:rsidR="00FD7936" w:rsidRDefault="00FD7936" w:rsidP="00FD7936">
      <w:pPr>
        <w:pStyle w:val="ListBullet"/>
        <w:numPr>
          <w:ilvl w:val="0"/>
          <w:numId w:val="0"/>
        </w:numPr>
        <w:rPr>
          <w:b/>
          <w:iCs/>
        </w:rPr>
      </w:pPr>
      <w:r>
        <w:rPr>
          <w:b/>
          <w:iCs/>
        </w:rPr>
        <w:t>Health information sheet</w:t>
      </w:r>
    </w:p>
    <w:p w14:paraId="2B8CB6B1" w14:textId="50F76CB1" w:rsidR="00FD7936" w:rsidRDefault="00FD7936" w:rsidP="00FD7936">
      <w:pPr>
        <w:pStyle w:val="ListBullet"/>
      </w:pPr>
      <w:r>
        <w:t>Domiciliary Oxygen and Respiratory Support Scheme – CPAP Bilevel devices</w:t>
      </w:r>
    </w:p>
    <w:p w14:paraId="3F11941F" w14:textId="08F74D55" w:rsidR="00FD7936" w:rsidRPr="00FD7936" w:rsidRDefault="00FD7936" w:rsidP="00FD7936">
      <w:pPr>
        <w:pStyle w:val="ListBullet"/>
      </w:pPr>
      <w:r>
        <w:t>Domiciliary Oxygen and Respiratory Support Scheme – Home Oxygen</w:t>
      </w:r>
    </w:p>
    <w:p w14:paraId="473BE5A4" w14:textId="77777777" w:rsidR="00FD7936" w:rsidRDefault="00FD7936" w:rsidP="00FD7936">
      <w:pPr>
        <w:pStyle w:val="ListBullet"/>
        <w:numPr>
          <w:ilvl w:val="0"/>
          <w:numId w:val="0"/>
        </w:numPr>
        <w:rPr>
          <w:b/>
          <w:iCs/>
        </w:rPr>
      </w:pPr>
    </w:p>
    <w:p w14:paraId="08682A2F" w14:textId="0F8668DD" w:rsidR="00B61F35" w:rsidRPr="00FD7936" w:rsidRDefault="00B61F35" w:rsidP="00FD7936">
      <w:pPr>
        <w:pStyle w:val="ListBullet"/>
        <w:numPr>
          <w:ilvl w:val="0"/>
          <w:numId w:val="0"/>
        </w:numPr>
      </w:pPr>
      <w:r w:rsidRPr="00FD7936">
        <w:rPr>
          <w:b/>
          <w:iCs/>
        </w:rPr>
        <w:t>Legislation</w:t>
      </w:r>
    </w:p>
    <w:p w14:paraId="08682A30" w14:textId="77777777" w:rsidR="00B61F35" w:rsidRPr="00FD7936" w:rsidRDefault="00B61F35" w:rsidP="00BA5B60">
      <w:pPr>
        <w:pStyle w:val="ListBullet"/>
        <w:rPr>
          <w:i/>
        </w:rPr>
      </w:pPr>
      <w:r w:rsidRPr="00FD7936">
        <w:rPr>
          <w:i/>
        </w:rPr>
        <w:t>Health Records (Privacy and Access) Act 1997</w:t>
      </w:r>
    </w:p>
    <w:p w14:paraId="08682A31" w14:textId="77777777" w:rsidR="00B61F35" w:rsidRPr="00FD7936" w:rsidRDefault="00B61F35" w:rsidP="00BA5B60">
      <w:pPr>
        <w:pStyle w:val="ListBullet"/>
        <w:rPr>
          <w:i/>
        </w:rPr>
      </w:pPr>
      <w:r w:rsidRPr="00FD7936">
        <w:rPr>
          <w:i/>
        </w:rPr>
        <w:t>Human Rights Act 2004</w:t>
      </w:r>
    </w:p>
    <w:p w14:paraId="08682A32" w14:textId="2F542D1E" w:rsidR="00B61F35" w:rsidRPr="00FD7936" w:rsidRDefault="00B61F35" w:rsidP="00BA5B60">
      <w:pPr>
        <w:pStyle w:val="ListBullet"/>
        <w:rPr>
          <w:i/>
        </w:rPr>
      </w:pPr>
      <w:r w:rsidRPr="00FD7936">
        <w:rPr>
          <w:i/>
        </w:rPr>
        <w:t>Work Health and Safety Act 2011</w:t>
      </w:r>
    </w:p>
    <w:p w14:paraId="4B539770" w14:textId="100DA021" w:rsidR="00633C8D" w:rsidRPr="00FD7936" w:rsidRDefault="00633C8D" w:rsidP="00BA5B60">
      <w:pPr>
        <w:pStyle w:val="ListBullet"/>
        <w:rPr>
          <w:i/>
        </w:rPr>
      </w:pPr>
      <w:r w:rsidRPr="00FD7936">
        <w:rPr>
          <w:i/>
        </w:rPr>
        <w:t>Carers Recognition Act 2021</w:t>
      </w:r>
    </w:p>
    <w:p w14:paraId="08682A33" w14:textId="0F91509A" w:rsidR="009A534C" w:rsidRPr="00AD0366" w:rsidRDefault="009A534C" w:rsidP="009A534C">
      <w:pPr>
        <w:ind w:left="720"/>
        <w:rPr>
          <w:rFonts w:cs="Arial"/>
          <w:iCs/>
          <w:szCs w:val="24"/>
        </w:rPr>
      </w:pPr>
    </w:p>
    <w:p w14:paraId="54CDE8A7" w14:textId="49AA0D4E" w:rsidR="00752315" w:rsidRPr="00AD0366" w:rsidRDefault="00752315" w:rsidP="00752315">
      <w:pPr>
        <w:rPr>
          <w:b/>
          <w:iCs/>
        </w:rPr>
      </w:pPr>
      <w:r w:rsidRPr="00AD0366">
        <w:rPr>
          <w:b/>
          <w:iCs/>
        </w:rPr>
        <w:t>Other</w:t>
      </w:r>
    </w:p>
    <w:p w14:paraId="1BCD4D38" w14:textId="015D3ABF" w:rsidR="00DD0346" w:rsidRPr="00AD0366" w:rsidRDefault="00DD0346" w:rsidP="00FD7936">
      <w:pPr>
        <w:pStyle w:val="ListBullet"/>
      </w:pPr>
      <w:r w:rsidRPr="00AD0366">
        <w:t>Australian Charter of Healthcare Rights</w:t>
      </w:r>
    </w:p>
    <w:p w14:paraId="08682A34" w14:textId="77777777" w:rsidR="009A534C" w:rsidRPr="00AD0366" w:rsidRDefault="009A534C" w:rsidP="009A534C">
      <w:pPr>
        <w:pStyle w:val="ListParagraph"/>
        <w:jc w:val="right"/>
        <w:rPr>
          <w:iCs/>
          <w:szCs w:val="24"/>
        </w:rPr>
      </w:pPr>
      <w:hyperlink w:anchor="Contents" w:history="1">
        <w:r w:rsidRPr="00AD0366">
          <w:rPr>
            <w:rStyle w:val="Hyperlink"/>
            <w:rFonts w:eastAsiaTheme="majorEastAsia" w:cs="Arial"/>
            <w:iCs/>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36" w14:textId="77777777" w:rsidTr="008E74FD">
        <w:trPr>
          <w:cantSplit/>
          <w:trHeight w:val="285"/>
        </w:trPr>
        <w:tc>
          <w:tcPr>
            <w:tcW w:w="9158" w:type="dxa"/>
            <w:shd w:val="clear" w:color="auto" w:fill="D9D9D9" w:themeFill="background1" w:themeFillShade="D9"/>
          </w:tcPr>
          <w:p w14:paraId="08682A35" w14:textId="77777777" w:rsidR="009A534C" w:rsidRPr="00AD0366" w:rsidRDefault="009A534C" w:rsidP="00B10F87">
            <w:pPr>
              <w:pStyle w:val="Heading1"/>
              <w:rPr>
                <w:szCs w:val="24"/>
              </w:rPr>
            </w:pPr>
            <w:bookmarkStart w:id="23" w:name="_Toc121824715"/>
            <w:r w:rsidRPr="00AD0366">
              <w:rPr>
                <w:szCs w:val="24"/>
              </w:rPr>
              <w:t>References</w:t>
            </w:r>
            <w:bookmarkEnd w:id="23"/>
          </w:p>
        </w:tc>
      </w:tr>
    </w:tbl>
    <w:p w14:paraId="15481746" w14:textId="77777777" w:rsidR="00AD0366" w:rsidRPr="00AD0366" w:rsidRDefault="00AD0366" w:rsidP="00AD0366">
      <w:pPr>
        <w:ind w:left="720" w:hanging="720"/>
        <w:jc w:val="both"/>
        <w:rPr>
          <w:rFonts w:cs="Arial"/>
          <w:bCs/>
          <w:iCs/>
          <w:szCs w:val="24"/>
        </w:rPr>
      </w:pPr>
      <w:r w:rsidRPr="00AD0366">
        <w:rPr>
          <w:rFonts w:cs="Arial"/>
          <w:b/>
          <w:iCs/>
          <w:szCs w:val="24"/>
        </w:rPr>
        <w:t>1.</w:t>
      </w:r>
      <w:r w:rsidRPr="00AD0366">
        <w:rPr>
          <w:rFonts w:cs="Arial"/>
          <w:b/>
          <w:iCs/>
          <w:szCs w:val="24"/>
        </w:rPr>
        <w:tab/>
      </w:r>
      <w:r w:rsidRPr="00AD0366">
        <w:rPr>
          <w:rFonts w:cs="Arial"/>
          <w:bCs/>
          <w:iCs/>
          <w:szCs w:val="24"/>
        </w:rPr>
        <w:t>Australian Government, Department of Veteran Affairs (2012) Guidelines for Prescribers for the supply of Home Medical Oxygen Therapy [available at https://www.dva.gov.au/sites/default/files/files/providers/oxygenguidelines.doc] accessed on 6 March 2019</w:t>
      </w:r>
    </w:p>
    <w:p w14:paraId="09B1A83B" w14:textId="77777777" w:rsidR="00AD0366" w:rsidRPr="00AD0366" w:rsidRDefault="00AD0366" w:rsidP="00AD0366">
      <w:pPr>
        <w:jc w:val="both"/>
        <w:rPr>
          <w:rFonts w:cs="Arial"/>
          <w:bCs/>
          <w:iCs/>
          <w:szCs w:val="24"/>
        </w:rPr>
      </w:pPr>
    </w:p>
    <w:p w14:paraId="7F8FA410" w14:textId="77777777" w:rsidR="00AD0366" w:rsidRPr="00AD0366" w:rsidRDefault="00AD0366" w:rsidP="00AD0366">
      <w:pPr>
        <w:ind w:left="720" w:hanging="720"/>
        <w:jc w:val="both"/>
        <w:rPr>
          <w:rFonts w:cs="Arial"/>
          <w:bCs/>
          <w:iCs/>
          <w:szCs w:val="24"/>
        </w:rPr>
      </w:pPr>
      <w:r w:rsidRPr="00AD0366">
        <w:rPr>
          <w:rFonts w:cs="Arial"/>
          <w:bCs/>
          <w:iCs/>
          <w:szCs w:val="24"/>
        </w:rPr>
        <w:t>2.</w:t>
      </w:r>
      <w:r w:rsidRPr="00AD0366">
        <w:rPr>
          <w:rFonts w:cs="Arial"/>
          <w:bCs/>
          <w:iCs/>
          <w:szCs w:val="24"/>
        </w:rPr>
        <w:tab/>
        <w:t xml:space="preserve">McDonald, C. F., Whyte, K., Jenkins, S., </w:t>
      </w:r>
      <w:proofErr w:type="spellStart"/>
      <w:r w:rsidRPr="00AD0366">
        <w:rPr>
          <w:rFonts w:cs="Arial"/>
          <w:bCs/>
          <w:iCs/>
          <w:szCs w:val="24"/>
        </w:rPr>
        <w:t>Serginson</w:t>
      </w:r>
      <w:proofErr w:type="spellEnd"/>
      <w:r w:rsidRPr="00AD0366">
        <w:rPr>
          <w:rFonts w:cs="Arial"/>
          <w:bCs/>
          <w:iCs/>
          <w:szCs w:val="24"/>
        </w:rPr>
        <w:t xml:space="preserve">, J. and Frith, P. (2016), Clinical Practice Guideline on Adult Domiciliary Oxygen Therapy: Executive summary from the Thoracic Society of Australia and New Zealand. Respirology, 21: 76–78. </w:t>
      </w:r>
      <w:proofErr w:type="spellStart"/>
      <w:r w:rsidRPr="00AD0366">
        <w:rPr>
          <w:rFonts w:cs="Arial"/>
          <w:bCs/>
          <w:iCs/>
          <w:szCs w:val="24"/>
        </w:rPr>
        <w:t>doi</w:t>
      </w:r>
      <w:proofErr w:type="spellEnd"/>
      <w:r w:rsidRPr="00AD0366">
        <w:rPr>
          <w:rFonts w:cs="Arial"/>
          <w:bCs/>
          <w:iCs/>
          <w:szCs w:val="24"/>
        </w:rPr>
        <w:t>: 10.1111/resp.12678</w:t>
      </w:r>
    </w:p>
    <w:p w14:paraId="449608B3" w14:textId="77777777" w:rsidR="00AD0366" w:rsidRPr="00AD0366" w:rsidRDefault="00AD0366" w:rsidP="00AD0366">
      <w:pPr>
        <w:ind w:left="720" w:hanging="720"/>
        <w:jc w:val="both"/>
        <w:rPr>
          <w:rFonts w:cs="Arial"/>
          <w:bCs/>
          <w:iCs/>
          <w:szCs w:val="24"/>
        </w:rPr>
      </w:pPr>
      <w:r w:rsidRPr="00AD0366">
        <w:rPr>
          <w:rFonts w:cs="Arial"/>
          <w:bCs/>
          <w:iCs/>
          <w:szCs w:val="24"/>
        </w:rPr>
        <w:t>3.</w:t>
      </w:r>
      <w:r w:rsidRPr="00AD0366">
        <w:rPr>
          <w:rFonts w:cs="Arial"/>
          <w:bCs/>
          <w:iCs/>
          <w:szCs w:val="24"/>
        </w:rPr>
        <w:tab/>
        <w:t xml:space="preserve">NSW Government, </w:t>
      </w:r>
      <w:proofErr w:type="spellStart"/>
      <w:r w:rsidRPr="00AD0366">
        <w:rPr>
          <w:rFonts w:cs="Arial"/>
          <w:bCs/>
          <w:iCs/>
          <w:szCs w:val="24"/>
        </w:rPr>
        <w:t>Healthshare</w:t>
      </w:r>
      <w:proofErr w:type="spellEnd"/>
      <w:r w:rsidRPr="00AD0366">
        <w:rPr>
          <w:rFonts w:cs="Arial"/>
          <w:bCs/>
          <w:iCs/>
          <w:szCs w:val="24"/>
        </w:rPr>
        <w:t xml:space="preserve"> </w:t>
      </w:r>
      <w:proofErr w:type="spellStart"/>
      <w:r w:rsidRPr="00AD0366">
        <w:rPr>
          <w:rFonts w:cs="Arial"/>
          <w:bCs/>
          <w:iCs/>
          <w:szCs w:val="24"/>
        </w:rPr>
        <w:t>EnableNSW</w:t>
      </w:r>
      <w:proofErr w:type="spellEnd"/>
      <w:r w:rsidRPr="00AD0366">
        <w:rPr>
          <w:rFonts w:cs="Arial"/>
          <w:bCs/>
          <w:iCs/>
          <w:szCs w:val="24"/>
        </w:rPr>
        <w:t xml:space="preserve"> (2019) Adult Home Oxygen Funding Criteria [available at http://www.enable.health.nsw.gov.au/__data/assets/pdf_file/0010/491293/Adult-Home-Oxygen-Funding-Criteria.pdf] accessed on 5 March 2019</w:t>
      </w:r>
    </w:p>
    <w:p w14:paraId="4AD8A3DA" w14:textId="77777777" w:rsidR="00AD0366" w:rsidRPr="00AD0366" w:rsidRDefault="00AD0366" w:rsidP="00AD0366">
      <w:pPr>
        <w:ind w:left="720" w:hanging="720"/>
        <w:jc w:val="both"/>
        <w:rPr>
          <w:rFonts w:cs="Arial"/>
          <w:bCs/>
          <w:iCs/>
          <w:szCs w:val="24"/>
        </w:rPr>
      </w:pPr>
      <w:r w:rsidRPr="00AD0366">
        <w:rPr>
          <w:rFonts w:cs="Arial"/>
          <w:bCs/>
          <w:iCs/>
          <w:szCs w:val="24"/>
        </w:rPr>
        <w:t>4.</w:t>
      </w:r>
      <w:r w:rsidRPr="00AD0366">
        <w:rPr>
          <w:rFonts w:cs="Arial"/>
          <w:bCs/>
          <w:iCs/>
          <w:szCs w:val="24"/>
        </w:rPr>
        <w:tab/>
        <w:t>Queensland Government (2014) Medical Aids Subsidy Scheme (MASS) Application Guidelines for Oxygen [available at https://www.health.qld.gov.au/__data/assets/pdf_file/0028/428455/guidelines-oxygen.pdf] accessed on 5 March 2019</w:t>
      </w:r>
    </w:p>
    <w:p w14:paraId="7412C074" w14:textId="77777777" w:rsidR="00AD0366" w:rsidRPr="00AD0366" w:rsidRDefault="00AD0366" w:rsidP="00AD0366">
      <w:pPr>
        <w:jc w:val="both"/>
        <w:rPr>
          <w:rFonts w:cs="Arial"/>
          <w:bCs/>
          <w:iCs/>
          <w:szCs w:val="24"/>
        </w:rPr>
      </w:pPr>
    </w:p>
    <w:p w14:paraId="0E6E0F51" w14:textId="77777777" w:rsidR="00AD0366" w:rsidRPr="00AD0366" w:rsidRDefault="00AD0366" w:rsidP="00AD0366">
      <w:pPr>
        <w:ind w:left="720" w:hanging="720"/>
        <w:jc w:val="both"/>
        <w:rPr>
          <w:rFonts w:cs="Arial"/>
          <w:bCs/>
          <w:iCs/>
          <w:szCs w:val="24"/>
        </w:rPr>
      </w:pPr>
      <w:r w:rsidRPr="00AD0366">
        <w:rPr>
          <w:rFonts w:cs="Arial"/>
          <w:b/>
          <w:iCs/>
          <w:szCs w:val="24"/>
        </w:rPr>
        <w:t>5.</w:t>
      </w:r>
      <w:r w:rsidRPr="00AD0366">
        <w:rPr>
          <w:rFonts w:cs="Arial"/>
          <w:b/>
          <w:iCs/>
          <w:szCs w:val="24"/>
        </w:rPr>
        <w:tab/>
      </w:r>
      <w:r w:rsidRPr="00AD0366">
        <w:rPr>
          <w:rFonts w:cs="Arial"/>
          <w:bCs/>
          <w:iCs/>
          <w:szCs w:val="24"/>
        </w:rPr>
        <w:t xml:space="preserve">NSW Government, </w:t>
      </w:r>
      <w:proofErr w:type="spellStart"/>
      <w:r w:rsidRPr="00AD0366">
        <w:rPr>
          <w:rFonts w:cs="Arial"/>
          <w:bCs/>
          <w:iCs/>
          <w:szCs w:val="24"/>
        </w:rPr>
        <w:t>EnableNSW</w:t>
      </w:r>
      <w:proofErr w:type="spellEnd"/>
      <w:r w:rsidRPr="00AD0366">
        <w:rPr>
          <w:rFonts w:cs="Arial"/>
          <w:bCs/>
          <w:iCs/>
          <w:szCs w:val="24"/>
        </w:rPr>
        <w:t xml:space="preserve"> (2019) Paediatric Home Oxygen Funding Criteria (available at</w:t>
      </w:r>
    </w:p>
    <w:p w14:paraId="08682A37" w14:textId="602576C0" w:rsidR="009A534C" w:rsidRPr="00AD0366" w:rsidRDefault="00AD0366" w:rsidP="00AD0366">
      <w:pPr>
        <w:ind w:left="720"/>
        <w:jc w:val="both"/>
        <w:rPr>
          <w:rFonts w:cs="Arial"/>
          <w:bCs/>
          <w:iCs/>
          <w:szCs w:val="24"/>
        </w:rPr>
      </w:pPr>
      <w:hyperlink r:id="rId12" w:history="1">
        <w:r w:rsidRPr="00FC55C0">
          <w:rPr>
            <w:rStyle w:val="Hyperlink"/>
            <w:rFonts w:cs="Arial"/>
            <w:bCs/>
            <w:iCs/>
            <w:szCs w:val="24"/>
          </w:rPr>
          <w:t>http://enable.health.nsw.gov.au/__data/assets/pdf_file/0004/491296/Paediatric-</w:t>
        </w:r>
      </w:hyperlink>
      <w:r w:rsidRPr="00AD0366">
        <w:rPr>
          <w:rFonts w:cs="Arial"/>
          <w:bCs/>
          <w:iCs/>
          <w:szCs w:val="24"/>
        </w:rPr>
        <w:t>Home-Oxygen-Funding-Criteria.pdf) accessed on 12 August 2020</w:t>
      </w:r>
    </w:p>
    <w:p w14:paraId="08682A3C" w14:textId="77777777" w:rsidR="000728F3" w:rsidRPr="00AD0366" w:rsidRDefault="000728F3" w:rsidP="00E41A47">
      <w:pPr>
        <w:jc w:val="right"/>
        <w:rPr>
          <w:iCs/>
        </w:rPr>
      </w:pPr>
    </w:p>
    <w:p w14:paraId="08682A3D" w14:textId="77777777" w:rsidR="00E41A47" w:rsidRPr="00AD0366" w:rsidRDefault="00E41A47" w:rsidP="00E41A47">
      <w:pPr>
        <w:jc w:val="right"/>
        <w:rPr>
          <w:iCs/>
        </w:rPr>
      </w:pPr>
      <w:hyperlink w:anchor="Contents" w:history="1">
        <w:r w:rsidRPr="00AD0366">
          <w:rPr>
            <w:rStyle w:val="Hyperlink"/>
            <w:rFonts w:eastAsiaTheme="majorEastAsia" w:cs="Arial"/>
            <w:iCs/>
            <w:szCs w:val="24"/>
          </w:rPr>
          <w:t>Back to Table of Contents</w:t>
        </w:r>
      </w:hyperlink>
    </w:p>
    <w:p w14:paraId="08682A43" w14:textId="33FA43FD" w:rsidR="004A6A76" w:rsidRPr="00AD0366" w:rsidRDefault="004A6A76" w:rsidP="00157E55">
      <w:pPr>
        <w:rPr>
          <w:iCs/>
        </w:rPr>
      </w:pPr>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AD0366" w14:paraId="08682A45" w14:textId="77777777" w:rsidTr="008E74FD">
        <w:trPr>
          <w:cantSplit/>
          <w:trHeight w:val="285"/>
        </w:trPr>
        <w:tc>
          <w:tcPr>
            <w:tcW w:w="9158" w:type="dxa"/>
            <w:shd w:val="clear" w:color="auto" w:fill="D9D9D9" w:themeFill="background1" w:themeFillShade="D9"/>
          </w:tcPr>
          <w:p w14:paraId="08682A44" w14:textId="77777777" w:rsidR="004A6A76" w:rsidRPr="00AD0366" w:rsidRDefault="004A6A76" w:rsidP="00B10F87">
            <w:pPr>
              <w:pStyle w:val="Heading1"/>
            </w:pPr>
            <w:bookmarkStart w:id="24" w:name="_Toc389473290"/>
            <w:bookmarkStart w:id="25" w:name="_Toc396290589"/>
            <w:bookmarkStart w:id="26" w:name="_Toc121824716"/>
            <w:r w:rsidRPr="00AD0366">
              <w:lastRenderedPageBreak/>
              <w:t>Search Terms</w:t>
            </w:r>
            <w:bookmarkEnd w:id="24"/>
            <w:bookmarkEnd w:id="25"/>
            <w:bookmarkEnd w:id="26"/>
            <w:r w:rsidRPr="00AD0366">
              <w:t xml:space="preserve"> </w:t>
            </w:r>
          </w:p>
        </w:tc>
      </w:tr>
    </w:tbl>
    <w:p w14:paraId="08682A46" w14:textId="77777777" w:rsidR="004A6A76" w:rsidRPr="00AD0366" w:rsidRDefault="004A6A76" w:rsidP="004A6A76">
      <w:pPr>
        <w:rPr>
          <w:rFonts w:cs="Calibri,Bold"/>
          <w:bCs/>
          <w:iCs/>
          <w:szCs w:val="24"/>
          <w:lang w:eastAsia="en-AU"/>
        </w:rPr>
      </w:pPr>
    </w:p>
    <w:p w14:paraId="08682A48" w14:textId="5284F396" w:rsidR="004A6A76" w:rsidRPr="00AD0366" w:rsidRDefault="00B65E54" w:rsidP="004A6A76">
      <w:pPr>
        <w:jc w:val="both"/>
        <w:rPr>
          <w:rFonts w:asciiTheme="minorHAnsi" w:hAnsiTheme="minorHAnsi" w:cs="Arial"/>
          <w:b/>
          <w:iCs/>
          <w:sz w:val="22"/>
          <w:szCs w:val="22"/>
        </w:rPr>
      </w:pPr>
      <w:r w:rsidRPr="00AD0366">
        <w:rPr>
          <w:rFonts w:cs="Calibri,Bold"/>
          <w:bCs/>
          <w:iCs/>
          <w:szCs w:val="24"/>
          <w:lang w:eastAsia="en-AU"/>
        </w:rPr>
        <w:t>DORSS, respiratory, Bi-level, Oxygen therapy, Domestic Oxygen Respiratory Support Scheme</w:t>
      </w:r>
    </w:p>
    <w:p w14:paraId="08682A49" w14:textId="77777777" w:rsidR="004A6A76" w:rsidRPr="00AD0366" w:rsidRDefault="004A6A76" w:rsidP="004A6A76">
      <w:pPr>
        <w:jc w:val="right"/>
        <w:rPr>
          <w:iCs/>
        </w:rPr>
      </w:pPr>
      <w:hyperlink w:anchor="_top" w:history="1">
        <w:r w:rsidRPr="00AD0366">
          <w:rPr>
            <w:rStyle w:val="Hyperlink"/>
            <w:rFonts w:cs="Arial"/>
            <w:iCs/>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AD0366" w14:paraId="08682A4B" w14:textId="77777777" w:rsidTr="008E74FD">
        <w:trPr>
          <w:cantSplit/>
          <w:trHeight w:val="285"/>
        </w:trPr>
        <w:tc>
          <w:tcPr>
            <w:tcW w:w="9158" w:type="dxa"/>
            <w:shd w:val="clear" w:color="auto" w:fill="D9D9D9" w:themeFill="background1" w:themeFillShade="D9"/>
          </w:tcPr>
          <w:p w14:paraId="08682A4A" w14:textId="77777777" w:rsidR="009A534C" w:rsidRPr="00AD0366" w:rsidRDefault="009A534C" w:rsidP="00B10F87">
            <w:pPr>
              <w:pStyle w:val="Heading1"/>
              <w:rPr>
                <w:szCs w:val="24"/>
              </w:rPr>
            </w:pPr>
            <w:bookmarkStart w:id="27" w:name="_Toc121824717"/>
            <w:r w:rsidRPr="00AD0366">
              <w:rPr>
                <w:szCs w:val="24"/>
              </w:rPr>
              <w:t>Attachments</w:t>
            </w:r>
            <w:bookmarkEnd w:id="27"/>
          </w:p>
        </w:tc>
      </w:tr>
    </w:tbl>
    <w:p w14:paraId="08682A4E" w14:textId="77777777" w:rsidR="009A534C" w:rsidRPr="00AD0366" w:rsidRDefault="009A534C" w:rsidP="009A534C">
      <w:pPr>
        <w:rPr>
          <w:rFonts w:cs="Arial"/>
          <w:iCs/>
          <w:sz w:val="20"/>
        </w:rPr>
      </w:pPr>
    </w:p>
    <w:p w14:paraId="08682A4F" w14:textId="77777777" w:rsidR="009A534C" w:rsidRPr="00AD0366" w:rsidRDefault="009A534C" w:rsidP="009A534C">
      <w:pPr>
        <w:rPr>
          <w:rFonts w:cs="Arial"/>
          <w:iCs/>
          <w:sz w:val="20"/>
        </w:rPr>
      </w:pPr>
    </w:p>
    <w:p w14:paraId="08682A50" w14:textId="2AE7F3B4" w:rsidR="00153FB3" w:rsidRPr="00AD0366" w:rsidRDefault="00153FB3" w:rsidP="00153FB3">
      <w:pPr>
        <w:rPr>
          <w:rFonts w:cs="Arial"/>
          <w:iCs/>
          <w:sz w:val="20"/>
        </w:rPr>
      </w:pPr>
      <w:r w:rsidRPr="00AD0366">
        <w:rPr>
          <w:rFonts w:cs="Arial"/>
          <w:b/>
          <w:iCs/>
          <w:sz w:val="20"/>
        </w:rPr>
        <w:t>Disclaimer</w:t>
      </w:r>
      <w:r w:rsidRPr="00AD0366">
        <w:rPr>
          <w:rFonts w:cs="Arial"/>
          <w:iCs/>
          <w:sz w:val="20"/>
        </w:rPr>
        <w:t xml:space="preserve">: This document has been developed by Canberra Health Services specifically for its own use.  Use of this document and any reliance on the information contained therein by any third party is at his or her own risk and </w:t>
      </w:r>
      <w:r w:rsidR="00470E63" w:rsidRPr="00AD0366">
        <w:rPr>
          <w:rFonts w:cs="Arial"/>
          <w:iCs/>
          <w:sz w:val="20"/>
        </w:rPr>
        <w:t>Canberra Health Services</w:t>
      </w:r>
      <w:r w:rsidRPr="00AD0366">
        <w:rPr>
          <w:rFonts w:cs="Arial"/>
          <w:iCs/>
          <w:sz w:val="20"/>
        </w:rPr>
        <w:t xml:space="preserve"> assumes no responsibility whatsoever.</w:t>
      </w:r>
    </w:p>
    <w:p w14:paraId="08682A51" w14:textId="77777777" w:rsidR="00153FB3" w:rsidRPr="00AD0366" w:rsidRDefault="00153FB3" w:rsidP="00153FB3">
      <w:pPr>
        <w:rPr>
          <w:rFonts w:cs="Arial"/>
          <w:iCs/>
          <w:sz w:val="20"/>
        </w:rPr>
      </w:pPr>
    </w:p>
    <w:p w14:paraId="08682A52" w14:textId="77777777" w:rsidR="00153FB3" w:rsidRPr="00AD0366" w:rsidRDefault="00153FB3" w:rsidP="00153FB3">
      <w:pPr>
        <w:rPr>
          <w:rFonts w:cs="Arial"/>
          <w:iCs/>
          <w:sz w:val="20"/>
        </w:rPr>
      </w:pPr>
      <w:r w:rsidRPr="00AD0366">
        <w:rPr>
          <w:rFonts w:cs="Arial"/>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AD0366" w14:paraId="08682A57" w14:textId="77777777" w:rsidTr="005B3A1A">
        <w:tc>
          <w:tcPr>
            <w:tcW w:w="2265" w:type="dxa"/>
          </w:tcPr>
          <w:p w14:paraId="08682A53" w14:textId="77777777" w:rsidR="00153FB3" w:rsidRPr="00AD0366" w:rsidRDefault="00153FB3" w:rsidP="005B3A1A">
            <w:pPr>
              <w:rPr>
                <w:iCs/>
                <w:sz w:val="20"/>
              </w:rPr>
            </w:pPr>
            <w:r w:rsidRPr="00AD0366">
              <w:rPr>
                <w:iCs/>
                <w:sz w:val="20"/>
              </w:rPr>
              <w:t>Date Amended</w:t>
            </w:r>
          </w:p>
        </w:tc>
        <w:tc>
          <w:tcPr>
            <w:tcW w:w="2265" w:type="dxa"/>
          </w:tcPr>
          <w:p w14:paraId="08682A54" w14:textId="77777777" w:rsidR="00153FB3" w:rsidRPr="00AD0366" w:rsidRDefault="00153FB3" w:rsidP="005B3A1A">
            <w:pPr>
              <w:rPr>
                <w:iCs/>
                <w:sz w:val="20"/>
              </w:rPr>
            </w:pPr>
            <w:r w:rsidRPr="00AD0366">
              <w:rPr>
                <w:iCs/>
                <w:sz w:val="20"/>
              </w:rPr>
              <w:t>Section Amended</w:t>
            </w:r>
          </w:p>
        </w:tc>
        <w:tc>
          <w:tcPr>
            <w:tcW w:w="2265" w:type="dxa"/>
          </w:tcPr>
          <w:p w14:paraId="08682A55" w14:textId="77777777" w:rsidR="00153FB3" w:rsidRPr="00AD0366" w:rsidRDefault="00153FB3" w:rsidP="005B3A1A">
            <w:pPr>
              <w:rPr>
                <w:iCs/>
                <w:sz w:val="20"/>
              </w:rPr>
            </w:pPr>
            <w:r w:rsidRPr="00AD0366">
              <w:rPr>
                <w:iCs/>
                <w:sz w:val="20"/>
              </w:rPr>
              <w:t>Divisional Approval</w:t>
            </w:r>
          </w:p>
        </w:tc>
        <w:tc>
          <w:tcPr>
            <w:tcW w:w="2265" w:type="dxa"/>
          </w:tcPr>
          <w:p w14:paraId="08682A56" w14:textId="77777777" w:rsidR="00153FB3" w:rsidRPr="00AD0366" w:rsidRDefault="00153FB3" w:rsidP="005B3A1A">
            <w:pPr>
              <w:rPr>
                <w:iCs/>
                <w:sz w:val="20"/>
              </w:rPr>
            </w:pPr>
            <w:r w:rsidRPr="00AD0366">
              <w:rPr>
                <w:iCs/>
                <w:sz w:val="20"/>
              </w:rPr>
              <w:t xml:space="preserve">Final Approval </w:t>
            </w:r>
          </w:p>
        </w:tc>
      </w:tr>
      <w:tr w:rsidR="00153FB3" w:rsidRPr="00AD0366" w14:paraId="08682A5C" w14:textId="77777777" w:rsidTr="005B3A1A">
        <w:tc>
          <w:tcPr>
            <w:tcW w:w="2265" w:type="dxa"/>
          </w:tcPr>
          <w:p w14:paraId="08682A58" w14:textId="71FD78BC" w:rsidR="00153FB3" w:rsidRPr="00781CC9" w:rsidRDefault="00781CC9" w:rsidP="005B3A1A">
            <w:pPr>
              <w:rPr>
                <w:i/>
                <w:sz w:val="20"/>
              </w:rPr>
            </w:pPr>
            <w:r w:rsidRPr="00781CC9">
              <w:rPr>
                <w:i/>
                <w:sz w:val="20"/>
              </w:rPr>
              <w:t>09/02/2023</w:t>
            </w:r>
          </w:p>
        </w:tc>
        <w:tc>
          <w:tcPr>
            <w:tcW w:w="2265" w:type="dxa"/>
          </w:tcPr>
          <w:p w14:paraId="08682A59" w14:textId="6266B596" w:rsidR="00153FB3" w:rsidRPr="00781CC9" w:rsidRDefault="00781CC9" w:rsidP="005B3A1A">
            <w:pPr>
              <w:rPr>
                <w:i/>
                <w:sz w:val="20"/>
              </w:rPr>
            </w:pPr>
            <w:r w:rsidRPr="00781CC9">
              <w:rPr>
                <w:i/>
                <w:sz w:val="20"/>
              </w:rPr>
              <w:t>New Document</w:t>
            </w:r>
          </w:p>
        </w:tc>
        <w:tc>
          <w:tcPr>
            <w:tcW w:w="2265" w:type="dxa"/>
          </w:tcPr>
          <w:p w14:paraId="08682A5A" w14:textId="51BD5ED4" w:rsidR="00153FB3" w:rsidRPr="00781CC9" w:rsidRDefault="00781CC9" w:rsidP="005B3A1A">
            <w:pPr>
              <w:rPr>
                <w:i/>
                <w:sz w:val="20"/>
              </w:rPr>
            </w:pPr>
            <w:r w:rsidRPr="00781CC9">
              <w:rPr>
                <w:i/>
                <w:sz w:val="20"/>
              </w:rPr>
              <w:t>Jo Morris, ED of RACS</w:t>
            </w:r>
          </w:p>
        </w:tc>
        <w:tc>
          <w:tcPr>
            <w:tcW w:w="2265" w:type="dxa"/>
          </w:tcPr>
          <w:p w14:paraId="08682A5B" w14:textId="5C5462AA" w:rsidR="00153FB3" w:rsidRPr="00781CC9" w:rsidRDefault="00781CC9" w:rsidP="005B3A1A">
            <w:pPr>
              <w:rPr>
                <w:i/>
                <w:sz w:val="20"/>
              </w:rPr>
            </w:pPr>
            <w:r w:rsidRPr="00781CC9">
              <w:rPr>
                <w:i/>
                <w:sz w:val="20"/>
              </w:rPr>
              <w:t>CHS Policy Committee</w:t>
            </w:r>
          </w:p>
        </w:tc>
      </w:tr>
      <w:tr w:rsidR="00153FB3" w:rsidRPr="00AD0366" w14:paraId="08682A61" w14:textId="77777777" w:rsidTr="005B3A1A">
        <w:tc>
          <w:tcPr>
            <w:tcW w:w="2265" w:type="dxa"/>
          </w:tcPr>
          <w:p w14:paraId="08682A5D" w14:textId="0B6B22B7" w:rsidR="00153FB3" w:rsidRPr="00E836AC" w:rsidRDefault="006F706C" w:rsidP="005B3A1A">
            <w:pPr>
              <w:rPr>
                <w:i/>
                <w:sz w:val="20"/>
              </w:rPr>
            </w:pPr>
            <w:r w:rsidRPr="00E836AC">
              <w:rPr>
                <w:i/>
                <w:sz w:val="20"/>
              </w:rPr>
              <w:t>13/03/</w:t>
            </w:r>
            <w:r w:rsidR="006B69FF" w:rsidRPr="00E836AC">
              <w:rPr>
                <w:i/>
                <w:sz w:val="20"/>
              </w:rPr>
              <w:t>2025</w:t>
            </w:r>
          </w:p>
        </w:tc>
        <w:tc>
          <w:tcPr>
            <w:tcW w:w="2265" w:type="dxa"/>
          </w:tcPr>
          <w:p w14:paraId="08682A5E" w14:textId="7629BEE3" w:rsidR="00153FB3" w:rsidRPr="00E836AC" w:rsidRDefault="00E836AC" w:rsidP="005B3A1A">
            <w:pPr>
              <w:rPr>
                <w:i/>
                <w:sz w:val="20"/>
              </w:rPr>
            </w:pPr>
            <w:r w:rsidRPr="00E836AC">
              <w:rPr>
                <w:i/>
                <w:sz w:val="20"/>
              </w:rPr>
              <w:t xml:space="preserve">Updated </w:t>
            </w:r>
            <w:r w:rsidR="00B534B9">
              <w:rPr>
                <w:i/>
                <w:sz w:val="20"/>
              </w:rPr>
              <w:t xml:space="preserve">content in Section 1 in relation to </w:t>
            </w:r>
            <w:r w:rsidR="00880F48">
              <w:rPr>
                <w:i/>
                <w:sz w:val="20"/>
              </w:rPr>
              <w:t>trialling and renting equipment</w:t>
            </w:r>
          </w:p>
        </w:tc>
        <w:tc>
          <w:tcPr>
            <w:tcW w:w="2265" w:type="dxa"/>
          </w:tcPr>
          <w:p w14:paraId="08682A5F" w14:textId="75FC0BAF" w:rsidR="00153FB3" w:rsidRPr="00E836AC" w:rsidRDefault="000D32D2" w:rsidP="005B3A1A">
            <w:pPr>
              <w:rPr>
                <w:i/>
                <w:sz w:val="20"/>
              </w:rPr>
            </w:pPr>
            <w:r w:rsidRPr="000D32D2">
              <w:rPr>
                <w:i/>
                <w:sz w:val="20"/>
              </w:rPr>
              <w:t>DORSS Advisory Committee</w:t>
            </w:r>
          </w:p>
        </w:tc>
        <w:tc>
          <w:tcPr>
            <w:tcW w:w="2265" w:type="dxa"/>
          </w:tcPr>
          <w:p w14:paraId="08682A60" w14:textId="277FC9AC" w:rsidR="00153FB3" w:rsidRPr="00E836AC" w:rsidRDefault="000D32D2" w:rsidP="005B3A1A">
            <w:pPr>
              <w:rPr>
                <w:i/>
                <w:sz w:val="20"/>
              </w:rPr>
            </w:pPr>
            <w:r>
              <w:rPr>
                <w:i/>
                <w:sz w:val="20"/>
              </w:rPr>
              <w:t>CHS Policy Team</w:t>
            </w:r>
          </w:p>
        </w:tc>
      </w:tr>
      <w:tr w:rsidR="00BE7048" w:rsidRPr="00AD0366" w14:paraId="0EC3E8E5" w14:textId="77777777" w:rsidTr="005B3A1A">
        <w:tc>
          <w:tcPr>
            <w:tcW w:w="2265" w:type="dxa"/>
          </w:tcPr>
          <w:p w14:paraId="77916151" w14:textId="09F8A635" w:rsidR="00BE7048" w:rsidRPr="00E836AC" w:rsidRDefault="00BE7048" w:rsidP="005B3A1A">
            <w:pPr>
              <w:rPr>
                <w:i/>
                <w:sz w:val="20"/>
              </w:rPr>
            </w:pPr>
            <w:r>
              <w:rPr>
                <w:i/>
                <w:sz w:val="20"/>
              </w:rPr>
              <w:t xml:space="preserve">07/08/2025 </w:t>
            </w:r>
          </w:p>
        </w:tc>
        <w:tc>
          <w:tcPr>
            <w:tcW w:w="2265" w:type="dxa"/>
          </w:tcPr>
          <w:p w14:paraId="1F4F51F2" w14:textId="1E7FD66A" w:rsidR="00BE7048" w:rsidRPr="00E836AC" w:rsidRDefault="00BE7048" w:rsidP="005B3A1A">
            <w:pPr>
              <w:rPr>
                <w:i/>
                <w:sz w:val="20"/>
              </w:rPr>
            </w:pPr>
            <w:r>
              <w:rPr>
                <w:i/>
                <w:sz w:val="20"/>
              </w:rPr>
              <w:t xml:space="preserve">Added information on Adaptive Servo Ventilation to Section 3. </w:t>
            </w:r>
          </w:p>
        </w:tc>
        <w:tc>
          <w:tcPr>
            <w:tcW w:w="2265" w:type="dxa"/>
          </w:tcPr>
          <w:p w14:paraId="41076B95" w14:textId="60CD35D0" w:rsidR="00BE7048" w:rsidRPr="000D32D2" w:rsidRDefault="00212E79" w:rsidP="005B3A1A">
            <w:pPr>
              <w:rPr>
                <w:i/>
                <w:sz w:val="20"/>
              </w:rPr>
            </w:pPr>
            <w:r w:rsidRPr="00212E79">
              <w:rPr>
                <w:i/>
                <w:sz w:val="20"/>
              </w:rPr>
              <w:t>DORSS Advisory Committee</w:t>
            </w:r>
          </w:p>
        </w:tc>
        <w:tc>
          <w:tcPr>
            <w:tcW w:w="2265" w:type="dxa"/>
          </w:tcPr>
          <w:p w14:paraId="5FED39A8" w14:textId="77777777" w:rsidR="00BE7048" w:rsidRDefault="00212E79" w:rsidP="005B3A1A">
            <w:pPr>
              <w:rPr>
                <w:i/>
                <w:sz w:val="20"/>
              </w:rPr>
            </w:pPr>
            <w:r>
              <w:rPr>
                <w:i/>
                <w:sz w:val="20"/>
              </w:rPr>
              <w:t>CHS Policy and Consumer Handouts Team</w:t>
            </w:r>
          </w:p>
          <w:p w14:paraId="54B71595" w14:textId="4415E2EC" w:rsidR="00212E79" w:rsidRDefault="00212E79" w:rsidP="005B3A1A">
            <w:pPr>
              <w:rPr>
                <w:i/>
                <w:sz w:val="20"/>
              </w:rPr>
            </w:pPr>
          </w:p>
        </w:tc>
      </w:tr>
    </w:tbl>
    <w:p w14:paraId="08682A62" w14:textId="77777777" w:rsidR="00153FB3" w:rsidRPr="00AD0366" w:rsidRDefault="00153FB3" w:rsidP="00153FB3">
      <w:pPr>
        <w:rPr>
          <w:rFonts w:cs="Arial"/>
          <w:iCs/>
          <w:sz w:val="20"/>
        </w:rPr>
      </w:pPr>
    </w:p>
    <w:p w14:paraId="08682A63" w14:textId="77777777" w:rsidR="00153FB3" w:rsidRPr="00AD0366" w:rsidRDefault="00153FB3" w:rsidP="00153FB3">
      <w:pPr>
        <w:rPr>
          <w:rFonts w:cs="Arial"/>
          <w:iCs/>
          <w:sz w:val="20"/>
        </w:rPr>
      </w:pPr>
      <w:r w:rsidRPr="00AD0366">
        <w:rPr>
          <w:rFonts w:cs="Arial"/>
          <w:iCs/>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AD0366" w14:paraId="08682A66" w14:textId="77777777" w:rsidTr="005B3A1A">
        <w:tc>
          <w:tcPr>
            <w:tcW w:w="2122" w:type="dxa"/>
          </w:tcPr>
          <w:p w14:paraId="08682A64" w14:textId="77777777" w:rsidR="00153FB3" w:rsidRPr="00AD0366" w:rsidRDefault="00153FB3" w:rsidP="005B3A1A">
            <w:pPr>
              <w:rPr>
                <w:iCs/>
                <w:sz w:val="20"/>
              </w:rPr>
            </w:pPr>
            <w:r w:rsidRPr="00AD0366">
              <w:rPr>
                <w:iCs/>
                <w:sz w:val="20"/>
              </w:rPr>
              <w:t>Document Number</w:t>
            </w:r>
          </w:p>
        </w:tc>
        <w:tc>
          <w:tcPr>
            <w:tcW w:w="6938" w:type="dxa"/>
          </w:tcPr>
          <w:p w14:paraId="08682A65" w14:textId="77777777" w:rsidR="00153FB3" w:rsidRPr="00AD0366" w:rsidRDefault="00153FB3" w:rsidP="005B3A1A">
            <w:pPr>
              <w:rPr>
                <w:iCs/>
                <w:sz w:val="20"/>
              </w:rPr>
            </w:pPr>
            <w:r w:rsidRPr="00AD0366">
              <w:rPr>
                <w:iCs/>
                <w:sz w:val="20"/>
              </w:rPr>
              <w:t>Document Name</w:t>
            </w:r>
          </w:p>
        </w:tc>
      </w:tr>
      <w:tr w:rsidR="00153FB3" w:rsidRPr="00AD0366" w14:paraId="08682A69" w14:textId="77777777" w:rsidTr="005B3A1A">
        <w:tc>
          <w:tcPr>
            <w:tcW w:w="2122" w:type="dxa"/>
          </w:tcPr>
          <w:p w14:paraId="08682A67" w14:textId="7713531A" w:rsidR="00153FB3" w:rsidRPr="00781CC9" w:rsidRDefault="00781CC9" w:rsidP="005B3A1A">
            <w:pPr>
              <w:rPr>
                <w:i/>
                <w:sz w:val="20"/>
              </w:rPr>
            </w:pPr>
            <w:r w:rsidRPr="00781CC9">
              <w:rPr>
                <w:i/>
                <w:sz w:val="20"/>
              </w:rPr>
              <w:t>CHHS17/282</w:t>
            </w:r>
          </w:p>
        </w:tc>
        <w:tc>
          <w:tcPr>
            <w:tcW w:w="6938" w:type="dxa"/>
          </w:tcPr>
          <w:p w14:paraId="08682A68" w14:textId="4DFCD20E" w:rsidR="00153FB3" w:rsidRPr="00781CC9" w:rsidRDefault="00781CC9" w:rsidP="005B3A1A">
            <w:pPr>
              <w:rPr>
                <w:i/>
                <w:sz w:val="20"/>
              </w:rPr>
            </w:pPr>
            <w:r w:rsidRPr="00781CC9">
              <w:rPr>
                <w:i/>
                <w:sz w:val="20"/>
              </w:rPr>
              <w:t>ACT Domiciliary Oxygen and Respiratory Support Scheme Procedure</w:t>
            </w:r>
          </w:p>
        </w:tc>
      </w:tr>
      <w:tr w:rsidR="00153FB3" w:rsidRPr="00AD0366" w14:paraId="08682A6C" w14:textId="77777777" w:rsidTr="005B3A1A">
        <w:tc>
          <w:tcPr>
            <w:tcW w:w="2122" w:type="dxa"/>
          </w:tcPr>
          <w:p w14:paraId="08682A6A" w14:textId="77777777" w:rsidR="00153FB3" w:rsidRPr="00AD0366" w:rsidRDefault="00153FB3" w:rsidP="005B3A1A">
            <w:pPr>
              <w:rPr>
                <w:iCs/>
                <w:sz w:val="20"/>
              </w:rPr>
            </w:pPr>
          </w:p>
        </w:tc>
        <w:tc>
          <w:tcPr>
            <w:tcW w:w="6938" w:type="dxa"/>
          </w:tcPr>
          <w:p w14:paraId="08682A6B" w14:textId="77777777" w:rsidR="00153FB3" w:rsidRPr="00AD0366" w:rsidRDefault="00153FB3" w:rsidP="005B3A1A">
            <w:pPr>
              <w:rPr>
                <w:iCs/>
                <w:sz w:val="20"/>
              </w:rPr>
            </w:pPr>
          </w:p>
        </w:tc>
      </w:tr>
    </w:tbl>
    <w:p w14:paraId="08682A6D" w14:textId="77777777" w:rsidR="00010E74" w:rsidRPr="00AD0366" w:rsidRDefault="00010E74" w:rsidP="00153FB3">
      <w:pPr>
        <w:rPr>
          <w:iCs/>
          <w:sz w:val="20"/>
          <w:szCs w:val="24"/>
        </w:rPr>
      </w:pPr>
    </w:p>
    <w:sectPr w:rsidR="00010E74" w:rsidRPr="00AD0366" w:rsidSect="00B10F8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6561" w14:textId="77777777" w:rsidR="006F37E4" w:rsidRDefault="006F37E4" w:rsidP="00F66CB0">
      <w:r>
        <w:separator/>
      </w:r>
    </w:p>
  </w:endnote>
  <w:endnote w:type="continuationSeparator" w:id="0">
    <w:p w14:paraId="7C3126A3" w14:textId="77777777" w:rsidR="006F37E4" w:rsidRDefault="006F37E4"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A95BA8A" w:rsidR="001670BB" w:rsidRPr="00542EE6" w:rsidRDefault="00781CC9" w:rsidP="00B10F87">
          <w:pPr>
            <w:pStyle w:val="Footer"/>
            <w:rPr>
              <w:rFonts w:cs="Arial"/>
              <w:b/>
              <w:bCs/>
              <w:sz w:val="20"/>
            </w:rPr>
          </w:pPr>
          <w:r>
            <w:rPr>
              <w:rFonts w:cs="Arial"/>
              <w:b/>
              <w:bCs/>
              <w:sz w:val="20"/>
            </w:rPr>
            <w:t>CHS23/056</w:t>
          </w:r>
        </w:p>
      </w:tc>
      <w:tc>
        <w:tcPr>
          <w:tcW w:w="965" w:type="dxa"/>
        </w:tcPr>
        <w:p w14:paraId="08682A7E" w14:textId="4150574D" w:rsidR="001670BB" w:rsidRPr="00B3752F" w:rsidRDefault="00212E79" w:rsidP="00B10F87">
          <w:pPr>
            <w:pStyle w:val="Footer"/>
            <w:rPr>
              <w:rFonts w:cs="Arial"/>
              <w:b/>
              <w:bCs/>
              <w:sz w:val="20"/>
            </w:rPr>
          </w:pPr>
          <w:r>
            <w:rPr>
              <w:rFonts w:cs="Arial"/>
              <w:b/>
              <w:bCs/>
              <w:sz w:val="20"/>
            </w:rPr>
            <w:t>2</w:t>
          </w:r>
        </w:p>
      </w:tc>
      <w:tc>
        <w:tcPr>
          <w:tcW w:w="1552" w:type="dxa"/>
        </w:tcPr>
        <w:p w14:paraId="08682A7F" w14:textId="3A922D4D" w:rsidR="001670BB" w:rsidRPr="00B3752F" w:rsidRDefault="00781CC9" w:rsidP="00B10F87">
          <w:pPr>
            <w:pStyle w:val="Footer"/>
            <w:rPr>
              <w:rFonts w:cs="Arial"/>
              <w:b/>
              <w:bCs/>
              <w:sz w:val="20"/>
            </w:rPr>
          </w:pPr>
          <w:r>
            <w:rPr>
              <w:rFonts w:cs="Arial"/>
              <w:b/>
              <w:bCs/>
              <w:sz w:val="20"/>
            </w:rPr>
            <w:t>09/02/2023</w:t>
          </w:r>
        </w:p>
      </w:tc>
      <w:tc>
        <w:tcPr>
          <w:tcW w:w="1456" w:type="dxa"/>
        </w:tcPr>
        <w:p w14:paraId="08682A80" w14:textId="5207053B" w:rsidR="001670BB" w:rsidRPr="00B3752F" w:rsidRDefault="00781CC9" w:rsidP="00470E63">
          <w:pPr>
            <w:pStyle w:val="Footer"/>
            <w:rPr>
              <w:rFonts w:cs="Arial"/>
              <w:b/>
              <w:bCs/>
              <w:sz w:val="20"/>
            </w:rPr>
          </w:pPr>
          <w:r>
            <w:rPr>
              <w:rFonts w:cs="Arial"/>
              <w:b/>
              <w:bCs/>
              <w:sz w:val="20"/>
            </w:rPr>
            <w:t>01/01/2027</w:t>
          </w:r>
        </w:p>
      </w:tc>
      <w:tc>
        <w:tcPr>
          <w:tcW w:w="1746" w:type="dxa"/>
        </w:tcPr>
        <w:p w14:paraId="08682A81" w14:textId="4AE4877C" w:rsidR="001670BB" w:rsidRPr="00B3752F" w:rsidRDefault="00781CC9" w:rsidP="00B10F87">
          <w:pPr>
            <w:pStyle w:val="Footer"/>
            <w:rPr>
              <w:rFonts w:cs="Arial"/>
              <w:b/>
              <w:bCs/>
              <w:sz w:val="20"/>
            </w:rPr>
          </w:pPr>
          <w:r>
            <w:rPr>
              <w:rFonts w:cs="Arial"/>
              <w:b/>
              <w:bCs/>
              <w:sz w:val="20"/>
            </w:rPr>
            <w:t>RACS – Client Support Services</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E840" w14:textId="77777777" w:rsidR="006F37E4" w:rsidRDefault="006F37E4" w:rsidP="00F66CB0">
      <w:r>
        <w:separator/>
      </w:r>
    </w:p>
  </w:footnote>
  <w:footnote w:type="continuationSeparator" w:id="0">
    <w:p w14:paraId="066C2D73" w14:textId="77777777" w:rsidR="006F37E4" w:rsidRDefault="006F37E4"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6B781966" w:rsidR="00A939DF" w:rsidRDefault="00AB687A" w:rsidP="00A939DF">
          <w:pPr>
            <w:pStyle w:val="Header"/>
            <w:tabs>
              <w:tab w:val="left" w:pos="720"/>
            </w:tabs>
            <w:jc w:val="right"/>
            <w:rPr>
              <w:sz w:val="20"/>
            </w:rPr>
          </w:pPr>
          <w:bookmarkStart w:id="28" w:name="_top"/>
          <w:bookmarkEnd w:id="28"/>
          <w:r>
            <w:rPr>
              <w:sz w:val="20"/>
            </w:rPr>
            <w:t>CHS23/056</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743D0B"/>
    <w:multiLevelType w:val="hybridMultilevel"/>
    <w:tmpl w:val="45AAF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855AA7"/>
    <w:multiLevelType w:val="hybridMultilevel"/>
    <w:tmpl w:val="EC122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4303053">
    <w:abstractNumId w:val="0"/>
  </w:num>
  <w:num w:numId="2" w16cid:durableId="557396855">
    <w:abstractNumId w:val="2"/>
  </w:num>
  <w:num w:numId="3" w16cid:durableId="23678511">
    <w:abstractNumId w:val="11"/>
  </w:num>
  <w:num w:numId="4" w16cid:durableId="580453364">
    <w:abstractNumId w:val="4"/>
  </w:num>
  <w:num w:numId="5" w16cid:durableId="1893495164">
    <w:abstractNumId w:val="6"/>
  </w:num>
  <w:num w:numId="6" w16cid:durableId="1298145535">
    <w:abstractNumId w:val="3"/>
  </w:num>
  <w:num w:numId="7" w16cid:durableId="995035222">
    <w:abstractNumId w:val="12"/>
  </w:num>
  <w:num w:numId="8" w16cid:durableId="521866436">
    <w:abstractNumId w:val="10"/>
  </w:num>
  <w:num w:numId="9" w16cid:durableId="936986054">
    <w:abstractNumId w:val="9"/>
  </w:num>
  <w:num w:numId="10" w16cid:durableId="187064202">
    <w:abstractNumId w:val="9"/>
  </w:num>
  <w:num w:numId="11" w16cid:durableId="1678073170">
    <w:abstractNumId w:val="1"/>
  </w:num>
  <w:num w:numId="12" w16cid:durableId="1158230266">
    <w:abstractNumId w:val="5"/>
  </w:num>
  <w:num w:numId="13" w16cid:durableId="732582641">
    <w:abstractNumId w:val="8"/>
  </w:num>
  <w:num w:numId="14" w16cid:durableId="1180781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65A3C"/>
    <w:rsid w:val="000728F3"/>
    <w:rsid w:val="000A3D5E"/>
    <w:rsid w:val="000B5C8C"/>
    <w:rsid w:val="000C59E2"/>
    <w:rsid w:val="000C7B2D"/>
    <w:rsid w:val="000D32D2"/>
    <w:rsid w:val="000F7B7E"/>
    <w:rsid w:val="0010015B"/>
    <w:rsid w:val="00103EEA"/>
    <w:rsid w:val="00106AB2"/>
    <w:rsid w:val="00124C49"/>
    <w:rsid w:val="00143E4A"/>
    <w:rsid w:val="00153FB3"/>
    <w:rsid w:val="00157E55"/>
    <w:rsid w:val="001670BB"/>
    <w:rsid w:val="00171526"/>
    <w:rsid w:val="0018239D"/>
    <w:rsid w:val="00191109"/>
    <w:rsid w:val="001915E7"/>
    <w:rsid w:val="001A0053"/>
    <w:rsid w:val="001B2465"/>
    <w:rsid w:val="001E64DB"/>
    <w:rsid w:val="001F2829"/>
    <w:rsid w:val="001F2C50"/>
    <w:rsid w:val="001F6D2D"/>
    <w:rsid w:val="00205AF9"/>
    <w:rsid w:val="00212E79"/>
    <w:rsid w:val="00240B97"/>
    <w:rsid w:val="0025382D"/>
    <w:rsid w:val="00253F5A"/>
    <w:rsid w:val="00263BA6"/>
    <w:rsid w:val="00266379"/>
    <w:rsid w:val="0026690C"/>
    <w:rsid w:val="0027264D"/>
    <w:rsid w:val="00293E43"/>
    <w:rsid w:val="002B478A"/>
    <w:rsid w:val="002B5F43"/>
    <w:rsid w:val="002C05A8"/>
    <w:rsid w:val="002C3E22"/>
    <w:rsid w:val="002F7AFC"/>
    <w:rsid w:val="00313707"/>
    <w:rsid w:val="00334D77"/>
    <w:rsid w:val="00376A6D"/>
    <w:rsid w:val="00380B98"/>
    <w:rsid w:val="00396023"/>
    <w:rsid w:val="00396F11"/>
    <w:rsid w:val="003C4BB5"/>
    <w:rsid w:val="003E167B"/>
    <w:rsid w:val="003E4CC0"/>
    <w:rsid w:val="003F3D8F"/>
    <w:rsid w:val="00412CED"/>
    <w:rsid w:val="00427139"/>
    <w:rsid w:val="004358E9"/>
    <w:rsid w:val="00447B55"/>
    <w:rsid w:val="00465C91"/>
    <w:rsid w:val="00470E63"/>
    <w:rsid w:val="00487DD5"/>
    <w:rsid w:val="004A2E02"/>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96FD7"/>
    <w:rsid w:val="005A3625"/>
    <w:rsid w:val="005B4738"/>
    <w:rsid w:val="005C212D"/>
    <w:rsid w:val="005C3CB0"/>
    <w:rsid w:val="00612231"/>
    <w:rsid w:val="00614380"/>
    <w:rsid w:val="00633C8D"/>
    <w:rsid w:val="00635EB1"/>
    <w:rsid w:val="006473BB"/>
    <w:rsid w:val="0065246A"/>
    <w:rsid w:val="00656B4C"/>
    <w:rsid w:val="0066495D"/>
    <w:rsid w:val="006743DB"/>
    <w:rsid w:val="00676258"/>
    <w:rsid w:val="00695EB6"/>
    <w:rsid w:val="006A4D46"/>
    <w:rsid w:val="006A6024"/>
    <w:rsid w:val="006A75B7"/>
    <w:rsid w:val="006B69FF"/>
    <w:rsid w:val="006C31FF"/>
    <w:rsid w:val="006C6B6C"/>
    <w:rsid w:val="006C704D"/>
    <w:rsid w:val="006F0C27"/>
    <w:rsid w:val="006F2098"/>
    <w:rsid w:val="006F37E4"/>
    <w:rsid w:val="006F706C"/>
    <w:rsid w:val="007005AE"/>
    <w:rsid w:val="0070331D"/>
    <w:rsid w:val="00741B43"/>
    <w:rsid w:val="00752315"/>
    <w:rsid w:val="00756537"/>
    <w:rsid w:val="00775280"/>
    <w:rsid w:val="00781CC9"/>
    <w:rsid w:val="007A0EBC"/>
    <w:rsid w:val="007B4ABB"/>
    <w:rsid w:val="007B6904"/>
    <w:rsid w:val="007C1C41"/>
    <w:rsid w:val="00816782"/>
    <w:rsid w:val="0082141D"/>
    <w:rsid w:val="00827F24"/>
    <w:rsid w:val="00855DA8"/>
    <w:rsid w:val="00865480"/>
    <w:rsid w:val="008732E4"/>
    <w:rsid w:val="00880F48"/>
    <w:rsid w:val="00886399"/>
    <w:rsid w:val="008951D1"/>
    <w:rsid w:val="008974C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74B8A"/>
    <w:rsid w:val="00A85F61"/>
    <w:rsid w:val="00A86A9D"/>
    <w:rsid w:val="00A86DB3"/>
    <w:rsid w:val="00A939DF"/>
    <w:rsid w:val="00AA25DC"/>
    <w:rsid w:val="00AB687A"/>
    <w:rsid w:val="00AD0366"/>
    <w:rsid w:val="00B10F87"/>
    <w:rsid w:val="00B11471"/>
    <w:rsid w:val="00B17115"/>
    <w:rsid w:val="00B21043"/>
    <w:rsid w:val="00B30DA2"/>
    <w:rsid w:val="00B44CAC"/>
    <w:rsid w:val="00B453FC"/>
    <w:rsid w:val="00B534B9"/>
    <w:rsid w:val="00B573D6"/>
    <w:rsid w:val="00B61F35"/>
    <w:rsid w:val="00B63123"/>
    <w:rsid w:val="00B634F1"/>
    <w:rsid w:val="00B65E54"/>
    <w:rsid w:val="00B81455"/>
    <w:rsid w:val="00B9627F"/>
    <w:rsid w:val="00B96BCD"/>
    <w:rsid w:val="00BA0A1B"/>
    <w:rsid w:val="00BA2415"/>
    <w:rsid w:val="00BA4F95"/>
    <w:rsid w:val="00BA5B60"/>
    <w:rsid w:val="00BB33F9"/>
    <w:rsid w:val="00BB731D"/>
    <w:rsid w:val="00BC3CE6"/>
    <w:rsid w:val="00BD03DB"/>
    <w:rsid w:val="00BE5E41"/>
    <w:rsid w:val="00BE7048"/>
    <w:rsid w:val="00C13D33"/>
    <w:rsid w:val="00C24EDC"/>
    <w:rsid w:val="00C25A76"/>
    <w:rsid w:val="00C31BD5"/>
    <w:rsid w:val="00C32206"/>
    <w:rsid w:val="00C45B40"/>
    <w:rsid w:val="00C45C67"/>
    <w:rsid w:val="00C523FF"/>
    <w:rsid w:val="00C532D4"/>
    <w:rsid w:val="00C606F3"/>
    <w:rsid w:val="00C639EC"/>
    <w:rsid w:val="00C71C3C"/>
    <w:rsid w:val="00C9490E"/>
    <w:rsid w:val="00CA593D"/>
    <w:rsid w:val="00CE1018"/>
    <w:rsid w:val="00D006EF"/>
    <w:rsid w:val="00D06786"/>
    <w:rsid w:val="00D16211"/>
    <w:rsid w:val="00D21780"/>
    <w:rsid w:val="00D23346"/>
    <w:rsid w:val="00D243B8"/>
    <w:rsid w:val="00D34794"/>
    <w:rsid w:val="00D42B85"/>
    <w:rsid w:val="00D4502D"/>
    <w:rsid w:val="00D530CE"/>
    <w:rsid w:val="00D53E3C"/>
    <w:rsid w:val="00D54ED5"/>
    <w:rsid w:val="00D749CF"/>
    <w:rsid w:val="00D7517E"/>
    <w:rsid w:val="00D77950"/>
    <w:rsid w:val="00DC3762"/>
    <w:rsid w:val="00DC739E"/>
    <w:rsid w:val="00DD0346"/>
    <w:rsid w:val="00DD616A"/>
    <w:rsid w:val="00DE0465"/>
    <w:rsid w:val="00DF3B20"/>
    <w:rsid w:val="00E049ED"/>
    <w:rsid w:val="00E34E6D"/>
    <w:rsid w:val="00E37CD4"/>
    <w:rsid w:val="00E41A47"/>
    <w:rsid w:val="00E53B9C"/>
    <w:rsid w:val="00E57848"/>
    <w:rsid w:val="00E836AC"/>
    <w:rsid w:val="00EA1A1E"/>
    <w:rsid w:val="00ED21C3"/>
    <w:rsid w:val="00ED388C"/>
    <w:rsid w:val="00EF02B0"/>
    <w:rsid w:val="00EF619C"/>
    <w:rsid w:val="00F01B61"/>
    <w:rsid w:val="00F13DD8"/>
    <w:rsid w:val="00F149FD"/>
    <w:rsid w:val="00F4262F"/>
    <w:rsid w:val="00F53719"/>
    <w:rsid w:val="00F565DA"/>
    <w:rsid w:val="00F57291"/>
    <w:rsid w:val="00F66CB0"/>
    <w:rsid w:val="00F72D0E"/>
    <w:rsid w:val="00F76C89"/>
    <w:rsid w:val="00F80897"/>
    <w:rsid w:val="00F83FBF"/>
    <w:rsid w:val="00FA29B8"/>
    <w:rsid w:val="00FD396E"/>
    <w:rsid w:val="00FD3D92"/>
    <w:rsid w:val="00FD7936"/>
    <w:rsid w:val="00FF0607"/>
    <w:rsid w:val="00FF389E"/>
    <w:rsid w:val="00FF56DD"/>
    <w:rsid w:val="2A7A0E2C"/>
    <w:rsid w:val="2D47F0D8"/>
    <w:rsid w:val="45B93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able.health.nsw.gov.au/__data/assets/pdf_file/0004/491296/Paediatr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2022-12-22T13:00:00+00:00</Approval_x0020_Date>
    <Review_x0020_Date xmlns="690b2128-8961-48af-a473-22c34a9accba">2026-12-31T13:00:00+00:00</Review_x0020_Date>
    <TaxCatchAll xmlns="c0239a80-7f07-4ed7-82c3-24ad7d76ada5">
      <Value>432</Value>
      <Value>417</Value>
      <Value>416</Value>
      <Value>415</Value>
    </TaxCatchAll>
    <Version_x0020_Number xmlns="690b2128-8961-48af-a473-22c34a9accba">2</Version_x0020_Number>
    <Notes0 xmlns="690b2128-8961-48af-a473-22c34a9accba">13/03/2025 Updated content in Section 1 in relation to trialling and renting equipment.
07/08/2025 Added information on Adaptive Servo Ventilation to Section 3. </Notes0>
    <Key_x0020_Words xmlns="690b2128-8961-48af-a473-22c34a9accba">DORSS, respiratory, Bi-level, Oxygen therapy, Domestic Oxygen Respiratory Support Scheme</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CHHS17/282 ACT Domiciliary Oxygen and Respiratory Support Scheme Procedure</Replaces_x003a_>
    <Risk_x0020_Rating xmlns="690b2128-8961-48af-a473-22c34a9accba">Medium</Risk_x0020_Rating>
    <Description0 xmlns="690b2128-8961-48af-a473-22c34a9accba">This guideline provides recommendations and defines the eligibility criteria for the supply of loan bi-level ventilation equipment to eligible clients by the ACT Domiciliary Oxygen and Respiratory Support Scheme (DORSS)</Description0>
    <Display_x0020_on_x0020_Internet xmlns="690b2128-8961-48af-a473-22c34a9accba">true</Display_x0020_on_x0020_Internet>
    <Related_x0020_Documents xmlns="690b2128-8961-48af-a473-22c34a9accba" xsi:nil="true"/>
    <Decision_x0020_Number xmlns="690b2128-8961-48af-a473-22c34a9accba">CHS23/056</Decision_x0020_Number>
    <New_x0020_Owner xmlns="690b2128-8961-48af-a473-22c34a9accba">Rehabilitation, Aged and Community Services (RACS) - Client Support Services</New_x0020_Owner>
    <ISD_x0020_Submitted xmlns="690b2128-8961-48af-a473-22c34a9accba">Not Required</ISD_x0020_Submitted>
    <RelatedPolicies_x002c_ProceduresGuidelines xmlns="690b2128-8961-48af-a473-22c34a9accba">
      <Value>14491</Value>
      <Value>16465</Value>
      <Value>16457</Value>
      <Value>15087</Value>
      <Value>16677</Value>
      <Value>13986</Value>
      <Value>13988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690b2128-8961-48af-a473-22c34a9accba"/>
    <ds:schemaRef ds:uri="http://purl.org/dc/elements/1.1/"/>
    <ds:schemaRef ds:uri="http://schemas.microsoft.com/office/2006/documentManagement/types"/>
    <ds:schemaRef ds:uri="c0239a80-7f07-4ed7-82c3-24ad7d76ada5"/>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5040CCF6-B9CD-4706-A9CC-88FB623B9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1498</Words>
  <Characters>9196</Characters>
  <Application>Microsoft Office Word</Application>
  <DocSecurity>0</DocSecurity>
  <Lines>269</Lines>
  <Paragraphs>151</Paragraphs>
  <ScaleCrop>false</ScaleCrop>
  <Company>ACT Government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Bi-level Ventilation Equipment – Domiciliary Oxygen and Respiratory Support Scheme (DORSS)</dc:title>
  <dc:creator>Kerryn Hunter</dc:creator>
  <cp:lastModifiedBy>Rusanov, Zoia</cp:lastModifiedBy>
  <cp:revision>18</cp:revision>
  <cp:lastPrinted>2014-07-16T01:36:00Z</cp:lastPrinted>
  <dcterms:created xsi:type="dcterms:W3CDTF">2023-01-02T22:55:00Z</dcterms:created>
  <dcterms:modified xsi:type="dcterms:W3CDTF">2025-08-07T05:04:00Z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4" name="MSIP_Label_69af8531-eb46-4968-8cb3-105d2f5ea87e_Enabled">
    <vt:lpwstr>true</vt:lpwstr>
  </property>
  <property fmtid="{D5CDD505-2E9C-101B-9397-08002B2CF9AE}" pid="5" name="MSIP_Label_69af8531-eb46-4968-8cb3-105d2f5ea87e_SetDate">
    <vt:lpwstr>2025-03-13T02:54:22Z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fc44f055-19b9-4cf7-8100-7035c650aff3</vt:lpwstr>
  </property>
  <property fmtid="{D5CDD505-2E9C-101B-9397-08002B2CF9AE}" pid="10" name="MSIP_Label_69af8531-eb46-4968-8cb3-105d2f5ea87e_ContentBits">
    <vt:lpwstr>0</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