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C11D"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2A375AC4" w14:textId="41661DF1" w:rsidR="00197F2E" w:rsidRDefault="009D5943" w:rsidP="00197F2E">
      <w:pPr>
        <w:pStyle w:val="Heading2"/>
      </w:pPr>
      <w:r>
        <w:t>Control of Tuberculosis</w:t>
      </w:r>
      <w:r w:rsidR="00197F2E">
        <w:rPr>
          <w:rStyle w:val="Heading2Char"/>
        </w:rPr>
        <w:t xml:space="preserve"> </w:t>
      </w:r>
      <w:r w:rsidR="000E44E0">
        <w:rPr>
          <w:rStyle w:val="Heading2Char"/>
        </w:rPr>
        <w:t>(Adults and Children)</w:t>
      </w:r>
    </w:p>
    <w:p w14:paraId="28A1D3E4" w14:textId="184CB3BB" w:rsidR="00CA4FDE" w:rsidRPr="00C34A10" w:rsidRDefault="00E31596" w:rsidP="00C34A10">
      <w:pPr>
        <w:pStyle w:val="BodyCopy"/>
        <w:spacing w:before="0" w:line="240" w:lineRule="auto"/>
        <w:rPr>
          <w:color w:val="575757" w:themeColor="text2"/>
        </w:rPr>
      </w:pPr>
      <w:r w:rsidRPr="00197F2E">
        <w:t>CHS</w:t>
      </w:r>
      <w:r w:rsidR="00785CFD">
        <w:t>26/122</w:t>
      </w:r>
    </w:p>
    <w:sdt>
      <w:sdtPr>
        <w:rPr>
          <w:sz w:val="32"/>
          <w:szCs w:val="32"/>
        </w:rPr>
        <w:id w:val="-1206019646"/>
        <w:docPartObj>
          <w:docPartGallery w:val="Table of Contents"/>
          <w:docPartUnique/>
        </w:docPartObj>
      </w:sdtPr>
      <w:sdtEndPr>
        <w:rPr>
          <w:noProof/>
        </w:rPr>
      </w:sdtEndPr>
      <w:sdtContent>
        <w:p w14:paraId="634A9EA1" w14:textId="77777777" w:rsidR="00A731B8" w:rsidRPr="000E7683" w:rsidRDefault="00A731B8">
          <w:pPr>
            <w:pStyle w:val="TOCHeading"/>
            <w:rPr>
              <w:rStyle w:val="Heading3Char"/>
              <w:b/>
              <w:bCs w:val="0"/>
            </w:rPr>
          </w:pPr>
          <w:r w:rsidRPr="007B1A7B">
            <w:rPr>
              <w:rStyle w:val="Heading3Char"/>
              <w:b/>
              <w:bCs w:val="0"/>
            </w:rPr>
            <w:t>Contents</w:t>
          </w:r>
        </w:p>
        <w:p w14:paraId="526B9163" w14:textId="6BA79572" w:rsidR="007A089F"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93105499" w:history="1">
            <w:r w:rsidR="007A089F" w:rsidRPr="009F54EE">
              <w:rPr>
                <w:rStyle w:val="Hyperlink"/>
              </w:rPr>
              <w:t>Purpose</w:t>
            </w:r>
            <w:r w:rsidR="007A089F">
              <w:rPr>
                <w:webHidden/>
              </w:rPr>
              <w:tab/>
            </w:r>
            <w:r w:rsidR="007A089F">
              <w:rPr>
                <w:webHidden/>
              </w:rPr>
              <w:fldChar w:fldCharType="begin"/>
            </w:r>
            <w:r w:rsidR="007A089F">
              <w:rPr>
                <w:webHidden/>
              </w:rPr>
              <w:instrText xml:space="preserve"> PAGEREF _Toc193105499 \h </w:instrText>
            </w:r>
            <w:r w:rsidR="007A089F">
              <w:rPr>
                <w:webHidden/>
              </w:rPr>
            </w:r>
            <w:r w:rsidR="007A089F">
              <w:rPr>
                <w:webHidden/>
              </w:rPr>
              <w:fldChar w:fldCharType="separate"/>
            </w:r>
            <w:r w:rsidR="007A089F">
              <w:rPr>
                <w:webHidden/>
              </w:rPr>
              <w:t>2</w:t>
            </w:r>
            <w:r w:rsidR="007A089F">
              <w:rPr>
                <w:webHidden/>
              </w:rPr>
              <w:fldChar w:fldCharType="end"/>
            </w:r>
          </w:hyperlink>
        </w:p>
        <w:p w14:paraId="03B5649A" w14:textId="74F0E540" w:rsidR="007A089F" w:rsidRDefault="007A089F">
          <w:pPr>
            <w:pStyle w:val="TOC1"/>
            <w:rPr>
              <w:rFonts w:asciiTheme="minorHAnsi" w:eastAsiaTheme="minorEastAsia" w:hAnsiTheme="minorHAnsi" w:cstheme="minorBidi"/>
              <w:color w:val="auto"/>
              <w:kern w:val="2"/>
              <w14:ligatures w14:val="standardContextual"/>
            </w:rPr>
          </w:pPr>
          <w:hyperlink w:anchor="_Toc193105500" w:history="1">
            <w:r w:rsidRPr="009F54EE">
              <w:rPr>
                <w:rStyle w:val="Hyperlink"/>
              </w:rPr>
              <w:t>Alerts</w:t>
            </w:r>
            <w:r>
              <w:rPr>
                <w:webHidden/>
              </w:rPr>
              <w:tab/>
            </w:r>
            <w:r>
              <w:rPr>
                <w:webHidden/>
              </w:rPr>
              <w:fldChar w:fldCharType="begin"/>
            </w:r>
            <w:r>
              <w:rPr>
                <w:webHidden/>
              </w:rPr>
              <w:instrText xml:space="preserve"> PAGEREF _Toc193105500 \h </w:instrText>
            </w:r>
            <w:r>
              <w:rPr>
                <w:webHidden/>
              </w:rPr>
            </w:r>
            <w:r>
              <w:rPr>
                <w:webHidden/>
              </w:rPr>
              <w:fldChar w:fldCharType="separate"/>
            </w:r>
            <w:r>
              <w:rPr>
                <w:webHidden/>
              </w:rPr>
              <w:t>2</w:t>
            </w:r>
            <w:r>
              <w:rPr>
                <w:webHidden/>
              </w:rPr>
              <w:fldChar w:fldCharType="end"/>
            </w:r>
          </w:hyperlink>
        </w:p>
        <w:p w14:paraId="60E10F0E" w14:textId="68963067" w:rsidR="007A089F" w:rsidRDefault="007A089F">
          <w:pPr>
            <w:pStyle w:val="TOC1"/>
            <w:rPr>
              <w:rFonts w:asciiTheme="minorHAnsi" w:eastAsiaTheme="minorEastAsia" w:hAnsiTheme="minorHAnsi" w:cstheme="minorBidi"/>
              <w:color w:val="auto"/>
              <w:kern w:val="2"/>
              <w14:ligatures w14:val="standardContextual"/>
            </w:rPr>
          </w:pPr>
          <w:hyperlink w:anchor="_Toc193105501" w:history="1">
            <w:r w:rsidRPr="009F54EE">
              <w:rPr>
                <w:rStyle w:val="Hyperlink"/>
              </w:rPr>
              <w:t>Scope</w:t>
            </w:r>
            <w:r>
              <w:rPr>
                <w:webHidden/>
              </w:rPr>
              <w:tab/>
            </w:r>
            <w:r>
              <w:rPr>
                <w:webHidden/>
              </w:rPr>
              <w:fldChar w:fldCharType="begin"/>
            </w:r>
            <w:r>
              <w:rPr>
                <w:webHidden/>
              </w:rPr>
              <w:instrText xml:space="preserve"> PAGEREF _Toc193105501 \h </w:instrText>
            </w:r>
            <w:r>
              <w:rPr>
                <w:webHidden/>
              </w:rPr>
            </w:r>
            <w:r>
              <w:rPr>
                <w:webHidden/>
              </w:rPr>
              <w:fldChar w:fldCharType="separate"/>
            </w:r>
            <w:r>
              <w:rPr>
                <w:webHidden/>
              </w:rPr>
              <w:t>2</w:t>
            </w:r>
            <w:r>
              <w:rPr>
                <w:webHidden/>
              </w:rPr>
              <w:fldChar w:fldCharType="end"/>
            </w:r>
          </w:hyperlink>
        </w:p>
        <w:p w14:paraId="350B853F" w14:textId="4B84ADA5" w:rsidR="007A089F" w:rsidRDefault="007A089F">
          <w:pPr>
            <w:pStyle w:val="TOC1"/>
            <w:rPr>
              <w:rFonts w:asciiTheme="minorHAnsi" w:eastAsiaTheme="minorEastAsia" w:hAnsiTheme="minorHAnsi" w:cstheme="minorBidi"/>
              <w:color w:val="auto"/>
              <w:kern w:val="2"/>
              <w14:ligatures w14:val="standardContextual"/>
            </w:rPr>
          </w:pPr>
          <w:hyperlink w:anchor="_Toc193105502" w:history="1">
            <w:r w:rsidRPr="009F54EE">
              <w:rPr>
                <w:rStyle w:val="Hyperlink"/>
              </w:rPr>
              <w:t>Section 1 – Roles and responsibilities</w:t>
            </w:r>
            <w:r>
              <w:rPr>
                <w:webHidden/>
              </w:rPr>
              <w:tab/>
            </w:r>
            <w:r>
              <w:rPr>
                <w:webHidden/>
              </w:rPr>
              <w:fldChar w:fldCharType="begin"/>
            </w:r>
            <w:r>
              <w:rPr>
                <w:webHidden/>
              </w:rPr>
              <w:instrText xml:space="preserve"> PAGEREF _Toc193105502 \h </w:instrText>
            </w:r>
            <w:r>
              <w:rPr>
                <w:webHidden/>
              </w:rPr>
            </w:r>
            <w:r>
              <w:rPr>
                <w:webHidden/>
              </w:rPr>
              <w:fldChar w:fldCharType="separate"/>
            </w:r>
            <w:r>
              <w:rPr>
                <w:webHidden/>
              </w:rPr>
              <w:t>2</w:t>
            </w:r>
            <w:r>
              <w:rPr>
                <w:webHidden/>
              </w:rPr>
              <w:fldChar w:fldCharType="end"/>
            </w:r>
          </w:hyperlink>
        </w:p>
        <w:p w14:paraId="160390B7" w14:textId="50284C70" w:rsidR="007A089F" w:rsidRDefault="007A089F">
          <w:pPr>
            <w:pStyle w:val="TOC1"/>
            <w:rPr>
              <w:rFonts w:asciiTheme="minorHAnsi" w:eastAsiaTheme="minorEastAsia" w:hAnsiTheme="minorHAnsi" w:cstheme="minorBidi"/>
              <w:color w:val="auto"/>
              <w:kern w:val="2"/>
              <w14:ligatures w14:val="standardContextual"/>
            </w:rPr>
          </w:pPr>
          <w:hyperlink w:anchor="_Toc193105503" w:history="1">
            <w:r w:rsidRPr="009F54EE">
              <w:rPr>
                <w:rStyle w:val="Hyperlink"/>
              </w:rPr>
              <w:t>Section 2 – Data management</w:t>
            </w:r>
            <w:r>
              <w:rPr>
                <w:webHidden/>
              </w:rPr>
              <w:tab/>
            </w:r>
            <w:r>
              <w:rPr>
                <w:webHidden/>
              </w:rPr>
              <w:fldChar w:fldCharType="begin"/>
            </w:r>
            <w:r>
              <w:rPr>
                <w:webHidden/>
              </w:rPr>
              <w:instrText xml:space="preserve"> PAGEREF _Toc193105503 \h </w:instrText>
            </w:r>
            <w:r>
              <w:rPr>
                <w:webHidden/>
              </w:rPr>
            </w:r>
            <w:r>
              <w:rPr>
                <w:webHidden/>
              </w:rPr>
              <w:fldChar w:fldCharType="separate"/>
            </w:r>
            <w:r>
              <w:rPr>
                <w:webHidden/>
              </w:rPr>
              <w:t>4</w:t>
            </w:r>
            <w:r>
              <w:rPr>
                <w:webHidden/>
              </w:rPr>
              <w:fldChar w:fldCharType="end"/>
            </w:r>
          </w:hyperlink>
        </w:p>
        <w:p w14:paraId="21D37341" w14:textId="031A9B7D" w:rsidR="007A089F" w:rsidRDefault="007A089F">
          <w:pPr>
            <w:pStyle w:val="TOC1"/>
            <w:rPr>
              <w:rFonts w:asciiTheme="minorHAnsi" w:eastAsiaTheme="minorEastAsia" w:hAnsiTheme="minorHAnsi" w:cstheme="minorBidi"/>
              <w:color w:val="auto"/>
              <w:kern w:val="2"/>
              <w14:ligatures w14:val="standardContextual"/>
            </w:rPr>
          </w:pPr>
          <w:hyperlink w:anchor="_Toc193105504" w:history="1">
            <w:r w:rsidRPr="009F54EE">
              <w:rPr>
                <w:rStyle w:val="Hyperlink"/>
              </w:rPr>
              <w:t>Section 3 – Laboratory diagnosis</w:t>
            </w:r>
            <w:r>
              <w:rPr>
                <w:webHidden/>
              </w:rPr>
              <w:tab/>
            </w:r>
            <w:r>
              <w:rPr>
                <w:webHidden/>
              </w:rPr>
              <w:fldChar w:fldCharType="begin"/>
            </w:r>
            <w:r>
              <w:rPr>
                <w:webHidden/>
              </w:rPr>
              <w:instrText xml:space="preserve"> PAGEREF _Toc193105504 \h </w:instrText>
            </w:r>
            <w:r>
              <w:rPr>
                <w:webHidden/>
              </w:rPr>
            </w:r>
            <w:r>
              <w:rPr>
                <w:webHidden/>
              </w:rPr>
              <w:fldChar w:fldCharType="separate"/>
            </w:r>
            <w:r>
              <w:rPr>
                <w:webHidden/>
              </w:rPr>
              <w:t>5</w:t>
            </w:r>
            <w:r>
              <w:rPr>
                <w:webHidden/>
              </w:rPr>
              <w:fldChar w:fldCharType="end"/>
            </w:r>
          </w:hyperlink>
        </w:p>
        <w:p w14:paraId="47F955FC" w14:textId="658AE719" w:rsidR="007A089F" w:rsidRDefault="007A089F">
          <w:pPr>
            <w:pStyle w:val="TOC1"/>
            <w:rPr>
              <w:rFonts w:asciiTheme="minorHAnsi" w:eastAsiaTheme="minorEastAsia" w:hAnsiTheme="minorHAnsi" w:cstheme="minorBidi"/>
              <w:color w:val="auto"/>
              <w:kern w:val="2"/>
              <w14:ligatures w14:val="standardContextual"/>
            </w:rPr>
          </w:pPr>
          <w:hyperlink w:anchor="_Toc193105505" w:history="1">
            <w:r w:rsidRPr="009F54EE">
              <w:rPr>
                <w:rStyle w:val="Hyperlink"/>
              </w:rPr>
              <w:t>Section 4 – Case management</w:t>
            </w:r>
            <w:r>
              <w:rPr>
                <w:webHidden/>
              </w:rPr>
              <w:tab/>
            </w:r>
            <w:r>
              <w:rPr>
                <w:webHidden/>
              </w:rPr>
              <w:fldChar w:fldCharType="begin"/>
            </w:r>
            <w:r>
              <w:rPr>
                <w:webHidden/>
              </w:rPr>
              <w:instrText xml:space="preserve"> PAGEREF _Toc193105505 \h </w:instrText>
            </w:r>
            <w:r>
              <w:rPr>
                <w:webHidden/>
              </w:rPr>
            </w:r>
            <w:r>
              <w:rPr>
                <w:webHidden/>
              </w:rPr>
              <w:fldChar w:fldCharType="separate"/>
            </w:r>
            <w:r>
              <w:rPr>
                <w:webHidden/>
              </w:rPr>
              <w:t>5</w:t>
            </w:r>
            <w:r>
              <w:rPr>
                <w:webHidden/>
              </w:rPr>
              <w:fldChar w:fldCharType="end"/>
            </w:r>
          </w:hyperlink>
        </w:p>
        <w:p w14:paraId="4364886D" w14:textId="2A89745F" w:rsidR="007A089F" w:rsidRDefault="007A089F">
          <w:pPr>
            <w:pStyle w:val="TOC1"/>
            <w:rPr>
              <w:rFonts w:asciiTheme="minorHAnsi" w:eastAsiaTheme="minorEastAsia" w:hAnsiTheme="minorHAnsi" w:cstheme="minorBidi"/>
              <w:color w:val="auto"/>
              <w:kern w:val="2"/>
              <w14:ligatures w14:val="standardContextual"/>
            </w:rPr>
          </w:pPr>
          <w:hyperlink w:anchor="_Toc193105506" w:history="1">
            <w:r w:rsidRPr="009F54EE">
              <w:rPr>
                <w:rStyle w:val="Hyperlink"/>
              </w:rPr>
              <w:t>Section 5 – Infection control and transmission prevention</w:t>
            </w:r>
            <w:r>
              <w:rPr>
                <w:webHidden/>
              </w:rPr>
              <w:tab/>
            </w:r>
            <w:r>
              <w:rPr>
                <w:webHidden/>
              </w:rPr>
              <w:fldChar w:fldCharType="begin"/>
            </w:r>
            <w:r>
              <w:rPr>
                <w:webHidden/>
              </w:rPr>
              <w:instrText xml:space="preserve"> PAGEREF _Toc193105506 \h </w:instrText>
            </w:r>
            <w:r>
              <w:rPr>
                <w:webHidden/>
              </w:rPr>
            </w:r>
            <w:r>
              <w:rPr>
                <w:webHidden/>
              </w:rPr>
              <w:fldChar w:fldCharType="separate"/>
            </w:r>
            <w:r>
              <w:rPr>
                <w:webHidden/>
              </w:rPr>
              <w:t>9</w:t>
            </w:r>
            <w:r>
              <w:rPr>
                <w:webHidden/>
              </w:rPr>
              <w:fldChar w:fldCharType="end"/>
            </w:r>
          </w:hyperlink>
        </w:p>
        <w:p w14:paraId="02D29C50" w14:textId="1985CE80" w:rsidR="007A089F" w:rsidRDefault="007A089F">
          <w:pPr>
            <w:pStyle w:val="TOC1"/>
            <w:rPr>
              <w:rFonts w:asciiTheme="minorHAnsi" w:eastAsiaTheme="minorEastAsia" w:hAnsiTheme="minorHAnsi" w:cstheme="minorBidi"/>
              <w:color w:val="auto"/>
              <w:kern w:val="2"/>
              <w14:ligatures w14:val="standardContextual"/>
            </w:rPr>
          </w:pPr>
          <w:hyperlink w:anchor="_Toc193105507" w:history="1">
            <w:r w:rsidRPr="009F54EE">
              <w:rPr>
                <w:rStyle w:val="Hyperlink"/>
              </w:rPr>
              <w:t>Section 6 – Contact management</w:t>
            </w:r>
            <w:r>
              <w:rPr>
                <w:webHidden/>
              </w:rPr>
              <w:tab/>
            </w:r>
            <w:r>
              <w:rPr>
                <w:webHidden/>
              </w:rPr>
              <w:fldChar w:fldCharType="begin"/>
            </w:r>
            <w:r>
              <w:rPr>
                <w:webHidden/>
              </w:rPr>
              <w:instrText xml:space="preserve"> PAGEREF _Toc193105507 \h </w:instrText>
            </w:r>
            <w:r>
              <w:rPr>
                <w:webHidden/>
              </w:rPr>
            </w:r>
            <w:r>
              <w:rPr>
                <w:webHidden/>
              </w:rPr>
              <w:fldChar w:fldCharType="separate"/>
            </w:r>
            <w:r>
              <w:rPr>
                <w:webHidden/>
              </w:rPr>
              <w:t>12</w:t>
            </w:r>
            <w:r>
              <w:rPr>
                <w:webHidden/>
              </w:rPr>
              <w:fldChar w:fldCharType="end"/>
            </w:r>
          </w:hyperlink>
        </w:p>
        <w:p w14:paraId="64C34CF4" w14:textId="7DB27765" w:rsidR="007A089F" w:rsidRDefault="007A089F">
          <w:pPr>
            <w:pStyle w:val="TOC1"/>
            <w:rPr>
              <w:rFonts w:asciiTheme="minorHAnsi" w:eastAsiaTheme="minorEastAsia" w:hAnsiTheme="minorHAnsi" w:cstheme="minorBidi"/>
              <w:color w:val="auto"/>
              <w:kern w:val="2"/>
              <w14:ligatures w14:val="standardContextual"/>
            </w:rPr>
          </w:pPr>
          <w:hyperlink w:anchor="_Toc193105508" w:history="1">
            <w:r w:rsidRPr="009F54EE">
              <w:rPr>
                <w:rStyle w:val="Hyperlink"/>
              </w:rPr>
              <w:t>Section 7 – Employee and student risk assessment and screening</w:t>
            </w:r>
            <w:r>
              <w:rPr>
                <w:webHidden/>
              </w:rPr>
              <w:tab/>
            </w:r>
            <w:r>
              <w:rPr>
                <w:webHidden/>
              </w:rPr>
              <w:fldChar w:fldCharType="begin"/>
            </w:r>
            <w:r>
              <w:rPr>
                <w:webHidden/>
              </w:rPr>
              <w:instrText xml:space="preserve"> PAGEREF _Toc193105508 \h </w:instrText>
            </w:r>
            <w:r>
              <w:rPr>
                <w:webHidden/>
              </w:rPr>
            </w:r>
            <w:r>
              <w:rPr>
                <w:webHidden/>
              </w:rPr>
              <w:fldChar w:fldCharType="separate"/>
            </w:r>
            <w:r>
              <w:rPr>
                <w:webHidden/>
              </w:rPr>
              <w:t>18</w:t>
            </w:r>
            <w:r>
              <w:rPr>
                <w:webHidden/>
              </w:rPr>
              <w:fldChar w:fldCharType="end"/>
            </w:r>
          </w:hyperlink>
        </w:p>
        <w:p w14:paraId="336C06B5" w14:textId="2BFF93AB" w:rsidR="007A089F" w:rsidRDefault="007A089F">
          <w:pPr>
            <w:pStyle w:val="TOC1"/>
            <w:rPr>
              <w:rFonts w:asciiTheme="minorHAnsi" w:eastAsiaTheme="minorEastAsia" w:hAnsiTheme="minorHAnsi" w:cstheme="minorBidi"/>
              <w:color w:val="auto"/>
              <w:kern w:val="2"/>
              <w14:ligatures w14:val="standardContextual"/>
            </w:rPr>
          </w:pPr>
          <w:hyperlink w:anchor="_Toc193105509" w:history="1">
            <w:r w:rsidRPr="009F54EE">
              <w:rPr>
                <w:rStyle w:val="Hyperlink"/>
              </w:rPr>
              <w:t>Section 8 – Bacille Calmette-Guérin (BCG) vaccination and Tuberculin Skin Testing (TST)</w:t>
            </w:r>
            <w:r>
              <w:rPr>
                <w:webHidden/>
              </w:rPr>
              <w:tab/>
            </w:r>
            <w:r>
              <w:rPr>
                <w:webHidden/>
              </w:rPr>
              <w:fldChar w:fldCharType="begin"/>
            </w:r>
            <w:r>
              <w:rPr>
                <w:webHidden/>
              </w:rPr>
              <w:instrText xml:space="preserve"> PAGEREF _Toc193105509 \h </w:instrText>
            </w:r>
            <w:r>
              <w:rPr>
                <w:webHidden/>
              </w:rPr>
            </w:r>
            <w:r>
              <w:rPr>
                <w:webHidden/>
              </w:rPr>
              <w:fldChar w:fldCharType="separate"/>
            </w:r>
            <w:r>
              <w:rPr>
                <w:webHidden/>
              </w:rPr>
              <w:t>18</w:t>
            </w:r>
            <w:r>
              <w:rPr>
                <w:webHidden/>
              </w:rPr>
              <w:fldChar w:fldCharType="end"/>
            </w:r>
          </w:hyperlink>
        </w:p>
        <w:p w14:paraId="524A24F8" w14:textId="2D7D889B" w:rsidR="007A089F" w:rsidRDefault="007A089F">
          <w:pPr>
            <w:pStyle w:val="TOC1"/>
            <w:rPr>
              <w:rFonts w:asciiTheme="minorHAnsi" w:eastAsiaTheme="minorEastAsia" w:hAnsiTheme="minorHAnsi" w:cstheme="minorBidi"/>
              <w:color w:val="auto"/>
              <w:kern w:val="2"/>
              <w14:ligatures w14:val="standardContextual"/>
            </w:rPr>
          </w:pPr>
          <w:hyperlink w:anchor="_Toc193105510" w:history="1">
            <w:r w:rsidRPr="009F54EE">
              <w:rPr>
                <w:rStyle w:val="Hyperlink"/>
              </w:rPr>
              <w:t>Section 9 – Non-routine involvement of the PPS branch in TB control</w:t>
            </w:r>
            <w:r>
              <w:rPr>
                <w:webHidden/>
              </w:rPr>
              <w:tab/>
            </w:r>
            <w:r>
              <w:rPr>
                <w:webHidden/>
              </w:rPr>
              <w:fldChar w:fldCharType="begin"/>
            </w:r>
            <w:r>
              <w:rPr>
                <w:webHidden/>
              </w:rPr>
              <w:instrText xml:space="preserve"> PAGEREF _Toc193105510 \h </w:instrText>
            </w:r>
            <w:r>
              <w:rPr>
                <w:webHidden/>
              </w:rPr>
            </w:r>
            <w:r>
              <w:rPr>
                <w:webHidden/>
              </w:rPr>
              <w:fldChar w:fldCharType="separate"/>
            </w:r>
            <w:r>
              <w:rPr>
                <w:webHidden/>
              </w:rPr>
              <w:t>19</w:t>
            </w:r>
            <w:r>
              <w:rPr>
                <w:webHidden/>
              </w:rPr>
              <w:fldChar w:fldCharType="end"/>
            </w:r>
          </w:hyperlink>
        </w:p>
        <w:p w14:paraId="0179286C" w14:textId="281AFEA1" w:rsidR="007A089F" w:rsidRDefault="007A089F">
          <w:pPr>
            <w:pStyle w:val="TOC1"/>
            <w:rPr>
              <w:rFonts w:asciiTheme="minorHAnsi" w:eastAsiaTheme="minorEastAsia" w:hAnsiTheme="minorHAnsi" w:cstheme="minorBidi"/>
              <w:color w:val="auto"/>
              <w:kern w:val="2"/>
              <w14:ligatures w14:val="standardContextual"/>
            </w:rPr>
          </w:pPr>
          <w:hyperlink w:anchor="_Toc193105511" w:history="1">
            <w:r w:rsidRPr="009F54EE">
              <w:rPr>
                <w:rStyle w:val="Hyperlink"/>
              </w:rPr>
              <w:t>Evaluation</w:t>
            </w:r>
            <w:r>
              <w:rPr>
                <w:webHidden/>
              </w:rPr>
              <w:tab/>
            </w:r>
            <w:r>
              <w:rPr>
                <w:webHidden/>
              </w:rPr>
              <w:fldChar w:fldCharType="begin"/>
            </w:r>
            <w:r>
              <w:rPr>
                <w:webHidden/>
              </w:rPr>
              <w:instrText xml:space="preserve"> PAGEREF _Toc193105511 \h </w:instrText>
            </w:r>
            <w:r>
              <w:rPr>
                <w:webHidden/>
              </w:rPr>
            </w:r>
            <w:r>
              <w:rPr>
                <w:webHidden/>
              </w:rPr>
              <w:fldChar w:fldCharType="separate"/>
            </w:r>
            <w:r>
              <w:rPr>
                <w:webHidden/>
              </w:rPr>
              <w:t>22</w:t>
            </w:r>
            <w:r>
              <w:rPr>
                <w:webHidden/>
              </w:rPr>
              <w:fldChar w:fldCharType="end"/>
            </w:r>
          </w:hyperlink>
        </w:p>
        <w:p w14:paraId="2010610C" w14:textId="189A4F63" w:rsidR="007A089F" w:rsidRDefault="007A089F">
          <w:pPr>
            <w:pStyle w:val="TOC1"/>
            <w:rPr>
              <w:rFonts w:asciiTheme="minorHAnsi" w:eastAsiaTheme="minorEastAsia" w:hAnsiTheme="minorHAnsi" w:cstheme="minorBidi"/>
              <w:color w:val="auto"/>
              <w:kern w:val="2"/>
              <w14:ligatures w14:val="standardContextual"/>
            </w:rPr>
          </w:pPr>
          <w:hyperlink w:anchor="_Toc193105512" w:history="1">
            <w:r w:rsidRPr="009F54EE">
              <w:rPr>
                <w:rStyle w:val="Hyperlink"/>
              </w:rPr>
              <w:t>Related policies, procedures, guidelines and legislation</w:t>
            </w:r>
            <w:r>
              <w:rPr>
                <w:webHidden/>
              </w:rPr>
              <w:tab/>
            </w:r>
            <w:r>
              <w:rPr>
                <w:webHidden/>
              </w:rPr>
              <w:fldChar w:fldCharType="begin"/>
            </w:r>
            <w:r>
              <w:rPr>
                <w:webHidden/>
              </w:rPr>
              <w:instrText xml:space="preserve"> PAGEREF _Toc193105512 \h </w:instrText>
            </w:r>
            <w:r>
              <w:rPr>
                <w:webHidden/>
              </w:rPr>
            </w:r>
            <w:r>
              <w:rPr>
                <w:webHidden/>
              </w:rPr>
              <w:fldChar w:fldCharType="separate"/>
            </w:r>
            <w:r>
              <w:rPr>
                <w:webHidden/>
              </w:rPr>
              <w:t>23</w:t>
            </w:r>
            <w:r>
              <w:rPr>
                <w:webHidden/>
              </w:rPr>
              <w:fldChar w:fldCharType="end"/>
            </w:r>
          </w:hyperlink>
        </w:p>
        <w:p w14:paraId="2F67CA79" w14:textId="436F106F" w:rsidR="007A089F" w:rsidRDefault="007A089F">
          <w:pPr>
            <w:pStyle w:val="TOC1"/>
            <w:rPr>
              <w:rFonts w:asciiTheme="minorHAnsi" w:eastAsiaTheme="minorEastAsia" w:hAnsiTheme="minorHAnsi" w:cstheme="minorBidi"/>
              <w:color w:val="auto"/>
              <w:kern w:val="2"/>
              <w14:ligatures w14:val="standardContextual"/>
            </w:rPr>
          </w:pPr>
          <w:hyperlink w:anchor="_Toc193105513" w:history="1">
            <w:r w:rsidRPr="009F54EE">
              <w:rPr>
                <w:rStyle w:val="Hyperlink"/>
              </w:rPr>
              <w:t>References</w:t>
            </w:r>
            <w:r>
              <w:rPr>
                <w:webHidden/>
              </w:rPr>
              <w:tab/>
            </w:r>
            <w:r>
              <w:rPr>
                <w:webHidden/>
              </w:rPr>
              <w:fldChar w:fldCharType="begin"/>
            </w:r>
            <w:r>
              <w:rPr>
                <w:webHidden/>
              </w:rPr>
              <w:instrText xml:space="preserve"> PAGEREF _Toc193105513 \h </w:instrText>
            </w:r>
            <w:r>
              <w:rPr>
                <w:webHidden/>
              </w:rPr>
            </w:r>
            <w:r>
              <w:rPr>
                <w:webHidden/>
              </w:rPr>
              <w:fldChar w:fldCharType="separate"/>
            </w:r>
            <w:r>
              <w:rPr>
                <w:webHidden/>
              </w:rPr>
              <w:t>24</w:t>
            </w:r>
            <w:r>
              <w:rPr>
                <w:webHidden/>
              </w:rPr>
              <w:fldChar w:fldCharType="end"/>
            </w:r>
          </w:hyperlink>
        </w:p>
        <w:p w14:paraId="3BCF6361" w14:textId="0BC8A778" w:rsidR="007A089F" w:rsidRDefault="007A089F">
          <w:pPr>
            <w:pStyle w:val="TOC1"/>
            <w:rPr>
              <w:rFonts w:asciiTheme="minorHAnsi" w:eastAsiaTheme="minorEastAsia" w:hAnsiTheme="minorHAnsi" w:cstheme="minorBidi"/>
              <w:color w:val="auto"/>
              <w:kern w:val="2"/>
              <w14:ligatures w14:val="standardContextual"/>
            </w:rPr>
          </w:pPr>
          <w:hyperlink w:anchor="_Toc193105514" w:history="1">
            <w:r w:rsidRPr="009F54EE">
              <w:rPr>
                <w:rStyle w:val="Hyperlink"/>
              </w:rPr>
              <w:t>Definition of terms</w:t>
            </w:r>
            <w:r>
              <w:rPr>
                <w:webHidden/>
              </w:rPr>
              <w:tab/>
            </w:r>
            <w:r>
              <w:rPr>
                <w:webHidden/>
              </w:rPr>
              <w:fldChar w:fldCharType="begin"/>
            </w:r>
            <w:r>
              <w:rPr>
                <w:webHidden/>
              </w:rPr>
              <w:instrText xml:space="preserve"> PAGEREF _Toc193105514 \h </w:instrText>
            </w:r>
            <w:r>
              <w:rPr>
                <w:webHidden/>
              </w:rPr>
            </w:r>
            <w:r>
              <w:rPr>
                <w:webHidden/>
              </w:rPr>
              <w:fldChar w:fldCharType="separate"/>
            </w:r>
            <w:r>
              <w:rPr>
                <w:webHidden/>
              </w:rPr>
              <w:t>25</w:t>
            </w:r>
            <w:r>
              <w:rPr>
                <w:webHidden/>
              </w:rPr>
              <w:fldChar w:fldCharType="end"/>
            </w:r>
          </w:hyperlink>
        </w:p>
        <w:p w14:paraId="1E245326" w14:textId="2E2E2400" w:rsidR="007A089F" w:rsidRDefault="007A089F">
          <w:pPr>
            <w:pStyle w:val="TOC1"/>
            <w:rPr>
              <w:rFonts w:asciiTheme="minorHAnsi" w:eastAsiaTheme="minorEastAsia" w:hAnsiTheme="minorHAnsi" w:cstheme="minorBidi"/>
              <w:color w:val="auto"/>
              <w:kern w:val="2"/>
              <w14:ligatures w14:val="standardContextual"/>
            </w:rPr>
          </w:pPr>
          <w:hyperlink w:anchor="_Toc193105515" w:history="1">
            <w:r w:rsidRPr="009F54EE">
              <w:rPr>
                <w:rStyle w:val="Hyperlink"/>
              </w:rPr>
              <w:t>Search terms</w:t>
            </w:r>
            <w:r>
              <w:rPr>
                <w:webHidden/>
              </w:rPr>
              <w:tab/>
            </w:r>
            <w:r>
              <w:rPr>
                <w:webHidden/>
              </w:rPr>
              <w:fldChar w:fldCharType="begin"/>
            </w:r>
            <w:r>
              <w:rPr>
                <w:webHidden/>
              </w:rPr>
              <w:instrText xml:space="preserve"> PAGEREF _Toc193105515 \h </w:instrText>
            </w:r>
            <w:r>
              <w:rPr>
                <w:webHidden/>
              </w:rPr>
            </w:r>
            <w:r>
              <w:rPr>
                <w:webHidden/>
              </w:rPr>
              <w:fldChar w:fldCharType="separate"/>
            </w:r>
            <w:r>
              <w:rPr>
                <w:webHidden/>
              </w:rPr>
              <w:t>25</w:t>
            </w:r>
            <w:r>
              <w:rPr>
                <w:webHidden/>
              </w:rPr>
              <w:fldChar w:fldCharType="end"/>
            </w:r>
          </w:hyperlink>
        </w:p>
        <w:p w14:paraId="72969EEF" w14:textId="246DCB86" w:rsidR="007A089F" w:rsidRDefault="007A089F">
          <w:pPr>
            <w:pStyle w:val="TOC1"/>
            <w:rPr>
              <w:rFonts w:asciiTheme="minorHAnsi" w:eastAsiaTheme="minorEastAsia" w:hAnsiTheme="minorHAnsi" w:cstheme="minorBidi"/>
              <w:color w:val="auto"/>
              <w:kern w:val="2"/>
              <w14:ligatures w14:val="standardContextual"/>
            </w:rPr>
          </w:pPr>
          <w:hyperlink w:anchor="_Toc193105516" w:history="1">
            <w:r w:rsidRPr="009F54EE">
              <w:rPr>
                <w:rStyle w:val="Hyperlink"/>
              </w:rPr>
              <w:t>Attachments</w:t>
            </w:r>
            <w:r>
              <w:rPr>
                <w:webHidden/>
              </w:rPr>
              <w:tab/>
            </w:r>
            <w:r>
              <w:rPr>
                <w:webHidden/>
              </w:rPr>
              <w:fldChar w:fldCharType="begin"/>
            </w:r>
            <w:r>
              <w:rPr>
                <w:webHidden/>
              </w:rPr>
              <w:instrText xml:space="preserve"> PAGEREF _Toc193105516 \h </w:instrText>
            </w:r>
            <w:r>
              <w:rPr>
                <w:webHidden/>
              </w:rPr>
            </w:r>
            <w:r>
              <w:rPr>
                <w:webHidden/>
              </w:rPr>
              <w:fldChar w:fldCharType="separate"/>
            </w:r>
            <w:r>
              <w:rPr>
                <w:webHidden/>
              </w:rPr>
              <w:t>26</w:t>
            </w:r>
            <w:r>
              <w:rPr>
                <w:webHidden/>
              </w:rPr>
              <w:fldChar w:fldCharType="end"/>
            </w:r>
          </w:hyperlink>
        </w:p>
        <w:p w14:paraId="175C37A1" w14:textId="3F2B8378" w:rsidR="007A089F" w:rsidRDefault="007A089F">
          <w:pPr>
            <w:pStyle w:val="TOC1"/>
            <w:rPr>
              <w:rFonts w:asciiTheme="minorHAnsi" w:eastAsiaTheme="minorEastAsia" w:hAnsiTheme="minorHAnsi" w:cstheme="minorBidi"/>
              <w:color w:val="auto"/>
              <w:kern w:val="2"/>
              <w14:ligatures w14:val="standardContextual"/>
            </w:rPr>
          </w:pPr>
          <w:hyperlink w:anchor="_Toc193105517" w:history="1">
            <w:r w:rsidRPr="009F54EE">
              <w:rPr>
                <w:rStyle w:val="Hyperlink"/>
              </w:rPr>
              <w:t>Attachment 1 – Tuberculosis Contact Screening Summary</w:t>
            </w:r>
            <w:r>
              <w:rPr>
                <w:webHidden/>
              </w:rPr>
              <w:tab/>
            </w:r>
            <w:r>
              <w:rPr>
                <w:webHidden/>
              </w:rPr>
              <w:fldChar w:fldCharType="begin"/>
            </w:r>
            <w:r>
              <w:rPr>
                <w:webHidden/>
              </w:rPr>
              <w:instrText xml:space="preserve"> PAGEREF _Toc193105517 \h </w:instrText>
            </w:r>
            <w:r>
              <w:rPr>
                <w:webHidden/>
              </w:rPr>
            </w:r>
            <w:r>
              <w:rPr>
                <w:webHidden/>
              </w:rPr>
              <w:fldChar w:fldCharType="separate"/>
            </w:r>
            <w:r>
              <w:rPr>
                <w:webHidden/>
              </w:rPr>
              <w:t>28</w:t>
            </w:r>
            <w:r>
              <w:rPr>
                <w:webHidden/>
              </w:rPr>
              <w:fldChar w:fldCharType="end"/>
            </w:r>
          </w:hyperlink>
        </w:p>
        <w:p w14:paraId="47CED841" w14:textId="7AEAF6D5" w:rsidR="007A089F" w:rsidRDefault="007A089F">
          <w:pPr>
            <w:pStyle w:val="TOC1"/>
            <w:rPr>
              <w:rFonts w:asciiTheme="minorHAnsi" w:eastAsiaTheme="minorEastAsia" w:hAnsiTheme="minorHAnsi" w:cstheme="minorBidi"/>
              <w:color w:val="auto"/>
              <w:kern w:val="2"/>
              <w14:ligatures w14:val="standardContextual"/>
            </w:rPr>
          </w:pPr>
          <w:hyperlink w:anchor="_Toc193105518" w:history="1">
            <w:r w:rsidRPr="009F54EE">
              <w:rPr>
                <w:rStyle w:val="Hyperlink"/>
              </w:rPr>
              <w:t>Attachment 2 – Summary of Contact Tracing Activity for a Confirmed TB Case</w:t>
            </w:r>
            <w:r>
              <w:rPr>
                <w:webHidden/>
              </w:rPr>
              <w:tab/>
            </w:r>
            <w:r>
              <w:rPr>
                <w:webHidden/>
              </w:rPr>
              <w:fldChar w:fldCharType="begin"/>
            </w:r>
            <w:r>
              <w:rPr>
                <w:webHidden/>
              </w:rPr>
              <w:instrText xml:space="preserve"> PAGEREF _Toc193105518 \h </w:instrText>
            </w:r>
            <w:r>
              <w:rPr>
                <w:webHidden/>
              </w:rPr>
            </w:r>
            <w:r>
              <w:rPr>
                <w:webHidden/>
              </w:rPr>
              <w:fldChar w:fldCharType="separate"/>
            </w:r>
            <w:r>
              <w:rPr>
                <w:webHidden/>
              </w:rPr>
              <w:t>31</w:t>
            </w:r>
            <w:r>
              <w:rPr>
                <w:webHidden/>
              </w:rPr>
              <w:fldChar w:fldCharType="end"/>
            </w:r>
          </w:hyperlink>
        </w:p>
        <w:p w14:paraId="51AA929F" w14:textId="654B1B5D"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17C7D07B" w14:textId="77777777" w:rsidR="00FE46F1" w:rsidRDefault="00FE46F1">
      <w:pPr>
        <w:spacing w:before="0" w:after="0" w:line="240" w:lineRule="auto"/>
        <w:rPr>
          <w:rFonts w:eastAsia="Times New Roman"/>
          <w:b/>
          <w:color w:val="FFFFFF" w:themeColor="background1"/>
          <w:szCs w:val="80"/>
          <w:lang w:eastAsia="en-US"/>
        </w:rPr>
      </w:pPr>
    </w:p>
    <w:p w14:paraId="6795B5AE" w14:textId="77777777" w:rsidR="00201AF6" w:rsidRDefault="00201AF6">
      <w:pPr>
        <w:spacing w:before="0" w:after="0" w:line="240" w:lineRule="auto"/>
        <w:rPr>
          <w:rFonts w:eastAsia="Times New Roman"/>
          <w:b/>
          <w:bCs/>
          <w:iCs/>
          <w:color w:val="FFFFFF" w:themeColor="background1"/>
          <w:lang w:eastAsia="en-US"/>
        </w:rPr>
      </w:pPr>
      <w:r>
        <w:br w:type="page"/>
      </w:r>
    </w:p>
    <w:p w14:paraId="7567BA7C" w14:textId="50ED0AF3" w:rsidR="0078367D" w:rsidRPr="00036249" w:rsidRDefault="003254E1" w:rsidP="00036249">
      <w:pPr>
        <w:pStyle w:val="Heading4"/>
      </w:pPr>
      <w:bookmarkStart w:id="0" w:name="_Toc193105499"/>
      <w:r>
        <w:lastRenderedPageBreak/>
        <w:t>Purpose</w:t>
      </w:r>
      <w:bookmarkEnd w:id="0"/>
    </w:p>
    <w:p w14:paraId="3E4F0582" w14:textId="208858F0" w:rsidR="003254E1" w:rsidRPr="00BA236B" w:rsidRDefault="002D5AAF" w:rsidP="002D5AAF">
      <w:r>
        <w:t>The purpose of this procedure is to describe the mandatory requirements for the control of tuberculosis (TB) in the ACT.</w:t>
      </w:r>
    </w:p>
    <w:p w14:paraId="78933127"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41D198B5" w14:textId="5E3C578D" w:rsidR="0078367D" w:rsidRPr="00AC2EDE" w:rsidRDefault="003254E1" w:rsidP="00197F2E">
      <w:pPr>
        <w:pStyle w:val="Heading4"/>
      </w:pPr>
      <w:bookmarkStart w:id="1" w:name="_Toc193105500"/>
      <w:r>
        <w:rPr>
          <w:rStyle w:val="Hyperlink"/>
          <w:color w:val="FFFFFF" w:themeColor="background1"/>
          <w:u w:val="none"/>
        </w:rPr>
        <w:t>Alerts</w:t>
      </w:r>
      <w:bookmarkEnd w:id="1"/>
      <w:r>
        <w:rPr>
          <w:rStyle w:val="Hyperlink"/>
          <w:color w:val="FFFFFF" w:themeColor="background1"/>
          <w:u w:val="none"/>
        </w:rPr>
        <w:t xml:space="preserve"> </w:t>
      </w:r>
    </w:p>
    <w:p w14:paraId="1FCFFD4E" w14:textId="75A29535" w:rsidR="00481A6C" w:rsidRPr="002D5AAF" w:rsidRDefault="002D5AAF" w:rsidP="00481A6C">
      <w:pPr>
        <w:pStyle w:val="BodyCopy"/>
        <w:rPr>
          <w:rStyle w:val="Hyperlink"/>
          <w:i/>
          <w:color w:val="000000" w:themeColor="text1"/>
          <w:u w:val="none"/>
        </w:rPr>
      </w:pPr>
      <w:r w:rsidRPr="009647C1">
        <w:t>Any p</w:t>
      </w:r>
      <w:r>
        <w:t>erson</w:t>
      </w:r>
      <w:r w:rsidRPr="009647C1">
        <w:t xml:space="preserve"> with confirmed or suspected active pulmonary or laryngeal TB requiring admission to hospital, or current inpatient</w:t>
      </w:r>
      <w:r>
        <w:t xml:space="preserve">s </w:t>
      </w:r>
      <w:r w:rsidRPr="009647C1">
        <w:t>in whom this diagnosis is confirmed or suspected, should be managed under airborne</w:t>
      </w:r>
      <w:r w:rsidR="004348C3">
        <w:t xml:space="preserve"> transmission- based</w:t>
      </w:r>
      <w:r w:rsidRPr="009647C1">
        <w:t xml:space="preserve"> precautions in a negative pressure room, in accordance with the </w:t>
      </w:r>
      <w:r>
        <w:rPr>
          <w:i/>
        </w:rPr>
        <w:t xml:space="preserve">Infection Prevention and Control </w:t>
      </w:r>
      <w:r w:rsidRPr="009647C1">
        <w:rPr>
          <w:i/>
        </w:rPr>
        <w:t>Procedure</w:t>
      </w:r>
      <w:r>
        <w:rPr>
          <w:iCs w:val="0"/>
        </w:rPr>
        <w:t>, available on the Policy and Guidance Documents register</w:t>
      </w:r>
      <w:r w:rsidRPr="009647C1">
        <w:rPr>
          <w:i/>
        </w:rPr>
        <w:t>.</w:t>
      </w:r>
      <w:r w:rsidR="00481A6C">
        <w:br/>
      </w:r>
      <w:hyperlink w:anchor="_top" w:history="1">
        <w:r w:rsidR="00481A6C" w:rsidRPr="00481A6C">
          <w:rPr>
            <w:rStyle w:val="Hyperlink"/>
            <w:iCs w:val="0"/>
          </w:rPr>
          <w:t>Back to Contents</w:t>
        </w:r>
      </w:hyperlink>
    </w:p>
    <w:p w14:paraId="09355582" w14:textId="77777777" w:rsidR="003254E1" w:rsidRDefault="003254E1" w:rsidP="003254E1">
      <w:pPr>
        <w:pStyle w:val="Heading4"/>
      </w:pPr>
      <w:bookmarkStart w:id="2" w:name="_Toc193105501"/>
      <w:r>
        <w:t>Scope</w:t>
      </w:r>
      <w:bookmarkEnd w:id="2"/>
    </w:p>
    <w:p w14:paraId="191A1DB7" w14:textId="5C882753" w:rsidR="002F6565" w:rsidRDefault="002F6565" w:rsidP="002F6565">
      <w:pPr>
        <w:jc w:val="both"/>
      </w:pPr>
      <w:r w:rsidRPr="22CF6BA1">
        <w:t xml:space="preserve">This procedure applies </w:t>
      </w:r>
      <w:r>
        <w:t>the following</w:t>
      </w:r>
      <w:r w:rsidRPr="22CF6BA1">
        <w:t xml:space="preserve"> Canberra Health Services (CHS)</w:t>
      </w:r>
      <w:r>
        <w:t xml:space="preserve"> </w:t>
      </w:r>
      <w:r w:rsidR="000A247A">
        <w:t xml:space="preserve">network </w:t>
      </w:r>
      <w:r>
        <w:t>staff, working within their scope of practice</w:t>
      </w:r>
      <w:r w:rsidRPr="22CF6BA1">
        <w:t>:</w:t>
      </w:r>
    </w:p>
    <w:p w14:paraId="19F2B82B" w14:textId="77777777" w:rsidR="002F6565" w:rsidRPr="00506F2E" w:rsidRDefault="002F6565" w:rsidP="002F6565">
      <w:pPr>
        <w:pStyle w:val="Bullet"/>
      </w:pPr>
      <w:r w:rsidRPr="00506F2E">
        <w:t xml:space="preserve">Medical Officers </w:t>
      </w:r>
    </w:p>
    <w:p w14:paraId="0F90166D" w14:textId="77777777" w:rsidR="002F6565" w:rsidRPr="00506F2E" w:rsidRDefault="002F6565" w:rsidP="002F6565">
      <w:pPr>
        <w:pStyle w:val="Bullet"/>
      </w:pPr>
      <w:r w:rsidRPr="00506F2E">
        <w:t>Nurses</w:t>
      </w:r>
    </w:p>
    <w:p w14:paraId="25B90E0B" w14:textId="77777777" w:rsidR="002F6565" w:rsidRPr="00506F2E" w:rsidRDefault="002F6565" w:rsidP="002F6565">
      <w:pPr>
        <w:pStyle w:val="Bullet"/>
      </w:pPr>
      <w:r w:rsidRPr="00506F2E">
        <w:t>Medical and nursing students under supervision</w:t>
      </w:r>
    </w:p>
    <w:p w14:paraId="441599A0" w14:textId="2491DF97" w:rsidR="002F6565" w:rsidRDefault="002F6565" w:rsidP="002F6565">
      <w:pPr>
        <w:pStyle w:val="Bullet"/>
      </w:pPr>
      <w:r w:rsidRPr="00506F2E">
        <w:t>ACT Pathology staff</w:t>
      </w:r>
      <w:r>
        <w:t>.</w:t>
      </w:r>
    </w:p>
    <w:p w14:paraId="3A03EB9D" w14:textId="48EEA7AA" w:rsidR="000A247A" w:rsidRDefault="000A247A" w:rsidP="002F6565">
      <w:pPr>
        <w:pStyle w:val="BodyCopy"/>
      </w:pPr>
      <w:bookmarkStart w:id="3" w:name="_Hlk193105320"/>
      <w:r w:rsidRPr="000A247A">
        <w:t xml:space="preserve">The CHS Network includes the inpatient and outpatient facilities at </w:t>
      </w:r>
      <w:r>
        <w:t xml:space="preserve">the </w:t>
      </w:r>
      <w:r w:rsidRPr="000A247A">
        <w:t>Canberra Hospital, Clare Holland House, North Canberra Hospital</w:t>
      </w:r>
      <w:r>
        <w:t xml:space="preserve">, </w:t>
      </w:r>
      <w:r w:rsidRPr="000A247A">
        <w:t>University of Canberra Hospital and community-based services.</w:t>
      </w:r>
      <w:r>
        <w:t xml:space="preserve">  </w:t>
      </w:r>
    </w:p>
    <w:bookmarkEnd w:id="3"/>
    <w:p w14:paraId="0BB359D5" w14:textId="780A21B7" w:rsidR="002F6565" w:rsidRPr="00506F2E" w:rsidRDefault="002F6565" w:rsidP="002F6565">
      <w:pPr>
        <w:pStyle w:val="BodyCopy"/>
      </w:pPr>
      <w:r>
        <w:t xml:space="preserve">CHS staff will work with Public Health Officers and Epidemiologists at Health Protection Service (HPS) </w:t>
      </w:r>
      <w:r w:rsidRPr="1C6BBED4">
        <w:t xml:space="preserve">of the ACT Health </w:t>
      </w:r>
      <w:r w:rsidR="004348C3">
        <w:t xml:space="preserve">and Community services </w:t>
      </w:r>
      <w:r w:rsidRPr="1C6BBED4">
        <w:t>Directorate who have a role in the control of TB in the ACT.</w:t>
      </w:r>
    </w:p>
    <w:p w14:paraId="1FC7B3CA"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4B48FD63" w14:textId="62F3469D" w:rsidR="0078367D" w:rsidRDefault="0078367D" w:rsidP="00197F2E">
      <w:pPr>
        <w:pStyle w:val="Heading4"/>
      </w:pPr>
      <w:bookmarkStart w:id="4" w:name="_Toc193105502"/>
      <w:r>
        <w:t xml:space="preserve">Section 1 </w:t>
      </w:r>
      <w:r w:rsidR="00671E42">
        <w:t>–</w:t>
      </w:r>
      <w:r>
        <w:t xml:space="preserve"> </w:t>
      </w:r>
      <w:r w:rsidR="00671E42">
        <w:t>Roles and responsibilities</w:t>
      </w:r>
      <w:bookmarkEnd w:id="4"/>
      <w:r w:rsidR="00671E42">
        <w:t xml:space="preserve"> </w:t>
      </w:r>
    </w:p>
    <w:p w14:paraId="6E8AD308" w14:textId="77777777" w:rsidR="00D65ECC" w:rsidRDefault="00D65ECC" w:rsidP="00D65ECC">
      <w:pPr>
        <w:pStyle w:val="BodyCopy"/>
      </w:pPr>
      <w:r>
        <w:t xml:space="preserve">Under the </w:t>
      </w:r>
      <w:r w:rsidRPr="1C6BBED4">
        <w:rPr>
          <w:i/>
        </w:rPr>
        <w:t>Public Health Act 1997</w:t>
      </w:r>
      <w:r>
        <w:t xml:space="preserve">, the ACT Chief Health Officer (CHO) has ultimate responsibility for minimising/preventing the transmission of all communicable diseases, including TB, in the </w:t>
      </w:r>
      <w:r>
        <w:lastRenderedPageBreak/>
        <w:t xml:space="preserve">ACT. Responsibility for this has been delegated to Public Health Officers in the ACT TB Service at CHS. </w:t>
      </w:r>
    </w:p>
    <w:p w14:paraId="4D6A0F56" w14:textId="26A097EF" w:rsidR="00671E42" w:rsidRPr="000F4C5F" w:rsidRDefault="00671E42" w:rsidP="00D24BDB">
      <w:pPr>
        <w:pStyle w:val="BodyCopy"/>
      </w:pPr>
      <w:r>
        <w:t>All cases of suspected and confirmed pulmonary TB</w:t>
      </w:r>
      <w:r w:rsidR="004348C3">
        <w:t xml:space="preserve"> disease</w:t>
      </w:r>
      <w:r>
        <w:t xml:space="preserve"> are managed by the ACT TB Service in the Department of Respiratory and Sleep Medicine (DRSM) at the Canberra Hospital. Physicians in the Department of Infectious Diseases at the Canberra Hospital provide clinical management and follow-up of people with extra-pulmonary TB</w:t>
      </w:r>
      <w:r w:rsidR="004348C3">
        <w:t xml:space="preserve"> disease</w:t>
      </w:r>
      <w:r>
        <w:t>, in cooperation with the ACT TB Service. Paediatric patients with TB</w:t>
      </w:r>
      <w:r w:rsidR="004348C3">
        <w:t xml:space="preserve"> disease or infection</w:t>
      </w:r>
      <w:r>
        <w:t xml:space="preserve"> are managed by a respiratory paediatrician in consultation with </w:t>
      </w:r>
      <w:r w:rsidR="004F35E9">
        <w:t xml:space="preserve">the </w:t>
      </w:r>
      <w:r>
        <w:t xml:space="preserve">ACT TB Service. </w:t>
      </w:r>
    </w:p>
    <w:p w14:paraId="78DB23F1" w14:textId="2ADBFD2E" w:rsidR="00671E42" w:rsidRPr="00262BF6" w:rsidRDefault="00671E42" w:rsidP="00D24BDB">
      <w:pPr>
        <w:pStyle w:val="Heading5"/>
      </w:pPr>
      <w:r w:rsidRPr="5350A298">
        <w:t>1.1 The ACT TB Service</w:t>
      </w:r>
    </w:p>
    <w:p w14:paraId="09FEBC41" w14:textId="7115282E" w:rsidR="00671E42" w:rsidRDefault="00D24BDB" w:rsidP="00D24BDB">
      <w:pPr>
        <w:pStyle w:val="BodyCopy"/>
      </w:pPr>
      <w:r>
        <w:t>The ACT TB service will:</w:t>
      </w:r>
    </w:p>
    <w:p w14:paraId="0C88CC14" w14:textId="55288CD1" w:rsidR="00671E42" w:rsidRDefault="00671E42" w:rsidP="0E27A64C">
      <w:pPr>
        <w:pStyle w:val="Bullet"/>
        <w:rPr>
          <w:color w:val="auto"/>
        </w:rPr>
      </w:pPr>
      <w:r>
        <w:t>Ensure all new TB disease cases are notified to the</w:t>
      </w:r>
      <w:r w:rsidR="00D24BDB">
        <w:t xml:space="preserve"> </w:t>
      </w:r>
      <w:r w:rsidRPr="3E7331DA">
        <w:rPr>
          <w:color w:val="auto"/>
          <w:lang w:eastAsia="en-US"/>
        </w:rPr>
        <w:t xml:space="preserve">Preparedness, Planning and Surveillance (PPS) Branch, Population Health Division, </w:t>
      </w:r>
      <w:r w:rsidR="00AD3C8B">
        <w:rPr>
          <w:color w:val="auto"/>
          <w:lang w:eastAsia="en-US"/>
        </w:rPr>
        <w:t>ACT Health and Community Services Directorate</w:t>
      </w:r>
      <w:r w:rsidRPr="3E7331DA">
        <w:rPr>
          <w:color w:val="auto"/>
          <w:lang w:eastAsia="en-US"/>
        </w:rPr>
        <w:t xml:space="preserve"> </w:t>
      </w:r>
      <w:r w:rsidR="00865ED0" w:rsidRPr="3E7331DA">
        <w:rPr>
          <w:color w:val="auto"/>
          <w:lang w:eastAsia="en-US"/>
        </w:rPr>
        <w:t xml:space="preserve">via </w:t>
      </w:r>
      <w:proofErr w:type="spellStart"/>
      <w:r w:rsidR="00865ED0" w:rsidRPr="3E7331DA">
        <w:rPr>
          <w:color w:val="auto"/>
          <w:lang w:eastAsia="en-US"/>
        </w:rPr>
        <w:t>RedCAP</w:t>
      </w:r>
      <w:proofErr w:type="spellEnd"/>
      <w:r w:rsidR="00865ED0" w:rsidRPr="3E7331DA">
        <w:rPr>
          <w:color w:val="auto"/>
          <w:lang w:eastAsia="en-US"/>
        </w:rPr>
        <w:t xml:space="preserve"> or </w:t>
      </w:r>
      <w:r>
        <w:t xml:space="preserve">by email within 5 days of diagnosis  in accordance with the legislative obligations of the </w:t>
      </w:r>
      <w:r w:rsidRPr="3E7331DA">
        <w:rPr>
          <w:i/>
          <w:iCs/>
        </w:rPr>
        <w:t xml:space="preserve">ACT </w:t>
      </w:r>
      <w:r w:rsidRPr="3E7331DA">
        <w:rPr>
          <w:rFonts w:cs="Times New Roman"/>
          <w:i/>
          <w:iCs/>
        </w:rPr>
        <w:t>Public Health Act</w:t>
      </w:r>
      <w:r w:rsidRPr="3E7331DA">
        <w:rPr>
          <w:rFonts w:cs="Times New Roman"/>
        </w:rPr>
        <w:t xml:space="preserve"> 1997. </w:t>
      </w:r>
      <w:r>
        <w:t>ACT laboratories are also mandated to notify PPS</w:t>
      </w:r>
      <w:r w:rsidR="00D24BDB">
        <w:t xml:space="preserve"> </w:t>
      </w:r>
      <w:r>
        <w:t xml:space="preserve">of cases of TB; </w:t>
      </w:r>
      <w:r w:rsidR="00D24BDB">
        <w:t>T</w:t>
      </w:r>
      <w:r>
        <w:t xml:space="preserve">his includes </w:t>
      </w:r>
      <w:r w:rsidRPr="3E7331DA">
        <w:rPr>
          <w:color w:val="auto"/>
        </w:rPr>
        <w:t>notif</w:t>
      </w:r>
      <w:r w:rsidR="00AB6478" w:rsidRPr="3E7331DA">
        <w:rPr>
          <w:color w:val="auto"/>
        </w:rPr>
        <w:t xml:space="preserve">ication </w:t>
      </w:r>
      <w:r w:rsidRPr="3E7331DA">
        <w:rPr>
          <w:color w:val="auto"/>
        </w:rPr>
        <w:t>of cases where, in the absence of laboratory confirmation, a clinical diagnosis of TB is made.</w:t>
      </w:r>
    </w:p>
    <w:p w14:paraId="50619537" w14:textId="48F019A3" w:rsidR="000D7213" w:rsidRPr="006B007B" w:rsidRDefault="000D7213" w:rsidP="0E27A64C">
      <w:pPr>
        <w:pStyle w:val="Bullet"/>
        <w:rPr>
          <w:color w:val="auto"/>
        </w:rPr>
      </w:pPr>
      <w:r w:rsidRPr="0E27A64C">
        <w:rPr>
          <w:color w:val="auto"/>
        </w:rPr>
        <w:t xml:space="preserve">Enter TB surveillance data into the ACT Notifiable Diseases Management System (NDMS) and </w:t>
      </w:r>
      <w:proofErr w:type="spellStart"/>
      <w:r w:rsidRPr="0E27A64C">
        <w:rPr>
          <w:color w:val="auto"/>
        </w:rPr>
        <w:t>REDCap</w:t>
      </w:r>
      <w:proofErr w:type="spellEnd"/>
    </w:p>
    <w:p w14:paraId="7709D329" w14:textId="3A5480CF" w:rsidR="00671E42" w:rsidRPr="000F4C5F" w:rsidRDefault="00671E42" w:rsidP="00D24BDB">
      <w:pPr>
        <w:pStyle w:val="Bullet"/>
      </w:pPr>
      <w:r w:rsidRPr="0E27A64C">
        <w:rPr>
          <w:color w:val="auto"/>
        </w:rPr>
        <w:t>Follow endorsed national public health guidelines for preventing the transmission of TB</w:t>
      </w:r>
      <w:r w:rsidR="004348C3">
        <w:rPr>
          <w:color w:val="auto"/>
        </w:rPr>
        <w:t xml:space="preserve"> disease</w:t>
      </w:r>
      <w:r w:rsidRPr="0E27A64C">
        <w:rPr>
          <w:color w:val="auto"/>
        </w:rPr>
        <w:t xml:space="preserve"> in healthcare and community settings an</w:t>
      </w:r>
      <w:r>
        <w:t>d to prevent TB</w:t>
      </w:r>
      <w:r w:rsidR="004348C3">
        <w:t xml:space="preserve"> infection</w:t>
      </w:r>
      <w:r>
        <w:t xml:space="preserve"> in at-risk children</w:t>
      </w:r>
      <w:r w:rsidR="00AB6478">
        <w:t>.</w:t>
      </w:r>
    </w:p>
    <w:p w14:paraId="6E0CAD18" w14:textId="77777777" w:rsidR="00D24BDB" w:rsidRPr="00D24BDB" w:rsidRDefault="00671E42" w:rsidP="00D24BDB">
      <w:pPr>
        <w:pStyle w:val="Bullet"/>
      </w:pPr>
      <w:r>
        <w:rPr>
          <w:rFonts w:eastAsiaTheme="minorEastAsia"/>
        </w:rPr>
        <w:t>Provide effective TB control that is aligns with the Communicable Diseases Network Australia (CDNA) Series of National Guidelines (</w:t>
      </w:r>
      <w:proofErr w:type="spellStart"/>
      <w:r>
        <w:rPr>
          <w:rFonts w:eastAsiaTheme="minorEastAsia"/>
        </w:rPr>
        <w:t>SoNGs</w:t>
      </w:r>
      <w:proofErr w:type="spellEnd"/>
      <w:r>
        <w:rPr>
          <w:rFonts w:eastAsiaTheme="minorEastAsia"/>
        </w:rPr>
        <w:t>) and the current National Tuberculosis Advisory Committee (NTAC) Strategic Plan for TB Control.</w:t>
      </w:r>
    </w:p>
    <w:p w14:paraId="4EF6B911" w14:textId="5CEA6B78" w:rsidR="00671E42" w:rsidRPr="00B55C87" w:rsidRDefault="00671E42" w:rsidP="00D24BDB">
      <w:pPr>
        <w:pStyle w:val="Bullet"/>
      </w:pPr>
      <w:r w:rsidRPr="1C6BBED4">
        <w:rPr>
          <w:rFonts w:eastAsiaTheme="minorEastAsia"/>
        </w:rPr>
        <w:t xml:space="preserve">Inform the </w:t>
      </w:r>
      <w:r>
        <w:t xml:space="preserve">PPS </w:t>
      </w:r>
      <w:r w:rsidRPr="1C6BBED4">
        <w:rPr>
          <w:rFonts w:eastAsiaTheme="minorEastAsia"/>
        </w:rPr>
        <w:t>within one business day of any people with TB</w:t>
      </w:r>
      <w:r w:rsidR="004348C3">
        <w:rPr>
          <w:rFonts w:eastAsiaTheme="minorEastAsia"/>
        </w:rPr>
        <w:t xml:space="preserve"> disease</w:t>
      </w:r>
      <w:r w:rsidRPr="1C6BBED4">
        <w:rPr>
          <w:rFonts w:eastAsiaTheme="minorEastAsia"/>
        </w:rPr>
        <w:t xml:space="preserve"> that pose an increased public health risk, where there is potential for involvement or implication of another jurisdiction, country or other governmental department or non-governmental organisation, and where there is potential for heightened community interest</w:t>
      </w:r>
      <w:r w:rsidR="00D24BDB">
        <w:rPr>
          <w:rFonts w:eastAsiaTheme="minorEastAsia"/>
        </w:rPr>
        <w:t>.</w:t>
      </w:r>
    </w:p>
    <w:p w14:paraId="6A268DAD" w14:textId="5E8D0068" w:rsidR="00671E42" w:rsidRPr="000F4C5F" w:rsidRDefault="00671E42" w:rsidP="00D24BDB">
      <w:pPr>
        <w:pStyle w:val="Bullet"/>
      </w:pPr>
      <w:r>
        <w:t xml:space="preserve">Provide, in a timely manner, the necessary enhanced surveillance data to support </w:t>
      </w:r>
      <w:r w:rsidRPr="1C6BBED4">
        <w:t>CHS meeting the mandatory reporting requirements of the National Notifiable Diseases Surveillance System (NNDSS)</w:t>
      </w:r>
      <w:r w:rsidR="00D24BDB">
        <w:t>.</w:t>
      </w:r>
    </w:p>
    <w:p w14:paraId="64161125" w14:textId="025A5BEE" w:rsidR="00671E42" w:rsidRDefault="00671E42" w:rsidP="00D24BDB">
      <w:pPr>
        <w:pStyle w:val="Bullet"/>
      </w:pPr>
      <w:r w:rsidRPr="1C6BBED4">
        <w:t>Ensure contact tracing and screening meets standards and time stipulations outlined in this Procedure (see Section 6)</w:t>
      </w:r>
      <w:r w:rsidR="00D24BDB">
        <w:t>.</w:t>
      </w:r>
    </w:p>
    <w:p w14:paraId="3D9C967A" w14:textId="77777777" w:rsidR="00671E42" w:rsidRDefault="00671E42" w:rsidP="00D24BDB">
      <w:pPr>
        <w:pStyle w:val="Bullet"/>
      </w:pPr>
      <w:r>
        <w:t>Ensure that all TB diagnostic services and treatment result in no out-of-pocket expenses to the patient.</w:t>
      </w:r>
    </w:p>
    <w:p w14:paraId="3B459E96" w14:textId="0FAF1F72" w:rsidR="00671E42" w:rsidRPr="003F10A6" w:rsidRDefault="00671E42" w:rsidP="00D24BDB">
      <w:pPr>
        <w:pStyle w:val="Bullet"/>
      </w:pPr>
      <w:r>
        <w:lastRenderedPageBreak/>
        <w:t xml:space="preserve">Ensure diagnosis and treatment of TB infection (TBI) in those at risk of progression to TB </w:t>
      </w:r>
      <w:r w:rsidR="00E051AD">
        <w:t xml:space="preserve">disease </w:t>
      </w:r>
      <w:r>
        <w:t>in accordance with national guidelines.</w:t>
      </w:r>
    </w:p>
    <w:p w14:paraId="78E1B947" w14:textId="2245D986" w:rsidR="00671E42" w:rsidRPr="00F23CF7" w:rsidRDefault="00671E42" w:rsidP="00D24BDB">
      <w:pPr>
        <w:pStyle w:val="Bullet"/>
        <w:rPr>
          <w:rFonts w:eastAsiaTheme="minorHAnsi"/>
          <w:color w:val="000000"/>
        </w:rPr>
      </w:pPr>
      <w:r w:rsidRPr="1C6BBED4">
        <w:rPr>
          <w:rFonts w:eastAsiaTheme="minorEastAsia"/>
        </w:rPr>
        <w:t>Perform triaging and provide TB diagnostic and management services to all clients who are referred as part of a health undertaking process</w:t>
      </w:r>
    </w:p>
    <w:p w14:paraId="068DE25D" w14:textId="47B777EE" w:rsidR="00671E42" w:rsidRPr="00230B68" w:rsidRDefault="00671E42" w:rsidP="17CE26E7">
      <w:pPr>
        <w:pStyle w:val="Bullet"/>
        <w:rPr>
          <w:rFonts w:eastAsiaTheme="minorEastAsia"/>
          <w:color w:val="000000"/>
        </w:rPr>
      </w:pPr>
      <w:r w:rsidRPr="17CE26E7">
        <w:rPr>
          <w:rFonts w:eastAsiaTheme="minorEastAsia"/>
        </w:rPr>
        <w:t>Provide follow up including monitoring and assessment of TB cases that have completed treatment for at least 2 years</w:t>
      </w:r>
    </w:p>
    <w:p w14:paraId="6342D19F" w14:textId="15E66243" w:rsidR="00E051AD" w:rsidRPr="00F23CF7" w:rsidRDefault="00E051AD" w:rsidP="17CE26E7">
      <w:pPr>
        <w:pStyle w:val="Bullet"/>
        <w:rPr>
          <w:rFonts w:eastAsiaTheme="minorEastAsia"/>
          <w:color w:val="000000"/>
        </w:rPr>
      </w:pPr>
      <w:r>
        <w:rPr>
          <w:rFonts w:eastAsiaTheme="minorEastAsia"/>
        </w:rPr>
        <w:t>Provide</w:t>
      </w:r>
      <w:r w:rsidR="00FF1589">
        <w:rPr>
          <w:rFonts w:eastAsiaTheme="minorEastAsia"/>
        </w:rPr>
        <w:t xml:space="preserve"> ongoing</w:t>
      </w:r>
      <w:r>
        <w:rPr>
          <w:rFonts w:eastAsiaTheme="minorEastAsia"/>
        </w:rPr>
        <w:t xml:space="preserve"> follow up </w:t>
      </w:r>
      <w:r w:rsidR="00FF1589">
        <w:rPr>
          <w:rFonts w:eastAsiaTheme="minorEastAsia"/>
        </w:rPr>
        <w:t>if</w:t>
      </w:r>
      <w:r>
        <w:rPr>
          <w:rFonts w:eastAsiaTheme="minorEastAsia"/>
        </w:rPr>
        <w:t xml:space="preserve"> recommended in patients who have completed treatment for TB disease</w:t>
      </w:r>
      <w:r w:rsidR="006D768C">
        <w:rPr>
          <w:rFonts w:eastAsiaTheme="minorEastAsia"/>
        </w:rPr>
        <w:t xml:space="preserve">. </w:t>
      </w:r>
    </w:p>
    <w:p w14:paraId="0C31D025" w14:textId="4C561302" w:rsidR="00671E42" w:rsidRPr="003F10A6" w:rsidRDefault="00671E42" w:rsidP="00D24BDB">
      <w:pPr>
        <w:pStyle w:val="Bullet"/>
        <w:rPr>
          <w:rFonts w:eastAsiaTheme="minorHAnsi"/>
          <w:color w:val="000000"/>
        </w:rPr>
      </w:pPr>
      <w:r>
        <w:rPr>
          <w:rFonts w:eastAsiaTheme="minorEastAsia"/>
        </w:rPr>
        <w:t xml:space="preserve">Ensure all prospective workers in health care facilities, including contractors, students and volunteers, whose role may pose a risk of acquisition and/or transmission of </w:t>
      </w:r>
      <w:proofErr w:type="spellStart"/>
      <w:r>
        <w:rPr>
          <w:rFonts w:eastAsiaTheme="minorEastAsia"/>
        </w:rPr>
        <w:t>TBare</w:t>
      </w:r>
      <w:proofErr w:type="spellEnd"/>
      <w:r>
        <w:rPr>
          <w:rFonts w:eastAsiaTheme="minorEastAsia"/>
        </w:rPr>
        <w:t xml:space="preserve"> assessed and screened appropriately as per the CHS Occupational Assessment, Screening and Vaccination Procedure </w:t>
      </w:r>
    </w:p>
    <w:p w14:paraId="32E9D9ED" w14:textId="374FB40C" w:rsidR="00671E42" w:rsidRPr="00C14176" w:rsidRDefault="00671E42" w:rsidP="73816726">
      <w:pPr>
        <w:pStyle w:val="Bullet"/>
        <w:rPr>
          <w:rFonts w:eastAsiaTheme="minorEastAsia"/>
          <w:color w:val="000000"/>
        </w:rPr>
      </w:pPr>
      <w:r w:rsidRPr="5CA9FA65">
        <w:rPr>
          <w:rFonts w:eastAsiaTheme="minorEastAsia"/>
        </w:rPr>
        <w:t xml:space="preserve">Ensure that all staff who perform Tuberculin Skin Test (TST) and </w:t>
      </w:r>
      <w:r>
        <w:t>Bacille Calmette-Guérin</w:t>
      </w:r>
      <w:r w:rsidRPr="5CA9FA65">
        <w:rPr>
          <w:rFonts w:eastAsiaTheme="minorEastAsia"/>
        </w:rPr>
        <w:t xml:space="preserve"> (BCG) vaccination services have been appropriately trained and have been assessed as clinically competent by </w:t>
      </w:r>
      <w:r w:rsidR="7B428042">
        <w:t xml:space="preserve">an appropriately trained staff member </w:t>
      </w:r>
      <w:r w:rsidRPr="5CA9FA65">
        <w:rPr>
          <w:rFonts w:eastAsiaTheme="minorEastAsia"/>
        </w:rPr>
        <w:t xml:space="preserve">before administering the test and vaccination. </w:t>
      </w:r>
    </w:p>
    <w:p w14:paraId="304CA842" w14:textId="77777777" w:rsidR="00671E42" w:rsidRPr="00262BF6" w:rsidRDefault="00671E42" w:rsidP="00D24BDB">
      <w:pPr>
        <w:pStyle w:val="Heading5"/>
      </w:pPr>
      <w:r w:rsidRPr="00262BF6">
        <w:t xml:space="preserve">1.2 The </w:t>
      </w:r>
      <w:r>
        <w:t>PPS Branch</w:t>
      </w:r>
      <w:r w:rsidRPr="00262BF6">
        <w:t xml:space="preserve"> will:</w:t>
      </w:r>
    </w:p>
    <w:p w14:paraId="07DFA659" w14:textId="13B2F0E5" w:rsidR="00671E42" w:rsidRPr="000F4C5F" w:rsidRDefault="00671E42" w:rsidP="00D24BDB">
      <w:pPr>
        <w:pStyle w:val="Bullet"/>
      </w:pPr>
      <w:r>
        <w:t>Receive TB</w:t>
      </w:r>
      <w:r w:rsidR="006D768C">
        <w:t xml:space="preserve"> disease</w:t>
      </w:r>
      <w:r>
        <w:t xml:space="preserve"> case notifications and enhanced surveillance data that are required to </w:t>
      </w:r>
      <w:r w:rsidRPr="1C6BBED4">
        <w:rPr>
          <w:rFonts w:asciiTheme="minorHAnsi" w:hAnsiTheme="minorHAnsi"/>
        </w:rPr>
        <w:t>support ACT meeting the mandatory reporting requirements of the NNDSS</w:t>
      </w:r>
    </w:p>
    <w:p w14:paraId="29FD6AEB" w14:textId="60C6E1EB" w:rsidR="00671E42" w:rsidRPr="000F4C5F" w:rsidRDefault="00671E42" w:rsidP="00D24BDB">
      <w:pPr>
        <w:pStyle w:val="Bullet"/>
      </w:pPr>
      <w:r>
        <w:t xml:space="preserve">Enter TB surveillance data into the ACT Notifiable Diseases Management System (NDMS) and </w:t>
      </w:r>
      <w:proofErr w:type="spellStart"/>
      <w:r>
        <w:t>REDCap</w:t>
      </w:r>
      <w:proofErr w:type="spellEnd"/>
    </w:p>
    <w:p w14:paraId="79FB70E4" w14:textId="5539834E" w:rsidR="00671E42" w:rsidRDefault="00671E42" w:rsidP="00D24BDB">
      <w:pPr>
        <w:pStyle w:val="Bullet"/>
      </w:pPr>
      <w:r w:rsidRPr="1C6BBED4">
        <w:rPr>
          <w:rFonts w:asciiTheme="minorHAnsi" w:hAnsiTheme="minorHAnsi"/>
        </w:rPr>
        <w:t xml:space="preserve">Regularly collate, analyse and report on TB </w:t>
      </w:r>
      <w:r w:rsidR="006D768C">
        <w:rPr>
          <w:rFonts w:asciiTheme="minorHAnsi" w:hAnsiTheme="minorHAnsi"/>
        </w:rPr>
        <w:t xml:space="preserve">disease </w:t>
      </w:r>
      <w:r w:rsidRPr="1C6BBED4">
        <w:rPr>
          <w:rFonts w:asciiTheme="minorHAnsi" w:hAnsiTheme="minorHAnsi"/>
        </w:rPr>
        <w:t xml:space="preserve">case data to relevant authorities, </w:t>
      </w:r>
      <w:r>
        <w:t>including the CHO and the Australian Government Department of Health and Aged Care</w:t>
      </w:r>
    </w:p>
    <w:p w14:paraId="3E26CB85" w14:textId="2A273EC7" w:rsidR="00671E42" w:rsidRDefault="00671E42" w:rsidP="00D24BDB">
      <w:pPr>
        <w:pStyle w:val="Bullet"/>
      </w:pPr>
      <w:r>
        <w:t>Regularly review genotyping results to detect potential local transmission events</w:t>
      </w:r>
    </w:p>
    <w:p w14:paraId="715A8E59" w14:textId="02996FC0" w:rsidR="00671E42" w:rsidRDefault="00671E42" w:rsidP="00D24BDB">
      <w:pPr>
        <w:pStyle w:val="Bullet"/>
      </w:pPr>
      <w:r>
        <w:t xml:space="preserve">Collaborate with the </w:t>
      </w:r>
      <w:r w:rsidR="00D65ECC">
        <w:t xml:space="preserve">ACT </w:t>
      </w:r>
      <w:r>
        <w:t xml:space="preserve">TB </w:t>
      </w:r>
      <w:r w:rsidR="00D65ECC">
        <w:t>S</w:t>
      </w:r>
      <w:r>
        <w:t>ervice and assist where appropriate in the public health management of people with TB</w:t>
      </w:r>
      <w:r w:rsidR="006D768C">
        <w:t xml:space="preserve"> disease</w:t>
      </w:r>
      <w:r>
        <w:t xml:space="preserve"> where extended contact tracing is required, there is potential for public health harm or if media attention is likely (see Section 9).</w:t>
      </w:r>
    </w:p>
    <w:p w14:paraId="3C2E8D9E" w14:textId="77777777" w:rsidR="00481A6C" w:rsidRPr="00481A6C" w:rsidRDefault="00481A6C" w:rsidP="005C5F49">
      <w:pPr>
        <w:pStyle w:val="BodyCopy"/>
        <w:spacing w:before="240"/>
      </w:pPr>
      <w:hyperlink w:anchor="_top" w:history="1">
        <w:r w:rsidRPr="00481A6C">
          <w:rPr>
            <w:rStyle w:val="Hyperlink"/>
            <w:iCs w:val="0"/>
          </w:rPr>
          <w:t>Back to Contents</w:t>
        </w:r>
      </w:hyperlink>
    </w:p>
    <w:p w14:paraId="60FBC5EE" w14:textId="5D6E8D41" w:rsidR="0078367D" w:rsidRDefault="0078367D" w:rsidP="00A6051F">
      <w:pPr>
        <w:pStyle w:val="Heading4"/>
      </w:pPr>
      <w:bookmarkStart w:id="5" w:name="_Toc193105503"/>
      <w:r>
        <w:t xml:space="preserve">Section 2 </w:t>
      </w:r>
      <w:r w:rsidR="00C14176">
        <w:t>–</w:t>
      </w:r>
      <w:r>
        <w:t xml:space="preserve"> </w:t>
      </w:r>
      <w:r w:rsidR="00C14176">
        <w:t>Data management</w:t>
      </w:r>
      <w:bookmarkEnd w:id="5"/>
      <w:r w:rsidR="003254E1">
        <w:t xml:space="preserve"> </w:t>
      </w:r>
    </w:p>
    <w:p w14:paraId="1A9ED80E" w14:textId="1BFCE2DE" w:rsidR="00D27141" w:rsidRPr="004371ED" w:rsidRDefault="00D27141" w:rsidP="00230B68">
      <w:pPr>
        <w:pStyle w:val="Bullet"/>
        <w:numPr>
          <w:ilvl w:val="0"/>
          <w:numId w:val="0"/>
        </w:numPr>
        <w:ind w:left="360"/>
        <w:rPr>
          <w:rFonts w:asciiTheme="minorHAnsi" w:eastAsiaTheme="minorEastAsia" w:hAnsiTheme="minorHAnsi" w:cstheme="minorBidi"/>
        </w:rPr>
      </w:pPr>
      <w:r w:rsidRPr="54880188">
        <w:rPr>
          <w:rFonts w:asciiTheme="minorHAnsi" w:hAnsiTheme="minorHAnsi" w:cstheme="minorBidi"/>
        </w:rPr>
        <w:t xml:space="preserve">The PPS Branch </w:t>
      </w:r>
      <w:r w:rsidR="00E67FA7" w:rsidRPr="54880188">
        <w:rPr>
          <w:rFonts w:asciiTheme="minorHAnsi" w:hAnsiTheme="minorHAnsi" w:cstheme="minorBidi"/>
        </w:rPr>
        <w:t>require:</w:t>
      </w:r>
    </w:p>
    <w:p w14:paraId="5E8B4AC4" w14:textId="558CABE4" w:rsidR="54763F09" w:rsidRPr="004371ED" w:rsidRDefault="54763F09" w:rsidP="0E27A64C">
      <w:pPr>
        <w:pStyle w:val="Bullet"/>
        <w:rPr>
          <w:rFonts w:asciiTheme="minorHAnsi" w:eastAsia="Aptos" w:hAnsiTheme="minorHAnsi" w:cstheme="minorHAnsi"/>
          <w:color w:val="auto"/>
        </w:rPr>
      </w:pPr>
      <w:r w:rsidRPr="004371ED">
        <w:rPr>
          <w:rFonts w:asciiTheme="minorHAnsi" w:eastAsia="Aptos" w:hAnsiTheme="minorHAnsi" w:cstheme="minorHAnsi"/>
          <w:color w:val="auto"/>
        </w:rPr>
        <w:t xml:space="preserve">Cases must be notified via the </w:t>
      </w:r>
      <w:proofErr w:type="spellStart"/>
      <w:r w:rsidR="006D768C">
        <w:rPr>
          <w:rFonts w:asciiTheme="minorHAnsi" w:eastAsia="Aptos" w:hAnsiTheme="minorHAnsi" w:cstheme="minorHAnsi"/>
          <w:color w:val="auto"/>
        </w:rPr>
        <w:t>RED</w:t>
      </w:r>
      <w:r w:rsidRPr="004371ED">
        <w:rPr>
          <w:rFonts w:asciiTheme="minorHAnsi" w:eastAsia="Aptos" w:hAnsiTheme="minorHAnsi" w:cstheme="minorHAnsi"/>
          <w:color w:val="auto"/>
        </w:rPr>
        <w:t>cap</w:t>
      </w:r>
      <w:proofErr w:type="spellEnd"/>
      <w:r w:rsidRPr="004371ED">
        <w:rPr>
          <w:rFonts w:asciiTheme="minorHAnsi" w:eastAsia="Aptos" w:hAnsiTheme="minorHAnsi" w:cstheme="minorHAnsi"/>
          <w:color w:val="auto"/>
        </w:rPr>
        <w:t xml:space="preserve"> portal within 5 days of diagnosis (as per the Code of conduct)</w:t>
      </w:r>
    </w:p>
    <w:p w14:paraId="148E143B" w14:textId="10AB3B33" w:rsidR="54763F09" w:rsidRPr="004371ED" w:rsidRDefault="54763F09" w:rsidP="005D2473">
      <w:pPr>
        <w:pStyle w:val="Bullet"/>
        <w:spacing w:before="0" w:after="0"/>
        <w:rPr>
          <w:rFonts w:asciiTheme="minorHAnsi" w:eastAsia="Aptos" w:hAnsiTheme="minorHAnsi" w:cstheme="minorHAnsi"/>
          <w:color w:val="auto"/>
        </w:rPr>
      </w:pPr>
      <w:r w:rsidRPr="004371ED">
        <w:rPr>
          <w:rFonts w:asciiTheme="minorHAnsi" w:eastAsia="Aptos" w:hAnsiTheme="minorHAnsi" w:cstheme="minorHAnsi"/>
          <w:color w:val="auto"/>
        </w:rPr>
        <w:lastRenderedPageBreak/>
        <w:t xml:space="preserve">Available enhanced surveillance case data to be entered </w:t>
      </w:r>
      <w:proofErr w:type="spellStart"/>
      <w:r w:rsidRPr="004371ED">
        <w:rPr>
          <w:rFonts w:asciiTheme="minorHAnsi" w:eastAsia="Aptos" w:hAnsiTheme="minorHAnsi" w:cstheme="minorHAnsi"/>
          <w:color w:val="auto"/>
        </w:rPr>
        <w:t>in</w:t>
      </w:r>
      <w:r w:rsidR="006D768C">
        <w:rPr>
          <w:rFonts w:asciiTheme="minorHAnsi" w:eastAsia="Aptos" w:hAnsiTheme="minorHAnsi" w:cstheme="minorHAnsi"/>
          <w:color w:val="auto"/>
        </w:rPr>
        <w:t>REDcap</w:t>
      </w:r>
      <w:proofErr w:type="spellEnd"/>
      <w:r w:rsidRPr="004371ED">
        <w:rPr>
          <w:rFonts w:asciiTheme="minorHAnsi" w:eastAsia="Aptos" w:hAnsiTheme="minorHAnsi" w:cstheme="minorHAnsi"/>
          <w:color w:val="auto"/>
        </w:rPr>
        <w:t xml:space="preserve"> within 7 days of commencing treatment</w:t>
      </w:r>
    </w:p>
    <w:p w14:paraId="035A937F" w14:textId="140AC030" w:rsidR="54763F09" w:rsidRPr="004371ED" w:rsidRDefault="54763F09" w:rsidP="005D2473">
      <w:pPr>
        <w:pStyle w:val="Bullet"/>
        <w:spacing w:before="0" w:after="0"/>
        <w:rPr>
          <w:rFonts w:asciiTheme="minorHAnsi" w:eastAsia="Aptos" w:hAnsiTheme="minorHAnsi" w:cstheme="minorHAnsi"/>
          <w:color w:val="auto"/>
        </w:rPr>
      </w:pPr>
      <w:r w:rsidRPr="004371ED">
        <w:rPr>
          <w:rFonts w:asciiTheme="minorHAnsi" w:eastAsia="Aptos" w:hAnsiTheme="minorHAnsi" w:cstheme="minorHAnsi"/>
          <w:color w:val="auto"/>
        </w:rPr>
        <w:t xml:space="preserve">Remaining enhanced surveillance case data to be entered in </w:t>
      </w:r>
      <w:proofErr w:type="spellStart"/>
      <w:r w:rsidR="006D768C">
        <w:rPr>
          <w:rFonts w:asciiTheme="minorHAnsi" w:eastAsia="Aptos" w:hAnsiTheme="minorHAnsi" w:cstheme="minorHAnsi"/>
          <w:color w:val="auto"/>
        </w:rPr>
        <w:t>REDcap</w:t>
      </w:r>
      <w:proofErr w:type="spellEnd"/>
      <w:r w:rsidR="006D768C" w:rsidRPr="004371ED">
        <w:rPr>
          <w:rFonts w:asciiTheme="minorHAnsi" w:eastAsia="Aptos" w:hAnsiTheme="minorHAnsi" w:cstheme="minorHAnsi"/>
          <w:color w:val="auto"/>
        </w:rPr>
        <w:t xml:space="preserve"> </w:t>
      </w:r>
      <w:r w:rsidRPr="004371ED">
        <w:rPr>
          <w:rFonts w:asciiTheme="minorHAnsi" w:eastAsia="Aptos" w:hAnsiTheme="minorHAnsi" w:cstheme="minorHAnsi"/>
          <w:color w:val="auto"/>
        </w:rPr>
        <w:t>within 7 days of discharge from the Service.</w:t>
      </w:r>
    </w:p>
    <w:p w14:paraId="05B8F40F" w14:textId="2CDE38C5" w:rsidR="0E27A64C" w:rsidRPr="004371ED" w:rsidRDefault="0E27A64C" w:rsidP="00230B68">
      <w:pPr>
        <w:pStyle w:val="Bullet"/>
        <w:numPr>
          <w:ilvl w:val="0"/>
          <w:numId w:val="0"/>
        </w:numPr>
        <w:ind w:left="360"/>
        <w:rPr>
          <w:color w:val="auto"/>
        </w:rPr>
      </w:pPr>
    </w:p>
    <w:p w14:paraId="7F9126FF" w14:textId="66BB9C21" w:rsidR="00D27141" w:rsidRDefault="00D27141" w:rsidP="003254E1">
      <w:pPr>
        <w:pStyle w:val="Bullet"/>
      </w:pPr>
      <w:r w:rsidRPr="22CF6BA1">
        <w:t xml:space="preserve">Surveillance data for TB submitted to </w:t>
      </w:r>
      <w:r>
        <w:t>PPS</w:t>
      </w:r>
      <w:r w:rsidRPr="22CF6BA1">
        <w:t xml:space="preserve"> are securely stored in the NDMS and </w:t>
      </w:r>
      <w:proofErr w:type="spellStart"/>
      <w:r w:rsidRPr="22CF6BA1">
        <w:t>REDCap</w:t>
      </w:r>
      <w:proofErr w:type="spellEnd"/>
      <w:r w:rsidRPr="22CF6BA1">
        <w:t xml:space="preserve"> for territory-wide reporting and provision of data to the NNDSS under the </w:t>
      </w:r>
      <w:r w:rsidRPr="22CF6BA1">
        <w:rPr>
          <w:i/>
          <w:iCs/>
        </w:rPr>
        <w:t>National Health Securities Act 2007</w:t>
      </w:r>
      <w:r w:rsidRPr="22CF6BA1">
        <w:t>.</w:t>
      </w:r>
    </w:p>
    <w:p w14:paraId="2C6B965E" w14:textId="77777777" w:rsidR="00481A6C" w:rsidRDefault="00481A6C" w:rsidP="0091462B">
      <w:pPr>
        <w:pStyle w:val="BodyCopy"/>
      </w:pPr>
      <w:hyperlink w:anchor="_top" w:history="1">
        <w:r w:rsidRPr="00481A6C">
          <w:rPr>
            <w:rStyle w:val="Hyperlink"/>
            <w:iCs w:val="0"/>
          </w:rPr>
          <w:t>Back to Contents</w:t>
        </w:r>
      </w:hyperlink>
    </w:p>
    <w:p w14:paraId="36746A18" w14:textId="1FA51961" w:rsidR="0078367D" w:rsidRDefault="0078367D" w:rsidP="00A6051F">
      <w:pPr>
        <w:pStyle w:val="Heading4"/>
      </w:pPr>
      <w:bookmarkStart w:id="6" w:name="_Toc193105504"/>
      <w:r>
        <w:t xml:space="preserve">Section </w:t>
      </w:r>
      <w:r w:rsidR="00C14176">
        <w:t>3</w:t>
      </w:r>
      <w:r>
        <w:t xml:space="preserve"> </w:t>
      </w:r>
      <w:r w:rsidR="00C14176">
        <w:t>–</w:t>
      </w:r>
      <w:r>
        <w:t xml:space="preserve"> </w:t>
      </w:r>
      <w:r w:rsidR="00C14176">
        <w:t>Laboratory diagnosis</w:t>
      </w:r>
      <w:bookmarkEnd w:id="6"/>
    </w:p>
    <w:p w14:paraId="0998B3D6" w14:textId="6C4B2025" w:rsidR="00D27141" w:rsidRDefault="00D27141" w:rsidP="00D27141">
      <w:pPr>
        <w:pStyle w:val="Bullet"/>
      </w:pPr>
      <w:r>
        <w:t>Every effort must be made to confirm TB</w:t>
      </w:r>
      <w:r w:rsidR="006D768C">
        <w:t xml:space="preserve"> disease</w:t>
      </w:r>
      <w:r>
        <w:t xml:space="preserve"> microbiologically by the detection of </w:t>
      </w:r>
      <w:r w:rsidRPr="00626998">
        <w:rPr>
          <w:i/>
        </w:rPr>
        <w:t>Mycobacterium tuberculosis</w:t>
      </w:r>
      <w:r>
        <w:t xml:space="preserve"> (MTB) by acid fast microscopy and culture of appropriate clinical specimens.</w:t>
      </w:r>
    </w:p>
    <w:p w14:paraId="4237D56F" w14:textId="77777777" w:rsidR="00D27141" w:rsidRDefault="00D27141" w:rsidP="00D27141">
      <w:pPr>
        <w:pStyle w:val="Bullet"/>
      </w:pPr>
      <w:r>
        <w:t xml:space="preserve">The </w:t>
      </w:r>
      <w:r w:rsidRPr="00626998">
        <w:t xml:space="preserve">Institute of Clinical </w:t>
      </w:r>
      <w:r>
        <w:t>Pathology and Medical Research (ICPMR) in Sydney is the reference laboratory for CHS facilities; all drug susceptibility testing on specimen cultures and any molecular genotyping is undertaken at ICPMR.</w:t>
      </w:r>
    </w:p>
    <w:p w14:paraId="7303E21B" w14:textId="0D4B6ECC" w:rsidR="00D27141" w:rsidRDefault="00D27141" w:rsidP="00D27141">
      <w:pPr>
        <w:pStyle w:val="Bullet"/>
      </w:pPr>
      <w:r>
        <w:t>The use of rapid methods, such as Gene Xpert MTB/RIF is routinely used on smear positive sputum specimens and positive cultures to promote early detection of TB</w:t>
      </w:r>
      <w:r w:rsidR="006D768C">
        <w:t xml:space="preserve"> disease</w:t>
      </w:r>
      <w:r>
        <w:t xml:space="preserve"> and rifampicin antibiotic resistance. </w:t>
      </w:r>
    </w:p>
    <w:p w14:paraId="77061D64" w14:textId="77777777" w:rsidR="00D27141" w:rsidRDefault="00D27141" w:rsidP="00D27141">
      <w:pPr>
        <w:pStyle w:val="Bullet"/>
      </w:pPr>
      <w:r>
        <w:t>Gene Xpert testing can be performed on smear negative sputa, on request by contacting the Clinical Microbiologist/registrar on-call, where rifampicin resistance is suspected, or rapid confirmation of MTB is of clinical or public health benefit.</w:t>
      </w:r>
    </w:p>
    <w:p w14:paraId="2B16DB4F" w14:textId="52EDE59C" w:rsidR="00481A6C" w:rsidRPr="00481A6C" w:rsidRDefault="00D27141" w:rsidP="00D27141">
      <w:pPr>
        <w:pStyle w:val="Bullet"/>
      </w:pPr>
      <w:r>
        <w:t xml:space="preserve">The assay can be also used on selected </w:t>
      </w:r>
      <w:proofErr w:type="spellStart"/>
      <w:r w:rsidR="004E1490">
        <w:t>selected</w:t>
      </w:r>
      <w:proofErr w:type="spellEnd"/>
      <w:r>
        <w:t xml:space="preserve"> samples on special request by contacting the Clinical Microbiologist/registrar on-call at </w:t>
      </w:r>
      <w:r w:rsidRPr="17CE26E7">
        <w:rPr>
          <w:caps/>
        </w:rPr>
        <w:t xml:space="preserve">ACT </w:t>
      </w:r>
      <w:r>
        <w:t>Pathology.</w:t>
      </w:r>
    </w:p>
    <w:p w14:paraId="26E82F35" w14:textId="77777777" w:rsidR="00481A6C" w:rsidRDefault="00481A6C" w:rsidP="0091462B">
      <w:pPr>
        <w:pStyle w:val="BodyCopy"/>
        <w:rPr>
          <w:rStyle w:val="Hyperlink"/>
          <w:iCs w:val="0"/>
        </w:rPr>
      </w:pPr>
      <w:hyperlink w:anchor="_top" w:history="1">
        <w:r w:rsidRPr="00481A6C">
          <w:rPr>
            <w:rStyle w:val="Hyperlink"/>
            <w:iCs w:val="0"/>
          </w:rPr>
          <w:t>Back to Contents</w:t>
        </w:r>
      </w:hyperlink>
    </w:p>
    <w:p w14:paraId="700DD66D" w14:textId="0C337E09" w:rsidR="00C14176" w:rsidRDefault="00C14176" w:rsidP="00C14176">
      <w:pPr>
        <w:pStyle w:val="Heading4"/>
      </w:pPr>
      <w:bookmarkStart w:id="7" w:name="_Toc193105505"/>
      <w:r w:rsidRPr="0078367D">
        <w:t xml:space="preserve">Section </w:t>
      </w:r>
      <w:r>
        <w:t>4</w:t>
      </w:r>
      <w:r w:rsidRPr="0078367D">
        <w:t xml:space="preserve"> </w:t>
      </w:r>
      <w:r>
        <w:t>–</w:t>
      </w:r>
      <w:r w:rsidRPr="0078367D">
        <w:t xml:space="preserve"> </w:t>
      </w:r>
      <w:r>
        <w:t>Case management</w:t>
      </w:r>
      <w:bookmarkEnd w:id="7"/>
    </w:p>
    <w:p w14:paraId="24F6C15E" w14:textId="77777777" w:rsidR="00D27141" w:rsidRDefault="00D27141" w:rsidP="00D27141">
      <w:pPr>
        <w:pStyle w:val="Heading5"/>
      </w:pPr>
      <w:bookmarkStart w:id="8" w:name="_Toc119064877"/>
      <w:r>
        <w:t>4.1</w:t>
      </w:r>
      <w:r w:rsidRPr="00262BF6">
        <w:t xml:space="preserve"> Key principles of treatment</w:t>
      </w:r>
      <w:bookmarkEnd w:id="8"/>
    </w:p>
    <w:p w14:paraId="29650C04" w14:textId="70AB5EAD" w:rsidR="00D27141" w:rsidRDefault="00D27141" w:rsidP="00D27141">
      <w:pPr>
        <w:pStyle w:val="Bullet"/>
      </w:pPr>
      <w:r>
        <w:t xml:space="preserve">All people diagnosed with </w:t>
      </w:r>
      <w:r w:rsidR="004E1490">
        <w:t>TB disease</w:t>
      </w:r>
      <w:r>
        <w:t xml:space="preserve"> are to be commenced on treatment. Treatment of TB</w:t>
      </w:r>
      <w:r w:rsidR="004E1490">
        <w:t xml:space="preserve"> disease</w:t>
      </w:r>
      <w:r>
        <w:t xml:space="preserve"> is focused on both curing the individual person and minimising the transmission of TB</w:t>
      </w:r>
      <w:r w:rsidR="004E1490">
        <w:t xml:space="preserve"> infection</w:t>
      </w:r>
      <w:r>
        <w:t xml:space="preserve"> to other persons in the community.</w:t>
      </w:r>
    </w:p>
    <w:p w14:paraId="248AB944" w14:textId="584E99C4" w:rsidR="00D27141" w:rsidRPr="00C63376" w:rsidRDefault="00D27141" w:rsidP="00D27141">
      <w:pPr>
        <w:pStyle w:val="Bullet"/>
      </w:pPr>
      <w:r>
        <w:lastRenderedPageBreak/>
        <w:t xml:space="preserve">People with </w:t>
      </w:r>
      <w:r w:rsidR="004E1490">
        <w:t>TB disease</w:t>
      </w:r>
      <w:r w:rsidRPr="00C63376">
        <w:t xml:space="preserve"> must never be</w:t>
      </w:r>
      <w:r>
        <w:t xml:space="preserve"> </w:t>
      </w:r>
      <w:r w:rsidRPr="00C63376">
        <w:t>treated with a single drug and a single drug should never be added to a failing TB treatment regimen.</w:t>
      </w:r>
    </w:p>
    <w:p w14:paraId="78F227F0" w14:textId="77777777" w:rsidR="00D27141" w:rsidRPr="002C1A0B" w:rsidRDefault="00D27141" w:rsidP="00D27141">
      <w:pPr>
        <w:pStyle w:val="Bullet"/>
      </w:pPr>
      <w:r w:rsidRPr="002C1A0B">
        <w:t>Clinicians must identify and manage barriers to successful adherent treatment including ensuring directly observed therapy (DOT) or other aids to adherence</w:t>
      </w:r>
      <w:r>
        <w:t>,</w:t>
      </w:r>
      <w:r w:rsidRPr="002C1A0B">
        <w:t xml:space="preserve"> as indicated</w:t>
      </w:r>
      <w:r>
        <w:t xml:space="preserve"> (see 4.3)</w:t>
      </w:r>
      <w:r w:rsidRPr="002C1A0B">
        <w:t>.</w:t>
      </w:r>
    </w:p>
    <w:p w14:paraId="1402C488" w14:textId="262C8E44" w:rsidR="00D27141" w:rsidRPr="004C037B" w:rsidRDefault="00D27141" w:rsidP="00D27141">
      <w:pPr>
        <w:pStyle w:val="Bullet"/>
      </w:pPr>
      <w:r w:rsidRPr="004C037B">
        <w:t xml:space="preserve">The treating clinician must monitor the person’s infectiousness and microbiological results for drug sensitivities. An attempt to collect spontaneous sputum samples to document bacteriological conversion of sputum smear and culture to negative should always be made. </w:t>
      </w:r>
    </w:p>
    <w:p w14:paraId="5AEB64B4" w14:textId="5A9FB817" w:rsidR="00D27141" w:rsidRPr="004C037B" w:rsidRDefault="00D27141" w:rsidP="6A7D38F4">
      <w:pPr>
        <w:pBdr>
          <w:top w:val="single" w:sz="4" w:space="1" w:color="auto"/>
          <w:left w:val="single" w:sz="4" w:space="4" w:color="auto"/>
          <w:bottom w:val="single" w:sz="4" w:space="1" w:color="auto"/>
          <w:right w:val="single" w:sz="4" w:space="4" w:color="auto"/>
        </w:pBdr>
      </w:pPr>
      <w:r w:rsidRPr="004C037B">
        <w:rPr>
          <w:b/>
          <w:bCs/>
        </w:rPr>
        <w:t>Note:</w:t>
      </w:r>
      <w:r w:rsidRPr="004C037B">
        <w:t xml:space="preserve"> Quality </w:t>
      </w:r>
      <w:proofErr w:type="spellStart"/>
      <w:r w:rsidRPr="004C037B">
        <w:t>mycobacteriological</w:t>
      </w:r>
      <w:proofErr w:type="spellEnd"/>
      <w:r w:rsidRPr="004C037B">
        <w:t xml:space="preserve"> assessment is the only reliable index of effective TB treatment. However, only spontaneous sputum (</w:t>
      </w:r>
      <w:r w:rsidRPr="004C037B">
        <w:rPr>
          <w:b/>
          <w:bCs/>
          <w:i/>
          <w:iCs/>
        </w:rPr>
        <w:t>not</w:t>
      </w:r>
      <w:r w:rsidRPr="004C037B">
        <w:t xml:space="preserve"> induced sputum) should be used to prove clearance (i.e. smear/culture negativity).</w:t>
      </w:r>
    </w:p>
    <w:p w14:paraId="13834342" w14:textId="348E2E78" w:rsidR="00D27141" w:rsidRPr="004C037B" w:rsidRDefault="00D27141" w:rsidP="009C159B">
      <w:pPr>
        <w:pStyle w:val="Bullet"/>
      </w:pPr>
      <w:r w:rsidRPr="004C037B">
        <w:t xml:space="preserve">Quality </w:t>
      </w:r>
      <w:proofErr w:type="spellStart"/>
      <w:r w:rsidRPr="004C037B">
        <w:t>mycobacteriological</w:t>
      </w:r>
      <w:proofErr w:type="spellEnd"/>
      <w:r w:rsidRPr="004C037B">
        <w:t xml:space="preserve"> assessment is the only reliable index of effective TB </w:t>
      </w:r>
      <w:r w:rsidR="004E1490" w:rsidRPr="004C037B">
        <w:t xml:space="preserve">disease </w:t>
      </w:r>
      <w:r w:rsidRPr="004C037B">
        <w:t>treatment at the:</w:t>
      </w:r>
    </w:p>
    <w:p w14:paraId="2DB7E3BD" w14:textId="77777777" w:rsidR="00D27141" w:rsidRPr="004C037B" w:rsidRDefault="00D27141" w:rsidP="009C159B">
      <w:pPr>
        <w:pStyle w:val="Bullet"/>
        <w:numPr>
          <w:ilvl w:val="1"/>
          <w:numId w:val="2"/>
        </w:numPr>
      </w:pPr>
      <w:r w:rsidRPr="004C037B">
        <w:t xml:space="preserve">Initial phase - sputum smear status during the initial phase is used to determine the infectiousness of a case. This informs the level of public health action required and determines when the person presents a negligible infectious risk and </w:t>
      </w:r>
      <w:proofErr w:type="gramStart"/>
      <w:r w:rsidRPr="004C037B">
        <w:t>is able to</w:t>
      </w:r>
      <w:proofErr w:type="gramEnd"/>
      <w:r w:rsidRPr="004C037B">
        <w:t xml:space="preserve"> return to work, study, transfer out of country, </w:t>
      </w:r>
      <w:proofErr w:type="gramStart"/>
      <w:r w:rsidRPr="004C037B">
        <w:t>etc.;</w:t>
      </w:r>
      <w:proofErr w:type="gramEnd"/>
    </w:p>
    <w:p w14:paraId="0CCB9E1D" w14:textId="77777777" w:rsidR="00AD3C8B" w:rsidRPr="004C037B" w:rsidRDefault="00D27141" w:rsidP="1779223D">
      <w:pPr>
        <w:pStyle w:val="Bullet"/>
      </w:pPr>
      <w:r w:rsidRPr="004C037B">
        <w:t>End of intensive phase - during treatment, sputum specimens for testing using microscopy and culture should be obtained at</w:t>
      </w:r>
      <w:r w:rsidR="3927B73C" w:rsidRPr="004C037B">
        <w:t xml:space="preserve"> the end of</w:t>
      </w:r>
      <w:r w:rsidRPr="004C037B">
        <w:t xml:space="preserve"> </w:t>
      </w:r>
      <w:r w:rsidR="199DADD8" w:rsidRPr="004C037B">
        <w:t>2</w:t>
      </w:r>
      <w:r w:rsidR="47CAE8C8" w:rsidRPr="004C037B">
        <w:t xml:space="preserve"> weeks of effective treatment and weekly</w:t>
      </w:r>
      <w:r w:rsidRPr="004C037B">
        <w:t xml:space="preserve"> until </w:t>
      </w:r>
      <w:r w:rsidR="00215DF8" w:rsidRPr="004C037B">
        <w:t>3</w:t>
      </w:r>
      <w:r w:rsidRPr="004C037B">
        <w:t xml:space="preserve"> consecutive specimens are negative on </w:t>
      </w:r>
      <w:r w:rsidR="0EB081E8" w:rsidRPr="004C037B">
        <w:t>smear</w:t>
      </w:r>
      <w:r w:rsidRPr="004C037B">
        <w:t xml:space="preserve">. </w:t>
      </w:r>
    </w:p>
    <w:p w14:paraId="140C2F54" w14:textId="0F2BA37D" w:rsidR="000C0CC9" w:rsidRPr="004C037B" w:rsidRDefault="000C0CC9" w:rsidP="1779223D">
      <w:pPr>
        <w:pStyle w:val="Bullet"/>
      </w:pPr>
      <w:r w:rsidRPr="004C037B">
        <w:t xml:space="preserve">Deisolation should be discussed with treating physician </w:t>
      </w:r>
    </w:p>
    <w:p w14:paraId="02A89C4F" w14:textId="5806828F" w:rsidR="00D27141" w:rsidRPr="004C037B" w:rsidRDefault="00D27141" w:rsidP="1779223D">
      <w:pPr>
        <w:pStyle w:val="Bullet"/>
      </w:pPr>
      <w:r w:rsidRPr="004C037B">
        <w:t>Duration of the continuation phase regimen is, in part, determined by microbiological status at the end of the intensive phase of treatment; thus, obtaining sputum specimens at the time of completion of 2 months of treatment is critical if sputum culture conversion to negative has not already been documented; and</w:t>
      </w:r>
    </w:p>
    <w:p w14:paraId="19814397" w14:textId="452816FC" w:rsidR="00D27141" w:rsidRPr="004C037B" w:rsidRDefault="00D27141" w:rsidP="1779223D">
      <w:pPr>
        <w:pStyle w:val="Bullet"/>
      </w:pPr>
      <w:r w:rsidRPr="004C037B">
        <w:t>End of treatment – culture negativity confirms bacteriological cure (this is the best assessment for smear positive pulmonary TB</w:t>
      </w:r>
      <w:r w:rsidR="00E7752B" w:rsidRPr="004C037B">
        <w:t xml:space="preserve"> disease</w:t>
      </w:r>
      <w:r w:rsidRPr="004C037B">
        <w:t>, particularly if there have been concerns about adherence to treatment)</w:t>
      </w:r>
    </w:p>
    <w:p w14:paraId="291670A4" w14:textId="09B0FC20" w:rsidR="00D27141" w:rsidRPr="00262BF6" w:rsidRDefault="00D27141" w:rsidP="00930A83">
      <w:pPr>
        <w:pStyle w:val="Heading5"/>
      </w:pPr>
      <w:bookmarkStart w:id="9" w:name="_Toc119064878"/>
      <w:r>
        <w:t>4.2 Treatment initiation</w:t>
      </w:r>
      <w:bookmarkEnd w:id="9"/>
      <w:r>
        <w:t xml:space="preserve"> </w:t>
      </w:r>
    </w:p>
    <w:p w14:paraId="5CEBFF12" w14:textId="12FA5C2E" w:rsidR="00D27141" w:rsidRDefault="00D27141" w:rsidP="00930A83">
      <w:pPr>
        <w:pStyle w:val="Bullet"/>
      </w:pPr>
      <w:r>
        <w:t xml:space="preserve">Treatment </w:t>
      </w:r>
      <w:r w:rsidRPr="002D1136">
        <w:t>should be directed by a physician experienced in managing TB</w:t>
      </w:r>
      <w:r w:rsidR="00E7752B">
        <w:t xml:space="preserve"> disease</w:t>
      </w:r>
      <w:r w:rsidRPr="002D1136">
        <w:t xml:space="preserve"> and be in line </w:t>
      </w:r>
      <w:r>
        <w:t>with endorsed national therapeutic guidelines, as well as international guidelines, where appropriate</w:t>
      </w:r>
      <w:r w:rsidRPr="002C1A0B">
        <w:t>.</w:t>
      </w:r>
    </w:p>
    <w:p w14:paraId="64A537EB" w14:textId="4DFBFB14" w:rsidR="00D27141" w:rsidRPr="002C1A0B" w:rsidRDefault="00D27141" w:rsidP="00930A83">
      <w:pPr>
        <w:pStyle w:val="Bullet"/>
      </w:pPr>
      <w:r>
        <w:t>The public health priority is high for people with sputum smear positive, pulmonary TB</w:t>
      </w:r>
      <w:r w:rsidR="00E7752B">
        <w:t xml:space="preserve"> disease</w:t>
      </w:r>
      <w:r>
        <w:t>.</w:t>
      </w:r>
    </w:p>
    <w:p w14:paraId="315F1F2B" w14:textId="0CEFA34F" w:rsidR="00D27141" w:rsidRPr="002C1A0B" w:rsidRDefault="00D27141" w:rsidP="00930A83">
      <w:pPr>
        <w:pStyle w:val="Bullet"/>
      </w:pPr>
      <w:r>
        <w:lastRenderedPageBreak/>
        <w:t>People with smear positive pulmonary TB</w:t>
      </w:r>
      <w:r w:rsidR="00E7752B">
        <w:t xml:space="preserve"> disease</w:t>
      </w:r>
      <w:r>
        <w:t xml:space="preserve"> should commence treatment as soon as possible, in most cases this would be within 24 hours but can be up to 72 hours in exceptional situations, The person should remain in isolation until assessed as being a </w:t>
      </w:r>
      <w:r w:rsidRPr="17CE26E7">
        <w:rPr>
          <w:rFonts w:asciiTheme="minorHAnsi" w:hAnsiTheme="minorHAnsi"/>
        </w:rPr>
        <w:t>minimal risk of transmitting infection (see 5.2)</w:t>
      </w:r>
      <w:r>
        <w:t>.</w:t>
      </w:r>
    </w:p>
    <w:p w14:paraId="293B8492" w14:textId="56384A57" w:rsidR="00D27141" w:rsidRPr="002C1A0B" w:rsidRDefault="00D27141" w:rsidP="00930A83">
      <w:pPr>
        <w:pStyle w:val="Bullet"/>
      </w:pPr>
      <w:r>
        <w:t xml:space="preserve">People with smear negative and culture positive pulmonary TB PCR positive should commence treatment within seven days. </w:t>
      </w:r>
    </w:p>
    <w:p w14:paraId="6B59A79C" w14:textId="77777777" w:rsidR="00D27141" w:rsidRDefault="00D27141" w:rsidP="00930A83">
      <w:pPr>
        <w:pStyle w:val="Bullet"/>
      </w:pPr>
      <w:r w:rsidRPr="002C1A0B">
        <w:t xml:space="preserve">Where deviation from these timelines is made, the reasons should be clearly documented </w:t>
      </w:r>
      <w:r>
        <w:t xml:space="preserve">in the person’s clinical record. </w:t>
      </w:r>
    </w:p>
    <w:p w14:paraId="697FEBF4" w14:textId="77777777" w:rsidR="00D27141" w:rsidRPr="003355C7" w:rsidRDefault="00D27141" w:rsidP="00930A83">
      <w:pPr>
        <w:pStyle w:val="Bullet"/>
      </w:pPr>
      <w:r w:rsidRPr="002C1A0B">
        <w:t xml:space="preserve">The design of a </w:t>
      </w:r>
      <w:r>
        <w:t xml:space="preserve">TB </w:t>
      </w:r>
      <w:r w:rsidRPr="002C1A0B">
        <w:t xml:space="preserve">treatment regimen should </w:t>
      </w:r>
      <w:r>
        <w:t>be driven by</w:t>
      </w:r>
      <w:r w:rsidRPr="002C1A0B">
        <w:t xml:space="preserve"> the results of </w:t>
      </w:r>
      <w:r w:rsidRPr="003355C7">
        <w:t>nucleic acid</w:t>
      </w:r>
      <w:r>
        <w:t xml:space="preserve"> </w:t>
      </w:r>
      <w:r w:rsidRPr="003355C7">
        <w:t>amplification testing (NAAT) by the GeneXpert MTB/RIF test and/or phenotypic TB drug susceptibility testing.</w:t>
      </w:r>
    </w:p>
    <w:p w14:paraId="6B8BD936" w14:textId="7D3099C0" w:rsidR="00D27141" w:rsidRPr="00C05202" w:rsidRDefault="00D27141" w:rsidP="00DD7323">
      <w:pPr>
        <w:pStyle w:val="BodyCopy"/>
        <w:rPr>
          <w:b/>
        </w:rPr>
      </w:pPr>
      <w:r>
        <w:t>Multi-</w:t>
      </w:r>
      <w:proofErr w:type="gramStart"/>
      <w:r>
        <w:t>drug resistant</w:t>
      </w:r>
      <w:proofErr w:type="gramEnd"/>
      <w:r>
        <w:t xml:space="preserve"> TB </w:t>
      </w:r>
      <w:r w:rsidR="00E7752B">
        <w:t xml:space="preserve">disease </w:t>
      </w:r>
      <w:r>
        <w:t xml:space="preserve">(MDR-TB) is defined as combined resistance to isoniazid and rifampicin and may include resistance to other first line drugs. Extensively </w:t>
      </w:r>
      <w:proofErr w:type="gramStart"/>
      <w:r>
        <w:t>drug resistant</w:t>
      </w:r>
      <w:proofErr w:type="gramEnd"/>
      <w:r>
        <w:t xml:space="preserve"> TB</w:t>
      </w:r>
      <w:r w:rsidR="00E7752B">
        <w:t xml:space="preserve"> disease</w:t>
      </w:r>
      <w:r>
        <w:t xml:space="preserve"> (XDR-TB) is defined as a type of MDR-TB </w:t>
      </w:r>
      <w:r w:rsidRPr="00F961E0">
        <w:rPr>
          <w:lang w:val="en"/>
        </w:rPr>
        <w:t xml:space="preserve">which </w:t>
      </w:r>
      <w:r>
        <w:rPr>
          <w:lang w:val="en"/>
        </w:rPr>
        <w:t>is</w:t>
      </w:r>
      <w:r w:rsidRPr="00F961E0">
        <w:rPr>
          <w:lang w:val="en"/>
        </w:rPr>
        <w:t xml:space="preserve"> also resistant to any fluoroquinolone and at least one additional Group A drug</w:t>
      </w:r>
      <w:r>
        <w:rPr>
          <w:lang w:val="en"/>
        </w:rPr>
        <w:t xml:space="preserve">. </w:t>
      </w:r>
      <w:r>
        <w:t xml:space="preserve">Cases of MDR-TB and XDR-TB should be managed by a multi-disciplinary team/ TB expert panel with relevant TB expertise (e.g. respiratory, infectious disease, public health and microbiology specialist staff).  The treatment regimen used </w:t>
      </w:r>
      <w:r w:rsidRPr="00F961E0">
        <w:t xml:space="preserve">should be based </w:t>
      </w:r>
      <w:r>
        <w:t>on the results of drug susceptibility testing (DST) and a detailed history of any previous treatment. All treatment should be directly observed (see 4.3).</w:t>
      </w:r>
    </w:p>
    <w:p w14:paraId="29DD6A7D" w14:textId="6A6EE11B" w:rsidR="00D27141" w:rsidRPr="00930A83" w:rsidRDefault="00D27141" w:rsidP="00930A83">
      <w:pPr>
        <w:pStyle w:val="Bullet"/>
        <w:rPr>
          <w:b/>
        </w:rPr>
      </w:pPr>
      <w:r>
        <w:t>All people with TB</w:t>
      </w:r>
      <w:r w:rsidR="00E7752B">
        <w:t xml:space="preserve"> disease</w:t>
      </w:r>
      <w:r>
        <w:t xml:space="preserve"> must be</w:t>
      </w:r>
      <w:r w:rsidRPr="00C05202">
        <w:t xml:space="preserve"> tested for co-infection with human immunodeficiency virus (HIV) with an appropriate pre-test and post-test discussion</w:t>
      </w:r>
      <w:r>
        <w:t>. This is because TB</w:t>
      </w:r>
      <w:r w:rsidR="00E7752B">
        <w:t xml:space="preserve"> disease</w:t>
      </w:r>
      <w:r>
        <w:t xml:space="preserve"> is more common in people with HIV and treatment of tuberculosis in people with HIV infection should always be in consultation with a sexual health or infectious diseases physician, with expertise in managing people with HIV infection. </w:t>
      </w:r>
    </w:p>
    <w:p w14:paraId="2E4B0DA9" w14:textId="77777777" w:rsidR="00D27141" w:rsidRPr="00262BF6" w:rsidRDefault="00D27141" w:rsidP="00930A83">
      <w:pPr>
        <w:pStyle w:val="Heading5"/>
      </w:pPr>
      <w:bookmarkStart w:id="10" w:name="_Toc119064879"/>
      <w:r>
        <w:t>4</w:t>
      </w:r>
      <w:r w:rsidRPr="00262BF6">
        <w:t>.3 Supervision of treatment</w:t>
      </w:r>
      <w:bookmarkEnd w:id="10"/>
    </w:p>
    <w:p w14:paraId="1057D47B" w14:textId="77777777" w:rsidR="00D27141" w:rsidRDefault="00D27141" w:rsidP="00930A83">
      <w:pPr>
        <w:pStyle w:val="Bullet"/>
        <w:rPr>
          <w:lang w:eastAsia="en-US"/>
        </w:rPr>
      </w:pPr>
      <w:r>
        <w:rPr>
          <w:lang w:eastAsia="en-US"/>
        </w:rPr>
        <w:t xml:space="preserve">Directly observed therapy (DOT) </w:t>
      </w:r>
      <w:r w:rsidRPr="002D1136">
        <w:rPr>
          <w:lang w:eastAsia="en-US"/>
        </w:rPr>
        <w:t xml:space="preserve">is defined as dispensing and watching the </w:t>
      </w:r>
      <w:r>
        <w:rPr>
          <w:lang w:eastAsia="en-US"/>
        </w:rPr>
        <w:t>person</w:t>
      </w:r>
      <w:r w:rsidRPr="002D1136">
        <w:rPr>
          <w:lang w:eastAsia="en-US"/>
        </w:rPr>
        <w:t xml:space="preserve"> sw</w:t>
      </w:r>
      <w:r>
        <w:rPr>
          <w:lang w:eastAsia="en-US"/>
        </w:rPr>
        <w:t>allow each dose of medicine.</w:t>
      </w:r>
      <w:r w:rsidRPr="0009302B">
        <w:rPr>
          <w:lang w:eastAsia="en-US"/>
        </w:rPr>
        <w:t xml:space="preserve"> </w:t>
      </w:r>
    </w:p>
    <w:p w14:paraId="147F1C1F" w14:textId="477FC387" w:rsidR="00D27141" w:rsidRPr="0009302B" w:rsidRDefault="00D27141" w:rsidP="00930A83">
      <w:pPr>
        <w:pStyle w:val="Bullet"/>
        <w:rPr>
          <w:lang w:eastAsia="en-US"/>
        </w:rPr>
      </w:pPr>
      <w:r>
        <w:rPr>
          <w:lang w:eastAsia="en-US"/>
        </w:rPr>
        <w:t xml:space="preserve">DOT is </w:t>
      </w:r>
      <w:r w:rsidRPr="002D1136">
        <w:rPr>
          <w:lang w:eastAsia="en-US"/>
        </w:rPr>
        <w:t xml:space="preserve">an internationally recommended strategy for TB </w:t>
      </w:r>
      <w:r w:rsidR="00E7752B">
        <w:rPr>
          <w:lang w:eastAsia="en-US"/>
        </w:rPr>
        <w:t xml:space="preserve">disease </w:t>
      </w:r>
      <w:proofErr w:type="gramStart"/>
      <w:r w:rsidRPr="002D1136">
        <w:rPr>
          <w:lang w:eastAsia="en-US"/>
        </w:rPr>
        <w:t>control</w:t>
      </w:r>
      <w:proofErr w:type="gramEnd"/>
      <w:r>
        <w:rPr>
          <w:lang w:eastAsia="en-US"/>
        </w:rPr>
        <w:t xml:space="preserve"> and it is the </w:t>
      </w:r>
      <w:r w:rsidRPr="002D1136">
        <w:rPr>
          <w:lang w:eastAsia="en-US"/>
        </w:rPr>
        <w:t>method for administration of TB</w:t>
      </w:r>
      <w:r w:rsidR="00E7752B">
        <w:rPr>
          <w:lang w:eastAsia="en-US"/>
        </w:rPr>
        <w:t xml:space="preserve"> disease</w:t>
      </w:r>
      <w:r w:rsidRPr="002D1136">
        <w:rPr>
          <w:lang w:eastAsia="en-US"/>
        </w:rPr>
        <w:t xml:space="preserve"> treatment in the </w:t>
      </w:r>
      <w:r>
        <w:rPr>
          <w:lang w:eastAsia="en-US"/>
        </w:rPr>
        <w:t>ACT</w:t>
      </w:r>
      <w:r w:rsidRPr="002D1136">
        <w:rPr>
          <w:lang w:eastAsia="en-US"/>
        </w:rPr>
        <w:t>.</w:t>
      </w:r>
    </w:p>
    <w:p w14:paraId="6B6695E5" w14:textId="77777777" w:rsidR="00D27141" w:rsidRDefault="00D27141" w:rsidP="00930A83">
      <w:pPr>
        <w:pStyle w:val="Bullet"/>
        <w:rPr>
          <w:lang w:eastAsia="en-US"/>
        </w:rPr>
      </w:pPr>
      <w:r>
        <w:rPr>
          <w:lang w:eastAsia="en-US"/>
        </w:rPr>
        <w:t>DOT</w:t>
      </w:r>
      <w:r w:rsidRPr="00E86045">
        <w:rPr>
          <w:lang w:eastAsia="en-US"/>
        </w:rPr>
        <w:t xml:space="preserve"> has been significantly associated with improved treatment success (the sum of </w:t>
      </w:r>
      <w:r>
        <w:rPr>
          <w:lang w:eastAsia="en-US"/>
        </w:rPr>
        <w:t>people</w:t>
      </w:r>
      <w:r w:rsidRPr="00E86045">
        <w:rPr>
          <w:lang w:eastAsia="en-US"/>
        </w:rPr>
        <w:t xml:space="preserve"> cured and p</w:t>
      </w:r>
      <w:r>
        <w:rPr>
          <w:lang w:eastAsia="en-US"/>
        </w:rPr>
        <w:t>eople</w:t>
      </w:r>
      <w:r w:rsidRPr="00E86045">
        <w:rPr>
          <w:lang w:eastAsia="en-US"/>
        </w:rPr>
        <w:t xml:space="preserve"> completing treatment) and increased sputum smear conversion during treatment, as compared to self-administered treatment</w:t>
      </w:r>
      <w:r>
        <w:rPr>
          <w:lang w:eastAsia="en-US"/>
        </w:rPr>
        <w:t>.</w:t>
      </w:r>
    </w:p>
    <w:p w14:paraId="59915AB7" w14:textId="77777777" w:rsidR="00D27141" w:rsidRDefault="00D27141" w:rsidP="00930A83">
      <w:pPr>
        <w:pStyle w:val="Bullet"/>
        <w:rPr>
          <w:lang w:eastAsia="en-US"/>
        </w:rPr>
      </w:pPr>
      <w:r>
        <w:rPr>
          <w:lang w:eastAsia="en-US"/>
        </w:rPr>
        <w:t xml:space="preserve">DOT also </w:t>
      </w:r>
      <w:r w:rsidRPr="002D1136">
        <w:rPr>
          <w:lang w:eastAsia="en-US"/>
        </w:rPr>
        <w:t>enables adher</w:t>
      </w:r>
      <w:r>
        <w:rPr>
          <w:lang w:eastAsia="en-US"/>
        </w:rPr>
        <w:t xml:space="preserve">ence to be regularly monitored and for the </w:t>
      </w:r>
      <w:r w:rsidRPr="002D1136">
        <w:rPr>
          <w:lang w:eastAsia="en-US"/>
        </w:rPr>
        <w:t>early recognition of problems and treatment</w:t>
      </w:r>
      <w:r>
        <w:rPr>
          <w:lang w:eastAsia="en-US"/>
        </w:rPr>
        <w:t xml:space="preserve"> </w:t>
      </w:r>
      <w:r w:rsidRPr="002D1136">
        <w:rPr>
          <w:lang w:eastAsia="en-US"/>
        </w:rPr>
        <w:t>defaulters</w:t>
      </w:r>
      <w:r>
        <w:rPr>
          <w:lang w:eastAsia="en-US"/>
        </w:rPr>
        <w:t>.</w:t>
      </w:r>
    </w:p>
    <w:p w14:paraId="3852074E" w14:textId="6058BB1B" w:rsidR="00D27141" w:rsidRDefault="00D27141" w:rsidP="17CE26E7">
      <w:pPr>
        <w:pStyle w:val="Bullet"/>
        <w:rPr>
          <w:rFonts w:asciiTheme="minorHAnsi" w:hAnsiTheme="minorHAnsi" w:cstheme="minorBidi"/>
        </w:rPr>
      </w:pPr>
      <w:r w:rsidRPr="17CE26E7">
        <w:rPr>
          <w:rFonts w:asciiTheme="minorHAnsi" w:hAnsiTheme="minorHAnsi" w:cstheme="minorBidi"/>
        </w:rPr>
        <w:lastRenderedPageBreak/>
        <w:t>Virtually/Video observed methods of directly observing treatment</w:t>
      </w:r>
      <w:r w:rsidR="000C0CC9">
        <w:rPr>
          <w:rFonts w:asciiTheme="minorHAnsi" w:hAnsiTheme="minorHAnsi" w:cstheme="minorBidi"/>
        </w:rPr>
        <w:t xml:space="preserve"> or other methods outlined in TB </w:t>
      </w:r>
      <w:proofErr w:type="spellStart"/>
      <w:r w:rsidR="000C0CC9">
        <w:rPr>
          <w:rFonts w:asciiTheme="minorHAnsi" w:hAnsiTheme="minorHAnsi" w:cstheme="minorBidi"/>
        </w:rPr>
        <w:t>SoNG</w:t>
      </w:r>
      <w:proofErr w:type="spellEnd"/>
      <w:r w:rsidRPr="17CE26E7">
        <w:rPr>
          <w:rFonts w:asciiTheme="minorHAnsi" w:hAnsiTheme="minorHAnsi" w:cstheme="minorBidi"/>
        </w:rPr>
        <w:t xml:space="preserve"> (i.e. virtually observed therapy via smartphone or </w:t>
      </w:r>
      <w:proofErr w:type="gramStart"/>
      <w:r w:rsidRPr="17CE26E7">
        <w:rPr>
          <w:rFonts w:asciiTheme="minorHAnsi" w:hAnsiTheme="minorHAnsi" w:cstheme="minorBidi"/>
        </w:rPr>
        <w:t>internet based</w:t>
      </w:r>
      <w:proofErr w:type="gramEnd"/>
      <w:r w:rsidRPr="17CE26E7">
        <w:rPr>
          <w:rFonts w:asciiTheme="minorHAnsi" w:hAnsiTheme="minorHAnsi" w:cstheme="minorBidi"/>
        </w:rPr>
        <w:t xml:space="preserve"> programs)</w:t>
      </w:r>
      <w:r w:rsidR="6C5E86AE" w:rsidRPr="17CE26E7">
        <w:rPr>
          <w:rFonts w:asciiTheme="minorHAnsi" w:hAnsiTheme="minorHAnsi" w:cstheme="minorBidi"/>
        </w:rPr>
        <w:t xml:space="preserve">, </w:t>
      </w:r>
      <w:r w:rsidRPr="17CE26E7">
        <w:rPr>
          <w:rFonts w:asciiTheme="minorHAnsi" w:hAnsiTheme="minorHAnsi" w:cstheme="minorBidi"/>
        </w:rPr>
        <w:t xml:space="preserve">can be utilised for people on a </w:t>
      </w:r>
      <w:proofErr w:type="gramStart"/>
      <w:r w:rsidRPr="17CE26E7">
        <w:rPr>
          <w:rFonts w:asciiTheme="minorHAnsi" w:hAnsiTheme="minorHAnsi" w:cstheme="minorBidi"/>
        </w:rPr>
        <w:t>case by case</w:t>
      </w:r>
      <w:proofErr w:type="gramEnd"/>
      <w:r w:rsidRPr="17CE26E7">
        <w:rPr>
          <w:rFonts w:asciiTheme="minorHAnsi" w:hAnsiTheme="minorHAnsi" w:cstheme="minorBidi"/>
        </w:rPr>
        <w:t xml:space="preserve"> basis if there are facilities and resources available and the person is assessed as being reliable and motivated.</w:t>
      </w:r>
    </w:p>
    <w:p w14:paraId="18B5C964" w14:textId="673D0E5E" w:rsidR="00D27141" w:rsidRPr="00930A83" w:rsidRDefault="00D27141" w:rsidP="00930A83">
      <w:pPr>
        <w:pStyle w:val="Bullet"/>
        <w:rPr>
          <w:rFonts w:asciiTheme="minorHAnsi" w:eastAsiaTheme="minorEastAsia" w:hAnsiTheme="minorHAnsi" w:cstheme="minorBidi"/>
        </w:rPr>
      </w:pPr>
      <w:r>
        <w:t>DOT appointment attendance is documented and tracked. Any failure in attendance for DOT must be investigated for the reason of non-adherence; and identify if other support services may be of benefit.  In addition, the person is to be provided with additional counselling and education.</w:t>
      </w:r>
    </w:p>
    <w:p w14:paraId="10FBCDC2" w14:textId="77777777" w:rsidR="00D27141" w:rsidRPr="00C0242C" w:rsidRDefault="00D27141" w:rsidP="00930A83">
      <w:pPr>
        <w:pStyle w:val="Heading5"/>
      </w:pPr>
      <w:bookmarkStart w:id="11" w:name="_Toc119064880"/>
      <w:r>
        <w:t>4.4 Duration of treatment</w:t>
      </w:r>
      <w:bookmarkEnd w:id="11"/>
    </w:p>
    <w:p w14:paraId="27114972" w14:textId="470ED77F" w:rsidR="00D27141" w:rsidRPr="00AF2F5B" w:rsidRDefault="00D27141" w:rsidP="00930A83">
      <w:pPr>
        <w:pStyle w:val="Bullet"/>
      </w:pPr>
      <w:r w:rsidRPr="00287E03">
        <w:t>The preferred regimen for treating pulmonary tuberculosis caused by organisms that are not known or suspected to be drug resistant is a regimen consisting of a</w:t>
      </w:r>
      <w:r>
        <w:t xml:space="preserve"> </w:t>
      </w:r>
      <w:proofErr w:type="gramStart"/>
      <w:r>
        <w:t>2</w:t>
      </w:r>
      <w:r w:rsidRPr="00AF2F5B">
        <w:t xml:space="preserve"> month</w:t>
      </w:r>
      <w:proofErr w:type="gramEnd"/>
      <w:r w:rsidRPr="00AF2F5B">
        <w:t> </w:t>
      </w:r>
      <w:r w:rsidRPr="00AF2F5B">
        <w:rPr>
          <w:bCs/>
        </w:rPr>
        <w:t>intensive treatment phase</w:t>
      </w:r>
      <w:r w:rsidR="000C0CC9">
        <w:rPr>
          <w:bCs/>
        </w:rPr>
        <w:t xml:space="preserve"> (which can be extended if clinically indicated)</w:t>
      </w:r>
      <w:r>
        <w:rPr>
          <w:bCs/>
        </w:rPr>
        <w:t>,</w:t>
      </w:r>
      <w:r w:rsidRPr="00AF2F5B">
        <w:t xml:space="preserve"> followed by a </w:t>
      </w:r>
      <w:proofErr w:type="gramStart"/>
      <w:r>
        <w:t>4</w:t>
      </w:r>
      <w:r w:rsidRPr="00AF2F5B">
        <w:t xml:space="preserve"> month</w:t>
      </w:r>
      <w:proofErr w:type="gramEnd"/>
      <w:r w:rsidRPr="00AF2F5B">
        <w:t xml:space="preserve"> continuation </w:t>
      </w:r>
      <w:r w:rsidRPr="00AF2F5B">
        <w:rPr>
          <w:bCs/>
        </w:rPr>
        <w:t>phase</w:t>
      </w:r>
      <w:r>
        <w:rPr>
          <w:bCs/>
        </w:rPr>
        <w:t xml:space="preserve"> with multi-drug therapy</w:t>
      </w:r>
    </w:p>
    <w:p w14:paraId="5D3B5635" w14:textId="77777777" w:rsidR="00D27141" w:rsidRPr="00287E03" w:rsidRDefault="00D27141" w:rsidP="00930A83">
      <w:pPr>
        <w:pStyle w:val="Bullet"/>
      </w:pPr>
      <w:r>
        <w:t>For people who have cavitation on the initial chest radiograph and who have positive cultures at completion of 2 months of therapy, expert opinion is to extend the continuation phase for an additional 3 months (i.e. a continuation phase of 7 months in duration, corresponding to a total of 9 months of therapy).</w:t>
      </w:r>
    </w:p>
    <w:p w14:paraId="48670725" w14:textId="77777777" w:rsidR="00D27141" w:rsidRPr="00AF2F5B" w:rsidRDefault="00D27141" w:rsidP="00930A83">
      <w:pPr>
        <w:pStyle w:val="Bullet"/>
      </w:pPr>
      <w:r>
        <w:t xml:space="preserve">Substantial clinical experience internationally suggests that people being managed by DOT administered 5 days/week have a rate of successful therapy equivalent to those being given drugs 7 days/week. </w:t>
      </w:r>
    </w:p>
    <w:p w14:paraId="3389F2C1" w14:textId="77777777" w:rsidR="00D27141" w:rsidRPr="00C37A25" w:rsidRDefault="00D27141" w:rsidP="00930A83">
      <w:pPr>
        <w:pStyle w:val="Bullet"/>
      </w:pPr>
      <w:r>
        <w:t>“Daily observed therapy” in the ACT is interpreted to mean DOT given 5 days during the working week, with the person self-administering their medication on</w:t>
      </w:r>
      <w:r w:rsidRPr="002D5F04">
        <w:t xml:space="preserve"> </w:t>
      </w:r>
      <w:r>
        <w:t xml:space="preserve">the </w:t>
      </w:r>
      <w:r w:rsidRPr="002D5F04">
        <w:t>weekends</w:t>
      </w:r>
      <w:r>
        <w:t xml:space="preserve"> and public holidays (TB nurses to document self-report of administration in treatment record at the start of each week).</w:t>
      </w:r>
    </w:p>
    <w:p w14:paraId="4E32A78F" w14:textId="77777777" w:rsidR="00D27141" w:rsidRPr="00CE1B29" w:rsidRDefault="00D27141" w:rsidP="00930A83">
      <w:pPr>
        <w:pStyle w:val="Bullet"/>
      </w:pPr>
      <w:r w:rsidRPr="00CE1B29">
        <w:t xml:space="preserve">The determination of </w:t>
      </w:r>
      <w:proofErr w:type="gramStart"/>
      <w:r w:rsidRPr="00CE1B29">
        <w:t>whether or not</w:t>
      </w:r>
      <w:proofErr w:type="gramEnd"/>
      <w:r w:rsidRPr="00CE1B29">
        <w:t xml:space="preserve"> treatment has been completed</w:t>
      </w:r>
      <w:r>
        <w:t xml:space="preserve"> </w:t>
      </w:r>
      <w:r w:rsidRPr="00CE1B29">
        <w:t xml:space="preserve">is based on the </w:t>
      </w:r>
      <w:r w:rsidRPr="00CE1B29">
        <w:rPr>
          <w:i/>
        </w:rPr>
        <w:t>total number of doses taken</w:t>
      </w:r>
      <w:r w:rsidRPr="00CE1B29">
        <w:t>—not solely</w:t>
      </w:r>
      <w:r>
        <w:t xml:space="preserve"> </w:t>
      </w:r>
      <w:r w:rsidRPr="00CE1B29">
        <w:t>on the duration of therapy</w:t>
      </w:r>
      <w:r>
        <w:t>.</w:t>
      </w:r>
    </w:p>
    <w:p w14:paraId="085303CD" w14:textId="77777777" w:rsidR="00D27141" w:rsidRDefault="00D27141" w:rsidP="00930A83">
      <w:pPr>
        <w:pStyle w:val="Bullet"/>
      </w:pPr>
      <w:r>
        <w:t xml:space="preserve">For a standard </w:t>
      </w:r>
      <w:r w:rsidRPr="00C37A25">
        <w:t>6-month daily regimen</w:t>
      </w:r>
      <w:r>
        <w:t xml:space="preserve"> course with DOT given 5 days/week, the planned total number of doses is 130.</w:t>
      </w:r>
    </w:p>
    <w:p w14:paraId="73C583B2" w14:textId="2C6105D1" w:rsidR="00D27141" w:rsidRPr="005D196B" w:rsidRDefault="00D27141" w:rsidP="00930A83">
      <w:pPr>
        <w:pStyle w:val="Bullet"/>
      </w:pPr>
      <w:r w:rsidRPr="005D196B">
        <w:t>Optimal short-course treatment for TB</w:t>
      </w:r>
      <w:r w:rsidR="003B79A4">
        <w:t xml:space="preserve"> disease</w:t>
      </w:r>
      <w:r w:rsidRPr="005D196B">
        <w:t xml:space="preserve"> requires taking 100% of the intended doses within 6 months. In practice, acceptable cure rates are obtained as long as ≥80% of the intended doses are taken within 9 months (i.e. administer all of the specified number of doses for the</w:t>
      </w:r>
      <w:r>
        <w:t xml:space="preserve"> </w:t>
      </w:r>
      <w:r w:rsidRPr="005D196B">
        <w:t>intensive phase within 3 months and those for the 4-month continuation phase within 6 months</w:t>
      </w:r>
      <w:r>
        <w:t xml:space="preserve">), as long as there has not been a protracted interruption to treatment during this period. </w:t>
      </w:r>
    </w:p>
    <w:p w14:paraId="7B5A34A7" w14:textId="77777777" w:rsidR="00D27141" w:rsidRDefault="00D27141" w:rsidP="00930A83">
      <w:pPr>
        <w:pStyle w:val="Bullet"/>
      </w:pPr>
      <w:r w:rsidRPr="002E0BC6">
        <w:lastRenderedPageBreak/>
        <w:t xml:space="preserve">When treatment interruptions occur, the </w:t>
      </w:r>
      <w:r>
        <w:t>clinician</w:t>
      </w:r>
      <w:r w:rsidRPr="002E0BC6">
        <w:t xml:space="preserve"> responsible for </w:t>
      </w:r>
      <w:r>
        <w:t>treating the person</w:t>
      </w:r>
      <w:r w:rsidRPr="002E0BC6">
        <w:t xml:space="preserve"> must decide whether to restart a complete course</w:t>
      </w:r>
      <w:r>
        <w:t xml:space="preserve"> </w:t>
      </w:r>
      <w:r w:rsidRPr="002E0BC6">
        <w:t xml:space="preserve">of treatment or simply to continue as intended originally. </w:t>
      </w:r>
    </w:p>
    <w:p w14:paraId="4EA2E793" w14:textId="77777777" w:rsidR="00D27141" w:rsidRPr="00907C33" w:rsidRDefault="00D27141" w:rsidP="00930A83">
      <w:pPr>
        <w:pStyle w:val="Bullet"/>
      </w:pPr>
      <w:r w:rsidRPr="00907C33">
        <w:t>In general, the earlier the break in therapy and the longer its duration,</w:t>
      </w:r>
      <w:r>
        <w:t xml:space="preserve"> t</w:t>
      </w:r>
      <w:r w:rsidRPr="00907C33">
        <w:t xml:space="preserve">he more serious the effect and the greater the need to restart treatment from the beginning. Continuous treatment is more important in the intensive phase of therapy when the </w:t>
      </w:r>
      <w:r>
        <w:t>‘</w:t>
      </w:r>
      <w:r w:rsidRPr="00907C33">
        <w:t xml:space="preserve">bacillary </w:t>
      </w:r>
      <w:r>
        <w:t xml:space="preserve">load’ </w:t>
      </w:r>
      <w:r w:rsidRPr="00907C33">
        <w:t xml:space="preserve">is highest and the chance of developing drug resistance greatest. </w:t>
      </w:r>
    </w:p>
    <w:p w14:paraId="60D1ED43" w14:textId="17A2A454" w:rsidR="00D27141" w:rsidRPr="00481A6C" w:rsidRDefault="00D27141" w:rsidP="00C14176">
      <w:pPr>
        <w:pStyle w:val="Bullet"/>
      </w:pPr>
      <w:r w:rsidRPr="002E0BC6">
        <w:t xml:space="preserve">The duration of the interruption and the bacteriologic status of the </w:t>
      </w:r>
      <w:r>
        <w:t>person</w:t>
      </w:r>
      <w:r w:rsidRPr="002E0BC6">
        <w:t xml:space="preserve"> prior to and after the interruption</w:t>
      </w:r>
      <w:r>
        <w:t xml:space="preserve"> </w:t>
      </w:r>
      <w:r w:rsidRPr="002E0BC6">
        <w:t>are also important considerations.</w:t>
      </w:r>
    </w:p>
    <w:p w14:paraId="2AF0755C" w14:textId="77777777" w:rsidR="00C14176" w:rsidRDefault="00C14176" w:rsidP="00C14176">
      <w:pPr>
        <w:pStyle w:val="BodyCopy"/>
      </w:pPr>
      <w:hyperlink w:anchor="_top" w:history="1">
        <w:r w:rsidRPr="00481A6C">
          <w:rPr>
            <w:rStyle w:val="Hyperlink"/>
            <w:iCs w:val="0"/>
          </w:rPr>
          <w:t>Back to Contents</w:t>
        </w:r>
      </w:hyperlink>
    </w:p>
    <w:p w14:paraId="65D31533" w14:textId="5095B17F" w:rsidR="00C14176" w:rsidRDefault="00C14176" w:rsidP="00C14176">
      <w:pPr>
        <w:pStyle w:val="Heading4"/>
      </w:pPr>
      <w:bookmarkStart w:id="12" w:name="_Toc193105506"/>
      <w:r w:rsidRPr="0078367D">
        <w:t xml:space="preserve">Section </w:t>
      </w:r>
      <w:r>
        <w:t>5</w:t>
      </w:r>
      <w:r w:rsidRPr="0078367D">
        <w:t xml:space="preserve"> </w:t>
      </w:r>
      <w:r>
        <w:t>–</w:t>
      </w:r>
      <w:r w:rsidRPr="0078367D">
        <w:t xml:space="preserve"> </w:t>
      </w:r>
      <w:r>
        <w:t>Infection control and transmission prevention</w:t>
      </w:r>
      <w:bookmarkEnd w:id="12"/>
    </w:p>
    <w:p w14:paraId="16AFDC4D" w14:textId="59F2B578" w:rsidR="00D27141" w:rsidRPr="00582592" w:rsidRDefault="00D27141" w:rsidP="00930A83">
      <w:pPr>
        <w:pStyle w:val="Heading5"/>
      </w:pPr>
      <w:bookmarkStart w:id="13" w:name="_Toc119064882"/>
      <w:r>
        <w:t>5</w:t>
      </w:r>
      <w:r w:rsidRPr="00582592">
        <w:t>.1 Assessing infectiousness of TB</w:t>
      </w:r>
      <w:bookmarkEnd w:id="13"/>
      <w:r w:rsidRPr="00582592">
        <w:t xml:space="preserve"> </w:t>
      </w:r>
    </w:p>
    <w:p w14:paraId="73A333C9" w14:textId="1F6DF111" w:rsidR="00D27141" w:rsidRPr="00582592" w:rsidRDefault="00D27141" w:rsidP="00EE4000">
      <w:pPr>
        <w:pStyle w:val="Bullet"/>
      </w:pPr>
      <w:r w:rsidRPr="00582592">
        <w:t xml:space="preserve">A </w:t>
      </w:r>
      <w:r>
        <w:t>person</w:t>
      </w:r>
      <w:r w:rsidRPr="00582592">
        <w:t xml:space="preserve"> is infectious </w:t>
      </w:r>
      <w:proofErr w:type="gramStart"/>
      <w:r w:rsidRPr="00582592">
        <w:t>as long as</w:t>
      </w:r>
      <w:proofErr w:type="gramEnd"/>
      <w:r w:rsidRPr="00582592">
        <w:t xml:space="preserve"> viable bacilli are being discharged from the sputum. In practice, the greatest risk of transmitting infection is in the period prior to diagnosis and effective treatment. The risk of transmitting infection is reduced within days to two weeks after commencing appropriate TB treatment providing there is no drug</w:t>
      </w:r>
      <w:r w:rsidR="007944C6">
        <w:t>-</w:t>
      </w:r>
      <w:r w:rsidRPr="00582592">
        <w:t>resistant TB.</w:t>
      </w:r>
    </w:p>
    <w:p w14:paraId="5706A09A" w14:textId="1AEB6E76" w:rsidR="00D27141" w:rsidRPr="00582592" w:rsidRDefault="00D27141" w:rsidP="00EE4000">
      <w:pPr>
        <w:pStyle w:val="Bullet"/>
      </w:pPr>
      <w:r>
        <w:t>For every person with TB</w:t>
      </w:r>
      <w:r w:rsidR="003B79A4">
        <w:t xml:space="preserve"> disease</w:t>
      </w:r>
      <w:r w:rsidRPr="00582592">
        <w:t>, an assessment should be made regarding the</w:t>
      </w:r>
      <w:r>
        <w:t>ir</w:t>
      </w:r>
      <w:r w:rsidRPr="00582592">
        <w:t xml:space="preserve"> infectiousness based on clinical, radiological and laboratory findings</w:t>
      </w:r>
      <w:r>
        <w:t xml:space="preserve"> (</w:t>
      </w:r>
      <w:r w:rsidR="007944C6">
        <w:t xml:space="preserve">Table </w:t>
      </w:r>
      <w:r>
        <w:t>1)</w:t>
      </w:r>
      <w:r w:rsidRPr="00582592">
        <w:t>. This will assist in managing the case, determining appropriate infection control measures, and determining the extent of contact tracing.</w:t>
      </w:r>
    </w:p>
    <w:p w14:paraId="70CA8381" w14:textId="1BAC3C36" w:rsidR="00D27141" w:rsidRDefault="00D27141" w:rsidP="00EE4000">
      <w:pPr>
        <w:spacing w:after="200"/>
        <w:rPr>
          <w:rFonts w:asciiTheme="minorHAnsi" w:hAnsiTheme="minorHAnsi"/>
        </w:rPr>
      </w:pPr>
      <w:r w:rsidRPr="00582592">
        <w:rPr>
          <w:rFonts w:asciiTheme="minorHAnsi" w:hAnsiTheme="minorHAnsi"/>
        </w:rPr>
        <w:t>The degree of infectiousness can be categorised as follows:</w:t>
      </w:r>
    </w:p>
    <w:p w14:paraId="19DB99D5" w14:textId="77777777" w:rsidR="00471A83" w:rsidRPr="00471A83" w:rsidRDefault="00471A83" w:rsidP="00471A83">
      <w:pPr>
        <w:spacing w:after="200"/>
        <w:rPr>
          <w:rFonts w:asciiTheme="minorHAnsi" w:hAnsiTheme="minorHAnsi"/>
          <w:b/>
          <w:bCs/>
        </w:rPr>
      </w:pPr>
      <w:r w:rsidRPr="00471A83">
        <w:rPr>
          <w:rFonts w:asciiTheme="minorHAnsi" w:hAnsiTheme="minorHAnsi"/>
          <w:b/>
          <w:bCs/>
        </w:rPr>
        <w:t>Table 1. Infectiousness of TB cases based on clinical, radiological and laboratory findings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660"/>
      </w:tblGrid>
      <w:tr w:rsidR="00471A83" w:rsidRPr="00471A83" w14:paraId="61F6F773" w14:textId="77777777" w:rsidTr="00471A83">
        <w:trPr>
          <w:trHeight w:val="300"/>
        </w:trPr>
        <w:tc>
          <w:tcPr>
            <w:tcW w:w="2580" w:type="dxa"/>
            <w:tcBorders>
              <w:top w:val="single" w:sz="6" w:space="0" w:color="auto"/>
              <w:left w:val="single" w:sz="6" w:space="0" w:color="auto"/>
              <w:bottom w:val="single" w:sz="6" w:space="0" w:color="auto"/>
              <w:right w:val="single" w:sz="6" w:space="0" w:color="auto"/>
            </w:tcBorders>
            <w:shd w:val="clear" w:color="auto" w:fill="00928F"/>
            <w:hideMark/>
          </w:tcPr>
          <w:p w14:paraId="18A93BA6" w14:textId="77777777" w:rsidR="00471A83" w:rsidRPr="00471A83" w:rsidRDefault="00471A83" w:rsidP="00471A83">
            <w:pPr>
              <w:spacing w:after="200"/>
              <w:rPr>
                <w:rFonts w:asciiTheme="minorHAnsi" w:hAnsiTheme="minorHAnsi"/>
                <w:b/>
                <w:bCs/>
              </w:rPr>
            </w:pPr>
            <w:r w:rsidRPr="00471A83">
              <w:rPr>
                <w:rFonts w:asciiTheme="minorHAnsi" w:hAnsiTheme="minorHAnsi"/>
                <w:b/>
                <w:bCs/>
              </w:rPr>
              <w:t>Degree of infectiousness of case </w:t>
            </w:r>
          </w:p>
        </w:tc>
        <w:tc>
          <w:tcPr>
            <w:tcW w:w="6660" w:type="dxa"/>
            <w:tcBorders>
              <w:top w:val="single" w:sz="6" w:space="0" w:color="auto"/>
              <w:left w:val="single" w:sz="6" w:space="0" w:color="auto"/>
              <w:bottom w:val="single" w:sz="6" w:space="0" w:color="auto"/>
              <w:right w:val="single" w:sz="6" w:space="0" w:color="auto"/>
            </w:tcBorders>
            <w:shd w:val="clear" w:color="auto" w:fill="00928F"/>
            <w:hideMark/>
          </w:tcPr>
          <w:p w14:paraId="2F621CC8" w14:textId="77777777" w:rsidR="00471A83" w:rsidRPr="00471A83" w:rsidRDefault="00471A83" w:rsidP="00471A83">
            <w:pPr>
              <w:spacing w:after="200"/>
              <w:rPr>
                <w:rFonts w:asciiTheme="minorHAnsi" w:hAnsiTheme="minorHAnsi"/>
                <w:b/>
                <w:bCs/>
              </w:rPr>
            </w:pPr>
            <w:r w:rsidRPr="00471A83">
              <w:rPr>
                <w:rFonts w:asciiTheme="minorHAnsi" w:hAnsiTheme="minorHAnsi"/>
                <w:b/>
                <w:bCs/>
              </w:rPr>
              <w:t>Clinical, radiological and laboratory findings </w:t>
            </w:r>
          </w:p>
        </w:tc>
      </w:tr>
      <w:tr w:rsidR="00471A83" w:rsidRPr="00471A83" w14:paraId="03B018DA" w14:textId="77777777" w:rsidTr="00471A83">
        <w:trPr>
          <w:trHeight w:val="300"/>
        </w:trPr>
        <w:tc>
          <w:tcPr>
            <w:tcW w:w="2580" w:type="dxa"/>
            <w:tcBorders>
              <w:top w:val="single" w:sz="6" w:space="0" w:color="auto"/>
              <w:left w:val="single" w:sz="6" w:space="0" w:color="auto"/>
              <w:bottom w:val="single" w:sz="6" w:space="0" w:color="auto"/>
              <w:right w:val="single" w:sz="6" w:space="0" w:color="auto"/>
            </w:tcBorders>
            <w:hideMark/>
          </w:tcPr>
          <w:p w14:paraId="5A7FEBF7" w14:textId="77777777" w:rsidR="00471A83" w:rsidRPr="00471A83" w:rsidRDefault="00471A83" w:rsidP="00471A83">
            <w:pPr>
              <w:spacing w:after="200"/>
              <w:rPr>
                <w:rFonts w:asciiTheme="minorHAnsi" w:hAnsiTheme="minorHAnsi"/>
              </w:rPr>
            </w:pPr>
            <w:r w:rsidRPr="00471A83">
              <w:rPr>
                <w:rFonts w:asciiTheme="minorHAnsi" w:hAnsiTheme="minorHAnsi"/>
              </w:rPr>
              <w:t>Negligible </w:t>
            </w:r>
          </w:p>
        </w:tc>
        <w:tc>
          <w:tcPr>
            <w:tcW w:w="6660" w:type="dxa"/>
            <w:tcBorders>
              <w:top w:val="single" w:sz="6" w:space="0" w:color="auto"/>
              <w:left w:val="single" w:sz="6" w:space="0" w:color="auto"/>
              <w:bottom w:val="single" w:sz="6" w:space="0" w:color="auto"/>
              <w:right w:val="single" w:sz="6" w:space="0" w:color="auto"/>
            </w:tcBorders>
            <w:hideMark/>
          </w:tcPr>
          <w:p w14:paraId="788C3FDD" w14:textId="77777777" w:rsidR="00471A83" w:rsidRPr="00471A83" w:rsidRDefault="00471A83" w:rsidP="00471A83">
            <w:pPr>
              <w:pStyle w:val="ListParagraph"/>
              <w:numPr>
                <w:ilvl w:val="0"/>
                <w:numId w:val="80"/>
              </w:numPr>
              <w:spacing w:after="200"/>
              <w:rPr>
                <w:rFonts w:asciiTheme="minorHAnsi" w:hAnsiTheme="minorHAnsi"/>
              </w:rPr>
            </w:pPr>
            <w:r w:rsidRPr="00471A83">
              <w:rPr>
                <w:rFonts w:asciiTheme="minorHAnsi" w:hAnsiTheme="minorHAnsi"/>
              </w:rPr>
              <w:t>Extrapulmonary TB </w:t>
            </w:r>
          </w:p>
          <w:p w14:paraId="377AF905" w14:textId="77777777" w:rsidR="00471A83" w:rsidRPr="00471A83" w:rsidRDefault="00471A83" w:rsidP="00471A83">
            <w:pPr>
              <w:pStyle w:val="ListParagraph"/>
              <w:numPr>
                <w:ilvl w:val="0"/>
                <w:numId w:val="80"/>
              </w:numPr>
              <w:spacing w:after="200"/>
              <w:rPr>
                <w:rFonts w:asciiTheme="minorHAnsi" w:hAnsiTheme="minorHAnsi"/>
              </w:rPr>
            </w:pPr>
            <w:r w:rsidRPr="00471A83">
              <w:rPr>
                <w:rFonts w:asciiTheme="minorHAnsi" w:hAnsiTheme="minorHAnsi"/>
              </w:rPr>
              <w:t xml:space="preserve">Sputum </w:t>
            </w:r>
            <w:proofErr w:type="gramStart"/>
            <w:r w:rsidRPr="00471A83">
              <w:rPr>
                <w:rFonts w:asciiTheme="minorHAnsi" w:hAnsiTheme="minorHAnsi"/>
              </w:rPr>
              <w:t>smear</w:t>
            </w:r>
            <w:proofErr w:type="gramEnd"/>
            <w:r w:rsidRPr="00471A83">
              <w:rPr>
                <w:rFonts w:asciiTheme="minorHAnsi" w:hAnsiTheme="minorHAnsi"/>
              </w:rPr>
              <w:t xml:space="preserve"> negative &amp; culture negative pulmonary TB </w:t>
            </w:r>
          </w:p>
        </w:tc>
      </w:tr>
      <w:tr w:rsidR="00471A83" w:rsidRPr="00471A83" w14:paraId="29136076" w14:textId="77777777" w:rsidTr="00471A83">
        <w:trPr>
          <w:trHeight w:val="300"/>
        </w:trPr>
        <w:tc>
          <w:tcPr>
            <w:tcW w:w="2580" w:type="dxa"/>
            <w:tcBorders>
              <w:top w:val="single" w:sz="6" w:space="0" w:color="auto"/>
              <w:left w:val="single" w:sz="6" w:space="0" w:color="auto"/>
              <w:bottom w:val="single" w:sz="6" w:space="0" w:color="auto"/>
              <w:right w:val="single" w:sz="6" w:space="0" w:color="auto"/>
            </w:tcBorders>
            <w:hideMark/>
          </w:tcPr>
          <w:p w14:paraId="15B6031E" w14:textId="77777777" w:rsidR="00471A83" w:rsidRPr="00471A83" w:rsidRDefault="00471A83" w:rsidP="00471A83">
            <w:pPr>
              <w:spacing w:after="200"/>
              <w:rPr>
                <w:rFonts w:asciiTheme="minorHAnsi" w:hAnsiTheme="minorHAnsi"/>
              </w:rPr>
            </w:pPr>
            <w:r w:rsidRPr="00471A83">
              <w:rPr>
                <w:rFonts w:asciiTheme="minorHAnsi" w:hAnsiTheme="minorHAnsi"/>
              </w:rPr>
              <w:t>Lower </w:t>
            </w:r>
          </w:p>
        </w:tc>
        <w:tc>
          <w:tcPr>
            <w:tcW w:w="6660" w:type="dxa"/>
            <w:tcBorders>
              <w:top w:val="single" w:sz="6" w:space="0" w:color="auto"/>
              <w:left w:val="single" w:sz="6" w:space="0" w:color="auto"/>
              <w:bottom w:val="single" w:sz="6" w:space="0" w:color="auto"/>
              <w:right w:val="single" w:sz="6" w:space="0" w:color="auto"/>
            </w:tcBorders>
            <w:hideMark/>
          </w:tcPr>
          <w:p w14:paraId="02A257EA" w14:textId="77777777" w:rsidR="00471A83" w:rsidRPr="00471A83" w:rsidRDefault="00471A83" w:rsidP="00471A83">
            <w:pPr>
              <w:pStyle w:val="ListParagraph"/>
              <w:numPr>
                <w:ilvl w:val="0"/>
                <w:numId w:val="79"/>
              </w:numPr>
              <w:spacing w:after="200"/>
              <w:rPr>
                <w:rFonts w:asciiTheme="minorHAnsi" w:hAnsiTheme="minorHAnsi"/>
              </w:rPr>
            </w:pPr>
            <w:r w:rsidRPr="00471A83">
              <w:rPr>
                <w:rFonts w:asciiTheme="minorHAnsi" w:hAnsiTheme="minorHAnsi"/>
              </w:rPr>
              <w:t>Sputum or bronchial washings smear negative &amp; culture positive (no cavitation on CXR) </w:t>
            </w:r>
          </w:p>
        </w:tc>
      </w:tr>
      <w:tr w:rsidR="00471A83" w:rsidRPr="00471A83" w14:paraId="0AAB0385" w14:textId="77777777" w:rsidTr="00471A83">
        <w:trPr>
          <w:trHeight w:val="300"/>
        </w:trPr>
        <w:tc>
          <w:tcPr>
            <w:tcW w:w="2580" w:type="dxa"/>
            <w:tcBorders>
              <w:top w:val="single" w:sz="6" w:space="0" w:color="auto"/>
              <w:left w:val="single" w:sz="6" w:space="0" w:color="auto"/>
              <w:bottom w:val="single" w:sz="6" w:space="0" w:color="auto"/>
              <w:right w:val="single" w:sz="6" w:space="0" w:color="auto"/>
            </w:tcBorders>
            <w:hideMark/>
          </w:tcPr>
          <w:p w14:paraId="6768480A" w14:textId="77777777" w:rsidR="00471A83" w:rsidRPr="00471A83" w:rsidRDefault="00471A83" w:rsidP="00471A83">
            <w:pPr>
              <w:spacing w:after="200"/>
              <w:rPr>
                <w:rFonts w:asciiTheme="minorHAnsi" w:hAnsiTheme="minorHAnsi"/>
              </w:rPr>
            </w:pPr>
            <w:r w:rsidRPr="00471A83">
              <w:rPr>
                <w:rFonts w:asciiTheme="minorHAnsi" w:hAnsiTheme="minorHAnsi"/>
              </w:rPr>
              <w:lastRenderedPageBreak/>
              <w:t>Higher </w:t>
            </w:r>
          </w:p>
        </w:tc>
        <w:tc>
          <w:tcPr>
            <w:tcW w:w="6660" w:type="dxa"/>
            <w:tcBorders>
              <w:top w:val="single" w:sz="6" w:space="0" w:color="auto"/>
              <w:left w:val="single" w:sz="6" w:space="0" w:color="auto"/>
              <w:bottom w:val="single" w:sz="6" w:space="0" w:color="auto"/>
              <w:right w:val="single" w:sz="6" w:space="0" w:color="auto"/>
            </w:tcBorders>
            <w:hideMark/>
          </w:tcPr>
          <w:p w14:paraId="26A088D1" w14:textId="77777777" w:rsidR="00471A83" w:rsidRPr="00471A83" w:rsidRDefault="00471A83" w:rsidP="00471A83">
            <w:pPr>
              <w:pStyle w:val="ListParagraph"/>
              <w:numPr>
                <w:ilvl w:val="0"/>
                <w:numId w:val="78"/>
              </w:numPr>
              <w:spacing w:after="200"/>
              <w:rPr>
                <w:rFonts w:asciiTheme="minorHAnsi" w:hAnsiTheme="minorHAnsi"/>
              </w:rPr>
            </w:pPr>
            <w:r w:rsidRPr="00471A83">
              <w:rPr>
                <w:rFonts w:asciiTheme="minorHAnsi" w:hAnsiTheme="minorHAnsi"/>
              </w:rPr>
              <w:t xml:space="preserve">Sputum </w:t>
            </w:r>
            <w:proofErr w:type="gramStart"/>
            <w:r w:rsidRPr="00471A83">
              <w:rPr>
                <w:rFonts w:asciiTheme="minorHAnsi" w:hAnsiTheme="minorHAnsi"/>
              </w:rPr>
              <w:t>smear</w:t>
            </w:r>
            <w:proofErr w:type="gramEnd"/>
            <w:r w:rsidRPr="00471A83">
              <w:rPr>
                <w:rFonts w:asciiTheme="minorHAnsi" w:hAnsiTheme="minorHAnsi"/>
              </w:rPr>
              <w:t xml:space="preserve"> positive &amp; [culture positive or PCR positive]  </w:t>
            </w:r>
          </w:p>
          <w:p w14:paraId="77AD83F4" w14:textId="77777777" w:rsidR="00471A83" w:rsidRPr="00471A83" w:rsidRDefault="00471A83" w:rsidP="00471A83">
            <w:pPr>
              <w:pStyle w:val="ListParagraph"/>
              <w:numPr>
                <w:ilvl w:val="0"/>
                <w:numId w:val="78"/>
              </w:numPr>
              <w:spacing w:after="200"/>
              <w:rPr>
                <w:rFonts w:asciiTheme="minorHAnsi" w:hAnsiTheme="minorHAnsi"/>
              </w:rPr>
            </w:pPr>
            <w:r w:rsidRPr="00471A83">
              <w:rPr>
                <w:rFonts w:asciiTheme="minorHAnsi" w:hAnsiTheme="minorHAnsi"/>
              </w:rPr>
              <w:t>Cavitation on CXR regardless of smear status but PCR or culture positive </w:t>
            </w:r>
          </w:p>
          <w:p w14:paraId="56AC1329" w14:textId="77777777" w:rsidR="00471A83" w:rsidRPr="00471A83" w:rsidRDefault="00471A83" w:rsidP="00471A83">
            <w:pPr>
              <w:pStyle w:val="ListParagraph"/>
              <w:numPr>
                <w:ilvl w:val="0"/>
                <w:numId w:val="78"/>
              </w:numPr>
              <w:spacing w:after="200"/>
              <w:rPr>
                <w:rFonts w:asciiTheme="minorHAnsi" w:hAnsiTheme="minorHAnsi"/>
              </w:rPr>
            </w:pPr>
            <w:r w:rsidRPr="00471A83">
              <w:rPr>
                <w:rFonts w:asciiTheme="minorHAnsi" w:hAnsiTheme="minorHAnsi"/>
              </w:rPr>
              <w:t>Bronchial washings smear positive &amp; [culture positive or PCR positive] </w:t>
            </w:r>
          </w:p>
          <w:p w14:paraId="2267FEE9" w14:textId="77777777" w:rsidR="00471A83" w:rsidRPr="00471A83" w:rsidRDefault="00471A83" w:rsidP="00471A83">
            <w:pPr>
              <w:pStyle w:val="ListParagraph"/>
              <w:numPr>
                <w:ilvl w:val="0"/>
                <w:numId w:val="78"/>
              </w:numPr>
              <w:spacing w:after="200"/>
              <w:rPr>
                <w:rFonts w:asciiTheme="minorHAnsi" w:hAnsiTheme="minorHAnsi"/>
              </w:rPr>
            </w:pPr>
            <w:r w:rsidRPr="00471A83">
              <w:rPr>
                <w:rFonts w:asciiTheme="minorHAnsi" w:hAnsiTheme="minorHAnsi"/>
              </w:rPr>
              <w:t>Laryngeal TB </w:t>
            </w:r>
          </w:p>
        </w:tc>
      </w:tr>
    </w:tbl>
    <w:p w14:paraId="662A1371" w14:textId="57C5C90E" w:rsidR="00F3006E" w:rsidRPr="00471A83" w:rsidRDefault="00471A83" w:rsidP="00471A83">
      <w:pPr>
        <w:spacing w:after="200"/>
        <w:rPr>
          <w:rFonts w:asciiTheme="minorHAnsi" w:hAnsiTheme="minorHAnsi"/>
          <w:b/>
        </w:rPr>
      </w:pPr>
      <w:r w:rsidRPr="00471A83">
        <w:rPr>
          <w:rFonts w:asciiTheme="minorHAnsi" w:hAnsiTheme="minorHAnsi"/>
          <w:b/>
        </w:rPr>
        <w:t># Cavitation evident on CT scanning but NOT on CXR is of uncertain significance regarding infectivity. Decision making should be based on the CXR appearance in this setting.</w:t>
      </w:r>
    </w:p>
    <w:p w14:paraId="5A9EE2A0" w14:textId="3355A524" w:rsidR="00F3006E" w:rsidRPr="007944C6" w:rsidRDefault="00D27141" w:rsidP="00F3006E">
      <w:pPr>
        <w:pStyle w:val="Tabletitle-numbered"/>
        <w:numPr>
          <w:ilvl w:val="0"/>
          <w:numId w:val="0"/>
        </w:numPr>
        <w:spacing w:after="200"/>
        <w:rPr>
          <w:rFonts w:asciiTheme="minorHAnsi" w:hAnsiTheme="minorHAnsi"/>
          <w:sz w:val="18"/>
          <w:szCs w:val="18"/>
        </w:rPr>
      </w:pPr>
      <w:r w:rsidRPr="0E27A64C">
        <w:rPr>
          <w:rFonts w:asciiTheme="minorHAnsi" w:hAnsiTheme="minorHAnsi"/>
          <w:sz w:val="18"/>
          <w:szCs w:val="18"/>
        </w:rPr>
        <w:t>Source: Communicable Diseases Network Australia National Guidelines for the Public Health Management of TB</w:t>
      </w:r>
      <w:r w:rsidR="00F3006E">
        <w:br/>
      </w:r>
    </w:p>
    <w:p w14:paraId="5313136F" w14:textId="77777777" w:rsidR="00D27141" w:rsidRPr="00582592" w:rsidRDefault="00D27141" w:rsidP="007944C6">
      <w:pPr>
        <w:pStyle w:val="Heading5"/>
      </w:pPr>
      <w:bookmarkStart w:id="14" w:name="_Toc119064883"/>
      <w:r>
        <w:t>5</w:t>
      </w:r>
      <w:r w:rsidRPr="00582592">
        <w:t xml:space="preserve">.2 </w:t>
      </w:r>
      <w:bookmarkStart w:id="15" w:name="_Hlk223097710"/>
      <w:r w:rsidRPr="00582592">
        <w:t>Isolation and restriction</w:t>
      </w:r>
      <w:bookmarkEnd w:id="14"/>
      <w:r w:rsidRPr="00582592">
        <w:t xml:space="preserve"> </w:t>
      </w:r>
      <w:bookmarkEnd w:id="15"/>
    </w:p>
    <w:p w14:paraId="1DDD6EDB" w14:textId="0E26C7BA" w:rsidR="00D27141" w:rsidRDefault="00D27141" w:rsidP="007944C6">
      <w:pPr>
        <w:pStyle w:val="Bullet"/>
      </w:pPr>
      <w:r>
        <w:t>All people w</w:t>
      </w:r>
      <w:r w:rsidRPr="00230B68">
        <w:rPr>
          <w:color w:val="auto"/>
        </w:rPr>
        <w:t>ith</w:t>
      </w:r>
      <w:r>
        <w:t xml:space="preserve"> smear positive pulmonary TB need to be assessed and treated as soon as possible. Admission to Canberra Hospital for treatment initiation is to be considered, if there is an issue with initiation or compliance of treatment (e.g. </w:t>
      </w:r>
      <w:r w:rsidR="006C6F0F">
        <w:t>h</w:t>
      </w:r>
      <w:r>
        <w:t xml:space="preserve">omelessness) and/or identified as living with high risks groups (e.g. </w:t>
      </w:r>
      <w:r w:rsidR="006C6F0F">
        <w:t>c</w:t>
      </w:r>
      <w:r>
        <w:t>hildren under 5 years old, elderly or immunocompromised people). If person does not fall on the above categories, they can be managed in isolation at home.</w:t>
      </w:r>
    </w:p>
    <w:p w14:paraId="111029EE" w14:textId="55D3BD3C" w:rsidR="00F3006E" w:rsidRDefault="00F3006E" w:rsidP="00E670A1">
      <w:pPr>
        <w:pStyle w:val="Bullet"/>
      </w:pPr>
      <w:r w:rsidRPr="00112F04">
        <w:t xml:space="preserve">The </w:t>
      </w:r>
      <w:r>
        <w:t>person</w:t>
      </w:r>
      <w:r w:rsidRPr="00112F04">
        <w:t xml:space="preserve"> and </w:t>
      </w:r>
      <w:r>
        <w:t xml:space="preserve">their </w:t>
      </w:r>
      <w:r w:rsidRPr="00112F04">
        <w:t>family must also be provided with appropriate educati</w:t>
      </w:r>
      <w:r>
        <w:t>on and counselling about minimis</w:t>
      </w:r>
      <w:r w:rsidRPr="00112F04">
        <w:t>ing the risk of transmission of infection – cough hygiene, avoiding new contacts and restricting movements away from home.</w:t>
      </w:r>
    </w:p>
    <w:p w14:paraId="34B4E951" w14:textId="59BEFA8C" w:rsidR="00DA757C" w:rsidRPr="007F1CA1" w:rsidRDefault="00D27141" w:rsidP="00DA757C">
      <w:pPr>
        <w:pStyle w:val="Bullet"/>
        <w:rPr>
          <w:color w:val="auto"/>
        </w:rPr>
      </w:pPr>
      <w:r>
        <w:t xml:space="preserve">Any person with confirmed or suspected active pulmonary or laryngeal TB requiring admission to hospital, or who are current inpatients in whom this diagnosis is confirmed or suspected, should be managed under airborne </w:t>
      </w:r>
      <w:r w:rsidR="003B79A4" w:rsidRPr="003B79A4">
        <w:t>transmission-based precautions</w:t>
      </w:r>
      <w:r>
        <w:t xml:space="preserve"> in a negative pressure room, in accordance with the </w:t>
      </w:r>
      <w:r w:rsidR="006C6F0F" w:rsidRPr="73816726">
        <w:rPr>
          <w:i/>
          <w:iCs/>
        </w:rPr>
        <w:t xml:space="preserve">Infection </w:t>
      </w:r>
      <w:r w:rsidR="006C6F0F" w:rsidRPr="73816726">
        <w:rPr>
          <w:i/>
          <w:iCs/>
          <w:color w:val="auto"/>
        </w:rPr>
        <w:t xml:space="preserve">Prevention and Control </w:t>
      </w:r>
      <w:r w:rsidRPr="73816726">
        <w:rPr>
          <w:i/>
          <w:iCs/>
          <w:color w:val="auto"/>
        </w:rPr>
        <w:t>Procedure</w:t>
      </w:r>
      <w:r w:rsidR="006C6F0F" w:rsidRPr="73816726">
        <w:rPr>
          <w:i/>
          <w:iCs/>
          <w:color w:val="auto"/>
        </w:rPr>
        <w:t xml:space="preserve"> </w:t>
      </w:r>
      <w:r w:rsidR="006C6F0F" w:rsidRPr="73816726">
        <w:rPr>
          <w:color w:val="auto"/>
        </w:rPr>
        <w:t>(available on the Policy and Guidance Documents Register)</w:t>
      </w:r>
      <w:r w:rsidRPr="73816726">
        <w:rPr>
          <w:i/>
          <w:iCs/>
          <w:color w:val="auto"/>
        </w:rPr>
        <w:t>.</w:t>
      </w:r>
    </w:p>
    <w:p w14:paraId="4BF60839" w14:textId="5BD584D9" w:rsidR="00E670A1" w:rsidRDefault="00DA757C" w:rsidP="00E670A1">
      <w:pPr>
        <w:pStyle w:val="Bullet"/>
      </w:pPr>
      <w:r w:rsidRPr="00230B68">
        <w:t>If negative pressure rooms is not possible the following is recommended:</w:t>
      </w:r>
      <w:r w:rsidRPr="00230B68">
        <w:br/>
      </w:r>
      <w:r w:rsidR="00E670A1">
        <w:t>-</w:t>
      </w:r>
      <w:r w:rsidR="00E670A1">
        <w:tab/>
      </w:r>
      <w:r w:rsidRPr="00230B68">
        <w:t>place the patient in an area that can be contained (i.e. a single room);</w:t>
      </w:r>
      <w:r w:rsidRPr="00230B68">
        <w:br/>
      </w:r>
      <w:r w:rsidR="00E670A1">
        <w:t>-</w:t>
      </w:r>
      <w:r w:rsidR="00E670A1">
        <w:tab/>
      </w:r>
      <w:r w:rsidRPr="00230B68">
        <w:t xml:space="preserve">ask the patient to wear a surgical mask when not in a single room or if air from the single room recirculates to other areas of the building, until advised to remove it by attending staff. </w:t>
      </w:r>
      <w:r w:rsidRPr="00230B68">
        <w:br/>
      </w:r>
      <w:r w:rsidR="006926C9">
        <w:t>-</w:t>
      </w:r>
      <w:r w:rsidR="006926C9">
        <w:tab/>
        <w:t>I</w:t>
      </w:r>
      <w:r w:rsidRPr="00230B68">
        <w:t xml:space="preserve">f not wearing a surgical mask, cough etiquette should be used (covering mouth when coughing using disposable tissues, or hand followed by hand hygiene); </w:t>
      </w:r>
      <w:proofErr w:type="spellStart"/>
      <w:r w:rsidRPr="00230B68">
        <w:t>andthe</w:t>
      </w:r>
      <w:proofErr w:type="spellEnd"/>
      <w:r w:rsidRPr="00230B68">
        <w:t xml:space="preserve"> door to the single room remains closed.</w:t>
      </w:r>
      <w:r w:rsidRPr="00230B68">
        <w:br/>
      </w:r>
      <w:r w:rsidR="006926C9">
        <w:t>-</w:t>
      </w:r>
      <w:r w:rsidR="006926C9">
        <w:tab/>
      </w:r>
      <w:r w:rsidRPr="00230B68">
        <w:t>patient should be moved to negative pressure room as soon as availabl</w:t>
      </w:r>
      <w:r w:rsidR="000C0CC9" w:rsidRPr="00230B68">
        <w:t>e</w:t>
      </w:r>
    </w:p>
    <w:p w14:paraId="4BC852A3" w14:textId="4D5666FF" w:rsidR="00A302DC" w:rsidRPr="00F3006E" w:rsidRDefault="00A302DC" w:rsidP="00E670A1">
      <w:pPr>
        <w:pStyle w:val="Bullet"/>
      </w:pPr>
      <w:r w:rsidRPr="00F3006E">
        <w:lastRenderedPageBreak/>
        <w:t xml:space="preserve">People with extra-pulmonary tuberculosis (i.e. pulmonary TB has been excluded) without draining lesion do not require </w:t>
      </w:r>
      <w:r w:rsidR="008F1702" w:rsidRPr="00F3006E">
        <w:t>airborne precautions</w:t>
      </w:r>
    </w:p>
    <w:p w14:paraId="4B66106E" w14:textId="1E828BEE" w:rsidR="00434779" w:rsidRPr="007F1CA1" w:rsidRDefault="00D27141" w:rsidP="00434779">
      <w:pPr>
        <w:pStyle w:val="Bullet"/>
        <w:rPr>
          <w:color w:val="auto"/>
        </w:rPr>
      </w:pPr>
      <w:r w:rsidRPr="73816726">
        <w:rPr>
          <w:color w:val="auto"/>
        </w:rPr>
        <w:t>People with extra-pulmonary tuberculosis (i.e. pulmonary TB has been excluded) with a draining lesion</w:t>
      </w:r>
      <w:r w:rsidR="00434779" w:rsidRPr="73816726">
        <w:rPr>
          <w:color w:val="auto"/>
        </w:rPr>
        <w:t xml:space="preserve"> </w:t>
      </w:r>
      <w:proofErr w:type="spellStart"/>
      <w:r w:rsidR="00434779" w:rsidRPr="73816726">
        <w:rPr>
          <w:color w:val="auto"/>
        </w:rPr>
        <w:t>ie</w:t>
      </w:r>
      <w:proofErr w:type="spellEnd"/>
      <w:r w:rsidR="00434779" w:rsidRPr="73816726">
        <w:rPr>
          <w:color w:val="auto"/>
        </w:rPr>
        <w:t xml:space="preserve">: open wound, </w:t>
      </w:r>
      <w:r w:rsidRPr="73816726">
        <w:rPr>
          <w:color w:val="auto"/>
        </w:rPr>
        <w:t>should also be managed under airborne and contact precautions for the first 2 weeks on appropriate treatment.</w:t>
      </w:r>
    </w:p>
    <w:p w14:paraId="36C8112B" w14:textId="4E1C41BD" w:rsidR="00434779" w:rsidRPr="007F1CA1" w:rsidRDefault="00434779" w:rsidP="00434779">
      <w:pPr>
        <w:pStyle w:val="Bullet"/>
        <w:rPr>
          <w:color w:val="auto"/>
        </w:rPr>
      </w:pPr>
      <w:r w:rsidRPr="007F1CA1">
        <w:rPr>
          <w:color w:val="auto"/>
        </w:rPr>
        <w:t xml:space="preserve">When changing dressings or emptying surgical drains where there is a diagnosis of TB at the wound or drain site, airborne precautions should be maintained. </w:t>
      </w:r>
    </w:p>
    <w:p w14:paraId="69524AC7" w14:textId="4F1A842D" w:rsidR="008F1702" w:rsidRPr="007F1CA1" w:rsidRDefault="008F1702" w:rsidP="007944C6">
      <w:pPr>
        <w:pStyle w:val="Bullet"/>
        <w:rPr>
          <w:color w:val="auto"/>
        </w:rPr>
      </w:pPr>
      <w:r w:rsidRPr="3E7331DA">
        <w:rPr>
          <w:color w:val="auto"/>
        </w:rPr>
        <w:t>People with TB infection do not require airborne precautions.</w:t>
      </w:r>
    </w:p>
    <w:p w14:paraId="1717DB0E" w14:textId="77777777" w:rsidR="00D27141" w:rsidRPr="007F1CA1" w:rsidRDefault="00D27141" w:rsidP="007944C6">
      <w:pPr>
        <w:pStyle w:val="Bullet"/>
        <w:rPr>
          <w:color w:val="auto"/>
        </w:rPr>
      </w:pPr>
      <w:r w:rsidRPr="73816726">
        <w:rPr>
          <w:color w:val="auto"/>
        </w:rPr>
        <w:t xml:space="preserve">Any deviation from these isolation requirements should be discussed with the Infection Prevention and Control Unit. </w:t>
      </w:r>
    </w:p>
    <w:p w14:paraId="4700604B" w14:textId="77777777" w:rsidR="00D27141" w:rsidRPr="007F1CA1" w:rsidRDefault="00D27141" w:rsidP="73816726">
      <w:pPr>
        <w:pStyle w:val="Bullet"/>
        <w:rPr>
          <w:rFonts w:cstheme="minorBidi"/>
          <w:color w:val="auto"/>
        </w:rPr>
      </w:pPr>
      <w:r w:rsidRPr="73816726">
        <w:rPr>
          <w:rFonts w:cstheme="minorBidi"/>
          <w:color w:val="auto"/>
        </w:rPr>
        <w:t xml:space="preserve">People with potentially infectious TB should ideally be managed in an area of the hospital that is separate from people who are immunocompromised. </w:t>
      </w:r>
    </w:p>
    <w:p w14:paraId="747AEF71" w14:textId="77777777" w:rsidR="00D27141" w:rsidRPr="00D70210" w:rsidRDefault="00D27141" w:rsidP="007944C6">
      <w:pPr>
        <w:pStyle w:val="Bullet"/>
        <w:rPr>
          <w:rFonts w:cstheme="minorBidi"/>
          <w:color w:val="auto"/>
        </w:rPr>
      </w:pPr>
      <w:r w:rsidRPr="5EC3F1F2">
        <w:rPr>
          <w:rFonts w:cstheme="minorBidi"/>
          <w:color w:val="auto"/>
        </w:rPr>
        <w:t xml:space="preserve">Immunocompromised staff should not work on wards where there are </w:t>
      </w:r>
      <w:r>
        <w:rPr>
          <w:rFonts w:cstheme="minorBidi"/>
          <w:color w:val="auto"/>
        </w:rPr>
        <w:t>people with</w:t>
      </w:r>
      <w:r w:rsidRPr="5EC3F1F2">
        <w:rPr>
          <w:rFonts w:cstheme="minorBidi"/>
          <w:color w:val="auto"/>
        </w:rPr>
        <w:t xml:space="preserve"> TB.</w:t>
      </w:r>
    </w:p>
    <w:p w14:paraId="2B40A5DB" w14:textId="474D8D03" w:rsidR="00D27141" w:rsidRPr="00D70210" w:rsidRDefault="00D27141" w:rsidP="007944C6">
      <w:pPr>
        <w:pStyle w:val="Bullet"/>
        <w:rPr>
          <w:rFonts w:cstheme="minorBidi"/>
          <w:color w:val="auto"/>
        </w:rPr>
      </w:pPr>
      <w:r>
        <w:rPr>
          <w:rFonts w:cstheme="minorBidi"/>
          <w:color w:val="auto"/>
        </w:rPr>
        <w:t>For people with pulmonary TB, i</w:t>
      </w:r>
      <w:r w:rsidRPr="22CF6BA1">
        <w:rPr>
          <w:rFonts w:cstheme="minorBidi"/>
          <w:color w:val="auto"/>
        </w:rPr>
        <w:t xml:space="preserve">f drug resistance is suspected, then </w:t>
      </w:r>
      <w:r>
        <w:rPr>
          <w:rFonts w:cstheme="minorBidi"/>
          <w:color w:val="auto"/>
        </w:rPr>
        <w:t>they</w:t>
      </w:r>
      <w:r w:rsidRPr="22CF6BA1">
        <w:rPr>
          <w:rFonts w:cstheme="minorBidi"/>
          <w:color w:val="auto"/>
        </w:rPr>
        <w:t xml:space="preserve"> should remain in isolation with airborne </w:t>
      </w:r>
      <w:r w:rsidR="00BE11DB" w:rsidRPr="003B79A4">
        <w:t>transmission-based precautions</w:t>
      </w:r>
      <w:r w:rsidR="00BE11DB">
        <w:t xml:space="preserve"> </w:t>
      </w:r>
      <w:r w:rsidRPr="22CF6BA1">
        <w:rPr>
          <w:rFonts w:cstheme="minorBidi"/>
          <w:color w:val="auto"/>
        </w:rPr>
        <w:t>in place until susceptibility results are confirmed.</w:t>
      </w:r>
    </w:p>
    <w:p w14:paraId="17F94878" w14:textId="76ACE393" w:rsidR="00F3006E" w:rsidRDefault="00D27141" w:rsidP="00F3006E">
      <w:pPr>
        <w:pStyle w:val="Bullet"/>
      </w:pPr>
      <w:proofErr w:type="gramStart"/>
      <w:r w:rsidRPr="22CF6BA1">
        <w:t>In the event that</w:t>
      </w:r>
      <w:proofErr w:type="gramEnd"/>
      <w:r w:rsidRPr="22CF6BA1">
        <w:t xml:space="preserve"> a</w:t>
      </w:r>
      <w:r>
        <w:t xml:space="preserve"> person with</w:t>
      </w:r>
      <w:r w:rsidRPr="22CF6BA1">
        <w:t xml:space="preserve"> infectious susceptible TB (i.e. not resistant to rifampicin on </w:t>
      </w:r>
      <w:r w:rsidRPr="22CF6BA1">
        <w:rPr>
          <w:rFonts w:eastAsiaTheme="minorEastAsia"/>
        </w:rPr>
        <w:t>GeneXpert NAAT testing)</w:t>
      </w:r>
      <w:r w:rsidRPr="22CF6BA1">
        <w:t xml:space="preserve"> is not admitted or is discharged soon after initiation of therapy (≤14 days) and has not demonstrated sputum smear conversion, they must remain in isolation until assessed as being at minimal risk of transmitting infection. This means restricting their movement to the home limiting it only to the hospital and home, and not attending any educational facilities</w:t>
      </w:r>
      <w:r>
        <w:t>, public places</w:t>
      </w:r>
      <w:r w:rsidRPr="22CF6BA1">
        <w:t xml:space="preserve"> or workplaces. </w:t>
      </w:r>
    </w:p>
    <w:p w14:paraId="2AC4BA6B" w14:textId="184CCC1A" w:rsidR="000C0CC9" w:rsidRDefault="00F3006E" w:rsidP="00230B68">
      <w:pPr>
        <w:pStyle w:val="Bullet"/>
        <w:numPr>
          <w:ilvl w:val="0"/>
          <w:numId w:val="0"/>
        </w:numPr>
      </w:pPr>
      <w:r>
        <w:br/>
      </w:r>
      <w:r w:rsidR="000C0CC9">
        <w:br/>
      </w:r>
      <w:r w:rsidR="00540F5B" w:rsidRPr="00230B68">
        <w:rPr>
          <w:b/>
          <w:bCs/>
          <w:color w:val="2D1949" w:themeColor="accent1" w:themeShade="BF"/>
        </w:rPr>
        <w:t>5.4 De Isolation</w:t>
      </w:r>
    </w:p>
    <w:p w14:paraId="449B87A3" w14:textId="273A61BF" w:rsidR="00540F5B" w:rsidRDefault="00540F5B" w:rsidP="000C0CC9">
      <w:pPr>
        <w:pStyle w:val="Bullet"/>
      </w:pPr>
      <w:r>
        <w:t>De Isolation can occur once the patient</w:t>
      </w:r>
      <w:r w:rsidR="00E670A1">
        <w:t xml:space="preserve"> is</w:t>
      </w:r>
      <w:r>
        <w:t xml:space="preserve"> deemed to be of minimal risk of transmission</w:t>
      </w:r>
    </w:p>
    <w:p w14:paraId="69A63F92" w14:textId="2E24604D" w:rsidR="00E670A1" w:rsidRPr="005A2858" w:rsidRDefault="00E670A1" w:rsidP="00E670A1">
      <w:pPr>
        <w:pStyle w:val="Bullet"/>
      </w:pPr>
      <w:r>
        <w:t xml:space="preserve">The treating team or TB team in consultation with the specialist will document when the restriction on patient movement can be removed. </w:t>
      </w:r>
    </w:p>
    <w:p w14:paraId="0C574A5A" w14:textId="05277DB1" w:rsidR="00D27141" w:rsidRDefault="00D27141" w:rsidP="007944C6">
      <w:pPr>
        <w:pStyle w:val="Bullet"/>
      </w:pPr>
      <w:r w:rsidRPr="1C6BBED4">
        <w:t>Criteria for being at minimal risk of transmitting infection</w:t>
      </w:r>
      <w:r w:rsidR="007D5669">
        <w:t xml:space="preserve"> in both the inpatient and outpatient setting</w:t>
      </w:r>
      <w:r w:rsidRPr="1C6BBED4">
        <w:t xml:space="preserve"> are:</w:t>
      </w:r>
    </w:p>
    <w:p w14:paraId="0BCC1206" w14:textId="494CE4F5" w:rsidR="00D27141" w:rsidRPr="00DB14B9" w:rsidRDefault="00D27141" w:rsidP="0E27A64C">
      <w:pPr>
        <w:pStyle w:val="Bullet"/>
      </w:pPr>
      <w:r>
        <w:t xml:space="preserve">the person has received a minimum of two weeks of effective </w:t>
      </w:r>
      <w:r w:rsidR="34A9A1A1">
        <w:t>therapy; if</w:t>
      </w:r>
      <w:r w:rsidR="7DA301C4">
        <w:t xml:space="preserve"> patient found to have MDRTB or XDRTB </w:t>
      </w:r>
      <w:r w:rsidR="3CA4536C">
        <w:t xml:space="preserve">two weeks of effective therapy </w:t>
      </w:r>
      <w:r w:rsidR="11E79E44">
        <w:t>is</w:t>
      </w:r>
      <w:r w:rsidR="3CA4536C">
        <w:t xml:space="preserve"> when correct medication regime is in place</w:t>
      </w:r>
      <w:r>
        <w:t xml:space="preserve"> and</w:t>
      </w:r>
    </w:p>
    <w:p w14:paraId="2EDC33EB" w14:textId="219A0753" w:rsidR="00D27141" w:rsidRDefault="00D27141" w:rsidP="007944C6">
      <w:pPr>
        <w:pStyle w:val="Bullet"/>
        <w:numPr>
          <w:ilvl w:val="1"/>
          <w:numId w:val="2"/>
        </w:numPr>
      </w:pPr>
      <w:r>
        <w:t xml:space="preserve">the person understands and tolerates the medications, and is improving clinically, including improvement of </w:t>
      </w:r>
      <w:proofErr w:type="gramStart"/>
      <w:r>
        <w:t>cough;</w:t>
      </w:r>
      <w:proofErr w:type="gramEnd"/>
      <w:r>
        <w:t xml:space="preserve"> </w:t>
      </w:r>
      <w:r w:rsidR="00F3006E">
        <w:t>OR</w:t>
      </w:r>
    </w:p>
    <w:p w14:paraId="6FADF327" w14:textId="77777777" w:rsidR="00F3006E" w:rsidRDefault="00D27141" w:rsidP="000C0CC9">
      <w:pPr>
        <w:pStyle w:val="Bullet"/>
        <w:numPr>
          <w:ilvl w:val="1"/>
          <w:numId w:val="2"/>
        </w:numPr>
      </w:pPr>
      <w:r w:rsidRPr="00DB14B9">
        <w:lastRenderedPageBreak/>
        <w:t>3 consecutive sputum smears (of adequate quality) collected over 3 separate days ar</w:t>
      </w:r>
      <w:r>
        <w:t>e smear negative for acid-fast bacilli (AFB).</w:t>
      </w:r>
      <w:r w:rsidR="000C0CC9">
        <w:t xml:space="preserve"> </w:t>
      </w:r>
    </w:p>
    <w:p w14:paraId="5EA4196D" w14:textId="77777777" w:rsidR="00F3006E" w:rsidRDefault="00F3006E" w:rsidP="00F3006E">
      <w:pPr>
        <w:pStyle w:val="Bullet"/>
      </w:pPr>
      <w:r>
        <w:t>A</w:t>
      </w:r>
      <w:r w:rsidRPr="00D01D68">
        <w:t>dequate social support and supervised therapy is essential in the home environment to maintain home isolation</w:t>
      </w:r>
      <w:r>
        <w:t>.</w:t>
      </w:r>
    </w:p>
    <w:p w14:paraId="759B6FF7" w14:textId="77777777" w:rsidR="00F3006E" w:rsidRDefault="00F3006E" w:rsidP="00E670A1">
      <w:pPr>
        <w:pStyle w:val="Bullet"/>
        <w:numPr>
          <w:ilvl w:val="0"/>
          <w:numId w:val="0"/>
        </w:numPr>
        <w:ind w:left="360" w:hanging="360"/>
      </w:pPr>
    </w:p>
    <w:p w14:paraId="0B03654D" w14:textId="76AE5302" w:rsidR="00F3006E" w:rsidRPr="00E670A1" w:rsidRDefault="00F3006E" w:rsidP="00F3006E">
      <w:pPr>
        <w:pStyle w:val="Bullet"/>
        <w:numPr>
          <w:ilvl w:val="0"/>
          <w:numId w:val="0"/>
        </w:numPr>
        <w:ind w:left="360" w:hanging="360"/>
        <w:rPr>
          <w:b/>
          <w:bCs/>
        </w:rPr>
      </w:pPr>
      <w:r w:rsidRPr="00E670A1">
        <w:rPr>
          <w:b/>
          <w:bCs/>
        </w:rPr>
        <w:t xml:space="preserve">5.5 Sputum collection </w:t>
      </w:r>
    </w:p>
    <w:p w14:paraId="6D44490C" w14:textId="77777777" w:rsidR="00F3006E" w:rsidRPr="007944C6" w:rsidRDefault="00F3006E" w:rsidP="00F3006E">
      <w:pPr>
        <w:pStyle w:val="Bullet"/>
        <w:rPr>
          <w:rFonts w:asciiTheme="minorHAnsi" w:hAnsiTheme="minorHAnsi" w:cstheme="minorHAnsi"/>
          <w:color w:val="auto"/>
          <w:szCs w:val="20"/>
          <w:lang w:eastAsia="en-US"/>
        </w:rPr>
      </w:pPr>
      <w:r w:rsidRPr="007944C6">
        <w:rPr>
          <w:rFonts w:asciiTheme="minorHAnsi" w:hAnsiTheme="minorHAnsi" w:cstheme="minorHAnsi"/>
          <w:color w:val="auto"/>
          <w:szCs w:val="20"/>
          <w:lang w:eastAsia="en-US"/>
        </w:rPr>
        <w:t>If initial diagnostic sputum is scant, 1+ or 2+ smear positive for AFB, then repeat sputum samples should be collected a minimum of 2 weeks after commencement of treatment.</w:t>
      </w:r>
    </w:p>
    <w:p w14:paraId="6FB3439F" w14:textId="77777777" w:rsidR="00F3006E" w:rsidRPr="007944C6" w:rsidRDefault="00F3006E" w:rsidP="00F3006E">
      <w:pPr>
        <w:pStyle w:val="Bullet"/>
        <w:rPr>
          <w:rFonts w:asciiTheme="minorHAnsi" w:hAnsiTheme="minorHAnsi" w:cstheme="minorHAnsi"/>
          <w:color w:val="auto"/>
          <w:szCs w:val="20"/>
          <w:lang w:eastAsia="en-US"/>
        </w:rPr>
      </w:pPr>
      <w:r w:rsidRPr="007944C6">
        <w:rPr>
          <w:rFonts w:asciiTheme="minorHAnsi" w:hAnsiTheme="minorHAnsi" w:cstheme="minorHAnsi"/>
          <w:color w:val="auto"/>
          <w:szCs w:val="20"/>
          <w:lang w:eastAsia="en-US"/>
        </w:rPr>
        <w:t>If initial diagnostic sputum is ≥3+ smear positive for AFB, then repeat sputum samples should be collected a minimum of 3 weeks after commencement of treatment. If the initial clearance sputum is still AFB smear positive then repeat weekly until a negative smear is obtained, followed by 2 more smears over separate days.</w:t>
      </w:r>
    </w:p>
    <w:p w14:paraId="4B362B1D" w14:textId="77777777" w:rsidR="00F3006E" w:rsidRDefault="00F3006E" w:rsidP="00F3006E">
      <w:pPr>
        <w:pStyle w:val="Bullet"/>
      </w:pPr>
      <w:r>
        <w:t xml:space="preserve">The treating clinician should contact the CDC </w:t>
      </w:r>
      <w:r w:rsidRPr="00BA351E">
        <w:t>as soon as possible if a</w:t>
      </w:r>
      <w:r>
        <w:t xml:space="preserve"> person with infectious</w:t>
      </w:r>
      <w:r w:rsidRPr="00BA351E">
        <w:t xml:space="preserve"> </w:t>
      </w:r>
      <w:r>
        <w:t xml:space="preserve">TB </w:t>
      </w:r>
      <w:r w:rsidRPr="00BA351E">
        <w:t xml:space="preserve">is assessed as being non-compliant and </w:t>
      </w:r>
      <w:r>
        <w:t>may pose</w:t>
      </w:r>
      <w:r w:rsidRPr="00BA351E">
        <w:t xml:space="preserve"> a risk to </w:t>
      </w:r>
      <w:r>
        <w:t>public health</w:t>
      </w:r>
      <w:r w:rsidRPr="00BA351E">
        <w:t>.</w:t>
      </w:r>
    </w:p>
    <w:p w14:paraId="7820D737" w14:textId="77777777" w:rsidR="00F3006E" w:rsidRDefault="00F3006E" w:rsidP="00F3006E">
      <w:pPr>
        <w:pStyle w:val="Bullet"/>
      </w:pPr>
      <w:r w:rsidRPr="00BA351E">
        <w:t xml:space="preserve">The use of </w:t>
      </w:r>
      <w:r>
        <w:t>additional</w:t>
      </w:r>
      <w:r w:rsidRPr="00BA351E">
        <w:t xml:space="preserve"> strategies to enhance adherence, including incentives and enablers should be </w:t>
      </w:r>
      <w:r>
        <w:t>explored</w:t>
      </w:r>
      <w:r w:rsidRPr="00BA351E">
        <w:t xml:space="preserve"> initially.</w:t>
      </w:r>
    </w:p>
    <w:p w14:paraId="1EED5776" w14:textId="77777777" w:rsidR="00F3006E" w:rsidRPr="001C0D99" w:rsidRDefault="00F3006E" w:rsidP="00F3006E">
      <w:pPr>
        <w:pStyle w:val="Bullet"/>
      </w:pPr>
      <w:r w:rsidRPr="22CF6BA1">
        <w:t xml:space="preserve">A public health direction to restrict a </w:t>
      </w:r>
      <w:r>
        <w:t>person</w:t>
      </w:r>
      <w:r w:rsidRPr="22CF6BA1">
        <w:t xml:space="preserve">’s movement can be made under the </w:t>
      </w:r>
      <w:r w:rsidRPr="22CF6BA1">
        <w:rPr>
          <w:i/>
          <w:iCs/>
        </w:rPr>
        <w:t xml:space="preserve">Public Health Act 1997 </w:t>
      </w:r>
      <w:r>
        <w:t xml:space="preserve">by the ACT Chief Health Officer or delegated Public Health Officer </w:t>
      </w:r>
      <w:r w:rsidRPr="22CF6BA1">
        <w:t xml:space="preserve">if </w:t>
      </w:r>
      <w:r>
        <w:t>they have</w:t>
      </w:r>
      <w:r w:rsidRPr="22CF6BA1">
        <w:t xml:space="preserve"> reasonable grounds for believing that it is necessary to do so to avert an imminent and serious risk to public health. This may occur if a</w:t>
      </w:r>
      <w:r>
        <w:t xml:space="preserve"> person with</w:t>
      </w:r>
      <w:r w:rsidRPr="22CF6BA1">
        <w:t xml:space="preserve"> infectious TB does not comply with prescribed treatment and is not willing to limit their movement within the community. Enactment of a public health direction is a last resort that follows extensive consultation between the </w:t>
      </w:r>
      <w:r>
        <w:t>person</w:t>
      </w:r>
      <w:r w:rsidRPr="22CF6BA1">
        <w:t xml:space="preserve"> and their family, the treating clinician, the TB service, the p</w:t>
      </w:r>
      <w:r>
        <w:t>erson</w:t>
      </w:r>
      <w:r w:rsidRPr="22CF6BA1">
        <w:t xml:space="preserve">’s primary care doctor, and the </w:t>
      </w:r>
      <w:r>
        <w:t>PPS Branch</w:t>
      </w:r>
      <w:r w:rsidRPr="22CF6BA1">
        <w:t xml:space="preserve">. </w:t>
      </w:r>
    </w:p>
    <w:p w14:paraId="25AB22A5" w14:textId="77777777" w:rsidR="00F3006E" w:rsidRDefault="00F3006E" w:rsidP="00C14176">
      <w:pPr>
        <w:pStyle w:val="BodyCopy"/>
        <w:rPr>
          <w:bCs w:val="0"/>
          <w:iCs w:val="0"/>
        </w:rPr>
      </w:pPr>
      <w:r w:rsidRPr="003848BE">
        <w:t xml:space="preserve">There are no restrictions on the movement of </w:t>
      </w:r>
      <w:r>
        <w:t>people</w:t>
      </w:r>
      <w:r w:rsidRPr="003848BE">
        <w:t xml:space="preserve"> with extra-pulmonary disease</w:t>
      </w:r>
      <w:r>
        <w:t xml:space="preserve"> (in the absence of draining lesions prior to receiving 2 weeks of appropriate treatment)</w:t>
      </w:r>
      <w:r w:rsidRPr="003848BE">
        <w:t>, who have had pulmonary TB excluded or those with negative sputum smears on appropriate therapy</w:t>
      </w:r>
      <w:r w:rsidR="000C0CC9">
        <w:br/>
      </w:r>
    </w:p>
    <w:p w14:paraId="72155874" w14:textId="2D9E1C29" w:rsidR="00C14176" w:rsidRDefault="00C14176" w:rsidP="00C14176">
      <w:pPr>
        <w:pStyle w:val="BodyCopy"/>
      </w:pPr>
      <w:hyperlink w:anchor="_top" w:history="1">
        <w:r w:rsidRPr="00481A6C">
          <w:rPr>
            <w:rStyle w:val="Hyperlink"/>
            <w:iCs w:val="0"/>
          </w:rPr>
          <w:t>Back to Contents</w:t>
        </w:r>
      </w:hyperlink>
    </w:p>
    <w:p w14:paraId="37EF5027" w14:textId="2A4B5B26" w:rsidR="00C14176" w:rsidRDefault="00C14176" w:rsidP="00C14176">
      <w:pPr>
        <w:pStyle w:val="Heading4"/>
      </w:pPr>
      <w:bookmarkStart w:id="16" w:name="_Toc193105507"/>
      <w:r w:rsidRPr="0078367D">
        <w:t xml:space="preserve">Section </w:t>
      </w:r>
      <w:r>
        <w:t>6</w:t>
      </w:r>
      <w:r w:rsidRPr="0078367D">
        <w:t xml:space="preserve"> </w:t>
      </w:r>
      <w:r>
        <w:t>–</w:t>
      </w:r>
      <w:r w:rsidRPr="0078367D">
        <w:t xml:space="preserve"> </w:t>
      </w:r>
      <w:r>
        <w:t>Contact management</w:t>
      </w:r>
      <w:bookmarkEnd w:id="16"/>
    </w:p>
    <w:p w14:paraId="0F7A1A00" w14:textId="77777777" w:rsidR="00EE4000" w:rsidRPr="00A86A26" w:rsidRDefault="00EE4000" w:rsidP="007944C6">
      <w:pPr>
        <w:pStyle w:val="Heading5"/>
      </w:pPr>
      <w:bookmarkStart w:id="17" w:name="_Toc119064885"/>
      <w:r>
        <w:t>6.1</w:t>
      </w:r>
      <w:r w:rsidRPr="00A86A26">
        <w:t xml:space="preserve"> Principles of Contact Tracing</w:t>
      </w:r>
      <w:bookmarkEnd w:id="17"/>
    </w:p>
    <w:p w14:paraId="5A44355C" w14:textId="77777777" w:rsidR="00EE4000" w:rsidRPr="004770EC" w:rsidRDefault="00EE4000" w:rsidP="007944C6">
      <w:pPr>
        <w:pStyle w:val="Bullet"/>
      </w:pPr>
      <w:r w:rsidRPr="004770EC">
        <w:t>The aims of TB contact tracing are to:</w:t>
      </w:r>
    </w:p>
    <w:p w14:paraId="05BFEF94" w14:textId="77777777" w:rsidR="00EE4000" w:rsidRPr="004770EC" w:rsidRDefault="00EE4000" w:rsidP="007944C6">
      <w:pPr>
        <w:pStyle w:val="Bullet"/>
        <w:numPr>
          <w:ilvl w:val="1"/>
          <w:numId w:val="2"/>
        </w:numPr>
      </w:pPr>
      <w:r w:rsidRPr="004770EC">
        <w:t xml:space="preserve">identify the source </w:t>
      </w:r>
      <w:r>
        <w:t>person/case</w:t>
      </w:r>
    </w:p>
    <w:p w14:paraId="2F56BC7C" w14:textId="2A4E52EE" w:rsidR="00EE4000" w:rsidRPr="004770EC" w:rsidRDefault="00EE4000" w:rsidP="007944C6">
      <w:pPr>
        <w:pStyle w:val="Bullet"/>
        <w:numPr>
          <w:ilvl w:val="1"/>
          <w:numId w:val="2"/>
        </w:numPr>
      </w:pPr>
      <w:r w:rsidRPr="004770EC">
        <w:lastRenderedPageBreak/>
        <w:t>identify further cases of TB</w:t>
      </w:r>
      <w:r w:rsidR="00BE11DB">
        <w:t xml:space="preserve"> disease</w:t>
      </w:r>
      <w:r w:rsidRPr="004770EC">
        <w:t xml:space="preserve"> among tho</w:t>
      </w:r>
      <w:r>
        <w:t>se in contact with the disease</w:t>
      </w:r>
    </w:p>
    <w:p w14:paraId="2D89B1F9" w14:textId="77777777" w:rsidR="00EE4000" w:rsidRPr="004770EC" w:rsidRDefault="00EE4000" w:rsidP="007944C6">
      <w:pPr>
        <w:pStyle w:val="Bullet"/>
        <w:numPr>
          <w:ilvl w:val="1"/>
          <w:numId w:val="2"/>
        </w:numPr>
      </w:pPr>
      <w:r w:rsidRPr="004770EC">
        <w:t xml:space="preserve">identify people who may have been infected following contact with a </w:t>
      </w:r>
      <w:r>
        <w:t>person</w:t>
      </w:r>
      <w:r w:rsidRPr="004770EC">
        <w:t xml:space="preserve"> found to have active T</w:t>
      </w:r>
      <w:r>
        <w:t>B</w:t>
      </w:r>
      <w:r w:rsidRPr="004770EC">
        <w:t xml:space="preserve"> and</w:t>
      </w:r>
    </w:p>
    <w:p w14:paraId="167D5788" w14:textId="400DEAC5" w:rsidR="00EE4000" w:rsidRPr="004770EC" w:rsidRDefault="00EE4000" w:rsidP="007944C6">
      <w:pPr>
        <w:pStyle w:val="Bullet"/>
      </w:pPr>
      <w:r w:rsidRPr="004770EC">
        <w:t xml:space="preserve">counsel </w:t>
      </w:r>
      <w:r>
        <w:t xml:space="preserve">and </w:t>
      </w:r>
      <w:r w:rsidRPr="004770EC">
        <w:t xml:space="preserve">refer </w:t>
      </w:r>
      <w:r>
        <w:t xml:space="preserve">for assessment people found to have TB infection </w:t>
      </w:r>
      <w:r w:rsidR="00BE11DB">
        <w:t>,</w:t>
      </w:r>
      <w:r>
        <w:t xml:space="preserve"> that is, where a person is </w:t>
      </w:r>
      <w:r w:rsidRPr="003B6BC8">
        <w:t xml:space="preserve">infected with </w:t>
      </w:r>
      <w:r w:rsidR="00D65ECC" w:rsidRPr="00D65ECC">
        <w:rPr>
          <w:iCs/>
        </w:rPr>
        <w:t>MTB</w:t>
      </w:r>
      <w:r w:rsidRPr="00D65ECC">
        <w:rPr>
          <w:iCs/>
        </w:rPr>
        <w:t xml:space="preserve"> </w:t>
      </w:r>
      <w:r w:rsidRPr="003B6BC8">
        <w:t xml:space="preserve">but does not have active </w:t>
      </w:r>
      <w:r>
        <w:t>disease and cannot transmit the infection to others.</w:t>
      </w:r>
    </w:p>
    <w:p w14:paraId="6193A71D" w14:textId="77777777" w:rsidR="00EE4000" w:rsidRDefault="00EE4000" w:rsidP="007944C6">
      <w:pPr>
        <w:pStyle w:val="Bullet"/>
        <w:rPr>
          <w:rFonts w:asciiTheme="minorHAnsi" w:hAnsiTheme="minorHAnsi"/>
        </w:rPr>
      </w:pPr>
      <w:r w:rsidRPr="004770EC">
        <w:rPr>
          <w:rFonts w:asciiTheme="minorHAnsi" w:hAnsiTheme="minorHAnsi"/>
        </w:rPr>
        <w:t xml:space="preserve">Contact tracing for tuberculosis is usually conducted based on the “concentric circles” principle (see Figure </w:t>
      </w:r>
      <w:r>
        <w:rPr>
          <w:rFonts w:asciiTheme="minorHAnsi" w:hAnsiTheme="minorHAnsi"/>
        </w:rPr>
        <w:t>2</w:t>
      </w:r>
      <w:r w:rsidRPr="004770EC">
        <w:rPr>
          <w:rFonts w:asciiTheme="minorHAnsi" w:hAnsiTheme="minorHAnsi"/>
        </w:rPr>
        <w:t xml:space="preserve">), i.e. identifying logical (temporally and spatially) circles of contacts in decreasing closeness of contact, which form concentric circles. If screening results indicate that contacts with the greatest exposure have an infection rate greater than would be expected in their community, contacts with progressively less exposure are sought. </w:t>
      </w:r>
    </w:p>
    <w:p w14:paraId="787EF1E7" w14:textId="0320FAB6" w:rsidR="00EE4000" w:rsidRDefault="00F3006E" w:rsidP="007944C6">
      <w:pPr>
        <w:pStyle w:val="Bullet"/>
        <w:rPr>
          <w:rFonts w:asciiTheme="minorHAnsi" w:hAnsiTheme="minorHAnsi"/>
        </w:rPr>
      </w:pPr>
      <w:r w:rsidRPr="00112F04">
        <w:t>Assessment of other family members should be undertaken as a matter of priority to determine their status and also the possible need for ‘window’ prev</w:t>
      </w:r>
      <w:r>
        <w:t xml:space="preserve">entive therapy in any children &lt; </w:t>
      </w:r>
      <w:r w:rsidRPr="00112F04">
        <w:t xml:space="preserve">5 years of age with no initial evidence of </w:t>
      </w:r>
      <w:proofErr w:type="spellStart"/>
      <w:r w:rsidRPr="00112F04">
        <w:t>infection.</w:t>
      </w:r>
      <w:r w:rsidR="00EE4000" w:rsidRPr="004770EC">
        <w:rPr>
          <w:rFonts w:asciiTheme="minorHAnsi" w:hAnsiTheme="minorHAnsi"/>
        </w:rPr>
        <w:t>The</w:t>
      </w:r>
      <w:proofErr w:type="spellEnd"/>
      <w:r w:rsidR="00EE4000" w:rsidRPr="004770EC">
        <w:rPr>
          <w:rFonts w:asciiTheme="minorHAnsi" w:hAnsiTheme="minorHAnsi"/>
        </w:rPr>
        <w:t xml:space="preserve"> contact investigation should expand outwards until the rate of positive test results for the contacts are </w:t>
      </w:r>
      <w:r w:rsidR="00EE4000">
        <w:rPr>
          <w:rFonts w:asciiTheme="minorHAnsi" w:hAnsiTheme="minorHAnsi"/>
        </w:rPr>
        <w:t xml:space="preserve">similar to the expected </w:t>
      </w:r>
      <w:r w:rsidR="00EE4000" w:rsidRPr="004770EC">
        <w:rPr>
          <w:rFonts w:asciiTheme="minorHAnsi" w:hAnsiTheme="minorHAnsi"/>
        </w:rPr>
        <w:t>prevalence of positive results in the community</w:t>
      </w:r>
      <w:r w:rsidR="00EE4000">
        <w:rPr>
          <w:rFonts w:asciiTheme="minorHAnsi" w:hAnsiTheme="minorHAnsi"/>
        </w:rPr>
        <w:t xml:space="preserve"> (see 6.8)</w:t>
      </w:r>
      <w:r w:rsidR="00EE4000" w:rsidRPr="004770EC">
        <w:rPr>
          <w:rFonts w:asciiTheme="minorHAnsi" w:hAnsiTheme="minorHAnsi"/>
        </w:rPr>
        <w:t>.</w:t>
      </w:r>
    </w:p>
    <w:p w14:paraId="2CDD934B" w14:textId="01A4736E" w:rsidR="00EE4000" w:rsidRDefault="00EE4000" w:rsidP="007944C6">
      <w:pPr>
        <w:pStyle w:val="Default"/>
        <w:rPr>
          <w:rFonts w:asciiTheme="minorHAnsi" w:hAnsiTheme="minorHAnsi"/>
        </w:rPr>
      </w:pPr>
    </w:p>
    <w:p w14:paraId="4B686608" w14:textId="77777777" w:rsidR="00EE4000" w:rsidRDefault="00EE4000" w:rsidP="00EE4000">
      <w:pPr>
        <w:pStyle w:val="Default"/>
        <w:ind w:left="360"/>
        <w:rPr>
          <w:rFonts w:asciiTheme="minorHAnsi" w:hAnsiTheme="minorHAnsi"/>
        </w:rPr>
      </w:pPr>
      <w:r>
        <w:rPr>
          <w:rFonts w:asciiTheme="minorHAnsi" w:hAnsiTheme="minorHAnsi"/>
          <w:noProof/>
        </w:rPr>
        <w:drawing>
          <wp:inline distT="0" distB="0" distL="0" distR="0" wp14:anchorId="5B09524E" wp14:editId="29AF513D">
            <wp:extent cx="4392000" cy="2465071"/>
            <wp:effectExtent l="19050" t="0" r="8550" b="0"/>
            <wp:docPr id="10" name="Picture 10" descr="Diagram illustrating stepwise stages of contact tracing with concentric circles representing index case, household contacts, and casual contacts. Labels indicate 1st, 2nd, and 3rd stages of tracing, showing progression from closest to more casual cont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illustrating stepwise stages of contact tracing with concentric circles representing index case, household contacts, and casual contacts. Labels indicate 1st, 2nd, and 3rd stages of tracing, showing progression from closest to more casual contacts."/>
                    <pic:cNvPicPr>
                      <a:picLocks noChangeAspect="1" noChangeArrowheads="1"/>
                    </pic:cNvPicPr>
                  </pic:nvPicPr>
                  <pic:blipFill>
                    <a:blip r:embed="rId11" cstate="print"/>
                    <a:srcRect/>
                    <a:stretch>
                      <a:fillRect/>
                    </a:stretch>
                  </pic:blipFill>
                  <pic:spPr bwMode="auto">
                    <a:xfrm>
                      <a:off x="0" y="0"/>
                      <a:ext cx="4392000" cy="2465071"/>
                    </a:xfrm>
                    <a:prstGeom prst="rect">
                      <a:avLst/>
                    </a:prstGeom>
                    <a:noFill/>
                    <a:ln w="9525">
                      <a:noFill/>
                      <a:miter lim="800000"/>
                      <a:headEnd/>
                      <a:tailEnd/>
                    </a:ln>
                  </pic:spPr>
                </pic:pic>
              </a:graphicData>
            </a:graphic>
          </wp:inline>
        </w:drawing>
      </w:r>
    </w:p>
    <w:p w14:paraId="7F1F2D2D" w14:textId="3B0F599A" w:rsidR="00EE4000" w:rsidRPr="007944C6" w:rsidRDefault="007944C6" w:rsidP="007944C6">
      <w:pPr>
        <w:pStyle w:val="BodyCopy"/>
      </w:pPr>
      <w:r w:rsidRPr="007944C6">
        <w:rPr>
          <w:b/>
          <w:bCs w:val="0"/>
        </w:rPr>
        <w:t>Figure 1: Concentric circle principle of contact tracing.</w:t>
      </w:r>
      <w:r w:rsidR="00EE4000">
        <w:t xml:space="preserve"> </w:t>
      </w:r>
      <w:r w:rsidR="00EE4000" w:rsidRPr="00BD6830">
        <w:t xml:space="preserve">Source: </w:t>
      </w:r>
      <w:r w:rsidR="00EE4000">
        <w:t>Contact Tracing for Tuberculosis. Government of Western Australia. Department of Health.</w:t>
      </w:r>
    </w:p>
    <w:p w14:paraId="432A50F1" w14:textId="77777777" w:rsidR="00EE4000" w:rsidRPr="004770EC" w:rsidRDefault="00EE4000" w:rsidP="007944C6">
      <w:pPr>
        <w:pStyle w:val="Bullet"/>
      </w:pPr>
      <w:r w:rsidRPr="004770EC">
        <w:t xml:space="preserve">Contact tracing should be done in a systematic way with a view to prioritising contacts for review </w:t>
      </w:r>
      <w:r>
        <w:t xml:space="preserve">(see 6.3) </w:t>
      </w:r>
      <w:r w:rsidRPr="004770EC">
        <w:t>and to set limits for testing</w:t>
      </w:r>
      <w:r>
        <w:t>, based on the contact tracing data</w:t>
      </w:r>
      <w:r w:rsidRPr="004770EC">
        <w:t xml:space="preserve">. </w:t>
      </w:r>
    </w:p>
    <w:p w14:paraId="49700B36" w14:textId="77777777" w:rsidR="00EE4000" w:rsidRDefault="00EE4000" w:rsidP="007944C6">
      <w:pPr>
        <w:pStyle w:val="Bullet"/>
      </w:pPr>
      <w:r w:rsidRPr="004770EC">
        <w:t>The likely degree of infectiousness</w:t>
      </w:r>
      <w:r>
        <w:t xml:space="preserve"> of the index case (see Figure 1</w:t>
      </w:r>
      <w:r w:rsidRPr="004770EC">
        <w:t xml:space="preserve">) should guide the priority and rapidity of the contact investigation. </w:t>
      </w:r>
    </w:p>
    <w:p w14:paraId="6A6AF267" w14:textId="77777777" w:rsidR="00EE4000" w:rsidRDefault="00EE4000" w:rsidP="007944C6">
      <w:pPr>
        <w:pStyle w:val="Bullet"/>
      </w:pPr>
      <w:r w:rsidRPr="004770EC">
        <w:lastRenderedPageBreak/>
        <w:t xml:space="preserve">Rapid contact tracing is indicated when the </w:t>
      </w:r>
      <w:r>
        <w:t>person</w:t>
      </w:r>
      <w:r w:rsidRPr="004770EC">
        <w:t xml:space="preserve"> has a productive cough, </w:t>
      </w:r>
      <w:r>
        <w:t>x</w:t>
      </w:r>
      <w:r w:rsidRPr="004770EC">
        <w:t xml:space="preserve">-ray evidence of cavitary disease, and the sputum smear for </w:t>
      </w:r>
      <w:r>
        <w:t>AFB</w:t>
      </w:r>
      <w:r w:rsidRPr="004770EC">
        <w:t xml:space="preserve"> is positive. Conversely, the likelihood of transmission would be negligible for a</w:t>
      </w:r>
      <w:r>
        <w:t xml:space="preserve"> person with</w:t>
      </w:r>
      <w:r w:rsidRPr="004770EC">
        <w:t xml:space="preserve"> extra-pulmonary </w:t>
      </w:r>
      <w:r>
        <w:t>TB</w:t>
      </w:r>
      <w:r w:rsidRPr="004770EC">
        <w:t xml:space="preserve"> with no res</w:t>
      </w:r>
      <w:r>
        <w:t>piratory symptoms and a normal c</w:t>
      </w:r>
      <w:r w:rsidRPr="004770EC">
        <w:t xml:space="preserve">hest </w:t>
      </w:r>
      <w:r>
        <w:t>x</w:t>
      </w:r>
      <w:r w:rsidRPr="004770EC">
        <w:t>-</w:t>
      </w:r>
      <w:r>
        <w:t>r</w:t>
      </w:r>
      <w:r w:rsidRPr="004770EC">
        <w:t>ay.</w:t>
      </w:r>
    </w:p>
    <w:p w14:paraId="3AC37AE5" w14:textId="0F48AF5D" w:rsidR="00EE4000" w:rsidRPr="00B02CC5" w:rsidRDefault="00EE4000" w:rsidP="00B02CC5">
      <w:pPr>
        <w:pStyle w:val="Bullet"/>
      </w:pPr>
      <w:r>
        <w:t>In people with</w:t>
      </w:r>
      <w:r w:rsidRPr="00B40BF9">
        <w:t xml:space="preserve"> extra-pulmonary </w:t>
      </w:r>
      <w:r>
        <w:t>TB</w:t>
      </w:r>
      <w:r w:rsidRPr="00B40BF9">
        <w:t>, with no evidence of pulmonary TB (i.e. no</w:t>
      </w:r>
      <w:r>
        <w:t xml:space="preserve"> </w:t>
      </w:r>
      <w:r w:rsidRPr="00B40BF9">
        <w:t>respiratory symptoms, normal chest x-ray and sputum</w:t>
      </w:r>
      <w:r>
        <w:t>,</w:t>
      </w:r>
      <w:r w:rsidRPr="00B40BF9">
        <w:t xml:space="preserve"> if collected</w:t>
      </w:r>
      <w:r>
        <w:t>,</w:t>
      </w:r>
      <w:r w:rsidRPr="00B40BF9" w:rsidDel="00D756A0">
        <w:t xml:space="preserve"> </w:t>
      </w:r>
      <w:r>
        <w:t>smear and</w:t>
      </w:r>
      <w:r w:rsidRPr="00B40BF9">
        <w:t xml:space="preserve"> culture negative),</w:t>
      </w:r>
      <w:r>
        <w:t xml:space="preserve"> </w:t>
      </w:r>
      <w:r w:rsidRPr="00B40BF9">
        <w:t>contact tracing is performed on househ</w:t>
      </w:r>
      <w:r>
        <w:t xml:space="preserve">old or close contacts. The aim of this is </w:t>
      </w:r>
      <w:r w:rsidRPr="00B40BF9">
        <w:t>to identify a possible</w:t>
      </w:r>
      <w:r>
        <w:t xml:space="preserve"> </w:t>
      </w:r>
      <w:r w:rsidRPr="00B40BF9">
        <w:t xml:space="preserve">source </w:t>
      </w:r>
      <w:r>
        <w:t>of infection and</w:t>
      </w:r>
      <w:r w:rsidRPr="00B40BF9">
        <w:t xml:space="preserve"> to identify others who may have also recently been infected from the same</w:t>
      </w:r>
      <w:r>
        <w:t xml:space="preserve"> </w:t>
      </w:r>
      <w:r w:rsidRPr="00B40BF9">
        <w:t>(possibly un-identified) source as</w:t>
      </w:r>
      <w:r>
        <w:t xml:space="preserve"> the index case</w:t>
      </w:r>
      <w:r w:rsidRPr="00B40BF9">
        <w:t>. Contact</w:t>
      </w:r>
      <w:r>
        <w:t xml:space="preserve"> </w:t>
      </w:r>
      <w:r w:rsidRPr="00B40BF9">
        <w:t xml:space="preserve">tracing is usually not extended beyond the household or close contacts in </w:t>
      </w:r>
      <w:r>
        <w:t xml:space="preserve">people with </w:t>
      </w:r>
      <w:r w:rsidRPr="00B40BF9">
        <w:t>extra-pulmonary</w:t>
      </w:r>
      <w:r>
        <w:t xml:space="preserve"> </w:t>
      </w:r>
      <w:r w:rsidRPr="00B40BF9">
        <w:t>TB.</w:t>
      </w:r>
    </w:p>
    <w:p w14:paraId="784E7B27" w14:textId="77777777" w:rsidR="00EE4000" w:rsidRDefault="00EE4000" w:rsidP="00B02CC5">
      <w:pPr>
        <w:pStyle w:val="Heading5"/>
      </w:pPr>
      <w:bookmarkStart w:id="18" w:name="_Toc119064886"/>
      <w:r>
        <w:t>6.2</w:t>
      </w:r>
      <w:r w:rsidRPr="00604013">
        <w:t xml:space="preserve"> Contact definition</w:t>
      </w:r>
      <w:bookmarkEnd w:id="18"/>
    </w:p>
    <w:p w14:paraId="75D790CF" w14:textId="77777777" w:rsidR="00EE4000" w:rsidRPr="00145152" w:rsidRDefault="00EE4000" w:rsidP="007944C6">
      <w:pPr>
        <w:pStyle w:val="Bullet"/>
      </w:pPr>
      <w:r w:rsidRPr="00145152">
        <w:t>Contacts of an index case should be determined from the time of first symptom onset, with the focus being on the duration of cough, and continued until the index case is no longer assessed as being infectious.</w:t>
      </w:r>
    </w:p>
    <w:p w14:paraId="69DB48F6" w14:textId="3AC3601A" w:rsidR="00EE4000" w:rsidRPr="00604013" w:rsidRDefault="00EE4000" w:rsidP="007944C6">
      <w:pPr>
        <w:pStyle w:val="Bullet"/>
        <w:rPr>
          <w:color w:val="auto"/>
        </w:rPr>
      </w:pPr>
      <w:r w:rsidRPr="00604013">
        <w:rPr>
          <w:color w:val="auto"/>
        </w:rPr>
        <w:t xml:space="preserve">The infectious period can </w:t>
      </w:r>
      <w:proofErr w:type="gramStart"/>
      <w:r w:rsidRPr="00604013">
        <w:rPr>
          <w:color w:val="auto"/>
        </w:rPr>
        <w:t>be considered to be</w:t>
      </w:r>
      <w:proofErr w:type="gramEnd"/>
      <w:r w:rsidRPr="00604013">
        <w:rPr>
          <w:color w:val="auto"/>
        </w:rPr>
        <w:t xml:space="preserve"> 3 months before the TB </w:t>
      </w:r>
      <w:r w:rsidR="004606B6">
        <w:rPr>
          <w:color w:val="auto"/>
        </w:rPr>
        <w:t xml:space="preserve">disease </w:t>
      </w:r>
      <w:r w:rsidRPr="00604013">
        <w:rPr>
          <w:color w:val="auto"/>
        </w:rPr>
        <w:t xml:space="preserve">diagnosis unless there is a clearly defined date of symptom onset. In some circumstances, an earlier start date should be used (i.e. in the event of a protracted, symptomatic illness or if the </w:t>
      </w:r>
      <w:r>
        <w:rPr>
          <w:color w:val="auto"/>
        </w:rPr>
        <w:t>person</w:t>
      </w:r>
      <w:r w:rsidRPr="00604013">
        <w:rPr>
          <w:color w:val="auto"/>
        </w:rPr>
        <w:t xml:space="preserve"> has large lung cavities which imply prolonged illness and infectiousness).</w:t>
      </w:r>
    </w:p>
    <w:p w14:paraId="1C8AF7A3" w14:textId="77777777" w:rsidR="00EE4000" w:rsidRPr="00604013" w:rsidRDefault="00EE4000" w:rsidP="007944C6">
      <w:pPr>
        <w:pStyle w:val="Bullet"/>
        <w:rPr>
          <w:color w:val="auto"/>
        </w:rPr>
      </w:pPr>
      <w:r w:rsidRPr="00604013">
        <w:rPr>
          <w:color w:val="auto"/>
        </w:rPr>
        <w:t xml:space="preserve">The </w:t>
      </w:r>
      <w:r>
        <w:rPr>
          <w:color w:val="auto"/>
        </w:rPr>
        <w:t>index case</w:t>
      </w:r>
      <w:r w:rsidRPr="00604013">
        <w:rPr>
          <w:color w:val="auto"/>
        </w:rPr>
        <w:t xml:space="preserve"> </w:t>
      </w:r>
      <w:r>
        <w:rPr>
          <w:color w:val="auto"/>
        </w:rPr>
        <w:t xml:space="preserve">presents a negligible infectious risk </w:t>
      </w:r>
      <w:r w:rsidRPr="00604013">
        <w:rPr>
          <w:color w:val="auto"/>
        </w:rPr>
        <w:t>for the purpose of contact tracing if:</w:t>
      </w:r>
    </w:p>
    <w:p w14:paraId="1A4ADBC5" w14:textId="77777777" w:rsidR="00EE4000" w:rsidRPr="00604013" w:rsidRDefault="00EE4000" w:rsidP="007944C6">
      <w:pPr>
        <w:pStyle w:val="Bullet"/>
        <w:numPr>
          <w:ilvl w:val="1"/>
          <w:numId w:val="2"/>
        </w:numPr>
      </w:pPr>
      <w:r w:rsidRPr="00604013">
        <w:t xml:space="preserve">effective treatment has been given for </w:t>
      </w:r>
      <w:r>
        <w:t>≥14 days</w:t>
      </w:r>
      <w:r w:rsidRPr="00604013">
        <w:t xml:space="preserve"> (as confirmed by subsequent </w:t>
      </w:r>
      <w:r>
        <w:t>MTB drug susceptibility tests)</w:t>
      </w:r>
      <w:r w:rsidRPr="00604013">
        <w:t xml:space="preserve"> </w:t>
      </w:r>
      <w:r w:rsidRPr="00506F2E">
        <w:rPr>
          <w:i/>
        </w:rPr>
        <w:t>and</w:t>
      </w:r>
    </w:p>
    <w:p w14:paraId="44DDC6D8" w14:textId="77777777" w:rsidR="00EE4000" w:rsidRPr="00604013" w:rsidRDefault="00EE4000" w:rsidP="007944C6">
      <w:pPr>
        <w:pStyle w:val="Bullet"/>
        <w:numPr>
          <w:ilvl w:val="1"/>
          <w:numId w:val="2"/>
        </w:numPr>
      </w:pPr>
      <w:r>
        <w:t>symptoms have diminished</w:t>
      </w:r>
      <w:r w:rsidRPr="00604013">
        <w:t xml:space="preserve"> </w:t>
      </w:r>
      <w:r w:rsidRPr="00506F2E">
        <w:rPr>
          <w:i/>
        </w:rPr>
        <w:t>and</w:t>
      </w:r>
      <w:r w:rsidRPr="00604013">
        <w:t xml:space="preserve"> </w:t>
      </w:r>
    </w:p>
    <w:p w14:paraId="0B2221BE" w14:textId="77777777" w:rsidR="00EE4000" w:rsidRPr="00604013" w:rsidRDefault="00EE4000" w:rsidP="007944C6">
      <w:pPr>
        <w:pStyle w:val="Bullet"/>
        <w:numPr>
          <w:ilvl w:val="1"/>
          <w:numId w:val="2"/>
        </w:numPr>
      </w:pPr>
      <w:r w:rsidRPr="00604013">
        <w:t xml:space="preserve">there is evidence of a </w:t>
      </w:r>
      <w:proofErr w:type="spellStart"/>
      <w:r w:rsidRPr="00604013">
        <w:t>mycobacteriologic</w:t>
      </w:r>
      <w:proofErr w:type="spellEnd"/>
      <w:r w:rsidRPr="00604013">
        <w:t xml:space="preserve"> response (i.e. a decrease in grade of sputum smear positivity detected on sputum smear microscopy).</w:t>
      </w:r>
    </w:p>
    <w:p w14:paraId="37751E43" w14:textId="77777777" w:rsidR="00EE4000" w:rsidRPr="000D703F" w:rsidRDefault="00EE4000" w:rsidP="007944C6">
      <w:pPr>
        <w:pStyle w:val="Bullet"/>
      </w:pPr>
      <w:r w:rsidRPr="00604013">
        <w:t>The presence of multi-</w:t>
      </w:r>
      <w:proofErr w:type="gramStart"/>
      <w:r w:rsidRPr="00604013">
        <w:t>drug resistant</w:t>
      </w:r>
      <w:proofErr w:type="gramEnd"/>
      <w:r w:rsidRPr="00604013">
        <w:t xml:space="preserve"> organisms can extend the period of infectiousness.</w:t>
      </w:r>
    </w:p>
    <w:p w14:paraId="2316B893" w14:textId="77777777" w:rsidR="00EE4000" w:rsidRPr="00993E99" w:rsidRDefault="00EE4000" w:rsidP="007944C6">
      <w:pPr>
        <w:pStyle w:val="Bullet"/>
        <w:rPr>
          <w:b/>
        </w:rPr>
      </w:pPr>
      <w:r w:rsidRPr="00993E99">
        <w:t>Contacts should be categorised as high/medium/low risk according to the following:</w:t>
      </w:r>
    </w:p>
    <w:p w14:paraId="39B396C6" w14:textId="77777777" w:rsidR="00EE4000" w:rsidRPr="00604013" w:rsidRDefault="00EE4000" w:rsidP="007944C6">
      <w:pPr>
        <w:pStyle w:val="Bullet"/>
        <w:numPr>
          <w:ilvl w:val="0"/>
          <w:numId w:val="0"/>
        </w:numPr>
        <w:ind w:left="360"/>
        <w:rPr>
          <w:u w:val="single"/>
        </w:rPr>
      </w:pPr>
      <w:r w:rsidRPr="00604013">
        <w:rPr>
          <w:u w:val="single"/>
        </w:rPr>
        <w:t>High risk</w:t>
      </w:r>
    </w:p>
    <w:p w14:paraId="39AC0CB0" w14:textId="77777777" w:rsidR="00EE4000" w:rsidRPr="0037653C" w:rsidRDefault="00EE4000" w:rsidP="007944C6">
      <w:pPr>
        <w:pStyle w:val="Bullet"/>
        <w:numPr>
          <w:ilvl w:val="1"/>
          <w:numId w:val="2"/>
        </w:numPr>
      </w:pPr>
      <w:r w:rsidRPr="0037653C">
        <w:t xml:space="preserve">High risk contacts are people who have had frequent, prolonged and close contact </w:t>
      </w:r>
      <w:r>
        <w:t xml:space="preserve">to the index case </w:t>
      </w:r>
      <w:r w:rsidRPr="0037653C">
        <w:t>in an enclosed environment with an infectious case (</w:t>
      </w:r>
      <w:r>
        <w:t xml:space="preserve">i.e. </w:t>
      </w:r>
      <w:r w:rsidRPr="0037653C">
        <w:t xml:space="preserve">generally ≥8 hours of cumulative physically </w:t>
      </w:r>
      <w:r>
        <w:t xml:space="preserve">close contact), </w:t>
      </w:r>
      <w:r w:rsidRPr="0037653C">
        <w:t xml:space="preserve">such as: </w:t>
      </w:r>
    </w:p>
    <w:p w14:paraId="186F7EDA" w14:textId="77777777" w:rsidR="00EE4000" w:rsidRPr="00604013" w:rsidRDefault="00EE4000" w:rsidP="007944C6">
      <w:pPr>
        <w:pStyle w:val="Bullet"/>
        <w:numPr>
          <w:ilvl w:val="2"/>
          <w:numId w:val="2"/>
        </w:numPr>
      </w:pPr>
      <w:r w:rsidRPr="00604013">
        <w:t>peo</w:t>
      </w:r>
      <w:r>
        <w:t>ple living in the same dwelling</w:t>
      </w:r>
      <w:r w:rsidRPr="00604013">
        <w:t xml:space="preserve"> </w:t>
      </w:r>
    </w:p>
    <w:p w14:paraId="08622C8B" w14:textId="77777777" w:rsidR="00EE4000" w:rsidRPr="00604013" w:rsidRDefault="00EE4000" w:rsidP="007944C6">
      <w:pPr>
        <w:pStyle w:val="Bullet"/>
        <w:numPr>
          <w:ilvl w:val="2"/>
          <w:numId w:val="2"/>
        </w:numPr>
      </w:pPr>
      <w:r w:rsidRPr="00604013">
        <w:t>relatives and friends who have freque</w:t>
      </w:r>
      <w:r>
        <w:t>nt, prolonged and close contact and</w:t>
      </w:r>
      <w:r w:rsidRPr="00604013">
        <w:t xml:space="preserve"> </w:t>
      </w:r>
    </w:p>
    <w:p w14:paraId="39537E94" w14:textId="77777777" w:rsidR="00EE4000" w:rsidRPr="00604013" w:rsidRDefault="00EE4000" w:rsidP="007944C6">
      <w:pPr>
        <w:pStyle w:val="Bullet"/>
        <w:numPr>
          <w:ilvl w:val="2"/>
          <w:numId w:val="2"/>
        </w:numPr>
      </w:pPr>
      <w:r w:rsidRPr="00604013">
        <w:t xml:space="preserve">work colleagues who share the same indoor work area </w:t>
      </w:r>
      <w:proofErr w:type="gramStart"/>
      <w:r w:rsidRPr="00604013">
        <w:t>on a daily basis</w:t>
      </w:r>
      <w:proofErr w:type="gramEnd"/>
      <w:r w:rsidRPr="00604013">
        <w:t xml:space="preserve">. </w:t>
      </w:r>
    </w:p>
    <w:p w14:paraId="532BC271" w14:textId="77777777" w:rsidR="00EE4000" w:rsidRPr="00604013" w:rsidRDefault="00EE4000" w:rsidP="007944C6">
      <w:pPr>
        <w:pStyle w:val="Bullet"/>
        <w:numPr>
          <w:ilvl w:val="1"/>
          <w:numId w:val="2"/>
        </w:numPr>
      </w:pPr>
      <w:r w:rsidRPr="00604013">
        <w:lastRenderedPageBreak/>
        <w:t xml:space="preserve">High risk contacts also include people </w:t>
      </w:r>
      <w:r>
        <w:t xml:space="preserve">who </w:t>
      </w:r>
      <w:r w:rsidRPr="00604013">
        <w:t>may not have had as frequent, prolonged and close contact but are more susceptib</w:t>
      </w:r>
      <w:r>
        <w:t xml:space="preserve">le to TB infection due to age (under </w:t>
      </w:r>
      <w:r w:rsidRPr="00604013">
        <w:t xml:space="preserve">5 years of age) or immune-suppressing risk factors. </w:t>
      </w:r>
    </w:p>
    <w:p w14:paraId="50CF3840" w14:textId="77777777" w:rsidR="00EE4000" w:rsidRDefault="00EE4000" w:rsidP="00EE4000">
      <w:pPr>
        <w:pStyle w:val="Default"/>
        <w:ind w:left="360"/>
        <w:rPr>
          <w:rFonts w:asciiTheme="minorHAnsi" w:hAnsiTheme="minorHAnsi" w:cstheme="minorBidi"/>
          <w:color w:val="auto"/>
          <w:u w:val="single"/>
        </w:rPr>
      </w:pPr>
    </w:p>
    <w:p w14:paraId="38ADC8DD" w14:textId="77777777" w:rsidR="00EE4000" w:rsidRPr="00604013" w:rsidRDefault="00EE4000" w:rsidP="00EE4000">
      <w:pPr>
        <w:pStyle w:val="Default"/>
        <w:ind w:left="360"/>
        <w:rPr>
          <w:rFonts w:asciiTheme="minorHAnsi" w:hAnsiTheme="minorHAnsi" w:cstheme="minorBidi"/>
          <w:color w:val="auto"/>
          <w:u w:val="single"/>
        </w:rPr>
      </w:pPr>
      <w:r w:rsidRPr="00604013">
        <w:rPr>
          <w:rFonts w:asciiTheme="minorHAnsi" w:hAnsiTheme="minorHAnsi" w:cstheme="minorBidi"/>
          <w:color w:val="auto"/>
          <w:u w:val="single"/>
        </w:rPr>
        <w:t>Medium risk</w:t>
      </w:r>
    </w:p>
    <w:p w14:paraId="7DFFA969" w14:textId="77777777" w:rsidR="00EE4000" w:rsidRPr="00604013" w:rsidRDefault="00EE4000" w:rsidP="007944C6">
      <w:pPr>
        <w:pStyle w:val="Bullet"/>
        <w:numPr>
          <w:ilvl w:val="1"/>
          <w:numId w:val="2"/>
        </w:numPr>
      </w:pPr>
      <w:r w:rsidRPr="00604013">
        <w:t xml:space="preserve">Medium risk contacts are people who have had frequent but less intense contact with an infectious case. This group may include: </w:t>
      </w:r>
    </w:p>
    <w:p w14:paraId="54132D42" w14:textId="77777777" w:rsidR="00EE4000" w:rsidRPr="00604013" w:rsidRDefault="00EE4000" w:rsidP="007944C6">
      <w:pPr>
        <w:pStyle w:val="Bullet"/>
        <w:numPr>
          <w:ilvl w:val="2"/>
          <w:numId w:val="2"/>
        </w:numPr>
      </w:pPr>
      <w:r w:rsidRPr="00604013">
        <w:t>other close relatives</w:t>
      </w:r>
    </w:p>
    <w:p w14:paraId="7EBC3096" w14:textId="77777777" w:rsidR="00EE4000" w:rsidRPr="00604013" w:rsidRDefault="00EE4000" w:rsidP="007944C6">
      <w:pPr>
        <w:pStyle w:val="Bullet"/>
        <w:numPr>
          <w:ilvl w:val="2"/>
          <w:numId w:val="2"/>
        </w:numPr>
      </w:pPr>
      <w:r w:rsidRPr="00604013">
        <w:t>f</w:t>
      </w:r>
      <w:r>
        <w:t>riends</w:t>
      </w:r>
    </w:p>
    <w:p w14:paraId="14A0F51D" w14:textId="77777777" w:rsidR="00EE4000" w:rsidRPr="00604013" w:rsidRDefault="00EE4000" w:rsidP="007944C6">
      <w:pPr>
        <w:pStyle w:val="Bullet"/>
        <w:numPr>
          <w:ilvl w:val="2"/>
          <w:numId w:val="2"/>
        </w:numPr>
      </w:pPr>
      <w:r w:rsidRPr="00604013">
        <w:t xml:space="preserve">schoolmates </w:t>
      </w:r>
    </w:p>
    <w:p w14:paraId="7DE80E82" w14:textId="77777777" w:rsidR="00EE4000" w:rsidRPr="00604013" w:rsidRDefault="00EE4000" w:rsidP="007944C6">
      <w:pPr>
        <w:pStyle w:val="Bullet"/>
        <w:numPr>
          <w:ilvl w:val="2"/>
          <w:numId w:val="2"/>
        </w:numPr>
      </w:pPr>
      <w:r w:rsidRPr="00604013">
        <w:t>work colleagues</w:t>
      </w:r>
      <w:r>
        <w:t xml:space="preserve"> and</w:t>
      </w:r>
      <w:r w:rsidRPr="00604013">
        <w:t xml:space="preserve"> </w:t>
      </w:r>
    </w:p>
    <w:p w14:paraId="4A817B2D" w14:textId="77777777" w:rsidR="00EE4000" w:rsidRPr="00604013" w:rsidRDefault="00EE4000" w:rsidP="007944C6">
      <w:pPr>
        <w:pStyle w:val="Bullet"/>
        <w:numPr>
          <w:ilvl w:val="2"/>
          <w:numId w:val="2"/>
        </w:numPr>
      </w:pPr>
      <w:r w:rsidRPr="00604013">
        <w:t xml:space="preserve">relatives </w:t>
      </w:r>
      <w:r>
        <w:t>or</w:t>
      </w:r>
      <w:r w:rsidRPr="00604013">
        <w:t xml:space="preserve"> neighbours who frequently visit the </w:t>
      </w:r>
      <w:r>
        <w:t>person</w:t>
      </w:r>
      <w:r w:rsidRPr="00604013">
        <w:t xml:space="preserve"> and are not included in the </w:t>
      </w:r>
      <w:proofErr w:type="gramStart"/>
      <w:r w:rsidRPr="00604013">
        <w:t>high risk</w:t>
      </w:r>
      <w:proofErr w:type="gramEnd"/>
      <w:r w:rsidRPr="00604013">
        <w:t xml:space="preserve"> group.</w:t>
      </w:r>
    </w:p>
    <w:p w14:paraId="645F4131" w14:textId="77777777" w:rsidR="00EE4000" w:rsidRPr="00604013" w:rsidRDefault="00EE4000" w:rsidP="00EE4000">
      <w:pPr>
        <w:pStyle w:val="Default"/>
        <w:ind w:left="360"/>
      </w:pPr>
    </w:p>
    <w:p w14:paraId="3554D875" w14:textId="77777777" w:rsidR="00EE4000" w:rsidRPr="00604013" w:rsidRDefault="00EE4000" w:rsidP="00EE4000">
      <w:pPr>
        <w:pStyle w:val="Default"/>
        <w:ind w:left="360"/>
        <w:rPr>
          <w:rFonts w:asciiTheme="minorHAnsi" w:hAnsiTheme="minorHAnsi" w:cstheme="minorBidi"/>
          <w:color w:val="auto"/>
          <w:u w:val="single"/>
        </w:rPr>
      </w:pPr>
      <w:r w:rsidRPr="00604013">
        <w:rPr>
          <w:rFonts w:asciiTheme="minorHAnsi" w:hAnsiTheme="minorHAnsi" w:cstheme="minorBidi"/>
          <w:color w:val="auto"/>
          <w:u w:val="single"/>
        </w:rPr>
        <w:t xml:space="preserve">Low risk </w:t>
      </w:r>
    </w:p>
    <w:p w14:paraId="1300CA50" w14:textId="77777777" w:rsidR="00EE4000" w:rsidRPr="00604013" w:rsidRDefault="00EE4000" w:rsidP="007944C6">
      <w:pPr>
        <w:pStyle w:val="Bullet"/>
        <w:numPr>
          <w:ilvl w:val="1"/>
          <w:numId w:val="2"/>
        </w:numPr>
      </w:pPr>
      <w:r w:rsidRPr="00604013">
        <w:t xml:space="preserve">Low risk contacts include other contacts at school or in the workplace or social environments not included in the high or medium risk groups. </w:t>
      </w:r>
    </w:p>
    <w:p w14:paraId="537E6F5D" w14:textId="2AEF068B" w:rsidR="00EE4000" w:rsidRPr="00B02CC5" w:rsidRDefault="00EE4000" w:rsidP="00B02CC5">
      <w:pPr>
        <w:pStyle w:val="Bullet"/>
        <w:numPr>
          <w:ilvl w:val="1"/>
          <w:numId w:val="2"/>
        </w:numPr>
      </w:pPr>
      <w:r w:rsidRPr="00604013">
        <w:t xml:space="preserve">Obtaining details of </w:t>
      </w:r>
      <w:proofErr w:type="gramStart"/>
      <w:r w:rsidRPr="00604013">
        <w:t>low risk</w:t>
      </w:r>
      <w:proofErr w:type="gramEnd"/>
      <w:r w:rsidRPr="00604013">
        <w:t xml:space="preserve"> contacts is not necessary initially and need only be pursued if there is evidence of transmission in the high risk and medium risk groups.</w:t>
      </w:r>
    </w:p>
    <w:p w14:paraId="348333EE" w14:textId="77777777" w:rsidR="00EE4000" w:rsidRPr="00E861A9" w:rsidRDefault="00EE4000" w:rsidP="007944C6">
      <w:pPr>
        <w:pStyle w:val="Heading5"/>
      </w:pPr>
      <w:bookmarkStart w:id="19" w:name="_Toc119064887"/>
      <w:r>
        <w:t>6.3</w:t>
      </w:r>
      <w:r w:rsidRPr="00E861A9">
        <w:t xml:space="preserve"> Responsibility</w:t>
      </w:r>
      <w:bookmarkEnd w:id="19"/>
    </w:p>
    <w:p w14:paraId="767CD386" w14:textId="233ECB5F" w:rsidR="009D0CA8" w:rsidRPr="00230B68" w:rsidRDefault="00EE4000" w:rsidP="00F3006E">
      <w:pPr>
        <w:pStyle w:val="Bullet"/>
        <w:rPr>
          <w:rFonts w:asciiTheme="minorHAnsi" w:hAnsiTheme="minorHAnsi"/>
        </w:rPr>
      </w:pPr>
      <w:r>
        <w:t xml:space="preserve">TB contact tracing will be undertaken by the TB Service. Primary oversight is provided by the </w:t>
      </w:r>
      <w:r w:rsidR="007E43B5">
        <w:t xml:space="preserve">DRSM </w:t>
      </w:r>
      <w:r>
        <w:t>Clinical Nurse Consultant (CNC) or appointed Public Health Officers for TB</w:t>
      </w:r>
      <w:r w:rsidR="00F3006E">
        <w:t>.</w:t>
      </w:r>
    </w:p>
    <w:p w14:paraId="4FD2CA7F" w14:textId="6FADB81B" w:rsidR="00EE4000" w:rsidRPr="00B13E74" w:rsidRDefault="00EE4000" w:rsidP="007944C6">
      <w:pPr>
        <w:pStyle w:val="Bullet"/>
        <w:rPr>
          <w:rFonts w:asciiTheme="minorHAnsi" w:hAnsiTheme="minorHAnsi"/>
        </w:rPr>
      </w:pPr>
      <w:r w:rsidRPr="00B13E74">
        <w:rPr>
          <w:rFonts w:asciiTheme="minorHAnsi" w:hAnsiTheme="minorHAnsi"/>
        </w:rPr>
        <w:t>i</w:t>
      </w:r>
      <w:r>
        <w:rPr>
          <w:rFonts w:asciiTheme="minorHAnsi" w:hAnsiTheme="minorHAnsi"/>
        </w:rPr>
        <w:t>n collaboration with PPS Branch (see Section 6.9</w:t>
      </w:r>
      <w:r w:rsidRPr="00B13E74">
        <w:rPr>
          <w:rFonts w:asciiTheme="minorHAnsi" w:hAnsiTheme="minorHAnsi"/>
        </w:rPr>
        <w:t>)</w:t>
      </w:r>
      <w:r>
        <w:rPr>
          <w:rFonts w:asciiTheme="minorHAnsi" w:hAnsiTheme="minorHAnsi"/>
        </w:rPr>
        <w:t>.</w:t>
      </w:r>
    </w:p>
    <w:p w14:paraId="64AF39C9" w14:textId="77777777" w:rsidR="00EE4000" w:rsidRPr="00B13E74" w:rsidRDefault="00EE4000" w:rsidP="007944C6">
      <w:pPr>
        <w:pStyle w:val="Bullet"/>
        <w:rPr>
          <w:rFonts w:asciiTheme="minorHAnsi" w:hAnsiTheme="minorHAnsi"/>
        </w:rPr>
      </w:pPr>
      <w:r>
        <w:rPr>
          <w:rFonts w:asciiTheme="minorHAnsi" w:hAnsiTheme="minorHAnsi"/>
        </w:rPr>
        <w:t>Responsibilities of the TB S</w:t>
      </w:r>
      <w:r w:rsidRPr="00B13E74">
        <w:rPr>
          <w:rFonts w:asciiTheme="minorHAnsi" w:hAnsiTheme="minorHAnsi"/>
        </w:rPr>
        <w:t>ervice in contact tracing include:</w:t>
      </w:r>
    </w:p>
    <w:p w14:paraId="3148B115" w14:textId="77777777" w:rsidR="00EE4000" w:rsidRPr="00B13E74" w:rsidRDefault="00EE4000" w:rsidP="007944C6">
      <w:pPr>
        <w:pStyle w:val="Bullet"/>
        <w:numPr>
          <w:ilvl w:val="1"/>
          <w:numId w:val="2"/>
        </w:numPr>
        <w:rPr>
          <w:rFonts w:asciiTheme="minorHAnsi" w:hAnsiTheme="minorHAnsi" w:cstheme="minorBidi"/>
          <w:color w:val="auto"/>
        </w:rPr>
      </w:pPr>
      <w:r w:rsidRPr="00B13E74">
        <w:rPr>
          <w:rFonts w:asciiTheme="minorHAnsi" w:hAnsiTheme="minorHAnsi" w:cstheme="minorBidi"/>
          <w:color w:val="auto"/>
        </w:rPr>
        <w:t xml:space="preserve">Categorising the </w:t>
      </w:r>
      <w:r>
        <w:rPr>
          <w:rFonts w:asciiTheme="minorHAnsi" w:hAnsiTheme="minorHAnsi" w:cstheme="minorBidi"/>
          <w:color w:val="auto"/>
        </w:rPr>
        <w:t>person/case</w:t>
      </w:r>
      <w:r w:rsidRPr="00B13E74">
        <w:rPr>
          <w:rFonts w:asciiTheme="minorHAnsi" w:hAnsiTheme="minorHAnsi" w:cstheme="minorBidi"/>
          <w:color w:val="auto"/>
        </w:rPr>
        <w:t xml:space="preserve"> </w:t>
      </w:r>
      <w:proofErr w:type="gramStart"/>
      <w:r w:rsidRPr="00B13E74">
        <w:rPr>
          <w:rFonts w:asciiTheme="minorHAnsi" w:hAnsiTheme="minorHAnsi" w:cstheme="minorBidi"/>
          <w:color w:val="auto"/>
        </w:rPr>
        <w:t>according</w:t>
      </w:r>
      <w:proofErr w:type="gramEnd"/>
      <w:r w:rsidRPr="00B13E74">
        <w:rPr>
          <w:rFonts w:asciiTheme="minorHAnsi" w:hAnsiTheme="minorHAnsi" w:cstheme="minorBidi"/>
          <w:color w:val="auto"/>
        </w:rPr>
        <w:t xml:space="preserve"> the likely degree o</w:t>
      </w:r>
      <w:r>
        <w:rPr>
          <w:rFonts w:asciiTheme="minorHAnsi" w:hAnsiTheme="minorHAnsi" w:cstheme="minorBidi"/>
          <w:color w:val="auto"/>
        </w:rPr>
        <w:t>f infectiousness (see Figure 1)</w:t>
      </w:r>
    </w:p>
    <w:p w14:paraId="4CBE3D08" w14:textId="77777777" w:rsidR="00EE4000" w:rsidRPr="00B13E74" w:rsidRDefault="00EE4000" w:rsidP="007944C6">
      <w:pPr>
        <w:pStyle w:val="Bullet"/>
        <w:numPr>
          <w:ilvl w:val="1"/>
          <w:numId w:val="2"/>
        </w:numPr>
        <w:rPr>
          <w:rFonts w:asciiTheme="minorHAnsi" w:hAnsiTheme="minorHAnsi" w:cstheme="minorBidi"/>
          <w:color w:val="auto"/>
        </w:rPr>
      </w:pPr>
      <w:r w:rsidRPr="00B13E74">
        <w:rPr>
          <w:rFonts w:asciiTheme="minorHAnsi" w:hAnsiTheme="minorHAnsi" w:cstheme="minorBidi"/>
          <w:color w:val="auto"/>
        </w:rPr>
        <w:t xml:space="preserve">Obtaining a list of contacts </w:t>
      </w:r>
      <w:r>
        <w:rPr>
          <w:rFonts w:asciiTheme="minorHAnsi" w:hAnsiTheme="minorHAnsi" w:cstheme="minorBidi"/>
          <w:color w:val="auto"/>
        </w:rPr>
        <w:t>(</w:t>
      </w:r>
      <w:r w:rsidRPr="00DE0A2F">
        <w:rPr>
          <w:rFonts w:asciiTheme="minorHAnsi" w:hAnsiTheme="minorHAnsi" w:cstheme="minorBidi"/>
          <w:color w:val="auto"/>
        </w:rPr>
        <w:t xml:space="preserve">including names, date of birth, addresses and </w:t>
      </w:r>
      <w:r>
        <w:rPr>
          <w:rFonts w:asciiTheme="minorHAnsi" w:hAnsiTheme="minorHAnsi" w:cstheme="minorBidi"/>
          <w:color w:val="auto"/>
        </w:rPr>
        <w:t xml:space="preserve">contact details) and categorising </w:t>
      </w:r>
      <w:r w:rsidRPr="00B13E74">
        <w:rPr>
          <w:rFonts w:asciiTheme="minorHAnsi" w:hAnsiTheme="minorHAnsi" w:cstheme="minorBidi"/>
          <w:color w:val="auto"/>
        </w:rPr>
        <w:t>the contacts acc</w:t>
      </w:r>
      <w:r>
        <w:rPr>
          <w:rFonts w:asciiTheme="minorHAnsi" w:hAnsiTheme="minorHAnsi" w:cstheme="minorBidi"/>
          <w:color w:val="auto"/>
        </w:rPr>
        <w:t>ording to their estimated risk (see 6.2</w:t>
      </w:r>
      <w:r w:rsidRPr="00B13E74">
        <w:rPr>
          <w:rFonts w:asciiTheme="minorHAnsi" w:hAnsiTheme="minorHAnsi" w:cstheme="minorBidi"/>
          <w:color w:val="auto"/>
        </w:rPr>
        <w:t>)</w:t>
      </w:r>
    </w:p>
    <w:p w14:paraId="393843E8" w14:textId="77777777" w:rsidR="00EE4000" w:rsidRPr="00B13E74" w:rsidRDefault="00EE4000" w:rsidP="007944C6">
      <w:pPr>
        <w:pStyle w:val="Bullet"/>
        <w:numPr>
          <w:ilvl w:val="1"/>
          <w:numId w:val="2"/>
        </w:numPr>
        <w:rPr>
          <w:rFonts w:asciiTheme="minorHAnsi" w:hAnsiTheme="minorHAnsi" w:cstheme="minorBidi"/>
          <w:color w:val="auto"/>
        </w:rPr>
      </w:pPr>
      <w:r w:rsidRPr="00B13E74">
        <w:rPr>
          <w:rFonts w:asciiTheme="minorHAnsi" w:hAnsiTheme="minorHAnsi" w:cstheme="minorBidi"/>
          <w:color w:val="auto"/>
        </w:rPr>
        <w:t xml:space="preserve">Screening all </w:t>
      </w:r>
      <w:proofErr w:type="gramStart"/>
      <w:r w:rsidRPr="00B13E74">
        <w:rPr>
          <w:rFonts w:asciiTheme="minorHAnsi" w:hAnsiTheme="minorHAnsi" w:cstheme="minorBidi"/>
          <w:color w:val="auto"/>
        </w:rPr>
        <w:t>high risk</w:t>
      </w:r>
      <w:proofErr w:type="gramEnd"/>
      <w:r w:rsidRPr="00B13E74">
        <w:rPr>
          <w:rFonts w:asciiTheme="minorHAnsi" w:hAnsiTheme="minorHAnsi" w:cstheme="minorBidi"/>
          <w:color w:val="auto"/>
        </w:rPr>
        <w:t xml:space="preserve"> contacts of the </w:t>
      </w:r>
      <w:r>
        <w:rPr>
          <w:rFonts w:asciiTheme="minorHAnsi" w:hAnsiTheme="minorHAnsi" w:cstheme="minorBidi"/>
          <w:color w:val="auto"/>
        </w:rPr>
        <w:t>person/</w:t>
      </w:r>
      <w:r w:rsidRPr="00B13E74">
        <w:rPr>
          <w:rFonts w:asciiTheme="minorHAnsi" w:hAnsiTheme="minorHAnsi" w:cstheme="minorBidi"/>
          <w:color w:val="auto"/>
        </w:rPr>
        <w:t>case in a timely manner, c</w:t>
      </w:r>
      <w:r>
        <w:rPr>
          <w:rFonts w:asciiTheme="minorHAnsi" w:hAnsiTheme="minorHAnsi" w:cstheme="minorBidi"/>
          <w:color w:val="auto"/>
        </w:rPr>
        <w:t>onsistent with these guidelines</w:t>
      </w:r>
    </w:p>
    <w:p w14:paraId="3E91F99E" w14:textId="77777777" w:rsidR="00EE4000" w:rsidRPr="00B13E74" w:rsidRDefault="00EE4000" w:rsidP="007944C6">
      <w:pPr>
        <w:pStyle w:val="Bullet"/>
        <w:numPr>
          <w:ilvl w:val="1"/>
          <w:numId w:val="2"/>
        </w:numPr>
        <w:rPr>
          <w:rFonts w:asciiTheme="minorHAnsi" w:hAnsiTheme="minorHAnsi" w:cstheme="minorBidi"/>
          <w:color w:val="auto"/>
        </w:rPr>
      </w:pPr>
      <w:r w:rsidRPr="00B13E74">
        <w:rPr>
          <w:rFonts w:asciiTheme="minorHAnsi" w:hAnsiTheme="minorHAnsi" w:cstheme="minorBidi"/>
          <w:color w:val="auto"/>
        </w:rPr>
        <w:t>Consider</w:t>
      </w:r>
      <w:r>
        <w:rPr>
          <w:rFonts w:asciiTheme="minorHAnsi" w:hAnsiTheme="minorHAnsi" w:cstheme="minorBidi"/>
          <w:color w:val="auto"/>
        </w:rPr>
        <w:t>ing</w:t>
      </w:r>
      <w:r w:rsidRPr="00B13E74">
        <w:rPr>
          <w:rFonts w:asciiTheme="minorHAnsi" w:hAnsiTheme="minorHAnsi" w:cstheme="minorBidi"/>
          <w:color w:val="auto"/>
        </w:rPr>
        <w:t xml:space="preserve"> examining medium risk contacts (and if required, lower risk contacts), </w:t>
      </w:r>
      <w:r>
        <w:rPr>
          <w:rFonts w:asciiTheme="minorHAnsi" w:hAnsiTheme="minorHAnsi" w:cstheme="minorBidi"/>
          <w:color w:val="auto"/>
        </w:rPr>
        <w:t>depending on the results of higher-risk</w:t>
      </w:r>
      <w:r w:rsidRPr="00B13E74">
        <w:rPr>
          <w:rFonts w:asciiTheme="minorHAnsi" w:hAnsiTheme="minorHAnsi" w:cstheme="minorBidi"/>
          <w:color w:val="auto"/>
        </w:rPr>
        <w:t xml:space="preserve"> screen</w:t>
      </w:r>
      <w:r>
        <w:rPr>
          <w:rFonts w:asciiTheme="minorHAnsi" w:hAnsiTheme="minorHAnsi" w:cstheme="minorBidi"/>
          <w:color w:val="auto"/>
        </w:rPr>
        <w:t>s and</w:t>
      </w:r>
    </w:p>
    <w:p w14:paraId="0121F02E" w14:textId="7ADF8338" w:rsidR="00EE4000" w:rsidRPr="00B13E74" w:rsidRDefault="00EE4000" w:rsidP="007944C6">
      <w:pPr>
        <w:pStyle w:val="Bullet"/>
        <w:numPr>
          <w:ilvl w:val="1"/>
          <w:numId w:val="2"/>
        </w:numPr>
        <w:rPr>
          <w:rFonts w:asciiTheme="minorHAnsi" w:hAnsiTheme="minorHAnsi" w:cstheme="minorBidi"/>
          <w:color w:val="auto"/>
        </w:rPr>
      </w:pPr>
      <w:r w:rsidRPr="00B13E74">
        <w:rPr>
          <w:rFonts w:asciiTheme="minorHAnsi" w:hAnsiTheme="minorHAnsi" w:cstheme="minorBidi"/>
          <w:color w:val="auto"/>
        </w:rPr>
        <w:t xml:space="preserve">Managing </w:t>
      </w:r>
      <w:r>
        <w:rPr>
          <w:rFonts w:asciiTheme="minorHAnsi" w:hAnsiTheme="minorHAnsi" w:cstheme="minorBidi"/>
          <w:color w:val="auto"/>
        </w:rPr>
        <w:t>people</w:t>
      </w:r>
      <w:r w:rsidRPr="00B13E74">
        <w:rPr>
          <w:rFonts w:asciiTheme="minorHAnsi" w:hAnsiTheme="minorHAnsi" w:cstheme="minorBidi"/>
          <w:color w:val="auto"/>
        </w:rPr>
        <w:t xml:space="preserve"> with </w:t>
      </w:r>
      <w:r w:rsidR="004606B6">
        <w:rPr>
          <w:rFonts w:asciiTheme="minorHAnsi" w:hAnsiTheme="minorHAnsi" w:cstheme="minorBidi"/>
          <w:color w:val="auto"/>
        </w:rPr>
        <w:t xml:space="preserve">TB infection </w:t>
      </w:r>
      <w:r w:rsidRPr="00B13E74">
        <w:rPr>
          <w:rFonts w:asciiTheme="minorHAnsi" w:hAnsiTheme="minorHAnsi" w:cstheme="minorBidi"/>
          <w:color w:val="auto"/>
        </w:rPr>
        <w:t>promptly.</w:t>
      </w:r>
    </w:p>
    <w:p w14:paraId="58F7095F" w14:textId="77777777" w:rsidR="00EE4000" w:rsidRPr="00F667D3" w:rsidRDefault="00EE4000" w:rsidP="007944C6">
      <w:pPr>
        <w:pStyle w:val="Heading5"/>
      </w:pPr>
      <w:bookmarkStart w:id="20" w:name="_Toc119064888"/>
      <w:r>
        <w:lastRenderedPageBreak/>
        <w:t>6.4</w:t>
      </w:r>
      <w:r w:rsidRPr="00F667D3">
        <w:t xml:space="preserve"> Timeframe</w:t>
      </w:r>
      <w:r>
        <w:t xml:space="preserve"> for contact tracing</w:t>
      </w:r>
      <w:bookmarkEnd w:id="20"/>
    </w:p>
    <w:p w14:paraId="182F6BA7" w14:textId="77777777" w:rsidR="00EE4000" w:rsidRDefault="00EE4000" w:rsidP="007944C6">
      <w:pPr>
        <w:pStyle w:val="Bullet"/>
      </w:pPr>
      <w:r w:rsidRPr="00A86A26">
        <w:t xml:space="preserve">Contact tracing should begin as soon as possible after an index case has been diagnosed with </w:t>
      </w:r>
      <w:r>
        <w:t>TB</w:t>
      </w:r>
      <w:r w:rsidRPr="00A86A26">
        <w:t xml:space="preserve">. </w:t>
      </w:r>
    </w:p>
    <w:p w14:paraId="6E419146" w14:textId="77777777" w:rsidR="00EE4000" w:rsidRDefault="00EE4000" w:rsidP="007944C6">
      <w:pPr>
        <w:pStyle w:val="Bullet"/>
      </w:pPr>
      <w:r>
        <w:t>H</w:t>
      </w:r>
      <w:r w:rsidRPr="00F667D3">
        <w:t xml:space="preserve">igh risk contacts of </w:t>
      </w:r>
      <w:r>
        <w:t xml:space="preserve">people with </w:t>
      </w:r>
      <w:r w:rsidRPr="00F667D3">
        <w:t xml:space="preserve">highly infectious </w:t>
      </w:r>
      <w:r>
        <w:t>TB</w:t>
      </w:r>
      <w:r w:rsidRPr="00F667D3">
        <w:t xml:space="preserve"> should be assessed with</w:t>
      </w:r>
      <w:r>
        <w:t>in 7 days of diagnosis of the index case</w:t>
      </w:r>
      <w:r w:rsidRPr="00F667D3">
        <w:t>.</w:t>
      </w:r>
    </w:p>
    <w:p w14:paraId="161FAD7C" w14:textId="039F2601" w:rsidR="00EE4000" w:rsidRPr="00F667D3" w:rsidRDefault="00EE4000" w:rsidP="00B02CC5">
      <w:pPr>
        <w:pStyle w:val="Bullet"/>
      </w:pPr>
      <w:r w:rsidRPr="00F667D3">
        <w:t xml:space="preserve">High risk contacts of </w:t>
      </w:r>
      <w:r>
        <w:t xml:space="preserve">people with </w:t>
      </w:r>
      <w:r w:rsidRPr="00F667D3">
        <w:t>medium or low infectiousness</w:t>
      </w:r>
      <w:r>
        <w:t xml:space="preserve"> TB</w:t>
      </w:r>
      <w:r w:rsidRPr="00F667D3">
        <w:t xml:space="preserve"> should be assessed within 14 days of notification of diagnosis.</w:t>
      </w:r>
    </w:p>
    <w:p w14:paraId="584F1BE7" w14:textId="77777777" w:rsidR="00EE4000" w:rsidRPr="004C2A63" w:rsidRDefault="00EE4000" w:rsidP="007944C6">
      <w:pPr>
        <w:pStyle w:val="Heading5"/>
      </w:pPr>
      <w:bookmarkStart w:id="21" w:name="_Toc119064889"/>
      <w:r>
        <w:t>6</w:t>
      </w:r>
      <w:r w:rsidRPr="004C2A63">
        <w:t xml:space="preserve">.5 </w:t>
      </w:r>
      <w:r>
        <w:t xml:space="preserve">Investigation </w:t>
      </w:r>
      <w:r w:rsidRPr="004C2A63">
        <w:t>of identified contacts</w:t>
      </w:r>
      <w:bookmarkEnd w:id="21"/>
    </w:p>
    <w:p w14:paraId="6DEE4D0C" w14:textId="77777777" w:rsidR="00EE4000" w:rsidRPr="004C2A63" w:rsidRDefault="00EE4000" w:rsidP="007944C6">
      <w:pPr>
        <w:pStyle w:val="Bullet"/>
      </w:pPr>
      <w:r w:rsidRPr="004C2A63">
        <w:t>Contact investigation consists of:</w:t>
      </w:r>
    </w:p>
    <w:p w14:paraId="6A0EC748" w14:textId="77777777" w:rsidR="00EE4000" w:rsidRPr="004C2A63" w:rsidRDefault="00EE4000" w:rsidP="007944C6">
      <w:pPr>
        <w:pStyle w:val="Bullet"/>
        <w:numPr>
          <w:ilvl w:val="1"/>
          <w:numId w:val="2"/>
        </w:numPr>
      </w:pPr>
      <w:r w:rsidRPr="004C2A63">
        <w:t>history taking</w:t>
      </w:r>
    </w:p>
    <w:p w14:paraId="54001429" w14:textId="77777777" w:rsidR="00EE4000" w:rsidRPr="004C2A63" w:rsidRDefault="00EE4000" w:rsidP="007944C6">
      <w:pPr>
        <w:pStyle w:val="Bullet"/>
        <w:numPr>
          <w:ilvl w:val="1"/>
          <w:numId w:val="2"/>
        </w:numPr>
      </w:pPr>
      <w:r w:rsidRPr="004C2A63">
        <w:t>screen</w:t>
      </w:r>
      <w:r>
        <w:t>ing</w:t>
      </w:r>
      <w:r w:rsidRPr="004C2A63">
        <w:t xml:space="preserve"> for TB infection</w:t>
      </w:r>
      <w:r>
        <w:t>/disease and</w:t>
      </w:r>
    </w:p>
    <w:p w14:paraId="22123E2A" w14:textId="4907F7F6" w:rsidR="00EE4000" w:rsidRDefault="00EE4000" w:rsidP="007944C6">
      <w:pPr>
        <w:pStyle w:val="Bullet"/>
        <w:numPr>
          <w:ilvl w:val="1"/>
          <w:numId w:val="2"/>
        </w:numPr>
      </w:pPr>
      <w:r w:rsidRPr="00C1134E">
        <w:t>radiographic examination</w:t>
      </w:r>
      <w:r w:rsidR="00AE533A">
        <w:t xml:space="preserve"> when indicated </w:t>
      </w:r>
      <w:proofErr w:type="spellStart"/>
      <w:r w:rsidR="00AE533A">
        <w:t>ie</w:t>
      </w:r>
      <w:proofErr w:type="spellEnd"/>
      <w:r w:rsidR="00AE533A">
        <w:t>: close contact or positive screening test</w:t>
      </w:r>
      <w:r w:rsidRPr="00C1134E">
        <w:t xml:space="preserve">, </w:t>
      </w:r>
    </w:p>
    <w:p w14:paraId="30E79FDC" w14:textId="77777777" w:rsidR="00EE4000" w:rsidRPr="00A24EF8" w:rsidRDefault="00EE4000" w:rsidP="007944C6">
      <w:pPr>
        <w:pStyle w:val="Bullet"/>
      </w:pPr>
      <w:r w:rsidRPr="00A24EF8">
        <w:t xml:space="preserve">In Australia, tuberculin skin testing (TST) and the interferon gamma release assay (IGRA) are both available for </w:t>
      </w:r>
      <w:r>
        <w:t>i</w:t>
      </w:r>
      <w:r w:rsidRPr="00A24EF8">
        <w:t xml:space="preserve">dentifying persons infected with </w:t>
      </w:r>
      <w:r w:rsidRPr="00893E0C">
        <w:t>MTB</w:t>
      </w:r>
      <w:r>
        <w:t>.</w:t>
      </w:r>
    </w:p>
    <w:p w14:paraId="40EC8327" w14:textId="77777777" w:rsidR="00EE4000" w:rsidRDefault="00EE4000" w:rsidP="007944C6">
      <w:pPr>
        <w:pStyle w:val="Bullet"/>
      </w:pPr>
      <w:r>
        <w:t xml:space="preserve">Either TST or IGRA can be used in adults exposed to people with active TB disease (i.e. in contact tracing). </w:t>
      </w:r>
    </w:p>
    <w:p w14:paraId="4C704CE7" w14:textId="3076436E" w:rsidR="00EE4000" w:rsidRPr="00230B68" w:rsidRDefault="00EE4000" w:rsidP="007944C6">
      <w:pPr>
        <w:pStyle w:val="Bullet"/>
      </w:pPr>
      <w:r>
        <w:t xml:space="preserve">IGRA may be preferred in contacts with a history of non-TB mycobacteria (NTM) </w:t>
      </w:r>
      <w:r w:rsidR="4E6B4FED">
        <w:t>infection</w:t>
      </w:r>
      <w:r>
        <w:t xml:space="preserve">, </w:t>
      </w:r>
      <w:r w:rsidRPr="00230B68">
        <w:t xml:space="preserve">multiple BCG immunisations, or immunisation with BCG after the age of </w:t>
      </w:r>
      <w:r w:rsidR="007462CB" w:rsidRPr="00230B68">
        <w:t>5 years</w:t>
      </w:r>
      <w:r w:rsidRPr="00230B68">
        <w:t>.</w:t>
      </w:r>
    </w:p>
    <w:p w14:paraId="0B431CAD" w14:textId="77777777" w:rsidR="00EE4000" w:rsidRPr="00230B68" w:rsidRDefault="00EE4000" w:rsidP="1779223D">
      <w:pPr>
        <w:pStyle w:val="Bullet"/>
      </w:pPr>
      <w:r w:rsidRPr="00230B68">
        <w:t>In children from low TB endemic settings, discordance between IGRA and TST results and indeterminate IGRA results are common.</w:t>
      </w:r>
      <w:bookmarkStart w:id="22" w:name="_Toc473791597"/>
    </w:p>
    <w:p w14:paraId="28AFDBC3" w14:textId="0ED9415C" w:rsidR="00EE4000" w:rsidRPr="00230B68" w:rsidRDefault="00EE4000" w:rsidP="1779223D">
      <w:pPr>
        <w:pStyle w:val="Bullet"/>
      </w:pPr>
      <w:r w:rsidRPr="00230B68">
        <w:t xml:space="preserve">Therefore, IGRA and TST are acceptable alternatives for </w:t>
      </w:r>
      <w:r w:rsidR="00AE533A" w:rsidRPr="00230B68">
        <w:t xml:space="preserve">TB infection </w:t>
      </w:r>
      <w:r w:rsidRPr="00230B68">
        <w:t xml:space="preserve">diagnosis in children, but </w:t>
      </w:r>
      <w:r w:rsidRPr="00230B68">
        <w:rPr>
          <w:i/>
          <w:iCs/>
        </w:rPr>
        <w:t xml:space="preserve">neither test can be used to exclude </w:t>
      </w:r>
      <w:r w:rsidR="00AE533A" w:rsidRPr="00230B68">
        <w:rPr>
          <w:i/>
          <w:iCs/>
        </w:rPr>
        <w:t>TB infection</w:t>
      </w:r>
      <w:r w:rsidRPr="00230B68">
        <w:rPr>
          <w:i/>
          <w:iCs/>
        </w:rPr>
        <w:t>.</w:t>
      </w:r>
      <w:r w:rsidRPr="00230B68">
        <w:t xml:space="preserve"> IGRA may be the preferred test for screening for </w:t>
      </w:r>
      <w:r w:rsidR="00AE533A" w:rsidRPr="00230B68">
        <w:t xml:space="preserve">TB infection </w:t>
      </w:r>
      <w:r w:rsidRPr="00230B68">
        <w:t>in children with prior BCG vaccination.</w:t>
      </w:r>
      <w:bookmarkEnd w:id="22"/>
    </w:p>
    <w:p w14:paraId="7D8E832E" w14:textId="77777777" w:rsidR="00EE4000" w:rsidRPr="00230B68" w:rsidRDefault="00EE4000" w:rsidP="1779223D">
      <w:pPr>
        <w:pStyle w:val="Bullet"/>
      </w:pPr>
      <w:r w:rsidRPr="00230B68">
        <w:t>In children, the infectiousness of the source case, the proximity and duration of contact, and the risk of the child progressing to disease (greatest in children under 5 years of age with recent TB exposure) are the most important factors in deciding the need for preventive therapy, irrespective of the IGRA or TST result.</w:t>
      </w:r>
    </w:p>
    <w:p w14:paraId="5F4B7684" w14:textId="77777777" w:rsidR="00EE4000" w:rsidRDefault="00EE4000" w:rsidP="007944C6">
      <w:pPr>
        <w:pStyle w:val="Bullet"/>
      </w:pPr>
      <w:r w:rsidRPr="00230B68">
        <w:t xml:space="preserve">In recent contacts of a person with infectious TB, the TST/IGRA test may not become positive for 8 weeks. </w:t>
      </w:r>
      <w:proofErr w:type="gramStart"/>
      <w:r w:rsidRPr="00230B68">
        <w:t>Therefore</w:t>
      </w:r>
      <w:proofErr w:type="gramEnd"/>
      <w:r w:rsidRPr="00230B68">
        <w:t xml:space="preserve"> contacts who had a negative test within 8</w:t>
      </w:r>
      <w:r w:rsidRPr="22CF6BA1">
        <w:t xml:space="preserve"> weeks of their last exposure to a</w:t>
      </w:r>
      <w:r>
        <w:t xml:space="preserve"> person with</w:t>
      </w:r>
      <w:r w:rsidRPr="22CF6BA1">
        <w:t xml:space="preserve"> infectious TB should be retested 8-12 weeks after the last known exposure.</w:t>
      </w:r>
    </w:p>
    <w:p w14:paraId="645FB157" w14:textId="77777777" w:rsidR="00EE4000" w:rsidRPr="00317A43" w:rsidRDefault="00EE4000" w:rsidP="007944C6">
      <w:pPr>
        <w:pStyle w:val="Heading5"/>
      </w:pPr>
      <w:bookmarkStart w:id="23" w:name="_Toc119064890"/>
      <w:r>
        <w:t>6</w:t>
      </w:r>
      <w:r w:rsidRPr="00317A43">
        <w:t>.6 Privacy considerations</w:t>
      </w:r>
      <w:bookmarkEnd w:id="23"/>
    </w:p>
    <w:p w14:paraId="4623529D" w14:textId="77777777" w:rsidR="00EE4000" w:rsidRPr="00317A43" w:rsidRDefault="00EE4000" w:rsidP="007944C6">
      <w:pPr>
        <w:pStyle w:val="Bullet"/>
      </w:pPr>
      <w:r w:rsidRPr="00317A43">
        <w:t xml:space="preserve">Maintaining confidentiality is challenging during contact investigations because of the social connections between an index </w:t>
      </w:r>
      <w:r>
        <w:t>case</w:t>
      </w:r>
      <w:r w:rsidRPr="00317A43">
        <w:t xml:space="preserve"> and </w:t>
      </w:r>
      <w:r>
        <w:t xml:space="preserve">their </w:t>
      </w:r>
      <w:r w:rsidRPr="00317A43">
        <w:t xml:space="preserve">contacts. Constant attention is required to </w:t>
      </w:r>
      <w:r w:rsidRPr="00317A43">
        <w:lastRenderedPageBreak/>
        <w:t xml:space="preserve">maintain confidentiality. Ongoing discussions with the index </w:t>
      </w:r>
      <w:r>
        <w:t>case</w:t>
      </w:r>
      <w:r w:rsidRPr="00317A43">
        <w:t xml:space="preserve"> and contacts regarding confidentiality are helpful in finding solutions, and individual preferences often can be accommodated</w:t>
      </w:r>
      <w:r>
        <w:t>.</w:t>
      </w:r>
    </w:p>
    <w:p w14:paraId="2EB45E87" w14:textId="1460EFC8" w:rsidR="00EE4000" w:rsidRPr="007944C6" w:rsidRDefault="00EE4000" w:rsidP="00EE4000">
      <w:pPr>
        <w:pStyle w:val="Bullet"/>
      </w:pPr>
      <w:r>
        <w:t>CHS</w:t>
      </w:r>
      <w:r w:rsidRPr="00317A43">
        <w:t xml:space="preserve"> is bound by the requirements of the </w:t>
      </w:r>
      <w:r w:rsidRPr="00317A43">
        <w:rPr>
          <w:i/>
        </w:rPr>
        <w:t>Information Privacy Act</w:t>
      </w:r>
      <w:r w:rsidRPr="00317A43">
        <w:t xml:space="preserve"> 2014 (ACT) and the </w:t>
      </w:r>
      <w:r w:rsidRPr="00FD1677">
        <w:rPr>
          <w:i/>
        </w:rPr>
        <w:t>Public Health Act 1997</w:t>
      </w:r>
      <w:r>
        <w:rPr>
          <w:i/>
        </w:rPr>
        <w:t>.</w:t>
      </w:r>
    </w:p>
    <w:p w14:paraId="589B1A49" w14:textId="77777777" w:rsidR="00EE4000" w:rsidRPr="00FA603B" w:rsidRDefault="00EE4000" w:rsidP="007944C6">
      <w:pPr>
        <w:pStyle w:val="Heading5"/>
      </w:pPr>
      <w:bookmarkStart w:id="24" w:name="_Toc119064891"/>
      <w:r>
        <w:t>6.7</w:t>
      </w:r>
      <w:r w:rsidRPr="00FA603B">
        <w:t xml:space="preserve"> Management of contacts</w:t>
      </w:r>
      <w:r>
        <w:t xml:space="preserve"> with suspected or confirmed TB infection</w:t>
      </w:r>
      <w:bookmarkEnd w:id="24"/>
    </w:p>
    <w:p w14:paraId="514C5A08" w14:textId="56AA533A" w:rsidR="00EE4000" w:rsidRDefault="00EE4000" w:rsidP="007944C6">
      <w:pPr>
        <w:pStyle w:val="Bullet"/>
      </w:pPr>
      <w:r>
        <w:t xml:space="preserve">While both IGRA and TST testing provide evidence for infection with MTB, they cannot distinguish </w:t>
      </w:r>
      <w:r w:rsidR="00F3006E">
        <w:t>between TB disease or TB infection</w:t>
      </w:r>
      <w:r>
        <w:t xml:space="preserve">. </w:t>
      </w:r>
    </w:p>
    <w:p w14:paraId="7926B3E1" w14:textId="63BAFF7E" w:rsidR="00EE4000" w:rsidRPr="0017157D" w:rsidRDefault="00EE4000" w:rsidP="007944C6">
      <w:pPr>
        <w:pStyle w:val="Bullet"/>
      </w:pPr>
      <w:r>
        <w:t>Any contacts with symptoms suspicious of TB</w:t>
      </w:r>
      <w:r w:rsidR="39449B93">
        <w:t xml:space="preserve"> disease</w:t>
      </w:r>
      <w:r>
        <w:t xml:space="preserve"> should be referred </w:t>
      </w:r>
      <w:r w:rsidR="43306BF7">
        <w:t xml:space="preserve">to an appropriate medical officer </w:t>
      </w:r>
      <w:r w:rsidRPr="5CA9FA65">
        <w:rPr>
          <w:i/>
          <w:iCs/>
        </w:rPr>
        <w:t>immediately</w:t>
      </w:r>
      <w:r>
        <w:t xml:space="preserve"> for review.</w:t>
      </w:r>
    </w:p>
    <w:p w14:paraId="5CCFA9CF" w14:textId="6A7B6D02" w:rsidR="00EE4000" w:rsidRPr="007D7041" w:rsidRDefault="00EE4000" w:rsidP="007944C6">
      <w:pPr>
        <w:pStyle w:val="Bullet"/>
      </w:pPr>
      <w:r>
        <w:t xml:space="preserve">Any asymptomatic contacts with an abnormal screening result suspicious of recent infection (positive TST and/or IGRA, abnormal chest x-ray), should be referred to a medical practitioner experienced in TB to exclude active disease and consider </w:t>
      </w:r>
      <w:r w:rsidR="00F3006E">
        <w:t xml:space="preserve">TB </w:t>
      </w:r>
      <w:r>
        <w:t>preventive treatment</w:t>
      </w:r>
      <w:r w:rsidR="00F3006E">
        <w:t xml:space="preserve"> (TPT)</w:t>
      </w:r>
      <w:r>
        <w:t xml:space="preserve"> as appropriate.</w:t>
      </w:r>
    </w:p>
    <w:p w14:paraId="25B259C5" w14:textId="0A65E42D" w:rsidR="00EE4000" w:rsidRPr="007D7041" w:rsidRDefault="00EE4000" w:rsidP="59B20A11">
      <w:pPr>
        <w:pStyle w:val="Bullet"/>
        <w:rPr>
          <w:rFonts w:cstheme="minorBidi"/>
          <w:color w:val="auto"/>
        </w:rPr>
      </w:pPr>
      <w:r w:rsidRPr="5CA9FA65">
        <w:rPr>
          <w:rFonts w:cstheme="minorBidi"/>
          <w:color w:val="auto"/>
        </w:rPr>
        <w:t xml:space="preserve">Treatment of people with </w:t>
      </w:r>
      <w:r w:rsidR="57F1AB0B" w:rsidRPr="5CA9FA65">
        <w:rPr>
          <w:rFonts w:cstheme="minorBidi"/>
          <w:color w:val="auto"/>
        </w:rPr>
        <w:t>TB infection</w:t>
      </w:r>
      <w:r w:rsidRPr="5CA9FA65">
        <w:rPr>
          <w:rFonts w:cstheme="minorBidi"/>
          <w:color w:val="auto"/>
        </w:rPr>
        <w:t xml:space="preserve"> is outside the scope of this protocol but should be directed by a physician experienced in managing TB</w:t>
      </w:r>
      <w:r w:rsidR="795B10E5" w:rsidRPr="5CA9FA65">
        <w:rPr>
          <w:rFonts w:cstheme="minorBidi"/>
          <w:color w:val="auto"/>
        </w:rPr>
        <w:t>I</w:t>
      </w:r>
      <w:r w:rsidRPr="5CA9FA65">
        <w:rPr>
          <w:rFonts w:cstheme="minorBidi"/>
          <w:color w:val="auto"/>
        </w:rPr>
        <w:t xml:space="preserve"> and be in line </w:t>
      </w:r>
      <w:r>
        <w:t>with endorsed national therapeutic guidelines, as well as international guidelines, where appropriate.</w:t>
      </w:r>
    </w:p>
    <w:p w14:paraId="462A9FCD" w14:textId="2C6A36B8" w:rsidR="00EE4000" w:rsidRPr="00E670A1" w:rsidRDefault="00EE4000" w:rsidP="007944C6">
      <w:pPr>
        <w:pStyle w:val="Bullet"/>
      </w:pPr>
      <w:r w:rsidRPr="5CA9FA65">
        <w:rPr>
          <w:rFonts w:cstheme="minorBidi"/>
        </w:rPr>
        <w:t xml:space="preserve">If preventive treatment is not given because of a medical contraindication or the person refuses, then the individual should remain under clinical and radiological surveillance for at </w:t>
      </w:r>
      <w:r w:rsidRPr="00E670A1">
        <w:rPr>
          <w:rFonts w:cstheme="minorBidi"/>
        </w:rPr>
        <w:t>least</w:t>
      </w:r>
      <w:r w:rsidR="0ED8E370" w:rsidRPr="00E670A1">
        <w:rPr>
          <w:rFonts w:cstheme="minorBidi"/>
        </w:rPr>
        <w:t xml:space="preserve"> </w:t>
      </w:r>
      <w:r w:rsidR="314B6B74" w:rsidRPr="00E670A1">
        <w:rPr>
          <w:rFonts w:cstheme="minorBidi"/>
        </w:rPr>
        <w:t>2</w:t>
      </w:r>
      <w:r w:rsidRPr="00E670A1">
        <w:rPr>
          <w:rFonts w:cstheme="minorBidi"/>
        </w:rPr>
        <w:t xml:space="preserve"> years.</w:t>
      </w:r>
      <w:r w:rsidRPr="00E670A1">
        <w:t xml:space="preserve"> The period of follow up may be longer</w:t>
      </w:r>
      <w:r w:rsidR="06E6217B" w:rsidRPr="00E670A1">
        <w:t xml:space="preserve"> </w:t>
      </w:r>
      <w:r w:rsidRPr="00E670A1">
        <w:t>at the discretion of the specialist treating physician.</w:t>
      </w:r>
    </w:p>
    <w:p w14:paraId="6C414F04" w14:textId="5B5DD3CB" w:rsidR="00EE4000" w:rsidRPr="00E670A1" w:rsidRDefault="00EE4000" w:rsidP="1779223D">
      <w:pPr>
        <w:pStyle w:val="Bullet"/>
        <w:rPr>
          <w:rFonts w:cstheme="minorBidi"/>
          <w:color w:val="auto"/>
        </w:rPr>
      </w:pPr>
      <w:r w:rsidRPr="00E670A1">
        <w:rPr>
          <w:rFonts w:cstheme="minorBidi"/>
          <w:color w:val="auto"/>
        </w:rPr>
        <w:t xml:space="preserve">In children under 5 years of age where </w:t>
      </w:r>
      <w:r w:rsidR="7D1C90B9" w:rsidRPr="00E670A1">
        <w:rPr>
          <w:rFonts w:cstheme="minorBidi"/>
          <w:color w:val="auto"/>
        </w:rPr>
        <w:t>TBD</w:t>
      </w:r>
      <w:r w:rsidRPr="00E670A1">
        <w:rPr>
          <w:rFonts w:cstheme="minorBidi"/>
          <w:color w:val="auto"/>
        </w:rPr>
        <w:t xml:space="preserve"> has been ruled out, consideration should be given to the commencement of preventive therapy (regardless of TST result) until infection is excluded.</w:t>
      </w:r>
    </w:p>
    <w:p w14:paraId="20813A9A" w14:textId="07BAEFFA" w:rsidR="00EE4000" w:rsidRDefault="00EE4000" w:rsidP="59B20A11">
      <w:pPr>
        <w:pStyle w:val="Bullet"/>
        <w:rPr>
          <w:rFonts w:cstheme="minorBidi"/>
          <w:color w:val="auto"/>
        </w:rPr>
      </w:pPr>
      <w:r w:rsidRPr="59B20A11">
        <w:rPr>
          <w:rFonts w:cstheme="minorBidi"/>
          <w:color w:val="auto"/>
        </w:rPr>
        <w:t xml:space="preserve">Contacts should be advised about the nature of TB infection and disease, its mode of transmission and the importance of adhering to follow up plans and treatment for TBI (if prescribed) using a qualified interpreter as appropriate. Refer to Language Services – Interpreters and Translated Materials </w:t>
      </w:r>
    </w:p>
    <w:p w14:paraId="18B1DA06" w14:textId="1E555559" w:rsidR="00EE4000" w:rsidRDefault="00EE4000" w:rsidP="59B20A11">
      <w:pPr>
        <w:pStyle w:val="Bullet"/>
        <w:rPr>
          <w:rFonts w:cstheme="minorBidi"/>
          <w:color w:val="auto"/>
        </w:rPr>
      </w:pPr>
      <w:r w:rsidRPr="5CA9FA65">
        <w:rPr>
          <w:rFonts w:cstheme="minorBidi"/>
          <w:color w:val="auto"/>
        </w:rPr>
        <w:t xml:space="preserve">Counselling about the risks of reactivation  and awareness of the symptoms of TB disease must be provided and particularly emphasised to person with a positive screening test and not receiving preventive treatment. </w:t>
      </w:r>
    </w:p>
    <w:p w14:paraId="7A05D4DE" w14:textId="77777777" w:rsidR="00EE4000" w:rsidRDefault="00EE4000" w:rsidP="17CE26E7">
      <w:pPr>
        <w:pStyle w:val="Bullet"/>
        <w:rPr>
          <w:rFonts w:cstheme="minorBidi"/>
          <w:color w:val="auto"/>
        </w:rPr>
      </w:pPr>
      <w:r w:rsidRPr="17CE26E7">
        <w:rPr>
          <w:rFonts w:cstheme="minorBidi"/>
          <w:color w:val="auto"/>
        </w:rPr>
        <w:t>Translated fact sheets should be provided to the person, as appropriate (</w:t>
      </w:r>
      <w:r w:rsidRPr="17CE26E7">
        <w:rPr>
          <w:rFonts w:cstheme="minorBidi"/>
          <w:i/>
          <w:iCs/>
          <w:color w:val="auto"/>
        </w:rPr>
        <w:t>see</w:t>
      </w:r>
      <w:r w:rsidRPr="17CE26E7">
        <w:rPr>
          <w:rFonts w:cstheme="minorBidi"/>
          <w:color w:val="auto"/>
        </w:rPr>
        <w:t xml:space="preserve"> </w:t>
      </w:r>
      <w:hyperlink r:id="rId12">
        <w:r w:rsidRPr="17CE26E7">
          <w:rPr>
            <w:rStyle w:val="Hyperlink"/>
            <w:rFonts w:asciiTheme="minorHAnsi" w:hAnsiTheme="minorHAnsi" w:cstheme="minorBidi"/>
          </w:rPr>
          <w:t>http://www.health.nsw.gov.au/Infectious/tuberculosis/Pages/tuberculosis-factsheets-languages.aspx</w:t>
        </w:r>
      </w:hyperlink>
      <w:r w:rsidRPr="17CE26E7">
        <w:rPr>
          <w:rFonts w:cstheme="minorBidi"/>
          <w:color w:val="auto"/>
        </w:rPr>
        <w:t>).</w:t>
      </w:r>
    </w:p>
    <w:p w14:paraId="09A512AF" w14:textId="061A9000" w:rsidR="00F3006E" w:rsidRPr="003F3529" w:rsidRDefault="00F3006E" w:rsidP="17CE26E7">
      <w:pPr>
        <w:pStyle w:val="Bullet"/>
        <w:rPr>
          <w:rFonts w:cstheme="minorBidi"/>
          <w:color w:val="auto"/>
        </w:rPr>
      </w:pPr>
      <w:r>
        <w:rPr>
          <w:rFonts w:cstheme="minorBidi"/>
          <w:color w:val="auto"/>
        </w:rPr>
        <w:lastRenderedPageBreak/>
        <w:t xml:space="preserve">If preferred language information sheet is not available phone or Face to Face interpreter should be used. </w:t>
      </w:r>
    </w:p>
    <w:p w14:paraId="21E95C69" w14:textId="77777777" w:rsidR="00EE4000" w:rsidRDefault="00EE4000" w:rsidP="007944C6">
      <w:pPr>
        <w:pStyle w:val="Heading5"/>
      </w:pPr>
      <w:bookmarkStart w:id="25" w:name="_Toc119064892"/>
      <w:r>
        <w:t>6.8</w:t>
      </w:r>
      <w:r w:rsidRPr="000C5BB6">
        <w:t xml:space="preserve"> Assessing the need to expand a contact investigation</w:t>
      </w:r>
      <w:bookmarkEnd w:id="25"/>
      <w:r w:rsidRPr="000C5BB6">
        <w:t xml:space="preserve"> </w:t>
      </w:r>
    </w:p>
    <w:p w14:paraId="108ADEB2" w14:textId="77777777" w:rsidR="00EE4000" w:rsidRPr="00866EB3" w:rsidRDefault="00EE4000" w:rsidP="007944C6">
      <w:pPr>
        <w:pStyle w:val="Bullet"/>
        <w:rPr>
          <w:rFonts w:asciiTheme="minorHAnsi" w:hAnsiTheme="minorHAnsi"/>
          <w:b/>
        </w:rPr>
      </w:pPr>
      <w:r>
        <w:t xml:space="preserve">After contact tracing has been carried out in each risk group, results should be evaluated to determine if transmission has occurred. </w:t>
      </w:r>
    </w:p>
    <w:p w14:paraId="3A8E0F22" w14:textId="77777777" w:rsidR="00EE4000" w:rsidRPr="00A91971" w:rsidRDefault="00EE4000" w:rsidP="007944C6">
      <w:pPr>
        <w:pStyle w:val="Bullet"/>
        <w:rPr>
          <w:rFonts w:asciiTheme="minorHAnsi" w:hAnsiTheme="minorHAnsi"/>
          <w:b/>
        </w:rPr>
      </w:pPr>
      <w:r>
        <w:t xml:space="preserve">As a guide, if the majority of the </w:t>
      </w:r>
      <w:proofErr w:type="gramStart"/>
      <w:r>
        <w:t>high risk</w:t>
      </w:r>
      <w:proofErr w:type="gramEnd"/>
      <w:r>
        <w:t xml:space="preserve"> contacts have been tested and all are TST and/or IGRA negative at initial screen and 3 months post contact, testing of more remote contacts is usually not necessary.</w:t>
      </w:r>
    </w:p>
    <w:p w14:paraId="76E7553A" w14:textId="77777777" w:rsidR="00EE4000" w:rsidRPr="00D13091" w:rsidRDefault="00EE4000" w:rsidP="007944C6">
      <w:pPr>
        <w:pStyle w:val="Bullet"/>
        <w:rPr>
          <w:rFonts w:asciiTheme="minorHAnsi" w:hAnsiTheme="minorHAnsi"/>
          <w:b/>
        </w:rPr>
      </w:pPr>
      <w:r w:rsidRPr="00A91971">
        <w:rPr>
          <w:rFonts w:asciiTheme="minorHAnsi" w:hAnsiTheme="minorHAnsi" w:cstheme="minorBidi"/>
        </w:rPr>
        <w:t>When determining whether to expand the contact investigation, consideration of factors that indicate recent transmission</w:t>
      </w:r>
      <w:r>
        <w:rPr>
          <w:rFonts w:asciiTheme="minorHAnsi" w:hAnsiTheme="minorHAnsi" w:cstheme="minorBidi"/>
        </w:rPr>
        <w:t xml:space="preserve"> is recommended, such as:</w:t>
      </w:r>
    </w:p>
    <w:p w14:paraId="23BD9605" w14:textId="7F9C5BC5" w:rsidR="00EE4000" w:rsidRPr="00506F2E" w:rsidRDefault="00EE4000" w:rsidP="59B20A11">
      <w:pPr>
        <w:pStyle w:val="Bullet"/>
        <w:rPr>
          <w:b/>
          <w:bCs/>
        </w:rPr>
      </w:pPr>
      <w:r>
        <w:t xml:space="preserve">an unexpectedly high rate of infection or disease in </w:t>
      </w:r>
      <w:proofErr w:type="gramStart"/>
      <w:r>
        <w:t>high risk</w:t>
      </w:r>
      <w:proofErr w:type="gramEnd"/>
      <w:r>
        <w:t xml:space="preserve"> contacts (e.g. 10% or higher than the rate of a similar population without recent exposure, whichever is greater)</w:t>
      </w:r>
    </w:p>
    <w:p w14:paraId="3B3112B6" w14:textId="77777777" w:rsidR="00EE4000" w:rsidRPr="00506F2E" w:rsidRDefault="00EE4000" w:rsidP="007944C6">
      <w:pPr>
        <w:pStyle w:val="Bullet"/>
        <w:numPr>
          <w:ilvl w:val="1"/>
          <w:numId w:val="2"/>
        </w:numPr>
        <w:rPr>
          <w:b/>
        </w:rPr>
      </w:pPr>
      <w:r w:rsidRPr="00A91971">
        <w:t xml:space="preserve">evidence </w:t>
      </w:r>
      <w:r>
        <w:t>of secondary transmission (i.e.</w:t>
      </w:r>
      <w:r w:rsidRPr="00A91971">
        <w:t xml:space="preserve"> from </w:t>
      </w:r>
      <w:r>
        <w:t xml:space="preserve">a person with </w:t>
      </w:r>
      <w:r w:rsidRPr="00A91971">
        <w:t>TB who w</w:t>
      </w:r>
      <w:r>
        <w:t>as</w:t>
      </w:r>
      <w:r w:rsidRPr="00A91971">
        <w:t xml:space="preserve"> infected after ex</w:t>
      </w:r>
      <w:r>
        <w:t>posure to the source person)</w:t>
      </w:r>
    </w:p>
    <w:p w14:paraId="64A7A23D" w14:textId="77777777" w:rsidR="00EE4000" w:rsidRPr="00506F2E" w:rsidRDefault="00EE4000" w:rsidP="007944C6">
      <w:pPr>
        <w:pStyle w:val="Bullet"/>
        <w:numPr>
          <w:ilvl w:val="1"/>
          <w:numId w:val="2"/>
        </w:numPr>
        <w:rPr>
          <w:b/>
        </w:rPr>
      </w:pPr>
      <w:r w:rsidRPr="00A91971">
        <w:t xml:space="preserve">TB disease in any contacts who had </w:t>
      </w:r>
      <w:r>
        <w:t xml:space="preserve">been assigned as low risk </w:t>
      </w:r>
    </w:p>
    <w:p w14:paraId="0E07DB00" w14:textId="77777777" w:rsidR="00EE4000" w:rsidRPr="00506F2E" w:rsidRDefault="00EE4000" w:rsidP="007944C6">
      <w:pPr>
        <w:pStyle w:val="Bullet"/>
        <w:numPr>
          <w:ilvl w:val="1"/>
          <w:numId w:val="2"/>
        </w:numPr>
        <w:rPr>
          <w:b/>
        </w:rPr>
      </w:pPr>
      <w:r w:rsidRPr="00A91971">
        <w:t>infection of contacts aged</w:t>
      </w:r>
      <w:r>
        <w:t xml:space="preserve"> under 5 years and/or</w:t>
      </w:r>
    </w:p>
    <w:p w14:paraId="5E69447F" w14:textId="77777777" w:rsidR="00EE4000" w:rsidRPr="00506F2E" w:rsidRDefault="00EE4000" w:rsidP="007944C6">
      <w:pPr>
        <w:pStyle w:val="Bullet"/>
        <w:numPr>
          <w:ilvl w:val="1"/>
          <w:numId w:val="2"/>
        </w:numPr>
        <w:rPr>
          <w:b/>
        </w:rPr>
      </w:pPr>
      <w:r>
        <w:t>contacts with change in screening test status from negative to positive between their baseline and follow up screen (i.e. test conversion).</w:t>
      </w:r>
    </w:p>
    <w:p w14:paraId="0775B081" w14:textId="77777777" w:rsidR="00EE4000" w:rsidRPr="001F138F" w:rsidRDefault="00EE4000" w:rsidP="007944C6">
      <w:pPr>
        <w:pStyle w:val="Bullet"/>
        <w:rPr>
          <w:b/>
        </w:rPr>
      </w:pPr>
      <w:r w:rsidRPr="001F138F">
        <w:t xml:space="preserve">Other considerations in determining the extent of contact tracing </w:t>
      </w:r>
      <w:r>
        <w:t xml:space="preserve">may </w:t>
      </w:r>
      <w:r w:rsidRPr="001F138F">
        <w:t>include:</w:t>
      </w:r>
    </w:p>
    <w:p w14:paraId="4900FBB6" w14:textId="77777777" w:rsidR="00EE4000" w:rsidRPr="001F138F" w:rsidRDefault="00EE4000" w:rsidP="007944C6">
      <w:pPr>
        <w:pStyle w:val="Bullet"/>
        <w:numPr>
          <w:ilvl w:val="1"/>
          <w:numId w:val="2"/>
        </w:numPr>
      </w:pPr>
      <w:r w:rsidRPr="001F138F">
        <w:t xml:space="preserve">Perception and public relations, </w:t>
      </w:r>
      <w:r>
        <w:t xml:space="preserve">including duty of care to employees </w:t>
      </w:r>
    </w:p>
    <w:p w14:paraId="45C54D75" w14:textId="77777777" w:rsidR="00EE4000" w:rsidRPr="00506F2E" w:rsidRDefault="00EE4000" w:rsidP="007944C6">
      <w:pPr>
        <w:pStyle w:val="Bullet"/>
        <w:numPr>
          <w:ilvl w:val="1"/>
          <w:numId w:val="2"/>
        </w:numPr>
        <w:rPr>
          <w:sz w:val="22"/>
          <w:szCs w:val="22"/>
        </w:rPr>
      </w:pPr>
      <w:r>
        <w:t xml:space="preserve">MDR- or XDR-TB in the index case – this is not generally considered </w:t>
      </w:r>
      <w:proofErr w:type="gramStart"/>
      <w:r>
        <w:t>more or less infectious</w:t>
      </w:r>
      <w:proofErr w:type="gramEnd"/>
      <w:r>
        <w:t>, but the consequences of transmission are potentially greater, so the imperative to identify infected contacts is</w:t>
      </w:r>
      <w:r w:rsidRPr="22CF6BA1">
        <w:rPr>
          <w:sz w:val="22"/>
          <w:szCs w:val="22"/>
        </w:rPr>
        <w:t xml:space="preserve"> greater.</w:t>
      </w:r>
    </w:p>
    <w:p w14:paraId="3D396143" w14:textId="77777777" w:rsidR="00EE4000" w:rsidRPr="00F667D3" w:rsidRDefault="00EE4000" w:rsidP="007944C6">
      <w:pPr>
        <w:pStyle w:val="Bullet"/>
      </w:pPr>
      <w:r w:rsidRPr="00F667D3">
        <w:t xml:space="preserve">Only if there is evidence of transmission in the </w:t>
      </w:r>
      <w:proofErr w:type="gramStart"/>
      <w:r w:rsidRPr="00F667D3">
        <w:t>high risk</w:t>
      </w:r>
      <w:proofErr w:type="gramEnd"/>
      <w:r w:rsidRPr="00F667D3">
        <w:t xml:space="preserve"> contacts group, should screening progress to the medium risk group.</w:t>
      </w:r>
    </w:p>
    <w:p w14:paraId="5D55266C" w14:textId="77777777" w:rsidR="00EE4000" w:rsidRDefault="00EE4000" w:rsidP="007944C6">
      <w:pPr>
        <w:pStyle w:val="Bullet"/>
      </w:pPr>
      <w:r w:rsidRPr="00F667D3">
        <w:t xml:space="preserve">Only if there is evidence of transmission in the medium risk group, should screening progress to the </w:t>
      </w:r>
      <w:proofErr w:type="gramStart"/>
      <w:r w:rsidRPr="00F667D3">
        <w:t>low risk</w:t>
      </w:r>
      <w:proofErr w:type="gramEnd"/>
      <w:r w:rsidRPr="00F667D3">
        <w:t xml:space="preserve"> group.</w:t>
      </w:r>
    </w:p>
    <w:p w14:paraId="26AFEA55" w14:textId="77777777" w:rsidR="00EE4000" w:rsidRPr="004700A6" w:rsidRDefault="00EE4000" w:rsidP="007944C6">
      <w:pPr>
        <w:pStyle w:val="Bullet"/>
        <w:rPr>
          <w:rFonts w:asciiTheme="minorHAnsi" w:hAnsiTheme="minorHAnsi"/>
        </w:rPr>
      </w:pPr>
      <w:r w:rsidRPr="004700A6">
        <w:rPr>
          <w:rFonts w:asciiTheme="minorHAnsi" w:hAnsiTheme="minorHAnsi"/>
        </w:rPr>
        <w:t xml:space="preserve">Screening of contacts of </w:t>
      </w:r>
      <w:r>
        <w:rPr>
          <w:rFonts w:asciiTheme="minorHAnsi" w:hAnsiTheme="minorHAnsi"/>
        </w:rPr>
        <w:t>people</w:t>
      </w:r>
      <w:r w:rsidRPr="004700A6">
        <w:rPr>
          <w:rFonts w:asciiTheme="minorHAnsi" w:hAnsiTheme="minorHAnsi"/>
        </w:rPr>
        <w:t xml:space="preserve"> with negligible infectiousness should be dependent on the overall risk assessment.</w:t>
      </w:r>
    </w:p>
    <w:p w14:paraId="45BD8456" w14:textId="77777777" w:rsidR="00EE4000" w:rsidRDefault="00EE4000" w:rsidP="00EE4000">
      <w:pPr>
        <w:pStyle w:val="Default"/>
        <w:rPr>
          <w:rFonts w:asciiTheme="minorHAnsi" w:hAnsiTheme="minorHAnsi" w:cstheme="minorBidi"/>
          <w:b/>
        </w:rPr>
      </w:pPr>
    </w:p>
    <w:p w14:paraId="128ABFB2" w14:textId="77777777" w:rsidR="00EE4000" w:rsidRPr="00E7614A" w:rsidRDefault="00EE4000" w:rsidP="007944C6">
      <w:pPr>
        <w:pStyle w:val="Heading5"/>
      </w:pPr>
      <w:bookmarkStart w:id="26" w:name="_Toc119064893"/>
      <w:r w:rsidRPr="00E7614A">
        <w:lastRenderedPageBreak/>
        <w:t>6.9 Special situations in contact tracing</w:t>
      </w:r>
      <w:bookmarkEnd w:id="26"/>
    </w:p>
    <w:p w14:paraId="6FE8CB14" w14:textId="77777777" w:rsidR="00EE4000" w:rsidRPr="00B641E0" w:rsidRDefault="00EE4000" w:rsidP="0E27A64C">
      <w:pPr>
        <w:pStyle w:val="Heading6"/>
        <w:rPr>
          <w:b/>
          <w:bCs/>
          <w:color w:val="auto"/>
        </w:rPr>
      </w:pPr>
      <w:r w:rsidRPr="005D2473">
        <w:rPr>
          <w:b/>
          <w:bCs/>
          <w:color w:val="auto"/>
        </w:rPr>
        <w:t xml:space="preserve">MDR-TB and XDR-TB </w:t>
      </w:r>
    </w:p>
    <w:p w14:paraId="00AB308E" w14:textId="61BCCD5D" w:rsidR="00EE4000" w:rsidRDefault="00EE4000" w:rsidP="007944C6">
      <w:pPr>
        <w:pStyle w:val="BodyCopy"/>
      </w:pPr>
      <w:r w:rsidRPr="22CF6BA1">
        <w:t xml:space="preserve">The approach to identifying infected contacts of </w:t>
      </w:r>
      <w:r>
        <w:t xml:space="preserve">a person with </w:t>
      </w:r>
      <w:r w:rsidRPr="22CF6BA1">
        <w:t xml:space="preserve">drug resistant </w:t>
      </w:r>
      <w:r>
        <w:t>TB</w:t>
      </w:r>
      <w:r w:rsidRPr="22CF6BA1">
        <w:t xml:space="preserve"> is the same as for a susceptible TB case. The risk of infection in contacts of a</w:t>
      </w:r>
      <w:r>
        <w:t xml:space="preserve"> person with</w:t>
      </w:r>
      <w:r w:rsidRPr="22CF6BA1">
        <w:t xml:space="preserve"> infectious MDR- or XDR-TB is not significantly different </w:t>
      </w:r>
      <w:r>
        <w:t xml:space="preserve">from the </w:t>
      </w:r>
      <w:r w:rsidRPr="22CF6BA1">
        <w:t xml:space="preserve">contacts </w:t>
      </w:r>
      <w:r>
        <w:t>of a person with</w:t>
      </w:r>
      <w:r w:rsidRPr="22CF6BA1">
        <w:t xml:space="preserve"> drug susceptible</w:t>
      </w:r>
      <w:r>
        <w:t xml:space="preserve"> TB</w:t>
      </w:r>
      <w:r w:rsidRPr="22CF6BA1">
        <w:t>.</w:t>
      </w:r>
    </w:p>
    <w:p w14:paraId="427260CC" w14:textId="77777777" w:rsidR="00EE4000" w:rsidRPr="005D2473" w:rsidRDefault="00EE4000" w:rsidP="0E27A64C">
      <w:pPr>
        <w:pStyle w:val="Heading6"/>
        <w:rPr>
          <w:b/>
          <w:bCs/>
          <w:color w:val="auto"/>
        </w:rPr>
      </w:pPr>
      <w:r w:rsidRPr="005D2473">
        <w:rPr>
          <w:b/>
          <w:bCs/>
          <w:color w:val="auto"/>
        </w:rPr>
        <w:t>TB in educational facilities, early childhood education and care settings, special schools, community residential facilities and correctional facilities</w:t>
      </w:r>
    </w:p>
    <w:p w14:paraId="27F6CCE2" w14:textId="3CB75ECE" w:rsidR="00EE4000" w:rsidRDefault="00EE4000" w:rsidP="007944C6">
      <w:pPr>
        <w:pStyle w:val="BodyCopy"/>
      </w:pPr>
      <w:r w:rsidRPr="00B641E0">
        <w:t>Although contact identification and investigation follow the same principles as contact tracing</w:t>
      </w:r>
      <w:r>
        <w:t xml:space="preserve"> in the community</w:t>
      </w:r>
      <w:r w:rsidRPr="00B641E0">
        <w:t xml:space="preserve">, people in these settings may be more vulnerable to infection, at increased risk for progression to disease or give rise to anxiety in settings with limited understanding or stigma surrounding the disease. </w:t>
      </w:r>
      <w:r>
        <w:t>PPS</w:t>
      </w:r>
      <w:r w:rsidRPr="00B641E0">
        <w:t xml:space="preserve"> should be notified of contact tracing in these settings.</w:t>
      </w:r>
    </w:p>
    <w:p w14:paraId="421EB359" w14:textId="77777777" w:rsidR="00EE4000" w:rsidRPr="005D2473" w:rsidRDefault="00EE4000" w:rsidP="0E27A64C">
      <w:pPr>
        <w:pStyle w:val="Heading6"/>
        <w:rPr>
          <w:b/>
          <w:bCs/>
          <w:color w:val="auto"/>
        </w:rPr>
      </w:pPr>
      <w:r w:rsidRPr="005D2473">
        <w:rPr>
          <w:b/>
          <w:bCs/>
          <w:color w:val="auto"/>
        </w:rPr>
        <w:t>TB in health care facilities</w:t>
      </w:r>
    </w:p>
    <w:p w14:paraId="76AAF3A8" w14:textId="54FF702F" w:rsidR="00EE4000" w:rsidRDefault="00EE4000" w:rsidP="007944C6">
      <w:pPr>
        <w:pStyle w:val="BodyCopy"/>
      </w:pPr>
      <w:r>
        <w:t>Nosocomial transmission of TB can occur, particularly in cases where diagnosis is delayed or the person has not been appropriately isolated. If contact tracing in these settings is required, it must be discussed with PPS prior to commencement.</w:t>
      </w:r>
      <w:r w:rsidR="00B371EC">
        <w:t xml:space="preserve"> After discussions with PPS the TB team will </w:t>
      </w:r>
      <w:r w:rsidR="00BB7498">
        <w:t xml:space="preserve">liaise with nurse unit managers and </w:t>
      </w:r>
      <w:proofErr w:type="gramStart"/>
      <w:r w:rsidR="00BB7498">
        <w:t>CNC’s</w:t>
      </w:r>
      <w:proofErr w:type="gramEnd"/>
      <w:r w:rsidR="00BB7498">
        <w:t xml:space="preserve"> to gather staff and patient lists</w:t>
      </w:r>
      <w:r w:rsidR="001F011D">
        <w:t>.  These Lists</w:t>
      </w:r>
      <w:r w:rsidR="1726DA39">
        <w:t xml:space="preserve"> </w:t>
      </w:r>
      <w:r w:rsidR="00BB7498">
        <w:t>will be reviewed and identified contacted will be notified</w:t>
      </w:r>
      <w:r w:rsidR="001F011D">
        <w:t xml:space="preserve"> by the TB services nursing staff</w:t>
      </w:r>
      <w:r w:rsidR="00BB7498">
        <w:t>.  I</w:t>
      </w:r>
      <w:r w:rsidR="00897996">
        <w:t>PC</w:t>
      </w:r>
      <w:r w:rsidR="00BB7498">
        <w:t>U may be contacted to aid in identifying when alerts have been placed in DHR and providing</w:t>
      </w:r>
      <w:r w:rsidR="00897996">
        <w:t xml:space="preserve"> ‘Mud Maps’ of wards.  If a case is identified after hours and on weekends the patient should be moved into isolation, the TB team will perform a risk assessment and decide if contact tracing is required once the infectiousness and length of possible exposure has been established. IPCU and unit nursing staff do not need to notify staff or patients </w:t>
      </w:r>
      <w:r w:rsidR="001F011D">
        <w:t>of possible contact with a confirmed case of TB</w:t>
      </w:r>
      <w:r w:rsidR="00897996">
        <w:t>, that is the responsibility of the TB team.</w:t>
      </w:r>
    </w:p>
    <w:p w14:paraId="17525F1B" w14:textId="77777777" w:rsidR="00EE4000" w:rsidRPr="005D2473" w:rsidRDefault="00EE4000" w:rsidP="0E27A64C">
      <w:pPr>
        <w:pStyle w:val="Heading6"/>
        <w:rPr>
          <w:b/>
          <w:bCs/>
          <w:color w:val="auto"/>
        </w:rPr>
      </w:pPr>
      <w:r w:rsidRPr="005D2473">
        <w:rPr>
          <w:b/>
          <w:bCs/>
          <w:color w:val="auto"/>
        </w:rPr>
        <w:t>Airline contact tracing</w:t>
      </w:r>
    </w:p>
    <w:p w14:paraId="4E175803" w14:textId="77777777" w:rsidR="00EE4000" w:rsidRPr="00B641E0" w:rsidRDefault="00EE4000" w:rsidP="008748C6">
      <w:pPr>
        <w:pStyle w:val="Bullet"/>
      </w:pPr>
      <w:r w:rsidRPr="00B641E0">
        <w:t>In some situations, contact tracing of airli</w:t>
      </w:r>
      <w:r>
        <w:t xml:space="preserve">ne passengers may be required. </w:t>
      </w:r>
      <w:r w:rsidRPr="00B641E0">
        <w:t xml:space="preserve">The need for contact tracing is more likely if: </w:t>
      </w:r>
    </w:p>
    <w:p w14:paraId="709856AF" w14:textId="77777777" w:rsidR="00EE4000" w:rsidRPr="00B641E0" w:rsidRDefault="00EE4000" w:rsidP="008748C6">
      <w:pPr>
        <w:pStyle w:val="Bullet"/>
        <w:numPr>
          <w:ilvl w:val="1"/>
          <w:numId w:val="2"/>
        </w:numPr>
      </w:pPr>
      <w:r>
        <w:t>t</w:t>
      </w:r>
      <w:r w:rsidRPr="00B641E0">
        <w:t xml:space="preserve">he </w:t>
      </w:r>
      <w:r>
        <w:t>person</w:t>
      </w:r>
      <w:r w:rsidRPr="00B641E0">
        <w:t xml:space="preserve"> was sy</w:t>
      </w:r>
      <w:r>
        <w:t>mptomatic at the time of travel</w:t>
      </w:r>
    </w:p>
    <w:p w14:paraId="1F42717C" w14:textId="77777777" w:rsidR="00EE4000" w:rsidRPr="00B641E0" w:rsidRDefault="00EE4000" w:rsidP="008748C6">
      <w:pPr>
        <w:pStyle w:val="Bullet"/>
        <w:numPr>
          <w:ilvl w:val="1"/>
          <w:numId w:val="2"/>
        </w:numPr>
      </w:pPr>
      <w:r>
        <w:t>s</w:t>
      </w:r>
      <w:r w:rsidRPr="00B641E0">
        <w:t xml:space="preserve">putum specimens are found to be smear positive for AFB </w:t>
      </w:r>
    </w:p>
    <w:p w14:paraId="530869E7" w14:textId="77777777" w:rsidR="00EE4000" w:rsidRPr="00B641E0" w:rsidRDefault="00EE4000" w:rsidP="008748C6">
      <w:pPr>
        <w:pStyle w:val="Bullet"/>
        <w:numPr>
          <w:ilvl w:val="1"/>
          <w:numId w:val="2"/>
        </w:numPr>
      </w:pPr>
      <w:r>
        <w:t>t</w:t>
      </w:r>
      <w:r w:rsidRPr="00B641E0">
        <w:t>he flight had a duration of 8 hours or more</w:t>
      </w:r>
      <w:r>
        <w:t xml:space="preserve"> </w:t>
      </w:r>
    </w:p>
    <w:p w14:paraId="04D3A42E" w14:textId="77777777" w:rsidR="00EE4000" w:rsidRPr="00B641E0" w:rsidRDefault="00EE4000" w:rsidP="008748C6">
      <w:pPr>
        <w:pStyle w:val="Bullet"/>
        <w:numPr>
          <w:ilvl w:val="1"/>
          <w:numId w:val="2"/>
        </w:numPr>
      </w:pPr>
      <w:r>
        <w:t>t</w:t>
      </w:r>
      <w:r w:rsidRPr="00B641E0">
        <w:t xml:space="preserve">he time elapsed between flight and notification of case is within 3 months. </w:t>
      </w:r>
    </w:p>
    <w:p w14:paraId="464E2358" w14:textId="77777777" w:rsidR="00EE4000" w:rsidRDefault="00EE4000" w:rsidP="008748C6">
      <w:pPr>
        <w:pStyle w:val="Bullet"/>
      </w:pPr>
      <w:r>
        <w:t>In this scenario, the Australian Government</w:t>
      </w:r>
      <w:r w:rsidRPr="00B641E0">
        <w:t xml:space="preserve"> National Incident </w:t>
      </w:r>
      <w:r>
        <w:t>Centre</w:t>
      </w:r>
      <w:r w:rsidRPr="00B641E0">
        <w:t xml:space="preserve"> (NI</w:t>
      </w:r>
      <w:r>
        <w:t>C</w:t>
      </w:r>
      <w:r w:rsidRPr="00B641E0">
        <w:t xml:space="preserve">) </w:t>
      </w:r>
      <w:r>
        <w:t xml:space="preserve">will </w:t>
      </w:r>
      <w:r w:rsidRPr="00B641E0">
        <w:t xml:space="preserve">obtain details for passengers who travelled in the same row and 2 rows fore and aft of the index case and </w:t>
      </w:r>
      <w:r>
        <w:t>notify the PPS  if any of these passengers are ACT residents</w:t>
      </w:r>
    </w:p>
    <w:p w14:paraId="3EAECE5F" w14:textId="77777777" w:rsidR="00EE4000" w:rsidRDefault="00EE4000" w:rsidP="008748C6">
      <w:pPr>
        <w:pStyle w:val="Bullet"/>
      </w:pPr>
      <w:r>
        <w:lastRenderedPageBreak/>
        <w:t>PPS</w:t>
      </w:r>
      <w:r w:rsidRPr="00CF4A26">
        <w:t xml:space="preserve"> will pass on the relevant contact details of airline passengers who are ACT residents to the TB Service for prompt follow up. Passengers from other jurisdictions will be followed up by the TB services in their state/territory</w:t>
      </w:r>
      <w:r>
        <w:t>.</w:t>
      </w:r>
    </w:p>
    <w:p w14:paraId="532FDF76" w14:textId="77777777" w:rsidR="00EE4000" w:rsidRPr="00CF4A26" w:rsidRDefault="00EE4000" w:rsidP="00EE4000">
      <w:pPr>
        <w:pStyle w:val="Default"/>
        <w:ind w:left="360"/>
        <w:rPr>
          <w:rFonts w:asciiTheme="minorHAnsi" w:hAnsiTheme="minorHAnsi" w:cstheme="minorBidi"/>
        </w:rPr>
      </w:pPr>
    </w:p>
    <w:p w14:paraId="6E9CA09C" w14:textId="77777777" w:rsidR="00EE4000" w:rsidRPr="001F138F" w:rsidRDefault="00EE4000" w:rsidP="007944C6">
      <w:pPr>
        <w:pStyle w:val="Heading5"/>
        <w:rPr>
          <w:rFonts w:asciiTheme="minorHAnsi" w:hAnsiTheme="minorHAnsi"/>
          <w:szCs w:val="24"/>
        </w:rPr>
      </w:pPr>
      <w:bookmarkStart w:id="27" w:name="_Toc119064894"/>
      <w:r>
        <w:rPr>
          <w:rFonts w:asciiTheme="minorHAnsi" w:hAnsiTheme="minorHAnsi"/>
          <w:szCs w:val="24"/>
        </w:rPr>
        <w:t>6.10</w:t>
      </w:r>
      <w:r w:rsidRPr="000C5BB6">
        <w:rPr>
          <w:rFonts w:asciiTheme="minorHAnsi" w:hAnsiTheme="minorHAnsi"/>
          <w:szCs w:val="24"/>
        </w:rPr>
        <w:t xml:space="preserve"> </w:t>
      </w:r>
      <w:r>
        <w:t>Completion of c</w:t>
      </w:r>
      <w:r w:rsidRPr="001F138F">
        <w:t>ontact tracing</w:t>
      </w:r>
      <w:bookmarkEnd w:id="27"/>
    </w:p>
    <w:p w14:paraId="09CA6C59" w14:textId="77777777" w:rsidR="00EE4000" w:rsidRPr="00C72593" w:rsidRDefault="00EE4000" w:rsidP="008748C6">
      <w:pPr>
        <w:pStyle w:val="Bullet"/>
      </w:pPr>
      <w:r w:rsidRPr="00C72593">
        <w:t xml:space="preserve">When contact tracing is completed the responsible case manager should complete a contact tracing summary report describing the extent and results of the investigation (see Attachment A). </w:t>
      </w:r>
    </w:p>
    <w:p w14:paraId="2FB009F0" w14:textId="0228218E" w:rsidR="00EE4000" w:rsidRPr="00481A6C" w:rsidRDefault="00EE4000" w:rsidP="00C14176">
      <w:pPr>
        <w:pStyle w:val="Bullet"/>
      </w:pPr>
      <w:r>
        <w:t>This report should be added to the index case’s clinical record and submitted to PPS.</w:t>
      </w:r>
    </w:p>
    <w:p w14:paraId="00B812B6" w14:textId="77777777" w:rsidR="00C14176" w:rsidRDefault="00C14176" w:rsidP="00C14176">
      <w:pPr>
        <w:pStyle w:val="BodyCopy"/>
      </w:pPr>
      <w:hyperlink w:anchor="_top" w:history="1">
        <w:r w:rsidRPr="00481A6C">
          <w:rPr>
            <w:rStyle w:val="Hyperlink"/>
            <w:iCs w:val="0"/>
          </w:rPr>
          <w:t>Back to Contents</w:t>
        </w:r>
      </w:hyperlink>
    </w:p>
    <w:p w14:paraId="30B28DC9" w14:textId="00C03B63" w:rsidR="00C14176" w:rsidRDefault="00C14176" w:rsidP="00C14176">
      <w:pPr>
        <w:pStyle w:val="Heading4"/>
      </w:pPr>
      <w:bookmarkStart w:id="28" w:name="_Toc193105508"/>
      <w:r w:rsidRPr="0078367D">
        <w:t xml:space="preserve">Section </w:t>
      </w:r>
      <w:r>
        <w:t>7</w:t>
      </w:r>
      <w:r w:rsidRPr="0078367D">
        <w:t xml:space="preserve"> </w:t>
      </w:r>
      <w:r>
        <w:t>–</w:t>
      </w:r>
      <w:r w:rsidRPr="0078367D">
        <w:t xml:space="preserve"> </w:t>
      </w:r>
      <w:r>
        <w:t>Employee and student risk assessment and screening</w:t>
      </w:r>
      <w:bookmarkEnd w:id="28"/>
    </w:p>
    <w:p w14:paraId="7A5A62DE" w14:textId="0058190A" w:rsidR="00EE4000" w:rsidRPr="00ED4B4F" w:rsidRDefault="78B65792" w:rsidP="6BDF9539">
      <w:pPr>
        <w:pStyle w:val="Bullet"/>
        <w:rPr>
          <w:i/>
          <w:iCs/>
        </w:rPr>
      </w:pPr>
      <w:proofErr w:type="gramStart"/>
      <w:r>
        <w:t>All new and existing CHS</w:t>
      </w:r>
      <w:r w:rsidR="00F3006E">
        <w:t xml:space="preserve"> CAT A</w:t>
      </w:r>
      <w:r>
        <w:t xml:space="preserve"> employees and students,</w:t>
      </w:r>
      <w:proofErr w:type="gramEnd"/>
      <w:r>
        <w:t xml:space="preserve"> must be assessed for their risk of TB, in accordance with the </w:t>
      </w:r>
      <w:r w:rsidRPr="6BDF9539">
        <w:rPr>
          <w:i/>
          <w:iCs/>
        </w:rPr>
        <w:t>Occupational Assessment, Screening and Vaccination Procedure.</w:t>
      </w:r>
    </w:p>
    <w:p w14:paraId="788FE3CB" w14:textId="3B0CB848" w:rsidR="00EE4000" w:rsidRPr="00301331" w:rsidRDefault="78B65792" w:rsidP="6BDF9539">
      <w:pPr>
        <w:pStyle w:val="Bullet"/>
        <w:rPr>
          <w:i/>
          <w:iCs/>
        </w:rPr>
      </w:pPr>
      <w:r>
        <w:t xml:space="preserve">The CHS </w:t>
      </w:r>
      <w:r w:rsidRPr="6BDF9539">
        <w:rPr>
          <w:rFonts w:asciiTheme="minorHAnsi" w:hAnsiTheme="minorHAnsi"/>
          <w:i/>
          <w:iCs/>
        </w:rPr>
        <w:t xml:space="preserve">Tuberculosis (TB) Assessment Tool, </w:t>
      </w:r>
      <w:r w:rsidR="00E706DD">
        <w:rPr>
          <w:rFonts w:asciiTheme="minorHAnsi" w:hAnsiTheme="minorHAnsi"/>
        </w:rPr>
        <w:t>located in attachment I of the</w:t>
      </w:r>
      <w:r w:rsidRPr="6BDF9539">
        <w:rPr>
          <w:rFonts w:asciiTheme="minorHAnsi" w:hAnsiTheme="minorHAnsi"/>
        </w:rPr>
        <w:t xml:space="preserve"> </w:t>
      </w:r>
      <w:r w:rsidRPr="6BDF9539">
        <w:rPr>
          <w:i/>
          <w:iCs/>
        </w:rPr>
        <w:t>Occupational Assessment, Screening and Vaccination Procedure</w:t>
      </w:r>
      <w:r w:rsidRPr="6BDF9539">
        <w:rPr>
          <w:rFonts w:asciiTheme="minorHAnsi" w:hAnsiTheme="minorHAnsi"/>
          <w:i/>
          <w:iCs/>
        </w:rPr>
        <w:t xml:space="preserve"> </w:t>
      </w:r>
      <w:r w:rsidRPr="6BDF9539">
        <w:rPr>
          <w:rFonts w:asciiTheme="minorHAnsi" w:hAnsiTheme="minorHAnsi"/>
        </w:rPr>
        <w:t xml:space="preserve">identifies healthcare workers and students who require </w:t>
      </w:r>
      <w:r>
        <w:t>further assessment and testing for the presence of latent or active TB.</w:t>
      </w:r>
    </w:p>
    <w:p w14:paraId="4322DA68" w14:textId="7206788C" w:rsidR="00EE4000" w:rsidRPr="00230B68" w:rsidRDefault="00EE4000" w:rsidP="54880188">
      <w:pPr>
        <w:pStyle w:val="Bullet"/>
        <w:rPr>
          <w:rFonts w:asciiTheme="minorHAnsi" w:eastAsiaTheme="minorEastAsia" w:hAnsiTheme="minorHAnsi" w:cstheme="minorBidi"/>
          <w:i/>
          <w:iCs/>
        </w:rPr>
      </w:pPr>
      <w:r>
        <w:t xml:space="preserve">New employees are required to self-fund their TB clearance as part of their Occupational Medicine Unit </w:t>
      </w:r>
      <w:r w:rsidR="4FA25F98">
        <w:t xml:space="preserve">or Staff Health Department </w:t>
      </w:r>
      <w:r>
        <w:t>requirements to start work</w:t>
      </w:r>
    </w:p>
    <w:p w14:paraId="6809BF53" w14:textId="7B12CD99" w:rsidR="00E706DD" w:rsidRDefault="00E706DD" w:rsidP="54880188">
      <w:pPr>
        <w:pStyle w:val="Bullet"/>
        <w:rPr>
          <w:rFonts w:asciiTheme="minorHAnsi" w:eastAsiaTheme="minorEastAsia" w:hAnsiTheme="minorHAnsi" w:cstheme="minorBidi"/>
          <w:i/>
          <w:iCs/>
        </w:rPr>
      </w:pPr>
      <w:r>
        <w:t xml:space="preserve">On completion of screening staff will be provided with a clearance certificate, all ongoing follow up through the clinic will remain confidential. </w:t>
      </w:r>
    </w:p>
    <w:p w14:paraId="2B21A4C5" w14:textId="77777777" w:rsidR="00EE4000" w:rsidRDefault="00EE4000" w:rsidP="005078E7">
      <w:pPr>
        <w:pStyle w:val="Bullet"/>
        <w:rPr>
          <w:rFonts w:asciiTheme="minorHAnsi" w:eastAsiaTheme="minorEastAsia" w:hAnsiTheme="minorHAnsi" w:cstheme="minorBidi"/>
        </w:rPr>
      </w:pPr>
      <w:r w:rsidRPr="5EC3F1F2">
        <w:t>Existing CHS employees for re-screening incur no cost</w:t>
      </w:r>
    </w:p>
    <w:p w14:paraId="18F563DA" w14:textId="77777777" w:rsidR="00C14176" w:rsidRDefault="00C14176" w:rsidP="00C14176">
      <w:pPr>
        <w:pStyle w:val="BodyCopy"/>
      </w:pPr>
      <w:hyperlink w:anchor="_top" w:history="1">
        <w:r w:rsidRPr="00481A6C">
          <w:rPr>
            <w:rStyle w:val="Hyperlink"/>
            <w:iCs w:val="0"/>
          </w:rPr>
          <w:t>Back to Contents</w:t>
        </w:r>
      </w:hyperlink>
    </w:p>
    <w:p w14:paraId="19046555" w14:textId="6C744829" w:rsidR="00C14176" w:rsidRDefault="00C14176" w:rsidP="00C14176">
      <w:pPr>
        <w:pStyle w:val="Heading4"/>
      </w:pPr>
      <w:bookmarkStart w:id="29" w:name="_Toc193105509"/>
      <w:r w:rsidRPr="0078367D">
        <w:t xml:space="preserve">Section </w:t>
      </w:r>
      <w:r>
        <w:t>8</w:t>
      </w:r>
      <w:r w:rsidRPr="0078367D">
        <w:t xml:space="preserve"> </w:t>
      </w:r>
      <w:r>
        <w:t>–</w:t>
      </w:r>
      <w:r w:rsidRPr="0078367D">
        <w:t xml:space="preserve"> </w:t>
      </w:r>
      <w:r>
        <w:t>Bacille Calmette-</w:t>
      </w:r>
      <w:r w:rsidR="00EE760A">
        <w:t>Guérin</w:t>
      </w:r>
      <w:r>
        <w:t xml:space="preserve"> (BCG) vaccination</w:t>
      </w:r>
      <w:r w:rsidR="00EE760A">
        <w:t xml:space="preserve"> and Tuberculin Skin Testing (TST)</w:t>
      </w:r>
      <w:bookmarkEnd w:id="29"/>
    </w:p>
    <w:p w14:paraId="0AE803B9" w14:textId="77777777" w:rsidR="00EE760A" w:rsidRDefault="00EE760A" w:rsidP="005078E7">
      <w:pPr>
        <w:pStyle w:val="Bullet"/>
      </w:pPr>
      <w:r>
        <w:t>Administration of BCG and Tuberculin Skin Test (TST) must only be administered by appropriately trained staff with the relevant authority to administer.</w:t>
      </w:r>
    </w:p>
    <w:p w14:paraId="01E38004" w14:textId="77777777" w:rsidR="00EE760A" w:rsidRDefault="00EE760A" w:rsidP="005078E7">
      <w:pPr>
        <w:pStyle w:val="Bullet"/>
      </w:pPr>
      <w:r>
        <w:t>Successful completion of theoretical training and subsequent successful assessment of clinical competency is required.</w:t>
      </w:r>
    </w:p>
    <w:p w14:paraId="0FB2C896" w14:textId="77777777" w:rsidR="00EE760A" w:rsidRDefault="00EE760A" w:rsidP="005078E7">
      <w:pPr>
        <w:pStyle w:val="Bullet"/>
      </w:pPr>
      <w:r>
        <w:t>Theoretical testing currently consists of successful completion of the Australian College of Nursing (CAN) 357 Tuberculosis Management (TST/BCG) online course</w:t>
      </w:r>
    </w:p>
    <w:p w14:paraId="58C5DFA3" w14:textId="77777777" w:rsidR="00EE760A" w:rsidRDefault="00EE760A" w:rsidP="005078E7">
      <w:pPr>
        <w:pStyle w:val="Bullet"/>
      </w:pPr>
      <w:r>
        <w:t>Theoretical completion of the CAN course is required prior to the Registered Nurse completing a clinical competency assessment.</w:t>
      </w:r>
    </w:p>
    <w:p w14:paraId="3A214316" w14:textId="77777777" w:rsidR="00EE760A" w:rsidRPr="004C037B" w:rsidRDefault="00EE760A" w:rsidP="005078E7">
      <w:pPr>
        <w:pStyle w:val="Bullet"/>
      </w:pPr>
      <w:r>
        <w:lastRenderedPageBreak/>
        <w:t xml:space="preserve">Clinical competency assessment is currently restricted to Registered Nurses working primarily </w:t>
      </w:r>
      <w:r w:rsidRPr="004C037B">
        <w:t>in the TB service. Clinical competency assessment includes successful completion of assessment of administration of TST/BCG by senior TB Service Registered Nurse</w:t>
      </w:r>
    </w:p>
    <w:p w14:paraId="291778C9" w14:textId="77777777" w:rsidR="00EE760A" w:rsidRPr="004C037B" w:rsidRDefault="00EE760A" w:rsidP="005078E7">
      <w:pPr>
        <w:pStyle w:val="Bullet"/>
      </w:pPr>
      <w:r w:rsidRPr="004C037B">
        <w:t>The Registered Nurse must undergo reassessment and is in line with NSW guidelines.</w:t>
      </w:r>
    </w:p>
    <w:p w14:paraId="0481900A" w14:textId="77777777" w:rsidR="00EE760A" w:rsidRPr="004C037B" w:rsidRDefault="00EE760A" w:rsidP="1779223D">
      <w:pPr>
        <w:pStyle w:val="Bullet"/>
      </w:pPr>
      <w:r w:rsidRPr="004C037B">
        <w:t>The TB Service will assess the need for BCG vaccination of:</w:t>
      </w:r>
    </w:p>
    <w:p w14:paraId="797F7B03" w14:textId="77777777" w:rsidR="00EE760A" w:rsidRPr="004C037B" w:rsidRDefault="00EE760A" w:rsidP="1779223D">
      <w:pPr>
        <w:pStyle w:val="Bullet"/>
      </w:pPr>
      <w:r w:rsidRPr="004C037B">
        <w:t xml:space="preserve">young children, particularly those aged under 5 years, who will be travelling to a country with high TB incidence for an extended period </w:t>
      </w:r>
    </w:p>
    <w:p w14:paraId="2A9F28D0" w14:textId="77777777" w:rsidR="00EE760A" w:rsidRPr="004C037B" w:rsidRDefault="00EE760A" w:rsidP="1779223D">
      <w:pPr>
        <w:pStyle w:val="Bullet"/>
        <w:rPr>
          <w:rFonts w:eastAsiaTheme="minorEastAsia"/>
        </w:rPr>
      </w:pPr>
      <w:r w:rsidRPr="004C037B">
        <w:t>ne</w:t>
      </w:r>
      <w:r w:rsidRPr="004C037B">
        <w:rPr>
          <w:rFonts w:eastAsiaTheme="minorEastAsia"/>
        </w:rPr>
        <w:t xml:space="preserve">onates born to parents with leprosy or a family history of leprosy. </w:t>
      </w:r>
    </w:p>
    <w:p w14:paraId="36ED7DD1" w14:textId="39A68A94" w:rsidR="00EE760A" w:rsidRPr="004C037B" w:rsidRDefault="005078E7" w:rsidP="1779223D">
      <w:pPr>
        <w:pStyle w:val="Bullet"/>
        <w:rPr>
          <w:rFonts w:eastAsiaTheme="minorEastAsia"/>
        </w:rPr>
      </w:pPr>
      <w:r w:rsidRPr="004C037B">
        <w:rPr>
          <w:rFonts w:eastAsiaTheme="minorEastAsia"/>
        </w:rPr>
        <w:t>n</w:t>
      </w:r>
      <w:r w:rsidR="00EE760A" w:rsidRPr="004C037B">
        <w:rPr>
          <w:rFonts w:eastAsiaTheme="minorEastAsia"/>
        </w:rPr>
        <w:t xml:space="preserve">eonates in </w:t>
      </w:r>
      <w:proofErr w:type="gramStart"/>
      <w:r w:rsidR="00EE760A" w:rsidRPr="004C037B">
        <w:rPr>
          <w:rFonts w:eastAsiaTheme="minorEastAsia"/>
        </w:rPr>
        <w:t>high risk</w:t>
      </w:r>
      <w:proofErr w:type="gramEnd"/>
      <w:r w:rsidR="00EE760A" w:rsidRPr="004C037B">
        <w:rPr>
          <w:rFonts w:eastAsiaTheme="minorEastAsia"/>
        </w:rPr>
        <w:t xml:space="preserve"> settings (e.g. household contacts with pulmonary TB )</w:t>
      </w:r>
    </w:p>
    <w:p w14:paraId="500094FD" w14:textId="77777777" w:rsidR="00EE760A" w:rsidRPr="004C037B" w:rsidRDefault="00EE760A" w:rsidP="1779223D">
      <w:pPr>
        <w:pStyle w:val="Bullet"/>
      </w:pPr>
      <w:r w:rsidRPr="004C037B">
        <w:t>In the context of a global shortage a registered vaccine, an alternative strategy to mitigate the risk of severe TB disease in young children is to monitor children &lt; 5 years who will be travelling to high TB burden countries for an extended period for acquired TB infection. This involves:</w:t>
      </w:r>
    </w:p>
    <w:p w14:paraId="4160947D" w14:textId="77777777" w:rsidR="00EE760A" w:rsidRPr="004C037B" w:rsidRDefault="00EE760A" w:rsidP="1779223D">
      <w:pPr>
        <w:pStyle w:val="Bullet"/>
        <w:rPr>
          <w:rFonts w:eastAsia="Calibri"/>
        </w:rPr>
      </w:pPr>
      <w:r w:rsidRPr="004C037B">
        <w:rPr>
          <w:rFonts w:eastAsia="Calibri"/>
        </w:rPr>
        <w:t xml:space="preserve">over 6 months of age - a pre-departure TST should be undertaken </w:t>
      </w:r>
    </w:p>
    <w:p w14:paraId="312D4C70" w14:textId="77777777" w:rsidR="00EE760A" w:rsidRPr="004C037B" w:rsidRDefault="00EE760A" w:rsidP="1779223D">
      <w:pPr>
        <w:pStyle w:val="Bullet"/>
        <w:rPr>
          <w:rFonts w:eastAsia="Calibri"/>
        </w:rPr>
      </w:pPr>
      <w:r w:rsidRPr="004C037B">
        <w:rPr>
          <w:rFonts w:eastAsia="Calibri"/>
        </w:rPr>
        <w:t>follow-up TST at 8-10 weeks after returning.</w:t>
      </w:r>
    </w:p>
    <w:p w14:paraId="31DA340A" w14:textId="77777777" w:rsidR="00EE760A" w:rsidRPr="004C037B" w:rsidRDefault="00EE760A" w:rsidP="005078E7">
      <w:pPr>
        <w:pStyle w:val="Bullet"/>
      </w:pPr>
      <w:r w:rsidRPr="004C037B">
        <w:rPr>
          <w:rFonts w:eastAsia="Calibri"/>
        </w:rPr>
        <w:t>In those with evidence of recent TB infection, preventive treatment</w:t>
      </w:r>
      <w:r w:rsidRPr="004C037B">
        <w:t xml:space="preserve"> </w:t>
      </w:r>
      <w:r w:rsidRPr="004C037B">
        <w:rPr>
          <w:rFonts w:eastAsia="Calibri"/>
        </w:rPr>
        <w:t xml:space="preserve">should be offered to minimise the risk of progression to active disease. </w:t>
      </w:r>
    </w:p>
    <w:p w14:paraId="1B0B24D3" w14:textId="77777777" w:rsidR="00EE760A" w:rsidRPr="004C037B" w:rsidRDefault="00EE760A" w:rsidP="005078E7">
      <w:pPr>
        <w:pStyle w:val="Bullet"/>
        <w:rPr>
          <w:rFonts w:eastAsia="Calibri"/>
        </w:rPr>
      </w:pPr>
      <w:r w:rsidRPr="004C037B">
        <w:t>BCG vaccination is not routinely recommended for CHS employees or students.</w:t>
      </w:r>
    </w:p>
    <w:p w14:paraId="7C4C4011" w14:textId="54A6F092" w:rsidR="00C14176" w:rsidRPr="004C037B" w:rsidRDefault="00C14176" w:rsidP="00C14176">
      <w:pPr>
        <w:pStyle w:val="BodyCopy"/>
      </w:pPr>
      <w:hyperlink w:anchor="_top" w:history="1">
        <w:r w:rsidRPr="004C037B">
          <w:rPr>
            <w:rStyle w:val="Hyperlink"/>
            <w:iCs w:val="0"/>
          </w:rPr>
          <w:t>Back to Contents</w:t>
        </w:r>
      </w:hyperlink>
      <w:r w:rsidR="00D239B1" w:rsidRPr="004C037B">
        <w:t xml:space="preserve"> </w:t>
      </w:r>
    </w:p>
    <w:p w14:paraId="1442C257" w14:textId="569D9AB2" w:rsidR="00C14176" w:rsidRDefault="00C14176" w:rsidP="00C14176">
      <w:pPr>
        <w:pStyle w:val="Heading4"/>
      </w:pPr>
      <w:bookmarkStart w:id="30" w:name="_Toc193105510"/>
      <w:r w:rsidRPr="004C037B">
        <w:t>Section 9 – Non-routine involvement of the P</w:t>
      </w:r>
      <w:r w:rsidR="00EE760A" w:rsidRPr="004C037B">
        <w:t>PS branch in TB control</w:t>
      </w:r>
      <w:bookmarkEnd w:id="30"/>
    </w:p>
    <w:p w14:paraId="67C95592" w14:textId="7B3B2685" w:rsidR="002A44CF" w:rsidRPr="002204C4" w:rsidRDefault="002A44CF" w:rsidP="005078E7">
      <w:pPr>
        <w:pStyle w:val="Bullet"/>
      </w:pPr>
      <w:r w:rsidRPr="1C6BBED4">
        <w:rPr>
          <w:rFonts w:asciiTheme="minorHAnsi" w:eastAsiaTheme="minorEastAsia" w:hAnsiTheme="minorHAnsi"/>
        </w:rPr>
        <w:t xml:space="preserve">While the TB Service is responsible for the routine management of TB cases in the ACT, there are some scenarios where </w:t>
      </w:r>
      <w:r>
        <w:t>involvement of the PPS Branch is also required. Broadly, these include situations where there may be a need for extended contact tracing, there is potential for public health harm or if media attention is likely.</w:t>
      </w:r>
    </w:p>
    <w:p w14:paraId="2DBDB010" w14:textId="525F028D" w:rsidR="002A44CF" w:rsidRPr="00760BC8" w:rsidRDefault="002A44CF" w:rsidP="005078E7">
      <w:pPr>
        <w:pStyle w:val="Bullet"/>
        <w:rPr>
          <w:rFonts w:eastAsiaTheme="minorEastAsia"/>
          <w:color w:val="000000"/>
        </w:rPr>
      </w:pPr>
      <w:r w:rsidRPr="0E27A64C">
        <w:rPr>
          <w:rFonts w:eastAsiaTheme="minorEastAsia"/>
        </w:rPr>
        <w:t xml:space="preserve">The PPS </w:t>
      </w:r>
      <w:r w:rsidR="00ED2AEA" w:rsidRPr="0E27A64C">
        <w:rPr>
          <w:rFonts w:eastAsiaTheme="minorEastAsia"/>
        </w:rPr>
        <w:t>Branch is</w:t>
      </w:r>
      <w:r w:rsidRPr="0E27A64C">
        <w:rPr>
          <w:rFonts w:eastAsiaTheme="minorEastAsia"/>
        </w:rPr>
        <w:t xml:space="preserve"> to be informed as soon as possible (and within one business day) if any of the following apply: </w:t>
      </w:r>
      <w:r>
        <w:tab/>
      </w:r>
    </w:p>
    <w:p w14:paraId="61181B6B" w14:textId="77777777" w:rsidR="002A44CF" w:rsidRPr="00506F2E" w:rsidRDefault="002A44CF" w:rsidP="005078E7">
      <w:pPr>
        <w:pStyle w:val="Bullet"/>
        <w:numPr>
          <w:ilvl w:val="1"/>
          <w:numId w:val="2"/>
        </w:numPr>
        <w:rPr>
          <w:rFonts w:eastAsiaTheme="minorHAnsi"/>
        </w:rPr>
      </w:pPr>
      <w:r w:rsidRPr="00506F2E">
        <w:rPr>
          <w:rFonts w:eastAsiaTheme="minorHAnsi"/>
        </w:rPr>
        <w:t xml:space="preserve">there is suspicion or confirmation of a </w:t>
      </w:r>
      <w:r>
        <w:rPr>
          <w:rFonts w:eastAsiaTheme="minorHAnsi"/>
        </w:rPr>
        <w:t>person with</w:t>
      </w:r>
      <w:r w:rsidRPr="00506F2E">
        <w:rPr>
          <w:rFonts w:eastAsiaTheme="minorHAnsi"/>
        </w:rPr>
        <w:t xml:space="preserve"> multidrug-resistant TB (MDR-TB) or extensively drug-resistant TB (XDR-TB)</w:t>
      </w:r>
    </w:p>
    <w:p w14:paraId="74E0CE41" w14:textId="77777777" w:rsidR="002A44CF" w:rsidRPr="00506F2E" w:rsidRDefault="002A44CF" w:rsidP="005078E7">
      <w:pPr>
        <w:pStyle w:val="Bullet"/>
        <w:numPr>
          <w:ilvl w:val="1"/>
          <w:numId w:val="2"/>
        </w:numPr>
        <w:rPr>
          <w:rFonts w:eastAsiaTheme="minorHAnsi"/>
        </w:rPr>
      </w:pPr>
      <w:r w:rsidRPr="00506F2E">
        <w:rPr>
          <w:rFonts w:eastAsiaTheme="minorHAnsi"/>
        </w:rPr>
        <w:t>there are more th</w:t>
      </w:r>
      <w:r>
        <w:rPr>
          <w:rFonts w:eastAsiaTheme="minorHAnsi"/>
        </w:rPr>
        <w:t>an 30 contacts of an index case</w:t>
      </w:r>
    </w:p>
    <w:p w14:paraId="6F559383" w14:textId="77777777" w:rsidR="002A44CF" w:rsidRPr="00506F2E" w:rsidRDefault="002A44CF" w:rsidP="005078E7">
      <w:pPr>
        <w:pStyle w:val="Bullet"/>
        <w:numPr>
          <w:ilvl w:val="1"/>
          <w:numId w:val="2"/>
        </w:numPr>
        <w:rPr>
          <w:rFonts w:eastAsiaTheme="minorEastAsia"/>
        </w:rPr>
      </w:pPr>
      <w:r w:rsidRPr="1C6BBED4">
        <w:rPr>
          <w:rFonts w:eastAsiaTheme="minorEastAsia"/>
        </w:rPr>
        <w:t>any cases of healthcare associated transmission of TB disease (index case or contacts)</w:t>
      </w:r>
    </w:p>
    <w:p w14:paraId="41090B31" w14:textId="77777777" w:rsidR="002A44CF" w:rsidRPr="00506F2E" w:rsidRDefault="002A44CF" w:rsidP="005078E7">
      <w:pPr>
        <w:pStyle w:val="Bullet"/>
        <w:numPr>
          <w:ilvl w:val="1"/>
          <w:numId w:val="2"/>
        </w:numPr>
        <w:rPr>
          <w:rFonts w:eastAsiaTheme="minorHAnsi"/>
        </w:rPr>
      </w:pPr>
      <w:r w:rsidRPr="00506F2E">
        <w:rPr>
          <w:rFonts w:eastAsiaTheme="minorHAnsi"/>
        </w:rPr>
        <w:t>an institution or organisation is involved (e.g. prison, educational facility, day care or aged care facility etc.)</w:t>
      </w:r>
    </w:p>
    <w:p w14:paraId="12FF215C" w14:textId="77777777" w:rsidR="002A44CF" w:rsidRPr="00506F2E" w:rsidRDefault="002A44CF" w:rsidP="005078E7">
      <w:pPr>
        <w:pStyle w:val="Bullet"/>
        <w:numPr>
          <w:ilvl w:val="1"/>
          <w:numId w:val="2"/>
        </w:numPr>
        <w:rPr>
          <w:rFonts w:eastAsiaTheme="minorHAnsi"/>
        </w:rPr>
      </w:pPr>
      <w:r w:rsidRPr="00506F2E">
        <w:rPr>
          <w:rFonts w:eastAsiaTheme="minorHAnsi"/>
        </w:rPr>
        <w:t xml:space="preserve">where a </w:t>
      </w:r>
      <w:r>
        <w:rPr>
          <w:rFonts w:eastAsiaTheme="minorHAnsi"/>
        </w:rPr>
        <w:t>person with TB</w:t>
      </w:r>
      <w:r w:rsidRPr="00506F2E">
        <w:rPr>
          <w:rFonts w:eastAsiaTheme="minorHAnsi"/>
        </w:rPr>
        <w:t xml:space="preserve"> spent ≥8 hours on an aircraft in the previous 3 months and the </w:t>
      </w:r>
      <w:r>
        <w:rPr>
          <w:rFonts w:eastAsiaTheme="minorHAnsi"/>
        </w:rPr>
        <w:t>person</w:t>
      </w:r>
      <w:r w:rsidRPr="00506F2E">
        <w:rPr>
          <w:rFonts w:eastAsiaTheme="minorHAnsi"/>
        </w:rPr>
        <w:t xml:space="preserve"> was infectious and symptomatic during the flight</w:t>
      </w:r>
    </w:p>
    <w:p w14:paraId="60AF6FA1" w14:textId="77777777" w:rsidR="002A44CF" w:rsidRPr="00506F2E" w:rsidRDefault="002A44CF" w:rsidP="005078E7">
      <w:pPr>
        <w:pStyle w:val="Bullet"/>
        <w:numPr>
          <w:ilvl w:val="1"/>
          <w:numId w:val="2"/>
        </w:numPr>
        <w:rPr>
          <w:rFonts w:eastAsiaTheme="minorHAnsi"/>
        </w:rPr>
      </w:pPr>
      <w:r w:rsidRPr="00506F2E">
        <w:rPr>
          <w:rFonts w:eastAsiaTheme="minorHAnsi"/>
        </w:rPr>
        <w:lastRenderedPageBreak/>
        <w:t>where there is potential for involvement or implication of another jurisdiction, country or other governmental department or non-governmental o</w:t>
      </w:r>
      <w:r>
        <w:rPr>
          <w:rFonts w:eastAsiaTheme="minorHAnsi"/>
        </w:rPr>
        <w:t>rganisation</w:t>
      </w:r>
      <w:r w:rsidRPr="00506F2E">
        <w:rPr>
          <w:rFonts w:eastAsiaTheme="minorHAnsi"/>
        </w:rPr>
        <w:t xml:space="preserve"> </w:t>
      </w:r>
    </w:p>
    <w:p w14:paraId="455A6FF2" w14:textId="77777777" w:rsidR="002A44CF" w:rsidRPr="00506F2E" w:rsidRDefault="002A44CF" w:rsidP="005078E7">
      <w:pPr>
        <w:pStyle w:val="Bullet"/>
        <w:numPr>
          <w:ilvl w:val="1"/>
          <w:numId w:val="2"/>
        </w:numPr>
        <w:rPr>
          <w:rFonts w:eastAsiaTheme="minorHAnsi"/>
        </w:rPr>
      </w:pPr>
      <w:r w:rsidRPr="00506F2E">
        <w:rPr>
          <w:rFonts w:eastAsiaTheme="minorHAnsi"/>
        </w:rPr>
        <w:t xml:space="preserve">the number of </w:t>
      </w:r>
      <w:proofErr w:type="gramStart"/>
      <w:r w:rsidRPr="00506F2E">
        <w:rPr>
          <w:rFonts w:eastAsiaTheme="minorHAnsi"/>
        </w:rPr>
        <w:t>high risk</w:t>
      </w:r>
      <w:proofErr w:type="gramEnd"/>
      <w:r w:rsidRPr="00506F2E">
        <w:rPr>
          <w:rFonts w:eastAsiaTheme="minorHAnsi"/>
        </w:rPr>
        <w:t xml:space="preserve"> contacts </w:t>
      </w:r>
      <w:proofErr w:type="gramStart"/>
      <w:r w:rsidRPr="00506F2E">
        <w:rPr>
          <w:rFonts w:eastAsiaTheme="minorHAnsi"/>
        </w:rPr>
        <w:t>exceeds</w:t>
      </w:r>
      <w:proofErr w:type="gramEnd"/>
      <w:r w:rsidRPr="00506F2E">
        <w:rPr>
          <w:rFonts w:eastAsiaTheme="minorHAnsi"/>
        </w:rPr>
        <w:t xml:space="preserve"> the capacity of the TB service to investigate within timelines set by this protocol</w:t>
      </w:r>
    </w:p>
    <w:p w14:paraId="39856571" w14:textId="77777777" w:rsidR="002A44CF" w:rsidRPr="00506F2E" w:rsidRDefault="002A44CF" w:rsidP="005078E7">
      <w:pPr>
        <w:pStyle w:val="Bullet"/>
        <w:numPr>
          <w:ilvl w:val="1"/>
          <w:numId w:val="2"/>
        </w:numPr>
        <w:rPr>
          <w:rFonts w:eastAsiaTheme="minorHAnsi"/>
        </w:rPr>
      </w:pPr>
      <w:r w:rsidRPr="00506F2E">
        <w:rPr>
          <w:rFonts w:eastAsiaTheme="minorHAnsi"/>
        </w:rPr>
        <w:t>there is a suspicion or confirmation</w:t>
      </w:r>
      <w:r>
        <w:rPr>
          <w:rFonts w:eastAsiaTheme="minorHAnsi"/>
        </w:rPr>
        <w:t xml:space="preserve"> of a cluster or outbreak of TB</w:t>
      </w:r>
    </w:p>
    <w:p w14:paraId="31C93682" w14:textId="7F297EDC" w:rsidR="002A44CF" w:rsidRPr="00506F2E" w:rsidRDefault="002A44CF" w:rsidP="73816726">
      <w:pPr>
        <w:pStyle w:val="Bullet"/>
        <w:rPr>
          <w:rFonts w:eastAsiaTheme="minorEastAsia"/>
        </w:rPr>
      </w:pPr>
      <w:r w:rsidRPr="0E27A64C">
        <w:rPr>
          <w:rFonts w:eastAsiaTheme="minorEastAsia"/>
        </w:rPr>
        <w:t xml:space="preserve">there is concern that a person with infectious TB may be putting public health at risk (e.g. </w:t>
      </w:r>
      <w:proofErr w:type="spellStart"/>
      <w:proofErr w:type="gramStart"/>
      <w:r w:rsidRPr="0E27A64C">
        <w:rPr>
          <w:rFonts w:eastAsiaTheme="minorEastAsia"/>
        </w:rPr>
        <w:t>non compliance</w:t>
      </w:r>
      <w:proofErr w:type="spellEnd"/>
      <w:proofErr w:type="gramEnd"/>
      <w:r w:rsidRPr="0E27A64C">
        <w:rPr>
          <w:rFonts w:eastAsiaTheme="minorEastAsia"/>
        </w:rPr>
        <w:t xml:space="preserve"> with treatment and/or isolation requirements)  </w:t>
      </w:r>
    </w:p>
    <w:p w14:paraId="5D4F1BEB" w14:textId="209960DE" w:rsidR="002A44CF" w:rsidRPr="00506F2E" w:rsidRDefault="002A44CF" w:rsidP="73816726">
      <w:pPr>
        <w:pStyle w:val="Bullet"/>
        <w:rPr>
          <w:rFonts w:eastAsiaTheme="minorEastAsia"/>
        </w:rPr>
      </w:pPr>
      <w:r w:rsidRPr="0E27A64C">
        <w:rPr>
          <w:rFonts w:eastAsiaTheme="minorEastAsia"/>
        </w:rPr>
        <w:t>any other situation where there is potential for heightened community/media interest.</w:t>
      </w:r>
    </w:p>
    <w:p w14:paraId="6E63FA8B" w14:textId="09AB9024" w:rsidR="002A44CF" w:rsidRPr="002A75ED" w:rsidRDefault="002A44CF" w:rsidP="0E27A64C">
      <w:pPr>
        <w:pStyle w:val="Bullet"/>
        <w:numPr>
          <w:ilvl w:val="0"/>
          <w:numId w:val="0"/>
        </w:numPr>
      </w:pPr>
    </w:p>
    <w:p w14:paraId="0C8F9CD0" w14:textId="597F5581" w:rsidR="002A44CF" w:rsidRDefault="77B440CC" w:rsidP="005078E7">
      <w:pPr>
        <w:pStyle w:val="Bullet"/>
      </w:pPr>
      <w:r>
        <w:t xml:space="preserve">The TB team will notify PPS if they require </w:t>
      </w:r>
      <w:r w:rsidR="222162E7">
        <w:t>additional</w:t>
      </w:r>
      <w:r>
        <w:t xml:space="preserve"> support and </w:t>
      </w:r>
      <w:r w:rsidR="2C1B8662">
        <w:t>resources</w:t>
      </w:r>
      <w:r>
        <w:t xml:space="preserve"> to manage the above </w:t>
      </w:r>
      <w:r w:rsidR="47594312">
        <w:t xml:space="preserve">scenarios </w:t>
      </w:r>
      <w:r>
        <w:t>.</w:t>
      </w:r>
      <w:r w:rsidR="124DF97C">
        <w:t xml:space="preserve"> </w:t>
      </w:r>
      <w:r w:rsidR="002A44CF">
        <w:t>If requested, the TB Service is</w:t>
      </w:r>
      <w:r w:rsidR="002A44CF" w:rsidRPr="002A75ED">
        <w:t xml:space="preserve"> t</w:t>
      </w:r>
      <w:r w:rsidR="002A44CF">
        <w:t>o provide regular updates to PPS</w:t>
      </w:r>
      <w:r w:rsidR="002A44CF" w:rsidRPr="002A75ED">
        <w:t xml:space="preserve"> on progress with and outcomes of contact tracing efforts for those scenarios listed above</w:t>
      </w:r>
      <w:r w:rsidR="002A44CF">
        <w:t xml:space="preserve"> (see Attachment B)</w:t>
      </w:r>
      <w:r w:rsidR="002A44CF" w:rsidRPr="002A75ED">
        <w:t>.</w:t>
      </w:r>
      <w:r w:rsidR="002A44CF">
        <w:t xml:space="preserve">  This </w:t>
      </w:r>
      <w:r w:rsidR="002A44CF" w:rsidRPr="002A75ED">
        <w:t>will form the basis for briefing the Chief Health Officer of the ACT and other relevant authorities.</w:t>
      </w:r>
    </w:p>
    <w:p w14:paraId="53AD645F" w14:textId="5C21FB41" w:rsidR="002A44CF" w:rsidRDefault="002A44CF" w:rsidP="002A44CF">
      <w:pPr>
        <w:pStyle w:val="Bullet"/>
      </w:pPr>
      <w:r>
        <w:t xml:space="preserve">When the contact tracing exercise is completed, the responsible case manager should complete a contact tracing summary report describing the extent and results of the investigation (see Attachment A). This report should be added to the index case’s clinical record and a copy faxed/emailed to PPS. </w:t>
      </w:r>
    </w:p>
    <w:p w14:paraId="3467BF00" w14:textId="77777777" w:rsidR="0078367D" w:rsidRDefault="0078367D" w:rsidP="00A6051F">
      <w:pPr>
        <w:pStyle w:val="Heading4"/>
      </w:pPr>
      <w:bookmarkStart w:id="31" w:name="_Toc176348490"/>
      <w:bookmarkStart w:id="32" w:name="_Toc193105511"/>
      <w:r>
        <w:t>Evaluation</w:t>
      </w:r>
      <w:bookmarkStart w:id="33" w:name="_Hlk43366294"/>
      <w:bookmarkEnd w:id="31"/>
      <w:bookmarkEnd w:id="32"/>
    </w:p>
    <w:p w14:paraId="4ABA7BE6" w14:textId="77777777" w:rsidR="002A44CF" w:rsidRDefault="002A44CF" w:rsidP="005078E7">
      <w:pPr>
        <w:pStyle w:val="Heading5"/>
      </w:pPr>
      <w:bookmarkStart w:id="34" w:name="_Hlk170467190"/>
      <w:bookmarkEnd w:id="33"/>
      <w:r>
        <w:t>Outcome</w:t>
      </w:r>
    </w:p>
    <w:p w14:paraId="6F300928" w14:textId="5FDB0F48" w:rsidR="002A44CF" w:rsidRPr="00A35FC7" w:rsidRDefault="002A44CF" w:rsidP="005078E7">
      <w:pPr>
        <w:pStyle w:val="BodyCopy"/>
      </w:pPr>
      <w:r>
        <w:t xml:space="preserve">People presenting to </w:t>
      </w:r>
      <w:r w:rsidR="005078E7">
        <w:t>CHS</w:t>
      </w:r>
      <w:r>
        <w:t xml:space="preserve"> for screening or treatment of TB are managed as per this procedure.</w:t>
      </w:r>
    </w:p>
    <w:p w14:paraId="3D58D275" w14:textId="77777777" w:rsidR="002A44CF" w:rsidRDefault="002A44CF" w:rsidP="005078E7">
      <w:pPr>
        <w:pStyle w:val="Heading5"/>
      </w:pPr>
      <w:r>
        <w:t>Measures</w:t>
      </w:r>
    </w:p>
    <w:p w14:paraId="138EAD2C" w14:textId="4FB8BEC1" w:rsidR="002A44CF" w:rsidRPr="00BD483B" w:rsidRDefault="002A44CF" w:rsidP="005078E7">
      <w:pPr>
        <w:pStyle w:val="Bullet"/>
        <w:rPr>
          <w:b/>
          <w:bCs/>
        </w:rPr>
      </w:pPr>
      <w:bookmarkStart w:id="35" w:name="_Hlk223348151"/>
      <w:r w:rsidRPr="1C6BBED4">
        <w:t>Annual review of clinical incidents relating to</w:t>
      </w:r>
      <w:r w:rsidR="005078E7">
        <w:t xml:space="preserve"> </w:t>
      </w:r>
      <w:r w:rsidRPr="1C6BBED4">
        <w:t>TB</w:t>
      </w:r>
    </w:p>
    <w:p w14:paraId="5D48BE54" w14:textId="69CE4F94" w:rsidR="002A44CF" w:rsidRPr="005078E7" w:rsidRDefault="002A44CF" w:rsidP="005078E7">
      <w:pPr>
        <w:pStyle w:val="Bullet"/>
        <w:rPr>
          <w:b/>
          <w:bCs/>
        </w:rPr>
      </w:pPr>
      <w:r w:rsidRPr="1C6BBED4">
        <w:t>All TB cases discussed and reviewed at bimonthly multidisciplinary meeting</w:t>
      </w:r>
      <w:r w:rsidR="005078E7">
        <w:t>s.</w:t>
      </w:r>
    </w:p>
    <w:bookmarkEnd w:id="34"/>
    <w:bookmarkEnd w:id="35"/>
    <w:p w14:paraId="72D6D62A" w14:textId="77777777" w:rsidR="00481A6C" w:rsidRDefault="005078E7" w:rsidP="002D7682">
      <w:pPr>
        <w:pStyle w:val="BodyCopy"/>
        <w:spacing w:after="120"/>
        <w:rPr>
          <w:rStyle w:val="Hyperlink"/>
          <w:iCs w:val="0"/>
        </w:rPr>
      </w:pPr>
      <w:r>
        <w:fldChar w:fldCharType="begin"/>
      </w:r>
      <w:r>
        <w:instrText>HYPERLINK \l "_top"</w:instrText>
      </w:r>
      <w:r>
        <w:fldChar w:fldCharType="separate"/>
      </w:r>
      <w:r w:rsidR="00481A6C" w:rsidRPr="00481A6C">
        <w:rPr>
          <w:rStyle w:val="Hyperlink"/>
          <w:iCs w:val="0"/>
        </w:rPr>
        <w:t>Back to Contents</w:t>
      </w:r>
      <w:r>
        <w:rPr>
          <w:rStyle w:val="Hyperlink"/>
          <w:iCs w:val="0"/>
        </w:rPr>
        <w:fldChar w:fldCharType="end"/>
      </w:r>
    </w:p>
    <w:p w14:paraId="36E2FAB3" w14:textId="77777777" w:rsidR="00A6051F" w:rsidRDefault="00A6051F" w:rsidP="00A6051F">
      <w:pPr>
        <w:pStyle w:val="Heading4"/>
      </w:pPr>
      <w:bookmarkStart w:id="36" w:name="_Toc193105512"/>
      <w:r>
        <w:t>Related policies, procedures, guidelines and legislation</w:t>
      </w:r>
      <w:bookmarkEnd w:id="36"/>
    </w:p>
    <w:p w14:paraId="0CF35BCE" w14:textId="77777777" w:rsidR="00481A6C" w:rsidRPr="00A66966" w:rsidRDefault="00481A6C" w:rsidP="00A6051F">
      <w:pPr>
        <w:pStyle w:val="Heading5"/>
      </w:pPr>
      <w:r w:rsidRPr="00A66966">
        <w:t>Policies</w:t>
      </w:r>
    </w:p>
    <w:p w14:paraId="02F61302" w14:textId="77777777" w:rsidR="002A44CF" w:rsidRDefault="002A44CF" w:rsidP="002A44CF">
      <w:pPr>
        <w:pStyle w:val="Bullet"/>
        <w:numPr>
          <w:ilvl w:val="0"/>
          <w:numId w:val="27"/>
        </w:numPr>
      </w:pPr>
      <w:r>
        <w:t>Medication Handling</w:t>
      </w:r>
    </w:p>
    <w:p w14:paraId="6F15B6BD" w14:textId="77777777" w:rsidR="00A86197" w:rsidRDefault="00A86197" w:rsidP="00A86197">
      <w:pPr>
        <w:pStyle w:val="Bullet"/>
        <w:numPr>
          <w:ilvl w:val="0"/>
          <w:numId w:val="27"/>
        </w:numPr>
      </w:pPr>
      <w:r>
        <w:t>Nursing and Midwifery Board of Australia (NMBA) Requirements for Practice</w:t>
      </w:r>
    </w:p>
    <w:p w14:paraId="2F1066C0" w14:textId="77777777" w:rsidR="00481A6C" w:rsidRDefault="00481A6C" w:rsidP="00A6051F">
      <w:pPr>
        <w:pStyle w:val="Heading5"/>
      </w:pPr>
      <w:r>
        <w:lastRenderedPageBreak/>
        <w:t>Procedures</w:t>
      </w:r>
    </w:p>
    <w:p w14:paraId="5E8EA973" w14:textId="77777777" w:rsidR="002A44CF" w:rsidRDefault="00635114" w:rsidP="002A44CF">
      <w:pPr>
        <w:pStyle w:val="Bullet"/>
      </w:pPr>
      <w:r>
        <w:t>Infection Prevention and Control</w:t>
      </w:r>
    </w:p>
    <w:p w14:paraId="2342916B" w14:textId="1E588C9A" w:rsidR="00481A6C" w:rsidRPr="000E7683" w:rsidRDefault="002A44CF" w:rsidP="002A44CF">
      <w:pPr>
        <w:pStyle w:val="Bullet"/>
      </w:pPr>
      <w:r w:rsidRPr="1C6BBED4">
        <w:t xml:space="preserve">Infection Prevention and Control </w:t>
      </w:r>
      <w:r>
        <w:t>– North Canberra Hospital (NCH)</w:t>
      </w:r>
    </w:p>
    <w:p w14:paraId="52E7969B" w14:textId="77777777" w:rsidR="002A44CF" w:rsidRPr="00A005F7" w:rsidRDefault="002A44CF" w:rsidP="002A44CF">
      <w:pPr>
        <w:pStyle w:val="Bullet"/>
        <w:rPr>
          <w:i/>
        </w:rPr>
      </w:pPr>
      <w:bookmarkStart w:id="37" w:name="_Hlk181871588"/>
      <w:r w:rsidRPr="00A005F7">
        <w:t xml:space="preserve">Language Services – </w:t>
      </w:r>
      <w:bookmarkStart w:id="38" w:name="_Hlk40353648"/>
      <w:r w:rsidRPr="00A005F7">
        <w:t>Interpreters and Translated Materials</w:t>
      </w:r>
      <w:bookmarkEnd w:id="38"/>
      <w:r>
        <w:t xml:space="preserve"> </w:t>
      </w:r>
      <w:bookmarkEnd w:id="37"/>
      <w:r>
        <w:t>for adults and children</w:t>
      </w:r>
    </w:p>
    <w:p w14:paraId="5A37AE4B" w14:textId="2BDCE526" w:rsidR="002A44CF" w:rsidRPr="002A44CF" w:rsidRDefault="002A44CF" w:rsidP="002A44CF">
      <w:pPr>
        <w:pStyle w:val="Bullet"/>
        <w:rPr>
          <w:rFonts w:asciiTheme="minorHAnsi" w:hAnsiTheme="minorHAnsi"/>
          <w:b/>
          <w:bCs/>
        </w:rPr>
      </w:pPr>
      <w:r w:rsidRPr="1C6BBED4">
        <w:t>Occupational Assessment, Screening and Vaccination</w:t>
      </w:r>
    </w:p>
    <w:p w14:paraId="5336457B" w14:textId="77777777" w:rsidR="002A44CF" w:rsidRDefault="002A44CF" w:rsidP="002A44CF">
      <w:pPr>
        <w:pStyle w:val="Bullet"/>
      </w:pPr>
      <w:r w:rsidRPr="1C6BBED4">
        <w:t xml:space="preserve">Negative </w:t>
      </w:r>
      <w:r>
        <w:t>P</w:t>
      </w:r>
      <w:r w:rsidRPr="1C6BBED4">
        <w:t>ressure or Positive Pressure Isolation Rooms</w:t>
      </w:r>
      <w:r>
        <w:t>: Operation, Performance, Monitoring and Maintenance</w:t>
      </w:r>
      <w:r w:rsidRPr="002A44CF">
        <w:t xml:space="preserve"> </w:t>
      </w:r>
    </w:p>
    <w:p w14:paraId="1A78E12E" w14:textId="4ABAFE46" w:rsidR="002A44CF" w:rsidRDefault="002A44CF" w:rsidP="002A44CF">
      <w:pPr>
        <w:pStyle w:val="Bullet"/>
      </w:pPr>
      <w:r w:rsidRPr="000E7683">
        <w:t xml:space="preserve">Patient Identification and </w:t>
      </w:r>
      <w:r>
        <w:t xml:space="preserve">Health Care Activity </w:t>
      </w:r>
      <w:r w:rsidRPr="000E7683">
        <w:t xml:space="preserve">Matching </w:t>
      </w:r>
    </w:p>
    <w:p w14:paraId="41FB4AC3" w14:textId="77777777" w:rsidR="002A44CF" w:rsidRDefault="002A44CF" w:rsidP="002A44CF">
      <w:pPr>
        <w:pStyle w:val="Bullet"/>
      </w:pPr>
      <w:r w:rsidRPr="1C6BBED4">
        <w:t xml:space="preserve">Department of Respiratory and Sleep Medicine Registered Nurse Initiated X-rays (NIX) for Adults and Children  </w:t>
      </w:r>
    </w:p>
    <w:p w14:paraId="606FF221" w14:textId="1A5683E8" w:rsidR="002A44CF" w:rsidRDefault="002A44CF" w:rsidP="002A44CF">
      <w:pPr>
        <w:pStyle w:val="Bullet"/>
      </w:pPr>
      <w:r w:rsidRPr="1C6BBED4">
        <w:t>Pathology Specimen</w:t>
      </w:r>
      <w:r w:rsidR="004C411C">
        <w:t xml:space="preserve"> Management</w:t>
      </w:r>
      <w:r w:rsidRPr="1C6BBED4">
        <w:t xml:space="preserve"> </w:t>
      </w:r>
    </w:p>
    <w:p w14:paraId="03D80F36" w14:textId="77777777" w:rsidR="002A44CF" w:rsidRDefault="002A44CF" w:rsidP="002A44CF">
      <w:pPr>
        <w:pStyle w:val="Bullet"/>
      </w:pPr>
      <w:r w:rsidRPr="1C6BBED4">
        <w:t>Clinical Handover</w:t>
      </w:r>
    </w:p>
    <w:p w14:paraId="3CD68135" w14:textId="4218AC58" w:rsidR="004C411C" w:rsidRDefault="004C411C" w:rsidP="004C411C">
      <w:pPr>
        <w:pStyle w:val="Bullet"/>
      </w:pPr>
      <w:r w:rsidRPr="1C6BBED4">
        <w:t>Clinical Handover</w:t>
      </w:r>
      <w:r>
        <w:t xml:space="preserve"> – North Canberra Hospital (NCH)</w:t>
      </w:r>
    </w:p>
    <w:p w14:paraId="3E94CC8B" w14:textId="77777777" w:rsidR="00481A6C" w:rsidRDefault="00481A6C" w:rsidP="00A6051F">
      <w:pPr>
        <w:pStyle w:val="Heading5"/>
      </w:pPr>
      <w:r>
        <w:t xml:space="preserve">Guidelines </w:t>
      </w:r>
    </w:p>
    <w:p w14:paraId="6D77CB4F" w14:textId="77777777" w:rsidR="009746B1" w:rsidRDefault="009746B1" w:rsidP="009746B1">
      <w:pPr>
        <w:pStyle w:val="Bullet"/>
      </w:pPr>
      <w:r>
        <w:t>Consent for Healthcare Treatment</w:t>
      </w:r>
    </w:p>
    <w:p w14:paraId="27BF753C" w14:textId="77777777" w:rsidR="00481A6C" w:rsidRDefault="00481A6C" w:rsidP="00A6051F">
      <w:pPr>
        <w:pStyle w:val="Heading5"/>
      </w:pPr>
      <w:r>
        <w:t>Legislation</w:t>
      </w:r>
    </w:p>
    <w:p w14:paraId="7701490C" w14:textId="77777777" w:rsidR="00481A6C" w:rsidRPr="000E7683" w:rsidRDefault="00481A6C" w:rsidP="000E7683">
      <w:pPr>
        <w:pStyle w:val="Bullet"/>
      </w:pPr>
      <w:r w:rsidRPr="00FE46F1">
        <w:rPr>
          <w:i/>
          <w:iCs/>
        </w:rPr>
        <w:t>Health Records (Privacy and Access) Act</w:t>
      </w:r>
      <w:r w:rsidRPr="000E7683">
        <w:t xml:space="preserve"> 1997</w:t>
      </w:r>
    </w:p>
    <w:p w14:paraId="075C51CA" w14:textId="77777777" w:rsidR="00481A6C" w:rsidRDefault="00481A6C" w:rsidP="000E7683">
      <w:pPr>
        <w:pStyle w:val="Bullet"/>
      </w:pPr>
      <w:r w:rsidRPr="00FE46F1">
        <w:rPr>
          <w:i/>
          <w:iCs/>
        </w:rPr>
        <w:t>Human Rights Act</w:t>
      </w:r>
      <w:r w:rsidRPr="000E7683">
        <w:t xml:space="preserve"> 2004</w:t>
      </w:r>
    </w:p>
    <w:p w14:paraId="7BBA72BE" w14:textId="77777777" w:rsidR="00481A6C" w:rsidRPr="000E7683" w:rsidRDefault="00481A6C" w:rsidP="000E7683">
      <w:pPr>
        <w:pStyle w:val="Bullet"/>
      </w:pPr>
      <w:r w:rsidRPr="00FE46F1">
        <w:rPr>
          <w:i/>
          <w:iCs/>
        </w:rPr>
        <w:t>Work Health and Safety Act</w:t>
      </w:r>
      <w:r w:rsidRPr="000E7683">
        <w:t xml:space="preserve"> 2011</w:t>
      </w:r>
    </w:p>
    <w:p w14:paraId="3AD0E45A" w14:textId="77777777" w:rsidR="00481A6C" w:rsidRDefault="00481A6C" w:rsidP="000E7683">
      <w:pPr>
        <w:pStyle w:val="Bullet"/>
      </w:pPr>
      <w:r w:rsidRPr="00FE46F1">
        <w:rPr>
          <w:i/>
          <w:iCs/>
        </w:rPr>
        <w:t>Carers Recognition Act</w:t>
      </w:r>
      <w:r w:rsidRPr="000E7683">
        <w:t xml:space="preserve"> 2021</w:t>
      </w:r>
    </w:p>
    <w:p w14:paraId="053BBEBF" w14:textId="77777777" w:rsidR="004C411C" w:rsidRDefault="004C411C" w:rsidP="004C411C">
      <w:pPr>
        <w:pStyle w:val="Bullet"/>
      </w:pPr>
      <w:r w:rsidRPr="004C411C">
        <w:rPr>
          <w:i/>
          <w:iCs/>
        </w:rPr>
        <w:t>Information Privacy Act</w:t>
      </w:r>
      <w:r w:rsidRPr="00317A43">
        <w:t xml:space="preserve"> 2014 (ACT)</w:t>
      </w:r>
    </w:p>
    <w:p w14:paraId="39B8E526" w14:textId="288DE6A3" w:rsidR="004C411C" w:rsidRPr="000E7683" w:rsidRDefault="004C411C" w:rsidP="004C411C">
      <w:pPr>
        <w:pStyle w:val="Bullet"/>
      </w:pPr>
      <w:r w:rsidRPr="004C411C">
        <w:rPr>
          <w:i/>
          <w:iCs/>
        </w:rPr>
        <w:t>National Health Securities Act</w:t>
      </w:r>
      <w:r w:rsidRPr="00C110FE">
        <w:t xml:space="preserve"> 2007</w:t>
      </w:r>
    </w:p>
    <w:p w14:paraId="7AD517F3" w14:textId="77777777" w:rsidR="00481A6C" w:rsidRDefault="00481A6C" w:rsidP="00A6051F">
      <w:pPr>
        <w:pStyle w:val="Heading5"/>
      </w:pPr>
      <w:r>
        <w:t>Other</w:t>
      </w:r>
    </w:p>
    <w:p w14:paraId="5C04BB83" w14:textId="77777777" w:rsidR="000E7683" w:rsidRDefault="00481A6C" w:rsidP="00A66966">
      <w:pPr>
        <w:pStyle w:val="Bullet"/>
      </w:pPr>
      <w:r w:rsidRPr="00A66966">
        <w:t>Australian</w:t>
      </w:r>
      <w:r w:rsidRPr="000E7683">
        <w:t xml:space="preserve"> Charter of Healthcare Right</w:t>
      </w:r>
      <w:r w:rsidR="00280C5D" w:rsidRPr="000E7683">
        <w:t>s</w:t>
      </w:r>
    </w:p>
    <w:p w14:paraId="3C9A82B5" w14:textId="77777777" w:rsidR="000E7683" w:rsidRPr="000E7683" w:rsidRDefault="000E7683" w:rsidP="002D7682">
      <w:pPr>
        <w:pStyle w:val="BodyCopy"/>
      </w:pPr>
      <w:hyperlink w:anchor="_top" w:history="1">
        <w:r w:rsidRPr="004A7A7F">
          <w:rPr>
            <w:rStyle w:val="Hyperlink"/>
          </w:rPr>
          <w:t>Back to Contents</w:t>
        </w:r>
      </w:hyperlink>
    </w:p>
    <w:p w14:paraId="0E9525BC" w14:textId="77777777" w:rsidR="0078367D" w:rsidRPr="0078367D" w:rsidRDefault="0078367D" w:rsidP="00A6051F">
      <w:pPr>
        <w:pStyle w:val="Heading4"/>
      </w:pPr>
      <w:bookmarkStart w:id="39" w:name="_Toc193105513"/>
      <w:r w:rsidRPr="0078367D">
        <w:t>References</w:t>
      </w:r>
      <w:bookmarkEnd w:id="39"/>
    </w:p>
    <w:p w14:paraId="525DF028" w14:textId="77777777" w:rsidR="004F35E9" w:rsidRDefault="004F35E9" w:rsidP="003D492D">
      <w:pPr>
        <w:pStyle w:val="Numberedlist"/>
      </w:pPr>
      <w:r w:rsidRPr="00E54150">
        <w:t>Communicable Disease Network of Aust</w:t>
      </w:r>
      <w:r>
        <w:t>ralia: National Guidelines for P</w:t>
      </w:r>
      <w:r w:rsidRPr="00E54150">
        <w:t xml:space="preserve">ublic </w:t>
      </w:r>
      <w:r>
        <w:t>Health U</w:t>
      </w:r>
      <w:r w:rsidRPr="00E54150">
        <w:t>nits – Management of TB</w:t>
      </w:r>
      <w:r>
        <w:t xml:space="preserve"> [revised Apr 2015]. Available at:</w:t>
      </w:r>
    </w:p>
    <w:p w14:paraId="78D31FF8" w14:textId="77777777" w:rsidR="004F35E9" w:rsidRDefault="004F35E9" w:rsidP="003D492D">
      <w:pPr>
        <w:pStyle w:val="Numberedlist"/>
      </w:pPr>
      <w:hyperlink r:id="rId13" w:history="1">
        <w:r w:rsidRPr="00621DC4">
          <w:rPr>
            <w:rStyle w:val="Hyperlink"/>
          </w:rPr>
          <w:t>http://www.health.gov.au/internet/main/publishing.nsf/Content/cdna-song-tuberculosis</w:t>
        </w:r>
      </w:hyperlink>
    </w:p>
    <w:p w14:paraId="567E6D72" w14:textId="77777777" w:rsidR="004F35E9" w:rsidRPr="00E54150" w:rsidRDefault="004F35E9" w:rsidP="003D492D">
      <w:pPr>
        <w:pStyle w:val="Numberedlist"/>
      </w:pPr>
      <w:proofErr w:type="spellStart"/>
      <w:r w:rsidRPr="00E54150">
        <w:lastRenderedPageBreak/>
        <w:t>Centers</w:t>
      </w:r>
      <w:proofErr w:type="spellEnd"/>
      <w:r w:rsidRPr="00E54150">
        <w:t xml:space="preserve"> for Disease Control and Prevention. Guidelines for</w:t>
      </w:r>
      <w:r>
        <w:t xml:space="preserve"> the I</w:t>
      </w:r>
      <w:r w:rsidRPr="00E54150">
        <w:t xml:space="preserve">nvestigation of </w:t>
      </w:r>
      <w:r>
        <w:t>C</w:t>
      </w:r>
      <w:r w:rsidRPr="00E54150">
        <w:t xml:space="preserve">ontacts of </w:t>
      </w:r>
      <w:r>
        <w:t>P</w:t>
      </w:r>
      <w:r w:rsidRPr="00E54150">
        <w:t xml:space="preserve">ersons with </w:t>
      </w:r>
      <w:r>
        <w:t>I</w:t>
      </w:r>
      <w:r w:rsidRPr="00E54150">
        <w:t>nfectious</w:t>
      </w:r>
      <w:r>
        <w:t xml:space="preserve"> Tuberculosis; R</w:t>
      </w:r>
      <w:r w:rsidRPr="00E54150">
        <w:t>ecommendations from the National Tuberculosis</w:t>
      </w:r>
    </w:p>
    <w:p w14:paraId="4B398E19" w14:textId="77777777" w:rsidR="004F35E9" w:rsidRDefault="004F35E9" w:rsidP="003D492D">
      <w:pPr>
        <w:pStyle w:val="Numberedlist"/>
      </w:pPr>
      <w:r w:rsidRPr="00E54150">
        <w:t xml:space="preserve">Controllers Association and CDC, and Guidelines for </w:t>
      </w:r>
      <w:r>
        <w:t>U</w:t>
      </w:r>
      <w:r w:rsidRPr="00E54150">
        <w:t>sing</w:t>
      </w:r>
      <w:r>
        <w:t xml:space="preserve"> </w:t>
      </w:r>
      <w:r w:rsidRPr="00E54150">
        <w:t>the QuantiFERON®-TB Gold test for detecting</w:t>
      </w:r>
      <w:r>
        <w:t xml:space="preserve"> </w:t>
      </w:r>
      <w:r w:rsidRPr="00301331">
        <w:rPr>
          <w:i/>
        </w:rPr>
        <w:t>Mycobacterium tuberculosis</w:t>
      </w:r>
      <w:r w:rsidRPr="00E54150">
        <w:t xml:space="preserve"> infection, United States. MMWR</w:t>
      </w:r>
      <w:r>
        <w:t xml:space="preserve"> 2005;54(No. RR-15). Available at:</w:t>
      </w:r>
    </w:p>
    <w:p w14:paraId="7A0D2D32" w14:textId="77777777" w:rsidR="004F35E9" w:rsidRDefault="004F35E9" w:rsidP="003D492D">
      <w:pPr>
        <w:pStyle w:val="Numberedlist"/>
      </w:pPr>
      <w:hyperlink r:id="rId14" w:history="1">
        <w:r w:rsidRPr="002A7DC4">
          <w:rPr>
            <w:rStyle w:val="Hyperlink"/>
          </w:rPr>
          <w:t>https://www.cdc.gov/mmwr/pdf/rr/rr5415.pdf</w:t>
        </w:r>
      </w:hyperlink>
    </w:p>
    <w:p w14:paraId="668BC861" w14:textId="77777777" w:rsidR="004F35E9" w:rsidRDefault="004F35E9" w:rsidP="003D492D">
      <w:pPr>
        <w:pStyle w:val="Numberedlist"/>
      </w:pPr>
      <w:r>
        <w:t xml:space="preserve">National Health and Medical Research Council. </w:t>
      </w:r>
      <w:r w:rsidRPr="00DE4E3D">
        <w:t>Australian Guidelines for the Prevention and Control of Infection in Healthcare (2010)</w:t>
      </w:r>
      <w:r>
        <w:t>. Available at:</w:t>
      </w:r>
    </w:p>
    <w:p w14:paraId="1B931CC3" w14:textId="77777777" w:rsidR="004F35E9" w:rsidRPr="00301331" w:rsidRDefault="004F35E9" w:rsidP="003D492D">
      <w:pPr>
        <w:pStyle w:val="Numberedlist"/>
      </w:pPr>
      <w:hyperlink r:id="rId15" w:history="1">
        <w:r w:rsidRPr="00EF2237">
          <w:rPr>
            <w:rStyle w:val="Hyperlink"/>
          </w:rPr>
          <w:t>https://www.nhmrc.gov.au/book/html-australian-guidelines-prevention-and-control-infection-healthcare-2010</w:t>
        </w:r>
      </w:hyperlink>
      <w:r w:rsidRPr="00EF2237">
        <w:t>?</w:t>
      </w:r>
    </w:p>
    <w:p w14:paraId="75C3316A" w14:textId="77777777" w:rsidR="004F35E9" w:rsidRDefault="004F35E9" w:rsidP="003D492D">
      <w:pPr>
        <w:pStyle w:val="Numberedlist"/>
      </w:pPr>
      <w:r>
        <w:t>Nahid P et al. Official American Thoracic Society/</w:t>
      </w:r>
      <w:proofErr w:type="spellStart"/>
      <w:r>
        <w:t>Centers</w:t>
      </w:r>
      <w:proofErr w:type="spellEnd"/>
      <w:r>
        <w:t xml:space="preserve"> for Disease Control and Prevention/Infectious Diseases Society of America Clinical Practice Guidelines: Treatment of Drug-Susceptible Tuberculosis. Clin Infect Dis. 2016 Oct 1;63(7):e147-95. </w:t>
      </w:r>
      <w:proofErr w:type="spellStart"/>
      <w:r>
        <w:t>doi</w:t>
      </w:r>
      <w:proofErr w:type="spellEnd"/>
      <w:r>
        <w:t>: 10.1093/</w:t>
      </w:r>
      <w:proofErr w:type="spellStart"/>
      <w:r>
        <w:t>cid</w:t>
      </w:r>
      <w:proofErr w:type="spellEnd"/>
      <w:r>
        <w:t>/ciw376. Available at:</w:t>
      </w:r>
    </w:p>
    <w:p w14:paraId="5C4BA1C6" w14:textId="77777777" w:rsidR="004F35E9" w:rsidRDefault="004F35E9" w:rsidP="003D492D">
      <w:pPr>
        <w:pStyle w:val="Numberedlist"/>
      </w:pPr>
      <w:hyperlink r:id="rId16" w:history="1">
        <w:r w:rsidRPr="002A7DC4">
          <w:rPr>
            <w:rStyle w:val="Hyperlink"/>
          </w:rPr>
          <w:t>https://www.cdc.gov/tb/publications/guidelines/pdf/clin-infect-dis.-2016-nahid-cid_ciw376.pdf</w:t>
        </w:r>
      </w:hyperlink>
    </w:p>
    <w:p w14:paraId="5C8A02EB" w14:textId="77777777" w:rsidR="004F35E9" w:rsidRDefault="004F35E9" w:rsidP="003D492D">
      <w:pPr>
        <w:pStyle w:val="Numberedlist"/>
      </w:pPr>
      <w:proofErr w:type="spellStart"/>
      <w:r>
        <w:t>Lewinsohn</w:t>
      </w:r>
      <w:proofErr w:type="spellEnd"/>
      <w:r>
        <w:t xml:space="preserve"> DM et al. Official American Thoracic Society/Infectious Diseases Society of America/</w:t>
      </w:r>
      <w:proofErr w:type="spellStart"/>
      <w:r>
        <w:t>Centers</w:t>
      </w:r>
      <w:proofErr w:type="spellEnd"/>
      <w:r>
        <w:t xml:space="preserve"> for Disease Control and Prevention Clinical Practice Guidelines: Diagnosis of </w:t>
      </w:r>
      <w:r w:rsidRPr="007160F1">
        <w:t>Tuberculosis in Adults and Children</w:t>
      </w:r>
      <w:r>
        <w:t xml:space="preserve">. Clin Infect Dis. 2017 Jan 15;64(2):e1-e33. </w:t>
      </w:r>
      <w:proofErr w:type="spellStart"/>
      <w:r>
        <w:t>doi</w:t>
      </w:r>
      <w:proofErr w:type="spellEnd"/>
      <w:r>
        <w:t>: 10.1093/</w:t>
      </w:r>
      <w:proofErr w:type="spellStart"/>
      <w:r>
        <w:t>cid</w:t>
      </w:r>
      <w:proofErr w:type="spellEnd"/>
      <w:r>
        <w:t>/ciw694. Available at:</w:t>
      </w:r>
    </w:p>
    <w:p w14:paraId="359ED0FB" w14:textId="77777777" w:rsidR="004F35E9" w:rsidRDefault="004F35E9" w:rsidP="003D492D">
      <w:pPr>
        <w:pStyle w:val="Numberedlist"/>
      </w:pPr>
      <w:hyperlink r:id="rId17" w:history="1">
        <w:r w:rsidRPr="002A7DC4">
          <w:rPr>
            <w:rStyle w:val="Hyperlink"/>
          </w:rPr>
          <w:t>https://www.cdc.gov/tb/publications/guidelines/pdf/cid_ciw694_full.pdf</w:t>
        </w:r>
      </w:hyperlink>
    </w:p>
    <w:p w14:paraId="28C3FE55" w14:textId="77777777" w:rsidR="004F35E9" w:rsidRDefault="004F35E9" w:rsidP="003D492D">
      <w:pPr>
        <w:pStyle w:val="Numberedlist"/>
      </w:pPr>
      <w:r>
        <w:t xml:space="preserve">Mycobacterial infections [revised </w:t>
      </w:r>
      <w:r w:rsidRPr="00621DC4">
        <w:t>Nov</w:t>
      </w:r>
      <w:r>
        <w:t xml:space="preserve"> 2016</w:t>
      </w:r>
      <w:r w:rsidRPr="00621DC4">
        <w:t xml:space="preserve">]. In: </w:t>
      </w:r>
      <w:proofErr w:type="spellStart"/>
      <w:r w:rsidRPr="00621DC4">
        <w:t>eTG</w:t>
      </w:r>
      <w:proofErr w:type="spellEnd"/>
      <w:r w:rsidRPr="00621DC4">
        <w:t xml:space="preserve"> complete [Internet]. Melbourne: Therapeutic Guidelines Limited; 2014.</w:t>
      </w:r>
      <w:r>
        <w:t xml:space="preserve"> Available at: </w:t>
      </w:r>
      <w:hyperlink r:id="rId18" w:history="1">
        <w:r w:rsidRPr="002A7DC4">
          <w:rPr>
            <w:rStyle w:val="Hyperlink"/>
          </w:rPr>
          <w:t>https://tgldcdp.tg.org.au/viewTopic?topicfile=mycobacterial-infections</w:t>
        </w:r>
      </w:hyperlink>
    </w:p>
    <w:p w14:paraId="0200D1DC" w14:textId="77777777" w:rsidR="004F35E9" w:rsidRDefault="004F35E9" w:rsidP="003D492D">
      <w:pPr>
        <w:pStyle w:val="Numberedlist"/>
      </w:pPr>
      <w:r>
        <w:t xml:space="preserve">Western Australia Department of Health: Relevant Policies for TB. Available at </w:t>
      </w:r>
      <w:hyperlink r:id="rId19" w:history="1">
        <w:r w:rsidRPr="0025111D">
          <w:rPr>
            <w:rStyle w:val="Hyperlink"/>
          </w:rPr>
          <w:t>http://ww2.health.wa.gov.au/Articles/A_E/About-the-Western-Australia-Tuberculosis-Control-Program</w:t>
        </w:r>
      </w:hyperlink>
      <w:r>
        <w:t xml:space="preserve"> </w:t>
      </w:r>
    </w:p>
    <w:p w14:paraId="747F8344" w14:textId="77777777" w:rsidR="004F35E9" w:rsidRDefault="004F35E9" w:rsidP="003D492D">
      <w:pPr>
        <w:pStyle w:val="Numberedlist"/>
      </w:pPr>
      <w:r>
        <w:t xml:space="preserve">Queensland Health: Tuberculosis control. Available at </w:t>
      </w:r>
      <w:hyperlink r:id="rId20" w:history="1">
        <w:r w:rsidRPr="0025111D">
          <w:rPr>
            <w:rStyle w:val="Hyperlink"/>
          </w:rPr>
          <w:t>https://www.health.qld.gov.au/chrisp/tuberculosis/guidelines.asp</w:t>
        </w:r>
      </w:hyperlink>
      <w:r>
        <w:t xml:space="preserve"> </w:t>
      </w:r>
    </w:p>
    <w:p w14:paraId="5ADBB733" w14:textId="77777777" w:rsidR="004F35E9" w:rsidRDefault="004F35E9" w:rsidP="003D492D">
      <w:pPr>
        <w:pStyle w:val="Numberedlist"/>
      </w:pPr>
      <w:r>
        <w:t>Northern Territory – Centre for Disease Control: Guidelines for the control of Tuberculosis in the Northern Territory. 5</w:t>
      </w:r>
      <w:r w:rsidRPr="00052E62">
        <w:rPr>
          <w:vertAlign w:val="superscript"/>
        </w:rPr>
        <w:t>th</w:t>
      </w:r>
      <w:r>
        <w:t xml:space="preserve"> Edition. 2016. Available at: </w:t>
      </w:r>
    </w:p>
    <w:p w14:paraId="3A0FF4DF" w14:textId="77777777" w:rsidR="004F35E9" w:rsidRDefault="004F35E9" w:rsidP="003D492D">
      <w:pPr>
        <w:pStyle w:val="Numberedlist"/>
      </w:pPr>
      <w:hyperlink r:id="rId21" w:history="1">
        <w:r w:rsidRPr="00D053A3">
          <w:rPr>
            <w:rStyle w:val="Hyperlink"/>
          </w:rPr>
          <w:t>http://digitallibrary.health.nt.gov.au/prodjspui/handle/10137/696</w:t>
        </w:r>
      </w:hyperlink>
    </w:p>
    <w:p w14:paraId="1131E495" w14:textId="77777777" w:rsidR="004F35E9" w:rsidRDefault="004F35E9" w:rsidP="003D492D">
      <w:pPr>
        <w:pStyle w:val="Numberedlist"/>
      </w:pPr>
      <w:r>
        <w:t xml:space="preserve">NSW Health Policy directive: Tuberculosis contact tracing.  2008. Document number PD2008_017 available at: </w:t>
      </w:r>
      <w:hyperlink r:id="rId22" w:history="1">
        <w:r w:rsidRPr="0025111D">
          <w:rPr>
            <w:rStyle w:val="Hyperlink"/>
          </w:rPr>
          <w:t>http://www0.health.nsw.gov.au/policies/pd/2008/pdf/PD2008_017.pdf</w:t>
        </w:r>
      </w:hyperlink>
      <w:r>
        <w:t xml:space="preserve"> </w:t>
      </w:r>
    </w:p>
    <w:p w14:paraId="00F84D5C" w14:textId="77777777" w:rsidR="00216681" w:rsidRDefault="00216681" w:rsidP="003D492D">
      <w:pPr>
        <w:pStyle w:val="Numberedlist"/>
      </w:pPr>
    </w:p>
    <w:p w14:paraId="0E865455" w14:textId="77777777" w:rsidR="004F35E9" w:rsidRDefault="004F35E9" w:rsidP="004F35E9">
      <w:pPr>
        <w:pStyle w:val="Bullet"/>
        <w:numPr>
          <w:ilvl w:val="0"/>
          <w:numId w:val="0"/>
        </w:numPr>
        <w:rPr>
          <w:lang w:eastAsia="en-US"/>
        </w:rPr>
      </w:pPr>
    </w:p>
    <w:p w14:paraId="4E4F7541" w14:textId="77777777" w:rsidR="00280C5D" w:rsidRDefault="00280C5D" w:rsidP="002D768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40B706D3" w14:textId="733A5B1C" w:rsidR="00280C5D" w:rsidRDefault="0078367D" w:rsidP="004C411C">
      <w:pPr>
        <w:pStyle w:val="Heading4"/>
      </w:pPr>
      <w:bookmarkStart w:id="40" w:name="_Toc193105514"/>
      <w:r>
        <w:t>Definition of terms</w:t>
      </w:r>
      <w:bookmarkEnd w:id="40"/>
      <w: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768"/>
      </w:tblGrid>
      <w:tr w:rsidR="004C411C" w:rsidRPr="00D6669C" w14:paraId="13EC3447" w14:textId="77777777" w:rsidTr="00DE769A">
        <w:tc>
          <w:tcPr>
            <w:tcW w:w="2410" w:type="dxa"/>
          </w:tcPr>
          <w:p w14:paraId="724DFC6A" w14:textId="77777777" w:rsidR="004C411C" w:rsidRPr="00D6669C" w:rsidRDefault="004C411C" w:rsidP="00DE769A">
            <w:pPr>
              <w:spacing w:beforeLines="60" w:before="144" w:afterLines="60" w:after="144"/>
              <w:rPr>
                <w:rFonts w:asciiTheme="minorHAnsi" w:hAnsiTheme="minorHAnsi"/>
              </w:rPr>
            </w:pPr>
            <w:r w:rsidRPr="00D6669C">
              <w:rPr>
                <w:rFonts w:asciiTheme="minorHAnsi" w:hAnsiTheme="minorHAnsi"/>
              </w:rPr>
              <w:t>AFB</w:t>
            </w:r>
          </w:p>
        </w:tc>
        <w:tc>
          <w:tcPr>
            <w:tcW w:w="6768" w:type="dxa"/>
          </w:tcPr>
          <w:p w14:paraId="34D96B0A"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Acid-</w:t>
            </w:r>
            <w:r w:rsidRPr="00D6669C">
              <w:rPr>
                <w:rFonts w:asciiTheme="minorHAnsi" w:hAnsiTheme="minorHAnsi"/>
              </w:rPr>
              <w:t>fast bacill</w:t>
            </w:r>
            <w:r>
              <w:rPr>
                <w:rFonts w:asciiTheme="minorHAnsi" w:hAnsiTheme="minorHAnsi"/>
              </w:rPr>
              <w:t>i</w:t>
            </w:r>
          </w:p>
        </w:tc>
      </w:tr>
      <w:tr w:rsidR="004C411C" w:rsidRPr="00D6669C" w14:paraId="44F2529C" w14:textId="77777777" w:rsidTr="00DE769A">
        <w:tc>
          <w:tcPr>
            <w:tcW w:w="2410" w:type="dxa"/>
          </w:tcPr>
          <w:p w14:paraId="679E52DE" w14:textId="77777777" w:rsidR="004C411C" w:rsidRPr="00C110FE" w:rsidRDefault="004C411C" w:rsidP="00DE769A">
            <w:pPr>
              <w:pStyle w:val="Default"/>
              <w:spacing w:beforeLines="60" w:before="144" w:afterLines="60" w:after="144"/>
              <w:rPr>
                <w:rFonts w:asciiTheme="minorHAnsi" w:hAnsiTheme="minorHAnsi"/>
              </w:rPr>
            </w:pPr>
            <w:proofErr w:type="spellStart"/>
            <w:r w:rsidRPr="00D6669C">
              <w:rPr>
                <w:rFonts w:asciiTheme="minorHAnsi" w:hAnsiTheme="minorHAnsi"/>
              </w:rPr>
              <w:t>Authorised</w:t>
            </w:r>
            <w:proofErr w:type="spellEnd"/>
            <w:r w:rsidRPr="00D6669C">
              <w:rPr>
                <w:rFonts w:asciiTheme="minorHAnsi" w:hAnsiTheme="minorHAnsi"/>
              </w:rPr>
              <w:t xml:space="preserve"> person </w:t>
            </w:r>
          </w:p>
        </w:tc>
        <w:tc>
          <w:tcPr>
            <w:tcW w:w="6768" w:type="dxa"/>
          </w:tcPr>
          <w:p w14:paraId="3FDE0F00" w14:textId="77777777" w:rsidR="004C411C" w:rsidRPr="00D6669C" w:rsidRDefault="004C411C" w:rsidP="00DE769A">
            <w:pPr>
              <w:pStyle w:val="Default"/>
              <w:spacing w:beforeLines="60" w:before="144" w:afterLines="60" w:after="144"/>
              <w:rPr>
                <w:rFonts w:asciiTheme="minorHAnsi" w:hAnsiTheme="minorHAnsi"/>
              </w:rPr>
            </w:pPr>
            <w:r>
              <w:rPr>
                <w:rFonts w:asciiTheme="minorHAnsi" w:hAnsiTheme="minorHAnsi"/>
              </w:rPr>
              <w:t>Refers to</w:t>
            </w:r>
            <w:r w:rsidRPr="00D6669C">
              <w:rPr>
                <w:rFonts w:asciiTheme="minorHAnsi" w:hAnsiTheme="minorHAnsi"/>
              </w:rPr>
              <w:t xml:space="preserve"> a person appointed as an </w:t>
            </w:r>
            <w:proofErr w:type="spellStart"/>
            <w:r w:rsidRPr="00D6669C">
              <w:rPr>
                <w:rFonts w:asciiTheme="minorHAnsi" w:hAnsiTheme="minorHAnsi"/>
              </w:rPr>
              <w:t>authorised</w:t>
            </w:r>
            <w:proofErr w:type="spellEnd"/>
            <w:r w:rsidRPr="00D6669C">
              <w:rPr>
                <w:rFonts w:asciiTheme="minorHAnsi" w:hAnsiTheme="minorHAnsi"/>
              </w:rPr>
              <w:t xml:space="preserve"> person under the </w:t>
            </w:r>
            <w:r w:rsidRPr="00D6669C">
              <w:rPr>
                <w:rFonts w:asciiTheme="minorHAnsi" w:hAnsiTheme="minorHAnsi"/>
                <w:i/>
              </w:rPr>
              <w:t>Public Health Act 1997</w:t>
            </w:r>
          </w:p>
        </w:tc>
      </w:tr>
      <w:tr w:rsidR="004C411C" w:rsidRPr="00D6669C" w14:paraId="6219D369" w14:textId="77777777" w:rsidTr="00DE769A">
        <w:tc>
          <w:tcPr>
            <w:tcW w:w="2410" w:type="dxa"/>
          </w:tcPr>
          <w:p w14:paraId="1F57FBD2" w14:textId="77777777" w:rsidR="004C411C" w:rsidRPr="00D6669C" w:rsidRDefault="004C411C" w:rsidP="00DE769A">
            <w:pPr>
              <w:pStyle w:val="Default"/>
              <w:spacing w:beforeLines="60" w:before="144" w:afterLines="60" w:after="144"/>
              <w:rPr>
                <w:rFonts w:asciiTheme="minorHAnsi" w:hAnsiTheme="minorHAnsi"/>
              </w:rPr>
            </w:pPr>
            <w:r w:rsidRPr="00D6669C">
              <w:rPr>
                <w:rFonts w:asciiTheme="minorHAnsi" w:hAnsiTheme="minorHAnsi"/>
              </w:rPr>
              <w:t xml:space="preserve">BCG </w:t>
            </w:r>
          </w:p>
        </w:tc>
        <w:tc>
          <w:tcPr>
            <w:tcW w:w="6768" w:type="dxa"/>
          </w:tcPr>
          <w:p w14:paraId="0D647644" w14:textId="77777777" w:rsidR="004C411C" w:rsidRPr="00D6669C" w:rsidRDefault="004C411C" w:rsidP="00DE769A">
            <w:pPr>
              <w:spacing w:beforeLines="60" w:before="144" w:afterLines="60" w:after="144"/>
              <w:rPr>
                <w:rFonts w:asciiTheme="minorHAnsi" w:hAnsiTheme="minorHAnsi"/>
              </w:rPr>
            </w:pPr>
            <w:r w:rsidRPr="00D6669C">
              <w:rPr>
                <w:rFonts w:asciiTheme="minorHAnsi" w:hAnsiTheme="minorHAnsi"/>
                <w:color w:val="000000"/>
              </w:rPr>
              <w:t>Bacille Calmette-Guérin vaccine</w:t>
            </w:r>
          </w:p>
        </w:tc>
      </w:tr>
      <w:tr w:rsidR="004C411C" w:rsidRPr="00D6669C" w14:paraId="0ADC0523" w14:textId="77777777" w:rsidTr="00DE769A">
        <w:tc>
          <w:tcPr>
            <w:tcW w:w="2410" w:type="dxa"/>
          </w:tcPr>
          <w:p w14:paraId="13D052A4" w14:textId="77777777" w:rsidR="004C411C" w:rsidRPr="00D6669C" w:rsidRDefault="004C411C" w:rsidP="00DE769A">
            <w:pPr>
              <w:spacing w:beforeLines="60" w:before="144" w:afterLines="60" w:after="144"/>
              <w:rPr>
                <w:rFonts w:asciiTheme="minorHAnsi" w:hAnsiTheme="minorHAnsi"/>
              </w:rPr>
            </w:pPr>
            <w:r w:rsidRPr="00D6669C">
              <w:rPr>
                <w:rFonts w:asciiTheme="minorHAnsi" w:hAnsiTheme="minorHAnsi"/>
              </w:rPr>
              <w:t>CDC</w:t>
            </w:r>
          </w:p>
        </w:tc>
        <w:tc>
          <w:tcPr>
            <w:tcW w:w="6768" w:type="dxa"/>
          </w:tcPr>
          <w:p w14:paraId="39FF1BD8"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Communicable Disease Control Section</w:t>
            </w:r>
          </w:p>
        </w:tc>
      </w:tr>
      <w:tr w:rsidR="004C411C" w:rsidRPr="00D6669C" w14:paraId="4CA70243" w14:textId="77777777" w:rsidTr="00DE769A">
        <w:tc>
          <w:tcPr>
            <w:tcW w:w="2410" w:type="dxa"/>
          </w:tcPr>
          <w:p w14:paraId="35BDD71F"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CHO</w:t>
            </w:r>
          </w:p>
        </w:tc>
        <w:tc>
          <w:tcPr>
            <w:tcW w:w="6768" w:type="dxa"/>
          </w:tcPr>
          <w:p w14:paraId="4EF29E12"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Chief Health Officer</w:t>
            </w:r>
          </w:p>
        </w:tc>
      </w:tr>
      <w:tr w:rsidR="004C411C" w:rsidRPr="00D6669C" w14:paraId="4FF12A7B" w14:textId="77777777" w:rsidTr="00DE769A">
        <w:tc>
          <w:tcPr>
            <w:tcW w:w="2410" w:type="dxa"/>
          </w:tcPr>
          <w:p w14:paraId="3E0EA97E"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CNC</w:t>
            </w:r>
          </w:p>
        </w:tc>
        <w:tc>
          <w:tcPr>
            <w:tcW w:w="6768" w:type="dxa"/>
          </w:tcPr>
          <w:p w14:paraId="538928DB"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Clinical Nurse Consultant</w:t>
            </w:r>
          </w:p>
        </w:tc>
      </w:tr>
      <w:tr w:rsidR="004C411C" w:rsidRPr="00D6669C" w14:paraId="72A3A49C" w14:textId="77777777" w:rsidTr="00DE769A">
        <w:tc>
          <w:tcPr>
            <w:tcW w:w="2410" w:type="dxa"/>
          </w:tcPr>
          <w:p w14:paraId="71F7911D"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DRSM</w:t>
            </w:r>
          </w:p>
        </w:tc>
        <w:tc>
          <w:tcPr>
            <w:tcW w:w="6768" w:type="dxa"/>
          </w:tcPr>
          <w:p w14:paraId="4186FCF9" w14:textId="77777777" w:rsidR="004C411C" w:rsidRPr="00D6669C" w:rsidRDefault="004C411C" w:rsidP="00DE769A">
            <w:pPr>
              <w:spacing w:beforeLines="60" w:before="144" w:afterLines="60" w:after="144"/>
              <w:rPr>
                <w:rFonts w:asciiTheme="minorHAnsi" w:hAnsiTheme="minorHAnsi"/>
              </w:rPr>
            </w:pPr>
            <w:r w:rsidRPr="000F4C5F">
              <w:t>Department of Respiratory and Sleep Medicine</w:t>
            </w:r>
          </w:p>
        </w:tc>
      </w:tr>
      <w:tr w:rsidR="004C411C" w:rsidRPr="00D6669C" w14:paraId="401AFAF9" w14:textId="77777777" w:rsidTr="00DE769A">
        <w:tc>
          <w:tcPr>
            <w:tcW w:w="2410" w:type="dxa"/>
          </w:tcPr>
          <w:p w14:paraId="0AEEF1CE"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DOT</w:t>
            </w:r>
          </w:p>
        </w:tc>
        <w:tc>
          <w:tcPr>
            <w:tcW w:w="6768" w:type="dxa"/>
          </w:tcPr>
          <w:p w14:paraId="0BBF2C81"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Directly observed treatment</w:t>
            </w:r>
          </w:p>
        </w:tc>
      </w:tr>
      <w:tr w:rsidR="004C411C" w:rsidRPr="00D6669C" w14:paraId="3D8A1FF4" w14:textId="77777777" w:rsidTr="00DE769A">
        <w:tc>
          <w:tcPr>
            <w:tcW w:w="2410" w:type="dxa"/>
          </w:tcPr>
          <w:p w14:paraId="661AFF71"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HPS</w:t>
            </w:r>
          </w:p>
        </w:tc>
        <w:tc>
          <w:tcPr>
            <w:tcW w:w="6768" w:type="dxa"/>
          </w:tcPr>
          <w:p w14:paraId="34C67BDA"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Health Protection Services</w:t>
            </w:r>
          </w:p>
        </w:tc>
      </w:tr>
      <w:tr w:rsidR="004C411C" w:rsidRPr="00D6669C" w14:paraId="5E0E5182" w14:textId="77777777" w:rsidTr="00DE769A">
        <w:tc>
          <w:tcPr>
            <w:tcW w:w="2410" w:type="dxa"/>
          </w:tcPr>
          <w:p w14:paraId="76F8B199"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IGRA</w:t>
            </w:r>
          </w:p>
        </w:tc>
        <w:tc>
          <w:tcPr>
            <w:tcW w:w="6768" w:type="dxa"/>
          </w:tcPr>
          <w:p w14:paraId="3DC2323E" w14:textId="77777777" w:rsidR="004C411C" w:rsidRPr="00D6669C" w:rsidRDefault="004C411C" w:rsidP="00DE769A">
            <w:pPr>
              <w:spacing w:beforeLines="60" w:before="144" w:afterLines="60" w:after="144"/>
              <w:rPr>
                <w:rFonts w:asciiTheme="minorHAnsi" w:hAnsiTheme="minorHAnsi"/>
              </w:rPr>
            </w:pPr>
            <w:r w:rsidRPr="00A33337">
              <w:rPr>
                <w:rFonts w:asciiTheme="minorHAnsi" w:hAnsiTheme="minorHAnsi"/>
              </w:rPr>
              <w:t xml:space="preserve">Interferon Gamma Release Assay </w:t>
            </w:r>
          </w:p>
        </w:tc>
      </w:tr>
      <w:tr w:rsidR="004C411C" w:rsidRPr="00D6669C" w14:paraId="56D993EF" w14:textId="77777777" w:rsidTr="00DE769A">
        <w:tc>
          <w:tcPr>
            <w:tcW w:w="2410" w:type="dxa"/>
          </w:tcPr>
          <w:p w14:paraId="6659D206"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LTBI</w:t>
            </w:r>
          </w:p>
        </w:tc>
        <w:tc>
          <w:tcPr>
            <w:tcW w:w="6768" w:type="dxa"/>
          </w:tcPr>
          <w:p w14:paraId="1EDB1C4E"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Latent TB Infection</w:t>
            </w:r>
          </w:p>
        </w:tc>
      </w:tr>
      <w:tr w:rsidR="004C411C" w:rsidRPr="00D6669C" w14:paraId="7E9CC5D0" w14:textId="77777777" w:rsidTr="00DE769A">
        <w:tc>
          <w:tcPr>
            <w:tcW w:w="2410" w:type="dxa"/>
          </w:tcPr>
          <w:p w14:paraId="740D091E"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MDR-TB</w:t>
            </w:r>
          </w:p>
        </w:tc>
        <w:tc>
          <w:tcPr>
            <w:tcW w:w="6768" w:type="dxa"/>
          </w:tcPr>
          <w:p w14:paraId="3323C72D"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Multi-</w:t>
            </w:r>
            <w:proofErr w:type="gramStart"/>
            <w:r>
              <w:rPr>
                <w:rFonts w:asciiTheme="minorHAnsi" w:hAnsiTheme="minorHAnsi"/>
              </w:rPr>
              <w:t>drug resistant</w:t>
            </w:r>
            <w:proofErr w:type="gramEnd"/>
            <w:r>
              <w:rPr>
                <w:rFonts w:asciiTheme="minorHAnsi" w:hAnsiTheme="minorHAnsi"/>
              </w:rPr>
              <w:t xml:space="preserve"> tuberculosis</w:t>
            </w:r>
          </w:p>
        </w:tc>
      </w:tr>
      <w:tr w:rsidR="004C411C" w:rsidRPr="00A33337" w14:paraId="54761BCB" w14:textId="77777777" w:rsidTr="00DE769A">
        <w:tc>
          <w:tcPr>
            <w:tcW w:w="2410" w:type="dxa"/>
          </w:tcPr>
          <w:p w14:paraId="5F5DACCE"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MTB</w:t>
            </w:r>
          </w:p>
        </w:tc>
        <w:tc>
          <w:tcPr>
            <w:tcW w:w="6768" w:type="dxa"/>
          </w:tcPr>
          <w:p w14:paraId="27BB3893" w14:textId="77777777" w:rsidR="004C411C" w:rsidRPr="00A33337" w:rsidRDefault="004C411C" w:rsidP="00DE769A">
            <w:pPr>
              <w:spacing w:beforeLines="60" w:before="144" w:afterLines="60" w:after="144"/>
              <w:rPr>
                <w:rFonts w:asciiTheme="minorHAnsi" w:hAnsiTheme="minorHAnsi"/>
                <w:i/>
              </w:rPr>
            </w:pPr>
            <w:r w:rsidRPr="00A33337">
              <w:rPr>
                <w:rFonts w:asciiTheme="minorHAnsi" w:hAnsiTheme="minorHAnsi"/>
                <w:i/>
              </w:rPr>
              <w:t>Mycobacterium tuberculosis</w:t>
            </w:r>
          </w:p>
        </w:tc>
      </w:tr>
      <w:tr w:rsidR="004C411C" w:rsidRPr="00D6669C" w14:paraId="5F27AA1F" w14:textId="77777777" w:rsidTr="00DE769A">
        <w:tc>
          <w:tcPr>
            <w:tcW w:w="2410" w:type="dxa"/>
          </w:tcPr>
          <w:p w14:paraId="52152405"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NDMS</w:t>
            </w:r>
          </w:p>
        </w:tc>
        <w:tc>
          <w:tcPr>
            <w:tcW w:w="6768" w:type="dxa"/>
          </w:tcPr>
          <w:p w14:paraId="1013B587" w14:textId="77777777" w:rsidR="004C411C" w:rsidRPr="00D6669C" w:rsidRDefault="004C411C" w:rsidP="00DE769A">
            <w:pPr>
              <w:spacing w:beforeLines="60" w:before="144" w:afterLines="60" w:after="144"/>
              <w:rPr>
                <w:rFonts w:asciiTheme="minorHAnsi" w:hAnsiTheme="minorHAnsi"/>
              </w:rPr>
            </w:pPr>
            <w:r>
              <w:t>Notifiable Diseases Management System</w:t>
            </w:r>
          </w:p>
        </w:tc>
      </w:tr>
      <w:tr w:rsidR="004C411C" w:rsidRPr="00D6669C" w14:paraId="2C3C029A" w14:textId="77777777" w:rsidTr="00DE769A">
        <w:tc>
          <w:tcPr>
            <w:tcW w:w="2410" w:type="dxa"/>
          </w:tcPr>
          <w:p w14:paraId="0FB65C4E"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NNDSS</w:t>
            </w:r>
          </w:p>
        </w:tc>
        <w:tc>
          <w:tcPr>
            <w:tcW w:w="6768" w:type="dxa"/>
          </w:tcPr>
          <w:p w14:paraId="61FFC52C" w14:textId="77777777" w:rsidR="004C411C" w:rsidRPr="00D6669C" w:rsidRDefault="004C411C" w:rsidP="00DE769A">
            <w:pPr>
              <w:spacing w:beforeLines="60" w:before="144" w:afterLines="60" w:after="144"/>
              <w:rPr>
                <w:rFonts w:asciiTheme="minorHAnsi" w:hAnsiTheme="minorHAnsi"/>
              </w:rPr>
            </w:pPr>
            <w:r w:rsidRPr="000F4C5F">
              <w:rPr>
                <w:rFonts w:asciiTheme="minorHAnsi" w:hAnsiTheme="minorHAnsi"/>
              </w:rPr>
              <w:t>National Notifiable Diseases Surveillance System</w:t>
            </w:r>
          </w:p>
        </w:tc>
      </w:tr>
      <w:tr w:rsidR="004C411C" w:rsidRPr="00D6669C" w14:paraId="4392311D" w14:textId="77777777" w:rsidTr="00DE769A">
        <w:tc>
          <w:tcPr>
            <w:tcW w:w="2410" w:type="dxa"/>
          </w:tcPr>
          <w:p w14:paraId="153C8AB7"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TST</w:t>
            </w:r>
          </w:p>
        </w:tc>
        <w:tc>
          <w:tcPr>
            <w:tcW w:w="6768" w:type="dxa"/>
          </w:tcPr>
          <w:p w14:paraId="4EA24DDF"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Tuberculin skin test</w:t>
            </w:r>
          </w:p>
        </w:tc>
      </w:tr>
      <w:tr w:rsidR="004C411C" w:rsidRPr="00D6669C" w14:paraId="6A5B7E63" w14:textId="77777777" w:rsidTr="00DE769A">
        <w:tc>
          <w:tcPr>
            <w:tcW w:w="2410" w:type="dxa"/>
          </w:tcPr>
          <w:p w14:paraId="5A72FBDA"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XDR-TB</w:t>
            </w:r>
          </w:p>
        </w:tc>
        <w:tc>
          <w:tcPr>
            <w:tcW w:w="6768" w:type="dxa"/>
          </w:tcPr>
          <w:p w14:paraId="0834BDA1" w14:textId="77777777" w:rsidR="004C411C" w:rsidRPr="00D6669C" w:rsidRDefault="004C411C" w:rsidP="00DE769A">
            <w:pPr>
              <w:spacing w:beforeLines="60" w:before="144" w:afterLines="60" w:after="144"/>
              <w:rPr>
                <w:rFonts w:asciiTheme="minorHAnsi" w:hAnsiTheme="minorHAnsi"/>
              </w:rPr>
            </w:pPr>
            <w:r>
              <w:rPr>
                <w:rFonts w:asciiTheme="minorHAnsi" w:hAnsiTheme="minorHAnsi"/>
              </w:rPr>
              <w:t>Extremely drug-resistant tuberculosis</w:t>
            </w:r>
          </w:p>
        </w:tc>
      </w:tr>
    </w:tbl>
    <w:p w14:paraId="5A1853A6" w14:textId="77777777" w:rsidR="004C411C" w:rsidRDefault="004C411C" w:rsidP="00280C5D">
      <w:pPr>
        <w:pStyle w:val="BodyCopy"/>
      </w:pPr>
    </w:p>
    <w:p w14:paraId="488DB0AE" w14:textId="77777777" w:rsidR="00280C5D" w:rsidRDefault="00280C5D" w:rsidP="002D7682">
      <w:pPr>
        <w:pStyle w:val="BodyCopy"/>
      </w:pPr>
      <w:hyperlink w:anchor="_top" w:history="1">
        <w:r w:rsidRPr="00481A6C">
          <w:rPr>
            <w:rStyle w:val="Hyperlink"/>
            <w:iCs w:val="0"/>
          </w:rPr>
          <w:t>Back to Contents</w:t>
        </w:r>
      </w:hyperlink>
    </w:p>
    <w:p w14:paraId="7EBFEFDA" w14:textId="77777777" w:rsidR="0078367D" w:rsidRDefault="0078367D" w:rsidP="00A6051F">
      <w:pPr>
        <w:pStyle w:val="Heading4"/>
      </w:pPr>
      <w:bookmarkStart w:id="41" w:name="_Toc193105515"/>
      <w:r>
        <w:t>Search terms</w:t>
      </w:r>
      <w:bookmarkEnd w:id="41"/>
    </w:p>
    <w:p w14:paraId="60CBDB34" w14:textId="272D048C" w:rsidR="004C411C" w:rsidRDefault="004C411C" w:rsidP="004C411C">
      <w:r>
        <w:t xml:space="preserve">Tuberculosis, contact tracing, infection control, employee screening, north </w:t>
      </w:r>
    </w:p>
    <w:p w14:paraId="4D6887B6"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3E2B379F" w14:textId="18DB5A14" w:rsidR="0078367D" w:rsidRPr="009A5010" w:rsidRDefault="0078367D" w:rsidP="00A6051F">
      <w:pPr>
        <w:pStyle w:val="Heading4"/>
      </w:pPr>
      <w:bookmarkStart w:id="42" w:name="_Toc193105516"/>
      <w:r>
        <w:t>Attachments</w:t>
      </w:r>
      <w:bookmarkEnd w:id="42"/>
      <w:r w:rsidR="009746B1">
        <w:t xml:space="preserve"> </w:t>
      </w:r>
    </w:p>
    <w:p w14:paraId="26B70FC3" w14:textId="1F36811D" w:rsidR="001F3ED6" w:rsidRDefault="001F3ED6" w:rsidP="00A513AA">
      <w:pPr>
        <w:pStyle w:val="Heading7"/>
        <w:rPr>
          <w:lang w:eastAsia="en-US"/>
        </w:rPr>
      </w:pPr>
      <w:r>
        <w:rPr>
          <w:lang w:eastAsia="en-US"/>
        </w:rPr>
        <w:t>Attachment 1</w:t>
      </w:r>
      <w:r w:rsidR="004C411C">
        <w:rPr>
          <w:lang w:eastAsia="en-US"/>
        </w:rPr>
        <w:t>: Tuberculosis Contact Screening Summary</w:t>
      </w:r>
    </w:p>
    <w:p w14:paraId="57E46CA7" w14:textId="59429843" w:rsidR="002D7682" w:rsidRDefault="00C34A10" w:rsidP="00A513AA">
      <w:pPr>
        <w:pStyle w:val="Heading7"/>
      </w:pPr>
      <w:r>
        <w:t xml:space="preserve">Attachment </w:t>
      </w:r>
      <w:r w:rsidR="002D7682">
        <w:t>2</w:t>
      </w:r>
      <w:r w:rsidR="00366577">
        <w:t xml:space="preserve">: </w:t>
      </w:r>
      <w:r w:rsidR="00366577">
        <w:rPr>
          <w:rFonts w:cs="Arial"/>
        </w:rPr>
        <w:t>Summary of Contact T</w:t>
      </w:r>
      <w:r w:rsidR="00366577" w:rsidRPr="00C12035">
        <w:rPr>
          <w:rFonts w:cs="Arial"/>
        </w:rPr>
        <w:t xml:space="preserve">racing </w:t>
      </w:r>
      <w:r w:rsidR="00366577">
        <w:rPr>
          <w:rFonts w:cs="Arial"/>
        </w:rPr>
        <w:t>A</w:t>
      </w:r>
      <w:r w:rsidR="00366577" w:rsidRPr="00C12035">
        <w:rPr>
          <w:rFonts w:cs="Arial"/>
        </w:rPr>
        <w:t xml:space="preserve">ctivity for a </w:t>
      </w:r>
      <w:r w:rsidR="00366577">
        <w:rPr>
          <w:rFonts w:cs="Arial"/>
        </w:rPr>
        <w:t>C</w:t>
      </w:r>
      <w:r w:rsidR="00366577" w:rsidRPr="00C12035">
        <w:rPr>
          <w:rFonts w:cs="Arial"/>
        </w:rPr>
        <w:t xml:space="preserve">onfirmed </w:t>
      </w:r>
      <w:r w:rsidR="00366577">
        <w:rPr>
          <w:rFonts w:cs="Arial"/>
        </w:rPr>
        <w:t>T</w:t>
      </w:r>
      <w:r w:rsidR="00366577" w:rsidRPr="00C12035">
        <w:rPr>
          <w:rFonts w:cs="Arial"/>
        </w:rPr>
        <w:t xml:space="preserve">uberculosis </w:t>
      </w:r>
      <w:r w:rsidR="00366577">
        <w:rPr>
          <w:rFonts w:cs="Arial"/>
        </w:rPr>
        <w:t>C</w:t>
      </w:r>
      <w:r w:rsidR="00366577" w:rsidRPr="00C12035">
        <w:rPr>
          <w:rFonts w:cs="Arial"/>
        </w:rPr>
        <w:t>ase</w:t>
      </w:r>
    </w:p>
    <w:p w14:paraId="51E6D102" w14:textId="7777777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p>
    <w:p w14:paraId="1EED245A" w14:textId="77777777" w:rsidR="007B1A7B" w:rsidRDefault="007B1A7B">
      <w:pPr>
        <w:spacing w:before="0" w:after="0" w:line="240" w:lineRule="auto"/>
        <w:rPr>
          <w:rStyle w:val="Hyperlink"/>
          <w:rFonts w:eastAsia="Times New Roman"/>
        </w:rPr>
      </w:pPr>
      <w:r>
        <w:rPr>
          <w:rStyle w:val="Hyperlink"/>
        </w:rPr>
        <w:br w:type="page"/>
      </w:r>
    </w:p>
    <w:p w14:paraId="0A985662"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395FC3E0"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11369E3C" w14:textId="77777777" w:rsidR="00280C5D" w:rsidRDefault="00280C5D" w:rsidP="003B0E72">
            <w:pPr>
              <w:pStyle w:val="Tableheader"/>
            </w:pPr>
            <w:r>
              <w:t>Date amended</w:t>
            </w:r>
          </w:p>
        </w:tc>
        <w:tc>
          <w:tcPr>
            <w:tcW w:w="2477" w:type="dxa"/>
          </w:tcPr>
          <w:p w14:paraId="776112D9" w14:textId="77777777" w:rsidR="00280C5D" w:rsidRDefault="00280C5D" w:rsidP="003B0E72">
            <w:pPr>
              <w:pStyle w:val="Tableheader"/>
            </w:pPr>
            <w:r>
              <w:t>Section amended</w:t>
            </w:r>
          </w:p>
        </w:tc>
        <w:tc>
          <w:tcPr>
            <w:tcW w:w="2555" w:type="dxa"/>
          </w:tcPr>
          <w:p w14:paraId="621D11BB" w14:textId="77777777" w:rsidR="00280C5D" w:rsidRDefault="00280C5D" w:rsidP="003B0E72">
            <w:pPr>
              <w:pStyle w:val="Tableheader"/>
            </w:pPr>
            <w:r>
              <w:t>Divisional approval</w:t>
            </w:r>
          </w:p>
        </w:tc>
        <w:tc>
          <w:tcPr>
            <w:tcW w:w="2403" w:type="dxa"/>
          </w:tcPr>
          <w:p w14:paraId="103E195D" w14:textId="77777777" w:rsidR="00280C5D" w:rsidRDefault="00280C5D" w:rsidP="003B0E72">
            <w:pPr>
              <w:pStyle w:val="Tableheader"/>
            </w:pPr>
            <w:r>
              <w:t>Final approval</w:t>
            </w:r>
          </w:p>
        </w:tc>
      </w:tr>
      <w:tr w:rsidR="00280C5D" w14:paraId="5CBF4187" w14:textId="77777777" w:rsidTr="003B0E72">
        <w:tc>
          <w:tcPr>
            <w:tcW w:w="2476" w:type="dxa"/>
          </w:tcPr>
          <w:p w14:paraId="29EA3FF8" w14:textId="7AEDBD24" w:rsidR="00280C5D" w:rsidRDefault="00785CFD" w:rsidP="003B0E72">
            <w:pPr>
              <w:pStyle w:val="Tablebody"/>
              <w:rPr>
                <w:lang w:eastAsia="en-US"/>
              </w:rPr>
            </w:pPr>
            <w:r>
              <w:rPr>
                <w:lang w:eastAsia="en-US"/>
              </w:rPr>
              <w:t>30 April 2026</w:t>
            </w:r>
          </w:p>
        </w:tc>
        <w:tc>
          <w:tcPr>
            <w:tcW w:w="2477" w:type="dxa"/>
          </w:tcPr>
          <w:p w14:paraId="1AA4CD89" w14:textId="5FFE86CE" w:rsidR="00280C5D" w:rsidRDefault="00785CFD" w:rsidP="003B0E72">
            <w:pPr>
              <w:pStyle w:val="Tablebody"/>
              <w:rPr>
                <w:lang w:eastAsia="en-US"/>
              </w:rPr>
            </w:pPr>
            <w:r>
              <w:rPr>
                <w:lang w:eastAsia="en-US"/>
              </w:rPr>
              <w:t>Complete review</w:t>
            </w:r>
          </w:p>
        </w:tc>
        <w:tc>
          <w:tcPr>
            <w:tcW w:w="2555" w:type="dxa"/>
          </w:tcPr>
          <w:p w14:paraId="3F6DBC56" w14:textId="2326600D" w:rsidR="00280C5D" w:rsidRDefault="00785CFD" w:rsidP="003B0E72">
            <w:pPr>
              <w:pStyle w:val="Tablebody"/>
              <w:rPr>
                <w:lang w:eastAsia="en-US"/>
              </w:rPr>
            </w:pPr>
            <w:r>
              <w:rPr>
                <w:lang w:eastAsia="en-US"/>
              </w:rPr>
              <w:t>Rebekah Ogilvie, ED of Medicine</w:t>
            </w:r>
          </w:p>
        </w:tc>
        <w:tc>
          <w:tcPr>
            <w:tcW w:w="2403" w:type="dxa"/>
          </w:tcPr>
          <w:p w14:paraId="6FDF1897" w14:textId="09F22A15" w:rsidR="00280C5D" w:rsidRDefault="00785CFD" w:rsidP="003B0E72">
            <w:pPr>
              <w:pStyle w:val="Tablebody"/>
              <w:rPr>
                <w:lang w:eastAsia="en-US"/>
              </w:rPr>
            </w:pPr>
            <w:r>
              <w:rPr>
                <w:lang w:eastAsia="en-US"/>
              </w:rPr>
              <w:t>CHS Policy Document Review Panel</w:t>
            </w:r>
          </w:p>
        </w:tc>
      </w:tr>
      <w:tr w:rsidR="00280C5D" w14:paraId="504D32A3" w14:textId="77777777" w:rsidTr="003B0E72">
        <w:tc>
          <w:tcPr>
            <w:tcW w:w="2476" w:type="dxa"/>
          </w:tcPr>
          <w:p w14:paraId="3041CECE" w14:textId="77777777" w:rsidR="00280C5D" w:rsidRDefault="00280C5D" w:rsidP="003B0E72">
            <w:pPr>
              <w:pStyle w:val="Tablebody"/>
              <w:rPr>
                <w:lang w:eastAsia="en-US"/>
              </w:rPr>
            </w:pPr>
          </w:p>
        </w:tc>
        <w:tc>
          <w:tcPr>
            <w:tcW w:w="2477" w:type="dxa"/>
          </w:tcPr>
          <w:p w14:paraId="67A78ADA" w14:textId="77777777" w:rsidR="00280C5D" w:rsidRDefault="00280C5D" w:rsidP="003B0E72">
            <w:pPr>
              <w:pStyle w:val="Tablebody"/>
              <w:rPr>
                <w:lang w:eastAsia="en-US"/>
              </w:rPr>
            </w:pPr>
          </w:p>
        </w:tc>
        <w:tc>
          <w:tcPr>
            <w:tcW w:w="2555" w:type="dxa"/>
          </w:tcPr>
          <w:p w14:paraId="2186BB1E" w14:textId="77777777" w:rsidR="00280C5D" w:rsidRDefault="00280C5D" w:rsidP="003B0E72">
            <w:pPr>
              <w:pStyle w:val="Tablebody"/>
              <w:rPr>
                <w:lang w:eastAsia="en-US"/>
              </w:rPr>
            </w:pPr>
          </w:p>
        </w:tc>
        <w:tc>
          <w:tcPr>
            <w:tcW w:w="2403" w:type="dxa"/>
          </w:tcPr>
          <w:p w14:paraId="48C53348" w14:textId="77777777" w:rsidR="00280C5D" w:rsidRDefault="00280C5D" w:rsidP="003B0E72">
            <w:pPr>
              <w:pStyle w:val="Tablebody"/>
              <w:rPr>
                <w:lang w:eastAsia="en-US"/>
              </w:rPr>
            </w:pPr>
          </w:p>
        </w:tc>
      </w:tr>
    </w:tbl>
    <w:p w14:paraId="3C9C7D1E"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2716D185"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5A78C2EF" w14:textId="77777777" w:rsidR="00280C5D" w:rsidRDefault="00280C5D" w:rsidP="003B0E72">
            <w:pPr>
              <w:pStyle w:val="Tableheader"/>
            </w:pPr>
            <w:r>
              <w:t>Document number</w:t>
            </w:r>
          </w:p>
        </w:tc>
        <w:tc>
          <w:tcPr>
            <w:tcW w:w="7653" w:type="dxa"/>
          </w:tcPr>
          <w:p w14:paraId="65DB3F43" w14:textId="77777777" w:rsidR="00280C5D" w:rsidRDefault="00280C5D" w:rsidP="003B0E72">
            <w:pPr>
              <w:pStyle w:val="Tableheader"/>
            </w:pPr>
            <w:r>
              <w:t>Document name</w:t>
            </w:r>
          </w:p>
        </w:tc>
      </w:tr>
      <w:tr w:rsidR="00280C5D" w14:paraId="7F484B7A" w14:textId="77777777" w:rsidTr="003B0E72">
        <w:tc>
          <w:tcPr>
            <w:tcW w:w="2548" w:type="dxa"/>
          </w:tcPr>
          <w:p w14:paraId="3170AF89" w14:textId="5CAD98F2" w:rsidR="00280C5D" w:rsidRDefault="00785CFD" w:rsidP="003B0E72">
            <w:pPr>
              <w:pStyle w:val="Tablebody"/>
              <w:rPr>
                <w:lang w:eastAsia="en-US"/>
              </w:rPr>
            </w:pPr>
            <w:r w:rsidRPr="00785CFD">
              <w:rPr>
                <w:lang w:val="en-AU" w:eastAsia="en-US"/>
              </w:rPr>
              <w:t>CHS21/453</w:t>
            </w:r>
          </w:p>
        </w:tc>
        <w:tc>
          <w:tcPr>
            <w:tcW w:w="7653" w:type="dxa"/>
          </w:tcPr>
          <w:p w14:paraId="4B0AFAE7" w14:textId="19D35D43" w:rsidR="00280C5D" w:rsidRDefault="00785CFD" w:rsidP="003B0E72">
            <w:pPr>
              <w:pStyle w:val="Tablebody"/>
              <w:rPr>
                <w:lang w:eastAsia="en-US"/>
              </w:rPr>
            </w:pPr>
            <w:r w:rsidRPr="00785CFD">
              <w:rPr>
                <w:lang w:val="en-AU" w:eastAsia="en-US"/>
              </w:rPr>
              <w:t>Control of Tuberculosis</w:t>
            </w:r>
          </w:p>
        </w:tc>
      </w:tr>
      <w:tr w:rsidR="00280C5D" w14:paraId="7AFA50EC" w14:textId="77777777" w:rsidTr="003B0E72">
        <w:tc>
          <w:tcPr>
            <w:tcW w:w="2548" w:type="dxa"/>
          </w:tcPr>
          <w:p w14:paraId="1384862D" w14:textId="77777777" w:rsidR="00280C5D" w:rsidRDefault="00280C5D" w:rsidP="003B0E72">
            <w:pPr>
              <w:pStyle w:val="Tablebody"/>
              <w:rPr>
                <w:lang w:eastAsia="en-US"/>
              </w:rPr>
            </w:pPr>
          </w:p>
        </w:tc>
        <w:tc>
          <w:tcPr>
            <w:tcW w:w="7653" w:type="dxa"/>
          </w:tcPr>
          <w:p w14:paraId="5E1C33C1" w14:textId="77777777" w:rsidR="00280C5D" w:rsidRDefault="00280C5D" w:rsidP="003B0E72">
            <w:pPr>
              <w:pStyle w:val="Tablebody"/>
              <w:rPr>
                <w:lang w:eastAsia="en-US"/>
              </w:rPr>
            </w:pPr>
          </w:p>
        </w:tc>
      </w:tr>
    </w:tbl>
    <w:p w14:paraId="6FFF5775" w14:textId="77777777" w:rsidR="00280C5D" w:rsidRPr="001F3ED6" w:rsidRDefault="00280C5D" w:rsidP="001F3ED6">
      <w:pPr>
        <w:pStyle w:val="BodyCopy"/>
        <w:rPr>
          <w:rStyle w:val="Bold"/>
        </w:rPr>
      </w:pPr>
      <w:r w:rsidRPr="001F3ED6">
        <w:rPr>
          <w:rStyle w:val="Bold"/>
        </w:rPr>
        <w:t>Disclaimer</w:t>
      </w:r>
    </w:p>
    <w:p w14:paraId="31CB08BC"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551AD70F"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01B92E39"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280C5D" w14:paraId="15DC4C5C" w14:textId="77777777" w:rsidTr="003B0E72">
        <w:tc>
          <w:tcPr>
            <w:tcW w:w="5529" w:type="dxa"/>
            <w:shd w:val="clear" w:color="auto" w:fill="F4F3EE"/>
            <w:tcMar>
              <w:top w:w="142" w:type="dxa"/>
              <w:left w:w="170" w:type="dxa"/>
              <w:bottom w:w="142" w:type="dxa"/>
              <w:right w:w="170" w:type="dxa"/>
            </w:tcMar>
          </w:tcPr>
          <w:bookmarkStart w:id="43" w:name="_Hlk160027189" w:displacedByCustomXml="next"/>
          <w:sdt>
            <w:sdtPr>
              <w:rPr>
                <w:color w:val="auto"/>
                <w:u w:val="single"/>
              </w:rPr>
              <w:id w:val="643171884"/>
              <w:placeholder>
                <w:docPart w:val="7A94AA9E9D84468599D5BF49D7860092"/>
              </w:placeholder>
            </w:sdtPr>
            <w:sdtEndPr>
              <w:rPr>
                <w:color w:val="000000" w:themeColor="text1"/>
                <w:u w:val="none"/>
              </w:rPr>
            </w:sdtEndPr>
            <w:sdtContent>
              <w:p w14:paraId="382EF708" w14:textId="77777777" w:rsidR="00280C5D" w:rsidRPr="00350211" w:rsidRDefault="00280C5D" w:rsidP="003B0E72">
                <w:pPr>
                  <w:pStyle w:val="Bottomblocktext"/>
                  <w:rPr>
                    <w:b/>
                    <w:bCs w:val="0"/>
                    <w:sz w:val="20"/>
                    <w:szCs w:val="20"/>
                  </w:rPr>
                </w:pPr>
                <w:r>
                  <w:rPr>
                    <w:noProof/>
                    <w:sz w:val="20"/>
                    <w:szCs w:val="20"/>
                  </w:rPr>
                  <w:drawing>
                    <wp:inline distT="0" distB="0" distL="0" distR="0" wp14:anchorId="5FA9921B" wp14:editId="0756EFA7">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CC7BBD5"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157DC7A1" w14:textId="361CC44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8ADAD042E20E465CA74FFAB27A39D781"/>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785CFD">
                      <w:t>26</w:t>
                    </w:r>
                  </w:sdtContent>
                </w:sdt>
              </w:p>
            </w:sdtContent>
          </w:sdt>
        </w:tc>
        <w:sdt>
          <w:sdtPr>
            <w:id w:val="637692764"/>
            <w:placeholder>
              <w:docPart w:val="D49A0F9ACA484469852892594473E39A"/>
            </w:placeholder>
            <w:showingPlcHdr/>
          </w:sdtPr>
          <w:sdtEndPr/>
          <w:sdtContent>
            <w:tc>
              <w:tcPr>
                <w:tcW w:w="4665" w:type="dxa"/>
                <w:shd w:val="clear" w:color="auto" w:fill="F4F3EE"/>
                <w:tcMar>
                  <w:top w:w="142" w:type="dxa"/>
                  <w:left w:w="170" w:type="dxa"/>
                  <w:bottom w:w="142" w:type="dxa"/>
                  <w:right w:w="170" w:type="dxa"/>
                </w:tcMar>
              </w:tcPr>
              <w:p w14:paraId="156018AC"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D3484FA" wp14:editId="52DE4435">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3EB99D8" wp14:editId="7079BF38">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29F4645"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09A9B9B0" wp14:editId="4F454F9B">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10BCFC4" wp14:editId="2D2E5F9B">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35778FE" w14:textId="77777777" w:rsidR="00280C5D" w:rsidRDefault="00280C5D" w:rsidP="003B0E72">
                <w:pPr>
                  <w:pStyle w:val="Bottomblocktext"/>
                  <w:rPr>
                    <w:sz w:val="20"/>
                    <w:szCs w:val="20"/>
                  </w:rPr>
                </w:pPr>
                <w:hyperlink r:id="rId27" w:history="1">
                  <w:r w:rsidRPr="00350211">
                    <w:rPr>
                      <w:rStyle w:val="Hyperlink"/>
                      <w:sz w:val="20"/>
                      <w:szCs w:val="20"/>
                    </w:rPr>
                    <w:t>canberrahealthservices.act.gov.au/accessibility</w:t>
                  </w:r>
                </w:hyperlink>
              </w:p>
              <w:p w14:paraId="5DC97D64" w14:textId="77777777" w:rsidR="00280C5D" w:rsidRDefault="00280C5D" w:rsidP="003B0E72">
                <w:pPr>
                  <w:pStyle w:val="Bottomblocktext"/>
                </w:pPr>
                <w:r>
                  <w:rPr>
                    <w:b/>
                    <w:bCs w:val="0"/>
                    <w:noProof/>
                  </w:rPr>
                  <w:drawing>
                    <wp:inline distT="0" distB="0" distL="0" distR="0" wp14:anchorId="67168922" wp14:editId="6697D6A9">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43"/>
    </w:tbl>
    <w:p w14:paraId="3F6A0F88" w14:textId="77777777" w:rsidR="00201AF6" w:rsidRDefault="00201AF6" w:rsidP="000E7683">
      <w:pPr>
        <w:rPr>
          <w:lang w:eastAsia="en-US"/>
        </w:rPr>
      </w:pPr>
    </w:p>
    <w:p w14:paraId="62E2B164" w14:textId="77777777" w:rsidR="00201AF6" w:rsidRDefault="00201AF6">
      <w:pPr>
        <w:spacing w:before="0" w:after="0" w:line="240" w:lineRule="auto"/>
        <w:rPr>
          <w:lang w:eastAsia="en-US"/>
        </w:rPr>
      </w:pPr>
      <w:r>
        <w:rPr>
          <w:lang w:eastAsia="en-US"/>
        </w:rPr>
        <w:br w:type="page"/>
      </w:r>
    </w:p>
    <w:p w14:paraId="2DBC3321" w14:textId="298F532A" w:rsidR="004A7A7F" w:rsidRDefault="00201AF6" w:rsidP="00201AF6">
      <w:pPr>
        <w:pStyle w:val="Heading4"/>
      </w:pPr>
      <w:bookmarkStart w:id="44" w:name="_Toc193105517"/>
      <w:r>
        <w:lastRenderedPageBreak/>
        <w:t>Attachment 1</w:t>
      </w:r>
      <w:r w:rsidR="004C411C">
        <w:t xml:space="preserve"> – Tuberculosis Contact Screening Summary</w:t>
      </w:r>
      <w:bookmarkEnd w:id="44"/>
    </w:p>
    <w:tbl>
      <w:tblPr>
        <w:tblStyle w:val="TableGrid0"/>
        <w:tblW w:w="10390" w:type="dxa"/>
        <w:tblInd w:w="288" w:type="dxa"/>
        <w:tblCellMar>
          <w:top w:w="48" w:type="dxa"/>
          <w:left w:w="108" w:type="dxa"/>
          <w:right w:w="58" w:type="dxa"/>
        </w:tblCellMar>
        <w:tblLook w:val="04A0" w:firstRow="1" w:lastRow="0" w:firstColumn="1" w:lastColumn="0" w:noHBand="0" w:noVBand="1"/>
      </w:tblPr>
      <w:tblGrid>
        <w:gridCol w:w="6764"/>
        <w:gridCol w:w="1238"/>
        <w:gridCol w:w="1195"/>
        <w:gridCol w:w="1193"/>
      </w:tblGrid>
      <w:tr w:rsidR="001A237F" w14:paraId="5EFEFB9E" w14:textId="77777777" w:rsidTr="00EE2387">
        <w:trPr>
          <w:trHeight w:val="279"/>
        </w:trPr>
        <w:tc>
          <w:tcPr>
            <w:tcW w:w="6798" w:type="dxa"/>
            <w:tcBorders>
              <w:top w:val="single" w:sz="4" w:space="0" w:color="000000"/>
              <w:left w:val="single" w:sz="4" w:space="0" w:color="000000"/>
              <w:bottom w:val="single" w:sz="4" w:space="0" w:color="000000"/>
              <w:right w:val="single" w:sz="4" w:space="0" w:color="000000"/>
            </w:tcBorders>
          </w:tcPr>
          <w:p w14:paraId="583BB18E" w14:textId="77777777" w:rsidR="001A237F" w:rsidRDefault="001A237F" w:rsidP="00EE2387">
            <w:pPr>
              <w:spacing w:after="0" w:line="259" w:lineRule="auto"/>
              <w:ind w:left="2"/>
            </w:pPr>
            <w:r>
              <w:rPr>
                <w:rFonts w:ascii="Calibri" w:eastAsia="Calibri" w:hAnsi="Calibri" w:cs="Calibri"/>
                <w:b/>
              </w:rPr>
              <w:t xml:space="preserve">First Level Screen </w:t>
            </w:r>
          </w:p>
        </w:tc>
        <w:tc>
          <w:tcPr>
            <w:tcW w:w="1198" w:type="dxa"/>
            <w:tcBorders>
              <w:top w:val="single" w:sz="4" w:space="0" w:color="000000"/>
              <w:left w:val="single" w:sz="4" w:space="0" w:color="000000"/>
              <w:bottom w:val="single" w:sz="4" w:space="0" w:color="000000"/>
              <w:right w:val="single" w:sz="4" w:space="0" w:color="000000"/>
            </w:tcBorders>
          </w:tcPr>
          <w:p w14:paraId="05177446" w14:textId="77777777" w:rsidR="001A237F" w:rsidRDefault="001A237F" w:rsidP="00EE2387">
            <w:pPr>
              <w:spacing w:after="0" w:line="259" w:lineRule="auto"/>
            </w:pPr>
            <w:r>
              <w:rPr>
                <w:rFonts w:ascii="Calibri" w:eastAsia="Calibri" w:hAnsi="Calibri" w:cs="Calibri"/>
                <w:b/>
              </w:rPr>
              <w:t xml:space="preserve">Household </w:t>
            </w:r>
          </w:p>
        </w:tc>
        <w:tc>
          <w:tcPr>
            <w:tcW w:w="1198" w:type="dxa"/>
            <w:tcBorders>
              <w:top w:val="single" w:sz="4" w:space="0" w:color="000000"/>
              <w:left w:val="single" w:sz="4" w:space="0" w:color="000000"/>
              <w:bottom w:val="single" w:sz="4" w:space="0" w:color="000000"/>
              <w:right w:val="single" w:sz="4" w:space="0" w:color="000000"/>
            </w:tcBorders>
          </w:tcPr>
          <w:p w14:paraId="6FD4532E" w14:textId="77777777" w:rsidR="001A237F" w:rsidRDefault="001A237F" w:rsidP="00EE2387">
            <w:pPr>
              <w:spacing w:after="0" w:line="259" w:lineRule="auto"/>
              <w:ind w:right="48"/>
              <w:jc w:val="center"/>
            </w:pPr>
            <w:r>
              <w:rPr>
                <w:rFonts w:ascii="Calibri" w:eastAsia="Calibri" w:hAnsi="Calibri" w:cs="Calibri"/>
                <w:b/>
              </w:rPr>
              <w:t xml:space="preserve">Other </w:t>
            </w:r>
          </w:p>
        </w:tc>
        <w:tc>
          <w:tcPr>
            <w:tcW w:w="1196" w:type="dxa"/>
            <w:tcBorders>
              <w:top w:val="single" w:sz="4" w:space="0" w:color="000000"/>
              <w:left w:val="single" w:sz="4" w:space="0" w:color="000000"/>
              <w:bottom w:val="single" w:sz="4" w:space="0" w:color="000000"/>
              <w:right w:val="single" w:sz="4" w:space="0" w:color="000000"/>
            </w:tcBorders>
          </w:tcPr>
          <w:p w14:paraId="3F87FCEE" w14:textId="77777777" w:rsidR="001A237F" w:rsidRDefault="001A237F" w:rsidP="00EE2387">
            <w:pPr>
              <w:spacing w:after="0" w:line="259" w:lineRule="auto"/>
              <w:ind w:right="49"/>
              <w:jc w:val="center"/>
            </w:pPr>
            <w:r>
              <w:rPr>
                <w:rFonts w:ascii="Calibri" w:eastAsia="Calibri" w:hAnsi="Calibri" w:cs="Calibri"/>
                <w:b/>
              </w:rPr>
              <w:t xml:space="preserve">Total </w:t>
            </w:r>
          </w:p>
        </w:tc>
      </w:tr>
      <w:tr w:rsidR="001A237F" w14:paraId="20D2EB8B" w14:textId="77777777" w:rsidTr="00EE2387">
        <w:trPr>
          <w:trHeight w:val="360"/>
        </w:trPr>
        <w:tc>
          <w:tcPr>
            <w:tcW w:w="6798" w:type="dxa"/>
            <w:tcBorders>
              <w:top w:val="single" w:sz="4" w:space="0" w:color="000000"/>
              <w:left w:val="single" w:sz="4" w:space="0" w:color="000000"/>
              <w:bottom w:val="dashed" w:sz="4" w:space="0" w:color="000000"/>
              <w:right w:val="single" w:sz="4" w:space="0" w:color="000000"/>
            </w:tcBorders>
          </w:tcPr>
          <w:p w14:paraId="7707CF56" w14:textId="77777777" w:rsidR="001A237F" w:rsidRDefault="001A237F" w:rsidP="00EE2387">
            <w:pPr>
              <w:spacing w:after="0" w:line="259" w:lineRule="auto"/>
              <w:ind w:left="2"/>
            </w:pPr>
            <w:r>
              <w:t xml:space="preserve">Total number of contacts identified </w:t>
            </w:r>
          </w:p>
        </w:tc>
        <w:tc>
          <w:tcPr>
            <w:tcW w:w="1198" w:type="dxa"/>
            <w:tcBorders>
              <w:top w:val="single" w:sz="4" w:space="0" w:color="000000"/>
              <w:left w:val="single" w:sz="4" w:space="0" w:color="000000"/>
              <w:bottom w:val="dashed" w:sz="4" w:space="0" w:color="000000"/>
              <w:right w:val="single" w:sz="4" w:space="0" w:color="000000"/>
            </w:tcBorders>
          </w:tcPr>
          <w:p w14:paraId="01AA0883" w14:textId="77777777" w:rsidR="001A237F" w:rsidRDefault="001A237F" w:rsidP="00EE2387">
            <w:pPr>
              <w:spacing w:after="0" w:line="259" w:lineRule="auto"/>
            </w:pPr>
            <w:r>
              <w:t xml:space="preserve"> </w:t>
            </w:r>
          </w:p>
        </w:tc>
        <w:tc>
          <w:tcPr>
            <w:tcW w:w="1198" w:type="dxa"/>
            <w:tcBorders>
              <w:top w:val="single" w:sz="4" w:space="0" w:color="000000"/>
              <w:left w:val="single" w:sz="4" w:space="0" w:color="000000"/>
              <w:bottom w:val="dashed" w:sz="4" w:space="0" w:color="000000"/>
              <w:right w:val="single" w:sz="4" w:space="0" w:color="000000"/>
            </w:tcBorders>
          </w:tcPr>
          <w:p w14:paraId="73153D36" w14:textId="77777777" w:rsidR="001A237F" w:rsidRDefault="001A237F" w:rsidP="00EE2387">
            <w:pPr>
              <w:spacing w:after="0" w:line="259" w:lineRule="auto"/>
              <w:ind w:left="2"/>
            </w:pPr>
            <w:r>
              <w:t xml:space="preserve"> </w:t>
            </w:r>
          </w:p>
        </w:tc>
        <w:tc>
          <w:tcPr>
            <w:tcW w:w="1196" w:type="dxa"/>
            <w:tcBorders>
              <w:top w:val="single" w:sz="4" w:space="0" w:color="000000"/>
              <w:left w:val="single" w:sz="4" w:space="0" w:color="000000"/>
              <w:bottom w:val="dashed" w:sz="4" w:space="0" w:color="000000"/>
              <w:right w:val="single" w:sz="4" w:space="0" w:color="000000"/>
            </w:tcBorders>
          </w:tcPr>
          <w:p w14:paraId="10DA4698" w14:textId="77777777" w:rsidR="001A237F" w:rsidRDefault="001A237F" w:rsidP="00EE2387">
            <w:pPr>
              <w:spacing w:after="0" w:line="259" w:lineRule="auto"/>
            </w:pPr>
            <w:r>
              <w:t xml:space="preserve"> </w:t>
            </w:r>
          </w:p>
        </w:tc>
      </w:tr>
      <w:tr w:rsidR="001A237F" w14:paraId="3DAA083D"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56A3016C" w14:textId="77777777" w:rsidR="001A237F" w:rsidRDefault="001A237F" w:rsidP="00EE2387">
            <w:pPr>
              <w:spacing w:after="0" w:line="259" w:lineRule="auto"/>
              <w:ind w:left="2"/>
            </w:pPr>
            <w:r>
              <w:t xml:space="preserve">Number who did not attend or complete screening </w:t>
            </w:r>
          </w:p>
        </w:tc>
        <w:tc>
          <w:tcPr>
            <w:tcW w:w="1198" w:type="dxa"/>
            <w:tcBorders>
              <w:top w:val="dashed" w:sz="4" w:space="0" w:color="000000"/>
              <w:left w:val="single" w:sz="4" w:space="0" w:color="000000"/>
              <w:bottom w:val="dashed" w:sz="4" w:space="0" w:color="000000"/>
              <w:right w:val="single" w:sz="4" w:space="0" w:color="000000"/>
            </w:tcBorders>
          </w:tcPr>
          <w:p w14:paraId="467A627A"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6020BEC8"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6343DE0A" w14:textId="77777777" w:rsidR="001A237F" w:rsidRDefault="001A237F" w:rsidP="00EE2387">
            <w:pPr>
              <w:spacing w:after="0" w:line="259" w:lineRule="auto"/>
            </w:pPr>
            <w:r>
              <w:t xml:space="preserve"> </w:t>
            </w:r>
          </w:p>
        </w:tc>
      </w:tr>
      <w:tr w:rsidR="001A237F" w14:paraId="3F54E814"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3F0AE780" w14:textId="77777777" w:rsidR="001A237F" w:rsidRDefault="001A237F" w:rsidP="00EE2387">
            <w:pPr>
              <w:spacing w:after="0" w:line="259" w:lineRule="auto"/>
              <w:ind w:left="2"/>
            </w:pPr>
            <w:r>
              <w:t xml:space="preserve">Number screened </w:t>
            </w:r>
          </w:p>
        </w:tc>
        <w:tc>
          <w:tcPr>
            <w:tcW w:w="1198" w:type="dxa"/>
            <w:tcBorders>
              <w:top w:val="dashed" w:sz="4" w:space="0" w:color="000000"/>
              <w:left w:val="single" w:sz="4" w:space="0" w:color="000000"/>
              <w:bottom w:val="dashed" w:sz="4" w:space="0" w:color="000000"/>
              <w:right w:val="single" w:sz="4" w:space="0" w:color="000000"/>
            </w:tcBorders>
          </w:tcPr>
          <w:p w14:paraId="205FDD16"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18B168B1"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6909FDA7" w14:textId="77777777" w:rsidR="001A237F" w:rsidRDefault="001A237F" w:rsidP="00EE2387">
            <w:pPr>
              <w:spacing w:after="0" w:line="259" w:lineRule="auto"/>
            </w:pPr>
            <w:r>
              <w:t xml:space="preserve"> </w:t>
            </w:r>
          </w:p>
        </w:tc>
      </w:tr>
      <w:tr w:rsidR="001A237F" w14:paraId="1E2C9C30"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37581D22" w14:textId="77777777" w:rsidR="001A237F" w:rsidRDefault="001A237F" w:rsidP="00EE2387">
            <w:pPr>
              <w:spacing w:after="0" w:line="259" w:lineRule="auto"/>
              <w:ind w:left="2"/>
            </w:pPr>
            <w:r>
              <w:t xml:space="preserve">Number TST and/or QFN positive at initial screen </w:t>
            </w:r>
          </w:p>
        </w:tc>
        <w:tc>
          <w:tcPr>
            <w:tcW w:w="1198" w:type="dxa"/>
            <w:tcBorders>
              <w:top w:val="dashed" w:sz="4" w:space="0" w:color="000000"/>
              <w:left w:val="single" w:sz="4" w:space="0" w:color="000000"/>
              <w:bottom w:val="dashed" w:sz="4" w:space="0" w:color="000000"/>
              <w:right w:val="single" w:sz="4" w:space="0" w:color="000000"/>
            </w:tcBorders>
          </w:tcPr>
          <w:p w14:paraId="4A628156"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40088DDE"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23375E62" w14:textId="77777777" w:rsidR="001A237F" w:rsidRDefault="001A237F" w:rsidP="00EE2387">
            <w:pPr>
              <w:spacing w:after="0" w:line="259" w:lineRule="auto"/>
            </w:pPr>
            <w:r>
              <w:t xml:space="preserve"> </w:t>
            </w:r>
          </w:p>
        </w:tc>
      </w:tr>
      <w:tr w:rsidR="001A237F" w14:paraId="5EB631D0"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307094F6" w14:textId="77777777" w:rsidR="001A237F" w:rsidRDefault="001A237F" w:rsidP="00EE2387">
            <w:pPr>
              <w:spacing w:after="0" w:line="259" w:lineRule="auto"/>
              <w:ind w:left="2"/>
            </w:pPr>
            <w:r>
              <w:t xml:space="preserve">Number with TB screening test conversion </w:t>
            </w:r>
          </w:p>
        </w:tc>
        <w:tc>
          <w:tcPr>
            <w:tcW w:w="1198" w:type="dxa"/>
            <w:tcBorders>
              <w:top w:val="dashed" w:sz="4" w:space="0" w:color="000000"/>
              <w:left w:val="single" w:sz="4" w:space="0" w:color="000000"/>
              <w:bottom w:val="dashed" w:sz="4" w:space="0" w:color="000000"/>
              <w:right w:val="single" w:sz="4" w:space="0" w:color="000000"/>
            </w:tcBorders>
          </w:tcPr>
          <w:p w14:paraId="6A0F6BB2"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6CA36CB2"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548DCB1E" w14:textId="77777777" w:rsidR="001A237F" w:rsidRDefault="001A237F" w:rsidP="00EE2387">
            <w:pPr>
              <w:spacing w:after="0" w:line="259" w:lineRule="auto"/>
            </w:pPr>
            <w:r>
              <w:t xml:space="preserve"> </w:t>
            </w:r>
          </w:p>
        </w:tc>
      </w:tr>
      <w:tr w:rsidR="001A237F" w14:paraId="4FD7AE6B"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0EA1D254" w14:textId="77777777" w:rsidR="001A237F" w:rsidRDefault="001A237F" w:rsidP="00EE2387">
            <w:pPr>
              <w:spacing w:after="0" w:line="259" w:lineRule="auto"/>
              <w:ind w:left="2"/>
            </w:pPr>
            <w:r>
              <w:t xml:space="preserve">Number recommended for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710EAB37"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5ACB60DA"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474F7F69" w14:textId="77777777" w:rsidR="001A237F" w:rsidRDefault="001A237F" w:rsidP="00EE2387">
            <w:pPr>
              <w:spacing w:after="0" w:line="259" w:lineRule="auto"/>
            </w:pPr>
            <w:r>
              <w:t xml:space="preserve"> </w:t>
            </w:r>
          </w:p>
        </w:tc>
      </w:tr>
      <w:tr w:rsidR="001A237F" w14:paraId="0AE34C5E"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204B1F75" w14:textId="77777777" w:rsidR="001A237F" w:rsidRDefault="001A237F" w:rsidP="00EE2387">
            <w:pPr>
              <w:spacing w:after="0" w:line="259" w:lineRule="auto"/>
              <w:ind w:left="2"/>
            </w:pPr>
            <w:r>
              <w:t xml:space="preserve">Number commenced on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7D028425"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64948BEE"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31C9197B" w14:textId="77777777" w:rsidR="001A237F" w:rsidRDefault="001A237F" w:rsidP="00EE2387">
            <w:pPr>
              <w:spacing w:after="0" w:line="259" w:lineRule="auto"/>
            </w:pPr>
            <w:r>
              <w:t xml:space="preserve"> </w:t>
            </w:r>
          </w:p>
        </w:tc>
      </w:tr>
      <w:tr w:rsidR="001A237F" w14:paraId="3E24F85B"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4CF56CF7" w14:textId="77777777" w:rsidR="001A237F" w:rsidRDefault="001A237F" w:rsidP="00EE2387">
            <w:pPr>
              <w:spacing w:after="0" w:line="259" w:lineRule="auto"/>
              <w:ind w:left="2"/>
            </w:pPr>
            <w:r>
              <w:t xml:space="preserve">Number aged under 5 years commenced on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7E62301F"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17DD00C9"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1473EBAD" w14:textId="77777777" w:rsidR="001A237F" w:rsidRDefault="001A237F" w:rsidP="00EE2387">
            <w:pPr>
              <w:spacing w:after="0" w:line="259" w:lineRule="auto"/>
            </w:pPr>
            <w:r>
              <w:t xml:space="preserve"> </w:t>
            </w:r>
          </w:p>
        </w:tc>
      </w:tr>
      <w:tr w:rsidR="001A237F" w14:paraId="6163DA6A"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2B5890DA" w14:textId="77777777" w:rsidR="001A237F" w:rsidRDefault="001A237F" w:rsidP="00EE2387">
            <w:pPr>
              <w:spacing w:after="0" w:line="259" w:lineRule="auto"/>
              <w:ind w:left="2"/>
            </w:pPr>
            <w:r>
              <w:t xml:space="preserve">Number with active TB </w:t>
            </w:r>
          </w:p>
        </w:tc>
        <w:tc>
          <w:tcPr>
            <w:tcW w:w="1198" w:type="dxa"/>
            <w:tcBorders>
              <w:top w:val="dashed" w:sz="4" w:space="0" w:color="000000"/>
              <w:left w:val="single" w:sz="4" w:space="0" w:color="000000"/>
              <w:bottom w:val="dashed" w:sz="4" w:space="0" w:color="000000"/>
              <w:right w:val="single" w:sz="4" w:space="0" w:color="000000"/>
            </w:tcBorders>
          </w:tcPr>
          <w:p w14:paraId="7FB9D435"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170EED5E"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32B4E938" w14:textId="77777777" w:rsidR="001A237F" w:rsidRDefault="001A237F" w:rsidP="00EE2387">
            <w:pPr>
              <w:spacing w:after="0" w:line="259" w:lineRule="auto"/>
            </w:pPr>
            <w:r>
              <w:t xml:space="preserve"> </w:t>
            </w:r>
          </w:p>
        </w:tc>
      </w:tr>
      <w:tr w:rsidR="001A237F" w14:paraId="23E13777"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4EBF02E0" w14:textId="77777777" w:rsidR="001A237F" w:rsidRDefault="001A237F" w:rsidP="00EE2387">
            <w:pPr>
              <w:spacing w:after="0" w:line="259" w:lineRule="auto"/>
              <w:ind w:left="2"/>
            </w:pPr>
            <w:r>
              <w:t>Number still undergoing review (</w:t>
            </w:r>
            <w:proofErr w:type="spellStart"/>
            <w:r>
              <w:t>eg</w:t>
            </w:r>
            <w:proofErr w:type="spellEnd"/>
            <w:r>
              <w:t xml:space="preserve"> serial X-rays) </w:t>
            </w:r>
          </w:p>
        </w:tc>
        <w:tc>
          <w:tcPr>
            <w:tcW w:w="1198" w:type="dxa"/>
            <w:tcBorders>
              <w:top w:val="dashed" w:sz="4" w:space="0" w:color="000000"/>
              <w:left w:val="single" w:sz="4" w:space="0" w:color="000000"/>
              <w:bottom w:val="dashed" w:sz="4" w:space="0" w:color="000000"/>
              <w:right w:val="single" w:sz="4" w:space="0" w:color="000000"/>
            </w:tcBorders>
          </w:tcPr>
          <w:p w14:paraId="10DE3A92"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3879BBCC"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312642E6" w14:textId="77777777" w:rsidR="001A237F" w:rsidRDefault="001A237F" w:rsidP="00EE2387">
            <w:pPr>
              <w:spacing w:after="0" w:line="259" w:lineRule="auto"/>
            </w:pPr>
            <w:r>
              <w:t xml:space="preserve"> </w:t>
            </w:r>
          </w:p>
        </w:tc>
      </w:tr>
      <w:tr w:rsidR="001A237F" w14:paraId="31B72836" w14:textId="77777777" w:rsidTr="00EE2387">
        <w:trPr>
          <w:trHeight w:val="360"/>
        </w:trPr>
        <w:tc>
          <w:tcPr>
            <w:tcW w:w="6798" w:type="dxa"/>
            <w:tcBorders>
              <w:top w:val="dashed" w:sz="4" w:space="0" w:color="000000"/>
              <w:left w:val="single" w:sz="4" w:space="0" w:color="000000"/>
              <w:bottom w:val="single" w:sz="4" w:space="0" w:color="000000"/>
              <w:right w:val="single" w:sz="4" w:space="0" w:color="000000"/>
            </w:tcBorders>
          </w:tcPr>
          <w:p w14:paraId="121995C4" w14:textId="77777777" w:rsidR="001A237F" w:rsidRDefault="001A237F" w:rsidP="00EE2387">
            <w:pPr>
              <w:spacing w:after="0" w:line="259" w:lineRule="auto"/>
              <w:ind w:left="2"/>
            </w:pPr>
            <w:r>
              <w:t xml:space="preserve">Number negative on completion of screening </w:t>
            </w:r>
          </w:p>
        </w:tc>
        <w:tc>
          <w:tcPr>
            <w:tcW w:w="1198" w:type="dxa"/>
            <w:tcBorders>
              <w:top w:val="dashed" w:sz="4" w:space="0" w:color="000000"/>
              <w:left w:val="single" w:sz="4" w:space="0" w:color="000000"/>
              <w:bottom w:val="single" w:sz="4" w:space="0" w:color="000000"/>
              <w:right w:val="single" w:sz="4" w:space="0" w:color="000000"/>
            </w:tcBorders>
          </w:tcPr>
          <w:p w14:paraId="7A934941"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single" w:sz="4" w:space="0" w:color="000000"/>
              <w:right w:val="single" w:sz="4" w:space="0" w:color="000000"/>
            </w:tcBorders>
          </w:tcPr>
          <w:p w14:paraId="7F6E46A2"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single" w:sz="4" w:space="0" w:color="000000"/>
              <w:right w:val="single" w:sz="4" w:space="0" w:color="000000"/>
            </w:tcBorders>
          </w:tcPr>
          <w:p w14:paraId="4498B727" w14:textId="77777777" w:rsidR="001A237F" w:rsidRDefault="001A237F" w:rsidP="00EE2387">
            <w:pPr>
              <w:spacing w:after="0" w:line="259" w:lineRule="auto"/>
            </w:pPr>
            <w:r>
              <w:t xml:space="preserve"> </w:t>
            </w:r>
          </w:p>
        </w:tc>
      </w:tr>
    </w:tbl>
    <w:p w14:paraId="5A8E7FAD" w14:textId="77777777" w:rsidR="001A237F" w:rsidRDefault="001A237F" w:rsidP="001A237F">
      <w:pPr>
        <w:spacing w:after="0" w:line="259" w:lineRule="auto"/>
        <w:ind w:left="283"/>
      </w:pPr>
      <w:r>
        <w:rPr>
          <w:rFonts w:ascii="Calibri" w:hAnsi="Calibri" w:cs="Calibri"/>
          <w:b/>
          <w:sz w:val="16"/>
        </w:rPr>
        <w:t xml:space="preserve"> </w:t>
      </w:r>
    </w:p>
    <w:tbl>
      <w:tblPr>
        <w:tblStyle w:val="TableGrid0"/>
        <w:tblW w:w="10390" w:type="dxa"/>
        <w:tblInd w:w="288" w:type="dxa"/>
        <w:tblCellMar>
          <w:top w:w="48" w:type="dxa"/>
          <w:left w:w="108" w:type="dxa"/>
          <w:right w:w="58" w:type="dxa"/>
        </w:tblCellMar>
        <w:tblLook w:val="04A0" w:firstRow="1" w:lastRow="0" w:firstColumn="1" w:lastColumn="0" w:noHBand="0" w:noVBand="1"/>
      </w:tblPr>
      <w:tblGrid>
        <w:gridCol w:w="6765"/>
        <w:gridCol w:w="1238"/>
        <w:gridCol w:w="1195"/>
        <w:gridCol w:w="1192"/>
      </w:tblGrid>
      <w:tr w:rsidR="001A237F" w14:paraId="1022038F" w14:textId="77777777" w:rsidTr="00EE2387">
        <w:trPr>
          <w:trHeight w:val="278"/>
        </w:trPr>
        <w:tc>
          <w:tcPr>
            <w:tcW w:w="6798" w:type="dxa"/>
            <w:tcBorders>
              <w:top w:val="single" w:sz="4" w:space="0" w:color="000000"/>
              <w:left w:val="single" w:sz="4" w:space="0" w:color="000000"/>
              <w:bottom w:val="single" w:sz="4" w:space="0" w:color="000000"/>
              <w:right w:val="single" w:sz="4" w:space="0" w:color="000000"/>
            </w:tcBorders>
          </w:tcPr>
          <w:p w14:paraId="27C4E472" w14:textId="77777777" w:rsidR="001A237F" w:rsidRDefault="001A237F" w:rsidP="00EE2387">
            <w:pPr>
              <w:spacing w:after="0" w:line="259" w:lineRule="auto"/>
              <w:ind w:left="2"/>
            </w:pPr>
            <w:r>
              <w:rPr>
                <w:rFonts w:ascii="Calibri" w:eastAsia="Calibri" w:hAnsi="Calibri" w:cs="Calibri"/>
                <w:b/>
              </w:rPr>
              <w:t xml:space="preserve">Second Level Screen </w:t>
            </w:r>
            <w:r>
              <w:t xml:space="preserve">if required </w:t>
            </w:r>
          </w:p>
        </w:tc>
        <w:tc>
          <w:tcPr>
            <w:tcW w:w="1198" w:type="dxa"/>
            <w:tcBorders>
              <w:top w:val="single" w:sz="4" w:space="0" w:color="000000"/>
              <w:left w:val="single" w:sz="4" w:space="0" w:color="000000"/>
              <w:bottom w:val="single" w:sz="4" w:space="0" w:color="000000"/>
              <w:right w:val="single" w:sz="4" w:space="0" w:color="000000"/>
            </w:tcBorders>
          </w:tcPr>
          <w:p w14:paraId="477C9FA9" w14:textId="77777777" w:rsidR="001A237F" w:rsidRDefault="001A237F" w:rsidP="00EE2387">
            <w:pPr>
              <w:spacing w:after="0" w:line="259" w:lineRule="auto"/>
            </w:pPr>
            <w:r>
              <w:rPr>
                <w:rFonts w:ascii="Calibri" w:eastAsia="Calibri" w:hAnsi="Calibri" w:cs="Calibri"/>
                <w:b/>
              </w:rPr>
              <w:t xml:space="preserve">Household </w:t>
            </w:r>
          </w:p>
        </w:tc>
        <w:tc>
          <w:tcPr>
            <w:tcW w:w="1198" w:type="dxa"/>
            <w:tcBorders>
              <w:top w:val="single" w:sz="4" w:space="0" w:color="000000"/>
              <w:left w:val="single" w:sz="4" w:space="0" w:color="000000"/>
              <w:bottom w:val="single" w:sz="4" w:space="0" w:color="000000"/>
              <w:right w:val="single" w:sz="4" w:space="0" w:color="000000"/>
            </w:tcBorders>
          </w:tcPr>
          <w:p w14:paraId="130603B8" w14:textId="77777777" w:rsidR="001A237F" w:rsidRDefault="001A237F" w:rsidP="00EE2387">
            <w:pPr>
              <w:spacing w:after="0" w:line="259" w:lineRule="auto"/>
              <w:ind w:left="2"/>
            </w:pPr>
            <w:r>
              <w:rPr>
                <w:rFonts w:ascii="Calibri" w:eastAsia="Calibri" w:hAnsi="Calibri" w:cs="Calibri"/>
                <w:b/>
              </w:rPr>
              <w:t xml:space="preserve">Other </w:t>
            </w:r>
          </w:p>
        </w:tc>
        <w:tc>
          <w:tcPr>
            <w:tcW w:w="1196" w:type="dxa"/>
            <w:tcBorders>
              <w:top w:val="single" w:sz="4" w:space="0" w:color="000000"/>
              <w:left w:val="single" w:sz="4" w:space="0" w:color="000000"/>
              <w:bottom w:val="single" w:sz="4" w:space="0" w:color="000000"/>
              <w:right w:val="single" w:sz="4" w:space="0" w:color="000000"/>
            </w:tcBorders>
          </w:tcPr>
          <w:p w14:paraId="68C95DD8" w14:textId="77777777" w:rsidR="001A237F" w:rsidRDefault="001A237F" w:rsidP="00EE2387">
            <w:pPr>
              <w:spacing w:after="0" w:line="259" w:lineRule="auto"/>
            </w:pPr>
            <w:r>
              <w:rPr>
                <w:rFonts w:ascii="Calibri" w:eastAsia="Calibri" w:hAnsi="Calibri" w:cs="Calibri"/>
                <w:b/>
              </w:rPr>
              <w:t xml:space="preserve">Total </w:t>
            </w:r>
          </w:p>
        </w:tc>
      </w:tr>
      <w:tr w:rsidR="001A237F" w14:paraId="347B0656" w14:textId="77777777" w:rsidTr="00EE2387">
        <w:trPr>
          <w:trHeight w:val="360"/>
        </w:trPr>
        <w:tc>
          <w:tcPr>
            <w:tcW w:w="6798" w:type="dxa"/>
            <w:tcBorders>
              <w:top w:val="single" w:sz="4" w:space="0" w:color="000000"/>
              <w:left w:val="single" w:sz="4" w:space="0" w:color="000000"/>
              <w:bottom w:val="dashed" w:sz="4" w:space="0" w:color="000000"/>
              <w:right w:val="single" w:sz="4" w:space="0" w:color="000000"/>
            </w:tcBorders>
          </w:tcPr>
          <w:p w14:paraId="03EF417F" w14:textId="77777777" w:rsidR="001A237F" w:rsidRDefault="001A237F" w:rsidP="00EE2387">
            <w:pPr>
              <w:spacing w:after="0" w:line="259" w:lineRule="auto"/>
              <w:ind w:left="2"/>
            </w:pPr>
            <w:r>
              <w:t xml:space="preserve">Total number of contacts identified </w:t>
            </w:r>
          </w:p>
        </w:tc>
        <w:tc>
          <w:tcPr>
            <w:tcW w:w="1198" w:type="dxa"/>
            <w:tcBorders>
              <w:top w:val="single" w:sz="4" w:space="0" w:color="000000"/>
              <w:left w:val="single" w:sz="4" w:space="0" w:color="000000"/>
              <w:bottom w:val="dashed" w:sz="4" w:space="0" w:color="000000"/>
              <w:right w:val="single" w:sz="4" w:space="0" w:color="000000"/>
            </w:tcBorders>
          </w:tcPr>
          <w:p w14:paraId="0CB04FA0" w14:textId="77777777" w:rsidR="001A237F" w:rsidRDefault="001A237F" w:rsidP="00EE2387">
            <w:pPr>
              <w:spacing w:after="0" w:line="259" w:lineRule="auto"/>
            </w:pPr>
            <w:r>
              <w:t xml:space="preserve"> </w:t>
            </w:r>
          </w:p>
        </w:tc>
        <w:tc>
          <w:tcPr>
            <w:tcW w:w="1198" w:type="dxa"/>
            <w:tcBorders>
              <w:top w:val="single" w:sz="4" w:space="0" w:color="000000"/>
              <w:left w:val="single" w:sz="4" w:space="0" w:color="000000"/>
              <w:bottom w:val="dashed" w:sz="4" w:space="0" w:color="000000"/>
              <w:right w:val="single" w:sz="4" w:space="0" w:color="000000"/>
            </w:tcBorders>
          </w:tcPr>
          <w:p w14:paraId="62EB6039" w14:textId="77777777" w:rsidR="001A237F" w:rsidRDefault="001A237F" w:rsidP="00EE2387">
            <w:pPr>
              <w:spacing w:after="0" w:line="259" w:lineRule="auto"/>
              <w:ind w:left="2"/>
            </w:pPr>
            <w:r>
              <w:t xml:space="preserve"> </w:t>
            </w:r>
          </w:p>
        </w:tc>
        <w:tc>
          <w:tcPr>
            <w:tcW w:w="1196" w:type="dxa"/>
            <w:tcBorders>
              <w:top w:val="single" w:sz="4" w:space="0" w:color="000000"/>
              <w:left w:val="single" w:sz="4" w:space="0" w:color="000000"/>
              <w:bottom w:val="dashed" w:sz="4" w:space="0" w:color="000000"/>
              <w:right w:val="single" w:sz="4" w:space="0" w:color="000000"/>
            </w:tcBorders>
          </w:tcPr>
          <w:p w14:paraId="7AD76643" w14:textId="77777777" w:rsidR="001A237F" w:rsidRDefault="001A237F" w:rsidP="00EE2387">
            <w:pPr>
              <w:spacing w:after="0" w:line="259" w:lineRule="auto"/>
            </w:pPr>
            <w:r>
              <w:t xml:space="preserve"> </w:t>
            </w:r>
          </w:p>
        </w:tc>
      </w:tr>
      <w:tr w:rsidR="001A237F" w14:paraId="764D1334"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6EAEDD97" w14:textId="77777777" w:rsidR="001A237F" w:rsidRDefault="001A237F" w:rsidP="00EE2387">
            <w:pPr>
              <w:spacing w:after="0" w:line="259" w:lineRule="auto"/>
              <w:ind w:left="2"/>
            </w:pPr>
            <w:r>
              <w:t xml:space="preserve">Number who did not attend or complete screening </w:t>
            </w:r>
          </w:p>
        </w:tc>
        <w:tc>
          <w:tcPr>
            <w:tcW w:w="1198" w:type="dxa"/>
            <w:tcBorders>
              <w:top w:val="dashed" w:sz="4" w:space="0" w:color="000000"/>
              <w:left w:val="single" w:sz="4" w:space="0" w:color="000000"/>
              <w:bottom w:val="dashed" w:sz="4" w:space="0" w:color="000000"/>
              <w:right w:val="single" w:sz="4" w:space="0" w:color="000000"/>
            </w:tcBorders>
          </w:tcPr>
          <w:p w14:paraId="4577ED94"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24E22D32"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13EC9642" w14:textId="77777777" w:rsidR="001A237F" w:rsidRDefault="001A237F" w:rsidP="00EE2387">
            <w:pPr>
              <w:spacing w:after="0" w:line="259" w:lineRule="auto"/>
            </w:pPr>
            <w:r>
              <w:t xml:space="preserve"> </w:t>
            </w:r>
          </w:p>
        </w:tc>
      </w:tr>
      <w:tr w:rsidR="001A237F" w14:paraId="0B5BE9F2"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05E698B2" w14:textId="77777777" w:rsidR="001A237F" w:rsidRDefault="001A237F" w:rsidP="00EE2387">
            <w:pPr>
              <w:spacing w:after="0" w:line="259" w:lineRule="auto"/>
              <w:ind w:left="2"/>
            </w:pPr>
            <w:r>
              <w:t xml:space="preserve">Number screened </w:t>
            </w:r>
          </w:p>
        </w:tc>
        <w:tc>
          <w:tcPr>
            <w:tcW w:w="1198" w:type="dxa"/>
            <w:tcBorders>
              <w:top w:val="dashed" w:sz="4" w:space="0" w:color="000000"/>
              <w:left w:val="single" w:sz="4" w:space="0" w:color="000000"/>
              <w:bottom w:val="dashed" w:sz="4" w:space="0" w:color="000000"/>
              <w:right w:val="single" w:sz="4" w:space="0" w:color="000000"/>
            </w:tcBorders>
          </w:tcPr>
          <w:p w14:paraId="7A7CA03B"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1A1BE0C9"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3A8B417B" w14:textId="77777777" w:rsidR="001A237F" w:rsidRDefault="001A237F" w:rsidP="00EE2387">
            <w:pPr>
              <w:spacing w:after="0" w:line="259" w:lineRule="auto"/>
            </w:pPr>
            <w:r>
              <w:t xml:space="preserve"> </w:t>
            </w:r>
          </w:p>
        </w:tc>
      </w:tr>
      <w:tr w:rsidR="001A237F" w14:paraId="14A3458B"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602AAFB8" w14:textId="77777777" w:rsidR="001A237F" w:rsidRDefault="001A237F" w:rsidP="00EE2387">
            <w:pPr>
              <w:spacing w:after="0" w:line="259" w:lineRule="auto"/>
              <w:ind w:left="2"/>
            </w:pPr>
            <w:r>
              <w:t xml:space="preserve">Number TST and/or QFN positive at initial screen </w:t>
            </w:r>
          </w:p>
        </w:tc>
        <w:tc>
          <w:tcPr>
            <w:tcW w:w="1198" w:type="dxa"/>
            <w:tcBorders>
              <w:top w:val="dashed" w:sz="4" w:space="0" w:color="000000"/>
              <w:left w:val="single" w:sz="4" w:space="0" w:color="000000"/>
              <w:bottom w:val="dashed" w:sz="4" w:space="0" w:color="000000"/>
              <w:right w:val="single" w:sz="4" w:space="0" w:color="000000"/>
            </w:tcBorders>
          </w:tcPr>
          <w:p w14:paraId="60A418A2"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1251E32F"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6A853DDD" w14:textId="77777777" w:rsidR="001A237F" w:rsidRDefault="001A237F" w:rsidP="00EE2387">
            <w:pPr>
              <w:spacing w:after="0" w:line="259" w:lineRule="auto"/>
            </w:pPr>
            <w:r>
              <w:t xml:space="preserve"> </w:t>
            </w:r>
          </w:p>
        </w:tc>
      </w:tr>
      <w:tr w:rsidR="001A237F" w14:paraId="5A982429"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56AF9B72" w14:textId="77777777" w:rsidR="001A237F" w:rsidRDefault="001A237F" w:rsidP="00EE2387">
            <w:pPr>
              <w:spacing w:after="0" w:line="259" w:lineRule="auto"/>
              <w:ind w:left="2"/>
            </w:pPr>
            <w:r>
              <w:t xml:space="preserve">Number with TB screening test conversion </w:t>
            </w:r>
          </w:p>
        </w:tc>
        <w:tc>
          <w:tcPr>
            <w:tcW w:w="1198" w:type="dxa"/>
            <w:tcBorders>
              <w:top w:val="dashed" w:sz="4" w:space="0" w:color="000000"/>
              <w:left w:val="single" w:sz="4" w:space="0" w:color="000000"/>
              <w:bottom w:val="dashed" w:sz="4" w:space="0" w:color="000000"/>
              <w:right w:val="single" w:sz="4" w:space="0" w:color="000000"/>
            </w:tcBorders>
          </w:tcPr>
          <w:p w14:paraId="29EB35DD"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3F7E23C5"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652F1727" w14:textId="77777777" w:rsidR="001A237F" w:rsidRDefault="001A237F" w:rsidP="00EE2387">
            <w:pPr>
              <w:spacing w:after="0" w:line="259" w:lineRule="auto"/>
            </w:pPr>
            <w:r>
              <w:t xml:space="preserve"> </w:t>
            </w:r>
          </w:p>
        </w:tc>
      </w:tr>
      <w:tr w:rsidR="001A237F" w14:paraId="227839F3"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19B00F70" w14:textId="77777777" w:rsidR="001A237F" w:rsidRDefault="001A237F" w:rsidP="00EE2387">
            <w:pPr>
              <w:spacing w:after="0" w:line="259" w:lineRule="auto"/>
              <w:ind w:left="2"/>
            </w:pPr>
            <w:r>
              <w:t xml:space="preserve">Number recommended for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124D0DAA"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3111DB4C"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1516B05A" w14:textId="77777777" w:rsidR="001A237F" w:rsidRDefault="001A237F" w:rsidP="00EE2387">
            <w:pPr>
              <w:spacing w:after="0" w:line="259" w:lineRule="auto"/>
            </w:pPr>
            <w:r>
              <w:t xml:space="preserve"> </w:t>
            </w:r>
          </w:p>
        </w:tc>
      </w:tr>
      <w:tr w:rsidR="001A237F" w14:paraId="3FCA5F72"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7953DD2A" w14:textId="77777777" w:rsidR="001A237F" w:rsidRDefault="001A237F" w:rsidP="00EE2387">
            <w:pPr>
              <w:spacing w:after="0" w:line="259" w:lineRule="auto"/>
              <w:ind w:left="2"/>
            </w:pPr>
            <w:r>
              <w:t xml:space="preserve">Number commenced on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215895D0"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5E780249"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3CFC8D6D" w14:textId="77777777" w:rsidR="001A237F" w:rsidRDefault="001A237F" w:rsidP="00EE2387">
            <w:pPr>
              <w:spacing w:after="0" w:line="259" w:lineRule="auto"/>
            </w:pPr>
            <w:r>
              <w:t xml:space="preserve"> </w:t>
            </w:r>
          </w:p>
        </w:tc>
      </w:tr>
      <w:tr w:rsidR="001A237F" w14:paraId="0CA187FF"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51BC71E1" w14:textId="77777777" w:rsidR="001A237F" w:rsidRDefault="001A237F" w:rsidP="00EE2387">
            <w:pPr>
              <w:spacing w:after="0" w:line="259" w:lineRule="auto"/>
              <w:ind w:left="2"/>
            </w:pPr>
            <w:r>
              <w:t xml:space="preserve">Number aged under 5 years commenced on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456999EF"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7F432D74"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4F33ADDB" w14:textId="77777777" w:rsidR="001A237F" w:rsidRDefault="001A237F" w:rsidP="00EE2387">
            <w:pPr>
              <w:spacing w:after="0" w:line="259" w:lineRule="auto"/>
            </w:pPr>
            <w:r>
              <w:t xml:space="preserve"> </w:t>
            </w:r>
          </w:p>
        </w:tc>
      </w:tr>
      <w:tr w:rsidR="001A237F" w14:paraId="229EFAF2"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2BEB0885" w14:textId="77777777" w:rsidR="001A237F" w:rsidRDefault="001A237F" w:rsidP="00EE2387">
            <w:pPr>
              <w:spacing w:after="0" w:line="259" w:lineRule="auto"/>
              <w:ind w:left="2"/>
            </w:pPr>
            <w:r>
              <w:t xml:space="preserve">Number with active TB </w:t>
            </w:r>
          </w:p>
        </w:tc>
        <w:tc>
          <w:tcPr>
            <w:tcW w:w="1198" w:type="dxa"/>
            <w:tcBorders>
              <w:top w:val="dashed" w:sz="4" w:space="0" w:color="000000"/>
              <w:left w:val="single" w:sz="4" w:space="0" w:color="000000"/>
              <w:bottom w:val="dashed" w:sz="4" w:space="0" w:color="000000"/>
              <w:right w:val="single" w:sz="4" w:space="0" w:color="000000"/>
            </w:tcBorders>
          </w:tcPr>
          <w:p w14:paraId="72B2A9B5"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4B258B53"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7A5ED1AE" w14:textId="77777777" w:rsidR="001A237F" w:rsidRDefault="001A237F" w:rsidP="00EE2387">
            <w:pPr>
              <w:spacing w:after="0" w:line="259" w:lineRule="auto"/>
            </w:pPr>
            <w:r>
              <w:t xml:space="preserve"> </w:t>
            </w:r>
          </w:p>
        </w:tc>
      </w:tr>
      <w:tr w:rsidR="001A237F" w14:paraId="4901C9B4"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480DDDC5" w14:textId="77777777" w:rsidR="001A237F" w:rsidRDefault="001A237F" w:rsidP="00EE2387">
            <w:pPr>
              <w:spacing w:after="0" w:line="259" w:lineRule="auto"/>
              <w:ind w:left="2"/>
            </w:pPr>
            <w:r>
              <w:lastRenderedPageBreak/>
              <w:t>Number still undergoing review (</w:t>
            </w:r>
            <w:proofErr w:type="spellStart"/>
            <w:r>
              <w:t>eg</w:t>
            </w:r>
            <w:proofErr w:type="spellEnd"/>
            <w:r>
              <w:t xml:space="preserve"> serial X-rays) </w:t>
            </w:r>
          </w:p>
        </w:tc>
        <w:tc>
          <w:tcPr>
            <w:tcW w:w="1198" w:type="dxa"/>
            <w:tcBorders>
              <w:top w:val="dashed" w:sz="4" w:space="0" w:color="000000"/>
              <w:left w:val="single" w:sz="4" w:space="0" w:color="000000"/>
              <w:bottom w:val="dashed" w:sz="4" w:space="0" w:color="000000"/>
              <w:right w:val="single" w:sz="4" w:space="0" w:color="000000"/>
            </w:tcBorders>
          </w:tcPr>
          <w:p w14:paraId="5701AFD2"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76C302A6"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324981B5" w14:textId="77777777" w:rsidR="001A237F" w:rsidRDefault="001A237F" w:rsidP="00EE2387">
            <w:pPr>
              <w:spacing w:after="0" w:line="259" w:lineRule="auto"/>
            </w:pPr>
            <w:r>
              <w:t xml:space="preserve"> </w:t>
            </w:r>
          </w:p>
        </w:tc>
      </w:tr>
      <w:tr w:rsidR="001A237F" w14:paraId="1C424BE5" w14:textId="77777777" w:rsidTr="00EE2387">
        <w:trPr>
          <w:trHeight w:val="360"/>
        </w:trPr>
        <w:tc>
          <w:tcPr>
            <w:tcW w:w="6798" w:type="dxa"/>
            <w:tcBorders>
              <w:top w:val="dashed" w:sz="4" w:space="0" w:color="000000"/>
              <w:left w:val="single" w:sz="4" w:space="0" w:color="000000"/>
              <w:bottom w:val="single" w:sz="4" w:space="0" w:color="000000"/>
              <w:right w:val="single" w:sz="4" w:space="0" w:color="000000"/>
            </w:tcBorders>
          </w:tcPr>
          <w:p w14:paraId="64A3ED22" w14:textId="77777777" w:rsidR="001A237F" w:rsidRDefault="001A237F" w:rsidP="00EE2387">
            <w:pPr>
              <w:spacing w:after="0" w:line="259" w:lineRule="auto"/>
              <w:ind w:left="2"/>
            </w:pPr>
            <w:r>
              <w:t xml:space="preserve">Number negative on completion of screening </w:t>
            </w:r>
          </w:p>
        </w:tc>
        <w:tc>
          <w:tcPr>
            <w:tcW w:w="1198" w:type="dxa"/>
            <w:tcBorders>
              <w:top w:val="dashed" w:sz="4" w:space="0" w:color="000000"/>
              <w:left w:val="single" w:sz="4" w:space="0" w:color="000000"/>
              <w:bottom w:val="single" w:sz="4" w:space="0" w:color="000000"/>
              <w:right w:val="single" w:sz="4" w:space="0" w:color="000000"/>
            </w:tcBorders>
          </w:tcPr>
          <w:p w14:paraId="7FCD1D05"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single" w:sz="4" w:space="0" w:color="000000"/>
              <w:right w:val="single" w:sz="4" w:space="0" w:color="000000"/>
            </w:tcBorders>
          </w:tcPr>
          <w:p w14:paraId="7ADF49B1"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single" w:sz="4" w:space="0" w:color="000000"/>
              <w:right w:val="single" w:sz="4" w:space="0" w:color="000000"/>
            </w:tcBorders>
          </w:tcPr>
          <w:p w14:paraId="631AF553" w14:textId="77777777" w:rsidR="001A237F" w:rsidRDefault="001A237F" w:rsidP="00EE2387">
            <w:pPr>
              <w:spacing w:after="0" w:line="259" w:lineRule="auto"/>
            </w:pPr>
            <w:r>
              <w:t xml:space="preserve"> </w:t>
            </w:r>
          </w:p>
        </w:tc>
      </w:tr>
    </w:tbl>
    <w:p w14:paraId="36664265" w14:textId="77777777" w:rsidR="001A237F" w:rsidRDefault="001A237F" w:rsidP="001A237F">
      <w:pPr>
        <w:spacing w:after="0" w:line="259" w:lineRule="auto"/>
        <w:ind w:left="283"/>
      </w:pPr>
      <w:r>
        <w:rPr>
          <w:rFonts w:ascii="Calibri" w:hAnsi="Calibri" w:cs="Calibri"/>
          <w:b/>
          <w:sz w:val="16"/>
        </w:rPr>
        <w:t xml:space="preserve"> </w:t>
      </w:r>
    </w:p>
    <w:tbl>
      <w:tblPr>
        <w:tblStyle w:val="TableGrid0"/>
        <w:tblW w:w="10390" w:type="dxa"/>
        <w:tblInd w:w="288" w:type="dxa"/>
        <w:tblCellMar>
          <w:top w:w="48" w:type="dxa"/>
          <w:left w:w="108" w:type="dxa"/>
          <w:right w:w="58" w:type="dxa"/>
        </w:tblCellMar>
        <w:tblLook w:val="04A0" w:firstRow="1" w:lastRow="0" w:firstColumn="1" w:lastColumn="0" w:noHBand="0" w:noVBand="1"/>
      </w:tblPr>
      <w:tblGrid>
        <w:gridCol w:w="6765"/>
        <w:gridCol w:w="1238"/>
        <w:gridCol w:w="1195"/>
        <w:gridCol w:w="1192"/>
      </w:tblGrid>
      <w:tr w:rsidR="001A237F" w14:paraId="6E29BCE7" w14:textId="77777777" w:rsidTr="00EE2387">
        <w:trPr>
          <w:trHeight w:val="278"/>
        </w:trPr>
        <w:tc>
          <w:tcPr>
            <w:tcW w:w="6798" w:type="dxa"/>
            <w:tcBorders>
              <w:top w:val="single" w:sz="4" w:space="0" w:color="000000"/>
              <w:left w:val="single" w:sz="4" w:space="0" w:color="000000"/>
              <w:bottom w:val="single" w:sz="4" w:space="0" w:color="000000"/>
              <w:right w:val="single" w:sz="4" w:space="0" w:color="000000"/>
            </w:tcBorders>
          </w:tcPr>
          <w:p w14:paraId="0C0DEAFF" w14:textId="77777777" w:rsidR="001A237F" w:rsidRDefault="001A237F" w:rsidP="00EE2387">
            <w:pPr>
              <w:spacing w:after="0" w:line="259" w:lineRule="auto"/>
              <w:ind w:left="2"/>
            </w:pPr>
            <w:r>
              <w:rPr>
                <w:rFonts w:ascii="Calibri" w:eastAsia="Calibri" w:hAnsi="Calibri" w:cs="Calibri"/>
                <w:b/>
              </w:rPr>
              <w:t xml:space="preserve">Third Level Screen </w:t>
            </w:r>
            <w:r>
              <w:t>if required</w:t>
            </w:r>
            <w:r>
              <w:rPr>
                <w:rFonts w:ascii="Calibri" w:eastAsia="Calibri" w:hAnsi="Calibri" w:cs="Calibri"/>
                <w:b/>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0CFCE4FF" w14:textId="77777777" w:rsidR="001A237F" w:rsidRDefault="001A237F" w:rsidP="00EE2387">
            <w:pPr>
              <w:spacing w:after="0" w:line="259" w:lineRule="auto"/>
            </w:pPr>
            <w:r>
              <w:rPr>
                <w:rFonts w:ascii="Calibri" w:eastAsia="Calibri" w:hAnsi="Calibri" w:cs="Calibri"/>
                <w:b/>
              </w:rPr>
              <w:t xml:space="preserve">Household </w:t>
            </w:r>
          </w:p>
        </w:tc>
        <w:tc>
          <w:tcPr>
            <w:tcW w:w="1198" w:type="dxa"/>
            <w:tcBorders>
              <w:top w:val="single" w:sz="4" w:space="0" w:color="000000"/>
              <w:left w:val="single" w:sz="4" w:space="0" w:color="000000"/>
              <w:bottom w:val="single" w:sz="4" w:space="0" w:color="000000"/>
              <w:right w:val="single" w:sz="4" w:space="0" w:color="000000"/>
            </w:tcBorders>
          </w:tcPr>
          <w:p w14:paraId="5CE9D27E" w14:textId="77777777" w:rsidR="001A237F" w:rsidRDefault="001A237F" w:rsidP="00EE2387">
            <w:pPr>
              <w:spacing w:after="0" w:line="259" w:lineRule="auto"/>
              <w:ind w:left="2"/>
            </w:pPr>
            <w:r>
              <w:rPr>
                <w:rFonts w:ascii="Calibri" w:eastAsia="Calibri" w:hAnsi="Calibri" w:cs="Calibri"/>
                <w:b/>
              </w:rPr>
              <w:t xml:space="preserve">Other </w:t>
            </w:r>
          </w:p>
        </w:tc>
        <w:tc>
          <w:tcPr>
            <w:tcW w:w="1196" w:type="dxa"/>
            <w:tcBorders>
              <w:top w:val="single" w:sz="4" w:space="0" w:color="000000"/>
              <w:left w:val="single" w:sz="4" w:space="0" w:color="000000"/>
              <w:bottom w:val="single" w:sz="4" w:space="0" w:color="000000"/>
              <w:right w:val="single" w:sz="4" w:space="0" w:color="000000"/>
            </w:tcBorders>
          </w:tcPr>
          <w:p w14:paraId="113D0D09" w14:textId="77777777" w:rsidR="001A237F" w:rsidRDefault="001A237F" w:rsidP="00EE2387">
            <w:pPr>
              <w:spacing w:after="0" w:line="259" w:lineRule="auto"/>
            </w:pPr>
            <w:r>
              <w:rPr>
                <w:rFonts w:ascii="Calibri" w:eastAsia="Calibri" w:hAnsi="Calibri" w:cs="Calibri"/>
                <w:b/>
              </w:rPr>
              <w:t xml:space="preserve">Total </w:t>
            </w:r>
          </w:p>
        </w:tc>
      </w:tr>
      <w:tr w:rsidR="001A237F" w14:paraId="0EEF73DF" w14:textId="77777777" w:rsidTr="00EE2387">
        <w:trPr>
          <w:trHeight w:val="358"/>
        </w:trPr>
        <w:tc>
          <w:tcPr>
            <w:tcW w:w="6798" w:type="dxa"/>
            <w:tcBorders>
              <w:top w:val="single" w:sz="4" w:space="0" w:color="000000"/>
              <w:left w:val="single" w:sz="4" w:space="0" w:color="000000"/>
              <w:bottom w:val="dashed" w:sz="4" w:space="0" w:color="000000"/>
              <w:right w:val="single" w:sz="4" w:space="0" w:color="000000"/>
            </w:tcBorders>
          </w:tcPr>
          <w:p w14:paraId="5240D151" w14:textId="77777777" w:rsidR="001A237F" w:rsidRDefault="001A237F" w:rsidP="00EE2387">
            <w:pPr>
              <w:spacing w:after="0" w:line="259" w:lineRule="auto"/>
              <w:ind w:left="2"/>
            </w:pPr>
            <w:r>
              <w:t xml:space="preserve">Total number of contacts identified </w:t>
            </w:r>
          </w:p>
        </w:tc>
        <w:tc>
          <w:tcPr>
            <w:tcW w:w="1198" w:type="dxa"/>
            <w:tcBorders>
              <w:top w:val="single" w:sz="4" w:space="0" w:color="000000"/>
              <w:left w:val="single" w:sz="4" w:space="0" w:color="000000"/>
              <w:bottom w:val="dashed" w:sz="4" w:space="0" w:color="000000"/>
              <w:right w:val="single" w:sz="4" w:space="0" w:color="000000"/>
            </w:tcBorders>
          </w:tcPr>
          <w:p w14:paraId="1BAB03BE" w14:textId="77777777" w:rsidR="001A237F" w:rsidRDefault="001A237F" w:rsidP="00EE2387">
            <w:pPr>
              <w:spacing w:after="0" w:line="259" w:lineRule="auto"/>
            </w:pPr>
            <w:r>
              <w:t xml:space="preserve"> </w:t>
            </w:r>
          </w:p>
        </w:tc>
        <w:tc>
          <w:tcPr>
            <w:tcW w:w="1198" w:type="dxa"/>
            <w:tcBorders>
              <w:top w:val="single" w:sz="4" w:space="0" w:color="000000"/>
              <w:left w:val="single" w:sz="4" w:space="0" w:color="000000"/>
              <w:bottom w:val="dashed" w:sz="4" w:space="0" w:color="000000"/>
              <w:right w:val="single" w:sz="4" w:space="0" w:color="000000"/>
            </w:tcBorders>
          </w:tcPr>
          <w:p w14:paraId="0ABB5868" w14:textId="77777777" w:rsidR="001A237F" w:rsidRDefault="001A237F" w:rsidP="00EE2387">
            <w:pPr>
              <w:spacing w:after="0" w:line="259" w:lineRule="auto"/>
              <w:ind w:left="2"/>
            </w:pPr>
            <w:r>
              <w:t xml:space="preserve"> </w:t>
            </w:r>
          </w:p>
        </w:tc>
        <w:tc>
          <w:tcPr>
            <w:tcW w:w="1196" w:type="dxa"/>
            <w:tcBorders>
              <w:top w:val="single" w:sz="4" w:space="0" w:color="000000"/>
              <w:left w:val="single" w:sz="4" w:space="0" w:color="000000"/>
              <w:bottom w:val="dashed" w:sz="4" w:space="0" w:color="000000"/>
              <w:right w:val="single" w:sz="4" w:space="0" w:color="000000"/>
            </w:tcBorders>
          </w:tcPr>
          <w:p w14:paraId="503B5317" w14:textId="77777777" w:rsidR="001A237F" w:rsidRDefault="001A237F" w:rsidP="00EE2387">
            <w:pPr>
              <w:spacing w:after="0" w:line="259" w:lineRule="auto"/>
            </w:pPr>
            <w:r>
              <w:t xml:space="preserve"> </w:t>
            </w:r>
          </w:p>
        </w:tc>
      </w:tr>
      <w:tr w:rsidR="001A237F" w14:paraId="1336AC74"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133CF5AD" w14:textId="77777777" w:rsidR="001A237F" w:rsidRDefault="001A237F" w:rsidP="00EE2387">
            <w:pPr>
              <w:spacing w:after="0" w:line="259" w:lineRule="auto"/>
              <w:ind w:left="2"/>
            </w:pPr>
            <w:r>
              <w:t xml:space="preserve">Number who did not attend or complete screening </w:t>
            </w:r>
          </w:p>
        </w:tc>
        <w:tc>
          <w:tcPr>
            <w:tcW w:w="1198" w:type="dxa"/>
            <w:tcBorders>
              <w:top w:val="dashed" w:sz="4" w:space="0" w:color="000000"/>
              <w:left w:val="single" w:sz="4" w:space="0" w:color="000000"/>
              <w:bottom w:val="dashed" w:sz="4" w:space="0" w:color="000000"/>
              <w:right w:val="single" w:sz="4" w:space="0" w:color="000000"/>
            </w:tcBorders>
          </w:tcPr>
          <w:p w14:paraId="24A9A226"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1ABE5D67"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14120AD8" w14:textId="77777777" w:rsidR="001A237F" w:rsidRDefault="001A237F" w:rsidP="00EE2387">
            <w:pPr>
              <w:spacing w:after="0" w:line="259" w:lineRule="auto"/>
            </w:pPr>
            <w:r>
              <w:t xml:space="preserve"> </w:t>
            </w:r>
          </w:p>
        </w:tc>
      </w:tr>
      <w:tr w:rsidR="001A237F" w14:paraId="4BB02166"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3382A985" w14:textId="77777777" w:rsidR="001A237F" w:rsidRDefault="001A237F" w:rsidP="00EE2387">
            <w:pPr>
              <w:spacing w:after="0" w:line="259" w:lineRule="auto"/>
              <w:ind w:left="2"/>
            </w:pPr>
            <w:r>
              <w:t xml:space="preserve">Number screened </w:t>
            </w:r>
          </w:p>
        </w:tc>
        <w:tc>
          <w:tcPr>
            <w:tcW w:w="1198" w:type="dxa"/>
            <w:tcBorders>
              <w:top w:val="dashed" w:sz="4" w:space="0" w:color="000000"/>
              <w:left w:val="single" w:sz="4" w:space="0" w:color="000000"/>
              <w:bottom w:val="dashed" w:sz="4" w:space="0" w:color="000000"/>
              <w:right w:val="single" w:sz="4" w:space="0" w:color="000000"/>
            </w:tcBorders>
          </w:tcPr>
          <w:p w14:paraId="36AE22D1"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517A7B0D"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62CF745E" w14:textId="77777777" w:rsidR="001A237F" w:rsidRDefault="001A237F" w:rsidP="00EE2387">
            <w:pPr>
              <w:spacing w:after="0" w:line="259" w:lineRule="auto"/>
            </w:pPr>
            <w:r>
              <w:t xml:space="preserve"> </w:t>
            </w:r>
          </w:p>
        </w:tc>
      </w:tr>
      <w:tr w:rsidR="001A237F" w14:paraId="30830A7B"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3EFE2B6F" w14:textId="77777777" w:rsidR="001A237F" w:rsidRDefault="001A237F" w:rsidP="00EE2387">
            <w:pPr>
              <w:spacing w:after="0" w:line="259" w:lineRule="auto"/>
              <w:ind w:left="2"/>
            </w:pPr>
            <w:r>
              <w:t xml:space="preserve">Number TST and/or QFN positive at initial screen </w:t>
            </w:r>
          </w:p>
        </w:tc>
        <w:tc>
          <w:tcPr>
            <w:tcW w:w="1198" w:type="dxa"/>
            <w:tcBorders>
              <w:top w:val="dashed" w:sz="4" w:space="0" w:color="000000"/>
              <w:left w:val="single" w:sz="4" w:space="0" w:color="000000"/>
              <w:bottom w:val="dashed" w:sz="4" w:space="0" w:color="000000"/>
              <w:right w:val="single" w:sz="4" w:space="0" w:color="000000"/>
            </w:tcBorders>
          </w:tcPr>
          <w:p w14:paraId="37D511F3"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041E5BD7"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1BB6024D" w14:textId="77777777" w:rsidR="001A237F" w:rsidRDefault="001A237F" w:rsidP="00EE2387">
            <w:pPr>
              <w:spacing w:after="0" w:line="259" w:lineRule="auto"/>
            </w:pPr>
            <w:r>
              <w:t xml:space="preserve"> </w:t>
            </w:r>
          </w:p>
        </w:tc>
      </w:tr>
      <w:tr w:rsidR="001A237F" w14:paraId="2CF3E0B5" w14:textId="77777777" w:rsidTr="00EE2387">
        <w:trPr>
          <w:trHeight w:val="361"/>
        </w:trPr>
        <w:tc>
          <w:tcPr>
            <w:tcW w:w="6798" w:type="dxa"/>
            <w:tcBorders>
              <w:top w:val="dashed" w:sz="4" w:space="0" w:color="000000"/>
              <w:left w:val="single" w:sz="4" w:space="0" w:color="000000"/>
              <w:bottom w:val="dashed" w:sz="4" w:space="0" w:color="000000"/>
              <w:right w:val="single" w:sz="4" w:space="0" w:color="000000"/>
            </w:tcBorders>
          </w:tcPr>
          <w:p w14:paraId="2E35E79A" w14:textId="77777777" w:rsidR="001A237F" w:rsidRDefault="001A237F" w:rsidP="00EE2387">
            <w:pPr>
              <w:spacing w:after="0" w:line="259" w:lineRule="auto"/>
              <w:ind w:left="2"/>
            </w:pPr>
            <w:r>
              <w:t xml:space="preserve">Number with TB screening test conversion </w:t>
            </w:r>
          </w:p>
        </w:tc>
        <w:tc>
          <w:tcPr>
            <w:tcW w:w="1198" w:type="dxa"/>
            <w:tcBorders>
              <w:top w:val="dashed" w:sz="4" w:space="0" w:color="000000"/>
              <w:left w:val="single" w:sz="4" w:space="0" w:color="000000"/>
              <w:bottom w:val="dashed" w:sz="4" w:space="0" w:color="000000"/>
              <w:right w:val="single" w:sz="4" w:space="0" w:color="000000"/>
            </w:tcBorders>
          </w:tcPr>
          <w:p w14:paraId="6502CD65"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378E7C5A"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7045484F" w14:textId="77777777" w:rsidR="001A237F" w:rsidRDefault="001A237F" w:rsidP="00EE2387">
            <w:pPr>
              <w:spacing w:after="0" w:line="259" w:lineRule="auto"/>
            </w:pPr>
            <w:r>
              <w:t xml:space="preserve"> </w:t>
            </w:r>
          </w:p>
        </w:tc>
      </w:tr>
      <w:tr w:rsidR="001A237F" w14:paraId="19774191"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230049B6" w14:textId="77777777" w:rsidR="001A237F" w:rsidRDefault="001A237F" w:rsidP="00EE2387">
            <w:pPr>
              <w:spacing w:after="0" w:line="259" w:lineRule="auto"/>
              <w:ind w:left="2"/>
            </w:pPr>
            <w:r>
              <w:t xml:space="preserve">Number recommended for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5D18894E"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11586C66"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08435096" w14:textId="77777777" w:rsidR="001A237F" w:rsidRDefault="001A237F" w:rsidP="00EE2387">
            <w:pPr>
              <w:spacing w:after="0" w:line="259" w:lineRule="auto"/>
            </w:pPr>
            <w:r>
              <w:t xml:space="preserve"> </w:t>
            </w:r>
          </w:p>
        </w:tc>
      </w:tr>
      <w:tr w:rsidR="001A237F" w14:paraId="2BFEFF1C"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0F1B1E90" w14:textId="77777777" w:rsidR="001A237F" w:rsidRDefault="001A237F" w:rsidP="00EE2387">
            <w:pPr>
              <w:spacing w:after="0" w:line="259" w:lineRule="auto"/>
              <w:ind w:left="2"/>
            </w:pPr>
            <w:r>
              <w:t xml:space="preserve">Number commenced on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1E702759"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4FA23B2D"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1DC50FE1" w14:textId="77777777" w:rsidR="001A237F" w:rsidRDefault="001A237F" w:rsidP="00EE2387">
            <w:pPr>
              <w:spacing w:after="0" w:line="259" w:lineRule="auto"/>
            </w:pPr>
            <w:r>
              <w:t xml:space="preserve"> </w:t>
            </w:r>
          </w:p>
        </w:tc>
      </w:tr>
      <w:tr w:rsidR="001A237F" w14:paraId="6B3ECDD9"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708D9CE0" w14:textId="77777777" w:rsidR="001A237F" w:rsidRDefault="001A237F" w:rsidP="00EE2387">
            <w:pPr>
              <w:spacing w:after="0" w:line="259" w:lineRule="auto"/>
              <w:ind w:left="2"/>
            </w:pPr>
            <w:r>
              <w:t xml:space="preserve">Number aged under 5 years commenced on preventative treatment </w:t>
            </w:r>
          </w:p>
        </w:tc>
        <w:tc>
          <w:tcPr>
            <w:tcW w:w="1198" w:type="dxa"/>
            <w:tcBorders>
              <w:top w:val="dashed" w:sz="4" w:space="0" w:color="000000"/>
              <w:left w:val="single" w:sz="4" w:space="0" w:color="000000"/>
              <w:bottom w:val="dashed" w:sz="4" w:space="0" w:color="000000"/>
              <w:right w:val="single" w:sz="4" w:space="0" w:color="000000"/>
            </w:tcBorders>
          </w:tcPr>
          <w:p w14:paraId="03C83710"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32F513B1"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7F012D96" w14:textId="77777777" w:rsidR="001A237F" w:rsidRDefault="001A237F" w:rsidP="00EE2387">
            <w:pPr>
              <w:spacing w:after="0" w:line="259" w:lineRule="auto"/>
            </w:pPr>
            <w:r>
              <w:t xml:space="preserve"> </w:t>
            </w:r>
          </w:p>
        </w:tc>
      </w:tr>
      <w:tr w:rsidR="001A237F" w14:paraId="59BD6DA9" w14:textId="77777777" w:rsidTr="00EE2387">
        <w:trPr>
          <w:trHeight w:val="358"/>
        </w:trPr>
        <w:tc>
          <w:tcPr>
            <w:tcW w:w="6798" w:type="dxa"/>
            <w:tcBorders>
              <w:top w:val="dashed" w:sz="4" w:space="0" w:color="000000"/>
              <w:left w:val="single" w:sz="4" w:space="0" w:color="000000"/>
              <w:bottom w:val="dashed" w:sz="4" w:space="0" w:color="000000"/>
              <w:right w:val="single" w:sz="4" w:space="0" w:color="000000"/>
            </w:tcBorders>
          </w:tcPr>
          <w:p w14:paraId="636BEF7F" w14:textId="77777777" w:rsidR="001A237F" w:rsidRDefault="001A237F" w:rsidP="00EE2387">
            <w:pPr>
              <w:spacing w:after="0" w:line="259" w:lineRule="auto"/>
              <w:ind w:left="2"/>
            </w:pPr>
            <w:r>
              <w:t xml:space="preserve">Number with active TB </w:t>
            </w:r>
          </w:p>
        </w:tc>
        <w:tc>
          <w:tcPr>
            <w:tcW w:w="1198" w:type="dxa"/>
            <w:tcBorders>
              <w:top w:val="dashed" w:sz="4" w:space="0" w:color="000000"/>
              <w:left w:val="single" w:sz="4" w:space="0" w:color="000000"/>
              <w:bottom w:val="dashed" w:sz="4" w:space="0" w:color="000000"/>
              <w:right w:val="single" w:sz="4" w:space="0" w:color="000000"/>
            </w:tcBorders>
          </w:tcPr>
          <w:p w14:paraId="3ECFCA1B"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44894806"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619CDC54" w14:textId="77777777" w:rsidR="001A237F" w:rsidRDefault="001A237F" w:rsidP="00EE2387">
            <w:pPr>
              <w:spacing w:after="0" w:line="259" w:lineRule="auto"/>
            </w:pPr>
            <w:r>
              <w:t xml:space="preserve"> </w:t>
            </w:r>
          </w:p>
        </w:tc>
      </w:tr>
      <w:tr w:rsidR="001A237F" w14:paraId="369DA8A4" w14:textId="77777777" w:rsidTr="00EE2387">
        <w:trPr>
          <w:trHeight w:val="360"/>
        </w:trPr>
        <w:tc>
          <w:tcPr>
            <w:tcW w:w="6798" w:type="dxa"/>
            <w:tcBorders>
              <w:top w:val="dashed" w:sz="4" w:space="0" w:color="000000"/>
              <w:left w:val="single" w:sz="4" w:space="0" w:color="000000"/>
              <w:bottom w:val="dashed" w:sz="4" w:space="0" w:color="000000"/>
              <w:right w:val="single" w:sz="4" w:space="0" w:color="000000"/>
            </w:tcBorders>
          </w:tcPr>
          <w:p w14:paraId="5324E2DB" w14:textId="77777777" w:rsidR="001A237F" w:rsidRDefault="001A237F" w:rsidP="00EE2387">
            <w:pPr>
              <w:spacing w:after="0" w:line="259" w:lineRule="auto"/>
              <w:ind w:left="2"/>
            </w:pPr>
            <w:r>
              <w:t>Number still undergoing review (</w:t>
            </w:r>
            <w:proofErr w:type="spellStart"/>
            <w:r>
              <w:t>eg</w:t>
            </w:r>
            <w:proofErr w:type="spellEnd"/>
            <w:r>
              <w:t xml:space="preserve"> serial X-rays) </w:t>
            </w:r>
          </w:p>
        </w:tc>
        <w:tc>
          <w:tcPr>
            <w:tcW w:w="1198" w:type="dxa"/>
            <w:tcBorders>
              <w:top w:val="dashed" w:sz="4" w:space="0" w:color="000000"/>
              <w:left w:val="single" w:sz="4" w:space="0" w:color="000000"/>
              <w:bottom w:val="dashed" w:sz="4" w:space="0" w:color="000000"/>
              <w:right w:val="single" w:sz="4" w:space="0" w:color="000000"/>
            </w:tcBorders>
          </w:tcPr>
          <w:p w14:paraId="491FCC11"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dashed" w:sz="4" w:space="0" w:color="000000"/>
              <w:right w:val="single" w:sz="4" w:space="0" w:color="000000"/>
            </w:tcBorders>
          </w:tcPr>
          <w:p w14:paraId="63E48037"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dashed" w:sz="4" w:space="0" w:color="000000"/>
              <w:right w:val="single" w:sz="4" w:space="0" w:color="000000"/>
            </w:tcBorders>
          </w:tcPr>
          <w:p w14:paraId="5017A83A" w14:textId="77777777" w:rsidR="001A237F" w:rsidRDefault="001A237F" w:rsidP="00EE2387">
            <w:pPr>
              <w:spacing w:after="0" w:line="259" w:lineRule="auto"/>
            </w:pPr>
            <w:r>
              <w:t xml:space="preserve"> </w:t>
            </w:r>
          </w:p>
        </w:tc>
      </w:tr>
      <w:tr w:rsidR="001A237F" w14:paraId="2C55DD95" w14:textId="77777777" w:rsidTr="00EE2387">
        <w:trPr>
          <w:trHeight w:val="358"/>
        </w:trPr>
        <w:tc>
          <w:tcPr>
            <w:tcW w:w="6798" w:type="dxa"/>
            <w:tcBorders>
              <w:top w:val="dashed" w:sz="4" w:space="0" w:color="000000"/>
              <w:left w:val="single" w:sz="4" w:space="0" w:color="000000"/>
              <w:bottom w:val="single" w:sz="4" w:space="0" w:color="000000"/>
              <w:right w:val="single" w:sz="4" w:space="0" w:color="000000"/>
            </w:tcBorders>
          </w:tcPr>
          <w:p w14:paraId="595B60D0" w14:textId="77777777" w:rsidR="001A237F" w:rsidRDefault="001A237F" w:rsidP="00EE2387">
            <w:pPr>
              <w:spacing w:after="0" w:line="259" w:lineRule="auto"/>
              <w:ind w:left="2"/>
            </w:pPr>
            <w:r>
              <w:t xml:space="preserve">Number negative on completion of screening </w:t>
            </w:r>
          </w:p>
        </w:tc>
        <w:tc>
          <w:tcPr>
            <w:tcW w:w="1198" w:type="dxa"/>
            <w:tcBorders>
              <w:top w:val="dashed" w:sz="4" w:space="0" w:color="000000"/>
              <w:left w:val="single" w:sz="4" w:space="0" w:color="000000"/>
              <w:bottom w:val="single" w:sz="4" w:space="0" w:color="000000"/>
              <w:right w:val="single" w:sz="4" w:space="0" w:color="000000"/>
            </w:tcBorders>
          </w:tcPr>
          <w:p w14:paraId="219DDF1C" w14:textId="77777777" w:rsidR="001A237F" w:rsidRDefault="001A237F" w:rsidP="00EE2387">
            <w:pPr>
              <w:spacing w:after="0" w:line="259" w:lineRule="auto"/>
            </w:pPr>
            <w:r>
              <w:t xml:space="preserve"> </w:t>
            </w:r>
          </w:p>
        </w:tc>
        <w:tc>
          <w:tcPr>
            <w:tcW w:w="1198" w:type="dxa"/>
            <w:tcBorders>
              <w:top w:val="dashed" w:sz="4" w:space="0" w:color="000000"/>
              <w:left w:val="single" w:sz="4" w:space="0" w:color="000000"/>
              <w:bottom w:val="single" w:sz="4" w:space="0" w:color="000000"/>
              <w:right w:val="single" w:sz="4" w:space="0" w:color="000000"/>
            </w:tcBorders>
          </w:tcPr>
          <w:p w14:paraId="4084FCF4" w14:textId="77777777" w:rsidR="001A237F" w:rsidRDefault="001A237F" w:rsidP="00EE2387">
            <w:pPr>
              <w:spacing w:after="0" w:line="259" w:lineRule="auto"/>
              <w:ind w:left="2"/>
            </w:pPr>
            <w:r>
              <w:t xml:space="preserve"> </w:t>
            </w:r>
          </w:p>
        </w:tc>
        <w:tc>
          <w:tcPr>
            <w:tcW w:w="1196" w:type="dxa"/>
            <w:tcBorders>
              <w:top w:val="dashed" w:sz="4" w:space="0" w:color="000000"/>
              <w:left w:val="single" w:sz="4" w:space="0" w:color="000000"/>
              <w:bottom w:val="single" w:sz="4" w:space="0" w:color="000000"/>
              <w:right w:val="single" w:sz="4" w:space="0" w:color="000000"/>
            </w:tcBorders>
          </w:tcPr>
          <w:p w14:paraId="48E8F6EE" w14:textId="77777777" w:rsidR="001A237F" w:rsidRDefault="001A237F" w:rsidP="00EE2387">
            <w:pPr>
              <w:spacing w:after="0" w:line="259" w:lineRule="auto"/>
            </w:pPr>
            <w:r>
              <w:t xml:space="preserve"> </w:t>
            </w:r>
          </w:p>
        </w:tc>
      </w:tr>
    </w:tbl>
    <w:p w14:paraId="75225DCA" w14:textId="77777777" w:rsidR="001A237F" w:rsidRDefault="001A237F" w:rsidP="001A237F">
      <w:pPr>
        <w:spacing w:after="19" w:line="259" w:lineRule="auto"/>
        <w:ind w:left="283"/>
      </w:pPr>
      <w:r>
        <w:rPr>
          <w:rFonts w:ascii="Calibri" w:hAnsi="Calibri" w:cs="Calibri"/>
          <w:b/>
        </w:rPr>
        <w:t xml:space="preserve"> </w:t>
      </w:r>
    </w:p>
    <w:p w14:paraId="42750538" w14:textId="77777777" w:rsidR="001A237F" w:rsidRDefault="001A237F" w:rsidP="001A237F">
      <w:pPr>
        <w:pStyle w:val="Heading3"/>
        <w:spacing w:after="187"/>
        <w:ind w:left="278"/>
      </w:pPr>
      <w:r>
        <w:t xml:space="preserve">Form completed by  Name_________________________ Signature ____________________  Date ____/____/________ </w:t>
      </w:r>
    </w:p>
    <w:p w14:paraId="1E56127B" w14:textId="46282E9E" w:rsidR="001A237F" w:rsidRDefault="001A237F" w:rsidP="001A237F">
      <w:pPr>
        <w:spacing w:after="118" w:line="259" w:lineRule="auto"/>
        <w:ind w:left="50"/>
        <w:jc w:val="center"/>
      </w:pPr>
    </w:p>
    <w:p w14:paraId="076A6AFD" w14:textId="77777777" w:rsidR="004C411C" w:rsidRDefault="004C411C">
      <w:pPr>
        <w:spacing w:before="0" w:after="0" w:line="240" w:lineRule="auto"/>
        <w:rPr>
          <w:sz w:val="22"/>
          <w:szCs w:val="22"/>
        </w:rPr>
      </w:pPr>
      <w:r>
        <w:rPr>
          <w:sz w:val="22"/>
          <w:szCs w:val="22"/>
        </w:rPr>
        <w:br w:type="page"/>
      </w:r>
    </w:p>
    <w:p w14:paraId="192D4850" w14:textId="77777777" w:rsidR="00E65BCB" w:rsidRDefault="00E65BCB" w:rsidP="004C411C">
      <w:pPr>
        <w:pStyle w:val="Heading4"/>
        <w:sectPr w:rsidR="00E65BCB" w:rsidSect="001A237F">
          <w:headerReference w:type="default" r:id="rId29"/>
          <w:footerReference w:type="default" r:id="rId30"/>
          <w:pgSz w:w="11906" w:h="16838"/>
          <w:pgMar w:top="720" w:right="720" w:bottom="720" w:left="720" w:header="426" w:footer="105" w:gutter="0"/>
          <w:cols w:space="708"/>
          <w:docGrid w:linePitch="360"/>
        </w:sectPr>
      </w:pPr>
    </w:p>
    <w:p w14:paraId="205FC08D" w14:textId="5A13B1D8" w:rsidR="004C411C" w:rsidRDefault="004C411C" w:rsidP="004C411C">
      <w:pPr>
        <w:pStyle w:val="Heading4"/>
      </w:pPr>
      <w:bookmarkStart w:id="46" w:name="_Toc193105518"/>
      <w:r>
        <w:lastRenderedPageBreak/>
        <w:t>Attachment 2 – Summary of Contact Tracing Activity for a Confirmed TB Case</w:t>
      </w:r>
      <w:bookmarkEnd w:id="46"/>
    </w:p>
    <w:p w14:paraId="0BC7F3B6" w14:textId="27C793F4" w:rsidR="004C411C" w:rsidRPr="004C411C" w:rsidRDefault="004C411C" w:rsidP="00F51002">
      <w:pPr>
        <w:pStyle w:val="BodyCopy"/>
        <w:spacing w:before="0" w:after="120"/>
      </w:pPr>
      <w:r>
        <w:t>R</w:t>
      </w:r>
      <w:r w:rsidRPr="00812166">
        <w:t>eporting period: XX/XX/XXXX – XX/XX/XXXX</w:t>
      </w:r>
      <w:r w:rsidR="00F51002">
        <w:tab/>
      </w:r>
      <w:r w:rsidR="00F51002">
        <w:tab/>
      </w:r>
      <w:r>
        <w:t xml:space="preserve">Index case </w:t>
      </w:r>
      <w:r w:rsidRPr="0019264F">
        <w:t>(first 2 letters of first and surname)</w:t>
      </w:r>
      <w:r>
        <w:t xml:space="preserve">: </w:t>
      </w:r>
      <w:proofErr w:type="spellStart"/>
      <w:r>
        <w:t>Xx</w:t>
      </w:r>
      <w:proofErr w:type="spellEnd"/>
      <w:r>
        <w:t xml:space="preserve"> </w:t>
      </w:r>
      <w:proofErr w:type="spellStart"/>
      <w:r>
        <w:t>Xx</w:t>
      </w:r>
      <w:proofErr w:type="spellEnd"/>
      <w:r>
        <w:t>, DOB: XX/XX/XXXX</w:t>
      </w:r>
    </w:p>
    <w:p w14:paraId="10DD37AE" w14:textId="27614848" w:rsidR="004C411C" w:rsidRDefault="004C411C" w:rsidP="00F51002">
      <w:pPr>
        <w:pStyle w:val="BodyCopy"/>
        <w:spacing w:before="0" w:after="0"/>
      </w:pPr>
      <w:r>
        <w:t>CHS</w:t>
      </w:r>
      <w:r w:rsidR="00F51002">
        <w:t xml:space="preserve"> </w:t>
      </w:r>
      <w:r>
        <w:t xml:space="preserve">Department of Respiratory &amp; Sleep Medicine  </w:t>
      </w:r>
    </w:p>
    <w:p w14:paraId="11ADC849" w14:textId="77777777" w:rsidR="004C411C" w:rsidRDefault="004C411C" w:rsidP="00F51002">
      <w:pPr>
        <w:pStyle w:val="BodyCopy"/>
        <w:spacing w:before="0" w:after="0"/>
      </w:pPr>
      <w:r>
        <w:t xml:space="preserve">Contact person: </w:t>
      </w:r>
    </w:p>
    <w:p w14:paraId="52E9433A" w14:textId="77777777" w:rsidR="004C411C" w:rsidRDefault="004C411C" w:rsidP="00F51002">
      <w:pPr>
        <w:pStyle w:val="BodyCopy"/>
        <w:spacing w:before="0" w:after="0"/>
      </w:pPr>
      <w:r>
        <w:t>Tel:</w:t>
      </w:r>
    </w:p>
    <w:p w14:paraId="59C4F670" w14:textId="77777777" w:rsidR="004C411C" w:rsidRDefault="004C411C" w:rsidP="00F51002">
      <w:pPr>
        <w:pStyle w:val="BodyCopy"/>
        <w:spacing w:before="0" w:after="0"/>
      </w:pPr>
      <w:r>
        <w:t>Email:</w:t>
      </w:r>
    </w:p>
    <w:tbl>
      <w:tblPr>
        <w:tblpPr w:leftFromText="180" w:rightFromText="180" w:vertAnchor="text" w:horzAnchor="margin" w:tblpXSpec="center" w:tblpY="206"/>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709"/>
        <w:gridCol w:w="1559"/>
        <w:gridCol w:w="2693"/>
        <w:gridCol w:w="520"/>
        <w:gridCol w:w="676"/>
        <w:gridCol w:w="599"/>
        <w:gridCol w:w="757"/>
        <w:gridCol w:w="615"/>
        <w:gridCol w:w="944"/>
        <w:gridCol w:w="4111"/>
      </w:tblGrid>
      <w:tr w:rsidR="004C411C" w:rsidRPr="00EC18BB" w14:paraId="1EED9A99" w14:textId="77777777" w:rsidTr="00DE769A">
        <w:trPr>
          <w:trHeight w:val="1657"/>
        </w:trPr>
        <w:tc>
          <w:tcPr>
            <w:tcW w:w="1668" w:type="dxa"/>
          </w:tcPr>
          <w:p w14:paraId="4D6747DB" w14:textId="78EC3050" w:rsidR="001A237F" w:rsidRPr="00F51002" w:rsidRDefault="001A237F" w:rsidP="00F51002">
            <w:pPr>
              <w:spacing w:before="0" w:after="0"/>
              <w:rPr>
                <w:rFonts w:asciiTheme="minorHAnsi" w:eastAsiaTheme="minorHAnsi" w:hAnsiTheme="minorHAnsi" w:cstheme="minorBidi"/>
                <w:b/>
                <w:iCs/>
                <w:sz w:val="20"/>
                <w:szCs w:val="20"/>
              </w:rPr>
            </w:pPr>
            <w:proofErr w:type="spellStart"/>
            <w:r>
              <w:rPr>
                <w:rFonts w:asciiTheme="minorHAnsi" w:eastAsiaTheme="minorHAnsi" w:hAnsiTheme="minorHAnsi" w:cstheme="minorBidi"/>
                <w:b/>
                <w:iCs/>
                <w:sz w:val="20"/>
                <w:szCs w:val="20"/>
              </w:rPr>
              <w:t>RedCap</w:t>
            </w:r>
            <w:proofErr w:type="spellEnd"/>
            <w:r>
              <w:rPr>
                <w:rFonts w:asciiTheme="minorHAnsi" w:eastAsiaTheme="minorHAnsi" w:hAnsiTheme="minorHAnsi" w:cstheme="minorBidi"/>
                <w:b/>
                <w:iCs/>
                <w:sz w:val="20"/>
                <w:szCs w:val="20"/>
              </w:rPr>
              <w:t xml:space="preserve"> Unique Identifier</w:t>
            </w:r>
          </w:p>
        </w:tc>
        <w:tc>
          <w:tcPr>
            <w:tcW w:w="1417" w:type="dxa"/>
          </w:tcPr>
          <w:p w14:paraId="0E3C84CA" w14:textId="31DD6ABC"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DOB</w:t>
            </w:r>
          </w:p>
          <w:p w14:paraId="42BEDFE5"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dd/mm/</w:t>
            </w:r>
            <w:proofErr w:type="spellStart"/>
            <w:r w:rsidRPr="00F51002">
              <w:rPr>
                <w:rFonts w:asciiTheme="minorHAnsi" w:eastAsiaTheme="minorHAnsi" w:hAnsiTheme="minorHAnsi" w:cstheme="minorBidi"/>
                <w:b/>
                <w:iCs/>
                <w:sz w:val="20"/>
                <w:szCs w:val="20"/>
              </w:rPr>
              <w:t>yyyy</w:t>
            </w:r>
            <w:proofErr w:type="spellEnd"/>
          </w:p>
        </w:tc>
        <w:tc>
          <w:tcPr>
            <w:tcW w:w="709" w:type="dxa"/>
          </w:tcPr>
          <w:p w14:paraId="2FA03BF8"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Sex</w:t>
            </w:r>
          </w:p>
          <w:p w14:paraId="31296286"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M/F</w:t>
            </w:r>
          </w:p>
        </w:tc>
        <w:tc>
          <w:tcPr>
            <w:tcW w:w="1559" w:type="dxa"/>
          </w:tcPr>
          <w:p w14:paraId="1BB588D2" w14:textId="0B24A558"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Category of risk for contact</w:t>
            </w:r>
            <w:r w:rsidR="00F51002">
              <w:rPr>
                <w:rFonts w:asciiTheme="minorHAnsi" w:eastAsiaTheme="minorHAnsi" w:hAnsiTheme="minorHAnsi" w:cstheme="minorBidi"/>
                <w:b/>
                <w:iCs/>
                <w:sz w:val="20"/>
                <w:szCs w:val="20"/>
              </w:rPr>
              <w:t>:</w:t>
            </w:r>
          </w:p>
          <w:p w14:paraId="1E4EA779"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High = H</w:t>
            </w:r>
          </w:p>
          <w:p w14:paraId="4A7B95DD"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Medium = M</w:t>
            </w:r>
          </w:p>
          <w:p w14:paraId="02310F03"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Low = L</w:t>
            </w:r>
          </w:p>
        </w:tc>
        <w:tc>
          <w:tcPr>
            <w:tcW w:w="2693" w:type="dxa"/>
          </w:tcPr>
          <w:p w14:paraId="2F19A3C2" w14:textId="17E7DC64"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Contact Setting</w:t>
            </w:r>
            <w:r w:rsidR="00F51002">
              <w:rPr>
                <w:rFonts w:asciiTheme="minorHAnsi" w:eastAsiaTheme="minorHAnsi" w:hAnsiTheme="minorHAnsi" w:cstheme="minorBidi"/>
                <w:b/>
                <w:iCs/>
                <w:sz w:val="20"/>
                <w:szCs w:val="20"/>
              </w:rPr>
              <w:t>:</w:t>
            </w:r>
          </w:p>
          <w:p w14:paraId="05AC0FC4"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 xml:space="preserve">Household = 1 </w:t>
            </w:r>
          </w:p>
          <w:p w14:paraId="34E584DB"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Close friend/relatives= 2</w:t>
            </w:r>
          </w:p>
          <w:p w14:paraId="6426974E"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Workplace = 3</w:t>
            </w:r>
          </w:p>
          <w:p w14:paraId="37876BB2"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School = 4</w:t>
            </w:r>
          </w:p>
          <w:p w14:paraId="613B55C4"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Other = 5 (describe)</w:t>
            </w:r>
          </w:p>
        </w:tc>
        <w:tc>
          <w:tcPr>
            <w:tcW w:w="2552" w:type="dxa"/>
            <w:gridSpan w:val="4"/>
            <w:tcBorders>
              <w:bottom w:val="single" w:sz="4" w:space="0" w:color="auto"/>
            </w:tcBorders>
          </w:tcPr>
          <w:p w14:paraId="3C5632B2" w14:textId="34FE9D61"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 xml:space="preserve">Screening status </w:t>
            </w:r>
            <w:r w:rsidR="00F51002">
              <w:rPr>
                <w:rFonts w:asciiTheme="minorHAnsi" w:eastAsiaTheme="minorHAnsi" w:hAnsiTheme="minorHAnsi" w:cstheme="minorBidi"/>
                <w:b/>
                <w:iCs/>
                <w:sz w:val="20"/>
                <w:szCs w:val="20"/>
              </w:rPr>
              <w:t>:</w:t>
            </w:r>
          </w:p>
          <w:p w14:paraId="51E39F1E"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Not yet commenced = 1</w:t>
            </w:r>
          </w:p>
          <w:p w14:paraId="245C348A"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In progress = 2</w:t>
            </w:r>
          </w:p>
          <w:p w14:paraId="00586888"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Completed = 3</w:t>
            </w:r>
          </w:p>
          <w:p w14:paraId="5AAEC714" w14:textId="77777777" w:rsidR="004C411C" w:rsidRPr="00F51002" w:rsidRDefault="004C411C" w:rsidP="00F51002">
            <w:pPr>
              <w:spacing w:before="0" w:after="0"/>
              <w:rPr>
                <w:rFonts w:asciiTheme="minorHAnsi" w:eastAsiaTheme="minorHAnsi" w:hAnsiTheme="minorHAnsi" w:cstheme="minorBidi"/>
                <w:b/>
                <w:iCs/>
                <w:sz w:val="20"/>
                <w:szCs w:val="20"/>
              </w:rPr>
            </w:pPr>
          </w:p>
        </w:tc>
        <w:tc>
          <w:tcPr>
            <w:tcW w:w="1559" w:type="dxa"/>
            <w:gridSpan w:val="2"/>
          </w:tcPr>
          <w:p w14:paraId="7E182168" w14:textId="26E85CCB"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Test Results</w:t>
            </w:r>
            <w:r w:rsidR="00F51002">
              <w:rPr>
                <w:rFonts w:asciiTheme="minorHAnsi" w:eastAsiaTheme="minorHAnsi" w:hAnsiTheme="minorHAnsi" w:cstheme="minorBidi"/>
                <w:b/>
                <w:iCs/>
                <w:sz w:val="20"/>
                <w:szCs w:val="20"/>
              </w:rPr>
              <w:t>:</w:t>
            </w:r>
          </w:p>
          <w:p w14:paraId="7EC68485"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Active TB = 1</w:t>
            </w:r>
          </w:p>
          <w:p w14:paraId="20D6D855"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Latent TB = 2</w:t>
            </w:r>
          </w:p>
          <w:p w14:paraId="6D35EBA6"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No TB = 3</w:t>
            </w:r>
          </w:p>
        </w:tc>
        <w:tc>
          <w:tcPr>
            <w:tcW w:w="4111" w:type="dxa"/>
          </w:tcPr>
          <w:p w14:paraId="489E370A" w14:textId="6A01629B"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Outcome at screening completion</w:t>
            </w:r>
            <w:r w:rsidR="00F51002">
              <w:rPr>
                <w:rFonts w:asciiTheme="minorHAnsi" w:eastAsiaTheme="minorHAnsi" w:hAnsiTheme="minorHAnsi" w:cstheme="minorBidi"/>
                <w:b/>
                <w:iCs/>
                <w:sz w:val="20"/>
                <w:szCs w:val="20"/>
              </w:rPr>
              <w:t>:</w:t>
            </w:r>
          </w:p>
          <w:p w14:paraId="78B25EA9"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No further action required = 1</w:t>
            </w:r>
          </w:p>
          <w:p w14:paraId="6DE6660A"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Referral Respiratory Physician = 2</w:t>
            </w:r>
          </w:p>
          <w:p w14:paraId="3AE57629"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Treatment commenced = 3</w:t>
            </w:r>
          </w:p>
          <w:p w14:paraId="0FF2C55C" w14:textId="77777777" w:rsidR="004C411C" w:rsidRPr="00F51002" w:rsidRDefault="004C411C" w:rsidP="00F51002">
            <w:pPr>
              <w:spacing w:before="0" w:after="0"/>
              <w:rPr>
                <w:rFonts w:asciiTheme="minorHAnsi" w:eastAsiaTheme="minorHAnsi" w:hAnsiTheme="minorHAnsi" w:cstheme="minorBidi"/>
                <w:b/>
                <w:iCs/>
                <w:sz w:val="20"/>
                <w:szCs w:val="20"/>
              </w:rPr>
            </w:pPr>
            <w:r w:rsidRPr="00F51002">
              <w:rPr>
                <w:rFonts w:asciiTheme="minorHAnsi" w:eastAsiaTheme="minorHAnsi" w:hAnsiTheme="minorHAnsi" w:cstheme="minorBidi"/>
                <w:b/>
                <w:iCs/>
                <w:sz w:val="20"/>
                <w:szCs w:val="20"/>
              </w:rPr>
              <w:t>Ongoing CXR &amp;/or clinical review  = 4</w:t>
            </w:r>
          </w:p>
          <w:p w14:paraId="6F8A1251" w14:textId="77777777" w:rsidR="004C411C" w:rsidRPr="00F51002" w:rsidRDefault="004C411C" w:rsidP="00F51002">
            <w:pPr>
              <w:spacing w:before="0" w:after="0"/>
              <w:rPr>
                <w:rFonts w:asciiTheme="minorHAnsi" w:eastAsiaTheme="minorHAnsi" w:hAnsiTheme="minorHAnsi" w:cstheme="minorBidi"/>
                <w:b/>
                <w:iCs/>
                <w:sz w:val="20"/>
                <w:szCs w:val="20"/>
              </w:rPr>
            </w:pPr>
          </w:p>
        </w:tc>
      </w:tr>
      <w:tr w:rsidR="004C411C" w:rsidRPr="00617E83" w14:paraId="6F2FA144" w14:textId="77777777" w:rsidTr="00452E3C">
        <w:trPr>
          <w:trHeight w:val="340"/>
        </w:trPr>
        <w:tc>
          <w:tcPr>
            <w:tcW w:w="1668" w:type="dxa"/>
          </w:tcPr>
          <w:p w14:paraId="1C50AC16" w14:textId="77777777" w:rsidR="004C411C" w:rsidRPr="00617E83" w:rsidRDefault="004C411C" w:rsidP="00DE769A">
            <w:pPr>
              <w:rPr>
                <w:rFonts w:asciiTheme="minorHAnsi" w:eastAsiaTheme="minorHAnsi" w:hAnsiTheme="minorHAnsi" w:cstheme="minorBidi"/>
              </w:rPr>
            </w:pPr>
          </w:p>
        </w:tc>
        <w:tc>
          <w:tcPr>
            <w:tcW w:w="1417" w:type="dxa"/>
          </w:tcPr>
          <w:p w14:paraId="5DE68CED" w14:textId="77777777" w:rsidR="004C411C" w:rsidRPr="00617E83" w:rsidRDefault="004C411C" w:rsidP="00DE769A">
            <w:pPr>
              <w:rPr>
                <w:rFonts w:asciiTheme="minorHAnsi" w:eastAsiaTheme="minorHAnsi" w:hAnsiTheme="minorHAnsi" w:cstheme="minorBidi"/>
              </w:rPr>
            </w:pPr>
          </w:p>
        </w:tc>
        <w:tc>
          <w:tcPr>
            <w:tcW w:w="709" w:type="dxa"/>
          </w:tcPr>
          <w:p w14:paraId="70B93E21" w14:textId="77777777" w:rsidR="004C411C" w:rsidRPr="00617E83" w:rsidRDefault="004C411C" w:rsidP="00DE769A">
            <w:pPr>
              <w:rPr>
                <w:rFonts w:asciiTheme="minorHAnsi" w:eastAsiaTheme="minorHAnsi" w:hAnsiTheme="minorHAnsi" w:cstheme="minorBidi"/>
              </w:rPr>
            </w:pPr>
          </w:p>
        </w:tc>
        <w:tc>
          <w:tcPr>
            <w:tcW w:w="1559" w:type="dxa"/>
          </w:tcPr>
          <w:p w14:paraId="0D91769F" w14:textId="77777777" w:rsidR="004C411C" w:rsidRPr="00617E83" w:rsidRDefault="004C411C" w:rsidP="00DE769A">
            <w:pPr>
              <w:rPr>
                <w:rFonts w:asciiTheme="minorHAnsi" w:eastAsiaTheme="minorHAnsi" w:hAnsiTheme="minorHAnsi" w:cstheme="minorBidi"/>
              </w:rPr>
            </w:pPr>
          </w:p>
        </w:tc>
        <w:tc>
          <w:tcPr>
            <w:tcW w:w="2693" w:type="dxa"/>
            <w:tcBorders>
              <w:right w:val="single" w:sz="4" w:space="0" w:color="auto"/>
            </w:tcBorders>
          </w:tcPr>
          <w:p w14:paraId="20806457" w14:textId="77777777" w:rsidR="004C411C" w:rsidRPr="00617E83" w:rsidRDefault="004C411C" w:rsidP="00DE769A">
            <w:pPr>
              <w:rPr>
                <w:rFonts w:asciiTheme="minorHAnsi" w:eastAsiaTheme="minorHAnsi" w:hAnsiTheme="minorHAnsi" w:cstheme="minorBidi"/>
              </w:rPr>
            </w:pPr>
          </w:p>
        </w:tc>
        <w:tc>
          <w:tcPr>
            <w:tcW w:w="520" w:type="dxa"/>
            <w:tcBorders>
              <w:top w:val="single" w:sz="4" w:space="0" w:color="auto"/>
              <w:left w:val="single" w:sz="4" w:space="0" w:color="auto"/>
              <w:bottom w:val="single" w:sz="4" w:space="0" w:color="auto"/>
              <w:right w:val="nil"/>
            </w:tcBorders>
          </w:tcPr>
          <w:p w14:paraId="78962861" w14:textId="77777777" w:rsidR="004C411C" w:rsidRPr="00617E83" w:rsidRDefault="004C411C" w:rsidP="00DE769A">
            <w:pPr>
              <w:rPr>
                <w:rFonts w:asciiTheme="minorHAnsi" w:eastAsiaTheme="minorHAnsi" w:hAnsiTheme="minorHAnsi" w:cstheme="minorBidi"/>
              </w:rPr>
            </w:pPr>
          </w:p>
        </w:tc>
        <w:tc>
          <w:tcPr>
            <w:tcW w:w="676" w:type="dxa"/>
            <w:tcBorders>
              <w:top w:val="single" w:sz="4" w:space="0" w:color="auto"/>
              <w:left w:val="nil"/>
              <w:bottom w:val="single" w:sz="4" w:space="0" w:color="auto"/>
              <w:right w:val="nil"/>
            </w:tcBorders>
          </w:tcPr>
          <w:p w14:paraId="33981C15" w14:textId="77777777" w:rsidR="004C411C" w:rsidRPr="00617E83" w:rsidRDefault="004C411C" w:rsidP="00DE769A">
            <w:pPr>
              <w:rPr>
                <w:rFonts w:asciiTheme="minorHAnsi" w:eastAsiaTheme="minorHAnsi" w:hAnsiTheme="minorHAnsi" w:cstheme="minorBidi"/>
              </w:rPr>
            </w:pPr>
          </w:p>
        </w:tc>
        <w:tc>
          <w:tcPr>
            <w:tcW w:w="599" w:type="dxa"/>
            <w:tcBorders>
              <w:top w:val="single" w:sz="4" w:space="0" w:color="auto"/>
              <w:left w:val="nil"/>
              <w:bottom w:val="single" w:sz="4" w:space="0" w:color="auto"/>
              <w:right w:val="nil"/>
            </w:tcBorders>
          </w:tcPr>
          <w:p w14:paraId="6D7A1B6E" w14:textId="77777777" w:rsidR="004C411C" w:rsidRPr="00617E83" w:rsidRDefault="004C411C" w:rsidP="00DE769A">
            <w:pPr>
              <w:rPr>
                <w:rFonts w:asciiTheme="minorHAnsi" w:eastAsiaTheme="minorHAnsi" w:hAnsiTheme="minorHAnsi" w:cstheme="minorBidi"/>
              </w:rPr>
            </w:pPr>
          </w:p>
        </w:tc>
        <w:tc>
          <w:tcPr>
            <w:tcW w:w="757" w:type="dxa"/>
            <w:tcBorders>
              <w:top w:val="single" w:sz="4" w:space="0" w:color="auto"/>
              <w:left w:val="nil"/>
              <w:bottom w:val="single" w:sz="4" w:space="0" w:color="auto"/>
              <w:right w:val="single" w:sz="4" w:space="0" w:color="auto"/>
            </w:tcBorders>
          </w:tcPr>
          <w:p w14:paraId="007B47F2" w14:textId="77777777" w:rsidR="004C411C" w:rsidRPr="00617E83" w:rsidRDefault="004C411C" w:rsidP="00DE769A">
            <w:pPr>
              <w:rPr>
                <w:rFonts w:asciiTheme="minorHAnsi" w:eastAsiaTheme="minorHAnsi" w:hAnsiTheme="minorHAnsi" w:cstheme="minorBidi"/>
              </w:rPr>
            </w:pPr>
          </w:p>
        </w:tc>
        <w:tc>
          <w:tcPr>
            <w:tcW w:w="615" w:type="dxa"/>
            <w:tcBorders>
              <w:top w:val="single" w:sz="4" w:space="0" w:color="auto"/>
              <w:left w:val="single" w:sz="4" w:space="0" w:color="auto"/>
              <w:bottom w:val="single" w:sz="4" w:space="0" w:color="auto"/>
              <w:right w:val="nil"/>
            </w:tcBorders>
          </w:tcPr>
          <w:p w14:paraId="1483C17E" w14:textId="77777777" w:rsidR="004C411C" w:rsidRPr="00617E83" w:rsidRDefault="004C411C" w:rsidP="00DE769A">
            <w:pPr>
              <w:rPr>
                <w:rFonts w:asciiTheme="minorHAnsi" w:eastAsiaTheme="minorHAnsi" w:hAnsiTheme="minorHAnsi" w:cstheme="minorBidi"/>
              </w:rPr>
            </w:pPr>
          </w:p>
        </w:tc>
        <w:tc>
          <w:tcPr>
            <w:tcW w:w="944" w:type="dxa"/>
            <w:tcBorders>
              <w:top w:val="single" w:sz="4" w:space="0" w:color="auto"/>
              <w:left w:val="nil"/>
              <w:bottom w:val="single" w:sz="4" w:space="0" w:color="auto"/>
            </w:tcBorders>
          </w:tcPr>
          <w:p w14:paraId="1DA2C98E" w14:textId="77777777" w:rsidR="004C411C" w:rsidRPr="00617E83" w:rsidRDefault="004C411C" w:rsidP="00DE769A">
            <w:pPr>
              <w:rPr>
                <w:rFonts w:asciiTheme="minorHAnsi" w:eastAsiaTheme="minorHAnsi" w:hAnsiTheme="minorHAnsi" w:cstheme="minorBidi"/>
              </w:rPr>
            </w:pPr>
          </w:p>
        </w:tc>
        <w:tc>
          <w:tcPr>
            <w:tcW w:w="4111" w:type="dxa"/>
          </w:tcPr>
          <w:p w14:paraId="091B1635" w14:textId="77777777" w:rsidR="004C411C" w:rsidRPr="00617E83" w:rsidRDefault="004C411C" w:rsidP="00DE769A">
            <w:pPr>
              <w:rPr>
                <w:rFonts w:asciiTheme="minorHAnsi" w:eastAsiaTheme="minorHAnsi" w:hAnsiTheme="minorHAnsi" w:cstheme="minorBidi"/>
              </w:rPr>
            </w:pPr>
          </w:p>
        </w:tc>
      </w:tr>
      <w:tr w:rsidR="004C411C" w:rsidRPr="00617E83" w14:paraId="728E9BE5" w14:textId="77777777" w:rsidTr="00452E3C">
        <w:trPr>
          <w:trHeight w:val="340"/>
        </w:trPr>
        <w:tc>
          <w:tcPr>
            <w:tcW w:w="1668" w:type="dxa"/>
          </w:tcPr>
          <w:p w14:paraId="114AA421" w14:textId="77777777" w:rsidR="004C411C" w:rsidRPr="00617E83" w:rsidRDefault="004C411C" w:rsidP="00DE769A">
            <w:pPr>
              <w:rPr>
                <w:rFonts w:asciiTheme="minorHAnsi" w:eastAsiaTheme="minorHAnsi" w:hAnsiTheme="minorHAnsi" w:cstheme="minorBidi"/>
              </w:rPr>
            </w:pPr>
          </w:p>
        </w:tc>
        <w:tc>
          <w:tcPr>
            <w:tcW w:w="1417" w:type="dxa"/>
          </w:tcPr>
          <w:p w14:paraId="77874FF0" w14:textId="77777777" w:rsidR="004C411C" w:rsidRPr="00617E83" w:rsidRDefault="004C411C" w:rsidP="00DE769A">
            <w:pPr>
              <w:rPr>
                <w:rFonts w:asciiTheme="minorHAnsi" w:eastAsiaTheme="minorHAnsi" w:hAnsiTheme="minorHAnsi" w:cstheme="minorBidi"/>
              </w:rPr>
            </w:pPr>
          </w:p>
        </w:tc>
        <w:tc>
          <w:tcPr>
            <w:tcW w:w="709" w:type="dxa"/>
          </w:tcPr>
          <w:p w14:paraId="1D12B51B" w14:textId="77777777" w:rsidR="004C411C" w:rsidRPr="00617E83" w:rsidRDefault="004C411C" w:rsidP="00DE769A">
            <w:pPr>
              <w:rPr>
                <w:rFonts w:asciiTheme="minorHAnsi" w:eastAsiaTheme="minorHAnsi" w:hAnsiTheme="minorHAnsi" w:cstheme="minorBidi"/>
              </w:rPr>
            </w:pPr>
          </w:p>
        </w:tc>
        <w:tc>
          <w:tcPr>
            <w:tcW w:w="1559" w:type="dxa"/>
          </w:tcPr>
          <w:p w14:paraId="71BA9DA7" w14:textId="77777777" w:rsidR="004C411C" w:rsidRPr="00617E83" w:rsidRDefault="004C411C" w:rsidP="00DE769A">
            <w:pPr>
              <w:rPr>
                <w:rFonts w:asciiTheme="minorHAnsi" w:eastAsiaTheme="minorHAnsi" w:hAnsiTheme="minorHAnsi" w:cstheme="minorBidi"/>
              </w:rPr>
            </w:pPr>
          </w:p>
        </w:tc>
        <w:tc>
          <w:tcPr>
            <w:tcW w:w="2693" w:type="dxa"/>
            <w:tcBorders>
              <w:right w:val="single" w:sz="4" w:space="0" w:color="auto"/>
            </w:tcBorders>
          </w:tcPr>
          <w:p w14:paraId="1F3F0F7F" w14:textId="77777777" w:rsidR="004C411C" w:rsidRPr="00617E83" w:rsidRDefault="004C411C" w:rsidP="00DE769A">
            <w:pPr>
              <w:rPr>
                <w:rFonts w:asciiTheme="minorHAnsi" w:eastAsiaTheme="minorHAnsi" w:hAnsiTheme="minorHAnsi" w:cstheme="minorBidi"/>
              </w:rPr>
            </w:pPr>
          </w:p>
        </w:tc>
        <w:tc>
          <w:tcPr>
            <w:tcW w:w="520" w:type="dxa"/>
            <w:tcBorders>
              <w:top w:val="single" w:sz="4" w:space="0" w:color="auto"/>
              <w:left w:val="single" w:sz="4" w:space="0" w:color="auto"/>
              <w:bottom w:val="single" w:sz="4" w:space="0" w:color="auto"/>
              <w:right w:val="nil"/>
            </w:tcBorders>
          </w:tcPr>
          <w:p w14:paraId="5142507B" w14:textId="77777777" w:rsidR="004C411C" w:rsidRPr="00617E83" w:rsidRDefault="004C411C" w:rsidP="00DE769A">
            <w:pPr>
              <w:rPr>
                <w:rFonts w:asciiTheme="minorHAnsi" w:eastAsiaTheme="minorHAnsi" w:hAnsiTheme="minorHAnsi" w:cstheme="minorBidi"/>
              </w:rPr>
            </w:pPr>
          </w:p>
        </w:tc>
        <w:tc>
          <w:tcPr>
            <w:tcW w:w="676" w:type="dxa"/>
            <w:tcBorders>
              <w:top w:val="single" w:sz="4" w:space="0" w:color="auto"/>
              <w:left w:val="nil"/>
              <w:bottom w:val="single" w:sz="4" w:space="0" w:color="auto"/>
              <w:right w:val="nil"/>
            </w:tcBorders>
          </w:tcPr>
          <w:p w14:paraId="78165440" w14:textId="77777777" w:rsidR="004C411C" w:rsidRPr="00617E83" w:rsidRDefault="004C411C" w:rsidP="00DE769A">
            <w:pPr>
              <w:rPr>
                <w:rFonts w:asciiTheme="minorHAnsi" w:eastAsiaTheme="minorHAnsi" w:hAnsiTheme="minorHAnsi" w:cstheme="minorBidi"/>
              </w:rPr>
            </w:pPr>
          </w:p>
        </w:tc>
        <w:tc>
          <w:tcPr>
            <w:tcW w:w="599" w:type="dxa"/>
            <w:tcBorders>
              <w:top w:val="single" w:sz="4" w:space="0" w:color="auto"/>
              <w:left w:val="nil"/>
              <w:bottom w:val="single" w:sz="4" w:space="0" w:color="auto"/>
              <w:right w:val="nil"/>
            </w:tcBorders>
          </w:tcPr>
          <w:p w14:paraId="0BAB05BA" w14:textId="77777777" w:rsidR="004C411C" w:rsidRPr="00617E83" w:rsidRDefault="004C411C" w:rsidP="00DE769A">
            <w:pPr>
              <w:rPr>
                <w:rFonts w:asciiTheme="minorHAnsi" w:eastAsiaTheme="minorHAnsi" w:hAnsiTheme="minorHAnsi" w:cstheme="minorBidi"/>
              </w:rPr>
            </w:pPr>
          </w:p>
        </w:tc>
        <w:tc>
          <w:tcPr>
            <w:tcW w:w="757" w:type="dxa"/>
            <w:tcBorders>
              <w:top w:val="single" w:sz="4" w:space="0" w:color="auto"/>
              <w:left w:val="nil"/>
              <w:bottom w:val="single" w:sz="4" w:space="0" w:color="auto"/>
              <w:right w:val="single" w:sz="4" w:space="0" w:color="auto"/>
            </w:tcBorders>
          </w:tcPr>
          <w:p w14:paraId="3B076864" w14:textId="77777777" w:rsidR="004C411C" w:rsidRPr="00617E83" w:rsidRDefault="004C411C" w:rsidP="00DE769A">
            <w:pPr>
              <w:rPr>
                <w:rFonts w:asciiTheme="minorHAnsi" w:eastAsiaTheme="minorHAnsi" w:hAnsiTheme="minorHAnsi" w:cstheme="minorBidi"/>
              </w:rPr>
            </w:pPr>
          </w:p>
        </w:tc>
        <w:tc>
          <w:tcPr>
            <w:tcW w:w="615" w:type="dxa"/>
            <w:tcBorders>
              <w:top w:val="single" w:sz="4" w:space="0" w:color="auto"/>
              <w:left w:val="single" w:sz="4" w:space="0" w:color="auto"/>
              <w:bottom w:val="single" w:sz="4" w:space="0" w:color="auto"/>
              <w:right w:val="nil"/>
            </w:tcBorders>
          </w:tcPr>
          <w:p w14:paraId="263CAA88" w14:textId="77777777" w:rsidR="004C411C" w:rsidRPr="00617E83" w:rsidRDefault="004C411C" w:rsidP="00DE769A">
            <w:pPr>
              <w:rPr>
                <w:rFonts w:asciiTheme="minorHAnsi" w:eastAsiaTheme="minorHAnsi" w:hAnsiTheme="minorHAnsi" w:cstheme="minorBidi"/>
              </w:rPr>
            </w:pPr>
          </w:p>
        </w:tc>
        <w:tc>
          <w:tcPr>
            <w:tcW w:w="944" w:type="dxa"/>
            <w:tcBorders>
              <w:top w:val="single" w:sz="4" w:space="0" w:color="auto"/>
              <w:left w:val="nil"/>
              <w:bottom w:val="single" w:sz="4" w:space="0" w:color="auto"/>
            </w:tcBorders>
          </w:tcPr>
          <w:p w14:paraId="0066F3F5" w14:textId="77777777" w:rsidR="004C411C" w:rsidRPr="00617E83" w:rsidRDefault="004C411C" w:rsidP="00DE769A">
            <w:pPr>
              <w:rPr>
                <w:rFonts w:asciiTheme="minorHAnsi" w:eastAsiaTheme="minorHAnsi" w:hAnsiTheme="minorHAnsi" w:cstheme="minorBidi"/>
              </w:rPr>
            </w:pPr>
          </w:p>
        </w:tc>
        <w:tc>
          <w:tcPr>
            <w:tcW w:w="4111" w:type="dxa"/>
          </w:tcPr>
          <w:p w14:paraId="08A9BB99" w14:textId="77777777" w:rsidR="004C411C" w:rsidRPr="00617E83" w:rsidRDefault="004C411C" w:rsidP="00DE769A">
            <w:pPr>
              <w:rPr>
                <w:rFonts w:asciiTheme="minorHAnsi" w:eastAsiaTheme="minorHAnsi" w:hAnsiTheme="minorHAnsi" w:cstheme="minorBidi"/>
              </w:rPr>
            </w:pPr>
          </w:p>
        </w:tc>
      </w:tr>
      <w:tr w:rsidR="004C411C" w:rsidRPr="00617E83" w14:paraId="732DDB5A" w14:textId="77777777" w:rsidTr="00452E3C">
        <w:trPr>
          <w:trHeight w:val="340"/>
        </w:trPr>
        <w:tc>
          <w:tcPr>
            <w:tcW w:w="1668" w:type="dxa"/>
          </w:tcPr>
          <w:p w14:paraId="63FF9B10" w14:textId="77777777" w:rsidR="004C411C" w:rsidRPr="00617E83" w:rsidRDefault="004C411C" w:rsidP="00DE769A">
            <w:pPr>
              <w:rPr>
                <w:rFonts w:asciiTheme="minorHAnsi" w:eastAsiaTheme="minorHAnsi" w:hAnsiTheme="minorHAnsi" w:cstheme="minorBidi"/>
              </w:rPr>
            </w:pPr>
          </w:p>
        </w:tc>
        <w:tc>
          <w:tcPr>
            <w:tcW w:w="1417" w:type="dxa"/>
          </w:tcPr>
          <w:p w14:paraId="5FECA1AF" w14:textId="77777777" w:rsidR="004C411C" w:rsidRPr="00617E83" w:rsidRDefault="004C411C" w:rsidP="00DE769A">
            <w:pPr>
              <w:rPr>
                <w:rFonts w:asciiTheme="minorHAnsi" w:eastAsiaTheme="minorHAnsi" w:hAnsiTheme="minorHAnsi" w:cstheme="minorBidi"/>
              </w:rPr>
            </w:pPr>
          </w:p>
        </w:tc>
        <w:tc>
          <w:tcPr>
            <w:tcW w:w="709" w:type="dxa"/>
          </w:tcPr>
          <w:p w14:paraId="14038D7E" w14:textId="77777777" w:rsidR="004C411C" w:rsidRPr="00617E83" w:rsidRDefault="004C411C" w:rsidP="00DE769A">
            <w:pPr>
              <w:rPr>
                <w:rFonts w:asciiTheme="minorHAnsi" w:eastAsiaTheme="minorHAnsi" w:hAnsiTheme="minorHAnsi" w:cstheme="minorBidi"/>
              </w:rPr>
            </w:pPr>
          </w:p>
        </w:tc>
        <w:tc>
          <w:tcPr>
            <w:tcW w:w="1559" w:type="dxa"/>
          </w:tcPr>
          <w:p w14:paraId="6757E939" w14:textId="77777777" w:rsidR="004C411C" w:rsidRPr="00617E83" w:rsidRDefault="004C411C" w:rsidP="00DE769A">
            <w:pPr>
              <w:rPr>
                <w:rFonts w:asciiTheme="minorHAnsi" w:eastAsiaTheme="minorHAnsi" w:hAnsiTheme="minorHAnsi" w:cstheme="minorBidi"/>
              </w:rPr>
            </w:pPr>
          </w:p>
        </w:tc>
        <w:tc>
          <w:tcPr>
            <w:tcW w:w="2693" w:type="dxa"/>
            <w:tcBorders>
              <w:right w:val="single" w:sz="4" w:space="0" w:color="auto"/>
            </w:tcBorders>
          </w:tcPr>
          <w:p w14:paraId="329B105E" w14:textId="77777777" w:rsidR="004C411C" w:rsidRPr="00617E83" w:rsidRDefault="004C411C" w:rsidP="00DE769A">
            <w:pPr>
              <w:rPr>
                <w:rFonts w:asciiTheme="minorHAnsi" w:eastAsiaTheme="minorHAnsi" w:hAnsiTheme="minorHAnsi" w:cstheme="minorBidi"/>
              </w:rPr>
            </w:pPr>
          </w:p>
        </w:tc>
        <w:tc>
          <w:tcPr>
            <w:tcW w:w="520" w:type="dxa"/>
            <w:tcBorders>
              <w:top w:val="single" w:sz="4" w:space="0" w:color="auto"/>
              <w:left w:val="single" w:sz="4" w:space="0" w:color="auto"/>
              <w:bottom w:val="single" w:sz="4" w:space="0" w:color="auto"/>
              <w:right w:val="nil"/>
            </w:tcBorders>
          </w:tcPr>
          <w:p w14:paraId="01CFA5C4" w14:textId="77777777" w:rsidR="004C411C" w:rsidRPr="00617E83" w:rsidRDefault="004C411C" w:rsidP="00DE769A">
            <w:pPr>
              <w:rPr>
                <w:rFonts w:asciiTheme="minorHAnsi" w:eastAsiaTheme="minorHAnsi" w:hAnsiTheme="minorHAnsi" w:cstheme="minorBidi"/>
              </w:rPr>
            </w:pPr>
          </w:p>
        </w:tc>
        <w:tc>
          <w:tcPr>
            <w:tcW w:w="676" w:type="dxa"/>
            <w:tcBorders>
              <w:top w:val="single" w:sz="4" w:space="0" w:color="auto"/>
              <w:left w:val="nil"/>
              <w:bottom w:val="single" w:sz="4" w:space="0" w:color="auto"/>
              <w:right w:val="nil"/>
            </w:tcBorders>
          </w:tcPr>
          <w:p w14:paraId="16170BD9" w14:textId="77777777" w:rsidR="004C411C" w:rsidRPr="00617E83" w:rsidRDefault="004C411C" w:rsidP="00DE769A">
            <w:pPr>
              <w:rPr>
                <w:rFonts w:asciiTheme="minorHAnsi" w:eastAsiaTheme="minorHAnsi" w:hAnsiTheme="minorHAnsi" w:cstheme="minorBidi"/>
              </w:rPr>
            </w:pPr>
          </w:p>
        </w:tc>
        <w:tc>
          <w:tcPr>
            <w:tcW w:w="599" w:type="dxa"/>
            <w:tcBorders>
              <w:top w:val="single" w:sz="4" w:space="0" w:color="auto"/>
              <w:left w:val="nil"/>
              <w:bottom w:val="single" w:sz="4" w:space="0" w:color="auto"/>
              <w:right w:val="nil"/>
            </w:tcBorders>
          </w:tcPr>
          <w:p w14:paraId="0D2E4DCB" w14:textId="77777777" w:rsidR="004C411C" w:rsidRPr="00617E83" w:rsidRDefault="004C411C" w:rsidP="00DE769A">
            <w:pPr>
              <w:rPr>
                <w:rFonts w:asciiTheme="minorHAnsi" w:eastAsiaTheme="minorHAnsi" w:hAnsiTheme="minorHAnsi" w:cstheme="minorBidi"/>
              </w:rPr>
            </w:pPr>
          </w:p>
        </w:tc>
        <w:tc>
          <w:tcPr>
            <w:tcW w:w="757" w:type="dxa"/>
            <w:tcBorders>
              <w:top w:val="single" w:sz="4" w:space="0" w:color="auto"/>
              <w:left w:val="nil"/>
              <w:bottom w:val="single" w:sz="4" w:space="0" w:color="auto"/>
              <w:right w:val="single" w:sz="4" w:space="0" w:color="auto"/>
            </w:tcBorders>
          </w:tcPr>
          <w:p w14:paraId="446B1394" w14:textId="77777777" w:rsidR="004C411C" w:rsidRPr="00617E83" w:rsidRDefault="004C411C" w:rsidP="00DE769A">
            <w:pPr>
              <w:rPr>
                <w:rFonts w:asciiTheme="minorHAnsi" w:eastAsiaTheme="minorHAnsi" w:hAnsiTheme="minorHAnsi" w:cstheme="minorBidi"/>
              </w:rPr>
            </w:pPr>
          </w:p>
        </w:tc>
        <w:tc>
          <w:tcPr>
            <w:tcW w:w="615" w:type="dxa"/>
            <w:tcBorders>
              <w:top w:val="single" w:sz="4" w:space="0" w:color="auto"/>
              <w:left w:val="single" w:sz="4" w:space="0" w:color="auto"/>
              <w:bottom w:val="single" w:sz="4" w:space="0" w:color="auto"/>
              <w:right w:val="nil"/>
            </w:tcBorders>
          </w:tcPr>
          <w:p w14:paraId="5ADADC65" w14:textId="77777777" w:rsidR="004C411C" w:rsidRPr="00617E83" w:rsidRDefault="004C411C" w:rsidP="00DE769A">
            <w:pPr>
              <w:rPr>
                <w:rFonts w:asciiTheme="minorHAnsi" w:eastAsiaTheme="minorHAnsi" w:hAnsiTheme="minorHAnsi" w:cstheme="minorBidi"/>
              </w:rPr>
            </w:pPr>
          </w:p>
        </w:tc>
        <w:tc>
          <w:tcPr>
            <w:tcW w:w="944" w:type="dxa"/>
            <w:tcBorders>
              <w:top w:val="single" w:sz="4" w:space="0" w:color="auto"/>
              <w:left w:val="nil"/>
              <w:bottom w:val="single" w:sz="4" w:space="0" w:color="auto"/>
            </w:tcBorders>
          </w:tcPr>
          <w:p w14:paraId="19460169" w14:textId="77777777" w:rsidR="004C411C" w:rsidRPr="00617E83" w:rsidRDefault="004C411C" w:rsidP="00DE769A">
            <w:pPr>
              <w:rPr>
                <w:rFonts w:asciiTheme="minorHAnsi" w:eastAsiaTheme="minorHAnsi" w:hAnsiTheme="minorHAnsi" w:cstheme="minorBidi"/>
              </w:rPr>
            </w:pPr>
          </w:p>
        </w:tc>
        <w:tc>
          <w:tcPr>
            <w:tcW w:w="4111" w:type="dxa"/>
          </w:tcPr>
          <w:p w14:paraId="2DB0D025" w14:textId="77777777" w:rsidR="004C411C" w:rsidRPr="00617E83" w:rsidRDefault="004C411C" w:rsidP="00DE769A">
            <w:pPr>
              <w:rPr>
                <w:rFonts w:asciiTheme="minorHAnsi" w:eastAsiaTheme="minorHAnsi" w:hAnsiTheme="minorHAnsi" w:cstheme="minorBidi"/>
              </w:rPr>
            </w:pPr>
          </w:p>
        </w:tc>
      </w:tr>
      <w:tr w:rsidR="004C411C" w:rsidRPr="00617E83" w14:paraId="5BAD7DB1" w14:textId="77777777" w:rsidTr="00452E3C">
        <w:trPr>
          <w:trHeight w:val="340"/>
        </w:trPr>
        <w:tc>
          <w:tcPr>
            <w:tcW w:w="1668" w:type="dxa"/>
          </w:tcPr>
          <w:p w14:paraId="41450993" w14:textId="77777777" w:rsidR="004C411C" w:rsidRPr="00617E83" w:rsidRDefault="004C411C" w:rsidP="00DE769A">
            <w:pPr>
              <w:rPr>
                <w:rFonts w:asciiTheme="minorHAnsi" w:eastAsiaTheme="minorHAnsi" w:hAnsiTheme="minorHAnsi" w:cstheme="minorBidi"/>
              </w:rPr>
            </w:pPr>
          </w:p>
        </w:tc>
        <w:tc>
          <w:tcPr>
            <w:tcW w:w="1417" w:type="dxa"/>
          </w:tcPr>
          <w:p w14:paraId="108D2C3D" w14:textId="77777777" w:rsidR="004C411C" w:rsidRPr="00617E83" w:rsidRDefault="004C411C" w:rsidP="00DE769A">
            <w:pPr>
              <w:rPr>
                <w:rFonts w:asciiTheme="minorHAnsi" w:eastAsiaTheme="minorHAnsi" w:hAnsiTheme="minorHAnsi" w:cstheme="minorBidi"/>
              </w:rPr>
            </w:pPr>
          </w:p>
        </w:tc>
        <w:tc>
          <w:tcPr>
            <w:tcW w:w="709" w:type="dxa"/>
          </w:tcPr>
          <w:p w14:paraId="12E6DFDA" w14:textId="77777777" w:rsidR="004C411C" w:rsidRPr="00617E83" w:rsidRDefault="004C411C" w:rsidP="00DE769A">
            <w:pPr>
              <w:rPr>
                <w:rFonts w:asciiTheme="minorHAnsi" w:eastAsiaTheme="minorHAnsi" w:hAnsiTheme="minorHAnsi" w:cstheme="minorBidi"/>
              </w:rPr>
            </w:pPr>
          </w:p>
        </w:tc>
        <w:tc>
          <w:tcPr>
            <w:tcW w:w="1559" w:type="dxa"/>
          </w:tcPr>
          <w:p w14:paraId="3E2670CF" w14:textId="77777777" w:rsidR="004C411C" w:rsidRPr="00617E83" w:rsidRDefault="004C411C" w:rsidP="00DE769A">
            <w:pPr>
              <w:rPr>
                <w:rFonts w:asciiTheme="minorHAnsi" w:eastAsiaTheme="minorHAnsi" w:hAnsiTheme="minorHAnsi" w:cstheme="minorBidi"/>
              </w:rPr>
            </w:pPr>
          </w:p>
        </w:tc>
        <w:tc>
          <w:tcPr>
            <w:tcW w:w="2693" w:type="dxa"/>
            <w:tcBorders>
              <w:right w:val="single" w:sz="4" w:space="0" w:color="auto"/>
            </w:tcBorders>
          </w:tcPr>
          <w:p w14:paraId="63C27B08" w14:textId="77777777" w:rsidR="004C411C" w:rsidRPr="00617E83" w:rsidRDefault="004C411C" w:rsidP="00DE769A">
            <w:pPr>
              <w:rPr>
                <w:rFonts w:asciiTheme="minorHAnsi" w:eastAsiaTheme="minorHAnsi" w:hAnsiTheme="minorHAnsi" w:cstheme="minorBidi"/>
              </w:rPr>
            </w:pPr>
          </w:p>
        </w:tc>
        <w:tc>
          <w:tcPr>
            <w:tcW w:w="520" w:type="dxa"/>
            <w:tcBorders>
              <w:top w:val="single" w:sz="4" w:space="0" w:color="auto"/>
              <w:left w:val="single" w:sz="4" w:space="0" w:color="auto"/>
              <w:bottom w:val="single" w:sz="4" w:space="0" w:color="auto"/>
              <w:right w:val="nil"/>
            </w:tcBorders>
          </w:tcPr>
          <w:p w14:paraId="36F6C6D6" w14:textId="77777777" w:rsidR="004C411C" w:rsidRPr="00617E83" w:rsidRDefault="004C411C" w:rsidP="00DE769A">
            <w:pPr>
              <w:rPr>
                <w:rFonts w:asciiTheme="minorHAnsi" w:eastAsiaTheme="minorHAnsi" w:hAnsiTheme="minorHAnsi" w:cstheme="minorBidi"/>
              </w:rPr>
            </w:pPr>
          </w:p>
        </w:tc>
        <w:tc>
          <w:tcPr>
            <w:tcW w:w="676" w:type="dxa"/>
            <w:tcBorders>
              <w:top w:val="single" w:sz="4" w:space="0" w:color="auto"/>
              <w:left w:val="nil"/>
              <w:bottom w:val="single" w:sz="4" w:space="0" w:color="auto"/>
              <w:right w:val="nil"/>
            </w:tcBorders>
          </w:tcPr>
          <w:p w14:paraId="3436CCEB" w14:textId="77777777" w:rsidR="004C411C" w:rsidRPr="00617E83" w:rsidRDefault="004C411C" w:rsidP="00DE769A">
            <w:pPr>
              <w:rPr>
                <w:rFonts w:asciiTheme="minorHAnsi" w:eastAsiaTheme="minorHAnsi" w:hAnsiTheme="minorHAnsi" w:cstheme="minorBidi"/>
              </w:rPr>
            </w:pPr>
          </w:p>
        </w:tc>
        <w:tc>
          <w:tcPr>
            <w:tcW w:w="599" w:type="dxa"/>
            <w:tcBorders>
              <w:top w:val="single" w:sz="4" w:space="0" w:color="auto"/>
              <w:left w:val="nil"/>
              <w:bottom w:val="single" w:sz="4" w:space="0" w:color="auto"/>
              <w:right w:val="nil"/>
            </w:tcBorders>
          </w:tcPr>
          <w:p w14:paraId="356030A8" w14:textId="77777777" w:rsidR="004C411C" w:rsidRPr="00617E83" w:rsidRDefault="004C411C" w:rsidP="00DE769A">
            <w:pPr>
              <w:rPr>
                <w:rFonts w:asciiTheme="minorHAnsi" w:eastAsiaTheme="minorHAnsi" w:hAnsiTheme="minorHAnsi" w:cstheme="minorBidi"/>
              </w:rPr>
            </w:pPr>
          </w:p>
        </w:tc>
        <w:tc>
          <w:tcPr>
            <w:tcW w:w="757" w:type="dxa"/>
            <w:tcBorders>
              <w:top w:val="single" w:sz="4" w:space="0" w:color="auto"/>
              <w:left w:val="nil"/>
              <w:bottom w:val="single" w:sz="4" w:space="0" w:color="auto"/>
              <w:right w:val="single" w:sz="4" w:space="0" w:color="auto"/>
            </w:tcBorders>
          </w:tcPr>
          <w:p w14:paraId="46377C57" w14:textId="77777777" w:rsidR="004C411C" w:rsidRPr="00617E83" w:rsidRDefault="004C411C" w:rsidP="00DE769A">
            <w:pPr>
              <w:rPr>
                <w:rFonts w:asciiTheme="minorHAnsi" w:eastAsiaTheme="minorHAnsi" w:hAnsiTheme="minorHAnsi" w:cstheme="minorBidi"/>
              </w:rPr>
            </w:pPr>
          </w:p>
        </w:tc>
        <w:tc>
          <w:tcPr>
            <w:tcW w:w="615" w:type="dxa"/>
            <w:tcBorders>
              <w:top w:val="single" w:sz="4" w:space="0" w:color="auto"/>
              <w:left w:val="single" w:sz="4" w:space="0" w:color="auto"/>
              <w:bottom w:val="single" w:sz="4" w:space="0" w:color="auto"/>
              <w:right w:val="nil"/>
            </w:tcBorders>
          </w:tcPr>
          <w:p w14:paraId="59A9F13E" w14:textId="77777777" w:rsidR="004C411C" w:rsidRPr="00617E83" w:rsidRDefault="004C411C" w:rsidP="00DE769A">
            <w:pPr>
              <w:rPr>
                <w:rFonts w:asciiTheme="minorHAnsi" w:eastAsiaTheme="minorHAnsi" w:hAnsiTheme="minorHAnsi" w:cstheme="minorBidi"/>
              </w:rPr>
            </w:pPr>
          </w:p>
        </w:tc>
        <w:tc>
          <w:tcPr>
            <w:tcW w:w="944" w:type="dxa"/>
            <w:tcBorders>
              <w:top w:val="single" w:sz="4" w:space="0" w:color="auto"/>
              <w:left w:val="nil"/>
              <w:bottom w:val="single" w:sz="4" w:space="0" w:color="auto"/>
            </w:tcBorders>
          </w:tcPr>
          <w:p w14:paraId="6798B6FB" w14:textId="77777777" w:rsidR="004C411C" w:rsidRPr="00617E83" w:rsidRDefault="004C411C" w:rsidP="00DE769A">
            <w:pPr>
              <w:rPr>
                <w:rFonts w:asciiTheme="minorHAnsi" w:eastAsiaTheme="minorHAnsi" w:hAnsiTheme="minorHAnsi" w:cstheme="minorBidi"/>
              </w:rPr>
            </w:pPr>
          </w:p>
        </w:tc>
        <w:tc>
          <w:tcPr>
            <w:tcW w:w="4111" w:type="dxa"/>
          </w:tcPr>
          <w:p w14:paraId="68B0A4C1" w14:textId="77777777" w:rsidR="004C411C" w:rsidRPr="00617E83" w:rsidRDefault="004C411C" w:rsidP="00DE769A">
            <w:pPr>
              <w:rPr>
                <w:rFonts w:asciiTheme="minorHAnsi" w:eastAsiaTheme="minorHAnsi" w:hAnsiTheme="minorHAnsi" w:cstheme="minorBidi"/>
              </w:rPr>
            </w:pPr>
          </w:p>
        </w:tc>
      </w:tr>
      <w:tr w:rsidR="004C411C" w:rsidRPr="00617E83" w14:paraId="40042D07" w14:textId="77777777" w:rsidTr="00452E3C">
        <w:trPr>
          <w:trHeight w:val="340"/>
        </w:trPr>
        <w:tc>
          <w:tcPr>
            <w:tcW w:w="1668" w:type="dxa"/>
          </w:tcPr>
          <w:p w14:paraId="29BBD9A0" w14:textId="77777777" w:rsidR="004C411C" w:rsidRPr="00617E83" w:rsidRDefault="004C411C" w:rsidP="00DE769A">
            <w:pPr>
              <w:rPr>
                <w:rFonts w:asciiTheme="minorHAnsi" w:eastAsiaTheme="minorHAnsi" w:hAnsiTheme="minorHAnsi" w:cstheme="minorBidi"/>
              </w:rPr>
            </w:pPr>
          </w:p>
        </w:tc>
        <w:tc>
          <w:tcPr>
            <w:tcW w:w="1417" w:type="dxa"/>
          </w:tcPr>
          <w:p w14:paraId="26989F4D" w14:textId="77777777" w:rsidR="004C411C" w:rsidRPr="00617E83" w:rsidRDefault="004C411C" w:rsidP="00DE769A">
            <w:pPr>
              <w:rPr>
                <w:rFonts w:asciiTheme="minorHAnsi" w:eastAsiaTheme="minorHAnsi" w:hAnsiTheme="minorHAnsi" w:cstheme="minorBidi"/>
              </w:rPr>
            </w:pPr>
          </w:p>
        </w:tc>
        <w:tc>
          <w:tcPr>
            <w:tcW w:w="709" w:type="dxa"/>
          </w:tcPr>
          <w:p w14:paraId="48240E16" w14:textId="77777777" w:rsidR="004C411C" w:rsidRPr="00617E83" w:rsidRDefault="004C411C" w:rsidP="00DE769A">
            <w:pPr>
              <w:rPr>
                <w:rFonts w:asciiTheme="minorHAnsi" w:eastAsiaTheme="minorHAnsi" w:hAnsiTheme="minorHAnsi" w:cstheme="minorBidi"/>
              </w:rPr>
            </w:pPr>
          </w:p>
        </w:tc>
        <w:tc>
          <w:tcPr>
            <w:tcW w:w="1559" w:type="dxa"/>
          </w:tcPr>
          <w:p w14:paraId="2A3D35EA" w14:textId="77777777" w:rsidR="004C411C" w:rsidRPr="00617E83" w:rsidRDefault="004C411C" w:rsidP="00DE769A">
            <w:pPr>
              <w:rPr>
                <w:rFonts w:asciiTheme="minorHAnsi" w:eastAsiaTheme="minorHAnsi" w:hAnsiTheme="minorHAnsi" w:cstheme="minorBidi"/>
              </w:rPr>
            </w:pPr>
          </w:p>
        </w:tc>
        <w:tc>
          <w:tcPr>
            <w:tcW w:w="2693" w:type="dxa"/>
            <w:tcBorders>
              <w:right w:val="single" w:sz="4" w:space="0" w:color="auto"/>
            </w:tcBorders>
          </w:tcPr>
          <w:p w14:paraId="094A1645" w14:textId="77777777" w:rsidR="004C411C" w:rsidRPr="00617E83" w:rsidRDefault="004C411C" w:rsidP="00DE769A">
            <w:pPr>
              <w:rPr>
                <w:rFonts w:asciiTheme="minorHAnsi" w:eastAsiaTheme="minorHAnsi" w:hAnsiTheme="minorHAnsi" w:cstheme="minorBidi"/>
              </w:rPr>
            </w:pPr>
          </w:p>
        </w:tc>
        <w:tc>
          <w:tcPr>
            <w:tcW w:w="520" w:type="dxa"/>
            <w:tcBorders>
              <w:top w:val="single" w:sz="4" w:space="0" w:color="auto"/>
              <w:left w:val="single" w:sz="4" w:space="0" w:color="auto"/>
              <w:bottom w:val="single" w:sz="4" w:space="0" w:color="auto"/>
              <w:right w:val="nil"/>
            </w:tcBorders>
          </w:tcPr>
          <w:p w14:paraId="7A451ABF" w14:textId="77777777" w:rsidR="004C411C" w:rsidRPr="00617E83" w:rsidRDefault="004C411C" w:rsidP="00DE769A">
            <w:pPr>
              <w:rPr>
                <w:rFonts w:asciiTheme="minorHAnsi" w:eastAsiaTheme="minorHAnsi" w:hAnsiTheme="minorHAnsi" w:cstheme="minorBidi"/>
              </w:rPr>
            </w:pPr>
          </w:p>
        </w:tc>
        <w:tc>
          <w:tcPr>
            <w:tcW w:w="676" w:type="dxa"/>
            <w:tcBorders>
              <w:top w:val="single" w:sz="4" w:space="0" w:color="auto"/>
              <w:left w:val="nil"/>
              <w:bottom w:val="single" w:sz="4" w:space="0" w:color="auto"/>
              <w:right w:val="nil"/>
            </w:tcBorders>
          </w:tcPr>
          <w:p w14:paraId="48200EBE" w14:textId="77777777" w:rsidR="004C411C" w:rsidRPr="00617E83" w:rsidRDefault="004C411C" w:rsidP="00DE769A">
            <w:pPr>
              <w:rPr>
                <w:rFonts w:asciiTheme="minorHAnsi" w:eastAsiaTheme="minorHAnsi" w:hAnsiTheme="minorHAnsi" w:cstheme="minorBidi"/>
              </w:rPr>
            </w:pPr>
          </w:p>
        </w:tc>
        <w:tc>
          <w:tcPr>
            <w:tcW w:w="599" w:type="dxa"/>
            <w:tcBorders>
              <w:top w:val="single" w:sz="4" w:space="0" w:color="auto"/>
              <w:left w:val="nil"/>
              <w:bottom w:val="single" w:sz="4" w:space="0" w:color="auto"/>
              <w:right w:val="nil"/>
            </w:tcBorders>
          </w:tcPr>
          <w:p w14:paraId="10E26485" w14:textId="77777777" w:rsidR="004C411C" w:rsidRPr="00617E83" w:rsidRDefault="004C411C" w:rsidP="00DE769A">
            <w:pPr>
              <w:rPr>
                <w:rFonts w:asciiTheme="minorHAnsi" w:eastAsiaTheme="minorHAnsi" w:hAnsiTheme="minorHAnsi" w:cstheme="minorBidi"/>
              </w:rPr>
            </w:pPr>
          </w:p>
        </w:tc>
        <w:tc>
          <w:tcPr>
            <w:tcW w:w="757" w:type="dxa"/>
            <w:tcBorders>
              <w:top w:val="single" w:sz="4" w:space="0" w:color="auto"/>
              <w:left w:val="nil"/>
              <w:bottom w:val="single" w:sz="4" w:space="0" w:color="auto"/>
              <w:right w:val="single" w:sz="4" w:space="0" w:color="auto"/>
            </w:tcBorders>
          </w:tcPr>
          <w:p w14:paraId="5836FF75" w14:textId="77777777" w:rsidR="004C411C" w:rsidRPr="00617E83" w:rsidRDefault="004C411C" w:rsidP="00DE769A">
            <w:pPr>
              <w:rPr>
                <w:rFonts w:asciiTheme="minorHAnsi" w:eastAsiaTheme="minorHAnsi" w:hAnsiTheme="minorHAnsi" w:cstheme="minorBidi"/>
              </w:rPr>
            </w:pPr>
          </w:p>
        </w:tc>
        <w:tc>
          <w:tcPr>
            <w:tcW w:w="615" w:type="dxa"/>
            <w:tcBorders>
              <w:top w:val="single" w:sz="4" w:space="0" w:color="auto"/>
              <w:left w:val="single" w:sz="4" w:space="0" w:color="auto"/>
              <w:bottom w:val="single" w:sz="4" w:space="0" w:color="auto"/>
              <w:right w:val="nil"/>
            </w:tcBorders>
          </w:tcPr>
          <w:p w14:paraId="50F30DBC" w14:textId="77777777" w:rsidR="004C411C" w:rsidRPr="00617E83" w:rsidRDefault="004C411C" w:rsidP="00DE769A">
            <w:pPr>
              <w:rPr>
                <w:rFonts w:asciiTheme="minorHAnsi" w:eastAsiaTheme="minorHAnsi" w:hAnsiTheme="minorHAnsi" w:cstheme="minorBidi"/>
              </w:rPr>
            </w:pPr>
          </w:p>
        </w:tc>
        <w:tc>
          <w:tcPr>
            <w:tcW w:w="944" w:type="dxa"/>
            <w:tcBorders>
              <w:top w:val="single" w:sz="4" w:space="0" w:color="auto"/>
              <w:left w:val="nil"/>
              <w:bottom w:val="single" w:sz="4" w:space="0" w:color="auto"/>
            </w:tcBorders>
          </w:tcPr>
          <w:p w14:paraId="1762C429" w14:textId="77777777" w:rsidR="004C411C" w:rsidRPr="00617E83" w:rsidRDefault="004C411C" w:rsidP="00DE769A">
            <w:pPr>
              <w:rPr>
                <w:rFonts w:asciiTheme="minorHAnsi" w:eastAsiaTheme="minorHAnsi" w:hAnsiTheme="minorHAnsi" w:cstheme="minorBidi"/>
              </w:rPr>
            </w:pPr>
          </w:p>
        </w:tc>
        <w:tc>
          <w:tcPr>
            <w:tcW w:w="4111" w:type="dxa"/>
          </w:tcPr>
          <w:p w14:paraId="430C0AB9" w14:textId="77777777" w:rsidR="004C411C" w:rsidRPr="00617E83" w:rsidRDefault="004C411C" w:rsidP="00DE769A">
            <w:pPr>
              <w:rPr>
                <w:rFonts w:asciiTheme="minorHAnsi" w:eastAsiaTheme="minorHAnsi" w:hAnsiTheme="minorHAnsi" w:cstheme="minorBidi"/>
              </w:rPr>
            </w:pPr>
          </w:p>
        </w:tc>
      </w:tr>
      <w:tr w:rsidR="004C411C" w:rsidRPr="00617E83" w14:paraId="7768F554" w14:textId="77777777" w:rsidTr="00452E3C">
        <w:trPr>
          <w:trHeight w:val="340"/>
        </w:trPr>
        <w:tc>
          <w:tcPr>
            <w:tcW w:w="1668" w:type="dxa"/>
          </w:tcPr>
          <w:p w14:paraId="7B404CDE" w14:textId="77777777" w:rsidR="004C411C" w:rsidRPr="00617E83" w:rsidRDefault="004C411C" w:rsidP="00DE769A">
            <w:pPr>
              <w:rPr>
                <w:rFonts w:asciiTheme="minorHAnsi" w:eastAsiaTheme="minorHAnsi" w:hAnsiTheme="minorHAnsi" w:cstheme="minorBidi"/>
              </w:rPr>
            </w:pPr>
          </w:p>
        </w:tc>
        <w:tc>
          <w:tcPr>
            <w:tcW w:w="1417" w:type="dxa"/>
          </w:tcPr>
          <w:p w14:paraId="6CD1CCFE" w14:textId="77777777" w:rsidR="004C411C" w:rsidRPr="00617E83" w:rsidRDefault="004C411C" w:rsidP="00DE769A">
            <w:pPr>
              <w:rPr>
                <w:rFonts w:asciiTheme="minorHAnsi" w:eastAsiaTheme="minorHAnsi" w:hAnsiTheme="minorHAnsi" w:cstheme="minorBidi"/>
              </w:rPr>
            </w:pPr>
          </w:p>
        </w:tc>
        <w:tc>
          <w:tcPr>
            <w:tcW w:w="709" w:type="dxa"/>
          </w:tcPr>
          <w:p w14:paraId="47B21F4A" w14:textId="77777777" w:rsidR="004C411C" w:rsidRPr="00617E83" w:rsidRDefault="004C411C" w:rsidP="00DE769A">
            <w:pPr>
              <w:rPr>
                <w:rFonts w:asciiTheme="minorHAnsi" w:eastAsiaTheme="minorHAnsi" w:hAnsiTheme="minorHAnsi" w:cstheme="minorBidi"/>
              </w:rPr>
            </w:pPr>
          </w:p>
        </w:tc>
        <w:tc>
          <w:tcPr>
            <w:tcW w:w="1559" w:type="dxa"/>
          </w:tcPr>
          <w:p w14:paraId="17672CD5" w14:textId="77777777" w:rsidR="004C411C" w:rsidRPr="00617E83" w:rsidRDefault="004C411C" w:rsidP="00DE769A">
            <w:pPr>
              <w:rPr>
                <w:rFonts w:asciiTheme="minorHAnsi" w:eastAsiaTheme="minorHAnsi" w:hAnsiTheme="minorHAnsi" w:cstheme="minorBidi"/>
              </w:rPr>
            </w:pPr>
          </w:p>
        </w:tc>
        <w:tc>
          <w:tcPr>
            <w:tcW w:w="2693" w:type="dxa"/>
            <w:tcBorders>
              <w:right w:val="single" w:sz="4" w:space="0" w:color="auto"/>
            </w:tcBorders>
          </w:tcPr>
          <w:p w14:paraId="6C2F9DC6" w14:textId="77777777" w:rsidR="004C411C" w:rsidRPr="00617E83" w:rsidRDefault="004C411C" w:rsidP="00DE769A">
            <w:pPr>
              <w:rPr>
                <w:rFonts w:asciiTheme="minorHAnsi" w:eastAsiaTheme="minorHAnsi" w:hAnsiTheme="minorHAnsi" w:cstheme="minorBidi"/>
              </w:rPr>
            </w:pPr>
          </w:p>
        </w:tc>
        <w:tc>
          <w:tcPr>
            <w:tcW w:w="520" w:type="dxa"/>
            <w:tcBorders>
              <w:top w:val="single" w:sz="4" w:space="0" w:color="auto"/>
              <w:left w:val="single" w:sz="4" w:space="0" w:color="auto"/>
              <w:bottom w:val="single" w:sz="4" w:space="0" w:color="auto"/>
              <w:right w:val="nil"/>
            </w:tcBorders>
          </w:tcPr>
          <w:p w14:paraId="79C4B02F" w14:textId="77777777" w:rsidR="004C411C" w:rsidRPr="00617E83" w:rsidRDefault="004C411C" w:rsidP="00DE769A">
            <w:pPr>
              <w:rPr>
                <w:rFonts w:asciiTheme="minorHAnsi" w:eastAsiaTheme="minorHAnsi" w:hAnsiTheme="minorHAnsi" w:cstheme="minorBidi"/>
              </w:rPr>
            </w:pPr>
          </w:p>
        </w:tc>
        <w:tc>
          <w:tcPr>
            <w:tcW w:w="676" w:type="dxa"/>
            <w:tcBorders>
              <w:top w:val="single" w:sz="4" w:space="0" w:color="auto"/>
              <w:left w:val="nil"/>
              <w:bottom w:val="single" w:sz="4" w:space="0" w:color="auto"/>
              <w:right w:val="nil"/>
            </w:tcBorders>
          </w:tcPr>
          <w:p w14:paraId="09A7F3A3" w14:textId="77777777" w:rsidR="004C411C" w:rsidRPr="00617E83" w:rsidRDefault="004C411C" w:rsidP="00DE769A">
            <w:pPr>
              <w:rPr>
                <w:rFonts w:asciiTheme="minorHAnsi" w:eastAsiaTheme="minorHAnsi" w:hAnsiTheme="minorHAnsi" w:cstheme="minorBidi"/>
              </w:rPr>
            </w:pPr>
          </w:p>
        </w:tc>
        <w:tc>
          <w:tcPr>
            <w:tcW w:w="599" w:type="dxa"/>
            <w:tcBorders>
              <w:top w:val="single" w:sz="4" w:space="0" w:color="auto"/>
              <w:left w:val="nil"/>
              <w:bottom w:val="single" w:sz="4" w:space="0" w:color="auto"/>
              <w:right w:val="nil"/>
            </w:tcBorders>
          </w:tcPr>
          <w:p w14:paraId="0B3A71BC" w14:textId="77777777" w:rsidR="004C411C" w:rsidRPr="00617E83" w:rsidRDefault="004C411C" w:rsidP="00DE769A">
            <w:pPr>
              <w:rPr>
                <w:rFonts w:asciiTheme="minorHAnsi" w:eastAsiaTheme="minorHAnsi" w:hAnsiTheme="minorHAnsi" w:cstheme="minorBidi"/>
              </w:rPr>
            </w:pPr>
          </w:p>
        </w:tc>
        <w:tc>
          <w:tcPr>
            <w:tcW w:w="757" w:type="dxa"/>
            <w:tcBorders>
              <w:top w:val="single" w:sz="4" w:space="0" w:color="auto"/>
              <w:left w:val="nil"/>
              <w:bottom w:val="single" w:sz="4" w:space="0" w:color="auto"/>
              <w:right w:val="single" w:sz="4" w:space="0" w:color="auto"/>
            </w:tcBorders>
          </w:tcPr>
          <w:p w14:paraId="5C29F1A4" w14:textId="77777777" w:rsidR="004C411C" w:rsidRPr="00617E83" w:rsidRDefault="004C411C" w:rsidP="00DE769A">
            <w:pPr>
              <w:rPr>
                <w:rFonts w:asciiTheme="minorHAnsi" w:eastAsiaTheme="minorHAnsi" w:hAnsiTheme="minorHAnsi" w:cstheme="minorBidi"/>
              </w:rPr>
            </w:pPr>
          </w:p>
        </w:tc>
        <w:tc>
          <w:tcPr>
            <w:tcW w:w="615" w:type="dxa"/>
            <w:tcBorders>
              <w:top w:val="single" w:sz="4" w:space="0" w:color="auto"/>
              <w:left w:val="single" w:sz="4" w:space="0" w:color="auto"/>
              <w:bottom w:val="single" w:sz="4" w:space="0" w:color="auto"/>
              <w:right w:val="nil"/>
            </w:tcBorders>
          </w:tcPr>
          <w:p w14:paraId="50281132" w14:textId="77777777" w:rsidR="004C411C" w:rsidRPr="00617E83" w:rsidRDefault="004C411C" w:rsidP="00DE769A">
            <w:pPr>
              <w:rPr>
                <w:rFonts w:asciiTheme="minorHAnsi" w:eastAsiaTheme="minorHAnsi" w:hAnsiTheme="minorHAnsi" w:cstheme="minorBidi"/>
              </w:rPr>
            </w:pPr>
          </w:p>
        </w:tc>
        <w:tc>
          <w:tcPr>
            <w:tcW w:w="944" w:type="dxa"/>
            <w:tcBorders>
              <w:top w:val="single" w:sz="4" w:space="0" w:color="auto"/>
              <w:left w:val="nil"/>
              <w:bottom w:val="single" w:sz="4" w:space="0" w:color="auto"/>
            </w:tcBorders>
          </w:tcPr>
          <w:p w14:paraId="2C28853B" w14:textId="77777777" w:rsidR="004C411C" w:rsidRPr="00617E83" w:rsidRDefault="004C411C" w:rsidP="00DE769A">
            <w:pPr>
              <w:rPr>
                <w:rFonts w:asciiTheme="minorHAnsi" w:eastAsiaTheme="minorHAnsi" w:hAnsiTheme="minorHAnsi" w:cstheme="minorBidi"/>
              </w:rPr>
            </w:pPr>
          </w:p>
        </w:tc>
        <w:tc>
          <w:tcPr>
            <w:tcW w:w="4111" w:type="dxa"/>
          </w:tcPr>
          <w:p w14:paraId="298BE8A6" w14:textId="77777777" w:rsidR="004C411C" w:rsidRPr="00617E83" w:rsidRDefault="004C411C" w:rsidP="00DE769A">
            <w:pPr>
              <w:rPr>
                <w:rFonts w:asciiTheme="minorHAnsi" w:eastAsiaTheme="minorHAnsi" w:hAnsiTheme="minorHAnsi" w:cstheme="minorBidi"/>
              </w:rPr>
            </w:pPr>
          </w:p>
        </w:tc>
      </w:tr>
      <w:tr w:rsidR="004C411C" w:rsidRPr="00617E83" w14:paraId="6514B60B" w14:textId="77777777" w:rsidTr="00F51002">
        <w:trPr>
          <w:trHeight w:val="567"/>
        </w:trPr>
        <w:tc>
          <w:tcPr>
            <w:tcW w:w="1668" w:type="dxa"/>
          </w:tcPr>
          <w:p w14:paraId="10988D3B" w14:textId="77777777" w:rsidR="004C411C" w:rsidRPr="00617E83" w:rsidRDefault="004C411C" w:rsidP="00DE769A">
            <w:pPr>
              <w:rPr>
                <w:rFonts w:asciiTheme="minorHAnsi" w:eastAsiaTheme="minorHAnsi" w:hAnsiTheme="minorHAnsi" w:cstheme="minorBidi"/>
              </w:rPr>
            </w:pPr>
          </w:p>
        </w:tc>
        <w:tc>
          <w:tcPr>
            <w:tcW w:w="1417" w:type="dxa"/>
          </w:tcPr>
          <w:p w14:paraId="476ED1B2" w14:textId="77777777" w:rsidR="004C411C" w:rsidRPr="00617E83" w:rsidRDefault="004C411C" w:rsidP="00DE769A">
            <w:pPr>
              <w:rPr>
                <w:rFonts w:asciiTheme="minorHAnsi" w:eastAsiaTheme="minorHAnsi" w:hAnsiTheme="minorHAnsi" w:cstheme="minorBidi"/>
              </w:rPr>
            </w:pPr>
          </w:p>
        </w:tc>
        <w:tc>
          <w:tcPr>
            <w:tcW w:w="709" w:type="dxa"/>
          </w:tcPr>
          <w:p w14:paraId="016F7B86" w14:textId="77777777" w:rsidR="004C411C" w:rsidRPr="00617E83" w:rsidRDefault="004C411C" w:rsidP="00DE769A">
            <w:pPr>
              <w:rPr>
                <w:rFonts w:asciiTheme="minorHAnsi" w:eastAsiaTheme="minorHAnsi" w:hAnsiTheme="minorHAnsi" w:cstheme="minorBidi"/>
              </w:rPr>
            </w:pPr>
          </w:p>
        </w:tc>
        <w:tc>
          <w:tcPr>
            <w:tcW w:w="1559" w:type="dxa"/>
          </w:tcPr>
          <w:p w14:paraId="2CE27FB3" w14:textId="77777777" w:rsidR="004C411C" w:rsidRPr="00617E83" w:rsidRDefault="004C411C" w:rsidP="00DE769A">
            <w:pPr>
              <w:rPr>
                <w:rFonts w:asciiTheme="minorHAnsi" w:eastAsiaTheme="minorHAnsi" w:hAnsiTheme="minorHAnsi" w:cstheme="minorBidi"/>
              </w:rPr>
            </w:pPr>
          </w:p>
        </w:tc>
        <w:tc>
          <w:tcPr>
            <w:tcW w:w="2693" w:type="dxa"/>
            <w:tcBorders>
              <w:right w:val="single" w:sz="4" w:space="0" w:color="auto"/>
            </w:tcBorders>
          </w:tcPr>
          <w:p w14:paraId="0849BC77" w14:textId="77777777" w:rsidR="004C411C" w:rsidRPr="00617E83" w:rsidRDefault="004C411C" w:rsidP="00DE769A">
            <w:pPr>
              <w:rPr>
                <w:rFonts w:asciiTheme="minorHAnsi" w:eastAsiaTheme="minorHAnsi" w:hAnsiTheme="minorHAnsi" w:cstheme="minorBidi"/>
              </w:rPr>
            </w:pPr>
          </w:p>
        </w:tc>
        <w:tc>
          <w:tcPr>
            <w:tcW w:w="520" w:type="dxa"/>
            <w:tcBorders>
              <w:top w:val="single" w:sz="4" w:space="0" w:color="auto"/>
              <w:left w:val="single" w:sz="4" w:space="0" w:color="auto"/>
              <w:bottom w:val="single" w:sz="4" w:space="0" w:color="auto"/>
              <w:right w:val="nil"/>
            </w:tcBorders>
          </w:tcPr>
          <w:p w14:paraId="0FCFD652" w14:textId="77777777" w:rsidR="004C411C" w:rsidRPr="00617E83" w:rsidRDefault="004C411C" w:rsidP="00DE769A">
            <w:pPr>
              <w:rPr>
                <w:rFonts w:asciiTheme="minorHAnsi" w:eastAsiaTheme="minorHAnsi" w:hAnsiTheme="minorHAnsi" w:cstheme="minorBidi"/>
              </w:rPr>
            </w:pPr>
          </w:p>
        </w:tc>
        <w:tc>
          <w:tcPr>
            <w:tcW w:w="676" w:type="dxa"/>
            <w:tcBorders>
              <w:top w:val="single" w:sz="4" w:space="0" w:color="auto"/>
              <w:left w:val="nil"/>
              <w:bottom w:val="single" w:sz="4" w:space="0" w:color="auto"/>
              <w:right w:val="nil"/>
            </w:tcBorders>
          </w:tcPr>
          <w:p w14:paraId="335DC2A5" w14:textId="77777777" w:rsidR="004C411C" w:rsidRPr="00617E83" w:rsidRDefault="004C411C" w:rsidP="00DE769A">
            <w:pPr>
              <w:rPr>
                <w:rFonts w:asciiTheme="minorHAnsi" w:eastAsiaTheme="minorHAnsi" w:hAnsiTheme="minorHAnsi" w:cstheme="minorBidi"/>
              </w:rPr>
            </w:pPr>
          </w:p>
        </w:tc>
        <w:tc>
          <w:tcPr>
            <w:tcW w:w="599" w:type="dxa"/>
            <w:tcBorders>
              <w:top w:val="single" w:sz="4" w:space="0" w:color="auto"/>
              <w:left w:val="nil"/>
              <w:bottom w:val="single" w:sz="4" w:space="0" w:color="auto"/>
              <w:right w:val="nil"/>
            </w:tcBorders>
          </w:tcPr>
          <w:p w14:paraId="2F0114A3" w14:textId="77777777" w:rsidR="004C411C" w:rsidRPr="00617E83" w:rsidRDefault="004C411C" w:rsidP="00DE769A">
            <w:pPr>
              <w:rPr>
                <w:rFonts w:asciiTheme="minorHAnsi" w:eastAsiaTheme="minorHAnsi" w:hAnsiTheme="minorHAnsi" w:cstheme="minorBidi"/>
              </w:rPr>
            </w:pPr>
          </w:p>
        </w:tc>
        <w:tc>
          <w:tcPr>
            <w:tcW w:w="757" w:type="dxa"/>
            <w:tcBorders>
              <w:top w:val="single" w:sz="4" w:space="0" w:color="auto"/>
              <w:left w:val="nil"/>
              <w:bottom w:val="single" w:sz="4" w:space="0" w:color="auto"/>
              <w:right w:val="single" w:sz="4" w:space="0" w:color="auto"/>
            </w:tcBorders>
          </w:tcPr>
          <w:p w14:paraId="5781877E" w14:textId="77777777" w:rsidR="004C411C" w:rsidRPr="00617E83" w:rsidRDefault="004C411C" w:rsidP="00DE769A">
            <w:pPr>
              <w:rPr>
                <w:rFonts w:asciiTheme="minorHAnsi" w:eastAsiaTheme="minorHAnsi" w:hAnsiTheme="minorHAnsi" w:cstheme="minorBidi"/>
              </w:rPr>
            </w:pPr>
          </w:p>
        </w:tc>
        <w:tc>
          <w:tcPr>
            <w:tcW w:w="615" w:type="dxa"/>
            <w:tcBorders>
              <w:top w:val="single" w:sz="4" w:space="0" w:color="auto"/>
              <w:left w:val="single" w:sz="4" w:space="0" w:color="auto"/>
              <w:bottom w:val="single" w:sz="4" w:space="0" w:color="auto"/>
              <w:right w:val="nil"/>
            </w:tcBorders>
          </w:tcPr>
          <w:p w14:paraId="1F37DFE7" w14:textId="77777777" w:rsidR="004C411C" w:rsidRPr="00617E83" w:rsidRDefault="004C411C" w:rsidP="00DE769A">
            <w:pPr>
              <w:rPr>
                <w:rFonts w:asciiTheme="minorHAnsi" w:eastAsiaTheme="minorHAnsi" w:hAnsiTheme="minorHAnsi" w:cstheme="minorBidi"/>
              </w:rPr>
            </w:pPr>
          </w:p>
        </w:tc>
        <w:tc>
          <w:tcPr>
            <w:tcW w:w="944" w:type="dxa"/>
            <w:tcBorders>
              <w:top w:val="single" w:sz="4" w:space="0" w:color="auto"/>
              <w:left w:val="nil"/>
              <w:bottom w:val="single" w:sz="4" w:space="0" w:color="auto"/>
            </w:tcBorders>
          </w:tcPr>
          <w:p w14:paraId="3D956B19" w14:textId="77777777" w:rsidR="004C411C" w:rsidRPr="00617E83" w:rsidRDefault="004C411C" w:rsidP="00DE769A">
            <w:pPr>
              <w:rPr>
                <w:rFonts w:asciiTheme="minorHAnsi" w:eastAsiaTheme="minorHAnsi" w:hAnsiTheme="minorHAnsi" w:cstheme="minorBidi"/>
              </w:rPr>
            </w:pPr>
          </w:p>
        </w:tc>
        <w:tc>
          <w:tcPr>
            <w:tcW w:w="4111" w:type="dxa"/>
          </w:tcPr>
          <w:p w14:paraId="283A712E" w14:textId="77777777" w:rsidR="004C411C" w:rsidRPr="00617E83" w:rsidRDefault="004C411C" w:rsidP="00DE769A">
            <w:pPr>
              <w:rPr>
                <w:rFonts w:asciiTheme="minorHAnsi" w:eastAsiaTheme="minorHAnsi" w:hAnsiTheme="minorHAnsi" w:cstheme="minorBidi"/>
              </w:rPr>
            </w:pPr>
          </w:p>
        </w:tc>
      </w:tr>
    </w:tbl>
    <w:p w14:paraId="6698B702" w14:textId="5FD1B5D9" w:rsidR="004C411C" w:rsidRPr="00812166" w:rsidRDefault="00E65BCB" w:rsidP="00E65BCB">
      <w:pPr>
        <w:tabs>
          <w:tab w:val="left" w:pos="11700"/>
        </w:tabs>
      </w:pPr>
      <w:r>
        <w:tab/>
      </w:r>
    </w:p>
    <w:p w14:paraId="3624D0C2" w14:textId="77777777" w:rsidR="004C411C" w:rsidRDefault="004C411C" w:rsidP="004C411C">
      <w:pPr>
        <w:rPr>
          <w:rFonts w:eastAsia="Times New Roman"/>
          <w:b/>
          <w:bCs/>
          <w:iCs/>
          <w:color w:val="FFFFFF" w:themeColor="background1"/>
          <w:lang w:eastAsia="en-US"/>
        </w:rPr>
      </w:pPr>
    </w:p>
    <w:p w14:paraId="127FA4DA" w14:textId="77777777" w:rsidR="004C411C" w:rsidRDefault="004C411C" w:rsidP="004C411C">
      <w:pPr>
        <w:rPr>
          <w:rFonts w:eastAsia="Times New Roman"/>
          <w:b/>
          <w:bCs/>
          <w:iCs/>
          <w:color w:val="FFFFFF" w:themeColor="background1"/>
          <w:lang w:eastAsia="en-US"/>
        </w:rPr>
      </w:pPr>
    </w:p>
    <w:p w14:paraId="02119BE2" w14:textId="77777777" w:rsidR="004C411C" w:rsidRDefault="004C411C" w:rsidP="00201AF6">
      <w:pPr>
        <w:pStyle w:val="BodyCopy"/>
      </w:pPr>
    </w:p>
    <w:p w14:paraId="2FC6837A" w14:textId="77777777" w:rsidR="00A513AA" w:rsidRDefault="00A513AA" w:rsidP="00A513AA">
      <w:pPr>
        <w:pStyle w:val="Bullet"/>
        <w:numPr>
          <w:ilvl w:val="0"/>
          <w:numId w:val="0"/>
        </w:numPr>
        <w:rPr>
          <w:rStyle w:val="Hyperlink"/>
        </w:rPr>
      </w:pPr>
      <w:hyperlink w:anchor="_top" w:history="1">
        <w:r w:rsidRPr="00481A6C">
          <w:rPr>
            <w:rStyle w:val="Hyperlink"/>
          </w:rPr>
          <w:t>Back to Contents</w:t>
        </w:r>
      </w:hyperlink>
    </w:p>
    <w:p w14:paraId="6DAEA2D4" w14:textId="77777777" w:rsidR="00A513AA" w:rsidRDefault="00A513AA" w:rsidP="00201AF6">
      <w:pPr>
        <w:pStyle w:val="BodyCopy"/>
      </w:pPr>
    </w:p>
    <w:sectPr w:rsidR="00A513AA" w:rsidSect="00E65BCB">
      <w:footerReference w:type="default" r:id="rId31"/>
      <w:headerReference w:type="first" r:id="rId32"/>
      <w:footerReference w:type="first" r:id="rId33"/>
      <w:pgSz w:w="16838" w:h="11906" w:orient="landscape"/>
      <w:pgMar w:top="1440" w:right="1440" w:bottom="1440" w:left="1440"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C2C3" w14:textId="77777777" w:rsidR="00BF20B1" w:rsidRDefault="00BF20B1" w:rsidP="00225769">
      <w:pPr>
        <w:spacing w:after="0" w:line="240" w:lineRule="auto"/>
      </w:pPr>
      <w:r>
        <w:separator/>
      </w:r>
    </w:p>
    <w:p w14:paraId="08F7839E" w14:textId="77777777" w:rsidR="00BF20B1" w:rsidRDefault="00BF20B1"/>
    <w:p w14:paraId="1A80F089" w14:textId="77777777" w:rsidR="00BF20B1" w:rsidRDefault="00BF20B1"/>
    <w:p w14:paraId="5F986AB8" w14:textId="77777777" w:rsidR="00BF20B1" w:rsidRDefault="00BF20B1"/>
    <w:p w14:paraId="75430276" w14:textId="77777777" w:rsidR="00BF20B1" w:rsidRDefault="00BF20B1"/>
    <w:p w14:paraId="26C25F1B" w14:textId="77777777" w:rsidR="00BF20B1" w:rsidRDefault="00BF20B1"/>
    <w:p w14:paraId="09C75A91" w14:textId="77777777" w:rsidR="00BF20B1" w:rsidRDefault="00BF20B1"/>
  </w:endnote>
  <w:endnote w:type="continuationSeparator" w:id="0">
    <w:p w14:paraId="11CC81C5" w14:textId="77777777" w:rsidR="00BF20B1" w:rsidRDefault="00BF20B1" w:rsidP="00225769">
      <w:pPr>
        <w:spacing w:after="0" w:line="240" w:lineRule="auto"/>
      </w:pPr>
      <w:r>
        <w:continuationSeparator/>
      </w:r>
    </w:p>
    <w:p w14:paraId="6D9B10B8" w14:textId="77777777" w:rsidR="00BF20B1" w:rsidRDefault="00BF20B1"/>
    <w:p w14:paraId="70DD5ED9" w14:textId="77777777" w:rsidR="00BF20B1" w:rsidRDefault="00BF20B1"/>
    <w:p w14:paraId="778C9C58" w14:textId="77777777" w:rsidR="00BF20B1" w:rsidRDefault="00BF20B1"/>
    <w:p w14:paraId="6856E35D" w14:textId="77777777" w:rsidR="00BF20B1" w:rsidRDefault="00BF20B1"/>
    <w:p w14:paraId="685D4950" w14:textId="77777777" w:rsidR="00BF20B1" w:rsidRDefault="00BF20B1"/>
    <w:p w14:paraId="5DD27CCB" w14:textId="77777777" w:rsidR="00BF20B1" w:rsidRDefault="00BF2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5" w:type="dxa"/>
      <w:tblBorders>
        <w:insideH w:val="single" w:sz="4" w:space="0" w:color="auto"/>
      </w:tblBorders>
      <w:tblLook w:val="00A0" w:firstRow="1" w:lastRow="0" w:firstColumn="1" w:lastColumn="0" w:noHBand="0" w:noVBand="0"/>
    </w:tblPr>
    <w:tblGrid>
      <w:gridCol w:w="1475"/>
      <w:gridCol w:w="950"/>
      <w:gridCol w:w="1217"/>
      <w:gridCol w:w="1411"/>
      <w:gridCol w:w="2885"/>
      <w:gridCol w:w="1069"/>
      <w:gridCol w:w="48"/>
    </w:tblGrid>
    <w:tr w:rsidR="00884CD8" w:rsidRPr="00AE7C5C" w14:paraId="497F96BD" w14:textId="77777777" w:rsidTr="00785CFD">
      <w:trPr>
        <w:gridAfter w:val="1"/>
        <w:wAfter w:w="48" w:type="dxa"/>
      </w:trPr>
      <w:tc>
        <w:tcPr>
          <w:tcW w:w="1475" w:type="dxa"/>
          <w:tcBorders>
            <w:bottom w:val="nil"/>
          </w:tcBorders>
        </w:tcPr>
        <w:p w14:paraId="3B836285" w14:textId="31995B2B" w:rsidR="004C411C" w:rsidRPr="00884CD8" w:rsidRDefault="004C411C" w:rsidP="00884CD8">
          <w:pPr>
            <w:pStyle w:val="Footer"/>
            <w:jc w:val="center"/>
            <w:rPr>
              <w:b/>
              <w:bCs/>
              <w:iCs/>
              <w:sz w:val="20"/>
            </w:rPr>
          </w:pPr>
          <w:r w:rsidRPr="00884CD8">
            <w:rPr>
              <w:b/>
              <w:bCs/>
              <w:iCs/>
              <w:sz w:val="20"/>
            </w:rPr>
            <w:t>Doc Number</w:t>
          </w:r>
        </w:p>
      </w:tc>
      <w:tc>
        <w:tcPr>
          <w:tcW w:w="950" w:type="dxa"/>
          <w:tcBorders>
            <w:bottom w:val="nil"/>
          </w:tcBorders>
        </w:tcPr>
        <w:p w14:paraId="3A676800" w14:textId="77777777" w:rsidR="004C411C" w:rsidRPr="00884CD8" w:rsidRDefault="004C411C" w:rsidP="00884CD8">
          <w:pPr>
            <w:pStyle w:val="Footer"/>
            <w:jc w:val="center"/>
            <w:rPr>
              <w:b/>
              <w:bCs/>
              <w:iCs/>
              <w:sz w:val="20"/>
            </w:rPr>
          </w:pPr>
          <w:r w:rsidRPr="00884CD8">
            <w:rPr>
              <w:b/>
              <w:bCs/>
              <w:iCs/>
              <w:sz w:val="20"/>
            </w:rPr>
            <w:t>Version</w:t>
          </w:r>
        </w:p>
      </w:tc>
      <w:tc>
        <w:tcPr>
          <w:tcW w:w="1217" w:type="dxa"/>
          <w:tcBorders>
            <w:bottom w:val="nil"/>
          </w:tcBorders>
        </w:tcPr>
        <w:p w14:paraId="2C0DA01E" w14:textId="77777777" w:rsidR="004C411C" w:rsidRPr="00884CD8" w:rsidRDefault="004C411C" w:rsidP="00884CD8">
          <w:pPr>
            <w:pStyle w:val="Footer"/>
            <w:jc w:val="center"/>
            <w:rPr>
              <w:b/>
              <w:bCs/>
              <w:iCs/>
              <w:sz w:val="20"/>
            </w:rPr>
          </w:pPr>
          <w:r w:rsidRPr="00884CD8">
            <w:rPr>
              <w:b/>
              <w:bCs/>
              <w:iCs/>
              <w:sz w:val="20"/>
            </w:rPr>
            <w:t>Issued</w:t>
          </w:r>
        </w:p>
      </w:tc>
      <w:tc>
        <w:tcPr>
          <w:tcW w:w="1411" w:type="dxa"/>
          <w:tcBorders>
            <w:bottom w:val="nil"/>
          </w:tcBorders>
        </w:tcPr>
        <w:p w14:paraId="21C469C1" w14:textId="77777777" w:rsidR="004C411C" w:rsidRPr="00884CD8" w:rsidRDefault="004C411C" w:rsidP="00884CD8">
          <w:pPr>
            <w:pStyle w:val="Footer"/>
            <w:jc w:val="center"/>
            <w:rPr>
              <w:b/>
              <w:bCs/>
              <w:iCs/>
              <w:sz w:val="20"/>
            </w:rPr>
          </w:pPr>
          <w:r w:rsidRPr="00884CD8">
            <w:rPr>
              <w:b/>
              <w:bCs/>
              <w:iCs/>
              <w:sz w:val="20"/>
            </w:rPr>
            <w:t>Review Date</w:t>
          </w:r>
        </w:p>
      </w:tc>
      <w:tc>
        <w:tcPr>
          <w:tcW w:w="2885" w:type="dxa"/>
          <w:tcBorders>
            <w:bottom w:val="nil"/>
          </w:tcBorders>
        </w:tcPr>
        <w:p w14:paraId="0719D633" w14:textId="67A3D968" w:rsidR="004C411C" w:rsidRPr="00884CD8" w:rsidRDefault="004C411C" w:rsidP="00884CD8">
          <w:pPr>
            <w:pStyle w:val="Footer"/>
            <w:jc w:val="center"/>
            <w:rPr>
              <w:b/>
              <w:bCs/>
              <w:iCs/>
              <w:sz w:val="20"/>
            </w:rPr>
          </w:pPr>
          <w:r w:rsidRPr="00884CD8">
            <w:rPr>
              <w:b/>
              <w:bCs/>
              <w:iCs/>
              <w:sz w:val="20"/>
            </w:rPr>
            <w:t>Area</w:t>
          </w:r>
        </w:p>
      </w:tc>
      <w:tc>
        <w:tcPr>
          <w:tcW w:w="1069" w:type="dxa"/>
          <w:tcBorders>
            <w:bottom w:val="nil"/>
          </w:tcBorders>
        </w:tcPr>
        <w:p w14:paraId="053B2824" w14:textId="77777777" w:rsidR="004C411C" w:rsidRPr="00884CD8" w:rsidRDefault="004C411C" w:rsidP="00884CD8">
          <w:pPr>
            <w:pStyle w:val="Footer"/>
            <w:jc w:val="center"/>
            <w:rPr>
              <w:b/>
              <w:bCs/>
              <w:iCs/>
              <w:sz w:val="20"/>
            </w:rPr>
          </w:pPr>
          <w:r w:rsidRPr="00884CD8">
            <w:rPr>
              <w:b/>
              <w:bCs/>
              <w:iCs/>
              <w:sz w:val="20"/>
            </w:rPr>
            <w:t>Page</w:t>
          </w:r>
        </w:p>
      </w:tc>
    </w:tr>
    <w:tr w:rsidR="00884CD8" w14:paraId="5FEEAE20" w14:textId="77777777" w:rsidTr="00785CFD">
      <w:trPr>
        <w:gridAfter w:val="1"/>
        <w:wAfter w:w="48" w:type="dxa"/>
      </w:trPr>
      <w:tc>
        <w:tcPr>
          <w:tcW w:w="1475" w:type="dxa"/>
          <w:tcBorders>
            <w:top w:val="nil"/>
            <w:bottom w:val="nil"/>
          </w:tcBorders>
        </w:tcPr>
        <w:p w14:paraId="3EC6AA33" w14:textId="1BE1C552" w:rsidR="004C411C" w:rsidRPr="00884CD8" w:rsidRDefault="00785CFD" w:rsidP="00884CD8">
          <w:pPr>
            <w:pStyle w:val="Footer"/>
            <w:jc w:val="center"/>
            <w:rPr>
              <w:b/>
              <w:bCs/>
              <w:iCs/>
              <w:sz w:val="20"/>
            </w:rPr>
          </w:pPr>
          <w:r>
            <w:rPr>
              <w:b/>
              <w:iCs/>
              <w:sz w:val="20"/>
            </w:rPr>
            <w:t>CHS26/122</w:t>
          </w:r>
        </w:p>
      </w:tc>
      <w:tc>
        <w:tcPr>
          <w:tcW w:w="950" w:type="dxa"/>
          <w:tcBorders>
            <w:top w:val="nil"/>
            <w:bottom w:val="nil"/>
          </w:tcBorders>
        </w:tcPr>
        <w:p w14:paraId="667C42B0" w14:textId="376A8CFF" w:rsidR="004C411C" w:rsidRPr="00884CD8" w:rsidRDefault="00785CFD" w:rsidP="00884CD8">
          <w:pPr>
            <w:pStyle w:val="Footer"/>
            <w:jc w:val="center"/>
            <w:rPr>
              <w:b/>
              <w:bCs/>
              <w:iCs/>
              <w:sz w:val="20"/>
            </w:rPr>
          </w:pPr>
          <w:r>
            <w:rPr>
              <w:b/>
              <w:bCs/>
              <w:iCs/>
              <w:sz w:val="20"/>
            </w:rPr>
            <w:t>1</w:t>
          </w:r>
        </w:p>
      </w:tc>
      <w:tc>
        <w:tcPr>
          <w:tcW w:w="1217" w:type="dxa"/>
          <w:tcBorders>
            <w:top w:val="nil"/>
            <w:bottom w:val="nil"/>
          </w:tcBorders>
        </w:tcPr>
        <w:p w14:paraId="481743D0" w14:textId="23F6576A" w:rsidR="004C411C" w:rsidRPr="00884CD8" w:rsidRDefault="00785CFD" w:rsidP="00884CD8">
          <w:pPr>
            <w:pStyle w:val="Footer"/>
            <w:jc w:val="center"/>
            <w:rPr>
              <w:b/>
              <w:bCs/>
              <w:iCs/>
              <w:sz w:val="20"/>
            </w:rPr>
          </w:pPr>
          <w:r>
            <w:rPr>
              <w:b/>
              <w:bCs/>
              <w:iCs/>
              <w:sz w:val="20"/>
            </w:rPr>
            <w:t>30/04/2026</w:t>
          </w:r>
        </w:p>
      </w:tc>
      <w:tc>
        <w:tcPr>
          <w:tcW w:w="1411" w:type="dxa"/>
          <w:tcBorders>
            <w:top w:val="nil"/>
            <w:bottom w:val="nil"/>
          </w:tcBorders>
        </w:tcPr>
        <w:p w14:paraId="3F914F4A" w14:textId="75A8E842" w:rsidR="004C411C" w:rsidRPr="00884CD8" w:rsidRDefault="00785CFD" w:rsidP="00884CD8">
          <w:pPr>
            <w:pStyle w:val="Footer"/>
            <w:jc w:val="center"/>
            <w:rPr>
              <w:b/>
              <w:bCs/>
              <w:iCs/>
              <w:sz w:val="20"/>
            </w:rPr>
          </w:pPr>
          <w:r>
            <w:rPr>
              <w:b/>
              <w:bCs/>
              <w:iCs/>
              <w:sz w:val="20"/>
            </w:rPr>
            <w:t>01/04/2030</w:t>
          </w:r>
        </w:p>
      </w:tc>
      <w:tc>
        <w:tcPr>
          <w:tcW w:w="2885" w:type="dxa"/>
          <w:tcBorders>
            <w:top w:val="nil"/>
            <w:bottom w:val="nil"/>
          </w:tcBorders>
        </w:tcPr>
        <w:p w14:paraId="449BA3B9" w14:textId="4B933315" w:rsidR="004C411C" w:rsidRPr="00884CD8" w:rsidRDefault="00785CFD" w:rsidP="00884CD8">
          <w:pPr>
            <w:pStyle w:val="Footer"/>
            <w:jc w:val="center"/>
            <w:rPr>
              <w:b/>
              <w:bCs/>
              <w:iCs/>
              <w:sz w:val="20"/>
            </w:rPr>
          </w:pPr>
          <w:r>
            <w:rPr>
              <w:b/>
              <w:bCs/>
              <w:iCs/>
              <w:sz w:val="20"/>
            </w:rPr>
            <w:t>Medicine – Respiratory and Sleep Medicine</w:t>
          </w:r>
        </w:p>
      </w:tc>
      <w:tc>
        <w:tcPr>
          <w:tcW w:w="1069" w:type="dxa"/>
          <w:tcBorders>
            <w:top w:val="nil"/>
            <w:bottom w:val="nil"/>
          </w:tcBorders>
        </w:tcPr>
        <w:p w14:paraId="21E4C1E2" w14:textId="77777777" w:rsidR="004C411C" w:rsidRPr="00884CD8" w:rsidRDefault="004C411C" w:rsidP="00884CD8">
          <w:pPr>
            <w:pStyle w:val="Footer"/>
            <w:jc w:val="center"/>
            <w:rPr>
              <w:iCs/>
              <w:sz w:val="20"/>
            </w:rPr>
          </w:pPr>
          <w:r w:rsidRPr="00884CD8">
            <w:rPr>
              <w:rStyle w:val="PageNumber"/>
              <w:iCs/>
              <w:sz w:val="20"/>
            </w:rPr>
            <w:fldChar w:fldCharType="begin"/>
          </w:r>
          <w:r w:rsidRPr="00884CD8">
            <w:rPr>
              <w:rStyle w:val="PageNumber"/>
              <w:iCs/>
              <w:sz w:val="20"/>
            </w:rPr>
            <w:instrText xml:space="preserve"> PAGE </w:instrText>
          </w:r>
          <w:r w:rsidRPr="00884CD8">
            <w:rPr>
              <w:rStyle w:val="PageNumber"/>
              <w:iCs/>
              <w:sz w:val="20"/>
            </w:rPr>
            <w:fldChar w:fldCharType="separate"/>
          </w:r>
          <w:r w:rsidRPr="00884CD8">
            <w:rPr>
              <w:rStyle w:val="PageNumber"/>
              <w:iCs/>
              <w:noProof/>
              <w:sz w:val="20"/>
            </w:rPr>
            <w:t>5</w:t>
          </w:r>
          <w:r w:rsidRPr="00884CD8">
            <w:rPr>
              <w:rStyle w:val="PageNumber"/>
              <w:iCs/>
              <w:sz w:val="20"/>
            </w:rPr>
            <w:fldChar w:fldCharType="end"/>
          </w:r>
          <w:r w:rsidRPr="00884CD8">
            <w:rPr>
              <w:rStyle w:val="PageNumber"/>
              <w:iCs/>
              <w:sz w:val="20"/>
            </w:rPr>
            <w:t xml:space="preserve"> of </w:t>
          </w:r>
          <w:r w:rsidRPr="00884CD8">
            <w:rPr>
              <w:rStyle w:val="PageNumber"/>
              <w:iCs/>
              <w:sz w:val="20"/>
            </w:rPr>
            <w:fldChar w:fldCharType="begin"/>
          </w:r>
          <w:r w:rsidRPr="00884CD8">
            <w:rPr>
              <w:rStyle w:val="PageNumber"/>
              <w:iCs/>
              <w:sz w:val="20"/>
            </w:rPr>
            <w:instrText xml:space="preserve"> NUMPAGES </w:instrText>
          </w:r>
          <w:r w:rsidRPr="00884CD8">
            <w:rPr>
              <w:rStyle w:val="PageNumber"/>
              <w:iCs/>
              <w:sz w:val="20"/>
            </w:rPr>
            <w:fldChar w:fldCharType="separate"/>
          </w:r>
          <w:r w:rsidRPr="00884CD8">
            <w:rPr>
              <w:rStyle w:val="PageNumber"/>
              <w:iCs/>
              <w:noProof/>
              <w:sz w:val="20"/>
            </w:rPr>
            <w:t>26</w:t>
          </w:r>
          <w:r w:rsidRPr="00884CD8">
            <w:rPr>
              <w:rStyle w:val="PageNumber"/>
              <w:iCs/>
              <w:sz w:val="20"/>
            </w:rPr>
            <w:fldChar w:fldCharType="end"/>
          </w:r>
        </w:p>
      </w:tc>
    </w:tr>
    <w:tr w:rsidR="004C411C" w:rsidRPr="002C1428" w14:paraId="6DE467BB" w14:textId="77777777" w:rsidTr="00E65BCB">
      <w:trPr>
        <w:trHeight w:val="231"/>
      </w:trPr>
      <w:tc>
        <w:tcPr>
          <w:tcW w:w="9055" w:type="dxa"/>
          <w:gridSpan w:val="7"/>
          <w:tcBorders>
            <w:top w:val="nil"/>
            <w:left w:val="nil"/>
            <w:bottom w:val="nil"/>
            <w:right w:val="nil"/>
          </w:tcBorders>
        </w:tcPr>
        <w:p w14:paraId="629AF636" w14:textId="5A61B4DD" w:rsidR="004C411C" w:rsidRPr="00884CD8" w:rsidRDefault="004C411C" w:rsidP="00884CD8">
          <w:pPr>
            <w:pStyle w:val="Footer"/>
            <w:rPr>
              <w:rStyle w:val="PageNumber"/>
              <w:sz w:val="16"/>
              <w:szCs w:val="16"/>
            </w:rPr>
          </w:pPr>
          <w:r w:rsidRPr="002C1428">
            <w:rPr>
              <w:sz w:val="16"/>
              <w:szCs w:val="16"/>
            </w:rPr>
            <w:t>Do not refer to a paper</w:t>
          </w:r>
          <w:r w:rsidR="00884CD8">
            <w:rPr>
              <w:sz w:val="16"/>
              <w:szCs w:val="16"/>
            </w:rPr>
            <w:t>-</w:t>
          </w:r>
          <w:r w:rsidRPr="002C1428">
            <w:rPr>
              <w:sz w:val="16"/>
              <w:szCs w:val="16"/>
            </w:rPr>
            <w:t>based copy of this document.</w:t>
          </w:r>
          <w:r w:rsidR="00884CD8">
            <w:rPr>
              <w:sz w:val="16"/>
              <w:szCs w:val="16"/>
            </w:rPr>
            <w:t xml:space="preserve">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6E6C6346" w14:textId="77777777" w:rsidR="004C411C" w:rsidRPr="00AE7C5C" w:rsidRDefault="004C411C" w:rsidP="004D0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3949B44" w14:textId="77777777" w:rsidTr="003B0E72">
      <w:trPr>
        <w:jc w:val="center"/>
      </w:trPr>
      <w:tc>
        <w:tcPr>
          <w:tcW w:w="1515" w:type="dxa"/>
        </w:tcPr>
        <w:p w14:paraId="6598B3FE" w14:textId="262E1D93"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2E3DFF33"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1B741EE5"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50D20916"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24B37F4A"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1526FBBF"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042D12A7" w14:textId="77777777" w:rsidTr="003B0E72">
      <w:trPr>
        <w:jc w:val="center"/>
      </w:trPr>
      <w:tc>
        <w:tcPr>
          <w:tcW w:w="1515" w:type="dxa"/>
        </w:tcPr>
        <w:p w14:paraId="4715411E" w14:textId="77777777" w:rsidR="00481A6C" w:rsidRPr="00954F7B" w:rsidRDefault="00481A6C" w:rsidP="00481A6C">
          <w:pPr>
            <w:pStyle w:val="Footer"/>
            <w:jc w:val="center"/>
            <w:rPr>
              <w:bCs/>
              <w:iCs/>
              <w:sz w:val="20"/>
              <w:szCs w:val="20"/>
            </w:rPr>
          </w:pPr>
          <w:r w:rsidRPr="00954F7B">
            <w:rPr>
              <w:bCs/>
              <w:iCs/>
              <w:sz w:val="20"/>
              <w:szCs w:val="20"/>
            </w:rPr>
            <w:t>&lt;xxxx/xxx&gt;</w:t>
          </w:r>
        </w:p>
      </w:tc>
      <w:tc>
        <w:tcPr>
          <w:tcW w:w="965" w:type="dxa"/>
        </w:tcPr>
        <w:p w14:paraId="156FE555" w14:textId="77777777" w:rsidR="00481A6C" w:rsidRPr="00954F7B" w:rsidRDefault="00481A6C" w:rsidP="00481A6C">
          <w:pPr>
            <w:pStyle w:val="Footer"/>
            <w:jc w:val="center"/>
            <w:rPr>
              <w:bCs/>
              <w:iCs/>
              <w:sz w:val="20"/>
              <w:szCs w:val="20"/>
            </w:rPr>
          </w:pPr>
          <w:r w:rsidRPr="00954F7B">
            <w:rPr>
              <w:bCs/>
              <w:iCs/>
              <w:sz w:val="20"/>
              <w:szCs w:val="20"/>
            </w:rPr>
            <w:t>x</w:t>
          </w:r>
        </w:p>
      </w:tc>
      <w:tc>
        <w:tcPr>
          <w:tcW w:w="1552" w:type="dxa"/>
        </w:tcPr>
        <w:p w14:paraId="00BDA1A9" w14:textId="77777777" w:rsidR="00481A6C" w:rsidRPr="00954F7B" w:rsidRDefault="00481A6C" w:rsidP="00481A6C">
          <w:pPr>
            <w:pStyle w:val="Footer"/>
            <w:jc w:val="center"/>
            <w:rPr>
              <w:bCs/>
              <w:iCs/>
              <w:sz w:val="20"/>
              <w:szCs w:val="20"/>
            </w:rPr>
          </w:pPr>
          <w:r w:rsidRPr="00954F7B">
            <w:rPr>
              <w:bCs/>
              <w:iCs/>
              <w:sz w:val="20"/>
              <w:szCs w:val="20"/>
            </w:rPr>
            <w:t>&lt;xx/xx/xxxx&gt;</w:t>
          </w:r>
        </w:p>
      </w:tc>
      <w:tc>
        <w:tcPr>
          <w:tcW w:w="1456" w:type="dxa"/>
        </w:tcPr>
        <w:p w14:paraId="05EF7138" w14:textId="77777777" w:rsidR="00481A6C" w:rsidRPr="00954F7B" w:rsidRDefault="00481A6C" w:rsidP="00481A6C">
          <w:pPr>
            <w:pStyle w:val="Footer"/>
            <w:jc w:val="center"/>
            <w:rPr>
              <w:bCs/>
              <w:iCs/>
              <w:sz w:val="20"/>
              <w:szCs w:val="20"/>
            </w:rPr>
          </w:pPr>
          <w:r w:rsidRPr="00954F7B">
            <w:rPr>
              <w:bCs/>
              <w:iCs/>
              <w:sz w:val="20"/>
              <w:szCs w:val="20"/>
            </w:rPr>
            <w:t>&lt;xx/xx/xxxx&gt;</w:t>
          </w:r>
        </w:p>
      </w:tc>
      <w:tc>
        <w:tcPr>
          <w:tcW w:w="1746" w:type="dxa"/>
        </w:tcPr>
        <w:p w14:paraId="4DD713E3" w14:textId="77777777" w:rsidR="00481A6C" w:rsidRPr="00954F7B" w:rsidRDefault="00481A6C" w:rsidP="00481A6C">
          <w:pPr>
            <w:pStyle w:val="Footer"/>
            <w:jc w:val="center"/>
            <w:rPr>
              <w:bCs/>
              <w:iCs/>
              <w:sz w:val="20"/>
              <w:szCs w:val="20"/>
            </w:rPr>
          </w:pPr>
          <w:r w:rsidRPr="00954F7B">
            <w:rPr>
              <w:bCs/>
              <w:iCs/>
              <w:sz w:val="20"/>
              <w:szCs w:val="20"/>
            </w:rPr>
            <w:t>xxx</w:t>
          </w:r>
        </w:p>
      </w:tc>
      <w:tc>
        <w:tcPr>
          <w:tcW w:w="1836" w:type="dxa"/>
        </w:tcPr>
        <w:p w14:paraId="4F22C6AF"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5031336F"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4E5D750C" w14:textId="77777777" w:rsidTr="008E1ED9">
      <w:trPr>
        <w:jc w:val="center"/>
      </w:trPr>
      <w:tc>
        <w:tcPr>
          <w:tcW w:w="1515" w:type="dxa"/>
        </w:tcPr>
        <w:p w14:paraId="33FC389F"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6E14EF1F"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34265D6A"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EDA8DBD"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617C6A85"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7D0F4881"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13B4670C" w14:textId="77777777" w:rsidTr="008E1ED9">
      <w:trPr>
        <w:jc w:val="center"/>
      </w:trPr>
      <w:tc>
        <w:tcPr>
          <w:tcW w:w="1515" w:type="dxa"/>
        </w:tcPr>
        <w:p w14:paraId="726034AF" w14:textId="77777777" w:rsidR="008A3DD8" w:rsidRPr="00954F7B" w:rsidRDefault="008A3DD8" w:rsidP="008A3DD8">
          <w:pPr>
            <w:pStyle w:val="Footer"/>
            <w:jc w:val="center"/>
            <w:rPr>
              <w:bCs/>
              <w:iCs/>
              <w:sz w:val="20"/>
              <w:szCs w:val="20"/>
            </w:rPr>
          </w:pPr>
          <w:r w:rsidRPr="00954F7B">
            <w:rPr>
              <w:bCs/>
              <w:iCs/>
              <w:sz w:val="20"/>
              <w:szCs w:val="20"/>
            </w:rPr>
            <w:t>&lt;xxxx/xxx&gt;</w:t>
          </w:r>
        </w:p>
      </w:tc>
      <w:tc>
        <w:tcPr>
          <w:tcW w:w="965" w:type="dxa"/>
        </w:tcPr>
        <w:p w14:paraId="6FD209EB" w14:textId="77777777" w:rsidR="008A3DD8" w:rsidRPr="00954F7B" w:rsidRDefault="008A3DD8" w:rsidP="008A3DD8">
          <w:pPr>
            <w:pStyle w:val="Footer"/>
            <w:jc w:val="center"/>
            <w:rPr>
              <w:bCs/>
              <w:iCs/>
              <w:sz w:val="20"/>
              <w:szCs w:val="20"/>
            </w:rPr>
          </w:pPr>
          <w:r w:rsidRPr="00954F7B">
            <w:rPr>
              <w:bCs/>
              <w:iCs/>
              <w:sz w:val="20"/>
              <w:szCs w:val="20"/>
            </w:rPr>
            <w:t>x</w:t>
          </w:r>
        </w:p>
      </w:tc>
      <w:tc>
        <w:tcPr>
          <w:tcW w:w="1552" w:type="dxa"/>
        </w:tcPr>
        <w:p w14:paraId="67D36F62" w14:textId="77777777" w:rsidR="008A3DD8" w:rsidRPr="00954F7B" w:rsidRDefault="008A3DD8" w:rsidP="008A3DD8">
          <w:pPr>
            <w:pStyle w:val="Footer"/>
            <w:jc w:val="center"/>
            <w:rPr>
              <w:bCs/>
              <w:iCs/>
              <w:sz w:val="20"/>
              <w:szCs w:val="20"/>
            </w:rPr>
          </w:pPr>
          <w:r w:rsidRPr="00954F7B">
            <w:rPr>
              <w:bCs/>
              <w:iCs/>
              <w:sz w:val="20"/>
              <w:szCs w:val="20"/>
            </w:rPr>
            <w:t>&lt;xx/xx/xxxx&gt;</w:t>
          </w:r>
        </w:p>
      </w:tc>
      <w:tc>
        <w:tcPr>
          <w:tcW w:w="1456" w:type="dxa"/>
        </w:tcPr>
        <w:p w14:paraId="3564FBE9" w14:textId="77777777" w:rsidR="008A3DD8" w:rsidRPr="00954F7B" w:rsidRDefault="008A3DD8" w:rsidP="008A3DD8">
          <w:pPr>
            <w:pStyle w:val="Footer"/>
            <w:jc w:val="center"/>
            <w:rPr>
              <w:bCs/>
              <w:iCs/>
              <w:sz w:val="20"/>
              <w:szCs w:val="20"/>
            </w:rPr>
          </w:pPr>
          <w:r w:rsidRPr="00954F7B">
            <w:rPr>
              <w:bCs/>
              <w:iCs/>
              <w:sz w:val="20"/>
              <w:szCs w:val="20"/>
            </w:rPr>
            <w:t>&lt;xx/xx/xxxx&gt;</w:t>
          </w:r>
        </w:p>
      </w:tc>
      <w:tc>
        <w:tcPr>
          <w:tcW w:w="1746" w:type="dxa"/>
        </w:tcPr>
        <w:p w14:paraId="7E20F667" w14:textId="77777777" w:rsidR="008A3DD8" w:rsidRPr="00954F7B" w:rsidRDefault="008A3DD8" w:rsidP="008A3DD8">
          <w:pPr>
            <w:pStyle w:val="Footer"/>
            <w:jc w:val="center"/>
            <w:rPr>
              <w:bCs/>
              <w:iCs/>
              <w:sz w:val="20"/>
              <w:szCs w:val="20"/>
            </w:rPr>
          </w:pPr>
          <w:r w:rsidRPr="00954F7B">
            <w:rPr>
              <w:bCs/>
              <w:iCs/>
              <w:sz w:val="20"/>
              <w:szCs w:val="20"/>
            </w:rPr>
            <w:t>xxx</w:t>
          </w:r>
        </w:p>
      </w:tc>
      <w:tc>
        <w:tcPr>
          <w:tcW w:w="1836" w:type="dxa"/>
        </w:tcPr>
        <w:p w14:paraId="5199C8AD"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0AE1F4CE"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94CB" w14:textId="77777777" w:rsidR="00BF20B1" w:rsidRDefault="00BF20B1" w:rsidP="009D493B">
      <w:pPr>
        <w:spacing w:after="0" w:line="240" w:lineRule="auto"/>
      </w:pPr>
      <w:r>
        <w:separator/>
      </w:r>
    </w:p>
  </w:footnote>
  <w:footnote w:type="continuationSeparator" w:id="0">
    <w:p w14:paraId="0045F3AF" w14:textId="77777777" w:rsidR="00BF20B1" w:rsidRDefault="00BF20B1" w:rsidP="00A9080B">
      <w:pPr>
        <w:spacing w:after="0" w:line="240" w:lineRule="auto"/>
      </w:pPr>
      <w:r>
        <w:continuationSeparator/>
      </w:r>
    </w:p>
    <w:p w14:paraId="16A220B9" w14:textId="77777777" w:rsidR="00BF20B1" w:rsidRDefault="00BF20B1"/>
    <w:p w14:paraId="64CE09C3" w14:textId="77777777" w:rsidR="00BF20B1" w:rsidRDefault="00BF2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730"/>
    </w:tblGrid>
    <w:tr w:rsidR="004C411C" w14:paraId="4AE2416D" w14:textId="77777777" w:rsidTr="22CF6BA1">
      <w:trPr>
        <w:trHeight w:val="1418"/>
      </w:trPr>
      <w:tc>
        <w:tcPr>
          <w:tcW w:w="5556" w:type="dxa"/>
          <w:vAlign w:val="center"/>
          <w:hideMark/>
        </w:tcPr>
        <w:p w14:paraId="5D764F0C" w14:textId="64613B5C" w:rsidR="004C411C" w:rsidRDefault="000E44E0" w:rsidP="00506F2E">
          <w:pPr>
            <w:pStyle w:val="Header"/>
            <w:rPr>
              <w:sz w:val="20"/>
            </w:rPr>
          </w:pPr>
          <w:r w:rsidRPr="00324CF9">
            <w:rPr>
              <w:noProof/>
            </w:rPr>
            <w:drawing>
              <wp:inline distT="0" distB="0" distL="0" distR="0" wp14:anchorId="012F1350" wp14:editId="0604A434">
                <wp:extent cx="3360385" cy="972000"/>
                <wp:effectExtent l="0" t="0" r="0" b="0"/>
                <wp:docPr id="2016866505" name="Picture 20168665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30" w:type="dxa"/>
          <w:vAlign w:val="center"/>
          <w:hideMark/>
        </w:tcPr>
        <w:p w14:paraId="1EC37167" w14:textId="656A0363" w:rsidR="004C411C" w:rsidRDefault="004C411C">
          <w:pPr>
            <w:pStyle w:val="Header"/>
            <w:tabs>
              <w:tab w:val="left" w:pos="720"/>
            </w:tabs>
            <w:jc w:val="right"/>
            <w:rPr>
              <w:sz w:val="20"/>
            </w:rPr>
          </w:pPr>
          <w:bookmarkStart w:id="45" w:name="_top"/>
          <w:bookmarkEnd w:id="45"/>
        </w:p>
      </w:tc>
    </w:tr>
  </w:tbl>
  <w:p w14:paraId="64F4D799" w14:textId="77777777" w:rsidR="004C411C" w:rsidRPr="00FC3538" w:rsidRDefault="004C411C">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214F" w14:textId="77777777" w:rsidR="008A3DD8" w:rsidRDefault="008A3DD8">
    <w:pPr>
      <w:pStyle w:val="Header"/>
    </w:pPr>
    <w:r w:rsidRPr="00324CF9">
      <w:rPr>
        <w:noProof/>
      </w:rPr>
      <w:drawing>
        <wp:inline distT="0" distB="0" distL="0" distR="0" wp14:anchorId="5915ACBF" wp14:editId="2F91057D">
          <wp:extent cx="3360385" cy="972000"/>
          <wp:effectExtent l="0" t="0" r="0" b="0"/>
          <wp:docPr id="1689427412" name="Picture 1689427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64FE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2965D80"/>
    <w:multiLevelType w:val="hybridMultilevel"/>
    <w:tmpl w:val="00A61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E86B4F"/>
    <w:multiLevelType w:val="hybridMultilevel"/>
    <w:tmpl w:val="26027EA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938DC"/>
    <w:multiLevelType w:val="hybridMultilevel"/>
    <w:tmpl w:val="121AF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159AA"/>
    <w:multiLevelType w:val="hybridMultilevel"/>
    <w:tmpl w:val="C36A6E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F96D43"/>
    <w:multiLevelType w:val="hybridMultilevel"/>
    <w:tmpl w:val="EF66B5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FF2C06"/>
    <w:multiLevelType w:val="hybridMultilevel"/>
    <w:tmpl w:val="2C8A2A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A554A"/>
    <w:multiLevelType w:val="hybridMultilevel"/>
    <w:tmpl w:val="5B125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A5304A"/>
    <w:multiLevelType w:val="hybridMultilevel"/>
    <w:tmpl w:val="784EDC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9439C1"/>
    <w:multiLevelType w:val="hybridMultilevel"/>
    <w:tmpl w:val="D26C24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4" w15:restartNumberingAfterBreak="0">
    <w:nsid w:val="1CC31CE9"/>
    <w:multiLevelType w:val="hybridMultilevel"/>
    <w:tmpl w:val="A64080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AD7CAC"/>
    <w:multiLevelType w:val="hybridMultilevel"/>
    <w:tmpl w:val="416890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6E3ED9"/>
    <w:multiLevelType w:val="hybridMultilevel"/>
    <w:tmpl w:val="B21E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8" w15:restartNumberingAfterBreak="0">
    <w:nsid w:val="257939E3"/>
    <w:multiLevelType w:val="hybridMultilevel"/>
    <w:tmpl w:val="F98280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6106C36"/>
    <w:multiLevelType w:val="hybridMultilevel"/>
    <w:tmpl w:val="4C3ACD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9F4561"/>
    <w:multiLevelType w:val="hybridMultilevel"/>
    <w:tmpl w:val="C49E9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87C4A41"/>
    <w:multiLevelType w:val="hybridMultilevel"/>
    <w:tmpl w:val="C300931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206BE8"/>
    <w:multiLevelType w:val="hybridMultilevel"/>
    <w:tmpl w:val="298654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EF0DAE"/>
    <w:multiLevelType w:val="hybridMultilevel"/>
    <w:tmpl w:val="D4AA23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8E5E20"/>
    <w:multiLevelType w:val="hybridMultilevel"/>
    <w:tmpl w:val="7BA29B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EF27B2"/>
    <w:multiLevelType w:val="hybridMultilevel"/>
    <w:tmpl w:val="0C6284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174526"/>
    <w:multiLevelType w:val="hybridMultilevel"/>
    <w:tmpl w:val="222E8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5251505"/>
    <w:multiLevelType w:val="hybridMultilevel"/>
    <w:tmpl w:val="B6A8E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64B071B"/>
    <w:multiLevelType w:val="hybridMultilevel"/>
    <w:tmpl w:val="A9164E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6DF4E18"/>
    <w:multiLevelType w:val="hybridMultilevel"/>
    <w:tmpl w:val="7AA6A1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6E06054"/>
    <w:multiLevelType w:val="hybridMultilevel"/>
    <w:tmpl w:val="9DAEC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75508C7"/>
    <w:multiLevelType w:val="hybridMultilevel"/>
    <w:tmpl w:val="FAC26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701699"/>
    <w:multiLevelType w:val="hybridMultilevel"/>
    <w:tmpl w:val="4BE4027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41E8A57D"/>
    <w:multiLevelType w:val="multilevel"/>
    <w:tmpl w:val="2F787AC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1F1626"/>
    <w:multiLevelType w:val="hybridMultilevel"/>
    <w:tmpl w:val="BC78FDC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40" w15:restartNumberingAfterBreak="0">
    <w:nsid w:val="45061BBE"/>
    <w:multiLevelType w:val="hybridMultilevel"/>
    <w:tmpl w:val="D174D164"/>
    <w:lvl w:ilvl="0" w:tplc="5F9C417E">
      <w:start w:val="1"/>
      <w:numFmt w:val="decimal"/>
      <w:lvlText w:val="%1."/>
      <w:lvlJc w:val="left"/>
      <w:pPr>
        <w:ind w:left="720" w:hanging="360"/>
      </w:pPr>
    </w:lvl>
    <w:lvl w:ilvl="1" w:tplc="D4ECFC12">
      <w:start w:val="1"/>
      <w:numFmt w:val="lowerLetter"/>
      <w:lvlText w:val="%2."/>
      <w:lvlJc w:val="left"/>
      <w:pPr>
        <w:ind w:left="1440" w:hanging="360"/>
      </w:pPr>
    </w:lvl>
    <w:lvl w:ilvl="2" w:tplc="00AAB514">
      <w:start w:val="1"/>
      <w:numFmt w:val="lowerRoman"/>
      <w:lvlText w:val="%3."/>
      <w:lvlJc w:val="right"/>
      <w:pPr>
        <w:ind w:left="2160" w:hanging="180"/>
      </w:pPr>
    </w:lvl>
    <w:lvl w:ilvl="3" w:tplc="2E7E24FA">
      <w:start w:val="1"/>
      <w:numFmt w:val="decimal"/>
      <w:lvlText w:val="%4."/>
      <w:lvlJc w:val="left"/>
      <w:pPr>
        <w:ind w:left="2880" w:hanging="360"/>
      </w:pPr>
    </w:lvl>
    <w:lvl w:ilvl="4" w:tplc="E9E8F164">
      <w:start w:val="1"/>
      <w:numFmt w:val="lowerLetter"/>
      <w:lvlText w:val="%5."/>
      <w:lvlJc w:val="left"/>
      <w:pPr>
        <w:ind w:left="3600" w:hanging="360"/>
      </w:pPr>
    </w:lvl>
    <w:lvl w:ilvl="5" w:tplc="24D0B3C6">
      <w:start w:val="1"/>
      <w:numFmt w:val="lowerRoman"/>
      <w:lvlText w:val="%6."/>
      <w:lvlJc w:val="right"/>
      <w:pPr>
        <w:ind w:left="4320" w:hanging="180"/>
      </w:pPr>
    </w:lvl>
    <w:lvl w:ilvl="6" w:tplc="20A01910">
      <w:start w:val="1"/>
      <w:numFmt w:val="decimal"/>
      <w:lvlText w:val="%7."/>
      <w:lvlJc w:val="left"/>
      <w:pPr>
        <w:ind w:left="5040" w:hanging="360"/>
      </w:pPr>
    </w:lvl>
    <w:lvl w:ilvl="7" w:tplc="E40E7084">
      <w:start w:val="1"/>
      <w:numFmt w:val="lowerLetter"/>
      <w:lvlText w:val="%8."/>
      <w:lvlJc w:val="left"/>
      <w:pPr>
        <w:ind w:left="5760" w:hanging="360"/>
      </w:pPr>
    </w:lvl>
    <w:lvl w:ilvl="8" w:tplc="04F8FB08">
      <w:start w:val="1"/>
      <w:numFmt w:val="lowerRoman"/>
      <w:lvlText w:val="%9."/>
      <w:lvlJc w:val="right"/>
      <w:pPr>
        <w:ind w:left="6480" w:hanging="180"/>
      </w:pPr>
    </w:lvl>
  </w:abstractNum>
  <w:abstractNum w:abstractNumId="41" w15:restartNumberingAfterBreak="0">
    <w:nsid w:val="474679DF"/>
    <w:multiLevelType w:val="hybridMultilevel"/>
    <w:tmpl w:val="8AD6C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4" w15:restartNumberingAfterBreak="0">
    <w:nsid w:val="47D33EC2"/>
    <w:multiLevelType w:val="hybridMultilevel"/>
    <w:tmpl w:val="76726F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D8124B3"/>
    <w:multiLevelType w:val="hybridMultilevel"/>
    <w:tmpl w:val="21C84F4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F5F27C9"/>
    <w:multiLevelType w:val="hybridMultilevel"/>
    <w:tmpl w:val="FF12FECC"/>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7594058"/>
    <w:multiLevelType w:val="hybridMultilevel"/>
    <w:tmpl w:val="7C183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9560387"/>
    <w:multiLevelType w:val="hybridMultilevel"/>
    <w:tmpl w:val="0D3C28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2C16B7"/>
    <w:multiLevelType w:val="hybridMultilevel"/>
    <w:tmpl w:val="19F4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FED1E14"/>
    <w:multiLevelType w:val="hybridMultilevel"/>
    <w:tmpl w:val="84F0727A"/>
    <w:lvl w:ilvl="0" w:tplc="2F285926">
      <w:start w:val="1"/>
      <w:numFmt w:val="bullet"/>
      <w:lvlText w:val="·"/>
      <w:lvlJc w:val="left"/>
      <w:pPr>
        <w:ind w:left="720" w:hanging="360"/>
      </w:pPr>
      <w:rPr>
        <w:rFonts w:ascii="Symbol" w:hAnsi="Symbol" w:hint="default"/>
      </w:rPr>
    </w:lvl>
    <w:lvl w:ilvl="1" w:tplc="5E10F67E">
      <w:start w:val="1"/>
      <w:numFmt w:val="bullet"/>
      <w:lvlText w:val="o"/>
      <w:lvlJc w:val="left"/>
      <w:pPr>
        <w:ind w:left="1440" w:hanging="360"/>
      </w:pPr>
      <w:rPr>
        <w:rFonts w:ascii="Courier New" w:hAnsi="Courier New" w:hint="default"/>
      </w:rPr>
    </w:lvl>
    <w:lvl w:ilvl="2" w:tplc="E3A4AF8A">
      <w:start w:val="1"/>
      <w:numFmt w:val="bullet"/>
      <w:lvlText w:val=""/>
      <w:lvlJc w:val="left"/>
      <w:pPr>
        <w:ind w:left="2160" w:hanging="360"/>
      </w:pPr>
      <w:rPr>
        <w:rFonts w:ascii="Wingdings" w:hAnsi="Wingdings" w:hint="default"/>
      </w:rPr>
    </w:lvl>
    <w:lvl w:ilvl="3" w:tplc="B184B8A4">
      <w:start w:val="1"/>
      <w:numFmt w:val="bullet"/>
      <w:lvlText w:val=""/>
      <w:lvlJc w:val="left"/>
      <w:pPr>
        <w:ind w:left="2880" w:hanging="360"/>
      </w:pPr>
      <w:rPr>
        <w:rFonts w:ascii="Symbol" w:hAnsi="Symbol" w:hint="default"/>
      </w:rPr>
    </w:lvl>
    <w:lvl w:ilvl="4" w:tplc="D91C8680">
      <w:start w:val="1"/>
      <w:numFmt w:val="bullet"/>
      <w:lvlText w:val="o"/>
      <w:lvlJc w:val="left"/>
      <w:pPr>
        <w:ind w:left="3600" w:hanging="360"/>
      </w:pPr>
      <w:rPr>
        <w:rFonts w:ascii="Courier New" w:hAnsi="Courier New" w:hint="default"/>
      </w:rPr>
    </w:lvl>
    <w:lvl w:ilvl="5" w:tplc="74B47BE8">
      <w:start w:val="1"/>
      <w:numFmt w:val="bullet"/>
      <w:lvlText w:val=""/>
      <w:lvlJc w:val="left"/>
      <w:pPr>
        <w:ind w:left="4320" w:hanging="360"/>
      </w:pPr>
      <w:rPr>
        <w:rFonts w:ascii="Wingdings" w:hAnsi="Wingdings" w:hint="default"/>
      </w:rPr>
    </w:lvl>
    <w:lvl w:ilvl="6" w:tplc="134A4996">
      <w:start w:val="1"/>
      <w:numFmt w:val="bullet"/>
      <w:lvlText w:val=""/>
      <w:lvlJc w:val="left"/>
      <w:pPr>
        <w:ind w:left="5040" w:hanging="360"/>
      </w:pPr>
      <w:rPr>
        <w:rFonts w:ascii="Symbol" w:hAnsi="Symbol" w:hint="default"/>
      </w:rPr>
    </w:lvl>
    <w:lvl w:ilvl="7" w:tplc="981E57F8">
      <w:start w:val="1"/>
      <w:numFmt w:val="bullet"/>
      <w:lvlText w:val="o"/>
      <w:lvlJc w:val="left"/>
      <w:pPr>
        <w:ind w:left="5760" w:hanging="360"/>
      </w:pPr>
      <w:rPr>
        <w:rFonts w:ascii="Courier New" w:hAnsi="Courier New" w:hint="default"/>
      </w:rPr>
    </w:lvl>
    <w:lvl w:ilvl="8" w:tplc="55B093C0">
      <w:start w:val="1"/>
      <w:numFmt w:val="bullet"/>
      <w:lvlText w:val=""/>
      <w:lvlJc w:val="left"/>
      <w:pPr>
        <w:ind w:left="6480" w:hanging="360"/>
      </w:pPr>
      <w:rPr>
        <w:rFonts w:ascii="Wingdings" w:hAnsi="Wingdings" w:hint="default"/>
      </w:rPr>
    </w:lvl>
  </w:abstractNum>
  <w:abstractNum w:abstractNumId="51" w15:restartNumberingAfterBreak="0">
    <w:nsid w:val="604051FF"/>
    <w:multiLevelType w:val="hybridMultilevel"/>
    <w:tmpl w:val="C1184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1041347"/>
    <w:multiLevelType w:val="hybridMultilevel"/>
    <w:tmpl w:val="9D4AA8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5246831"/>
    <w:multiLevelType w:val="hybridMultilevel"/>
    <w:tmpl w:val="D0A024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5" w15:restartNumberingAfterBreak="0">
    <w:nsid w:val="67F569E5"/>
    <w:multiLevelType w:val="hybridMultilevel"/>
    <w:tmpl w:val="998E43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56" w15:restartNumberingAfterBreak="0">
    <w:nsid w:val="683760C3"/>
    <w:multiLevelType w:val="hybridMultilevel"/>
    <w:tmpl w:val="DE121B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AD301FA"/>
    <w:multiLevelType w:val="hybridMultilevel"/>
    <w:tmpl w:val="FF226A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B81CCB4"/>
    <w:multiLevelType w:val="hybridMultilevel"/>
    <w:tmpl w:val="BDD883C4"/>
    <w:lvl w:ilvl="0" w:tplc="95626AE6">
      <w:start w:val="1"/>
      <w:numFmt w:val="bullet"/>
      <w:lvlText w:val="o"/>
      <w:lvlJc w:val="left"/>
      <w:pPr>
        <w:ind w:left="720" w:hanging="360"/>
      </w:pPr>
      <w:rPr>
        <w:rFonts w:ascii="&quot;Courier New&quot;" w:hAnsi="&quot;Courier New&quot;" w:hint="default"/>
      </w:rPr>
    </w:lvl>
    <w:lvl w:ilvl="1" w:tplc="7A36E658">
      <w:start w:val="1"/>
      <w:numFmt w:val="bullet"/>
      <w:lvlText w:val="o"/>
      <w:lvlJc w:val="left"/>
      <w:pPr>
        <w:ind w:left="1440" w:hanging="360"/>
      </w:pPr>
      <w:rPr>
        <w:rFonts w:ascii="Courier New" w:hAnsi="Courier New" w:hint="default"/>
      </w:rPr>
    </w:lvl>
    <w:lvl w:ilvl="2" w:tplc="820C8CBA">
      <w:start w:val="1"/>
      <w:numFmt w:val="bullet"/>
      <w:lvlText w:val=""/>
      <w:lvlJc w:val="left"/>
      <w:pPr>
        <w:ind w:left="2160" w:hanging="360"/>
      </w:pPr>
      <w:rPr>
        <w:rFonts w:ascii="Wingdings" w:hAnsi="Wingdings" w:hint="default"/>
      </w:rPr>
    </w:lvl>
    <w:lvl w:ilvl="3" w:tplc="41CE0CCA">
      <w:start w:val="1"/>
      <w:numFmt w:val="bullet"/>
      <w:lvlText w:val=""/>
      <w:lvlJc w:val="left"/>
      <w:pPr>
        <w:ind w:left="2880" w:hanging="360"/>
      </w:pPr>
      <w:rPr>
        <w:rFonts w:ascii="Symbol" w:hAnsi="Symbol" w:hint="default"/>
      </w:rPr>
    </w:lvl>
    <w:lvl w:ilvl="4" w:tplc="1D4E9164">
      <w:start w:val="1"/>
      <w:numFmt w:val="bullet"/>
      <w:lvlText w:val="o"/>
      <w:lvlJc w:val="left"/>
      <w:pPr>
        <w:ind w:left="3600" w:hanging="360"/>
      </w:pPr>
      <w:rPr>
        <w:rFonts w:ascii="Courier New" w:hAnsi="Courier New" w:hint="default"/>
      </w:rPr>
    </w:lvl>
    <w:lvl w:ilvl="5" w:tplc="3F9E1502">
      <w:start w:val="1"/>
      <w:numFmt w:val="bullet"/>
      <w:lvlText w:val=""/>
      <w:lvlJc w:val="left"/>
      <w:pPr>
        <w:ind w:left="4320" w:hanging="360"/>
      </w:pPr>
      <w:rPr>
        <w:rFonts w:ascii="Wingdings" w:hAnsi="Wingdings" w:hint="default"/>
      </w:rPr>
    </w:lvl>
    <w:lvl w:ilvl="6" w:tplc="5EB2698C">
      <w:start w:val="1"/>
      <w:numFmt w:val="bullet"/>
      <w:lvlText w:val=""/>
      <w:lvlJc w:val="left"/>
      <w:pPr>
        <w:ind w:left="5040" w:hanging="360"/>
      </w:pPr>
      <w:rPr>
        <w:rFonts w:ascii="Symbol" w:hAnsi="Symbol" w:hint="default"/>
      </w:rPr>
    </w:lvl>
    <w:lvl w:ilvl="7" w:tplc="B0F0784A">
      <w:start w:val="1"/>
      <w:numFmt w:val="bullet"/>
      <w:lvlText w:val="o"/>
      <w:lvlJc w:val="left"/>
      <w:pPr>
        <w:ind w:left="5760" w:hanging="360"/>
      </w:pPr>
      <w:rPr>
        <w:rFonts w:ascii="Courier New" w:hAnsi="Courier New" w:hint="default"/>
      </w:rPr>
    </w:lvl>
    <w:lvl w:ilvl="8" w:tplc="42FAFBAE">
      <w:start w:val="1"/>
      <w:numFmt w:val="bullet"/>
      <w:lvlText w:val=""/>
      <w:lvlJc w:val="left"/>
      <w:pPr>
        <w:ind w:left="6480" w:hanging="360"/>
      </w:pPr>
      <w:rPr>
        <w:rFonts w:ascii="Wingdings" w:hAnsi="Wingdings" w:hint="default"/>
      </w:rPr>
    </w:lvl>
  </w:abstractNum>
  <w:abstractNum w:abstractNumId="59" w15:restartNumberingAfterBreak="0">
    <w:nsid w:val="6D313EB5"/>
    <w:multiLevelType w:val="hybridMultilevel"/>
    <w:tmpl w:val="6B2AC2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DEB1608"/>
    <w:multiLevelType w:val="hybridMultilevel"/>
    <w:tmpl w:val="B3B0E66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E993306"/>
    <w:multiLevelType w:val="hybridMultilevel"/>
    <w:tmpl w:val="396E7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06531E3"/>
    <w:multiLevelType w:val="hybridMultilevel"/>
    <w:tmpl w:val="FE387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3C5221B"/>
    <w:multiLevelType w:val="hybridMultilevel"/>
    <w:tmpl w:val="208ABB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40CAFED"/>
    <w:multiLevelType w:val="hybridMultilevel"/>
    <w:tmpl w:val="49D6F9E4"/>
    <w:lvl w:ilvl="0" w:tplc="2F928100">
      <w:start w:val="1"/>
      <w:numFmt w:val="bullet"/>
      <w:lvlText w:val="·"/>
      <w:lvlJc w:val="left"/>
      <w:pPr>
        <w:ind w:left="720" w:hanging="360"/>
      </w:pPr>
      <w:rPr>
        <w:rFonts w:ascii="Symbol" w:hAnsi="Symbol" w:hint="default"/>
      </w:rPr>
    </w:lvl>
    <w:lvl w:ilvl="1" w:tplc="79D09E7E">
      <w:start w:val="1"/>
      <w:numFmt w:val="bullet"/>
      <w:lvlText w:val="o"/>
      <w:lvlJc w:val="left"/>
      <w:pPr>
        <w:ind w:left="1440" w:hanging="360"/>
      </w:pPr>
      <w:rPr>
        <w:rFonts w:ascii="Courier New" w:hAnsi="Courier New" w:hint="default"/>
      </w:rPr>
    </w:lvl>
    <w:lvl w:ilvl="2" w:tplc="DAD017B4">
      <w:start w:val="1"/>
      <w:numFmt w:val="bullet"/>
      <w:lvlText w:val=""/>
      <w:lvlJc w:val="left"/>
      <w:pPr>
        <w:ind w:left="2160" w:hanging="360"/>
      </w:pPr>
      <w:rPr>
        <w:rFonts w:ascii="Wingdings" w:hAnsi="Wingdings" w:hint="default"/>
      </w:rPr>
    </w:lvl>
    <w:lvl w:ilvl="3" w:tplc="C9F40FEC">
      <w:start w:val="1"/>
      <w:numFmt w:val="bullet"/>
      <w:lvlText w:val=""/>
      <w:lvlJc w:val="left"/>
      <w:pPr>
        <w:ind w:left="2880" w:hanging="360"/>
      </w:pPr>
      <w:rPr>
        <w:rFonts w:ascii="Symbol" w:hAnsi="Symbol" w:hint="default"/>
      </w:rPr>
    </w:lvl>
    <w:lvl w:ilvl="4" w:tplc="0C2425C6">
      <w:start w:val="1"/>
      <w:numFmt w:val="bullet"/>
      <w:lvlText w:val="o"/>
      <w:lvlJc w:val="left"/>
      <w:pPr>
        <w:ind w:left="3600" w:hanging="360"/>
      </w:pPr>
      <w:rPr>
        <w:rFonts w:ascii="Courier New" w:hAnsi="Courier New" w:hint="default"/>
      </w:rPr>
    </w:lvl>
    <w:lvl w:ilvl="5" w:tplc="821E55FE">
      <w:start w:val="1"/>
      <w:numFmt w:val="bullet"/>
      <w:lvlText w:val=""/>
      <w:lvlJc w:val="left"/>
      <w:pPr>
        <w:ind w:left="4320" w:hanging="360"/>
      </w:pPr>
      <w:rPr>
        <w:rFonts w:ascii="Wingdings" w:hAnsi="Wingdings" w:hint="default"/>
      </w:rPr>
    </w:lvl>
    <w:lvl w:ilvl="6" w:tplc="4B9AA5F0">
      <w:start w:val="1"/>
      <w:numFmt w:val="bullet"/>
      <w:lvlText w:val=""/>
      <w:lvlJc w:val="left"/>
      <w:pPr>
        <w:ind w:left="5040" w:hanging="360"/>
      </w:pPr>
      <w:rPr>
        <w:rFonts w:ascii="Symbol" w:hAnsi="Symbol" w:hint="default"/>
      </w:rPr>
    </w:lvl>
    <w:lvl w:ilvl="7" w:tplc="6CBCFDB6">
      <w:start w:val="1"/>
      <w:numFmt w:val="bullet"/>
      <w:lvlText w:val="o"/>
      <w:lvlJc w:val="left"/>
      <w:pPr>
        <w:ind w:left="5760" w:hanging="360"/>
      </w:pPr>
      <w:rPr>
        <w:rFonts w:ascii="Courier New" w:hAnsi="Courier New" w:hint="default"/>
      </w:rPr>
    </w:lvl>
    <w:lvl w:ilvl="8" w:tplc="B1E8C3A4">
      <w:start w:val="1"/>
      <w:numFmt w:val="bullet"/>
      <w:lvlText w:val=""/>
      <w:lvlJc w:val="left"/>
      <w:pPr>
        <w:ind w:left="6480" w:hanging="360"/>
      </w:pPr>
      <w:rPr>
        <w:rFonts w:ascii="Wingdings" w:hAnsi="Wingdings" w:hint="default"/>
      </w:rPr>
    </w:lvl>
  </w:abstractNum>
  <w:abstractNum w:abstractNumId="65" w15:restartNumberingAfterBreak="0">
    <w:nsid w:val="778C7CE0"/>
    <w:multiLevelType w:val="hybridMultilevel"/>
    <w:tmpl w:val="E4D41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901690A"/>
    <w:multiLevelType w:val="hybridMultilevel"/>
    <w:tmpl w:val="C7FCB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3F6954"/>
    <w:multiLevelType w:val="hybridMultilevel"/>
    <w:tmpl w:val="44389FF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25640810">
    <w:abstractNumId w:val="37"/>
  </w:num>
  <w:num w:numId="2" w16cid:durableId="1648431774">
    <w:abstractNumId w:val="17"/>
  </w:num>
  <w:num w:numId="3" w16cid:durableId="842209657">
    <w:abstractNumId w:val="13"/>
  </w:num>
  <w:num w:numId="4" w16cid:durableId="660542573">
    <w:abstractNumId w:val="54"/>
  </w:num>
  <w:num w:numId="5" w16cid:durableId="1971085616">
    <w:abstractNumId w:val="34"/>
  </w:num>
  <w:num w:numId="6" w16cid:durableId="252517802">
    <w:abstractNumId w:val="35"/>
  </w:num>
  <w:num w:numId="7" w16cid:durableId="420297118">
    <w:abstractNumId w:val="43"/>
  </w:num>
  <w:num w:numId="8" w16cid:durableId="3533880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6466022">
    <w:abstractNumId w:val="34"/>
    <w:lvlOverride w:ilvl="0">
      <w:startOverride w:val="1"/>
    </w:lvlOverride>
  </w:num>
  <w:num w:numId="10" w16cid:durableId="1747920389">
    <w:abstractNumId w:val="35"/>
    <w:lvlOverride w:ilvl="0">
      <w:startOverride w:val="1"/>
    </w:lvlOverride>
  </w:num>
  <w:num w:numId="11" w16cid:durableId="1001813381">
    <w:abstractNumId w:val="34"/>
    <w:lvlOverride w:ilvl="0">
      <w:startOverride w:val="1"/>
    </w:lvlOverride>
  </w:num>
  <w:num w:numId="12" w16cid:durableId="1103450744">
    <w:abstractNumId w:val="35"/>
    <w:lvlOverride w:ilvl="0">
      <w:startOverride w:val="1"/>
    </w:lvlOverride>
  </w:num>
  <w:num w:numId="13" w16cid:durableId="1549294228">
    <w:abstractNumId w:val="34"/>
    <w:lvlOverride w:ilvl="0">
      <w:startOverride w:val="1"/>
    </w:lvlOverride>
  </w:num>
  <w:num w:numId="14" w16cid:durableId="8758549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462943">
    <w:abstractNumId w:val="35"/>
    <w:lvlOverride w:ilvl="0">
      <w:startOverride w:val="1"/>
    </w:lvlOverride>
  </w:num>
  <w:num w:numId="16" w16cid:durableId="12464539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952063">
    <w:abstractNumId w:val="54"/>
  </w:num>
  <w:num w:numId="18" w16cid:durableId="434129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904122">
    <w:abstractNumId w:val="28"/>
  </w:num>
  <w:num w:numId="20" w16cid:durableId="836698820">
    <w:abstractNumId w:val="39"/>
  </w:num>
  <w:num w:numId="21" w16cid:durableId="4028038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1174775">
    <w:abstractNumId w:val="42"/>
  </w:num>
  <w:num w:numId="23" w16cid:durableId="200242115">
    <w:abstractNumId w:val="1"/>
  </w:num>
  <w:num w:numId="24" w16cid:durableId="585068731">
    <w:abstractNumId w:val="12"/>
  </w:num>
  <w:num w:numId="25" w16cid:durableId="1431437445">
    <w:abstractNumId w:val="11"/>
  </w:num>
  <w:num w:numId="26" w16cid:durableId="507214046">
    <w:abstractNumId w:val="33"/>
  </w:num>
  <w:num w:numId="27" w16cid:durableId="913591473">
    <w:abstractNumId w:val="17"/>
  </w:num>
  <w:num w:numId="28" w16cid:durableId="1285696669">
    <w:abstractNumId w:val="0"/>
  </w:num>
  <w:num w:numId="29" w16cid:durableId="1807501077">
    <w:abstractNumId w:val="56"/>
  </w:num>
  <w:num w:numId="30" w16cid:durableId="545412934">
    <w:abstractNumId w:val="66"/>
  </w:num>
  <w:num w:numId="31" w16cid:durableId="2115008874">
    <w:abstractNumId w:val="32"/>
  </w:num>
  <w:num w:numId="32" w16cid:durableId="2027518035">
    <w:abstractNumId w:val="55"/>
  </w:num>
  <w:num w:numId="33" w16cid:durableId="1851524786">
    <w:abstractNumId w:val="59"/>
  </w:num>
  <w:num w:numId="34" w16cid:durableId="610934228">
    <w:abstractNumId w:val="31"/>
  </w:num>
  <w:num w:numId="35" w16cid:durableId="1246299465">
    <w:abstractNumId w:val="57"/>
  </w:num>
  <w:num w:numId="36" w16cid:durableId="1686589102">
    <w:abstractNumId w:val="65"/>
  </w:num>
  <w:num w:numId="37" w16cid:durableId="1159926347">
    <w:abstractNumId w:val="22"/>
  </w:num>
  <w:num w:numId="38" w16cid:durableId="383523963">
    <w:abstractNumId w:val="23"/>
  </w:num>
  <w:num w:numId="39" w16cid:durableId="1744914766">
    <w:abstractNumId w:val="38"/>
  </w:num>
  <w:num w:numId="40" w16cid:durableId="6834911">
    <w:abstractNumId w:val="8"/>
  </w:num>
  <w:num w:numId="41" w16cid:durableId="1683895083">
    <w:abstractNumId w:val="44"/>
  </w:num>
  <w:num w:numId="42" w16cid:durableId="1570533263">
    <w:abstractNumId w:val="46"/>
  </w:num>
  <w:num w:numId="43" w16cid:durableId="168833753">
    <w:abstractNumId w:val="2"/>
  </w:num>
  <w:num w:numId="44" w16cid:durableId="530001387">
    <w:abstractNumId w:val="30"/>
  </w:num>
  <w:num w:numId="45" w16cid:durableId="1281376149">
    <w:abstractNumId w:val="62"/>
  </w:num>
  <w:num w:numId="46" w16cid:durableId="861668870">
    <w:abstractNumId w:val="9"/>
  </w:num>
  <w:num w:numId="47" w16cid:durableId="510879757">
    <w:abstractNumId w:val="14"/>
  </w:num>
  <w:num w:numId="48" w16cid:durableId="573979050">
    <w:abstractNumId w:val="67"/>
  </w:num>
  <w:num w:numId="49" w16cid:durableId="1455636334">
    <w:abstractNumId w:val="27"/>
  </w:num>
  <w:num w:numId="50" w16cid:durableId="2120179901">
    <w:abstractNumId w:val="48"/>
  </w:num>
  <w:num w:numId="51" w16cid:durableId="736980024">
    <w:abstractNumId w:val="61"/>
  </w:num>
  <w:num w:numId="52" w16cid:durableId="1795371314">
    <w:abstractNumId w:val="41"/>
  </w:num>
  <w:num w:numId="53" w16cid:durableId="141390603">
    <w:abstractNumId w:val="29"/>
  </w:num>
  <w:num w:numId="54" w16cid:durableId="1303344678">
    <w:abstractNumId w:val="3"/>
  </w:num>
  <w:num w:numId="55" w16cid:durableId="587271846">
    <w:abstractNumId w:val="45"/>
  </w:num>
  <w:num w:numId="56" w16cid:durableId="1443498890">
    <w:abstractNumId w:val="21"/>
  </w:num>
  <w:num w:numId="57" w16cid:durableId="1628581303">
    <w:abstractNumId w:val="36"/>
  </w:num>
  <w:num w:numId="58" w16cid:durableId="834759431">
    <w:abstractNumId w:val="25"/>
  </w:num>
  <w:num w:numId="59" w16cid:durableId="2058622483">
    <w:abstractNumId w:val="24"/>
  </w:num>
  <w:num w:numId="60" w16cid:durableId="783696242">
    <w:abstractNumId w:val="63"/>
  </w:num>
  <w:num w:numId="61" w16cid:durableId="1594631767">
    <w:abstractNumId w:val="19"/>
  </w:num>
  <w:num w:numId="62" w16cid:durableId="252012021">
    <w:abstractNumId w:val="15"/>
  </w:num>
  <w:num w:numId="63" w16cid:durableId="1099451834">
    <w:abstractNumId w:val="60"/>
  </w:num>
  <w:num w:numId="64" w16cid:durableId="1061947688">
    <w:abstractNumId w:val="7"/>
  </w:num>
  <w:num w:numId="65" w16cid:durableId="1302348067">
    <w:abstractNumId w:val="26"/>
  </w:num>
  <w:num w:numId="66" w16cid:durableId="992639359">
    <w:abstractNumId w:val="53"/>
  </w:num>
  <w:num w:numId="67" w16cid:durableId="1506169339">
    <w:abstractNumId w:val="52"/>
  </w:num>
  <w:num w:numId="68" w16cid:durableId="1026757831">
    <w:abstractNumId w:val="6"/>
  </w:num>
  <w:num w:numId="69" w16cid:durableId="957175928">
    <w:abstractNumId w:val="40"/>
  </w:num>
  <w:num w:numId="70" w16cid:durableId="750126203">
    <w:abstractNumId w:val="50"/>
  </w:num>
  <w:num w:numId="71" w16cid:durableId="383866848">
    <w:abstractNumId w:val="58"/>
  </w:num>
  <w:num w:numId="72" w16cid:durableId="2020421489">
    <w:abstractNumId w:val="64"/>
  </w:num>
  <w:num w:numId="73" w16cid:durableId="87314045">
    <w:abstractNumId w:val="5"/>
  </w:num>
  <w:num w:numId="74" w16cid:durableId="1631011265">
    <w:abstractNumId w:val="20"/>
  </w:num>
  <w:num w:numId="75" w16cid:durableId="807015125">
    <w:abstractNumId w:val="10"/>
  </w:num>
  <w:num w:numId="76" w16cid:durableId="268926152">
    <w:abstractNumId w:val="51"/>
  </w:num>
  <w:num w:numId="77" w16cid:durableId="959267154">
    <w:abstractNumId w:val="18"/>
  </w:num>
  <w:num w:numId="78" w16cid:durableId="2032602716">
    <w:abstractNumId w:val="16"/>
  </w:num>
  <w:num w:numId="79" w16cid:durableId="1771775491">
    <w:abstractNumId w:val="4"/>
  </w:num>
  <w:num w:numId="80" w16cid:durableId="1587232263">
    <w:abstractNumId w:val="49"/>
  </w:num>
  <w:num w:numId="81" w16cid:durableId="520365390">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1F"/>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3656E"/>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6E3E"/>
    <w:rsid w:val="000707E9"/>
    <w:rsid w:val="00070945"/>
    <w:rsid w:val="000717BA"/>
    <w:rsid w:val="0007270D"/>
    <w:rsid w:val="00075506"/>
    <w:rsid w:val="00077023"/>
    <w:rsid w:val="00080F06"/>
    <w:rsid w:val="00080FC2"/>
    <w:rsid w:val="000825CF"/>
    <w:rsid w:val="00082C60"/>
    <w:rsid w:val="00082EB1"/>
    <w:rsid w:val="00083D66"/>
    <w:rsid w:val="000848B6"/>
    <w:rsid w:val="000858DB"/>
    <w:rsid w:val="000905E4"/>
    <w:rsid w:val="0009157D"/>
    <w:rsid w:val="00096D01"/>
    <w:rsid w:val="00097F70"/>
    <w:rsid w:val="000A0C18"/>
    <w:rsid w:val="000A247A"/>
    <w:rsid w:val="000A3AA0"/>
    <w:rsid w:val="000A3F9B"/>
    <w:rsid w:val="000A4C7E"/>
    <w:rsid w:val="000A6268"/>
    <w:rsid w:val="000B04DE"/>
    <w:rsid w:val="000B4346"/>
    <w:rsid w:val="000B4DF9"/>
    <w:rsid w:val="000B6A88"/>
    <w:rsid w:val="000C0CC9"/>
    <w:rsid w:val="000C36A3"/>
    <w:rsid w:val="000C3973"/>
    <w:rsid w:val="000C48B1"/>
    <w:rsid w:val="000C57C6"/>
    <w:rsid w:val="000C76AA"/>
    <w:rsid w:val="000D0A42"/>
    <w:rsid w:val="000D1F50"/>
    <w:rsid w:val="000D713F"/>
    <w:rsid w:val="000D7213"/>
    <w:rsid w:val="000D742A"/>
    <w:rsid w:val="000E058F"/>
    <w:rsid w:val="000E07C3"/>
    <w:rsid w:val="000E1D08"/>
    <w:rsid w:val="000E44E0"/>
    <w:rsid w:val="000E5739"/>
    <w:rsid w:val="000E7683"/>
    <w:rsid w:val="000E77F0"/>
    <w:rsid w:val="000F1EB3"/>
    <w:rsid w:val="000F288B"/>
    <w:rsid w:val="000F300A"/>
    <w:rsid w:val="000F3A4B"/>
    <w:rsid w:val="000F5C20"/>
    <w:rsid w:val="000F64FF"/>
    <w:rsid w:val="000F71D2"/>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6C5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2C5"/>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0E4"/>
    <w:rsid w:val="001A0124"/>
    <w:rsid w:val="001A1DD6"/>
    <w:rsid w:val="001A2273"/>
    <w:rsid w:val="001A237F"/>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11D"/>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15DF8"/>
    <w:rsid w:val="00216681"/>
    <w:rsid w:val="0022138F"/>
    <w:rsid w:val="00225769"/>
    <w:rsid w:val="00225E3B"/>
    <w:rsid w:val="00227104"/>
    <w:rsid w:val="00230054"/>
    <w:rsid w:val="00230B68"/>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576D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A44CF"/>
    <w:rsid w:val="002A6B0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5AAF"/>
    <w:rsid w:val="002D7682"/>
    <w:rsid w:val="002E1E63"/>
    <w:rsid w:val="002E1FA1"/>
    <w:rsid w:val="002E63E1"/>
    <w:rsid w:val="002E6515"/>
    <w:rsid w:val="002E6517"/>
    <w:rsid w:val="002E6687"/>
    <w:rsid w:val="002F2A26"/>
    <w:rsid w:val="002F6565"/>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3ADB"/>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54BC5"/>
    <w:rsid w:val="00363564"/>
    <w:rsid w:val="0036465D"/>
    <w:rsid w:val="00364E64"/>
    <w:rsid w:val="00366577"/>
    <w:rsid w:val="00372477"/>
    <w:rsid w:val="00372544"/>
    <w:rsid w:val="0037341B"/>
    <w:rsid w:val="00376B5F"/>
    <w:rsid w:val="00377AD9"/>
    <w:rsid w:val="00380288"/>
    <w:rsid w:val="003817A2"/>
    <w:rsid w:val="00385359"/>
    <w:rsid w:val="00385468"/>
    <w:rsid w:val="00390CE7"/>
    <w:rsid w:val="00390DAE"/>
    <w:rsid w:val="00393C61"/>
    <w:rsid w:val="00393FF3"/>
    <w:rsid w:val="00395D81"/>
    <w:rsid w:val="0039618C"/>
    <w:rsid w:val="0039633A"/>
    <w:rsid w:val="00396B90"/>
    <w:rsid w:val="003A0BC9"/>
    <w:rsid w:val="003A0D26"/>
    <w:rsid w:val="003A21CD"/>
    <w:rsid w:val="003A2A9E"/>
    <w:rsid w:val="003A40A7"/>
    <w:rsid w:val="003A55FF"/>
    <w:rsid w:val="003A5ADA"/>
    <w:rsid w:val="003A6511"/>
    <w:rsid w:val="003A7853"/>
    <w:rsid w:val="003B28A5"/>
    <w:rsid w:val="003B3F9A"/>
    <w:rsid w:val="003B57A1"/>
    <w:rsid w:val="003B5FED"/>
    <w:rsid w:val="003B661D"/>
    <w:rsid w:val="003B720D"/>
    <w:rsid w:val="003B760C"/>
    <w:rsid w:val="003B79A4"/>
    <w:rsid w:val="003C218A"/>
    <w:rsid w:val="003C3B32"/>
    <w:rsid w:val="003C4430"/>
    <w:rsid w:val="003C5F3E"/>
    <w:rsid w:val="003C7810"/>
    <w:rsid w:val="003D10DD"/>
    <w:rsid w:val="003D1C0C"/>
    <w:rsid w:val="003D3B16"/>
    <w:rsid w:val="003D492D"/>
    <w:rsid w:val="003D60E0"/>
    <w:rsid w:val="003D709B"/>
    <w:rsid w:val="003D7463"/>
    <w:rsid w:val="003E0103"/>
    <w:rsid w:val="003E0A22"/>
    <w:rsid w:val="003E727F"/>
    <w:rsid w:val="003E7D3D"/>
    <w:rsid w:val="003F01DF"/>
    <w:rsid w:val="003F2C18"/>
    <w:rsid w:val="003F6C0E"/>
    <w:rsid w:val="00406BF3"/>
    <w:rsid w:val="00407C75"/>
    <w:rsid w:val="00411B14"/>
    <w:rsid w:val="00412C91"/>
    <w:rsid w:val="004132C5"/>
    <w:rsid w:val="00414064"/>
    <w:rsid w:val="00415DFF"/>
    <w:rsid w:val="00417745"/>
    <w:rsid w:val="00423CA6"/>
    <w:rsid w:val="00429541"/>
    <w:rsid w:val="00430454"/>
    <w:rsid w:val="004326A8"/>
    <w:rsid w:val="004328A4"/>
    <w:rsid w:val="00434779"/>
    <w:rsid w:val="004348C3"/>
    <w:rsid w:val="00436B86"/>
    <w:rsid w:val="0043706A"/>
    <w:rsid w:val="004371ED"/>
    <w:rsid w:val="004401B0"/>
    <w:rsid w:val="00441154"/>
    <w:rsid w:val="00441D90"/>
    <w:rsid w:val="00442224"/>
    <w:rsid w:val="004444EE"/>
    <w:rsid w:val="0044611A"/>
    <w:rsid w:val="00446D0C"/>
    <w:rsid w:val="004524CF"/>
    <w:rsid w:val="00452582"/>
    <w:rsid w:val="00452E3C"/>
    <w:rsid w:val="00454812"/>
    <w:rsid w:val="004549FE"/>
    <w:rsid w:val="00454D38"/>
    <w:rsid w:val="00455C81"/>
    <w:rsid w:val="00457272"/>
    <w:rsid w:val="00457D10"/>
    <w:rsid w:val="00457DCC"/>
    <w:rsid w:val="004606B6"/>
    <w:rsid w:val="00461A18"/>
    <w:rsid w:val="00462060"/>
    <w:rsid w:val="00463C1A"/>
    <w:rsid w:val="00463EEC"/>
    <w:rsid w:val="004640FF"/>
    <w:rsid w:val="00465490"/>
    <w:rsid w:val="00471A83"/>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B5DDA"/>
    <w:rsid w:val="004B7A14"/>
    <w:rsid w:val="004C037B"/>
    <w:rsid w:val="004C221A"/>
    <w:rsid w:val="004C39F8"/>
    <w:rsid w:val="004C411C"/>
    <w:rsid w:val="004C416A"/>
    <w:rsid w:val="004C55B7"/>
    <w:rsid w:val="004C5D35"/>
    <w:rsid w:val="004D0A68"/>
    <w:rsid w:val="004D20BF"/>
    <w:rsid w:val="004D2C70"/>
    <w:rsid w:val="004D31D0"/>
    <w:rsid w:val="004D31F1"/>
    <w:rsid w:val="004D4286"/>
    <w:rsid w:val="004D4733"/>
    <w:rsid w:val="004D4B45"/>
    <w:rsid w:val="004D6C3E"/>
    <w:rsid w:val="004D7B29"/>
    <w:rsid w:val="004E1490"/>
    <w:rsid w:val="004E14DE"/>
    <w:rsid w:val="004E2562"/>
    <w:rsid w:val="004E2E2F"/>
    <w:rsid w:val="004E7CE8"/>
    <w:rsid w:val="004F1BEF"/>
    <w:rsid w:val="004F2430"/>
    <w:rsid w:val="004F2B91"/>
    <w:rsid w:val="004F3034"/>
    <w:rsid w:val="004F35E9"/>
    <w:rsid w:val="004F435E"/>
    <w:rsid w:val="00506D24"/>
    <w:rsid w:val="005077D2"/>
    <w:rsid w:val="005078E7"/>
    <w:rsid w:val="005118F6"/>
    <w:rsid w:val="0051350A"/>
    <w:rsid w:val="005169C6"/>
    <w:rsid w:val="00517604"/>
    <w:rsid w:val="00517DA5"/>
    <w:rsid w:val="00517FA4"/>
    <w:rsid w:val="005216E4"/>
    <w:rsid w:val="00525801"/>
    <w:rsid w:val="00530642"/>
    <w:rsid w:val="00530E56"/>
    <w:rsid w:val="00530F88"/>
    <w:rsid w:val="00531E3C"/>
    <w:rsid w:val="00532B1C"/>
    <w:rsid w:val="00532EB9"/>
    <w:rsid w:val="00533388"/>
    <w:rsid w:val="00534E1F"/>
    <w:rsid w:val="00537269"/>
    <w:rsid w:val="00540F5B"/>
    <w:rsid w:val="005412CE"/>
    <w:rsid w:val="005443C8"/>
    <w:rsid w:val="0054683B"/>
    <w:rsid w:val="00552527"/>
    <w:rsid w:val="005558E1"/>
    <w:rsid w:val="005564A4"/>
    <w:rsid w:val="0055674C"/>
    <w:rsid w:val="005606CB"/>
    <w:rsid w:val="00563265"/>
    <w:rsid w:val="00563FD8"/>
    <w:rsid w:val="00564817"/>
    <w:rsid w:val="0056512E"/>
    <w:rsid w:val="0056561D"/>
    <w:rsid w:val="005701E3"/>
    <w:rsid w:val="005706E9"/>
    <w:rsid w:val="00570849"/>
    <w:rsid w:val="0057158C"/>
    <w:rsid w:val="005750F6"/>
    <w:rsid w:val="00576416"/>
    <w:rsid w:val="00576497"/>
    <w:rsid w:val="005778BD"/>
    <w:rsid w:val="00577C65"/>
    <w:rsid w:val="00581121"/>
    <w:rsid w:val="005840B8"/>
    <w:rsid w:val="005867DF"/>
    <w:rsid w:val="0058784A"/>
    <w:rsid w:val="005900D8"/>
    <w:rsid w:val="005916F1"/>
    <w:rsid w:val="00592081"/>
    <w:rsid w:val="005972E5"/>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473"/>
    <w:rsid w:val="005D2629"/>
    <w:rsid w:val="005D4A78"/>
    <w:rsid w:val="005D54F1"/>
    <w:rsid w:val="005D5820"/>
    <w:rsid w:val="005E03EB"/>
    <w:rsid w:val="005E3D07"/>
    <w:rsid w:val="005E6B49"/>
    <w:rsid w:val="005E7252"/>
    <w:rsid w:val="005E7AA8"/>
    <w:rsid w:val="005E7BA7"/>
    <w:rsid w:val="005F02C2"/>
    <w:rsid w:val="005F0CBA"/>
    <w:rsid w:val="005F70F7"/>
    <w:rsid w:val="005F797F"/>
    <w:rsid w:val="006038D1"/>
    <w:rsid w:val="006046D3"/>
    <w:rsid w:val="00605E3B"/>
    <w:rsid w:val="006065E8"/>
    <w:rsid w:val="00607B4C"/>
    <w:rsid w:val="00610940"/>
    <w:rsid w:val="00613F02"/>
    <w:rsid w:val="006155F0"/>
    <w:rsid w:val="00616766"/>
    <w:rsid w:val="00620386"/>
    <w:rsid w:val="006253B6"/>
    <w:rsid w:val="00625A0D"/>
    <w:rsid w:val="00625A15"/>
    <w:rsid w:val="00627BD8"/>
    <w:rsid w:val="0063178C"/>
    <w:rsid w:val="00632B0A"/>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71E42"/>
    <w:rsid w:val="00680130"/>
    <w:rsid w:val="006824E0"/>
    <w:rsid w:val="00684A68"/>
    <w:rsid w:val="00685883"/>
    <w:rsid w:val="006914D1"/>
    <w:rsid w:val="00691C90"/>
    <w:rsid w:val="00692458"/>
    <w:rsid w:val="006926C9"/>
    <w:rsid w:val="0069388D"/>
    <w:rsid w:val="006A0160"/>
    <w:rsid w:val="006A31AB"/>
    <w:rsid w:val="006A4868"/>
    <w:rsid w:val="006A5215"/>
    <w:rsid w:val="006B18B2"/>
    <w:rsid w:val="006B3640"/>
    <w:rsid w:val="006B61AC"/>
    <w:rsid w:val="006B6C90"/>
    <w:rsid w:val="006B7CA7"/>
    <w:rsid w:val="006C0039"/>
    <w:rsid w:val="006C1521"/>
    <w:rsid w:val="006C39B7"/>
    <w:rsid w:val="006C3C89"/>
    <w:rsid w:val="006C4E7E"/>
    <w:rsid w:val="006C6F0F"/>
    <w:rsid w:val="006C7001"/>
    <w:rsid w:val="006C7362"/>
    <w:rsid w:val="006D11DF"/>
    <w:rsid w:val="006D2547"/>
    <w:rsid w:val="006D3EF5"/>
    <w:rsid w:val="006D47A7"/>
    <w:rsid w:val="006D768C"/>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013D"/>
    <w:rsid w:val="00735CAA"/>
    <w:rsid w:val="0073719C"/>
    <w:rsid w:val="00742E09"/>
    <w:rsid w:val="00745452"/>
    <w:rsid w:val="00745956"/>
    <w:rsid w:val="007462CB"/>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85CFD"/>
    <w:rsid w:val="00786B36"/>
    <w:rsid w:val="00794435"/>
    <w:rsid w:val="007944C6"/>
    <w:rsid w:val="00794ACF"/>
    <w:rsid w:val="007A089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D5669"/>
    <w:rsid w:val="007D5CC6"/>
    <w:rsid w:val="007E04CD"/>
    <w:rsid w:val="007E43B5"/>
    <w:rsid w:val="007E4E9A"/>
    <w:rsid w:val="007E6EE6"/>
    <w:rsid w:val="007F1CA1"/>
    <w:rsid w:val="007F29F8"/>
    <w:rsid w:val="007F2D82"/>
    <w:rsid w:val="007F43F2"/>
    <w:rsid w:val="007F48B2"/>
    <w:rsid w:val="007F4EF0"/>
    <w:rsid w:val="007F5CFF"/>
    <w:rsid w:val="007F6FB2"/>
    <w:rsid w:val="00802216"/>
    <w:rsid w:val="00803175"/>
    <w:rsid w:val="0081013E"/>
    <w:rsid w:val="00810C0D"/>
    <w:rsid w:val="008113B4"/>
    <w:rsid w:val="008114F0"/>
    <w:rsid w:val="00814D74"/>
    <w:rsid w:val="00814DE5"/>
    <w:rsid w:val="00820942"/>
    <w:rsid w:val="008248D1"/>
    <w:rsid w:val="0082586A"/>
    <w:rsid w:val="008261B4"/>
    <w:rsid w:val="00827EDE"/>
    <w:rsid w:val="008306F2"/>
    <w:rsid w:val="00832EAB"/>
    <w:rsid w:val="008358B4"/>
    <w:rsid w:val="00842EF4"/>
    <w:rsid w:val="00843D15"/>
    <w:rsid w:val="00845AA0"/>
    <w:rsid w:val="008510FF"/>
    <w:rsid w:val="008530BE"/>
    <w:rsid w:val="008540FA"/>
    <w:rsid w:val="00855E51"/>
    <w:rsid w:val="008606A0"/>
    <w:rsid w:val="00861E1B"/>
    <w:rsid w:val="00863446"/>
    <w:rsid w:val="00863E4E"/>
    <w:rsid w:val="00865ED0"/>
    <w:rsid w:val="00867895"/>
    <w:rsid w:val="008748C6"/>
    <w:rsid w:val="00875FE9"/>
    <w:rsid w:val="0087684F"/>
    <w:rsid w:val="00876CAC"/>
    <w:rsid w:val="008844A5"/>
    <w:rsid w:val="00884CD8"/>
    <w:rsid w:val="00885A76"/>
    <w:rsid w:val="00886079"/>
    <w:rsid w:val="00891F34"/>
    <w:rsid w:val="00895C04"/>
    <w:rsid w:val="008970B7"/>
    <w:rsid w:val="00897996"/>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17A4"/>
    <w:rsid w:val="008D20DD"/>
    <w:rsid w:val="008D2CA8"/>
    <w:rsid w:val="008D4AA6"/>
    <w:rsid w:val="008E0CD4"/>
    <w:rsid w:val="008E2267"/>
    <w:rsid w:val="008E6827"/>
    <w:rsid w:val="008F0F03"/>
    <w:rsid w:val="008F1341"/>
    <w:rsid w:val="008F1702"/>
    <w:rsid w:val="008F2CF5"/>
    <w:rsid w:val="008F3034"/>
    <w:rsid w:val="008F3194"/>
    <w:rsid w:val="008F5E84"/>
    <w:rsid w:val="008F65FF"/>
    <w:rsid w:val="00901E01"/>
    <w:rsid w:val="00904BC8"/>
    <w:rsid w:val="00906D5B"/>
    <w:rsid w:val="00907133"/>
    <w:rsid w:val="009071E8"/>
    <w:rsid w:val="009118F6"/>
    <w:rsid w:val="00911EB8"/>
    <w:rsid w:val="00912168"/>
    <w:rsid w:val="00912AF6"/>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6C5D"/>
    <w:rsid w:val="009277AD"/>
    <w:rsid w:val="009306ED"/>
    <w:rsid w:val="00930A83"/>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159B"/>
    <w:rsid w:val="009C2AED"/>
    <w:rsid w:val="009C3490"/>
    <w:rsid w:val="009C3BB0"/>
    <w:rsid w:val="009C575D"/>
    <w:rsid w:val="009C72D3"/>
    <w:rsid w:val="009D0CA8"/>
    <w:rsid w:val="009D1FC0"/>
    <w:rsid w:val="009D2863"/>
    <w:rsid w:val="009D4238"/>
    <w:rsid w:val="009D493B"/>
    <w:rsid w:val="009D5943"/>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59E"/>
    <w:rsid w:val="00A24C42"/>
    <w:rsid w:val="00A24E5E"/>
    <w:rsid w:val="00A2629A"/>
    <w:rsid w:val="00A26F1E"/>
    <w:rsid w:val="00A272D4"/>
    <w:rsid w:val="00A2737A"/>
    <w:rsid w:val="00A302DC"/>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15B8"/>
    <w:rsid w:val="00AB3BAC"/>
    <w:rsid w:val="00AB4AD3"/>
    <w:rsid w:val="00AB6478"/>
    <w:rsid w:val="00AC0797"/>
    <w:rsid w:val="00AC2EDE"/>
    <w:rsid w:val="00AC53AF"/>
    <w:rsid w:val="00AD3C8B"/>
    <w:rsid w:val="00AD4F9D"/>
    <w:rsid w:val="00AD628A"/>
    <w:rsid w:val="00AE05E1"/>
    <w:rsid w:val="00AE0AC0"/>
    <w:rsid w:val="00AE2123"/>
    <w:rsid w:val="00AE486F"/>
    <w:rsid w:val="00AE533A"/>
    <w:rsid w:val="00AE59E5"/>
    <w:rsid w:val="00AE629D"/>
    <w:rsid w:val="00AE6938"/>
    <w:rsid w:val="00AE6DBC"/>
    <w:rsid w:val="00AF0A65"/>
    <w:rsid w:val="00AF223D"/>
    <w:rsid w:val="00AF22E7"/>
    <w:rsid w:val="00AF3F61"/>
    <w:rsid w:val="00AF532B"/>
    <w:rsid w:val="00AF5C4F"/>
    <w:rsid w:val="00AF62FB"/>
    <w:rsid w:val="00AF67A9"/>
    <w:rsid w:val="00B024D9"/>
    <w:rsid w:val="00B02CC5"/>
    <w:rsid w:val="00B03FFF"/>
    <w:rsid w:val="00B0502D"/>
    <w:rsid w:val="00B058EF"/>
    <w:rsid w:val="00B07F75"/>
    <w:rsid w:val="00B10AB7"/>
    <w:rsid w:val="00B1151B"/>
    <w:rsid w:val="00B156C8"/>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371EC"/>
    <w:rsid w:val="00B401A1"/>
    <w:rsid w:val="00B41CEE"/>
    <w:rsid w:val="00B420B6"/>
    <w:rsid w:val="00B450AD"/>
    <w:rsid w:val="00B47F44"/>
    <w:rsid w:val="00B500E8"/>
    <w:rsid w:val="00B506B5"/>
    <w:rsid w:val="00B51B92"/>
    <w:rsid w:val="00B52163"/>
    <w:rsid w:val="00B559AF"/>
    <w:rsid w:val="00B55EF6"/>
    <w:rsid w:val="00B61582"/>
    <w:rsid w:val="00B6217E"/>
    <w:rsid w:val="00B625F2"/>
    <w:rsid w:val="00B627C5"/>
    <w:rsid w:val="00B64367"/>
    <w:rsid w:val="00B64C8C"/>
    <w:rsid w:val="00B65F91"/>
    <w:rsid w:val="00B6769D"/>
    <w:rsid w:val="00B6772A"/>
    <w:rsid w:val="00B83559"/>
    <w:rsid w:val="00B853F1"/>
    <w:rsid w:val="00B86403"/>
    <w:rsid w:val="00B86A43"/>
    <w:rsid w:val="00B91976"/>
    <w:rsid w:val="00B92CED"/>
    <w:rsid w:val="00B94117"/>
    <w:rsid w:val="00B968C2"/>
    <w:rsid w:val="00BA028D"/>
    <w:rsid w:val="00BA1722"/>
    <w:rsid w:val="00BA3E7C"/>
    <w:rsid w:val="00BA62AA"/>
    <w:rsid w:val="00BA6C5D"/>
    <w:rsid w:val="00BA6DD4"/>
    <w:rsid w:val="00BB1636"/>
    <w:rsid w:val="00BB1B98"/>
    <w:rsid w:val="00BB33ED"/>
    <w:rsid w:val="00BB5BAF"/>
    <w:rsid w:val="00BB6801"/>
    <w:rsid w:val="00BB7498"/>
    <w:rsid w:val="00BB7B1F"/>
    <w:rsid w:val="00BC12C5"/>
    <w:rsid w:val="00BC4D26"/>
    <w:rsid w:val="00BC5518"/>
    <w:rsid w:val="00BD054F"/>
    <w:rsid w:val="00BD078D"/>
    <w:rsid w:val="00BD429D"/>
    <w:rsid w:val="00BD44A9"/>
    <w:rsid w:val="00BD6D69"/>
    <w:rsid w:val="00BE11DB"/>
    <w:rsid w:val="00BE1539"/>
    <w:rsid w:val="00BE4B1F"/>
    <w:rsid w:val="00BE4EDA"/>
    <w:rsid w:val="00BF20B1"/>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4176"/>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6DE6"/>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5EC9"/>
    <w:rsid w:val="00C76E2D"/>
    <w:rsid w:val="00C76FFF"/>
    <w:rsid w:val="00C77386"/>
    <w:rsid w:val="00C80421"/>
    <w:rsid w:val="00C80936"/>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39B1"/>
    <w:rsid w:val="00D23EEF"/>
    <w:rsid w:val="00D24BDB"/>
    <w:rsid w:val="00D25E0F"/>
    <w:rsid w:val="00D27141"/>
    <w:rsid w:val="00D27637"/>
    <w:rsid w:val="00D30343"/>
    <w:rsid w:val="00D3635A"/>
    <w:rsid w:val="00D36920"/>
    <w:rsid w:val="00D36B09"/>
    <w:rsid w:val="00D434D3"/>
    <w:rsid w:val="00D4358F"/>
    <w:rsid w:val="00D443D7"/>
    <w:rsid w:val="00D5188B"/>
    <w:rsid w:val="00D520E7"/>
    <w:rsid w:val="00D53C66"/>
    <w:rsid w:val="00D556BB"/>
    <w:rsid w:val="00D56DA0"/>
    <w:rsid w:val="00D609A1"/>
    <w:rsid w:val="00D62793"/>
    <w:rsid w:val="00D627BE"/>
    <w:rsid w:val="00D6578B"/>
    <w:rsid w:val="00D65905"/>
    <w:rsid w:val="00D65ECC"/>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A757C"/>
    <w:rsid w:val="00DB0295"/>
    <w:rsid w:val="00DB207B"/>
    <w:rsid w:val="00DB3285"/>
    <w:rsid w:val="00DB5138"/>
    <w:rsid w:val="00DB6108"/>
    <w:rsid w:val="00DC008F"/>
    <w:rsid w:val="00DC3240"/>
    <w:rsid w:val="00DD4464"/>
    <w:rsid w:val="00DD6074"/>
    <w:rsid w:val="00DD693A"/>
    <w:rsid w:val="00DD7323"/>
    <w:rsid w:val="00DE125D"/>
    <w:rsid w:val="00DE5620"/>
    <w:rsid w:val="00DE5C6B"/>
    <w:rsid w:val="00DE6056"/>
    <w:rsid w:val="00DE6090"/>
    <w:rsid w:val="00DF1CBC"/>
    <w:rsid w:val="00DF3EFE"/>
    <w:rsid w:val="00E02685"/>
    <w:rsid w:val="00E051AD"/>
    <w:rsid w:val="00E0642F"/>
    <w:rsid w:val="00E07B7B"/>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2296"/>
    <w:rsid w:val="00E63F4F"/>
    <w:rsid w:val="00E64DA3"/>
    <w:rsid w:val="00E65BCB"/>
    <w:rsid w:val="00E670A1"/>
    <w:rsid w:val="00E679F9"/>
    <w:rsid w:val="00E67FA7"/>
    <w:rsid w:val="00E706DD"/>
    <w:rsid w:val="00E7101C"/>
    <w:rsid w:val="00E710F2"/>
    <w:rsid w:val="00E72731"/>
    <w:rsid w:val="00E73A87"/>
    <w:rsid w:val="00E76C52"/>
    <w:rsid w:val="00E77366"/>
    <w:rsid w:val="00E7752B"/>
    <w:rsid w:val="00E80B1C"/>
    <w:rsid w:val="00E870E4"/>
    <w:rsid w:val="00E8796B"/>
    <w:rsid w:val="00E90C07"/>
    <w:rsid w:val="00E93F27"/>
    <w:rsid w:val="00E94350"/>
    <w:rsid w:val="00E97B77"/>
    <w:rsid w:val="00EA060C"/>
    <w:rsid w:val="00EA242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AEA"/>
    <w:rsid w:val="00ED2DE6"/>
    <w:rsid w:val="00ED4AAB"/>
    <w:rsid w:val="00ED7DA5"/>
    <w:rsid w:val="00EE0C5F"/>
    <w:rsid w:val="00EE285A"/>
    <w:rsid w:val="00EE3372"/>
    <w:rsid w:val="00EE4000"/>
    <w:rsid w:val="00EE5549"/>
    <w:rsid w:val="00EE5A45"/>
    <w:rsid w:val="00EE6F7A"/>
    <w:rsid w:val="00EE760A"/>
    <w:rsid w:val="00EF1F94"/>
    <w:rsid w:val="00EF273A"/>
    <w:rsid w:val="00EF46D9"/>
    <w:rsid w:val="00EF6148"/>
    <w:rsid w:val="00EF7E3E"/>
    <w:rsid w:val="00F03A6B"/>
    <w:rsid w:val="00F04F4D"/>
    <w:rsid w:val="00F051B9"/>
    <w:rsid w:val="00F071B9"/>
    <w:rsid w:val="00F07604"/>
    <w:rsid w:val="00F109DA"/>
    <w:rsid w:val="00F122F6"/>
    <w:rsid w:val="00F14625"/>
    <w:rsid w:val="00F15189"/>
    <w:rsid w:val="00F1598A"/>
    <w:rsid w:val="00F20F66"/>
    <w:rsid w:val="00F21E51"/>
    <w:rsid w:val="00F25056"/>
    <w:rsid w:val="00F26716"/>
    <w:rsid w:val="00F26C97"/>
    <w:rsid w:val="00F3006E"/>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1002"/>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2BA"/>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1D46"/>
    <w:rsid w:val="00FE46F1"/>
    <w:rsid w:val="00FE5081"/>
    <w:rsid w:val="00FE70A6"/>
    <w:rsid w:val="00FE7FF1"/>
    <w:rsid w:val="00FF0FE9"/>
    <w:rsid w:val="00FF1589"/>
    <w:rsid w:val="00FF248A"/>
    <w:rsid w:val="00FF3F96"/>
    <w:rsid w:val="00FF55B2"/>
    <w:rsid w:val="00FF674A"/>
    <w:rsid w:val="00FF680D"/>
    <w:rsid w:val="010A83E9"/>
    <w:rsid w:val="019C3F3E"/>
    <w:rsid w:val="01BFF1F7"/>
    <w:rsid w:val="029C913D"/>
    <w:rsid w:val="06E6217B"/>
    <w:rsid w:val="0A1A3BFD"/>
    <w:rsid w:val="0BF5DCBE"/>
    <w:rsid w:val="0C175CB1"/>
    <w:rsid w:val="0E06C264"/>
    <w:rsid w:val="0E27A64C"/>
    <w:rsid w:val="0EB081E8"/>
    <w:rsid w:val="0ED8E370"/>
    <w:rsid w:val="0FEF0FE4"/>
    <w:rsid w:val="11E79E44"/>
    <w:rsid w:val="124DF97C"/>
    <w:rsid w:val="124E70FC"/>
    <w:rsid w:val="12581A44"/>
    <w:rsid w:val="1658B0F5"/>
    <w:rsid w:val="1726DA39"/>
    <w:rsid w:val="1779223D"/>
    <w:rsid w:val="17CE26E7"/>
    <w:rsid w:val="17E700CC"/>
    <w:rsid w:val="199DADD8"/>
    <w:rsid w:val="1AFEF6F2"/>
    <w:rsid w:val="1BB09E34"/>
    <w:rsid w:val="1BB0AB5F"/>
    <w:rsid w:val="1C50D686"/>
    <w:rsid w:val="1D4C3BB9"/>
    <w:rsid w:val="21BEA108"/>
    <w:rsid w:val="222162E7"/>
    <w:rsid w:val="247F63BF"/>
    <w:rsid w:val="2599FC16"/>
    <w:rsid w:val="2780479E"/>
    <w:rsid w:val="2857C086"/>
    <w:rsid w:val="28E6013A"/>
    <w:rsid w:val="2A1A5311"/>
    <w:rsid w:val="2C1B8662"/>
    <w:rsid w:val="2C1B9F9D"/>
    <w:rsid w:val="2E116687"/>
    <w:rsid w:val="2E53D6E4"/>
    <w:rsid w:val="2E58864B"/>
    <w:rsid w:val="2F7BF39A"/>
    <w:rsid w:val="314B6B74"/>
    <w:rsid w:val="340649E6"/>
    <w:rsid w:val="3418F6D4"/>
    <w:rsid w:val="344667FD"/>
    <w:rsid w:val="3474AE0D"/>
    <w:rsid w:val="34A9A1A1"/>
    <w:rsid w:val="355FB1BD"/>
    <w:rsid w:val="36240906"/>
    <w:rsid w:val="3927B73C"/>
    <w:rsid w:val="39449B93"/>
    <w:rsid w:val="3A112409"/>
    <w:rsid w:val="3C82EEBC"/>
    <w:rsid w:val="3CA4536C"/>
    <w:rsid w:val="3CBB7CE6"/>
    <w:rsid w:val="3E7331DA"/>
    <w:rsid w:val="417D6DEE"/>
    <w:rsid w:val="427B045B"/>
    <w:rsid w:val="43306BF7"/>
    <w:rsid w:val="462CF010"/>
    <w:rsid w:val="4733B681"/>
    <w:rsid w:val="47594312"/>
    <w:rsid w:val="47CAE8C8"/>
    <w:rsid w:val="495C9D15"/>
    <w:rsid w:val="49B4B28C"/>
    <w:rsid w:val="4A14EB15"/>
    <w:rsid w:val="4A775810"/>
    <w:rsid w:val="4A865486"/>
    <w:rsid w:val="4C9C8143"/>
    <w:rsid w:val="4E6B4FED"/>
    <w:rsid w:val="4FA25F98"/>
    <w:rsid w:val="51C7117C"/>
    <w:rsid w:val="5290878E"/>
    <w:rsid w:val="531E2ECD"/>
    <w:rsid w:val="544B78C2"/>
    <w:rsid w:val="54763F09"/>
    <w:rsid w:val="5481F303"/>
    <w:rsid w:val="54880188"/>
    <w:rsid w:val="55E2C59B"/>
    <w:rsid w:val="570E9362"/>
    <w:rsid w:val="57709D4D"/>
    <w:rsid w:val="57F1AB0B"/>
    <w:rsid w:val="59B20A11"/>
    <w:rsid w:val="5BE2EDF0"/>
    <w:rsid w:val="5CA9FA65"/>
    <w:rsid w:val="5FFE86FA"/>
    <w:rsid w:val="61D69B0A"/>
    <w:rsid w:val="63313EED"/>
    <w:rsid w:val="65A4BF3A"/>
    <w:rsid w:val="65D9F7E5"/>
    <w:rsid w:val="6661E528"/>
    <w:rsid w:val="676941D6"/>
    <w:rsid w:val="692CA5A4"/>
    <w:rsid w:val="6A7D38F4"/>
    <w:rsid w:val="6BDF9539"/>
    <w:rsid w:val="6C5E86AE"/>
    <w:rsid w:val="6FF69C76"/>
    <w:rsid w:val="73816726"/>
    <w:rsid w:val="74BC2190"/>
    <w:rsid w:val="7602A3AA"/>
    <w:rsid w:val="77B440CC"/>
    <w:rsid w:val="77BCAAA6"/>
    <w:rsid w:val="781FF271"/>
    <w:rsid w:val="78B65792"/>
    <w:rsid w:val="795B10E5"/>
    <w:rsid w:val="7AFD943A"/>
    <w:rsid w:val="7B428042"/>
    <w:rsid w:val="7C5D37C6"/>
    <w:rsid w:val="7D1C90B9"/>
    <w:rsid w:val="7DA301C4"/>
    <w:rsid w:val="7F179F37"/>
    <w:rsid w:val="7FE1C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45A6ABB0"/>
  <w15:docId w15:val="{EE66C781-E3C8-48CC-955C-A24CB52B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2"/>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3"/>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9"/>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7"/>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20"/>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5"/>
      </w:numPr>
    </w:pPr>
    <w:rPr>
      <w:color w:val="000000"/>
    </w:rPr>
  </w:style>
  <w:style w:type="paragraph" w:customStyle="1" w:styleId="Romanlist">
    <w:name w:val="Roman list"/>
    <w:basedOn w:val="AlphaList"/>
    <w:uiPriority w:val="3"/>
    <w:qFormat/>
    <w:rsid w:val="00BA6DD4"/>
    <w:pPr>
      <w:numPr>
        <w:numId w:val="6"/>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2F6565"/>
    <w:pPr>
      <w:numPr>
        <w:numId w:val="28"/>
      </w:numPr>
      <w:tabs>
        <w:tab w:val="clear" w:pos="1080"/>
        <w:tab w:val="num" w:pos="360"/>
      </w:tabs>
      <w:spacing w:before="0" w:after="0" w:line="240" w:lineRule="auto"/>
      <w:ind w:left="360"/>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671E42"/>
    <w:pPr>
      <w:spacing w:before="0" w:after="0" w:line="240" w:lineRule="auto"/>
      <w:ind w:left="720"/>
      <w:contextualSpacing/>
    </w:pPr>
    <w:rPr>
      <w:rFonts w:ascii="Calibri" w:eastAsia="Times New Roman" w:hAnsi="Calibri" w:cs="Times New Roman"/>
      <w:color w:val="auto"/>
      <w:szCs w:val="20"/>
      <w:lang w:eastAsia="en-US"/>
    </w:rPr>
  </w:style>
  <w:style w:type="paragraph" w:customStyle="1" w:styleId="Default">
    <w:name w:val="Default"/>
    <w:rsid w:val="00D27141"/>
    <w:pPr>
      <w:autoSpaceDE w:val="0"/>
      <w:autoSpaceDN w:val="0"/>
      <w:adjustRightInd w:val="0"/>
    </w:pPr>
    <w:rPr>
      <w:rFonts w:ascii="Times New Roman" w:eastAsia="Times New Roman" w:hAnsi="Times New Roman" w:cs="Times New Roman"/>
      <w:color w:val="000000"/>
    </w:rPr>
  </w:style>
  <w:style w:type="table" w:customStyle="1" w:styleId="TableGrid0">
    <w:name w:val="TableGrid"/>
    <w:rsid w:val="001A237F"/>
    <w:rPr>
      <w:rFonts w:asciiTheme="minorHAnsi" w:eastAsiaTheme="minorEastAsia" w:hAnsiTheme="minorHAnsi" w:cstheme="minorBidi"/>
      <w:color w:val="auto"/>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8836">
      <w:bodyDiv w:val="1"/>
      <w:marLeft w:val="0"/>
      <w:marRight w:val="0"/>
      <w:marTop w:val="0"/>
      <w:marBottom w:val="0"/>
      <w:divBdr>
        <w:top w:val="none" w:sz="0" w:space="0" w:color="auto"/>
        <w:left w:val="none" w:sz="0" w:space="0" w:color="auto"/>
        <w:bottom w:val="none" w:sz="0" w:space="0" w:color="auto"/>
        <w:right w:val="none" w:sz="0" w:space="0" w:color="auto"/>
      </w:divBdr>
      <w:divsChild>
        <w:div w:id="635911977">
          <w:marLeft w:val="0"/>
          <w:marRight w:val="0"/>
          <w:marTop w:val="0"/>
          <w:marBottom w:val="0"/>
          <w:divBdr>
            <w:top w:val="none" w:sz="0" w:space="0" w:color="auto"/>
            <w:left w:val="none" w:sz="0" w:space="0" w:color="auto"/>
            <w:bottom w:val="none" w:sz="0" w:space="0" w:color="auto"/>
            <w:right w:val="none" w:sz="0" w:space="0" w:color="auto"/>
          </w:divBdr>
        </w:div>
        <w:div w:id="2094006850">
          <w:marLeft w:val="0"/>
          <w:marRight w:val="0"/>
          <w:marTop w:val="0"/>
          <w:marBottom w:val="0"/>
          <w:divBdr>
            <w:top w:val="none" w:sz="0" w:space="0" w:color="auto"/>
            <w:left w:val="none" w:sz="0" w:space="0" w:color="auto"/>
            <w:bottom w:val="none" w:sz="0" w:space="0" w:color="auto"/>
            <w:right w:val="none" w:sz="0" w:space="0" w:color="auto"/>
          </w:divBdr>
          <w:divsChild>
            <w:div w:id="1553929344">
              <w:marLeft w:val="-75"/>
              <w:marRight w:val="0"/>
              <w:marTop w:val="30"/>
              <w:marBottom w:val="30"/>
              <w:divBdr>
                <w:top w:val="none" w:sz="0" w:space="0" w:color="auto"/>
                <w:left w:val="none" w:sz="0" w:space="0" w:color="auto"/>
                <w:bottom w:val="none" w:sz="0" w:space="0" w:color="auto"/>
                <w:right w:val="none" w:sz="0" w:space="0" w:color="auto"/>
              </w:divBdr>
              <w:divsChild>
                <w:div w:id="482166805">
                  <w:marLeft w:val="0"/>
                  <w:marRight w:val="0"/>
                  <w:marTop w:val="0"/>
                  <w:marBottom w:val="0"/>
                  <w:divBdr>
                    <w:top w:val="none" w:sz="0" w:space="0" w:color="auto"/>
                    <w:left w:val="none" w:sz="0" w:space="0" w:color="auto"/>
                    <w:bottom w:val="none" w:sz="0" w:space="0" w:color="auto"/>
                    <w:right w:val="none" w:sz="0" w:space="0" w:color="auto"/>
                  </w:divBdr>
                  <w:divsChild>
                    <w:div w:id="744453793">
                      <w:marLeft w:val="0"/>
                      <w:marRight w:val="0"/>
                      <w:marTop w:val="0"/>
                      <w:marBottom w:val="0"/>
                      <w:divBdr>
                        <w:top w:val="none" w:sz="0" w:space="0" w:color="auto"/>
                        <w:left w:val="none" w:sz="0" w:space="0" w:color="auto"/>
                        <w:bottom w:val="none" w:sz="0" w:space="0" w:color="auto"/>
                        <w:right w:val="none" w:sz="0" w:space="0" w:color="auto"/>
                      </w:divBdr>
                    </w:div>
                  </w:divsChild>
                </w:div>
                <w:div w:id="238832223">
                  <w:marLeft w:val="0"/>
                  <w:marRight w:val="0"/>
                  <w:marTop w:val="0"/>
                  <w:marBottom w:val="0"/>
                  <w:divBdr>
                    <w:top w:val="none" w:sz="0" w:space="0" w:color="auto"/>
                    <w:left w:val="none" w:sz="0" w:space="0" w:color="auto"/>
                    <w:bottom w:val="none" w:sz="0" w:space="0" w:color="auto"/>
                    <w:right w:val="none" w:sz="0" w:space="0" w:color="auto"/>
                  </w:divBdr>
                  <w:divsChild>
                    <w:div w:id="2117828494">
                      <w:marLeft w:val="0"/>
                      <w:marRight w:val="0"/>
                      <w:marTop w:val="0"/>
                      <w:marBottom w:val="0"/>
                      <w:divBdr>
                        <w:top w:val="none" w:sz="0" w:space="0" w:color="auto"/>
                        <w:left w:val="none" w:sz="0" w:space="0" w:color="auto"/>
                        <w:bottom w:val="none" w:sz="0" w:space="0" w:color="auto"/>
                        <w:right w:val="none" w:sz="0" w:space="0" w:color="auto"/>
                      </w:divBdr>
                    </w:div>
                  </w:divsChild>
                </w:div>
                <w:div w:id="52430783">
                  <w:marLeft w:val="0"/>
                  <w:marRight w:val="0"/>
                  <w:marTop w:val="0"/>
                  <w:marBottom w:val="0"/>
                  <w:divBdr>
                    <w:top w:val="none" w:sz="0" w:space="0" w:color="auto"/>
                    <w:left w:val="none" w:sz="0" w:space="0" w:color="auto"/>
                    <w:bottom w:val="none" w:sz="0" w:space="0" w:color="auto"/>
                    <w:right w:val="none" w:sz="0" w:space="0" w:color="auto"/>
                  </w:divBdr>
                  <w:divsChild>
                    <w:div w:id="1100298207">
                      <w:marLeft w:val="0"/>
                      <w:marRight w:val="0"/>
                      <w:marTop w:val="0"/>
                      <w:marBottom w:val="0"/>
                      <w:divBdr>
                        <w:top w:val="none" w:sz="0" w:space="0" w:color="auto"/>
                        <w:left w:val="none" w:sz="0" w:space="0" w:color="auto"/>
                        <w:bottom w:val="none" w:sz="0" w:space="0" w:color="auto"/>
                        <w:right w:val="none" w:sz="0" w:space="0" w:color="auto"/>
                      </w:divBdr>
                    </w:div>
                  </w:divsChild>
                </w:div>
                <w:div w:id="1425765989">
                  <w:marLeft w:val="0"/>
                  <w:marRight w:val="0"/>
                  <w:marTop w:val="0"/>
                  <w:marBottom w:val="0"/>
                  <w:divBdr>
                    <w:top w:val="none" w:sz="0" w:space="0" w:color="auto"/>
                    <w:left w:val="none" w:sz="0" w:space="0" w:color="auto"/>
                    <w:bottom w:val="none" w:sz="0" w:space="0" w:color="auto"/>
                    <w:right w:val="none" w:sz="0" w:space="0" w:color="auto"/>
                  </w:divBdr>
                  <w:divsChild>
                    <w:div w:id="816992718">
                      <w:marLeft w:val="0"/>
                      <w:marRight w:val="0"/>
                      <w:marTop w:val="0"/>
                      <w:marBottom w:val="0"/>
                      <w:divBdr>
                        <w:top w:val="none" w:sz="0" w:space="0" w:color="auto"/>
                        <w:left w:val="none" w:sz="0" w:space="0" w:color="auto"/>
                        <w:bottom w:val="none" w:sz="0" w:space="0" w:color="auto"/>
                        <w:right w:val="none" w:sz="0" w:space="0" w:color="auto"/>
                      </w:divBdr>
                    </w:div>
                    <w:div w:id="1686863726">
                      <w:marLeft w:val="0"/>
                      <w:marRight w:val="0"/>
                      <w:marTop w:val="0"/>
                      <w:marBottom w:val="0"/>
                      <w:divBdr>
                        <w:top w:val="none" w:sz="0" w:space="0" w:color="auto"/>
                        <w:left w:val="none" w:sz="0" w:space="0" w:color="auto"/>
                        <w:bottom w:val="none" w:sz="0" w:space="0" w:color="auto"/>
                        <w:right w:val="none" w:sz="0" w:space="0" w:color="auto"/>
                      </w:divBdr>
                    </w:div>
                  </w:divsChild>
                </w:div>
                <w:div w:id="438645951">
                  <w:marLeft w:val="0"/>
                  <w:marRight w:val="0"/>
                  <w:marTop w:val="0"/>
                  <w:marBottom w:val="0"/>
                  <w:divBdr>
                    <w:top w:val="none" w:sz="0" w:space="0" w:color="auto"/>
                    <w:left w:val="none" w:sz="0" w:space="0" w:color="auto"/>
                    <w:bottom w:val="none" w:sz="0" w:space="0" w:color="auto"/>
                    <w:right w:val="none" w:sz="0" w:space="0" w:color="auto"/>
                  </w:divBdr>
                  <w:divsChild>
                    <w:div w:id="770973572">
                      <w:marLeft w:val="0"/>
                      <w:marRight w:val="0"/>
                      <w:marTop w:val="0"/>
                      <w:marBottom w:val="0"/>
                      <w:divBdr>
                        <w:top w:val="none" w:sz="0" w:space="0" w:color="auto"/>
                        <w:left w:val="none" w:sz="0" w:space="0" w:color="auto"/>
                        <w:bottom w:val="none" w:sz="0" w:space="0" w:color="auto"/>
                        <w:right w:val="none" w:sz="0" w:space="0" w:color="auto"/>
                      </w:divBdr>
                    </w:div>
                  </w:divsChild>
                </w:div>
                <w:div w:id="1292588597">
                  <w:marLeft w:val="0"/>
                  <w:marRight w:val="0"/>
                  <w:marTop w:val="0"/>
                  <w:marBottom w:val="0"/>
                  <w:divBdr>
                    <w:top w:val="none" w:sz="0" w:space="0" w:color="auto"/>
                    <w:left w:val="none" w:sz="0" w:space="0" w:color="auto"/>
                    <w:bottom w:val="none" w:sz="0" w:space="0" w:color="auto"/>
                    <w:right w:val="none" w:sz="0" w:space="0" w:color="auto"/>
                  </w:divBdr>
                  <w:divsChild>
                    <w:div w:id="567543483">
                      <w:marLeft w:val="0"/>
                      <w:marRight w:val="0"/>
                      <w:marTop w:val="0"/>
                      <w:marBottom w:val="0"/>
                      <w:divBdr>
                        <w:top w:val="none" w:sz="0" w:space="0" w:color="auto"/>
                        <w:left w:val="none" w:sz="0" w:space="0" w:color="auto"/>
                        <w:bottom w:val="none" w:sz="0" w:space="0" w:color="auto"/>
                        <w:right w:val="none" w:sz="0" w:space="0" w:color="auto"/>
                      </w:divBdr>
                    </w:div>
                  </w:divsChild>
                </w:div>
                <w:div w:id="1660889200">
                  <w:marLeft w:val="0"/>
                  <w:marRight w:val="0"/>
                  <w:marTop w:val="0"/>
                  <w:marBottom w:val="0"/>
                  <w:divBdr>
                    <w:top w:val="none" w:sz="0" w:space="0" w:color="auto"/>
                    <w:left w:val="none" w:sz="0" w:space="0" w:color="auto"/>
                    <w:bottom w:val="none" w:sz="0" w:space="0" w:color="auto"/>
                    <w:right w:val="none" w:sz="0" w:space="0" w:color="auto"/>
                  </w:divBdr>
                  <w:divsChild>
                    <w:div w:id="1433555249">
                      <w:marLeft w:val="0"/>
                      <w:marRight w:val="0"/>
                      <w:marTop w:val="0"/>
                      <w:marBottom w:val="0"/>
                      <w:divBdr>
                        <w:top w:val="none" w:sz="0" w:space="0" w:color="auto"/>
                        <w:left w:val="none" w:sz="0" w:space="0" w:color="auto"/>
                        <w:bottom w:val="none" w:sz="0" w:space="0" w:color="auto"/>
                        <w:right w:val="none" w:sz="0" w:space="0" w:color="auto"/>
                      </w:divBdr>
                    </w:div>
                  </w:divsChild>
                </w:div>
                <w:div w:id="102965042">
                  <w:marLeft w:val="0"/>
                  <w:marRight w:val="0"/>
                  <w:marTop w:val="0"/>
                  <w:marBottom w:val="0"/>
                  <w:divBdr>
                    <w:top w:val="none" w:sz="0" w:space="0" w:color="auto"/>
                    <w:left w:val="none" w:sz="0" w:space="0" w:color="auto"/>
                    <w:bottom w:val="none" w:sz="0" w:space="0" w:color="auto"/>
                    <w:right w:val="none" w:sz="0" w:space="0" w:color="auto"/>
                  </w:divBdr>
                  <w:divsChild>
                    <w:div w:id="1857963385">
                      <w:marLeft w:val="0"/>
                      <w:marRight w:val="0"/>
                      <w:marTop w:val="0"/>
                      <w:marBottom w:val="0"/>
                      <w:divBdr>
                        <w:top w:val="none" w:sz="0" w:space="0" w:color="auto"/>
                        <w:left w:val="none" w:sz="0" w:space="0" w:color="auto"/>
                        <w:bottom w:val="none" w:sz="0" w:space="0" w:color="auto"/>
                        <w:right w:val="none" w:sz="0" w:space="0" w:color="auto"/>
                      </w:divBdr>
                    </w:div>
                    <w:div w:id="1324822935">
                      <w:marLeft w:val="0"/>
                      <w:marRight w:val="0"/>
                      <w:marTop w:val="0"/>
                      <w:marBottom w:val="0"/>
                      <w:divBdr>
                        <w:top w:val="none" w:sz="0" w:space="0" w:color="auto"/>
                        <w:left w:val="none" w:sz="0" w:space="0" w:color="auto"/>
                        <w:bottom w:val="none" w:sz="0" w:space="0" w:color="auto"/>
                        <w:right w:val="none" w:sz="0" w:space="0" w:color="auto"/>
                      </w:divBdr>
                    </w:div>
                    <w:div w:id="154688898">
                      <w:marLeft w:val="0"/>
                      <w:marRight w:val="0"/>
                      <w:marTop w:val="0"/>
                      <w:marBottom w:val="0"/>
                      <w:divBdr>
                        <w:top w:val="none" w:sz="0" w:space="0" w:color="auto"/>
                        <w:left w:val="none" w:sz="0" w:space="0" w:color="auto"/>
                        <w:bottom w:val="none" w:sz="0" w:space="0" w:color="auto"/>
                        <w:right w:val="none" w:sz="0" w:space="0" w:color="auto"/>
                      </w:divBdr>
                    </w:div>
                    <w:div w:id="16971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40972">
          <w:marLeft w:val="0"/>
          <w:marRight w:val="0"/>
          <w:marTop w:val="0"/>
          <w:marBottom w:val="0"/>
          <w:divBdr>
            <w:top w:val="none" w:sz="0" w:space="0" w:color="auto"/>
            <w:left w:val="none" w:sz="0" w:space="0" w:color="auto"/>
            <w:bottom w:val="none" w:sz="0" w:space="0" w:color="auto"/>
            <w:right w:val="none" w:sz="0" w:space="0" w:color="auto"/>
          </w:divBdr>
        </w:div>
      </w:divsChild>
    </w:div>
    <w:div w:id="181867133">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248030841">
      <w:bodyDiv w:val="1"/>
      <w:marLeft w:val="0"/>
      <w:marRight w:val="0"/>
      <w:marTop w:val="0"/>
      <w:marBottom w:val="0"/>
      <w:divBdr>
        <w:top w:val="none" w:sz="0" w:space="0" w:color="auto"/>
        <w:left w:val="none" w:sz="0" w:space="0" w:color="auto"/>
        <w:bottom w:val="none" w:sz="0" w:space="0" w:color="auto"/>
        <w:right w:val="none" w:sz="0" w:space="0" w:color="auto"/>
      </w:divBdr>
      <w:divsChild>
        <w:div w:id="1245214923">
          <w:marLeft w:val="0"/>
          <w:marRight w:val="0"/>
          <w:marTop w:val="0"/>
          <w:marBottom w:val="0"/>
          <w:divBdr>
            <w:top w:val="none" w:sz="0" w:space="0" w:color="auto"/>
            <w:left w:val="none" w:sz="0" w:space="0" w:color="auto"/>
            <w:bottom w:val="none" w:sz="0" w:space="0" w:color="auto"/>
            <w:right w:val="none" w:sz="0" w:space="0" w:color="auto"/>
          </w:divBdr>
        </w:div>
        <w:div w:id="1580676405">
          <w:marLeft w:val="0"/>
          <w:marRight w:val="0"/>
          <w:marTop w:val="0"/>
          <w:marBottom w:val="0"/>
          <w:divBdr>
            <w:top w:val="none" w:sz="0" w:space="0" w:color="auto"/>
            <w:left w:val="none" w:sz="0" w:space="0" w:color="auto"/>
            <w:bottom w:val="none" w:sz="0" w:space="0" w:color="auto"/>
            <w:right w:val="none" w:sz="0" w:space="0" w:color="auto"/>
          </w:divBdr>
          <w:divsChild>
            <w:div w:id="526866731">
              <w:marLeft w:val="-75"/>
              <w:marRight w:val="0"/>
              <w:marTop w:val="30"/>
              <w:marBottom w:val="30"/>
              <w:divBdr>
                <w:top w:val="none" w:sz="0" w:space="0" w:color="auto"/>
                <w:left w:val="none" w:sz="0" w:space="0" w:color="auto"/>
                <w:bottom w:val="none" w:sz="0" w:space="0" w:color="auto"/>
                <w:right w:val="none" w:sz="0" w:space="0" w:color="auto"/>
              </w:divBdr>
              <w:divsChild>
                <w:div w:id="2061593907">
                  <w:marLeft w:val="0"/>
                  <w:marRight w:val="0"/>
                  <w:marTop w:val="0"/>
                  <w:marBottom w:val="0"/>
                  <w:divBdr>
                    <w:top w:val="none" w:sz="0" w:space="0" w:color="auto"/>
                    <w:left w:val="none" w:sz="0" w:space="0" w:color="auto"/>
                    <w:bottom w:val="none" w:sz="0" w:space="0" w:color="auto"/>
                    <w:right w:val="none" w:sz="0" w:space="0" w:color="auto"/>
                  </w:divBdr>
                  <w:divsChild>
                    <w:div w:id="501893825">
                      <w:marLeft w:val="0"/>
                      <w:marRight w:val="0"/>
                      <w:marTop w:val="0"/>
                      <w:marBottom w:val="0"/>
                      <w:divBdr>
                        <w:top w:val="none" w:sz="0" w:space="0" w:color="auto"/>
                        <w:left w:val="none" w:sz="0" w:space="0" w:color="auto"/>
                        <w:bottom w:val="none" w:sz="0" w:space="0" w:color="auto"/>
                        <w:right w:val="none" w:sz="0" w:space="0" w:color="auto"/>
                      </w:divBdr>
                    </w:div>
                  </w:divsChild>
                </w:div>
                <w:div w:id="900823782">
                  <w:marLeft w:val="0"/>
                  <w:marRight w:val="0"/>
                  <w:marTop w:val="0"/>
                  <w:marBottom w:val="0"/>
                  <w:divBdr>
                    <w:top w:val="none" w:sz="0" w:space="0" w:color="auto"/>
                    <w:left w:val="none" w:sz="0" w:space="0" w:color="auto"/>
                    <w:bottom w:val="none" w:sz="0" w:space="0" w:color="auto"/>
                    <w:right w:val="none" w:sz="0" w:space="0" w:color="auto"/>
                  </w:divBdr>
                  <w:divsChild>
                    <w:div w:id="2027439794">
                      <w:marLeft w:val="0"/>
                      <w:marRight w:val="0"/>
                      <w:marTop w:val="0"/>
                      <w:marBottom w:val="0"/>
                      <w:divBdr>
                        <w:top w:val="none" w:sz="0" w:space="0" w:color="auto"/>
                        <w:left w:val="none" w:sz="0" w:space="0" w:color="auto"/>
                        <w:bottom w:val="none" w:sz="0" w:space="0" w:color="auto"/>
                        <w:right w:val="none" w:sz="0" w:space="0" w:color="auto"/>
                      </w:divBdr>
                    </w:div>
                  </w:divsChild>
                </w:div>
                <w:div w:id="1621183764">
                  <w:marLeft w:val="0"/>
                  <w:marRight w:val="0"/>
                  <w:marTop w:val="0"/>
                  <w:marBottom w:val="0"/>
                  <w:divBdr>
                    <w:top w:val="none" w:sz="0" w:space="0" w:color="auto"/>
                    <w:left w:val="none" w:sz="0" w:space="0" w:color="auto"/>
                    <w:bottom w:val="none" w:sz="0" w:space="0" w:color="auto"/>
                    <w:right w:val="none" w:sz="0" w:space="0" w:color="auto"/>
                  </w:divBdr>
                  <w:divsChild>
                    <w:div w:id="1922399690">
                      <w:marLeft w:val="0"/>
                      <w:marRight w:val="0"/>
                      <w:marTop w:val="0"/>
                      <w:marBottom w:val="0"/>
                      <w:divBdr>
                        <w:top w:val="none" w:sz="0" w:space="0" w:color="auto"/>
                        <w:left w:val="none" w:sz="0" w:space="0" w:color="auto"/>
                        <w:bottom w:val="none" w:sz="0" w:space="0" w:color="auto"/>
                        <w:right w:val="none" w:sz="0" w:space="0" w:color="auto"/>
                      </w:divBdr>
                    </w:div>
                  </w:divsChild>
                </w:div>
                <w:div w:id="1166632478">
                  <w:marLeft w:val="0"/>
                  <w:marRight w:val="0"/>
                  <w:marTop w:val="0"/>
                  <w:marBottom w:val="0"/>
                  <w:divBdr>
                    <w:top w:val="none" w:sz="0" w:space="0" w:color="auto"/>
                    <w:left w:val="none" w:sz="0" w:space="0" w:color="auto"/>
                    <w:bottom w:val="none" w:sz="0" w:space="0" w:color="auto"/>
                    <w:right w:val="none" w:sz="0" w:space="0" w:color="auto"/>
                  </w:divBdr>
                  <w:divsChild>
                    <w:div w:id="114375599">
                      <w:marLeft w:val="0"/>
                      <w:marRight w:val="0"/>
                      <w:marTop w:val="0"/>
                      <w:marBottom w:val="0"/>
                      <w:divBdr>
                        <w:top w:val="none" w:sz="0" w:space="0" w:color="auto"/>
                        <w:left w:val="none" w:sz="0" w:space="0" w:color="auto"/>
                        <w:bottom w:val="none" w:sz="0" w:space="0" w:color="auto"/>
                        <w:right w:val="none" w:sz="0" w:space="0" w:color="auto"/>
                      </w:divBdr>
                    </w:div>
                    <w:div w:id="942343687">
                      <w:marLeft w:val="0"/>
                      <w:marRight w:val="0"/>
                      <w:marTop w:val="0"/>
                      <w:marBottom w:val="0"/>
                      <w:divBdr>
                        <w:top w:val="none" w:sz="0" w:space="0" w:color="auto"/>
                        <w:left w:val="none" w:sz="0" w:space="0" w:color="auto"/>
                        <w:bottom w:val="none" w:sz="0" w:space="0" w:color="auto"/>
                        <w:right w:val="none" w:sz="0" w:space="0" w:color="auto"/>
                      </w:divBdr>
                    </w:div>
                  </w:divsChild>
                </w:div>
                <w:div w:id="1603222607">
                  <w:marLeft w:val="0"/>
                  <w:marRight w:val="0"/>
                  <w:marTop w:val="0"/>
                  <w:marBottom w:val="0"/>
                  <w:divBdr>
                    <w:top w:val="none" w:sz="0" w:space="0" w:color="auto"/>
                    <w:left w:val="none" w:sz="0" w:space="0" w:color="auto"/>
                    <w:bottom w:val="none" w:sz="0" w:space="0" w:color="auto"/>
                    <w:right w:val="none" w:sz="0" w:space="0" w:color="auto"/>
                  </w:divBdr>
                  <w:divsChild>
                    <w:div w:id="1179662636">
                      <w:marLeft w:val="0"/>
                      <w:marRight w:val="0"/>
                      <w:marTop w:val="0"/>
                      <w:marBottom w:val="0"/>
                      <w:divBdr>
                        <w:top w:val="none" w:sz="0" w:space="0" w:color="auto"/>
                        <w:left w:val="none" w:sz="0" w:space="0" w:color="auto"/>
                        <w:bottom w:val="none" w:sz="0" w:space="0" w:color="auto"/>
                        <w:right w:val="none" w:sz="0" w:space="0" w:color="auto"/>
                      </w:divBdr>
                    </w:div>
                  </w:divsChild>
                </w:div>
                <w:div w:id="168297730">
                  <w:marLeft w:val="0"/>
                  <w:marRight w:val="0"/>
                  <w:marTop w:val="0"/>
                  <w:marBottom w:val="0"/>
                  <w:divBdr>
                    <w:top w:val="none" w:sz="0" w:space="0" w:color="auto"/>
                    <w:left w:val="none" w:sz="0" w:space="0" w:color="auto"/>
                    <w:bottom w:val="none" w:sz="0" w:space="0" w:color="auto"/>
                    <w:right w:val="none" w:sz="0" w:space="0" w:color="auto"/>
                  </w:divBdr>
                  <w:divsChild>
                    <w:div w:id="1180242652">
                      <w:marLeft w:val="0"/>
                      <w:marRight w:val="0"/>
                      <w:marTop w:val="0"/>
                      <w:marBottom w:val="0"/>
                      <w:divBdr>
                        <w:top w:val="none" w:sz="0" w:space="0" w:color="auto"/>
                        <w:left w:val="none" w:sz="0" w:space="0" w:color="auto"/>
                        <w:bottom w:val="none" w:sz="0" w:space="0" w:color="auto"/>
                        <w:right w:val="none" w:sz="0" w:space="0" w:color="auto"/>
                      </w:divBdr>
                    </w:div>
                  </w:divsChild>
                </w:div>
                <w:div w:id="1996836278">
                  <w:marLeft w:val="0"/>
                  <w:marRight w:val="0"/>
                  <w:marTop w:val="0"/>
                  <w:marBottom w:val="0"/>
                  <w:divBdr>
                    <w:top w:val="none" w:sz="0" w:space="0" w:color="auto"/>
                    <w:left w:val="none" w:sz="0" w:space="0" w:color="auto"/>
                    <w:bottom w:val="none" w:sz="0" w:space="0" w:color="auto"/>
                    <w:right w:val="none" w:sz="0" w:space="0" w:color="auto"/>
                  </w:divBdr>
                  <w:divsChild>
                    <w:div w:id="883063810">
                      <w:marLeft w:val="0"/>
                      <w:marRight w:val="0"/>
                      <w:marTop w:val="0"/>
                      <w:marBottom w:val="0"/>
                      <w:divBdr>
                        <w:top w:val="none" w:sz="0" w:space="0" w:color="auto"/>
                        <w:left w:val="none" w:sz="0" w:space="0" w:color="auto"/>
                        <w:bottom w:val="none" w:sz="0" w:space="0" w:color="auto"/>
                        <w:right w:val="none" w:sz="0" w:space="0" w:color="auto"/>
                      </w:divBdr>
                    </w:div>
                  </w:divsChild>
                </w:div>
                <w:div w:id="960455830">
                  <w:marLeft w:val="0"/>
                  <w:marRight w:val="0"/>
                  <w:marTop w:val="0"/>
                  <w:marBottom w:val="0"/>
                  <w:divBdr>
                    <w:top w:val="none" w:sz="0" w:space="0" w:color="auto"/>
                    <w:left w:val="none" w:sz="0" w:space="0" w:color="auto"/>
                    <w:bottom w:val="none" w:sz="0" w:space="0" w:color="auto"/>
                    <w:right w:val="none" w:sz="0" w:space="0" w:color="auto"/>
                  </w:divBdr>
                  <w:divsChild>
                    <w:div w:id="1447893748">
                      <w:marLeft w:val="0"/>
                      <w:marRight w:val="0"/>
                      <w:marTop w:val="0"/>
                      <w:marBottom w:val="0"/>
                      <w:divBdr>
                        <w:top w:val="none" w:sz="0" w:space="0" w:color="auto"/>
                        <w:left w:val="none" w:sz="0" w:space="0" w:color="auto"/>
                        <w:bottom w:val="none" w:sz="0" w:space="0" w:color="auto"/>
                        <w:right w:val="none" w:sz="0" w:space="0" w:color="auto"/>
                      </w:divBdr>
                    </w:div>
                    <w:div w:id="389962871">
                      <w:marLeft w:val="0"/>
                      <w:marRight w:val="0"/>
                      <w:marTop w:val="0"/>
                      <w:marBottom w:val="0"/>
                      <w:divBdr>
                        <w:top w:val="none" w:sz="0" w:space="0" w:color="auto"/>
                        <w:left w:val="none" w:sz="0" w:space="0" w:color="auto"/>
                        <w:bottom w:val="none" w:sz="0" w:space="0" w:color="auto"/>
                        <w:right w:val="none" w:sz="0" w:space="0" w:color="auto"/>
                      </w:divBdr>
                    </w:div>
                    <w:div w:id="1372070260">
                      <w:marLeft w:val="0"/>
                      <w:marRight w:val="0"/>
                      <w:marTop w:val="0"/>
                      <w:marBottom w:val="0"/>
                      <w:divBdr>
                        <w:top w:val="none" w:sz="0" w:space="0" w:color="auto"/>
                        <w:left w:val="none" w:sz="0" w:space="0" w:color="auto"/>
                        <w:bottom w:val="none" w:sz="0" w:space="0" w:color="auto"/>
                        <w:right w:val="none" w:sz="0" w:space="0" w:color="auto"/>
                      </w:divBdr>
                    </w:div>
                    <w:div w:id="21239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26583">
          <w:marLeft w:val="0"/>
          <w:marRight w:val="0"/>
          <w:marTop w:val="0"/>
          <w:marBottom w:val="0"/>
          <w:divBdr>
            <w:top w:val="none" w:sz="0" w:space="0" w:color="auto"/>
            <w:left w:val="none" w:sz="0" w:space="0" w:color="auto"/>
            <w:bottom w:val="none" w:sz="0" w:space="0" w:color="auto"/>
            <w:right w:val="none" w:sz="0" w:space="0" w:color="auto"/>
          </w:divBdr>
        </w:div>
      </w:divsChild>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473786331">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ealth.gov.au/internet/main/publishing.nsf/Content/cdna-song-tuberculosis" TargetMode="External"/><Relationship Id="rId18" Type="http://schemas.openxmlformats.org/officeDocument/2006/relationships/hyperlink" Target="https://tgldcdp.tg.org.au/viewTopic?topicfile=mycobacterial-infection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digitallibrary.health.nt.gov.au/prodjspui/handle/10137/69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nsw.gov.au/Infectious/tuberculosis/Pages/tuberculosis-factsheets-languages.aspx" TargetMode="External"/><Relationship Id="rId17" Type="http://schemas.openxmlformats.org/officeDocument/2006/relationships/hyperlink" Target="https://www.cdc.gov/tb/publications/guidelines/pdf/cid_ciw694_full.pdf" TargetMode="External"/><Relationship Id="rId25" Type="http://schemas.openxmlformats.org/officeDocument/2006/relationships/image" Target="media/image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dc.gov/tb/publications/guidelines/pdf/clin-infect-dis.-2016-nahid-cid_ciw376.pdf" TargetMode="External"/><Relationship Id="rId20" Type="http://schemas.openxmlformats.org/officeDocument/2006/relationships/hyperlink" Target="https://www.health.qld.gov.au/chrisp/tuberculosis/guidelines.as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hmrc.gov.au/book/html-australian-guidelines-prevention-and-control-infection-healthcare-2010" TargetMode="Externa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2.health.wa.gov.au/Articles/A_E/About-the-Western-Australia-Tuberculosis-Control-Progra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mmwr/pdf/rr/rr5415.pdf" TargetMode="External"/><Relationship Id="rId22" Type="http://schemas.openxmlformats.org/officeDocument/2006/relationships/hyperlink" Target="http://www0.health.nsw.gov.au/policies/pd/2008/pdf/PD2008_017.pdf" TargetMode="External"/><Relationship Id="rId27" Type="http://schemas.openxmlformats.org/officeDocument/2006/relationships/hyperlink" Target="https://www.canberrahealthservices.act.gov.au/accessibility"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le%20Bourke\AppData\Local\Microsoft\Windows\INetCache\Content.Outlook\ZMQ7OJK0\CHS%20Procedure%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4AA9E9D84468599D5BF49D7860092"/>
        <w:category>
          <w:name w:val="General"/>
          <w:gallery w:val="placeholder"/>
        </w:category>
        <w:types>
          <w:type w:val="bbPlcHdr"/>
        </w:types>
        <w:behaviors>
          <w:behavior w:val="content"/>
        </w:behaviors>
        <w:guid w:val="{D882CDFF-10D1-4006-989A-C3429F6E7960}"/>
      </w:docPartPr>
      <w:docPartBody>
        <w:p w:rsidR="005750F6" w:rsidRDefault="005750F6">
          <w:pPr>
            <w:pStyle w:val="7A94AA9E9D84468599D5BF49D7860092"/>
          </w:pPr>
          <w:r>
            <w:rPr>
              <w:noProof/>
              <w:sz w:val="20"/>
              <w:szCs w:val="20"/>
            </w:rPr>
            <w:drawing>
              <wp:inline distT="0" distB="0" distL="0" distR="0" wp14:anchorId="263CFF94" wp14:editId="263CFF95">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8ADAD042E20E465CA74FFAB27A39D781"/>
        <w:category>
          <w:name w:val="General"/>
          <w:gallery w:val="placeholder"/>
        </w:category>
        <w:types>
          <w:type w:val="bbPlcHdr"/>
        </w:types>
        <w:behaviors>
          <w:behavior w:val="content"/>
        </w:behaviors>
        <w:guid w:val="{2E09EF03-5D73-4C04-A720-D00EC830BF7F}"/>
      </w:docPartPr>
      <w:docPartBody>
        <w:p w:rsidR="005750F6" w:rsidRDefault="005750F6">
          <w:pPr>
            <w:pStyle w:val="8ADAD042E20E465CA74FFAB27A39D781"/>
          </w:pPr>
          <w:r w:rsidRPr="00EE29F8">
            <w:rPr>
              <w:rStyle w:val="PlaceholderText"/>
            </w:rPr>
            <w:t>Choose an item.</w:t>
          </w:r>
        </w:p>
      </w:docPartBody>
    </w:docPart>
    <w:docPart>
      <w:docPartPr>
        <w:name w:val="D49A0F9ACA484469852892594473E39A"/>
        <w:category>
          <w:name w:val="General"/>
          <w:gallery w:val="placeholder"/>
        </w:category>
        <w:types>
          <w:type w:val="bbPlcHdr"/>
        </w:types>
        <w:behaviors>
          <w:behavior w:val="content"/>
        </w:behaviors>
        <w:guid w:val="{C7FD1714-22CC-4A15-8032-E19141D1A17F}"/>
      </w:docPartPr>
      <w:docPartBody>
        <w:p w:rsidR="005750F6" w:rsidRPr="00F26C97" w:rsidRDefault="005750F6" w:rsidP="003B0E72">
          <w:pPr>
            <w:pStyle w:val="Bottomblocktext"/>
            <w:rPr>
              <w:b/>
              <w:bCs w:val="0"/>
              <w:sz w:val="20"/>
              <w:szCs w:val="20"/>
            </w:rPr>
          </w:pPr>
          <w:r>
            <w:rPr>
              <w:b/>
              <w:bCs w:val="0"/>
              <w:noProof/>
              <w:sz w:val="20"/>
              <w:szCs w:val="20"/>
            </w:rPr>
            <w:drawing>
              <wp:inline distT="0" distB="0" distL="0" distR="0" wp14:anchorId="263CFF96" wp14:editId="263CFF97">
                <wp:extent cx="338275" cy="331065"/>
                <wp:effectExtent l="0" t="0" r="5080" b="0"/>
                <wp:docPr id="172849951"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63CFF98" wp14:editId="263CFF99">
                <wp:extent cx="143919" cy="139700"/>
                <wp:effectExtent l="0" t="0" r="8890" b="0"/>
                <wp:docPr id="405620451"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5750F6" w:rsidRPr="00F26C97" w:rsidRDefault="005750F6" w:rsidP="003B0E72">
          <w:pPr>
            <w:pStyle w:val="Bottomblocktext"/>
            <w:rPr>
              <w:b/>
              <w:bCs w:val="0"/>
              <w:sz w:val="20"/>
              <w:szCs w:val="20"/>
            </w:rPr>
          </w:pPr>
          <w:r>
            <w:rPr>
              <w:b/>
              <w:bCs w:val="0"/>
              <w:noProof/>
              <w:sz w:val="20"/>
              <w:szCs w:val="20"/>
            </w:rPr>
            <w:drawing>
              <wp:inline distT="0" distB="0" distL="0" distR="0" wp14:anchorId="263CFF9A" wp14:editId="263CFF9B">
                <wp:extent cx="326104" cy="323850"/>
                <wp:effectExtent l="0" t="0" r="0" b="0"/>
                <wp:docPr id="1342480476"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63CFF9C" wp14:editId="263CFF9D">
                <wp:extent cx="143919" cy="139700"/>
                <wp:effectExtent l="0" t="0" r="8890" b="0"/>
                <wp:docPr id="1637238973"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5750F6" w:rsidRDefault="005750F6" w:rsidP="003B0E72">
          <w:pPr>
            <w:pStyle w:val="Bottomblocktext"/>
            <w:rPr>
              <w:sz w:val="20"/>
              <w:szCs w:val="20"/>
            </w:rPr>
          </w:pPr>
          <w:hyperlink r:id="rId8" w:history="1">
            <w:r w:rsidRPr="00350211">
              <w:rPr>
                <w:rStyle w:val="Hyperlink"/>
                <w:sz w:val="20"/>
                <w:szCs w:val="20"/>
              </w:rPr>
              <w:t>canberrahealthservices.act.gov.au/accessibility</w:t>
            </w:r>
          </w:hyperlink>
        </w:p>
        <w:p w:rsidR="005750F6" w:rsidRDefault="005750F6">
          <w:pPr>
            <w:pStyle w:val="D49A0F9ACA484469852892594473E39A"/>
          </w:pPr>
          <w:r>
            <w:rPr>
              <w:b/>
              <w:bCs/>
              <w:noProof/>
            </w:rPr>
            <w:drawing>
              <wp:inline distT="0" distB="0" distL="0" distR="0" wp14:anchorId="263CFF9E" wp14:editId="263CFF9F">
                <wp:extent cx="1323833" cy="309418"/>
                <wp:effectExtent l="0" t="0" r="0" b="0"/>
                <wp:docPr id="53299560"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F6"/>
    <w:rsid w:val="0003656E"/>
    <w:rsid w:val="00066E3E"/>
    <w:rsid w:val="001916E3"/>
    <w:rsid w:val="002A6B0E"/>
    <w:rsid w:val="002B2EF2"/>
    <w:rsid w:val="003530A8"/>
    <w:rsid w:val="00354BC5"/>
    <w:rsid w:val="003B79F9"/>
    <w:rsid w:val="00427B49"/>
    <w:rsid w:val="004B5DDA"/>
    <w:rsid w:val="004B7A14"/>
    <w:rsid w:val="005169C6"/>
    <w:rsid w:val="00566D99"/>
    <w:rsid w:val="005750F6"/>
    <w:rsid w:val="005F0CBA"/>
    <w:rsid w:val="00613F02"/>
    <w:rsid w:val="00625A0D"/>
    <w:rsid w:val="00684B5E"/>
    <w:rsid w:val="006D33BD"/>
    <w:rsid w:val="0071780D"/>
    <w:rsid w:val="00786B36"/>
    <w:rsid w:val="007F6FB2"/>
    <w:rsid w:val="00803175"/>
    <w:rsid w:val="008844A5"/>
    <w:rsid w:val="00A2459E"/>
    <w:rsid w:val="00A24E5E"/>
    <w:rsid w:val="00A6302F"/>
    <w:rsid w:val="00AB5B2C"/>
    <w:rsid w:val="00AC70F0"/>
    <w:rsid w:val="00BF324E"/>
    <w:rsid w:val="00D23EEF"/>
    <w:rsid w:val="00E07B7B"/>
    <w:rsid w:val="00E16064"/>
    <w:rsid w:val="00E66A57"/>
    <w:rsid w:val="00EF00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94AA9E9D84468599D5BF49D7860092">
    <w:name w:val="7A94AA9E9D84468599D5BF49D7860092"/>
  </w:style>
  <w:style w:type="character" w:styleId="PlaceholderText">
    <w:name w:val="Placeholder Text"/>
    <w:basedOn w:val="DefaultParagraphFont"/>
    <w:uiPriority w:val="99"/>
    <w:semiHidden/>
    <w:rPr>
      <w:color w:val="808080"/>
    </w:rPr>
  </w:style>
  <w:style w:type="paragraph" w:customStyle="1" w:styleId="8ADAD042E20E465CA74FFAB27A39D781">
    <w:name w:val="8ADAD042E20E465CA74FFAB27A39D781"/>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D49A0F9ACA484469852892594473E39A">
    <w:name w:val="D49A0F9ACA484469852892594473E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2026-03-24T13:00:00+00:00</Approval_x0020_Date>
    <Review_x0020_Date xmlns="690b2128-8961-48af-a473-22c34a9accba">2030-03-31T13:00:00+00:00</Review_x0020_Date>
    <TaxCatchAll xmlns="c0239a80-7f07-4ed7-82c3-24ad7d76ada5">
      <Value>422</Value>
      <Value>1847</Value>
      <Value>432</Value>
      <Value>417</Value>
      <Value>416</Value>
      <Value>415</Value>
    </TaxCatchAll>
    <Version_x0020_Number xmlns="690b2128-8961-48af-a473-22c34a9accba">1</Version_x0020_Number>
    <Notes0 xmlns="690b2128-8961-48af-a473-22c34a9accba" xsi:nil="true"/>
    <Key_x0020_Words xmlns="690b2128-8961-48af-a473-22c34a9accba">Tuberculosis, contact tracing, infection control, employee screening, north </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CHS21/453 Control of Tuberculosis</Replaces_x003a_>
    <ISD_x0020_Submitted xmlns="690b2128-8961-48af-a473-22c34a9accba">Not Required</ISD_x0020_Submitted>
    <Risk_x0020_Rating xmlns="690b2128-8961-48af-a473-22c34a9accba">Medium</Risk_x0020_Rating>
    <Description0 xmlns="690b2128-8961-48af-a473-22c34a9accba">The purpose of this procedure is to describe the mandatory requirements for the control of tuberculosis (TB) in the ACT.</Description0>
    <Display_x0020_on_x0020_Internet xmlns="690b2128-8961-48af-a473-22c34a9accba">true</Display_x0020_on_x0020_Internet>
    <Related_x0020_Documents xmlns="690b2128-8961-48af-a473-22c34a9accba" xsi:nil="true"/>
    <Decision_x0020_Number xmlns="690b2128-8961-48af-a473-22c34a9accba">CHS26/122</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Information Privacy Act 2014 (Territory)</TermName>
          <TermId xmlns="http://schemas.microsoft.com/office/infopath/2007/PartnerControls">2f048731-618d-490d-916b-9879074452a2</TermId>
        </TermInfo>
        <TermInfo xmlns="http://schemas.microsoft.com/office/infopath/2007/PartnerControls">
          <TermName xmlns="http://schemas.microsoft.com/office/infopath/2007/PartnerControls">National Health Security Act 2007 (Cth)</TermName>
          <TermId xmlns="http://schemas.microsoft.com/office/infopath/2007/PartnerControls">5f237f7b-5136-41f4-b4e9-6d2d3d460b38</TermId>
        </TermInfo>
      </Terms>
    </k0794e393e1f41c2810d090eedba34a0>
    <New_x0020_Owner xmlns="690b2128-8961-48af-a473-22c34a9accba">Medicine - Respiratory and Sleep Medicine</New_x0020_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9452bbcf-1ed2-48a4-a338-c9ad680dbbbb"/>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0D0B9071-2638-4971-BA43-D9453D444E13}"/>
</file>

<file path=docProps/app.xml><?xml version="1.0" encoding="utf-8"?>
<Properties xmlns="http://schemas.openxmlformats.org/officeDocument/2006/extended-properties" xmlns:vt="http://schemas.openxmlformats.org/officeDocument/2006/docPropsVTypes">
  <Template>CHS Procedure Template</Template>
  <TotalTime>8</TotalTime>
  <Pages>31</Pages>
  <Words>8476</Words>
  <Characters>48316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56679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of Tuberculosis (Adults and Children)</dc:title>
  <dc:creator>Moran, Elizabeth (Health)</dc:creator>
  <cp:lastModifiedBy>Rusanov, Zoia</cp:lastModifiedBy>
  <cp:revision>4</cp:revision>
  <cp:lastPrinted>2017-05-22T07:29:00Z</cp:lastPrinted>
  <dcterms:created xsi:type="dcterms:W3CDTF">2026-03-26T03:53:00Z</dcterms:created>
  <dcterms:modified xsi:type="dcterms:W3CDTF">2026-04-30T01:40:00Z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(Territory)|a9c8282c-cc19-42a3-a6c3-de05b442298b;#422;#Information Privacy Act 2014 (Territory)|2f048731-618d-490d-916b-9879074452a2;#1847;#National Health Security Act 2007 (Cth)|5f237f7b-5136-41f4-b4e9-6d2d3d460b38</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(Territory)|a9c8282c-cc19-42a3-a6c3-de05b442298b;#422;#Information Privacy Act 2014 (Territory)|2f048731-618d-490d-916b-9879074452a2;#1847;#National Health Security Act 2007 (Cth)|5f237f7b-5136-41f4-b4e9-6d2d3d460b38</vt:lpwstr>
  </property>
</Properties>
</file>