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Hlk157420778"/>
      <w:bookmarkStart w:id="1" w:name="_Toc389131241"/>
      <w:bookmarkStart w:id="2" w:name="_Toc389473036"/>
      <w:bookmarkStart w:id="3" w:name="_Toc389473185"/>
      <w:bookmarkStart w:id="4" w:name="_Toc389473272"/>
      <w:bookmarkStart w:id="5" w:name="_Toc392770343"/>
      <w:bookmarkEnd w:id="0"/>
      <w:r w:rsidRPr="00EF02B0">
        <w:rPr>
          <w:rFonts w:cs="Arial"/>
          <w:b/>
          <w:sz w:val="44"/>
          <w:szCs w:val="44"/>
        </w:rPr>
        <w:t>Canberra Health Services</w:t>
      </w:r>
    </w:p>
    <w:bookmarkEnd w:id="1"/>
    <w:bookmarkEnd w:id="2"/>
    <w:bookmarkEnd w:id="3"/>
    <w:bookmarkEnd w:id="4"/>
    <w:bookmarkEnd w:id="5"/>
    <w:p w14:paraId="2F51A84F" w14:textId="4D7238DE" w:rsidR="00EF02B0" w:rsidRPr="00931B93" w:rsidRDefault="00EF02B0" w:rsidP="00EF02B0">
      <w:pPr>
        <w:rPr>
          <w:rFonts w:cs="Arial"/>
          <w:b/>
          <w:i/>
          <w:sz w:val="28"/>
          <w:szCs w:val="44"/>
        </w:rPr>
      </w:pPr>
      <w:r w:rsidRPr="005D3E6B">
        <w:rPr>
          <w:rFonts w:cs="Arial"/>
          <w:b/>
          <w:sz w:val="44"/>
          <w:szCs w:val="44"/>
        </w:rPr>
        <w:t>Procedure</w:t>
      </w:r>
      <w:r w:rsidR="00931B93">
        <w:rPr>
          <w:rFonts w:cs="Arial"/>
          <w:b/>
          <w:sz w:val="44"/>
          <w:szCs w:val="44"/>
        </w:rPr>
        <w:t xml:space="preserve"> </w:t>
      </w:r>
    </w:p>
    <w:p w14:paraId="2F51A850" w14:textId="28C76797" w:rsidR="007B6904" w:rsidRPr="006A3770" w:rsidRDefault="00A113FE" w:rsidP="006A3770">
      <w:pPr>
        <w:rPr>
          <w:rFonts w:cs="Arial"/>
          <w:b/>
          <w:i/>
          <w:sz w:val="36"/>
          <w:szCs w:val="36"/>
        </w:rPr>
      </w:pPr>
      <w:r>
        <w:rPr>
          <w:rFonts w:cs="Arial"/>
          <w:b/>
          <w:sz w:val="36"/>
          <w:szCs w:val="36"/>
        </w:rPr>
        <w:t>North Canberra Hospital (NCH) – High Risk Medicines Management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6" w:name="_Toc389473273"/>
            <w:bookmarkStart w:id="7" w:name="Contents"/>
            <w:bookmarkStart w:id="8" w:name="_Toc158723919"/>
            <w:r w:rsidRPr="00CD1C0E">
              <w:t>Contents</w:t>
            </w:r>
            <w:bookmarkEnd w:id="6"/>
            <w:bookmarkEnd w:id="7"/>
            <w:bookmarkEnd w:id="8"/>
          </w:p>
        </w:tc>
      </w:tr>
    </w:tbl>
    <w:p w14:paraId="2F51A853" w14:textId="77777777" w:rsidR="007B6904" w:rsidRDefault="007B6904" w:rsidP="007B6904"/>
    <w:p w14:paraId="6FDB0D84" w14:textId="1B295B3C" w:rsidR="008B6836" w:rsidRDefault="007B7628">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723919" w:history="1">
        <w:r w:rsidR="008B6836" w:rsidRPr="009102A4">
          <w:rPr>
            <w:rStyle w:val="Hyperlink"/>
            <w:noProof/>
          </w:rPr>
          <w:t>Contents</w:t>
        </w:r>
        <w:r w:rsidR="008B6836">
          <w:rPr>
            <w:noProof/>
            <w:webHidden/>
          </w:rPr>
          <w:tab/>
        </w:r>
        <w:r w:rsidR="008B6836">
          <w:rPr>
            <w:noProof/>
            <w:webHidden/>
          </w:rPr>
          <w:fldChar w:fldCharType="begin"/>
        </w:r>
        <w:r w:rsidR="008B6836">
          <w:rPr>
            <w:noProof/>
            <w:webHidden/>
          </w:rPr>
          <w:instrText xml:space="preserve"> PAGEREF _Toc158723919 \h </w:instrText>
        </w:r>
        <w:r w:rsidR="008B6836">
          <w:rPr>
            <w:noProof/>
            <w:webHidden/>
          </w:rPr>
        </w:r>
        <w:r w:rsidR="008B6836">
          <w:rPr>
            <w:noProof/>
            <w:webHidden/>
          </w:rPr>
          <w:fldChar w:fldCharType="separate"/>
        </w:r>
        <w:r w:rsidR="00A51396">
          <w:rPr>
            <w:noProof/>
            <w:webHidden/>
          </w:rPr>
          <w:t>1</w:t>
        </w:r>
        <w:r w:rsidR="008B6836">
          <w:rPr>
            <w:noProof/>
            <w:webHidden/>
          </w:rPr>
          <w:fldChar w:fldCharType="end"/>
        </w:r>
      </w:hyperlink>
    </w:p>
    <w:p w14:paraId="41A26595" w14:textId="4DE942E2" w:rsidR="008B6836" w:rsidRDefault="00000000">
      <w:pPr>
        <w:pStyle w:val="TOC1"/>
        <w:rPr>
          <w:rFonts w:eastAsiaTheme="minorEastAsia" w:cstheme="minorBidi"/>
          <w:noProof/>
          <w:kern w:val="2"/>
          <w:sz w:val="22"/>
          <w:szCs w:val="22"/>
          <w:lang w:eastAsia="en-AU"/>
          <w14:ligatures w14:val="standardContextual"/>
        </w:rPr>
      </w:pPr>
      <w:hyperlink w:anchor="_Toc158723920" w:history="1">
        <w:r w:rsidR="008B6836" w:rsidRPr="009102A4">
          <w:rPr>
            <w:rStyle w:val="Hyperlink"/>
            <w:noProof/>
          </w:rPr>
          <w:t>Purpose</w:t>
        </w:r>
        <w:r w:rsidR="008B6836">
          <w:rPr>
            <w:noProof/>
            <w:webHidden/>
          </w:rPr>
          <w:tab/>
        </w:r>
        <w:r w:rsidR="008B6836">
          <w:rPr>
            <w:noProof/>
            <w:webHidden/>
          </w:rPr>
          <w:fldChar w:fldCharType="begin"/>
        </w:r>
        <w:r w:rsidR="008B6836">
          <w:rPr>
            <w:noProof/>
            <w:webHidden/>
          </w:rPr>
          <w:instrText xml:space="preserve"> PAGEREF _Toc158723920 \h </w:instrText>
        </w:r>
        <w:r w:rsidR="008B6836">
          <w:rPr>
            <w:noProof/>
            <w:webHidden/>
          </w:rPr>
        </w:r>
        <w:r w:rsidR="008B6836">
          <w:rPr>
            <w:noProof/>
            <w:webHidden/>
          </w:rPr>
          <w:fldChar w:fldCharType="separate"/>
        </w:r>
        <w:r w:rsidR="00A51396">
          <w:rPr>
            <w:noProof/>
            <w:webHidden/>
          </w:rPr>
          <w:t>2</w:t>
        </w:r>
        <w:r w:rsidR="008B6836">
          <w:rPr>
            <w:noProof/>
            <w:webHidden/>
          </w:rPr>
          <w:fldChar w:fldCharType="end"/>
        </w:r>
      </w:hyperlink>
    </w:p>
    <w:p w14:paraId="0E1FDCE0" w14:textId="0EA9DDC6" w:rsidR="008B6836" w:rsidRDefault="00000000">
      <w:pPr>
        <w:pStyle w:val="TOC1"/>
        <w:rPr>
          <w:rFonts w:eastAsiaTheme="minorEastAsia" w:cstheme="minorBidi"/>
          <w:noProof/>
          <w:kern w:val="2"/>
          <w:sz w:val="22"/>
          <w:szCs w:val="22"/>
          <w:lang w:eastAsia="en-AU"/>
          <w14:ligatures w14:val="standardContextual"/>
        </w:rPr>
      </w:pPr>
      <w:hyperlink w:anchor="_Toc158723921" w:history="1">
        <w:r w:rsidR="008B6836" w:rsidRPr="009102A4">
          <w:rPr>
            <w:rStyle w:val="Hyperlink"/>
            <w:noProof/>
          </w:rPr>
          <w:t>Scope</w:t>
        </w:r>
        <w:r w:rsidR="008B6836">
          <w:rPr>
            <w:noProof/>
            <w:webHidden/>
          </w:rPr>
          <w:tab/>
        </w:r>
        <w:r w:rsidR="008B6836">
          <w:rPr>
            <w:noProof/>
            <w:webHidden/>
          </w:rPr>
          <w:fldChar w:fldCharType="begin"/>
        </w:r>
        <w:r w:rsidR="008B6836">
          <w:rPr>
            <w:noProof/>
            <w:webHidden/>
          </w:rPr>
          <w:instrText xml:space="preserve"> PAGEREF _Toc158723921 \h </w:instrText>
        </w:r>
        <w:r w:rsidR="008B6836">
          <w:rPr>
            <w:noProof/>
            <w:webHidden/>
          </w:rPr>
        </w:r>
        <w:r w:rsidR="008B6836">
          <w:rPr>
            <w:noProof/>
            <w:webHidden/>
          </w:rPr>
          <w:fldChar w:fldCharType="separate"/>
        </w:r>
        <w:r w:rsidR="00A51396">
          <w:rPr>
            <w:noProof/>
            <w:webHidden/>
          </w:rPr>
          <w:t>2</w:t>
        </w:r>
        <w:r w:rsidR="008B6836">
          <w:rPr>
            <w:noProof/>
            <w:webHidden/>
          </w:rPr>
          <w:fldChar w:fldCharType="end"/>
        </w:r>
      </w:hyperlink>
    </w:p>
    <w:p w14:paraId="77692562" w14:textId="660D95CC" w:rsidR="008B6836" w:rsidRDefault="00000000">
      <w:pPr>
        <w:pStyle w:val="TOC1"/>
        <w:rPr>
          <w:rFonts w:eastAsiaTheme="minorEastAsia" w:cstheme="minorBidi"/>
          <w:noProof/>
          <w:kern w:val="2"/>
          <w:sz w:val="22"/>
          <w:szCs w:val="22"/>
          <w:lang w:eastAsia="en-AU"/>
          <w14:ligatures w14:val="standardContextual"/>
        </w:rPr>
      </w:pPr>
      <w:hyperlink w:anchor="_Toc158723922" w:history="1">
        <w:r w:rsidR="008B6836" w:rsidRPr="009102A4">
          <w:rPr>
            <w:rStyle w:val="Hyperlink"/>
            <w:noProof/>
          </w:rPr>
          <w:t>Section 1 – Roles &amp; Responsibilities</w:t>
        </w:r>
        <w:r w:rsidR="008B6836">
          <w:rPr>
            <w:noProof/>
            <w:webHidden/>
          </w:rPr>
          <w:tab/>
        </w:r>
        <w:r w:rsidR="008B6836">
          <w:rPr>
            <w:noProof/>
            <w:webHidden/>
          </w:rPr>
          <w:fldChar w:fldCharType="begin"/>
        </w:r>
        <w:r w:rsidR="008B6836">
          <w:rPr>
            <w:noProof/>
            <w:webHidden/>
          </w:rPr>
          <w:instrText xml:space="preserve"> PAGEREF _Toc158723922 \h </w:instrText>
        </w:r>
        <w:r w:rsidR="008B6836">
          <w:rPr>
            <w:noProof/>
            <w:webHidden/>
          </w:rPr>
        </w:r>
        <w:r w:rsidR="008B6836">
          <w:rPr>
            <w:noProof/>
            <w:webHidden/>
          </w:rPr>
          <w:fldChar w:fldCharType="separate"/>
        </w:r>
        <w:r w:rsidR="00A51396">
          <w:rPr>
            <w:noProof/>
            <w:webHidden/>
          </w:rPr>
          <w:t>2</w:t>
        </w:r>
        <w:r w:rsidR="008B6836">
          <w:rPr>
            <w:noProof/>
            <w:webHidden/>
          </w:rPr>
          <w:fldChar w:fldCharType="end"/>
        </w:r>
      </w:hyperlink>
    </w:p>
    <w:p w14:paraId="17CC20A8" w14:textId="5B8A0902" w:rsidR="008B6836" w:rsidRDefault="00000000">
      <w:pPr>
        <w:pStyle w:val="TOC1"/>
        <w:rPr>
          <w:rFonts w:eastAsiaTheme="minorEastAsia" w:cstheme="minorBidi"/>
          <w:noProof/>
          <w:kern w:val="2"/>
          <w:sz w:val="22"/>
          <w:szCs w:val="22"/>
          <w:lang w:eastAsia="en-AU"/>
          <w14:ligatures w14:val="standardContextual"/>
        </w:rPr>
      </w:pPr>
      <w:hyperlink w:anchor="_Toc158723923" w:history="1">
        <w:r w:rsidR="008B6836" w:rsidRPr="009102A4">
          <w:rPr>
            <w:rStyle w:val="Hyperlink"/>
            <w:noProof/>
          </w:rPr>
          <w:t>Section 2 – High Risk Medicines List</w:t>
        </w:r>
        <w:r w:rsidR="008B6836">
          <w:rPr>
            <w:noProof/>
            <w:webHidden/>
          </w:rPr>
          <w:tab/>
        </w:r>
        <w:r w:rsidR="008B6836">
          <w:rPr>
            <w:noProof/>
            <w:webHidden/>
          </w:rPr>
          <w:fldChar w:fldCharType="begin"/>
        </w:r>
        <w:r w:rsidR="008B6836">
          <w:rPr>
            <w:noProof/>
            <w:webHidden/>
          </w:rPr>
          <w:instrText xml:space="preserve"> PAGEREF _Toc158723923 \h </w:instrText>
        </w:r>
        <w:r w:rsidR="008B6836">
          <w:rPr>
            <w:noProof/>
            <w:webHidden/>
          </w:rPr>
        </w:r>
        <w:r w:rsidR="008B6836">
          <w:rPr>
            <w:noProof/>
            <w:webHidden/>
          </w:rPr>
          <w:fldChar w:fldCharType="separate"/>
        </w:r>
        <w:r w:rsidR="00A51396">
          <w:rPr>
            <w:noProof/>
            <w:webHidden/>
          </w:rPr>
          <w:t>3</w:t>
        </w:r>
        <w:r w:rsidR="008B6836">
          <w:rPr>
            <w:noProof/>
            <w:webHidden/>
          </w:rPr>
          <w:fldChar w:fldCharType="end"/>
        </w:r>
      </w:hyperlink>
    </w:p>
    <w:p w14:paraId="0D0D90D8" w14:textId="0EFB4393" w:rsidR="008B6836" w:rsidRDefault="00000000">
      <w:pPr>
        <w:pStyle w:val="TOC1"/>
        <w:rPr>
          <w:rFonts w:eastAsiaTheme="minorEastAsia" w:cstheme="minorBidi"/>
          <w:noProof/>
          <w:kern w:val="2"/>
          <w:sz w:val="22"/>
          <w:szCs w:val="22"/>
          <w:lang w:eastAsia="en-AU"/>
          <w14:ligatures w14:val="standardContextual"/>
        </w:rPr>
      </w:pPr>
      <w:hyperlink w:anchor="_Toc158723924" w:history="1">
        <w:r w:rsidR="008B6836" w:rsidRPr="009102A4">
          <w:rPr>
            <w:rStyle w:val="Hyperlink"/>
            <w:noProof/>
          </w:rPr>
          <w:t>Section 3 – Independent Double Check</w:t>
        </w:r>
        <w:r w:rsidR="008B6836">
          <w:rPr>
            <w:noProof/>
            <w:webHidden/>
          </w:rPr>
          <w:tab/>
        </w:r>
        <w:r w:rsidR="008B6836">
          <w:rPr>
            <w:noProof/>
            <w:webHidden/>
          </w:rPr>
          <w:fldChar w:fldCharType="begin"/>
        </w:r>
        <w:r w:rsidR="008B6836">
          <w:rPr>
            <w:noProof/>
            <w:webHidden/>
          </w:rPr>
          <w:instrText xml:space="preserve"> PAGEREF _Toc158723924 \h </w:instrText>
        </w:r>
        <w:r w:rsidR="008B6836">
          <w:rPr>
            <w:noProof/>
            <w:webHidden/>
          </w:rPr>
        </w:r>
        <w:r w:rsidR="008B6836">
          <w:rPr>
            <w:noProof/>
            <w:webHidden/>
          </w:rPr>
          <w:fldChar w:fldCharType="separate"/>
        </w:r>
        <w:r w:rsidR="00A51396">
          <w:rPr>
            <w:noProof/>
            <w:webHidden/>
          </w:rPr>
          <w:t>4</w:t>
        </w:r>
        <w:r w:rsidR="008B6836">
          <w:rPr>
            <w:noProof/>
            <w:webHidden/>
          </w:rPr>
          <w:fldChar w:fldCharType="end"/>
        </w:r>
      </w:hyperlink>
    </w:p>
    <w:p w14:paraId="5C7A70B4" w14:textId="197869F9" w:rsidR="008B6836" w:rsidRDefault="00000000">
      <w:pPr>
        <w:pStyle w:val="TOC1"/>
        <w:rPr>
          <w:rFonts w:eastAsiaTheme="minorEastAsia" w:cstheme="minorBidi"/>
          <w:noProof/>
          <w:kern w:val="2"/>
          <w:sz w:val="22"/>
          <w:szCs w:val="22"/>
          <w:lang w:eastAsia="en-AU"/>
          <w14:ligatures w14:val="standardContextual"/>
        </w:rPr>
      </w:pPr>
      <w:hyperlink w:anchor="_Toc158723925" w:history="1">
        <w:r w:rsidR="008B6836" w:rsidRPr="009102A4">
          <w:rPr>
            <w:rStyle w:val="Hyperlink"/>
            <w:noProof/>
          </w:rPr>
          <w:t>Section 4 – Standards for Prescribing and Administering High-Risk Medicines</w:t>
        </w:r>
        <w:r w:rsidR="008B6836">
          <w:rPr>
            <w:noProof/>
            <w:webHidden/>
          </w:rPr>
          <w:tab/>
        </w:r>
        <w:r w:rsidR="008B6836">
          <w:rPr>
            <w:noProof/>
            <w:webHidden/>
          </w:rPr>
          <w:fldChar w:fldCharType="begin"/>
        </w:r>
        <w:r w:rsidR="008B6836">
          <w:rPr>
            <w:noProof/>
            <w:webHidden/>
          </w:rPr>
          <w:instrText xml:space="preserve"> PAGEREF _Toc158723925 \h </w:instrText>
        </w:r>
        <w:r w:rsidR="008B6836">
          <w:rPr>
            <w:noProof/>
            <w:webHidden/>
          </w:rPr>
        </w:r>
        <w:r w:rsidR="008B6836">
          <w:rPr>
            <w:noProof/>
            <w:webHidden/>
          </w:rPr>
          <w:fldChar w:fldCharType="separate"/>
        </w:r>
        <w:r w:rsidR="00A51396">
          <w:rPr>
            <w:noProof/>
            <w:webHidden/>
          </w:rPr>
          <w:t>4</w:t>
        </w:r>
        <w:r w:rsidR="008B6836">
          <w:rPr>
            <w:noProof/>
            <w:webHidden/>
          </w:rPr>
          <w:fldChar w:fldCharType="end"/>
        </w:r>
      </w:hyperlink>
    </w:p>
    <w:p w14:paraId="6042991B" w14:textId="406D4EF1" w:rsidR="008B6836" w:rsidRDefault="00000000">
      <w:pPr>
        <w:pStyle w:val="TOC1"/>
        <w:rPr>
          <w:rFonts w:eastAsiaTheme="minorEastAsia" w:cstheme="minorBidi"/>
          <w:noProof/>
          <w:kern w:val="2"/>
          <w:sz w:val="22"/>
          <w:szCs w:val="22"/>
          <w:lang w:eastAsia="en-AU"/>
          <w14:ligatures w14:val="standardContextual"/>
        </w:rPr>
      </w:pPr>
      <w:hyperlink w:anchor="_Toc158723926" w:history="1">
        <w:r w:rsidR="008B6836" w:rsidRPr="009102A4">
          <w:rPr>
            <w:rStyle w:val="Hyperlink"/>
            <w:noProof/>
          </w:rPr>
          <w:t>Section 5 – Strategies to Minimise Risk with High-Risk Medicines</w:t>
        </w:r>
        <w:r w:rsidR="008B6836">
          <w:rPr>
            <w:noProof/>
            <w:webHidden/>
          </w:rPr>
          <w:tab/>
        </w:r>
        <w:r w:rsidR="008B6836">
          <w:rPr>
            <w:noProof/>
            <w:webHidden/>
          </w:rPr>
          <w:fldChar w:fldCharType="begin"/>
        </w:r>
        <w:r w:rsidR="008B6836">
          <w:rPr>
            <w:noProof/>
            <w:webHidden/>
          </w:rPr>
          <w:instrText xml:space="preserve"> PAGEREF _Toc158723926 \h </w:instrText>
        </w:r>
        <w:r w:rsidR="008B6836">
          <w:rPr>
            <w:noProof/>
            <w:webHidden/>
          </w:rPr>
        </w:r>
        <w:r w:rsidR="008B6836">
          <w:rPr>
            <w:noProof/>
            <w:webHidden/>
          </w:rPr>
          <w:fldChar w:fldCharType="separate"/>
        </w:r>
        <w:r w:rsidR="00A51396">
          <w:rPr>
            <w:noProof/>
            <w:webHidden/>
          </w:rPr>
          <w:t>5</w:t>
        </w:r>
        <w:r w:rsidR="008B6836">
          <w:rPr>
            <w:noProof/>
            <w:webHidden/>
          </w:rPr>
          <w:fldChar w:fldCharType="end"/>
        </w:r>
      </w:hyperlink>
    </w:p>
    <w:p w14:paraId="75F89A57" w14:textId="24D5602D" w:rsidR="008B6836" w:rsidRDefault="00000000">
      <w:pPr>
        <w:pStyle w:val="TOC1"/>
        <w:rPr>
          <w:rFonts w:eastAsiaTheme="minorEastAsia" w:cstheme="minorBidi"/>
          <w:noProof/>
          <w:kern w:val="2"/>
          <w:sz w:val="22"/>
          <w:szCs w:val="22"/>
          <w:lang w:eastAsia="en-AU"/>
          <w14:ligatures w14:val="standardContextual"/>
        </w:rPr>
      </w:pPr>
      <w:hyperlink w:anchor="_Toc158723927" w:history="1">
        <w:r w:rsidR="008B6836" w:rsidRPr="009102A4">
          <w:rPr>
            <w:rStyle w:val="Hyperlink"/>
            <w:noProof/>
          </w:rPr>
          <w:t>Section 6 – Anti-Infectives</w:t>
        </w:r>
        <w:r w:rsidR="008B6836">
          <w:rPr>
            <w:noProof/>
            <w:webHidden/>
          </w:rPr>
          <w:tab/>
        </w:r>
        <w:r w:rsidR="008B6836">
          <w:rPr>
            <w:noProof/>
            <w:webHidden/>
          </w:rPr>
          <w:fldChar w:fldCharType="begin"/>
        </w:r>
        <w:r w:rsidR="008B6836">
          <w:rPr>
            <w:noProof/>
            <w:webHidden/>
          </w:rPr>
          <w:instrText xml:space="preserve"> PAGEREF _Toc158723927 \h </w:instrText>
        </w:r>
        <w:r w:rsidR="008B6836">
          <w:rPr>
            <w:noProof/>
            <w:webHidden/>
          </w:rPr>
        </w:r>
        <w:r w:rsidR="008B6836">
          <w:rPr>
            <w:noProof/>
            <w:webHidden/>
          </w:rPr>
          <w:fldChar w:fldCharType="separate"/>
        </w:r>
        <w:r w:rsidR="00A51396">
          <w:rPr>
            <w:noProof/>
            <w:webHidden/>
          </w:rPr>
          <w:t>5</w:t>
        </w:r>
        <w:r w:rsidR="008B6836">
          <w:rPr>
            <w:noProof/>
            <w:webHidden/>
          </w:rPr>
          <w:fldChar w:fldCharType="end"/>
        </w:r>
      </w:hyperlink>
    </w:p>
    <w:p w14:paraId="5D45ED45" w14:textId="1C57CA12" w:rsidR="008B6836" w:rsidRDefault="00000000">
      <w:pPr>
        <w:pStyle w:val="TOC1"/>
        <w:rPr>
          <w:rFonts w:eastAsiaTheme="minorEastAsia" w:cstheme="minorBidi"/>
          <w:noProof/>
          <w:kern w:val="2"/>
          <w:sz w:val="22"/>
          <w:szCs w:val="22"/>
          <w:lang w:eastAsia="en-AU"/>
          <w14:ligatures w14:val="standardContextual"/>
        </w:rPr>
      </w:pPr>
      <w:hyperlink w:anchor="_Toc158723928" w:history="1">
        <w:r w:rsidR="008B6836" w:rsidRPr="009102A4">
          <w:rPr>
            <w:rStyle w:val="Hyperlink"/>
            <w:noProof/>
          </w:rPr>
          <w:t>Section 7 – Potassium</w:t>
        </w:r>
        <w:r w:rsidR="008B6836">
          <w:rPr>
            <w:noProof/>
            <w:webHidden/>
          </w:rPr>
          <w:tab/>
        </w:r>
        <w:r w:rsidR="008B6836">
          <w:rPr>
            <w:noProof/>
            <w:webHidden/>
          </w:rPr>
          <w:fldChar w:fldCharType="begin"/>
        </w:r>
        <w:r w:rsidR="008B6836">
          <w:rPr>
            <w:noProof/>
            <w:webHidden/>
          </w:rPr>
          <w:instrText xml:space="preserve"> PAGEREF _Toc158723928 \h </w:instrText>
        </w:r>
        <w:r w:rsidR="008B6836">
          <w:rPr>
            <w:noProof/>
            <w:webHidden/>
          </w:rPr>
        </w:r>
        <w:r w:rsidR="008B6836">
          <w:rPr>
            <w:noProof/>
            <w:webHidden/>
          </w:rPr>
          <w:fldChar w:fldCharType="separate"/>
        </w:r>
        <w:r w:rsidR="00A51396">
          <w:rPr>
            <w:noProof/>
            <w:webHidden/>
          </w:rPr>
          <w:t>6</w:t>
        </w:r>
        <w:r w:rsidR="008B6836">
          <w:rPr>
            <w:noProof/>
            <w:webHidden/>
          </w:rPr>
          <w:fldChar w:fldCharType="end"/>
        </w:r>
      </w:hyperlink>
    </w:p>
    <w:p w14:paraId="5EAC5F09" w14:textId="41287096" w:rsidR="008B6836" w:rsidRDefault="00000000">
      <w:pPr>
        <w:pStyle w:val="TOC1"/>
        <w:rPr>
          <w:rFonts w:eastAsiaTheme="minorEastAsia" w:cstheme="minorBidi"/>
          <w:noProof/>
          <w:kern w:val="2"/>
          <w:sz w:val="22"/>
          <w:szCs w:val="22"/>
          <w:lang w:eastAsia="en-AU"/>
          <w14:ligatures w14:val="standardContextual"/>
        </w:rPr>
      </w:pPr>
      <w:hyperlink w:anchor="_Toc158723929" w:history="1">
        <w:r w:rsidR="008B6836" w:rsidRPr="009102A4">
          <w:rPr>
            <w:rStyle w:val="Hyperlink"/>
            <w:noProof/>
          </w:rPr>
          <w:t>Section 8 – Insulin</w:t>
        </w:r>
        <w:r w:rsidR="008B6836">
          <w:rPr>
            <w:noProof/>
            <w:webHidden/>
          </w:rPr>
          <w:tab/>
        </w:r>
        <w:r w:rsidR="008B6836">
          <w:rPr>
            <w:noProof/>
            <w:webHidden/>
          </w:rPr>
          <w:fldChar w:fldCharType="begin"/>
        </w:r>
        <w:r w:rsidR="008B6836">
          <w:rPr>
            <w:noProof/>
            <w:webHidden/>
          </w:rPr>
          <w:instrText xml:space="preserve"> PAGEREF _Toc158723929 \h </w:instrText>
        </w:r>
        <w:r w:rsidR="008B6836">
          <w:rPr>
            <w:noProof/>
            <w:webHidden/>
          </w:rPr>
        </w:r>
        <w:r w:rsidR="008B6836">
          <w:rPr>
            <w:noProof/>
            <w:webHidden/>
          </w:rPr>
          <w:fldChar w:fldCharType="separate"/>
        </w:r>
        <w:r w:rsidR="00A51396">
          <w:rPr>
            <w:noProof/>
            <w:webHidden/>
          </w:rPr>
          <w:t>7</w:t>
        </w:r>
        <w:r w:rsidR="008B6836">
          <w:rPr>
            <w:noProof/>
            <w:webHidden/>
          </w:rPr>
          <w:fldChar w:fldCharType="end"/>
        </w:r>
      </w:hyperlink>
    </w:p>
    <w:p w14:paraId="15C6B67C" w14:textId="19F9E4F3" w:rsidR="008B6836" w:rsidRDefault="00000000">
      <w:pPr>
        <w:pStyle w:val="TOC1"/>
        <w:rPr>
          <w:rFonts w:eastAsiaTheme="minorEastAsia" w:cstheme="minorBidi"/>
          <w:noProof/>
          <w:kern w:val="2"/>
          <w:sz w:val="22"/>
          <w:szCs w:val="22"/>
          <w:lang w:eastAsia="en-AU"/>
          <w14:ligatures w14:val="standardContextual"/>
        </w:rPr>
      </w:pPr>
      <w:hyperlink w:anchor="_Toc158723930" w:history="1">
        <w:r w:rsidR="008B6836" w:rsidRPr="009102A4">
          <w:rPr>
            <w:rStyle w:val="Hyperlink"/>
            <w:noProof/>
          </w:rPr>
          <w:t>Section 9 – Narcotics and other Sedatives</w:t>
        </w:r>
        <w:r w:rsidR="008B6836">
          <w:rPr>
            <w:noProof/>
            <w:webHidden/>
          </w:rPr>
          <w:tab/>
        </w:r>
        <w:r w:rsidR="008B6836">
          <w:rPr>
            <w:noProof/>
            <w:webHidden/>
          </w:rPr>
          <w:fldChar w:fldCharType="begin"/>
        </w:r>
        <w:r w:rsidR="008B6836">
          <w:rPr>
            <w:noProof/>
            <w:webHidden/>
          </w:rPr>
          <w:instrText xml:space="preserve"> PAGEREF _Toc158723930 \h </w:instrText>
        </w:r>
        <w:r w:rsidR="008B6836">
          <w:rPr>
            <w:noProof/>
            <w:webHidden/>
          </w:rPr>
        </w:r>
        <w:r w:rsidR="008B6836">
          <w:rPr>
            <w:noProof/>
            <w:webHidden/>
          </w:rPr>
          <w:fldChar w:fldCharType="separate"/>
        </w:r>
        <w:r w:rsidR="00A51396">
          <w:rPr>
            <w:noProof/>
            <w:webHidden/>
          </w:rPr>
          <w:t>8</w:t>
        </w:r>
        <w:r w:rsidR="008B6836">
          <w:rPr>
            <w:noProof/>
            <w:webHidden/>
          </w:rPr>
          <w:fldChar w:fldCharType="end"/>
        </w:r>
      </w:hyperlink>
    </w:p>
    <w:p w14:paraId="03538133" w14:textId="257E7D38" w:rsidR="008B6836" w:rsidRDefault="00000000">
      <w:pPr>
        <w:pStyle w:val="TOC1"/>
        <w:rPr>
          <w:rFonts w:eastAsiaTheme="minorEastAsia" w:cstheme="minorBidi"/>
          <w:noProof/>
          <w:kern w:val="2"/>
          <w:sz w:val="22"/>
          <w:szCs w:val="22"/>
          <w:lang w:eastAsia="en-AU"/>
          <w14:ligatures w14:val="standardContextual"/>
        </w:rPr>
      </w:pPr>
      <w:hyperlink w:anchor="_Toc158723931" w:history="1">
        <w:r w:rsidR="008B6836" w:rsidRPr="009102A4">
          <w:rPr>
            <w:rStyle w:val="Hyperlink"/>
            <w:noProof/>
          </w:rPr>
          <w:t>Section 10 – Hydromorphone</w:t>
        </w:r>
        <w:r w:rsidR="008B6836">
          <w:rPr>
            <w:noProof/>
            <w:webHidden/>
          </w:rPr>
          <w:tab/>
        </w:r>
        <w:r w:rsidR="008B6836">
          <w:rPr>
            <w:noProof/>
            <w:webHidden/>
          </w:rPr>
          <w:fldChar w:fldCharType="begin"/>
        </w:r>
        <w:r w:rsidR="008B6836">
          <w:rPr>
            <w:noProof/>
            <w:webHidden/>
          </w:rPr>
          <w:instrText xml:space="preserve"> PAGEREF _Toc158723931 \h </w:instrText>
        </w:r>
        <w:r w:rsidR="008B6836">
          <w:rPr>
            <w:noProof/>
            <w:webHidden/>
          </w:rPr>
        </w:r>
        <w:r w:rsidR="008B6836">
          <w:rPr>
            <w:noProof/>
            <w:webHidden/>
          </w:rPr>
          <w:fldChar w:fldCharType="separate"/>
        </w:r>
        <w:r w:rsidR="00A51396">
          <w:rPr>
            <w:noProof/>
            <w:webHidden/>
          </w:rPr>
          <w:t>9</w:t>
        </w:r>
        <w:r w:rsidR="008B6836">
          <w:rPr>
            <w:noProof/>
            <w:webHidden/>
          </w:rPr>
          <w:fldChar w:fldCharType="end"/>
        </w:r>
      </w:hyperlink>
    </w:p>
    <w:p w14:paraId="35904650" w14:textId="791A0A47" w:rsidR="008B6836" w:rsidRDefault="00000000">
      <w:pPr>
        <w:pStyle w:val="TOC1"/>
        <w:rPr>
          <w:rFonts w:eastAsiaTheme="minorEastAsia" w:cstheme="minorBidi"/>
          <w:noProof/>
          <w:kern w:val="2"/>
          <w:sz w:val="22"/>
          <w:szCs w:val="22"/>
          <w:lang w:eastAsia="en-AU"/>
          <w14:ligatures w14:val="standardContextual"/>
        </w:rPr>
      </w:pPr>
      <w:hyperlink w:anchor="_Toc158723932" w:history="1">
        <w:r w:rsidR="008B6836" w:rsidRPr="009102A4">
          <w:rPr>
            <w:rStyle w:val="Hyperlink"/>
            <w:noProof/>
          </w:rPr>
          <w:t>Section 11 – Chemotherapy – General Standards (Oral and Injectable)</w:t>
        </w:r>
        <w:r w:rsidR="008B6836">
          <w:rPr>
            <w:noProof/>
            <w:webHidden/>
          </w:rPr>
          <w:tab/>
        </w:r>
        <w:r w:rsidR="008B6836">
          <w:rPr>
            <w:noProof/>
            <w:webHidden/>
          </w:rPr>
          <w:fldChar w:fldCharType="begin"/>
        </w:r>
        <w:r w:rsidR="008B6836">
          <w:rPr>
            <w:noProof/>
            <w:webHidden/>
          </w:rPr>
          <w:instrText xml:space="preserve"> PAGEREF _Toc158723932 \h </w:instrText>
        </w:r>
        <w:r w:rsidR="008B6836">
          <w:rPr>
            <w:noProof/>
            <w:webHidden/>
          </w:rPr>
        </w:r>
        <w:r w:rsidR="008B6836">
          <w:rPr>
            <w:noProof/>
            <w:webHidden/>
          </w:rPr>
          <w:fldChar w:fldCharType="separate"/>
        </w:r>
        <w:r w:rsidR="00A51396">
          <w:rPr>
            <w:noProof/>
            <w:webHidden/>
          </w:rPr>
          <w:t>10</w:t>
        </w:r>
        <w:r w:rsidR="008B6836">
          <w:rPr>
            <w:noProof/>
            <w:webHidden/>
          </w:rPr>
          <w:fldChar w:fldCharType="end"/>
        </w:r>
      </w:hyperlink>
    </w:p>
    <w:p w14:paraId="7AE63B29" w14:textId="5BC89E7D" w:rsidR="008B6836" w:rsidRDefault="00000000">
      <w:pPr>
        <w:pStyle w:val="TOC1"/>
        <w:rPr>
          <w:rFonts w:eastAsiaTheme="minorEastAsia" w:cstheme="minorBidi"/>
          <w:noProof/>
          <w:kern w:val="2"/>
          <w:sz w:val="22"/>
          <w:szCs w:val="22"/>
          <w:lang w:eastAsia="en-AU"/>
          <w14:ligatures w14:val="standardContextual"/>
        </w:rPr>
      </w:pPr>
      <w:hyperlink w:anchor="_Toc158723933" w:history="1">
        <w:r w:rsidR="008B6836" w:rsidRPr="009102A4">
          <w:rPr>
            <w:rStyle w:val="Hyperlink"/>
            <w:noProof/>
          </w:rPr>
          <w:t>Section 13 – Chemotherapy – Methotrexate</w:t>
        </w:r>
        <w:r w:rsidR="008B6836">
          <w:rPr>
            <w:noProof/>
            <w:webHidden/>
          </w:rPr>
          <w:tab/>
        </w:r>
        <w:r w:rsidR="008B6836">
          <w:rPr>
            <w:noProof/>
            <w:webHidden/>
          </w:rPr>
          <w:fldChar w:fldCharType="begin"/>
        </w:r>
        <w:r w:rsidR="008B6836">
          <w:rPr>
            <w:noProof/>
            <w:webHidden/>
          </w:rPr>
          <w:instrText xml:space="preserve"> PAGEREF _Toc158723933 \h </w:instrText>
        </w:r>
        <w:r w:rsidR="008B6836">
          <w:rPr>
            <w:noProof/>
            <w:webHidden/>
          </w:rPr>
        </w:r>
        <w:r w:rsidR="008B6836">
          <w:rPr>
            <w:noProof/>
            <w:webHidden/>
          </w:rPr>
          <w:fldChar w:fldCharType="separate"/>
        </w:r>
        <w:r w:rsidR="00A51396">
          <w:rPr>
            <w:noProof/>
            <w:webHidden/>
          </w:rPr>
          <w:t>11</w:t>
        </w:r>
        <w:r w:rsidR="008B6836">
          <w:rPr>
            <w:noProof/>
            <w:webHidden/>
          </w:rPr>
          <w:fldChar w:fldCharType="end"/>
        </w:r>
      </w:hyperlink>
    </w:p>
    <w:p w14:paraId="6D788B67" w14:textId="2D06768B" w:rsidR="008B6836" w:rsidRDefault="00000000">
      <w:pPr>
        <w:pStyle w:val="TOC1"/>
        <w:rPr>
          <w:rFonts w:eastAsiaTheme="minorEastAsia" w:cstheme="minorBidi"/>
          <w:noProof/>
          <w:kern w:val="2"/>
          <w:sz w:val="22"/>
          <w:szCs w:val="22"/>
          <w:lang w:eastAsia="en-AU"/>
          <w14:ligatures w14:val="standardContextual"/>
        </w:rPr>
      </w:pPr>
      <w:hyperlink w:anchor="_Toc158723934" w:history="1">
        <w:r w:rsidR="008B6836" w:rsidRPr="009102A4">
          <w:rPr>
            <w:rStyle w:val="Hyperlink"/>
            <w:noProof/>
          </w:rPr>
          <w:t>Section 15 – Heparin and other Anticoagulants</w:t>
        </w:r>
        <w:r w:rsidR="008B6836">
          <w:rPr>
            <w:noProof/>
            <w:webHidden/>
          </w:rPr>
          <w:tab/>
        </w:r>
        <w:r w:rsidR="008B6836">
          <w:rPr>
            <w:noProof/>
            <w:webHidden/>
          </w:rPr>
          <w:fldChar w:fldCharType="begin"/>
        </w:r>
        <w:r w:rsidR="008B6836">
          <w:rPr>
            <w:noProof/>
            <w:webHidden/>
          </w:rPr>
          <w:instrText xml:space="preserve"> PAGEREF _Toc158723934 \h </w:instrText>
        </w:r>
        <w:r w:rsidR="008B6836">
          <w:rPr>
            <w:noProof/>
            <w:webHidden/>
          </w:rPr>
        </w:r>
        <w:r w:rsidR="008B6836">
          <w:rPr>
            <w:noProof/>
            <w:webHidden/>
          </w:rPr>
          <w:fldChar w:fldCharType="separate"/>
        </w:r>
        <w:r w:rsidR="00A51396">
          <w:rPr>
            <w:noProof/>
            <w:webHidden/>
          </w:rPr>
          <w:t>12</w:t>
        </w:r>
        <w:r w:rsidR="008B6836">
          <w:rPr>
            <w:noProof/>
            <w:webHidden/>
          </w:rPr>
          <w:fldChar w:fldCharType="end"/>
        </w:r>
      </w:hyperlink>
    </w:p>
    <w:p w14:paraId="4488E3D5" w14:textId="72FEC893" w:rsidR="008B6836" w:rsidRDefault="00000000">
      <w:pPr>
        <w:pStyle w:val="TOC1"/>
        <w:rPr>
          <w:rFonts w:eastAsiaTheme="minorEastAsia" w:cstheme="minorBidi"/>
          <w:noProof/>
          <w:kern w:val="2"/>
          <w:sz w:val="22"/>
          <w:szCs w:val="22"/>
          <w:lang w:eastAsia="en-AU"/>
          <w14:ligatures w14:val="standardContextual"/>
        </w:rPr>
      </w:pPr>
      <w:hyperlink w:anchor="_Toc158723935" w:history="1">
        <w:r w:rsidR="008B6836" w:rsidRPr="009102A4">
          <w:rPr>
            <w:rStyle w:val="Hyperlink"/>
            <w:noProof/>
          </w:rPr>
          <w:t>Section 16 – Neuromuscular Blocking Agents</w:t>
        </w:r>
        <w:r w:rsidR="008B6836">
          <w:rPr>
            <w:noProof/>
            <w:webHidden/>
          </w:rPr>
          <w:tab/>
        </w:r>
        <w:r w:rsidR="008B6836">
          <w:rPr>
            <w:noProof/>
            <w:webHidden/>
          </w:rPr>
          <w:fldChar w:fldCharType="begin"/>
        </w:r>
        <w:r w:rsidR="008B6836">
          <w:rPr>
            <w:noProof/>
            <w:webHidden/>
          </w:rPr>
          <w:instrText xml:space="preserve"> PAGEREF _Toc158723935 \h </w:instrText>
        </w:r>
        <w:r w:rsidR="008B6836">
          <w:rPr>
            <w:noProof/>
            <w:webHidden/>
          </w:rPr>
        </w:r>
        <w:r w:rsidR="008B6836">
          <w:rPr>
            <w:noProof/>
            <w:webHidden/>
          </w:rPr>
          <w:fldChar w:fldCharType="separate"/>
        </w:r>
        <w:r w:rsidR="00A51396">
          <w:rPr>
            <w:noProof/>
            <w:webHidden/>
          </w:rPr>
          <w:t>13</w:t>
        </w:r>
        <w:r w:rsidR="008B6836">
          <w:rPr>
            <w:noProof/>
            <w:webHidden/>
          </w:rPr>
          <w:fldChar w:fldCharType="end"/>
        </w:r>
      </w:hyperlink>
    </w:p>
    <w:p w14:paraId="52992E21" w14:textId="49671678" w:rsidR="008B6836" w:rsidRDefault="00000000">
      <w:pPr>
        <w:pStyle w:val="TOC1"/>
        <w:rPr>
          <w:rFonts w:eastAsiaTheme="minorEastAsia" w:cstheme="minorBidi"/>
          <w:noProof/>
          <w:kern w:val="2"/>
          <w:sz w:val="22"/>
          <w:szCs w:val="22"/>
          <w:lang w:eastAsia="en-AU"/>
          <w14:ligatures w14:val="standardContextual"/>
        </w:rPr>
      </w:pPr>
      <w:hyperlink w:anchor="_Toc158723936" w:history="1">
        <w:r w:rsidR="008B6836" w:rsidRPr="009102A4">
          <w:rPr>
            <w:rStyle w:val="Hyperlink"/>
            <w:noProof/>
          </w:rPr>
          <w:t>Section 17 – Clozapine</w:t>
        </w:r>
        <w:r w:rsidR="008B6836">
          <w:rPr>
            <w:noProof/>
            <w:webHidden/>
          </w:rPr>
          <w:tab/>
        </w:r>
        <w:r w:rsidR="008B6836">
          <w:rPr>
            <w:noProof/>
            <w:webHidden/>
          </w:rPr>
          <w:fldChar w:fldCharType="begin"/>
        </w:r>
        <w:r w:rsidR="008B6836">
          <w:rPr>
            <w:noProof/>
            <w:webHidden/>
          </w:rPr>
          <w:instrText xml:space="preserve"> PAGEREF _Toc158723936 \h </w:instrText>
        </w:r>
        <w:r w:rsidR="008B6836">
          <w:rPr>
            <w:noProof/>
            <w:webHidden/>
          </w:rPr>
        </w:r>
        <w:r w:rsidR="008B6836">
          <w:rPr>
            <w:noProof/>
            <w:webHidden/>
          </w:rPr>
          <w:fldChar w:fldCharType="separate"/>
        </w:r>
        <w:r w:rsidR="00A51396">
          <w:rPr>
            <w:noProof/>
            <w:webHidden/>
          </w:rPr>
          <w:t>13</w:t>
        </w:r>
        <w:r w:rsidR="008B6836">
          <w:rPr>
            <w:noProof/>
            <w:webHidden/>
          </w:rPr>
          <w:fldChar w:fldCharType="end"/>
        </w:r>
      </w:hyperlink>
    </w:p>
    <w:p w14:paraId="598B9A54" w14:textId="2707A420" w:rsidR="008B6836" w:rsidRDefault="00000000">
      <w:pPr>
        <w:pStyle w:val="TOC1"/>
        <w:rPr>
          <w:rFonts w:eastAsiaTheme="minorEastAsia" w:cstheme="minorBidi"/>
          <w:noProof/>
          <w:kern w:val="2"/>
          <w:sz w:val="22"/>
          <w:szCs w:val="22"/>
          <w:lang w:eastAsia="en-AU"/>
          <w14:ligatures w14:val="standardContextual"/>
        </w:rPr>
      </w:pPr>
      <w:hyperlink w:anchor="_Toc158723937" w:history="1">
        <w:r w:rsidR="008B6836" w:rsidRPr="009102A4">
          <w:rPr>
            <w:rStyle w:val="Hyperlink"/>
            <w:noProof/>
          </w:rPr>
          <w:t>Related Policies, Procedures, Guidelines and Legislation</w:t>
        </w:r>
        <w:r w:rsidR="008B6836">
          <w:rPr>
            <w:noProof/>
            <w:webHidden/>
          </w:rPr>
          <w:tab/>
        </w:r>
        <w:r w:rsidR="008B6836">
          <w:rPr>
            <w:noProof/>
            <w:webHidden/>
          </w:rPr>
          <w:fldChar w:fldCharType="begin"/>
        </w:r>
        <w:r w:rsidR="008B6836">
          <w:rPr>
            <w:noProof/>
            <w:webHidden/>
          </w:rPr>
          <w:instrText xml:space="preserve"> PAGEREF _Toc158723937 \h </w:instrText>
        </w:r>
        <w:r w:rsidR="008B6836">
          <w:rPr>
            <w:noProof/>
            <w:webHidden/>
          </w:rPr>
        </w:r>
        <w:r w:rsidR="008B6836">
          <w:rPr>
            <w:noProof/>
            <w:webHidden/>
          </w:rPr>
          <w:fldChar w:fldCharType="separate"/>
        </w:r>
        <w:r w:rsidR="00A51396">
          <w:rPr>
            <w:noProof/>
            <w:webHidden/>
          </w:rPr>
          <w:t>15</w:t>
        </w:r>
        <w:r w:rsidR="008B6836">
          <w:rPr>
            <w:noProof/>
            <w:webHidden/>
          </w:rPr>
          <w:fldChar w:fldCharType="end"/>
        </w:r>
      </w:hyperlink>
    </w:p>
    <w:p w14:paraId="5BAC6966" w14:textId="2B60E5C4" w:rsidR="008B6836" w:rsidRDefault="00000000">
      <w:pPr>
        <w:pStyle w:val="TOC1"/>
        <w:rPr>
          <w:rFonts w:eastAsiaTheme="minorEastAsia" w:cstheme="minorBidi"/>
          <w:noProof/>
          <w:kern w:val="2"/>
          <w:sz w:val="22"/>
          <w:szCs w:val="22"/>
          <w:lang w:eastAsia="en-AU"/>
          <w14:ligatures w14:val="standardContextual"/>
        </w:rPr>
      </w:pPr>
      <w:hyperlink w:anchor="_Toc158723938" w:history="1">
        <w:r w:rsidR="008B6836" w:rsidRPr="009102A4">
          <w:rPr>
            <w:rStyle w:val="Hyperlink"/>
            <w:noProof/>
          </w:rPr>
          <w:t>References</w:t>
        </w:r>
        <w:r w:rsidR="008B6836">
          <w:rPr>
            <w:noProof/>
            <w:webHidden/>
          </w:rPr>
          <w:tab/>
        </w:r>
        <w:r w:rsidR="008B6836">
          <w:rPr>
            <w:noProof/>
            <w:webHidden/>
          </w:rPr>
          <w:fldChar w:fldCharType="begin"/>
        </w:r>
        <w:r w:rsidR="008B6836">
          <w:rPr>
            <w:noProof/>
            <w:webHidden/>
          </w:rPr>
          <w:instrText xml:space="preserve"> PAGEREF _Toc158723938 \h </w:instrText>
        </w:r>
        <w:r w:rsidR="008B6836">
          <w:rPr>
            <w:noProof/>
            <w:webHidden/>
          </w:rPr>
        </w:r>
        <w:r w:rsidR="008B6836">
          <w:rPr>
            <w:noProof/>
            <w:webHidden/>
          </w:rPr>
          <w:fldChar w:fldCharType="separate"/>
        </w:r>
        <w:r w:rsidR="00A51396">
          <w:rPr>
            <w:noProof/>
            <w:webHidden/>
          </w:rPr>
          <w:t>16</w:t>
        </w:r>
        <w:r w:rsidR="008B6836">
          <w:rPr>
            <w:noProof/>
            <w:webHidden/>
          </w:rPr>
          <w:fldChar w:fldCharType="end"/>
        </w:r>
      </w:hyperlink>
    </w:p>
    <w:p w14:paraId="00544294" w14:textId="58188E38" w:rsidR="008B6836" w:rsidRDefault="00000000">
      <w:pPr>
        <w:pStyle w:val="TOC1"/>
        <w:rPr>
          <w:rFonts w:eastAsiaTheme="minorEastAsia" w:cstheme="minorBidi"/>
          <w:noProof/>
          <w:kern w:val="2"/>
          <w:sz w:val="22"/>
          <w:szCs w:val="22"/>
          <w:lang w:eastAsia="en-AU"/>
          <w14:ligatures w14:val="standardContextual"/>
        </w:rPr>
      </w:pPr>
      <w:hyperlink w:anchor="_Toc158723939" w:history="1">
        <w:r w:rsidR="008B6836" w:rsidRPr="009102A4">
          <w:rPr>
            <w:rStyle w:val="Hyperlink"/>
            <w:noProof/>
          </w:rPr>
          <w:t>Definition of Terms</w:t>
        </w:r>
        <w:r w:rsidR="008B6836">
          <w:rPr>
            <w:noProof/>
            <w:webHidden/>
          </w:rPr>
          <w:tab/>
        </w:r>
        <w:r w:rsidR="008B6836">
          <w:rPr>
            <w:noProof/>
            <w:webHidden/>
          </w:rPr>
          <w:fldChar w:fldCharType="begin"/>
        </w:r>
        <w:r w:rsidR="008B6836">
          <w:rPr>
            <w:noProof/>
            <w:webHidden/>
          </w:rPr>
          <w:instrText xml:space="preserve"> PAGEREF _Toc158723939 \h </w:instrText>
        </w:r>
        <w:r w:rsidR="008B6836">
          <w:rPr>
            <w:noProof/>
            <w:webHidden/>
          </w:rPr>
        </w:r>
        <w:r w:rsidR="008B6836">
          <w:rPr>
            <w:noProof/>
            <w:webHidden/>
          </w:rPr>
          <w:fldChar w:fldCharType="separate"/>
        </w:r>
        <w:r w:rsidR="00A51396">
          <w:rPr>
            <w:noProof/>
            <w:webHidden/>
          </w:rPr>
          <w:t>16</w:t>
        </w:r>
        <w:r w:rsidR="008B6836">
          <w:rPr>
            <w:noProof/>
            <w:webHidden/>
          </w:rPr>
          <w:fldChar w:fldCharType="end"/>
        </w:r>
      </w:hyperlink>
    </w:p>
    <w:p w14:paraId="3B8AD70C" w14:textId="60357687" w:rsidR="008B6836" w:rsidRDefault="00000000">
      <w:pPr>
        <w:pStyle w:val="TOC1"/>
        <w:rPr>
          <w:rFonts w:eastAsiaTheme="minorEastAsia" w:cstheme="minorBidi"/>
          <w:noProof/>
          <w:kern w:val="2"/>
          <w:sz w:val="22"/>
          <w:szCs w:val="22"/>
          <w:lang w:eastAsia="en-AU"/>
          <w14:ligatures w14:val="standardContextual"/>
        </w:rPr>
      </w:pPr>
      <w:hyperlink w:anchor="_Toc158723940" w:history="1">
        <w:r w:rsidR="008B6836" w:rsidRPr="009102A4">
          <w:rPr>
            <w:rStyle w:val="Hyperlink"/>
            <w:noProof/>
          </w:rPr>
          <w:t>Search Terms</w:t>
        </w:r>
        <w:r w:rsidR="008B6836">
          <w:rPr>
            <w:noProof/>
            <w:webHidden/>
          </w:rPr>
          <w:tab/>
        </w:r>
        <w:r w:rsidR="008B6836">
          <w:rPr>
            <w:noProof/>
            <w:webHidden/>
          </w:rPr>
          <w:fldChar w:fldCharType="begin"/>
        </w:r>
        <w:r w:rsidR="008B6836">
          <w:rPr>
            <w:noProof/>
            <w:webHidden/>
          </w:rPr>
          <w:instrText xml:space="preserve"> PAGEREF _Toc158723940 \h </w:instrText>
        </w:r>
        <w:r w:rsidR="008B6836">
          <w:rPr>
            <w:noProof/>
            <w:webHidden/>
          </w:rPr>
        </w:r>
        <w:r w:rsidR="008B6836">
          <w:rPr>
            <w:noProof/>
            <w:webHidden/>
          </w:rPr>
          <w:fldChar w:fldCharType="separate"/>
        </w:r>
        <w:r w:rsidR="00A51396">
          <w:rPr>
            <w:noProof/>
            <w:webHidden/>
          </w:rPr>
          <w:t>18</w:t>
        </w:r>
        <w:r w:rsidR="008B6836">
          <w:rPr>
            <w:noProof/>
            <w:webHidden/>
          </w:rPr>
          <w:fldChar w:fldCharType="end"/>
        </w:r>
      </w:hyperlink>
    </w:p>
    <w:p w14:paraId="5868B270" w14:textId="21B5CEB3" w:rsidR="008B6836" w:rsidRDefault="00000000">
      <w:pPr>
        <w:pStyle w:val="TOC1"/>
        <w:rPr>
          <w:rFonts w:eastAsiaTheme="minorEastAsia" w:cstheme="minorBidi"/>
          <w:noProof/>
          <w:kern w:val="2"/>
          <w:sz w:val="22"/>
          <w:szCs w:val="22"/>
          <w:lang w:eastAsia="en-AU"/>
          <w14:ligatures w14:val="standardContextual"/>
        </w:rPr>
      </w:pPr>
      <w:hyperlink w:anchor="_Toc158723941" w:history="1">
        <w:r w:rsidR="008B6836" w:rsidRPr="009102A4">
          <w:rPr>
            <w:rStyle w:val="Hyperlink"/>
            <w:noProof/>
          </w:rPr>
          <w:t>Appendix 1 – High Risk Medicines Poster</w:t>
        </w:r>
        <w:r w:rsidR="008B6836">
          <w:rPr>
            <w:noProof/>
            <w:webHidden/>
          </w:rPr>
          <w:tab/>
        </w:r>
        <w:r w:rsidR="008B6836">
          <w:rPr>
            <w:noProof/>
            <w:webHidden/>
          </w:rPr>
          <w:fldChar w:fldCharType="begin"/>
        </w:r>
        <w:r w:rsidR="008B6836">
          <w:rPr>
            <w:noProof/>
            <w:webHidden/>
          </w:rPr>
          <w:instrText xml:space="preserve"> PAGEREF _Toc158723941 \h </w:instrText>
        </w:r>
        <w:r w:rsidR="008B6836">
          <w:rPr>
            <w:noProof/>
            <w:webHidden/>
          </w:rPr>
        </w:r>
        <w:r w:rsidR="008B6836">
          <w:rPr>
            <w:noProof/>
            <w:webHidden/>
          </w:rPr>
          <w:fldChar w:fldCharType="separate"/>
        </w:r>
        <w:r w:rsidR="00A51396">
          <w:rPr>
            <w:noProof/>
            <w:webHidden/>
          </w:rPr>
          <w:t>19</w:t>
        </w:r>
        <w:r w:rsidR="008B6836">
          <w:rPr>
            <w:noProof/>
            <w:webHidden/>
          </w:rPr>
          <w:fldChar w:fldCharType="end"/>
        </w:r>
      </w:hyperlink>
    </w:p>
    <w:p w14:paraId="2F51A862" w14:textId="43925B10" w:rsidR="007052B1" w:rsidRDefault="007B7628" w:rsidP="003862EC">
      <w:pPr>
        <w:rPr>
          <w:rFonts w:asciiTheme="minorHAnsi" w:hAnsiTheme="minorHAnsi"/>
        </w:rPr>
      </w:pPr>
      <w:r>
        <w:rPr>
          <w:rFonts w:asciiTheme="minorHAnsi" w:hAnsiTheme="minorHAnsi"/>
        </w:rPr>
        <w:fldChar w:fldCharType="end"/>
      </w:r>
    </w:p>
    <w:p w14:paraId="2F51A863" w14:textId="77777777" w:rsidR="007B6904" w:rsidRDefault="007B6904" w:rsidP="007B6904"/>
    <w:p w14:paraId="4BA3B804" w14:textId="77777777" w:rsidR="008B6836" w:rsidRPr="00763141" w:rsidRDefault="008B6836"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9" w:name="_Toc389473274"/>
            <w:bookmarkStart w:id="10" w:name="_Toc158723920"/>
            <w:r w:rsidRPr="00CD1C0E">
              <w:lastRenderedPageBreak/>
              <w:t>Purpose</w:t>
            </w:r>
            <w:bookmarkEnd w:id="9"/>
            <w:bookmarkEnd w:id="10"/>
          </w:p>
        </w:tc>
      </w:tr>
    </w:tbl>
    <w:p w14:paraId="3E0849E1" w14:textId="77777777" w:rsidR="00A113FE" w:rsidRPr="00A113FE" w:rsidRDefault="00A113FE" w:rsidP="00931B93">
      <w:pPr>
        <w:rPr>
          <w:rFonts w:cs="Arial"/>
          <w:iCs/>
          <w:szCs w:val="24"/>
        </w:rPr>
      </w:pPr>
    </w:p>
    <w:p w14:paraId="7BD8C9DD" w14:textId="7B615D07" w:rsidR="00A113FE" w:rsidRPr="00A113FE" w:rsidRDefault="00A113FE" w:rsidP="00A113FE">
      <w:pPr>
        <w:rPr>
          <w:rFonts w:cs="Arial"/>
          <w:i/>
          <w:szCs w:val="24"/>
        </w:rPr>
      </w:pPr>
      <w:r w:rsidRPr="00A113FE">
        <w:rPr>
          <w:rFonts w:cs="Arial"/>
          <w:iCs/>
          <w:szCs w:val="24"/>
        </w:rPr>
        <w:t xml:space="preserve">The purpose of this procedure is to </w:t>
      </w:r>
      <w:r w:rsidRPr="00A113FE">
        <w:rPr>
          <w:iCs/>
        </w:rPr>
        <w:t>set</w:t>
      </w:r>
      <w:r w:rsidRPr="008A0527">
        <w:t xml:space="preserve"> out the requirements for the safe management and the use of high-risk medicines within</w:t>
      </w:r>
      <w:r>
        <w:t xml:space="preserve"> North Canberra Hospital (NCH).  </w:t>
      </w:r>
      <w:r w:rsidRPr="008A0527">
        <w:t xml:space="preserve">It defines the </w:t>
      </w:r>
      <w:r>
        <w:t>high</w:t>
      </w:r>
      <w:r w:rsidRPr="008A0527">
        <w:t>-risk medicines and strategies to mitigate the risks associated with those medicines.</w:t>
      </w:r>
      <w:r>
        <w:t xml:space="preserve">  </w:t>
      </w:r>
    </w:p>
    <w:p w14:paraId="5CFD4964" w14:textId="77777777" w:rsidR="00212C02" w:rsidRPr="00A113FE" w:rsidRDefault="00212C02" w:rsidP="00A113FE">
      <w:pPr>
        <w:autoSpaceDE w:val="0"/>
        <w:autoSpaceDN w:val="0"/>
        <w:adjustRightInd w:val="0"/>
        <w:spacing w:line="276" w:lineRule="auto"/>
      </w:pPr>
    </w:p>
    <w:p w14:paraId="2F51A879" w14:textId="22850B3F" w:rsidR="009E70F4" w:rsidRPr="00212C02" w:rsidRDefault="00000000" w:rsidP="00212C02">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1" w:name="_Toc389473277"/>
            <w:bookmarkStart w:id="12" w:name="_Toc158723921"/>
            <w:r w:rsidRPr="003D2D06">
              <w:t>Scope</w:t>
            </w:r>
            <w:bookmarkEnd w:id="11"/>
            <w:bookmarkEnd w:id="12"/>
          </w:p>
        </w:tc>
      </w:tr>
    </w:tbl>
    <w:p w14:paraId="2F51A881" w14:textId="77777777" w:rsidR="00BF078E" w:rsidRPr="00BF078E" w:rsidRDefault="00BF078E" w:rsidP="00BF078E">
      <w:pPr>
        <w:outlineLvl w:val="0"/>
        <w:rPr>
          <w:rFonts w:cs="Arial"/>
          <w:i/>
          <w:szCs w:val="24"/>
        </w:rPr>
      </w:pPr>
    </w:p>
    <w:p w14:paraId="2F51A882" w14:textId="5D9B1CEC" w:rsidR="00BF078E" w:rsidRPr="00AC0757" w:rsidRDefault="00BF078E" w:rsidP="00BF078E">
      <w:pPr>
        <w:outlineLvl w:val="0"/>
        <w:rPr>
          <w:rFonts w:cs="Arial"/>
          <w:iCs/>
          <w:szCs w:val="24"/>
        </w:rPr>
      </w:pPr>
      <w:r w:rsidRPr="00AC0757">
        <w:rPr>
          <w:rFonts w:cs="Arial"/>
          <w:iCs/>
          <w:szCs w:val="24"/>
        </w:rPr>
        <w:t>This document applies to</w:t>
      </w:r>
      <w:r w:rsidR="00366924" w:rsidRPr="00AC0757">
        <w:rPr>
          <w:rFonts w:cs="Arial"/>
          <w:iCs/>
          <w:szCs w:val="24"/>
        </w:rPr>
        <w:t xml:space="preserve"> the following </w:t>
      </w:r>
      <w:r w:rsidR="00AC0757" w:rsidRPr="00AC0757">
        <w:rPr>
          <w:rFonts w:cs="Arial"/>
          <w:iCs/>
          <w:szCs w:val="24"/>
        </w:rPr>
        <w:t>team members</w:t>
      </w:r>
      <w:r w:rsidR="00366924" w:rsidRPr="00AC0757">
        <w:rPr>
          <w:rFonts w:cs="Arial"/>
          <w:iCs/>
          <w:szCs w:val="24"/>
        </w:rPr>
        <w:t xml:space="preserve"> working within their scope of practice</w:t>
      </w:r>
      <w:r w:rsidRPr="00AC0757">
        <w:rPr>
          <w:rFonts w:cs="Arial"/>
          <w:iCs/>
          <w:szCs w:val="24"/>
        </w:rPr>
        <w:t>:</w:t>
      </w:r>
    </w:p>
    <w:p w14:paraId="2F51A883" w14:textId="77777777" w:rsidR="00BF078E" w:rsidRPr="00AC0757" w:rsidRDefault="00BF078E" w:rsidP="00F14EC1">
      <w:pPr>
        <w:pStyle w:val="ListBullet"/>
      </w:pPr>
      <w:r>
        <w:t>Medical Officers</w:t>
      </w:r>
    </w:p>
    <w:p w14:paraId="1964912E" w14:textId="77777777" w:rsidR="00A113FE" w:rsidRPr="00AC0757" w:rsidRDefault="00BF078E" w:rsidP="00F14EC1">
      <w:pPr>
        <w:pStyle w:val="ListBullet"/>
      </w:pPr>
      <w:r>
        <w:t xml:space="preserve">Nurses and Midwives </w:t>
      </w:r>
    </w:p>
    <w:p w14:paraId="27334B86" w14:textId="77777777" w:rsidR="00AC0757" w:rsidRPr="00AC0757" w:rsidRDefault="00A113FE" w:rsidP="00F14EC1">
      <w:pPr>
        <w:pStyle w:val="ListBullet"/>
      </w:pPr>
      <w:r>
        <w:t xml:space="preserve">Allied Health </w:t>
      </w:r>
    </w:p>
    <w:p w14:paraId="2F51A884" w14:textId="2C7F1540" w:rsidR="00BF078E" w:rsidRPr="00AC0757" w:rsidRDefault="00AC0757" w:rsidP="00F14EC1">
      <w:pPr>
        <w:pStyle w:val="ListBullet"/>
      </w:pPr>
      <w:r>
        <w:t>Pharmacy team members</w:t>
      </w:r>
      <w:r w:rsidR="00212C02">
        <w:t>.</w:t>
      </w:r>
    </w:p>
    <w:p w14:paraId="2F51A886" w14:textId="77777777" w:rsidR="001F2A9B" w:rsidRDefault="001F2A9B" w:rsidP="00F14EC1"/>
    <w:p w14:paraId="4B0CD533" w14:textId="5B28E493" w:rsidR="00212C02" w:rsidRDefault="00212C02" w:rsidP="00212C02">
      <w:pPr>
        <w:autoSpaceDE w:val="0"/>
        <w:autoSpaceDN w:val="0"/>
        <w:adjustRightInd w:val="0"/>
        <w:spacing w:line="276" w:lineRule="auto"/>
      </w:pPr>
      <w:r>
        <w:t xml:space="preserve">This procedure includes standards for the following high-risk medicines: </w:t>
      </w:r>
      <w:r w:rsidRPr="4B108BD2">
        <w:rPr>
          <w:b/>
          <w:bCs/>
        </w:rPr>
        <w:t>A</w:t>
      </w:r>
      <w:r>
        <w:t xml:space="preserve">nti-infective agents, </w:t>
      </w:r>
      <w:r w:rsidRPr="4B108BD2">
        <w:rPr>
          <w:b/>
          <w:bCs/>
        </w:rPr>
        <w:t>P</w:t>
      </w:r>
      <w:r>
        <w:t xml:space="preserve">otassium, </w:t>
      </w:r>
      <w:r w:rsidRPr="4B108BD2">
        <w:rPr>
          <w:b/>
          <w:bCs/>
        </w:rPr>
        <w:t>I</w:t>
      </w:r>
      <w:r>
        <w:t xml:space="preserve">nsulin, </w:t>
      </w:r>
      <w:r w:rsidRPr="4B108BD2">
        <w:rPr>
          <w:b/>
          <w:bCs/>
        </w:rPr>
        <w:t>N</w:t>
      </w:r>
      <w:r>
        <w:t xml:space="preserve">arcotics (specifically Hydromorphone) and other Sedating agents, </w:t>
      </w:r>
      <w:proofErr w:type="gramStart"/>
      <w:r w:rsidRPr="4B108BD2">
        <w:rPr>
          <w:b/>
          <w:bCs/>
        </w:rPr>
        <w:t>C</w:t>
      </w:r>
      <w:r>
        <w:t>hemotherapy ,</w:t>
      </w:r>
      <w:proofErr w:type="gramEnd"/>
      <w:r>
        <w:t xml:space="preserve"> and </w:t>
      </w:r>
      <w:r w:rsidRPr="4B108BD2">
        <w:rPr>
          <w:b/>
          <w:bCs/>
        </w:rPr>
        <w:t>H</w:t>
      </w:r>
      <w:r>
        <w:t xml:space="preserve">eparin and other Anti-coagulants (APINCH).  This document also standardises the handling of </w:t>
      </w:r>
      <w:r w:rsidRPr="00813703">
        <w:rPr>
          <w:b/>
        </w:rPr>
        <w:t>N</w:t>
      </w:r>
      <w:r>
        <w:t xml:space="preserve">euromuscular blocking agents and </w:t>
      </w:r>
      <w:r w:rsidRPr="00813703">
        <w:rPr>
          <w:b/>
        </w:rPr>
        <w:t>C</w:t>
      </w:r>
      <w:r>
        <w:t xml:space="preserve">lozapine. These standards describe the minimum requirements to reduce specific risks with these medicines. </w:t>
      </w:r>
    </w:p>
    <w:p w14:paraId="138F3988" w14:textId="77777777" w:rsidR="00212C02" w:rsidRDefault="00212C02" w:rsidP="00F14EC1"/>
    <w:p w14:paraId="5DB29E86" w14:textId="5B45F3EB" w:rsidR="00385CCC" w:rsidRPr="00385CCC" w:rsidRDefault="00385CCC" w:rsidP="00F14EC1">
      <w:pPr>
        <w:rPr>
          <w:rFonts w:asciiTheme="minorHAnsi" w:hAnsiTheme="minorHAnsi" w:cstheme="minorHAnsi"/>
          <w:iCs/>
          <w:szCs w:val="24"/>
        </w:rPr>
      </w:pPr>
      <w:r w:rsidRPr="00AC0757">
        <w:rPr>
          <w:rFonts w:asciiTheme="minorHAnsi" w:hAnsiTheme="minorHAnsi" w:cstheme="minorHAnsi"/>
          <w:iCs/>
          <w:szCs w:val="24"/>
        </w:rPr>
        <w:t>Compliance with this procedure is mandatory</w:t>
      </w:r>
      <w:r>
        <w:rPr>
          <w:rFonts w:asciiTheme="minorHAnsi" w:hAnsiTheme="minorHAnsi" w:cstheme="minorHAnsi"/>
          <w:iCs/>
          <w:szCs w:val="24"/>
        </w:rPr>
        <w:t>.</w:t>
      </w:r>
    </w:p>
    <w:p w14:paraId="52A75AFB" w14:textId="1EFBAAE4" w:rsidR="00E41CD4" w:rsidRDefault="00000000" w:rsidP="00212C02">
      <w:pPr>
        <w:jc w:val="right"/>
        <w:rPr>
          <w:rStyle w:val="Hyperlink"/>
          <w:rFonts w:cs="Arial"/>
          <w:i/>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41CD4" w:rsidRPr="00CD1C0E" w14:paraId="6E119783" w14:textId="77777777" w:rsidTr="00EB4FCE">
        <w:trPr>
          <w:cantSplit/>
          <w:trHeight w:val="285"/>
        </w:trPr>
        <w:tc>
          <w:tcPr>
            <w:tcW w:w="9158" w:type="dxa"/>
            <w:shd w:val="clear" w:color="auto" w:fill="A6A6A6" w:themeFill="background1" w:themeFillShade="A6"/>
          </w:tcPr>
          <w:p w14:paraId="35B4A458" w14:textId="4D1CB23A" w:rsidR="00E41CD4" w:rsidRPr="00C76688" w:rsidRDefault="00E41CD4" w:rsidP="00EB4FCE">
            <w:pPr>
              <w:pStyle w:val="Heading1"/>
            </w:pPr>
            <w:bookmarkStart w:id="13" w:name="_Toc158723922"/>
            <w:r>
              <w:t>Section 1 – Roles &amp; Responsibilities</w:t>
            </w:r>
            <w:bookmarkEnd w:id="13"/>
            <w:r>
              <w:t xml:space="preserve"> </w:t>
            </w:r>
          </w:p>
        </w:tc>
      </w:tr>
    </w:tbl>
    <w:p w14:paraId="11692DED" w14:textId="77777777" w:rsidR="00E41CD4" w:rsidRDefault="00E41CD4" w:rsidP="00F14EC1">
      <w:pPr>
        <w:jc w:val="right"/>
      </w:pPr>
    </w:p>
    <w:p w14:paraId="3B9C97B1" w14:textId="0BFA62FF" w:rsidR="00E41CD4" w:rsidRPr="00591098" w:rsidRDefault="00E41CD4" w:rsidP="00E41CD4">
      <w:pPr>
        <w:pStyle w:val="Heading2"/>
        <w:spacing w:line="276" w:lineRule="auto"/>
      </w:pPr>
      <w:r w:rsidRPr="00591098">
        <w:t xml:space="preserve">Responsible group 1 </w:t>
      </w:r>
      <w:r w:rsidR="00212C02">
        <w:t>-</w:t>
      </w:r>
      <w:r w:rsidRPr="00591098">
        <w:t xml:space="preserve"> Executive </w:t>
      </w:r>
    </w:p>
    <w:p w14:paraId="017438AC" w14:textId="77777777" w:rsidR="00E41CD4" w:rsidRDefault="00E41CD4" w:rsidP="00E41CD4">
      <w:pPr>
        <w:spacing w:line="276" w:lineRule="auto"/>
      </w:pPr>
      <w:r w:rsidRPr="00087126">
        <w:t>Ensure systems are in place to</w:t>
      </w:r>
      <w:r>
        <w:t>:</w:t>
      </w:r>
    </w:p>
    <w:p w14:paraId="62AECA04" w14:textId="71AB245A" w:rsidR="00E41CD4" w:rsidRDefault="00E41CD4" w:rsidP="00E41CD4">
      <w:pPr>
        <w:pStyle w:val="ListParagraph"/>
        <w:numPr>
          <w:ilvl w:val="0"/>
          <w:numId w:val="22"/>
        </w:numPr>
        <w:autoSpaceDE w:val="0"/>
        <w:autoSpaceDN w:val="0"/>
        <w:adjustRightInd w:val="0"/>
        <w:spacing w:line="276" w:lineRule="auto"/>
        <w:contextualSpacing w:val="0"/>
      </w:pPr>
      <w:r w:rsidRPr="00087126">
        <w:t xml:space="preserve">implement mandatory </w:t>
      </w:r>
      <w:r>
        <w:t xml:space="preserve">high risk medicines management </w:t>
      </w:r>
      <w:r w:rsidR="005D3E6B">
        <w:t xml:space="preserve">procedure </w:t>
      </w:r>
      <w:r>
        <w:t>and</w:t>
      </w:r>
    </w:p>
    <w:p w14:paraId="6688E9BF" w14:textId="2CEB8AF5" w:rsidR="00E41CD4" w:rsidRDefault="00E41CD4" w:rsidP="00E41CD4">
      <w:pPr>
        <w:pStyle w:val="ListParagraph"/>
        <w:numPr>
          <w:ilvl w:val="0"/>
          <w:numId w:val="22"/>
        </w:numPr>
        <w:autoSpaceDE w:val="0"/>
        <w:autoSpaceDN w:val="0"/>
        <w:adjustRightInd w:val="0"/>
        <w:spacing w:line="276" w:lineRule="auto"/>
        <w:contextualSpacing w:val="0"/>
      </w:pPr>
      <w:r>
        <w:t>monitor compliance with high risk medicines manage</w:t>
      </w:r>
      <w:r w:rsidRPr="005D3E6B">
        <w:t>men</w:t>
      </w:r>
      <w:r w:rsidR="005D3E6B" w:rsidRPr="004F31B6">
        <w:t>t procedure and related documents</w:t>
      </w:r>
      <w:r w:rsidRPr="005D3E6B">
        <w:t xml:space="preserve"> </w:t>
      </w:r>
    </w:p>
    <w:p w14:paraId="2D7C3814" w14:textId="77777777" w:rsidR="00E41CD4" w:rsidRPr="00087126" w:rsidRDefault="00E41CD4" w:rsidP="00E41CD4">
      <w:pPr>
        <w:pStyle w:val="ListParagraph"/>
        <w:spacing w:line="276" w:lineRule="auto"/>
        <w:ind w:left="765"/>
      </w:pPr>
    </w:p>
    <w:p w14:paraId="11801C21" w14:textId="03C96F54" w:rsidR="00E41CD4" w:rsidRPr="00591098" w:rsidRDefault="00E41CD4" w:rsidP="00E41CD4">
      <w:pPr>
        <w:pStyle w:val="Heading2"/>
        <w:spacing w:line="276" w:lineRule="auto"/>
      </w:pPr>
      <w:r w:rsidRPr="00591098">
        <w:t>Responsible group 2 - All</w:t>
      </w:r>
      <w:r>
        <w:t xml:space="preserve"> </w:t>
      </w:r>
      <w:r w:rsidRPr="00591098">
        <w:t xml:space="preserve">Clinical Staff </w:t>
      </w:r>
    </w:p>
    <w:p w14:paraId="7AC3CEB0" w14:textId="77777777" w:rsidR="00E41CD4" w:rsidRDefault="00E41CD4" w:rsidP="00E41CD4">
      <w:pPr>
        <w:spacing w:line="276" w:lineRule="auto"/>
      </w:pPr>
      <w:r>
        <w:t>All clinical staff are responsible for:</w:t>
      </w:r>
    </w:p>
    <w:p w14:paraId="44DD38B0" w14:textId="64804D8F" w:rsidR="00E41CD4" w:rsidRPr="00087126" w:rsidRDefault="00E41CD4" w:rsidP="00E41CD4">
      <w:pPr>
        <w:pStyle w:val="ListParagraph"/>
        <w:numPr>
          <w:ilvl w:val="0"/>
          <w:numId w:val="23"/>
        </w:numPr>
        <w:autoSpaceDE w:val="0"/>
        <w:autoSpaceDN w:val="0"/>
        <w:adjustRightInd w:val="0"/>
        <w:spacing w:line="276" w:lineRule="auto"/>
        <w:contextualSpacing w:val="0"/>
      </w:pPr>
      <w:r w:rsidRPr="00087126">
        <w:t>Comply</w:t>
      </w:r>
      <w:r>
        <w:t>ing</w:t>
      </w:r>
      <w:r w:rsidRPr="00087126">
        <w:t xml:space="preserve"> with this </w:t>
      </w:r>
      <w:r w:rsidR="005D3E6B">
        <w:t>procedure and related documents</w:t>
      </w:r>
    </w:p>
    <w:p w14:paraId="75D4906D" w14:textId="77777777" w:rsidR="00E41CD4" w:rsidRDefault="00E41CD4" w:rsidP="00E41CD4">
      <w:pPr>
        <w:pStyle w:val="ListParagraph"/>
        <w:numPr>
          <w:ilvl w:val="0"/>
          <w:numId w:val="23"/>
        </w:numPr>
        <w:autoSpaceDE w:val="0"/>
        <w:autoSpaceDN w:val="0"/>
        <w:adjustRightInd w:val="0"/>
        <w:spacing w:line="276" w:lineRule="auto"/>
        <w:contextualSpacing w:val="0"/>
      </w:pPr>
      <w:r w:rsidRPr="00087126">
        <w:t>Follow</w:t>
      </w:r>
      <w:r>
        <w:t>ing</w:t>
      </w:r>
      <w:r w:rsidRPr="00087126">
        <w:t xml:space="preserve"> </w:t>
      </w:r>
      <w:r>
        <w:t>high risk medicines management practices when prescribing, supplying and administering high risk medicines; giving clear advice to ensure patients’ safety</w:t>
      </w:r>
    </w:p>
    <w:p w14:paraId="76B5934A" w14:textId="77777777" w:rsidR="00E41CD4" w:rsidRPr="00087126" w:rsidRDefault="00E41CD4" w:rsidP="00E41CD4">
      <w:pPr>
        <w:pStyle w:val="ListParagraph"/>
        <w:numPr>
          <w:ilvl w:val="0"/>
          <w:numId w:val="23"/>
        </w:numPr>
        <w:autoSpaceDE w:val="0"/>
        <w:autoSpaceDN w:val="0"/>
        <w:adjustRightInd w:val="0"/>
        <w:spacing w:line="276" w:lineRule="auto"/>
        <w:contextualSpacing w:val="0"/>
      </w:pPr>
      <w:r>
        <w:t>Maintaining knowledge base relevant to their area of practice.</w:t>
      </w:r>
    </w:p>
    <w:p w14:paraId="4281210A" w14:textId="77777777" w:rsidR="00E41CD4" w:rsidRDefault="00E41CD4" w:rsidP="00F14EC1">
      <w:pPr>
        <w:jc w:val="right"/>
      </w:pPr>
    </w:p>
    <w:p w14:paraId="52B946A5" w14:textId="0D74BA4F" w:rsidR="008B6836" w:rsidRPr="00212C02" w:rsidRDefault="00000000" w:rsidP="008B6836">
      <w:pPr>
        <w:jc w:val="right"/>
        <w:rPr>
          <w:rFonts w:cs="Arial"/>
          <w:i/>
          <w:color w:val="0000FF"/>
          <w:szCs w:val="24"/>
          <w:u w:val="single"/>
        </w:rPr>
      </w:pPr>
      <w:hyperlink w:anchor="Contents" w:history="1">
        <w:r w:rsidR="00E41CD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D4A834D" w:rsidR="007B6904" w:rsidRPr="00C76688" w:rsidRDefault="007B6904" w:rsidP="00931B93">
            <w:pPr>
              <w:pStyle w:val="Heading1"/>
            </w:pPr>
            <w:bookmarkStart w:id="14" w:name="_Toc389473278"/>
            <w:bookmarkStart w:id="15" w:name="_Toc158723923"/>
            <w:r w:rsidRPr="00C76688">
              <w:t xml:space="preserve">Section </w:t>
            </w:r>
            <w:r w:rsidR="00E41CD4">
              <w:t>2</w:t>
            </w:r>
            <w:r w:rsidRPr="00C76688">
              <w:t xml:space="preserve"> –</w:t>
            </w:r>
            <w:r>
              <w:t xml:space="preserve"> </w:t>
            </w:r>
            <w:bookmarkEnd w:id="14"/>
            <w:r w:rsidR="00AC0757">
              <w:t>High Risk Medicines List</w:t>
            </w:r>
            <w:bookmarkEnd w:id="15"/>
          </w:p>
        </w:tc>
      </w:tr>
    </w:tbl>
    <w:p w14:paraId="2F51A88D" w14:textId="77777777" w:rsidR="00756A2B" w:rsidRDefault="00756A2B" w:rsidP="007B6904">
      <w:bookmarkStart w:id="16" w:name="_Toc389473280"/>
    </w:p>
    <w:p w14:paraId="1A8E2143" w14:textId="77777777" w:rsidR="00212C02" w:rsidRDefault="00212C02" w:rsidP="00212C02">
      <w:pPr>
        <w:autoSpaceDE w:val="0"/>
        <w:autoSpaceDN w:val="0"/>
        <w:adjustRightInd w:val="0"/>
        <w:spacing w:line="276" w:lineRule="auto"/>
      </w:pPr>
      <w:r w:rsidRPr="00476F18">
        <w:t>Although most medicines have a wide margin of safety, a few drug groups have a high risk of causing patient injury or death if they are inadvertently misused or administered incorrectly. Errors with these medicines may not be more common than those from other groups but their consequences can be much more serious</w:t>
      </w:r>
      <w:r>
        <w:t>.</w:t>
      </w:r>
    </w:p>
    <w:p w14:paraId="25032CFD" w14:textId="77777777" w:rsidR="00212C02" w:rsidRDefault="00212C02" w:rsidP="007B6904"/>
    <w:p w14:paraId="295E7A3A" w14:textId="461521D4" w:rsidR="00212C02" w:rsidRDefault="00212C02" w:rsidP="00212C02">
      <w:r>
        <w:t>High risk medicines are those with a narrow therapeutic index that at present a high risk when:</w:t>
      </w:r>
    </w:p>
    <w:p w14:paraId="201B960A" w14:textId="77777777" w:rsidR="00212C02" w:rsidRDefault="00212C02" w:rsidP="00212C02">
      <w:pPr>
        <w:pStyle w:val="ListParagraph"/>
        <w:numPr>
          <w:ilvl w:val="0"/>
          <w:numId w:val="45"/>
        </w:numPr>
      </w:pPr>
      <w:r>
        <w:t>Administered via the wrong route or</w:t>
      </w:r>
    </w:p>
    <w:p w14:paraId="590E9B34" w14:textId="53633601" w:rsidR="00212C02" w:rsidRDefault="00212C02" w:rsidP="00813703">
      <w:pPr>
        <w:pStyle w:val="ListParagraph"/>
        <w:numPr>
          <w:ilvl w:val="0"/>
          <w:numId w:val="45"/>
        </w:numPr>
      </w:pPr>
      <w:r>
        <w:t>Other medication management system errors occur.</w:t>
      </w:r>
    </w:p>
    <w:bookmarkEnd w:id="16"/>
    <w:p w14:paraId="6FFED24B" w14:textId="18F1378B" w:rsidR="00877CF1" w:rsidRPr="00813703" w:rsidRDefault="00877CF1" w:rsidP="00877CF1">
      <w:pPr>
        <w:shd w:val="clear" w:color="auto" w:fill="FFFFFF"/>
        <w:spacing w:before="100" w:beforeAutospacing="1" w:after="100" w:afterAutospacing="1"/>
        <w:rPr>
          <w:rFonts w:asciiTheme="minorHAnsi" w:hAnsiTheme="minorHAnsi" w:cstheme="minorHAnsi"/>
          <w:szCs w:val="24"/>
          <w:lang w:eastAsia="en-AU"/>
        </w:rPr>
      </w:pPr>
      <w:r w:rsidRPr="00813703">
        <w:rPr>
          <w:rFonts w:asciiTheme="minorHAnsi" w:hAnsiTheme="minorHAnsi" w:cstheme="minorHAnsi"/>
          <w:szCs w:val="24"/>
          <w:lang w:eastAsia="en-AU"/>
        </w:rPr>
        <w:t>Errors with these medicines are not necessarily more common than with other medicines. As they have a very narrow margin of safety, the consequences of errors with these medicines can be more devastating.</w:t>
      </w:r>
    </w:p>
    <w:p w14:paraId="75E77C5F" w14:textId="216FF23F" w:rsidR="00AC0757" w:rsidRDefault="00AC0757" w:rsidP="00AC0757">
      <w:pPr>
        <w:rPr>
          <w:rFonts w:asciiTheme="minorHAnsi" w:hAnsiTheme="minorHAnsi" w:cstheme="minorHAnsi"/>
          <w:b/>
          <w:iCs/>
          <w:szCs w:val="24"/>
        </w:rPr>
      </w:pPr>
      <w:r w:rsidRPr="00AC0757">
        <w:rPr>
          <w:rFonts w:asciiTheme="minorHAnsi" w:hAnsiTheme="minorHAnsi" w:cstheme="minorHAnsi"/>
          <w:iCs/>
          <w:szCs w:val="24"/>
        </w:rPr>
        <w:t xml:space="preserve">North Canberra Hospital (NCH) has adopted the Clinical Excellence Commission’s high risk medicines definition, represented by the acronym – </w:t>
      </w:r>
      <w:r w:rsidRPr="00AC0757">
        <w:rPr>
          <w:rFonts w:asciiTheme="minorHAnsi" w:hAnsiTheme="minorHAnsi" w:cstheme="minorHAnsi"/>
          <w:b/>
          <w:iCs/>
          <w:szCs w:val="24"/>
        </w:rPr>
        <w:t>A-PINCH</w:t>
      </w:r>
      <w:r w:rsidR="00634F78">
        <w:rPr>
          <w:rFonts w:asciiTheme="minorHAnsi" w:hAnsiTheme="minorHAnsi" w:cstheme="minorHAnsi"/>
          <w:b/>
          <w:iCs/>
          <w:szCs w:val="24"/>
        </w:rPr>
        <w:t xml:space="preserve">, </w:t>
      </w:r>
      <w:r w:rsidR="00634F78" w:rsidRPr="00813703">
        <w:rPr>
          <w:rFonts w:asciiTheme="minorHAnsi" w:hAnsiTheme="minorHAnsi" w:cstheme="minorHAnsi"/>
          <w:iCs/>
          <w:szCs w:val="24"/>
        </w:rPr>
        <w:t>with the addition of</w:t>
      </w:r>
      <w:r w:rsidR="00634F78">
        <w:rPr>
          <w:rFonts w:asciiTheme="minorHAnsi" w:hAnsiTheme="minorHAnsi" w:cstheme="minorHAnsi"/>
          <w:b/>
          <w:iCs/>
          <w:szCs w:val="24"/>
        </w:rPr>
        <w:t xml:space="preserve"> N </w:t>
      </w:r>
      <w:r w:rsidR="00634F78" w:rsidRPr="00813703">
        <w:rPr>
          <w:rFonts w:asciiTheme="minorHAnsi" w:hAnsiTheme="minorHAnsi" w:cstheme="minorHAnsi"/>
          <w:iCs/>
          <w:szCs w:val="24"/>
        </w:rPr>
        <w:t>and</w:t>
      </w:r>
      <w:r w:rsidR="00634F78">
        <w:rPr>
          <w:rFonts w:asciiTheme="minorHAnsi" w:hAnsiTheme="minorHAnsi" w:cstheme="minorHAnsi"/>
          <w:b/>
          <w:iCs/>
          <w:szCs w:val="24"/>
        </w:rPr>
        <w:t xml:space="preserve"> C.</w:t>
      </w:r>
    </w:p>
    <w:p w14:paraId="36769AB6" w14:textId="77777777" w:rsidR="00AC0757" w:rsidRDefault="00AC0757" w:rsidP="00AC0757">
      <w:pPr>
        <w:rPr>
          <w:rFonts w:asciiTheme="minorHAnsi" w:hAnsiTheme="minorHAnsi" w:cstheme="minorHAnsi"/>
          <w:b/>
          <w:iCs/>
          <w:szCs w:val="24"/>
        </w:rPr>
      </w:pPr>
    </w:p>
    <w:p w14:paraId="131AA1AF" w14:textId="77777777" w:rsidR="00AC0757" w:rsidRPr="00AC0757" w:rsidRDefault="00AC0757" w:rsidP="00AC0757">
      <w:pPr>
        <w:rPr>
          <w:rFonts w:asciiTheme="minorHAnsi" w:hAnsiTheme="minorHAnsi" w:cstheme="minorHAnsi"/>
          <w:iCs/>
          <w:szCs w:val="24"/>
        </w:rPr>
      </w:pPr>
      <w:r w:rsidRPr="00AC0757">
        <w:rPr>
          <w:rFonts w:asciiTheme="minorHAnsi" w:hAnsiTheme="minorHAnsi" w:cstheme="minorHAnsi"/>
          <w:b/>
          <w:bCs/>
          <w:iCs/>
          <w:szCs w:val="24"/>
        </w:rPr>
        <w:t>A</w:t>
      </w:r>
      <w:r w:rsidRPr="00AC0757">
        <w:rPr>
          <w:rFonts w:asciiTheme="minorHAnsi" w:hAnsiTheme="minorHAnsi" w:cstheme="minorHAnsi"/>
          <w:iCs/>
          <w:szCs w:val="24"/>
        </w:rPr>
        <w:t>nti-infective agents*</w:t>
      </w:r>
    </w:p>
    <w:p w14:paraId="7FB983D2" w14:textId="292C57DE" w:rsidR="00AC0757" w:rsidRPr="00AC0757" w:rsidRDefault="00AC0757" w:rsidP="00AC0757">
      <w:pPr>
        <w:rPr>
          <w:rFonts w:asciiTheme="minorHAnsi" w:hAnsiTheme="minorHAnsi" w:cstheme="minorHAnsi"/>
          <w:iCs/>
          <w:szCs w:val="24"/>
        </w:rPr>
      </w:pPr>
      <w:r w:rsidRPr="00AC0757">
        <w:rPr>
          <w:rFonts w:asciiTheme="minorHAnsi" w:hAnsiTheme="minorHAnsi" w:cstheme="minorHAnsi"/>
          <w:b/>
          <w:bCs/>
          <w:iCs/>
          <w:szCs w:val="24"/>
        </w:rPr>
        <w:t>P</w:t>
      </w:r>
      <w:r w:rsidRPr="00AC0757">
        <w:rPr>
          <w:rFonts w:asciiTheme="minorHAnsi" w:hAnsiTheme="minorHAnsi" w:cstheme="minorHAnsi"/>
          <w:iCs/>
          <w:szCs w:val="24"/>
        </w:rPr>
        <w:t>otassium and other concentrated electrolytes</w:t>
      </w:r>
    </w:p>
    <w:p w14:paraId="0B0319E9" w14:textId="77777777" w:rsidR="00AC0757" w:rsidRPr="00AC0757" w:rsidRDefault="00AC0757" w:rsidP="00AC0757">
      <w:pPr>
        <w:rPr>
          <w:rFonts w:asciiTheme="minorHAnsi" w:hAnsiTheme="minorHAnsi" w:cstheme="minorHAnsi"/>
          <w:iCs/>
          <w:szCs w:val="24"/>
        </w:rPr>
      </w:pPr>
      <w:r w:rsidRPr="00AC0757">
        <w:rPr>
          <w:rFonts w:asciiTheme="minorHAnsi" w:hAnsiTheme="minorHAnsi" w:cstheme="minorHAnsi"/>
          <w:b/>
          <w:bCs/>
          <w:iCs/>
          <w:szCs w:val="24"/>
        </w:rPr>
        <w:t>I</w:t>
      </w:r>
      <w:r w:rsidRPr="00AC0757">
        <w:rPr>
          <w:rFonts w:asciiTheme="minorHAnsi" w:hAnsiTheme="minorHAnsi" w:cstheme="minorHAnsi"/>
          <w:iCs/>
          <w:szCs w:val="24"/>
        </w:rPr>
        <w:t>nsulin</w:t>
      </w:r>
    </w:p>
    <w:p w14:paraId="1105B49F" w14:textId="77777777" w:rsidR="00AC0757" w:rsidRPr="00AC0757" w:rsidRDefault="00AC0757" w:rsidP="00AC0757">
      <w:pPr>
        <w:rPr>
          <w:rFonts w:asciiTheme="minorHAnsi" w:hAnsiTheme="minorHAnsi" w:cstheme="minorHAnsi"/>
          <w:iCs/>
          <w:szCs w:val="24"/>
        </w:rPr>
      </w:pPr>
      <w:r w:rsidRPr="00AC0757">
        <w:rPr>
          <w:rFonts w:asciiTheme="minorHAnsi" w:hAnsiTheme="minorHAnsi" w:cstheme="minorHAnsi"/>
          <w:b/>
          <w:bCs/>
          <w:iCs/>
          <w:szCs w:val="24"/>
        </w:rPr>
        <w:t>N</w:t>
      </w:r>
      <w:r w:rsidRPr="00AC0757">
        <w:rPr>
          <w:rFonts w:asciiTheme="minorHAnsi" w:hAnsiTheme="minorHAnsi" w:cstheme="minorHAnsi"/>
          <w:iCs/>
          <w:szCs w:val="24"/>
        </w:rPr>
        <w:t>arcotics and other sedating agents (</w:t>
      </w:r>
      <w:r w:rsidRPr="00AC0757">
        <w:rPr>
          <w:rFonts w:asciiTheme="minorHAnsi" w:hAnsiTheme="minorHAnsi" w:cstheme="minorHAnsi"/>
          <w:b/>
          <w:bCs/>
          <w:iCs/>
          <w:szCs w:val="24"/>
        </w:rPr>
        <w:t>All controlled/restricted medications</w:t>
      </w:r>
      <w:r w:rsidRPr="00AC0757">
        <w:rPr>
          <w:rFonts w:asciiTheme="minorHAnsi" w:hAnsiTheme="minorHAnsi" w:cstheme="minorHAnsi"/>
          <w:iCs/>
          <w:szCs w:val="24"/>
        </w:rPr>
        <w:t>, (S8 and S4D) including those which may not be considered as narcotics or sedatives, such as: paracetamol/codeine (500/30 mg), tramadol and propofol)</w:t>
      </w:r>
    </w:p>
    <w:p w14:paraId="22EEFB59" w14:textId="77777777" w:rsidR="00AC0757" w:rsidRPr="00AC0757" w:rsidRDefault="00AC0757" w:rsidP="00AC0757">
      <w:pPr>
        <w:rPr>
          <w:rFonts w:asciiTheme="minorHAnsi" w:hAnsiTheme="minorHAnsi" w:cstheme="minorHAnsi"/>
          <w:iCs/>
          <w:szCs w:val="24"/>
        </w:rPr>
      </w:pPr>
      <w:r w:rsidRPr="00AC0757">
        <w:rPr>
          <w:rFonts w:asciiTheme="minorHAnsi" w:hAnsiTheme="minorHAnsi" w:cstheme="minorHAnsi"/>
          <w:b/>
          <w:bCs/>
          <w:iCs/>
          <w:szCs w:val="24"/>
        </w:rPr>
        <w:t>C</w:t>
      </w:r>
      <w:r w:rsidRPr="00AC0757">
        <w:rPr>
          <w:rFonts w:asciiTheme="minorHAnsi" w:hAnsiTheme="minorHAnsi" w:cstheme="minorHAnsi"/>
          <w:iCs/>
          <w:szCs w:val="24"/>
        </w:rPr>
        <w:t>hemotherapy</w:t>
      </w:r>
    </w:p>
    <w:p w14:paraId="452D5907" w14:textId="77777777" w:rsidR="00AC0757" w:rsidRPr="00AC0757" w:rsidRDefault="00AC0757" w:rsidP="00AC0757">
      <w:pPr>
        <w:rPr>
          <w:rFonts w:asciiTheme="minorHAnsi" w:hAnsiTheme="minorHAnsi" w:cstheme="minorHAnsi"/>
          <w:bCs/>
          <w:iCs/>
          <w:szCs w:val="24"/>
        </w:rPr>
      </w:pPr>
      <w:r w:rsidRPr="00AC0757">
        <w:rPr>
          <w:rFonts w:asciiTheme="minorHAnsi" w:hAnsiTheme="minorHAnsi" w:cstheme="minorHAnsi"/>
          <w:b/>
          <w:bCs/>
          <w:iCs/>
          <w:szCs w:val="24"/>
        </w:rPr>
        <w:t>H</w:t>
      </w:r>
      <w:r w:rsidRPr="00AC0757">
        <w:rPr>
          <w:rFonts w:asciiTheme="minorHAnsi" w:hAnsiTheme="minorHAnsi" w:cstheme="minorHAnsi"/>
          <w:bCs/>
          <w:iCs/>
          <w:szCs w:val="24"/>
        </w:rPr>
        <w:t>eparin and other anticoagulants</w:t>
      </w:r>
    </w:p>
    <w:p w14:paraId="2535A0EE" w14:textId="77777777" w:rsidR="00AC0757" w:rsidRDefault="00AC0757" w:rsidP="00AC0757">
      <w:pPr>
        <w:rPr>
          <w:rFonts w:asciiTheme="minorHAnsi" w:hAnsiTheme="minorHAnsi" w:cstheme="minorHAnsi"/>
          <w:iCs/>
          <w:szCs w:val="24"/>
        </w:rPr>
      </w:pPr>
    </w:p>
    <w:p w14:paraId="6F5ED594" w14:textId="48A451A8" w:rsidR="00AC0757" w:rsidRPr="00AC0757" w:rsidRDefault="004F31B6" w:rsidP="00AC075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iCs/>
          <w:color w:val="auto"/>
          <w:lang w:eastAsia="en-US"/>
        </w:rPr>
      </w:pPr>
      <w:r>
        <w:rPr>
          <w:rFonts w:asciiTheme="minorHAnsi" w:hAnsiTheme="minorHAnsi" w:cstheme="minorHAnsi"/>
          <w:b/>
          <w:bCs/>
          <w:iCs/>
          <w:color w:val="auto"/>
          <w:lang w:eastAsia="en-US"/>
        </w:rPr>
        <w:t>*</w:t>
      </w:r>
      <w:r w:rsidR="00AC0757" w:rsidRPr="004F31B6">
        <w:rPr>
          <w:rFonts w:asciiTheme="minorHAnsi" w:hAnsiTheme="minorHAnsi" w:cstheme="minorHAnsi"/>
          <w:b/>
          <w:bCs/>
          <w:iCs/>
          <w:color w:val="auto"/>
          <w:lang w:eastAsia="en-US"/>
        </w:rPr>
        <w:t>Note:</w:t>
      </w:r>
      <w:r w:rsidR="00AC0757" w:rsidRPr="00AC0757">
        <w:rPr>
          <w:rFonts w:asciiTheme="minorHAnsi" w:hAnsiTheme="minorHAnsi" w:cstheme="minorHAnsi"/>
          <w:iCs/>
          <w:color w:val="auto"/>
          <w:lang w:eastAsia="en-US"/>
        </w:rPr>
        <w:t xml:space="preserve"> Anti-infectives and potassium and electrolytes are to be considered High Risk when administered </w:t>
      </w:r>
      <w:proofErr w:type="spellStart"/>
      <w:r w:rsidR="00AC0757" w:rsidRPr="00AC0757">
        <w:rPr>
          <w:rFonts w:asciiTheme="minorHAnsi" w:hAnsiTheme="minorHAnsi" w:cstheme="minorHAnsi"/>
          <w:iCs/>
          <w:color w:val="auto"/>
          <w:lang w:eastAsia="en-US"/>
        </w:rPr>
        <w:t>administered</w:t>
      </w:r>
      <w:proofErr w:type="spellEnd"/>
      <w:r w:rsidR="00AC0757" w:rsidRPr="00AC0757">
        <w:rPr>
          <w:rFonts w:asciiTheme="minorHAnsi" w:hAnsiTheme="minorHAnsi" w:cstheme="minorHAnsi"/>
          <w:iCs/>
          <w:color w:val="auto"/>
          <w:lang w:eastAsia="en-US"/>
        </w:rPr>
        <w:t xml:space="preserve"> via any route other than oral</w:t>
      </w:r>
      <w:r w:rsidR="00AC0757">
        <w:rPr>
          <w:rFonts w:asciiTheme="minorHAnsi" w:hAnsiTheme="minorHAnsi" w:cstheme="minorHAnsi"/>
          <w:iCs/>
          <w:color w:val="auto"/>
          <w:lang w:eastAsia="en-US"/>
        </w:rPr>
        <w:t>.</w:t>
      </w:r>
    </w:p>
    <w:p w14:paraId="3B48B544" w14:textId="77777777" w:rsidR="00AC0757" w:rsidRDefault="00AC0757" w:rsidP="00AC0757">
      <w:pPr>
        <w:rPr>
          <w:rFonts w:asciiTheme="minorHAnsi" w:hAnsiTheme="minorHAnsi" w:cstheme="minorHAnsi"/>
          <w:iCs/>
          <w:szCs w:val="24"/>
        </w:rPr>
      </w:pPr>
    </w:p>
    <w:p w14:paraId="2CBA5C24" w14:textId="3A1656A9" w:rsidR="00AC0757" w:rsidRPr="00AC0757" w:rsidRDefault="00AC0757" w:rsidP="00AC0757">
      <w:pPr>
        <w:rPr>
          <w:rFonts w:asciiTheme="minorHAnsi" w:hAnsiTheme="minorHAnsi" w:cstheme="minorHAnsi"/>
          <w:iCs/>
          <w:szCs w:val="24"/>
        </w:rPr>
      </w:pPr>
      <w:r w:rsidRPr="00AC0757">
        <w:rPr>
          <w:rFonts w:asciiTheme="minorHAnsi" w:hAnsiTheme="minorHAnsi" w:cstheme="minorHAnsi"/>
          <w:iCs/>
          <w:szCs w:val="24"/>
        </w:rPr>
        <w:t xml:space="preserve">In addition to APINCH, </w:t>
      </w:r>
      <w:r>
        <w:rPr>
          <w:rFonts w:asciiTheme="minorHAnsi" w:hAnsiTheme="minorHAnsi" w:cstheme="minorHAnsi"/>
          <w:iCs/>
          <w:szCs w:val="24"/>
        </w:rPr>
        <w:t>NCH</w:t>
      </w:r>
      <w:r w:rsidRPr="00AC0757">
        <w:rPr>
          <w:rFonts w:asciiTheme="minorHAnsi" w:hAnsiTheme="minorHAnsi" w:cstheme="minorHAnsi"/>
          <w:iCs/>
          <w:szCs w:val="24"/>
        </w:rPr>
        <w:t xml:space="preserve"> defines High-Risk Medicines as including the following:</w:t>
      </w:r>
    </w:p>
    <w:p w14:paraId="543D1DE0" w14:textId="77777777" w:rsidR="00AC0757" w:rsidRPr="00AC0757" w:rsidRDefault="00AC0757" w:rsidP="00AC0757">
      <w:pPr>
        <w:pStyle w:val="ListBullet"/>
        <w:ind w:left="426" w:hanging="426"/>
      </w:pPr>
      <w:r w:rsidRPr="00EB4FCE">
        <w:rPr>
          <w:b/>
        </w:rPr>
        <w:t>N</w:t>
      </w:r>
      <w:r>
        <w:t>euromuscular blocking agents</w:t>
      </w:r>
    </w:p>
    <w:p w14:paraId="47AFEFDE" w14:textId="77777777" w:rsidR="00AC0757" w:rsidRPr="00AC0757" w:rsidRDefault="00AC0757" w:rsidP="00AC0757">
      <w:pPr>
        <w:pStyle w:val="ListBullet"/>
        <w:ind w:left="426" w:hanging="426"/>
      </w:pPr>
      <w:r w:rsidRPr="00EB4FCE">
        <w:rPr>
          <w:b/>
        </w:rPr>
        <w:t>C</w:t>
      </w:r>
      <w:r>
        <w:t>lozapine</w:t>
      </w:r>
    </w:p>
    <w:p w14:paraId="4604B41C" w14:textId="3252CBEC" w:rsidR="7621BC5C" w:rsidRDefault="7621BC5C" w:rsidP="4B108BD2">
      <w:pPr>
        <w:pStyle w:val="ListBullet"/>
        <w:ind w:left="426" w:hanging="426"/>
        <w:rPr>
          <w:rFonts w:asciiTheme="minorHAnsi" w:hAnsiTheme="minorHAnsi" w:cstheme="minorBidi"/>
        </w:rPr>
      </w:pPr>
      <w:r w:rsidRPr="4B108BD2">
        <w:rPr>
          <w:rFonts w:asciiTheme="minorHAnsi" w:hAnsiTheme="minorHAnsi" w:cstheme="minorBidi"/>
        </w:rPr>
        <w:t>All injectable drugs, including drugs given by IV, IM, subcutaneous, intraosseous, intrathecal and epidural routes</w:t>
      </w:r>
    </w:p>
    <w:p w14:paraId="28950E62" w14:textId="77777777" w:rsidR="7621BC5C" w:rsidRDefault="7621BC5C">
      <w:pPr>
        <w:pStyle w:val="ListBullet"/>
      </w:pPr>
      <w:r>
        <w:t>Medications administered to patients under 16 years of age</w:t>
      </w:r>
    </w:p>
    <w:p w14:paraId="594A3582" w14:textId="5E881415" w:rsidR="4B108BD2" w:rsidRDefault="4B108BD2" w:rsidP="00813703">
      <w:pPr>
        <w:pStyle w:val="ListBullet"/>
        <w:numPr>
          <w:ilvl w:val="0"/>
          <w:numId w:val="0"/>
        </w:numPr>
        <w:ind w:left="360" w:hanging="360"/>
        <w:rPr>
          <w:szCs w:val="24"/>
        </w:rPr>
      </w:pPr>
    </w:p>
    <w:p w14:paraId="25773FE0" w14:textId="4AFB0531" w:rsidR="00634F78" w:rsidRPr="00813703" w:rsidRDefault="00634F78" w:rsidP="00813703">
      <w:pPr>
        <w:pStyle w:val="ListBullet"/>
        <w:numPr>
          <w:ilvl w:val="0"/>
          <w:numId w:val="0"/>
        </w:numPr>
        <w:ind w:left="360" w:hanging="360"/>
        <w:rPr>
          <w:b/>
          <w:szCs w:val="24"/>
        </w:rPr>
      </w:pPr>
      <w:r w:rsidRPr="00813703">
        <w:rPr>
          <w:b/>
          <w:szCs w:val="24"/>
        </w:rPr>
        <w:t>Education and Awareness</w:t>
      </w:r>
    </w:p>
    <w:p w14:paraId="1B02FC6C" w14:textId="3BD040EF" w:rsidR="00634F78" w:rsidRDefault="00634F78" w:rsidP="00813703">
      <w:pPr>
        <w:pStyle w:val="ListBullet"/>
        <w:numPr>
          <w:ilvl w:val="0"/>
          <w:numId w:val="30"/>
        </w:numPr>
        <w:rPr>
          <w:szCs w:val="24"/>
        </w:rPr>
      </w:pPr>
      <w:r>
        <w:rPr>
          <w:szCs w:val="24"/>
        </w:rPr>
        <w:lastRenderedPageBreak/>
        <w:t xml:space="preserve">All clinical areas where medicines are stored should ensure staff are aware of the medicines </w:t>
      </w:r>
      <w:proofErr w:type="spellStart"/>
      <w:r>
        <w:rPr>
          <w:szCs w:val="24"/>
        </w:rPr>
        <w:t>considerd</w:t>
      </w:r>
      <w:proofErr w:type="spellEnd"/>
      <w:r>
        <w:rPr>
          <w:szCs w:val="24"/>
        </w:rPr>
        <w:t xml:space="preserve"> high risk at North Canberra Hospital and CHH</w:t>
      </w:r>
    </w:p>
    <w:p w14:paraId="3F57DA7B" w14:textId="4F4208F1" w:rsidR="00634F78" w:rsidRDefault="00634F78" w:rsidP="00813703">
      <w:pPr>
        <w:pStyle w:val="ListBullet"/>
        <w:numPr>
          <w:ilvl w:val="0"/>
          <w:numId w:val="30"/>
        </w:numPr>
        <w:rPr>
          <w:szCs w:val="24"/>
        </w:rPr>
      </w:pPr>
      <w:r>
        <w:rPr>
          <w:szCs w:val="24"/>
        </w:rPr>
        <w:t>The poster highlighting this should a vi</w:t>
      </w:r>
      <w:r w:rsidR="00A834EF">
        <w:rPr>
          <w:szCs w:val="24"/>
        </w:rPr>
        <w:t>s</w:t>
      </w:r>
      <w:r>
        <w:rPr>
          <w:szCs w:val="24"/>
        </w:rPr>
        <w:t>ible in all medication storage areas</w:t>
      </w:r>
      <w:r w:rsidR="00212C02">
        <w:rPr>
          <w:szCs w:val="24"/>
        </w:rPr>
        <w:t xml:space="preserve"> (Appendix 1)</w:t>
      </w:r>
    </w:p>
    <w:p w14:paraId="523FC40D" w14:textId="4AD5F3CD" w:rsidR="00634F78" w:rsidRDefault="00634F78" w:rsidP="00813703">
      <w:pPr>
        <w:pStyle w:val="ListBullet"/>
        <w:numPr>
          <w:ilvl w:val="0"/>
          <w:numId w:val="30"/>
        </w:numPr>
      </w:pPr>
      <w:r>
        <w:t>All staff who prescribe</w:t>
      </w:r>
      <w:r w:rsidR="008A6D59">
        <w:t>,</w:t>
      </w:r>
      <w:r>
        <w:t xml:space="preserve"> </w:t>
      </w:r>
      <w:proofErr w:type="gramStart"/>
      <w:r>
        <w:t>dispense</w:t>
      </w:r>
      <w:proofErr w:type="gramEnd"/>
      <w:r>
        <w:t xml:space="preserve"> or administer medicines should complete the High Risk Medicines Education </w:t>
      </w:r>
      <w:r w:rsidR="00A834EF">
        <w:t>module ‘Introduction to High Risk Medicines’ ava</w:t>
      </w:r>
      <w:r w:rsidR="00212C02">
        <w:t xml:space="preserve">ilable </w:t>
      </w:r>
      <w:r w:rsidR="00A834EF">
        <w:t>on HRIMS.</w:t>
      </w:r>
    </w:p>
    <w:p w14:paraId="2F51A892" w14:textId="77777777" w:rsidR="007B6904" w:rsidRDefault="007B6904" w:rsidP="007B6904">
      <w:pPr>
        <w:rPr>
          <w:rFonts w:cs="Arial"/>
          <w:i/>
          <w:szCs w:val="24"/>
        </w:rPr>
      </w:pPr>
      <w:r>
        <w:rPr>
          <w:rFonts w:cs="Arial"/>
          <w:i/>
          <w:szCs w:val="24"/>
        </w:rPr>
        <w:t xml:space="preserve"> </w:t>
      </w:r>
    </w:p>
    <w:p w14:paraId="2F51A893" w14:textId="77777777" w:rsidR="007B6904" w:rsidRDefault="00000000"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595544B7" w:rsidR="007B6904" w:rsidRPr="00C76688" w:rsidRDefault="007B6904" w:rsidP="004213C3">
            <w:pPr>
              <w:pStyle w:val="Heading1"/>
            </w:pPr>
            <w:bookmarkStart w:id="17" w:name="_Toc389473281"/>
            <w:bookmarkStart w:id="18" w:name="_Toc158723924"/>
            <w:r w:rsidRPr="00C76688">
              <w:t xml:space="preserve">Section </w:t>
            </w:r>
            <w:r w:rsidR="00E41CD4">
              <w:t>3</w:t>
            </w:r>
            <w:r w:rsidRPr="00C76688">
              <w:t xml:space="preserve"> – </w:t>
            </w:r>
            <w:bookmarkEnd w:id="17"/>
            <w:r w:rsidR="00AC0757">
              <w:t>Independent Double Check</w:t>
            </w:r>
            <w:bookmarkEnd w:id="18"/>
          </w:p>
        </w:tc>
      </w:tr>
    </w:tbl>
    <w:p w14:paraId="2F51A89A" w14:textId="77777777" w:rsidR="00201FB6" w:rsidRDefault="00201FB6" w:rsidP="00201FB6"/>
    <w:p w14:paraId="6506B4AA" w14:textId="77777777" w:rsidR="00AC0757" w:rsidRPr="00AC0757" w:rsidRDefault="00AC0757" w:rsidP="00AC0757">
      <w:pPr>
        <w:pStyle w:val="Default"/>
        <w:spacing w:line="276" w:lineRule="auto"/>
        <w:rPr>
          <w:rFonts w:asciiTheme="minorHAnsi" w:hAnsiTheme="minorHAnsi" w:cstheme="minorHAnsi"/>
          <w:iCs/>
        </w:rPr>
      </w:pPr>
      <w:r w:rsidRPr="00AC0757">
        <w:rPr>
          <w:rFonts w:asciiTheme="minorHAnsi" w:hAnsiTheme="minorHAnsi" w:cstheme="minorHAnsi"/>
          <w:bCs/>
          <w:iCs/>
        </w:rPr>
        <w:t xml:space="preserve">BEFORE administration, all high-risk medications must have an independent double check </w:t>
      </w:r>
      <w:r w:rsidRPr="00AC0757">
        <w:rPr>
          <w:rFonts w:asciiTheme="minorHAnsi" w:hAnsiTheme="minorHAnsi" w:cstheme="minorHAnsi"/>
          <w:iCs/>
        </w:rPr>
        <w:t xml:space="preserve">of at least each element of the following “rights of medication administration”: </w:t>
      </w:r>
    </w:p>
    <w:p w14:paraId="4D4DBF04" w14:textId="6D1E855A" w:rsidR="00AC0757" w:rsidRPr="00AC0757" w:rsidRDefault="00AC0757" w:rsidP="4B108BD2">
      <w:pPr>
        <w:pStyle w:val="ListBullet"/>
        <w:ind w:left="426" w:hanging="426"/>
        <w:rPr>
          <w:rFonts w:asciiTheme="minorHAnsi" w:hAnsiTheme="minorHAnsi" w:cstheme="minorBidi"/>
        </w:rPr>
      </w:pPr>
      <w:r w:rsidRPr="4B108BD2">
        <w:rPr>
          <w:rFonts w:asciiTheme="minorHAnsi" w:hAnsiTheme="minorHAnsi" w:cstheme="minorBidi"/>
          <w:b/>
          <w:bCs/>
        </w:rPr>
        <w:t>Right Patient</w:t>
      </w:r>
      <w:r w:rsidRPr="4B108BD2">
        <w:rPr>
          <w:rFonts w:asciiTheme="minorHAnsi" w:hAnsiTheme="minorHAnsi" w:cstheme="minorBidi"/>
        </w:rPr>
        <w:t xml:space="preserve"> – ALWAYS check arm band (or photographic Patient ID for a Mental Health patient) &amp; ask patient their name &amp; date of birth. </w:t>
      </w:r>
    </w:p>
    <w:p w14:paraId="3AA5CD74" w14:textId="2332C0E3" w:rsidR="00AC0757" w:rsidRPr="00AC0757" w:rsidRDefault="00AC0757" w:rsidP="4B108BD2">
      <w:pPr>
        <w:pStyle w:val="ListBullet"/>
        <w:ind w:left="426" w:hanging="426"/>
        <w:rPr>
          <w:rFonts w:asciiTheme="minorHAnsi" w:hAnsiTheme="minorHAnsi" w:cstheme="minorBidi"/>
        </w:rPr>
      </w:pPr>
      <w:r w:rsidRPr="4B108BD2">
        <w:rPr>
          <w:rFonts w:asciiTheme="minorHAnsi" w:hAnsiTheme="minorHAnsi" w:cstheme="minorBidi"/>
          <w:b/>
          <w:bCs/>
        </w:rPr>
        <w:t>Right Medication</w:t>
      </w:r>
      <w:r w:rsidRPr="4B108BD2">
        <w:rPr>
          <w:rFonts w:asciiTheme="minorHAnsi" w:hAnsiTheme="minorHAnsi" w:cstheme="minorBidi"/>
        </w:rPr>
        <w:t xml:space="preserve"> – check against what is prescribed, check the generic name.</w:t>
      </w:r>
    </w:p>
    <w:p w14:paraId="05C79C2F" w14:textId="77777777" w:rsidR="00AC0757" w:rsidRPr="00AC0757" w:rsidRDefault="00AC0757" w:rsidP="4B108BD2">
      <w:pPr>
        <w:pStyle w:val="ListBullet"/>
        <w:ind w:left="426" w:hanging="426"/>
        <w:rPr>
          <w:rFonts w:asciiTheme="minorHAnsi" w:hAnsiTheme="minorHAnsi" w:cstheme="minorBidi"/>
        </w:rPr>
      </w:pPr>
      <w:r w:rsidRPr="4B108BD2">
        <w:rPr>
          <w:rFonts w:asciiTheme="minorHAnsi" w:hAnsiTheme="minorHAnsi" w:cstheme="minorBidi"/>
          <w:b/>
          <w:bCs/>
        </w:rPr>
        <w:t>Right Dose</w:t>
      </w:r>
      <w:r w:rsidRPr="4B108BD2">
        <w:rPr>
          <w:rFonts w:asciiTheme="minorHAnsi" w:hAnsiTheme="minorHAnsi" w:cstheme="minorBidi"/>
        </w:rPr>
        <w:t xml:space="preserve"> – if more than 3 tablets or vials required then QUESTION the dose; is the dose appropriate for patient’s age, weight, indication? Would you normally give three of that medicine? How is the infusion pump set?</w:t>
      </w:r>
    </w:p>
    <w:p w14:paraId="55BF5DA9" w14:textId="6C4387D7" w:rsidR="00AC0757" w:rsidRPr="00AC0757" w:rsidRDefault="00AC0757" w:rsidP="4B108BD2">
      <w:pPr>
        <w:pStyle w:val="ListBullet"/>
        <w:ind w:left="426" w:hanging="426"/>
        <w:rPr>
          <w:rFonts w:asciiTheme="minorHAnsi" w:hAnsiTheme="minorHAnsi" w:cstheme="minorBidi"/>
        </w:rPr>
      </w:pPr>
      <w:r w:rsidRPr="4B108BD2">
        <w:rPr>
          <w:rFonts w:asciiTheme="minorHAnsi" w:hAnsiTheme="minorHAnsi" w:cstheme="minorBidi"/>
          <w:b/>
          <w:bCs/>
        </w:rPr>
        <w:t>Right Time and Frequency</w:t>
      </w:r>
      <w:r w:rsidRPr="4B108BD2">
        <w:rPr>
          <w:rFonts w:asciiTheme="minorHAnsi" w:hAnsiTheme="minorHAnsi" w:cstheme="minorBidi"/>
        </w:rPr>
        <w:t xml:space="preserve"> –Do the times match the frequency prescribed and recommended timing of dose (e.g., before meals)? </w:t>
      </w:r>
    </w:p>
    <w:p w14:paraId="29790B24" w14:textId="118EFD36" w:rsidR="00AC0757" w:rsidRPr="00AC0757" w:rsidRDefault="00AC0757" w:rsidP="4B108BD2">
      <w:pPr>
        <w:pStyle w:val="ListBullet"/>
        <w:ind w:left="426" w:hanging="426"/>
        <w:rPr>
          <w:rFonts w:asciiTheme="minorHAnsi" w:hAnsiTheme="minorHAnsi" w:cstheme="minorBidi"/>
        </w:rPr>
      </w:pPr>
      <w:r w:rsidRPr="4B108BD2">
        <w:rPr>
          <w:rFonts w:asciiTheme="minorHAnsi" w:hAnsiTheme="minorHAnsi" w:cstheme="minorBidi"/>
          <w:b/>
          <w:bCs/>
        </w:rPr>
        <w:t>Right Route</w:t>
      </w:r>
      <w:r w:rsidRPr="4B108BD2">
        <w:rPr>
          <w:rFonts w:asciiTheme="minorHAnsi" w:hAnsiTheme="minorHAnsi" w:cstheme="minorBidi"/>
        </w:rPr>
        <w:t xml:space="preserve"> – ensure the form of drug you have matches the prescribed route, particularly for parenteral doses.</w:t>
      </w:r>
    </w:p>
    <w:p w14:paraId="01AA2D90" w14:textId="3AFA15B8" w:rsidR="00AC0757" w:rsidRPr="00AC0757" w:rsidRDefault="00AC0757" w:rsidP="4B108BD2">
      <w:pPr>
        <w:pStyle w:val="ListBullet"/>
        <w:ind w:left="426" w:hanging="426"/>
        <w:rPr>
          <w:rFonts w:asciiTheme="minorHAnsi" w:hAnsiTheme="minorHAnsi" w:cstheme="minorBidi"/>
        </w:rPr>
      </w:pPr>
      <w:r w:rsidRPr="4B108BD2">
        <w:rPr>
          <w:rFonts w:asciiTheme="minorHAnsi" w:hAnsiTheme="minorHAnsi" w:cstheme="minorBidi"/>
          <w:b/>
          <w:bCs/>
        </w:rPr>
        <w:t>Right Documentation</w:t>
      </w:r>
      <w:r w:rsidRPr="4B108BD2">
        <w:rPr>
          <w:rFonts w:asciiTheme="minorHAnsi" w:hAnsiTheme="minorHAnsi" w:cstheme="minorBidi"/>
        </w:rPr>
        <w:t xml:space="preserve"> – ensure the documentation of dose administration is complete, including double check where appropriate. Documentation of administration is to include signatures of both clinicians.</w:t>
      </w:r>
    </w:p>
    <w:p w14:paraId="4E58B099" w14:textId="77777777" w:rsidR="00AC0757" w:rsidRDefault="00AC0757" w:rsidP="00201FB6">
      <w:pPr>
        <w:rPr>
          <w:i/>
        </w:rPr>
      </w:pPr>
    </w:p>
    <w:p w14:paraId="17D33265" w14:textId="25F03A24" w:rsidR="00AC0757" w:rsidRPr="00AC0757" w:rsidRDefault="00AC0757" w:rsidP="00AC075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iCs/>
          <w:szCs w:val="24"/>
        </w:rPr>
      </w:pPr>
      <w:r w:rsidRPr="00AC0757">
        <w:rPr>
          <w:rFonts w:asciiTheme="minorHAnsi" w:hAnsiTheme="minorHAnsi" w:cstheme="minorHAnsi"/>
          <w:iCs/>
          <w:szCs w:val="24"/>
        </w:rPr>
        <w:t xml:space="preserve">Note: </w:t>
      </w:r>
      <w:r w:rsidRPr="00AC0757">
        <w:rPr>
          <w:rFonts w:asciiTheme="minorHAnsi" w:hAnsiTheme="minorHAnsi" w:cstheme="minorHAnsi"/>
          <w:bCs/>
          <w:iCs/>
          <w:color w:val="262626" w:themeColor="text1" w:themeTint="D9"/>
          <w:szCs w:val="24"/>
          <w:lang w:eastAsia="en-AU"/>
        </w:rPr>
        <w:t>An independent double-check of a medication requires two clinicians to separately check, without cues or prompts from the other clinician.</w:t>
      </w:r>
    </w:p>
    <w:p w14:paraId="2F51A89F" w14:textId="4F3F28E8" w:rsidR="007B6904" w:rsidRPr="00931B93" w:rsidRDefault="007B6904" w:rsidP="007B6904">
      <w:pPr>
        <w:rPr>
          <w:rFonts w:cs="Arial"/>
          <w:i/>
          <w:szCs w:val="24"/>
        </w:rPr>
      </w:pPr>
    </w:p>
    <w:p w14:paraId="2F51A8A0" w14:textId="0CF6CE00" w:rsidR="007B6904" w:rsidRDefault="00000000" w:rsidP="004F31B6">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69569D7" w:rsidR="007B6904" w:rsidRPr="003D2D06" w:rsidRDefault="00962C46" w:rsidP="004213C3">
            <w:pPr>
              <w:pStyle w:val="Heading1"/>
            </w:pPr>
            <w:bookmarkStart w:id="19" w:name="_Toc389473284"/>
            <w:bookmarkStart w:id="20" w:name="_Toc158723925"/>
            <w:r>
              <w:t xml:space="preserve">Section </w:t>
            </w:r>
            <w:r w:rsidR="00E41CD4">
              <w:t>4</w:t>
            </w:r>
            <w:r w:rsidR="007B6904" w:rsidRPr="003D2D06">
              <w:t xml:space="preserve"> – </w:t>
            </w:r>
            <w:bookmarkEnd w:id="19"/>
            <w:r w:rsidR="00D304C2">
              <w:t>Standards for Prescribing and Administering High-Risk Medicines</w:t>
            </w:r>
            <w:bookmarkEnd w:id="20"/>
          </w:p>
        </w:tc>
      </w:tr>
    </w:tbl>
    <w:p w14:paraId="2F51A8A7" w14:textId="77777777" w:rsidR="00201FB6" w:rsidRDefault="00201FB6" w:rsidP="00201FB6"/>
    <w:p w14:paraId="17721A57" w14:textId="77777777" w:rsidR="00D304C2" w:rsidRPr="006C1664" w:rsidRDefault="00D304C2" w:rsidP="00D304C2">
      <w:pPr>
        <w:autoSpaceDE w:val="0"/>
        <w:autoSpaceDN w:val="0"/>
        <w:adjustRightInd w:val="0"/>
        <w:spacing w:line="276" w:lineRule="auto"/>
        <w:rPr>
          <w:rFonts w:cstheme="minorHAnsi"/>
          <w:color w:val="000000"/>
        </w:rPr>
      </w:pPr>
      <w:r w:rsidRPr="006C1664">
        <w:rPr>
          <w:rFonts w:cstheme="minorHAnsi"/>
          <w:color w:val="000000"/>
        </w:rPr>
        <w:t>The following standards for prescribing and administering high-risk medicines apply:</w:t>
      </w:r>
    </w:p>
    <w:p w14:paraId="0F694AA8" w14:textId="77777777" w:rsidR="00D304C2" w:rsidRPr="00D304C2" w:rsidRDefault="00D304C2" w:rsidP="4B108BD2">
      <w:pPr>
        <w:pStyle w:val="ListBullet"/>
        <w:ind w:left="426" w:hanging="426"/>
        <w:rPr>
          <w:rFonts w:cstheme="minorBidi"/>
          <w:color w:val="000000"/>
        </w:rPr>
      </w:pPr>
      <w:r w:rsidRPr="4B108BD2">
        <w:rPr>
          <w:rFonts w:cstheme="minorBidi"/>
          <w:b/>
          <w:bCs/>
          <w:color w:val="000000" w:themeColor="text1"/>
        </w:rPr>
        <w:t>Accurate patient weight</w:t>
      </w:r>
      <w:r w:rsidRPr="4B108BD2">
        <w:rPr>
          <w:rFonts w:cstheme="minorBidi"/>
          <w:color w:val="000000" w:themeColor="text1"/>
        </w:rPr>
        <w:t xml:space="preserve"> (and in some instance body surface area) should be documented on the medication chart for all patients</w:t>
      </w:r>
    </w:p>
    <w:p w14:paraId="5561DAB5" w14:textId="3BC545DF" w:rsidR="00D304C2" w:rsidRPr="00D304C2" w:rsidRDefault="00D304C2" w:rsidP="0BBFD015">
      <w:pPr>
        <w:pStyle w:val="ListBullet"/>
        <w:ind w:left="426" w:hanging="426"/>
        <w:rPr>
          <w:rFonts w:cstheme="minorBidi"/>
          <w:color w:val="000000"/>
        </w:rPr>
      </w:pPr>
      <w:r w:rsidRPr="0BBFD015">
        <w:rPr>
          <w:rFonts w:cstheme="minorBidi"/>
          <w:b/>
          <w:bCs/>
          <w:color w:val="000000" w:themeColor="text1"/>
        </w:rPr>
        <w:t>The route of administration must be clearly identified</w:t>
      </w:r>
      <w:r w:rsidRPr="0BBFD015">
        <w:rPr>
          <w:rFonts w:cstheme="minorBidi"/>
          <w:color w:val="000000" w:themeColor="text1"/>
        </w:rPr>
        <w:t xml:space="preserve">. The simultaneous use of multiple routes of administration (in the one prescription) should be avoided for the same medicine (for example, intravenous / oral) in accordance with the ACSQHC’s </w:t>
      </w:r>
      <w:r w:rsidR="00385CCC" w:rsidRPr="0BBFD015">
        <w:rPr>
          <w:rFonts w:cstheme="minorBidi"/>
          <w:color w:val="000000" w:themeColor="text1"/>
        </w:rPr>
        <w:t xml:space="preserve">“Recommendations for terminology, abbreviations and symbols used in medicines documentation” </w:t>
      </w:r>
      <w:hyperlink r:id="rId11">
        <w:r w:rsidR="00385CCC" w:rsidRPr="0BBFD015">
          <w:rPr>
            <w:rStyle w:val="Hyperlink"/>
            <w:rFonts w:cstheme="minorBidi"/>
          </w:rPr>
          <w:t>https://www.safetyandquality.gov.au/publications-and-resources/resource-library/recommendations-terminology-abbreviations-and-symbols-used-medicines-documentation</w:t>
        </w:r>
      </w:hyperlink>
    </w:p>
    <w:p w14:paraId="26103D21" w14:textId="77777777" w:rsidR="00D304C2" w:rsidRPr="00D304C2" w:rsidRDefault="00D304C2" w:rsidP="4B108BD2">
      <w:pPr>
        <w:pStyle w:val="ListBullet"/>
        <w:ind w:left="426" w:hanging="426"/>
        <w:rPr>
          <w:rFonts w:cstheme="minorBidi"/>
          <w:color w:val="000000"/>
        </w:rPr>
      </w:pPr>
      <w:r w:rsidRPr="4B108BD2">
        <w:rPr>
          <w:rFonts w:cstheme="minorBidi"/>
          <w:b/>
          <w:bCs/>
          <w:color w:val="000000" w:themeColor="text1"/>
        </w:rPr>
        <w:lastRenderedPageBreak/>
        <w:t>For liquid medicines, strengths of medicines</w:t>
      </w:r>
      <w:r w:rsidRPr="4B108BD2">
        <w:rPr>
          <w:rFonts w:cstheme="minorBidi"/>
          <w:color w:val="000000" w:themeColor="text1"/>
        </w:rPr>
        <w:t xml:space="preserve"> must be clearly visible in terms of the dosage unit or dose per volume of liquid, for example, mg per mL</w:t>
      </w:r>
    </w:p>
    <w:p w14:paraId="5805D9A1" w14:textId="415E6F4C" w:rsidR="00D304C2" w:rsidRPr="00D304C2" w:rsidRDefault="00D304C2" w:rsidP="4B108BD2">
      <w:pPr>
        <w:pStyle w:val="ListBullet"/>
        <w:ind w:left="426" w:hanging="426"/>
        <w:rPr>
          <w:rFonts w:cstheme="minorBidi"/>
          <w:color w:val="000000"/>
        </w:rPr>
      </w:pPr>
      <w:r w:rsidRPr="4B108BD2">
        <w:rPr>
          <w:rFonts w:cstheme="minorBidi"/>
          <w:color w:val="000000" w:themeColor="text1"/>
        </w:rPr>
        <w:t>The prescriber should complete the ‘</w:t>
      </w:r>
      <w:r w:rsidRPr="4B108BD2">
        <w:rPr>
          <w:rFonts w:cstheme="minorBidi"/>
          <w:b/>
          <w:bCs/>
          <w:color w:val="000000" w:themeColor="text1"/>
        </w:rPr>
        <w:t>Indication</w:t>
      </w:r>
      <w:r w:rsidRPr="4B108BD2">
        <w:rPr>
          <w:rFonts w:cstheme="minorBidi"/>
          <w:color w:val="000000" w:themeColor="text1"/>
        </w:rPr>
        <w:t xml:space="preserve">’ for use </w:t>
      </w:r>
      <w:r w:rsidR="6697B47A" w:rsidRPr="4B108BD2">
        <w:rPr>
          <w:rFonts w:cstheme="minorBidi"/>
          <w:color w:val="000000" w:themeColor="text1"/>
        </w:rPr>
        <w:t xml:space="preserve">in the medication order in DHR for </w:t>
      </w:r>
      <w:r w:rsidRPr="4B108BD2">
        <w:rPr>
          <w:rFonts w:cstheme="minorBidi"/>
          <w:color w:val="000000" w:themeColor="text1"/>
        </w:rPr>
        <w:t>high-risk medicines</w:t>
      </w:r>
    </w:p>
    <w:p w14:paraId="737AC9A1" w14:textId="77777777" w:rsidR="00D304C2" w:rsidRPr="00D304C2" w:rsidRDefault="00D304C2" w:rsidP="4B108BD2">
      <w:pPr>
        <w:pStyle w:val="ListBullet"/>
        <w:ind w:left="426" w:hanging="426"/>
        <w:rPr>
          <w:rFonts w:cstheme="minorBidi"/>
          <w:color w:val="000000"/>
        </w:rPr>
      </w:pPr>
      <w:r w:rsidRPr="4B108BD2">
        <w:rPr>
          <w:rFonts w:cstheme="minorBidi"/>
          <w:b/>
          <w:bCs/>
          <w:color w:val="000000" w:themeColor="text1"/>
        </w:rPr>
        <w:t>Dose adjustments</w:t>
      </w:r>
      <w:r w:rsidRPr="4B108BD2">
        <w:rPr>
          <w:rFonts w:cstheme="minorBidi"/>
          <w:color w:val="000000" w:themeColor="text1"/>
        </w:rPr>
        <w:t xml:space="preserve"> must be considered when prescribing for patient groups such as overweight, obese or underweight patients, and patients with existing clinical conditions (such as renal or hepatic impairment) that may affect drug metabolism and excretion</w:t>
      </w:r>
    </w:p>
    <w:p w14:paraId="2F51A8AC" w14:textId="1CFBF62A" w:rsidR="007B6904" w:rsidRPr="00D304C2" w:rsidRDefault="00D304C2" w:rsidP="4B108BD2">
      <w:pPr>
        <w:pStyle w:val="ListBullet"/>
        <w:ind w:left="426" w:hanging="426"/>
        <w:rPr>
          <w:rFonts w:cstheme="minorBidi"/>
          <w:color w:val="000000"/>
        </w:rPr>
      </w:pPr>
      <w:r w:rsidRPr="4B108BD2">
        <w:rPr>
          <w:rFonts w:cstheme="minorBidi"/>
          <w:b/>
          <w:bCs/>
          <w:color w:val="000000" w:themeColor="text1"/>
        </w:rPr>
        <w:t>Therapeutic guidelines</w:t>
      </w:r>
      <w:r w:rsidRPr="4B108BD2">
        <w:rPr>
          <w:rFonts w:cstheme="minorBidi"/>
          <w:color w:val="000000" w:themeColor="text1"/>
        </w:rPr>
        <w:t xml:space="preserve"> should be followed.</w:t>
      </w:r>
    </w:p>
    <w:p w14:paraId="740CA58D" w14:textId="73499742" w:rsidR="00D304C2" w:rsidRDefault="00000000" w:rsidP="004F31B6">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304C2" w:rsidRPr="00CD1C0E" w14:paraId="687317BD" w14:textId="77777777" w:rsidTr="4B108BD2">
        <w:trPr>
          <w:cantSplit/>
          <w:trHeight w:val="285"/>
        </w:trPr>
        <w:tc>
          <w:tcPr>
            <w:tcW w:w="9158" w:type="dxa"/>
            <w:shd w:val="clear" w:color="auto" w:fill="A6A6A6" w:themeFill="background1" w:themeFillShade="A6"/>
          </w:tcPr>
          <w:p w14:paraId="14219C3A" w14:textId="3BCDF4E1" w:rsidR="00D304C2" w:rsidRPr="003D2D06" w:rsidRDefault="00D304C2" w:rsidP="00EB4FCE">
            <w:pPr>
              <w:pStyle w:val="Heading1"/>
            </w:pPr>
            <w:bookmarkStart w:id="21" w:name="_Toc158723926"/>
            <w:r>
              <w:t xml:space="preserve">Section </w:t>
            </w:r>
            <w:r w:rsidR="00E41CD4">
              <w:t>5</w:t>
            </w:r>
            <w:r>
              <w:t xml:space="preserve"> – Strategies to Minimise Risk with High-Risk Medicines</w:t>
            </w:r>
            <w:bookmarkEnd w:id="21"/>
          </w:p>
        </w:tc>
      </w:tr>
    </w:tbl>
    <w:p w14:paraId="25BDE86C" w14:textId="77777777" w:rsidR="00D304C2" w:rsidRDefault="00D304C2" w:rsidP="00D304C2"/>
    <w:p w14:paraId="4DAC7CD1" w14:textId="77777777" w:rsidR="00D304C2" w:rsidRPr="0039738B" w:rsidRDefault="00D304C2" w:rsidP="00D304C2">
      <w:pPr>
        <w:pStyle w:val="ListBullet"/>
        <w:numPr>
          <w:ilvl w:val="0"/>
          <w:numId w:val="0"/>
        </w:numPr>
      </w:pPr>
      <w:r w:rsidRPr="0039738B">
        <w:t>At a minimum, strategies related to high-risk medicines handling should include:</w:t>
      </w:r>
    </w:p>
    <w:p w14:paraId="57A53752"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Clinical Pharmacist Review and Medication reconciliation processes should be prioritised.</w:t>
      </w:r>
    </w:p>
    <w:p w14:paraId="78481DCD"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Patients should be provided with information; ideally in writing and verbal discussion about their high risk medicines when prescribed, especially on discharge</w:t>
      </w:r>
    </w:p>
    <w:p w14:paraId="01AC3996"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Access to pre-measured medicine doses in a form that requires minimal manipulation prior to administration</w:t>
      </w:r>
    </w:p>
    <w:p w14:paraId="4729E990"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Access to standardised concentrations of medicines in solution</w:t>
      </w:r>
    </w:p>
    <w:p w14:paraId="2DF20A64"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Mechanisms to ensure mechanical infusion devices default to the safest setting; through the use of guardrails dose limiting software</w:t>
      </w:r>
    </w:p>
    <w:p w14:paraId="398556FA"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Alerting clinicians in clinical handover to the use of any high-risk medicines</w:t>
      </w:r>
    </w:p>
    <w:p w14:paraId="4B667495"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Use of shelf reminders, checklists and alerts and, where possible, these should be built into information technology systems</w:t>
      </w:r>
    </w:p>
    <w:p w14:paraId="34936813" w14:textId="77777777" w:rsidR="00D304C2" w:rsidRPr="006C1664" w:rsidRDefault="00D304C2" w:rsidP="4B108BD2">
      <w:pPr>
        <w:pStyle w:val="ListBullet"/>
        <w:ind w:left="426" w:hanging="426"/>
        <w:rPr>
          <w:rFonts w:cstheme="minorBidi"/>
          <w:color w:val="000000"/>
        </w:rPr>
      </w:pPr>
      <w:r w:rsidRPr="4B108BD2">
        <w:rPr>
          <w:rFonts w:cstheme="minorBidi"/>
          <w:color w:val="000000" w:themeColor="text1"/>
        </w:rPr>
        <w:t xml:space="preserve">Specific storage or practice requirements </w:t>
      </w:r>
    </w:p>
    <w:p w14:paraId="160C629E" w14:textId="054927DB" w:rsidR="00D304C2" w:rsidRPr="00591098" w:rsidRDefault="00D304C2" w:rsidP="4B108BD2">
      <w:pPr>
        <w:pStyle w:val="ListBullet"/>
        <w:ind w:left="426" w:hanging="426"/>
        <w:rPr>
          <w:rFonts w:cstheme="minorBidi"/>
          <w:color w:val="000000"/>
        </w:rPr>
      </w:pPr>
      <w:r w:rsidRPr="4B108BD2">
        <w:rPr>
          <w:rFonts w:cstheme="minorBidi"/>
          <w:color w:val="000000" w:themeColor="text1"/>
        </w:rPr>
        <w:t>A regular review of local and wider system incidents and near-misses and the use of prospective analysis and re-design of systems to prevent reoccurrence</w:t>
      </w:r>
      <w:r w:rsidR="00385CCC" w:rsidRPr="4B108BD2">
        <w:rPr>
          <w:rFonts w:cstheme="minorBidi"/>
          <w:color w:val="000000" w:themeColor="text1"/>
        </w:rPr>
        <w:t>.</w:t>
      </w:r>
    </w:p>
    <w:p w14:paraId="455C9582" w14:textId="77777777" w:rsidR="00D304C2" w:rsidRDefault="00D304C2" w:rsidP="00D304C2">
      <w:pPr>
        <w:rPr>
          <w:rFonts w:cs="Arial"/>
          <w:i/>
          <w:szCs w:val="24"/>
        </w:rPr>
      </w:pPr>
    </w:p>
    <w:p w14:paraId="48EE7B94" w14:textId="38F24231" w:rsidR="00D304C2" w:rsidRDefault="00000000" w:rsidP="00212C02">
      <w:pPr>
        <w:jc w:val="right"/>
        <w:rPr>
          <w:rFonts w:cs="Arial"/>
          <w:b/>
          <w:szCs w:val="24"/>
        </w:rPr>
      </w:pPr>
      <w:hyperlink w:anchor="Contents" w:history="1">
        <w:r w:rsidR="00D304C2" w:rsidRPr="00590902">
          <w:rPr>
            <w:rStyle w:val="Hyperlink"/>
            <w:rFonts w:cs="Arial"/>
            <w:i/>
            <w:szCs w:val="24"/>
          </w:rPr>
          <w:t>Back to Table of Contents</w:t>
        </w:r>
      </w:hyperlink>
      <w:r w:rsidR="00D304C2">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304C2" w:rsidRPr="00CD1C0E" w14:paraId="37C8434C" w14:textId="77777777" w:rsidTr="00EB4FCE">
        <w:trPr>
          <w:cantSplit/>
          <w:trHeight w:val="285"/>
        </w:trPr>
        <w:tc>
          <w:tcPr>
            <w:tcW w:w="9158" w:type="dxa"/>
            <w:shd w:val="clear" w:color="auto" w:fill="A6A6A6" w:themeFill="background1" w:themeFillShade="A6"/>
          </w:tcPr>
          <w:p w14:paraId="01731A65" w14:textId="72C83C4C" w:rsidR="00D304C2" w:rsidRPr="003D2D06" w:rsidRDefault="00D304C2" w:rsidP="00EB4FCE">
            <w:pPr>
              <w:pStyle w:val="Heading1"/>
            </w:pPr>
            <w:bookmarkStart w:id="22" w:name="_Toc158723927"/>
            <w:r>
              <w:t xml:space="preserve">Section </w:t>
            </w:r>
            <w:r w:rsidR="00E41CD4">
              <w:t>6</w:t>
            </w:r>
            <w:r w:rsidRPr="003D2D06">
              <w:t xml:space="preserve"> – </w:t>
            </w:r>
            <w:r w:rsidR="00066185">
              <w:t>Anti-Infectives</w:t>
            </w:r>
            <w:bookmarkEnd w:id="22"/>
          </w:p>
        </w:tc>
      </w:tr>
    </w:tbl>
    <w:p w14:paraId="1BFF2118" w14:textId="77777777" w:rsidR="00D304C2" w:rsidRDefault="00D304C2" w:rsidP="00D304C2"/>
    <w:p w14:paraId="74716DCB" w14:textId="3EC746FE" w:rsidR="00476F1D" w:rsidRPr="006C1664" w:rsidRDefault="00476F1D" w:rsidP="4B108BD2">
      <w:pPr>
        <w:pStyle w:val="ListBullet"/>
        <w:ind w:left="426" w:hanging="426"/>
        <w:rPr>
          <w:rFonts w:cstheme="minorBidi"/>
        </w:rPr>
      </w:pPr>
      <w:r w:rsidRPr="4B108BD2">
        <w:rPr>
          <w:rFonts w:cstheme="minorBidi"/>
        </w:rPr>
        <w:t xml:space="preserve">NCH endorses the use of </w:t>
      </w:r>
      <w:hyperlink r:id="rId12">
        <w:r w:rsidRPr="4B108BD2">
          <w:rPr>
            <w:rStyle w:val="Hyperlink"/>
            <w:rFonts w:cstheme="minorBidi"/>
          </w:rPr>
          <w:t>Therapeutic Guidelines – Antibiotics</w:t>
        </w:r>
      </w:hyperlink>
      <w:r w:rsidRPr="4B108BD2">
        <w:rPr>
          <w:rFonts w:cstheme="minorBidi"/>
        </w:rPr>
        <w:t xml:space="preserve"> </w:t>
      </w:r>
    </w:p>
    <w:p w14:paraId="3E8E03E6" w14:textId="5EE08D4D" w:rsidR="00476F1D" w:rsidRPr="00476F1D" w:rsidRDefault="00476F1D" w:rsidP="4B108BD2">
      <w:pPr>
        <w:pStyle w:val="ListBullet"/>
        <w:ind w:left="426" w:hanging="426"/>
        <w:rPr>
          <w:rFonts w:cstheme="minorBidi"/>
        </w:rPr>
      </w:pPr>
      <w:r w:rsidRPr="4B108BD2">
        <w:rPr>
          <w:rFonts w:cstheme="minorBidi"/>
        </w:rPr>
        <w:t>Patient conversation around previous medication allergies and adverse reactions (and their documentation</w:t>
      </w:r>
      <w:r w:rsidR="7AFC473B" w:rsidRPr="4B108BD2">
        <w:rPr>
          <w:rFonts w:cstheme="minorBidi"/>
        </w:rPr>
        <w:t xml:space="preserve"> in DHR</w:t>
      </w:r>
      <w:r w:rsidR="00A834EF">
        <w:rPr>
          <w:rFonts w:cstheme="minorBidi"/>
        </w:rPr>
        <w:t xml:space="preserve"> </w:t>
      </w:r>
      <w:r w:rsidRPr="4B108BD2">
        <w:rPr>
          <w:rFonts w:cstheme="minorBidi"/>
        </w:rPr>
        <w:t xml:space="preserve">are imperative for antimicrobial safety. </w:t>
      </w:r>
    </w:p>
    <w:p w14:paraId="693871D5" w14:textId="0B0A2A28" w:rsidR="00476F1D" w:rsidRPr="00476F1D" w:rsidRDefault="00476F1D" w:rsidP="4B108BD2">
      <w:pPr>
        <w:pStyle w:val="ListBullet"/>
        <w:ind w:left="426" w:hanging="426"/>
        <w:rPr>
          <w:rFonts w:cstheme="minorBidi"/>
        </w:rPr>
      </w:pPr>
      <w:r w:rsidRPr="4B108BD2">
        <w:rPr>
          <w:rFonts w:cstheme="minorBidi"/>
        </w:rPr>
        <w:t>Specific anti-infectives that have a high-risk of causing harm include amphotericin, aminoglycosides and vancomycin</w:t>
      </w:r>
    </w:p>
    <w:p w14:paraId="3573EC12" w14:textId="1FFFEC84" w:rsidR="00476F1D" w:rsidRPr="006C1664" w:rsidRDefault="00476F1D" w:rsidP="4B108BD2">
      <w:pPr>
        <w:pStyle w:val="ListBullet"/>
        <w:ind w:left="426" w:hanging="426"/>
        <w:rPr>
          <w:rFonts w:cstheme="minorBidi"/>
          <w:color w:val="000000"/>
        </w:rPr>
      </w:pPr>
      <w:r w:rsidRPr="4B108BD2">
        <w:rPr>
          <w:rFonts w:cstheme="minorBidi"/>
          <w:b/>
          <w:bCs/>
          <w:color w:val="000000" w:themeColor="text1"/>
        </w:rPr>
        <w:t>Amphotericin</w:t>
      </w:r>
      <w:r w:rsidRPr="4B108BD2">
        <w:rPr>
          <w:rFonts w:cstheme="minorBidi"/>
          <w:color w:val="000000" w:themeColor="text1"/>
        </w:rPr>
        <w:t xml:space="preserve"> - Confusion between the formulations: liposomal amphotericin (</w:t>
      </w:r>
      <w:proofErr w:type="spellStart"/>
      <w:r w:rsidRPr="4B108BD2">
        <w:rPr>
          <w:rFonts w:cstheme="minorBidi"/>
          <w:color w:val="000000" w:themeColor="text1"/>
        </w:rPr>
        <w:t>Ambisome</w:t>
      </w:r>
      <w:proofErr w:type="spellEnd"/>
      <w:r w:rsidRPr="4B108BD2">
        <w:rPr>
          <w:rFonts w:cstheme="minorBidi"/>
          <w:color w:val="000000" w:themeColor="text1"/>
        </w:rPr>
        <w:t xml:space="preserve"> ®), and the phospholipid complex (</w:t>
      </w:r>
      <w:proofErr w:type="spellStart"/>
      <w:r w:rsidRPr="4B108BD2">
        <w:rPr>
          <w:rFonts w:cstheme="minorBidi"/>
          <w:color w:val="000000" w:themeColor="text1"/>
        </w:rPr>
        <w:t>Abelcet</w:t>
      </w:r>
      <w:proofErr w:type="spellEnd"/>
      <w:r w:rsidRPr="4B108BD2">
        <w:rPr>
          <w:rFonts w:cstheme="minorBidi"/>
          <w:color w:val="000000" w:themeColor="text1"/>
        </w:rPr>
        <w:t xml:space="preserve"> ®) may result in errors, both of prescribing and administration. Awareness of these formulations and differing dosage recommendations will help reduce the risk of under- or overdosing</w:t>
      </w:r>
    </w:p>
    <w:p w14:paraId="3B343366" w14:textId="77777777" w:rsidR="00476F1D" w:rsidRPr="006C1664" w:rsidRDefault="00476F1D" w:rsidP="4B108BD2">
      <w:pPr>
        <w:pStyle w:val="ListBullet"/>
        <w:ind w:left="426" w:hanging="426"/>
        <w:rPr>
          <w:rFonts w:cstheme="minorBidi"/>
          <w:color w:val="000000"/>
        </w:rPr>
      </w:pPr>
      <w:r w:rsidRPr="4B108BD2">
        <w:rPr>
          <w:rFonts w:cstheme="minorBidi"/>
          <w:b/>
          <w:bCs/>
          <w:color w:val="000000" w:themeColor="text1"/>
        </w:rPr>
        <w:lastRenderedPageBreak/>
        <w:t>Aminoglycosides</w:t>
      </w:r>
      <w:r w:rsidRPr="4B108BD2">
        <w:rPr>
          <w:rFonts w:cstheme="minorBidi"/>
          <w:color w:val="000000" w:themeColor="text1"/>
        </w:rPr>
        <w:t xml:space="preserve"> (Gentamicin, tobramycin and amikacin): Incorrect dosing with respect to age, ideal body weight and renal function may result in significant ototoxicity and nephrotoxicity. Under dosing may result in treatment failure. </w:t>
      </w:r>
    </w:p>
    <w:p w14:paraId="5CA4A71F" w14:textId="77777777" w:rsidR="00476F1D" w:rsidRPr="006C1664" w:rsidRDefault="00476F1D" w:rsidP="00385CCC">
      <w:pPr>
        <w:pStyle w:val="ListParagraph"/>
        <w:numPr>
          <w:ilvl w:val="0"/>
          <w:numId w:val="15"/>
        </w:numPr>
        <w:autoSpaceDE w:val="0"/>
        <w:autoSpaceDN w:val="0"/>
        <w:adjustRightInd w:val="0"/>
        <w:spacing w:line="276" w:lineRule="auto"/>
        <w:contextualSpacing w:val="0"/>
        <w:rPr>
          <w:rFonts w:cstheme="minorHAnsi"/>
        </w:rPr>
      </w:pPr>
      <w:r w:rsidRPr="006C1664">
        <w:rPr>
          <w:rFonts w:cstheme="minorHAnsi"/>
        </w:rPr>
        <w:t>When used for empirical therapy, aminoglycoside dosing should not continue beyond 48 hours (i.e. a maximum of three empirical doses at 0, 24 and 48 hours). Given the ‘post-antibiotic effect’ of aminoglycosides, whereby bacterial killing continues for many hours after plasma concentration is undetectable, this effectively provides 72 hours of therapy.</w:t>
      </w:r>
    </w:p>
    <w:p w14:paraId="33AC2CA6" w14:textId="77777777" w:rsidR="00476F1D" w:rsidRDefault="00476F1D" w:rsidP="00385CCC">
      <w:pPr>
        <w:pStyle w:val="ListParagraph"/>
        <w:numPr>
          <w:ilvl w:val="0"/>
          <w:numId w:val="15"/>
        </w:numPr>
        <w:autoSpaceDE w:val="0"/>
        <w:autoSpaceDN w:val="0"/>
        <w:adjustRightInd w:val="0"/>
        <w:spacing w:line="276" w:lineRule="auto"/>
        <w:contextualSpacing w:val="0"/>
        <w:rPr>
          <w:rFonts w:cstheme="minorHAnsi"/>
        </w:rPr>
      </w:pPr>
      <w:r w:rsidRPr="006C1664">
        <w:rPr>
          <w:rFonts w:cstheme="minorHAnsi"/>
        </w:rPr>
        <w:t xml:space="preserve">Monitoring of serum levels, with appropriate dose adjustment, should be undertaken in all patients expected to receive therapy for greater than 48hrs </w:t>
      </w:r>
    </w:p>
    <w:p w14:paraId="6F39B4B8" w14:textId="4E4B2E03" w:rsidR="00476F1D" w:rsidRDefault="00476F1D" w:rsidP="4B108BD2">
      <w:pPr>
        <w:pStyle w:val="ListParagraph"/>
        <w:numPr>
          <w:ilvl w:val="0"/>
          <w:numId w:val="15"/>
        </w:numPr>
        <w:autoSpaceDE w:val="0"/>
        <w:autoSpaceDN w:val="0"/>
        <w:adjustRightInd w:val="0"/>
        <w:spacing w:line="276" w:lineRule="auto"/>
        <w:rPr>
          <w:rFonts w:cstheme="minorBidi"/>
        </w:rPr>
      </w:pPr>
      <w:r w:rsidRPr="4B108BD2">
        <w:rPr>
          <w:rFonts w:cstheme="minorBidi"/>
        </w:rPr>
        <w:t>Refer to the</w:t>
      </w:r>
      <w:r w:rsidR="00813703">
        <w:rPr>
          <w:rFonts w:cstheme="minorBidi"/>
        </w:rPr>
        <w:t xml:space="preserve"> NCH</w:t>
      </w:r>
      <w:r w:rsidRPr="4B108BD2">
        <w:rPr>
          <w:rFonts w:cstheme="minorBidi"/>
        </w:rPr>
        <w:t xml:space="preserve"> </w:t>
      </w:r>
      <w:r w:rsidRPr="00813703">
        <w:rPr>
          <w:rFonts w:cstheme="minorBidi"/>
        </w:rPr>
        <w:t>Intravenous Aminoglycoside Dosing and Monitoring in Adults Clinical Procedure</w:t>
      </w:r>
      <w:r w:rsidR="00813703">
        <w:rPr>
          <w:rFonts w:cstheme="minorBidi"/>
        </w:rPr>
        <w:t xml:space="preserve"> </w:t>
      </w:r>
    </w:p>
    <w:p w14:paraId="13D6DD93" w14:textId="77777777" w:rsidR="00476F1D" w:rsidRPr="006C1664" w:rsidRDefault="00476F1D" w:rsidP="4B108BD2">
      <w:pPr>
        <w:pStyle w:val="ListBullet"/>
        <w:ind w:left="426" w:hanging="426"/>
        <w:rPr>
          <w:rFonts w:cstheme="minorBidi"/>
          <w:color w:val="000000"/>
        </w:rPr>
      </w:pPr>
      <w:r w:rsidRPr="4B108BD2">
        <w:rPr>
          <w:rFonts w:cstheme="minorBidi"/>
          <w:b/>
          <w:bCs/>
          <w:color w:val="000000" w:themeColor="text1"/>
        </w:rPr>
        <w:t xml:space="preserve">Vancomycin: </w:t>
      </w:r>
      <w:r w:rsidRPr="4B108BD2">
        <w:rPr>
          <w:rFonts w:cstheme="minorBidi"/>
          <w:color w:val="000000" w:themeColor="text1"/>
        </w:rPr>
        <w:t>Over-dosing with respect to weight may [rarely] cause nephrotoxicity and ototoxicity. Under-dosing may result in treatment failures and emergence of resistance. Monitoring of serum levels, with appropriate dose adjustment, should be undertaken in all patients expected to receive therapy for greater than 48hrs, to optimise dosing.</w:t>
      </w:r>
    </w:p>
    <w:p w14:paraId="34FF0514" w14:textId="77777777" w:rsidR="00476F1D" w:rsidRDefault="00476F1D" w:rsidP="00385CCC">
      <w:pPr>
        <w:pStyle w:val="ListParagraph"/>
        <w:numPr>
          <w:ilvl w:val="1"/>
          <w:numId w:val="16"/>
        </w:numPr>
        <w:autoSpaceDE w:val="0"/>
        <w:autoSpaceDN w:val="0"/>
        <w:adjustRightInd w:val="0"/>
        <w:spacing w:line="276" w:lineRule="auto"/>
        <w:contextualSpacing w:val="0"/>
        <w:rPr>
          <w:rFonts w:cstheme="minorHAnsi"/>
          <w:color w:val="000000"/>
        </w:rPr>
      </w:pPr>
      <w:r w:rsidRPr="0039738B">
        <w:rPr>
          <w:rFonts w:cstheme="minorHAnsi"/>
          <w:color w:val="000000"/>
        </w:rPr>
        <w:t>To reduce the risk of '</w:t>
      </w:r>
      <w:proofErr w:type="gramStart"/>
      <w:r w:rsidRPr="0039738B">
        <w:rPr>
          <w:rFonts w:cstheme="minorHAnsi"/>
          <w:color w:val="000000"/>
        </w:rPr>
        <w:t>red-man</w:t>
      </w:r>
      <w:proofErr w:type="gramEnd"/>
      <w:r w:rsidRPr="0039738B">
        <w:rPr>
          <w:rFonts w:cstheme="minorHAnsi"/>
          <w:color w:val="000000"/>
        </w:rPr>
        <w:t>' syndrome in adults, individual doses of vancomycin should be infused at a rate not exceeding 10 mg/minute. If '</w:t>
      </w:r>
      <w:proofErr w:type="gramStart"/>
      <w:r w:rsidRPr="0039738B">
        <w:rPr>
          <w:rFonts w:cstheme="minorHAnsi"/>
          <w:color w:val="000000"/>
        </w:rPr>
        <w:t>red-man</w:t>
      </w:r>
      <w:proofErr w:type="gramEnd"/>
      <w:r w:rsidRPr="0039738B">
        <w:rPr>
          <w:rFonts w:cstheme="minorHAnsi"/>
          <w:color w:val="000000"/>
        </w:rPr>
        <w:t xml:space="preserve">' syndrome occurs, the infusion time should be extended.  </w:t>
      </w:r>
    </w:p>
    <w:p w14:paraId="36729E58" w14:textId="77777777" w:rsidR="00476F1D" w:rsidRPr="00A97829" w:rsidRDefault="00476F1D" w:rsidP="00385CCC">
      <w:pPr>
        <w:pStyle w:val="ListParagraph"/>
        <w:numPr>
          <w:ilvl w:val="1"/>
          <w:numId w:val="16"/>
        </w:numPr>
        <w:autoSpaceDE w:val="0"/>
        <w:autoSpaceDN w:val="0"/>
        <w:adjustRightInd w:val="0"/>
        <w:spacing w:line="276" w:lineRule="auto"/>
        <w:contextualSpacing w:val="0"/>
        <w:rPr>
          <w:rFonts w:cstheme="minorHAnsi"/>
          <w:color w:val="000000"/>
        </w:rPr>
      </w:pPr>
      <w:r w:rsidRPr="0039738B">
        <w:rPr>
          <w:rFonts w:cstheme="minorHAnsi"/>
          <w:color w:val="000000"/>
        </w:rPr>
        <w:t xml:space="preserve">Continuous infusion of vancomycin is a practical alternative to intermittent dosing in some patients—those requiring higher or more frequent doses (e.g. obese patients, patients with central nervous system infection); those with infections caused by pathogens with a high vancomycin MIC; or those admitted to a </w:t>
      </w:r>
      <w:hyperlink r:id="rId13" w:tooltip="Community-based parenteral antimicrobial therapy" w:history="1">
        <w:r w:rsidRPr="0039738B">
          <w:rPr>
            <w:rFonts w:cstheme="minorHAnsi"/>
            <w:color w:val="000000"/>
          </w:rPr>
          <w:t>community-based parenteral antimicrobial therapy</w:t>
        </w:r>
      </w:hyperlink>
      <w:r w:rsidRPr="0039738B">
        <w:rPr>
          <w:rFonts w:cstheme="minorHAnsi"/>
          <w:color w:val="000000"/>
        </w:rPr>
        <w:t> service.</w:t>
      </w:r>
    </w:p>
    <w:p w14:paraId="646B8801" w14:textId="77777777" w:rsidR="00D304C2" w:rsidRDefault="00D304C2" w:rsidP="00D304C2">
      <w:pPr>
        <w:rPr>
          <w:rFonts w:cs="Arial"/>
          <w:b/>
          <w:szCs w:val="24"/>
        </w:rPr>
      </w:pPr>
    </w:p>
    <w:p w14:paraId="4B7E25BD" w14:textId="543CDC6F" w:rsidR="00D304C2" w:rsidRDefault="00000000" w:rsidP="00212C02">
      <w:pPr>
        <w:jc w:val="right"/>
        <w:rPr>
          <w:rFonts w:cs="Arial"/>
          <w:b/>
          <w:szCs w:val="24"/>
        </w:rPr>
      </w:pPr>
      <w:hyperlink w:anchor="Contents" w:history="1">
        <w:r w:rsidR="00D304C2" w:rsidRPr="00590902">
          <w:rPr>
            <w:rStyle w:val="Hyperlink"/>
            <w:rFonts w:cs="Arial"/>
            <w:i/>
            <w:szCs w:val="24"/>
          </w:rPr>
          <w:t>Back to Table of Contents</w:t>
        </w:r>
      </w:hyperlink>
      <w:r w:rsidR="00D304C2">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304C2" w:rsidRPr="00CD1C0E" w14:paraId="08E60BE1" w14:textId="77777777" w:rsidTr="00EB4FCE">
        <w:trPr>
          <w:cantSplit/>
          <w:trHeight w:val="285"/>
        </w:trPr>
        <w:tc>
          <w:tcPr>
            <w:tcW w:w="9158" w:type="dxa"/>
            <w:shd w:val="clear" w:color="auto" w:fill="A6A6A6" w:themeFill="background1" w:themeFillShade="A6"/>
          </w:tcPr>
          <w:p w14:paraId="6B35C57C" w14:textId="46A7EE0E" w:rsidR="00D304C2" w:rsidRPr="003D2D06" w:rsidRDefault="00D304C2" w:rsidP="00EB4FCE">
            <w:pPr>
              <w:pStyle w:val="Heading1"/>
            </w:pPr>
            <w:bookmarkStart w:id="23" w:name="_Toc158723928"/>
            <w:r>
              <w:t xml:space="preserve">Section </w:t>
            </w:r>
            <w:r w:rsidR="00E41CD4">
              <w:t>7</w:t>
            </w:r>
            <w:r w:rsidRPr="003D2D06">
              <w:t xml:space="preserve"> – </w:t>
            </w:r>
            <w:r w:rsidR="00476F1D">
              <w:t>Potassium</w:t>
            </w:r>
            <w:bookmarkEnd w:id="23"/>
          </w:p>
        </w:tc>
      </w:tr>
    </w:tbl>
    <w:p w14:paraId="4BC73701" w14:textId="77777777" w:rsidR="00D304C2" w:rsidRDefault="00D304C2" w:rsidP="00D304C2"/>
    <w:p w14:paraId="440335DA"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Oral potassium should be the first choice for treatment of mild hypokalaemia if this route of administration is available. </w:t>
      </w:r>
    </w:p>
    <w:p w14:paraId="4A35CC7B"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Orders for intravenous potassium salts must be expressed in millimoles (mmol) </w:t>
      </w:r>
      <w:r w:rsidRPr="4B108BD2">
        <w:rPr>
          <w:rFonts w:asciiTheme="minorHAnsi" w:hAnsiTheme="minorHAnsi" w:cstheme="minorBidi"/>
          <w:u w:val="single"/>
        </w:rPr>
        <w:t>not</w:t>
      </w:r>
      <w:r w:rsidRPr="4B108BD2">
        <w:rPr>
          <w:rFonts w:asciiTheme="minorHAnsi" w:hAnsiTheme="minorHAnsi" w:cstheme="minorBidi"/>
        </w:rPr>
        <w:t xml:space="preserve"> milligram per litre (mg/L) nor as a percent (%). </w:t>
      </w:r>
    </w:p>
    <w:p w14:paraId="0CF264D3" w14:textId="6799A2E1"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Where clinically feasible, prescribers must limit orders for intravenous potassium to the commercially prepared pre-mixed solutions available. The range </w:t>
      </w:r>
      <w:r w:rsidR="00EB4FCE">
        <w:rPr>
          <w:rFonts w:asciiTheme="minorHAnsi" w:hAnsiTheme="minorHAnsi" w:cstheme="minorBidi"/>
        </w:rPr>
        <w:t xml:space="preserve">of </w:t>
      </w:r>
      <w:r w:rsidRPr="4B108BD2">
        <w:rPr>
          <w:rFonts w:asciiTheme="minorHAnsi" w:hAnsiTheme="minorHAnsi" w:cstheme="minorBidi"/>
        </w:rPr>
        <w:t xml:space="preserve">is bags is described in </w:t>
      </w:r>
      <w:r w:rsidR="00212C02" w:rsidRPr="00813703">
        <w:t>High Risk Medicine-Intravenou</w:t>
      </w:r>
      <w:r w:rsidR="00212C02">
        <w:rPr>
          <w:rFonts w:asciiTheme="minorHAnsi" w:hAnsiTheme="minorHAnsi" w:cstheme="minorBidi"/>
        </w:rPr>
        <w:t>s Potassium procedure</w:t>
      </w:r>
    </w:p>
    <w:p w14:paraId="4A12B9D5"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Chemical abbreviations (e.g., </w:t>
      </w:r>
      <w:proofErr w:type="spellStart"/>
      <w:r w:rsidRPr="4B108BD2">
        <w:rPr>
          <w:rFonts w:asciiTheme="minorHAnsi" w:hAnsiTheme="minorHAnsi" w:cstheme="minorBidi"/>
        </w:rPr>
        <w:t>KCl</w:t>
      </w:r>
      <w:proofErr w:type="spellEnd"/>
      <w:r w:rsidRPr="4B108BD2">
        <w:rPr>
          <w:rFonts w:asciiTheme="minorHAnsi" w:hAnsiTheme="minorHAnsi" w:cstheme="minorBidi"/>
        </w:rPr>
        <w:t xml:space="preserve"> or KH2PO4) must not be used for potassium orders </w:t>
      </w:r>
    </w:p>
    <w:p w14:paraId="4B700FA6" w14:textId="0C0A7EC3"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Orders for intravenous potassium salts must have the rate, route, dilution and administration instructions fully specified </w:t>
      </w:r>
      <w:r w:rsidR="5C973634" w:rsidRPr="4B108BD2">
        <w:rPr>
          <w:rFonts w:asciiTheme="minorHAnsi" w:hAnsiTheme="minorHAnsi" w:cstheme="minorBidi"/>
        </w:rPr>
        <w:t xml:space="preserve">in </w:t>
      </w:r>
      <w:r w:rsidR="4353DAE0" w:rsidRPr="4B108BD2">
        <w:rPr>
          <w:rFonts w:asciiTheme="minorHAnsi" w:hAnsiTheme="minorHAnsi" w:cstheme="minorBidi"/>
        </w:rPr>
        <w:t>the</w:t>
      </w:r>
      <w:r w:rsidR="5C973634" w:rsidRPr="4B108BD2">
        <w:rPr>
          <w:rFonts w:asciiTheme="minorHAnsi" w:hAnsiTheme="minorHAnsi" w:cstheme="minorBidi"/>
        </w:rPr>
        <w:t xml:space="preserve"> order</w:t>
      </w:r>
      <w:r w:rsidRPr="4B108BD2">
        <w:rPr>
          <w:rFonts w:asciiTheme="minorHAnsi" w:hAnsiTheme="minorHAnsi" w:cstheme="minorBidi"/>
        </w:rPr>
        <w:t xml:space="preserve"> Orders without instructions for dilution and infusion rate are not complete and must not be accepted for either dispensing or administration </w:t>
      </w:r>
    </w:p>
    <w:p w14:paraId="25152308"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lastRenderedPageBreak/>
        <w:t xml:space="preserve">The infusion rate or time period must be included. Orders must not contain directions to give intravenous potassium as a ‘bolus ‘or ‘stat’ dose.  Infusion rates greater than 10 mmol/hour may only be given in clinical areas deemed appropriate for providing the level of patient care required including cardiac monitoring. </w:t>
      </w:r>
    </w:p>
    <w:p w14:paraId="36EDA793"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Pre-mixed potassium infusion solutions must be clearly differentiated from other intravenous fluids, for example, through use of colour coded over-pouches and labelling </w:t>
      </w:r>
    </w:p>
    <w:p w14:paraId="564278AF"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Potassium chloride and potassium dihydrogen phosphate ampoules should not be available as ward stock, except in critical care areas. </w:t>
      </w:r>
    </w:p>
    <w:p w14:paraId="4F1CB9F3" w14:textId="249D6E7B"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When stored as ward stock</w:t>
      </w:r>
      <w:r w:rsidR="008A6D59">
        <w:rPr>
          <w:rFonts w:asciiTheme="minorHAnsi" w:hAnsiTheme="minorHAnsi" w:cstheme="minorBidi"/>
        </w:rPr>
        <w:t>,</w:t>
      </w:r>
      <w:r w:rsidRPr="4B108BD2">
        <w:rPr>
          <w:rFonts w:asciiTheme="minorHAnsi" w:hAnsiTheme="minorHAnsi" w:cstheme="minorBidi"/>
        </w:rPr>
        <w:t xml:space="preserve"> ampoules </w:t>
      </w:r>
      <w:r w:rsidRPr="4B108BD2">
        <w:rPr>
          <w:rFonts w:asciiTheme="minorHAnsi" w:hAnsiTheme="minorHAnsi" w:cstheme="minorBidi"/>
          <w:b/>
          <w:bCs/>
        </w:rPr>
        <w:t>must be physically separated from ampoules</w:t>
      </w:r>
      <w:r w:rsidRPr="4B108BD2">
        <w:rPr>
          <w:rFonts w:asciiTheme="minorHAnsi" w:hAnsiTheme="minorHAnsi" w:cstheme="minorBidi"/>
        </w:rPr>
        <w:t xml:space="preserve"> of similar appearance and packaging, for example, in a separate cupboard, on a separate and distinctly labelled shelf or separately identified and coloured </w:t>
      </w:r>
      <w:proofErr w:type="gramStart"/>
      <w:r w:rsidRPr="4B108BD2">
        <w:rPr>
          <w:rFonts w:asciiTheme="minorHAnsi" w:hAnsiTheme="minorHAnsi" w:cstheme="minorBidi"/>
        </w:rPr>
        <w:t>box, and</w:t>
      </w:r>
      <w:proofErr w:type="gramEnd"/>
      <w:r w:rsidRPr="4B108BD2">
        <w:rPr>
          <w:rFonts w:asciiTheme="minorHAnsi" w:hAnsiTheme="minorHAnsi" w:cstheme="minorBidi"/>
        </w:rPr>
        <w:t xml:space="preserve"> retained in original packaging until immediately prior to use.  </w:t>
      </w:r>
    </w:p>
    <w:p w14:paraId="02452090" w14:textId="69452C16" w:rsidR="00D304C2" w:rsidRPr="00385CCC" w:rsidRDefault="00B32C80" w:rsidP="4B108BD2">
      <w:pPr>
        <w:pStyle w:val="ListBullet"/>
        <w:ind w:left="426" w:hanging="426"/>
        <w:rPr>
          <w:rFonts w:cs="Arial"/>
          <w:b/>
          <w:bCs/>
        </w:rPr>
      </w:pPr>
      <w:r w:rsidRPr="4B108BD2">
        <w:rPr>
          <w:rFonts w:asciiTheme="minorHAnsi" w:hAnsiTheme="minorHAnsi" w:cstheme="minorBidi"/>
        </w:rPr>
        <w:t xml:space="preserve">A rate limiting device such as an infusion pump with </w:t>
      </w:r>
      <w:r w:rsidR="71ECB4B4" w:rsidRPr="4B108BD2">
        <w:rPr>
          <w:rFonts w:asciiTheme="minorHAnsi" w:hAnsiTheme="minorHAnsi" w:cstheme="minorBidi"/>
        </w:rPr>
        <w:t xml:space="preserve">dose limiting </w:t>
      </w:r>
      <w:r w:rsidRPr="4B108BD2">
        <w:rPr>
          <w:rFonts w:asciiTheme="minorHAnsi" w:hAnsiTheme="minorHAnsi" w:cstheme="minorBidi"/>
        </w:rPr>
        <w:t>software must be used for all potassium containing infusions</w:t>
      </w:r>
      <w:r w:rsidR="00385CCC" w:rsidRPr="4B108BD2">
        <w:rPr>
          <w:rFonts w:asciiTheme="minorHAnsi" w:hAnsiTheme="minorHAnsi" w:cstheme="minorBidi"/>
        </w:rPr>
        <w:t xml:space="preserve">. </w:t>
      </w:r>
    </w:p>
    <w:p w14:paraId="48471E4F" w14:textId="693CC732" w:rsidR="00B32C80" w:rsidRDefault="00000000" w:rsidP="004F31B6">
      <w:pPr>
        <w:jc w:val="right"/>
        <w:rPr>
          <w:rFonts w:cs="Arial"/>
          <w:b/>
          <w:szCs w:val="24"/>
        </w:rPr>
      </w:pPr>
      <w:hyperlink w:anchor="Contents" w:history="1">
        <w:r w:rsidR="00D304C2" w:rsidRPr="00590902">
          <w:rPr>
            <w:rStyle w:val="Hyperlink"/>
            <w:rFonts w:cs="Arial"/>
            <w:i/>
            <w:szCs w:val="24"/>
          </w:rPr>
          <w:t>Back to Table of Contents</w:t>
        </w:r>
      </w:hyperlink>
      <w:r w:rsidR="00D304C2">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45E4A916" w14:textId="77777777" w:rsidTr="00EB4FCE">
        <w:trPr>
          <w:cantSplit/>
          <w:trHeight w:val="285"/>
        </w:trPr>
        <w:tc>
          <w:tcPr>
            <w:tcW w:w="9158" w:type="dxa"/>
            <w:shd w:val="clear" w:color="auto" w:fill="A6A6A6" w:themeFill="background1" w:themeFillShade="A6"/>
          </w:tcPr>
          <w:p w14:paraId="6CC11237" w14:textId="2D6505EB" w:rsidR="00B32C80" w:rsidRPr="003D2D06" w:rsidRDefault="00B32C80" w:rsidP="00EB4FCE">
            <w:pPr>
              <w:pStyle w:val="Heading1"/>
            </w:pPr>
            <w:bookmarkStart w:id="24" w:name="_Toc158723929"/>
            <w:r>
              <w:t xml:space="preserve">Section </w:t>
            </w:r>
            <w:r w:rsidR="00E41CD4">
              <w:t>8</w:t>
            </w:r>
            <w:r w:rsidRPr="003D2D06">
              <w:t xml:space="preserve"> – </w:t>
            </w:r>
            <w:r>
              <w:t>Insulin</w:t>
            </w:r>
            <w:bookmarkEnd w:id="24"/>
          </w:p>
        </w:tc>
      </w:tr>
    </w:tbl>
    <w:p w14:paraId="70379A6A" w14:textId="77777777" w:rsidR="00B32C80" w:rsidRDefault="00B32C80" w:rsidP="00B32C80"/>
    <w:p w14:paraId="1F7677E9" w14:textId="77777777" w:rsidR="00EB4FCE" w:rsidRPr="00212C02" w:rsidRDefault="00EB4FCE" w:rsidP="00813703">
      <w:pPr>
        <w:pStyle w:val="ListParagraph"/>
        <w:numPr>
          <w:ilvl w:val="0"/>
          <w:numId w:val="32"/>
        </w:numPr>
        <w:rPr>
          <w:rFonts w:eastAsiaTheme="minorEastAsia" w:cs="Arial"/>
        </w:rPr>
      </w:pPr>
      <w:r w:rsidRPr="00212C02">
        <w:rPr>
          <w:rFonts w:eastAsiaTheme="minorEastAsia" w:cs="Arial"/>
        </w:rPr>
        <w:t>Insulin doses are prescribed in units.  Abbreviation of the term units to ‘u’ or ‘iu’ has been associated with dosing errors and is not acceptable. The word ‘units’ must be written in full.</w:t>
      </w:r>
    </w:p>
    <w:p w14:paraId="01CCB3A0" w14:textId="77777777" w:rsidR="00EB4FCE" w:rsidRPr="00212C02" w:rsidRDefault="00EB4FCE" w:rsidP="00813703">
      <w:pPr>
        <w:pStyle w:val="ListParagraph"/>
        <w:numPr>
          <w:ilvl w:val="0"/>
          <w:numId w:val="32"/>
        </w:numPr>
        <w:rPr>
          <w:rFonts w:eastAsiaTheme="minorHAnsi" w:cs="Arial"/>
          <w:szCs w:val="24"/>
        </w:rPr>
      </w:pPr>
      <w:r w:rsidRPr="00212C02">
        <w:rPr>
          <w:rFonts w:eastAsiaTheme="minorHAnsi" w:cs="Arial"/>
          <w:szCs w:val="24"/>
        </w:rPr>
        <w:t>Not all insulin concentrations are 100 units/</w:t>
      </w:r>
      <w:proofErr w:type="spellStart"/>
      <w:r w:rsidRPr="00212C02">
        <w:rPr>
          <w:rFonts w:eastAsiaTheme="minorHAnsi" w:cs="Arial"/>
          <w:szCs w:val="24"/>
        </w:rPr>
        <w:t>mL.</w:t>
      </w:r>
      <w:proofErr w:type="spellEnd"/>
      <w:r w:rsidRPr="00212C02">
        <w:rPr>
          <w:rFonts w:eastAsiaTheme="minorHAnsi" w:cs="Arial"/>
          <w:szCs w:val="24"/>
        </w:rPr>
        <w:t xml:space="preserve"> Insulin is available in concentrations ranging between 100 units/mL and 500 units/</w:t>
      </w:r>
      <w:proofErr w:type="spellStart"/>
      <w:r w:rsidRPr="00212C02">
        <w:rPr>
          <w:rFonts w:eastAsiaTheme="minorHAnsi" w:cs="Arial"/>
          <w:szCs w:val="24"/>
        </w:rPr>
        <w:t>mL.</w:t>
      </w:r>
      <w:proofErr w:type="spellEnd"/>
    </w:p>
    <w:p w14:paraId="7ED39753" w14:textId="26FF6A02" w:rsidR="00EB4FCE" w:rsidRPr="00A834EF" w:rsidRDefault="00EB4FCE" w:rsidP="00813703">
      <w:pPr>
        <w:pStyle w:val="ListParagraph"/>
        <w:numPr>
          <w:ilvl w:val="0"/>
          <w:numId w:val="32"/>
        </w:numPr>
        <w:rPr>
          <w:szCs w:val="24"/>
        </w:rPr>
      </w:pPr>
      <w:r>
        <w:t xml:space="preserve">Insulin pens and safety needles must be used for all in-patient adult subcutaneous insulin doses (including supplemental doses). </w:t>
      </w:r>
      <w:proofErr w:type="spellStart"/>
      <w:r>
        <w:t>Actrapid</w:t>
      </w:r>
      <w:proofErr w:type="spellEnd"/>
      <w:r>
        <w:t xml:space="preserve"> is not available as a pen device and is suitable for </w:t>
      </w:r>
      <w:r w:rsidR="00634F78">
        <w:t xml:space="preserve">intravenous </w:t>
      </w:r>
      <w:r w:rsidR="00634F78" w:rsidRPr="00813703">
        <w:t>insulin administration</w:t>
      </w:r>
      <w:r>
        <w:t xml:space="preserve"> only</w:t>
      </w:r>
    </w:p>
    <w:p w14:paraId="2D6F5590" w14:textId="77777777" w:rsidR="00EB4FCE" w:rsidRPr="00212C02" w:rsidRDefault="00EB4FCE" w:rsidP="00813703">
      <w:pPr>
        <w:pStyle w:val="ListParagraph"/>
        <w:numPr>
          <w:ilvl w:val="0"/>
          <w:numId w:val="32"/>
        </w:numPr>
        <w:rPr>
          <w:rFonts w:eastAsiaTheme="minorHAnsi" w:cs="Arial"/>
          <w:szCs w:val="24"/>
        </w:rPr>
      </w:pPr>
      <w:r w:rsidRPr="00212C02">
        <w:rPr>
          <w:rFonts w:eastAsiaTheme="minorHAnsi" w:cs="Arial"/>
          <w:szCs w:val="24"/>
        </w:rPr>
        <w:t>Sharing insulin pens or preloaded injector devices may result in transmission of blood borne disease even if a new needle is used each time. ‘One Pen, One Patient’. Devices are for single patient use and must never be shared.</w:t>
      </w:r>
    </w:p>
    <w:p w14:paraId="667602BA" w14:textId="64E2AB75" w:rsidR="00EB4FCE" w:rsidRPr="00212C02" w:rsidRDefault="00EB4FCE" w:rsidP="00813703">
      <w:pPr>
        <w:pStyle w:val="ListParagraph"/>
        <w:numPr>
          <w:ilvl w:val="0"/>
          <w:numId w:val="32"/>
        </w:numPr>
        <w:spacing w:line="276" w:lineRule="auto"/>
        <w:rPr>
          <w:rFonts w:eastAsiaTheme="minorHAnsi" w:cs="Arial"/>
          <w:szCs w:val="24"/>
        </w:rPr>
      </w:pPr>
      <w:r w:rsidRPr="00212C02">
        <w:rPr>
          <w:rFonts w:eastAsiaTheme="minorHAnsi" w:cs="Arial"/>
          <w:szCs w:val="24"/>
        </w:rPr>
        <w:t>Safety needles are for staff use only.  Nursing staff must receive appropriate training on the use of safety pen needles and insulin pens form their CDN before administering subcutaneous doses of insulin.   This is due to the risk of incorrect technique leading to premature covering of the safely needle and/or insufficient insulin delivery</w:t>
      </w:r>
      <w:r w:rsidR="00634F78" w:rsidRPr="00212C02">
        <w:rPr>
          <w:rFonts w:eastAsiaTheme="minorHAnsi" w:cs="Arial"/>
          <w:szCs w:val="24"/>
        </w:rPr>
        <w:t>.</w:t>
      </w:r>
    </w:p>
    <w:p w14:paraId="63B7B766" w14:textId="77777777" w:rsidR="00634F78" w:rsidRPr="00A834EF" w:rsidRDefault="00634F78" w:rsidP="00813703">
      <w:pPr>
        <w:pStyle w:val="ListParagraph"/>
        <w:numPr>
          <w:ilvl w:val="0"/>
          <w:numId w:val="32"/>
        </w:numPr>
        <w:rPr>
          <w:rFonts w:eastAsiaTheme="minorEastAsia"/>
        </w:rPr>
      </w:pPr>
      <w:r w:rsidRPr="00A834EF">
        <w:rPr>
          <w:rFonts w:eastAsiaTheme="minorEastAsia"/>
        </w:rPr>
        <w:t>When intravenous insulin infusions are prepared, always use an insulin syringe with the appropriate graduations i.e. 100 units per mL, to allow an accurate dose measure.</w:t>
      </w:r>
    </w:p>
    <w:p w14:paraId="1A03A77D" w14:textId="77777777" w:rsidR="00634F78" w:rsidRPr="00A834EF" w:rsidRDefault="00634F78" w:rsidP="00813703">
      <w:pPr>
        <w:pStyle w:val="ListParagraph"/>
        <w:numPr>
          <w:ilvl w:val="0"/>
          <w:numId w:val="32"/>
        </w:numPr>
        <w:rPr>
          <w:rFonts w:eastAsiaTheme="minorEastAsia"/>
        </w:rPr>
      </w:pPr>
      <w:r w:rsidRPr="00A834EF">
        <w:rPr>
          <w:rFonts w:eastAsiaTheme="minorEastAsia"/>
        </w:rPr>
        <w:t>Intravenous insulin infusions must be administered using a smart pump with drug error reduction software.</w:t>
      </w:r>
    </w:p>
    <w:p w14:paraId="193D1B50" w14:textId="77777777" w:rsidR="00634F78" w:rsidRPr="00A834EF" w:rsidRDefault="00634F78" w:rsidP="00813703">
      <w:pPr>
        <w:pStyle w:val="ListParagraph"/>
        <w:numPr>
          <w:ilvl w:val="0"/>
          <w:numId w:val="32"/>
        </w:numPr>
        <w:rPr>
          <w:rFonts w:eastAsiaTheme="minorEastAsia"/>
        </w:rPr>
      </w:pPr>
      <w:r w:rsidRPr="00A834EF">
        <w:rPr>
          <w:rFonts w:eastAsiaTheme="minorEastAsia"/>
        </w:rPr>
        <w:t>Hypoglycaemic reversal agents, e.g. glucose gel or glucagon, should be available in all patient care areas where insulin is administered.</w:t>
      </w:r>
    </w:p>
    <w:p w14:paraId="756AB248" w14:textId="77777777" w:rsidR="00634F78" w:rsidRPr="00813703" w:rsidRDefault="00634F78" w:rsidP="00813703">
      <w:pPr>
        <w:pStyle w:val="ListParagraph"/>
        <w:numPr>
          <w:ilvl w:val="0"/>
          <w:numId w:val="32"/>
        </w:numPr>
        <w:autoSpaceDE w:val="0"/>
        <w:autoSpaceDN w:val="0"/>
        <w:adjustRightInd w:val="0"/>
        <w:rPr>
          <w:rFonts w:eastAsiaTheme="minorEastAsia" w:cs="Arial"/>
          <w:color w:val="000000"/>
        </w:rPr>
      </w:pPr>
      <w:r w:rsidRPr="5C3FFB47">
        <w:rPr>
          <w:rFonts w:eastAsiaTheme="minorEastAsia" w:cs="Arial"/>
          <w:color w:val="000000" w:themeColor="text1"/>
        </w:rPr>
        <w:t xml:space="preserve">Insulin is to be prescribed by trade name and device </w:t>
      </w:r>
      <w:proofErr w:type="gramStart"/>
      <w:r w:rsidRPr="5C3FFB47">
        <w:rPr>
          <w:rFonts w:eastAsiaTheme="minorEastAsia" w:cs="Arial"/>
          <w:color w:val="000000" w:themeColor="text1"/>
        </w:rPr>
        <w:t>type  i.e.</w:t>
      </w:r>
      <w:proofErr w:type="gramEnd"/>
      <w:r w:rsidRPr="5C3FFB47">
        <w:rPr>
          <w:rFonts w:eastAsiaTheme="minorEastAsia" w:cs="Arial"/>
          <w:color w:val="000000" w:themeColor="text1"/>
        </w:rPr>
        <w:t xml:space="preserve"> </w:t>
      </w:r>
    </w:p>
    <w:p w14:paraId="19466D78" w14:textId="77777777" w:rsidR="00634F78" w:rsidRDefault="00634F78" w:rsidP="00813703">
      <w:pPr>
        <w:numPr>
          <w:ilvl w:val="1"/>
          <w:numId w:val="32"/>
        </w:numPr>
        <w:rPr>
          <w:rFonts w:eastAsiaTheme="minorHAnsi"/>
        </w:rPr>
      </w:pPr>
      <w:r>
        <w:rPr>
          <w:rFonts w:eastAsiaTheme="minorHAnsi"/>
        </w:rPr>
        <w:t xml:space="preserve">Full Trade name (e.g. Humulin 30/70 not just Humulin, Humalog Mix 50 not just Humalog Mix). </w:t>
      </w:r>
    </w:p>
    <w:p w14:paraId="3DE24B11" w14:textId="1BA514A7" w:rsidR="00634F78" w:rsidRDefault="00634F78" w:rsidP="00813703">
      <w:pPr>
        <w:numPr>
          <w:ilvl w:val="1"/>
          <w:numId w:val="32"/>
        </w:numPr>
        <w:rPr>
          <w:rFonts w:cs="Arial"/>
          <w:i/>
        </w:rPr>
      </w:pPr>
      <w:r>
        <w:rPr>
          <w:rFonts w:eastAsiaTheme="minorEastAsia"/>
        </w:rPr>
        <w:t xml:space="preserve">Type of device (cartridge/disposable pen). </w:t>
      </w:r>
    </w:p>
    <w:p w14:paraId="2B459765" w14:textId="77777777" w:rsidR="00634F78" w:rsidRDefault="00634F78" w:rsidP="00EB4FCE">
      <w:pPr>
        <w:spacing w:line="276" w:lineRule="auto"/>
        <w:rPr>
          <w:rFonts w:cstheme="minorBidi"/>
        </w:rPr>
      </w:pPr>
    </w:p>
    <w:p w14:paraId="01FF4FF7" w14:textId="77777777" w:rsidR="00A834EF" w:rsidRPr="007A6CA5" w:rsidRDefault="00A834EF" w:rsidP="00813703">
      <w:pPr>
        <w:pStyle w:val="ListBullet"/>
        <w:numPr>
          <w:ilvl w:val="0"/>
          <w:numId w:val="0"/>
        </w:numPr>
        <w:ind w:left="360" w:hanging="360"/>
        <w:rPr>
          <w:b/>
          <w:szCs w:val="24"/>
        </w:rPr>
      </w:pPr>
      <w:r w:rsidRPr="007A6CA5">
        <w:rPr>
          <w:b/>
          <w:szCs w:val="24"/>
        </w:rPr>
        <w:t>Education and Awareness</w:t>
      </w:r>
    </w:p>
    <w:p w14:paraId="07D067FF" w14:textId="596AB99E" w:rsidR="00A834EF" w:rsidRDefault="00A834EF" w:rsidP="00A834EF">
      <w:pPr>
        <w:pStyle w:val="ListBullet"/>
        <w:numPr>
          <w:ilvl w:val="0"/>
          <w:numId w:val="30"/>
        </w:numPr>
        <w:rPr>
          <w:szCs w:val="24"/>
        </w:rPr>
      </w:pPr>
      <w:r>
        <w:rPr>
          <w:szCs w:val="24"/>
        </w:rPr>
        <w:t>All clinical areas where insulin is used must</w:t>
      </w:r>
      <w:r w:rsidR="00212C02">
        <w:rPr>
          <w:szCs w:val="24"/>
        </w:rPr>
        <w:t>:</w:t>
      </w:r>
    </w:p>
    <w:p w14:paraId="5E739E7F" w14:textId="77777777" w:rsidR="00A834EF" w:rsidRDefault="00A834EF" w:rsidP="00813703">
      <w:pPr>
        <w:pStyle w:val="ListBullet"/>
        <w:numPr>
          <w:ilvl w:val="1"/>
          <w:numId w:val="30"/>
        </w:numPr>
        <w:rPr>
          <w:szCs w:val="24"/>
        </w:rPr>
      </w:pPr>
      <w:r w:rsidRPr="00A834EF">
        <w:rPr>
          <w:szCs w:val="24"/>
        </w:rPr>
        <w:t xml:space="preserve">Ensure staff are aware </w:t>
      </w:r>
      <w:r>
        <w:rPr>
          <w:szCs w:val="24"/>
        </w:rPr>
        <w:t xml:space="preserve">that insulin is </w:t>
      </w:r>
      <w:proofErr w:type="spellStart"/>
      <w:r w:rsidRPr="00A834EF">
        <w:rPr>
          <w:szCs w:val="24"/>
        </w:rPr>
        <w:t>considerd</w:t>
      </w:r>
      <w:proofErr w:type="spellEnd"/>
      <w:r w:rsidRPr="00A834EF">
        <w:rPr>
          <w:szCs w:val="24"/>
        </w:rPr>
        <w:t xml:space="preserve"> high risk at North Canberra Hospital and CHH</w:t>
      </w:r>
    </w:p>
    <w:p w14:paraId="0D96540D" w14:textId="63760CFD" w:rsidR="00877CF1" w:rsidRPr="00877CF1" w:rsidRDefault="00A834EF" w:rsidP="00813703">
      <w:pPr>
        <w:pStyle w:val="ListBullet"/>
        <w:numPr>
          <w:ilvl w:val="1"/>
          <w:numId w:val="30"/>
        </w:numPr>
        <w:rPr>
          <w:szCs w:val="24"/>
        </w:rPr>
      </w:pPr>
      <w:r>
        <w:rPr>
          <w:szCs w:val="24"/>
        </w:rPr>
        <w:t>Display the ‘Know your Insulins’ poster ava</w:t>
      </w:r>
      <w:r w:rsidR="00212C02">
        <w:rPr>
          <w:szCs w:val="24"/>
        </w:rPr>
        <w:t>ilable</w:t>
      </w:r>
      <w:r>
        <w:rPr>
          <w:szCs w:val="24"/>
        </w:rPr>
        <w:t xml:space="preserve"> here</w:t>
      </w:r>
      <w:r w:rsidR="00212C02">
        <w:rPr>
          <w:szCs w:val="24"/>
        </w:rPr>
        <w:t xml:space="preserve">: </w:t>
      </w:r>
      <w:hyperlink r:id="rId14" w:history="1">
        <w:r w:rsidR="00212C02" w:rsidRPr="00212C02">
          <w:rPr>
            <w:rStyle w:val="Hyperlink"/>
            <w:szCs w:val="24"/>
          </w:rPr>
          <w:t>https://www.nswtag.org.au/wp-content/uploads/2021/05/Know-your-insulins_Poster_V1.1_30Jun21.pdf</w:t>
        </w:r>
      </w:hyperlink>
    </w:p>
    <w:p w14:paraId="0AC7F540" w14:textId="7DA805CA" w:rsidR="00A834EF" w:rsidRDefault="00A834EF" w:rsidP="00A834EF">
      <w:pPr>
        <w:pStyle w:val="ListBullet"/>
        <w:numPr>
          <w:ilvl w:val="0"/>
          <w:numId w:val="30"/>
        </w:numPr>
      </w:pPr>
      <w:r>
        <w:t>All staff who prescribe dispe</w:t>
      </w:r>
      <w:r w:rsidR="00877CF1">
        <w:t xml:space="preserve">nse or administer insulin </w:t>
      </w:r>
      <w:r>
        <w:t>should com</w:t>
      </w:r>
      <w:r w:rsidR="00877CF1">
        <w:t>plete</w:t>
      </w:r>
      <w:r>
        <w:t xml:space="preserve"> the High Risk Medicines Education module ‘Insulin’ </w:t>
      </w:r>
      <w:proofErr w:type="spellStart"/>
      <w:r>
        <w:t>avalaible</w:t>
      </w:r>
      <w:proofErr w:type="spellEnd"/>
      <w:r>
        <w:t xml:space="preserve"> on HRIMS.</w:t>
      </w:r>
    </w:p>
    <w:p w14:paraId="3418529F" w14:textId="77777777" w:rsidR="00A834EF" w:rsidRDefault="00A834EF" w:rsidP="00A834EF">
      <w:pPr>
        <w:rPr>
          <w:rFonts w:cs="Arial"/>
          <w:i/>
          <w:szCs w:val="24"/>
        </w:rPr>
      </w:pPr>
    </w:p>
    <w:p w14:paraId="0BF73C62" w14:textId="1BAA98DD" w:rsidR="00B32C80" w:rsidRPr="00813703" w:rsidRDefault="00877CF1" w:rsidP="713B8FC0">
      <w:pPr>
        <w:spacing w:line="276" w:lineRule="auto"/>
        <w:rPr>
          <w:rFonts w:cstheme="minorBidi"/>
          <w:b/>
        </w:rPr>
      </w:pPr>
      <w:r>
        <w:rPr>
          <w:rFonts w:cstheme="minorBidi"/>
          <w:b/>
        </w:rPr>
        <w:t>For clinical guidance on reducing risk with insulin, s</w:t>
      </w:r>
      <w:r w:rsidR="00B32C80" w:rsidRPr="00813703">
        <w:rPr>
          <w:rFonts w:cstheme="minorBidi"/>
          <w:b/>
        </w:rPr>
        <w:t xml:space="preserve">ee </w:t>
      </w:r>
      <w:r w:rsidR="7E096F69" w:rsidRPr="00813703">
        <w:rPr>
          <w:rFonts w:cstheme="minorBidi"/>
          <w:b/>
        </w:rPr>
        <w:t xml:space="preserve">insulin related </w:t>
      </w:r>
      <w:r w:rsidR="00B32C80" w:rsidRPr="00813703">
        <w:rPr>
          <w:rFonts w:cstheme="minorBidi"/>
          <w:b/>
        </w:rPr>
        <w:t>specific documents</w:t>
      </w:r>
      <w:r w:rsidR="00212C02">
        <w:rPr>
          <w:rFonts w:cstheme="minorBidi"/>
          <w:b/>
        </w:rPr>
        <w:t>.</w:t>
      </w:r>
      <w:r w:rsidR="00B32C80" w:rsidRPr="00813703">
        <w:rPr>
          <w:rFonts w:cstheme="minorBidi"/>
          <w:b/>
        </w:rPr>
        <w:t xml:space="preserve"> </w:t>
      </w:r>
    </w:p>
    <w:p w14:paraId="2E519CC0" w14:textId="77777777" w:rsidR="00B32C80" w:rsidRDefault="00B32C80" w:rsidP="00B32C80">
      <w:pPr>
        <w:rPr>
          <w:rFonts w:cs="Arial"/>
          <w:b/>
          <w:szCs w:val="24"/>
        </w:rPr>
      </w:pPr>
    </w:p>
    <w:p w14:paraId="3E44B42E" w14:textId="56454030" w:rsidR="00B32C80" w:rsidRDefault="00000000" w:rsidP="004F31B6">
      <w:pPr>
        <w:jc w:val="right"/>
        <w:rPr>
          <w:rFonts w:cs="Arial"/>
          <w:b/>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5A4E0A6B" w14:textId="77777777" w:rsidTr="00EB4FCE">
        <w:trPr>
          <w:cantSplit/>
          <w:trHeight w:val="285"/>
        </w:trPr>
        <w:tc>
          <w:tcPr>
            <w:tcW w:w="9158" w:type="dxa"/>
            <w:shd w:val="clear" w:color="auto" w:fill="A6A6A6" w:themeFill="background1" w:themeFillShade="A6"/>
          </w:tcPr>
          <w:p w14:paraId="5DDBF4DF" w14:textId="10ABB375" w:rsidR="00B32C80" w:rsidRPr="003D2D06" w:rsidRDefault="00B32C80" w:rsidP="00EB4FCE">
            <w:pPr>
              <w:pStyle w:val="Heading1"/>
            </w:pPr>
            <w:bookmarkStart w:id="25" w:name="_Toc158723930"/>
            <w:r>
              <w:t xml:space="preserve">Section </w:t>
            </w:r>
            <w:r w:rsidR="00E41CD4">
              <w:t>9</w:t>
            </w:r>
            <w:r w:rsidRPr="003D2D06">
              <w:t xml:space="preserve"> – </w:t>
            </w:r>
            <w:r>
              <w:t>Narcotics and other Sedatives</w:t>
            </w:r>
            <w:bookmarkEnd w:id="25"/>
          </w:p>
        </w:tc>
      </w:tr>
    </w:tbl>
    <w:p w14:paraId="7EF28AED" w14:textId="77777777" w:rsidR="00B32C80" w:rsidRDefault="00B32C80" w:rsidP="00B32C80"/>
    <w:p w14:paraId="5455F12D" w14:textId="6BB3A173" w:rsidR="009E4079" w:rsidRDefault="009E4079" w:rsidP="00B32C80">
      <w:pPr>
        <w:rPr>
          <w:rFonts w:eastAsiaTheme="minorHAnsi" w:cs="Arial"/>
          <w:bCs/>
          <w:szCs w:val="24"/>
        </w:rPr>
      </w:pPr>
      <w:r>
        <w:rPr>
          <w:rFonts w:eastAsiaTheme="minorHAnsi" w:cs="Arial"/>
          <w:bCs/>
          <w:szCs w:val="24"/>
        </w:rPr>
        <w:t>Errors in opioid dosing can cause harm ranging from inadequate analgesia to excessive sedation and potentially lethal respiratory depression and narcotisation</w:t>
      </w:r>
      <w:r>
        <w:rPr>
          <w:rFonts w:eastAsiaTheme="minorHAnsi" w:cs="Arial"/>
          <w:bCs/>
          <w:szCs w:val="24"/>
          <w:vertAlign w:val="superscript"/>
        </w:rPr>
        <w:t>1</w:t>
      </w:r>
      <w:r>
        <w:rPr>
          <w:rFonts w:eastAsiaTheme="minorHAnsi" w:cs="Arial"/>
          <w:bCs/>
          <w:szCs w:val="24"/>
        </w:rPr>
        <w:t>. Because of this, all opioids, regardless of their schedule or potency, are included</w:t>
      </w:r>
      <w:r w:rsidR="00212C02">
        <w:rPr>
          <w:rFonts w:eastAsiaTheme="minorHAnsi" w:cs="Arial"/>
          <w:bCs/>
          <w:szCs w:val="24"/>
        </w:rPr>
        <w:t>.</w:t>
      </w:r>
    </w:p>
    <w:p w14:paraId="413CAEA4" w14:textId="77777777" w:rsidR="00212C02" w:rsidRDefault="00212C02" w:rsidP="00B32C80">
      <w:pPr>
        <w:rPr>
          <w:rFonts w:eastAsiaTheme="minorHAnsi" w:cs="Arial"/>
          <w:bCs/>
          <w:szCs w:val="24"/>
        </w:rPr>
      </w:pPr>
    </w:p>
    <w:p w14:paraId="45107CD2" w14:textId="6FAFD866" w:rsidR="009E4079" w:rsidRDefault="009E4079" w:rsidP="009E4079">
      <w:pPr>
        <w:autoSpaceDE w:val="0"/>
        <w:autoSpaceDN w:val="0"/>
        <w:adjustRightInd w:val="0"/>
        <w:rPr>
          <w:rFonts w:eastAsiaTheme="minorHAnsi" w:cs="Arial"/>
          <w:szCs w:val="24"/>
        </w:rPr>
      </w:pPr>
      <w:proofErr w:type="spellStart"/>
      <w:r>
        <w:rPr>
          <w:rFonts w:eastAsiaTheme="minorHAnsi" w:cs="Arial"/>
          <w:szCs w:val="24"/>
        </w:rPr>
        <w:t>HYDROmorphone</w:t>
      </w:r>
      <w:proofErr w:type="spellEnd"/>
      <w:r>
        <w:rPr>
          <w:rFonts w:eastAsiaTheme="minorHAnsi" w:cs="Arial"/>
          <w:szCs w:val="24"/>
        </w:rPr>
        <w:t xml:space="preserve"> is a potent opioid used to treat moderate to severe, acute, or chronic pain and is five to seven times more potent than morphine. Because of its high potency and the frequency of errors due to confusion between morphine and </w:t>
      </w:r>
      <w:proofErr w:type="spellStart"/>
      <w:r>
        <w:rPr>
          <w:rFonts w:eastAsiaTheme="minorHAnsi" w:cs="Arial"/>
          <w:szCs w:val="24"/>
        </w:rPr>
        <w:t>HYDROmorphone</w:t>
      </w:r>
      <w:proofErr w:type="spellEnd"/>
      <w:r>
        <w:rPr>
          <w:rFonts w:eastAsiaTheme="minorHAnsi" w:cs="Arial"/>
          <w:szCs w:val="24"/>
        </w:rPr>
        <w:t xml:space="preserve">, additional actions to reduce the risk of harm from </w:t>
      </w:r>
      <w:proofErr w:type="spellStart"/>
      <w:r>
        <w:rPr>
          <w:rFonts w:eastAsiaTheme="minorHAnsi" w:cs="Arial"/>
          <w:szCs w:val="24"/>
        </w:rPr>
        <w:t>HYDROmorphone</w:t>
      </w:r>
      <w:proofErr w:type="spellEnd"/>
      <w:r>
        <w:rPr>
          <w:rFonts w:eastAsiaTheme="minorHAnsi" w:cs="Arial"/>
          <w:szCs w:val="24"/>
        </w:rPr>
        <w:t xml:space="preserve"> are required in conjunction with the standards that apply to all opioids. </w:t>
      </w:r>
    </w:p>
    <w:p w14:paraId="24915E81" w14:textId="77777777" w:rsidR="009E4079" w:rsidRDefault="009E4079" w:rsidP="009E4079"/>
    <w:p w14:paraId="77E34903" w14:textId="77777777" w:rsidR="009E4079" w:rsidRDefault="009E4079" w:rsidP="009E4079">
      <w:r>
        <w:t xml:space="preserve">Opioid transdermal patch delivery systems pose unique safety risks such as failure to recognise the presence of an opioid patch or increased absorption of opioids due to exposure to heat sources. Additional actions required to ensure the safe use of opioid transdermal patch delivery systems are also include in these standards. </w:t>
      </w:r>
    </w:p>
    <w:p w14:paraId="1F0111B1" w14:textId="6675FF42" w:rsidR="009E4079" w:rsidRDefault="009E4079" w:rsidP="00B32C80">
      <w:pPr>
        <w:rPr>
          <w:rFonts w:eastAsiaTheme="minorHAnsi" w:cs="Arial"/>
          <w:bCs/>
          <w:szCs w:val="24"/>
        </w:rPr>
      </w:pPr>
    </w:p>
    <w:p w14:paraId="57CE7798" w14:textId="37BE9EBE" w:rsidR="009E4079" w:rsidRPr="00B32C80" w:rsidRDefault="009E4079" w:rsidP="00B32C80">
      <w:pPr>
        <w:rPr>
          <w:b/>
          <w:bCs/>
        </w:rPr>
      </w:pPr>
      <w:r>
        <w:rPr>
          <w:b/>
          <w:bCs/>
        </w:rPr>
        <w:t>Opioids Generally</w:t>
      </w:r>
    </w:p>
    <w:p w14:paraId="26CB3515" w14:textId="7FD4D7C5" w:rsidR="00B32C80" w:rsidRPr="00354949" w:rsidRDefault="00B32C80" w:rsidP="4B108BD2">
      <w:pPr>
        <w:pStyle w:val="ListBullet"/>
        <w:ind w:left="426" w:hanging="426"/>
        <w:rPr>
          <w:rFonts w:cstheme="minorBidi"/>
        </w:rPr>
      </w:pPr>
      <w:r w:rsidRPr="4B108BD2">
        <w:rPr>
          <w:rFonts w:cstheme="minorBidi"/>
        </w:rPr>
        <w:t xml:space="preserve">Prescribers should include the trade name of the specific preparation where modified release and immediate release preparations exist (e.g. Oxycodone </w:t>
      </w:r>
      <w:proofErr w:type="spellStart"/>
      <w:r w:rsidRPr="4B108BD2">
        <w:rPr>
          <w:rFonts w:cstheme="minorBidi"/>
        </w:rPr>
        <w:t>Oxycontin</w:t>
      </w:r>
      <w:r w:rsidR="00385CCC" w:rsidRPr="4B108BD2">
        <w:rPr>
          <w:rFonts w:cstheme="minorBidi"/>
          <w:vertAlign w:val="superscript"/>
        </w:rPr>
        <w:t>TM</w:t>
      </w:r>
      <w:proofErr w:type="spellEnd"/>
      <w:r w:rsidRPr="4B108BD2">
        <w:rPr>
          <w:rFonts w:cstheme="minorBidi"/>
        </w:rPr>
        <w:t xml:space="preserve"> or Oxycodone </w:t>
      </w:r>
      <w:proofErr w:type="spellStart"/>
      <w:r w:rsidRPr="4B108BD2">
        <w:rPr>
          <w:rFonts w:cstheme="minorBidi"/>
        </w:rPr>
        <w:t>Endone</w:t>
      </w:r>
      <w:r w:rsidR="00385CCC" w:rsidRPr="4B108BD2">
        <w:rPr>
          <w:rFonts w:cstheme="minorBidi"/>
          <w:vertAlign w:val="superscript"/>
        </w:rPr>
        <w:t>TM</w:t>
      </w:r>
      <w:proofErr w:type="spellEnd"/>
      <w:r w:rsidRPr="4B108BD2">
        <w:rPr>
          <w:rFonts w:cstheme="minorBidi"/>
        </w:rPr>
        <w:t>)</w:t>
      </w:r>
    </w:p>
    <w:p w14:paraId="5CC0287D" w14:textId="77777777" w:rsidR="00B32C80" w:rsidRPr="00354949" w:rsidRDefault="00B32C80" w:rsidP="4B108BD2">
      <w:pPr>
        <w:pStyle w:val="ListBullet"/>
        <w:ind w:left="426" w:hanging="426"/>
        <w:rPr>
          <w:rFonts w:cstheme="minorBidi"/>
        </w:rPr>
      </w:pPr>
      <w:r w:rsidRPr="4B108BD2">
        <w:rPr>
          <w:rFonts w:cstheme="minorBidi"/>
        </w:rPr>
        <w:t xml:space="preserve">The medication history taken on admission must include: a reliable source to confirm the drug(s) and dose(s) such as the patient’s community pharmacy, GP or prescribing specialist and when the last dose of narcotic(s) (and other sedatives) </w:t>
      </w:r>
      <w:proofErr w:type="gramStart"/>
      <w:r w:rsidRPr="4B108BD2">
        <w:rPr>
          <w:rFonts w:cstheme="minorBidi"/>
        </w:rPr>
        <w:t>were</w:t>
      </w:r>
      <w:proofErr w:type="gramEnd"/>
      <w:r w:rsidRPr="4B108BD2">
        <w:rPr>
          <w:rFonts w:cstheme="minorBidi"/>
        </w:rPr>
        <w:t xml:space="preserve"> taken.</w:t>
      </w:r>
    </w:p>
    <w:p w14:paraId="52DE36A6" w14:textId="77777777" w:rsidR="00B32C80" w:rsidRPr="00B32C80" w:rsidRDefault="00B32C80" w:rsidP="4B108BD2">
      <w:pPr>
        <w:pStyle w:val="ListBullet"/>
        <w:ind w:left="426" w:hanging="426"/>
        <w:rPr>
          <w:rFonts w:cstheme="minorBidi"/>
        </w:rPr>
      </w:pPr>
      <w:r w:rsidRPr="4B108BD2">
        <w:rPr>
          <w:rFonts w:cstheme="minorBidi"/>
        </w:rPr>
        <w:t xml:space="preserve">Naloxone injection must be available for reversal in clinical units wherever narcotics are used </w:t>
      </w:r>
    </w:p>
    <w:p w14:paraId="31E36615" w14:textId="77777777" w:rsidR="00B32C80" w:rsidRDefault="00B32C80" w:rsidP="4B108BD2">
      <w:pPr>
        <w:pStyle w:val="ListBullet"/>
        <w:ind w:left="426" w:hanging="426"/>
        <w:rPr>
          <w:rFonts w:cstheme="minorBidi"/>
        </w:rPr>
      </w:pPr>
      <w:r w:rsidRPr="4B108BD2">
        <w:rPr>
          <w:rFonts w:cstheme="minorBidi"/>
        </w:rPr>
        <w:t xml:space="preserve">Approved opioid conversion calculators and resources may include: </w:t>
      </w:r>
    </w:p>
    <w:p w14:paraId="7BCFFD0E" w14:textId="77777777" w:rsidR="00B32C80" w:rsidRDefault="00B32C80" w:rsidP="00385CCC">
      <w:pPr>
        <w:pStyle w:val="ListParagraph"/>
        <w:numPr>
          <w:ilvl w:val="1"/>
          <w:numId w:val="17"/>
        </w:numPr>
        <w:autoSpaceDE w:val="0"/>
        <w:autoSpaceDN w:val="0"/>
        <w:adjustRightInd w:val="0"/>
        <w:spacing w:line="276" w:lineRule="auto"/>
        <w:contextualSpacing w:val="0"/>
        <w:rPr>
          <w:rFonts w:cstheme="minorHAnsi"/>
        </w:rPr>
      </w:pPr>
      <w:r>
        <w:rPr>
          <w:rFonts w:cstheme="minorHAnsi"/>
        </w:rPr>
        <w:t>eviQ</w:t>
      </w:r>
    </w:p>
    <w:p w14:paraId="752C0296" w14:textId="77777777" w:rsidR="00B32C80" w:rsidRDefault="00B32C80" w:rsidP="00385CCC">
      <w:pPr>
        <w:pStyle w:val="ListParagraph"/>
        <w:numPr>
          <w:ilvl w:val="1"/>
          <w:numId w:val="17"/>
        </w:numPr>
        <w:autoSpaceDE w:val="0"/>
        <w:autoSpaceDN w:val="0"/>
        <w:adjustRightInd w:val="0"/>
        <w:spacing w:line="276" w:lineRule="auto"/>
        <w:contextualSpacing w:val="0"/>
        <w:rPr>
          <w:rFonts w:cstheme="minorHAnsi"/>
        </w:rPr>
      </w:pPr>
      <w:r w:rsidRPr="00354949">
        <w:rPr>
          <w:rFonts w:cstheme="minorHAnsi"/>
        </w:rPr>
        <w:t>Australian Medicines Handbook</w:t>
      </w:r>
    </w:p>
    <w:p w14:paraId="346C221D" w14:textId="77777777" w:rsidR="00B32C80" w:rsidRPr="001357BC" w:rsidRDefault="00B32C80" w:rsidP="00385CCC">
      <w:pPr>
        <w:pStyle w:val="ListParagraph"/>
        <w:numPr>
          <w:ilvl w:val="1"/>
          <w:numId w:val="17"/>
        </w:numPr>
        <w:autoSpaceDE w:val="0"/>
        <w:autoSpaceDN w:val="0"/>
        <w:adjustRightInd w:val="0"/>
        <w:spacing w:line="276" w:lineRule="auto"/>
        <w:contextualSpacing w:val="0"/>
        <w:rPr>
          <w:rFonts w:cstheme="minorHAnsi"/>
        </w:rPr>
      </w:pPr>
      <w:r w:rsidRPr="00354949">
        <w:rPr>
          <w:rFonts w:cstheme="minorHAnsi"/>
          <w:color w:val="545454"/>
        </w:rPr>
        <w:lastRenderedPageBreak/>
        <w:t xml:space="preserve">The </w:t>
      </w:r>
      <w:r w:rsidRPr="00354949">
        <w:rPr>
          <w:rFonts w:cstheme="minorHAnsi"/>
          <w:color w:val="000000"/>
        </w:rPr>
        <w:t>Australian and New Zealand College of Anaesthetists (ANZCA)</w:t>
      </w:r>
      <w:r>
        <w:rPr>
          <w:rFonts w:cstheme="minorHAnsi"/>
          <w:color w:val="000000"/>
        </w:rPr>
        <w:t xml:space="preserve"> Opioid calculator app</w:t>
      </w:r>
    </w:p>
    <w:p w14:paraId="3365827C" w14:textId="77777777" w:rsidR="00B32C80" w:rsidRDefault="00B32C80" w:rsidP="00385CCC">
      <w:pPr>
        <w:pStyle w:val="ListParagraph"/>
        <w:numPr>
          <w:ilvl w:val="1"/>
          <w:numId w:val="17"/>
        </w:numPr>
        <w:autoSpaceDE w:val="0"/>
        <w:autoSpaceDN w:val="0"/>
        <w:adjustRightInd w:val="0"/>
        <w:spacing w:line="276" w:lineRule="auto"/>
        <w:contextualSpacing w:val="0"/>
        <w:rPr>
          <w:rFonts w:cstheme="minorHAnsi"/>
        </w:rPr>
      </w:pPr>
      <w:r w:rsidRPr="00354949">
        <w:rPr>
          <w:rFonts w:cstheme="minorHAnsi"/>
        </w:rPr>
        <w:t xml:space="preserve">Therapeutic Guidelines.  </w:t>
      </w:r>
    </w:p>
    <w:p w14:paraId="584BA19E" w14:textId="77777777" w:rsidR="00B32C80" w:rsidRPr="001357BC" w:rsidRDefault="00B32C80" w:rsidP="00385CCC">
      <w:pPr>
        <w:pStyle w:val="ListParagraph"/>
        <w:numPr>
          <w:ilvl w:val="1"/>
          <w:numId w:val="17"/>
        </w:numPr>
        <w:autoSpaceDE w:val="0"/>
        <w:autoSpaceDN w:val="0"/>
        <w:adjustRightInd w:val="0"/>
        <w:spacing w:line="276" w:lineRule="auto"/>
        <w:contextualSpacing w:val="0"/>
        <w:rPr>
          <w:rFonts w:cstheme="minorHAnsi"/>
          <w:i/>
        </w:rPr>
      </w:pPr>
      <w:r w:rsidRPr="4B108BD2">
        <w:rPr>
          <w:rFonts w:cstheme="minorBidi"/>
          <w:i/>
          <w:iCs/>
        </w:rPr>
        <w:t>Use of Drug Company sponsored conversion charts are strongly recommended against.</w:t>
      </w:r>
    </w:p>
    <w:p w14:paraId="16C0CD8B" w14:textId="1AC5F419" w:rsidR="4B108BD2" w:rsidRDefault="4B108BD2" w:rsidP="00813703">
      <w:pPr>
        <w:pStyle w:val="ListBullet"/>
        <w:numPr>
          <w:ilvl w:val="0"/>
          <w:numId w:val="0"/>
        </w:numPr>
        <w:ind w:left="426"/>
        <w:rPr>
          <w:rFonts w:cstheme="minorBidi"/>
          <w:color w:val="000000" w:themeColor="text1"/>
        </w:rPr>
      </w:pPr>
    </w:p>
    <w:p w14:paraId="5ABB3ED4" w14:textId="480DBFFC" w:rsidR="00877CF1" w:rsidRDefault="4B5233CA" w:rsidP="00813703">
      <w:pPr>
        <w:pStyle w:val="ListBullet"/>
        <w:numPr>
          <w:ilvl w:val="0"/>
          <w:numId w:val="0"/>
        </w:numPr>
        <w:rPr>
          <w:rFonts w:cstheme="minorBidi"/>
          <w:color w:val="000000" w:themeColor="text1"/>
        </w:rPr>
      </w:pPr>
      <w:r w:rsidRPr="00813703">
        <w:rPr>
          <w:rFonts w:cstheme="minorBidi"/>
          <w:b/>
          <w:bCs/>
          <w:color w:val="000000" w:themeColor="text1"/>
        </w:rPr>
        <w:t xml:space="preserve">Use of Real Time Prescription Monitoring resources such as Canberra </w:t>
      </w:r>
      <w:r w:rsidRPr="00813703">
        <w:rPr>
          <w:rFonts w:cstheme="minorBidi"/>
          <w:b/>
          <w:color w:val="000000" w:themeColor="text1"/>
        </w:rPr>
        <w:t>Script</w:t>
      </w:r>
    </w:p>
    <w:p w14:paraId="0461B057" w14:textId="77777777" w:rsidR="00877CF1" w:rsidRDefault="0CAD4E99" w:rsidP="00813703">
      <w:pPr>
        <w:pStyle w:val="ListBullet"/>
        <w:numPr>
          <w:ilvl w:val="0"/>
          <w:numId w:val="41"/>
        </w:numPr>
      </w:pPr>
      <w:r w:rsidRPr="00813703">
        <w:t xml:space="preserve">Prior to prescribing or supplying monitored medicines, all prescribers and pharmacists working in Canberra Health Services (CHS) should access Canberra Script and review the relevant information about prescribing and dispensing events to ensure it is safe and appropriate to provide monitored medicines. </w:t>
      </w:r>
    </w:p>
    <w:p w14:paraId="101BD69D" w14:textId="4D425272" w:rsidR="0CAD4E99" w:rsidRPr="00813703" w:rsidRDefault="0CAD4E99" w:rsidP="00813703">
      <w:pPr>
        <w:pStyle w:val="ListParagraph"/>
        <w:numPr>
          <w:ilvl w:val="0"/>
          <w:numId w:val="41"/>
        </w:numPr>
        <w:rPr>
          <w:rFonts w:asciiTheme="minorHAnsi" w:hAnsiTheme="minorHAnsi" w:cstheme="minorHAnsi"/>
        </w:rPr>
      </w:pPr>
      <w:r w:rsidRPr="00813703">
        <w:rPr>
          <w:rFonts w:asciiTheme="minorHAnsi" w:hAnsiTheme="minorHAnsi" w:cstheme="minorHAnsi"/>
        </w:rPr>
        <w:t>This process will reduce the potential for harm caused by monitored medicines, particularly opioids.</w:t>
      </w:r>
    </w:p>
    <w:p w14:paraId="4F0337C0" w14:textId="38CE4A02" w:rsidR="0CAD4E99" w:rsidRPr="00813703" w:rsidRDefault="0CAD4E99" w:rsidP="00813703">
      <w:pPr>
        <w:pStyle w:val="ListParagraph"/>
        <w:numPr>
          <w:ilvl w:val="0"/>
          <w:numId w:val="41"/>
        </w:numPr>
        <w:rPr>
          <w:rFonts w:asciiTheme="minorHAnsi" w:hAnsiTheme="minorHAnsi" w:cstheme="minorHAnsi"/>
          <w:szCs w:val="24"/>
        </w:rPr>
      </w:pPr>
      <w:r w:rsidRPr="00813703">
        <w:rPr>
          <w:rFonts w:asciiTheme="minorHAnsi" w:hAnsiTheme="minorHAnsi" w:cstheme="minorHAnsi"/>
          <w:color w:val="000000" w:themeColor="text1"/>
          <w:szCs w:val="24"/>
        </w:rPr>
        <w:t>This is outlined in the CHS Canberra Script Policy</w:t>
      </w:r>
    </w:p>
    <w:p w14:paraId="75853A9E" w14:textId="20AF0233" w:rsidR="4B108BD2" w:rsidRDefault="4B108BD2" w:rsidP="4B108BD2">
      <w:pPr>
        <w:rPr>
          <w:szCs w:val="24"/>
        </w:rPr>
      </w:pPr>
    </w:p>
    <w:p w14:paraId="7212D4E0" w14:textId="29F352EF" w:rsidR="009E4079" w:rsidRDefault="009E4079" w:rsidP="00877CF1">
      <w:pPr>
        <w:pStyle w:val="ListBullet"/>
        <w:numPr>
          <w:ilvl w:val="0"/>
          <w:numId w:val="0"/>
        </w:numPr>
        <w:ind w:left="360" w:hanging="360"/>
        <w:rPr>
          <w:b/>
          <w:szCs w:val="24"/>
        </w:rPr>
      </w:pPr>
      <w:r>
        <w:rPr>
          <w:b/>
          <w:szCs w:val="24"/>
        </w:rPr>
        <w:t>Propofol</w:t>
      </w:r>
    </w:p>
    <w:p w14:paraId="362BDD6D" w14:textId="016FE97C" w:rsidR="009E4079" w:rsidRDefault="009E4079" w:rsidP="009E4079">
      <w:pPr>
        <w:pStyle w:val="ListParagraph"/>
        <w:numPr>
          <w:ilvl w:val="0"/>
          <w:numId w:val="43"/>
        </w:numPr>
        <w:autoSpaceDE w:val="0"/>
        <w:autoSpaceDN w:val="0"/>
        <w:adjustRightInd w:val="0"/>
        <w:spacing w:line="276" w:lineRule="auto"/>
        <w:rPr>
          <w:szCs w:val="24"/>
        </w:rPr>
      </w:pPr>
      <w:r>
        <w:rPr>
          <w:szCs w:val="24"/>
        </w:rPr>
        <w:t>Propofol is a Schedule 4 (prescription medicine). However, local and international evidence suggests that propofol is a medicine at risk of unauthorised access and abuse. For this reason, additional controls have been implemented at NCH over and above those for other Schedule 4 medicines</w:t>
      </w:r>
    </w:p>
    <w:p w14:paraId="2249657F" w14:textId="028C16C2" w:rsidR="009E4079" w:rsidRDefault="009E4079" w:rsidP="009E4079">
      <w:pPr>
        <w:pStyle w:val="ListParagraph"/>
        <w:numPr>
          <w:ilvl w:val="0"/>
          <w:numId w:val="43"/>
        </w:numPr>
        <w:autoSpaceDE w:val="0"/>
        <w:autoSpaceDN w:val="0"/>
        <w:adjustRightInd w:val="0"/>
        <w:spacing w:line="276" w:lineRule="auto"/>
        <w:rPr>
          <w:szCs w:val="24"/>
        </w:rPr>
      </w:pPr>
      <w:r>
        <w:rPr>
          <w:szCs w:val="24"/>
        </w:rPr>
        <w:t xml:space="preserve">Refer to the S4D section of the </w:t>
      </w:r>
      <w:r w:rsidR="00A51396">
        <w:rPr>
          <w:szCs w:val="24"/>
        </w:rPr>
        <w:t xml:space="preserve">NCH </w:t>
      </w:r>
      <w:r>
        <w:rPr>
          <w:szCs w:val="24"/>
        </w:rPr>
        <w:t xml:space="preserve">Medication Handling </w:t>
      </w:r>
      <w:r w:rsidR="00A51396">
        <w:rPr>
          <w:szCs w:val="24"/>
        </w:rPr>
        <w:t xml:space="preserve">procedure </w:t>
      </w:r>
    </w:p>
    <w:p w14:paraId="000613FA" w14:textId="77777777" w:rsidR="009E4079" w:rsidRDefault="009E4079" w:rsidP="00877CF1">
      <w:pPr>
        <w:pStyle w:val="ListBullet"/>
        <w:numPr>
          <w:ilvl w:val="0"/>
          <w:numId w:val="0"/>
        </w:numPr>
        <w:ind w:left="360" w:hanging="360"/>
        <w:rPr>
          <w:b/>
          <w:szCs w:val="24"/>
        </w:rPr>
      </w:pPr>
    </w:p>
    <w:p w14:paraId="6BD693E8" w14:textId="4598551D" w:rsidR="00877CF1" w:rsidRPr="007A6CA5" w:rsidRDefault="00877CF1" w:rsidP="00877CF1">
      <w:pPr>
        <w:pStyle w:val="ListBullet"/>
        <w:numPr>
          <w:ilvl w:val="0"/>
          <w:numId w:val="0"/>
        </w:numPr>
        <w:ind w:left="360" w:hanging="360"/>
        <w:rPr>
          <w:b/>
          <w:szCs w:val="24"/>
        </w:rPr>
      </w:pPr>
      <w:r w:rsidRPr="007A6CA5">
        <w:rPr>
          <w:b/>
          <w:szCs w:val="24"/>
        </w:rPr>
        <w:t>Education and Awareness</w:t>
      </w:r>
    </w:p>
    <w:p w14:paraId="5175F520" w14:textId="57E707EA" w:rsidR="00877CF1" w:rsidRPr="00A51396" w:rsidRDefault="00877CF1" w:rsidP="00A51396">
      <w:pPr>
        <w:pStyle w:val="ListBullet"/>
        <w:numPr>
          <w:ilvl w:val="0"/>
          <w:numId w:val="30"/>
        </w:numPr>
        <w:rPr>
          <w:szCs w:val="24"/>
        </w:rPr>
      </w:pPr>
      <w:r>
        <w:rPr>
          <w:szCs w:val="24"/>
        </w:rPr>
        <w:t>All clinical areas where opioids and sedatives are used must</w:t>
      </w:r>
      <w:r w:rsidR="00A51396">
        <w:rPr>
          <w:szCs w:val="24"/>
        </w:rPr>
        <w:t xml:space="preserve"> e</w:t>
      </w:r>
      <w:r w:rsidRPr="00A51396">
        <w:rPr>
          <w:szCs w:val="24"/>
        </w:rPr>
        <w:t xml:space="preserve">nsure staff are aware that opioids and sedatives are </w:t>
      </w:r>
      <w:proofErr w:type="spellStart"/>
      <w:r w:rsidRPr="00A51396">
        <w:rPr>
          <w:szCs w:val="24"/>
        </w:rPr>
        <w:t>considerd</w:t>
      </w:r>
      <w:proofErr w:type="spellEnd"/>
      <w:r w:rsidRPr="00A51396">
        <w:rPr>
          <w:szCs w:val="24"/>
        </w:rPr>
        <w:t xml:space="preserve"> high risk at North Canberra Hospital and CHH</w:t>
      </w:r>
    </w:p>
    <w:p w14:paraId="6DDF4786" w14:textId="5351BA96" w:rsidR="4B108BD2" w:rsidRPr="00212C02" w:rsidRDefault="00877CF1" w:rsidP="4B108BD2">
      <w:pPr>
        <w:pStyle w:val="ListBullet"/>
        <w:numPr>
          <w:ilvl w:val="0"/>
          <w:numId w:val="30"/>
        </w:numPr>
        <w:rPr>
          <w:szCs w:val="24"/>
        </w:rPr>
      </w:pPr>
      <w:r w:rsidRPr="00212C02">
        <w:rPr>
          <w:szCs w:val="24"/>
        </w:rPr>
        <w:t>All staff who prescribe dispe</w:t>
      </w:r>
      <w:r w:rsidR="009E4079" w:rsidRPr="00212C02">
        <w:rPr>
          <w:szCs w:val="24"/>
        </w:rPr>
        <w:t>nse or administer opioids and sedatives must</w:t>
      </w:r>
      <w:r w:rsidRPr="00212C02">
        <w:rPr>
          <w:szCs w:val="24"/>
        </w:rPr>
        <w:t xml:space="preserve"> complete the High Risk Medicines Education module ‘</w:t>
      </w:r>
      <w:r w:rsidR="009E4079" w:rsidRPr="00212C02">
        <w:rPr>
          <w:szCs w:val="24"/>
        </w:rPr>
        <w:t xml:space="preserve">High Risk Medication – Opioids in Acute Care’ </w:t>
      </w:r>
      <w:r w:rsidRPr="00212C02">
        <w:rPr>
          <w:szCs w:val="24"/>
        </w:rPr>
        <w:t>ava</w:t>
      </w:r>
      <w:r w:rsidR="00212C02">
        <w:rPr>
          <w:szCs w:val="24"/>
        </w:rPr>
        <w:t>ilable</w:t>
      </w:r>
      <w:r w:rsidRPr="00212C02">
        <w:rPr>
          <w:szCs w:val="24"/>
        </w:rPr>
        <w:t xml:space="preserve"> on HRIMS.</w:t>
      </w:r>
    </w:p>
    <w:p w14:paraId="448AEC57" w14:textId="77777777" w:rsidR="00B32C80" w:rsidRDefault="00B32C80" w:rsidP="00B32C80">
      <w:pPr>
        <w:rPr>
          <w:rFonts w:cs="Arial"/>
          <w:b/>
          <w:szCs w:val="24"/>
        </w:rPr>
      </w:pPr>
    </w:p>
    <w:p w14:paraId="64842716" w14:textId="27AE5972" w:rsidR="00B32C80" w:rsidRDefault="00000000" w:rsidP="004F48AC">
      <w:pPr>
        <w:jc w:val="right"/>
        <w:rPr>
          <w:rFonts w:cs="Arial"/>
          <w:b/>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703771F2" w14:textId="77777777" w:rsidTr="00EB4FCE">
        <w:trPr>
          <w:cantSplit/>
          <w:trHeight w:val="285"/>
        </w:trPr>
        <w:tc>
          <w:tcPr>
            <w:tcW w:w="9158" w:type="dxa"/>
            <w:shd w:val="clear" w:color="auto" w:fill="A6A6A6" w:themeFill="background1" w:themeFillShade="A6"/>
          </w:tcPr>
          <w:p w14:paraId="3CDC7313" w14:textId="5AE78DA8" w:rsidR="00B32C80" w:rsidRPr="003D2D06" w:rsidRDefault="00B32C80" w:rsidP="00EB4FCE">
            <w:pPr>
              <w:pStyle w:val="Heading1"/>
            </w:pPr>
            <w:bookmarkStart w:id="26" w:name="_Toc158723931"/>
            <w:r>
              <w:t xml:space="preserve">Section </w:t>
            </w:r>
            <w:r w:rsidR="00E41CD4">
              <w:t>10</w:t>
            </w:r>
            <w:r w:rsidRPr="003D2D06">
              <w:t xml:space="preserve"> – </w:t>
            </w:r>
            <w:r>
              <w:t>Hydromorphone</w:t>
            </w:r>
            <w:bookmarkEnd w:id="26"/>
          </w:p>
        </w:tc>
      </w:tr>
    </w:tbl>
    <w:p w14:paraId="1A1B4D26" w14:textId="77777777" w:rsidR="00B32C80" w:rsidRDefault="00B32C80" w:rsidP="00B32C80"/>
    <w:p w14:paraId="338A52B3"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Hydromorphone is five to seven times more potent than morphine.  Australian incidents involving confusion between the two and inadvertent administration of hydromorphone, have had fatal outcomes. </w:t>
      </w:r>
    </w:p>
    <w:p w14:paraId="5C9379A3"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Prescribers should include the trade name of the specific preparation (</w:t>
      </w:r>
      <w:proofErr w:type="spellStart"/>
      <w:r w:rsidRPr="4B108BD2">
        <w:rPr>
          <w:rFonts w:asciiTheme="minorHAnsi" w:hAnsiTheme="minorHAnsi" w:cstheme="minorBidi"/>
        </w:rPr>
        <w:t>Dilaudid</w:t>
      </w:r>
      <w:r w:rsidRPr="4B108BD2">
        <w:rPr>
          <w:rFonts w:asciiTheme="minorHAnsi" w:hAnsiTheme="minorHAnsi" w:cstheme="minorBidi"/>
          <w:vertAlign w:val="superscript"/>
        </w:rPr>
        <w:t>TM</w:t>
      </w:r>
      <w:proofErr w:type="spellEnd"/>
      <w:r w:rsidRPr="4B108BD2">
        <w:rPr>
          <w:rFonts w:asciiTheme="minorHAnsi" w:hAnsiTheme="minorHAnsi" w:cstheme="minorBidi"/>
        </w:rPr>
        <w:t xml:space="preserve">, </w:t>
      </w:r>
      <w:proofErr w:type="spellStart"/>
      <w:r w:rsidRPr="4B108BD2">
        <w:rPr>
          <w:rFonts w:asciiTheme="minorHAnsi" w:hAnsiTheme="minorHAnsi" w:cstheme="minorBidi"/>
        </w:rPr>
        <w:t>Jurnista</w:t>
      </w:r>
      <w:r w:rsidRPr="4B108BD2">
        <w:rPr>
          <w:rFonts w:asciiTheme="minorHAnsi" w:hAnsiTheme="minorHAnsi" w:cstheme="minorBidi"/>
          <w:vertAlign w:val="superscript"/>
        </w:rPr>
        <w:t>TM</w:t>
      </w:r>
      <w:proofErr w:type="spellEnd"/>
      <w:r w:rsidRPr="4B108BD2">
        <w:rPr>
          <w:rFonts w:asciiTheme="minorHAnsi" w:hAnsiTheme="minorHAnsi" w:cstheme="minorBidi"/>
        </w:rPr>
        <w:t xml:space="preserve">) </w:t>
      </w:r>
    </w:p>
    <w:p w14:paraId="20AE4F8A" w14:textId="77777777"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Hydromorphone must be stored in a Schedule 8 medication storage unit (safe), physically separated from the morphine and should have a “Hydromorphone keep it in the bag” sticker applied to the container which does not obscure the original labelling.  </w:t>
      </w:r>
    </w:p>
    <w:p w14:paraId="5A2E1522" w14:textId="667C16FE"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lastRenderedPageBreak/>
        <w:t>When stored in clinical areas, Hydromorphone must remain in orange bags provided by pharmacy or in a separate safe dedicated to hydromorphone only</w:t>
      </w:r>
      <w:r w:rsidR="00390A79" w:rsidRPr="4B108BD2">
        <w:rPr>
          <w:rFonts w:asciiTheme="minorHAnsi" w:hAnsiTheme="minorHAnsi" w:cstheme="minorBidi"/>
        </w:rPr>
        <w:t>.</w:t>
      </w:r>
    </w:p>
    <w:p w14:paraId="0E3E756D" w14:textId="77777777" w:rsidR="00390A79" w:rsidRDefault="00390A79" w:rsidP="00390A79">
      <w:pPr>
        <w:pStyle w:val="ListBullet"/>
        <w:numPr>
          <w:ilvl w:val="0"/>
          <w:numId w:val="0"/>
        </w:numPr>
        <w:ind w:left="426"/>
        <w:rPr>
          <w:rFonts w:asciiTheme="minorHAnsi" w:hAnsiTheme="minorHAnsi" w:cstheme="minorHAnsi"/>
          <w:szCs w:val="24"/>
        </w:rPr>
      </w:pPr>
    </w:p>
    <w:p w14:paraId="34ED9570" w14:textId="418B0B54" w:rsidR="00B32C80" w:rsidRPr="00B32C80" w:rsidRDefault="00B32C80" w:rsidP="006C3535">
      <w:pPr>
        <w:pStyle w:val="ListBullet"/>
        <w:numPr>
          <w:ilvl w:val="0"/>
          <w:numId w:val="0"/>
        </w:numPr>
        <w:rPr>
          <w:rFonts w:asciiTheme="minorHAnsi" w:hAnsiTheme="minorHAnsi" w:cstheme="minorHAnsi"/>
          <w:szCs w:val="24"/>
        </w:rPr>
      </w:pPr>
      <w:r w:rsidRPr="00B32C80">
        <w:rPr>
          <w:rFonts w:asciiTheme="minorHAnsi" w:hAnsiTheme="minorHAnsi" w:cstheme="minorHAnsi"/>
          <w:szCs w:val="24"/>
        </w:rPr>
        <w:t xml:space="preserve">The following precautions should be taken in supplying hydromorphone to clinical areas: </w:t>
      </w:r>
    </w:p>
    <w:p w14:paraId="198ACC98" w14:textId="5473805D" w:rsidR="00B32C80" w:rsidRP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Hydromorphone should not be stored in clinical areas where use is infrequent. In these circumstances, the required product should be individually issued per patient and returned to pharmacy at the end of the patient care episode</w:t>
      </w:r>
    </w:p>
    <w:p w14:paraId="7CD7B410" w14:textId="5EE5990B" w:rsidR="00B32C80" w:rsidRDefault="00B32C80" w:rsidP="4B108BD2">
      <w:pPr>
        <w:pStyle w:val="ListBullet"/>
        <w:ind w:left="426" w:hanging="426"/>
        <w:rPr>
          <w:rFonts w:asciiTheme="minorHAnsi" w:hAnsiTheme="minorHAnsi" w:cstheme="minorBidi"/>
        </w:rPr>
      </w:pPr>
      <w:r w:rsidRPr="4B108BD2">
        <w:rPr>
          <w:rFonts w:asciiTheme="minorHAnsi" w:hAnsiTheme="minorHAnsi" w:cstheme="minorBidi"/>
        </w:rPr>
        <w:t xml:space="preserve">High-concentration formulations of injectable hydromorphone (10 mg per mL) should not routinely be stored in clinical areas outside of palliative care units. In circumstances when </w:t>
      </w:r>
      <w:proofErr w:type="gramStart"/>
      <w:r w:rsidRPr="4B108BD2">
        <w:rPr>
          <w:rFonts w:asciiTheme="minorHAnsi" w:hAnsiTheme="minorHAnsi" w:cstheme="minorBidi"/>
        </w:rPr>
        <w:t>high-concentrations</w:t>
      </w:r>
      <w:proofErr w:type="gramEnd"/>
      <w:r w:rsidRPr="4B108BD2">
        <w:rPr>
          <w:rFonts w:asciiTheme="minorHAnsi" w:hAnsiTheme="minorHAnsi" w:cstheme="minorBidi"/>
        </w:rPr>
        <w:t xml:space="preserve"> are required, the product should be individually dispensed per patient, and removed at the end of the patient care episode</w:t>
      </w:r>
      <w:r w:rsidR="004F48AC">
        <w:rPr>
          <w:rFonts w:asciiTheme="minorHAnsi" w:hAnsiTheme="minorHAnsi" w:cstheme="minorBidi"/>
        </w:rPr>
        <w:t xml:space="preserve">. </w:t>
      </w:r>
      <w:r w:rsidRPr="4B108BD2">
        <w:rPr>
          <w:rFonts w:asciiTheme="minorHAnsi" w:hAnsiTheme="minorHAnsi" w:cstheme="minorBidi"/>
        </w:rPr>
        <w:t xml:space="preserve"> </w:t>
      </w:r>
    </w:p>
    <w:p w14:paraId="087DDC27" w14:textId="77777777" w:rsidR="00B32C80" w:rsidRPr="00212C02" w:rsidRDefault="00B32C80" w:rsidP="00813703">
      <w:pPr>
        <w:pStyle w:val="ListBullet"/>
        <w:numPr>
          <w:ilvl w:val="0"/>
          <w:numId w:val="0"/>
        </w:numPr>
        <w:ind w:left="426"/>
        <w:rPr>
          <w:rFonts w:cs="Arial"/>
          <w:b/>
          <w:szCs w:val="24"/>
        </w:rPr>
      </w:pPr>
    </w:p>
    <w:p w14:paraId="0847B106" w14:textId="5E92665C" w:rsidR="00B32C80" w:rsidRDefault="00000000" w:rsidP="004F48AC">
      <w:pPr>
        <w:jc w:val="right"/>
        <w:rPr>
          <w:rFonts w:cs="Arial"/>
          <w:b/>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6F567D20" w14:textId="77777777" w:rsidTr="00EB4FCE">
        <w:trPr>
          <w:cantSplit/>
          <w:trHeight w:val="285"/>
        </w:trPr>
        <w:tc>
          <w:tcPr>
            <w:tcW w:w="9158" w:type="dxa"/>
            <w:shd w:val="clear" w:color="auto" w:fill="A6A6A6" w:themeFill="background1" w:themeFillShade="A6"/>
          </w:tcPr>
          <w:p w14:paraId="415EDD24" w14:textId="14C32344" w:rsidR="00B32C80" w:rsidRPr="003D2D06" w:rsidRDefault="00B32C80" w:rsidP="00EB4FCE">
            <w:pPr>
              <w:pStyle w:val="Heading1"/>
            </w:pPr>
            <w:bookmarkStart w:id="27" w:name="_Toc158723932"/>
            <w:r>
              <w:t xml:space="preserve">Section </w:t>
            </w:r>
            <w:r w:rsidR="00390A79">
              <w:t>1</w:t>
            </w:r>
            <w:r w:rsidR="00E41CD4">
              <w:t>1</w:t>
            </w:r>
            <w:r w:rsidR="00390A79">
              <w:t xml:space="preserve"> – Chemotherapy – General Standards (Oral and Injectable)</w:t>
            </w:r>
            <w:bookmarkEnd w:id="27"/>
          </w:p>
        </w:tc>
      </w:tr>
    </w:tbl>
    <w:p w14:paraId="640B26AA" w14:textId="77777777" w:rsidR="00B32C80" w:rsidRDefault="00B32C80" w:rsidP="00B32C80"/>
    <w:p w14:paraId="6B8E03BD" w14:textId="1C1EAFFE" w:rsidR="551DF7B5" w:rsidRDefault="551DF7B5" w:rsidP="4B108BD2">
      <w:pPr>
        <w:pStyle w:val="ListBullet"/>
        <w:ind w:left="426" w:hanging="426"/>
        <w:rPr>
          <w:rFonts w:cstheme="minorBidi"/>
        </w:rPr>
      </w:pPr>
      <w:r w:rsidRPr="4B108BD2">
        <w:rPr>
          <w:rFonts w:cstheme="minorBidi"/>
        </w:rPr>
        <w:t xml:space="preserve">NCH does not have a </w:t>
      </w:r>
      <w:r w:rsidR="12CAD097" w:rsidRPr="4B108BD2">
        <w:rPr>
          <w:rFonts w:cstheme="minorBidi"/>
        </w:rPr>
        <w:t xml:space="preserve">cancer </w:t>
      </w:r>
      <w:r w:rsidRPr="4B108BD2">
        <w:rPr>
          <w:rFonts w:cstheme="minorBidi"/>
        </w:rPr>
        <w:t>chemotherapy service</w:t>
      </w:r>
    </w:p>
    <w:p w14:paraId="1C1E2B8C" w14:textId="154DBF69" w:rsidR="1BAC7EDC" w:rsidRDefault="1BAC7EDC" w:rsidP="4B108BD2">
      <w:pPr>
        <w:pStyle w:val="ListBullet"/>
        <w:ind w:left="426" w:hanging="426"/>
        <w:rPr>
          <w:rFonts w:cstheme="minorBidi"/>
        </w:rPr>
      </w:pPr>
      <w:r w:rsidRPr="4B108BD2">
        <w:rPr>
          <w:rFonts w:cstheme="minorBidi"/>
        </w:rPr>
        <w:t>Chemotherapy agents are only used at NCH in the following circumstances:</w:t>
      </w:r>
    </w:p>
    <w:p w14:paraId="2ACDD01E" w14:textId="01DA8D5F" w:rsidR="21201A74" w:rsidRDefault="21201A74" w:rsidP="00813703">
      <w:pPr>
        <w:pStyle w:val="ListBullet"/>
        <w:numPr>
          <w:ilvl w:val="1"/>
          <w:numId w:val="1"/>
        </w:numPr>
        <w:rPr>
          <w:rFonts w:cstheme="minorBidi"/>
          <w:szCs w:val="24"/>
        </w:rPr>
      </w:pPr>
      <w:r w:rsidRPr="4B108BD2">
        <w:rPr>
          <w:rFonts w:cstheme="minorBidi"/>
          <w:szCs w:val="24"/>
        </w:rPr>
        <w:t xml:space="preserve">Ongoing administration of patients' usual oral agents </w:t>
      </w:r>
      <w:r w:rsidR="5DBB6987" w:rsidRPr="4B108BD2">
        <w:rPr>
          <w:rFonts w:cstheme="minorBidi"/>
          <w:szCs w:val="24"/>
        </w:rPr>
        <w:t>initiated prior</w:t>
      </w:r>
      <w:r w:rsidR="4927ECBE" w:rsidRPr="4B108BD2">
        <w:rPr>
          <w:rFonts w:cstheme="minorBidi"/>
          <w:szCs w:val="24"/>
        </w:rPr>
        <w:t xml:space="preserve"> to admission</w:t>
      </w:r>
    </w:p>
    <w:p w14:paraId="43C63372" w14:textId="2CB24105" w:rsidR="74F9FFF8" w:rsidRDefault="74F9FFF8" w:rsidP="4B108BD2">
      <w:pPr>
        <w:pStyle w:val="ListBullet"/>
        <w:numPr>
          <w:ilvl w:val="1"/>
          <w:numId w:val="1"/>
        </w:numPr>
        <w:rPr>
          <w:rFonts w:cstheme="minorBidi"/>
          <w:szCs w:val="24"/>
        </w:rPr>
      </w:pPr>
      <w:r w:rsidRPr="4B108BD2">
        <w:rPr>
          <w:rFonts w:cstheme="minorBidi"/>
          <w:szCs w:val="24"/>
        </w:rPr>
        <w:t>Methotrexate for ectopic pregnancy via the Intramuscular route</w:t>
      </w:r>
    </w:p>
    <w:p w14:paraId="469BAC4C" w14:textId="74D11772" w:rsidR="74F9FFF8" w:rsidRDefault="74F9FFF8" w:rsidP="4B108BD2">
      <w:pPr>
        <w:pStyle w:val="ListBullet"/>
        <w:numPr>
          <w:ilvl w:val="1"/>
          <w:numId w:val="1"/>
        </w:numPr>
        <w:rPr>
          <w:rFonts w:cstheme="minorBidi"/>
          <w:szCs w:val="24"/>
        </w:rPr>
      </w:pPr>
      <w:r w:rsidRPr="4B108BD2">
        <w:rPr>
          <w:rFonts w:cstheme="minorBidi"/>
          <w:szCs w:val="24"/>
        </w:rPr>
        <w:t>Oral methotrexate for immunological conditions</w:t>
      </w:r>
    </w:p>
    <w:p w14:paraId="6F51BC44" w14:textId="61AD1849" w:rsidR="4B108BD2" w:rsidRDefault="36F728BC" w:rsidP="713B8FC0">
      <w:pPr>
        <w:pStyle w:val="ListBullet"/>
        <w:numPr>
          <w:ilvl w:val="1"/>
          <w:numId w:val="1"/>
        </w:numPr>
        <w:rPr>
          <w:rFonts w:cstheme="minorBidi"/>
        </w:rPr>
      </w:pPr>
      <w:r w:rsidRPr="713B8FC0">
        <w:rPr>
          <w:rFonts w:cstheme="minorBidi"/>
        </w:rPr>
        <w:t xml:space="preserve">Cytotoxic </w:t>
      </w:r>
      <w:proofErr w:type="spellStart"/>
      <w:r w:rsidRPr="713B8FC0">
        <w:rPr>
          <w:rFonts w:cstheme="minorBidi"/>
        </w:rPr>
        <w:t>insitillation</w:t>
      </w:r>
      <w:proofErr w:type="spellEnd"/>
      <w:r w:rsidRPr="713B8FC0">
        <w:rPr>
          <w:rFonts w:cstheme="minorBidi"/>
        </w:rPr>
        <w:t xml:space="preserve"> in the perioperative environment</w:t>
      </w:r>
    </w:p>
    <w:p w14:paraId="65A5406F" w14:textId="3F2E6D99" w:rsidR="00390A79" w:rsidRPr="00390A79" w:rsidRDefault="00390A79" w:rsidP="4B108BD2">
      <w:pPr>
        <w:pStyle w:val="ListBullet"/>
        <w:ind w:left="426" w:hanging="426"/>
        <w:rPr>
          <w:rFonts w:cstheme="minorBidi"/>
        </w:rPr>
      </w:pPr>
      <w:r w:rsidRPr="4B108BD2">
        <w:rPr>
          <w:rFonts w:cstheme="minorBidi"/>
        </w:rPr>
        <w:t xml:space="preserve">Only </w:t>
      </w:r>
      <w:r w:rsidR="006D563F" w:rsidRPr="4B108BD2">
        <w:rPr>
          <w:rFonts w:cstheme="minorBidi"/>
        </w:rPr>
        <w:t>team members</w:t>
      </w:r>
      <w:r w:rsidRPr="4B108BD2">
        <w:rPr>
          <w:rFonts w:cstheme="minorBidi"/>
        </w:rPr>
        <w:t xml:space="preserve"> specifically trained and experienced in cancer treatment may prescribe, prepare, dispense and/or administer chemotherapy.</w:t>
      </w:r>
    </w:p>
    <w:p w14:paraId="0FA5CB9A" w14:textId="37497719" w:rsidR="00390A79" w:rsidRPr="00390A79" w:rsidRDefault="00390A79" w:rsidP="4B108BD2">
      <w:pPr>
        <w:pStyle w:val="ListBullet"/>
        <w:ind w:left="426" w:hanging="426"/>
        <w:rPr>
          <w:rFonts w:cstheme="minorBidi"/>
        </w:rPr>
      </w:pPr>
      <w:r w:rsidRPr="4B108BD2">
        <w:rPr>
          <w:rFonts w:cstheme="minorBidi"/>
        </w:rPr>
        <w:t>All chemotherapy must be prescribed on the basis of a documented referenced protocol which outlines all therapy dosages and scheduling for the patient.</w:t>
      </w:r>
    </w:p>
    <w:p w14:paraId="66808E49" w14:textId="77777777" w:rsidR="00390A79" w:rsidRPr="00390A79" w:rsidRDefault="00390A79" w:rsidP="4B108BD2">
      <w:pPr>
        <w:pStyle w:val="ListBullet"/>
        <w:ind w:left="426" w:hanging="426"/>
        <w:rPr>
          <w:rFonts w:cstheme="minorBidi"/>
        </w:rPr>
      </w:pPr>
      <w:r w:rsidRPr="4B108BD2">
        <w:rPr>
          <w:rFonts w:cstheme="minorBidi"/>
        </w:rPr>
        <w:t>All treatments must be clinically verified by a pharmacist prior to ordering / dispensing</w:t>
      </w:r>
    </w:p>
    <w:p w14:paraId="6CDF8153" w14:textId="5C049809" w:rsidR="00390A79" w:rsidRPr="00390A79" w:rsidRDefault="00390A79" w:rsidP="4B108BD2">
      <w:pPr>
        <w:pStyle w:val="ListBullet"/>
        <w:ind w:left="426" w:hanging="426"/>
        <w:rPr>
          <w:rFonts w:cstheme="minorBidi"/>
        </w:rPr>
      </w:pPr>
      <w:r w:rsidRPr="4B108BD2">
        <w:rPr>
          <w:rFonts w:cstheme="minorBidi"/>
        </w:rPr>
        <w:t>All treatments (both chemotherapy and supportive medicines) must be clinically verified by a nurse and checked against the order by 2 nurses before administration; using a standard time out procedure.</w:t>
      </w:r>
    </w:p>
    <w:p w14:paraId="55714230" w14:textId="77777777" w:rsidR="00390A79" w:rsidRPr="00390A79" w:rsidRDefault="00390A79" w:rsidP="4B108BD2">
      <w:pPr>
        <w:pStyle w:val="ListBullet"/>
        <w:ind w:left="426" w:hanging="426"/>
        <w:rPr>
          <w:rFonts w:cstheme="minorBidi"/>
        </w:rPr>
      </w:pPr>
      <w:r w:rsidRPr="4B108BD2">
        <w:rPr>
          <w:rFonts w:cstheme="minorBidi"/>
        </w:rPr>
        <w:t xml:space="preserve">All treatments must be individualised for each patient and most commonly calculated on body surface area (BSA) or weight. </w:t>
      </w:r>
    </w:p>
    <w:p w14:paraId="2C9EDD87" w14:textId="013257BA" w:rsidR="00390A79" w:rsidRDefault="00390A79" w:rsidP="00B32C80">
      <w:pPr>
        <w:rPr>
          <w:b/>
          <w:bCs/>
        </w:rPr>
      </w:pPr>
    </w:p>
    <w:p w14:paraId="64AC96EE" w14:textId="77777777" w:rsidR="009E4079" w:rsidRPr="007A6CA5" w:rsidRDefault="009E4079" w:rsidP="009E4079">
      <w:pPr>
        <w:pStyle w:val="ListBullet"/>
        <w:numPr>
          <w:ilvl w:val="0"/>
          <w:numId w:val="0"/>
        </w:numPr>
        <w:ind w:left="360" w:hanging="360"/>
        <w:rPr>
          <w:b/>
          <w:szCs w:val="24"/>
        </w:rPr>
      </w:pPr>
      <w:r w:rsidRPr="007A6CA5">
        <w:rPr>
          <w:b/>
          <w:szCs w:val="24"/>
        </w:rPr>
        <w:t>Education and Awareness</w:t>
      </w:r>
    </w:p>
    <w:p w14:paraId="116A604F" w14:textId="2C9F2C4E" w:rsidR="009E4079" w:rsidRPr="009E4079" w:rsidRDefault="009E4079" w:rsidP="00813703">
      <w:pPr>
        <w:pStyle w:val="ListBullet"/>
        <w:numPr>
          <w:ilvl w:val="0"/>
          <w:numId w:val="30"/>
        </w:numPr>
        <w:rPr>
          <w:szCs w:val="24"/>
        </w:rPr>
      </w:pPr>
      <w:r w:rsidRPr="009E4079">
        <w:rPr>
          <w:szCs w:val="24"/>
        </w:rPr>
        <w:t xml:space="preserve">All clinical areas where </w:t>
      </w:r>
      <w:proofErr w:type="spellStart"/>
      <w:r w:rsidRPr="009E4079">
        <w:rPr>
          <w:szCs w:val="24"/>
        </w:rPr>
        <w:t>cytotoxics</w:t>
      </w:r>
      <w:proofErr w:type="spellEnd"/>
      <w:r w:rsidRPr="009E4079">
        <w:rPr>
          <w:szCs w:val="24"/>
        </w:rPr>
        <w:t xml:space="preserve"> are used must </w:t>
      </w:r>
      <w:r>
        <w:rPr>
          <w:szCs w:val="24"/>
        </w:rPr>
        <w:t>e</w:t>
      </w:r>
      <w:r w:rsidRPr="009E4079">
        <w:rPr>
          <w:szCs w:val="24"/>
        </w:rPr>
        <w:t xml:space="preserve">nsure staff are aware that </w:t>
      </w:r>
      <w:r>
        <w:rPr>
          <w:szCs w:val="24"/>
        </w:rPr>
        <w:t>cytotoxic medications are</w:t>
      </w:r>
      <w:r w:rsidR="003E170E">
        <w:rPr>
          <w:szCs w:val="24"/>
        </w:rPr>
        <w:t xml:space="preserve"> </w:t>
      </w:r>
      <w:proofErr w:type="spellStart"/>
      <w:r w:rsidRPr="009E4079">
        <w:rPr>
          <w:szCs w:val="24"/>
        </w:rPr>
        <w:t>considerd</w:t>
      </w:r>
      <w:proofErr w:type="spellEnd"/>
      <w:r w:rsidRPr="009E4079">
        <w:rPr>
          <w:szCs w:val="24"/>
        </w:rPr>
        <w:t xml:space="preserve"> high risk at North Canberra Hospital and CHH</w:t>
      </w:r>
    </w:p>
    <w:p w14:paraId="38FD744B" w14:textId="73DEB5B4" w:rsidR="009E4079" w:rsidRPr="007A6CA5" w:rsidRDefault="009E4079" w:rsidP="009E4079">
      <w:pPr>
        <w:pStyle w:val="ListBullet"/>
        <w:numPr>
          <w:ilvl w:val="0"/>
          <w:numId w:val="30"/>
        </w:numPr>
      </w:pPr>
      <w:r>
        <w:t>All staff who prescribe</w:t>
      </w:r>
      <w:r w:rsidR="003E170E">
        <w:t>,</w:t>
      </w:r>
      <w:r>
        <w:t xml:space="preserve"> </w:t>
      </w:r>
      <w:proofErr w:type="gramStart"/>
      <w:r>
        <w:t>dispense</w:t>
      </w:r>
      <w:proofErr w:type="gramEnd"/>
      <w:r>
        <w:t xml:space="preserve"> or administer </w:t>
      </w:r>
      <w:proofErr w:type="spellStart"/>
      <w:r w:rsidR="003E170E">
        <w:t>cytotoxics</w:t>
      </w:r>
      <w:proofErr w:type="spellEnd"/>
      <w:r w:rsidR="003E170E">
        <w:t xml:space="preserve"> medications mu</w:t>
      </w:r>
      <w:r>
        <w:t>st complete the High Risk Medicines Education module ‘</w:t>
      </w:r>
      <w:r w:rsidR="003E170E">
        <w:t xml:space="preserve">Anticancer Medicines’, available </w:t>
      </w:r>
      <w:r>
        <w:t>on HRIMS.</w:t>
      </w:r>
    </w:p>
    <w:p w14:paraId="035C18D8" w14:textId="77777777" w:rsidR="009E4079" w:rsidRPr="00B32C80" w:rsidRDefault="009E4079" w:rsidP="00B32C80">
      <w:pPr>
        <w:rPr>
          <w:b/>
          <w:bCs/>
        </w:rPr>
      </w:pPr>
    </w:p>
    <w:p w14:paraId="389F3309" w14:textId="39BC53F8" w:rsidR="00A51396" w:rsidRDefault="00000000" w:rsidP="004F31B6">
      <w:pPr>
        <w:jc w:val="right"/>
        <w:rPr>
          <w:rFonts w:cs="Arial"/>
          <w:i/>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p w14:paraId="07F24BEF" w14:textId="77777777" w:rsidR="005F06E5" w:rsidRDefault="005F06E5" w:rsidP="004F31B6">
      <w:pPr>
        <w:jc w:val="right"/>
        <w:rPr>
          <w:rFonts w:cs="Arial"/>
          <w:i/>
          <w:szCs w:val="24"/>
        </w:rPr>
      </w:pPr>
    </w:p>
    <w:p w14:paraId="440E8595" w14:textId="77777777" w:rsidR="005F06E5" w:rsidRDefault="005F06E5" w:rsidP="004F31B6">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63DA3E0F" w14:textId="77777777" w:rsidTr="4B108BD2">
        <w:trPr>
          <w:cantSplit/>
          <w:trHeight w:val="285"/>
        </w:trPr>
        <w:tc>
          <w:tcPr>
            <w:tcW w:w="9158" w:type="dxa"/>
            <w:shd w:val="clear" w:color="auto" w:fill="A6A6A6" w:themeFill="background1" w:themeFillShade="A6"/>
          </w:tcPr>
          <w:p w14:paraId="602AC526" w14:textId="38F46806" w:rsidR="00B32C80" w:rsidRPr="003D2D06" w:rsidRDefault="00B32C80" w:rsidP="00EB4FCE">
            <w:pPr>
              <w:pStyle w:val="Heading1"/>
            </w:pPr>
            <w:bookmarkStart w:id="28" w:name="_Toc158723933"/>
            <w:r>
              <w:lastRenderedPageBreak/>
              <w:t xml:space="preserve">Section </w:t>
            </w:r>
            <w:r w:rsidR="00390A79">
              <w:t>1</w:t>
            </w:r>
            <w:r w:rsidR="00E41CD4">
              <w:t>3</w:t>
            </w:r>
            <w:r>
              <w:t xml:space="preserve"> – </w:t>
            </w:r>
            <w:r w:rsidR="00390A79">
              <w:t>Chemotherapy – Methotrexate</w:t>
            </w:r>
            <w:bookmarkEnd w:id="28"/>
            <w:r w:rsidR="00390A79">
              <w:t xml:space="preserve"> </w:t>
            </w:r>
          </w:p>
        </w:tc>
      </w:tr>
    </w:tbl>
    <w:p w14:paraId="25139FFC" w14:textId="77777777" w:rsidR="009E4079" w:rsidRDefault="009E4079" w:rsidP="00B32C80"/>
    <w:p w14:paraId="659869D1" w14:textId="4DD0AF57" w:rsidR="41765A5B" w:rsidRPr="00813703" w:rsidRDefault="41765A5B" w:rsidP="00813703">
      <w:pPr>
        <w:pStyle w:val="ListBullet"/>
        <w:numPr>
          <w:ilvl w:val="0"/>
          <w:numId w:val="0"/>
        </w:numPr>
        <w:rPr>
          <w:rFonts w:cstheme="minorBidi"/>
          <w:b/>
          <w:szCs w:val="24"/>
        </w:rPr>
      </w:pPr>
      <w:r w:rsidRPr="00813703">
        <w:rPr>
          <w:rFonts w:cstheme="minorBidi"/>
          <w:b/>
          <w:szCs w:val="24"/>
        </w:rPr>
        <w:t>Oral</w:t>
      </w:r>
    </w:p>
    <w:p w14:paraId="3C24B895" w14:textId="77777777" w:rsidR="00390A79" w:rsidRPr="00390A79" w:rsidRDefault="00390A79" w:rsidP="4B108BD2">
      <w:pPr>
        <w:pStyle w:val="ListBullet"/>
        <w:ind w:left="426" w:hanging="426"/>
        <w:rPr>
          <w:rFonts w:cstheme="minorBidi"/>
        </w:rPr>
      </w:pPr>
      <w:r w:rsidRPr="4B108BD2">
        <w:rPr>
          <w:rFonts w:cstheme="minorBidi"/>
          <w:b/>
          <w:bCs/>
        </w:rPr>
        <w:t>Oral methotrexate, in most instances, is dosed once weekly, on the same day each week. Inadvertent daily administration has led to catastrophic adverse events</w:t>
      </w:r>
      <w:r w:rsidRPr="4B108BD2">
        <w:rPr>
          <w:rFonts w:cstheme="minorBidi"/>
        </w:rPr>
        <w:t xml:space="preserve">. Dosing may be more than once weekly for haematology/oncology indications or to manage toxicity in some immunology patients.  Any order charted more than once weekly MUST be confirmed by 2 sources (or more). </w:t>
      </w:r>
    </w:p>
    <w:p w14:paraId="67CA08AA" w14:textId="77777777" w:rsidR="00390A79" w:rsidRPr="00390A79" w:rsidRDefault="00390A79" w:rsidP="4B108BD2">
      <w:pPr>
        <w:pStyle w:val="ListBullet"/>
        <w:ind w:left="426" w:hanging="426"/>
        <w:rPr>
          <w:rFonts w:cstheme="minorBidi"/>
        </w:rPr>
      </w:pPr>
      <w:r w:rsidRPr="4B108BD2">
        <w:rPr>
          <w:rFonts w:cstheme="minorBidi"/>
        </w:rPr>
        <w:t xml:space="preserve">The medication history taken on admission </w:t>
      </w:r>
      <w:r w:rsidRPr="4B108BD2">
        <w:rPr>
          <w:rFonts w:cstheme="minorBidi"/>
          <w:b/>
          <w:bCs/>
        </w:rPr>
        <w:t>must</w:t>
      </w:r>
      <w:r w:rsidRPr="4B108BD2">
        <w:rPr>
          <w:rFonts w:cstheme="minorBidi"/>
        </w:rPr>
        <w:t xml:space="preserve"> include when the last dose of methotrexate was taken. </w:t>
      </w:r>
    </w:p>
    <w:p w14:paraId="04B7043C" w14:textId="77777777" w:rsidR="00390A79" w:rsidRPr="00390A79" w:rsidRDefault="00390A79" w:rsidP="4B108BD2">
      <w:pPr>
        <w:pStyle w:val="ListBullet"/>
        <w:ind w:left="426" w:hanging="426"/>
        <w:rPr>
          <w:rFonts w:cstheme="minorBidi"/>
        </w:rPr>
      </w:pPr>
      <w:r w:rsidRPr="4B108BD2">
        <w:rPr>
          <w:rFonts w:cstheme="minorBidi"/>
        </w:rPr>
        <w:t xml:space="preserve">The prescriber must include the indication for treatment in all orders or prescriptions for oral methotrexate </w:t>
      </w:r>
    </w:p>
    <w:p w14:paraId="7C2A2305" w14:textId="77777777" w:rsidR="00390A79" w:rsidRPr="00390A79" w:rsidRDefault="00390A79" w:rsidP="4B108BD2">
      <w:pPr>
        <w:pStyle w:val="ListBullet"/>
        <w:ind w:left="426" w:hanging="426"/>
        <w:rPr>
          <w:rFonts w:cstheme="minorBidi"/>
        </w:rPr>
      </w:pPr>
      <w:r w:rsidRPr="4B108BD2">
        <w:rPr>
          <w:rFonts w:cstheme="minorBidi"/>
        </w:rPr>
        <w:t xml:space="preserve">Methotrexate tablets will not be made available to wards as imprest stock or in the ‘After Hours’ Supply </w:t>
      </w:r>
    </w:p>
    <w:p w14:paraId="778E83FA" w14:textId="3B790D8D" w:rsidR="00390A79" w:rsidRPr="00390A79" w:rsidRDefault="00390A79" w:rsidP="4B108BD2">
      <w:pPr>
        <w:pStyle w:val="ListBullet"/>
        <w:ind w:left="426" w:hanging="426"/>
        <w:rPr>
          <w:rFonts w:cstheme="minorBidi"/>
        </w:rPr>
      </w:pPr>
      <w:r w:rsidRPr="4B108BD2">
        <w:rPr>
          <w:rFonts w:cstheme="minorBidi"/>
        </w:rPr>
        <w:t xml:space="preserve">All methotrexate orders must be reviewed by a pharmacist. Prior to supply being made, the pharmacist must confirm the dosage schedule is appropriate; including the appropriateness of the indication and ongoing immunosuppression in the patient’s current clinical state (e.g. should be avoided in sepsis and severe infective conditions). </w:t>
      </w:r>
    </w:p>
    <w:p w14:paraId="316A161E" w14:textId="2E09B796" w:rsidR="00390A79" w:rsidRPr="00390A79" w:rsidRDefault="00390A79" w:rsidP="4B108BD2">
      <w:pPr>
        <w:pStyle w:val="ListBullet"/>
        <w:ind w:left="426" w:hanging="426"/>
        <w:rPr>
          <w:rFonts w:cstheme="minorBidi"/>
        </w:rPr>
      </w:pPr>
      <w:r w:rsidRPr="4B108BD2">
        <w:rPr>
          <w:rFonts w:cstheme="minorBidi"/>
        </w:rPr>
        <w:t>Methotrexate must be dispensed for individual patients from a medication order or prescription. The label must state the dose and day of the week it is due and include a cytotoxic warning</w:t>
      </w:r>
    </w:p>
    <w:p w14:paraId="4DDF3FF5" w14:textId="76102C2E" w:rsidR="00390A79" w:rsidRPr="00390A79" w:rsidRDefault="00390A79" w:rsidP="4B108BD2">
      <w:pPr>
        <w:pStyle w:val="ListBullet"/>
        <w:ind w:left="426" w:hanging="426"/>
        <w:rPr>
          <w:rFonts w:cstheme="minorBidi"/>
        </w:rPr>
      </w:pPr>
      <w:r w:rsidRPr="4B108BD2">
        <w:rPr>
          <w:rFonts w:cstheme="minorBidi"/>
        </w:rPr>
        <w:t xml:space="preserve">North Canberra Hospital Pharmacy is open 7 days per week, so Pharmacists will only supply the amount required for the weekly dose, preferably on the day it is due (or the next </w:t>
      </w:r>
      <w:proofErr w:type="gramStart"/>
      <w:r w:rsidRPr="4B108BD2">
        <w:rPr>
          <w:rFonts w:cstheme="minorBidi"/>
        </w:rPr>
        <w:t>morning, if</w:t>
      </w:r>
      <w:proofErr w:type="gramEnd"/>
      <w:r w:rsidRPr="4B108BD2">
        <w:rPr>
          <w:rFonts w:cstheme="minorBidi"/>
        </w:rPr>
        <w:t xml:space="preserve"> it is charted after hours).  </w:t>
      </w:r>
    </w:p>
    <w:p w14:paraId="08A589A7" w14:textId="77777777" w:rsidR="00390A79" w:rsidRPr="00390A79" w:rsidRDefault="00390A79" w:rsidP="4B108BD2">
      <w:pPr>
        <w:pStyle w:val="ListBullet"/>
        <w:ind w:left="426" w:hanging="426"/>
        <w:rPr>
          <w:rFonts w:cstheme="minorBidi"/>
        </w:rPr>
      </w:pPr>
      <w:r w:rsidRPr="4B108BD2">
        <w:rPr>
          <w:rFonts w:cstheme="minorBidi"/>
        </w:rPr>
        <w:t xml:space="preserve">To reduce the risk of accidental daily dosing, the patient’s own supply must not be used </w:t>
      </w:r>
    </w:p>
    <w:p w14:paraId="1E262A96" w14:textId="19F34F87" w:rsidR="00B32C80" w:rsidRDefault="00390A79" w:rsidP="00B32C80">
      <w:pPr>
        <w:pStyle w:val="ListBullet"/>
        <w:ind w:left="426" w:hanging="426"/>
        <w:rPr>
          <w:rFonts w:cstheme="minorBidi"/>
        </w:rPr>
      </w:pPr>
      <w:r w:rsidRPr="4B108BD2">
        <w:rPr>
          <w:rFonts w:cstheme="minorBidi"/>
        </w:rPr>
        <w:t>Where a medication order is unclear, or the nurse has reason to query the dose, he or she must contact the prescriber or a pharmacist for clarification prior to administration</w:t>
      </w:r>
      <w:r w:rsidR="006C3535" w:rsidRPr="4B108BD2">
        <w:rPr>
          <w:rFonts w:cstheme="minorBidi"/>
        </w:rPr>
        <w:t>.</w:t>
      </w:r>
    </w:p>
    <w:p w14:paraId="0C3D4AA6" w14:textId="77777777" w:rsidR="004F48AC" w:rsidRDefault="004F48AC" w:rsidP="004F48AC">
      <w:pPr>
        <w:pStyle w:val="ListBullet"/>
        <w:numPr>
          <w:ilvl w:val="0"/>
          <w:numId w:val="0"/>
        </w:numPr>
        <w:rPr>
          <w:rFonts w:cstheme="minorBidi"/>
        </w:rPr>
      </w:pPr>
    </w:p>
    <w:p w14:paraId="2E83BCE8" w14:textId="5E6A2F4D" w:rsidR="004F48AC" w:rsidRPr="004F48AC" w:rsidRDefault="004F48AC" w:rsidP="004F48AC">
      <w:pPr>
        <w:pStyle w:val="ListBullet"/>
        <w:numPr>
          <w:ilvl w:val="0"/>
          <w:numId w:val="0"/>
        </w:numPr>
        <w:rPr>
          <w:rFonts w:cstheme="minorBidi"/>
          <w:bCs/>
        </w:rPr>
      </w:pPr>
      <w:r w:rsidRPr="004F48AC">
        <w:rPr>
          <w:rFonts w:cstheme="minorBidi"/>
        </w:rPr>
        <w:t xml:space="preserve">For </w:t>
      </w:r>
      <w:r w:rsidRPr="00813703">
        <w:rPr>
          <w:rFonts w:cstheme="minorBidi"/>
          <w:b/>
        </w:rPr>
        <w:t>Intramuscular</w:t>
      </w:r>
      <w:r w:rsidRPr="004F48AC">
        <w:rPr>
          <w:rFonts w:cstheme="minorBidi"/>
          <w:b/>
        </w:rPr>
        <w:t xml:space="preserve"> administration</w:t>
      </w:r>
      <w:r w:rsidRPr="004F48AC">
        <w:rPr>
          <w:rFonts w:cstheme="minorBidi"/>
          <w:bCs/>
        </w:rPr>
        <w:t>, please refer</w:t>
      </w:r>
      <w:r w:rsidRPr="004F48AC">
        <w:rPr>
          <w:rFonts w:cstheme="minorBidi"/>
          <w:szCs w:val="24"/>
        </w:rPr>
        <w:t xml:space="preserve"> to the NCH Methotrexate for Ectopic pregnancy procedure.</w:t>
      </w:r>
    </w:p>
    <w:p w14:paraId="241CE68B" w14:textId="153CF972" w:rsidR="005D3E6B" w:rsidRDefault="00000000" w:rsidP="005F06E5">
      <w:pPr>
        <w:jc w:val="right"/>
        <w:rPr>
          <w:rFonts w:cs="Arial"/>
          <w:b/>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5B6A808D" w14:textId="77777777" w:rsidTr="00EB4FCE">
        <w:trPr>
          <w:cantSplit/>
          <w:trHeight w:val="285"/>
        </w:trPr>
        <w:tc>
          <w:tcPr>
            <w:tcW w:w="9158" w:type="dxa"/>
            <w:shd w:val="clear" w:color="auto" w:fill="A6A6A6" w:themeFill="background1" w:themeFillShade="A6"/>
          </w:tcPr>
          <w:p w14:paraId="7E63F2E7" w14:textId="400EDDE1" w:rsidR="00B32C80" w:rsidRPr="003D2D06" w:rsidRDefault="00B32C80" w:rsidP="00EB4FCE">
            <w:pPr>
              <w:pStyle w:val="Heading1"/>
            </w:pPr>
            <w:bookmarkStart w:id="29" w:name="_Toc158723934"/>
            <w:r>
              <w:t xml:space="preserve">Section </w:t>
            </w:r>
            <w:r w:rsidR="00390A79">
              <w:t>1</w:t>
            </w:r>
            <w:r w:rsidR="00E41CD4">
              <w:t>5</w:t>
            </w:r>
            <w:r w:rsidR="00390A79">
              <w:t xml:space="preserve"> – Heparin and other Anticoagulants</w:t>
            </w:r>
            <w:bookmarkEnd w:id="29"/>
          </w:p>
        </w:tc>
      </w:tr>
    </w:tbl>
    <w:p w14:paraId="1FD28C26" w14:textId="77777777" w:rsidR="00B32C80" w:rsidRDefault="00B32C80" w:rsidP="00B32C80"/>
    <w:p w14:paraId="7DAC30BD" w14:textId="77777777" w:rsidR="003E170E" w:rsidRDefault="003E170E" w:rsidP="003E170E">
      <w:pPr>
        <w:jc w:val="both"/>
        <w:rPr>
          <w:rFonts w:eastAsiaTheme="minorHAnsi" w:cs="Arial"/>
          <w:bCs/>
          <w:szCs w:val="24"/>
        </w:rPr>
      </w:pPr>
      <w:r>
        <w:rPr>
          <w:rFonts w:eastAsiaTheme="minorHAnsi" w:cs="Arial"/>
          <w:szCs w:val="24"/>
        </w:rPr>
        <w:t>Anticoagulant medicines have a narrow therapeutic index and over or under anticoagulation can result in significant adverse patient outcomes.</w:t>
      </w:r>
      <w:r>
        <w:rPr>
          <w:szCs w:val="24"/>
        </w:rPr>
        <w:t xml:space="preserve"> The incorrect dose or failure to monitor therapy can contribute to this event</w:t>
      </w:r>
      <w:r>
        <w:rPr>
          <w:rFonts w:eastAsiaTheme="minorHAnsi" w:cs="Arial"/>
          <w:bCs/>
          <w:szCs w:val="24"/>
        </w:rPr>
        <w:t xml:space="preserve"> and there is the potential for excessive bleeding and death if over anticoagulation occurs. </w:t>
      </w:r>
    </w:p>
    <w:p w14:paraId="51D6AD6F" w14:textId="77777777" w:rsidR="003E170E" w:rsidRDefault="003E170E" w:rsidP="003E170E">
      <w:pPr>
        <w:jc w:val="both"/>
        <w:rPr>
          <w:rFonts w:eastAsiaTheme="minorHAnsi" w:cs="Arial"/>
          <w:bCs/>
          <w:szCs w:val="24"/>
        </w:rPr>
      </w:pPr>
    </w:p>
    <w:p w14:paraId="33C84F05" w14:textId="4F925381" w:rsidR="003E170E" w:rsidRDefault="003E170E" w:rsidP="003E170E">
      <w:pPr>
        <w:jc w:val="both"/>
        <w:rPr>
          <w:rFonts w:eastAsiaTheme="minorHAnsi" w:cs="Arial"/>
          <w:bCs/>
          <w:szCs w:val="24"/>
        </w:rPr>
      </w:pPr>
      <w:r>
        <w:rPr>
          <w:rFonts w:eastAsiaTheme="minorHAnsi" w:cs="Arial"/>
          <w:bCs/>
          <w:szCs w:val="24"/>
        </w:rPr>
        <w:t>Due to the potential for significant patient harm, should an error occur, all anticoagulants including warfarin, direct oral anticoagulants (</w:t>
      </w:r>
      <w:proofErr w:type="spellStart"/>
      <w:r>
        <w:rPr>
          <w:rFonts w:eastAsiaTheme="minorHAnsi" w:cs="Arial"/>
          <w:bCs/>
          <w:szCs w:val="24"/>
        </w:rPr>
        <w:t>e.g</w:t>
      </w:r>
      <w:proofErr w:type="spellEnd"/>
      <w:r>
        <w:rPr>
          <w:rFonts w:eastAsiaTheme="minorHAnsi" w:cs="Arial"/>
          <w:bCs/>
          <w:szCs w:val="24"/>
        </w:rPr>
        <w:t xml:space="preserve"> dabigatran, apixaban, rivaroxaban), unfractionated heparin and low molecular weight heparin, are considered High-Risk at NCH and CHH. </w:t>
      </w:r>
    </w:p>
    <w:p w14:paraId="268C4889" w14:textId="6D807AD2" w:rsidR="003E170E" w:rsidRDefault="003E170E" w:rsidP="003E170E">
      <w:pPr>
        <w:jc w:val="both"/>
        <w:rPr>
          <w:rFonts w:eastAsiaTheme="minorHAnsi" w:cs="Arial"/>
          <w:bCs/>
          <w:szCs w:val="24"/>
        </w:rPr>
      </w:pPr>
    </w:p>
    <w:p w14:paraId="4F011257" w14:textId="77777777" w:rsidR="003E170E" w:rsidRPr="00390A79" w:rsidRDefault="003E170E" w:rsidP="003E170E">
      <w:pPr>
        <w:pStyle w:val="Default"/>
        <w:spacing w:line="276" w:lineRule="auto"/>
        <w:jc w:val="both"/>
        <w:rPr>
          <w:rFonts w:asciiTheme="minorHAnsi" w:hAnsiTheme="minorHAnsi" w:cstheme="minorHAnsi"/>
        </w:rPr>
      </w:pPr>
      <w:r w:rsidRPr="00390A79">
        <w:rPr>
          <w:rFonts w:asciiTheme="minorHAnsi" w:hAnsiTheme="minorHAnsi" w:cstheme="minorHAnsi"/>
        </w:rPr>
        <w:t>This includes:</w:t>
      </w:r>
    </w:p>
    <w:tbl>
      <w:tblPr>
        <w:tblStyle w:val="TableGrid"/>
        <w:tblW w:w="0" w:type="auto"/>
        <w:tblInd w:w="1129" w:type="dxa"/>
        <w:tblLook w:val="04A0" w:firstRow="1" w:lastRow="0" w:firstColumn="1" w:lastColumn="0" w:noHBand="0" w:noVBand="1"/>
      </w:tblPr>
      <w:tblGrid>
        <w:gridCol w:w="3544"/>
        <w:gridCol w:w="3969"/>
      </w:tblGrid>
      <w:tr w:rsidR="003E170E" w:rsidRPr="00390A79" w14:paraId="3002CAC8" w14:textId="77777777" w:rsidTr="00484BEB">
        <w:tc>
          <w:tcPr>
            <w:tcW w:w="3544" w:type="dxa"/>
          </w:tcPr>
          <w:p w14:paraId="772969D8" w14:textId="77777777" w:rsidR="003E170E" w:rsidRPr="00390A79" w:rsidRDefault="003E170E" w:rsidP="00484BEB">
            <w:pPr>
              <w:pStyle w:val="Default"/>
              <w:spacing w:line="276" w:lineRule="auto"/>
              <w:jc w:val="both"/>
              <w:rPr>
                <w:rFonts w:asciiTheme="minorHAnsi" w:hAnsiTheme="minorHAnsi" w:cstheme="minorHAnsi"/>
                <w:b/>
                <w:bCs/>
              </w:rPr>
            </w:pPr>
            <w:r w:rsidRPr="00390A79">
              <w:rPr>
                <w:rFonts w:asciiTheme="minorHAnsi" w:hAnsiTheme="minorHAnsi" w:cstheme="minorHAnsi"/>
                <w:b/>
                <w:bCs/>
              </w:rPr>
              <w:t>Parenteral</w:t>
            </w:r>
          </w:p>
        </w:tc>
        <w:tc>
          <w:tcPr>
            <w:tcW w:w="3969" w:type="dxa"/>
          </w:tcPr>
          <w:p w14:paraId="0ACE864C" w14:textId="77777777" w:rsidR="003E170E" w:rsidRPr="00390A79" w:rsidRDefault="003E170E" w:rsidP="00484BEB">
            <w:pPr>
              <w:pStyle w:val="Default"/>
              <w:spacing w:line="276" w:lineRule="auto"/>
              <w:jc w:val="both"/>
              <w:rPr>
                <w:rFonts w:asciiTheme="minorHAnsi" w:hAnsiTheme="minorHAnsi" w:cstheme="minorHAnsi"/>
                <w:b/>
                <w:bCs/>
              </w:rPr>
            </w:pPr>
            <w:r w:rsidRPr="00390A79">
              <w:rPr>
                <w:rFonts w:asciiTheme="minorHAnsi" w:hAnsiTheme="minorHAnsi" w:cstheme="minorHAnsi"/>
                <w:b/>
                <w:bCs/>
              </w:rPr>
              <w:t>Oral</w:t>
            </w:r>
          </w:p>
        </w:tc>
      </w:tr>
      <w:tr w:rsidR="003E170E" w:rsidRPr="00390A79" w14:paraId="63FE1483" w14:textId="77777777" w:rsidTr="00484BEB">
        <w:tc>
          <w:tcPr>
            <w:tcW w:w="3544" w:type="dxa"/>
          </w:tcPr>
          <w:p w14:paraId="762A24D5" w14:textId="77777777" w:rsidR="003E170E" w:rsidRPr="00390A79" w:rsidRDefault="003E170E" w:rsidP="00484BEB">
            <w:pPr>
              <w:pStyle w:val="Default"/>
              <w:spacing w:line="276" w:lineRule="auto"/>
              <w:jc w:val="both"/>
              <w:rPr>
                <w:rFonts w:asciiTheme="minorHAnsi" w:hAnsiTheme="minorHAnsi" w:cstheme="minorHAnsi"/>
                <w:bCs/>
              </w:rPr>
            </w:pPr>
            <w:r w:rsidRPr="00390A79">
              <w:rPr>
                <w:rFonts w:asciiTheme="minorHAnsi" w:hAnsiTheme="minorHAnsi" w:cstheme="minorHAnsi"/>
                <w:bCs/>
              </w:rPr>
              <w:t>Unfractionated heparin</w:t>
            </w:r>
          </w:p>
        </w:tc>
        <w:tc>
          <w:tcPr>
            <w:tcW w:w="3969" w:type="dxa"/>
          </w:tcPr>
          <w:p w14:paraId="49D3F8D6" w14:textId="77777777" w:rsidR="003E170E" w:rsidRPr="00390A79" w:rsidRDefault="003E170E" w:rsidP="00484BEB">
            <w:pPr>
              <w:pStyle w:val="Default"/>
              <w:spacing w:line="276" w:lineRule="auto"/>
              <w:jc w:val="both"/>
              <w:rPr>
                <w:rFonts w:asciiTheme="minorHAnsi" w:hAnsiTheme="minorHAnsi" w:cstheme="minorHAnsi"/>
                <w:bCs/>
              </w:rPr>
            </w:pPr>
            <w:r w:rsidRPr="00390A79">
              <w:rPr>
                <w:rFonts w:asciiTheme="minorHAnsi" w:hAnsiTheme="minorHAnsi" w:cstheme="minorHAnsi"/>
                <w:bCs/>
              </w:rPr>
              <w:t>Warfarin</w:t>
            </w:r>
          </w:p>
        </w:tc>
      </w:tr>
      <w:tr w:rsidR="003E170E" w:rsidRPr="00390A79" w14:paraId="6FA09B70" w14:textId="77777777" w:rsidTr="00484BEB">
        <w:trPr>
          <w:trHeight w:val="575"/>
        </w:trPr>
        <w:tc>
          <w:tcPr>
            <w:tcW w:w="3544" w:type="dxa"/>
          </w:tcPr>
          <w:p w14:paraId="2565DF93" w14:textId="77777777" w:rsidR="003E170E" w:rsidRPr="00390A79" w:rsidRDefault="003E170E" w:rsidP="00484BEB">
            <w:pPr>
              <w:pStyle w:val="Default"/>
              <w:spacing w:line="276" w:lineRule="auto"/>
              <w:jc w:val="both"/>
              <w:rPr>
                <w:rFonts w:asciiTheme="minorHAnsi" w:hAnsiTheme="minorHAnsi" w:cstheme="minorHAnsi"/>
                <w:bCs/>
              </w:rPr>
            </w:pPr>
            <w:r w:rsidRPr="00390A79">
              <w:rPr>
                <w:rFonts w:asciiTheme="minorHAnsi" w:hAnsiTheme="minorHAnsi" w:cstheme="minorHAnsi"/>
                <w:bCs/>
              </w:rPr>
              <w:t>Low Molecular Weight Heparins:</w:t>
            </w:r>
          </w:p>
          <w:p w14:paraId="503ED927" w14:textId="77777777" w:rsidR="003E170E" w:rsidRPr="00390A79" w:rsidRDefault="003E170E" w:rsidP="00484BEB">
            <w:pPr>
              <w:pStyle w:val="Default"/>
              <w:numPr>
                <w:ilvl w:val="0"/>
                <w:numId w:val="11"/>
              </w:numPr>
              <w:spacing w:line="276" w:lineRule="auto"/>
              <w:jc w:val="both"/>
              <w:rPr>
                <w:rFonts w:asciiTheme="minorHAnsi" w:hAnsiTheme="minorHAnsi" w:cstheme="minorHAnsi"/>
                <w:bCs/>
              </w:rPr>
            </w:pPr>
            <w:r w:rsidRPr="00390A79">
              <w:rPr>
                <w:rFonts w:asciiTheme="minorHAnsi" w:hAnsiTheme="minorHAnsi" w:cstheme="minorHAnsi"/>
                <w:bCs/>
              </w:rPr>
              <w:t>Enoxaparin</w:t>
            </w:r>
          </w:p>
          <w:p w14:paraId="161D8357" w14:textId="77777777" w:rsidR="003E170E" w:rsidRPr="00390A79" w:rsidRDefault="003E170E" w:rsidP="00484BEB">
            <w:pPr>
              <w:pStyle w:val="Default"/>
              <w:numPr>
                <w:ilvl w:val="0"/>
                <w:numId w:val="11"/>
              </w:numPr>
              <w:spacing w:line="276" w:lineRule="auto"/>
              <w:jc w:val="both"/>
              <w:rPr>
                <w:rFonts w:asciiTheme="minorHAnsi" w:hAnsiTheme="minorHAnsi" w:cstheme="minorHAnsi"/>
                <w:bCs/>
              </w:rPr>
            </w:pPr>
            <w:proofErr w:type="spellStart"/>
            <w:r w:rsidRPr="00390A79">
              <w:rPr>
                <w:rFonts w:asciiTheme="minorHAnsi" w:hAnsiTheme="minorHAnsi" w:cstheme="minorHAnsi"/>
                <w:bCs/>
              </w:rPr>
              <w:t>Dalteparin</w:t>
            </w:r>
            <w:proofErr w:type="spellEnd"/>
          </w:p>
        </w:tc>
        <w:tc>
          <w:tcPr>
            <w:tcW w:w="3969" w:type="dxa"/>
            <w:vMerge w:val="restart"/>
          </w:tcPr>
          <w:p w14:paraId="05444FBD" w14:textId="77777777" w:rsidR="003E170E" w:rsidRPr="00390A79" w:rsidRDefault="003E170E" w:rsidP="00484BEB">
            <w:pPr>
              <w:pStyle w:val="Default"/>
              <w:spacing w:line="276" w:lineRule="auto"/>
              <w:jc w:val="both"/>
              <w:rPr>
                <w:rFonts w:asciiTheme="minorHAnsi" w:hAnsiTheme="minorHAnsi" w:cstheme="minorHAnsi"/>
                <w:bCs/>
              </w:rPr>
            </w:pPr>
            <w:r w:rsidRPr="00390A79">
              <w:rPr>
                <w:rFonts w:asciiTheme="minorHAnsi" w:hAnsiTheme="minorHAnsi" w:cstheme="minorHAnsi"/>
                <w:bCs/>
              </w:rPr>
              <w:t>Non-Vitamin K antagonist (Direct)</w:t>
            </w:r>
            <w:r>
              <w:rPr>
                <w:rFonts w:asciiTheme="minorHAnsi" w:hAnsiTheme="minorHAnsi" w:cstheme="minorHAnsi"/>
                <w:bCs/>
              </w:rPr>
              <w:t xml:space="preserve"> </w:t>
            </w:r>
            <w:r w:rsidRPr="00390A79">
              <w:rPr>
                <w:rFonts w:asciiTheme="minorHAnsi" w:hAnsiTheme="minorHAnsi" w:cstheme="minorHAnsi"/>
                <w:bCs/>
              </w:rPr>
              <w:t>Oral Anticoagulants (NOACs/DOACs)</w:t>
            </w:r>
          </w:p>
          <w:p w14:paraId="28B3C2CE" w14:textId="77777777" w:rsidR="003E170E" w:rsidRPr="00390A79" w:rsidRDefault="003E170E" w:rsidP="00484BEB">
            <w:pPr>
              <w:pStyle w:val="Default"/>
              <w:numPr>
                <w:ilvl w:val="0"/>
                <w:numId w:val="13"/>
              </w:numPr>
              <w:spacing w:line="276" w:lineRule="auto"/>
              <w:jc w:val="both"/>
              <w:rPr>
                <w:rFonts w:asciiTheme="minorHAnsi" w:hAnsiTheme="minorHAnsi" w:cstheme="minorHAnsi"/>
                <w:bCs/>
              </w:rPr>
            </w:pPr>
            <w:r w:rsidRPr="00390A79">
              <w:rPr>
                <w:rFonts w:asciiTheme="minorHAnsi" w:hAnsiTheme="minorHAnsi" w:cstheme="minorHAnsi"/>
                <w:bCs/>
              </w:rPr>
              <w:t>Dabigatran</w:t>
            </w:r>
          </w:p>
          <w:p w14:paraId="134514B5" w14:textId="77777777" w:rsidR="003E170E" w:rsidRPr="00390A79" w:rsidRDefault="003E170E" w:rsidP="00484BEB">
            <w:pPr>
              <w:pStyle w:val="Default"/>
              <w:numPr>
                <w:ilvl w:val="0"/>
                <w:numId w:val="13"/>
              </w:numPr>
              <w:spacing w:line="276" w:lineRule="auto"/>
              <w:jc w:val="both"/>
              <w:rPr>
                <w:rFonts w:asciiTheme="minorHAnsi" w:hAnsiTheme="minorHAnsi" w:cstheme="minorHAnsi"/>
                <w:bCs/>
              </w:rPr>
            </w:pPr>
            <w:r w:rsidRPr="00390A79">
              <w:rPr>
                <w:rFonts w:asciiTheme="minorHAnsi" w:hAnsiTheme="minorHAnsi" w:cstheme="minorHAnsi"/>
                <w:bCs/>
              </w:rPr>
              <w:t>Apixaban</w:t>
            </w:r>
          </w:p>
          <w:p w14:paraId="5C381C40" w14:textId="77777777" w:rsidR="003E170E" w:rsidRPr="00390A79" w:rsidRDefault="003E170E" w:rsidP="00484BEB">
            <w:pPr>
              <w:pStyle w:val="Default"/>
              <w:numPr>
                <w:ilvl w:val="0"/>
                <w:numId w:val="13"/>
              </w:numPr>
              <w:spacing w:line="276" w:lineRule="auto"/>
              <w:jc w:val="both"/>
              <w:rPr>
                <w:rFonts w:asciiTheme="minorHAnsi" w:hAnsiTheme="minorHAnsi" w:cstheme="minorHAnsi"/>
                <w:bCs/>
              </w:rPr>
            </w:pPr>
            <w:r w:rsidRPr="00390A79">
              <w:rPr>
                <w:rFonts w:asciiTheme="minorHAnsi" w:hAnsiTheme="minorHAnsi" w:cstheme="minorHAnsi"/>
                <w:bCs/>
              </w:rPr>
              <w:t>Rivaroxaban</w:t>
            </w:r>
          </w:p>
        </w:tc>
      </w:tr>
      <w:tr w:rsidR="003E170E" w:rsidRPr="00390A79" w14:paraId="447060AA" w14:textId="77777777" w:rsidTr="00484BEB">
        <w:trPr>
          <w:trHeight w:val="227"/>
        </w:trPr>
        <w:tc>
          <w:tcPr>
            <w:tcW w:w="3544" w:type="dxa"/>
          </w:tcPr>
          <w:p w14:paraId="7F780FDE" w14:textId="77777777" w:rsidR="003E170E" w:rsidRPr="00390A79" w:rsidRDefault="003E170E" w:rsidP="00484BEB">
            <w:pPr>
              <w:pStyle w:val="Default"/>
              <w:spacing w:line="276" w:lineRule="auto"/>
              <w:jc w:val="both"/>
              <w:rPr>
                <w:rFonts w:asciiTheme="minorHAnsi" w:hAnsiTheme="minorHAnsi" w:cstheme="minorHAnsi"/>
                <w:bCs/>
              </w:rPr>
            </w:pPr>
            <w:r w:rsidRPr="00390A79">
              <w:rPr>
                <w:rFonts w:asciiTheme="minorHAnsi" w:hAnsiTheme="minorHAnsi" w:cstheme="minorHAnsi"/>
                <w:bCs/>
              </w:rPr>
              <w:t>Fondaparinux</w:t>
            </w:r>
          </w:p>
        </w:tc>
        <w:tc>
          <w:tcPr>
            <w:tcW w:w="3969" w:type="dxa"/>
            <w:vMerge/>
          </w:tcPr>
          <w:p w14:paraId="3C05C557" w14:textId="77777777" w:rsidR="003E170E" w:rsidRPr="00390A79" w:rsidRDefault="003E170E" w:rsidP="00484BEB">
            <w:pPr>
              <w:pStyle w:val="Default"/>
              <w:spacing w:line="276" w:lineRule="auto"/>
              <w:jc w:val="both"/>
              <w:rPr>
                <w:rFonts w:asciiTheme="minorHAnsi" w:hAnsiTheme="minorHAnsi" w:cstheme="minorHAnsi"/>
                <w:bCs/>
              </w:rPr>
            </w:pPr>
          </w:p>
        </w:tc>
      </w:tr>
      <w:tr w:rsidR="003E170E" w:rsidRPr="00390A79" w14:paraId="729BDC4B" w14:textId="77777777" w:rsidTr="00484BEB">
        <w:trPr>
          <w:trHeight w:val="345"/>
        </w:trPr>
        <w:tc>
          <w:tcPr>
            <w:tcW w:w="3544" w:type="dxa"/>
          </w:tcPr>
          <w:p w14:paraId="26392D3B" w14:textId="77777777" w:rsidR="003E170E" w:rsidRPr="00390A79" w:rsidRDefault="003E170E" w:rsidP="00484BEB">
            <w:pPr>
              <w:pStyle w:val="Default"/>
              <w:spacing w:line="276" w:lineRule="auto"/>
              <w:jc w:val="both"/>
              <w:rPr>
                <w:rFonts w:asciiTheme="minorHAnsi" w:hAnsiTheme="minorHAnsi" w:cstheme="minorHAnsi"/>
                <w:bCs/>
              </w:rPr>
            </w:pPr>
            <w:r w:rsidRPr="00390A79">
              <w:rPr>
                <w:rFonts w:asciiTheme="minorHAnsi" w:hAnsiTheme="minorHAnsi" w:cstheme="minorHAnsi"/>
                <w:bCs/>
              </w:rPr>
              <w:t>Danaparoid</w:t>
            </w:r>
          </w:p>
        </w:tc>
        <w:tc>
          <w:tcPr>
            <w:tcW w:w="3969" w:type="dxa"/>
            <w:vMerge/>
          </w:tcPr>
          <w:p w14:paraId="7A88F13E" w14:textId="77777777" w:rsidR="003E170E" w:rsidRPr="00390A79" w:rsidRDefault="003E170E" w:rsidP="00484BEB">
            <w:pPr>
              <w:pStyle w:val="Default"/>
              <w:spacing w:line="276" w:lineRule="auto"/>
              <w:jc w:val="both"/>
              <w:rPr>
                <w:rFonts w:asciiTheme="minorHAnsi" w:hAnsiTheme="minorHAnsi" w:cstheme="minorHAnsi"/>
                <w:bCs/>
              </w:rPr>
            </w:pPr>
          </w:p>
        </w:tc>
      </w:tr>
    </w:tbl>
    <w:p w14:paraId="605F245A" w14:textId="77777777" w:rsidR="003E170E" w:rsidRPr="003E170E" w:rsidRDefault="003E170E" w:rsidP="003E170E">
      <w:pPr>
        <w:pStyle w:val="Default"/>
        <w:spacing w:line="276" w:lineRule="auto"/>
        <w:jc w:val="both"/>
        <w:rPr>
          <w:rFonts w:asciiTheme="minorHAnsi" w:hAnsiTheme="minorHAnsi" w:cstheme="minorHAnsi"/>
          <w:b/>
          <w:bCs/>
        </w:rPr>
      </w:pPr>
    </w:p>
    <w:p w14:paraId="6EC781D0" w14:textId="2E6E1F31" w:rsidR="003E170E" w:rsidRPr="00813703" w:rsidRDefault="003E170E" w:rsidP="003E170E">
      <w:pPr>
        <w:autoSpaceDE w:val="0"/>
        <w:autoSpaceDN w:val="0"/>
        <w:adjustRightInd w:val="0"/>
        <w:jc w:val="both"/>
        <w:rPr>
          <w:rFonts w:eastAsiaTheme="minorHAnsi" w:cs="Arial"/>
          <w:b/>
          <w:szCs w:val="24"/>
        </w:rPr>
      </w:pPr>
      <w:r w:rsidRPr="00813703">
        <w:rPr>
          <w:rFonts w:eastAsiaTheme="minorHAnsi" w:cs="Arial"/>
          <w:b/>
          <w:szCs w:val="24"/>
        </w:rPr>
        <w:t>Errors involving anticoagulant medicines can include:</w:t>
      </w:r>
    </w:p>
    <w:p w14:paraId="76CC04CA" w14:textId="1311141D" w:rsidR="003E170E" w:rsidRDefault="003E170E" w:rsidP="003E170E">
      <w:pPr>
        <w:pStyle w:val="ListBullet"/>
        <w:rPr>
          <w:rFonts w:eastAsiaTheme="minorEastAsia"/>
        </w:rPr>
      </w:pPr>
      <w:r w:rsidRPr="5C3FFB47">
        <w:rPr>
          <w:rFonts w:eastAsiaTheme="minorEastAsia"/>
        </w:rPr>
        <w:t>Duplication of therapy. For example, ordering pharmacological venous thromboembolism (VTE) prophylaxis for patients who are receiving therapeutic anticoagulation</w:t>
      </w:r>
    </w:p>
    <w:p w14:paraId="0BE0BFE2" w14:textId="77777777" w:rsidR="003E170E" w:rsidRDefault="003E170E" w:rsidP="003E170E">
      <w:pPr>
        <w:pStyle w:val="ListBullet"/>
        <w:rPr>
          <w:rFonts w:eastAsiaTheme="minorHAnsi"/>
        </w:rPr>
      </w:pPr>
      <w:r>
        <w:rPr>
          <w:rFonts w:eastAsiaTheme="minorHAnsi"/>
        </w:rPr>
        <w:t>Use of a therapeutic dose when a prophylactic dose was intended and vice versa</w:t>
      </w:r>
    </w:p>
    <w:p w14:paraId="482DF660" w14:textId="77777777" w:rsidR="003E170E" w:rsidRDefault="003E170E" w:rsidP="003E170E">
      <w:pPr>
        <w:pStyle w:val="ListBullet"/>
        <w:rPr>
          <w:rFonts w:eastAsiaTheme="minorHAnsi"/>
        </w:rPr>
      </w:pPr>
      <w:r>
        <w:rPr>
          <w:rFonts w:eastAsiaTheme="minorHAnsi"/>
        </w:rPr>
        <w:t>Failure to adjust an anticoagulant dose according to patient factors. For example, haematology parameters, biochemistry, estimated creatinine clearance, age</w:t>
      </w:r>
    </w:p>
    <w:p w14:paraId="2651A056" w14:textId="77777777" w:rsidR="003E170E" w:rsidRDefault="003E170E" w:rsidP="003E170E">
      <w:pPr>
        <w:pStyle w:val="ListBullet"/>
        <w:rPr>
          <w:rFonts w:eastAsiaTheme="minorHAnsi"/>
        </w:rPr>
      </w:pPr>
      <w:r>
        <w:rPr>
          <w:rFonts w:eastAsiaTheme="minorHAnsi"/>
        </w:rPr>
        <w:t>Incorrect protocol use. For example, administration of a concentration of unfractionated heparin solution contrary to the protocol resulting in administration of an incorrect dose</w:t>
      </w:r>
    </w:p>
    <w:p w14:paraId="2480C674" w14:textId="77777777" w:rsidR="003E170E" w:rsidRDefault="003E170E" w:rsidP="003E170E">
      <w:pPr>
        <w:pStyle w:val="ListBullet"/>
        <w:rPr>
          <w:rFonts w:eastAsiaTheme="minorHAnsi"/>
        </w:rPr>
      </w:pPr>
      <w:r>
        <w:rPr>
          <w:rFonts w:eastAsiaTheme="minorHAnsi" w:cs="SymbolMT"/>
        </w:rPr>
        <w:t>I</w:t>
      </w:r>
      <w:r>
        <w:rPr>
          <w:rFonts w:eastAsiaTheme="minorHAnsi"/>
        </w:rPr>
        <w:t>ncorrect use following discharge. For example, inadequate patient and / or carer education for patients being discharged on anticoagulants resulting in adverse events.</w:t>
      </w:r>
    </w:p>
    <w:p w14:paraId="246D0BB6" w14:textId="77777777" w:rsidR="003E170E" w:rsidRPr="00813703" w:rsidRDefault="003E170E" w:rsidP="00390A79">
      <w:pPr>
        <w:pStyle w:val="Default"/>
        <w:spacing w:line="276" w:lineRule="auto"/>
        <w:jc w:val="both"/>
        <w:rPr>
          <w:rFonts w:asciiTheme="minorHAnsi" w:hAnsiTheme="minorHAnsi" w:cstheme="minorHAnsi"/>
          <w:b/>
        </w:rPr>
      </w:pPr>
    </w:p>
    <w:p w14:paraId="55C5EADB" w14:textId="7B670379" w:rsidR="003E170E" w:rsidRPr="00813703" w:rsidRDefault="003E170E" w:rsidP="00390A79">
      <w:pPr>
        <w:pStyle w:val="Default"/>
        <w:spacing w:line="276" w:lineRule="auto"/>
        <w:jc w:val="both"/>
        <w:rPr>
          <w:rFonts w:asciiTheme="minorHAnsi" w:hAnsiTheme="minorHAnsi" w:cstheme="minorHAnsi"/>
          <w:b/>
        </w:rPr>
      </w:pPr>
      <w:r w:rsidRPr="00813703">
        <w:rPr>
          <w:rFonts w:asciiTheme="minorHAnsi" w:hAnsiTheme="minorHAnsi" w:cstheme="minorHAnsi"/>
          <w:b/>
        </w:rPr>
        <w:t>Risk Reduction Strategies</w:t>
      </w:r>
    </w:p>
    <w:p w14:paraId="4F8A05E9" w14:textId="77777777" w:rsidR="00390A79" w:rsidRPr="00390A79" w:rsidRDefault="00390A79" w:rsidP="4B108BD2">
      <w:pPr>
        <w:pStyle w:val="ListBullet"/>
        <w:ind w:left="426" w:hanging="426"/>
        <w:rPr>
          <w:rFonts w:asciiTheme="minorHAnsi" w:hAnsiTheme="minorHAnsi" w:cstheme="minorBidi"/>
        </w:rPr>
      </w:pPr>
      <w:r w:rsidRPr="4B108BD2">
        <w:rPr>
          <w:rFonts w:asciiTheme="minorHAnsi" w:hAnsiTheme="minorHAnsi" w:cstheme="minorBidi"/>
        </w:rPr>
        <w:t xml:space="preserve">Prescribers must determine if a female is pregnant or breastfeeding and review the patient for the presence of medicines and co-morbidities which may influence bleeding risk factors.  </w:t>
      </w:r>
    </w:p>
    <w:p w14:paraId="7D118CB7" w14:textId="77777777" w:rsidR="00390A79" w:rsidRPr="00390A79" w:rsidRDefault="00390A79" w:rsidP="4B108BD2">
      <w:pPr>
        <w:pStyle w:val="ListBullet"/>
        <w:ind w:left="426" w:hanging="426"/>
        <w:rPr>
          <w:rFonts w:asciiTheme="minorHAnsi" w:hAnsiTheme="minorHAnsi" w:cstheme="minorBidi"/>
        </w:rPr>
      </w:pPr>
      <w:r w:rsidRPr="4B108BD2">
        <w:rPr>
          <w:rFonts w:asciiTheme="minorHAnsi" w:hAnsiTheme="minorHAnsi" w:cstheme="minorBidi"/>
        </w:rPr>
        <w:t>The prescriber must inform the patient of the intention to prescribe anticoagulants and give the patient or carer opportunity to discuss this therapy</w:t>
      </w:r>
    </w:p>
    <w:p w14:paraId="255036DA" w14:textId="5553D898" w:rsidR="00390A79" w:rsidRPr="00390A79" w:rsidRDefault="00390A79" w:rsidP="00813703">
      <w:pPr>
        <w:pStyle w:val="ListBullet"/>
        <w:ind w:left="426" w:hanging="426"/>
        <w:rPr>
          <w:szCs w:val="24"/>
        </w:rPr>
      </w:pPr>
      <w:r w:rsidRPr="4B108BD2">
        <w:rPr>
          <w:rFonts w:asciiTheme="minorHAnsi" w:hAnsiTheme="minorHAnsi" w:cstheme="minorBidi"/>
        </w:rPr>
        <w:t xml:space="preserve">The indication for all anticoagulants MUST be documented </w:t>
      </w:r>
      <w:r w:rsidR="1A84BC0F" w:rsidRPr="4B108BD2">
        <w:rPr>
          <w:rFonts w:asciiTheme="minorHAnsi" w:hAnsiTheme="minorHAnsi" w:cstheme="minorBidi"/>
        </w:rPr>
        <w:t>in the DHR order</w:t>
      </w:r>
    </w:p>
    <w:p w14:paraId="1155121B" w14:textId="542E2824" w:rsidR="00390A79" w:rsidRPr="00390A79" w:rsidRDefault="00390A79" w:rsidP="4B108BD2">
      <w:pPr>
        <w:pStyle w:val="ListBullet"/>
        <w:ind w:left="426" w:hanging="426"/>
        <w:rPr>
          <w:rFonts w:cstheme="minorBidi"/>
          <w:color w:val="262626"/>
        </w:rPr>
      </w:pPr>
      <w:r w:rsidRPr="4B108BD2">
        <w:rPr>
          <w:rFonts w:asciiTheme="minorHAnsi" w:hAnsiTheme="minorHAnsi" w:cstheme="minorBidi"/>
        </w:rPr>
        <w:t>VTE risk assessment must be performed</w:t>
      </w:r>
      <w:r w:rsidR="4581ADCF" w:rsidRPr="4B108BD2">
        <w:rPr>
          <w:rFonts w:asciiTheme="minorHAnsi" w:hAnsiTheme="minorHAnsi" w:cstheme="minorBidi"/>
        </w:rPr>
        <w:t xml:space="preserve"> and documented in DHR</w:t>
      </w:r>
      <w:r w:rsidRPr="4B108BD2">
        <w:rPr>
          <w:rFonts w:asciiTheme="minorHAnsi" w:hAnsiTheme="minorHAnsi" w:cstheme="minorBidi"/>
        </w:rPr>
        <w:t xml:space="preserve"> for all admitted adult patients within 24 hours of admission</w:t>
      </w:r>
      <w:r w:rsidR="00212C02">
        <w:rPr>
          <w:rFonts w:asciiTheme="minorHAnsi" w:hAnsiTheme="minorHAnsi" w:cstheme="minorBidi"/>
        </w:rPr>
        <w:t xml:space="preserve"> as per the NCH VTE Prevention procedure</w:t>
      </w:r>
    </w:p>
    <w:p w14:paraId="431838A7" w14:textId="77777777" w:rsidR="00390A79" w:rsidRPr="00390A79" w:rsidRDefault="00390A79" w:rsidP="4B108BD2">
      <w:pPr>
        <w:pStyle w:val="ListBullet"/>
        <w:ind w:left="426" w:hanging="426"/>
        <w:rPr>
          <w:rFonts w:asciiTheme="minorHAnsi" w:hAnsiTheme="minorHAnsi" w:cstheme="minorBidi"/>
        </w:rPr>
      </w:pPr>
      <w:r w:rsidRPr="4B108BD2">
        <w:rPr>
          <w:rFonts w:asciiTheme="minorHAnsi" w:hAnsiTheme="minorHAnsi" w:cstheme="minorBidi"/>
        </w:rPr>
        <w:t xml:space="preserve">In adult patients, creatinine clearance should be estimated using the Cockcroft-Gault (or MDRD) formula prior to prescribing renally excreted anticoagulants </w:t>
      </w:r>
    </w:p>
    <w:p w14:paraId="134224F4" w14:textId="77777777" w:rsidR="00390A79" w:rsidRPr="00390A79" w:rsidRDefault="00390A79" w:rsidP="4B108BD2">
      <w:pPr>
        <w:pStyle w:val="ListBullet"/>
        <w:ind w:left="426" w:hanging="426"/>
        <w:rPr>
          <w:rFonts w:asciiTheme="minorHAnsi" w:hAnsiTheme="minorHAnsi" w:cstheme="minorBidi"/>
        </w:rPr>
      </w:pPr>
      <w:r w:rsidRPr="4B108BD2">
        <w:rPr>
          <w:rFonts w:asciiTheme="minorHAnsi" w:hAnsiTheme="minorHAnsi" w:cstheme="minorBidi"/>
        </w:rPr>
        <w:t xml:space="preserve">Where a ward area has access to concentrated ampoules of unfractionated heparin, only one strength should be available </w:t>
      </w:r>
    </w:p>
    <w:p w14:paraId="6B9066A6" w14:textId="77777777" w:rsidR="00390A79" w:rsidRPr="00390A79" w:rsidRDefault="00390A79" w:rsidP="4B108BD2">
      <w:pPr>
        <w:pStyle w:val="ListBullet"/>
        <w:ind w:left="426" w:hanging="426"/>
        <w:rPr>
          <w:rFonts w:asciiTheme="minorHAnsi" w:hAnsiTheme="minorHAnsi" w:cstheme="minorBidi"/>
        </w:rPr>
      </w:pPr>
      <w:r w:rsidRPr="4B108BD2">
        <w:rPr>
          <w:rFonts w:asciiTheme="minorHAnsi" w:hAnsiTheme="minorHAnsi" w:cstheme="minorBidi"/>
        </w:rPr>
        <w:t xml:space="preserve">Instructions for observational monitoring bleeding and any requirements for quantifying coagulation status (e.g. INR, </w:t>
      </w:r>
      <w:proofErr w:type="spellStart"/>
      <w:r w:rsidRPr="4B108BD2">
        <w:rPr>
          <w:rFonts w:asciiTheme="minorHAnsi" w:hAnsiTheme="minorHAnsi" w:cstheme="minorBidi"/>
        </w:rPr>
        <w:t>aPTT</w:t>
      </w:r>
      <w:proofErr w:type="spellEnd"/>
      <w:r w:rsidRPr="4B108BD2">
        <w:rPr>
          <w:rFonts w:asciiTheme="minorHAnsi" w:hAnsiTheme="minorHAnsi" w:cstheme="minorBidi"/>
        </w:rPr>
        <w:t xml:space="preserve">, </w:t>
      </w:r>
      <w:proofErr w:type="spellStart"/>
      <w:r w:rsidRPr="4B108BD2">
        <w:rPr>
          <w:rFonts w:asciiTheme="minorHAnsi" w:hAnsiTheme="minorHAnsi" w:cstheme="minorBidi"/>
        </w:rPr>
        <w:t>antifactor</w:t>
      </w:r>
      <w:proofErr w:type="spellEnd"/>
      <w:r w:rsidRPr="4B108BD2">
        <w:rPr>
          <w:rFonts w:asciiTheme="minorHAnsi" w:hAnsiTheme="minorHAnsi" w:cstheme="minorBidi"/>
        </w:rPr>
        <w:t xml:space="preserve"> Xa, activated clotting time etc.), must be recorded in the patient’s health care record </w:t>
      </w:r>
    </w:p>
    <w:p w14:paraId="158153A6" w14:textId="3B468E8D" w:rsidR="00212C02" w:rsidRDefault="00390A79" w:rsidP="4B108BD2">
      <w:pPr>
        <w:pStyle w:val="ListBullet"/>
        <w:ind w:left="426" w:hanging="426"/>
        <w:rPr>
          <w:rFonts w:asciiTheme="minorHAnsi" w:hAnsiTheme="minorHAnsi" w:cstheme="minorBidi"/>
        </w:rPr>
      </w:pPr>
      <w:r w:rsidRPr="4B108BD2">
        <w:rPr>
          <w:rFonts w:asciiTheme="minorHAnsi" w:hAnsiTheme="minorHAnsi" w:cstheme="minorBidi"/>
        </w:rPr>
        <w:t xml:space="preserve">Patients who are started on warfarin or on a Direct Oral Anticoagulant (DOAC) should be given an information booklet and/or Consumer Medicines Information (CMI) leaflet.  </w:t>
      </w:r>
    </w:p>
    <w:p w14:paraId="1DBEEF7C" w14:textId="1CD79316" w:rsidR="00390A79" w:rsidRPr="00390A79" w:rsidRDefault="00390A79" w:rsidP="00813703">
      <w:pPr>
        <w:pStyle w:val="ListBullet"/>
        <w:numPr>
          <w:ilvl w:val="0"/>
          <w:numId w:val="0"/>
        </w:numPr>
        <w:ind w:left="426"/>
        <w:rPr>
          <w:rFonts w:asciiTheme="minorHAnsi" w:hAnsiTheme="minorHAnsi" w:cstheme="minorBidi"/>
        </w:rPr>
      </w:pPr>
      <w:r w:rsidRPr="4B108BD2">
        <w:rPr>
          <w:rFonts w:asciiTheme="minorHAnsi" w:hAnsiTheme="minorHAnsi" w:cstheme="minorBidi"/>
        </w:rPr>
        <w:t xml:space="preserve"> </w:t>
      </w:r>
    </w:p>
    <w:p w14:paraId="32B457FC" w14:textId="77777777" w:rsidR="003E170E" w:rsidRPr="007A6CA5" w:rsidRDefault="003E170E" w:rsidP="003E170E">
      <w:pPr>
        <w:pStyle w:val="ListBullet"/>
        <w:numPr>
          <w:ilvl w:val="0"/>
          <w:numId w:val="0"/>
        </w:numPr>
        <w:ind w:left="360" w:hanging="360"/>
        <w:rPr>
          <w:b/>
          <w:szCs w:val="24"/>
        </w:rPr>
      </w:pPr>
      <w:r w:rsidRPr="007A6CA5">
        <w:rPr>
          <w:b/>
          <w:szCs w:val="24"/>
        </w:rPr>
        <w:t>Education and Awareness</w:t>
      </w:r>
    </w:p>
    <w:p w14:paraId="474E29ED" w14:textId="77777777" w:rsidR="00A51396" w:rsidRDefault="003E170E" w:rsidP="00A51396">
      <w:pPr>
        <w:pStyle w:val="ListBullet"/>
        <w:numPr>
          <w:ilvl w:val="0"/>
          <w:numId w:val="30"/>
        </w:numPr>
        <w:rPr>
          <w:szCs w:val="24"/>
        </w:rPr>
      </w:pPr>
      <w:r w:rsidRPr="007A6CA5">
        <w:rPr>
          <w:szCs w:val="24"/>
        </w:rPr>
        <w:lastRenderedPageBreak/>
        <w:t xml:space="preserve">All clinical areas where </w:t>
      </w:r>
      <w:r>
        <w:rPr>
          <w:szCs w:val="24"/>
        </w:rPr>
        <w:t xml:space="preserve">anticoagulants </w:t>
      </w:r>
      <w:r w:rsidRPr="007A6CA5">
        <w:rPr>
          <w:szCs w:val="24"/>
        </w:rPr>
        <w:t xml:space="preserve">are used must </w:t>
      </w:r>
      <w:r>
        <w:rPr>
          <w:szCs w:val="24"/>
        </w:rPr>
        <w:t>e</w:t>
      </w:r>
      <w:r w:rsidRPr="007A6CA5">
        <w:rPr>
          <w:szCs w:val="24"/>
        </w:rPr>
        <w:t xml:space="preserve">nsure staff are aware that </w:t>
      </w:r>
      <w:r>
        <w:rPr>
          <w:szCs w:val="24"/>
        </w:rPr>
        <w:t xml:space="preserve">anticoagulant medications are </w:t>
      </w:r>
      <w:proofErr w:type="spellStart"/>
      <w:r w:rsidRPr="007A6CA5">
        <w:rPr>
          <w:szCs w:val="24"/>
        </w:rPr>
        <w:t>considerd</w:t>
      </w:r>
      <w:proofErr w:type="spellEnd"/>
      <w:r w:rsidRPr="007A6CA5">
        <w:rPr>
          <w:szCs w:val="24"/>
        </w:rPr>
        <w:t xml:space="preserve"> high risk at North Canberra Hospital and CHH</w:t>
      </w:r>
    </w:p>
    <w:p w14:paraId="4BC042E7" w14:textId="5F3A4A1A" w:rsidR="00212C02" w:rsidRPr="00A51396" w:rsidRDefault="003E170E" w:rsidP="00A51396">
      <w:pPr>
        <w:pStyle w:val="ListBullet"/>
        <w:numPr>
          <w:ilvl w:val="0"/>
          <w:numId w:val="30"/>
        </w:numPr>
      </w:pPr>
      <w:r>
        <w:t xml:space="preserve">All staff who prescribe, </w:t>
      </w:r>
      <w:proofErr w:type="gramStart"/>
      <w:r>
        <w:t>dispense</w:t>
      </w:r>
      <w:proofErr w:type="gramEnd"/>
      <w:r>
        <w:t xml:space="preserve"> or administer </w:t>
      </w:r>
      <w:r w:rsidR="413FA58F">
        <w:t xml:space="preserve">anticoagulant </w:t>
      </w:r>
      <w:r>
        <w:t>medications must complete the High Risk Medicines Education module ‘Anticoagulants’, available on HRIMS</w:t>
      </w:r>
      <w:r w:rsidR="00212C02">
        <w:t>.</w:t>
      </w:r>
    </w:p>
    <w:p w14:paraId="6D4386C6" w14:textId="1EADEDED" w:rsidR="00390A79" w:rsidRPr="00813703" w:rsidRDefault="00390A79" w:rsidP="00813703">
      <w:pPr>
        <w:pStyle w:val="ListParagraph"/>
        <w:autoSpaceDE w:val="0"/>
        <w:autoSpaceDN w:val="0"/>
        <w:adjustRightInd w:val="0"/>
        <w:spacing w:line="276" w:lineRule="auto"/>
        <w:ind w:left="360"/>
        <w:rPr>
          <w:rFonts w:cstheme="minorHAnsi"/>
          <w:b/>
          <w:bCs/>
        </w:rPr>
      </w:pPr>
    </w:p>
    <w:p w14:paraId="7A328457" w14:textId="50B7605D" w:rsidR="00B32C80" w:rsidRPr="004F31B6" w:rsidRDefault="00000000" w:rsidP="005F06E5">
      <w:pPr>
        <w:jc w:val="right"/>
        <w:rPr>
          <w:rFonts w:cs="Arial"/>
          <w:i/>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32C80" w:rsidRPr="00CD1C0E" w14:paraId="09BFEA16" w14:textId="77777777" w:rsidTr="00EB4FCE">
        <w:trPr>
          <w:cantSplit/>
          <w:trHeight w:val="285"/>
        </w:trPr>
        <w:tc>
          <w:tcPr>
            <w:tcW w:w="9158" w:type="dxa"/>
            <w:shd w:val="clear" w:color="auto" w:fill="A6A6A6" w:themeFill="background1" w:themeFillShade="A6"/>
          </w:tcPr>
          <w:p w14:paraId="5315E35B" w14:textId="0AE14308" w:rsidR="00B32C80" w:rsidRPr="003D2D06" w:rsidRDefault="00B32C80" w:rsidP="00EB4FCE">
            <w:pPr>
              <w:pStyle w:val="Heading1"/>
            </w:pPr>
            <w:bookmarkStart w:id="30" w:name="_Toc158723935"/>
            <w:r>
              <w:t xml:space="preserve">Section </w:t>
            </w:r>
            <w:r w:rsidR="004A1E40">
              <w:t>1</w:t>
            </w:r>
            <w:r w:rsidR="00E41CD4">
              <w:t>6</w:t>
            </w:r>
            <w:r w:rsidRPr="003D2D06">
              <w:t xml:space="preserve"> – </w:t>
            </w:r>
            <w:r w:rsidR="00390A79">
              <w:t>Neuromuscular Blocking Agents</w:t>
            </w:r>
            <w:bookmarkEnd w:id="30"/>
          </w:p>
        </w:tc>
      </w:tr>
    </w:tbl>
    <w:p w14:paraId="2284012C" w14:textId="77777777" w:rsidR="00B32C80" w:rsidRDefault="00B32C80" w:rsidP="00B32C80"/>
    <w:p w14:paraId="4B167DED" w14:textId="77777777" w:rsidR="00390A79" w:rsidRPr="00390A79" w:rsidRDefault="00390A79" w:rsidP="4B108BD2">
      <w:pPr>
        <w:pStyle w:val="ListBullet"/>
        <w:rPr>
          <w:rFonts w:asciiTheme="minorHAnsi" w:hAnsiTheme="minorHAnsi" w:cstheme="minorBidi"/>
        </w:rPr>
      </w:pPr>
      <w:r w:rsidRPr="4B108BD2">
        <w:rPr>
          <w:rFonts w:asciiTheme="minorHAnsi" w:hAnsiTheme="minorHAnsi" w:cstheme="minorBidi"/>
        </w:rPr>
        <w:t xml:space="preserve">Supply of neuromuscular blocking agents (e.g. </w:t>
      </w:r>
      <w:hyperlink r:id="rId15">
        <w:r w:rsidRPr="4B108BD2">
          <w:rPr>
            <w:rFonts w:asciiTheme="minorHAnsi" w:hAnsiTheme="minorHAnsi" w:cstheme="minorBidi"/>
            <w:b/>
            <w:bCs/>
          </w:rPr>
          <w:t>Atracurium</w:t>
        </w:r>
      </w:hyperlink>
      <w:r w:rsidRPr="4B108BD2">
        <w:rPr>
          <w:rFonts w:asciiTheme="minorHAnsi" w:hAnsiTheme="minorHAnsi" w:cstheme="minorBidi"/>
          <w:b/>
          <w:bCs/>
        </w:rPr>
        <w:t xml:space="preserve">, </w:t>
      </w:r>
      <w:hyperlink r:id="rId16">
        <w:proofErr w:type="spellStart"/>
        <w:r w:rsidRPr="4B108BD2">
          <w:rPr>
            <w:rFonts w:asciiTheme="minorHAnsi" w:hAnsiTheme="minorHAnsi" w:cstheme="minorBidi"/>
            <w:b/>
            <w:bCs/>
          </w:rPr>
          <w:t>Cisatracurium</w:t>
        </w:r>
        <w:proofErr w:type="spellEnd"/>
      </w:hyperlink>
      <w:r w:rsidRPr="4B108BD2">
        <w:rPr>
          <w:rFonts w:asciiTheme="minorHAnsi" w:hAnsiTheme="minorHAnsi" w:cstheme="minorBidi"/>
          <w:b/>
          <w:bCs/>
        </w:rPr>
        <w:t xml:space="preserve">, </w:t>
      </w:r>
      <w:hyperlink r:id="rId17">
        <w:r w:rsidRPr="4B108BD2">
          <w:rPr>
            <w:rFonts w:asciiTheme="minorHAnsi" w:hAnsiTheme="minorHAnsi" w:cstheme="minorBidi"/>
            <w:b/>
            <w:bCs/>
          </w:rPr>
          <w:t>Mivacurium</w:t>
        </w:r>
      </w:hyperlink>
      <w:r w:rsidRPr="4B108BD2">
        <w:rPr>
          <w:rFonts w:asciiTheme="minorHAnsi" w:hAnsiTheme="minorHAnsi" w:cstheme="minorBidi"/>
          <w:b/>
          <w:bCs/>
        </w:rPr>
        <w:t xml:space="preserve">, </w:t>
      </w:r>
      <w:hyperlink r:id="rId18">
        <w:proofErr w:type="spellStart"/>
        <w:r w:rsidRPr="4B108BD2">
          <w:rPr>
            <w:rFonts w:asciiTheme="minorHAnsi" w:hAnsiTheme="minorHAnsi" w:cstheme="minorBidi"/>
            <w:b/>
            <w:bCs/>
          </w:rPr>
          <w:t>Pancuronium</w:t>
        </w:r>
        <w:proofErr w:type="spellEnd"/>
      </w:hyperlink>
      <w:r w:rsidRPr="4B108BD2">
        <w:rPr>
          <w:rFonts w:asciiTheme="minorHAnsi" w:hAnsiTheme="minorHAnsi" w:cstheme="minorBidi"/>
          <w:b/>
          <w:bCs/>
        </w:rPr>
        <w:t xml:space="preserve">, </w:t>
      </w:r>
      <w:hyperlink r:id="rId19">
        <w:r w:rsidRPr="4B108BD2">
          <w:rPr>
            <w:rFonts w:asciiTheme="minorHAnsi" w:hAnsiTheme="minorHAnsi" w:cstheme="minorBidi"/>
            <w:b/>
            <w:bCs/>
          </w:rPr>
          <w:t>Rocuronium</w:t>
        </w:r>
      </w:hyperlink>
      <w:r w:rsidRPr="4B108BD2">
        <w:rPr>
          <w:rFonts w:asciiTheme="minorHAnsi" w:hAnsiTheme="minorHAnsi" w:cstheme="minorBidi"/>
          <w:b/>
          <w:bCs/>
        </w:rPr>
        <w:t xml:space="preserve">, </w:t>
      </w:r>
      <w:hyperlink r:id="rId20">
        <w:r w:rsidRPr="4B108BD2">
          <w:rPr>
            <w:rFonts w:asciiTheme="minorHAnsi" w:hAnsiTheme="minorHAnsi" w:cstheme="minorBidi"/>
            <w:b/>
            <w:bCs/>
          </w:rPr>
          <w:t>Vecuronium</w:t>
        </w:r>
      </w:hyperlink>
      <w:r w:rsidRPr="4B108BD2">
        <w:rPr>
          <w:rFonts w:asciiTheme="minorHAnsi" w:hAnsiTheme="minorHAnsi" w:cstheme="minorBidi"/>
          <w:b/>
          <w:bCs/>
        </w:rPr>
        <w:t xml:space="preserve"> &amp; </w:t>
      </w:r>
      <w:proofErr w:type="spellStart"/>
      <w:r w:rsidRPr="4B108BD2">
        <w:rPr>
          <w:rFonts w:asciiTheme="minorHAnsi" w:hAnsiTheme="minorHAnsi" w:cstheme="minorBidi"/>
          <w:b/>
          <w:bCs/>
        </w:rPr>
        <w:t>Suxamethonium</w:t>
      </w:r>
      <w:proofErr w:type="spellEnd"/>
      <w:r w:rsidRPr="4B108BD2">
        <w:rPr>
          <w:rFonts w:asciiTheme="minorHAnsi" w:hAnsiTheme="minorHAnsi" w:cstheme="minorBidi"/>
        </w:rPr>
        <w:t xml:space="preserve">) must be limited to only those critical care areas where there is a clinical use and patients are ventilated and monitored </w:t>
      </w:r>
    </w:p>
    <w:p w14:paraId="38E9BB53" w14:textId="77777777" w:rsidR="00390A79" w:rsidRPr="00390A79" w:rsidRDefault="00390A79" w:rsidP="00390A79">
      <w:pPr>
        <w:pStyle w:val="ListBullet"/>
      </w:pPr>
      <w:r>
        <w:t xml:space="preserve">Neuromuscular blocking reversal agents must be available in clinical areas where neuromuscular blocking agents (NMBA) are used and stored </w:t>
      </w:r>
    </w:p>
    <w:p w14:paraId="5B49B439" w14:textId="7BA039FB" w:rsidR="004A1E40" w:rsidRPr="004A1E40" w:rsidRDefault="00390A79" w:rsidP="004A1E40">
      <w:pPr>
        <w:pStyle w:val="ListBullet"/>
      </w:pPr>
      <w:r>
        <w:t>In clinical areas where a small number of doses are kept refrigerated to support cardiopulmonary resuscitation, specially identified secure storage should be used and packaging must be labelled with cautionary label that identifies the NMBA as a paralysing agen</w:t>
      </w:r>
      <w:r w:rsidR="004A1E40">
        <w:t>t.</w:t>
      </w:r>
    </w:p>
    <w:p w14:paraId="04A37074" w14:textId="63392731" w:rsidR="004A1E40" w:rsidRPr="00390A79" w:rsidRDefault="004A1E40" w:rsidP="00813703">
      <w:pPr>
        <w:pStyle w:val="ListBullet"/>
        <w:numPr>
          <w:ilvl w:val="0"/>
          <w:numId w:val="0"/>
        </w:numPr>
        <w:jc w:val="center"/>
        <w:rPr>
          <w:szCs w:val="24"/>
        </w:rPr>
      </w:pPr>
      <w:r>
        <w:rPr>
          <w:noProof/>
          <w:lang w:eastAsia="en-AU"/>
        </w:rPr>
        <w:drawing>
          <wp:inline distT="0" distB="0" distL="0" distR="0" wp14:anchorId="22A17BF6" wp14:editId="281D5B32">
            <wp:extent cx="2360428" cy="855655"/>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35843" t="33926" r="50874" b="57513"/>
                    <a:stretch/>
                  </pic:blipFill>
                  <pic:spPr bwMode="auto">
                    <a:xfrm>
                      <a:off x="0" y="0"/>
                      <a:ext cx="2360428" cy="855655"/>
                    </a:xfrm>
                    <a:prstGeom prst="rect">
                      <a:avLst/>
                    </a:prstGeom>
                    <a:ln>
                      <a:noFill/>
                    </a:ln>
                    <a:extLst>
                      <a:ext uri="{53640926-AAD7-44D8-BBD7-CCE9431645EC}">
                        <a14:shadowObscured xmlns:a14="http://schemas.microsoft.com/office/drawing/2010/main"/>
                      </a:ext>
                    </a:extLst>
                  </pic:spPr>
                </pic:pic>
              </a:graphicData>
            </a:graphic>
          </wp:inline>
        </w:drawing>
      </w:r>
    </w:p>
    <w:p w14:paraId="60712EEA" w14:textId="762538D8" w:rsidR="00B32C80" w:rsidRDefault="004A1E40" w:rsidP="004A1E40">
      <w:pPr>
        <w:pStyle w:val="ListBullet"/>
      </w:pPr>
      <w:r>
        <w:t xml:space="preserve">Once prepared, labelling must comply with the appropriate standards for anaesthesia or user-applied labelling of Injectable Medicines, Fluids and Lines standards </w:t>
      </w:r>
    </w:p>
    <w:p w14:paraId="38584200" w14:textId="77777777" w:rsidR="00362103" w:rsidRPr="004A1E40" w:rsidRDefault="00362103" w:rsidP="00362103">
      <w:pPr>
        <w:pStyle w:val="ListBullet"/>
        <w:numPr>
          <w:ilvl w:val="0"/>
          <w:numId w:val="0"/>
        </w:numPr>
        <w:ind w:left="360"/>
      </w:pPr>
    </w:p>
    <w:p w14:paraId="613A9A13" w14:textId="164DDC79" w:rsidR="004F48AC" w:rsidRDefault="00000000" w:rsidP="004F31B6">
      <w:pPr>
        <w:jc w:val="right"/>
        <w:rPr>
          <w:rFonts w:cs="Arial"/>
          <w:b/>
          <w:szCs w:val="24"/>
        </w:rPr>
      </w:pPr>
      <w:hyperlink w:anchor="Contents" w:history="1">
        <w:r w:rsidR="00B32C80" w:rsidRPr="00590902">
          <w:rPr>
            <w:rStyle w:val="Hyperlink"/>
            <w:rFonts w:cs="Arial"/>
            <w:i/>
            <w:szCs w:val="24"/>
          </w:rPr>
          <w:t>Back to Table of Contents</w:t>
        </w:r>
      </w:hyperlink>
      <w:r w:rsidR="00B32C80">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A1E40" w:rsidRPr="00CD1C0E" w14:paraId="516E48F8" w14:textId="77777777" w:rsidTr="00EB4FCE">
        <w:trPr>
          <w:cantSplit/>
          <w:trHeight w:val="285"/>
        </w:trPr>
        <w:tc>
          <w:tcPr>
            <w:tcW w:w="9158" w:type="dxa"/>
            <w:shd w:val="clear" w:color="auto" w:fill="A6A6A6" w:themeFill="background1" w:themeFillShade="A6"/>
          </w:tcPr>
          <w:p w14:paraId="451BAAA5" w14:textId="535084EA" w:rsidR="004A1E40" w:rsidRPr="003D2D06" w:rsidRDefault="004A1E40" w:rsidP="00EB4FCE">
            <w:pPr>
              <w:pStyle w:val="Heading1"/>
            </w:pPr>
            <w:bookmarkStart w:id="31" w:name="_Toc158723936"/>
            <w:r>
              <w:t>Section 1</w:t>
            </w:r>
            <w:r w:rsidR="00E41CD4">
              <w:t>7</w:t>
            </w:r>
            <w:r w:rsidRPr="003D2D06">
              <w:t xml:space="preserve"> – </w:t>
            </w:r>
            <w:r w:rsidR="00362103">
              <w:t>Clozapine</w:t>
            </w:r>
            <w:bookmarkEnd w:id="31"/>
            <w:r w:rsidR="00362103">
              <w:t xml:space="preserve"> </w:t>
            </w:r>
          </w:p>
        </w:tc>
      </w:tr>
    </w:tbl>
    <w:p w14:paraId="4AD7D6B9" w14:textId="77777777" w:rsidR="004A1E40" w:rsidRDefault="004A1E40" w:rsidP="004A1E40">
      <w:pPr>
        <w:autoSpaceDE w:val="0"/>
        <w:autoSpaceDN w:val="0"/>
        <w:adjustRightInd w:val="0"/>
        <w:spacing w:line="276" w:lineRule="auto"/>
        <w:rPr>
          <w:rFonts w:cstheme="minorHAnsi"/>
          <w:color w:val="000000"/>
        </w:rPr>
      </w:pPr>
    </w:p>
    <w:p w14:paraId="20D2D53E" w14:textId="77777777" w:rsidR="004A1E40" w:rsidRPr="004A1E40" w:rsidRDefault="004A1E40" w:rsidP="004A1E40">
      <w:pPr>
        <w:pStyle w:val="ListBullet"/>
      </w:pPr>
      <w:r>
        <w:t xml:space="preserve">Clozapine is indicated for use in the management of treatment-resistant schizophrenia in cases where patients are non-responsive to, or intolerant of, at least two neuroleptic agents other than clozapine. Despite its proven and widely accepted clinical benefits there are significant safety concerns regarding its use. Clozapine can cause potentially life threatening side effects due, in particular, to haematological and cardiac effects. </w:t>
      </w:r>
    </w:p>
    <w:p w14:paraId="534B6C30" w14:textId="498F862E" w:rsidR="004A1E40" w:rsidRPr="004A1E40" w:rsidRDefault="004A1E40" w:rsidP="004A1E40">
      <w:pPr>
        <w:pStyle w:val="ListBullet"/>
      </w:pPr>
      <w:r>
        <w:t xml:space="preserve">National legislation and NCH procedures apply to ensure this highly specialised drug is prescribed, supplied, administered and monitored safely. E.g. there are two brands of clozapine available in Australia - Clozaril® from Novartis and </w:t>
      </w:r>
      <w:proofErr w:type="spellStart"/>
      <w:r>
        <w:t>Clopine</w:t>
      </w:r>
      <w:proofErr w:type="spellEnd"/>
      <w:r>
        <w:t xml:space="preserve">® from Hospira, each of which is associated clozapine patient monitoring service. </w:t>
      </w:r>
    </w:p>
    <w:p w14:paraId="0F823DEA" w14:textId="77777777" w:rsidR="004A1E40" w:rsidRPr="004A1E40" w:rsidRDefault="004A1E40" w:rsidP="004A1E40">
      <w:pPr>
        <w:pStyle w:val="ListBullet"/>
      </w:pPr>
      <w:r>
        <w:t xml:space="preserve"> All patients, prescribing doctors, dispensing pharmacists, coordinators and centres using clozapine need to be registered with the relevant monitoring system database. </w:t>
      </w:r>
    </w:p>
    <w:p w14:paraId="128DF0A2" w14:textId="77777777" w:rsidR="004A1E40" w:rsidRPr="004A1E40" w:rsidRDefault="004A1E40" w:rsidP="004A1E40">
      <w:pPr>
        <w:pStyle w:val="ListBullet"/>
      </w:pPr>
      <w:r>
        <w:t xml:space="preserve">The Therapeutic Goods Administration (TGA) has implemented mandatory haematological monitoring standards in Australia to minimise the risk of clozapine side </w:t>
      </w:r>
      <w:r>
        <w:lastRenderedPageBreak/>
        <w:t xml:space="preserve">effects. Pharmacists need to confirm prescriptions are accompanied by appropriate contemporary haematological test results and are available within the monitoring system prior to dispensing. </w:t>
      </w:r>
    </w:p>
    <w:p w14:paraId="6A553A49" w14:textId="77777777" w:rsidR="004A1E40" w:rsidRPr="004A1E40" w:rsidRDefault="004A1E40" w:rsidP="004A1E40">
      <w:pPr>
        <w:pStyle w:val="ListBullet"/>
      </w:pPr>
      <w:r>
        <w:t xml:space="preserve">Clozapine induced haematological adverse effects include, but are not limited to, neutropenia and agranulocytosis.  White cell counts and neutrophils testing must be performed for all patients (every week for the first 18 weeks; then every 4 weeks; with more frequent monitoring being required if the blood count result falls into the amber range of the traffic light system; blood count results in the red range on the traffic light system will require cessation of the clozapine and haematologist consultation). </w:t>
      </w:r>
    </w:p>
    <w:p w14:paraId="62A9EEA4" w14:textId="77777777" w:rsidR="004A1E40" w:rsidRPr="006C1664" w:rsidRDefault="004A1E40" w:rsidP="004A1E40">
      <w:pPr>
        <w:autoSpaceDE w:val="0"/>
        <w:autoSpaceDN w:val="0"/>
        <w:adjustRightInd w:val="0"/>
        <w:spacing w:line="276" w:lineRule="auto"/>
        <w:rPr>
          <w:rFonts w:cstheme="minorHAnsi"/>
          <w:color w:val="000000"/>
        </w:rPr>
      </w:pPr>
    </w:p>
    <w:p w14:paraId="2C34E78A" w14:textId="77777777" w:rsidR="004A1E40" w:rsidRPr="007233D6" w:rsidRDefault="004A1E40" w:rsidP="004A1E40">
      <w:pPr>
        <w:pStyle w:val="ListParagraph"/>
        <w:spacing w:line="276" w:lineRule="auto"/>
        <w:jc w:val="center"/>
        <w:rPr>
          <w:rFonts w:cstheme="minorHAnsi"/>
          <w:color w:val="000000"/>
        </w:rPr>
      </w:pPr>
      <w:r w:rsidRPr="006C1664">
        <w:rPr>
          <w:noProof/>
          <w:lang w:eastAsia="en-AU"/>
        </w:rPr>
        <w:drawing>
          <wp:inline distT="0" distB="0" distL="0" distR="0" wp14:anchorId="080AD613" wp14:editId="22C34210">
            <wp:extent cx="4051005" cy="2184671"/>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61366" cy="2190259"/>
                    </a:xfrm>
                    <a:prstGeom prst="rect">
                      <a:avLst/>
                    </a:prstGeom>
                  </pic:spPr>
                </pic:pic>
              </a:graphicData>
            </a:graphic>
          </wp:inline>
        </w:drawing>
      </w:r>
    </w:p>
    <w:p w14:paraId="754DC8CE" w14:textId="77777777" w:rsidR="004F48AC" w:rsidRPr="004F48AC" w:rsidRDefault="004F48AC" w:rsidP="004F48AC">
      <w:pPr>
        <w:pStyle w:val="ListBullet"/>
        <w:numPr>
          <w:ilvl w:val="0"/>
          <w:numId w:val="0"/>
        </w:numPr>
        <w:ind w:left="360"/>
        <w:rPr>
          <w:rFonts w:cstheme="minorBidi"/>
          <w:color w:val="000000"/>
        </w:rPr>
      </w:pPr>
    </w:p>
    <w:p w14:paraId="04A36A6F" w14:textId="2D53721F" w:rsidR="004A1E40" w:rsidRPr="007233D6" w:rsidRDefault="004A1E40" w:rsidP="4B108BD2">
      <w:pPr>
        <w:pStyle w:val="ListBullet"/>
        <w:rPr>
          <w:rFonts w:cstheme="minorBidi"/>
          <w:color w:val="000000"/>
        </w:rPr>
      </w:pPr>
      <w:r w:rsidRPr="4B108BD2">
        <w:rPr>
          <w:rFonts w:cstheme="minorBidi"/>
          <w:color w:val="000000" w:themeColor="text1"/>
        </w:rPr>
        <w:t xml:space="preserve">All authorised clozapine prescribers must comply with the following: </w:t>
      </w:r>
    </w:p>
    <w:p w14:paraId="0C36DAE0" w14:textId="77777777" w:rsidR="004A1E40" w:rsidRPr="006C1664" w:rsidRDefault="004A1E40" w:rsidP="0007497E">
      <w:pPr>
        <w:pStyle w:val="ListParagraph"/>
        <w:numPr>
          <w:ilvl w:val="0"/>
          <w:numId w:val="21"/>
        </w:numPr>
        <w:autoSpaceDE w:val="0"/>
        <w:autoSpaceDN w:val="0"/>
        <w:adjustRightInd w:val="0"/>
        <w:spacing w:line="276" w:lineRule="auto"/>
        <w:contextualSpacing w:val="0"/>
        <w:rPr>
          <w:rFonts w:cstheme="minorHAnsi"/>
          <w:color w:val="000000"/>
        </w:rPr>
      </w:pPr>
      <w:r w:rsidRPr="006C1664">
        <w:rPr>
          <w:rFonts w:cstheme="minorHAnsi"/>
          <w:color w:val="000000"/>
        </w:rPr>
        <w:t>A range of pre-treatment parameters including baseline haematological, metabolic and cardiac screening (including Troponin I or T, CRP, echocardiogram and electrocardiogram)</w:t>
      </w:r>
    </w:p>
    <w:p w14:paraId="2F777FD8" w14:textId="77777777" w:rsidR="004A1E40" w:rsidRPr="006C1664" w:rsidRDefault="004A1E40" w:rsidP="0007497E">
      <w:pPr>
        <w:pStyle w:val="ListParagraph"/>
        <w:numPr>
          <w:ilvl w:val="0"/>
          <w:numId w:val="21"/>
        </w:numPr>
        <w:autoSpaceDE w:val="0"/>
        <w:autoSpaceDN w:val="0"/>
        <w:adjustRightInd w:val="0"/>
        <w:spacing w:line="276" w:lineRule="auto"/>
        <w:contextualSpacing w:val="0"/>
        <w:rPr>
          <w:rFonts w:cstheme="minorHAnsi"/>
          <w:color w:val="000000"/>
        </w:rPr>
      </w:pPr>
      <w:r w:rsidRPr="006C1664">
        <w:rPr>
          <w:rFonts w:cstheme="minorHAnsi"/>
          <w:color w:val="000000"/>
        </w:rPr>
        <w:t xml:space="preserve">Periodic haematological, metabolic and cardiac testing once treatment has commenced and/or following the cessation of treatment. </w:t>
      </w:r>
    </w:p>
    <w:p w14:paraId="16704B5A" w14:textId="77777777" w:rsidR="004A1E40" w:rsidRPr="006C1664" w:rsidRDefault="004A1E40" w:rsidP="0007497E">
      <w:pPr>
        <w:pStyle w:val="ListParagraph"/>
        <w:numPr>
          <w:ilvl w:val="0"/>
          <w:numId w:val="21"/>
        </w:numPr>
        <w:autoSpaceDE w:val="0"/>
        <w:autoSpaceDN w:val="0"/>
        <w:adjustRightInd w:val="0"/>
        <w:spacing w:line="276" w:lineRule="auto"/>
        <w:contextualSpacing w:val="0"/>
        <w:rPr>
          <w:rFonts w:cstheme="minorHAnsi"/>
          <w:color w:val="000000"/>
        </w:rPr>
      </w:pPr>
      <w:r w:rsidRPr="006C1664">
        <w:rPr>
          <w:rFonts w:cstheme="minorHAnsi"/>
          <w:color w:val="000000"/>
        </w:rPr>
        <w:t>Monitoring for gastrointestinal and CNS adverse effects</w:t>
      </w:r>
    </w:p>
    <w:p w14:paraId="6D0772EA" w14:textId="77777777" w:rsidR="004A1E40" w:rsidRPr="007233D6" w:rsidRDefault="004A1E40" w:rsidP="4B108BD2">
      <w:pPr>
        <w:pStyle w:val="ListBullet"/>
        <w:rPr>
          <w:rFonts w:cstheme="minorBidi"/>
          <w:color w:val="000000"/>
        </w:rPr>
      </w:pPr>
      <w:r w:rsidRPr="4B108BD2">
        <w:rPr>
          <w:rFonts w:cstheme="minorBidi"/>
          <w:color w:val="000000" w:themeColor="text1"/>
        </w:rPr>
        <w:t xml:space="preserve">Any disruption of Clozapine treatment must initiate a clinical pharmacist / medical officer review to determine the reason for the interruption of treatment and assessment of the patient. The duration of the clozapine treatment interruption will determine how the clozapine dosing may be reintroduced and the monitoring requirements. </w:t>
      </w:r>
    </w:p>
    <w:p w14:paraId="51D07630" w14:textId="77777777" w:rsidR="004A1E40" w:rsidRPr="006C1664" w:rsidRDefault="004A1E40" w:rsidP="4B108BD2">
      <w:pPr>
        <w:pStyle w:val="ListBullet"/>
        <w:rPr>
          <w:rFonts w:cstheme="minorBidi"/>
          <w:color w:val="000000"/>
        </w:rPr>
      </w:pPr>
      <w:r w:rsidRPr="4B108BD2">
        <w:rPr>
          <w:rFonts w:cstheme="minorBidi"/>
          <w:color w:val="000000" w:themeColor="text1"/>
        </w:rPr>
        <w:t xml:space="preserve">Clozapine will not be made available to wards as imprest stock or in the ‘After Hours’ Supply </w:t>
      </w:r>
    </w:p>
    <w:p w14:paraId="6B33AC9E" w14:textId="14B0B310" w:rsidR="004A1E40" w:rsidRDefault="004A1E40" w:rsidP="4B108BD2">
      <w:pPr>
        <w:pStyle w:val="ListBullet"/>
        <w:rPr>
          <w:rFonts w:cstheme="minorBidi"/>
          <w:color w:val="000000"/>
        </w:rPr>
      </w:pPr>
      <w:r w:rsidRPr="4B108BD2">
        <w:rPr>
          <w:rFonts w:cstheme="minorBidi"/>
          <w:color w:val="000000" w:themeColor="text1"/>
        </w:rPr>
        <w:t xml:space="preserve">All Clozapine orders must be reviewed by a pharmacist. Prior to supply being made, the pharmacist must confirm the dosage schedule is appropriate </w:t>
      </w:r>
    </w:p>
    <w:p w14:paraId="1E6E8739" w14:textId="59D22AC7" w:rsidR="00B32C80" w:rsidRPr="004A1E40" w:rsidRDefault="004A1E40" w:rsidP="4B108BD2">
      <w:pPr>
        <w:pStyle w:val="ListBullet"/>
        <w:rPr>
          <w:rFonts w:cstheme="minorBidi"/>
          <w:color w:val="000000"/>
        </w:rPr>
      </w:pPr>
      <w:r w:rsidRPr="4B108BD2">
        <w:rPr>
          <w:rFonts w:cstheme="minorBidi"/>
          <w:color w:val="000000" w:themeColor="text1"/>
        </w:rPr>
        <w:t>Clozapine must be dispensed for individual patients from a medication order or prescription.</w:t>
      </w:r>
    </w:p>
    <w:p w14:paraId="09B1F589" w14:textId="507F21F3" w:rsidR="00B32C80" w:rsidRDefault="00B32C80" w:rsidP="007B6904">
      <w:pPr>
        <w:jc w:val="right"/>
        <w:rPr>
          <w:rFonts w:cs="Arial"/>
          <w:b/>
          <w:szCs w:val="24"/>
        </w:rPr>
      </w:pPr>
    </w:p>
    <w:p w14:paraId="32373A9B" w14:textId="77777777" w:rsidR="00011E13" w:rsidRDefault="00011E13" w:rsidP="007B6904">
      <w:pPr>
        <w:jc w:val="right"/>
        <w:rPr>
          <w:rFonts w:cs="Arial"/>
          <w:b/>
          <w:szCs w:val="24"/>
        </w:rPr>
      </w:pPr>
    </w:p>
    <w:p w14:paraId="4E3A2030" w14:textId="77777777" w:rsidR="005F06E5" w:rsidRDefault="005F06E5" w:rsidP="007B6904">
      <w:pPr>
        <w:jc w:val="right"/>
        <w:rPr>
          <w:rFonts w:cs="Arial"/>
          <w:b/>
          <w:szCs w:val="24"/>
        </w:rPr>
      </w:pPr>
    </w:p>
    <w:p w14:paraId="328A5F01" w14:textId="77777777" w:rsidR="003E170E" w:rsidRPr="007A6CA5" w:rsidRDefault="003E170E" w:rsidP="004F48AC">
      <w:pPr>
        <w:pStyle w:val="ListBullet"/>
        <w:numPr>
          <w:ilvl w:val="0"/>
          <w:numId w:val="0"/>
        </w:numPr>
        <w:tabs>
          <w:tab w:val="num" w:pos="360"/>
        </w:tabs>
        <w:rPr>
          <w:b/>
          <w:szCs w:val="24"/>
        </w:rPr>
      </w:pPr>
      <w:r w:rsidRPr="007A6CA5">
        <w:rPr>
          <w:b/>
          <w:szCs w:val="24"/>
        </w:rPr>
        <w:lastRenderedPageBreak/>
        <w:t>Education and Awareness</w:t>
      </w:r>
    </w:p>
    <w:p w14:paraId="461FF5DA" w14:textId="77777777" w:rsidR="003E170E" w:rsidRDefault="003E170E" w:rsidP="00813703">
      <w:pPr>
        <w:pStyle w:val="ListBullet"/>
        <w:numPr>
          <w:ilvl w:val="0"/>
          <w:numId w:val="30"/>
        </w:numPr>
        <w:rPr>
          <w:szCs w:val="24"/>
        </w:rPr>
      </w:pPr>
      <w:r w:rsidRPr="007A6CA5">
        <w:rPr>
          <w:szCs w:val="24"/>
        </w:rPr>
        <w:t>All clinical areas where c</w:t>
      </w:r>
      <w:r>
        <w:rPr>
          <w:szCs w:val="24"/>
        </w:rPr>
        <w:t xml:space="preserve">lozapine is </w:t>
      </w:r>
      <w:r w:rsidRPr="007A6CA5">
        <w:rPr>
          <w:szCs w:val="24"/>
        </w:rPr>
        <w:t xml:space="preserve">used must </w:t>
      </w:r>
      <w:r>
        <w:rPr>
          <w:szCs w:val="24"/>
        </w:rPr>
        <w:t>e</w:t>
      </w:r>
      <w:r w:rsidRPr="007A6CA5">
        <w:rPr>
          <w:szCs w:val="24"/>
        </w:rPr>
        <w:t xml:space="preserve">nsure staff are aware that </w:t>
      </w:r>
      <w:r>
        <w:rPr>
          <w:szCs w:val="24"/>
        </w:rPr>
        <w:t xml:space="preserve">clozapine is </w:t>
      </w:r>
      <w:proofErr w:type="spellStart"/>
      <w:r w:rsidRPr="007A6CA5">
        <w:rPr>
          <w:szCs w:val="24"/>
        </w:rPr>
        <w:t>considerd</w:t>
      </w:r>
      <w:proofErr w:type="spellEnd"/>
      <w:r w:rsidRPr="007A6CA5">
        <w:rPr>
          <w:szCs w:val="24"/>
        </w:rPr>
        <w:t xml:space="preserve"> high risk at North Canberra Hospital and CHH</w:t>
      </w:r>
    </w:p>
    <w:p w14:paraId="11A64762" w14:textId="3855941D" w:rsidR="003E170E" w:rsidRPr="00813703" w:rsidRDefault="003E170E" w:rsidP="00813703">
      <w:pPr>
        <w:pStyle w:val="ListBullet"/>
        <w:numPr>
          <w:ilvl w:val="0"/>
          <w:numId w:val="30"/>
        </w:numPr>
      </w:pPr>
      <w:r>
        <w:t xml:space="preserve">All staff who prescribe, </w:t>
      </w:r>
      <w:proofErr w:type="gramStart"/>
      <w:r>
        <w:t>dispense</w:t>
      </w:r>
      <w:proofErr w:type="gramEnd"/>
      <w:r>
        <w:t xml:space="preserve"> or administer clozapine must complete the High Risk Medicines Education module ‘Clozapine’, available on HRIMS</w:t>
      </w:r>
    </w:p>
    <w:p w14:paraId="3C7AC6FC" w14:textId="77777777" w:rsidR="0007497E" w:rsidRPr="004A1E40" w:rsidRDefault="0007497E" w:rsidP="0007497E">
      <w:pPr>
        <w:pStyle w:val="ListBullet"/>
        <w:numPr>
          <w:ilvl w:val="0"/>
          <w:numId w:val="0"/>
        </w:numPr>
        <w:ind w:left="360"/>
      </w:pPr>
    </w:p>
    <w:p w14:paraId="119BA4AD" w14:textId="440FBFA2" w:rsidR="00F9158A" w:rsidRDefault="00000000" w:rsidP="004F31B6">
      <w:pPr>
        <w:jc w:val="right"/>
        <w:rPr>
          <w:rFonts w:cs="Arial"/>
          <w:b/>
          <w:szCs w:val="24"/>
        </w:rPr>
      </w:pPr>
      <w:hyperlink w:anchor="Contents" w:history="1">
        <w:r w:rsidR="0007497E" w:rsidRPr="00590902">
          <w:rPr>
            <w:rStyle w:val="Hyperlink"/>
            <w:rFonts w:cs="Arial"/>
            <w:i/>
            <w:szCs w:val="24"/>
          </w:rPr>
          <w:t>Back to Table of Contents</w:t>
        </w:r>
      </w:hyperlink>
      <w:r w:rsidR="0007497E">
        <w:rPr>
          <w:rFonts w:cs="Arial"/>
          <w:i/>
          <w:szCs w:val="24"/>
        </w:rPr>
        <w:t xml:space="preserve"> </w:t>
      </w:r>
    </w:p>
    <w:p w14:paraId="0E3972A7" w14:textId="77777777" w:rsidR="004F31B6" w:rsidRPr="004F31B6" w:rsidRDefault="004F31B6" w:rsidP="004F31B6">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2" w:name="_Toc389473287"/>
            <w:bookmarkStart w:id="33" w:name="_Toc158723937"/>
            <w:r>
              <w:t xml:space="preserve">Related Policies, </w:t>
            </w:r>
            <w:r w:rsidR="007B6904">
              <w:t>Procedures</w:t>
            </w:r>
            <w:bookmarkEnd w:id="32"/>
            <w:r>
              <w:t>, Guidelines and Legislation</w:t>
            </w:r>
            <w:bookmarkEnd w:id="33"/>
          </w:p>
        </w:tc>
      </w:tr>
    </w:tbl>
    <w:p w14:paraId="2F51A8B9" w14:textId="77777777" w:rsidR="001926F4" w:rsidRDefault="001926F4" w:rsidP="001926F4">
      <w:pPr>
        <w:pStyle w:val="Heading2"/>
      </w:pPr>
    </w:p>
    <w:p w14:paraId="2F51A8BE" w14:textId="77777777" w:rsidR="00931B93" w:rsidRPr="00201FB6" w:rsidRDefault="00931B93" w:rsidP="00201FB6">
      <w:pPr>
        <w:rPr>
          <w:b/>
        </w:rPr>
      </w:pPr>
      <w:r w:rsidRPr="00201FB6">
        <w:rPr>
          <w:b/>
        </w:rPr>
        <w:t>Procedures</w:t>
      </w:r>
    </w:p>
    <w:p w14:paraId="2F51A8C0" w14:textId="37492DA6" w:rsidR="000A7335" w:rsidRDefault="0007497E" w:rsidP="003862EC">
      <w:pPr>
        <w:pStyle w:val="ListParagraph"/>
        <w:numPr>
          <w:ilvl w:val="0"/>
          <w:numId w:val="3"/>
        </w:numPr>
        <w:ind w:left="360"/>
        <w:rPr>
          <w:rFonts w:cs="Arial"/>
        </w:rPr>
      </w:pPr>
      <w:r>
        <w:rPr>
          <w:rFonts w:cs="Arial"/>
        </w:rPr>
        <w:t xml:space="preserve">NCH Medication Handling </w:t>
      </w:r>
    </w:p>
    <w:p w14:paraId="3EF38503" w14:textId="4F782C42" w:rsidR="00212C02" w:rsidRDefault="00212C02" w:rsidP="003862EC">
      <w:pPr>
        <w:pStyle w:val="ListParagraph"/>
        <w:numPr>
          <w:ilvl w:val="0"/>
          <w:numId w:val="3"/>
        </w:numPr>
        <w:ind w:left="360"/>
        <w:rPr>
          <w:rFonts w:cs="Arial"/>
        </w:rPr>
      </w:pPr>
      <w:r>
        <w:rPr>
          <w:rFonts w:cs="Arial"/>
        </w:rPr>
        <w:t xml:space="preserve">NCH High Risk Medicines-Intravenous Potassium </w:t>
      </w:r>
    </w:p>
    <w:p w14:paraId="2EFAC263" w14:textId="77777777" w:rsidR="008B6836" w:rsidRDefault="00212C02" w:rsidP="003862EC">
      <w:pPr>
        <w:pStyle w:val="ListParagraph"/>
        <w:numPr>
          <w:ilvl w:val="0"/>
          <w:numId w:val="3"/>
        </w:numPr>
        <w:ind w:left="360"/>
        <w:rPr>
          <w:rFonts w:cs="Arial"/>
        </w:rPr>
      </w:pPr>
      <w:r>
        <w:rPr>
          <w:rFonts w:cs="Arial"/>
        </w:rPr>
        <w:t xml:space="preserve">NCH </w:t>
      </w:r>
      <w:r w:rsidR="0007497E">
        <w:rPr>
          <w:rFonts w:cs="Arial"/>
        </w:rPr>
        <w:t>Antimicrobial Stewardship</w:t>
      </w:r>
    </w:p>
    <w:p w14:paraId="1363A05E" w14:textId="650009F5" w:rsidR="0007497E" w:rsidRDefault="008B6836" w:rsidP="003862EC">
      <w:pPr>
        <w:pStyle w:val="ListParagraph"/>
        <w:numPr>
          <w:ilvl w:val="0"/>
          <w:numId w:val="3"/>
        </w:numPr>
        <w:ind w:left="360"/>
        <w:rPr>
          <w:rFonts w:cs="Arial"/>
        </w:rPr>
      </w:pPr>
      <w:r w:rsidRPr="004F48AC">
        <w:rPr>
          <w:rFonts w:cstheme="minorBidi"/>
          <w:szCs w:val="24"/>
        </w:rPr>
        <w:t>NCH Methotrexate for Ectopic pregnancy</w:t>
      </w:r>
      <w:r w:rsidR="0007497E">
        <w:rPr>
          <w:rFonts w:cs="Arial"/>
        </w:rPr>
        <w:t xml:space="preserve"> </w:t>
      </w:r>
    </w:p>
    <w:p w14:paraId="2777FAC2" w14:textId="53EB6DA4" w:rsidR="00813703" w:rsidRPr="000A7335" w:rsidRDefault="00813703" w:rsidP="003862EC">
      <w:pPr>
        <w:pStyle w:val="ListParagraph"/>
        <w:numPr>
          <w:ilvl w:val="0"/>
          <w:numId w:val="3"/>
        </w:numPr>
        <w:ind w:left="360"/>
        <w:rPr>
          <w:rFonts w:cs="Arial"/>
        </w:rPr>
      </w:pPr>
      <w:r>
        <w:rPr>
          <w:rFonts w:cstheme="minorBidi"/>
        </w:rPr>
        <w:t xml:space="preserve">NCH </w:t>
      </w:r>
      <w:r w:rsidRPr="00813703">
        <w:rPr>
          <w:rFonts w:cstheme="minorBidi"/>
        </w:rPr>
        <w:t xml:space="preserve">Intravenous Aminoglycoside Dosing and Monitoring in Adults </w:t>
      </w:r>
    </w:p>
    <w:p w14:paraId="2F51A8C1" w14:textId="77777777" w:rsidR="000A7335" w:rsidRPr="000A7335" w:rsidRDefault="000A7335" w:rsidP="000A7335">
      <w:pPr>
        <w:ind w:left="360"/>
        <w:rPr>
          <w:rFonts w:cs="Arial"/>
          <w:szCs w:val="24"/>
        </w:rPr>
      </w:pPr>
    </w:p>
    <w:p w14:paraId="2F51A8C5" w14:textId="77777777" w:rsidR="00931B93" w:rsidRPr="00201FB6" w:rsidRDefault="00931B93" w:rsidP="00201FB6">
      <w:pPr>
        <w:rPr>
          <w:b/>
        </w:rPr>
      </w:pPr>
      <w:r w:rsidRPr="00201FB6">
        <w:rPr>
          <w:b/>
        </w:rPr>
        <w:t>Legislation</w:t>
      </w:r>
    </w:p>
    <w:p w14:paraId="2B31C9E2" w14:textId="77777777" w:rsidR="00E41CD4" w:rsidRPr="00407F9E" w:rsidRDefault="00E41CD4" w:rsidP="4B108BD2">
      <w:pPr>
        <w:pStyle w:val="ListBullet"/>
        <w:tabs>
          <w:tab w:val="clear" w:pos="360"/>
          <w:tab w:val="num" w:pos="1080"/>
        </w:tabs>
        <w:ind w:left="426" w:hanging="426"/>
        <w:rPr>
          <w:rFonts w:ascii="Times New Roman" w:hAnsi="Times New Roman"/>
          <w:i/>
          <w:iCs/>
        </w:rPr>
      </w:pPr>
      <w:r w:rsidRPr="4B108BD2">
        <w:rPr>
          <w:i/>
          <w:iCs/>
        </w:rPr>
        <w:t xml:space="preserve">Medicines, Poisons and Therapeutic Goods Act </w:t>
      </w:r>
      <w:r>
        <w:t>2008</w:t>
      </w:r>
      <w:r w:rsidRPr="4B108BD2">
        <w:rPr>
          <w:i/>
          <w:iCs/>
        </w:rPr>
        <w:t xml:space="preserve"> </w:t>
      </w:r>
    </w:p>
    <w:p w14:paraId="301ABD3E" w14:textId="77777777" w:rsidR="00E41CD4" w:rsidRPr="00407F9E" w:rsidRDefault="00E41CD4" w:rsidP="4B108BD2">
      <w:pPr>
        <w:pStyle w:val="ListBullet"/>
        <w:tabs>
          <w:tab w:val="clear" w:pos="360"/>
          <w:tab w:val="num" w:pos="1080"/>
        </w:tabs>
        <w:ind w:left="426" w:hanging="426"/>
        <w:rPr>
          <w:i/>
          <w:iCs/>
        </w:rPr>
      </w:pPr>
      <w:r w:rsidRPr="4B108BD2">
        <w:rPr>
          <w:i/>
          <w:iCs/>
        </w:rPr>
        <w:t xml:space="preserve">Medicines, Poisons and Therapeutic Goods Regulation </w:t>
      </w:r>
      <w:r>
        <w:t>2008</w:t>
      </w:r>
      <w:r w:rsidRPr="4B108BD2">
        <w:rPr>
          <w:i/>
          <w:iCs/>
        </w:rPr>
        <w:t xml:space="preserve"> </w:t>
      </w:r>
    </w:p>
    <w:p w14:paraId="0CDABAB5" w14:textId="77777777" w:rsidR="00E41CD4" w:rsidRPr="00407F9E" w:rsidRDefault="00E41CD4" w:rsidP="4B108BD2">
      <w:pPr>
        <w:pStyle w:val="ListBullet"/>
        <w:tabs>
          <w:tab w:val="clear" w:pos="360"/>
          <w:tab w:val="num" w:pos="1080"/>
        </w:tabs>
        <w:ind w:left="426" w:hanging="426"/>
        <w:rPr>
          <w:i/>
          <w:iCs/>
        </w:rPr>
      </w:pPr>
      <w:r w:rsidRPr="4B108BD2">
        <w:rPr>
          <w:i/>
          <w:iCs/>
        </w:rPr>
        <w:t xml:space="preserve">Health Practitioner Regulation National Law Act </w:t>
      </w:r>
      <w:r>
        <w:t>2010</w:t>
      </w:r>
    </w:p>
    <w:p w14:paraId="3E397AA9" w14:textId="77777777" w:rsidR="00E41CD4" w:rsidRPr="00407F9E" w:rsidRDefault="00E41CD4" w:rsidP="4B108BD2">
      <w:pPr>
        <w:pStyle w:val="ListBullet"/>
        <w:tabs>
          <w:tab w:val="clear" w:pos="360"/>
          <w:tab w:val="num" w:pos="1080"/>
        </w:tabs>
        <w:ind w:left="426" w:hanging="426"/>
        <w:rPr>
          <w:rFonts w:ascii="Times New Roman" w:hAnsi="Times New Roman"/>
          <w:i/>
          <w:iCs/>
        </w:rPr>
      </w:pPr>
      <w:r w:rsidRPr="4B108BD2">
        <w:rPr>
          <w:i/>
          <w:iCs/>
        </w:rPr>
        <w:t xml:space="preserve">Therapeutic Goods Act </w:t>
      </w:r>
      <w:r>
        <w:t>1989</w:t>
      </w:r>
      <w:r w:rsidRPr="4B108BD2">
        <w:rPr>
          <w:i/>
          <w:iCs/>
        </w:rPr>
        <w:t xml:space="preserve"> </w:t>
      </w:r>
    </w:p>
    <w:p w14:paraId="3E23751E" w14:textId="77777777" w:rsidR="00E41CD4" w:rsidRPr="00407F9E" w:rsidRDefault="00E41CD4" w:rsidP="4B108BD2">
      <w:pPr>
        <w:pStyle w:val="ListBullet"/>
        <w:tabs>
          <w:tab w:val="clear" w:pos="360"/>
          <w:tab w:val="num" w:pos="1080"/>
        </w:tabs>
        <w:ind w:left="426" w:hanging="426"/>
        <w:rPr>
          <w:i/>
          <w:iCs/>
        </w:rPr>
      </w:pPr>
      <w:r w:rsidRPr="4B108BD2">
        <w:rPr>
          <w:i/>
          <w:iCs/>
        </w:rPr>
        <w:t xml:space="preserve">Therapeutic Goods Regulations </w:t>
      </w:r>
      <w:r>
        <w:t>1990</w:t>
      </w:r>
    </w:p>
    <w:p w14:paraId="7150E3ED" w14:textId="5807730F" w:rsidR="00E41CD4" w:rsidRPr="00813703" w:rsidRDefault="00E41CD4" w:rsidP="4B108BD2">
      <w:pPr>
        <w:pStyle w:val="ListBullet"/>
        <w:tabs>
          <w:tab w:val="clear" w:pos="360"/>
          <w:tab w:val="num" w:pos="1080"/>
        </w:tabs>
        <w:ind w:left="426" w:hanging="426"/>
        <w:rPr>
          <w:rFonts w:ascii="Times New Roman" w:hAnsi="Times New Roman"/>
          <w:i/>
          <w:iCs/>
        </w:rPr>
      </w:pPr>
      <w:r w:rsidRPr="4B108BD2">
        <w:rPr>
          <w:i/>
          <w:iCs/>
        </w:rPr>
        <w:t xml:space="preserve">Work Health and Safety Act </w:t>
      </w:r>
      <w:r>
        <w:t>2011</w:t>
      </w:r>
    </w:p>
    <w:p w14:paraId="05185348" w14:textId="77777777" w:rsidR="00212C02" w:rsidRPr="00407F9E" w:rsidRDefault="00212C02" w:rsidP="00813703">
      <w:pPr>
        <w:pStyle w:val="ListBullet"/>
        <w:numPr>
          <w:ilvl w:val="0"/>
          <w:numId w:val="0"/>
        </w:numPr>
        <w:ind w:left="426"/>
        <w:rPr>
          <w:rFonts w:ascii="Times New Roman" w:hAnsi="Times New Roman"/>
          <w:i/>
          <w:iCs/>
        </w:rPr>
      </w:pPr>
    </w:p>
    <w:p w14:paraId="29CCC27E" w14:textId="41CDA65E" w:rsidR="004F48AC" w:rsidRPr="004F31B6" w:rsidRDefault="00000000" w:rsidP="004F31B6">
      <w:pPr>
        <w:pStyle w:val="ListParagraph"/>
        <w:jc w:val="right"/>
        <w:rPr>
          <w:rFonts w:cs="Arial"/>
          <w:i/>
          <w:color w:val="0000FF"/>
          <w:u w:val="single"/>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4" w:name="_Toc389473288"/>
            <w:bookmarkStart w:id="35" w:name="_Toc158723938"/>
            <w:r>
              <w:t>References</w:t>
            </w:r>
            <w:bookmarkEnd w:id="34"/>
            <w:bookmarkEnd w:id="35"/>
          </w:p>
        </w:tc>
      </w:tr>
    </w:tbl>
    <w:p w14:paraId="2F51A8CF" w14:textId="77777777" w:rsidR="005067CA" w:rsidRPr="00DE4E25" w:rsidRDefault="005067CA" w:rsidP="005067CA">
      <w:pPr>
        <w:pStyle w:val="ListParagraph"/>
        <w:ind w:left="0"/>
        <w:rPr>
          <w:rFonts w:eastAsia="Calibri" w:cs="Calibri"/>
          <w:i/>
          <w:szCs w:val="24"/>
        </w:rPr>
      </w:pPr>
    </w:p>
    <w:p w14:paraId="206B5C19" w14:textId="59D3D956" w:rsidR="004A1E40" w:rsidRPr="004A1E40" w:rsidRDefault="004A1E40" w:rsidP="003862EC">
      <w:pPr>
        <w:pStyle w:val="ListParagraph"/>
        <w:numPr>
          <w:ilvl w:val="0"/>
          <w:numId w:val="4"/>
        </w:numPr>
        <w:autoSpaceDE w:val="0"/>
        <w:autoSpaceDN w:val="0"/>
        <w:adjustRightInd w:val="0"/>
        <w:spacing w:line="276" w:lineRule="auto"/>
        <w:rPr>
          <w:rFonts w:cstheme="minorHAnsi"/>
        </w:rPr>
      </w:pPr>
      <w:r w:rsidRPr="004A1E40">
        <w:rPr>
          <w:rFonts w:cstheme="minorHAnsi"/>
        </w:rPr>
        <w:t>American Pharmacists Association, Medication Errors. 2nd Ed 2007, Washington DC American Pharmacists Association.</w:t>
      </w:r>
    </w:p>
    <w:p w14:paraId="51B8EE4B" w14:textId="68CBE4CC" w:rsidR="004A1E40" w:rsidRPr="004A1E40" w:rsidRDefault="004A1E40" w:rsidP="003862EC">
      <w:pPr>
        <w:pStyle w:val="ListParagraph"/>
        <w:numPr>
          <w:ilvl w:val="0"/>
          <w:numId w:val="4"/>
        </w:numPr>
        <w:autoSpaceDE w:val="0"/>
        <w:autoSpaceDN w:val="0"/>
        <w:adjustRightInd w:val="0"/>
        <w:spacing w:line="276" w:lineRule="auto"/>
        <w:rPr>
          <w:rFonts w:cstheme="minorHAnsi"/>
        </w:rPr>
      </w:pPr>
      <w:r w:rsidRPr="004A1E40">
        <w:rPr>
          <w:rFonts w:cstheme="minorHAnsi"/>
        </w:rPr>
        <w:t xml:space="preserve"> NSW Clinical Excellence Commission. Medication Safety Self-Assessment for Australian Hospitals.</w:t>
      </w:r>
    </w:p>
    <w:p w14:paraId="3E9A8A77" w14:textId="0D7A830E" w:rsidR="004A1E40" w:rsidRPr="004A1E40" w:rsidRDefault="004A1E40" w:rsidP="003862EC">
      <w:pPr>
        <w:pStyle w:val="ListParagraph"/>
        <w:numPr>
          <w:ilvl w:val="0"/>
          <w:numId w:val="4"/>
        </w:numPr>
        <w:autoSpaceDE w:val="0"/>
        <w:autoSpaceDN w:val="0"/>
        <w:adjustRightInd w:val="0"/>
        <w:spacing w:line="276" w:lineRule="auto"/>
        <w:rPr>
          <w:rFonts w:cstheme="minorHAnsi"/>
        </w:rPr>
      </w:pPr>
      <w:r w:rsidRPr="004A1E40">
        <w:rPr>
          <w:rFonts w:cstheme="minorHAnsi"/>
        </w:rPr>
        <w:t xml:space="preserve"> Birkett, D.J., Pharmacokinetics made easy, Therapeutic drug monitoring. Australian Prescriber 1997. 20: p. 9-11</w:t>
      </w:r>
    </w:p>
    <w:p w14:paraId="49BEBB31" w14:textId="6BAB4316" w:rsidR="004A1E40" w:rsidRPr="003862EC" w:rsidRDefault="004A1E40" w:rsidP="003862EC">
      <w:pPr>
        <w:pStyle w:val="ListParagraph"/>
        <w:numPr>
          <w:ilvl w:val="0"/>
          <w:numId w:val="4"/>
        </w:numPr>
        <w:autoSpaceDE w:val="0"/>
        <w:autoSpaceDN w:val="0"/>
        <w:adjustRightInd w:val="0"/>
        <w:spacing w:line="276" w:lineRule="auto"/>
        <w:rPr>
          <w:rFonts w:cstheme="minorHAnsi"/>
        </w:rPr>
      </w:pPr>
      <w:r w:rsidRPr="003862EC">
        <w:rPr>
          <w:rFonts w:cstheme="minorHAnsi"/>
        </w:rPr>
        <w:t xml:space="preserve"> </w:t>
      </w:r>
      <w:hyperlink r:id="rId23" w:history="1">
        <w:r w:rsidRPr="003862EC">
          <w:rPr>
            <w:rStyle w:val="Hyperlink"/>
            <w:rFonts w:cstheme="minorHAnsi"/>
            <w:color w:val="auto"/>
            <w:u w:val="none"/>
          </w:rPr>
          <w:t>ACSQHC’s “Recommendations for terminology, abbreviations and symbols used in medicines documentation</w:t>
        </w:r>
      </w:hyperlink>
      <w:r w:rsidRPr="003862EC">
        <w:rPr>
          <w:rFonts w:cstheme="minorHAnsi"/>
        </w:rPr>
        <w:t xml:space="preserve">” </w:t>
      </w:r>
      <w:hyperlink r:id="rId24" w:history="1">
        <w:r w:rsidR="0007497E" w:rsidRPr="007638DB">
          <w:rPr>
            <w:rStyle w:val="Hyperlink"/>
            <w:rFonts w:cstheme="minorHAnsi"/>
          </w:rPr>
          <w:t>https://www.safetyandquality.gov.au/publications-and-resources/resource-library/recommendations-terminology-abbreviations-and-symbols-used-medicines-documentation</w:t>
        </w:r>
      </w:hyperlink>
    </w:p>
    <w:p w14:paraId="2B1E35EF" w14:textId="6C266354" w:rsidR="004A1E40" w:rsidRPr="003862EC" w:rsidRDefault="004A1E40" w:rsidP="003862EC">
      <w:pPr>
        <w:pStyle w:val="ListParagraph"/>
        <w:numPr>
          <w:ilvl w:val="0"/>
          <w:numId w:val="4"/>
        </w:numPr>
        <w:autoSpaceDE w:val="0"/>
        <w:autoSpaceDN w:val="0"/>
        <w:adjustRightInd w:val="0"/>
        <w:spacing w:line="276" w:lineRule="auto"/>
        <w:rPr>
          <w:rFonts w:cstheme="minorHAnsi"/>
        </w:rPr>
      </w:pPr>
      <w:r w:rsidRPr="003862EC">
        <w:rPr>
          <w:rFonts w:cstheme="minorHAnsi"/>
        </w:rPr>
        <w:lastRenderedPageBreak/>
        <w:t xml:space="preserve"> </w:t>
      </w:r>
      <w:hyperlink r:id="rId25" w:history="1">
        <w:r w:rsidRPr="003862EC">
          <w:rPr>
            <w:rStyle w:val="Hyperlink"/>
            <w:rFonts w:cstheme="minorHAnsi"/>
            <w:color w:val="auto"/>
            <w:u w:val="none"/>
          </w:rPr>
          <w:t>ACSQHC Potassium Medicines ALERT 2003</w:t>
        </w:r>
      </w:hyperlink>
      <w:r w:rsidRPr="003862EC">
        <w:rPr>
          <w:rFonts w:cstheme="minorHAnsi"/>
        </w:rPr>
        <w:t xml:space="preserve"> </w:t>
      </w:r>
      <w:hyperlink r:id="rId26" w:history="1">
        <w:r w:rsidR="0007497E" w:rsidRPr="007638DB">
          <w:rPr>
            <w:rStyle w:val="Hyperlink"/>
            <w:rFonts w:cstheme="minorHAnsi"/>
          </w:rPr>
          <w:t>https://www.safetyandquality.gov.au/sites/default/files/migrated/High-Risk-Medication-Alert-Intravenous-Potassium-Chloride-2003-432KB.pdf</w:t>
        </w:r>
      </w:hyperlink>
    </w:p>
    <w:p w14:paraId="2F51A8D4" w14:textId="77777777" w:rsidR="007B6904" w:rsidRPr="00DE4E25" w:rsidRDefault="007B6904" w:rsidP="004A1E40">
      <w:pPr>
        <w:rPr>
          <w:szCs w:val="24"/>
        </w:rPr>
      </w:pPr>
    </w:p>
    <w:p w14:paraId="2F51A8D5" w14:textId="77777777" w:rsidR="00FF56DD" w:rsidRDefault="00000000"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8A30B0A" w:rsidR="00FF56DD" w:rsidRPr="000F1F60" w:rsidRDefault="00FF56DD" w:rsidP="004213C3">
            <w:pPr>
              <w:pStyle w:val="Heading1"/>
            </w:pPr>
            <w:bookmarkStart w:id="36" w:name="_Toc158723939"/>
            <w:r>
              <w:t>Definition of Terms</w:t>
            </w:r>
            <w:bookmarkEnd w:id="36"/>
            <w:r>
              <w:t xml:space="preserve">  </w:t>
            </w:r>
          </w:p>
        </w:tc>
      </w:tr>
    </w:tbl>
    <w:p w14:paraId="2F51A8D8" w14:textId="77777777" w:rsidR="00FF56DD" w:rsidRDefault="00FF56DD" w:rsidP="00FF56DD">
      <w:pPr>
        <w:rPr>
          <w:rFonts w:cs="Arial"/>
          <w:szCs w:val="24"/>
        </w:rPr>
      </w:pPr>
    </w:p>
    <w:p w14:paraId="1BFBF504" w14:textId="3656D28D"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Must</w:t>
      </w:r>
      <w:r w:rsidRPr="004A1E40">
        <w:rPr>
          <w:rFonts w:cstheme="minorHAnsi"/>
          <w:szCs w:val="24"/>
        </w:rPr>
        <w:t xml:space="preserve"> Indicates a mandatory action requiring compliance by </w:t>
      </w:r>
      <w:r w:rsidR="006D563F">
        <w:rPr>
          <w:rFonts w:cstheme="minorHAnsi"/>
          <w:szCs w:val="24"/>
        </w:rPr>
        <w:t xml:space="preserve">team members </w:t>
      </w:r>
      <w:r w:rsidRPr="004A1E40">
        <w:rPr>
          <w:rFonts w:cstheme="minorHAnsi"/>
          <w:szCs w:val="24"/>
        </w:rPr>
        <w:t>at public health facilities, in accordance with a legislative requirement and / or a policy or directive.</w:t>
      </w:r>
    </w:p>
    <w:p w14:paraId="2BF35712"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Should</w:t>
      </w:r>
      <w:r w:rsidRPr="004A1E40">
        <w:rPr>
          <w:rFonts w:cstheme="minorHAnsi"/>
          <w:szCs w:val="24"/>
        </w:rPr>
        <w:t xml:space="preserve"> Indicates a recommended action that should be followed unless there are sound reasons for taking a different course of action.</w:t>
      </w:r>
    </w:p>
    <w:p w14:paraId="3160255B"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Activated partial thromboplastin time (</w:t>
      </w:r>
      <w:proofErr w:type="spellStart"/>
      <w:r w:rsidRPr="004A1E40">
        <w:rPr>
          <w:rFonts w:cstheme="minorHAnsi"/>
          <w:b/>
          <w:szCs w:val="24"/>
        </w:rPr>
        <w:t>aPTT</w:t>
      </w:r>
      <w:proofErr w:type="spellEnd"/>
      <w:r w:rsidRPr="004A1E40">
        <w:rPr>
          <w:rFonts w:cstheme="minorHAnsi"/>
          <w:b/>
          <w:szCs w:val="24"/>
        </w:rPr>
        <w:t>)</w:t>
      </w:r>
      <w:r w:rsidRPr="004A1E40">
        <w:rPr>
          <w:rFonts w:cstheme="minorHAnsi"/>
          <w:szCs w:val="24"/>
        </w:rPr>
        <w:t xml:space="preserve"> - An indicator for measuring the efficiency of both the intrinsic (now referred to as the contact activation pathway) and the common coagulation pathway. It is used in conjunction with prothrombin time which measures the extrinsic pathway.</w:t>
      </w:r>
    </w:p>
    <w:p w14:paraId="5085E967"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Anticoagulant</w:t>
      </w:r>
      <w:r w:rsidRPr="004A1E40">
        <w:rPr>
          <w:rFonts w:cstheme="minorHAnsi"/>
          <w:szCs w:val="24"/>
        </w:rPr>
        <w:t xml:space="preserve"> Any agent used to prevent the formation of blood clots including oral agents, such as warfarin or a non-vitamin K oral antagonist anticoagulant (NOAC), and other medications which are injected into the vein or under the skin such as heparin.</w:t>
      </w:r>
    </w:p>
    <w:p w14:paraId="3C57E9FD"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Bridging anticoagulant therapy</w:t>
      </w:r>
      <w:r w:rsidRPr="004A1E40">
        <w:rPr>
          <w:rFonts w:cstheme="minorHAnsi"/>
          <w:szCs w:val="24"/>
        </w:rPr>
        <w:t xml:space="preserve"> - The administration of a short-acting anticoagulant, including subcutaneous low-molecular-weight heparin or intravenous unfractionated heparin, during interruption of oral anticoagulant therapy.</w:t>
      </w:r>
    </w:p>
    <w:p w14:paraId="13B85306" w14:textId="3B4336B8" w:rsidR="004A1E40" w:rsidRPr="004A1E40" w:rsidRDefault="004A1E40" w:rsidP="003862EC">
      <w:pPr>
        <w:pStyle w:val="ListParagraph"/>
        <w:numPr>
          <w:ilvl w:val="0"/>
          <w:numId w:val="8"/>
        </w:numPr>
        <w:autoSpaceDE w:val="0"/>
        <w:autoSpaceDN w:val="0"/>
        <w:adjustRightInd w:val="0"/>
        <w:spacing w:line="276" w:lineRule="auto"/>
        <w:contextualSpacing w:val="0"/>
        <w:rPr>
          <w:szCs w:val="24"/>
        </w:rPr>
      </w:pPr>
      <w:r w:rsidRPr="004A1E40">
        <w:rPr>
          <w:b/>
          <w:szCs w:val="24"/>
        </w:rPr>
        <w:t>Dose error reduction software -</w:t>
      </w:r>
      <w:r w:rsidRPr="004A1E40">
        <w:rPr>
          <w:szCs w:val="24"/>
        </w:rPr>
        <w:t xml:space="preserve"> Infusion device software that is capable of alerting the user to unsafe dose limits and programming error if standard concentrations and dose limits have been programmed into the pumps library.</w:t>
      </w:r>
    </w:p>
    <w:p w14:paraId="2155C4EE"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bCs/>
          <w:szCs w:val="24"/>
        </w:rPr>
        <w:t xml:space="preserve">Hypokalaemia </w:t>
      </w:r>
      <w:r w:rsidRPr="004A1E40">
        <w:rPr>
          <w:rFonts w:cstheme="minorHAnsi"/>
          <w:szCs w:val="24"/>
        </w:rPr>
        <w:t>Lower than normal blood concentration of potassium.</w:t>
      </w:r>
    </w:p>
    <w:p w14:paraId="72709754"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High-Risk Medicine</w:t>
      </w:r>
      <w:r w:rsidRPr="004A1E40">
        <w:rPr>
          <w:rFonts w:cstheme="minorHAnsi"/>
          <w:szCs w:val="24"/>
        </w:rPr>
        <w:t xml:space="preserve"> - High-Risk Medicines are those that have a high risk of causing injury or harm if they are misused or used in error. Error rates with these medications are not necessarily higher than with any other medicines, but when problems occur, the consequences can be more significant1.</w:t>
      </w:r>
    </w:p>
    <w:p w14:paraId="646A6C8C"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International Normalised Ratio (INR)</w:t>
      </w:r>
      <w:r w:rsidRPr="004A1E40">
        <w:rPr>
          <w:rFonts w:cstheme="minorHAnsi"/>
          <w:szCs w:val="24"/>
        </w:rPr>
        <w:t xml:space="preserve"> - The INR is the ratio of the prothrombin time to a normal (control) sample. It is used to monitor the effects of warfarin.</w:t>
      </w:r>
    </w:p>
    <w:p w14:paraId="61D31A96"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proofErr w:type="spellStart"/>
      <w:r w:rsidRPr="004A1E40">
        <w:rPr>
          <w:rFonts w:cstheme="minorHAnsi"/>
          <w:b/>
          <w:bCs/>
          <w:szCs w:val="24"/>
        </w:rPr>
        <w:t>Minibag</w:t>
      </w:r>
      <w:proofErr w:type="spellEnd"/>
      <w:r w:rsidRPr="004A1E40">
        <w:rPr>
          <w:rFonts w:cstheme="minorHAnsi"/>
          <w:b/>
          <w:bCs/>
          <w:szCs w:val="24"/>
        </w:rPr>
        <w:t xml:space="preserve"> - </w:t>
      </w:r>
      <w:r w:rsidRPr="004A1E40">
        <w:rPr>
          <w:rFonts w:cstheme="minorHAnsi"/>
          <w:szCs w:val="24"/>
        </w:rPr>
        <w:t>A small volume intravenous infusion bag, usually containing 50 or 100 mL of sterile fluid.</w:t>
      </w:r>
    </w:p>
    <w:p w14:paraId="48BC69FC" w14:textId="6976191B"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Pharmaceutical review</w:t>
      </w:r>
      <w:r w:rsidRPr="004A1E40">
        <w:rPr>
          <w:rFonts w:cstheme="minorHAnsi"/>
          <w:szCs w:val="24"/>
        </w:rPr>
        <w:t xml:space="preserve"> - A minimum standard of systematic appraisal of all aspects of patients’ medication management conducted or supervised by a qualified and suitably trained health professional (ideally a pharmacist) acting as part of a multidisciplinary team. It includes objective review of medication prescribing, dispensing, distribution, </w:t>
      </w:r>
      <w:r w:rsidRPr="004A1E40">
        <w:rPr>
          <w:rFonts w:cstheme="minorHAnsi"/>
          <w:szCs w:val="24"/>
        </w:rPr>
        <w:lastRenderedPageBreak/>
        <w:t>administration, monitoring of outcomes and documentation of medication related information in order to optimise Quality Use of Medicines.</w:t>
      </w:r>
    </w:p>
    <w:p w14:paraId="7F3AC1EF"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Pre-mixed intravenous solution</w:t>
      </w:r>
      <w:r w:rsidRPr="004A1E40">
        <w:rPr>
          <w:rFonts w:cstheme="minorHAnsi"/>
          <w:szCs w:val="24"/>
        </w:rPr>
        <w:t xml:space="preserve"> - Intravenous solutions prepared in a regulated compounding facility with full labelling and expiry dating.</w:t>
      </w:r>
    </w:p>
    <w:p w14:paraId="0C2EE26B"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Second Person Check</w:t>
      </w:r>
      <w:r w:rsidRPr="004A1E40">
        <w:rPr>
          <w:rFonts w:cstheme="minorHAnsi"/>
          <w:szCs w:val="24"/>
        </w:rPr>
        <w:t xml:space="preserve"> - The second person checking the preparation and administration of a medication is responsible for:</w:t>
      </w:r>
    </w:p>
    <w:p w14:paraId="7DB0C842" w14:textId="77777777" w:rsidR="004A1E40" w:rsidRPr="004A1E40" w:rsidRDefault="004A1E40" w:rsidP="003862EC">
      <w:pPr>
        <w:pStyle w:val="ListParagraph"/>
        <w:numPr>
          <w:ilvl w:val="0"/>
          <w:numId w:val="14"/>
        </w:numPr>
        <w:autoSpaceDE w:val="0"/>
        <w:autoSpaceDN w:val="0"/>
        <w:adjustRightInd w:val="0"/>
        <w:spacing w:line="276" w:lineRule="auto"/>
        <w:contextualSpacing w:val="0"/>
        <w:rPr>
          <w:rFonts w:cstheme="minorHAnsi"/>
          <w:szCs w:val="24"/>
        </w:rPr>
      </w:pPr>
      <w:r w:rsidRPr="004A1E40">
        <w:rPr>
          <w:rFonts w:cstheme="minorHAnsi"/>
          <w:szCs w:val="24"/>
        </w:rPr>
        <w:t>Confirming the identity of the patient</w:t>
      </w:r>
    </w:p>
    <w:p w14:paraId="01FF7E52" w14:textId="77777777" w:rsidR="004A1E40" w:rsidRPr="004A1E40" w:rsidRDefault="004A1E40" w:rsidP="003862EC">
      <w:pPr>
        <w:pStyle w:val="ListParagraph"/>
        <w:numPr>
          <w:ilvl w:val="0"/>
          <w:numId w:val="14"/>
        </w:numPr>
        <w:autoSpaceDE w:val="0"/>
        <w:autoSpaceDN w:val="0"/>
        <w:adjustRightInd w:val="0"/>
        <w:spacing w:line="276" w:lineRule="auto"/>
        <w:contextualSpacing w:val="0"/>
        <w:rPr>
          <w:rFonts w:cstheme="minorHAnsi"/>
          <w:szCs w:val="24"/>
        </w:rPr>
      </w:pPr>
      <w:r w:rsidRPr="004A1E40">
        <w:rPr>
          <w:rFonts w:cstheme="minorHAnsi"/>
          <w:szCs w:val="24"/>
        </w:rPr>
        <w:t>Confirming the selection of the correct medication and fluid</w:t>
      </w:r>
    </w:p>
    <w:p w14:paraId="419DCA75" w14:textId="77777777" w:rsidR="004A1E40" w:rsidRPr="004A1E40" w:rsidRDefault="004A1E40" w:rsidP="003862EC">
      <w:pPr>
        <w:pStyle w:val="ListParagraph"/>
        <w:numPr>
          <w:ilvl w:val="0"/>
          <w:numId w:val="14"/>
        </w:numPr>
        <w:autoSpaceDE w:val="0"/>
        <w:autoSpaceDN w:val="0"/>
        <w:adjustRightInd w:val="0"/>
        <w:spacing w:line="276" w:lineRule="auto"/>
        <w:contextualSpacing w:val="0"/>
        <w:rPr>
          <w:rFonts w:cstheme="minorHAnsi"/>
          <w:szCs w:val="24"/>
        </w:rPr>
      </w:pPr>
      <w:r w:rsidRPr="004A1E40">
        <w:rPr>
          <w:rFonts w:cstheme="minorHAnsi"/>
          <w:szCs w:val="24"/>
        </w:rPr>
        <w:t>Confirming that the dose is appropriate and the calculations are correct</w:t>
      </w:r>
    </w:p>
    <w:p w14:paraId="5D6CCCF6" w14:textId="77777777" w:rsidR="004A1E40" w:rsidRPr="004A1E40" w:rsidRDefault="004A1E40" w:rsidP="003862EC">
      <w:pPr>
        <w:pStyle w:val="ListParagraph"/>
        <w:numPr>
          <w:ilvl w:val="0"/>
          <w:numId w:val="14"/>
        </w:numPr>
        <w:autoSpaceDE w:val="0"/>
        <w:autoSpaceDN w:val="0"/>
        <w:adjustRightInd w:val="0"/>
        <w:spacing w:line="276" w:lineRule="auto"/>
        <w:contextualSpacing w:val="0"/>
        <w:rPr>
          <w:rFonts w:cstheme="minorHAnsi"/>
          <w:szCs w:val="24"/>
        </w:rPr>
      </w:pPr>
      <w:r w:rsidRPr="004A1E40">
        <w:rPr>
          <w:rFonts w:cstheme="minorHAnsi"/>
          <w:szCs w:val="24"/>
        </w:rPr>
        <w:t>Confirming that a rate limiting device such as an infusion pump has been correctly set</w:t>
      </w:r>
    </w:p>
    <w:p w14:paraId="31FFDDC6" w14:textId="77777777" w:rsidR="004A1E40" w:rsidRPr="004A1E40" w:rsidRDefault="004A1E40" w:rsidP="003862EC">
      <w:pPr>
        <w:pStyle w:val="ListParagraph"/>
        <w:numPr>
          <w:ilvl w:val="0"/>
          <w:numId w:val="14"/>
        </w:numPr>
        <w:autoSpaceDE w:val="0"/>
        <w:autoSpaceDN w:val="0"/>
        <w:adjustRightInd w:val="0"/>
        <w:spacing w:line="276" w:lineRule="auto"/>
        <w:contextualSpacing w:val="0"/>
        <w:rPr>
          <w:rFonts w:cstheme="minorHAnsi"/>
          <w:szCs w:val="24"/>
        </w:rPr>
      </w:pPr>
      <w:r w:rsidRPr="004A1E40">
        <w:rPr>
          <w:rFonts w:cstheme="minorHAnsi"/>
          <w:szCs w:val="24"/>
        </w:rPr>
        <w:t>Countersigning the administration on the medication chart against that of the administering person.</w:t>
      </w:r>
    </w:p>
    <w:p w14:paraId="3FEBB7B1" w14:textId="77777777" w:rsidR="004A1E40" w:rsidRPr="004A1E40" w:rsidRDefault="004A1E40" w:rsidP="004A1E40">
      <w:pPr>
        <w:spacing w:line="276" w:lineRule="auto"/>
        <w:rPr>
          <w:rFonts w:cstheme="minorHAnsi"/>
          <w:szCs w:val="24"/>
        </w:rPr>
      </w:pPr>
      <w:r w:rsidRPr="004A1E40">
        <w:rPr>
          <w:rFonts w:cstheme="minorHAnsi"/>
          <w:szCs w:val="24"/>
        </w:rPr>
        <w:t>A second person check for high-risk medicines must be conducted using independent double check principles. That is, clinicians separately check (alone and apart from each other, then comparing results) each component of prescribing, dispensing, and verifying the medicine before administering it to the patient.</w:t>
      </w:r>
    </w:p>
    <w:p w14:paraId="0EE4F03B" w14:textId="736FAA60"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szCs w:val="24"/>
        </w:rPr>
        <w:t>Therapeutic Drug Monitoring</w:t>
      </w:r>
      <w:r w:rsidRPr="004A1E40">
        <w:rPr>
          <w:rFonts w:cstheme="minorHAnsi"/>
          <w:szCs w:val="24"/>
        </w:rPr>
        <w:t xml:space="preserve"> - Refers to the individualisation of dosage by maintaining plasma or</w:t>
      </w:r>
      <w:r>
        <w:rPr>
          <w:rFonts w:cstheme="minorHAnsi"/>
          <w:szCs w:val="24"/>
        </w:rPr>
        <w:t xml:space="preserve"> </w:t>
      </w:r>
      <w:r w:rsidRPr="004A1E40">
        <w:rPr>
          <w:rFonts w:cstheme="minorHAnsi"/>
          <w:szCs w:val="24"/>
        </w:rPr>
        <w:t>blood drug concentrations within a target range (therapeutic range or window)</w:t>
      </w:r>
    </w:p>
    <w:p w14:paraId="7FE0AEFE" w14:textId="77777777" w:rsidR="004A1E40" w:rsidRPr="004A1E40" w:rsidRDefault="004A1E40" w:rsidP="003862EC">
      <w:pPr>
        <w:pStyle w:val="ListParagraph"/>
        <w:numPr>
          <w:ilvl w:val="0"/>
          <w:numId w:val="8"/>
        </w:numPr>
        <w:autoSpaceDE w:val="0"/>
        <w:autoSpaceDN w:val="0"/>
        <w:adjustRightInd w:val="0"/>
        <w:spacing w:line="276" w:lineRule="auto"/>
        <w:contextualSpacing w:val="0"/>
        <w:rPr>
          <w:rFonts w:cstheme="minorHAnsi"/>
          <w:szCs w:val="24"/>
        </w:rPr>
      </w:pPr>
      <w:r w:rsidRPr="004A1E40">
        <w:rPr>
          <w:rFonts w:cstheme="minorHAnsi"/>
          <w:b/>
          <w:bCs/>
          <w:szCs w:val="24"/>
        </w:rPr>
        <w:t xml:space="preserve">Time-Out </w:t>
      </w:r>
      <w:r w:rsidRPr="004A1E40">
        <w:rPr>
          <w:rFonts w:cstheme="minorHAnsi"/>
          <w:szCs w:val="24"/>
        </w:rPr>
        <w:t>The suspension of activity immediately before commencing a procedure by the team or single operator involved in the procedure to undertake a final verification of the correct patient, procedure, site, drug and route of administration. For the purposes of administering cytotoxic chemotherapy, all doses should be checked by a second person with the appropriate training and skills.</w:t>
      </w:r>
    </w:p>
    <w:p w14:paraId="2F51A8DA" w14:textId="77777777" w:rsidR="00FF56DD" w:rsidRDefault="00FF56DD" w:rsidP="00FF56DD">
      <w:pPr>
        <w:rPr>
          <w:rFonts w:cs="Arial"/>
          <w:szCs w:val="24"/>
        </w:rPr>
      </w:pPr>
    </w:p>
    <w:p w14:paraId="04EF7544" w14:textId="4412D705" w:rsidR="00A51396" w:rsidRPr="00A51396" w:rsidRDefault="00000000" w:rsidP="00A51396">
      <w:pPr>
        <w:jc w:val="right"/>
        <w:rPr>
          <w:rFonts w:cs="Arial"/>
          <w:i/>
          <w:color w:val="0000FF"/>
          <w:szCs w:val="24"/>
          <w:u w:val="single"/>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7" w:name="_Toc389473290"/>
            <w:bookmarkStart w:id="38" w:name="_Toc158723940"/>
            <w:r>
              <w:t>Search Terms</w:t>
            </w:r>
            <w:bookmarkEnd w:id="37"/>
            <w:bookmarkEnd w:id="38"/>
            <w:r>
              <w:t xml:space="preserve"> </w:t>
            </w:r>
          </w:p>
        </w:tc>
      </w:tr>
    </w:tbl>
    <w:p w14:paraId="2F51A8DF" w14:textId="31168F45" w:rsidR="005067CA" w:rsidRPr="004A1E40" w:rsidRDefault="004A1E40" w:rsidP="005067CA">
      <w:pPr>
        <w:rPr>
          <w:rFonts w:cs="Calibri,Bold"/>
          <w:bCs/>
          <w:iCs/>
          <w:szCs w:val="24"/>
          <w:lang w:eastAsia="en-AU"/>
        </w:rPr>
      </w:pPr>
      <w:r w:rsidRPr="004A1E40">
        <w:rPr>
          <w:rFonts w:cs="Calibri,Bold"/>
          <w:bCs/>
          <w:iCs/>
          <w:szCs w:val="24"/>
          <w:lang w:eastAsia="en-AU"/>
        </w:rPr>
        <w:t xml:space="preserve">High Risk Medicine, </w:t>
      </w:r>
      <w:r w:rsidR="004F48AC">
        <w:rPr>
          <w:rFonts w:cs="Calibri,Bold"/>
          <w:bCs/>
          <w:iCs/>
          <w:szCs w:val="24"/>
          <w:lang w:eastAsia="en-AU"/>
        </w:rPr>
        <w:t xml:space="preserve">High Risk, </w:t>
      </w:r>
      <w:r w:rsidRPr="004A1E40">
        <w:rPr>
          <w:rFonts w:cs="Calibri,Bold"/>
          <w:bCs/>
          <w:iCs/>
          <w:szCs w:val="24"/>
          <w:lang w:eastAsia="en-AU"/>
        </w:rPr>
        <w:t xml:space="preserve">Administration of Medication, </w:t>
      </w:r>
      <w:r w:rsidR="004F48AC">
        <w:rPr>
          <w:rFonts w:cs="Calibri,Bold"/>
          <w:bCs/>
          <w:iCs/>
          <w:szCs w:val="24"/>
          <w:lang w:eastAsia="en-AU"/>
        </w:rPr>
        <w:t xml:space="preserve">Methotrexate, MTX, </w:t>
      </w:r>
      <w:r w:rsidRPr="004A1E40">
        <w:rPr>
          <w:rFonts w:cs="Calibri,Bold"/>
          <w:bCs/>
          <w:iCs/>
          <w:szCs w:val="24"/>
          <w:lang w:eastAsia="en-AU"/>
        </w:rPr>
        <w:t>Chemotherapy, Narcotics, Sedatives, Anticoagulants, Insulin, Potassium, Anti-Infectives</w:t>
      </w:r>
      <w:r w:rsidR="003E170E">
        <w:rPr>
          <w:rFonts w:cs="Calibri,Bold"/>
          <w:bCs/>
          <w:iCs/>
          <w:szCs w:val="24"/>
          <w:lang w:eastAsia="en-AU"/>
        </w:rPr>
        <w:t>, Antibiotics, Clozapine</w:t>
      </w:r>
      <w:r w:rsidR="004F48AC">
        <w:rPr>
          <w:rFonts w:cs="Calibri,Bold"/>
          <w:bCs/>
          <w:iCs/>
          <w:szCs w:val="24"/>
          <w:lang w:eastAsia="en-AU"/>
        </w:rPr>
        <w:t>, Hydromorphone, Opioids, Heparin, Anticoagulants, NMBAs, Neuromuscular Blocking Agents, Anti-infectives</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000000"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9" w:name="_Toc396995664"/>
    </w:p>
    <w:bookmarkEnd w:id="39"/>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EB4FCE">
        <w:tc>
          <w:tcPr>
            <w:tcW w:w="2265" w:type="dxa"/>
          </w:tcPr>
          <w:p w14:paraId="4CC3BE7E" w14:textId="77777777" w:rsidR="00ED46C3" w:rsidRPr="008202D3" w:rsidRDefault="00ED46C3" w:rsidP="00EB4FCE">
            <w:pPr>
              <w:rPr>
                <w:i/>
                <w:sz w:val="20"/>
              </w:rPr>
            </w:pPr>
            <w:r w:rsidRPr="008202D3">
              <w:rPr>
                <w:i/>
                <w:sz w:val="20"/>
              </w:rPr>
              <w:lastRenderedPageBreak/>
              <w:t>Date Amended</w:t>
            </w:r>
          </w:p>
        </w:tc>
        <w:tc>
          <w:tcPr>
            <w:tcW w:w="2265" w:type="dxa"/>
          </w:tcPr>
          <w:p w14:paraId="0C6FC403" w14:textId="77777777" w:rsidR="00ED46C3" w:rsidRPr="008202D3" w:rsidRDefault="00ED46C3" w:rsidP="00EB4FCE">
            <w:pPr>
              <w:rPr>
                <w:i/>
                <w:sz w:val="20"/>
              </w:rPr>
            </w:pPr>
            <w:r w:rsidRPr="008202D3">
              <w:rPr>
                <w:i/>
                <w:sz w:val="20"/>
              </w:rPr>
              <w:t>Section Amended</w:t>
            </w:r>
          </w:p>
        </w:tc>
        <w:tc>
          <w:tcPr>
            <w:tcW w:w="2265" w:type="dxa"/>
          </w:tcPr>
          <w:p w14:paraId="36BF7192" w14:textId="77777777" w:rsidR="00ED46C3" w:rsidRPr="008202D3" w:rsidRDefault="00ED46C3" w:rsidP="00EB4FCE">
            <w:pPr>
              <w:rPr>
                <w:i/>
                <w:sz w:val="20"/>
              </w:rPr>
            </w:pPr>
            <w:r w:rsidRPr="008202D3">
              <w:rPr>
                <w:i/>
                <w:sz w:val="20"/>
              </w:rPr>
              <w:t>Divisional Approval</w:t>
            </w:r>
          </w:p>
        </w:tc>
        <w:tc>
          <w:tcPr>
            <w:tcW w:w="2265" w:type="dxa"/>
          </w:tcPr>
          <w:p w14:paraId="6974B6A4" w14:textId="77777777" w:rsidR="00ED46C3" w:rsidRPr="008202D3" w:rsidRDefault="00ED46C3" w:rsidP="00EB4FCE">
            <w:pPr>
              <w:rPr>
                <w:i/>
                <w:sz w:val="20"/>
              </w:rPr>
            </w:pPr>
            <w:r w:rsidRPr="008202D3">
              <w:rPr>
                <w:i/>
                <w:sz w:val="20"/>
              </w:rPr>
              <w:t xml:space="preserve">Final Approval </w:t>
            </w:r>
          </w:p>
        </w:tc>
      </w:tr>
      <w:tr w:rsidR="00ED46C3" w:rsidRPr="008202D3" w14:paraId="69E49990" w14:textId="77777777" w:rsidTr="00EB4FCE">
        <w:tc>
          <w:tcPr>
            <w:tcW w:w="2265" w:type="dxa"/>
          </w:tcPr>
          <w:p w14:paraId="4CB276AE" w14:textId="04B2C581" w:rsidR="00ED46C3" w:rsidRPr="008202D3" w:rsidRDefault="00D46B94" w:rsidP="00EB4FCE">
            <w:pPr>
              <w:rPr>
                <w:i/>
                <w:sz w:val="20"/>
              </w:rPr>
            </w:pPr>
            <w:r>
              <w:rPr>
                <w:i/>
                <w:sz w:val="20"/>
              </w:rPr>
              <w:t>16/02</w:t>
            </w:r>
            <w:r w:rsidR="004A1E40">
              <w:rPr>
                <w:i/>
                <w:sz w:val="20"/>
              </w:rPr>
              <w:t>/2024</w:t>
            </w:r>
          </w:p>
        </w:tc>
        <w:tc>
          <w:tcPr>
            <w:tcW w:w="2265" w:type="dxa"/>
          </w:tcPr>
          <w:p w14:paraId="757FDC5B" w14:textId="38BF6814" w:rsidR="00ED46C3" w:rsidRPr="008202D3" w:rsidRDefault="004A1E40" w:rsidP="00EB4FCE">
            <w:pPr>
              <w:rPr>
                <w:i/>
                <w:sz w:val="20"/>
              </w:rPr>
            </w:pPr>
            <w:r>
              <w:rPr>
                <w:i/>
                <w:sz w:val="20"/>
              </w:rPr>
              <w:t>NCH Transition</w:t>
            </w:r>
            <w:r w:rsidR="00D46B94">
              <w:rPr>
                <w:i/>
                <w:sz w:val="20"/>
              </w:rPr>
              <w:t xml:space="preserve"> Document</w:t>
            </w:r>
          </w:p>
        </w:tc>
        <w:tc>
          <w:tcPr>
            <w:tcW w:w="2265" w:type="dxa"/>
          </w:tcPr>
          <w:p w14:paraId="45358585" w14:textId="7F79FFB6" w:rsidR="00ED46C3" w:rsidRPr="008202D3" w:rsidRDefault="004A1E40" w:rsidP="00EB4FCE">
            <w:pPr>
              <w:rPr>
                <w:i/>
                <w:sz w:val="20"/>
              </w:rPr>
            </w:pPr>
            <w:r>
              <w:rPr>
                <w:i/>
                <w:sz w:val="20"/>
              </w:rPr>
              <w:t>CHS Policy Team</w:t>
            </w:r>
          </w:p>
        </w:tc>
        <w:tc>
          <w:tcPr>
            <w:tcW w:w="2265" w:type="dxa"/>
          </w:tcPr>
          <w:p w14:paraId="31501FE6" w14:textId="195702CF" w:rsidR="00ED46C3" w:rsidRPr="008202D3" w:rsidRDefault="004A1E40" w:rsidP="00EB4FCE">
            <w:pPr>
              <w:rPr>
                <w:i/>
                <w:sz w:val="20"/>
              </w:rPr>
            </w:pPr>
            <w:r>
              <w:rPr>
                <w:i/>
                <w:sz w:val="20"/>
              </w:rPr>
              <w:t>CHS Policy Team</w:t>
            </w:r>
          </w:p>
        </w:tc>
      </w:tr>
      <w:tr w:rsidR="00ED46C3" w:rsidRPr="008202D3" w14:paraId="4B9C0359" w14:textId="77777777" w:rsidTr="00EB4FCE">
        <w:tc>
          <w:tcPr>
            <w:tcW w:w="2265" w:type="dxa"/>
          </w:tcPr>
          <w:p w14:paraId="01E40F72" w14:textId="77777777" w:rsidR="00ED46C3" w:rsidRPr="008202D3" w:rsidRDefault="00ED46C3" w:rsidP="00EB4FCE">
            <w:pPr>
              <w:rPr>
                <w:i/>
                <w:sz w:val="20"/>
              </w:rPr>
            </w:pPr>
          </w:p>
        </w:tc>
        <w:tc>
          <w:tcPr>
            <w:tcW w:w="2265" w:type="dxa"/>
          </w:tcPr>
          <w:p w14:paraId="25312BA2" w14:textId="77777777" w:rsidR="00ED46C3" w:rsidRPr="008202D3" w:rsidRDefault="00ED46C3" w:rsidP="00EB4FCE">
            <w:pPr>
              <w:rPr>
                <w:i/>
                <w:sz w:val="20"/>
              </w:rPr>
            </w:pPr>
          </w:p>
        </w:tc>
        <w:tc>
          <w:tcPr>
            <w:tcW w:w="2265" w:type="dxa"/>
          </w:tcPr>
          <w:p w14:paraId="6A63A790" w14:textId="77777777" w:rsidR="00ED46C3" w:rsidRPr="008202D3" w:rsidRDefault="00ED46C3" w:rsidP="00EB4FCE">
            <w:pPr>
              <w:rPr>
                <w:i/>
                <w:sz w:val="20"/>
              </w:rPr>
            </w:pPr>
          </w:p>
        </w:tc>
        <w:tc>
          <w:tcPr>
            <w:tcW w:w="2265" w:type="dxa"/>
          </w:tcPr>
          <w:p w14:paraId="0C203B9F" w14:textId="77777777" w:rsidR="00ED46C3" w:rsidRPr="008202D3" w:rsidRDefault="00ED46C3" w:rsidP="00EB4FCE">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EB4FCE">
        <w:tc>
          <w:tcPr>
            <w:tcW w:w="2122" w:type="dxa"/>
          </w:tcPr>
          <w:p w14:paraId="3A0A8647" w14:textId="77777777" w:rsidR="00ED46C3" w:rsidRPr="008202D3" w:rsidRDefault="00ED46C3" w:rsidP="00EB4FCE">
            <w:pPr>
              <w:rPr>
                <w:i/>
                <w:sz w:val="20"/>
              </w:rPr>
            </w:pPr>
            <w:r w:rsidRPr="008202D3">
              <w:rPr>
                <w:i/>
                <w:sz w:val="20"/>
              </w:rPr>
              <w:t>Document Number</w:t>
            </w:r>
          </w:p>
        </w:tc>
        <w:tc>
          <w:tcPr>
            <w:tcW w:w="6938" w:type="dxa"/>
          </w:tcPr>
          <w:p w14:paraId="40CE1B13" w14:textId="77777777" w:rsidR="00ED46C3" w:rsidRPr="008202D3" w:rsidRDefault="00ED46C3" w:rsidP="00EB4FCE">
            <w:pPr>
              <w:rPr>
                <w:i/>
                <w:sz w:val="20"/>
              </w:rPr>
            </w:pPr>
            <w:r w:rsidRPr="008202D3">
              <w:rPr>
                <w:i/>
                <w:sz w:val="20"/>
              </w:rPr>
              <w:t>Document Name</w:t>
            </w:r>
          </w:p>
        </w:tc>
      </w:tr>
      <w:tr w:rsidR="00ED46C3" w:rsidRPr="008202D3" w14:paraId="389A2F7C" w14:textId="77777777" w:rsidTr="00EB4FCE">
        <w:tc>
          <w:tcPr>
            <w:tcW w:w="2122" w:type="dxa"/>
          </w:tcPr>
          <w:p w14:paraId="72FFFF3B" w14:textId="77777777" w:rsidR="00ED46C3" w:rsidRPr="008202D3" w:rsidRDefault="00ED46C3" w:rsidP="00EB4FCE">
            <w:pPr>
              <w:rPr>
                <w:i/>
                <w:sz w:val="20"/>
              </w:rPr>
            </w:pPr>
          </w:p>
        </w:tc>
        <w:tc>
          <w:tcPr>
            <w:tcW w:w="6938" w:type="dxa"/>
          </w:tcPr>
          <w:p w14:paraId="61EF68F3" w14:textId="7EF16DA4" w:rsidR="00ED46C3" w:rsidRPr="008202D3" w:rsidRDefault="004A1E40" w:rsidP="00EB4FCE">
            <w:pPr>
              <w:rPr>
                <w:i/>
                <w:sz w:val="20"/>
              </w:rPr>
            </w:pPr>
            <w:r>
              <w:rPr>
                <w:i/>
                <w:sz w:val="20"/>
              </w:rPr>
              <w:t>High Risk Medicin</w:t>
            </w:r>
            <w:r w:rsidR="003862EC">
              <w:rPr>
                <w:i/>
                <w:sz w:val="20"/>
              </w:rPr>
              <w:t>e Management</w:t>
            </w:r>
          </w:p>
        </w:tc>
      </w:tr>
      <w:tr w:rsidR="00ED46C3" w:rsidRPr="008202D3" w14:paraId="4414C7E4" w14:textId="77777777" w:rsidTr="00EB4FCE">
        <w:tc>
          <w:tcPr>
            <w:tcW w:w="2122" w:type="dxa"/>
          </w:tcPr>
          <w:p w14:paraId="0E1C6F88" w14:textId="77777777" w:rsidR="00ED46C3" w:rsidRPr="008202D3" w:rsidRDefault="00ED46C3" w:rsidP="00EB4FCE">
            <w:pPr>
              <w:rPr>
                <w:i/>
                <w:sz w:val="20"/>
              </w:rPr>
            </w:pPr>
          </w:p>
        </w:tc>
        <w:tc>
          <w:tcPr>
            <w:tcW w:w="6938" w:type="dxa"/>
          </w:tcPr>
          <w:p w14:paraId="73EF72D2" w14:textId="77777777" w:rsidR="00ED46C3" w:rsidRPr="008202D3" w:rsidRDefault="00ED46C3" w:rsidP="00EB4FCE">
            <w:pPr>
              <w:rPr>
                <w:i/>
                <w:sz w:val="20"/>
              </w:rPr>
            </w:pPr>
          </w:p>
        </w:tc>
      </w:tr>
    </w:tbl>
    <w:p w14:paraId="2F51A904" w14:textId="77777777" w:rsidR="00B12123" w:rsidRPr="00010E74" w:rsidRDefault="00B12123" w:rsidP="00B12123">
      <w:pPr>
        <w:rPr>
          <w:i/>
          <w:sz w:val="20"/>
          <w:szCs w:val="24"/>
        </w:rPr>
      </w:pPr>
    </w:p>
    <w:p w14:paraId="2F51A905" w14:textId="3C9B8EB3" w:rsidR="00395E36" w:rsidRPr="00813703" w:rsidRDefault="00852801" w:rsidP="00813703">
      <w:pPr>
        <w:pStyle w:val="Heading1"/>
        <w:rPr>
          <w:sz w:val="40"/>
          <w:szCs w:val="24"/>
        </w:rPr>
      </w:pPr>
      <w:bookmarkStart w:id="40" w:name="_Toc158723941"/>
      <w:r w:rsidRPr="00813703">
        <w:rPr>
          <w:b w:val="0"/>
          <w:sz w:val="40"/>
          <w:szCs w:val="24"/>
        </w:rPr>
        <w:lastRenderedPageBreak/>
        <w:t>Appendix 1 – High Risk Medicines Poster</w:t>
      </w:r>
      <w:bookmarkEnd w:id="40"/>
    </w:p>
    <w:p w14:paraId="36BE37C7" w14:textId="0847493B" w:rsidR="00852801" w:rsidRDefault="00E72E0A" w:rsidP="00813703">
      <w:pPr>
        <w:jc w:val="center"/>
        <w:rPr>
          <w:rFonts w:cs="Arial"/>
          <w:szCs w:val="24"/>
        </w:rPr>
      </w:pPr>
      <w:r>
        <w:rPr>
          <w:noProof/>
          <w:lang w:eastAsia="en-AU"/>
        </w:rPr>
        <w:drawing>
          <wp:inline distT="0" distB="0" distL="0" distR="0" wp14:anchorId="31D11AA0" wp14:editId="27807510">
            <wp:extent cx="5337313" cy="7149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2152" t="12886" r="33732" b="5874"/>
                    <a:stretch/>
                  </pic:blipFill>
                  <pic:spPr bwMode="auto">
                    <a:xfrm>
                      <a:off x="0" y="0"/>
                      <a:ext cx="5354188" cy="7171949"/>
                    </a:xfrm>
                    <a:prstGeom prst="rect">
                      <a:avLst/>
                    </a:prstGeom>
                    <a:ln>
                      <a:noFill/>
                    </a:ln>
                    <a:extLst>
                      <a:ext uri="{53640926-AAD7-44D8-BBD7-CCE9431645EC}">
                        <a14:shadowObscured xmlns:a14="http://schemas.microsoft.com/office/drawing/2010/main"/>
                      </a:ext>
                    </a:extLst>
                  </pic:spPr>
                </pic:pic>
              </a:graphicData>
            </a:graphic>
          </wp:inline>
        </w:drawing>
      </w:r>
    </w:p>
    <w:sectPr w:rsidR="00852801" w:rsidSect="004213C3">
      <w:headerReference w:type="default" r:id="rId28"/>
      <w:footerReference w:type="default" r:id="rId29"/>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42B4" w14:textId="77777777" w:rsidR="008E2F12" w:rsidRDefault="008E2F12" w:rsidP="00F66CB0">
      <w:r>
        <w:separator/>
      </w:r>
    </w:p>
  </w:endnote>
  <w:endnote w:type="continuationSeparator" w:id="0">
    <w:p w14:paraId="4EA0D6A7" w14:textId="77777777" w:rsidR="008E2F12" w:rsidRDefault="008E2F12" w:rsidP="00F66CB0">
      <w:r>
        <w:continuationSeparator/>
      </w:r>
    </w:p>
  </w:endnote>
  <w:endnote w:type="continuationNotice" w:id="1">
    <w:p w14:paraId="3DE9B60F" w14:textId="77777777" w:rsidR="008E2F12" w:rsidRDefault="008E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00"/>
    <w:family w:val="auto"/>
    <w:notTrueType/>
    <w:pitch w:val="default"/>
    <w:sig w:usb0="00000001" w:usb1="08080000" w:usb2="00000010" w:usb3="00000000" w:csb0="001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206"/>
      <w:gridCol w:w="1276"/>
      <w:gridCol w:w="3118"/>
      <w:gridCol w:w="990"/>
    </w:tblGrid>
    <w:tr w:rsidR="008A6D59" w:rsidRPr="00AE7C5C" w14:paraId="2F51A914" w14:textId="77777777" w:rsidTr="00D46B94">
      <w:tc>
        <w:tcPr>
          <w:tcW w:w="1515" w:type="dxa"/>
        </w:tcPr>
        <w:p w14:paraId="2F51A90E" w14:textId="77777777" w:rsidR="008A6D59" w:rsidRPr="00B3752F" w:rsidRDefault="008A6D59" w:rsidP="004213C3">
          <w:pPr>
            <w:pStyle w:val="Footer"/>
            <w:rPr>
              <w:rFonts w:cs="Arial"/>
              <w:b/>
              <w:bCs/>
              <w:i/>
              <w:sz w:val="20"/>
            </w:rPr>
          </w:pPr>
          <w:r w:rsidRPr="00B3752F">
            <w:rPr>
              <w:rFonts w:cs="Arial"/>
              <w:b/>
              <w:bCs/>
              <w:i/>
              <w:sz w:val="20"/>
            </w:rPr>
            <w:t>Doc Number</w:t>
          </w:r>
        </w:p>
      </w:tc>
      <w:tc>
        <w:tcPr>
          <w:tcW w:w="965" w:type="dxa"/>
        </w:tcPr>
        <w:p w14:paraId="2F51A90F" w14:textId="77777777" w:rsidR="008A6D59" w:rsidRPr="00B3752F" w:rsidRDefault="008A6D59" w:rsidP="004213C3">
          <w:pPr>
            <w:pStyle w:val="Footer"/>
            <w:rPr>
              <w:rFonts w:cs="Arial"/>
              <w:b/>
              <w:bCs/>
              <w:i/>
              <w:sz w:val="20"/>
            </w:rPr>
          </w:pPr>
          <w:r w:rsidRPr="00B3752F">
            <w:rPr>
              <w:rFonts w:cs="Arial"/>
              <w:b/>
              <w:bCs/>
              <w:i/>
              <w:sz w:val="20"/>
            </w:rPr>
            <w:t>Version</w:t>
          </w:r>
        </w:p>
      </w:tc>
      <w:tc>
        <w:tcPr>
          <w:tcW w:w="1206" w:type="dxa"/>
        </w:tcPr>
        <w:p w14:paraId="2F51A910" w14:textId="77777777" w:rsidR="008A6D59" w:rsidRPr="00B3752F" w:rsidRDefault="008A6D59" w:rsidP="004213C3">
          <w:pPr>
            <w:pStyle w:val="Footer"/>
            <w:rPr>
              <w:rFonts w:cs="Arial"/>
              <w:b/>
              <w:bCs/>
              <w:i/>
              <w:sz w:val="20"/>
            </w:rPr>
          </w:pPr>
          <w:r w:rsidRPr="00B3752F">
            <w:rPr>
              <w:rFonts w:cs="Arial"/>
              <w:b/>
              <w:bCs/>
              <w:i/>
              <w:sz w:val="20"/>
            </w:rPr>
            <w:t>Issued</w:t>
          </w:r>
        </w:p>
      </w:tc>
      <w:tc>
        <w:tcPr>
          <w:tcW w:w="1276" w:type="dxa"/>
        </w:tcPr>
        <w:p w14:paraId="2F51A911" w14:textId="77777777" w:rsidR="008A6D59" w:rsidRPr="00B3752F" w:rsidRDefault="008A6D59" w:rsidP="004213C3">
          <w:pPr>
            <w:pStyle w:val="Footer"/>
            <w:rPr>
              <w:rFonts w:cs="Arial"/>
              <w:b/>
              <w:bCs/>
              <w:i/>
              <w:sz w:val="20"/>
            </w:rPr>
          </w:pPr>
          <w:r w:rsidRPr="00B3752F">
            <w:rPr>
              <w:rFonts w:cs="Arial"/>
              <w:b/>
              <w:bCs/>
              <w:i/>
              <w:sz w:val="20"/>
            </w:rPr>
            <w:t>Review Date</w:t>
          </w:r>
        </w:p>
      </w:tc>
      <w:tc>
        <w:tcPr>
          <w:tcW w:w="3118" w:type="dxa"/>
        </w:tcPr>
        <w:p w14:paraId="2F51A912" w14:textId="77777777" w:rsidR="008A6D59" w:rsidRPr="00B3752F" w:rsidRDefault="008A6D59" w:rsidP="004213C3">
          <w:pPr>
            <w:pStyle w:val="Footer"/>
            <w:rPr>
              <w:rFonts w:cs="Arial"/>
              <w:b/>
              <w:bCs/>
              <w:i/>
              <w:sz w:val="20"/>
            </w:rPr>
          </w:pPr>
          <w:r w:rsidRPr="00B3752F">
            <w:rPr>
              <w:rFonts w:cs="Arial"/>
              <w:b/>
              <w:bCs/>
              <w:i/>
              <w:sz w:val="20"/>
            </w:rPr>
            <w:t>Area Responsible</w:t>
          </w:r>
        </w:p>
      </w:tc>
      <w:tc>
        <w:tcPr>
          <w:tcW w:w="990" w:type="dxa"/>
        </w:tcPr>
        <w:p w14:paraId="2F51A913" w14:textId="77777777" w:rsidR="008A6D59" w:rsidRPr="00B3752F" w:rsidRDefault="008A6D59" w:rsidP="004213C3">
          <w:pPr>
            <w:pStyle w:val="Footer"/>
            <w:rPr>
              <w:rFonts w:cs="Arial"/>
              <w:b/>
              <w:bCs/>
              <w:i/>
              <w:sz w:val="20"/>
            </w:rPr>
          </w:pPr>
          <w:r w:rsidRPr="00B3752F">
            <w:rPr>
              <w:rFonts w:cs="Arial"/>
              <w:b/>
              <w:bCs/>
              <w:i/>
              <w:sz w:val="20"/>
            </w:rPr>
            <w:t>Page</w:t>
          </w:r>
        </w:p>
      </w:tc>
    </w:tr>
    <w:tr w:rsidR="008A6D59" w14:paraId="2F51A91B" w14:textId="77777777" w:rsidTr="00D46B94">
      <w:tc>
        <w:tcPr>
          <w:tcW w:w="1515" w:type="dxa"/>
        </w:tcPr>
        <w:p w14:paraId="2F51A915" w14:textId="021482BC" w:rsidR="008A6D59" w:rsidRPr="00542EE6" w:rsidRDefault="00D46B94" w:rsidP="004213C3">
          <w:pPr>
            <w:pStyle w:val="Footer"/>
            <w:rPr>
              <w:rFonts w:cs="Arial"/>
              <w:b/>
              <w:bCs/>
              <w:sz w:val="20"/>
            </w:rPr>
          </w:pPr>
          <w:r>
            <w:rPr>
              <w:b/>
              <w:bCs/>
              <w:sz w:val="20"/>
            </w:rPr>
            <w:t>CHS24/062</w:t>
          </w:r>
        </w:p>
      </w:tc>
      <w:tc>
        <w:tcPr>
          <w:tcW w:w="965" w:type="dxa"/>
        </w:tcPr>
        <w:p w14:paraId="2F51A916" w14:textId="4EEF4A11" w:rsidR="008A6D59" w:rsidRPr="00B3752F" w:rsidRDefault="00D46B94" w:rsidP="004213C3">
          <w:pPr>
            <w:pStyle w:val="Footer"/>
            <w:rPr>
              <w:rFonts w:cs="Arial"/>
              <w:b/>
              <w:bCs/>
              <w:sz w:val="20"/>
            </w:rPr>
          </w:pPr>
          <w:r>
            <w:rPr>
              <w:rFonts w:cs="Arial"/>
              <w:b/>
              <w:bCs/>
              <w:sz w:val="20"/>
            </w:rPr>
            <w:t>1</w:t>
          </w:r>
        </w:p>
      </w:tc>
      <w:tc>
        <w:tcPr>
          <w:tcW w:w="1206" w:type="dxa"/>
        </w:tcPr>
        <w:p w14:paraId="2F51A917" w14:textId="7C3E4C2D" w:rsidR="008A6D59" w:rsidRPr="00B3752F" w:rsidRDefault="00D46B94" w:rsidP="004213C3">
          <w:pPr>
            <w:pStyle w:val="Footer"/>
            <w:rPr>
              <w:rFonts w:cs="Arial"/>
              <w:b/>
              <w:bCs/>
              <w:sz w:val="20"/>
            </w:rPr>
          </w:pPr>
          <w:r>
            <w:rPr>
              <w:rFonts w:cs="Arial"/>
              <w:b/>
              <w:bCs/>
              <w:sz w:val="20"/>
            </w:rPr>
            <w:t>16/02/2024</w:t>
          </w:r>
        </w:p>
      </w:tc>
      <w:tc>
        <w:tcPr>
          <w:tcW w:w="1276" w:type="dxa"/>
        </w:tcPr>
        <w:p w14:paraId="2F51A918" w14:textId="671165FC" w:rsidR="008A6D59" w:rsidRPr="00B3752F" w:rsidRDefault="00D46B94" w:rsidP="004213C3">
          <w:pPr>
            <w:pStyle w:val="Footer"/>
            <w:rPr>
              <w:rFonts w:cs="Arial"/>
              <w:b/>
              <w:bCs/>
              <w:sz w:val="20"/>
            </w:rPr>
          </w:pPr>
          <w:r>
            <w:rPr>
              <w:rFonts w:cs="Arial"/>
              <w:b/>
              <w:bCs/>
              <w:sz w:val="20"/>
            </w:rPr>
            <w:t>01/09/2024</w:t>
          </w:r>
        </w:p>
      </w:tc>
      <w:tc>
        <w:tcPr>
          <w:tcW w:w="3118" w:type="dxa"/>
        </w:tcPr>
        <w:p w14:paraId="2F51A919" w14:textId="25D61B28" w:rsidR="008A6D59" w:rsidRPr="00D46B94" w:rsidRDefault="00D46B94" w:rsidP="00D46B94">
          <w:pPr>
            <w:pStyle w:val="Footer"/>
            <w:rPr>
              <w:rFonts w:cs="Arial"/>
              <w:b/>
              <w:bCs/>
              <w:sz w:val="20"/>
            </w:rPr>
          </w:pPr>
          <w:r>
            <w:rPr>
              <w:rFonts w:cs="Arial"/>
              <w:b/>
              <w:bCs/>
              <w:sz w:val="20"/>
            </w:rPr>
            <w:t xml:space="preserve">NCH – </w:t>
          </w:r>
          <w:r w:rsidRPr="00D46B94">
            <w:rPr>
              <w:rFonts w:cs="Arial"/>
              <w:b/>
              <w:bCs/>
              <w:sz w:val="20"/>
            </w:rPr>
            <w:t>Allied Health &amp; Palliative Care – Pharmacy</w:t>
          </w:r>
          <w:r>
            <w:rPr>
              <w:color w:val="000000"/>
            </w:rPr>
            <w:t>  </w:t>
          </w:r>
        </w:p>
      </w:tc>
      <w:tc>
        <w:tcPr>
          <w:tcW w:w="990" w:type="dxa"/>
        </w:tcPr>
        <w:p w14:paraId="2F51A91A" w14:textId="50E3A912" w:rsidR="008A6D59" w:rsidRPr="00B3752F" w:rsidRDefault="008A6D59"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01053D">
            <w:rPr>
              <w:rStyle w:val="PageNumber"/>
              <w:noProof/>
              <w:sz w:val="20"/>
            </w:rPr>
            <w:t>19</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01053D">
            <w:rPr>
              <w:rStyle w:val="PageNumber"/>
              <w:noProof/>
              <w:sz w:val="20"/>
            </w:rPr>
            <w:t>19</w:t>
          </w:r>
          <w:r w:rsidRPr="00B3752F">
            <w:rPr>
              <w:rStyle w:val="PageNumber"/>
              <w:sz w:val="20"/>
            </w:rPr>
            <w:fldChar w:fldCharType="end"/>
          </w:r>
        </w:p>
      </w:tc>
    </w:tr>
    <w:tr w:rsidR="008A6D59" w14:paraId="668DA41F" w14:textId="77777777" w:rsidTr="00EB4FCE">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8A6D59" w:rsidRPr="002C1428" w:rsidRDefault="008A6D59"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8A6D59" w:rsidRPr="00AE7C5C" w:rsidRDefault="008A6D59"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12B3" w14:textId="77777777" w:rsidR="008E2F12" w:rsidRDefault="008E2F12" w:rsidP="00F66CB0">
      <w:r>
        <w:separator/>
      </w:r>
    </w:p>
  </w:footnote>
  <w:footnote w:type="continuationSeparator" w:id="0">
    <w:p w14:paraId="0AC8DEEA" w14:textId="77777777" w:rsidR="008E2F12" w:rsidRDefault="008E2F12" w:rsidP="00F66CB0">
      <w:r>
        <w:continuationSeparator/>
      </w:r>
    </w:p>
  </w:footnote>
  <w:footnote w:type="continuationNotice" w:id="1">
    <w:p w14:paraId="7603300D" w14:textId="77777777" w:rsidR="008E2F12" w:rsidRDefault="008E2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8A6D59" w14:paraId="2F51A90C" w14:textId="77777777" w:rsidTr="0074223E">
      <w:trPr>
        <w:trHeight w:val="1418"/>
      </w:trPr>
      <w:tc>
        <w:tcPr>
          <w:tcW w:w="5556" w:type="dxa"/>
          <w:vAlign w:val="center"/>
          <w:hideMark/>
        </w:tcPr>
        <w:p w14:paraId="2F51A90A" w14:textId="5F72D3B6" w:rsidR="008A6D59" w:rsidRDefault="008A6D59"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58ADE5C0" w:rsidR="008A6D59" w:rsidRDefault="00D46B94">
          <w:pPr>
            <w:pStyle w:val="Header"/>
            <w:tabs>
              <w:tab w:val="left" w:pos="720"/>
            </w:tabs>
            <w:jc w:val="right"/>
            <w:rPr>
              <w:sz w:val="20"/>
            </w:rPr>
          </w:pPr>
          <w:bookmarkStart w:id="41" w:name="_top"/>
          <w:bookmarkEnd w:id="41"/>
          <w:r>
            <w:rPr>
              <w:sz w:val="20"/>
            </w:rPr>
            <w:t>CHS24/062</w:t>
          </w:r>
        </w:p>
      </w:tc>
    </w:tr>
  </w:tbl>
  <w:p w14:paraId="2F51A90D" w14:textId="77777777" w:rsidR="008A6D59" w:rsidRPr="00FC3538" w:rsidRDefault="008A6D5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C6FBD8"/>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E1E5386"/>
    <w:multiLevelType w:val="hybridMultilevel"/>
    <w:tmpl w:val="60121564"/>
    <w:lvl w:ilvl="0" w:tplc="70B67FE6">
      <w:start w:val="4"/>
      <w:numFmt w:val="bullet"/>
      <w:lvlText w:val="•"/>
      <w:lvlJc w:val="left"/>
      <w:pPr>
        <w:ind w:left="720" w:hanging="360"/>
      </w:pPr>
      <w:rPr>
        <w:rFonts w:ascii="Calibri" w:eastAsiaTheme="minorHAnsi" w:hAnsi="Calibri" w:cs="Calibr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71CA8"/>
    <w:multiLevelType w:val="hybridMultilevel"/>
    <w:tmpl w:val="0FD4B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057CF5"/>
    <w:multiLevelType w:val="hybridMultilevel"/>
    <w:tmpl w:val="0DD03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265EF2"/>
    <w:multiLevelType w:val="hybridMultilevel"/>
    <w:tmpl w:val="85241E3E"/>
    <w:lvl w:ilvl="0" w:tplc="70B67FE6">
      <w:start w:val="4"/>
      <w:numFmt w:val="bullet"/>
      <w:lvlText w:val="•"/>
      <w:lvlJc w:val="left"/>
      <w:pPr>
        <w:ind w:left="720" w:hanging="360"/>
      </w:pPr>
      <w:rPr>
        <w:rFonts w:ascii="Calibri" w:eastAsiaTheme="minorHAnsi" w:hAnsi="Calibri" w:cs="Calibri" w:hint="default"/>
      </w:rPr>
    </w:lvl>
    <w:lvl w:ilvl="1" w:tplc="0C090001">
      <w:start w:val="1"/>
      <w:numFmt w:val="bullet"/>
      <w:lvlText w:val=""/>
      <w:lvlJc w:val="left"/>
      <w:pPr>
        <w:ind w:left="1440" w:hanging="360"/>
      </w:pPr>
      <w:rPr>
        <w:rFonts w:ascii="Symbol" w:hAnsi="Symbol" w:hint="default"/>
      </w:rPr>
    </w:lvl>
    <w:lvl w:ilvl="2" w:tplc="414C7A4E">
      <w:start w:val="4"/>
      <w:numFmt w:val="bullet"/>
      <w:lvlText w:val="-"/>
      <w:lvlJc w:val="left"/>
      <w:pPr>
        <w:ind w:left="2160" w:hanging="360"/>
      </w:pPr>
      <w:rPr>
        <w:rFonts w:ascii="Calibri" w:eastAsiaTheme="minorHAnsi" w:hAnsi="Calibri" w:cstheme="minorHAns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779366B"/>
    <w:multiLevelType w:val="hybridMultilevel"/>
    <w:tmpl w:val="BCF0F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DC77B6"/>
    <w:multiLevelType w:val="hybridMultilevel"/>
    <w:tmpl w:val="AC166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A14457"/>
    <w:multiLevelType w:val="hybridMultilevel"/>
    <w:tmpl w:val="FE940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2776E61"/>
    <w:multiLevelType w:val="hybridMultilevel"/>
    <w:tmpl w:val="A76AF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C10589"/>
    <w:multiLevelType w:val="hybridMultilevel"/>
    <w:tmpl w:val="DB5CE6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1A0146"/>
    <w:multiLevelType w:val="hybridMultilevel"/>
    <w:tmpl w:val="1C8C9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7F2DC9"/>
    <w:multiLevelType w:val="hybridMultilevel"/>
    <w:tmpl w:val="4D0E7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1F1303"/>
    <w:multiLevelType w:val="hybridMultilevel"/>
    <w:tmpl w:val="2E7E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7F19F2"/>
    <w:multiLevelType w:val="hybridMultilevel"/>
    <w:tmpl w:val="2B664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4D6B76"/>
    <w:multiLevelType w:val="hybridMultilevel"/>
    <w:tmpl w:val="BD18F3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9827EEF"/>
    <w:multiLevelType w:val="hybridMultilevel"/>
    <w:tmpl w:val="B5FCFD00"/>
    <w:lvl w:ilvl="0" w:tplc="948AD87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840EB"/>
    <w:multiLevelType w:val="multilevel"/>
    <w:tmpl w:val="66EA9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33394"/>
    <w:multiLevelType w:val="hybridMultilevel"/>
    <w:tmpl w:val="566012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5F91FB0"/>
    <w:multiLevelType w:val="hybridMultilevel"/>
    <w:tmpl w:val="97ECE5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5FF0748"/>
    <w:multiLevelType w:val="hybridMultilevel"/>
    <w:tmpl w:val="F8E03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E04CA1"/>
    <w:multiLevelType w:val="hybridMultilevel"/>
    <w:tmpl w:val="1F821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1032314"/>
    <w:multiLevelType w:val="hybridMultilevel"/>
    <w:tmpl w:val="B30ECB00"/>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25" w15:restartNumberingAfterBreak="0">
    <w:nsid w:val="51D76E3A"/>
    <w:multiLevelType w:val="hybridMultilevel"/>
    <w:tmpl w:val="619647A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2B687B"/>
    <w:multiLevelType w:val="hybridMultilevel"/>
    <w:tmpl w:val="03D42360"/>
    <w:lvl w:ilvl="0" w:tplc="FFFFFFFF">
      <w:start w:val="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68016E"/>
    <w:multiLevelType w:val="hybridMultilevel"/>
    <w:tmpl w:val="16225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CB48BD"/>
    <w:multiLevelType w:val="hybridMultilevel"/>
    <w:tmpl w:val="62C0C8FE"/>
    <w:lvl w:ilvl="0" w:tplc="FFFFFFFF">
      <w:start w:val="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786" w:hanging="360"/>
      </w:pPr>
      <w:rPr>
        <w:rFonts w:ascii="Courier New" w:hAnsi="Courier New" w:cs="Courier New" w:hint="default"/>
      </w:rPr>
    </w:lvl>
    <w:lvl w:ilvl="2" w:tplc="FFFFFFFF">
      <w:start w:val="4"/>
      <w:numFmt w:val="bullet"/>
      <w:lvlText w:val="-"/>
      <w:lvlJc w:val="left"/>
      <w:pPr>
        <w:ind w:left="2160" w:hanging="360"/>
      </w:pPr>
      <w:rPr>
        <w:rFonts w:ascii="Calibri" w:eastAsiaTheme="minorHAnsi" w:hAnsi="Calibri" w:cstheme="min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0718A7"/>
    <w:multiLevelType w:val="hybridMultilevel"/>
    <w:tmpl w:val="DC9CF0C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1A12C6"/>
    <w:multiLevelType w:val="hybridMultilevel"/>
    <w:tmpl w:val="BBCCFF22"/>
    <w:lvl w:ilvl="0" w:tplc="66A07502">
      <w:start w:val="1"/>
      <w:numFmt w:val="bullet"/>
      <w:lvlText w:val=""/>
      <w:lvlJc w:val="left"/>
      <w:pPr>
        <w:ind w:left="720" w:hanging="360"/>
      </w:pPr>
      <w:rPr>
        <w:rFonts w:ascii="Symbol" w:hAnsi="Symbol" w:hint="default"/>
      </w:rPr>
    </w:lvl>
    <w:lvl w:ilvl="1" w:tplc="3F7E2840">
      <w:start w:val="1"/>
      <w:numFmt w:val="bullet"/>
      <w:lvlText w:val="o"/>
      <w:lvlJc w:val="left"/>
      <w:pPr>
        <w:ind w:left="1440" w:hanging="360"/>
      </w:pPr>
      <w:rPr>
        <w:rFonts w:ascii="Courier New" w:hAnsi="Courier New" w:hint="default"/>
      </w:rPr>
    </w:lvl>
    <w:lvl w:ilvl="2" w:tplc="92044648">
      <w:start w:val="1"/>
      <w:numFmt w:val="bullet"/>
      <w:lvlText w:val=""/>
      <w:lvlJc w:val="left"/>
      <w:pPr>
        <w:ind w:left="2160" w:hanging="360"/>
      </w:pPr>
      <w:rPr>
        <w:rFonts w:ascii="Wingdings" w:hAnsi="Wingdings" w:hint="default"/>
      </w:rPr>
    </w:lvl>
    <w:lvl w:ilvl="3" w:tplc="C96A87E2">
      <w:start w:val="1"/>
      <w:numFmt w:val="bullet"/>
      <w:lvlText w:val=""/>
      <w:lvlJc w:val="left"/>
      <w:pPr>
        <w:ind w:left="2880" w:hanging="360"/>
      </w:pPr>
      <w:rPr>
        <w:rFonts w:ascii="Symbol" w:hAnsi="Symbol" w:hint="default"/>
      </w:rPr>
    </w:lvl>
    <w:lvl w:ilvl="4" w:tplc="8D3220FC">
      <w:start w:val="1"/>
      <w:numFmt w:val="bullet"/>
      <w:lvlText w:val="o"/>
      <w:lvlJc w:val="left"/>
      <w:pPr>
        <w:ind w:left="3600" w:hanging="360"/>
      </w:pPr>
      <w:rPr>
        <w:rFonts w:ascii="Courier New" w:hAnsi="Courier New" w:hint="default"/>
      </w:rPr>
    </w:lvl>
    <w:lvl w:ilvl="5" w:tplc="E924C552">
      <w:start w:val="1"/>
      <w:numFmt w:val="bullet"/>
      <w:lvlText w:val=""/>
      <w:lvlJc w:val="left"/>
      <w:pPr>
        <w:ind w:left="4320" w:hanging="360"/>
      </w:pPr>
      <w:rPr>
        <w:rFonts w:ascii="Wingdings" w:hAnsi="Wingdings" w:hint="default"/>
      </w:rPr>
    </w:lvl>
    <w:lvl w:ilvl="6" w:tplc="700CF09E">
      <w:start w:val="1"/>
      <w:numFmt w:val="bullet"/>
      <w:lvlText w:val=""/>
      <w:lvlJc w:val="left"/>
      <w:pPr>
        <w:ind w:left="5040" w:hanging="360"/>
      </w:pPr>
      <w:rPr>
        <w:rFonts w:ascii="Symbol" w:hAnsi="Symbol" w:hint="default"/>
      </w:rPr>
    </w:lvl>
    <w:lvl w:ilvl="7" w:tplc="A0C66512">
      <w:start w:val="1"/>
      <w:numFmt w:val="bullet"/>
      <w:lvlText w:val="o"/>
      <w:lvlJc w:val="left"/>
      <w:pPr>
        <w:ind w:left="5760" w:hanging="360"/>
      </w:pPr>
      <w:rPr>
        <w:rFonts w:ascii="Courier New" w:hAnsi="Courier New" w:hint="default"/>
      </w:rPr>
    </w:lvl>
    <w:lvl w:ilvl="8" w:tplc="F69A212E">
      <w:start w:val="1"/>
      <w:numFmt w:val="bullet"/>
      <w:lvlText w:val=""/>
      <w:lvlJc w:val="left"/>
      <w:pPr>
        <w:ind w:left="6480" w:hanging="360"/>
      </w:pPr>
      <w:rPr>
        <w:rFonts w:ascii="Wingdings" w:hAnsi="Wingdings" w:hint="default"/>
      </w:rPr>
    </w:lvl>
  </w:abstractNum>
  <w:abstractNum w:abstractNumId="31" w15:restartNumberingAfterBreak="0">
    <w:nsid w:val="6343439E"/>
    <w:multiLevelType w:val="hybridMultilevel"/>
    <w:tmpl w:val="6BD4161E"/>
    <w:lvl w:ilvl="0" w:tplc="70B67FE6">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E86B40"/>
    <w:multiLevelType w:val="hybridMultilevel"/>
    <w:tmpl w:val="7774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A56F83"/>
    <w:multiLevelType w:val="hybridMultilevel"/>
    <w:tmpl w:val="96885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FC0E37"/>
    <w:multiLevelType w:val="hybridMultilevel"/>
    <w:tmpl w:val="693A580E"/>
    <w:lvl w:ilvl="0" w:tplc="0C090003">
      <w:start w:val="1"/>
      <w:numFmt w:val="bullet"/>
      <w:lvlText w:val="o"/>
      <w:lvlJc w:val="left"/>
      <w:pPr>
        <w:ind w:left="786" w:hanging="360"/>
      </w:pPr>
      <w:rPr>
        <w:rFonts w:ascii="Courier New" w:hAnsi="Courier New" w:cs="Courier New" w:hint="default"/>
      </w:rPr>
    </w:lvl>
    <w:lvl w:ilvl="1" w:tplc="FFFFFFFF">
      <w:start w:val="1"/>
      <w:numFmt w:val="bullet"/>
      <w:lvlText w:val=""/>
      <w:lvlJc w:val="left"/>
      <w:pPr>
        <w:ind w:left="1506" w:hanging="360"/>
      </w:pPr>
      <w:rPr>
        <w:rFonts w:ascii="Symbol" w:hAnsi="Symbo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5" w15:restartNumberingAfterBreak="0">
    <w:nsid w:val="6B956FCD"/>
    <w:multiLevelType w:val="hybridMultilevel"/>
    <w:tmpl w:val="09D8E15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4C0008"/>
    <w:multiLevelType w:val="hybridMultilevel"/>
    <w:tmpl w:val="BE788E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DF21D8B"/>
    <w:multiLevelType w:val="hybridMultilevel"/>
    <w:tmpl w:val="839C8B58"/>
    <w:lvl w:ilvl="0" w:tplc="FFFFFFFF">
      <w:start w:val="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786" w:hanging="360"/>
      </w:pPr>
      <w:rPr>
        <w:rFonts w:ascii="Courier New" w:hAnsi="Courier New" w:cs="Courier New" w:hint="default"/>
      </w:rPr>
    </w:lvl>
    <w:lvl w:ilvl="2" w:tplc="FFFFFFFF">
      <w:start w:val="4"/>
      <w:numFmt w:val="bullet"/>
      <w:lvlText w:val="-"/>
      <w:lvlJc w:val="left"/>
      <w:pPr>
        <w:ind w:left="2160" w:hanging="360"/>
      </w:pPr>
      <w:rPr>
        <w:rFonts w:ascii="Calibri" w:eastAsiaTheme="minorHAnsi" w:hAnsi="Calibri" w:cstheme="min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004F75"/>
    <w:multiLevelType w:val="hybridMultilevel"/>
    <w:tmpl w:val="9FDC47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79618B8"/>
    <w:multiLevelType w:val="hybridMultilevel"/>
    <w:tmpl w:val="118A2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B042A7"/>
    <w:multiLevelType w:val="hybridMultilevel"/>
    <w:tmpl w:val="6F9AD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246258"/>
    <w:multiLevelType w:val="hybridMultilevel"/>
    <w:tmpl w:val="5434A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F941AD"/>
    <w:multiLevelType w:val="hybridMultilevel"/>
    <w:tmpl w:val="E444932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4"/>
      <w:numFmt w:val="bullet"/>
      <w:lvlText w:val="-"/>
      <w:lvlJc w:val="left"/>
      <w:pPr>
        <w:ind w:left="2160" w:hanging="360"/>
      </w:pPr>
      <w:rPr>
        <w:rFonts w:ascii="Calibri" w:eastAsiaTheme="minorHAnsi" w:hAnsi="Calibri" w:cstheme="min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3882831">
    <w:abstractNumId w:val="30"/>
  </w:num>
  <w:num w:numId="2" w16cid:durableId="283662674">
    <w:abstractNumId w:val="0"/>
  </w:num>
  <w:num w:numId="3" w16cid:durableId="2032031931">
    <w:abstractNumId w:val="41"/>
  </w:num>
  <w:num w:numId="4" w16cid:durableId="996883553">
    <w:abstractNumId w:val="43"/>
  </w:num>
  <w:num w:numId="5" w16cid:durableId="1910769844">
    <w:abstractNumId w:val="22"/>
  </w:num>
  <w:num w:numId="6" w16cid:durableId="2006351302">
    <w:abstractNumId w:val="1"/>
  </w:num>
  <w:num w:numId="7" w16cid:durableId="1778332437">
    <w:abstractNumId w:val="6"/>
  </w:num>
  <w:num w:numId="8" w16cid:durableId="1508403863">
    <w:abstractNumId w:val="17"/>
  </w:num>
  <w:num w:numId="9" w16cid:durableId="257175230">
    <w:abstractNumId w:val="2"/>
  </w:num>
  <w:num w:numId="10" w16cid:durableId="1933200876">
    <w:abstractNumId w:val="35"/>
  </w:num>
  <w:num w:numId="11" w16cid:durableId="1682125134">
    <w:abstractNumId w:val="5"/>
  </w:num>
  <w:num w:numId="12" w16cid:durableId="1295529237">
    <w:abstractNumId w:val="42"/>
  </w:num>
  <w:num w:numId="13" w16cid:durableId="1174077895">
    <w:abstractNumId w:val="31"/>
  </w:num>
  <w:num w:numId="14" w16cid:durableId="439179854">
    <w:abstractNumId w:val="24"/>
  </w:num>
  <w:num w:numId="15" w16cid:durableId="470442139">
    <w:abstractNumId w:val="34"/>
  </w:num>
  <w:num w:numId="16" w16cid:durableId="957227077">
    <w:abstractNumId w:val="29"/>
  </w:num>
  <w:num w:numId="17" w16cid:durableId="2010981602">
    <w:abstractNumId w:val="26"/>
  </w:num>
  <w:num w:numId="18" w16cid:durableId="425612397">
    <w:abstractNumId w:val="37"/>
  </w:num>
  <w:num w:numId="19" w16cid:durableId="1775858797">
    <w:abstractNumId w:val="28"/>
  </w:num>
  <w:num w:numId="20" w16cid:durableId="691220838">
    <w:abstractNumId w:val="25"/>
  </w:num>
  <w:num w:numId="21" w16cid:durableId="1536499096">
    <w:abstractNumId w:val="44"/>
  </w:num>
  <w:num w:numId="22" w16cid:durableId="96296878">
    <w:abstractNumId w:val="27"/>
  </w:num>
  <w:num w:numId="23" w16cid:durableId="510995785">
    <w:abstractNumId w:val="12"/>
  </w:num>
  <w:num w:numId="24" w16cid:durableId="1463884343">
    <w:abstractNumId w:val="3"/>
  </w:num>
  <w:num w:numId="25" w16cid:durableId="531188250">
    <w:abstractNumId w:val="23"/>
  </w:num>
  <w:num w:numId="26" w16cid:durableId="1009597326">
    <w:abstractNumId w:val="36"/>
  </w:num>
  <w:num w:numId="27" w16cid:durableId="1458642052">
    <w:abstractNumId w:val="19"/>
  </w:num>
  <w:num w:numId="28" w16cid:durableId="2003198263">
    <w:abstractNumId w:val="0"/>
  </w:num>
  <w:num w:numId="29" w16cid:durableId="1980719347">
    <w:abstractNumId w:val="14"/>
  </w:num>
  <w:num w:numId="30" w16cid:durableId="2025859204">
    <w:abstractNumId w:val="8"/>
  </w:num>
  <w:num w:numId="31" w16cid:durableId="1648590169">
    <w:abstractNumId w:val="21"/>
  </w:num>
  <w:num w:numId="32" w16cid:durableId="879166524">
    <w:abstractNumId w:val="11"/>
  </w:num>
  <w:num w:numId="33" w16cid:durableId="2123457609">
    <w:abstractNumId w:val="13"/>
  </w:num>
  <w:num w:numId="34" w16cid:durableId="303392200">
    <w:abstractNumId w:val="10"/>
  </w:num>
  <w:num w:numId="35" w16cid:durableId="372923259">
    <w:abstractNumId w:val="9"/>
  </w:num>
  <w:num w:numId="36" w16cid:durableId="573927576">
    <w:abstractNumId w:val="7"/>
  </w:num>
  <w:num w:numId="37" w16cid:durableId="1754936775">
    <w:abstractNumId w:val="33"/>
  </w:num>
  <w:num w:numId="38" w16cid:durableId="297876465">
    <w:abstractNumId w:val="16"/>
  </w:num>
  <w:num w:numId="39" w16cid:durableId="1731810815">
    <w:abstractNumId w:val="20"/>
  </w:num>
  <w:num w:numId="40" w16cid:durableId="937714059">
    <w:abstractNumId w:val="32"/>
  </w:num>
  <w:num w:numId="41" w16cid:durableId="799148759">
    <w:abstractNumId w:val="39"/>
  </w:num>
  <w:num w:numId="42" w16cid:durableId="1610695948">
    <w:abstractNumId w:val="18"/>
  </w:num>
  <w:num w:numId="43" w16cid:durableId="1496148796">
    <w:abstractNumId w:val="38"/>
  </w:num>
  <w:num w:numId="44" w16cid:durableId="862396884">
    <w:abstractNumId w:val="15"/>
  </w:num>
  <w:num w:numId="45" w16cid:durableId="2049378050">
    <w:abstractNumId w:val="40"/>
  </w:num>
  <w:num w:numId="46" w16cid:durableId="187858994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53D"/>
    <w:rsid w:val="00011E13"/>
    <w:rsid w:val="000121C3"/>
    <w:rsid w:val="00015B90"/>
    <w:rsid w:val="00015D88"/>
    <w:rsid w:val="0001607A"/>
    <w:rsid w:val="00066185"/>
    <w:rsid w:val="00072EEC"/>
    <w:rsid w:val="0007497E"/>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E10E8"/>
    <w:rsid w:val="001F2A9B"/>
    <w:rsid w:val="001F6D2D"/>
    <w:rsid w:val="00200D04"/>
    <w:rsid w:val="00201FB6"/>
    <w:rsid w:val="00212C02"/>
    <w:rsid w:val="002405CF"/>
    <w:rsid w:val="00240B97"/>
    <w:rsid w:val="0025382D"/>
    <w:rsid w:val="00263BA6"/>
    <w:rsid w:val="0027264D"/>
    <w:rsid w:val="00280725"/>
    <w:rsid w:val="00285D38"/>
    <w:rsid w:val="00293E43"/>
    <w:rsid w:val="002B5F43"/>
    <w:rsid w:val="00313707"/>
    <w:rsid w:val="0032270B"/>
    <w:rsid w:val="00337E7C"/>
    <w:rsid w:val="00351CD9"/>
    <w:rsid w:val="00353CBB"/>
    <w:rsid w:val="00362103"/>
    <w:rsid w:val="00366924"/>
    <w:rsid w:val="00376A6D"/>
    <w:rsid w:val="00380B98"/>
    <w:rsid w:val="00385CCC"/>
    <w:rsid w:val="003862EC"/>
    <w:rsid w:val="00390A79"/>
    <w:rsid w:val="00395E36"/>
    <w:rsid w:val="00396023"/>
    <w:rsid w:val="003C0780"/>
    <w:rsid w:val="003C204E"/>
    <w:rsid w:val="003C4BB5"/>
    <w:rsid w:val="003E170E"/>
    <w:rsid w:val="003E4CC0"/>
    <w:rsid w:val="003F3D8F"/>
    <w:rsid w:val="00410409"/>
    <w:rsid w:val="00412CED"/>
    <w:rsid w:val="00416751"/>
    <w:rsid w:val="00420F9E"/>
    <w:rsid w:val="004213C3"/>
    <w:rsid w:val="0042413C"/>
    <w:rsid w:val="00427139"/>
    <w:rsid w:val="00431A1C"/>
    <w:rsid w:val="004358E9"/>
    <w:rsid w:val="004537B3"/>
    <w:rsid w:val="00476F1D"/>
    <w:rsid w:val="0048050C"/>
    <w:rsid w:val="00484BEB"/>
    <w:rsid w:val="00487DD5"/>
    <w:rsid w:val="004947A7"/>
    <w:rsid w:val="004A02B2"/>
    <w:rsid w:val="004A1E40"/>
    <w:rsid w:val="004A2E02"/>
    <w:rsid w:val="004B7C43"/>
    <w:rsid w:val="004C2B20"/>
    <w:rsid w:val="004D6932"/>
    <w:rsid w:val="004E28AD"/>
    <w:rsid w:val="004F0F49"/>
    <w:rsid w:val="004F1D05"/>
    <w:rsid w:val="004F2008"/>
    <w:rsid w:val="004F31B6"/>
    <w:rsid w:val="004F48AC"/>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D3E6B"/>
    <w:rsid w:val="005E1140"/>
    <w:rsid w:val="005F06E5"/>
    <w:rsid w:val="005F3214"/>
    <w:rsid w:val="00612231"/>
    <w:rsid w:val="00634F78"/>
    <w:rsid w:val="00635EB1"/>
    <w:rsid w:val="00641CCD"/>
    <w:rsid w:val="006473BB"/>
    <w:rsid w:val="0066495D"/>
    <w:rsid w:val="00695EB6"/>
    <w:rsid w:val="006A3770"/>
    <w:rsid w:val="006A4D46"/>
    <w:rsid w:val="006A6024"/>
    <w:rsid w:val="006C31FF"/>
    <w:rsid w:val="006C3535"/>
    <w:rsid w:val="006C6256"/>
    <w:rsid w:val="006C6B6C"/>
    <w:rsid w:val="006C704D"/>
    <w:rsid w:val="006D31A2"/>
    <w:rsid w:val="006D563F"/>
    <w:rsid w:val="0070331D"/>
    <w:rsid w:val="007052B1"/>
    <w:rsid w:val="00711BF4"/>
    <w:rsid w:val="00741B43"/>
    <w:rsid w:val="0074223E"/>
    <w:rsid w:val="007543AC"/>
    <w:rsid w:val="00756537"/>
    <w:rsid w:val="00756A2B"/>
    <w:rsid w:val="007A0EBC"/>
    <w:rsid w:val="007B27F1"/>
    <w:rsid w:val="007B4ABB"/>
    <w:rsid w:val="007B6904"/>
    <w:rsid w:val="007B7628"/>
    <w:rsid w:val="007C36E4"/>
    <w:rsid w:val="00813703"/>
    <w:rsid w:val="00816782"/>
    <w:rsid w:val="0082141D"/>
    <w:rsid w:val="00827F24"/>
    <w:rsid w:val="00845445"/>
    <w:rsid w:val="00852801"/>
    <w:rsid w:val="00855DA8"/>
    <w:rsid w:val="00877CF1"/>
    <w:rsid w:val="00886399"/>
    <w:rsid w:val="008974CA"/>
    <w:rsid w:val="008A6D59"/>
    <w:rsid w:val="008B6836"/>
    <w:rsid w:val="008E1F7F"/>
    <w:rsid w:val="008E2F12"/>
    <w:rsid w:val="008F00E8"/>
    <w:rsid w:val="00906142"/>
    <w:rsid w:val="00931B93"/>
    <w:rsid w:val="00933EED"/>
    <w:rsid w:val="00940CDE"/>
    <w:rsid w:val="00962C46"/>
    <w:rsid w:val="0097742A"/>
    <w:rsid w:val="0097744F"/>
    <w:rsid w:val="00980EED"/>
    <w:rsid w:val="00991670"/>
    <w:rsid w:val="009B1A68"/>
    <w:rsid w:val="009B6C8C"/>
    <w:rsid w:val="009C0FCA"/>
    <w:rsid w:val="009C3963"/>
    <w:rsid w:val="009D323C"/>
    <w:rsid w:val="009D3AC9"/>
    <w:rsid w:val="009E39B9"/>
    <w:rsid w:val="009E4079"/>
    <w:rsid w:val="009E70F4"/>
    <w:rsid w:val="00A113FE"/>
    <w:rsid w:val="00A129F7"/>
    <w:rsid w:val="00A35E2D"/>
    <w:rsid w:val="00A51396"/>
    <w:rsid w:val="00A54CB3"/>
    <w:rsid w:val="00A74B8A"/>
    <w:rsid w:val="00A834EF"/>
    <w:rsid w:val="00A85F61"/>
    <w:rsid w:val="00A86DB3"/>
    <w:rsid w:val="00A92E4F"/>
    <w:rsid w:val="00AA25DC"/>
    <w:rsid w:val="00AB13EF"/>
    <w:rsid w:val="00AB50DD"/>
    <w:rsid w:val="00AC0757"/>
    <w:rsid w:val="00AC7025"/>
    <w:rsid w:val="00AD196F"/>
    <w:rsid w:val="00AD3CCE"/>
    <w:rsid w:val="00B07A46"/>
    <w:rsid w:val="00B07DCE"/>
    <w:rsid w:val="00B12123"/>
    <w:rsid w:val="00B21043"/>
    <w:rsid w:val="00B32C80"/>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21780"/>
    <w:rsid w:val="00D23346"/>
    <w:rsid w:val="00D243B8"/>
    <w:rsid w:val="00D304C2"/>
    <w:rsid w:val="00D34794"/>
    <w:rsid w:val="00D4502D"/>
    <w:rsid w:val="00D46B94"/>
    <w:rsid w:val="00D530CE"/>
    <w:rsid w:val="00D53E3C"/>
    <w:rsid w:val="00D77950"/>
    <w:rsid w:val="00DC3762"/>
    <w:rsid w:val="00DC5C47"/>
    <w:rsid w:val="00DD616A"/>
    <w:rsid w:val="00DE0465"/>
    <w:rsid w:val="00DE4E25"/>
    <w:rsid w:val="00E049ED"/>
    <w:rsid w:val="00E14461"/>
    <w:rsid w:val="00E31755"/>
    <w:rsid w:val="00E34E6D"/>
    <w:rsid w:val="00E37CD4"/>
    <w:rsid w:val="00E41CD4"/>
    <w:rsid w:val="00E46E76"/>
    <w:rsid w:val="00E57848"/>
    <w:rsid w:val="00E72E0A"/>
    <w:rsid w:val="00E73459"/>
    <w:rsid w:val="00E750BF"/>
    <w:rsid w:val="00E90708"/>
    <w:rsid w:val="00EB4FCE"/>
    <w:rsid w:val="00ED21C3"/>
    <w:rsid w:val="00ED388C"/>
    <w:rsid w:val="00ED46C3"/>
    <w:rsid w:val="00EF02B0"/>
    <w:rsid w:val="00EF13A4"/>
    <w:rsid w:val="00F01B61"/>
    <w:rsid w:val="00F07445"/>
    <w:rsid w:val="00F11338"/>
    <w:rsid w:val="00F13AE5"/>
    <w:rsid w:val="00F149FD"/>
    <w:rsid w:val="00F14EC1"/>
    <w:rsid w:val="00F4262F"/>
    <w:rsid w:val="00F53719"/>
    <w:rsid w:val="00F57291"/>
    <w:rsid w:val="00F66CB0"/>
    <w:rsid w:val="00F76C89"/>
    <w:rsid w:val="00F9158A"/>
    <w:rsid w:val="00FA29B8"/>
    <w:rsid w:val="00FC7CBC"/>
    <w:rsid w:val="00FD3D92"/>
    <w:rsid w:val="00FF56DD"/>
    <w:rsid w:val="012079A3"/>
    <w:rsid w:val="02697CD5"/>
    <w:rsid w:val="05AD9DA9"/>
    <w:rsid w:val="068CF304"/>
    <w:rsid w:val="09B7AF0D"/>
    <w:rsid w:val="0AF3FF5C"/>
    <w:rsid w:val="0BBFD015"/>
    <w:rsid w:val="0CAD4E99"/>
    <w:rsid w:val="0EA53088"/>
    <w:rsid w:val="11433C2C"/>
    <w:rsid w:val="12CAD097"/>
    <w:rsid w:val="13E84C60"/>
    <w:rsid w:val="15CD36FD"/>
    <w:rsid w:val="165A940A"/>
    <w:rsid w:val="167D31F1"/>
    <w:rsid w:val="17239979"/>
    <w:rsid w:val="18190252"/>
    <w:rsid w:val="19B4D2B3"/>
    <w:rsid w:val="1A623CF6"/>
    <w:rsid w:val="1A84BC0F"/>
    <w:rsid w:val="1BAC7EDC"/>
    <w:rsid w:val="1CCCED57"/>
    <w:rsid w:val="1FEB38B3"/>
    <w:rsid w:val="21201A74"/>
    <w:rsid w:val="21E10EB0"/>
    <w:rsid w:val="22E179EE"/>
    <w:rsid w:val="242EF2F2"/>
    <w:rsid w:val="2518AF72"/>
    <w:rsid w:val="2698B290"/>
    <w:rsid w:val="344C7359"/>
    <w:rsid w:val="3536C0C2"/>
    <w:rsid w:val="36F728BC"/>
    <w:rsid w:val="37648DFD"/>
    <w:rsid w:val="37B1E67E"/>
    <w:rsid w:val="3B8CD9E9"/>
    <w:rsid w:val="413FA58F"/>
    <w:rsid w:val="41765A5B"/>
    <w:rsid w:val="4353DAE0"/>
    <w:rsid w:val="4581ADCF"/>
    <w:rsid w:val="4684332B"/>
    <w:rsid w:val="46D06982"/>
    <w:rsid w:val="4927ECBE"/>
    <w:rsid w:val="4B108BD2"/>
    <w:rsid w:val="4B5233CA"/>
    <w:rsid w:val="5447F9F8"/>
    <w:rsid w:val="551DF7B5"/>
    <w:rsid w:val="5589156C"/>
    <w:rsid w:val="55918A0A"/>
    <w:rsid w:val="58C0B62E"/>
    <w:rsid w:val="5C3FFB47"/>
    <w:rsid w:val="5C973634"/>
    <w:rsid w:val="5DBB6987"/>
    <w:rsid w:val="60CBC813"/>
    <w:rsid w:val="63EF7E91"/>
    <w:rsid w:val="640368D5"/>
    <w:rsid w:val="6697B47A"/>
    <w:rsid w:val="6A5981FC"/>
    <w:rsid w:val="6BE6052C"/>
    <w:rsid w:val="7091D5A2"/>
    <w:rsid w:val="713B8FC0"/>
    <w:rsid w:val="71853E86"/>
    <w:rsid w:val="71ECB4B4"/>
    <w:rsid w:val="735856D4"/>
    <w:rsid w:val="739A4DD3"/>
    <w:rsid w:val="740D8FE1"/>
    <w:rsid w:val="74F9FFF8"/>
    <w:rsid w:val="7621BC5C"/>
    <w:rsid w:val="768FF796"/>
    <w:rsid w:val="7A03432A"/>
    <w:rsid w:val="7AFC473B"/>
    <w:rsid w:val="7DF83A26"/>
    <w:rsid w:val="7E096F69"/>
    <w:rsid w:val="7E871F37"/>
    <w:rsid w:val="7F84A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2"/>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8B6836"/>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D304C2"/>
    <w:rPr>
      <w:rFonts w:ascii="Calibri" w:eastAsia="Times New Roman" w:hAnsi="Calibri" w:cs="Times New Roman"/>
      <w:sz w:val="24"/>
      <w:szCs w:val="20"/>
    </w:rPr>
  </w:style>
  <w:style w:type="character" w:customStyle="1" w:styleId="UnresolvedMention1">
    <w:name w:val="Unresolved Mention1"/>
    <w:basedOn w:val="DefaultParagraphFont"/>
    <w:uiPriority w:val="99"/>
    <w:semiHidden/>
    <w:unhideWhenUsed/>
    <w:rsid w:val="009D3AC9"/>
    <w:rPr>
      <w:color w:val="605E5C"/>
      <w:shd w:val="clear" w:color="auto" w:fill="E1DFDD"/>
    </w:rPr>
  </w:style>
  <w:style w:type="character" w:styleId="Strong">
    <w:name w:val="Strong"/>
    <w:basedOn w:val="DefaultParagraphFont"/>
    <w:uiPriority w:val="22"/>
    <w:qFormat/>
    <w:rsid w:val="00B32C80"/>
    <w:rPr>
      <w:b/>
      <w:bCs/>
    </w:rPr>
  </w:style>
  <w:style w:type="paragraph" w:styleId="NormalWeb">
    <w:name w:val="Normal (Web)"/>
    <w:basedOn w:val="Normal"/>
    <w:uiPriority w:val="99"/>
    <w:unhideWhenUsed/>
    <w:rsid w:val="00877CF1"/>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212C02"/>
    <w:pPr>
      <w:spacing w:after="0" w:line="240" w:lineRule="auto"/>
    </w:pPr>
    <w:rPr>
      <w:rFonts w:ascii="Calibri" w:eastAsia="Times New Roman" w:hAnsi="Calibri" w:cs="Times New Roman"/>
      <w:sz w:val="24"/>
      <w:szCs w:val="20"/>
    </w:rPr>
  </w:style>
  <w:style w:type="character" w:customStyle="1" w:styleId="UnresolvedMention2">
    <w:name w:val="Unresolved Mention2"/>
    <w:basedOn w:val="DefaultParagraphFont"/>
    <w:uiPriority w:val="99"/>
    <w:semiHidden/>
    <w:unhideWhenUsed/>
    <w:rsid w:val="00212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160896918">
      <w:bodyDiv w:val="1"/>
      <w:marLeft w:val="0"/>
      <w:marRight w:val="0"/>
      <w:marTop w:val="0"/>
      <w:marBottom w:val="0"/>
      <w:divBdr>
        <w:top w:val="none" w:sz="0" w:space="0" w:color="auto"/>
        <w:left w:val="none" w:sz="0" w:space="0" w:color="auto"/>
        <w:bottom w:val="none" w:sz="0" w:space="0" w:color="auto"/>
        <w:right w:val="none" w:sz="0" w:space="0" w:color="auto"/>
      </w:divBdr>
    </w:div>
    <w:div w:id="889345018">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24211970">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070928948">
      <w:bodyDiv w:val="1"/>
      <w:marLeft w:val="0"/>
      <w:marRight w:val="0"/>
      <w:marTop w:val="0"/>
      <w:marBottom w:val="0"/>
      <w:divBdr>
        <w:top w:val="none" w:sz="0" w:space="0" w:color="auto"/>
        <w:left w:val="none" w:sz="0" w:space="0" w:color="auto"/>
        <w:bottom w:val="none" w:sz="0" w:space="0" w:color="auto"/>
        <w:right w:val="none" w:sz="0" w:space="0" w:color="auto"/>
      </w:divBdr>
    </w:div>
    <w:div w:id="1090084124">
      <w:bodyDiv w:val="1"/>
      <w:marLeft w:val="0"/>
      <w:marRight w:val="0"/>
      <w:marTop w:val="0"/>
      <w:marBottom w:val="0"/>
      <w:divBdr>
        <w:top w:val="none" w:sz="0" w:space="0" w:color="auto"/>
        <w:left w:val="none" w:sz="0" w:space="0" w:color="auto"/>
        <w:bottom w:val="none" w:sz="0" w:space="0" w:color="auto"/>
        <w:right w:val="none" w:sz="0" w:space="0" w:color="auto"/>
      </w:divBdr>
    </w:div>
    <w:div w:id="1188787717">
      <w:bodyDiv w:val="1"/>
      <w:marLeft w:val="0"/>
      <w:marRight w:val="0"/>
      <w:marTop w:val="0"/>
      <w:marBottom w:val="0"/>
      <w:divBdr>
        <w:top w:val="none" w:sz="0" w:space="0" w:color="auto"/>
        <w:left w:val="none" w:sz="0" w:space="0" w:color="auto"/>
        <w:bottom w:val="none" w:sz="0" w:space="0" w:color="auto"/>
        <w:right w:val="none" w:sz="0" w:space="0" w:color="auto"/>
      </w:divBdr>
    </w:div>
    <w:div w:id="1296256809">
      <w:bodyDiv w:val="1"/>
      <w:marLeft w:val="0"/>
      <w:marRight w:val="0"/>
      <w:marTop w:val="0"/>
      <w:marBottom w:val="0"/>
      <w:divBdr>
        <w:top w:val="none" w:sz="0" w:space="0" w:color="auto"/>
        <w:left w:val="none" w:sz="0" w:space="0" w:color="auto"/>
        <w:bottom w:val="none" w:sz="0" w:space="0" w:color="auto"/>
        <w:right w:val="none" w:sz="0" w:space="0" w:color="auto"/>
      </w:divBdr>
    </w:div>
    <w:div w:id="1336690479">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669671349">
      <w:bodyDiv w:val="1"/>
      <w:marLeft w:val="0"/>
      <w:marRight w:val="0"/>
      <w:marTop w:val="0"/>
      <w:marBottom w:val="0"/>
      <w:divBdr>
        <w:top w:val="none" w:sz="0" w:space="0" w:color="auto"/>
        <w:left w:val="none" w:sz="0" w:space="0" w:color="auto"/>
        <w:bottom w:val="none" w:sz="0" w:space="0" w:color="auto"/>
        <w:right w:val="none" w:sz="0" w:space="0" w:color="auto"/>
      </w:divBdr>
    </w:div>
    <w:div w:id="176437753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1101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nect.calvarycare.org.au/committees/clinical/PublicHospitals/BrucePublic/_layouts/15/WopiFrame.aspx?topicfile=outpatient-parenteral-antimicrobial-therapy" TargetMode="External"/><Relationship Id="rId18" Type="http://schemas.openxmlformats.org/officeDocument/2006/relationships/hyperlink" Target="https://amhonline.amh.net.au/chapters/anaesthetics/neuromuscular-blockers/non-depolarising-neuromuscular-blockers/pancuronium" TargetMode="External"/><Relationship Id="rId26" Type="http://schemas.openxmlformats.org/officeDocument/2006/relationships/hyperlink" Target="https://www.safetyandquality.gov.au/sites/default/files/migrated/High-Risk-Medication-Alert-Intravenous-Potassium-Chloride-2003-432KB.pdf"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tgldcdp.tg.org.au/etgAccess" TargetMode="External"/><Relationship Id="rId17" Type="http://schemas.openxmlformats.org/officeDocument/2006/relationships/hyperlink" Target="http://connect.calvarycare.org.au/committees/clinical/PublicHospitals/BrucePublic/_layouts/15/WopiFrame.aspx" TargetMode="External"/><Relationship Id="rId25" Type="http://schemas.openxmlformats.org/officeDocument/2006/relationships/hyperlink" Target="https://www.safetyandquality.gov.au/sites/default/files/migrated/High-Risk-Medication-Alert-Intravenous-Potassium-Chloride-2003-432KB.pdf" TargetMode="External"/><Relationship Id="rId2" Type="http://schemas.openxmlformats.org/officeDocument/2006/relationships/customXml" Target="../customXml/item2.xml"/><Relationship Id="rId16" Type="http://schemas.openxmlformats.org/officeDocument/2006/relationships/hyperlink" Target="http://connect.calvarycare.org.au/committees/clinical/PublicHospitals/BrucePublic/_layouts/15/WopiFrame.aspx" TargetMode="External"/><Relationship Id="rId20" Type="http://schemas.openxmlformats.org/officeDocument/2006/relationships/hyperlink" Target="https://amhonline.amh.net.au/chapters/anaesthetics/neuromuscular-blockers/non-depolarising-neuromuscular-blockers/vecuroniu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publications-and-resources/resource-library/recommendations-terminology-abbreviations-and-symbols-used-medicines-documentation" TargetMode="External"/><Relationship Id="rId24" Type="http://schemas.openxmlformats.org/officeDocument/2006/relationships/hyperlink" Target="http://connect.calvarycare.org.au/committees/clinical/PublicHospitals/BrucePublic/_layouts/15/WopiFrame.aspx" TargetMode="External"/><Relationship Id="rId5" Type="http://schemas.openxmlformats.org/officeDocument/2006/relationships/numbering" Target="numbering.xml"/><Relationship Id="rId15" Type="http://schemas.openxmlformats.org/officeDocument/2006/relationships/hyperlink" Target="https://amhonline.amh.net.au/chapters/anaesthetics/neuromuscular-blockers/non-depolarising-neuromuscular-blockers/atracurium" TargetMode="External"/><Relationship Id="rId23" Type="http://schemas.openxmlformats.org/officeDocument/2006/relationships/hyperlink" Target="https://www.safetyandquality.gov.au/publications-and-resources/resource-library/recommendations-terminology-abbreviations-and-symbols-used-medicines-document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connect.calvarycare.org.au/committees/clinical/PublicHospitals/BrucePublic/_layouts/15/WopiFrame.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wtag.org.au/wp-content/uploads/2021/05/Know-your-insulins_Poster_V1.1_30Jun21.pdf" TargetMode="Externa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2024-02-15T13:00:00+00:00</Approval_x0020_Date>
    <Review_x0020_Date xmlns="690b2128-8961-48af-a473-22c34a9accba">2024-08-31T14:00:00+00:00</Review_x0020_Date>
    <TaxCatchAll xmlns="c0239a80-7f07-4ed7-82c3-24ad7d76ada5">
      <Value>441</Value>
      <Value>417</Value>
      <Value>435</Value>
      <Value>434</Value>
      <Value>495</Value>
      <Value>527</Value>
    </TaxCatchAll>
    <Version_x0020_Number xmlns="690b2128-8961-48af-a473-22c34a9accba">1</Version_x0020_Number>
    <Notes0 xmlns="690b2128-8961-48af-a473-22c34a9accba">For noting: potential for this policy document to be consolidated with CHS High Risk Medicines Policy due for review 1/9/2024.
18/07/2024 -HCCA to review</Notes0>
    <Key_x0020_Words xmlns="690b2128-8961-48af-a473-22c34a9accba">North, High Risk Medicine, High Risk, Administration of Medication, Methotrexate, MTX, Chemotherapy, Narcotics, Sedatives, Anticoagulants, Insulin, Potassium, Anti-Infectives, Antibiotics, Clozapine, Hydromorphone, Opioids, Heparin,</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High Risk Medicines Management</Replaces_x003a_>
    <ISD_x0020_Submitted xmlns="690b2128-8961-48af-a473-22c34a9accba">Not Required</ISD_x0020_Submitted>
    <Risk_x0020_Rating xmlns="690b2128-8961-48af-a473-22c34a9accba">High</Risk_x0020_Rating>
    <Description0 xmlns="690b2128-8961-48af-a473-22c34a9accba">The purpose of this procedure is to set out the requirements for the safe management and the use of high-risk medicines within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CHS24/062</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Therapeutic Goods Act 1989 (Cth)</TermName>
          <TermId xmlns="http://schemas.microsoft.com/office/infopath/2007/PartnerControls">6f1372f5-fafb-43fa-b717-e9088c98595f</TermId>
        </TermInfo>
        <TermInfo xmlns="http://schemas.microsoft.com/office/infopath/2007/PartnerControls">
          <TermName xmlns="http://schemas.microsoft.com/office/infopath/2007/PartnerControls">Therapeutic Goods Regulations 1990 (Cth)</TermName>
          <TermId xmlns="http://schemas.microsoft.com/office/infopath/2007/PartnerControls">926af1d3-6243-45e1-a0f3-0514825b88fc</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North Canberra Hospital (NCH) – Allied Health &amp; Palliative Care – Pharmacy  </New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B9ACC-54A7-48E0-A8D8-6D60EDB2A2B9}"/>
</file>

<file path=customXml/itemProps2.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CF2CEC84-565C-450C-8F13-15544A7D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6139</Words>
  <Characters>34995</Characters>
  <Application>Microsoft Office Word</Application>
  <DocSecurity>0</DocSecurity>
  <Lines>291</Lines>
  <Paragraphs>82</Paragraphs>
  <ScaleCrop>false</ScaleCrop>
  <Company>ACT Government</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Canberra Hospital (NCH) – High Risk Medicines Management - North Canberra Hospital (NCH)</dc:title>
  <dc:creator>Kerryn Hunter</dc:creator>
  <cp:lastModifiedBy>Clissold, Jacqui</cp:lastModifiedBy>
  <cp:revision>12</cp:revision>
  <cp:lastPrinted>2015-01-20T22:40:00Z</cp:lastPrinted>
  <dcterms:created xsi:type="dcterms:W3CDTF">2024-02-13T04:35:00Z</dcterms:created>
  <dcterms:modified xsi:type="dcterms:W3CDTF">2024-07-17T04:37:00Z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435;#Medicines, Poisons and Therapeutic Goods Act 2008 (Territory)|e04bb8da-bc44-4cb4-a98e-c18b8e4177ac;#441;#Medicines, Poisons and Therapeutic Goods Regulation 2008 (Territory)|d8a601e5-b818-46c5-b1f0-8bd78d448dbc;#434;#Health Practitioner Regulation National Law Act 2010 (Territory)|5cf4d844-a9cf-4787-98ba-e0d28c369acc;#495;#Therapeutic Goods Act 1989 (Cth)|6f1372f5-fafb-43fa-b717-e9088c98595f;#527;#Therapeutic Goods Regulations 1990 (Cth)|926af1d3-6243-45e1-a0f3-0514825b88fc;#417;#Work Health and Safety Act 2011 (Territory)|ff017976-c7e7-4dc1-b890-63352415bc5e</vt:lpwstr>
  </property>
  <property fmtid="{D5CDD505-2E9C-101B-9397-08002B2CF9AE}" pid="6" name="MSIP_Label_69af8531-eb46-4968-8cb3-105d2f5ea87e_Enabled">
    <vt:lpwstr>true</vt:lpwstr>
  </property>
  <property fmtid="{D5CDD505-2E9C-101B-9397-08002B2CF9AE}" pid="7" name="MSIP_Label_69af8531-eb46-4968-8cb3-105d2f5ea87e_SetDate">
    <vt:lpwstr>2024-07-17T04:37:10Z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d5e47821-ec01-4c3a-858c-528044aefeff</vt:lpwstr>
  </property>
  <property fmtid="{D5CDD505-2E9C-101B-9397-08002B2CF9AE}" pid="12" name="MSIP_Label_69af8531-eb46-4968-8cb3-105d2f5ea87e_ContentBits">
    <vt:lpwstr>0</vt:lpwstr>
  </property>
</Properties>
</file>