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FBEC3" w14:textId="77777777" w:rsidR="00C91EFA" w:rsidRPr="00DA3910" w:rsidRDefault="00C91EFA" w:rsidP="00C91EFA">
      <w:pPr>
        <w:rPr>
          <w:rFonts w:cs="Arial"/>
          <w:b/>
          <w:sz w:val="40"/>
          <w:szCs w:val="40"/>
        </w:rPr>
      </w:pPr>
      <w:r w:rsidRPr="00DA3910">
        <w:rPr>
          <w:rFonts w:cs="Arial"/>
          <w:b/>
          <w:sz w:val="40"/>
          <w:szCs w:val="40"/>
        </w:rPr>
        <w:t>Canberra Health Services</w:t>
      </w:r>
    </w:p>
    <w:p w14:paraId="24B611F0" w14:textId="77777777" w:rsidR="00C91EFA" w:rsidRPr="00DA3910" w:rsidRDefault="00C91EFA" w:rsidP="00C91EFA">
      <w:pPr>
        <w:rPr>
          <w:rFonts w:cs="Arial"/>
          <w:b/>
          <w:sz w:val="40"/>
          <w:szCs w:val="40"/>
        </w:rPr>
      </w:pPr>
      <w:r>
        <w:rPr>
          <w:rFonts w:cs="Arial"/>
          <w:b/>
          <w:sz w:val="40"/>
          <w:szCs w:val="40"/>
        </w:rPr>
        <w:t>Guideline</w:t>
      </w:r>
    </w:p>
    <w:p w14:paraId="77DAE885" w14:textId="77777777" w:rsidR="00C91EFA" w:rsidRDefault="00C91EFA" w:rsidP="00C91EFA">
      <w:pPr>
        <w:rPr>
          <w:rFonts w:cs="Arial"/>
          <w:b/>
          <w:sz w:val="36"/>
          <w:szCs w:val="36"/>
        </w:rPr>
      </w:pPr>
      <w:r>
        <w:rPr>
          <w:rFonts w:cs="Arial"/>
          <w:b/>
          <w:sz w:val="36"/>
          <w:szCs w:val="36"/>
        </w:rPr>
        <w:t>Diabetes in pregnancy - includes pre-existing and gestational diabetes</w:t>
      </w:r>
    </w:p>
    <w:tbl>
      <w:tblPr>
        <w:tblpPr w:leftFromText="180" w:rightFromText="180" w:vertAnchor="text" w:horzAnchor="margin" w:tblpY="181"/>
        <w:tblW w:w="9158" w:type="dxa"/>
        <w:tblLook w:val="0000" w:firstRow="0" w:lastRow="0" w:firstColumn="0" w:lastColumn="0" w:noHBand="0" w:noVBand="0"/>
      </w:tblPr>
      <w:tblGrid>
        <w:gridCol w:w="9158"/>
      </w:tblGrid>
      <w:tr w:rsidR="00C91EFA" w:rsidRPr="00CD1C0E" w14:paraId="279974D4" w14:textId="77777777" w:rsidTr="00B3038D">
        <w:trPr>
          <w:cantSplit/>
          <w:trHeight w:val="285"/>
        </w:trPr>
        <w:tc>
          <w:tcPr>
            <w:tcW w:w="9158" w:type="dxa"/>
            <w:shd w:val="clear" w:color="auto" w:fill="D9D9D9" w:themeFill="background1" w:themeFillShade="D9"/>
          </w:tcPr>
          <w:p w14:paraId="24172955" w14:textId="77777777" w:rsidR="00C91EFA" w:rsidRPr="00CD1C0E" w:rsidRDefault="00C91EFA" w:rsidP="00B3038D">
            <w:bookmarkStart w:id="0" w:name="_Toc389473273"/>
            <w:bookmarkStart w:id="1" w:name="_Toc393203330"/>
            <w:bookmarkStart w:id="2" w:name="Contents"/>
            <w:r w:rsidRPr="00CD1C0E">
              <w:t>Contents</w:t>
            </w:r>
            <w:bookmarkEnd w:id="0"/>
            <w:bookmarkEnd w:id="1"/>
            <w:bookmarkEnd w:id="2"/>
          </w:p>
        </w:tc>
      </w:tr>
    </w:tbl>
    <w:p w14:paraId="45239F6A" w14:textId="77777777" w:rsidR="00C91EFA" w:rsidRDefault="00C91EFA" w:rsidP="00C91EFA"/>
    <w:p w14:paraId="02A77A68" w14:textId="77777777" w:rsidR="00C91EFA" w:rsidRDefault="00C91EFA" w:rsidP="00C91EFA">
      <w:pPr>
        <w:pStyle w:val="TOC1"/>
        <w:tabs>
          <w:tab w:val="right" w:leader="dot" w:pos="9060"/>
        </w:tabs>
        <w:rPr>
          <w:rFonts w:eastAsiaTheme="minorEastAsia" w:cstheme="minorBidi"/>
          <w:noProof/>
          <w:sz w:val="22"/>
          <w:szCs w:val="22"/>
          <w:lang w:eastAsia="en-AU"/>
        </w:rPr>
      </w:pPr>
      <w:r>
        <w:rPr>
          <w:rFonts w:cs="Arial"/>
          <w:b/>
          <w:sz w:val="36"/>
          <w:szCs w:val="36"/>
        </w:rPr>
        <w:fldChar w:fldCharType="begin"/>
      </w:r>
      <w:r>
        <w:rPr>
          <w:rFonts w:cs="Arial"/>
          <w:b/>
          <w:sz w:val="36"/>
          <w:szCs w:val="36"/>
        </w:rPr>
        <w:instrText xml:space="preserve"> TOC \h \z \t "Heading 1,1,Heading 2,2" </w:instrText>
      </w:r>
      <w:r>
        <w:rPr>
          <w:rFonts w:cs="Arial"/>
          <w:b/>
          <w:sz w:val="36"/>
          <w:szCs w:val="36"/>
        </w:rPr>
        <w:fldChar w:fldCharType="separate"/>
      </w:r>
      <w:hyperlink w:anchor="_Toc126585722" w:history="1">
        <w:r w:rsidRPr="00703AAA">
          <w:rPr>
            <w:rStyle w:val="Hyperlink"/>
            <w:noProof/>
          </w:rPr>
          <w:t>Guideline Statement</w:t>
        </w:r>
        <w:r>
          <w:rPr>
            <w:noProof/>
            <w:webHidden/>
          </w:rPr>
          <w:tab/>
        </w:r>
        <w:r>
          <w:rPr>
            <w:noProof/>
            <w:webHidden/>
          </w:rPr>
          <w:fldChar w:fldCharType="begin"/>
        </w:r>
        <w:r>
          <w:rPr>
            <w:noProof/>
            <w:webHidden/>
          </w:rPr>
          <w:instrText xml:space="preserve"> PAGEREF _Toc126585722 \h </w:instrText>
        </w:r>
        <w:r>
          <w:rPr>
            <w:noProof/>
            <w:webHidden/>
          </w:rPr>
        </w:r>
        <w:r>
          <w:rPr>
            <w:noProof/>
            <w:webHidden/>
          </w:rPr>
          <w:fldChar w:fldCharType="separate"/>
        </w:r>
        <w:r>
          <w:rPr>
            <w:noProof/>
            <w:webHidden/>
          </w:rPr>
          <w:t>2</w:t>
        </w:r>
        <w:r>
          <w:rPr>
            <w:noProof/>
            <w:webHidden/>
          </w:rPr>
          <w:fldChar w:fldCharType="end"/>
        </w:r>
      </w:hyperlink>
    </w:p>
    <w:p w14:paraId="6E0F9389" w14:textId="77777777" w:rsidR="00C91EFA" w:rsidRDefault="00C91EFA" w:rsidP="00C91EFA">
      <w:pPr>
        <w:pStyle w:val="TOC1"/>
        <w:tabs>
          <w:tab w:val="right" w:leader="dot" w:pos="9060"/>
        </w:tabs>
        <w:rPr>
          <w:rFonts w:eastAsiaTheme="minorEastAsia" w:cstheme="minorBidi"/>
          <w:noProof/>
          <w:sz w:val="22"/>
          <w:szCs w:val="22"/>
          <w:lang w:eastAsia="en-AU"/>
        </w:rPr>
      </w:pPr>
      <w:hyperlink w:anchor="_Toc126585723" w:history="1">
        <w:r w:rsidRPr="00703AAA">
          <w:rPr>
            <w:rStyle w:val="Hyperlink"/>
            <w:noProof/>
          </w:rPr>
          <w:t>Scope</w:t>
        </w:r>
        <w:r>
          <w:rPr>
            <w:noProof/>
            <w:webHidden/>
          </w:rPr>
          <w:tab/>
        </w:r>
        <w:r>
          <w:rPr>
            <w:noProof/>
            <w:webHidden/>
          </w:rPr>
          <w:fldChar w:fldCharType="begin"/>
        </w:r>
        <w:r>
          <w:rPr>
            <w:noProof/>
            <w:webHidden/>
          </w:rPr>
          <w:instrText xml:space="preserve"> PAGEREF _Toc126585723 \h </w:instrText>
        </w:r>
        <w:r>
          <w:rPr>
            <w:noProof/>
            <w:webHidden/>
          </w:rPr>
        </w:r>
        <w:r>
          <w:rPr>
            <w:noProof/>
            <w:webHidden/>
          </w:rPr>
          <w:fldChar w:fldCharType="separate"/>
        </w:r>
        <w:r>
          <w:rPr>
            <w:noProof/>
            <w:webHidden/>
          </w:rPr>
          <w:t>2</w:t>
        </w:r>
        <w:r>
          <w:rPr>
            <w:noProof/>
            <w:webHidden/>
          </w:rPr>
          <w:fldChar w:fldCharType="end"/>
        </w:r>
      </w:hyperlink>
    </w:p>
    <w:p w14:paraId="669BF1F8" w14:textId="77777777" w:rsidR="00C91EFA" w:rsidRDefault="00C91EFA" w:rsidP="00C91EFA">
      <w:pPr>
        <w:pStyle w:val="TOC1"/>
        <w:tabs>
          <w:tab w:val="right" w:leader="dot" w:pos="9060"/>
        </w:tabs>
        <w:rPr>
          <w:rFonts w:eastAsiaTheme="minorEastAsia" w:cstheme="minorBidi"/>
          <w:noProof/>
          <w:sz w:val="22"/>
          <w:szCs w:val="22"/>
          <w:lang w:eastAsia="en-AU"/>
        </w:rPr>
      </w:pPr>
      <w:hyperlink w:anchor="_Toc126585724" w:history="1">
        <w:r w:rsidRPr="00703AAA">
          <w:rPr>
            <w:rStyle w:val="Hyperlink"/>
            <w:noProof/>
          </w:rPr>
          <w:t>Section 1 - GDM screening and diagnosis</w:t>
        </w:r>
        <w:r>
          <w:rPr>
            <w:noProof/>
            <w:webHidden/>
          </w:rPr>
          <w:tab/>
        </w:r>
        <w:r>
          <w:rPr>
            <w:noProof/>
            <w:webHidden/>
          </w:rPr>
          <w:fldChar w:fldCharType="begin"/>
        </w:r>
        <w:r>
          <w:rPr>
            <w:noProof/>
            <w:webHidden/>
          </w:rPr>
          <w:instrText xml:space="preserve"> PAGEREF _Toc126585724 \h </w:instrText>
        </w:r>
        <w:r>
          <w:rPr>
            <w:noProof/>
            <w:webHidden/>
          </w:rPr>
        </w:r>
        <w:r>
          <w:rPr>
            <w:noProof/>
            <w:webHidden/>
          </w:rPr>
          <w:fldChar w:fldCharType="separate"/>
        </w:r>
        <w:r>
          <w:rPr>
            <w:noProof/>
            <w:webHidden/>
          </w:rPr>
          <w:t>3</w:t>
        </w:r>
        <w:r>
          <w:rPr>
            <w:noProof/>
            <w:webHidden/>
          </w:rPr>
          <w:fldChar w:fldCharType="end"/>
        </w:r>
      </w:hyperlink>
    </w:p>
    <w:p w14:paraId="079EA9F6" w14:textId="77777777" w:rsidR="00C91EFA" w:rsidRDefault="00C91EFA" w:rsidP="00C91EFA">
      <w:pPr>
        <w:pStyle w:val="TOC1"/>
        <w:tabs>
          <w:tab w:val="right" w:leader="dot" w:pos="9060"/>
        </w:tabs>
        <w:rPr>
          <w:rFonts w:eastAsiaTheme="minorEastAsia" w:cstheme="minorBidi"/>
          <w:noProof/>
          <w:sz w:val="22"/>
          <w:szCs w:val="22"/>
          <w:lang w:eastAsia="en-AU"/>
        </w:rPr>
      </w:pPr>
      <w:hyperlink w:anchor="_Toc126585725" w:history="1">
        <w:r w:rsidRPr="00703AAA">
          <w:rPr>
            <w:rStyle w:val="Hyperlink"/>
            <w:noProof/>
          </w:rPr>
          <w:t>Section 2 - Early screening for GDM</w:t>
        </w:r>
        <w:r>
          <w:rPr>
            <w:noProof/>
            <w:webHidden/>
          </w:rPr>
          <w:tab/>
        </w:r>
        <w:r>
          <w:rPr>
            <w:noProof/>
            <w:webHidden/>
          </w:rPr>
          <w:fldChar w:fldCharType="begin"/>
        </w:r>
        <w:r>
          <w:rPr>
            <w:noProof/>
            <w:webHidden/>
          </w:rPr>
          <w:instrText xml:space="preserve"> PAGEREF _Toc126585725 \h </w:instrText>
        </w:r>
        <w:r>
          <w:rPr>
            <w:noProof/>
            <w:webHidden/>
          </w:rPr>
        </w:r>
        <w:r>
          <w:rPr>
            <w:noProof/>
            <w:webHidden/>
          </w:rPr>
          <w:fldChar w:fldCharType="separate"/>
        </w:r>
        <w:r>
          <w:rPr>
            <w:noProof/>
            <w:webHidden/>
          </w:rPr>
          <w:t>4</w:t>
        </w:r>
        <w:r>
          <w:rPr>
            <w:noProof/>
            <w:webHidden/>
          </w:rPr>
          <w:fldChar w:fldCharType="end"/>
        </w:r>
      </w:hyperlink>
    </w:p>
    <w:p w14:paraId="6CEB074C" w14:textId="77777777" w:rsidR="00C91EFA" w:rsidRDefault="00C91EFA" w:rsidP="00C91EFA">
      <w:pPr>
        <w:pStyle w:val="TOC1"/>
        <w:tabs>
          <w:tab w:val="right" w:leader="dot" w:pos="9060"/>
        </w:tabs>
        <w:rPr>
          <w:rFonts w:eastAsiaTheme="minorEastAsia" w:cstheme="minorBidi"/>
          <w:noProof/>
          <w:sz w:val="22"/>
          <w:szCs w:val="22"/>
          <w:lang w:eastAsia="en-AU"/>
        </w:rPr>
      </w:pPr>
      <w:hyperlink w:anchor="_Toc126585726" w:history="1">
        <w:r w:rsidRPr="00703AAA">
          <w:rPr>
            <w:rStyle w:val="Hyperlink"/>
            <w:noProof/>
          </w:rPr>
          <w:t xml:space="preserve">Section 3 - </w:t>
        </w:r>
        <w:r w:rsidRPr="00703AAA">
          <w:rPr>
            <w:rStyle w:val="Hyperlink"/>
            <w:noProof/>
            <w:lang w:val="en-US"/>
          </w:rPr>
          <w:t>Referral to Diabetes Service</w:t>
        </w:r>
        <w:r>
          <w:rPr>
            <w:noProof/>
            <w:webHidden/>
          </w:rPr>
          <w:tab/>
        </w:r>
        <w:r>
          <w:rPr>
            <w:noProof/>
            <w:webHidden/>
          </w:rPr>
          <w:fldChar w:fldCharType="begin"/>
        </w:r>
        <w:r>
          <w:rPr>
            <w:noProof/>
            <w:webHidden/>
          </w:rPr>
          <w:instrText xml:space="preserve"> PAGEREF _Toc126585726 \h </w:instrText>
        </w:r>
        <w:r>
          <w:rPr>
            <w:noProof/>
            <w:webHidden/>
          </w:rPr>
        </w:r>
        <w:r>
          <w:rPr>
            <w:noProof/>
            <w:webHidden/>
          </w:rPr>
          <w:fldChar w:fldCharType="separate"/>
        </w:r>
        <w:r>
          <w:rPr>
            <w:noProof/>
            <w:webHidden/>
          </w:rPr>
          <w:t>5</w:t>
        </w:r>
        <w:r>
          <w:rPr>
            <w:noProof/>
            <w:webHidden/>
          </w:rPr>
          <w:fldChar w:fldCharType="end"/>
        </w:r>
      </w:hyperlink>
    </w:p>
    <w:p w14:paraId="0F83F303" w14:textId="77777777" w:rsidR="00C91EFA" w:rsidRDefault="00C91EFA" w:rsidP="00C91EFA">
      <w:pPr>
        <w:pStyle w:val="TOC1"/>
        <w:tabs>
          <w:tab w:val="right" w:leader="dot" w:pos="9060"/>
        </w:tabs>
        <w:rPr>
          <w:rFonts w:eastAsiaTheme="minorEastAsia" w:cstheme="minorBidi"/>
          <w:noProof/>
          <w:sz w:val="22"/>
          <w:szCs w:val="22"/>
          <w:lang w:eastAsia="en-AU"/>
        </w:rPr>
      </w:pPr>
      <w:hyperlink w:anchor="_Toc126585727" w:history="1">
        <w:r w:rsidRPr="00703AAA">
          <w:rPr>
            <w:rStyle w:val="Hyperlink"/>
            <w:noProof/>
          </w:rPr>
          <w:t>Section 4 - Monitoring glucose levels</w:t>
        </w:r>
        <w:r>
          <w:rPr>
            <w:noProof/>
            <w:webHidden/>
          </w:rPr>
          <w:tab/>
        </w:r>
        <w:r>
          <w:rPr>
            <w:noProof/>
            <w:webHidden/>
          </w:rPr>
          <w:fldChar w:fldCharType="begin"/>
        </w:r>
        <w:r>
          <w:rPr>
            <w:noProof/>
            <w:webHidden/>
          </w:rPr>
          <w:instrText xml:space="preserve"> PAGEREF _Toc126585727 \h </w:instrText>
        </w:r>
        <w:r>
          <w:rPr>
            <w:noProof/>
            <w:webHidden/>
          </w:rPr>
        </w:r>
        <w:r>
          <w:rPr>
            <w:noProof/>
            <w:webHidden/>
          </w:rPr>
          <w:fldChar w:fldCharType="separate"/>
        </w:r>
        <w:r>
          <w:rPr>
            <w:noProof/>
            <w:webHidden/>
          </w:rPr>
          <w:t>5</w:t>
        </w:r>
        <w:r>
          <w:rPr>
            <w:noProof/>
            <w:webHidden/>
          </w:rPr>
          <w:fldChar w:fldCharType="end"/>
        </w:r>
      </w:hyperlink>
    </w:p>
    <w:p w14:paraId="540E6C11" w14:textId="77777777" w:rsidR="00C91EFA" w:rsidRDefault="00C91EFA" w:rsidP="00C91EFA">
      <w:pPr>
        <w:pStyle w:val="TOC1"/>
        <w:tabs>
          <w:tab w:val="right" w:leader="dot" w:pos="9060"/>
        </w:tabs>
        <w:rPr>
          <w:rFonts w:eastAsiaTheme="minorEastAsia" w:cstheme="minorBidi"/>
          <w:noProof/>
          <w:sz w:val="22"/>
          <w:szCs w:val="22"/>
          <w:lang w:eastAsia="en-AU"/>
        </w:rPr>
      </w:pPr>
      <w:hyperlink w:anchor="_Toc126585728" w:history="1">
        <w:r w:rsidRPr="00703AAA">
          <w:rPr>
            <w:rStyle w:val="Hyperlink"/>
            <w:noProof/>
          </w:rPr>
          <w:t>Section 5 - Pregnancy care for GDM not requiring medication</w:t>
        </w:r>
        <w:r>
          <w:rPr>
            <w:noProof/>
            <w:webHidden/>
          </w:rPr>
          <w:tab/>
        </w:r>
        <w:r>
          <w:rPr>
            <w:noProof/>
            <w:webHidden/>
          </w:rPr>
          <w:fldChar w:fldCharType="begin"/>
        </w:r>
        <w:r>
          <w:rPr>
            <w:noProof/>
            <w:webHidden/>
          </w:rPr>
          <w:instrText xml:space="preserve"> PAGEREF _Toc126585728 \h </w:instrText>
        </w:r>
        <w:r>
          <w:rPr>
            <w:noProof/>
            <w:webHidden/>
          </w:rPr>
        </w:r>
        <w:r>
          <w:rPr>
            <w:noProof/>
            <w:webHidden/>
          </w:rPr>
          <w:fldChar w:fldCharType="separate"/>
        </w:r>
        <w:r>
          <w:rPr>
            <w:noProof/>
            <w:webHidden/>
          </w:rPr>
          <w:t>6</w:t>
        </w:r>
        <w:r>
          <w:rPr>
            <w:noProof/>
            <w:webHidden/>
          </w:rPr>
          <w:fldChar w:fldCharType="end"/>
        </w:r>
      </w:hyperlink>
    </w:p>
    <w:p w14:paraId="4854A7EF" w14:textId="77777777" w:rsidR="00C91EFA" w:rsidRDefault="00C91EFA" w:rsidP="00C91EFA">
      <w:pPr>
        <w:pStyle w:val="TOC1"/>
        <w:tabs>
          <w:tab w:val="right" w:leader="dot" w:pos="9060"/>
        </w:tabs>
        <w:rPr>
          <w:rFonts w:eastAsiaTheme="minorEastAsia" w:cstheme="minorBidi"/>
          <w:noProof/>
          <w:sz w:val="22"/>
          <w:szCs w:val="22"/>
          <w:lang w:eastAsia="en-AU"/>
        </w:rPr>
      </w:pPr>
      <w:hyperlink w:anchor="_Toc126585729" w:history="1">
        <w:r w:rsidRPr="00703AAA">
          <w:rPr>
            <w:rStyle w:val="Hyperlink"/>
            <w:noProof/>
          </w:rPr>
          <w:t>Section 6 - Commencing insulin therapy for management of GDM</w:t>
        </w:r>
        <w:r>
          <w:rPr>
            <w:noProof/>
            <w:webHidden/>
          </w:rPr>
          <w:tab/>
        </w:r>
        <w:r>
          <w:rPr>
            <w:noProof/>
            <w:webHidden/>
          </w:rPr>
          <w:fldChar w:fldCharType="begin"/>
        </w:r>
        <w:r>
          <w:rPr>
            <w:noProof/>
            <w:webHidden/>
          </w:rPr>
          <w:instrText xml:space="preserve"> PAGEREF _Toc126585729 \h </w:instrText>
        </w:r>
        <w:r>
          <w:rPr>
            <w:noProof/>
            <w:webHidden/>
          </w:rPr>
        </w:r>
        <w:r>
          <w:rPr>
            <w:noProof/>
            <w:webHidden/>
          </w:rPr>
          <w:fldChar w:fldCharType="separate"/>
        </w:r>
        <w:r>
          <w:rPr>
            <w:noProof/>
            <w:webHidden/>
          </w:rPr>
          <w:t>7</w:t>
        </w:r>
        <w:r>
          <w:rPr>
            <w:noProof/>
            <w:webHidden/>
          </w:rPr>
          <w:fldChar w:fldCharType="end"/>
        </w:r>
      </w:hyperlink>
    </w:p>
    <w:p w14:paraId="72BB5AE8" w14:textId="77777777" w:rsidR="00C91EFA" w:rsidRDefault="00C91EFA" w:rsidP="00C91EFA">
      <w:pPr>
        <w:pStyle w:val="TOC1"/>
        <w:tabs>
          <w:tab w:val="right" w:leader="dot" w:pos="9060"/>
        </w:tabs>
        <w:rPr>
          <w:rFonts w:eastAsiaTheme="minorEastAsia" w:cstheme="minorBidi"/>
          <w:noProof/>
          <w:sz w:val="22"/>
          <w:szCs w:val="22"/>
          <w:lang w:eastAsia="en-AU"/>
        </w:rPr>
      </w:pPr>
      <w:hyperlink w:anchor="_Toc126585730" w:history="1">
        <w:r w:rsidRPr="00703AAA">
          <w:rPr>
            <w:rStyle w:val="Hyperlink"/>
            <w:noProof/>
          </w:rPr>
          <w:t>Section 7 - Considerations for patients with Pre-existing DM</w:t>
        </w:r>
        <w:r>
          <w:rPr>
            <w:noProof/>
            <w:webHidden/>
          </w:rPr>
          <w:tab/>
        </w:r>
        <w:r>
          <w:rPr>
            <w:noProof/>
            <w:webHidden/>
          </w:rPr>
          <w:fldChar w:fldCharType="begin"/>
        </w:r>
        <w:r>
          <w:rPr>
            <w:noProof/>
            <w:webHidden/>
          </w:rPr>
          <w:instrText xml:space="preserve"> PAGEREF _Toc126585730 \h </w:instrText>
        </w:r>
        <w:r>
          <w:rPr>
            <w:noProof/>
            <w:webHidden/>
          </w:rPr>
        </w:r>
        <w:r>
          <w:rPr>
            <w:noProof/>
            <w:webHidden/>
          </w:rPr>
          <w:fldChar w:fldCharType="separate"/>
        </w:r>
        <w:r>
          <w:rPr>
            <w:noProof/>
            <w:webHidden/>
          </w:rPr>
          <w:t>8</w:t>
        </w:r>
        <w:r>
          <w:rPr>
            <w:noProof/>
            <w:webHidden/>
          </w:rPr>
          <w:fldChar w:fldCharType="end"/>
        </w:r>
      </w:hyperlink>
    </w:p>
    <w:p w14:paraId="189B6361" w14:textId="77777777" w:rsidR="00C91EFA" w:rsidRDefault="00C91EFA" w:rsidP="00C91EFA">
      <w:pPr>
        <w:pStyle w:val="TOC1"/>
        <w:tabs>
          <w:tab w:val="right" w:leader="dot" w:pos="9060"/>
        </w:tabs>
        <w:rPr>
          <w:rFonts w:eastAsiaTheme="minorEastAsia" w:cstheme="minorBidi"/>
          <w:noProof/>
          <w:sz w:val="22"/>
          <w:szCs w:val="22"/>
          <w:lang w:eastAsia="en-AU"/>
        </w:rPr>
      </w:pPr>
      <w:hyperlink w:anchor="_Toc126585731" w:history="1">
        <w:r w:rsidRPr="00703AAA">
          <w:rPr>
            <w:rStyle w:val="Hyperlink"/>
            <w:noProof/>
          </w:rPr>
          <w:t xml:space="preserve">Section 8 - </w:t>
        </w:r>
        <w:r w:rsidRPr="00703AAA">
          <w:rPr>
            <w:rStyle w:val="Hyperlink"/>
            <w:noProof/>
            <w:spacing w:val="-1"/>
          </w:rPr>
          <w:t xml:space="preserve">Use </w:t>
        </w:r>
        <w:r w:rsidRPr="00703AAA">
          <w:rPr>
            <w:rStyle w:val="Hyperlink"/>
            <w:noProof/>
          </w:rPr>
          <w:t>of</w:t>
        </w:r>
        <w:r w:rsidRPr="00703AAA">
          <w:rPr>
            <w:rStyle w:val="Hyperlink"/>
            <w:noProof/>
            <w:spacing w:val="-1"/>
          </w:rPr>
          <w:t xml:space="preserve"> Patient</w:t>
        </w:r>
        <w:r w:rsidRPr="00703AAA">
          <w:rPr>
            <w:rStyle w:val="Hyperlink"/>
            <w:noProof/>
          </w:rPr>
          <w:t xml:space="preserve"> C</w:t>
        </w:r>
        <w:r w:rsidRPr="00703AAA">
          <w:rPr>
            <w:rStyle w:val="Hyperlink"/>
            <w:noProof/>
            <w:spacing w:val="-1"/>
          </w:rPr>
          <w:t>ontrolled Subcutaneous Insulin Pumps in Hospital</w:t>
        </w:r>
        <w:r>
          <w:rPr>
            <w:noProof/>
            <w:webHidden/>
          </w:rPr>
          <w:tab/>
        </w:r>
        <w:r>
          <w:rPr>
            <w:noProof/>
            <w:webHidden/>
          </w:rPr>
          <w:fldChar w:fldCharType="begin"/>
        </w:r>
        <w:r>
          <w:rPr>
            <w:noProof/>
            <w:webHidden/>
          </w:rPr>
          <w:instrText xml:space="preserve"> PAGEREF _Toc126585731 \h </w:instrText>
        </w:r>
        <w:r>
          <w:rPr>
            <w:noProof/>
            <w:webHidden/>
          </w:rPr>
        </w:r>
        <w:r>
          <w:rPr>
            <w:noProof/>
            <w:webHidden/>
          </w:rPr>
          <w:fldChar w:fldCharType="separate"/>
        </w:r>
        <w:r>
          <w:rPr>
            <w:noProof/>
            <w:webHidden/>
          </w:rPr>
          <w:t>10</w:t>
        </w:r>
        <w:r>
          <w:rPr>
            <w:noProof/>
            <w:webHidden/>
          </w:rPr>
          <w:fldChar w:fldCharType="end"/>
        </w:r>
      </w:hyperlink>
    </w:p>
    <w:p w14:paraId="1C4045B3" w14:textId="77777777" w:rsidR="00C91EFA" w:rsidRDefault="00C91EFA" w:rsidP="00C91EFA">
      <w:pPr>
        <w:pStyle w:val="TOC1"/>
        <w:tabs>
          <w:tab w:val="right" w:leader="dot" w:pos="9060"/>
        </w:tabs>
        <w:rPr>
          <w:rFonts w:eastAsiaTheme="minorEastAsia" w:cstheme="minorBidi"/>
          <w:noProof/>
          <w:sz w:val="22"/>
          <w:szCs w:val="22"/>
          <w:lang w:eastAsia="en-AU"/>
        </w:rPr>
      </w:pPr>
      <w:hyperlink w:anchor="_Toc126585732" w:history="1">
        <w:r w:rsidRPr="00703AAA">
          <w:rPr>
            <w:rStyle w:val="Hyperlink"/>
            <w:noProof/>
          </w:rPr>
          <w:t xml:space="preserve">Section 9 - </w:t>
        </w:r>
        <w:r w:rsidRPr="00703AAA">
          <w:rPr>
            <w:rStyle w:val="Hyperlink"/>
            <w:noProof/>
            <w:lang w:val="en-US"/>
          </w:rPr>
          <w:t>Hypoglycaemia management</w:t>
        </w:r>
        <w:r>
          <w:rPr>
            <w:noProof/>
            <w:webHidden/>
          </w:rPr>
          <w:tab/>
        </w:r>
        <w:r>
          <w:rPr>
            <w:noProof/>
            <w:webHidden/>
          </w:rPr>
          <w:fldChar w:fldCharType="begin"/>
        </w:r>
        <w:r>
          <w:rPr>
            <w:noProof/>
            <w:webHidden/>
          </w:rPr>
          <w:instrText xml:space="preserve"> PAGEREF _Toc126585732 \h </w:instrText>
        </w:r>
        <w:r>
          <w:rPr>
            <w:noProof/>
            <w:webHidden/>
          </w:rPr>
        </w:r>
        <w:r>
          <w:rPr>
            <w:noProof/>
            <w:webHidden/>
          </w:rPr>
          <w:fldChar w:fldCharType="separate"/>
        </w:r>
        <w:r>
          <w:rPr>
            <w:noProof/>
            <w:webHidden/>
          </w:rPr>
          <w:t>11</w:t>
        </w:r>
        <w:r>
          <w:rPr>
            <w:noProof/>
            <w:webHidden/>
          </w:rPr>
          <w:fldChar w:fldCharType="end"/>
        </w:r>
      </w:hyperlink>
    </w:p>
    <w:p w14:paraId="68BEA61D" w14:textId="77777777" w:rsidR="00C91EFA" w:rsidRDefault="00C91EFA" w:rsidP="00C91EFA">
      <w:pPr>
        <w:pStyle w:val="TOC1"/>
        <w:tabs>
          <w:tab w:val="right" w:leader="dot" w:pos="9060"/>
        </w:tabs>
        <w:rPr>
          <w:rFonts w:eastAsiaTheme="minorEastAsia" w:cstheme="minorBidi"/>
          <w:noProof/>
          <w:sz w:val="22"/>
          <w:szCs w:val="22"/>
          <w:lang w:eastAsia="en-AU"/>
        </w:rPr>
      </w:pPr>
      <w:hyperlink w:anchor="_Toc126585733" w:history="1">
        <w:r w:rsidRPr="00703AAA">
          <w:rPr>
            <w:rStyle w:val="Hyperlink"/>
            <w:noProof/>
          </w:rPr>
          <w:t xml:space="preserve">Section 10 - </w:t>
        </w:r>
        <w:r w:rsidRPr="00703AAA">
          <w:rPr>
            <w:rStyle w:val="Hyperlink"/>
            <w:noProof/>
            <w:lang w:val="en-US"/>
          </w:rPr>
          <w:t>Diabetic ketoacidosis (DKA) management</w:t>
        </w:r>
        <w:r>
          <w:rPr>
            <w:noProof/>
            <w:webHidden/>
          </w:rPr>
          <w:tab/>
        </w:r>
        <w:r>
          <w:rPr>
            <w:noProof/>
            <w:webHidden/>
          </w:rPr>
          <w:fldChar w:fldCharType="begin"/>
        </w:r>
        <w:r>
          <w:rPr>
            <w:noProof/>
            <w:webHidden/>
          </w:rPr>
          <w:instrText xml:space="preserve"> PAGEREF _Toc126585733 \h </w:instrText>
        </w:r>
        <w:r>
          <w:rPr>
            <w:noProof/>
            <w:webHidden/>
          </w:rPr>
        </w:r>
        <w:r>
          <w:rPr>
            <w:noProof/>
            <w:webHidden/>
          </w:rPr>
          <w:fldChar w:fldCharType="separate"/>
        </w:r>
        <w:r>
          <w:rPr>
            <w:noProof/>
            <w:webHidden/>
          </w:rPr>
          <w:t>11</w:t>
        </w:r>
        <w:r>
          <w:rPr>
            <w:noProof/>
            <w:webHidden/>
          </w:rPr>
          <w:fldChar w:fldCharType="end"/>
        </w:r>
      </w:hyperlink>
    </w:p>
    <w:p w14:paraId="74F78850" w14:textId="77777777" w:rsidR="00C91EFA" w:rsidRDefault="00C91EFA" w:rsidP="00C91EFA">
      <w:pPr>
        <w:pStyle w:val="TOC1"/>
        <w:tabs>
          <w:tab w:val="right" w:leader="dot" w:pos="9060"/>
        </w:tabs>
        <w:rPr>
          <w:rFonts w:eastAsiaTheme="minorEastAsia" w:cstheme="minorBidi"/>
          <w:noProof/>
          <w:sz w:val="22"/>
          <w:szCs w:val="22"/>
          <w:lang w:eastAsia="en-AU"/>
        </w:rPr>
      </w:pPr>
      <w:hyperlink w:anchor="_Toc126585734" w:history="1">
        <w:r w:rsidRPr="00703AAA">
          <w:rPr>
            <w:rStyle w:val="Hyperlink"/>
            <w:noProof/>
          </w:rPr>
          <w:t>Section 11 - Mode and Timing of Birth</w:t>
        </w:r>
        <w:r>
          <w:rPr>
            <w:noProof/>
            <w:webHidden/>
          </w:rPr>
          <w:tab/>
        </w:r>
        <w:r>
          <w:rPr>
            <w:noProof/>
            <w:webHidden/>
          </w:rPr>
          <w:fldChar w:fldCharType="begin"/>
        </w:r>
        <w:r>
          <w:rPr>
            <w:noProof/>
            <w:webHidden/>
          </w:rPr>
          <w:instrText xml:space="preserve"> PAGEREF _Toc126585734 \h </w:instrText>
        </w:r>
        <w:r>
          <w:rPr>
            <w:noProof/>
            <w:webHidden/>
          </w:rPr>
        </w:r>
        <w:r>
          <w:rPr>
            <w:noProof/>
            <w:webHidden/>
          </w:rPr>
          <w:fldChar w:fldCharType="separate"/>
        </w:r>
        <w:r>
          <w:rPr>
            <w:noProof/>
            <w:webHidden/>
          </w:rPr>
          <w:t>13</w:t>
        </w:r>
        <w:r>
          <w:rPr>
            <w:noProof/>
            <w:webHidden/>
          </w:rPr>
          <w:fldChar w:fldCharType="end"/>
        </w:r>
      </w:hyperlink>
    </w:p>
    <w:p w14:paraId="573566D6" w14:textId="77777777" w:rsidR="00C91EFA" w:rsidRDefault="00C91EFA" w:rsidP="00C91EFA">
      <w:pPr>
        <w:pStyle w:val="TOC1"/>
        <w:tabs>
          <w:tab w:val="right" w:leader="dot" w:pos="9060"/>
        </w:tabs>
        <w:rPr>
          <w:rFonts w:eastAsiaTheme="minorEastAsia" w:cstheme="minorBidi"/>
          <w:noProof/>
          <w:sz w:val="22"/>
          <w:szCs w:val="22"/>
          <w:lang w:eastAsia="en-AU"/>
        </w:rPr>
      </w:pPr>
      <w:hyperlink w:anchor="_Toc126585735" w:history="1">
        <w:r w:rsidRPr="00703AAA">
          <w:rPr>
            <w:rStyle w:val="Hyperlink"/>
            <w:noProof/>
          </w:rPr>
          <w:t>Section 12 - Insulin infusion for birth and postpartum</w:t>
        </w:r>
        <w:r>
          <w:rPr>
            <w:noProof/>
            <w:webHidden/>
          </w:rPr>
          <w:tab/>
        </w:r>
        <w:r>
          <w:rPr>
            <w:noProof/>
            <w:webHidden/>
          </w:rPr>
          <w:fldChar w:fldCharType="begin"/>
        </w:r>
        <w:r>
          <w:rPr>
            <w:noProof/>
            <w:webHidden/>
          </w:rPr>
          <w:instrText xml:space="preserve"> PAGEREF _Toc126585735 \h </w:instrText>
        </w:r>
        <w:r>
          <w:rPr>
            <w:noProof/>
            <w:webHidden/>
          </w:rPr>
        </w:r>
        <w:r>
          <w:rPr>
            <w:noProof/>
            <w:webHidden/>
          </w:rPr>
          <w:fldChar w:fldCharType="separate"/>
        </w:r>
        <w:r>
          <w:rPr>
            <w:noProof/>
            <w:webHidden/>
          </w:rPr>
          <w:t>15</w:t>
        </w:r>
        <w:r>
          <w:rPr>
            <w:noProof/>
            <w:webHidden/>
          </w:rPr>
          <w:fldChar w:fldCharType="end"/>
        </w:r>
      </w:hyperlink>
    </w:p>
    <w:p w14:paraId="36B710A9" w14:textId="77777777" w:rsidR="00C91EFA" w:rsidRDefault="00C91EFA" w:rsidP="00C91EFA">
      <w:pPr>
        <w:pStyle w:val="TOC1"/>
        <w:tabs>
          <w:tab w:val="right" w:leader="dot" w:pos="9060"/>
        </w:tabs>
        <w:rPr>
          <w:rFonts w:eastAsiaTheme="minorEastAsia" w:cstheme="minorBidi"/>
          <w:noProof/>
          <w:sz w:val="22"/>
          <w:szCs w:val="22"/>
          <w:lang w:eastAsia="en-AU"/>
        </w:rPr>
      </w:pPr>
      <w:hyperlink w:anchor="_Toc126585736" w:history="1">
        <w:r w:rsidRPr="00703AAA">
          <w:rPr>
            <w:rStyle w:val="Hyperlink"/>
            <w:noProof/>
          </w:rPr>
          <w:t>Section 13 - Intrapartum management of IRGDM (including IOL and caesarean)</w:t>
        </w:r>
        <w:r>
          <w:rPr>
            <w:noProof/>
            <w:webHidden/>
          </w:rPr>
          <w:tab/>
        </w:r>
        <w:r>
          <w:rPr>
            <w:noProof/>
            <w:webHidden/>
          </w:rPr>
          <w:fldChar w:fldCharType="begin"/>
        </w:r>
        <w:r>
          <w:rPr>
            <w:noProof/>
            <w:webHidden/>
          </w:rPr>
          <w:instrText xml:space="preserve"> PAGEREF _Toc126585736 \h </w:instrText>
        </w:r>
        <w:r>
          <w:rPr>
            <w:noProof/>
            <w:webHidden/>
          </w:rPr>
        </w:r>
        <w:r>
          <w:rPr>
            <w:noProof/>
            <w:webHidden/>
          </w:rPr>
          <w:fldChar w:fldCharType="separate"/>
        </w:r>
        <w:r>
          <w:rPr>
            <w:noProof/>
            <w:webHidden/>
          </w:rPr>
          <w:t>18</w:t>
        </w:r>
        <w:r>
          <w:rPr>
            <w:noProof/>
            <w:webHidden/>
          </w:rPr>
          <w:fldChar w:fldCharType="end"/>
        </w:r>
      </w:hyperlink>
    </w:p>
    <w:p w14:paraId="2806F2F8" w14:textId="77777777" w:rsidR="00C91EFA" w:rsidRDefault="00C91EFA" w:rsidP="00C91EFA">
      <w:pPr>
        <w:pStyle w:val="TOC1"/>
        <w:tabs>
          <w:tab w:val="right" w:leader="dot" w:pos="9060"/>
        </w:tabs>
        <w:rPr>
          <w:rFonts w:eastAsiaTheme="minorEastAsia" w:cstheme="minorBidi"/>
          <w:noProof/>
          <w:sz w:val="22"/>
          <w:szCs w:val="22"/>
          <w:lang w:eastAsia="en-AU"/>
        </w:rPr>
      </w:pPr>
      <w:hyperlink w:anchor="_Toc126585737" w:history="1">
        <w:r w:rsidRPr="00703AAA">
          <w:rPr>
            <w:rStyle w:val="Hyperlink"/>
            <w:noProof/>
          </w:rPr>
          <w:t>Section 14 - Postpartum management for GDM (including IOL and caesarean)</w:t>
        </w:r>
        <w:r>
          <w:rPr>
            <w:noProof/>
            <w:webHidden/>
          </w:rPr>
          <w:tab/>
        </w:r>
        <w:r>
          <w:rPr>
            <w:noProof/>
            <w:webHidden/>
          </w:rPr>
          <w:fldChar w:fldCharType="begin"/>
        </w:r>
        <w:r>
          <w:rPr>
            <w:noProof/>
            <w:webHidden/>
          </w:rPr>
          <w:instrText xml:space="preserve"> PAGEREF _Toc126585737 \h </w:instrText>
        </w:r>
        <w:r>
          <w:rPr>
            <w:noProof/>
            <w:webHidden/>
          </w:rPr>
        </w:r>
        <w:r>
          <w:rPr>
            <w:noProof/>
            <w:webHidden/>
          </w:rPr>
          <w:fldChar w:fldCharType="separate"/>
        </w:r>
        <w:r>
          <w:rPr>
            <w:noProof/>
            <w:webHidden/>
          </w:rPr>
          <w:t>20</w:t>
        </w:r>
        <w:r>
          <w:rPr>
            <w:noProof/>
            <w:webHidden/>
          </w:rPr>
          <w:fldChar w:fldCharType="end"/>
        </w:r>
      </w:hyperlink>
    </w:p>
    <w:p w14:paraId="2DA3EA30" w14:textId="77777777" w:rsidR="00C91EFA" w:rsidRDefault="00C91EFA" w:rsidP="00C91EFA">
      <w:pPr>
        <w:pStyle w:val="TOC1"/>
        <w:tabs>
          <w:tab w:val="right" w:leader="dot" w:pos="9060"/>
        </w:tabs>
        <w:rPr>
          <w:rFonts w:eastAsiaTheme="minorEastAsia" w:cstheme="minorBidi"/>
          <w:noProof/>
          <w:sz w:val="22"/>
          <w:szCs w:val="22"/>
          <w:lang w:eastAsia="en-AU"/>
        </w:rPr>
      </w:pPr>
      <w:hyperlink w:anchor="_Toc126585738" w:history="1">
        <w:r w:rsidRPr="00703AAA">
          <w:rPr>
            <w:rStyle w:val="Hyperlink"/>
            <w:noProof/>
          </w:rPr>
          <w:t>Section 15 - Newborn considerations</w:t>
        </w:r>
        <w:r>
          <w:rPr>
            <w:noProof/>
            <w:webHidden/>
          </w:rPr>
          <w:tab/>
        </w:r>
        <w:r>
          <w:rPr>
            <w:noProof/>
            <w:webHidden/>
          </w:rPr>
          <w:fldChar w:fldCharType="begin"/>
        </w:r>
        <w:r>
          <w:rPr>
            <w:noProof/>
            <w:webHidden/>
          </w:rPr>
          <w:instrText xml:space="preserve"> PAGEREF _Toc126585738 \h </w:instrText>
        </w:r>
        <w:r>
          <w:rPr>
            <w:noProof/>
            <w:webHidden/>
          </w:rPr>
        </w:r>
        <w:r>
          <w:rPr>
            <w:noProof/>
            <w:webHidden/>
          </w:rPr>
          <w:fldChar w:fldCharType="separate"/>
        </w:r>
        <w:r>
          <w:rPr>
            <w:noProof/>
            <w:webHidden/>
          </w:rPr>
          <w:t>20</w:t>
        </w:r>
        <w:r>
          <w:rPr>
            <w:noProof/>
            <w:webHidden/>
          </w:rPr>
          <w:fldChar w:fldCharType="end"/>
        </w:r>
      </w:hyperlink>
    </w:p>
    <w:p w14:paraId="045C01F7" w14:textId="77777777" w:rsidR="00C91EFA" w:rsidRDefault="00C91EFA" w:rsidP="00C91EFA">
      <w:pPr>
        <w:pStyle w:val="TOC1"/>
        <w:tabs>
          <w:tab w:val="right" w:leader="dot" w:pos="9060"/>
        </w:tabs>
        <w:rPr>
          <w:rFonts w:eastAsiaTheme="minorEastAsia" w:cstheme="minorBidi"/>
          <w:noProof/>
          <w:sz w:val="22"/>
          <w:szCs w:val="22"/>
          <w:lang w:eastAsia="en-AU"/>
        </w:rPr>
      </w:pPr>
      <w:hyperlink w:anchor="_Toc126585739" w:history="1">
        <w:r w:rsidRPr="00703AAA">
          <w:rPr>
            <w:rStyle w:val="Hyperlink"/>
            <w:noProof/>
          </w:rPr>
          <w:t>Section 16 - Breastfeeding considerations</w:t>
        </w:r>
        <w:r>
          <w:rPr>
            <w:noProof/>
            <w:webHidden/>
          </w:rPr>
          <w:tab/>
        </w:r>
        <w:r>
          <w:rPr>
            <w:noProof/>
            <w:webHidden/>
          </w:rPr>
          <w:fldChar w:fldCharType="begin"/>
        </w:r>
        <w:r>
          <w:rPr>
            <w:noProof/>
            <w:webHidden/>
          </w:rPr>
          <w:instrText xml:space="preserve"> PAGEREF _Toc126585739 \h </w:instrText>
        </w:r>
        <w:r>
          <w:rPr>
            <w:noProof/>
            <w:webHidden/>
          </w:rPr>
        </w:r>
        <w:r>
          <w:rPr>
            <w:noProof/>
            <w:webHidden/>
          </w:rPr>
          <w:fldChar w:fldCharType="separate"/>
        </w:r>
        <w:r>
          <w:rPr>
            <w:noProof/>
            <w:webHidden/>
          </w:rPr>
          <w:t>21</w:t>
        </w:r>
        <w:r>
          <w:rPr>
            <w:noProof/>
            <w:webHidden/>
          </w:rPr>
          <w:fldChar w:fldCharType="end"/>
        </w:r>
      </w:hyperlink>
    </w:p>
    <w:p w14:paraId="58C421FE" w14:textId="77777777" w:rsidR="00C91EFA" w:rsidRDefault="00C91EFA" w:rsidP="00C91EFA">
      <w:pPr>
        <w:pStyle w:val="TOC1"/>
        <w:tabs>
          <w:tab w:val="right" w:leader="dot" w:pos="9060"/>
        </w:tabs>
        <w:rPr>
          <w:rFonts w:eastAsiaTheme="minorEastAsia" w:cstheme="minorBidi"/>
          <w:noProof/>
          <w:sz w:val="22"/>
          <w:szCs w:val="22"/>
          <w:lang w:eastAsia="en-AU"/>
        </w:rPr>
      </w:pPr>
      <w:hyperlink w:anchor="_Toc126585740" w:history="1">
        <w:r w:rsidRPr="00703AAA">
          <w:rPr>
            <w:rStyle w:val="Hyperlink"/>
            <w:noProof/>
          </w:rPr>
          <w:t>Evaluation</w:t>
        </w:r>
        <w:r>
          <w:rPr>
            <w:noProof/>
            <w:webHidden/>
          </w:rPr>
          <w:tab/>
        </w:r>
        <w:r>
          <w:rPr>
            <w:noProof/>
            <w:webHidden/>
          </w:rPr>
          <w:fldChar w:fldCharType="begin"/>
        </w:r>
        <w:r>
          <w:rPr>
            <w:noProof/>
            <w:webHidden/>
          </w:rPr>
          <w:instrText xml:space="preserve"> PAGEREF _Toc126585740 \h </w:instrText>
        </w:r>
        <w:r>
          <w:rPr>
            <w:noProof/>
            <w:webHidden/>
          </w:rPr>
        </w:r>
        <w:r>
          <w:rPr>
            <w:noProof/>
            <w:webHidden/>
          </w:rPr>
          <w:fldChar w:fldCharType="separate"/>
        </w:r>
        <w:r>
          <w:rPr>
            <w:noProof/>
            <w:webHidden/>
          </w:rPr>
          <w:t>22</w:t>
        </w:r>
        <w:r>
          <w:rPr>
            <w:noProof/>
            <w:webHidden/>
          </w:rPr>
          <w:fldChar w:fldCharType="end"/>
        </w:r>
      </w:hyperlink>
    </w:p>
    <w:p w14:paraId="7758EF20" w14:textId="77777777" w:rsidR="00C91EFA" w:rsidRDefault="00C91EFA" w:rsidP="00C91EFA">
      <w:pPr>
        <w:pStyle w:val="TOC1"/>
        <w:tabs>
          <w:tab w:val="right" w:leader="dot" w:pos="9060"/>
        </w:tabs>
        <w:rPr>
          <w:rFonts w:eastAsiaTheme="minorEastAsia" w:cstheme="minorBidi"/>
          <w:noProof/>
          <w:sz w:val="22"/>
          <w:szCs w:val="22"/>
          <w:lang w:eastAsia="en-AU"/>
        </w:rPr>
      </w:pPr>
      <w:hyperlink w:anchor="_Toc126585741" w:history="1">
        <w:r w:rsidRPr="00703AAA">
          <w:rPr>
            <w:rStyle w:val="Hyperlink"/>
            <w:noProof/>
          </w:rPr>
          <w:t>Related Policies, Procedures, Guidelines and Legislation</w:t>
        </w:r>
        <w:r>
          <w:rPr>
            <w:noProof/>
            <w:webHidden/>
          </w:rPr>
          <w:tab/>
        </w:r>
        <w:r>
          <w:rPr>
            <w:noProof/>
            <w:webHidden/>
          </w:rPr>
          <w:fldChar w:fldCharType="begin"/>
        </w:r>
        <w:r>
          <w:rPr>
            <w:noProof/>
            <w:webHidden/>
          </w:rPr>
          <w:instrText xml:space="preserve"> PAGEREF _Toc126585741 \h </w:instrText>
        </w:r>
        <w:r>
          <w:rPr>
            <w:noProof/>
            <w:webHidden/>
          </w:rPr>
        </w:r>
        <w:r>
          <w:rPr>
            <w:noProof/>
            <w:webHidden/>
          </w:rPr>
          <w:fldChar w:fldCharType="separate"/>
        </w:r>
        <w:r>
          <w:rPr>
            <w:noProof/>
            <w:webHidden/>
          </w:rPr>
          <w:t>22</w:t>
        </w:r>
        <w:r>
          <w:rPr>
            <w:noProof/>
            <w:webHidden/>
          </w:rPr>
          <w:fldChar w:fldCharType="end"/>
        </w:r>
      </w:hyperlink>
    </w:p>
    <w:p w14:paraId="29DAA75F" w14:textId="77777777" w:rsidR="00C91EFA" w:rsidRDefault="00C91EFA" w:rsidP="00C91EFA">
      <w:pPr>
        <w:pStyle w:val="TOC1"/>
        <w:tabs>
          <w:tab w:val="right" w:leader="dot" w:pos="9060"/>
        </w:tabs>
        <w:rPr>
          <w:rFonts w:eastAsiaTheme="minorEastAsia" w:cstheme="minorBidi"/>
          <w:noProof/>
          <w:sz w:val="22"/>
          <w:szCs w:val="22"/>
          <w:lang w:eastAsia="en-AU"/>
        </w:rPr>
      </w:pPr>
      <w:hyperlink w:anchor="_Toc126585742" w:history="1">
        <w:r w:rsidRPr="00703AAA">
          <w:rPr>
            <w:rStyle w:val="Hyperlink"/>
            <w:noProof/>
          </w:rPr>
          <w:t>References</w:t>
        </w:r>
        <w:r>
          <w:rPr>
            <w:noProof/>
            <w:webHidden/>
          </w:rPr>
          <w:tab/>
        </w:r>
        <w:r>
          <w:rPr>
            <w:noProof/>
            <w:webHidden/>
          </w:rPr>
          <w:fldChar w:fldCharType="begin"/>
        </w:r>
        <w:r>
          <w:rPr>
            <w:noProof/>
            <w:webHidden/>
          </w:rPr>
          <w:instrText xml:space="preserve"> PAGEREF _Toc126585742 \h </w:instrText>
        </w:r>
        <w:r>
          <w:rPr>
            <w:noProof/>
            <w:webHidden/>
          </w:rPr>
        </w:r>
        <w:r>
          <w:rPr>
            <w:noProof/>
            <w:webHidden/>
          </w:rPr>
          <w:fldChar w:fldCharType="separate"/>
        </w:r>
        <w:r>
          <w:rPr>
            <w:noProof/>
            <w:webHidden/>
          </w:rPr>
          <w:t>23</w:t>
        </w:r>
        <w:r>
          <w:rPr>
            <w:noProof/>
            <w:webHidden/>
          </w:rPr>
          <w:fldChar w:fldCharType="end"/>
        </w:r>
      </w:hyperlink>
    </w:p>
    <w:p w14:paraId="4453AE05" w14:textId="77777777" w:rsidR="00C91EFA" w:rsidRDefault="00C91EFA" w:rsidP="00C91EFA">
      <w:pPr>
        <w:pStyle w:val="TOC1"/>
        <w:tabs>
          <w:tab w:val="right" w:leader="dot" w:pos="9060"/>
        </w:tabs>
        <w:rPr>
          <w:rFonts w:eastAsiaTheme="minorEastAsia" w:cstheme="minorBidi"/>
          <w:noProof/>
          <w:sz w:val="22"/>
          <w:szCs w:val="22"/>
          <w:lang w:eastAsia="en-AU"/>
        </w:rPr>
      </w:pPr>
      <w:hyperlink w:anchor="_Toc126585743" w:history="1">
        <w:r w:rsidRPr="00703AAA">
          <w:rPr>
            <w:rStyle w:val="Hyperlink"/>
            <w:noProof/>
          </w:rPr>
          <w:t>Definition of Terms</w:t>
        </w:r>
        <w:r>
          <w:rPr>
            <w:noProof/>
            <w:webHidden/>
          </w:rPr>
          <w:tab/>
        </w:r>
        <w:r>
          <w:rPr>
            <w:noProof/>
            <w:webHidden/>
          </w:rPr>
          <w:fldChar w:fldCharType="begin"/>
        </w:r>
        <w:r>
          <w:rPr>
            <w:noProof/>
            <w:webHidden/>
          </w:rPr>
          <w:instrText xml:space="preserve"> PAGEREF _Toc126585743 \h </w:instrText>
        </w:r>
        <w:r>
          <w:rPr>
            <w:noProof/>
            <w:webHidden/>
          </w:rPr>
        </w:r>
        <w:r>
          <w:rPr>
            <w:noProof/>
            <w:webHidden/>
          </w:rPr>
          <w:fldChar w:fldCharType="separate"/>
        </w:r>
        <w:r>
          <w:rPr>
            <w:noProof/>
            <w:webHidden/>
          </w:rPr>
          <w:t>25</w:t>
        </w:r>
        <w:r>
          <w:rPr>
            <w:noProof/>
            <w:webHidden/>
          </w:rPr>
          <w:fldChar w:fldCharType="end"/>
        </w:r>
      </w:hyperlink>
    </w:p>
    <w:p w14:paraId="5947CCBB" w14:textId="77777777" w:rsidR="00C91EFA" w:rsidRDefault="00C91EFA" w:rsidP="00C91EFA">
      <w:pPr>
        <w:pStyle w:val="TOC1"/>
        <w:tabs>
          <w:tab w:val="right" w:leader="dot" w:pos="9060"/>
        </w:tabs>
        <w:rPr>
          <w:rFonts w:eastAsiaTheme="minorEastAsia" w:cstheme="minorBidi"/>
          <w:noProof/>
          <w:sz w:val="22"/>
          <w:szCs w:val="22"/>
          <w:lang w:eastAsia="en-AU"/>
        </w:rPr>
      </w:pPr>
      <w:hyperlink w:anchor="_Toc126585744" w:history="1">
        <w:r w:rsidRPr="00703AAA">
          <w:rPr>
            <w:rStyle w:val="Hyperlink"/>
            <w:noProof/>
          </w:rPr>
          <w:t>Search Terms</w:t>
        </w:r>
        <w:r>
          <w:rPr>
            <w:noProof/>
            <w:webHidden/>
          </w:rPr>
          <w:tab/>
        </w:r>
        <w:r>
          <w:rPr>
            <w:noProof/>
            <w:webHidden/>
          </w:rPr>
          <w:fldChar w:fldCharType="begin"/>
        </w:r>
        <w:r>
          <w:rPr>
            <w:noProof/>
            <w:webHidden/>
          </w:rPr>
          <w:instrText xml:space="preserve"> PAGEREF _Toc126585744 \h </w:instrText>
        </w:r>
        <w:r>
          <w:rPr>
            <w:noProof/>
            <w:webHidden/>
          </w:rPr>
        </w:r>
        <w:r>
          <w:rPr>
            <w:noProof/>
            <w:webHidden/>
          </w:rPr>
          <w:fldChar w:fldCharType="separate"/>
        </w:r>
        <w:r>
          <w:rPr>
            <w:noProof/>
            <w:webHidden/>
          </w:rPr>
          <w:t>25</w:t>
        </w:r>
        <w:r>
          <w:rPr>
            <w:noProof/>
            <w:webHidden/>
          </w:rPr>
          <w:fldChar w:fldCharType="end"/>
        </w:r>
      </w:hyperlink>
    </w:p>
    <w:p w14:paraId="328616BF" w14:textId="77777777" w:rsidR="00C91EFA" w:rsidRDefault="00C91EFA" w:rsidP="00C91EFA">
      <w:pPr>
        <w:pStyle w:val="TOC1"/>
        <w:tabs>
          <w:tab w:val="right" w:leader="dot" w:pos="9060"/>
        </w:tabs>
        <w:rPr>
          <w:rFonts w:eastAsiaTheme="minorEastAsia" w:cstheme="minorBidi"/>
          <w:noProof/>
          <w:sz w:val="22"/>
          <w:szCs w:val="22"/>
          <w:lang w:eastAsia="en-AU"/>
        </w:rPr>
      </w:pPr>
      <w:hyperlink w:anchor="_Toc126585745" w:history="1">
        <w:r w:rsidRPr="00703AAA">
          <w:rPr>
            <w:rStyle w:val="Hyperlink"/>
            <w:noProof/>
          </w:rPr>
          <w:t>Attachments</w:t>
        </w:r>
        <w:r>
          <w:rPr>
            <w:noProof/>
            <w:webHidden/>
          </w:rPr>
          <w:tab/>
        </w:r>
        <w:r>
          <w:rPr>
            <w:noProof/>
            <w:webHidden/>
          </w:rPr>
          <w:fldChar w:fldCharType="begin"/>
        </w:r>
        <w:r>
          <w:rPr>
            <w:noProof/>
            <w:webHidden/>
          </w:rPr>
          <w:instrText xml:space="preserve"> PAGEREF _Toc126585745 \h </w:instrText>
        </w:r>
        <w:r>
          <w:rPr>
            <w:noProof/>
            <w:webHidden/>
          </w:rPr>
        </w:r>
        <w:r>
          <w:rPr>
            <w:noProof/>
            <w:webHidden/>
          </w:rPr>
          <w:fldChar w:fldCharType="separate"/>
        </w:r>
        <w:r>
          <w:rPr>
            <w:noProof/>
            <w:webHidden/>
          </w:rPr>
          <w:t>25</w:t>
        </w:r>
        <w:r>
          <w:rPr>
            <w:noProof/>
            <w:webHidden/>
          </w:rPr>
          <w:fldChar w:fldCharType="end"/>
        </w:r>
      </w:hyperlink>
    </w:p>
    <w:p w14:paraId="5D237E0B" w14:textId="77777777" w:rsidR="00C91EFA" w:rsidRDefault="00C91EFA" w:rsidP="00C91EFA">
      <w:pPr>
        <w:pStyle w:val="TOC2"/>
        <w:tabs>
          <w:tab w:val="right" w:leader="dot" w:pos="9060"/>
        </w:tabs>
        <w:rPr>
          <w:rFonts w:eastAsiaTheme="minorEastAsia" w:cstheme="minorBidi"/>
          <w:noProof/>
          <w:sz w:val="22"/>
          <w:szCs w:val="22"/>
          <w:lang w:eastAsia="en-AU"/>
        </w:rPr>
      </w:pPr>
      <w:hyperlink w:anchor="_Toc126585746" w:history="1">
        <w:r w:rsidRPr="00703AAA">
          <w:rPr>
            <w:rStyle w:val="Hyperlink"/>
            <w:noProof/>
          </w:rPr>
          <w:t>Attachment 1 - Screening and diagnosis of GDM</w:t>
        </w:r>
        <w:r>
          <w:rPr>
            <w:noProof/>
            <w:webHidden/>
          </w:rPr>
          <w:tab/>
        </w:r>
        <w:r>
          <w:rPr>
            <w:noProof/>
            <w:webHidden/>
          </w:rPr>
          <w:fldChar w:fldCharType="begin"/>
        </w:r>
        <w:r>
          <w:rPr>
            <w:noProof/>
            <w:webHidden/>
          </w:rPr>
          <w:instrText xml:space="preserve"> PAGEREF _Toc126585746 \h </w:instrText>
        </w:r>
        <w:r>
          <w:rPr>
            <w:noProof/>
            <w:webHidden/>
          </w:rPr>
        </w:r>
        <w:r>
          <w:rPr>
            <w:noProof/>
            <w:webHidden/>
          </w:rPr>
          <w:fldChar w:fldCharType="separate"/>
        </w:r>
        <w:r>
          <w:rPr>
            <w:noProof/>
            <w:webHidden/>
          </w:rPr>
          <w:t>27</w:t>
        </w:r>
        <w:r>
          <w:rPr>
            <w:noProof/>
            <w:webHidden/>
          </w:rPr>
          <w:fldChar w:fldCharType="end"/>
        </w:r>
      </w:hyperlink>
    </w:p>
    <w:p w14:paraId="35A751F9" w14:textId="77777777" w:rsidR="00C91EFA" w:rsidRDefault="00C91EFA" w:rsidP="00C91EFA">
      <w:pPr>
        <w:pStyle w:val="TOC2"/>
        <w:tabs>
          <w:tab w:val="right" w:leader="dot" w:pos="9060"/>
        </w:tabs>
        <w:rPr>
          <w:rFonts w:eastAsiaTheme="minorEastAsia" w:cstheme="minorBidi"/>
          <w:noProof/>
          <w:sz w:val="22"/>
          <w:szCs w:val="22"/>
          <w:lang w:eastAsia="en-AU"/>
        </w:rPr>
      </w:pPr>
      <w:hyperlink w:anchor="_Toc126585747" w:history="1">
        <w:r w:rsidRPr="00703AAA">
          <w:rPr>
            <w:rStyle w:val="Hyperlink"/>
            <w:noProof/>
          </w:rPr>
          <w:t>Attachment 2 - Mana</w:t>
        </w:r>
        <w:r w:rsidRPr="00703AAA">
          <w:rPr>
            <w:rStyle w:val="Hyperlink"/>
            <w:noProof/>
            <w:spacing w:val="-3"/>
          </w:rPr>
          <w:t>g</w:t>
        </w:r>
        <w:r w:rsidRPr="00703AAA">
          <w:rPr>
            <w:rStyle w:val="Hyperlink"/>
            <w:noProof/>
            <w:spacing w:val="-1"/>
          </w:rPr>
          <w:t>e</w:t>
        </w:r>
        <w:r w:rsidRPr="00703AAA">
          <w:rPr>
            <w:rStyle w:val="Hyperlink"/>
            <w:noProof/>
          </w:rPr>
          <w:t>me</w:t>
        </w:r>
        <w:r w:rsidRPr="00703AAA">
          <w:rPr>
            <w:rStyle w:val="Hyperlink"/>
            <w:noProof/>
            <w:spacing w:val="-3"/>
          </w:rPr>
          <w:t>n</w:t>
        </w:r>
        <w:r w:rsidRPr="00703AAA">
          <w:rPr>
            <w:rStyle w:val="Hyperlink"/>
            <w:noProof/>
          </w:rPr>
          <w:t>t</w:t>
        </w:r>
        <w:r w:rsidRPr="00703AAA">
          <w:rPr>
            <w:rStyle w:val="Hyperlink"/>
            <w:noProof/>
            <w:spacing w:val="28"/>
          </w:rPr>
          <w:t xml:space="preserve"> </w:t>
        </w:r>
        <w:r w:rsidRPr="00703AAA">
          <w:rPr>
            <w:rStyle w:val="Hyperlink"/>
            <w:noProof/>
          </w:rPr>
          <w:t>of</w:t>
        </w:r>
        <w:r w:rsidRPr="00703AAA">
          <w:rPr>
            <w:rStyle w:val="Hyperlink"/>
            <w:noProof/>
            <w:spacing w:val="27"/>
          </w:rPr>
          <w:t xml:space="preserve"> </w:t>
        </w:r>
        <w:r w:rsidRPr="00703AAA">
          <w:rPr>
            <w:rStyle w:val="Hyperlink"/>
            <w:noProof/>
          </w:rPr>
          <w:t>hypoglycaemia</w:t>
        </w:r>
        <w:r>
          <w:rPr>
            <w:noProof/>
            <w:webHidden/>
          </w:rPr>
          <w:tab/>
        </w:r>
        <w:r>
          <w:rPr>
            <w:noProof/>
            <w:webHidden/>
          </w:rPr>
          <w:fldChar w:fldCharType="begin"/>
        </w:r>
        <w:r>
          <w:rPr>
            <w:noProof/>
            <w:webHidden/>
          </w:rPr>
          <w:instrText xml:space="preserve"> PAGEREF _Toc126585747 \h </w:instrText>
        </w:r>
        <w:r>
          <w:rPr>
            <w:noProof/>
            <w:webHidden/>
          </w:rPr>
        </w:r>
        <w:r>
          <w:rPr>
            <w:noProof/>
            <w:webHidden/>
          </w:rPr>
          <w:fldChar w:fldCharType="separate"/>
        </w:r>
        <w:r>
          <w:rPr>
            <w:noProof/>
            <w:webHidden/>
          </w:rPr>
          <w:t>28</w:t>
        </w:r>
        <w:r>
          <w:rPr>
            <w:noProof/>
            <w:webHidden/>
          </w:rPr>
          <w:fldChar w:fldCharType="end"/>
        </w:r>
      </w:hyperlink>
    </w:p>
    <w:p w14:paraId="6F009F76" w14:textId="77777777" w:rsidR="00C91EFA" w:rsidRDefault="00C91EFA" w:rsidP="00C91EFA">
      <w:pPr>
        <w:tabs>
          <w:tab w:val="left" w:pos="6000"/>
        </w:tabs>
      </w:pPr>
      <w:r>
        <w:rPr>
          <w:rFonts w:asciiTheme="minorHAnsi" w:hAnsiTheme="minorHAnsi" w:cs="Arial"/>
          <w:b/>
          <w:sz w:val="36"/>
          <w:szCs w:val="36"/>
        </w:rPr>
        <w:fldChar w:fldCharType="end"/>
      </w:r>
      <w:r>
        <w:rPr>
          <w:rFonts w:asciiTheme="minorHAnsi" w:hAnsiTheme="minorHAnsi" w:cs="Arial"/>
          <w:b/>
          <w:sz w:val="36"/>
          <w:szCs w:val="36"/>
        </w:rPr>
        <w:tab/>
      </w:r>
    </w:p>
    <w:tbl>
      <w:tblPr>
        <w:tblpPr w:leftFromText="180" w:rightFromText="180" w:vertAnchor="text" w:horzAnchor="margin" w:tblpY="181"/>
        <w:tblW w:w="9158" w:type="dxa"/>
        <w:tblLook w:val="0000" w:firstRow="0" w:lastRow="0" w:firstColumn="0" w:lastColumn="0" w:noHBand="0" w:noVBand="0"/>
      </w:tblPr>
      <w:tblGrid>
        <w:gridCol w:w="9158"/>
      </w:tblGrid>
      <w:tr w:rsidR="00C91EFA" w:rsidRPr="001B2BAC" w14:paraId="3EAD89B4" w14:textId="77777777" w:rsidTr="00B3038D">
        <w:trPr>
          <w:cantSplit/>
          <w:trHeight w:val="285"/>
        </w:trPr>
        <w:tc>
          <w:tcPr>
            <w:tcW w:w="9158" w:type="dxa"/>
            <w:shd w:val="clear" w:color="auto" w:fill="D9D9D9" w:themeFill="background1" w:themeFillShade="D9"/>
          </w:tcPr>
          <w:p w14:paraId="05F26230" w14:textId="77777777" w:rsidR="00C91EFA" w:rsidRPr="002E3BFE" w:rsidRDefault="00C91EFA" w:rsidP="00B3038D">
            <w:pPr>
              <w:pStyle w:val="Heading1"/>
            </w:pPr>
            <w:bookmarkStart w:id="3" w:name="_Toc116893326"/>
            <w:bookmarkStart w:id="4" w:name="_Toc126585722"/>
            <w:r>
              <w:lastRenderedPageBreak/>
              <w:t>Guideline Statement</w:t>
            </w:r>
            <w:bookmarkEnd w:id="3"/>
            <w:bookmarkEnd w:id="4"/>
          </w:p>
        </w:tc>
      </w:tr>
    </w:tbl>
    <w:p w14:paraId="2288960F" w14:textId="77777777" w:rsidR="00C91EFA" w:rsidRDefault="00C91EFA" w:rsidP="00C91EFA">
      <w:pPr>
        <w:rPr>
          <w:b/>
          <w:bCs/>
        </w:rPr>
      </w:pPr>
    </w:p>
    <w:p w14:paraId="6CF184DA" w14:textId="77777777" w:rsidR="00C91EFA" w:rsidRPr="00E05035" w:rsidRDefault="00C91EFA" w:rsidP="00C91EFA">
      <w:pPr>
        <w:rPr>
          <w:b/>
          <w:bCs/>
        </w:rPr>
      </w:pPr>
      <w:bookmarkStart w:id="5" w:name="_Hlk124344597"/>
      <w:r w:rsidRPr="00E05035">
        <w:rPr>
          <w:b/>
          <w:bCs/>
        </w:rPr>
        <w:t>Background</w:t>
      </w:r>
    </w:p>
    <w:p w14:paraId="0882A35F" w14:textId="77777777" w:rsidR="00C91EFA" w:rsidRDefault="00C91EFA" w:rsidP="00C91EFA">
      <w:r w:rsidRPr="003C56A2">
        <w:t xml:space="preserve">The purpose of this guideline is to provide clinicians </w:t>
      </w:r>
      <w:r w:rsidRPr="003C56A2">
        <w:rPr>
          <w:lang w:val="en-US"/>
        </w:rPr>
        <w:t xml:space="preserve">who care for </w:t>
      </w:r>
      <w:bookmarkStart w:id="6" w:name="_Hlk110330661"/>
      <w:r w:rsidRPr="003C56A2">
        <w:rPr>
          <w:lang w:val="en-US"/>
        </w:rPr>
        <w:t xml:space="preserve">pregnant </w:t>
      </w:r>
      <w:r>
        <w:rPr>
          <w:lang w:val="en-US"/>
        </w:rPr>
        <w:t>patients</w:t>
      </w:r>
      <w:r w:rsidRPr="003C56A2">
        <w:rPr>
          <w:lang w:val="en-US"/>
        </w:rPr>
        <w:t xml:space="preserve"> with </w:t>
      </w:r>
      <w:r w:rsidRPr="003C56A2">
        <w:t>best practice information</w:t>
      </w:r>
      <w:r>
        <w:t xml:space="preserve"> to effectively manage </w:t>
      </w:r>
      <w:r>
        <w:rPr>
          <w:lang w:val="en-US"/>
        </w:rPr>
        <w:t>T</w:t>
      </w:r>
      <w:r w:rsidRPr="003C56A2">
        <w:rPr>
          <w:lang w:val="en-US"/>
        </w:rPr>
        <w:t>ype</w:t>
      </w:r>
      <w:r>
        <w:rPr>
          <w:lang w:val="en-US"/>
        </w:rPr>
        <w:t xml:space="preserve"> </w:t>
      </w:r>
      <w:r w:rsidRPr="003C56A2">
        <w:rPr>
          <w:lang w:val="en-US"/>
        </w:rPr>
        <w:t xml:space="preserve">1, </w:t>
      </w:r>
      <w:r>
        <w:rPr>
          <w:lang w:val="en-US"/>
        </w:rPr>
        <w:t>T</w:t>
      </w:r>
      <w:r w:rsidRPr="003C56A2">
        <w:rPr>
          <w:lang w:val="en-US"/>
        </w:rPr>
        <w:t>ype</w:t>
      </w:r>
      <w:r>
        <w:rPr>
          <w:lang w:val="en-US"/>
        </w:rPr>
        <w:t xml:space="preserve"> </w:t>
      </w:r>
      <w:r w:rsidRPr="003C56A2">
        <w:rPr>
          <w:lang w:val="en-US"/>
        </w:rPr>
        <w:t xml:space="preserve">2 and gestational diabetes mellitus </w:t>
      </w:r>
      <w:bookmarkEnd w:id="6"/>
      <w:r w:rsidRPr="003C56A2">
        <w:rPr>
          <w:lang w:val="en-US"/>
        </w:rPr>
        <w:t>(DM)</w:t>
      </w:r>
      <w:r>
        <w:rPr>
          <w:lang w:val="en-US"/>
        </w:rPr>
        <w:t xml:space="preserve"> (see Definition of Terms)</w:t>
      </w:r>
      <w:r w:rsidRPr="003C56A2">
        <w:rPr>
          <w:lang w:val="en-US"/>
        </w:rPr>
        <w:t xml:space="preserve"> </w:t>
      </w:r>
      <w:r>
        <w:rPr>
          <w:lang w:val="en-US"/>
        </w:rPr>
        <w:t>during pregnancy and the immediate postnatal period.</w:t>
      </w:r>
    </w:p>
    <w:p w14:paraId="16C236E0" w14:textId="77777777" w:rsidR="00C91EFA" w:rsidRPr="003C56A2" w:rsidRDefault="00C91EFA" w:rsidP="00C91EFA">
      <w:pPr>
        <w:pStyle w:val="ListParagraph"/>
      </w:pPr>
    </w:p>
    <w:p w14:paraId="33BFEE2A" w14:textId="77777777" w:rsidR="00C91EFA" w:rsidRPr="003E354F" w:rsidRDefault="00C91EFA" w:rsidP="00C91EFA">
      <w:pPr>
        <w:rPr>
          <w:b/>
          <w:bCs/>
          <w:lang w:val="en-US"/>
        </w:rPr>
      </w:pPr>
      <w:r w:rsidRPr="003E354F">
        <w:rPr>
          <w:b/>
          <w:bCs/>
          <w:lang w:val="en-US"/>
        </w:rPr>
        <w:t>Key Objective</w:t>
      </w:r>
      <w:r>
        <w:rPr>
          <w:b/>
          <w:bCs/>
          <w:lang w:val="en-US"/>
        </w:rPr>
        <w:t>s</w:t>
      </w:r>
    </w:p>
    <w:p w14:paraId="6520A356" w14:textId="77777777" w:rsidR="00C91EFA" w:rsidRPr="003C56A2" w:rsidRDefault="00C91EFA" w:rsidP="00C91EFA">
      <w:pPr>
        <w:widowControl w:val="0"/>
        <w:tabs>
          <w:tab w:val="left" w:pos="2141"/>
        </w:tabs>
        <w:autoSpaceDE w:val="0"/>
        <w:autoSpaceDN w:val="0"/>
        <w:spacing w:before="9"/>
        <w:rPr>
          <w:lang w:val="en-US"/>
        </w:rPr>
      </w:pPr>
      <w:bookmarkStart w:id="7" w:name="_Hlk114090933"/>
      <w:r w:rsidRPr="003C56A2">
        <w:t xml:space="preserve">To ensure safe and appropriate management of </w:t>
      </w:r>
      <w:r w:rsidRPr="003C56A2">
        <w:rPr>
          <w:lang w:val="en-US"/>
        </w:rPr>
        <w:t xml:space="preserve">pregnant </w:t>
      </w:r>
      <w:r>
        <w:rPr>
          <w:lang w:val="en-US"/>
        </w:rPr>
        <w:t>patients</w:t>
      </w:r>
      <w:r w:rsidRPr="003C56A2">
        <w:rPr>
          <w:lang w:val="en-US"/>
        </w:rPr>
        <w:t xml:space="preserve"> with </w:t>
      </w:r>
      <w:r>
        <w:rPr>
          <w:lang w:val="en-US"/>
        </w:rPr>
        <w:t>T</w:t>
      </w:r>
      <w:r w:rsidRPr="003C56A2">
        <w:rPr>
          <w:lang w:val="en-US"/>
        </w:rPr>
        <w:t>ype</w:t>
      </w:r>
      <w:r>
        <w:rPr>
          <w:lang w:val="en-US"/>
        </w:rPr>
        <w:t xml:space="preserve"> </w:t>
      </w:r>
      <w:r w:rsidRPr="003C56A2">
        <w:rPr>
          <w:lang w:val="en-US"/>
        </w:rPr>
        <w:t>1</w:t>
      </w:r>
      <w:r>
        <w:rPr>
          <w:lang w:val="en-US"/>
        </w:rPr>
        <w:t xml:space="preserve"> DM</w:t>
      </w:r>
      <w:r w:rsidRPr="003C56A2">
        <w:rPr>
          <w:lang w:val="en-US"/>
        </w:rPr>
        <w:t xml:space="preserve">, </w:t>
      </w:r>
      <w:r>
        <w:rPr>
          <w:lang w:val="en-US"/>
        </w:rPr>
        <w:t>T</w:t>
      </w:r>
      <w:r w:rsidRPr="003C56A2">
        <w:rPr>
          <w:lang w:val="en-US"/>
        </w:rPr>
        <w:t>ype</w:t>
      </w:r>
      <w:r>
        <w:rPr>
          <w:lang w:val="en-US"/>
        </w:rPr>
        <w:t xml:space="preserve"> </w:t>
      </w:r>
      <w:r w:rsidRPr="003C56A2">
        <w:rPr>
          <w:lang w:val="en-US"/>
        </w:rPr>
        <w:t xml:space="preserve">2 </w:t>
      </w:r>
      <w:r>
        <w:rPr>
          <w:lang w:val="en-US"/>
        </w:rPr>
        <w:t xml:space="preserve">DM </w:t>
      </w:r>
      <w:r w:rsidRPr="003C56A2">
        <w:rPr>
          <w:lang w:val="en-US"/>
        </w:rPr>
        <w:t>and gestational diabetes mellitus (</w:t>
      </w:r>
      <w:r>
        <w:rPr>
          <w:lang w:val="en-US"/>
        </w:rPr>
        <w:t>G</w:t>
      </w:r>
      <w:r w:rsidRPr="003C56A2">
        <w:rPr>
          <w:lang w:val="en-US"/>
        </w:rPr>
        <w:t>DM)</w:t>
      </w:r>
      <w:r>
        <w:rPr>
          <w:lang w:val="en-US"/>
        </w:rPr>
        <w:t xml:space="preserve"> including:</w:t>
      </w:r>
    </w:p>
    <w:p w14:paraId="30271188" w14:textId="77777777" w:rsidR="00C91EFA" w:rsidRPr="00A05278" w:rsidRDefault="00C91EFA" w:rsidP="00C91EFA">
      <w:pPr>
        <w:pStyle w:val="ListBullet"/>
        <w:rPr>
          <w:lang w:val="en-US"/>
        </w:rPr>
      </w:pPr>
      <w:bookmarkStart w:id="8" w:name="_Hlk114091015"/>
      <w:bookmarkEnd w:id="7"/>
      <w:r>
        <w:t>responding</w:t>
      </w:r>
      <w:r w:rsidRPr="00A05278">
        <w:rPr>
          <w:spacing w:val="1"/>
        </w:rPr>
        <w:t xml:space="preserve"> </w:t>
      </w:r>
      <w:r>
        <w:t>appropriately</w:t>
      </w:r>
      <w:r w:rsidRPr="00A05278">
        <w:rPr>
          <w:spacing w:val="-3"/>
        </w:rPr>
        <w:t xml:space="preserve"> </w:t>
      </w:r>
      <w:r>
        <w:t>when blood glucose</w:t>
      </w:r>
      <w:r w:rsidRPr="00A05278">
        <w:rPr>
          <w:spacing w:val="1"/>
        </w:rPr>
        <w:t xml:space="preserve"> </w:t>
      </w:r>
      <w:r>
        <w:t>results</w:t>
      </w:r>
      <w:r w:rsidRPr="00A05278">
        <w:rPr>
          <w:spacing w:val="-1"/>
        </w:rPr>
        <w:t xml:space="preserve"> </w:t>
      </w:r>
      <w:r>
        <w:t>are</w:t>
      </w:r>
      <w:r w:rsidRPr="00A05278">
        <w:rPr>
          <w:spacing w:val="-3"/>
        </w:rPr>
        <w:t xml:space="preserve"> </w:t>
      </w:r>
      <w:r>
        <w:t>abnormal</w:t>
      </w:r>
    </w:p>
    <w:p w14:paraId="65D84879" w14:textId="77777777" w:rsidR="00C91EFA" w:rsidRDefault="00C91EFA" w:rsidP="00C91EFA">
      <w:pPr>
        <w:pStyle w:val="ListBullet"/>
        <w:rPr>
          <w:lang w:val="en-US"/>
        </w:rPr>
      </w:pPr>
      <w:r w:rsidRPr="2BC6C1F3">
        <w:rPr>
          <w:lang w:val="en-US"/>
        </w:rPr>
        <w:t xml:space="preserve">recognising </w:t>
      </w:r>
      <w:proofErr w:type="spellStart"/>
      <w:r w:rsidRPr="2BC6C1F3">
        <w:rPr>
          <w:lang w:val="en-US"/>
        </w:rPr>
        <w:t>hypoglycaemia</w:t>
      </w:r>
      <w:proofErr w:type="spellEnd"/>
      <w:r w:rsidRPr="2BC6C1F3">
        <w:rPr>
          <w:lang w:val="en-US"/>
        </w:rPr>
        <w:t xml:space="preserve"> and managing treatment </w:t>
      </w:r>
    </w:p>
    <w:p w14:paraId="35614165" w14:textId="77777777" w:rsidR="00C91EFA" w:rsidRPr="00A05278" w:rsidRDefault="00C91EFA" w:rsidP="00C91EFA">
      <w:pPr>
        <w:pStyle w:val="ListBullet"/>
        <w:rPr>
          <w:lang w:val="en-US"/>
        </w:rPr>
      </w:pPr>
      <w:r w:rsidRPr="2BC6C1F3">
        <w:rPr>
          <w:lang w:val="en-US"/>
        </w:rPr>
        <w:t>managing diabetic ketoacidosis (DKA).</w:t>
      </w:r>
    </w:p>
    <w:bookmarkEnd w:id="8"/>
    <w:p w14:paraId="6F1687B2" w14:textId="77777777" w:rsidR="00C91EFA" w:rsidRDefault="00C91EFA" w:rsidP="00C91EFA">
      <w:pPr>
        <w:rPr>
          <w:b/>
          <w:bCs/>
          <w:lang w:val="en-US"/>
        </w:rPr>
      </w:pPr>
    </w:p>
    <w:p w14:paraId="4E60A6DB" w14:textId="77777777" w:rsidR="00C91EFA" w:rsidRPr="00E05035" w:rsidRDefault="00C91EFA" w:rsidP="00C91EFA">
      <w:pPr>
        <w:rPr>
          <w:b/>
          <w:bCs/>
        </w:rPr>
      </w:pPr>
      <w:r w:rsidRPr="00E05035">
        <w:rPr>
          <w:b/>
          <w:bCs/>
        </w:rPr>
        <w:t xml:space="preserve">Alerts </w:t>
      </w:r>
    </w:p>
    <w:p w14:paraId="6CEE0EAD" w14:textId="77777777" w:rsidR="00C91EFA" w:rsidRDefault="00C91EFA" w:rsidP="00C91EFA">
      <w:pPr>
        <w:pStyle w:val="ListBullet"/>
      </w:pPr>
      <w:r>
        <w:t>Contact the endocrinologist on call if the patient is in suspected DKA or a diabetic hyperosmolar hyperglycaemic state (DHHS).</w:t>
      </w:r>
    </w:p>
    <w:p w14:paraId="03B5EB01" w14:textId="77777777" w:rsidR="00C91EFA" w:rsidRPr="00715909" w:rsidRDefault="00C91EFA" w:rsidP="00C91EFA">
      <w:pPr>
        <w:pStyle w:val="ListBullet"/>
      </w:pPr>
      <w:r>
        <w:t>If a patient is demonstrating an impaired conscious state (uncooperative or aggressive) or is unconscious and hypoglycaemia is suspected, the Medical Emergency Team (MET) should be called (ph. 2222 or 0-000 from non-hospital sites) and initial treatment instituted (see Section 9).</w:t>
      </w:r>
    </w:p>
    <w:p w14:paraId="7505250E" w14:textId="77777777" w:rsidR="00C91EFA" w:rsidRDefault="00C91EFA" w:rsidP="00C91EFA">
      <w:pPr>
        <w:pStyle w:val="ListBullet"/>
      </w:pPr>
      <w:r>
        <w:t>If the patient’s blood glucose level is not below 4mmol/L, but they are exhibiting signs and symptoms of hypoglycaemia, treatment must be given.</w:t>
      </w:r>
    </w:p>
    <w:bookmarkEnd w:id="5"/>
    <w:p w14:paraId="616B83EB" w14:textId="77777777" w:rsidR="00C91EFA" w:rsidRPr="003C56A2" w:rsidRDefault="00C91EFA" w:rsidP="00C91EFA"/>
    <w:p w14:paraId="74B0B5B2" w14:textId="77777777" w:rsidR="00C91EFA" w:rsidRDefault="00C91EFA" w:rsidP="00C91EFA">
      <w:pPr>
        <w:jc w:val="right"/>
      </w:pPr>
      <w:hyperlink w:anchor="Contents" w:history="1">
        <w:r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C91EFA" w:rsidRPr="001B2BAC" w14:paraId="7884F1BD" w14:textId="77777777" w:rsidTr="00B3038D">
        <w:trPr>
          <w:cantSplit/>
          <w:trHeight w:val="285"/>
        </w:trPr>
        <w:tc>
          <w:tcPr>
            <w:tcW w:w="9158" w:type="dxa"/>
            <w:shd w:val="clear" w:color="auto" w:fill="D9D9D9" w:themeFill="background1" w:themeFillShade="D9"/>
          </w:tcPr>
          <w:p w14:paraId="3A375A03" w14:textId="77777777" w:rsidR="00C91EFA" w:rsidRPr="002E3BFE" w:rsidRDefault="00C91EFA" w:rsidP="00B3038D">
            <w:pPr>
              <w:pStyle w:val="Heading1"/>
            </w:pPr>
            <w:bookmarkStart w:id="9" w:name="_Toc116893327"/>
            <w:bookmarkStart w:id="10" w:name="_Toc126585723"/>
            <w:r>
              <w:t>Scope</w:t>
            </w:r>
            <w:bookmarkEnd w:id="9"/>
            <w:bookmarkEnd w:id="10"/>
          </w:p>
        </w:tc>
      </w:tr>
    </w:tbl>
    <w:p w14:paraId="1F3AD8E5" w14:textId="77777777" w:rsidR="00C91EFA" w:rsidRDefault="00C91EFA" w:rsidP="00C91EFA"/>
    <w:p w14:paraId="2F9F9F23" w14:textId="77777777" w:rsidR="00C91EFA" w:rsidRPr="00715909" w:rsidRDefault="00C91EFA" w:rsidP="00C91EFA">
      <w:bookmarkStart w:id="11" w:name="_Hlk124344645"/>
      <w:r w:rsidRPr="00715909">
        <w:t xml:space="preserve">This document applies to the following </w:t>
      </w:r>
      <w:r>
        <w:t>Canberra Health Services (</w:t>
      </w:r>
      <w:r w:rsidRPr="00715909">
        <w:t>CHS</w:t>
      </w:r>
      <w:r>
        <w:t>)</w:t>
      </w:r>
      <w:r w:rsidRPr="00715909">
        <w:t xml:space="preserve"> staff working within their scope of practice:</w:t>
      </w:r>
    </w:p>
    <w:p w14:paraId="19A8C24E" w14:textId="77777777" w:rsidR="00C91EFA" w:rsidRPr="00715909" w:rsidRDefault="00C91EFA" w:rsidP="00C91EFA">
      <w:pPr>
        <w:pStyle w:val="ListBullet"/>
      </w:pPr>
      <w:r>
        <w:t>medical officers (MOs)</w:t>
      </w:r>
    </w:p>
    <w:p w14:paraId="7A32F3D6" w14:textId="77777777" w:rsidR="00C91EFA" w:rsidRPr="00715909" w:rsidRDefault="00C91EFA" w:rsidP="00C91EFA">
      <w:pPr>
        <w:pStyle w:val="ListBullet"/>
      </w:pPr>
      <w:r>
        <w:t>nurses and midwives</w:t>
      </w:r>
    </w:p>
    <w:p w14:paraId="0FC16037" w14:textId="77777777" w:rsidR="00C91EFA" w:rsidRPr="00715909" w:rsidRDefault="00C91EFA" w:rsidP="00C91EFA">
      <w:pPr>
        <w:pStyle w:val="ListBullet"/>
      </w:pPr>
      <w:r>
        <w:t>students under direct supervision.</w:t>
      </w:r>
    </w:p>
    <w:p w14:paraId="0894E10C" w14:textId="77777777" w:rsidR="00C91EFA" w:rsidRDefault="00C91EFA" w:rsidP="00C91EFA">
      <w:pPr>
        <w:rPr>
          <w:rFonts w:cs="Arial"/>
          <w:b/>
          <w:bCs/>
          <w:szCs w:val="24"/>
        </w:rPr>
      </w:pPr>
    </w:p>
    <w:p w14:paraId="528A2C46" w14:textId="77777777" w:rsidR="00C91EFA" w:rsidRPr="007324E7" w:rsidRDefault="00C91EFA" w:rsidP="00C91EFA">
      <w:pPr>
        <w:rPr>
          <w:rFonts w:cs="Arial"/>
          <w:szCs w:val="24"/>
        </w:rPr>
      </w:pPr>
      <w:r>
        <w:rPr>
          <w:rFonts w:cs="Arial"/>
          <w:szCs w:val="24"/>
        </w:rPr>
        <w:t xml:space="preserve">This document applies to adult patients with DM who are pregnant. For non-pregnant </w:t>
      </w:r>
      <w:r w:rsidRPr="00B75CD8">
        <w:rPr>
          <w:rFonts w:cs="Arial"/>
          <w:szCs w:val="24"/>
        </w:rPr>
        <w:t>adult patients with diabetes mellitus</w:t>
      </w:r>
      <w:r w:rsidRPr="00B75CD8">
        <w:rPr>
          <w:color w:val="000000"/>
          <w:szCs w:val="24"/>
        </w:rPr>
        <w:t xml:space="preserve"> refer </w:t>
      </w:r>
      <w:r w:rsidRPr="007324E7">
        <w:rPr>
          <w:color w:val="000000"/>
          <w:szCs w:val="24"/>
        </w:rPr>
        <w:t>to</w:t>
      </w:r>
      <w:r>
        <w:rPr>
          <w:color w:val="000000"/>
          <w:szCs w:val="24"/>
        </w:rPr>
        <w:t xml:space="preserve"> the</w:t>
      </w:r>
      <w:r w:rsidRPr="00B75CD8">
        <w:rPr>
          <w:i/>
          <w:iCs/>
          <w:color w:val="000000"/>
          <w:szCs w:val="24"/>
        </w:rPr>
        <w:t xml:space="preserve"> </w:t>
      </w:r>
      <w:r w:rsidRPr="007324E7">
        <w:rPr>
          <w:rFonts w:cs="Arial"/>
          <w:i/>
          <w:iCs/>
          <w:szCs w:val="24"/>
        </w:rPr>
        <w:t>Diabetes Management: Including Hypoglycaemia, IV Insulin Infusions and Insulin Pumps (Adults only)</w:t>
      </w:r>
      <w:r>
        <w:rPr>
          <w:rFonts w:cs="Arial"/>
          <w:szCs w:val="24"/>
        </w:rPr>
        <w:t xml:space="preserve"> procedure </w:t>
      </w:r>
      <w:r>
        <w:rPr>
          <w:rFonts w:cs="Calibri"/>
          <w:bCs/>
          <w:szCs w:val="24"/>
        </w:rPr>
        <w:t>(</w:t>
      </w:r>
      <w:r w:rsidRPr="006520DF">
        <w:rPr>
          <w:rFonts w:cs="Calibri"/>
          <w:bCs/>
          <w:szCs w:val="24"/>
        </w:rPr>
        <w:t xml:space="preserve">available on the Policy </w:t>
      </w:r>
      <w:r>
        <w:rPr>
          <w:rFonts w:cs="Calibri"/>
          <w:bCs/>
          <w:szCs w:val="24"/>
        </w:rPr>
        <w:t>and Guidance Documents R</w:t>
      </w:r>
      <w:r w:rsidRPr="006520DF">
        <w:rPr>
          <w:rFonts w:cs="Calibri"/>
          <w:bCs/>
          <w:szCs w:val="24"/>
        </w:rPr>
        <w:t>egister).</w:t>
      </w:r>
      <w:r w:rsidRPr="00B75CD8">
        <w:rPr>
          <w:rFonts w:cs="Arial"/>
          <w:i/>
          <w:iCs/>
          <w:szCs w:val="24"/>
        </w:rPr>
        <w:t xml:space="preserve"> </w:t>
      </w:r>
      <w:r>
        <w:rPr>
          <w:rFonts w:cs="Arial"/>
          <w:i/>
          <w:iCs/>
          <w:szCs w:val="24"/>
        </w:rPr>
        <w:t xml:space="preserve"> </w:t>
      </w:r>
    </w:p>
    <w:p w14:paraId="19D16BFF" w14:textId="77777777" w:rsidR="00C91EFA" w:rsidRPr="00715909" w:rsidRDefault="00C91EFA" w:rsidP="00C91EFA">
      <w:pPr>
        <w:pStyle w:val="ListParagraph"/>
        <w:rPr>
          <w:rFonts w:cs="Arial"/>
          <w:szCs w:val="24"/>
        </w:rPr>
      </w:pPr>
    </w:p>
    <w:bookmarkStart w:id="12" w:name="_Hlk112756426"/>
    <w:p w14:paraId="1228E510" w14:textId="77777777" w:rsidR="00C91EFA" w:rsidRDefault="00C91EFA" w:rsidP="00C91EFA">
      <w:pPr>
        <w:jc w:val="right"/>
        <w:rPr>
          <w:rStyle w:val="Hyperlink"/>
          <w:rFonts w:eastAsiaTheme="majorEastAsia" w:cs="Arial"/>
          <w:i/>
          <w:szCs w:val="24"/>
        </w:rPr>
      </w:pPr>
      <w:r>
        <w:fldChar w:fldCharType="begin"/>
      </w:r>
      <w:r>
        <w:instrText xml:space="preserve"> HYPERLINK \l "Contents" </w:instrText>
      </w:r>
      <w:r>
        <w:fldChar w:fldCharType="separate"/>
      </w:r>
      <w:r w:rsidRPr="00C91F3F">
        <w:rPr>
          <w:rStyle w:val="Hyperlink"/>
          <w:rFonts w:eastAsiaTheme="majorEastAsia" w:cs="Arial"/>
          <w:i/>
          <w:szCs w:val="24"/>
        </w:rPr>
        <w:t>Back to Table of Contents</w:t>
      </w:r>
      <w:r>
        <w:rPr>
          <w:rStyle w:val="Hyperlink"/>
          <w:rFonts w:eastAsiaTheme="majorEastAsia" w:cs="Arial"/>
          <w:i/>
          <w:szCs w:val="24"/>
        </w:rPr>
        <w:fldChar w:fldCharType="end"/>
      </w:r>
    </w:p>
    <w:p w14:paraId="45E85EF8" w14:textId="77777777" w:rsidR="00C91EFA" w:rsidRDefault="00C91EFA" w:rsidP="00C91EFA">
      <w:pPr>
        <w:spacing w:after="200" w:line="276" w:lineRule="auto"/>
        <w:rPr>
          <w:rStyle w:val="Hyperlink"/>
          <w:rFonts w:eastAsiaTheme="majorEastAsia" w:cs="Arial"/>
          <w:i/>
          <w:szCs w:val="24"/>
        </w:rPr>
      </w:pPr>
      <w:r>
        <w:rPr>
          <w:rStyle w:val="Hyperlink"/>
          <w:rFonts w:eastAsiaTheme="majorEastAsia" w:cs="Arial"/>
          <w:i/>
          <w:szCs w:val="24"/>
        </w:rPr>
        <w:br w:type="page"/>
      </w:r>
    </w:p>
    <w:tbl>
      <w:tblPr>
        <w:tblpPr w:leftFromText="180" w:rightFromText="180" w:vertAnchor="text" w:horzAnchor="margin" w:tblpY="279"/>
        <w:tblW w:w="9300" w:type="dxa"/>
        <w:tblLook w:val="0000" w:firstRow="0" w:lastRow="0" w:firstColumn="0" w:lastColumn="0" w:noHBand="0" w:noVBand="0"/>
      </w:tblPr>
      <w:tblGrid>
        <w:gridCol w:w="9300"/>
      </w:tblGrid>
      <w:tr w:rsidR="00C91EFA" w:rsidRPr="00DD25CD" w14:paraId="7B2FACCC" w14:textId="77777777" w:rsidTr="00B3038D">
        <w:trPr>
          <w:cantSplit/>
          <w:trHeight w:val="285"/>
        </w:trPr>
        <w:tc>
          <w:tcPr>
            <w:tcW w:w="9300" w:type="dxa"/>
            <w:shd w:val="clear" w:color="auto" w:fill="D9D9D9" w:themeFill="background1" w:themeFillShade="D9"/>
          </w:tcPr>
          <w:p w14:paraId="7E9026DB" w14:textId="77777777" w:rsidR="00C91EFA" w:rsidRPr="00551BB6" w:rsidRDefault="00C91EFA" w:rsidP="00B3038D">
            <w:pPr>
              <w:pStyle w:val="Heading1"/>
              <w:rPr>
                <w:sz w:val="24"/>
                <w:szCs w:val="24"/>
              </w:rPr>
            </w:pPr>
            <w:bookmarkStart w:id="13" w:name="_Toc116893329"/>
            <w:bookmarkStart w:id="14" w:name="_Toc126585724"/>
            <w:bookmarkEnd w:id="11"/>
            <w:bookmarkEnd w:id="12"/>
            <w:r w:rsidRPr="00DD25CD">
              <w:lastRenderedPageBreak/>
              <w:t xml:space="preserve">Section </w:t>
            </w:r>
            <w:r>
              <w:t>1</w:t>
            </w:r>
            <w:r w:rsidRPr="00DD25CD">
              <w:t xml:space="preserve"> </w:t>
            </w:r>
            <w:r>
              <w:t>- GDM screening and diagnosis</w:t>
            </w:r>
            <w:bookmarkEnd w:id="13"/>
            <w:bookmarkEnd w:id="14"/>
          </w:p>
        </w:tc>
      </w:tr>
    </w:tbl>
    <w:p w14:paraId="6F04F715" w14:textId="77777777" w:rsidR="00C91EFA" w:rsidRDefault="00C91EFA" w:rsidP="00C91EFA">
      <w:pPr>
        <w:pStyle w:val="ListParagraph"/>
        <w:rPr>
          <w:rFonts w:cs="Calibri"/>
          <w:bCs/>
        </w:rPr>
      </w:pPr>
    </w:p>
    <w:p w14:paraId="2C87CCE7" w14:textId="77777777" w:rsidR="00C91EFA" w:rsidRPr="005E6A7D" w:rsidRDefault="00C91EFA" w:rsidP="00C91EFA">
      <w:pPr>
        <w:pStyle w:val="NoSpacing"/>
        <w:rPr>
          <w:rFonts w:cs="Calibri"/>
          <w:sz w:val="24"/>
          <w:szCs w:val="24"/>
        </w:rPr>
      </w:pPr>
      <w:r w:rsidRPr="71F4A9C8">
        <w:rPr>
          <w:sz w:val="24"/>
          <w:szCs w:val="24"/>
        </w:rPr>
        <w:t xml:space="preserve">GDM is the fastest growing type of diabetes in Australia. The number of patients diagnosed annually has more than doubled over the past decade. In 2019 almost 41,000 patients were diagnosed with GDM and 34 percent of patients with GDM required insulin therapy1. </w:t>
      </w:r>
    </w:p>
    <w:p w14:paraId="70CC7F86" w14:textId="77777777" w:rsidR="00C91EFA" w:rsidRDefault="00C91EFA" w:rsidP="00C91EFA">
      <w:pPr>
        <w:rPr>
          <w:rFonts w:cs="Calibri"/>
          <w:bCs/>
        </w:rPr>
      </w:pPr>
    </w:p>
    <w:p w14:paraId="70452E10" w14:textId="77777777" w:rsidR="00C91EFA" w:rsidRPr="0000728F" w:rsidRDefault="00C91EFA" w:rsidP="00C91EFA">
      <w:pPr>
        <w:rPr>
          <w:rFonts w:cs="Arial"/>
          <w:i/>
        </w:rPr>
      </w:pPr>
      <w:r w:rsidRPr="005E6A7D">
        <w:rPr>
          <w:rFonts w:cs="Calibri"/>
          <w:bCs/>
        </w:rPr>
        <w:t xml:space="preserve">Abnormalities of glucose tolerance can have immediate short-term and long-term implications for the health of the </w:t>
      </w:r>
      <w:r w:rsidRPr="71F4A9C8">
        <w:rPr>
          <w:rFonts w:cs="Calibri"/>
        </w:rPr>
        <w:t>woman</w:t>
      </w:r>
      <w:r w:rsidRPr="005E6A7D">
        <w:rPr>
          <w:rFonts w:cs="Calibri"/>
          <w:bCs/>
        </w:rPr>
        <w:t xml:space="preserve"> and </w:t>
      </w:r>
      <w:r w:rsidRPr="71F4A9C8">
        <w:rPr>
          <w:rFonts w:cs="Calibri"/>
        </w:rPr>
        <w:t>her</w:t>
      </w:r>
      <w:r w:rsidRPr="005E6A7D">
        <w:rPr>
          <w:rFonts w:cs="Calibri"/>
          <w:bCs/>
        </w:rPr>
        <w:t xml:space="preserve"> baby</w:t>
      </w:r>
      <w:r>
        <w:rPr>
          <w:rFonts w:cs="Calibri"/>
          <w:bCs/>
        </w:rPr>
        <w:t xml:space="preserve">. </w:t>
      </w:r>
      <w:r w:rsidRPr="71F4A9C8">
        <w:rPr>
          <w:rFonts w:cs="Calibri"/>
        </w:rPr>
        <w:t>To safeguard optimal maternal and neonatal outcomes,</w:t>
      </w:r>
      <w:r w:rsidRPr="005E6A7D">
        <w:rPr>
          <w:rFonts w:cs="Calibri"/>
          <w:bCs/>
        </w:rPr>
        <w:t xml:space="preserve"> p</w:t>
      </w:r>
      <w:r w:rsidRPr="71F4A9C8">
        <w:rPr>
          <w:rFonts w:cs="Calibri"/>
        </w:rPr>
        <w:t xml:space="preserve">regnant women should be offered information about abnormalities of glucose metabolism that can occur during pregnancy. Provision of information should include a discussion and assessment of factors that increase risk for developing GDM, and explanation of screening processes. Refer </w:t>
      </w:r>
      <w:r w:rsidRPr="71F4A9C8">
        <w:rPr>
          <w:rFonts w:cs="Calibri"/>
          <w:i/>
          <w:iCs/>
        </w:rPr>
        <w:t>to ‘</w:t>
      </w:r>
      <w:r w:rsidRPr="71F4A9C8">
        <w:rPr>
          <w:rFonts w:cs="Calibri"/>
          <w:i/>
        </w:rPr>
        <w:t xml:space="preserve">Screening for diabetes in </w:t>
      </w:r>
      <w:r w:rsidRPr="71F4A9C8">
        <w:rPr>
          <w:rFonts w:cs="Calibri"/>
          <w:i/>
          <w:iCs/>
        </w:rPr>
        <w:t>pregnancy’</w:t>
      </w:r>
      <w:r w:rsidRPr="71F4A9C8">
        <w:rPr>
          <w:rFonts w:cs="Calibri"/>
        </w:rPr>
        <w:t xml:space="preserve"> health information sheet (available on the Policy and Guidance Documents Register).</w:t>
      </w:r>
      <w:r w:rsidRPr="71F4A9C8">
        <w:rPr>
          <w:rFonts w:cs="Arial"/>
          <w:i/>
        </w:rPr>
        <w:t xml:space="preserve">  </w:t>
      </w:r>
    </w:p>
    <w:p w14:paraId="29051BB8" w14:textId="77777777" w:rsidR="00C91EFA" w:rsidRDefault="00C91EFA" w:rsidP="00C91EFA">
      <w:pPr>
        <w:rPr>
          <w:rFonts w:cs="Arial"/>
          <w:i/>
          <w:iCs/>
        </w:rPr>
      </w:pPr>
    </w:p>
    <w:p w14:paraId="440517B8" w14:textId="77777777" w:rsidR="00C91EFA" w:rsidRDefault="00C91EFA" w:rsidP="00C91EFA">
      <w:pPr>
        <w:rPr>
          <w:rFonts w:cs="Arial"/>
          <w:i/>
          <w:iCs/>
        </w:rPr>
      </w:pPr>
      <w:r w:rsidRPr="71F4A9C8">
        <w:rPr>
          <w:rFonts w:cs="Calibri"/>
        </w:rPr>
        <w:t xml:space="preserve">CHS follows recommendations from the Australasian Diabetes in Pregnancy Society (ADIPS). </w:t>
      </w:r>
      <w:r w:rsidRPr="71F4A9C8">
        <w:rPr>
          <w:rFonts w:eastAsia="Calibri" w:cs="Calibri"/>
          <w:szCs w:val="24"/>
        </w:rPr>
        <w:t xml:space="preserve">In November 2024, ADIPS updated their consensus guidelines for the screening, diagnosis, and classification of hyperglycaemia in pregnancy. Refer to Attachment 1 - Screening and diagnosis of GDM. </w:t>
      </w:r>
      <w:r w:rsidRPr="71F4A9C8">
        <w:rPr>
          <w:rFonts w:cs="Calibri"/>
        </w:rPr>
        <w:t xml:space="preserve"> </w:t>
      </w:r>
      <w:r w:rsidRPr="71F4A9C8">
        <w:rPr>
          <w:rFonts w:cs="Arial"/>
        </w:rPr>
        <w:t>Women with identified risk factors for GDM (see Table 1) should be offered early screening as per Section 2.</w:t>
      </w:r>
    </w:p>
    <w:p w14:paraId="126BB853" w14:textId="77777777" w:rsidR="00C91EFA" w:rsidRDefault="00C91EFA" w:rsidP="00C91EFA">
      <w:pPr>
        <w:rPr>
          <w:rFonts w:cs="Calibri"/>
        </w:rPr>
      </w:pPr>
    </w:p>
    <w:p w14:paraId="498B10C2" w14:textId="77777777" w:rsidR="00C91EFA" w:rsidRDefault="00C91EFA" w:rsidP="00C91EFA">
      <w:pPr>
        <w:rPr>
          <w:rFonts w:cs="Calibri"/>
        </w:rPr>
      </w:pPr>
    </w:p>
    <w:p w14:paraId="770EBCB0" w14:textId="77777777" w:rsidR="00C91EFA" w:rsidRDefault="00C91EFA" w:rsidP="00C91EFA">
      <w:pPr>
        <w:ind w:left="720" w:firstLine="720"/>
        <w:rPr>
          <w:rFonts w:eastAsia="Calibri" w:cs="Calibri"/>
          <w:szCs w:val="24"/>
        </w:rPr>
      </w:pPr>
      <w:r w:rsidRPr="71F4A9C8">
        <w:rPr>
          <w:rFonts w:eastAsia="Calibri" w:cs="Calibri"/>
          <w:szCs w:val="24"/>
        </w:rPr>
        <w:t xml:space="preserve">Table 1. Risk factors for hyperglycaemia in pregnancy </w:t>
      </w:r>
    </w:p>
    <w:tbl>
      <w:tblPr>
        <w:tblStyle w:val="TableGrid"/>
        <w:tblW w:w="0" w:type="auto"/>
        <w:tblInd w:w="720" w:type="dxa"/>
        <w:tblLook w:val="04A0" w:firstRow="1" w:lastRow="0" w:firstColumn="1" w:lastColumn="0" w:noHBand="0" w:noVBand="1"/>
      </w:tblPr>
      <w:tblGrid>
        <w:gridCol w:w="4221"/>
        <w:gridCol w:w="4119"/>
      </w:tblGrid>
      <w:tr w:rsidR="00A67699" w14:paraId="4D21812E" w14:textId="77777777" w:rsidTr="00A67699">
        <w:tc>
          <w:tcPr>
            <w:tcW w:w="4530" w:type="dxa"/>
          </w:tcPr>
          <w:p w14:paraId="4061E3EB" w14:textId="22B64051" w:rsidR="00A67699" w:rsidRPr="0045381A" w:rsidRDefault="00A67699" w:rsidP="00C91EFA">
            <w:pPr>
              <w:rPr>
                <w:rFonts w:eastAsia="Calibri" w:cs="Calibri"/>
                <w:b/>
                <w:bCs/>
                <w:szCs w:val="24"/>
              </w:rPr>
            </w:pPr>
            <w:r w:rsidRPr="0045381A">
              <w:rPr>
                <w:rFonts w:eastAsia="Calibri" w:cs="Calibri"/>
                <w:b/>
                <w:bCs/>
                <w:szCs w:val="24"/>
              </w:rPr>
              <w:t>Risk Factor</w:t>
            </w:r>
          </w:p>
        </w:tc>
        <w:tc>
          <w:tcPr>
            <w:tcW w:w="4530" w:type="dxa"/>
          </w:tcPr>
          <w:p w14:paraId="06718C56" w14:textId="206A96B9" w:rsidR="00A67699" w:rsidRPr="0045381A" w:rsidRDefault="00A67699" w:rsidP="00C91EFA">
            <w:pPr>
              <w:rPr>
                <w:rFonts w:eastAsia="Calibri" w:cs="Calibri"/>
                <w:b/>
                <w:bCs/>
                <w:szCs w:val="24"/>
              </w:rPr>
            </w:pPr>
            <w:r w:rsidRPr="0045381A">
              <w:rPr>
                <w:rFonts w:eastAsia="Calibri" w:cs="Calibri"/>
                <w:b/>
                <w:bCs/>
                <w:szCs w:val="24"/>
              </w:rPr>
              <w:t xml:space="preserve">Odds </w:t>
            </w:r>
            <w:proofErr w:type="spellStart"/>
            <w:r w:rsidRPr="0045381A">
              <w:rPr>
                <w:rFonts w:eastAsia="Calibri" w:cs="Calibri"/>
                <w:b/>
                <w:bCs/>
                <w:szCs w:val="24"/>
              </w:rPr>
              <w:t>Ration</w:t>
            </w:r>
            <w:proofErr w:type="spellEnd"/>
            <w:r w:rsidRPr="0045381A">
              <w:rPr>
                <w:rFonts w:eastAsia="Calibri" w:cs="Calibri"/>
                <w:b/>
                <w:bCs/>
                <w:szCs w:val="24"/>
              </w:rPr>
              <w:t xml:space="preserve"> for GDM</w:t>
            </w:r>
          </w:p>
        </w:tc>
      </w:tr>
      <w:tr w:rsidR="00A67699" w14:paraId="23A4B054" w14:textId="77777777" w:rsidTr="00A67699">
        <w:tc>
          <w:tcPr>
            <w:tcW w:w="4530" w:type="dxa"/>
          </w:tcPr>
          <w:p w14:paraId="1965958F" w14:textId="69A22481" w:rsidR="00A67699" w:rsidRDefault="00A67699" w:rsidP="00C91EFA">
            <w:pPr>
              <w:rPr>
                <w:rFonts w:eastAsia="Calibri" w:cs="Calibri"/>
                <w:szCs w:val="24"/>
              </w:rPr>
            </w:pPr>
            <w:r>
              <w:rPr>
                <w:rFonts w:eastAsia="Calibri" w:cs="Calibri"/>
                <w:szCs w:val="24"/>
              </w:rPr>
              <w:t xml:space="preserve">Previous GDM </w:t>
            </w:r>
          </w:p>
        </w:tc>
        <w:tc>
          <w:tcPr>
            <w:tcW w:w="4530" w:type="dxa"/>
          </w:tcPr>
          <w:p w14:paraId="69274C3D" w14:textId="2F0608F5" w:rsidR="00A67699" w:rsidRDefault="00A67699" w:rsidP="00C91EFA">
            <w:pPr>
              <w:rPr>
                <w:rFonts w:eastAsia="Calibri" w:cs="Calibri"/>
                <w:szCs w:val="24"/>
              </w:rPr>
            </w:pPr>
            <w:r>
              <w:rPr>
                <w:rFonts w:eastAsia="Calibri" w:cs="Calibri"/>
                <w:szCs w:val="24"/>
              </w:rPr>
              <w:t>8.4-21.1</w:t>
            </w:r>
          </w:p>
        </w:tc>
      </w:tr>
      <w:tr w:rsidR="00A67699" w14:paraId="65899A06" w14:textId="77777777" w:rsidTr="00A67699">
        <w:tc>
          <w:tcPr>
            <w:tcW w:w="4530" w:type="dxa"/>
          </w:tcPr>
          <w:p w14:paraId="000D5D23" w14:textId="2582F878" w:rsidR="00A67699" w:rsidRDefault="00A67699" w:rsidP="00C91EFA">
            <w:pPr>
              <w:rPr>
                <w:rFonts w:eastAsia="Calibri" w:cs="Calibri"/>
                <w:szCs w:val="24"/>
              </w:rPr>
            </w:pPr>
            <w:r>
              <w:rPr>
                <w:rFonts w:eastAsia="Calibri" w:cs="Calibri"/>
                <w:szCs w:val="24"/>
              </w:rPr>
              <w:t xml:space="preserve">Obesity </w:t>
            </w:r>
          </w:p>
        </w:tc>
        <w:tc>
          <w:tcPr>
            <w:tcW w:w="4530" w:type="dxa"/>
          </w:tcPr>
          <w:p w14:paraId="1BBABA4B" w14:textId="3EABA8F8" w:rsidR="00A67699" w:rsidRDefault="00A67699" w:rsidP="00C91EFA">
            <w:pPr>
              <w:rPr>
                <w:rFonts w:eastAsia="Calibri" w:cs="Calibri"/>
                <w:szCs w:val="24"/>
              </w:rPr>
            </w:pPr>
            <w:r>
              <w:rPr>
                <w:rFonts w:eastAsia="Calibri" w:cs="Calibri"/>
                <w:szCs w:val="24"/>
              </w:rPr>
              <w:t>5.6</w:t>
            </w:r>
          </w:p>
        </w:tc>
      </w:tr>
      <w:tr w:rsidR="00A67699" w14:paraId="123D0887" w14:textId="77777777" w:rsidTr="00A67699">
        <w:tc>
          <w:tcPr>
            <w:tcW w:w="4530" w:type="dxa"/>
          </w:tcPr>
          <w:p w14:paraId="6AE6CA4B" w14:textId="1A171DB9" w:rsidR="00A67699" w:rsidRDefault="00A67699" w:rsidP="00C91EFA">
            <w:pPr>
              <w:rPr>
                <w:rFonts w:eastAsia="Calibri" w:cs="Calibri"/>
                <w:szCs w:val="24"/>
              </w:rPr>
            </w:pPr>
            <w:r>
              <w:rPr>
                <w:rFonts w:eastAsia="Calibri" w:cs="Calibri"/>
                <w:szCs w:val="24"/>
              </w:rPr>
              <w:t>Overweight</w:t>
            </w:r>
          </w:p>
        </w:tc>
        <w:tc>
          <w:tcPr>
            <w:tcW w:w="4530" w:type="dxa"/>
          </w:tcPr>
          <w:p w14:paraId="32EB9196" w14:textId="69267B44" w:rsidR="00A67699" w:rsidRDefault="00A67699" w:rsidP="00C91EFA">
            <w:pPr>
              <w:rPr>
                <w:rFonts w:eastAsia="Calibri" w:cs="Calibri"/>
                <w:szCs w:val="24"/>
              </w:rPr>
            </w:pPr>
            <w:r>
              <w:rPr>
                <w:rFonts w:eastAsia="Calibri" w:cs="Calibri"/>
                <w:szCs w:val="24"/>
              </w:rPr>
              <w:t>2.8</w:t>
            </w:r>
          </w:p>
        </w:tc>
      </w:tr>
      <w:tr w:rsidR="00A67699" w14:paraId="2C15BDBA" w14:textId="77777777" w:rsidTr="00A67699">
        <w:tc>
          <w:tcPr>
            <w:tcW w:w="4530" w:type="dxa"/>
          </w:tcPr>
          <w:p w14:paraId="4A7CDF23" w14:textId="04703D48" w:rsidR="00A67699" w:rsidRDefault="00A67699" w:rsidP="00C91EFA">
            <w:pPr>
              <w:rPr>
                <w:rFonts w:eastAsia="Calibri" w:cs="Calibri"/>
                <w:szCs w:val="24"/>
              </w:rPr>
            </w:pPr>
            <w:r>
              <w:rPr>
                <w:rFonts w:eastAsia="Calibri" w:cs="Calibri"/>
                <w:szCs w:val="24"/>
              </w:rPr>
              <w:t>Family history of diabetes</w:t>
            </w:r>
          </w:p>
        </w:tc>
        <w:tc>
          <w:tcPr>
            <w:tcW w:w="4530" w:type="dxa"/>
          </w:tcPr>
          <w:p w14:paraId="33890F1E" w14:textId="420C9F50" w:rsidR="00A67699" w:rsidRDefault="00A67699" w:rsidP="00C91EFA">
            <w:pPr>
              <w:rPr>
                <w:rFonts w:eastAsia="Calibri" w:cs="Calibri"/>
                <w:szCs w:val="24"/>
              </w:rPr>
            </w:pPr>
            <w:r>
              <w:rPr>
                <w:rFonts w:eastAsia="Calibri" w:cs="Calibri"/>
                <w:szCs w:val="24"/>
              </w:rPr>
              <w:t>2.3-3.5</w:t>
            </w:r>
          </w:p>
        </w:tc>
      </w:tr>
      <w:tr w:rsidR="00A67699" w14:paraId="19CE4860" w14:textId="77777777" w:rsidTr="00A67699">
        <w:tc>
          <w:tcPr>
            <w:tcW w:w="4530" w:type="dxa"/>
          </w:tcPr>
          <w:p w14:paraId="591C5B84" w14:textId="4CA43456" w:rsidR="00A67699" w:rsidRDefault="00A67699" w:rsidP="00C91EFA">
            <w:pPr>
              <w:rPr>
                <w:rFonts w:eastAsia="Calibri" w:cs="Calibri"/>
                <w:szCs w:val="24"/>
              </w:rPr>
            </w:pPr>
            <w:r>
              <w:rPr>
                <w:rFonts w:eastAsia="Calibri" w:cs="Calibri"/>
                <w:szCs w:val="24"/>
              </w:rPr>
              <w:t>Age 30-34 years</w:t>
            </w:r>
          </w:p>
        </w:tc>
        <w:tc>
          <w:tcPr>
            <w:tcW w:w="4530" w:type="dxa"/>
          </w:tcPr>
          <w:p w14:paraId="2FEFB3B7" w14:textId="2ED4FE2D" w:rsidR="00A67699" w:rsidRDefault="00A67699" w:rsidP="00C91EFA">
            <w:pPr>
              <w:rPr>
                <w:rFonts w:eastAsia="Calibri" w:cs="Calibri"/>
                <w:szCs w:val="24"/>
              </w:rPr>
            </w:pPr>
            <w:r>
              <w:rPr>
                <w:rFonts w:eastAsia="Calibri" w:cs="Calibri"/>
                <w:szCs w:val="24"/>
              </w:rPr>
              <w:t>2.7</w:t>
            </w:r>
          </w:p>
        </w:tc>
      </w:tr>
      <w:tr w:rsidR="00A67699" w14:paraId="2A5BDF26" w14:textId="77777777" w:rsidTr="00A67699">
        <w:tc>
          <w:tcPr>
            <w:tcW w:w="4530" w:type="dxa"/>
          </w:tcPr>
          <w:p w14:paraId="34F8F9E5" w14:textId="1C6C1B1D" w:rsidR="00A67699" w:rsidRDefault="00A67699" w:rsidP="00C91EFA">
            <w:pPr>
              <w:rPr>
                <w:rFonts w:eastAsia="Calibri" w:cs="Calibri"/>
                <w:szCs w:val="24"/>
              </w:rPr>
            </w:pPr>
            <w:r>
              <w:rPr>
                <w:rFonts w:eastAsia="Calibri" w:cs="Calibri"/>
                <w:szCs w:val="24"/>
              </w:rPr>
              <w:t>Age 35-39 years</w:t>
            </w:r>
          </w:p>
        </w:tc>
        <w:tc>
          <w:tcPr>
            <w:tcW w:w="4530" w:type="dxa"/>
          </w:tcPr>
          <w:p w14:paraId="4E97A32D" w14:textId="0E1CADBD" w:rsidR="00A67699" w:rsidRDefault="00A67699" w:rsidP="00C91EFA">
            <w:pPr>
              <w:rPr>
                <w:rFonts w:eastAsia="Calibri" w:cs="Calibri"/>
                <w:szCs w:val="24"/>
              </w:rPr>
            </w:pPr>
            <w:r>
              <w:rPr>
                <w:rFonts w:eastAsia="Calibri" w:cs="Calibri"/>
                <w:szCs w:val="24"/>
              </w:rPr>
              <w:t>3.5</w:t>
            </w:r>
          </w:p>
        </w:tc>
      </w:tr>
      <w:tr w:rsidR="00A67699" w14:paraId="0B8F0131" w14:textId="77777777" w:rsidTr="00A67699">
        <w:tc>
          <w:tcPr>
            <w:tcW w:w="4530" w:type="dxa"/>
          </w:tcPr>
          <w:p w14:paraId="66974E90" w14:textId="3AD4A4FF" w:rsidR="00A67699" w:rsidRDefault="00A67699" w:rsidP="00C91EFA">
            <w:pPr>
              <w:rPr>
                <w:rFonts w:eastAsia="Calibri" w:cs="Calibri"/>
                <w:szCs w:val="24"/>
              </w:rPr>
            </w:pPr>
            <w:r>
              <w:rPr>
                <w:rFonts w:eastAsia="Calibri" w:cs="Calibri"/>
                <w:szCs w:val="24"/>
              </w:rPr>
              <w:t>Age 40+ years</w:t>
            </w:r>
          </w:p>
        </w:tc>
        <w:tc>
          <w:tcPr>
            <w:tcW w:w="4530" w:type="dxa"/>
          </w:tcPr>
          <w:p w14:paraId="55ADE74B" w14:textId="74773C28" w:rsidR="00A67699" w:rsidRDefault="00A67699" w:rsidP="00C91EFA">
            <w:pPr>
              <w:rPr>
                <w:rFonts w:eastAsia="Calibri" w:cs="Calibri"/>
                <w:szCs w:val="24"/>
              </w:rPr>
            </w:pPr>
            <w:r>
              <w:rPr>
                <w:rFonts w:eastAsia="Calibri" w:cs="Calibri"/>
                <w:szCs w:val="24"/>
              </w:rPr>
              <w:t>4.9</w:t>
            </w:r>
          </w:p>
        </w:tc>
      </w:tr>
      <w:tr w:rsidR="00A67699" w14:paraId="33BD97CC" w14:textId="77777777" w:rsidTr="00A67699">
        <w:tc>
          <w:tcPr>
            <w:tcW w:w="4530" w:type="dxa"/>
          </w:tcPr>
          <w:p w14:paraId="6721B399" w14:textId="25D6A7D0" w:rsidR="00A67699" w:rsidRDefault="00A67699" w:rsidP="00C91EFA">
            <w:pPr>
              <w:rPr>
                <w:rFonts w:eastAsia="Calibri" w:cs="Calibri"/>
                <w:szCs w:val="24"/>
              </w:rPr>
            </w:pPr>
            <w:r>
              <w:rPr>
                <w:rFonts w:eastAsia="Calibri" w:cs="Calibri"/>
                <w:szCs w:val="24"/>
              </w:rPr>
              <w:t>Polycystic ovarian syndrome</w:t>
            </w:r>
          </w:p>
        </w:tc>
        <w:tc>
          <w:tcPr>
            <w:tcW w:w="4530" w:type="dxa"/>
          </w:tcPr>
          <w:p w14:paraId="12F3F2FD" w14:textId="7762DD46" w:rsidR="00A67699" w:rsidRDefault="00A67699" w:rsidP="00C91EFA">
            <w:pPr>
              <w:rPr>
                <w:rFonts w:eastAsia="Calibri" w:cs="Calibri"/>
                <w:szCs w:val="24"/>
              </w:rPr>
            </w:pPr>
            <w:r>
              <w:rPr>
                <w:rFonts w:eastAsia="Calibri" w:cs="Calibri"/>
                <w:szCs w:val="24"/>
              </w:rPr>
              <w:t>2.0-2.9</w:t>
            </w:r>
          </w:p>
        </w:tc>
      </w:tr>
      <w:tr w:rsidR="00A67699" w14:paraId="379B3BE2" w14:textId="77777777" w:rsidTr="00A67699">
        <w:tc>
          <w:tcPr>
            <w:tcW w:w="4530" w:type="dxa"/>
          </w:tcPr>
          <w:p w14:paraId="3A5631F0" w14:textId="0998D0B1" w:rsidR="00A67699" w:rsidRDefault="00A67699" w:rsidP="00C91EFA">
            <w:pPr>
              <w:rPr>
                <w:rFonts w:eastAsia="Calibri" w:cs="Calibri"/>
                <w:szCs w:val="24"/>
              </w:rPr>
            </w:pPr>
            <w:r>
              <w:rPr>
                <w:rFonts w:eastAsia="Calibri" w:cs="Calibri"/>
                <w:szCs w:val="24"/>
              </w:rPr>
              <w:t>Hypothyroidism</w:t>
            </w:r>
          </w:p>
        </w:tc>
        <w:tc>
          <w:tcPr>
            <w:tcW w:w="4530" w:type="dxa"/>
          </w:tcPr>
          <w:p w14:paraId="17C69051" w14:textId="1ED65A2C" w:rsidR="00A67699" w:rsidRDefault="00A67699" w:rsidP="00C91EFA">
            <w:pPr>
              <w:rPr>
                <w:rFonts w:eastAsia="Calibri" w:cs="Calibri"/>
                <w:szCs w:val="24"/>
              </w:rPr>
            </w:pPr>
            <w:r>
              <w:rPr>
                <w:rFonts w:eastAsia="Calibri" w:cs="Calibri"/>
                <w:szCs w:val="24"/>
              </w:rPr>
              <w:t>1.9</w:t>
            </w:r>
          </w:p>
        </w:tc>
      </w:tr>
      <w:tr w:rsidR="00A67699" w14:paraId="3EE7150E" w14:textId="77777777" w:rsidTr="00A67699">
        <w:tc>
          <w:tcPr>
            <w:tcW w:w="4530" w:type="dxa"/>
          </w:tcPr>
          <w:p w14:paraId="5EF20BBD" w14:textId="77777777" w:rsidR="00A67699" w:rsidRDefault="00A67699" w:rsidP="00C91EFA">
            <w:pPr>
              <w:rPr>
                <w:rFonts w:eastAsia="Calibri" w:cs="Calibri"/>
                <w:szCs w:val="24"/>
              </w:rPr>
            </w:pPr>
            <w:r>
              <w:rPr>
                <w:rFonts w:eastAsia="Calibri" w:cs="Calibri"/>
                <w:szCs w:val="24"/>
              </w:rPr>
              <w:t xml:space="preserve">History </w:t>
            </w:r>
            <w:proofErr w:type="spellStart"/>
            <w:proofErr w:type="gramStart"/>
            <w:r>
              <w:rPr>
                <w:rFonts w:eastAsia="Calibri" w:cs="Calibri"/>
                <w:szCs w:val="24"/>
              </w:rPr>
              <w:t>od</w:t>
            </w:r>
            <w:proofErr w:type="spellEnd"/>
            <w:proofErr w:type="gramEnd"/>
            <w:r>
              <w:rPr>
                <w:rFonts w:eastAsia="Calibri" w:cs="Calibri"/>
                <w:szCs w:val="24"/>
              </w:rPr>
              <w:t xml:space="preserve"> adverse pregnancy outcomes</w:t>
            </w:r>
          </w:p>
          <w:p w14:paraId="114E87D3" w14:textId="77777777" w:rsidR="00A67699" w:rsidRDefault="00A67699" w:rsidP="00C91EFA">
            <w:pPr>
              <w:rPr>
                <w:rFonts w:eastAsia="Calibri" w:cs="Calibri"/>
                <w:szCs w:val="24"/>
              </w:rPr>
            </w:pPr>
            <w:r>
              <w:rPr>
                <w:rFonts w:eastAsia="Calibri" w:cs="Calibri"/>
                <w:szCs w:val="24"/>
              </w:rPr>
              <w:t>Macrosomia</w:t>
            </w:r>
          </w:p>
          <w:p w14:paraId="7C1DD79C" w14:textId="77777777" w:rsidR="00A67699" w:rsidRDefault="00A67699" w:rsidP="00C91EFA">
            <w:pPr>
              <w:rPr>
                <w:rFonts w:eastAsia="Calibri" w:cs="Calibri"/>
                <w:szCs w:val="24"/>
              </w:rPr>
            </w:pPr>
            <w:r>
              <w:rPr>
                <w:rFonts w:eastAsia="Calibri" w:cs="Calibri"/>
                <w:szCs w:val="24"/>
              </w:rPr>
              <w:t>Pre-term delivery</w:t>
            </w:r>
          </w:p>
          <w:p w14:paraId="6B4A6BC8" w14:textId="77777777" w:rsidR="00A67699" w:rsidRDefault="00A67699" w:rsidP="00C91EFA">
            <w:pPr>
              <w:rPr>
                <w:rFonts w:eastAsia="Calibri" w:cs="Calibri"/>
                <w:szCs w:val="24"/>
              </w:rPr>
            </w:pPr>
            <w:r>
              <w:rPr>
                <w:rFonts w:eastAsia="Calibri" w:cs="Calibri"/>
                <w:szCs w:val="24"/>
              </w:rPr>
              <w:t>Congenital anomaly</w:t>
            </w:r>
          </w:p>
          <w:p w14:paraId="47C27A94" w14:textId="77777777" w:rsidR="00A67699" w:rsidRDefault="00A67699" w:rsidP="00C91EFA">
            <w:pPr>
              <w:rPr>
                <w:rFonts w:eastAsia="Calibri" w:cs="Calibri"/>
                <w:szCs w:val="24"/>
              </w:rPr>
            </w:pPr>
            <w:r>
              <w:rPr>
                <w:rFonts w:eastAsia="Calibri" w:cs="Calibri"/>
                <w:szCs w:val="24"/>
              </w:rPr>
              <w:t>Still birth</w:t>
            </w:r>
          </w:p>
          <w:p w14:paraId="6FDBC37E" w14:textId="1AB29FF8" w:rsidR="00A67699" w:rsidRDefault="00A67699" w:rsidP="00C91EFA">
            <w:pPr>
              <w:rPr>
                <w:rFonts w:eastAsia="Calibri" w:cs="Calibri"/>
                <w:szCs w:val="24"/>
              </w:rPr>
            </w:pPr>
            <w:r>
              <w:rPr>
                <w:rFonts w:eastAsia="Calibri" w:cs="Calibri"/>
                <w:szCs w:val="24"/>
              </w:rPr>
              <w:t>Pregnancy-induced hypertension</w:t>
            </w:r>
          </w:p>
        </w:tc>
        <w:tc>
          <w:tcPr>
            <w:tcW w:w="4530" w:type="dxa"/>
          </w:tcPr>
          <w:p w14:paraId="3D1149C0" w14:textId="77777777" w:rsidR="00A67699" w:rsidRDefault="00A67699" w:rsidP="00C91EFA">
            <w:pPr>
              <w:rPr>
                <w:rFonts w:eastAsia="Calibri" w:cs="Calibri"/>
                <w:szCs w:val="24"/>
              </w:rPr>
            </w:pPr>
          </w:p>
          <w:p w14:paraId="1A5CAD9B" w14:textId="18778AB7" w:rsidR="00A67699" w:rsidRDefault="00A67699" w:rsidP="00C91EFA">
            <w:pPr>
              <w:rPr>
                <w:rFonts w:eastAsia="Calibri" w:cs="Calibri"/>
                <w:szCs w:val="24"/>
              </w:rPr>
            </w:pPr>
            <w:r>
              <w:rPr>
                <w:rFonts w:eastAsia="Calibri" w:cs="Calibri"/>
                <w:szCs w:val="24"/>
              </w:rPr>
              <w:t>2.5-4.4</w:t>
            </w:r>
          </w:p>
          <w:p w14:paraId="52839B5F" w14:textId="77777777" w:rsidR="00A67699" w:rsidRDefault="00A67699" w:rsidP="00C91EFA">
            <w:pPr>
              <w:rPr>
                <w:rFonts w:eastAsia="Calibri" w:cs="Calibri"/>
                <w:szCs w:val="24"/>
              </w:rPr>
            </w:pPr>
            <w:r>
              <w:rPr>
                <w:rFonts w:eastAsia="Calibri" w:cs="Calibri"/>
                <w:szCs w:val="24"/>
              </w:rPr>
              <w:t>1.9-3.0</w:t>
            </w:r>
          </w:p>
          <w:p w14:paraId="7F2DE57E" w14:textId="77777777" w:rsidR="00A67699" w:rsidRDefault="00A67699" w:rsidP="00C91EFA">
            <w:pPr>
              <w:rPr>
                <w:rFonts w:eastAsia="Calibri" w:cs="Calibri"/>
                <w:szCs w:val="24"/>
              </w:rPr>
            </w:pPr>
            <w:r>
              <w:rPr>
                <w:rFonts w:eastAsia="Calibri" w:cs="Calibri"/>
                <w:szCs w:val="24"/>
              </w:rPr>
              <w:t>3.2</w:t>
            </w:r>
          </w:p>
          <w:p w14:paraId="0279570F" w14:textId="77777777" w:rsidR="00A67699" w:rsidRDefault="00A67699" w:rsidP="00C91EFA">
            <w:pPr>
              <w:rPr>
                <w:rFonts w:eastAsia="Calibri" w:cs="Calibri"/>
                <w:szCs w:val="24"/>
              </w:rPr>
            </w:pPr>
            <w:r>
              <w:rPr>
                <w:rFonts w:eastAsia="Calibri" w:cs="Calibri"/>
                <w:szCs w:val="24"/>
              </w:rPr>
              <w:t>2.3-2.4</w:t>
            </w:r>
          </w:p>
          <w:p w14:paraId="5CE7AD10" w14:textId="005EBA80" w:rsidR="00A67699" w:rsidRDefault="00A67699" w:rsidP="00C91EFA">
            <w:pPr>
              <w:rPr>
                <w:rFonts w:eastAsia="Calibri" w:cs="Calibri"/>
                <w:szCs w:val="24"/>
              </w:rPr>
            </w:pPr>
            <w:r>
              <w:rPr>
                <w:rFonts w:eastAsia="Calibri" w:cs="Calibri"/>
                <w:szCs w:val="24"/>
              </w:rPr>
              <w:t>3.2</w:t>
            </w:r>
          </w:p>
        </w:tc>
      </w:tr>
      <w:tr w:rsidR="00A67699" w14:paraId="011D35BB" w14:textId="77777777" w:rsidTr="00A67699">
        <w:tc>
          <w:tcPr>
            <w:tcW w:w="4530" w:type="dxa"/>
          </w:tcPr>
          <w:p w14:paraId="128898F0" w14:textId="4B1208B2" w:rsidR="00A67699" w:rsidRDefault="00A67699" w:rsidP="00C91EFA">
            <w:pPr>
              <w:rPr>
                <w:rFonts w:eastAsia="Calibri" w:cs="Calibri"/>
                <w:szCs w:val="24"/>
              </w:rPr>
            </w:pPr>
            <w:r>
              <w:rPr>
                <w:rFonts w:eastAsia="Calibri" w:cs="Calibri"/>
                <w:szCs w:val="24"/>
              </w:rPr>
              <w:t>Multiparity</w:t>
            </w:r>
          </w:p>
        </w:tc>
        <w:tc>
          <w:tcPr>
            <w:tcW w:w="4530" w:type="dxa"/>
          </w:tcPr>
          <w:p w14:paraId="1D5FD93A" w14:textId="73999320" w:rsidR="00A67699" w:rsidRDefault="00A67699" w:rsidP="00C91EFA">
            <w:pPr>
              <w:rPr>
                <w:rFonts w:eastAsia="Calibri" w:cs="Calibri"/>
                <w:szCs w:val="24"/>
              </w:rPr>
            </w:pPr>
            <w:r>
              <w:rPr>
                <w:rFonts w:eastAsia="Calibri" w:cs="Calibri"/>
                <w:szCs w:val="24"/>
              </w:rPr>
              <w:t>1.4</w:t>
            </w:r>
          </w:p>
        </w:tc>
      </w:tr>
    </w:tbl>
    <w:p w14:paraId="7B9F3743" w14:textId="4DC9E544" w:rsidR="00A67699" w:rsidRDefault="00A67699" w:rsidP="0045381A">
      <w:pPr>
        <w:rPr>
          <w:rFonts w:eastAsia="Calibri" w:cs="Calibri"/>
          <w:szCs w:val="24"/>
        </w:rPr>
      </w:pPr>
    </w:p>
    <w:p w14:paraId="0B69A074" w14:textId="4842434F" w:rsidR="00C91EFA" w:rsidRDefault="00C91EFA" w:rsidP="00C91EFA">
      <w:pPr>
        <w:jc w:val="center"/>
      </w:pPr>
    </w:p>
    <w:p w14:paraId="6E3D46FF" w14:textId="77777777" w:rsidR="00C91EFA" w:rsidRDefault="00C91EFA" w:rsidP="00C91EFA">
      <w:pPr>
        <w:rPr>
          <w:rFonts w:eastAsia="Calibri" w:cs="Calibri"/>
          <w:szCs w:val="24"/>
        </w:rPr>
      </w:pPr>
      <w:r w:rsidRPr="71F4A9C8">
        <w:rPr>
          <w:rFonts w:eastAsia="Calibri" w:cs="Calibri"/>
          <w:szCs w:val="24"/>
        </w:rPr>
        <w:t>ADIPS 2024 Consensus Recommendations for the Screening, Diagnosis and Classification of Gestational Diabetes</w:t>
      </w:r>
    </w:p>
    <w:p w14:paraId="3FD9A211" w14:textId="77777777" w:rsidR="00C91EFA" w:rsidRDefault="00C91EFA" w:rsidP="00C91EFA">
      <w:pPr>
        <w:rPr>
          <w:rFonts w:cs="Calibri"/>
        </w:rPr>
      </w:pPr>
    </w:p>
    <w:p w14:paraId="1B2B42B7" w14:textId="77777777" w:rsidR="00C91EFA" w:rsidRDefault="00C91EFA" w:rsidP="00C91EFA">
      <w:pPr>
        <w:rPr>
          <w:b/>
          <w:bCs/>
        </w:rPr>
      </w:pPr>
      <w:r w:rsidRPr="71F4A9C8">
        <w:rPr>
          <w:b/>
          <w:bCs/>
        </w:rPr>
        <w:t xml:space="preserve">Routine screening for all women at 24-28 weeks </w:t>
      </w:r>
    </w:p>
    <w:p w14:paraId="65AB2678" w14:textId="77777777" w:rsidR="00C91EFA" w:rsidRDefault="00C91EFA" w:rsidP="00C91EFA">
      <w:pPr>
        <w:pStyle w:val="ListParagraph"/>
        <w:numPr>
          <w:ilvl w:val="0"/>
          <w:numId w:val="31"/>
        </w:numPr>
        <w:rPr>
          <w:rFonts w:cs="Calibri"/>
          <w:b/>
          <w:bCs/>
          <w:szCs w:val="24"/>
        </w:rPr>
      </w:pPr>
      <w:r w:rsidRPr="71F4A9C8">
        <w:t xml:space="preserve">All women (without diabetes already detected in the current pregnancy) should be advised to undergo a 75 g 2-h POGTT at 24-28 weeks’ gestation </w:t>
      </w:r>
    </w:p>
    <w:p w14:paraId="71EFA813" w14:textId="77777777" w:rsidR="00C91EFA" w:rsidRDefault="00C91EFA" w:rsidP="00C91EFA">
      <w:pPr>
        <w:pStyle w:val="BodyText"/>
        <w:rPr>
          <w:rFonts w:ascii="Calibri" w:hAnsi="Calibri" w:cs="Calibri"/>
          <w:lang w:val="en-AU"/>
        </w:rPr>
      </w:pPr>
    </w:p>
    <w:p w14:paraId="120FE2FB" w14:textId="77777777" w:rsidR="00C91EFA" w:rsidRPr="00D46764" w:rsidRDefault="00C91EFA" w:rsidP="00C91EFA">
      <w:pPr>
        <w:rPr>
          <w:rFonts w:eastAsia="Calibri" w:cs="Calibri"/>
          <w:szCs w:val="24"/>
          <w:u w:val="single"/>
        </w:rPr>
      </w:pPr>
      <w:r w:rsidRPr="00D46764">
        <w:rPr>
          <w:rFonts w:eastAsia="Calibri" w:cs="Calibri"/>
          <w:b/>
          <w:bCs/>
          <w:szCs w:val="24"/>
        </w:rPr>
        <w:t>Diagnosis of GDM irrespective of gestation</w:t>
      </w:r>
      <w:r w:rsidRPr="00D46764">
        <w:rPr>
          <w:rFonts w:eastAsia="Calibri" w:cs="Calibri"/>
          <w:szCs w:val="24"/>
          <w:u w:val="single"/>
        </w:rPr>
        <w:t xml:space="preserve"> </w:t>
      </w:r>
    </w:p>
    <w:p w14:paraId="06837740" w14:textId="77777777" w:rsidR="00C91EFA" w:rsidRDefault="00C91EFA" w:rsidP="00C91EFA">
      <w:pPr>
        <w:rPr>
          <w:rFonts w:eastAsia="Calibri" w:cs="Calibri"/>
          <w:szCs w:val="24"/>
        </w:rPr>
      </w:pPr>
      <w:r w:rsidRPr="71F4A9C8">
        <w:rPr>
          <w:rFonts w:eastAsia="Calibri" w:cs="Calibri"/>
          <w:szCs w:val="24"/>
        </w:rPr>
        <w:t xml:space="preserve">GDM is diagnosed using one or more of the following criteria during a 75 g 2-h POGTT: </w:t>
      </w:r>
    </w:p>
    <w:p w14:paraId="7C829156" w14:textId="77777777" w:rsidR="00C91EFA" w:rsidRDefault="00C91EFA" w:rsidP="00C91EFA">
      <w:pPr>
        <w:pStyle w:val="ListParagraph"/>
        <w:numPr>
          <w:ilvl w:val="0"/>
          <w:numId w:val="30"/>
        </w:numPr>
        <w:rPr>
          <w:rFonts w:eastAsia="Calibri" w:cs="Calibri"/>
          <w:szCs w:val="24"/>
        </w:rPr>
      </w:pPr>
      <w:r w:rsidRPr="71F4A9C8">
        <w:rPr>
          <w:rFonts w:eastAsia="Calibri" w:cs="Calibri"/>
          <w:szCs w:val="24"/>
        </w:rPr>
        <w:t xml:space="preserve">FPG ≥5.3 to 6.9 mmol/L </w:t>
      </w:r>
    </w:p>
    <w:p w14:paraId="380E8E33" w14:textId="77777777" w:rsidR="00C91EFA" w:rsidRDefault="00C91EFA" w:rsidP="00C91EFA">
      <w:pPr>
        <w:pStyle w:val="ListParagraph"/>
        <w:numPr>
          <w:ilvl w:val="0"/>
          <w:numId w:val="30"/>
        </w:numPr>
        <w:rPr>
          <w:rFonts w:eastAsia="Calibri" w:cs="Calibri"/>
          <w:szCs w:val="24"/>
        </w:rPr>
      </w:pPr>
      <w:r w:rsidRPr="71F4A9C8">
        <w:rPr>
          <w:rFonts w:eastAsia="Calibri" w:cs="Calibri"/>
          <w:szCs w:val="24"/>
        </w:rPr>
        <w:t xml:space="preserve">1-h plasma glucose (1hPG) ≥10.6 mmol/L </w:t>
      </w:r>
    </w:p>
    <w:p w14:paraId="2171FB0B" w14:textId="77777777" w:rsidR="00C91EFA" w:rsidRDefault="00C91EFA" w:rsidP="00C91EFA">
      <w:pPr>
        <w:pStyle w:val="ListParagraph"/>
        <w:numPr>
          <w:ilvl w:val="0"/>
          <w:numId w:val="30"/>
        </w:numPr>
        <w:rPr>
          <w:rFonts w:eastAsia="Calibri" w:cs="Calibri"/>
          <w:szCs w:val="24"/>
        </w:rPr>
      </w:pPr>
      <w:r w:rsidRPr="71F4A9C8">
        <w:rPr>
          <w:rFonts w:eastAsia="Calibri" w:cs="Calibri"/>
          <w:szCs w:val="24"/>
        </w:rPr>
        <w:t>2hPG ≥9.0 to 11.0 mmol/L</w:t>
      </w:r>
    </w:p>
    <w:p w14:paraId="2CB89789" w14:textId="77777777" w:rsidR="00C91EFA" w:rsidRDefault="00C91EFA" w:rsidP="00C91EFA">
      <w:pPr>
        <w:rPr>
          <w:rFonts w:cs="Arial"/>
        </w:rPr>
      </w:pPr>
      <w:r w:rsidRPr="71F4A9C8">
        <w:rPr>
          <w:rFonts w:cs="Arial"/>
        </w:rPr>
        <w:t xml:space="preserve">  </w:t>
      </w:r>
    </w:p>
    <w:p w14:paraId="409A21A2" w14:textId="77777777" w:rsidR="00C91EFA" w:rsidRPr="00AA07A4" w:rsidRDefault="00C91EFA" w:rsidP="00C91EFA">
      <w:pPr>
        <w:pBdr>
          <w:top w:val="single" w:sz="4" w:space="1" w:color="auto"/>
          <w:left w:val="single" w:sz="4" w:space="4" w:color="auto"/>
          <w:bottom w:val="single" w:sz="4" w:space="1" w:color="auto"/>
          <w:right w:val="single" w:sz="4" w:space="4" w:color="auto"/>
        </w:pBdr>
        <w:autoSpaceDE w:val="0"/>
        <w:autoSpaceDN w:val="0"/>
        <w:rPr>
          <w:rFonts w:cstheme="minorHAnsi"/>
          <w:color w:val="000000"/>
        </w:rPr>
      </w:pPr>
      <w:r>
        <w:rPr>
          <w:rFonts w:cstheme="minorHAnsi"/>
          <w:color w:val="000000"/>
        </w:rPr>
        <w:t xml:space="preserve">Note: Patients should be </w:t>
      </w:r>
      <w:r w:rsidRPr="00AA07A4">
        <w:rPr>
          <w:rFonts w:cstheme="minorHAnsi"/>
          <w:color w:val="000000"/>
        </w:rPr>
        <w:t xml:space="preserve">offered </w:t>
      </w:r>
      <w:r w:rsidRPr="00AA07A4">
        <w:rPr>
          <w:rFonts w:eastAsia="Microsoft Sans Serif" w:cs="Calibri"/>
          <w:spacing w:val="1"/>
          <w:szCs w:val="24"/>
          <w:lang w:val="en-US"/>
        </w:rPr>
        <w:t>t</w:t>
      </w:r>
      <w:r w:rsidRPr="00AA07A4">
        <w:rPr>
          <w:rFonts w:eastAsia="Microsoft Sans Serif" w:cs="Calibri"/>
          <w:szCs w:val="24"/>
          <w:lang w:val="en-US"/>
        </w:rPr>
        <w:t>esting for diabetes at any</w:t>
      </w:r>
      <w:r w:rsidRPr="00AA07A4">
        <w:rPr>
          <w:rFonts w:eastAsia="Microsoft Sans Serif" w:cs="Calibri"/>
          <w:spacing w:val="-2"/>
          <w:szCs w:val="24"/>
          <w:lang w:val="en-US"/>
        </w:rPr>
        <w:t xml:space="preserve"> </w:t>
      </w:r>
      <w:r w:rsidRPr="00AA07A4">
        <w:rPr>
          <w:rFonts w:eastAsia="Microsoft Sans Serif" w:cs="Calibri"/>
          <w:szCs w:val="24"/>
          <w:lang w:val="en-US"/>
        </w:rPr>
        <w:t>time</w:t>
      </w:r>
      <w:r w:rsidRPr="00AA07A4">
        <w:rPr>
          <w:rFonts w:eastAsia="Microsoft Sans Serif" w:cs="Calibri"/>
          <w:spacing w:val="1"/>
          <w:szCs w:val="24"/>
          <w:lang w:val="en-US"/>
        </w:rPr>
        <w:t xml:space="preserve"> </w:t>
      </w:r>
      <w:r w:rsidRPr="00AA07A4">
        <w:rPr>
          <w:rFonts w:eastAsia="Microsoft Sans Serif" w:cs="Calibri"/>
          <w:szCs w:val="24"/>
          <w:lang w:val="en-US"/>
        </w:rPr>
        <w:t>in</w:t>
      </w:r>
      <w:r w:rsidRPr="00AA07A4">
        <w:rPr>
          <w:rFonts w:eastAsia="Microsoft Sans Serif" w:cs="Calibri"/>
          <w:spacing w:val="1"/>
          <w:szCs w:val="24"/>
          <w:lang w:val="en-US"/>
        </w:rPr>
        <w:t xml:space="preserve"> </w:t>
      </w:r>
      <w:r w:rsidRPr="00AA07A4">
        <w:rPr>
          <w:rFonts w:eastAsia="Microsoft Sans Serif" w:cs="Calibri"/>
          <w:szCs w:val="24"/>
          <w:lang w:val="en-US"/>
        </w:rPr>
        <w:t>pregnancy</w:t>
      </w:r>
      <w:r w:rsidRPr="00AA07A4">
        <w:rPr>
          <w:rFonts w:eastAsia="Microsoft Sans Serif" w:cs="Calibri"/>
          <w:spacing w:val="-1"/>
          <w:szCs w:val="24"/>
          <w:lang w:val="en-US"/>
        </w:rPr>
        <w:t xml:space="preserve"> </w:t>
      </w:r>
      <w:r w:rsidRPr="00AA07A4">
        <w:rPr>
          <w:rFonts w:eastAsia="Microsoft Sans Serif" w:cs="Calibri"/>
          <w:szCs w:val="24"/>
          <w:lang w:val="en-US"/>
        </w:rPr>
        <w:t>if</w:t>
      </w:r>
      <w:r w:rsidRPr="00AA07A4">
        <w:rPr>
          <w:rFonts w:eastAsia="Microsoft Sans Serif" w:cs="Calibri"/>
          <w:spacing w:val="3"/>
          <w:szCs w:val="24"/>
          <w:lang w:val="en-US"/>
        </w:rPr>
        <w:t xml:space="preserve"> they develop clinical </w:t>
      </w:r>
      <w:r w:rsidRPr="00AA07A4">
        <w:rPr>
          <w:rFonts w:eastAsia="Microsoft Sans Serif" w:cs="Calibri"/>
          <w:szCs w:val="24"/>
          <w:lang w:val="en-US"/>
        </w:rPr>
        <w:t>symptoms</w:t>
      </w:r>
      <w:r w:rsidRPr="00AA07A4">
        <w:rPr>
          <w:rFonts w:eastAsia="Microsoft Sans Serif" w:cs="Calibri"/>
          <w:spacing w:val="-2"/>
          <w:szCs w:val="24"/>
          <w:lang w:val="en-US"/>
        </w:rPr>
        <w:t xml:space="preserve"> </w:t>
      </w:r>
      <w:r w:rsidRPr="00AA07A4">
        <w:rPr>
          <w:rFonts w:eastAsia="Microsoft Sans Serif" w:cs="Calibri"/>
          <w:szCs w:val="24"/>
          <w:lang w:val="en-US"/>
        </w:rPr>
        <w:t>or</w:t>
      </w:r>
      <w:r w:rsidRPr="00AA07A4">
        <w:rPr>
          <w:rFonts w:eastAsia="Microsoft Sans Serif" w:cs="Calibri"/>
          <w:spacing w:val="1"/>
          <w:szCs w:val="24"/>
          <w:lang w:val="en-US"/>
        </w:rPr>
        <w:t xml:space="preserve"> </w:t>
      </w:r>
      <w:r w:rsidRPr="00AA07A4">
        <w:rPr>
          <w:rFonts w:eastAsia="Microsoft Sans Serif" w:cs="Calibri"/>
          <w:szCs w:val="24"/>
          <w:lang w:val="en-US"/>
        </w:rPr>
        <w:t>other</w:t>
      </w:r>
      <w:r w:rsidRPr="00AA07A4">
        <w:rPr>
          <w:rFonts w:eastAsia="Microsoft Sans Serif" w:cs="Calibri"/>
          <w:spacing w:val="-1"/>
          <w:szCs w:val="24"/>
          <w:lang w:val="en-US"/>
        </w:rPr>
        <w:t xml:space="preserve"> </w:t>
      </w:r>
      <w:r w:rsidRPr="00AA07A4">
        <w:rPr>
          <w:rFonts w:eastAsia="Microsoft Sans Serif" w:cs="Calibri"/>
          <w:szCs w:val="24"/>
          <w:lang w:val="en-US"/>
        </w:rPr>
        <w:t>factors indicative of diabetes such</w:t>
      </w:r>
      <w:r w:rsidRPr="00AA07A4">
        <w:rPr>
          <w:rFonts w:eastAsia="Microsoft Sans Serif" w:cs="Calibri"/>
          <w:spacing w:val="-1"/>
          <w:szCs w:val="24"/>
          <w:lang w:val="en-US"/>
        </w:rPr>
        <w:t xml:space="preserve"> </w:t>
      </w:r>
      <w:r w:rsidRPr="00AA07A4">
        <w:rPr>
          <w:rFonts w:eastAsia="Microsoft Sans Serif" w:cs="Calibri"/>
          <w:szCs w:val="24"/>
          <w:lang w:val="en-US"/>
        </w:rPr>
        <w:t>as</w:t>
      </w:r>
      <w:r w:rsidRPr="00AA07A4">
        <w:rPr>
          <w:rFonts w:eastAsia="Microsoft Sans Serif" w:cs="Calibri"/>
          <w:spacing w:val="1"/>
          <w:szCs w:val="24"/>
          <w:lang w:val="en-US"/>
        </w:rPr>
        <w:t xml:space="preserve"> </w:t>
      </w:r>
      <w:r w:rsidRPr="00AA07A4">
        <w:rPr>
          <w:rFonts w:eastAsia="Microsoft Sans Serif" w:cs="Calibri"/>
          <w:szCs w:val="24"/>
          <w:lang w:val="en-US"/>
        </w:rPr>
        <w:t>heavy</w:t>
      </w:r>
      <w:r w:rsidRPr="00AA07A4">
        <w:rPr>
          <w:rFonts w:eastAsia="Microsoft Sans Serif" w:cs="Calibri"/>
          <w:spacing w:val="2"/>
          <w:szCs w:val="24"/>
          <w:lang w:val="en-US"/>
        </w:rPr>
        <w:t xml:space="preserve"> </w:t>
      </w:r>
      <w:r w:rsidRPr="00AA07A4">
        <w:rPr>
          <w:rFonts w:eastAsia="Microsoft Sans Serif" w:cs="Calibri"/>
          <w:szCs w:val="24"/>
          <w:lang w:val="en-US"/>
        </w:rPr>
        <w:t>glycosuria,</w:t>
      </w:r>
      <w:r w:rsidRPr="00AA07A4">
        <w:rPr>
          <w:rFonts w:eastAsia="Microsoft Sans Serif" w:cs="Calibri"/>
          <w:spacing w:val="-1"/>
          <w:szCs w:val="24"/>
          <w:lang w:val="en-US"/>
        </w:rPr>
        <w:t xml:space="preserve"> </w:t>
      </w:r>
      <w:r w:rsidRPr="00AA07A4">
        <w:rPr>
          <w:rFonts w:eastAsia="Microsoft Sans Serif" w:cs="Calibri"/>
          <w:szCs w:val="24"/>
          <w:lang w:val="en-US"/>
        </w:rPr>
        <w:t>fetal</w:t>
      </w:r>
      <w:r w:rsidRPr="00AA07A4">
        <w:rPr>
          <w:rFonts w:eastAsia="Microsoft Sans Serif" w:cs="Calibri"/>
          <w:spacing w:val="1"/>
          <w:szCs w:val="24"/>
          <w:lang w:val="en-US"/>
        </w:rPr>
        <w:t xml:space="preserve"> </w:t>
      </w:r>
      <w:r w:rsidRPr="00AA07A4">
        <w:rPr>
          <w:rFonts w:eastAsia="Microsoft Sans Serif" w:cs="Calibri"/>
          <w:szCs w:val="24"/>
          <w:lang w:val="en-US"/>
        </w:rPr>
        <w:t>macrosomia,</w:t>
      </w:r>
      <w:r w:rsidRPr="00AA07A4">
        <w:rPr>
          <w:rFonts w:eastAsia="Microsoft Sans Serif" w:cs="Calibri"/>
          <w:spacing w:val="1"/>
          <w:szCs w:val="24"/>
          <w:lang w:val="en-US"/>
        </w:rPr>
        <w:t xml:space="preserve"> </w:t>
      </w:r>
      <w:r w:rsidRPr="00AA07A4">
        <w:rPr>
          <w:rFonts w:eastAsia="Microsoft Sans Serif" w:cs="Calibri"/>
          <w:szCs w:val="24"/>
          <w:lang w:val="en-US"/>
        </w:rPr>
        <w:t>or</w:t>
      </w:r>
      <w:r>
        <w:rPr>
          <w:rFonts w:eastAsia="Microsoft Sans Serif" w:cs="Calibri"/>
          <w:szCs w:val="24"/>
          <w:lang w:val="en-US"/>
        </w:rPr>
        <w:t xml:space="preserve"> polyhydramnios.</w:t>
      </w:r>
    </w:p>
    <w:p w14:paraId="74092CE6" w14:textId="77777777" w:rsidR="00C91EFA" w:rsidRDefault="00C91EFA" w:rsidP="00C91EFA">
      <w:pPr>
        <w:rPr>
          <w:b/>
          <w:bCs/>
        </w:rPr>
      </w:pPr>
      <w:bookmarkStart w:id="15" w:name="_Toc116893331"/>
    </w:p>
    <w:p w14:paraId="1F0C66B9" w14:textId="77777777" w:rsidR="00C91EFA" w:rsidRPr="001C7B43" w:rsidRDefault="00C91EFA" w:rsidP="00C91EFA">
      <w:pPr>
        <w:rPr>
          <w:b/>
          <w:bCs/>
        </w:rPr>
      </w:pPr>
      <w:r w:rsidRPr="001C7B43">
        <w:rPr>
          <w:b/>
          <w:bCs/>
        </w:rPr>
        <w:t>Special considerations for GDM screening and diagnosis</w:t>
      </w:r>
      <w:bookmarkEnd w:id="15"/>
    </w:p>
    <w:p w14:paraId="39CD81BA" w14:textId="77777777" w:rsidR="00C91EFA" w:rsidRPr="002577B7" w:rsidRDefault="00C91EFA" w:rsidP="00C91EFA">
      <w:pPr>
        <w:pStyle w:val="ListParagraph"/>
        <w:numPr>
          <w:ilvl w:val="0"/>
          <w:numId w:val="16"/>
        </w:numPr>
        <w:rPr>
          <w:szCs w:val="24"/>
        </w:rPr>
      </w:pPr>
      <w:r w:rsidRPr="71F4A9C8">
        <w:t xml:space="preserve"> </w:t>
      </w:r>
      <w:r w:rsidRPr="00D46764">
        <w:rPr>
          <w:b/>
          <w:bCs/>
        </w:rPr>
        <w:t>Overt diabetes in pregnancy (overt DIP)</w:t>
      </w:r>
    </w:p>
    <w:p w14:paraId="1BF69118" w14:textId="77777777" w:rsidR="00C91EFA" w:rsidRPr="002577B7" w:rsidRDefault="00C91EFA" w:rsidP="00C91EFA">
      <w:pPr>
        <w:pStyle w:val="ListParagraph"/>
        <w:numPr>
          <w:ilvl w:val="0"/>
          <w:numId w:val="37"/>
        </w:numPr>
        <w:rPr>
          <w:szCs w:val="24"/>
        </w:rPr>
      </w:pPr>
      <w:r w:rsidRPr="71F4A9C8">
        <w:t>Overt diabetes in pregnancy (overt DIP) should be diagnosed at any time in pregnancy if one or more of the following criteria are met:</w:t>
      </w:r>
    </w:p>
    <w:p w14:paraId="5D28F4FF" w14:textId="77777777" w:rsidR="00C91EFA" w:rsidRPr="002577B7" w:rsidRDefault="00C91EFA" w:rsidP="00C91EFA">
      <w:pPr>
        <w:pStyle w:val="ListParagraph"/>
        <w:numPr>
          <w:ilvl w:val="0"/>
          <w:numId w:val="36"/>
        </w:numPr>
        <w:rPr>
          <w:szCs w:val="24"/>
        </w:rPr>
      </w:pPr>
      <w:r w:rsidRPr="71F4A9C8">
        <w:t xml:space="preserve">Fasting plasma glucose (FPG) ≥7.0 mmol/L </w:t>
      </w:r>
    </w:p>
    <w:p w14:paraId="074BCC15" w14:textId="77777777" w:rsidR="00C91EFA" w:rsidRPr="002577B7" w:rsidRDefault="00C91EFA" w:rsidP="00C91EFA">
      <w:pPr>
        <w:pStyle w:val="ListParagraph"/>
        <w:numPr>
          <w:ilvl w:val="0"/>
          <w:numId w:val="36"/>
        </w:numPr>
        <w:rPr>
          <w:szCs w:val="24"/>
        </w:rPr>
      </w:pPr>
      <w:r w:rsidRPr="71F4A9C8">
        <w:t xml:space="preserve">2-h plasma glucose (2hPG) ≥11.1 mmol/L following a 75 g 2-h pregnancy oral glucose tolerance test (POGTT) </w:t>
      </w:r>
    </w:p>
    <w:p w14:paraId="01E0F542" w14:textId="77777777" w:rsidR="00C91EFA" w:rsidRPr="002577B7" w:rsidRDefault="00C91EFA" w:rsidP="00C91EFA">
      <w:pPr>
        <w:pStyle w:val="ListParagraph"/>
        <w:numPr>
          <w:ilvl w:val="0"/>
          <w:numId w:val="36"/>
        </w:numPr>
        <w:rPr>
          <w:szCs w:val="24"/>
        </w:rPr>
      </w:pPr>
      <w:r w:rsidRPr="71F4A9C8">
        <w:t>Haemoglobin A1c (HbA1c) ≥6.5% (≥48 mmol/mol)</w:t>
      </w:r>
    </w:p>
    <w:p w14:paraId="2E2D9E39" w14:textId="77777777" w:rsidR="00C91EFA" w:rsidRPr="002577B7" w:rsidRDefault="00C91EFA" w:rsidP="00C91EFA">
      <w:pPr>
        <w:rPr>
          <w:szCs w:val="24"/>
        </w:rPr>
      </w:pPr>
    </w:p>
    <w:p w14:paraId="271BC1DC" w14:textId="77777777" w:rsidR="00C91EFA" w:rsidRPr="00F47555" w:rsidRDefault="00C91EFA" w:rsidP="00C91EFA">
      <w:pPr>
        <w:pStyle w:val="ListBullet"/>
        <w:tabs>
          <w:tab w:val="clear" w:pos="644"/>
          <w:tab w:val="num" w:pos="284"/>
          <w:tab w:val="num" w:pos="1440"/>
        </w:tabs>
      </w:pPr>
    </w:p>
    <w:p w14:paraId="6EE8D489" w14:textId="77777777" w:rsidR="00C91EFA" w:rsidRDefault="00C91EFA" w:rsidP="00C91EFA">
      <w:pPr>
        <w:pStyle w:val="BodyText"/>
        <w:rPr>
          <w:rFonts w:ascii="Calibri" w:hAnsi="Calibri" w:cs="Calibri"/>
          <w:bCs/>
          <w:lang w:val="en-AU"/>
        </w:rPr>
      </w:pPr>
      <w:r w:rsidRPr="71F4A9C8">
        <w:rPr>
          <w:rFonts w:cs="Arial"/>
        </w:rPr>
        <w:t>Patients with identified risk factors for the development of GDM (see Table 1) should be offered early screening (see Section 2)</w:t>
      </w:r>
    </w:p>
    <w:p w14:paraId="752E6DC6" w14:textId="77777777" w:rsidR="00C91EFA" w:rsidRDefault="00C91EFA" w:rsidP="00C91EFA">
      <w:pPr>
        <w:ind w:left="720" w:firstLine="720"/>
        <w:rPr>
          <w:rFonts w:eastAsia="Calibri" w:cs="Calibri"/>
          <w:szCs w:val="24"/>
        </w:rPr>
      </w:pPr>
    </w:p>
    <w:p w14:paraId="11363540" w14:textId="77777777" w:rsidR="00C91EFA" w:rsidRDefault="00C91EFA" w:rsidP="00C91EFA">
      <w:pPr>
        <w:pStyle w:val="BodyText"/>
        <w:rPr>
          <w:rFonts w:ascii="Calibri" w:hAnsi="Calibri" w:cs="Calibri"/>
          <w:bCs/>
          <w:lang w:val="en-AU"/>
        </w:rPr>
      </w:pPr>
      <w:r>
        <w:rPr>
          <w:rFonts w:ascii="Calibri" w:hAnsi="Calibri" w:cs="Calibri"/>
          <w:bCs/>
          <w:lang w:val="en-AU"/>
        </w:rPr>
        <w:t>Def</w:t>
      </w:r>
      <w:r w:rsidRPr="00EA1F11">
        <w:rPr>
          <w:rFonts w:ascii="Calibri" w:hAnsi="Calibri" w:cs="Calibri"/>
          <w:bCs/>
          <w:lang w:val="en-AU"/>
        </w:rPr>
        <w:t xml:space="preserve">initive diagnosis of non-gestational diabetes </w:t>
      </w:r>
      <w:r>
        <w:rPr>
          <w:rFonts w:ascii="Calibri" w:hAnsi="Calibri" w:cs="Calibri"/>
          <w:bCs/>
          <w:lang w:val="en-AU"/>
        </w:rPr>
        <w:t xml:space="preserve">is required during </w:t>
      </w:r>
      <w:r w:rsidRPr="00EA1F11">
        <w:rPr>
          <w:rFonts w:ascii="Calibri" w:hAnsi="Calibri" w:cs="Calibri"/>
          <w:bCs/>
          <w:lang w:val="en-AU"/>
        </w:rPr>
        <w:t>the post- partum period</w:t>
      </w:r>
      <w:r>
        <w:rPr>
          <w:rFonts w:ascii="Calibri" w:hAnsi="Calibri" w:cs="Calibri"/>
          <w:bCs/>
          <w:lang w:val="en-AU"/>
        </w:rPr>
        <w:t xml:space="preserve"> to avoid potential health complications associated with diabetes mellitus.</w:t>
      </w:r>
    </w:p>
    <w:p w14:paraId="67A59683" w14:textId="77777777" w:rsidR="00C91EFA" w:rsidRDefault="00C91EFA" w:rsidP="00C91EFA">
      <w:pPr>
        <w:pStyle w:val="BodyText"/>
        <w:numPr>
          <w:ilvl w:val="0"/>
          <w:numId w:val="16"/>
        </w:numPr>
        <w:ind w:left="360"/>
        <w:rPr>
          <w:rFonts w:ascii="Calibri" w:hAnsi="Calibri" w:cs="Calibri"/>
        </w:rPr>
      </w:pPr>
      <w:r w:rsidRPr="00D46764">
        <w:rPr>
          <w:rFonts w:ascii="Calibri" w:hAnsi="Calibri" w:cs="Calibri"/>
          <w:b/>
        </w:rPr>
        <w:t>GDM screening for patients who have had bariatric surgery</w:t>
      </w:r>
    </w:p>
    <w:p w14:paraId="568C1D9E" w14:textId="77777777" w:rsidR="00C91EFA" w:rsidRDefault="00C91EFA" w:rsidP="00C91EFA">
      <w:pPr>
        <w:pStyle w:val="BodyText"/>
        <w:rPr>
          <w:rFonts w:ascii="Calibri" w:hAnsi="Calibri" w:cs="Calibri"/>
        </w:rPr>
      </w:pPr>
      <w:r>
        <w:rPr>
          <w:rFonts w:ascii="Calibri" w:hAnsi="Calibri" w:cs="Calibri"/>
        </w:rPr>
        <w:t>Patients</w:t>
      </w:r>
      <w:r w:rsidRPr="005E6A7D">
        <w:rPr>
          <w:rFonts w:ascii="Calibri" w:hAnsi="Calibri" w:cs="Calibri"/>
        </w:rPr>
        <w:t xml:space="preserve"> who have had bariatric surgery may not tolerate the 75-g glucose solution</w:t>
      </w:r>
      <w:r>
        <w:rPr>
          <w:rFonts w:ascii="Calibri" w:hAnsi="Calibri" w:cs="Calibri"/>
        </w:rPr>
        <w:t xml:space="preserve">. </w:t>
      </w:r>
      <w:r w:rsidRPr="005E6A7D">
        <w:rPr>
          <w:rFonts w:ascii="Calibri" w:hAnsi="Calibri" w:cs="Calibri"/>
        </w:rPr>
        <w:t>Alternative screening methods, such as Fasting Plasma Glucose</w:t>
      </w:r>
      <w:r>
        <w:rPr>
          <w:rFonts w:ascii="Calibri" w:hAnsi="Calibri" w:cs="Calibri"/>
        </w:rPr>
        <w:t>,</w:t>
      </w:r>
      <w:r w:rsidRPr="005E6A7D">
        <w:rPr>
          <w:rFonts w:ascii="Calibri" w:hAnsi="Calibri" w:cs="Calibri"/>
        </w:rPr>
        <w:t xml:space="preserve"> HbA1c or home glucose monitoring, should be considered in patients who have undergone restrictive/malabsorptive surgery.</w:t>
      </w:r>
    </w:p>
    <w:p w14:paraId="5859242B" w14:textId="77777777" w:rsidR="00C91EFA" w:rsidRPr="005E6A7D" w:rsidRDefault="00C91EFA" w:rsidP="00C91EFA">
      <w:pPr>
        <w:rPr>
          <w:rFonts w:cs="Arial"/>
        </w:rPr>
      </w:pPr>
    </w:p>
    <w:p w14:paraId="6ECD636E" w14:textId="77777777" w:rsidR="00C91EFA" w:rsidRDefault="00C91EFA" w:rsidP="00C91EFA">
      <w:pPr>
        <w:pStyle w:val="BodyText"/>
        <w:ind w:left="5760" w:firstLine="720"/>
        <w:rPr>
          <w:rFonts w:ascii="Calibri" w:hAnsi="Calibri" w:cs="Calibri"/>
        </w:rPr>
      </w:pPr>
      <w:hyperlink w:anchor="Contents" w:history="1">
        <w:r w:rsidRPr="002B2599">
          <w:rPr>
            <w:rStyle w:val="Hyperlink"/>
            <w:rFonts w:ascii="Calibri" w:eastAsiaTheme="majorEastAsia" w:hAnsi="Calibri" w:cs="Calibri"/>
            <w:i/>
          </w:rPr>
          <w:t>Back to Table of Contents</w:t>
        </w:r>
      </w:hyperlink>
    </w:p>
    <w:tbl>
      <w:tblPr>
        <w:tblpPr w:leftFromText="180" w:rightFromText="180" w:vertAnchor="text" w:horzAnchor="margin" w:tblpY="279"/>
        <w:tblW w:w="9300" w:type="dxa"/>
        <w:tblLook w:val="0000" w:firstRow="0" w:lastRow="0" w:firstColumn="0" w:lastColumn="0" w:noHBand="0" w:noVBand="0"/>
      </w:tblPr>
      <w:tblGrid>
        <w:gridCol w:w="9300"/>
      </w:tblGrid>
      <w:tr w:rsidR="00C91EFA" w:rsidRPr="00DD25CD" w14:paraId="502C8ACD" w14:textId="77777777" w:rsidTr="00B3038D">
        <w:trPr>
          <w:cantSplit/>
          <w:trHeight w:val="285"/>
        </w:trPr>
        <w:tc>
          <w:tcPr>
            <w:tcW w:w="9300" w:type="dxa"/>
            <w:shd w:val="clear" w:color="auto" w:fill="D9D9D9" w:themeFill="background1" w:themeFillShade="D9"/>
          </w:tcPr>
          <w:p w14:paraId="586C5CAF" w14:textId="77777777" w:rsidR="00C91EFA" w:rsidRPr="00551BB6" w:rsidRDefault="00C91EFA" w:rsidP="00B3038D">
            <w:pPr>
              <w:pStyle w:val="Heading1"/>
              <w:rPr>
                <w:sz w:val="24"/>
                <w:szCs w:val="24"/>
              </w:rPr>
            </w:pPr>
            <w:bookmarkStart w:id="16" w:name="_Toc116893332"/>
            <w:bookmarkStart w:id="17" w:name="_Toc126585725"/>
            <w:r w:rsidRPr="00DD25CD">
              <w:t>Section</w:t>
            </w:r>
            <w:r>
              <w:t xml:space="preserve"> 2</w:t>
            </w:r>
            <w:r w:rsidRPr="00DD25CD">
              <w:t xml:space="preserve"> </w:t>
            </w:r>
            <w:r>
              <w:t>-</w:t>
            </w:r>
            <w:r w:rsidRPr="00DD25CD">
              <w:t xml:space="preserve"> </w:t>
            </w:r>
            <w:r>
              <w:t>Early screening for GDM</w:t>
            </w:r>
            <w:bookmarkEnd w:id="16"/>
            <w:bookmarkEnd w:id="17"/>
            <w:r>
              <w:t xml:space="preserve"> </w:t>
            </w:r>
          </w:p>
        </w:tc>
      </w:tr>
    </w:tbl>
    <w:p w14:paraId="57D5C385" w14:textId="77777777" w:rsidR="00C91EFA" w:rsidRDefault="00C91EFA" w:rsidP="00C91EFA"/>
    <w:p w14:paraId="3EBAB87B" w14:textId="77777777" w:rsidR="00C91EFA" w:rsidRDefault="00C91EFA" w:rsidP="00C91EFA">
      <w:pPr>
        <w:rPr>
          <w:rFonts w:cs="Calibri"/>
          <w:bCs/>
        </w:rPr>
      </w:pPr>
      <w:r>
        <w:t xml:space="preserve">Patients with risk factors for GDM </w:t>
      </w:r>
      <w:r w:rsidRPr="00EF785F">
        <w:t>(see Section 1)</w:t>
      </w:r>
      <w:r>
        <w:rPr>
          <w:b/>
          <w:bCs/>
        </w:rPr>
        <w:t xml:space="preserve"> </w:t>
      </w:r>
      <w:r>
        <w:t xml:space="preserve">should be offered diabetes screening pre-conception or as soon as practicable after confirmation of pregnancy (preferably before 20 weeks completed gestation). </w:t>
      </w:r>
    </w:p>
    <w:p w14:paraId="1C44277E" w14:textId="77777777" w:rsidR="00C91EFA" w:rsidRDefault="00C91EFA" w:rsidP="00C91EFA">
      <w:pPr>
        <w:rPr>
          <w:rFonts w:cs="Calibri"/>
        </w:rPr>
      </w:pPr>
    </w:p>
    <w:p w14:paraId="7DABDA52" w14:textId="77777777" w:rsidR="00C91EFA" w:rsidRDefault="00C91EFA" w:rsidP="00C91EFA">
      <w:pPr>
        <w:rPr>
          <w:rFonts w:eastAsia="Calibri" w:cs="Calibri"/>
          <w:b/>
          <w:bCs/>
          <w:szCs w:val="24"/>
        </w:rPr>
      </w:pPr>
      <w:r w:rsidRPr="00D46764">
        <w:rPr>
          <w:rFonts w:eastAsia="Calibri" w:cs="Calibri"/>
          <w:b/>
          <w:bCs/>
          <w:szCs w:val="24"/>
        </w:rPr>
        <w:lastRenderedPageBreak/>
        <w:t xml:space="preserve">First trimester screening for women with risk factors </w:t>
      </w:r>
      <w:r>
        <w:rPr>
          <w:rFonts w:eastAsia="Calibri" w:cs="Calibri"/>
          <w:b/>
          <w:bCs/>
          <w:szCs w:val="24"/>
        </w:rPr>
        <w:t>for hyperglycaemia (HbA1c testing)</w:t>
      </w:r>
    </w:p>
    <w:p w14:paraId="44E37BEB" w14:textId="77777777" w:rsidR="00C91EFA" w:rsidRDefault="00C91EFA" w:rsidP="00C91EFA">
      <w:pPr>
        <w:pStyle w:val="ListParagraph"/>
        <w:numPr>
          <w:ilvl w:val="0"/>
          <w:numId w:val="32"/>
        </w:numPr>
        <w:rPr>
          <w:rFonts w:eastAsia="Calibri" w:cs="Calibri"/>
          <w:szCs w:val="24"/>
        </w:rPr>
      </w:pPr>
      <w:r w:rsidRPr="71F4A9C8">
        <w:rPr>
          <w:rFonts w:eastAsia="Calibri" w:cs="Calibri"/>
          <w:szCs w:val="24"/>
        </w:rPr>
        <w:t xml:space="preserve">Women with risk factors for hyperglycaemia in pregnancy </w:t>
      </w:r>
      <w:r>
        <w:rPr>
          <w:rFonts w:eastAsia="Calibri" w:cs="Calibri"/>
          <w:szCs w:val="24"/>
        </w:rPr>
        <w:t xml:space="preserve">(Table 1) </w:t>
      </w:r>
      <w:r w:rsidRPr="71F4A9C8">
        <w:rPr>
          <w:rFonts w:eastAsia="Calibri" w:cs="Calibri"/>
          <w:szCs w:val="24"/>
        </w:rPr>
        <w:t>should be advised to have an HbA1c measured in the first trimester.</w:t>
      </w:r>
    </w:p>
    <w:p w14:paraId="6615B139" w14:textId="77777777" w:rsidR="00C91EFA" w:rsidRDefault="00C91EFA" w:rsidP="00C91EFA">
      <w:pPr>
        <w:pStyle w:val="ListParagraph"/>
        <w:numPr>
          <w:ilvl w:val="0"/>
          <w:numId w:val="32"/>
        </w:numPr>
        <w:rPr>
          <w:rFonts w:eastAsia="Calibri" w:cs="Calibri"/>
          <w:szCs w:val="24"/>
        </w:rPr>
      </w:pPr>
      <w:r w:rsidRPr="71F4A9C8">
        <w:rPr>
          <w:rFonts w:eastAsia="Calibri" w:cs="Calibri"/>
          <w:szCs w:val="24"/>
        </w:rPr>
        <w:t>Women with HbA1c ≥6.5% (≥48 mmol/mol) should be diagnosed and managed as having overt DIP</w:t>
      </w:r>
      <w:r>
        <w:rPr>
          <w:rFonts w:eastAsia="Calibri" w:cs="Calibri"/>
          <w:szCs w:val="24"/>
        </w:rPr>
        <w:t>.</w:t>
      </w:r>
    </w:p>
    <w:p w14:paraId="693CC327" w14:textId="77777777" w:rsidR="00C91EFA" w:rsidRDefault="00C91EFA" w:rsidP="00C91EFA">
      <w:pPr>
        <w:rPr>
          <w:rFonts w:cs="Calibri"/>
        </w:rPr>
      </w:pPr>
    </w:p>
    <w:p w14:paraId="5B179B23" w14:textId="77777777" w:rsidR="00C91EFA" w:rsidRDefault="00C91EFA" w:rsidP="00C91EFA">
      <w:pPr>
        <w:rPr>
          <w:rFonts w:eastAsia="Calibri" w:cs="Calibri"/>
          <w:b/>
          <w:bCs/>
          <w:szCs w:val="24"/>
        </w:rPr>
      </w:pPr>
      <w:r w:rsidRPr="00D46764">
        <w:rPr>
          <w:rFonts w:eastAsia="Calibri" w:cs="Calibri"/>
          <w:b/>
          <w:bCs/>
          <w:szCs w:val="24"/>
        </w:rPr>
        <w:t xml:space="preserve">Early screening for women with a history of GDM or elevated HbA1c </w:t>
      </w:r>
    </w:p>
    <w:p w14:paraId="33A7841A" w14:textId="77777777" w:rsidR="00C91EFA" w:rsidRDefault="00C91EFA" w:rsidP="00C91EFA">
      <w:pPr>
        <w:pStyle w:val="ListParagraph"/>
        <w:numPr>
          <w:ilvl w:val="0"/>
          <w:numId w:val="39"/>
        </w:numPr>
        <w:rPr>
          <w:rFonts w:eastAsia="Calibri" w:cs="Calibri"/>
          <w:szCs w:val="24"/>
        </w:rPr>
      </w:pPr>
      <w:r w:rsidRPr="00E50609">
        <w:rPr>
          <w:rFonts w:eastAsia="Calibri" w:cs="Calibri"/>
          <w:szCs w:val="24"/>
        </w:rPr>
        <w:t xml:space="preserve">Early GDM screening is required for: </w:t>
      </w:r>
    </w:p>
    <w:p w14:paraId="3C83B2FC" w14:textId="77777777" w:rsidR="00C91EFA" w:rsidRDefault="00C91EFA" w:rsidP="00C91EFA">
      <w:pPr>
        <w:pStyle w:val="ListParagraph"/>
        <w:numPr>
          <w:ilvl w:val="1"/>
          <w:numId w:val="39"/>
        </w:numPr>
        <w:rPr>
          <w:rFonts w:eastAsia="Calibri" w:cs="Calibri"/>
          <w:szCs w:val="24"/>
        </w:rPr>
      </w:pPr>
      <w:r w:rsidRPr="00E50609">
        <w:rPr>
          <w:rFonts w:eastAsia="Calibri" w:cs="Calibri"/>
          <w:szCs w:val="24"/>
        </w:rPr>
        <w:t>Women with a prev</w:t>
      </w:r>
      <w:r>
        <w:rPr>
          <w:rFonts w:eastAsia="Calibri" w:cs="Calibri"/>
          <w:szCs w:val="24"/>
        </w:rPr>
        <w:t>ious history of GDM, or</w:t>
      </w:r>
    </w:p>
    <w:p w14:paraId="237649B6" w14:textId="77777777" w:rsidR="00C91EFA" w:rsidRDefault="00C91EFA" w:rsidP="00C91EFA">
      <w:pPr>
        <w:pStyle w:val="ListParagraph"/>
        <w:numPr>
          <w:ilvl w:val="1"/>
          <w:numId w:val="39"/>
        </w:numPr>
        <w:rPr>
          <w:rFonts w:eastAsia="Calibri" w:cs="Calibri"/>
          <w:szCs w:val="24"/>
        </w:rPr>
      </w:pPr>
      <w:r>
        <w:rPr>
          <w:rFonts w:eastAsia="Calibri" w:cs="Calibri"/>
          <w:szCs w:val="24"/>
        </w:rPr>
        <w:t>Women with an early pregnancy HbA1c</w:t>
      </w:r>
      <w:r w:rsidRPr="00E50609">
        <w:rPr>
          <w:rFonts w:eastAsia="Calibri" w:cs="Calibri"/>
          <w:szCs w:val="24"/>
        </w:rPr>
        <w:t xml:space="preserve"> ≥6.0 to 6.4% (42-47 mmol/mol) who do not have previously diagnosed diabetes</w:t>
      </w:r>
      <w:r>
        <w:rPr>
          <w:rFonts w:eastAsia="Calibri" w:cs="Calibri"/>
          <w:szCs w:val="24"/>
        </w:rPr>
        <w:t>.</w:t>
      </w:r>
    </w:p>
    <w:p w14:paraId="0BF68EA2" w14:textId="77777777" w:rsidR="00C91EFA" w:rsidRPr="00E50609" w:rsidRDefault="00C91EFA" w:rsidP="00C91EFA">
      <w:pPr>
        <w:pStyle w:val="ListParagraph"/>
        <w:numPr>
          <w:ilvl w:val="0"/>
          <w:numId w:val="39"/>
        </w:numPr>
        <w:rPr>
          <w:rFonts w:eastAsia="Calibri" w:cs="Calibri"/>
          <w:szCs w:val="24"/>
        </w:rPr>
      </w:pPr>
      <w:r>
        <w:rPr>
          <w:rFonts w:eastAsia="Calibri" w:cs="Calibri"/>
          <w:szCs w:val="24"/>
        </w:rPr>
        <w:t xml:space="preserve">Testing should ideally occur between 10-14 weeks gestation and prior to 20 weeks gestation. </w:t>
      </w:r>
    </w:p>
    <w:p w14:paraId="0CCA8338" w14:textId="77777777" w:rsidR="00C91EFA" w:rsidRDefault="00C91EFA" w:rsidP="00C91EFA">
      <w:pPr>
        <w:rPr>
          <w:rFonts w:cs="Calibri"/>
        </w:rPr>
      </w:pPr>
    </w:p>
    <w:p w14:paraId="5018AED2" w14:textId="77777777" w:rsidR="00C91EFA" w:rsidRPr="002577B7" w:rsidRDefault="00C91EFA" w:rsidP="00C91EFA">
      <w:pPr>
        <w:pBdr>
          <w:top w:val="single" w:sz="4" w:space="1" w:color="auto"/>
          <w:left w:val="single" w:sz="4" w:space="4" w:color="auto"/>
          <w:bottom w:val="single" w:sz="4" w:space="1" w:color="auto"/>
          <w:right w:val="single" w:sz="4" w:space="4" w:color="auto"/>
        </w:pBdr>
        <w:autoSpaceDE w:val="0"/>
        <w:autoSpaceDN w:val="0"/>
        <w:rPr>
          <w:rFonts w:cs="Calibri"/>
        </w:rPr>
      </w:pPr>
      <w:r>
        <w:rPr>
          <w:rFonts w:cs="Calibri"/>
        </w:rPr>
        <w:t xml:space="preserve">Note: </w:t>
      </w:r>
      <w:r w:rsidRPr="002577B7">
        <w:rPr>
          <w:rFonts w:cstheme="minorHAnsi"/>
          <w:color w:val="000000"/>
        </w:rPr>
        <w:t xml:space="preserve">If early screening for GDM </w:t>
      </w:r>
      <w:r>
        <w:rPr>
          <w:rFonts w:cstheme="minorHAnsi"/>
          <w:color w:val="000000"/>
        </w:rPr>
        <w:t>in patients with risk factors is</w:t>
      </w:r>
      <w:r w:rsidRPr="002577B7">
        <w:rPr>
          <w:rFonts w:cstheme="minorHAnsi"/>
          <w:color w:val="000000"/>
        </w:rPr>
        <w:t xml:space="preserve"> normal, screening should be repeated between 24-28 weeks.</w:t>
      </w:r>
    </w:p>
    <w:p w14:paraId="5DF77FF6" w14:textId="77777777" w:rsidR="00C91EFA" w:rsidRPr="00767603" w:rsidRDefault="00C91EFA" w:rsidP="00C91EFA">
      <w:pPr>
        <w:pStyle w:val="ListParagraph"/>
        <w:autoSpaceDE w:val="0"/>
        <w:autoSpaceDN w:val="0"/>
        <w:ind w:left="927"/>
        <w:rPr>
          <w:rFonts w:cstheme="minorHAnsi"/>
          <w:b/>
          <w:bCs/>
          <w:color w:val="000000"/>
        </w:rPr>
      </w:pPr>
    </w:p>
    <w:p w14:paraId="7AF4D9C1" w14:textId="77777777" w:rsidR="00C91EFA" w:rsidRPr="002B2599" w:rsidRDefault="00C91EFA" w:rsidP="00C91EFA">
      <w:pPr>
        <w:pStyle w:val="BodyText"/>
        <w:ind w:left="5760" w:firstLine="720"/>
        <w:rPr>
          <w:rFonts w:ascii="Calibri" w:hAnsi="Calibri" w:cs="Calibri"/>
          <w:b/>
          <w:bCs/>
        </w:rPr>
      </w:pPr>
      <w:hyperlink w:anchor="Contents" w:history="1">
        <w:r w:rsidRPr="002B2599">
          <w:rPr>
            <w:rStyle w:val="Hyperlink"/>
            <w:rFonts w:ascii="Calibri" w:eastAsiaTheme="majorEastAsia" w:hAnsi="Calibri" w:cs="Calibri"/>
            <w:i/>
          </w:rPr>
          <w:t>Back to Table of Contents</w:t>
        </w:r>
      </w:hyperlink>
    </w:p>
    <w:tbl>
      <w:tblPr>
        <w:tblpPr w:leftFromText="180" w:rightFromText="180" w:vertAnchor="text" w:horzAnchor="margin" w:tblpY="116"/>
        <w:tblW w:w="9300" w:type="dxa"/>
        <w:tblLook w:val="0000" w:firstRow="0" w:lastRow="0" w:firstColumn="0" w:lastColumn="0" w:noHBand="0" w:noVBand="0"/>
      </w:tblPr>
      <w:tblGrid>
        <w:gridCol w:w="9300"/>
      </w:tblGrid>
      <w:tr w:rsidR="00C91EFA" w:rsidRPr="00DD25CD" w14:paraId="66118624" w14:textId="77777777" w:rsidTr="00B3038D">
        <w:trPr>
          <w:cantSplit/>
          <w:trHeight w:val="285"/>
        </w:trPr>
        <w:tc>
          <w:tcPr>
            <w:tcW w:w="9300" w:type="dxa"/>
            <w:shd w:val="clear" w:color="auto" w:fill="D9D9D9" w:themeFill="background1" w:themeFillShade="D9"/>
          </w:tcPr>
          <w:p w14:paraId="1E52B5B4" w14:textId="77777777" w:rsidR="00C91EFA" w:rsidRPr="00DD25CD" w:rsidRDefault="00C91EFA" w:rsidP="00B3038D">
            <w:pPr>
              <w:pStyle w:val="Heading1"/>
            </w:pPr>
            <w:bookmarkStart w:id="18" w:name="_Toc116893333"/>
            <w:bookmarkStart w:id="19" w:name="_Toc126585726"/>
            <w:r w:rsidRPr="00DD25CD">
              <w:t xml:space="preserve">Section </w:t>
            </w:r>
            <w:r>
              <w:t>3</w:t>
            </w:r>
            <w:r w:rsidRPr="00DD25CD">
              <w:t xml:space="preserve"> </w:t>
            </w:r>
            <w:r>
              <w:t xml:space="preserve">- </w:t>
            </w:r>
            <w:r w:rsidRPr="00F94A4D">
              <w:rPr>
                <w:lang w:val="en-US"/>
              </w:rPr>
              <w:t>Referral to Diabetes Service</w:t>
            </w:r>
            <w:bookmarkEnd w:id="18"/>
            <w:bookmarkEnd w:id="19"/>
          </w:p>
        </w:tc>
      </w:tr>
    </w:tbl>
    <w:p w14:paraId="4954056B" w14:textId="77777777" w:rsidR="00C91EFA" w:rsidRDefault="00C91EFA" w:rsidP="00C91EFA">
      <w:pPr>
        <w:widowControl w:val="0"/>
        <w:autoSpaceDE w:val="0"/>
        <w:autoSpaceDN w:val="0"/>
        <w:spacing w:line="276" w:lineRule="auto"/>
        <w:rPr>
          <w:rFonts w:eastAsia="Microsoft Sans Serif" w:cs="Calibri"/>
          <w:szCs w:val="24"/>
          <w:lang w:val="en-US"/>
        </w:rPr>
      </w:pPr>
    </w:p>
    <w:p w14:paraId="3760BAC1" w14:textId="77777777" w:rsidR="00C91EFA" w:rsidRDefault="00C91EFA" w:rsidP="00C91EFA">
      <w:pPr>
        <w:widowControl w:val="0"/>
        <w:autoSpaceDE w:val="0"/>
        <w:autoSpaceDN w:val="0"/>
        <w:spacing w:line="276" w:lineRule="auto"/>
        <w:rPr>
          <w:rFonts w:eastAsia="Microsoft Sans Serif" w:cs="Calibri"/>
          <w:szCs w:val="22"/>
          <w:lang w:val="en-US"/>
        </w:rPr>
      </w:pPr>
      <w:r>
        <w:rPr>
          <w:rFonts w:eastAsia="Microsoft Sans Serif" w:cs="Calibri"/>
          <w:szCs w:val="24"/>
          <w:lang w:val="en-US"/>
        </w:rPr>
        <w:t>All CHS d</w:t>
      </w:r>
      <w:r w:rsidRPr="008114CD">
        <w:rPr>
          <w:rFonts w:eastAsia="Microsoft Sans Serif" w:cs="Calibri"/>
          <w:szCs w:val="24"/>
          <w:lang w:val="en-US"/>
        </w:rPr>
        <w:t>iabetes</w:t>
      </w:r>
      <w:r w:rsidRPr="008114CD">
        <w:rPr>
          <w:rFonts w:eastAsia="Microsoft Sans Serif" w:cs="Calibri"/>
          <w:spacing w:val="-2"/>
          <w:szCs w:val="24"/>
          <w:lang w:val="en-US"/>
        </w:rPr>
        <w:t xml:space="preserve"> </w:t>
      </w:r>
      <w:r w:rsidRPr="008114CD">
        <w:rPr>
          <w:rFonts w:eastAsia="Microsoft Sans Serif" w:cs="Calibri"/>
          <w:szCs w:val="24"/>
          <w:lang w:val="en-US"/>
        </w:rPr>
        <w:t>and</w:t>
      </w:r>
      <w:r w:rsidRPr="008114CD">
        <w:rPr>
          <w:rFonts w:eastAsia="Microsoft Sans Serif" w:cs="Calibri"/>
          <w:spacing w:val="-2"/>
          <w:szCs w:val="24"/>
          <w:lang w:val="en-US"/>
        </w:rPr>
        <w:t xml:space="preserve"> </w:t>
      </w:r>
      <w:r w:rsidRPr="008114CD">
        <w:rPr>
          <w:rFonts w:eastAsia="Microsoft Sans Serif" w:cs="Calibri"/>
          <w:szCs w:val="24"/>
          <w:lang w:val="en-US"/>
        </w:rPr>
        <w:t>pregnancy</w:t>
      </w:r>
      <w:r w:rsidRPr="008114CD">
        <w:rPr>
          <w:rFonts w:eastAsia="Microsoft Sans Serif" w:cs="Calibri"/>
          <w:spacing w:val="-3"/>
          <w:szCs w:val="24"/>
          <w:lang w:val="en-US"/>
        </w:rPr>
        <w:t xml:space="preserve"> </w:t>
      </w:r>
      <w:r>
        <w:rPr>
          <w:rFonts w:eastAsia="Microsoft Sans Serif" w:cs="Calibri"/>
          <w:spacing w:val="-3"/>
          <w:szCs w:val="24"/>
          <w:lang w:val="en-US"/>
        </w:rPr>
        <w:t xml:space="preserve">care clinics </w:t>
      </w:r>
      <w:r w:rsidRPr="008114CD">
        <w:rPr>
          <w:rFonts w:eastAsia="Microsoft Sans Serif" w:cs="Calibri"/>
          <w:szCs w:val="24"/>
          <w:lang w:val="en-US"/>
        </w:rPr>
        <w:t>involve a</w:t>
      </w:r>
      <w:r w:rsidRPr="008114CD">
        <w:rPr>
          <w:rFonts w:eastAsia="Microsoft Sans Serif" w:cs="Calibri"/>
          <w:spacing w:val="-1"/>
          <w:szCs w:val="24"/>
          <w:lang w:val="en-US"/>
        </w:rPr>
        <w:t xml:space="preserve"> </w:t>
      </w:r>
      <w:r w:rsidRPr="008114CD">
        <w:rPr>
          <w:rFonts w:eastAsia="Microsoft Sans Serif" w:cs="Calibri"/>
          <w:szCs w:val="24"/>
          <w:lang w:val="en-US"/>
        </w:rPr>
        <w:t>multidisciplinary</w:t>
      </w:r>
      <w:r w:rsidRPr="008114CD">
        <w:rPr>
          <w:rFonts w:eastAsia="Microsoft Sans Serif" w:cs="Calibri"/>
          <w:spacing w:val="-3"/>
          <w:szCs w:val="24"/>
          <w:lang w:val="en-US"/>
        </w:rPr>
        <w:t xml:space="preserve"> </w:t>
      </w:r>
      <w:r w:rsidRPr="008114CD">
        <w:rPr>
          <w:rFonts w:eastAsia="Microsoft Sans Serif" w:cs="Calibri"/>
          <w:szCs w:val="24"/>
          <w:lang w:val="en-US"/>
        </w:rPr>
        <w:t>team</w:t>
      </w:r>
      <w:r w:rsidRPr="008114CD">
        <w:rPr>
          <w:rFonts w:eastAsia="Microsoft Sans Serif" w:cs="Calibri"/>
          <w:spacing w:val="1"/>
          <w:szCs w:val="24"/>
          <w:lang w:val="en-US"/>
        </w:rPr>
        <w:t xml:space="preserve"> </w:t>
      </w:r>
      <w:r w:rsidRPr="008114CD">
        <w:rPr>
          <w:rFonts w:eastAsia="Microsoft Sans Serif" w:cs="Calibri"/>
          <w:szCs w:val="24"/>
          <w:lang w:val="en-US"/>
        </w:rPr>
        <w:t>approach</w:t>
      </w:r>
      <w:r>
        <w:rPr>
          <w:rFonts w:eastAsia="Microsoft Sans Serif" w:cs="Calibri"/>
          <w:szCs w:val="24"/>
          <w:lang w:val="en-US"/>
        </w:rPr>
        <w:t xml:space="preserve"> in a partnership with the patient. </w:t>
      </w:r>
      <w:r>
        <w:rPr>
          <w:rFonts w:eastAsia="Microsoft Sans Serif" w:cs="Calibri"/>
          <w:szCs w:val="22"/>
          <w:lang w:val="en-US"/>
        </w:rPr>
        <w:t>Pregnancy care appointments are scheduled depending on the type of pregnancy diabetes.</w:t>
      </w:r>
    </w:p>
    <w:p w14:paraId="14E952A3" w14:textId="77777777" w:rsidR="00C91EFA" w:rsidRPr="00DF580F" w:rsidRDefault="00C91EFA" w:rsidP="00C91EFA">
      <w:pPr>
        <w:widowControl w:val="0"/>
        <w:tabs>
          <w:tab w:val="left" w:pos="3540"/>
        </w:tabs>
        <w:autoSpaceDE w:val="0"/>
        <w:autoSpaceDN w:val="0"/>
        <w:spacing w:line="276" w:lineRule="auto"/>
      </w:pPr>
      <w:r w:rsidRPr="00DF580F">
        <w:rPr>
          <w:rFonts w:eastAsia="Microsoft Sans Serif" w:cs="Calibri"/>
          <w:szCs w:val="22"/>
          <w:lang w:val="en-US"/>
        </w:rPr>
        <w:t>Care objectives are</w:t>
      </w:r>
      <w:r w:rsidRPr="00DF580F">
        <w:t>:</w:t>
      </w:r>
    </w:p>
    <w:p w14:paraId="5613E67E" w14:textId="77777777" w:rsidR="00C91EFA" w:rsidRDefault="00C91EFA" w:rsidP="00C91EFA">
      <w:pPr>
        <w:pStyle w:val="ListBullet"/>
      </w:pPr>
      <w:r>
        <w:t>the provision of routine antenatal education and care</w:t>
      </w:r>
    </w:p>
    <w:p w14:paraId="547E6137" w14:textId="77777777" w:rsidR="00C91EFA" w:rsidRDefault="00C91EFA" w:rsidP="00C91EFA">
      <w:pPr>
        <w:pStyle w:val="ListBullet"/>
      </w:pPr>
      <w:r>
        <w:t>effective management of diabetes</w:t>
      </w:r>
    </w:p>
    <w:p w14:paraId="0F6454F9" w14:textId="77777777" w:rsidR="00C91EFA" w:rsidRDefault="00C91EFA" w:rsidP="00C91EFA">
      <w:pPr>
        <w:pStyle w:val="ListBullet"/>
      </w:pPr>
      <w:r>
        <w:t>monitoring for maternal complications</w:t>
      </w:r>
    </w:p>
    <w:p w14:paraId="171C8DB4" w14:textId="77777777" w:rsidR="00C91EFA" w:rsidRDefault="00C91EFA" w:rsidP="00C91EFA">
      <w:pPr>
        <w:pStyle w:val="ListBullet"/>
      </w:pPr>
      <w:r>
        <w:t>preventing fetal/neonatal complications.</w:t>
      </w:r>
    </w:p>
    <w:p w14:paraId="3D75038A" w14:textId="77777777" w:rsidR="00C91EFA" w:rsidRDefault="00C91EFA" w:rsidP="00C91EFA">
      <w:pPr>
        <w:widowControl w:val="0"/>
        <w:autoSpaceDE w:val="0"/>
        <w:autoSpaceDN w:val="0"/>
        <w:spacing w:line="276" w:lineRule="auto"/>
        <w:rPr>
          <w:rFonts w:eastAsia="Microsoft Sans Serif" w:cs="Calibri"/>
          <w:szCs w:val="22"/>
          <w:lang w:val="en-US"/>
        </w:rPr>
      </w:pPr>
    </w:p>
    <w:p w14:paraId="4D15941B" w14:textId="77777777" w:rsidR="00C91EFA" w:rsidRDefault="00C91EFA" w:rsidP="00C91EFA">
      <w:pPr>
        <w:widowControl w:val="0"/>
        <w:autoSpaceDE w:val="0"/>
        <w:autoSpaceDN w:val="0"/>
        <w:spacing w:line="276" w:lineRule="auto"/>
        <w:rPr>
          <w:rFonts w:eastAsia="Microsoft Sans Serif" w:cs="Calibri"/>
          <w:b/>
          <w:bCs/>
          <w:i/>
          <w:iCs/>
          <w:szCs w:val="24"/>
          <w:lang w:val="en-US"/>
        </w:rPr>
      </w:pPr>
      <w:r w:rsidRPr="004D004F">
        <w:rPr>
          <w:rFonts w:eastAsia="Microsoft Sans Serif" w:cs="Calibri"/>
          <w:szCs w:val="22"/>
          <w:lang w:val="en-US"/>
        </w:rPr>
        <w:t>Patients</w:t>
      </w:r>
      <w:r w:rsidRPr="007D3707">
        <w:rPr>
          <w:rFonts w:eastAsia="Microsoft Sans Serif" w:cs="Calibri"/>
          <w:szCs w:val="22"/>
          <w:lang w:val="en-US"/>
        </w:rPr>
        <w:t xml:space="preserve"> </w:t>
      </w:r>
      <w:r>
        <w:rPr>
          <w:rFonts w:eastAsia="Microsoft Sans Serif" w:cs="Calibri"/>
          <w:szCs w:val="22"/>
          <w:lang w:val="en-US"/>
        </w:rPr>
        <w:t xml:space="preserve">diagnosed </w:t>
      </w:r>
      <w:r w:rsidRPr="007D3707">
        <w:rPr>
          <w:rFonts w:eastAsia="Microsoft Sans Serif" w:cs="Calibri"/>
          <w:szCs w:val="22"/>
          <w:lang w:val="en-US"/>
        </w:rPr>
        <w:t xml:space="preserve">with </w:t>
      </w:r>
      <w:r>
        <w:rPr>
          <w:rFonts w:eastAsia="Microsoft Sans Serif" w:cs="Calibri"/>
          <w:szCs w:val="22"/>
          <w:lang w:val="en-US"/>
        </w:rPr>
        <w:t>GDM</w:t>
      </w:r>
      <w:r w:rsidRPr="007D3707">
        <w:rPr>
          <w:rFonts w:eastAsia="Microsoft Sans Serif" w:cs="Calibri"/>
          <w:szCs w:val="22"/>
          <w:lang w:val="en-US"/>
        </w:rPr>
        <w:t xml:space="preserve"> are referred to the </w:t>
      </w:r>
      <w:r>
        <w:rPr>
          <w:rFonts w:eastAsia="Microsoft Sans Serif" w:cs="Calibri"/>
          <w:szCs w:val="22"/>
          <w:lang w:val="en-US"/>
        </w:rPr>
        <w:t xml:space="preserve">CHS </w:t>
      </w:r>
      <w:r w:rsidRPr="007D3707">
        <w:rPr>
          <w:rFonts w:eastAsia="Microsoft Sans Serif" w:cs="Calibri"/>
          <w:szCs w:val="22"/>
          <w:lang w:val="en-US"/>
        </w:rPr>
        <w:t>Diabetes Service</w:t>
      </w:r>
      <w:r>
        <w:rPr>
          <w:rFonts w:eastAsia="Microsoft Sans Serif" w:cs="Calibri"/>
          <w:szCs w:val="22"/>
          <w:lang w:val="en-US"/>
        </w:rPr>
        <w:t xml:space="preserve"> via the clinical records system</w:t>
      </w:r>
      <w:r w:rsidRPr="007D3707">
        <w:rPr>
          <w:rFonts w:eastAsia="Microsoft Sans Serif" w:cs="Calibri"/>
          <w:szCs w:val="22"/>
          <w:lang w:val="en-US"/>
        </w:rPr>
        <w:t xml:space="preserve"> </w:t>
      </w:r>
      <w:r>
        <w:rPr>
          <w:rFonts w:eastAsia="Microsoft Sans Serif" w:cs="Calibri"/>
          <w:szCs w:val="22"/>
          <w:lang w:val="en-US"/>
        </w:rPr>
        <w:t>as</w:t>
      </w:r>
      <w:r w:rsidRPr="007D3707">
        <w:rPr>
          <w:rFonts w:eastAsia="Microsoft Sans Serif" w:cs="Calibri"/>
          <w:spacing w:val="-1"/>
          <w:szCs w:val="22"/>
          <w:lang w:val="en-US"/>
        </w:rPr>
        <w:t xml:space="preserve"> </w:t>
      </w:r>
      <w:r w:rsidRPr="007D3707">
        <w:rPr>
          <w:rFonts w:eastAsia="Microsoft Sans Serif" w:cs="Calibri"/>
          <w:szCs w:val="22"/>
          <w:lang w:val="en-US"/>
        </w:rPr>
        <w:t>soon</w:t>
      </w:r>
      <w:r w:rsidRPr="007D3707">
        <w:rPr>
          <w:rFonts w:eastAsia="Microsoft Sans Serif" w:cs="Calibri"/>
          <w:spacing w:val="-2"/>
          <w:szCs w:val="22"/>
          <w:lang w:val="en-US"/>
        </w:rPr>
        <w:t xml:space="preserve"> </w:t>
      </w:r>
      <w:r w:rsidRPr="007D3707">
        <w:rPr>
          <w:rFonts w:eastAsia="Microsoft Sans Serif" w:cs="Calibri"/>
          <w:szCs w:val="22"/>
          <w:lang w:val="en-US"/>
        </w:rPr>
        <w:t>as</w:t>
      </w:r>
      <w:r w:rsidRPr="007D3707">
        <w:rPr>
          <w:rFonts w:eastAsia="Microsoft Sans Serif" w:cs="Calibri"/>
          <w:spacing w:val="-1"/>
          <w:szCs w:val="22"/>
          <w:lang w:val="en-US"/>
        </w:rPr>
        <w:t xml:space="preserve"> </w:t>
      </w:r>
      <w:r w:rsidRPr="007D3707">
        <w:rPr>
          <w:rFonts w:eastAsia="Microsoft Sans Serif" w:cs="Calibri"/>
          <w:szCs w:val="22"/>
          <w:lang w:val="en-US"/>
        </w:rPr>
        <w:t>possible</w:t>
      </w:r>
      <w:r w:rsidRPr="007D3707">
        <w:rPr>
          <w:rFonts w:eastAsia="Microsoft Sans Serif" w:cs="Calibri"/>
          <w:spacing w:val="-1"/>
          <w:szCs w:val="22"/>
          <w:lang w:val="en-US"/>
        </w:rPr>
        <w:t xml:space="preserve"> </w:t>
      </w:r>
      <w:r w:rsidRPr="007D3707">
        <w:rPr>
          <w:rFonts w:eastAsia="Microsoft Sans Serif" w:cs="Calibri"/>
          <w:szCs w:val="22"/>
          <w:lang w:val="en-US"/>
        </w:rPr>
        <w:t>after</w:t>
      </w:r>
      <w:r>
        <w:rPr>
          <w:rFonts w:eastAsia="Microsoft Sans Serif" w:cs="Calibri"/>
          <w:szCs w:val="22"/>
          <w:lang w:val="en-US"/>
        </w:rPr>
        <w:t xml:space="preserve"> d</w:t>
      </w:r>
      <w:r w:rsidRPr="007D3707">
        <w:rPr>
          <w:rFonts w:eastAsia="Microsoft Sans Serif" w:cs="Calibri"/>
          <w:szCs w:val="22"/>
          <w:lang w:val="en-US"/>
        </w:rPr>
        <w:t>iagnosis</w:t>
      </w:r>
      <w:r>
        <w:rPr>
          <w:rFonts w:eastAsia="Microsoft Sans Serif" w:cs="Calibri"/>
          <w:szCs w:val="22"/>
          <w:lang w:val="en-US"/>
        </w:rPr>
        <w:t xml:space="preserve">. </w:t>
      </w:r>
    </w:p>
    <w:p w14:paraId="4FDFBAE1" w14:textId="77777777" w:rsidR="00C91EFA" w:rsidRDefault="00C91EFA" w:rsidP="00C91EFA">
      <w:pPr>
        <w:widowControl w:val="0"/>
        <w:autoSpaceDE w:val="0"/>
        <w:autoSpaceDN w:val="0"/>
        <w:spacing w:line="276" w:lineRule="auto"/>
        <w:ind w:left="5760" w:firstLine="720"/>
      </w:pPr>
      <w:hyperlink w:anchor="Contents" w:history="1">
        <w:r w:rsidRPr="002B2599">
          <w:rPr>
            <w:rStyle w:val="Hyperlink"/>
            <w:rFonts w:eastAsiaTheme="majorEastAsia" w:cs="Calibri"/>
            <w:i/>
            <w:szCs w:val="24"/>
          </w:rPr>
          <w:t>Back to Table of Contents</w:t>
        </w:r>
      </w:hyperlink>
    </w:p>
    <w:tbl>
      <w:tblPr>
        <w:tblpPr w:leftFromText="180" w:rightFromText="180" w:vertAnchor="text" w:horzAnchor="margin" w:tblpY="209"/>
        <w:tblW w:w="9300" w:type="dxa"/>
        <w:tblLook w:val="0000" w:firstRow="0" w:lastRow="0" w:firstColumn="0" w:lastColumn="0" w:noHBand="0" w:noVBand="0"/>
      </w:tblPr>
      <w:tblGrid>
        <w:gridCol w:w="9300"/>
      </w:tblGrid>
      <w:tr w:rsidR="00C91EFA" w:rsidRPr="009718DB" w14:paraId="10CD7111" w14:textId="77777777" w:rsidTr="00B3038D">
        <w:trPr>
          <w:cantSplit/>
          <w:trHeight w:val="285"/>
        </w:trPr>
        <w:tc>
          <w:tcPr>
            <w:tcW w:w="9300" w:type="dxa"/>
            <w:shd w:val="clear" w:color="auto" w:fill="D9D9D9" w:themeFill="background1" w:themeFillShade="D9"/>
          </w:tcPr>
          <w:p w14:paraId="5511393B" w14:textId="77777777" w:rsidR="00C91EFA" w:rsidRPr="009718DB" w:rsidRDefault="00C91EFA" w:rsidP="00B3038D">
            <w:pPr>
              <w:pStyle w:val="Heading1"/>
            </w:pPr>
            <w:bookmarkStart w:id="20" w:name="_Toc126585727"/>
            <w:bookmarkStart w:id="21" w:name="_Toc111196912"/>
            <w:bookmarkStart w:id="22" w:name="_Toc116893334"/>
            <w:bookmarkStart w:id="23" w:name="_Hlk112768359"/>
            <w:r w:rsidRPr="009718DB">
              <w:t xml:space="preserve">Section </w:t>
            </w:r>
            <w:r>
              <w:t>4 -</w:t>
            </w:r>
            <w:r w:rsidRPr="009718DB">
              <w:t xml:space="preserve"> </w:t>
            </w:r>
            <w:r>
              <w:t>Monitoring glucose levels</w:t>
            </w:r>
            <w:bookmarkEnd w:id="20"/>
            <w:r>
              <w:t xml:space="preserve"> </w:t>
            </w:r>
            <w:bookmarkEnd w:id="21"/>
            <w:bookmarkEnd w:id="22"/>
          </w:p>
        </w:tc>
      </w:tr>
    </w:tbl>
    <w:p w14:paraId="34774A7B" w14:textId="77777777" w:rsidR="00C91EFA" w:rsidRDefault="00C91EFA" w:rsidP="00C91EFA">
      <w:pPr>
        <w:pStyle w:val="Heading2"/>
      </w:pPr>
      <w:bookmarkStart w:id="24" w:name="_Toc116893335"/>
      <w:bookmarkEnd w:id="23"/>
    </w:p>
    <w:p w14:paraId="5F711817" w14:textId="77777777" w:rsidR="00C91EFA" w:rsidRPr="00B66758" w:rsidRDefault="00C91EFA" w:rsidP="00C91EFA">
      <w:pPr>
        <w:rPr>
          <w:b/>
          <w:bCs/>
        </w:rPr>
      </w:pPr>
      <w:r w:rsidRPr="00B66758">
        <w:rPr>
          <w:b/>
          <w:bCs/>
        </w:rPr>
        <w:t>Capillary Blood Glucose Levels</w:t>
      </w:r>
      <w:bookmarkEnd w:id="24"/>
      <w:r w:rsidRPr="00B66758">
        <w:rPr>
          <w:b/>
          <w:bCs/>
        </w:rPr>
        <w:t xml:space="preserve"> (</w:t>
      </w:r>
      <w:proofErr w:type="spellStart"/>
      <w:r w:rsidRPr="00B66758">
        <w:rPr>
          <w:b/>
          <w:bCs/>
        </w:rPr>
        <w:t>cBGL</w:t>
      </w:r>
      <w:proofErr w:type="spellEnd"/>
      <w:r w:rsidRPr="00B66758">
        <w:rPr>
          <w:b/>
          <w:bCs/>
        </w:rPr>
        <w:t>)</w:t>
      </w:r>
    </w:p>
    <w:p w14:paraId="10B6082B" w14:textId="77777777" w:rsidR="00C91EFA" w:rsidRPr="00C74B89" w:rsidRDefault="00C91EFA" w:rsidP="00C91EFA">
      <w:r w:rsidRPr="00800488">
        <w:t xml:space="preserve">Refer to </w:t>
      </w:r>
      <w:r w:rsidRPr="00B66758">
        <w:t xml:space="preserve">the </w:t>
      </w:r>
      <w:r w:rsidRPr="00800488">
        <w:rPr>
          <w:i/>
          <w:iCs/>
        </w:rPr>
        <w:t>Blood Glucose and Ketone Point-of-Care Testing Procedure</w:t>
      </w:r>
      <w:r w:rsidRPr="00800488">
        <w:t xml:space="preserve"> </w:t>
      </w:r>
      <w:r>
        <w:t xml:space="preserve">(available on the Policy and Guidance documents Register) </w:t>
      </w:r>
      <w:r w:rsidRPr="00800488">
        <w:t>for</w:t>
      </w:r>
      <w:r w:rsidRPr="00C74B89">
        <w:t xml:space="preserve"> instructions how to test </w:t>
      </w:r>
      <w:proofErr w:type="spellStart"/>
      <w:r w:rsidRPr="00C74B89">
        <w:t>cBGL</w:t>
      </w:r>
      <w:proofErr w:type="spellEnd"/>
      <w:r w:rsidRPr="00C74B89">
        <w:t>.</w:t>
      </w:r>
    </w:p>
    <w:p w14:paraId="32641CFC" w14:textId="77777777" w:rsidR="00C91EFA" w:rsidRPr="001971D9" w:rsidRDefault="00C91EFA" w:rsidP="00C91EFA">
      <w:pPr>
        <w:pStyle w:val="ListBullet"/>
      </w:pPr>
      <w:r>
        <w:t xml:space="preserve">Ensure the lancing site is cleaned with water or alcohol swab prior to the </w:t>
      </w:r>
      <w:proofErr w:type="spellStart"/>
      <w:r>
        <w:t>cBGL</w:t>
      </w:r>
      <w:proofErr w:type="spellEnd"/>
      <w:r>
        <w:t xml:space="preserve"> test being completed.</w:t>
      </w:r>
    </w:p>
    <w:p w14:paraId="45B8AE56" w14:textId="77777777" w:rsidR="00C91EFA" w:rsidRDefault="00C91EFA" w:rsidP="00C91EFA">
      <w:pPr>
        <w:pStyle w:val="ListBullet"/>
      </w:pPr>
      <w:r>
        <w:lastRenderedPageBreak/>
        <w:t xml:space="preserve">Calibrate and control test the blood glucose meter prior to commencement of monitoring. As per </w:t>
      </w:r>
      <w:r w:rsidRPr="2BC6C1F3">
        <w:rPr>
          <w:i/>
          <w:iCs/>
        </w:rPr>
        <w:t>Blood Glucose and Ketone Point-of-Care Testing</w:t>
      </w:r>
      <w:r w:rsidRPr="2BC6C1F3">
        <w:rPr>
          <w:b/>
          <w:bCs/>
          <w:i/>
          <w:iCs/>
        </w:rPr>
        <w:t>,</w:t>
      </w:r>
      <w:r>
        <w:t xml:space="preserve"> this should be done daily.</w:t>
      </w:r>
    </w:p>
    <w:p w14:paraId="5904FB52" w14:textId="77777777" w:rsidR="00C91EFA" w:rsidRDefault="00C91EFA" w:rsidP="00C91EFA">
      <w:pPr>
        <w:pStyle w:val="ListBullet"/>
        <w:numPr>
          <w:ilvl w:val="0"/>
          <w:numId w:val="0"/>
        </w:numPr>
        <w:ind w:left="426"/>
      </w:pPr>
    </w:p>
    <w:p w14:paraId="2F2A7014" w14:textId="77777777" w:rsidR="00C91EFA" w:rsidRPr="00B66758" w:rsidRDefault="00C91EFA" w:rsidP="00C91EFA">
      <w:pPr>
        <w:rPr>
          <w:b/>
          <w:bCs/>
        </w:rPr>
      </w:pPr>
      <w:bookmarkStart w:id="25" w:name="_Toc116893336"/>
      <w:r w:rsidRPr="00B66758">
        <w:rPr>
          <w:b/>
          <w:bCs/>
        </w:rPr>
        <w:t>Continuous and flash glucose monitoring (CGM) devices</w:t>
      </w:r>
      <w:bookmarkEnd w:id="25"/>
    </w:p>
    <w:p w14:paraId="0A1A6957" w14:textId="77777777" w:rsidR="00C91EFA" w:rsidRDefault="00C91EFA" w:rsidP="00C91EFA">
      <w:r>
        <w:t>Currently patients with Type 1 DM who are pregnant or planning pregnancy, can access government funded CGM through NDSS.</w:t>
      </w:r>
    </w:p>
    <w:p w14:paraId="3247D951" w14:textId="77777777" w:rsidR="00C91EFA" w:rsidRDefault="00C91EFA" w:rsidP="00C91EFA"/>
    <w:p w14:paraId="0968C06F" w14:textId="77777777" w:rsidR="00C91EFA" w:rsidRDefault="00C91EFA" w:rsidP="00C91EFA">
      <w:r>
        <w:t xml:space="preserve">Using CGM has been shown to positively impact pregnancy outcomes in patients with Type 1 DM. Continuous glucose monitors are small wearable devices that continuously measure glucose levels. These devices measure interstitial glucose </w:t>
      </w:r>
      <w:r>
        <w:rPr>
          <w:b/>
          <w:bCs/>
        </w:rPr>
        <w:t>not</w:t>
      </w:r>
      <w:r>
        <w:t xml:space="preserve"> blood glucose.</w:t>
      </w:r>
    </w:p>
    <w:p w14:paraId="12AB2B28" w14:textId="77777777" w:rsidR="00C91EFA" w:rsidRDefault="00C91EFA" w:rsidP="00C91EFA"/>
    <w:p w14:paraId="4BA36649" w14:textId="77777777" w:rsidR="00C91EFA" w:rsidRDefault="00C91EFA" w:rsidP="00C91EFA">
      <w:r>
        <w:t>CGM does not replace blood glucose monitoring entirely as blood glucose levels and interstitial glucose readings will not be the same.</w:t>
      </w:r>
    </w:p>
    <w:p w14:paraId="5697E6AB" w14:textId="77777777" w:rsidR="00C91EFA" w:rsidRDefault="00C91EFA" w:rsidP="00C91EFA">
      <w:pPr>
        <w:pStyle w:val="ListBullet"/>
      </w:pPr>
      <w:r>
        <w:t xml:space="preserve">When hypoglycaemia is known or suspected, </w:t>
      </w:r>
      <w:proofErr w:type="spellStart"/>
      <w:r>
        <w:t>cBGL</w:t>
      </w:r>
      <w:proofErr w:type="spellEnd"/>
      <w:r>
        <w:t xml:space="preserve"> should be checked.</w:t>
      </w:r>
    </w:p>
    <w:p w14:paraId="1C791A65" w14:textId="77777777" w:rsidR="00C91EFA" w:rsidRDefault="00C91EFA" w:rsidP="00C91EFA">
      <w:pPr>
        <w:pStyle w:val="ListBullet"/>
      </w:pPr>
      <w:proofErr w:type="spellStart"/>
      <w:r>
        <w:t>cBGL</w:t>
      </w:r>
      <w:proofErr w:type="spellEnd"/>
      <w:r>
        <w:t xml:space="preserve"> should be checked if glucose levels are changing rapidly, or symptoms do not match the CGM readings.</w:t>
      </w:r>
    </w:p>
    <w:p w14:paraId="6CF65A39" w14:textId="77777777" w:rsidR="00C91EFA" w:rsidRPr="00A00801" w:rsidRDefault="00C91EFA" w:rsidP="00C91EFA">
      <w:pPr>
        <w:pStyle w:val="ListBullet"/>
        <w:rPr>
          <w:b/>
          <w:bCs/>
        </w:rPr>
      </w:pPr>
      <w:r>
        <w:t xml:space="preserve">When glucose levels are high always check </w:t>
      </w:r>
      <w:r w:rsidRPr="2BC6C1F3">
        <w:rPr>
          <w:b/>
          <w:bCs/>
        </w:rPr>
        <w:t>blood</w:t>
      </w:r>
      <w:r>
        <w:t xml:space="preserve"> glucose levels prior to giving a correction dose of insulin.</w:t>
      </w:r>
    </w:p>
    <w:p w14:paraId="41F02C20" w14:textId="77777777" w:rsidR="00C91EFA" w:rsidRDefault="00C91EFA" w:rsidP="00C91EFA">
      <w:pPr>
        <w:rPr>
          <w:b/>
          <w:bCs/>
        </w:rPr>
      </w:pPr>
    </w:p>
    <w:p w14:paraId="35D9A55C" w14:textId="77777777" w:rsidR="00C91EFA" w:rsidRDefault="00C91EFA" w:rsidP="00C91EFA">
      <w:r w:rsidRPr="00B66758">
        <w:t>For further information please refer to</w:t>
      </w:r>
      <w:r>
        <w:t xml:space="preserve"> the </w:t>
      </w:r>
      <w:r w:rsidRPr="00BF122E">
        <w:rPr>
          <w:rFonts w:cs="Arial"/>
          <w:iCs/>
          <w:szCs w:val="24"/>
          <w:lang w:val="en-US"/>
        </w:rPr>
        <w:t xml:space="preserve">National Diabetes Services Scheme (NDSS) </w:t>
      </w:r>
      <w:r>
        <w:rPr>
          <w:rFonts w:cs="Arial"/>
          <w:iCs/>
          <w:szCs w:val="24"/>
          <w:lang w:val="en-US"/>
        </w:rPr>
        <w:t>Continuous glucose monitoring (</w:t>
      </w:r>
      <w:hyperlink r:id="rId11">
        <w:r>
          <w:rPr>
            <w:rStyle w:val="Hyperlink"/>
          </w:rPr>
          <w:t>https://www.ndss.com.au/about-diabetes/resources/find-a-resource/continuous-glucose-monitoring-fact-sheet/</w:t>
        </w:r>
      </w:hyperlink>
      <w:r w:rsidRPr="00BF122E">
        <w:rPr>
          <w:rFonts w:cs="Arial"/>
          <w:iCs/>
          <w:szCs w:val="24"/>
          <w:lang w:val="en-US"/>
        </w:rPr>
        <w:t>20</w:t>
      </w:r>
      <w:r>
        <w:rPr>
          <w:rFonts w:cs="Arial"/>
          <w:iCs/>
          <w:szCs w:val="24"/>
          <w:lang w:val="en-US"/>
        </w:rPr>
        <w:t>22) (available at:</w:t>
      </w:r>
    </w:p>
    <w:p w14:paraId="79A99D2D" w14:textId="77777777" w:rsidR="00C91EFA" w:rsidRDefault="00C91EFA" w:rsidP="00C91EFA">
      <w:pPr>
        <w:rPr>
          <w:rFonts w:cs="Arial"/>
          <w:iCs/>
          <w:szCs w:val="24"/>
          <w:lang w:val="en-US"/>
        </w:rPr>
      </w:pPr>
      <w:hyperlink r:id="rId12" w:history="1">
        <w:r w:rsidRPr="00B83B43">
          <w:rPr>
            <w:rStyle w:val="Hyperlink"/>
            <w:rFonts w:cs="Arial"/>
            <w:iCs/>
            <w:szCs w:val="24"/>
            <w:lang w:val="en-US"/>
          </w:rPr>
          <w:t>https://www.ndss.com.au/wp-content/uploads/fact-sheets/fact-sheet-flash-glucose-monitoring.pdf</w:t>
        </w:r>
      </w:hyperlink>
      <w:r>
        <w:rPr>
          <w:rFonts w:cs="Arial"/>
          <w:iCs/>
          <w:szCs w:val="24"/>
          <w:lang w:val="en-US"/>
        </w:rPr>
        <w:t xml:space="preserve"> ).</w:t>
      </w:r>
    </w:p>
    <w:p w14:paraId="7AFFB09E" w14:textId="77777777" w:rsidR="00C91EFA" w:rsidRDefault="00C91EFA" w:rsidP="00C91EFA"/>
    <w:bookmarkStart w:id="26" w:name="_Hlk113451299"/>
    <w:p w14:paraId="3E27A58B" w14:textId="77777777" w:rsidR="00C91EFA" w:rsidRDefault="00C91EFA" w:rsidP="00C91EFA">
      <w:pPr>
        <w:pStyle w:val="BodyText"/>
        <w:ind w:left="5760" w:firstLine="720"/>
      </w:pPr>
      <w:r w:rsidRPr="00917E8F">
        <w:fldChar w:fldCharType="begin"/>
      </w:r>
      <w:r w:rsidRPr="00917E8F">
        <w:rPr>
          <w:rFonts w:ascii="Calibri" w:hAnsi="Calibri" w:cs="Calibri"/>
        </w:rPr>
        <w:instrText xml:space="preserve"> HYPERLINK \l "Contents" </w:instrText>
      </w:r>
      <w:r w:rsidRPr="00917E8F">
        <w:fldChar w:fldCharType="separate"/>
      </w:r>
      <w:r w:rsidRPr="00917E8F">
        <w:rPr>
          <w:rStyle w:val="Hyperlink"/>
          <w:rFonts w:ascii="Calibri" w:eastAsiaTheme="majorEastAsia" w:hAnsi="Calibri" w:cs="Calibri"/>
          <w:i/>
        </w:rPr>
        <w:t>Back to Table of Contents</w:t>
      </w:r>
      <w:r w:rsidRPr="00917E8F">
        <w:rPr>
          <w:rStyle w:val="Hyperlink"/>
          <w:rFonts w:ascii="Calibri" w:eastAsiaTheme="majorEastAsia" w:hAnsi="Calibri" w:cs="Calibri"/>
          <w:i/>
        </w:rPr>
        <w:fldChar w:fldCharType="end"/>
      </w:r>
    </w:p>
    <w:tbl>
      <w:tblPr>
        <w:tblpPr w:leftFromText="180" w:rightFromText="180" w:vertAnchor="text" w:horzAnchor="margin" w:tblpY="116"/>
        <w:tblW w:w="9300" w:type="dxa"/>
        <w:tblLook w:val="0000" w:firstRow="0" w:lastRow="0" w:firstColumn="0" w:lastColumn="0" w:noHBand="0" w:noVBand="0"/>
      </w:tblPr>
      <w:tblGrid>
        <w:gridCol w:w="9300"/>
      </w:tblGrid>
      <w:tr w:rsidR="00C91EFA" w:rsidRPr="00DD25CD" w14:paraId="235AB512" w14:textId="77777777" w:rsidTr="00B3038D">
        <w:trPr>
          <w:cantSplit/>
          <w:trHeight w:val="285"/>
        </w:trPr>
        <w:tc>
          <w:tcPr>
            <w:tcW w:w="9300" w:type="dxa"/>
            <w:shd w:val="clear" w:color="auto" w:fill="D9D9D9" w:themeFill="background1" w:themeFillShade="D9"/>
          </w:tcPr>
          <w:p w14:paraId="1206A0FD" w14:textId="77777777" w:rsidR="00C91EFA" w:rsidRPr="00204290" w:rsidRDefault="00C91EFA" w:rsidP="00B3038D">
            <w:pPr>
              <w:pStyle w:val="Heading1"/>
            </w:pPr>
            <w:bookmarkStart w:id="27" w:name="_Toc116893337"/>
            <w:bookmarkStart w:id="28" w:name="_Toc126585728"/>
            <w:bookmarkEnd w:id="26"/>
            <w:r w:rsidRPr="00204290">
              <w:t xml:space="preserve">Section </w:t>
            </w:r>
            <w:r>
              <w:t>5</w:t>
            </w:r>
            <w:r w:rsidRPr="00204290">
              <w:t xml:space="preserve"> </w:t>
            </w:r>
            <w:r>
              <w:t>-</w:t>
            </w:r>
            <w:r w:rsidRPr="00204290">
              <w:t xml:space="preserve"> </w:t>
            </w:r>
            <w:r>
              <w:t>Pregnancy care for GDM not requiring medication</w:t>
            </w:r>
            <w:bookmarkEnd w:id="27"/>
            <w:bookmarkEnd w:id="28"/>
          </w:p>
        </w:tc>
      </w:tr>
    </w:tbl>
    <w:p w14:paraId="69E13EFD" w14:textId="77777777" w:rsidR="00C91EFA" w:rsidRPr="00800488" w:rsidRDefault="00C91EFA" w:rsidP="00C91EFA">
      <w:pPr>
        <w:widowControl w:val="0"/>
        <w:autoSpaceDE w:val="0"/>
        <w:autoSpaceDN w:val="0"/>
      </w:pPr>
      <w:r>
        <w:rPr>
          <w:rFonts w:eastAsia="Microsoft Sans Serif" w:cs="Calibri"/>
          <w:szCs w:val="22"/>
          <w:lang w:val="en-US"/>
        </w:rPr>
        <w:t>Patients</w:t>
      </w:r>
      <w:r w:rsidRPr="00800488">
        <w:rPr>
          <w:rFonts w:eastAsia="Microsoft Sans Serif" w:cs="Calibri"/>
          <w:szCs w:val="22"/>
          <w:lang w:val="en-US"/>
        </w:rPr>
        <w:t xml:space="preserve"> with GDM diagnosis will have </w:t>
      </w:r>
      <w:r>
        <w:rPr>
          <w:rFonts w:eastAsia="Microsoft Sans Serif" w:cs="Calibri"/>
          <w:szCs w:val="22"/>
          <w:lang w:val="en-US"/>
        </w:rPr>
        <w:t xml:space="preserve">a </w:t>
      </w:r>
      <w:r w:rsidRPr="00800488">
        <w:rPr>
          <w:rFonts w:eastAsia="Microsoft Sans Serif" w:cs="Calibri"/>
          <w:szCs w:val="22"/>
          <w:lang w:val="en-US"/>
        </w:rPr>
        <w:t xml:space="preserve">schedule of </w:t>
      </w:r>
      <w:r w:rsidRPr="00800488">
        <w:rPr>
          <w:szCs w:val="24"/>
        </w:rPr>
        <w:t xml:space="preserve">pregnancy care individualised per clinical need. Care is managed in a shared model with input from the midwifery/diabetes education and obstetric team. </w:t>
      </w:r>
    </w:p>
    <w:p w14:paraId="013A6CBF" w14:textId="77777777" w:rsidR="00C91EFA" w:rsidRDefault="00C91EFA" w:rsidP="00C91EFA">
      <w:pPr>
        <w:widowControl w:val="0"/>
        <w:autoSpaceDE w:val="0"/>
        <w:autoSpaceDN w:val="0"/>
        <w:rPr>
          <w:rFonts w:eastAsia="Microsoft Sans Serif" w:cs="Calibri"/>
          <w:szCs w:val="22"/>
          <w:lang w:val="en-US"/>
        </w:rPr>
      </w:pPr>
    </w:p>
    <w:p w14:paraId="396A8007" w14:textId="77777777" w:rsidR="00C91EFA" w:rsidRPr="004510FA" w:rsidRDefault="00C91EFA" w:rsidP="00C91EFA">
      <w:pPr>
        <w:widowControl w:val="0"/>
        <w:autoSpaceDE w:val="0"/>
        <w:autoSpaceDN w:val="0"/>
        <w:rPr>
          <w:rFonts w:cs="Calibri"/>
        </w:rPr>
      </w:pPr>
      <w:r>
        <w:rPr>
          <w:rFonts w:eastAsia="Microsoft Sans Serif" w:cs="Calibri"/>
          <w:szCs w:val="22"/>
          <w:lang w:val="en-US"/>
        </w:rPr>
        <w:t xml:space="preserve">Pregnancy care and education follows the </w:t>
      </w:r>
      <w:r w:rsidRPr="004510FA">
        <w:rPr>
          <w:rFonts w:cs="Calibri"/>
          <w:i/>
          <w:iCs/>
        </w:rPr>
        <w:t>GDM Education and Treatment plan</w:t>
      </w:r>
      <w:r>
        <w:rPr>
          <w:rFonts w:cs="Calibri"/>
          <w:b/>
          <w:bCs/>
          <w:i/>
          <w:iCs/>
        </w:rPr>
        <w:t xml:space="preserve"> </w:t>
      </w:r>
      <w:r>
        <w:rPr>
          <w:rFonts w:cs="Calibri"/>
        </w:rPr>
        <w:t>(form no. 65371 on the Clinical Forms register).</w:t>
      </w:r>
    </w:p>
    <w:p w14:paraId="45BE5F91" w14:textId="77777777" w:rsidR="00C91EFA" w:rsidRPr="00DB4F35" w:rsidRDefault="00C91EFA" w:rsidP="00C91EFA">
      <w:pPr>
        <w:rPr>
          <w:b/>
          <w:bCs/>
        </w:rPr>
      </w:pPr>
      <w:r w:rsidRPr="00DB4F35">
        <w:rPr>
          <w:rFonts w:eastAsia="Microsoft Sans Serif"/>
          <w:b/>
          <w:bCs/>
        </w:rPr>
        <w:t>Key points</w:t>
      </w:r>
    </w:p>
    <w:p w14:paraId="33650682" w14:textId="77777777" w:rsidR="00C91EFA" w:rsidRPr="00800488" w:rsidRDefault="00C91EFA" w:rsidP="00C91EFA">
      <w:pPr>
        <w:pStyle w:val="ListParagraph"/>
        <w:numPr>
          <w:ilvl w:val="0"/>
          <w:numId w:val="15"/>
        </w:numPr>
      </w:pPr>
      <w:r w:rsidRPr="00800488">
        <w:t xml:space="preserve">Frequency of visits </w:t>
      </w:r>
    </w:p>
    <w:p w14:paraId="45B771FB" w14:textId="77777777" w:rsidR="00C91EFA" w:rsidRDefault="00C91EFA" w:rsidP="00C91EFA">
      <w:pPr>
        <w:pStyle w:val="ListBullet"/>
        <w:tabs>
          <w:tab w:val="num" w:pos="1440"/>
        </w:tabs>
        <w:ind w:left="786"/>
      </w:pPr>
      <w:r>
        <w:t>All routine antenatal care should be provided.</w:t>
      </w:r>
    </w:p>
    <w:p w14:paraId="299C9256" w14:textId="77777777" w:rsidR="00C91EFA" w:rsidRDefault="00C91EFA" w:rsidP="00C91EFA">
      <w:pPr>
        <w:pStyle w:val="ListBullet"/>
        <w:tabs>
          <w:tab w:val="num" w:pos="1440"/>
        </w:tabs>
        <w:ind w:left="786"/>
      </w:pPr>
      <w:r>
        <w:t>Timing of contact:</w:t>
      </w:r>
    </w:p>
    <w:p w14:paraId="76A6B326" w14:textId="77777777" w:rsidR="00C91EFA" w:rsidRDefault="00C91EFA" w:rsidP="00C91EFA">
      <w:pPr>
        <w:pStyle w:val="ListBullet"/>
        <w:tabs>
          <w:tab w:val="num" w:pos="1800"/>
        </w:tabs>
        <w:ind w:left="1146"/>
      </w:pPr>
      <w:r>
        <w:t xml:space="preserve">routine antenatal care as per Australian College of Midwives (ACM), pregnancy care guidelines (see </w:t>
      </w:r>
      <w:hyperlink r:id="rId13">
        <w:r w:rsidRPr="2BC6C1F3">
          <w:rPr>
            <w:rStyle w:val="Hyperlink"/>
          </w:rPr>
          <w:t>https://www.midwives.org.au/</w:t>
        </w:r>
      </w:hyperlink>
      <w:r>
        <w:t>).</w:t>
      </w:r>
    </w:p>
    <w:p w14:paraId="7433A4B3" w14:textId="77777777" w:rsidR="00C91EFA" w:rsidRDefault="00C91EFA" w:rsidP="00C91EFA">
      <w:pPr>
        <w:pStyle w:val="ListBullet"/>
        <w:tabs>
          <w:tab w:val="num" w:pos="1800"/>
        </w:tabs>
        <w:ind w:left="1146"/>
      </w:pPr>
      <w:r>
        <w:t>midwife will check blood glucose levels (BGL) diary each visit and refer to diabetes team as required. Increase frequency if suboptimal BGL control or other clinical concerns</w:t>
      </w:r>
    </w:p>
    <w:p w14:paraId="7C425671" w14:textId="77777777" w:rsidR="00C91EFA" w:rsidRDefault="00C91EFA" w:rsidP="00C91EFA">
      <w:pPr>
        <w:pStyle w:val="ListBullet"/>
        <w:tabs>
          <w:tab w:val="num" w:pos="1800"/>
        </w:tabs>
        <w:ind w:left="1146"/>
      </w:pPr>
      <w:r>
        <w:lastRenderedPageBreak/>
        <w:t>appointment with obstetric physician or endocrinologist review is dependent on BGL control and fetal growth</w:t>
      </w:r>
    </w:p>
    <w:p w14:paraId="17FB3127" w14:textId="77777777" w:rsidR="00C91EFA" w:rsidRDefault="00C91EFA" w:rsidP="00C91EFA">
      <w:pPr>
        <w:pStyle w:val="ListBullet"/>
        <w:tabs>
          <w:tab w:val="num" w:pos="1800"/>
        </w:tabs>
        <w:ind w:left="1146"/>
      </w:pPr>
      <w:r>
        <w:t xml:space="preserve">review at 36 weeks by an obstetric consultant/registrar to confirm plan for birth if BGL control is suboptimal or fetal growth concerns. </w:t>
      </w:r>
    </w:p>
    <w:p w14:paraId="1A9961A3" w14:textId="77777777" w:rsidR="00C91EFA" w:rsidRDefault="00C91EFA" w:rsidP="00C91EFA">
      <w:pPr>
        <w:rPr>
          <w:b/>
          <w:bCs/>
        </w:rPr>
      </w:pPr>
    </w:p>
    <w:p w14:paraId="09437419" w14:textId="77777777" w:rsidR="00C91EFA" w:rsidRPr="00800488" w:rsidRDefault="00C91EFA" w:rsidP="00C91EFA">
      <w:pPr>
        <w:pStyle w:val="ListParagraph"/>
        <w:numPr>
          <w:ilvl w:val="0"/>
          <w:numId w:val="15"/>
        </w:numPr>
      </w:pPr>
      <w:r w:rsidRPr="00800488">
        <w:t xml:space="preserve">Fetal surveillance </w:t>
      </w:r>
    </w:p>
    <w:p w14:paraId="7BC99A4D" w14:textId="77777777" w:rsidR="00C91EFA" w:rsidRDefault="00C91EFA" w:rsidP="00C91EFA">
      <w:pPr>
        <w:pStyle w:val="ListBullet"/>
        <w:tabs>
          <w:tab w:val="num" w:pos="1440"/>
        </w:tabs>
        <w:ind w:left="786"/>
      </w:pPr>
      <w:r>
        <w:t>Recommend ultrasound scan (USS) at 34-36 weeks gestation to assess fetal growth including fetal abdominal circumference, and to establish a baseline for future evaluation.</w:t>
      </w:r>
    </w:p>
    <w:p w14:paraId="00317729" w14:textId="77777777" w:rsidR="00C91EFA" w:rsidRDefault="00C91EFA" w:rsidP="00C91EFA">
      <w:pPr>
        <w:pStyle w:val="BodyText"/>
        <w:ind w:left="5760" w:firstLine="720"/>
        <w:rPr>
          <w:rFonts w:ascii="Calibri" w:hAnsi="Calibri" w:cs="Calibri"/>
        </w:rPr>
      </w:pPr>
      <w:hyperlink w:anchor="Contents" w:history="1">
        <w:r w:rsidRPr="00917E8F">
          <w:rPr>
            <w:rStyle w:val="Hyperlink"/>
            <w:rFonts w:ascii="Calibri" w:eastAsiaTheme="majorEastAsia" w:hAnsi="Calibri" w:cs="Calibri"/>
            <w:i/>
          </w:rPr>
          <w:t>Back to Table of Contents</w:t>
        </w:r>
      </w:hyperlink>
    </w:p>
    <w:tbl>
      <w:tblPr>
        <w:tblpPr w:leftFromText="180" w:rightFromText="180" w:vertAnchor="text" w:horzAnchor="margin" w:tblpY="315"/>
        <w:tblW w:w="9300" w:type="dxa"/>
        <w:tblLook w:val="0000" w:firstRow="0" w:lastRow="0" w:firstColumn="0" w:lastColumn="0" w:noHBand="0" w:noVBand="0"/>
      </w:tblPr>
      <w:tblGrid>
        <w:gridCol w:w="9300"/>
      </w:tblGrid>
      <w:tr w:rsidR="00C91EFA" w:rsidRPr="00DD25CD" w14:paraId="2F818E89" w14:textId="77777777" w:rsidTr="00B3038D">
        <w:trPr>
          <w:cantSplit/>
          <w:trHeight w:val="285"/>
        </w:trPr>
        <w:tc>
          <w:tcPr>
            <w:tcW w:w="9300" w:type="dxa"/>
            <w:shd w:val="clear" w:color="auto" w:fill="D9D9D9" w:themeFill="background1" w:themeFillShade="D9"/>
          </w:tcPr>
          <w:p w14:paraId="04B504B0" w14:textId="77777777" w:rsidR="00C91EFA" w:rsidRPr="00204290" w:rsidRDefault="00C91EFA" w:rsidP="00B3038D">
            <w:pPr>
              <w:pStyle w:val="Heading1"/>
            </w:pPr>
            <w:bookmarkStart w:id="29" w:name="_Toc116893338"/>
            <w:bookmarkStart w:id="30" w:name="_Toc126585729"/>
            <w:r w:rsidRPr="004D004F">
              <w:t xml:space="preserve">Section 6 </w:t>
            </w:r>
            <w:r>
              <w:t>-</w:t>
            </w:r>
            <w:r w:rsidRPr="004D004F">
              <w:t xml:space="preserve"> </w:t>
            </w:r>
            <w:bookmarkEnd w:id="29"/>
            <w:r>
              <w:t>Commencing insulin therapy for management of GDM</w:t>
            </w:r>
            <w:bookmarkEnd w:id="30"/>
            <w:r>
              <w:t xml:space="preserve"> </w:t>
            </w:r>
          </w:p>
        </w:tc>
      </w:tr>
    </w:tbl>
    <w:p w14:paraId="1845E145" w14:textId="77777777" w:rsidR="00C91EFA" w:rsidRDefault="00C91EFA" w:rsidP="00C91EFA">
      <w:pPr>
        <w:rPr>
          <w:rFonts w:cs="Calibri"/>
        </w:rPr>
      </w:pPr>
    </w:p>
    <w:p w14:paraId="4BDFC9E7" w14:textId="77777777" w:rsidR="00C91EFA" w:rsidRDefault="00C91EFA" w:rsidP="00C91EFA">
      <w:pPr>
        <w:pStyle w:val="BodyText"/>
        <w:rPr>
          <w:rFonts w:ascii="Calibri" w:hAnsi="Calibri" w:cs="Calibri"/>
        </w:rPr>
      </w:pPr>
    </w:p>
    <w:p w14:paraId="63517D18" w14:textId="77777777" w:rsidR="00C91EFA" w:rsidRDefault="00C91EFA" w:rsidP="00C91EFA">
      <w:pPr>
        <w:pStyle w:val="BodyText"/>
        <w:rPr>
          <w:rFonts w:ascii="Calibri" w:hAnsi="Calibri" w:cs="Calibri"/>
        </w:rPr>
      </w:pPr>
      <w:bookmarkStart w:id="31" w:name="_Hlk125964338"/>
      <w:r>
        <w:rPr>
          <w:rFonts w:ascii="Calibri" w:hAnsi="Calibri" w:cs="Calibri"/>
        </w:rPr>
        <w:t>I</w:t>
      </w:r>
      <w:r w:rsidRPr="00CA6C19">
        <w:rPr>
          <w:rFonts w:ascii="Calibri" w:hAnsi="Calibri" w:cs="Calibri"/>
        </w:rPr>
        <w:t xml:space="preserve">f diet and exercise </w:t>
      </w:r>
      <w:r>
        <w:rPr>
          <w:rFonts w:ascii="Calibri" w:hAnsi="Calibri" w:cs="Calibri"/>
        </w:rPr>
        <w:t>cannot</w:t>
      </w:r>
      <w:r w:rsidRPr="00CA6C19">
        <w:rPr>
          <w:rFonts w:ascii="Calibri" w:hAnsi="Calibri" w:cs="Calibri"/>
        </w:rPr>
        <w:t xml:space="preserve"> achieve normoglycemia in </w:t>
      </w:r>
      <w:r>
        <w:rPr>
          <w:rFonts w:ascii="Calibri" w:hAnsi="Calibri" w:cs="Calibri"/>
        </w:rPr>
        <w:t>patients</w:t>
      </w:r>
      <w:r w:rsidRPr="00CA6C19">
        <w:rPr>
          <w:rFonts w:ascii="Calibri" w:hAnsi="Calibri" w:cs="Calibri"/>
        </w:rPr>
        <w:t xml:space="preserve"> with </w:t>
      </w:r>
      <w:r>
        <w:rPr>
          <w:rFonts w:ascii="Calibri" w:hAnsi="Calibri" w:cs="Calibri"/>
        </w:rPr>
        <w:t>GDM and T</w:t>
      </w:r>
      <w:r w:rsidRPr="00CA6C19">
        <w:rPr>
          <w:rFonts w:ascii="Calibri" w:hAnsi="Calibri" w:cs="Calibri"/>
        </w:rPr>
        <w:t xml:space="preserve">ype 2 </w:t>
      </w:r>
      <w:r>
        <w:rPr>
          <w:rFonts w:ascii="Calibri" w:hAnsi="Calibri" w:cs="Calibri"/>
        </w:rPr>
        <w:t>DM</w:t>
      </w:r>
      <w:r w:rsidRPr="00CA6C19">
        <w:rPr>
          <w:rFonts w:ascii="Calibri" w:hAnsi="Calibri" w:cs="Calibri"/>
        </w:rPr>
        <w:t xml:space="preserve">, </w:t>
      </w:r>
      <w:r>
        <w:rPr>
          <w:rFonts w:ascii="Calibri" w:hAnsi="Calibri" w:cs="Calibri"/>
        </w:rPr>
        <w:t>insulin therapy is required</w:t>
      </w:r>
      <w:r w:rsidRPr="003073AA">
        <w:rPr>
          <w:rFonts w:ascii="Calibri" w:hAnsi="Calibri" w:cs="Calibri"/>
        </w:rPr>
        <w:t xml:space="preserve">. Initiation of medication is under the guidance of the </w:t>
      </w:r>
      <w:r>
        <w:rPr>
          <w:rFonts w:ascii="Calibri" w:hAnsi="Calibri" w:cs="Calibri"/>
        </w:rPr>
        <w:t>e</w:t>
      </w:r>
      <w:r w:rsidRPr="003073AA">
        <w:rPr>
          <w:rFonts w:ascii="Calibri" w:hAnsi="Calibri" w:cs="Calibri"/>
        </w:rPr>
        <w:t xml:space="preserve">ndocrine </w:t>
      </w:r>
      <w:r>
        <w:rPr>
          <w:rFonts w:ascii="Calibri" w:hAnsi="Calibri" w:cs="Calibri"/>
        </w:rPr>
        <w:t>t</w:t>
      </w:r>
      <w:r w:rsidRPr="003073AA">
        <w:rPr>
          <w:rFonts w:ascii="Calibri" w:hAnsi="Calibri" w:cs="Calibri"/>
        </w:rPr>
        <w:t xml:space="preserve">eam. </w:t>
      </w:r>
      <w:bookmarkEnd w:id="31"/>
      <w:r>
        <w:rPr>
          <w:rFonts w:ascii="Calibri" w:hAnsi="Calibri" w:cs="Calibri"/>
        </w:rPr>
        <w:t xml:space="preserve">Pregnancy care is provided </w:t>
      </w:r>
      <w:r w:rsidRPr="005E0736">
        <w:rPr>
          <w:rFonts w:ascii="Calibri" w:hAnsi="Calibri" w:cs="Calibri"/>
        </w:rPr>
        <w:t xml:space="preserve">following </w:t>
      </w:r>
      <w:r>
        <w:rPr>
          <w:rFonts w:ascii="Calibri" w:hAnsi="Calibri" w:cs="Calibri"/>
        </w:rPr>
        <w:t xml:space="preserve">the </w:t>
      </w:r>
      <w:r w:rsidRPr="005E0736">
        <w:rPr>
          <w:rFonts w:ascii="Calibri" w:hAnsi="Calibri" w:cs="Calibri"/>
          <w:i/>
          <w:iCs/>
        </w:rPr>
        <w:t>CHS Insulin Requiring Diabetes in Pregnancy Visit Plan</w:t>
      </w:r>
      <w:r>
        <w:rPr>
          <w:rFonts w:ascii="Calibri" w:hAnsi="Calibri" w:cs="Calibri"/>
          <w:i/>
          <w:iCs/>
        </w:rPr>
        <w:t xml:space="preserve"> </w:t>
      </w:r>
      <w:r w:rsidRPr="005E0736">
        <w:rPr>
          <w:rFonts w:ascii="Calibri" w:hAnsi="Calibri" w:cs="Calibri"/>
        </w:rPr>
        <w:t xml:space="preserve">(form </w:t>
      </w:r>
      <w:r>
        <w:rPr>
          <w:rFonts w:ascii="Calibri" w:hAnsi="Calibri" w:cs="Calibri"/>
        </w:rPr>
        <w:t>no. 37561</w:t>
      </w:r>
      <w:r w:rsidRPr="005E0736">
        <w:rPr>
          <w:rFonts w:ascii="Calibri" w:hAnsi="Calibri" w:cs="Calibri"/>
        </w:rPr>
        <w:t xml:space="preserve"> on the Clinical Forms Registe</w:t>
      </w:r>
      <w:r>
        <w:rPr>
          <w:rFonts w:ascii="Calibri" w:hAnsi="Calibri" w:cs="Calibri"/>
        </w:rPr>
        <w:t>r).</w:t>
      </w:r>
    </w:p>
    <w:p w14:paraId="4838DF87" w14:textId="77777777" w:rsidR="00C91EFA" w:rsidRDefault="00C91EFA" w:rsidP="00C91EFA">
      <w:pPr>
        <w:pStyle w:val="BodyText"/>
        <w:rPr>
          <w:rFonts w:ascii="Calibri" w:hAnsi="Calibri" w:cs="Calibri"/>
        </w:rPr>
      </w:pPr>
    </w:p>
    <w:p w14:paraId="48E427C4" w14:textId="77777777" w:rsidR="00C91EFA" w:rsidRPr="00BC2FD5" w:rsidRDefault="00C91EFA" w:rsidP="00C91EFA">
      <w:pPr>
        <w:pStyle w:val="BodyText"/>
        <w:rPr>
          <w:rFonts w:ascii="Calibri" w:hAnsi="Calibri" w:cs="Calibri"/>
        </w:rPr>
      </w:pPr>
      <w:r>
        <w:rPr>
          <w:rFonts w:ascii="Calibri" w:hAnsi="Calibri" w:cs="Calibri"/>
        </w:rPr>
        <w:t xml:space="preserve">All GDM patients who require insulin therapy should have the </w:t>
      </w:r>
      <w:r w:rsidRPr="005E0736">
        <w:rPr>
          <w:rFonts w:ascii="Calibri" w:hAnsi="Calibri" w:cs="Calibri"/>
          <w:i/>
          <w:iCs/>
        </w:rPr>
        <w:t xml:space="preserve">Gestational Diabetes Insulin </w:t>
      </w:r>
      <w:r>
        <w:rPr>
          <w:rFonts w:ascii="Calibri" w:hAnsi="Calibri" w:cs="Calibri"/>
          <w:i/>
          <w:iCs/>
        </w:rPr>
        <w:t>S</w:t>
      </w:r>
      <w:r w:rsidRPr="005E0736">
        <w:rPr>
          <w:rFonts w:ascii="Calibri" w:hAnsi="Calibri" w:cs="Calibri"/>
          <w:i/>
          <w:iCs/>
        </w:rPr>
        <w:t xml:space="preserve">tart </w:t>
      </w:r>
      <w:r>
        <w:rPr>
          <w:rFonts w:ascii="Calibri" w:hAnsi="Calibri" w:cs="Calibri"/>
          <w:i/>
          <w:iCs/>
        </w:rPr>
        <w:t>R</w:t>
      </w:r>
      <w:r w:rsidRPr="005E0736">
        <w:rPr>
          <w:rFonts w:ascii="Calibri" w:hAnsi="Calibri" w:cs="Calibri"/>
          <w:i/>
          <w:iCs/>
        </w:rPr>
        <w:t>eferral</w:t>
      </w:r>
      <w:r w:rsidRPr="005E0736">
        <w:rPr>
          <w:rFonts w:ascii="Calibri" w:hAnsi="Calibri" w:cs="Calibri"/>
        </w:rPr>
        <w:t xml:space="preserve"> (form </w:t>
      </w:r>
      <w:r>
        <w:rPr>
          <w:rFonts w:ascii="Calibri" w:hAnsi="Calibri" w:cs="Calibri"/>
        </w:rPr>
        <w:t>no.</w:t>
      </w:r>
      <w:r w:rsidRPr="005E0736">
        <w:rPr>
          <w:rFonts w:ascii="Calibri" w:hAnsi="Calibri" w:cs="Calibri"/>
        </w:rPr>
        <w:t xml:space="preserve">25038 on the Clinical Forms Register) </w:t>
      </w:r>
      <w:r>
        <w:rPr>
          <w:rFonts w:ascii="Calibri" w:hAnsi="Calibri" w:cs="Calibri"/>
        </w:rPr>
        <w:t>completed by referring staff.</w:t>
      </w:r>
    </w:p>
    <w:p w14:paraId="73D66F5A" w14:textId="77777777" w:rsidR="00C91EFA" w:rsidRDefault="00C91EFA" w:rsidP="00C91EFA"/>
    <w:p w14:paraId="047AD825" w14:textId="77777777" w:rsidR="00C91EFA" w:rsidRDefault="00C91EFA" w:rsidP="00C91EFA">
      <w:pPr>
        <w:pStyle w:val="BodyText"/>
        <w:rPr>
          <w:rFonts w:ascii="Calibri" w:hAnsi="Calibri" w:cs="Calibri"/>
          <w:b/>
          <w:bCs/>
        </w:rPr>
      </w:pPr>
      <w:r>
        <w:rPr>
          <w:rFonts w:ascii="Calibri" w:hAnsi="Calibri" w:cs="Calibri"/>
          <w:b/>
          <w:bCs/>
        </w:rPr>
        <w:t>C</w:t>
      </w:r>
      <w:r w:rsidRPr="00A82909">
        <w:rPr>
          <w:rFonts w:ascii="Calibri" w:hAnsi="Calibri" w:cs="Calibri"/>
          <w:b/>
          <w:bCs/>
        </w:rPr>
        <w:t>ommencing insulin therapy</w:t>
      </w:r>
    </w:p>
    <w:p w14:paraId="77C2AE13" w14:textId="77777777" w:rsidR="00C91EFA" w:rsidRPr="003E13AB" w:rsidRDefault="00C91EFA" w:rsidP="00C91EFA">
      <w:pPr>
        <w:pStyle w:val="ListBullet"/>
        <w:rPr>
          <w:rFonts w:cs="Calibri"/>
          <w:b/>
          <w:bCs/>
        </w:rPr>
      </w:pPr>
      <w:r w:rsidRPr="2BC6C1F3">
        <w:rPr>
          <w:b/>
          <w:bCs/>
        </w:rPr>
        <w:t>Insulin therapy is commenced only under guidance of the endocrine team.</w:t>
      </w:r>
    </w:p>
    <w:p w14:paraId="029CF64F" w14:textId="77777777" w:rsidR="00C91EFA" w:rsidRPr="00CA6C19" w:rsidRDefault="00C91EFA" w:rsidP="00C91EFA">
      <w:pPr>
        <w:pStyle w:val="ListBullet"/>
      </w:pPr>
      <w:r>
        <w:t>When starting insulin, small doses are prescribed in anticipation that further increases in dosage will be required to achieve blood glucose euglycemia.</w:t>
      </w:r>
    </w:p>
    <w:p w14:paraId="5AA1DB49" w14:textId="77777777" w:rsidR="00C91EFA" w:rsidRDefault="00C91EFA" w:rsidP="00C91EFA">
      <w:pPr>
        <w:pStyle w:val="ListBullet"/>
      </w:pPr>
      <w:r>
        <w:t xml:space="preserve">Insulin may not be required with all meals. </w:t>
      </w:r>
    </w:p>
    <w:p w14:paraId="0E666E45" w14:textId="77777777" w:rsidR="00C91EFA" w:rsidRPr="00FD76CC" w:rsidRDefault="00C91EFA" w:rsidP="00C91EFA">
      <w:pPr>
        <w:pStyle w:val="ListBullet"/>
        <w:rPr>
          <w:b/>
          <w:bCs/>
        </w:rPr>
      </w:pPr>
      <w:r>
        <w:t xml:space="preserve">Insulin resistance increases progressively as pregnancy proceeds. Regular monitoring of BGL is essential. </w:t>
      </w:r>
    </w:p>
    <w:p w14:paraId="0AA10305" w14:textId="77777777" w:rsidR="00C91EFA" w:rsidRDefault="00C91EFA" w:rsidP="00C91EFA">
      <w:pPr>
        <w:pStyle w:val="BodyText"/>
        <w:rPr>
          <w:rFonts w:ascii="Calibri" w:hAnsi="Calibri" w:cs="Calibri"/>
          <w:b/>
          <w:bCs/>
        </w:rPr>
      </w:pPr>
    </w:p>
    <w:p w14:paraId="5DFD81E6" w14:textId="77777777" w:rsidR="00C91EFA" w:rsidRPr="00FE0942" w:rsidRDefault="00C91EFA" w:rsidP="00C91EFA">
      <w:pPr>
        <w:pStyle w:val="BodyText"/>
        <w:rPr>
          <w:rFonts w:ascii="Calibri" w:hAnsi="Calibri" w:cs="Calibri"/>
          <w:b/>
          <w:bCs/>
        </w:rPr>
      </w:pPr>
      <w:r w:rsidRPr="00FE0942">
        <w:rPr>
          <w:rFonts w:ascii="Calibri" w:hAnsi="Calibri" w:cs="Calibri"/>
          <w:b/>
          <w:bCs/>
        </w:rPr>
        <w:t>Timing and type of insulin</w:t>
      </w:r>
    </w:p>
    <w:p w14:paraId="616D3F67" w14:textId="77777777" w:rsidR="00C91EFA" w:rsidRDefault="00C91EFA" w:rsidP="00C91EFA">
      <w:pPr>
        <w:pStyle w:val="ListBullet"/>
      </w:pPr>
      <w:r>
        <w:t>The decision on which insulin type is required is determined by the time of day when glucose levels are high. Some patients will need both short and long-acting insulin.</w:t>
      </w:r>
    </w:p>
    <w:p w14:paraId="37262D02" w14:textId="77777777" w:rsidR="00C91EFA" w:rsidRPr="00004A2A" w:rsidRDefault="00C91EFA" w:rsidP="00C91EFA">
      <w:pPr>
        <w:pStyle w:val="ListBullet"/>
      </w:pPr>
      <w:r>
        <w:t>When long-acting insulin is required, consideration of normal sleeping habits should be taken into consideration so insulin is administered at a consistent time e.g., 21:30 rather than ‘before bed’.</w:t>
      </w:r>
    </w:p>
    <w:p w14:paraId="4E99705B" w14:textId="63FF0636" w:rsidR="00C91EFA" w:rsidRPr="00371615" w:rsidRDefault="00C91EFA" w:rsidP="00C91EFA">
      <w:pPr>
        <w:rPr>
          <w:b/>
          <w:bCs/>
        </w:rPr>
      </w:pPr>
      <w:bookmarkStart w:id="32" w:name="_Toc116893339"/>
      <w:r w:rsidRPr="00371615">
        <w:rPr>
          <w:b/>
          <w:bCs/>
          <w:noProof/>
        </w:rPr>
        <w:lastRenderedPageBreak/>
        <w:drawing>
          <wp:anchor distT="0" distB="0" distL="114300" distR="114300" simplePos="0" relativeHeight="251659264" behindDoc="1" locked="0" layoutInCell="1" allowOverlap="1" wp14:anchorId="6C3F69D9" wp14:editId="32642C9B">
            <wp:simplePos x="0" y="0"/>
            <wp:positionH relativeFrom="margin">
              <wp:align>right</wp:align>
            </wp:positionH>
            <wp:positionV relativeFrom="paragraph">
              <wp:posOffset>239395</wp:posOffset>
            </wp:positionV>
            <wp:extent cx="5731510" cy="2556510"/>
            <wp:effectExtent l="0" t="0" r="2540" b="0"/>
            <wp:wrapTight wrapText="bothSides">
              <wp:wrapPolygon edited="0">
                <wp:start x="0" y="0"/>
                <wp:lineTo x="0" y="21407"/>
                <wp:lineTo x="21538" y="21407"/>
                <wp:lineTo x="21538" y="0"/>
                <wp:lineTo x="0" y="0"/>
              </wp:wrapPolygon>
            </wp:wrapTight>
            <wp:docPr id="1" name="Picture 1" descr="Table describing insulin therapy suggested for BGL abnormality, suggested insulin type and action profile. Source from Queensland Clinical Guideline: Gestational Diabetes Mellitus (G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 describing insulin therapy suggested for BGL abnormality, suggested insulin type and action profile. Source from Queensland Clinical Guideline: Gestational Diabetes Mellitus (GDM)."/>
                    <pic:cNvPicPr/>
                  </pic:nvPicPr>
                  <pic:blipFill>
                    <a:blip r:embed="rId14">
                      <a:extLst>
                        <a:ext uri="{28A0092B-C50C-407E-A947-70E740481C1C}">
                          <a14:useLocalDpi xmlns:a14="http://schemas.microsoft.com/office/drawing/2010/main" val="0"/>
                        </a:ext>
                      </a:extLst>
                    </a:blip>
                    <a:stretch>
                      <a:fillRect/>
                    </a:stretch>
                  </pic:blipFill>
                  <pic:spPr>
                    <a:xfrm>
                      <a:off x="0" y="0"/>
                      <a:ext cx="5731510" cy="2556510"/>
                    </a:xfrm>
                    <a:prstGeom prst="rect">
                      <a:avLst/>
                    </a:prstGeom>
                  </pic:spPr>
                </pic:pic>
              </a:graphicData>
            </a:graphic>
            <wp14:sizeRelH relativeFrom="margin">
              <wp14:pctWidth>0</wp14:pctWidth>
            </wp14:sizeRelH>
            <wp14:sizeRelV relativeFrom="margin">
              <wp14:pctHeight>0</wp14:pctHeight>
            </wp14:sizeRelV>
          </wp:anchor>
        </w:drawing>
      </w:r>
      <w:r w:rsidRPr="00371615">
        <w:rPr>
          <w:b/>
          <w:bCs/>
        </w:rPr>
        <w:t>Table 2 Insulin Therapy suggested for BGL abnormality</w:t>
      </w:r>
      <w:bookmarkEnd w:id="32"/>
    </w:p>
    <w:p w14:paraId="6F782999" w14:textId="77777777" w:rsidR="00C91EFA" w:rsidRDefault="00C91EFA" w:rsidP="00C91EFA">
      <w:pPr>
        <w:pStyle w:val="BodyText"/>
        <w:rPr>
          <w:rFonts w:ascii="Calibri" w:hAnsi="Calibri" w:cs="Calibri"/>
          <w:b/>
          <w:bCs/>
        </w:rPr>
      </w:pPr>
    </w:p>
    <w:p w14:paraId="6FE0CAEA" w14:textId="77777777" w:rsidR="00C91EFA" w:rsidRPr="006548E6" w:rsidRDefault="00C91EFA" w:rsidP="00C91EFA">
      <w:pPr>
        <w:pStyle w:val="BodyText"/>
        <w:spacing w:line="276" w:lineRule="auto"/>
        <w:ind w:left="2880"/>
        <w:rPr>
          <w:rFonts w:ascii="Calibri" w:hAnsi="Calibri" w:cs="Calibri"/>
          <w:b/>
          <w:bCs/>
          <w:sz w:val="18"/>
          <w:szCs w:val="18"/>
        </w:rPr>
      </w:pPr>
      <w:bookmarkStart w:id="33" w:name="_Hlk114092691"/>
      <w:r w:rsidRPr="006548E6">
        <w:rPr>
          <w:rFonts w:ascii="Calibri" w:hAnsi="Calibri" w:cs="Calibri"/>
          <w:b/>
          <w:bCs/>
          <w:sz w:val="18"/>
          <w:szCs w:val="18"/>
        </w:rPr>
        <w:t xml:space="preserve">Source Queensland Clinical Guideline: Gestational diabetes mellitus (GDM) </w:t>
      </w:r>
    </w:p>
    <w:bookmarkEnd w:id="33"/>
    <w:p w14:paraId="1DD5686C" w14:textId="77777777" w:rsidR="00C91EFA" w:rsidRDefault="00C91EFA" w:rsidP="00C91EFA">
      <w:pPr>
        <w:pStyle w:val="BodyText"/>
        <w:rPr>
          <w:rFonts w:ascii="Calibri" w:hAnsi="Calibri" w:cs="Calibri"/>
          <w:b/>
          <w:bCs/>
        </w:rPr>
      </w:pPr>
    </w:p>
    <w:p w14:paraId="1F13C2FD" w14:textId="77777777" w:rsidR="00C91EFA" w:rsidRDefault="00C91EFA" w:rsidP="00C91EFA">
      <w:pPr>
        <w:pStyle w:val="BodyText"/>
        <w:rPr>
          <w:rFonts w:ascii="Calibri" w:hAnsi="Calibri" w:cs="Calibri"/>
          <w:b/>
          <w:bCs/>
        </w:rPr>
      </w:pPr>
    </w:p>
    <w:p w14:paraId="542C2FE3" w14:textId="77777777" w:rsidR="00C91EFA" w:rsidRPr="00CA6C19" w:rsidRDefault="00C91EFA" w:rsidP="00C91EFA">
      <w:pPr>
        <w:pStyle w:val="BodyText"/>
        <w:rPr>
          <w:rFonts w:ascii="Calibri" w:hAnsi="Calibri" w:cs="Calibri"/>
          <w:b/>
          <w:bCs/>
        </w:rPr>
      </w:pPr>
      <w:r w:rsidRPr="00CA6C19">
        <w:rPr>
          <w:rFonts w:ascii="Calibri" w:hAnsi="Calibri" w:cs="Calibri"/>
          <w:b/>
          <w:bCs/>
        </w:rPr>
        <w:t>Oral hypoglycemic agents (OHAs)</w:t>
      </w:r>
    </w:p>
    <w:p w14:paraId="3E35F859" w14:textId="77777777" w:rsidR="00C91EFA" w:rsidRDefault="00C91EFA" w:rsidP="00C91EFA">
      <w:pPr>
        <w:pStyle w:val="ListBullet"/>
      </w:pPr>
      <w:r>
        <w:t>These should only be continued or commenced in consultation with an endocrinologist.</w:t>
      </w:r>
    </w:p>
    <w:p w14:paraId="378542DA" w14:textId="77777777" w:rsidR="00C91EFA" w:rsidRDefault="00C91EFA" w:rsidP="00C91EFA">
      <w:pPr>
        <w:pStyle w:val="ListBullet"/>
      </w:pPr>
      <w:r>
        <w:t xml:space="preserve">No OHAs </w:t>
      </w:r>
      <w:r w:rsidRPr="2BC6C1F3">
        <w:rPr>
          <w:rFonts w:eastAsia="Microsoft Sans Serif"/>
          <w:lang w:val="en-US"/>
        </w:rPr>
        <w:t xml:space="preserve">except metformin </w:t>
      </w:r>
      <w:r>
        <w:t xml:space="preserve">are currently recommended for use in pregnancy. Clinical trials are continuing to determine if there is any long-term effect on the </w:t>
      </w:r>
      <w:proofErr w:type="spellStart"/>
      <w:r>
        <w:t>fetus</w:t>
      </w:r>
      <w:proofErr w:type="spellEnd"/>
      <w:r>
        <w:t xml:space="preserve">. </w:t>
      </w:r>
    </w:p>
    <w:p w14:paraId="0E627AD7" w14:textId="77777777" w:rsidR="00C91EFA" w:rsidRPr="00A82909" w:rsidRDefault="00C91EFA" w:rsidP="00C91EFA">
      <w:pPr>
        <w:pStyle w:val="ListBullet"/>
      </w:pPr>
      <w:r w:rsidRPr="2BC6C1F3">
        <w:rPr>
          <w:rFonts w:eastAsia="Microsoft Sans Serif"/>
          <w:lang w:val="en-US"/>
        </w:rPr>
        <w:t xml:space="preserve">OHAs </w:t>
      </w:r>
      <w:r>
        <w:t>may be prescribed for patients with Type 2 DM or GDM following circumstances:</w:t>
      </w:r>
    </w:p>
    <w:p w14:paraId="730F552E" w14:textId="77777777" w:rsidR="00C91EFA" w:rsidRPr="004D004F" w:rsidRDefault="00C91EFA" w:rsidP="00C91EFA">
      <w:pPr>
        <w:pStyle w:val="ListBullet"/>
        <w:tabs>
          <w:tab w:val="clear" w:pos="644"/>
          <w:tab w:val="num" w:pos="1070"/>
        </w:tabs>
        <w:ind w:left="852"/>
      </w:pPr>
      <w:r>
        <w:t xml:space="preserve">where the patient has been taking OHA’s prior to and in early pregnancy (e.g., PCOS) </w:t>
      </w:r>
    </w:p>
    <w:p w14:paraId="2E43C611" w14:textId="77777777" w:rsidR="00C91EFA" w:rsidRPr="004D004F" w:rsidRDefault="00C91EFA" w:rsidP="00C91EFA">
      <w:pPr>
        <w:pStyle w:val="ListBullet"/>
        <w:tabs>
          <w:tab w:val="clear" w:pos="644"/>
          <w:tab w:val="num" w:pos="1070"/>
        </w:tabs>
        <w:ind w:left="852"/>
      </w:pPr>
      <w:r>
        <w:t>where the patient refuses to take insulin injections</w:t>
      </w:r>
    </w:p>
    <w:p w14:paraId="7912337E" w14:textId="77777777" w:rsidR="00C91EFA" w:rsidRPr="004D004F" w:rsidRDefault="00C91EFA" w:rsidP="00C91EFA">
      <w:pPr>
        <w:pStyle w:val="ListBullet"/>
        <w:tabs>
          <w:tab w:val="clear" w:pos="644"/>
          <w:tab w:val="num" w:pos="1070"/>
        </w:tabs>
        <w:ind w:left="852"/>
      </w:pPr>
      <w:r>
        <w:t>when insulin compliance is poor</w:t>
      </w:r>
    </w:p>
    <w:p w14:paraId="4A4E6741" w14:textId="77777777" w:rsidR="00C91EFA" w:rsidRDefault="00C91EFA" w:rsidP="00C91EFA">
      <w:pPr>
        <w:pStyle w:val="ListBullet"/>
        <w:tabs>
          <w:tab w:val="clear" w:pos="644"/>
          <w:tab w:val="num" w:pos="1070"/>
        </w:tabs>
        <w:ind w:left="852"/>
      </w:pPr>
      <w:r>
        <w:t>as a supplement to insulin or when large doses of insulin are required to control BGLs.</w:t>
      </w:r>
    </w:p>
    <w:p w14:paraId="3CDBF378" w14:textId="77777777" w:rsidR="00C91EFA" w:rsidRPr="00CA6C19" w:rsidRDefault="00C91EFA" w:rsidP="00C91EFA">
      <w:pPr>
        <w:pStyle w:val="ListBullet"/>
        <w:numPr>
          <w:ilvl w:val="0"/>
          <w:numId w:val="0"/>
        </w:numPr>
        <w:ind w:left="852"/>
      </w:pPr>
    </w:p>
    <w:p w14:paraId="5D1807AD" w14:textId="77777777" w:rsidR="00C91EFA" w:rsidRDefault="00C91EFA" w:rsidP="00C91EFA">
      <w:pPr>
        <w:pStyle w:val="BodyText"/>
        <w:ind w:left="6262"/>
        <w:rPr>
          <w:rStyle w:val="Hyperlink"/>
          <w:rFonts w:ascii="Calibri" w:eastAsiaTheme="majorEastAsia" w:hAnsi="Calibri" w:cs="Calibri"/>
          <w:i/>
        </w:rPr>
      </w:pPr>
      <w:hyperlink w:anchor="Contents" w:history="1">
        <w:r w:rsidRPr="002B2599">
          <w:rPr>
            <w:rStyle w:val="Hyperlink"/>
            <w:rFonts w:ascii="Calibri" w:eastAsiaTheme="majorEastAsia" w:hAnsi="Calibri" w:cs="Calibri"/>
            <w:i/>
          </w:rPr>
          <w:t>Back to Table of Contents</w:t>
        </w:r>
      </w:hyperlink>
    </w:p>
    <w:tbl>
      <w:tblPr>
        <w:tblpPr w:leftFromText="180" w:rightFromText="180" w:vertAnchor="text" w:horzAnchor="margin" w:tblpY="138"/>
        <w:tblW w:w="9320" w:type="dxa"/>
        <w:tblLook w:val="0000" w:firstRow="0" w:lastRow="0" w:firstColumn="0" w:lastColumn="0" w:noHBand="0" w:noVBand="0"/>
      </w:tblPr>
      <w:tblGrid>
        <w:gridCol w:w="9320"/>
      </w:tblGrid>
      <w:tr w:rsidR="00C91EFA" w:rsidRPr="00CD1C0E" w14:paraId="4A613F50" w14:textId="77777777" w:rsidTr="00B3038D">
        <w:trPr>
          <w:cantSplit/>
          <w:trHeight w:val="285"/>
        </w:trPr>
        <w:tc>
          <w:tcPr>
            <w:tcW w:w="9320" w:type="dxa"/>
            <w:shd w:val="clear" w:color="auto" w:fill="D9D9D9" w:themeFill="background1" w:themeFillShade="D9"/>
          </w:tcPr>
          <w:p w14:paraId="7DEB63D1" w14:textId="77777777" w:rsidR="00C91EFA" w:rsidRPr="003D2D06" w:rsidRDefault="00C91EFA" w:rsidP="00B3038D">
            <w:pPr>
              <w:pStyle w:val="Heading1"/>
            </w:pPr>
            <w:bookmarkStart w:id="34" w:name="_Toc116893340"/>
            <w:bookmarkStart w:id="35" w:name="_Toc126585730"/>
            <w:r>
              <w:t>Section 7 -</w:t>
            </w:r>
            <w:r w:rsidRPr="003D2D06">
              <w:t xml:space="preserve"> </w:t>
            </w:r>
            <w:r>
              <w:t xml:space="preserve">Considerations for patients with Pre-existing </w:t>
            </w:r>
            <w:bookmarkEnd w:id="34"/>
            <w:r>
              <w:t>DM</w:t>
            </w:r>
            <w:bookmarkEnd w:id="35"/>
            <w:r>
              <w:t xml:space="preserve"> </w:t>
            </w:r>
          </w:p>
        </w:tc>
      </w:tr>
    </w:tbl>
    <w:p w14:paraId="0FC6B99B" w14:textId="77777777" w:rsidR="00C91EFA" w:rsidRDefault="00C91EFA" w:rsidP="00C91EFA">
      <w:pPr>
        <w:pStyle w:val="BodyText"/>
        <w:rPr>
          <w:rFonts w:ascii="Calibri" w:eastAsia="Times New Roman" w:hAnsi="Calibri" w:cs="Calibri"/>
          <w:color w:val="1C1D1E"/>
          <w:shd w:val="clear" w:color="auto" w:fill="FFFFFF"/>
          <w:lang w:val="en-AU"/>
        </w:rPr>
      </w:pPr>
    </w:p>
    <w:p w14:paraId="55CB251B" w14:textId="77777777" w:rsidR="00C91EFA" w:rsidRDefault="00C91EFA" w:rsidP="00C91EFA">
      <w:pPr>
        <w:pStyle w:val="BodyText"/>
        <w:rPr>
          <w:rFonts w:cs="Calibri"/>
          <w:color w:val="1C1D1E"/>
          <w:lang w:eastAsia="en-AU"/>
        </w:rPr>
      </w:pPr>
      <w:r w:rsidRPr="00087538">
        <w:rPr>
          <w:rFonts w:ascii="Calibri" w:eastAsia="Times New Roman" w:hAnsi="Calibri" w:cs="Calibri"/>
          <w:color w:val="1C1D1E"/>
          <w:shd w:val="clear" w:color="auto" w:fill="FFFFFF"/>
          <w:lang w:val="en-AU"/>
        </w:rPr>
        <w:t>Adverse pregnancy outcomes</w:t>
      </w:r>
      <w:r>
        <w:rPr>
          <w:rFonts w:ascii="Calibri" w:eastAsia="Times New Roman" w:hAnsi="Calibri" w:cs="Calibri"/>
          <w:color w:val="1C1D1E"/>
          <w:shd w:val="clear" w:color="auto" w:fill="FFFFFF"/>
          <w:lang w:val="en-AU"/>
        </w:rPr>
        <w:t xml:space="preserve"> are more commonly experienced </w:t>
      </w:r>
      <w:r w:rsidRPr="00087538">
        <w:rPr>
          <w:rFonts w:ascii="Calibri" w:eastAsia="Times New Roman" w:hAnsi="Calibri" w:cs="Calibri"/>
          <w:color w:val="1C1D1E"/>
          <w:shd w:val="clear" w:color="auto" w:fill="FFFFFF"/>
          <w:lang w:val="en-AU"/>
        </w:rPr>
        <w:t xml:space="preserve">in </w:t>
      </w:r>
      <w:r>
        <w:rPr>
          <w:rFonts w:ascii="Calibri" w:eastAsia="Times New Roman" w:hAnsi="Calibri" w:cs="Calibri"/>
          <w:color w:val="1C1D1E"/>
          <w:shd w:val="clear" w:color="auto" w:fill="FFFFFF"/>
          <w:lang w:val="en-AU"/>
        </w:rPr>
        <w:t>patients</w:t>
      </w:r>
      <w:r w:rsidRPr="00087538">
        <w:rPr>
          <w:rFonts w:ascii="Calibri" w:eastAsia="Times New Roman" w:hAnsi="Calibri" w:cs="Calibri"/>
          <w:color w:val="1C1D1E"/>
          <w:shd w:val="clear" w:color="auto" w:fill="FFFFFF"/>
          <w:lang w:val="en-AU"/>
        </w:rPr>
        <w:t xml:space="preserve"> with pre-existing diabetes.</w:t>
      </w:r>
      <w:r>
        <w:rPr>
          <w:rFonts w:ascii="Calibri" w:eastAsia="Times New Roman" w:hAnsi="Calibri" w:cs="Calibri"/>
          <w:color w:val="1C1D1E"/>
          <w:shd w:val="clear" w:color="auto" w:fill="FFFFFF"/>
          <w:lang w:val="en-AU"/>
        </w:rPr>
        <w:t xml:space="preserve"> These include a </w:t>
      </w:r>
      <w:r w:rsidRPr="00087538">
        <w:rPr>
          <w:rFonts w:ascii="Calibri" w:eastAsia="Times New Roman" w:hAnsi="Calibri" w:cs="Calibri"/>
          <w:color w:val="1C1D1E"/>
          <w:shd w:val="clear" w:color="auto" w:fill="FFFFFF"/>
          <w:lang w:val="en-AU"/>
        </w:rPr>
        <w:t xml:space="preserve">greater likelihood of </w:t>
      </w:r>
      <w:r>
        <w:rPr>
          <w:rFonts w:ascii="Calibri" w:eastAsia="Times New Roman" w:hAnsi="Calibri" w:cs="Calibri"/>
          <w:color w:val="1C1D1E"/>
          <w:shd w:val="clear" w:color="auto" w:fill="FFFFFF"/>
          <w:lang w:val="en-AU"/>
        </w:rPr>
        <w:t xml:space="preserve">planned </w:t>
      </w:r>
      <w:r w:rsidRPr="00087538">
        <w:rPr>
          <w:rFonts w:ascii="Calibri" w:eastAsia="Times New Roman" w:hAnsi="Calibri" w:cs="Calibri"/>
          <w:color w:val="1C1D1E"/>
          <w:shd w:val="clear" w:color="auto" w:fill="FFFFFF"/>
          <w:lang w:val="en-AU"/>
        </w:rPr>
        <w:t>caesarean before labour</w:t>
      </w:r>
      <w:r>
        <w:rPr>
          <w:rFonts w:ascii="Calibri" w:eastAsia="Times New Roman" w:hAnsi="Calibri" w:cs="Calibri"/>
          <w:color w:val="1C1D1E"/>
          <w:shd w:val="clear" w:color="auto" w:fill="FFFFFF"/>
          <w:lang w:val="en-AU"/>
        </w:rPr>
        <w:t xml:space="preserve"> (due to fetal macrosomia), increased risk of postpartum haemorrhage and severe perineal trauma. Infants of patients with pre-existing diabetes are more likely to experience fetal macrosomia, this can lead to </w:t>
      </w:r>
      <w:r w:rsidRPr="00087538">
        <w:rPr>
          <w:rFonts w:ascii="Calibri" w:eastAsia="Times New Roman" w:hAnsi="Calibri" w:cs="Calibri"/>
          <w:color w:val="1C1D1E"/>
          <w:shd w:val="clear" w:color="auto" w:fill="FFFFFF"/>
          <w:lang w:val="en-AU"/>
        </w:rPr>
        <w:t>neonatal intensive care</w:t>
      </w:r>
      <w:r>
        <w:rPr>
          <w:rFonts w:ascii="Calibri" w:eastAsia="Times New Roman" w:hAnsi="Calibri" w:cs="Calibri"/>
          <w:color w:val="1C1D1E"/>
          <w:shd w:val="clear" w:color="auto" w:fill="FFFFFF"/>
          <w:lang w:val="en-AU"/>
        </w:rPr>
        <w:t xml:space="preserve"> </w:t>
      </w:r>
      <w:r w:rsidRPr="00087538">
        <w:rPr>
          <w:rFonts w:ascii="Calibri" w:eastAsia="Times New Roman" w:hAnsi="Calibri" w:cs="Calibri"/>
          <w:color w:val="1C1D1E"/>
          <w:shd w:val="clear" w:color="auto" w:fill="FFFFFF"/>
          <w:lang w:val="en-AU"/>
        </w:rPr>
        <w:t>admission</w:t>
      </w:r>
      <w:r>
        <w:rPr>
          <w:rFonts w:ascii="Calibri" w:eastAsia="Times New Roman" w:hAnsi="Calibri" w:cs="Calibri"/>
          <w:color w:val="1C1D1E"/>
          <w:shd w:val="clear" w:color="auto" w:fill="FFFFFF"/>
          <w:lang w:val="en-AU"/>
        </w:rPr>
        <w:t xml:space="preserve"> (due to persistent </w:t>
      </w:r>
      <w:r w:rsidRPr="00087538">
        <w:rPr>
          <w:rFonts w:ascii="Calibri" w:eastAsia="Times New Roman" w:hAnsi="Calibri" w:cs="Calibri"/>
          <w:color w:val="1C1D1E"/>
          <w:shd w:val="clear" w:color="auto" w:fill="FFFFFF"/>
          <w:lang w:val="en-AU"/>
        </w:rPr>
        <w:t>hypoglycaemia</w:t>
      </w:r>
      <w:r>
        <w:rPr>
          <w:rFonts w:ascii="Calibri" w:eastAsia="Times New Roman" w:hAnsi="Calibri" w:cs="Calibri"/>
          <w:color w:val="1C1D1E"/>
          <w:shd w:val="clear" w:color="auto" w:fill="FFFFFF"/>
          <w:lang w:val="en-AU"/>
        </w:rPr>
        <w:t>) and increased associated i</w:t>
      </w:r>
      <w:r w:rsidRPr="00087538">
        <w:rPr>
          <w:rFonts w:ascii="Calibri" w:eastAsia="Times New Roman" w:hAnsi="Calibri" w:cs="Calibri"/>
          <w:color w:val="1C1D1E"/>
          <w:shd w:val="clear" w:color="auto" w:fill="FFFFFF"/>
          <w:lang w:val="en-AU"/>
        </w:rPr>
        <w:t>nfant morbidity</w:t>
      </w:r>
      <w:r>
        <w:rPr>
          <w:rFonts w:ascii="Calibri" w:eastAsia="Times New Roman" w:hAnsi="Calibri" w:cs="Calibri"/>
          <w:color w:val="1C1D1E"/>
          <w:shd w:val="clear" w:color="auto" w:fill="FFFFFF"/>
          <w:lang w:val="en-AU"/>
        </w:rPr>
        <w:t xml:space="preserve"> and mortality</w:t>
      </w:r>
      <w:r w:rsidRPr="00087538">
        <w:rPr>
          <w:rFonts w:ascii="Calibri" w:eastAsia="Times New Roman" w:hAnsi="Calibri" w:cs="Calibri"/>
          <w:color w:val="1C1D1E"/>
          <w:shd w:val="clear" w:color="auto" w:fill="FFFFFF"/>
          <w:lang w:val="en-AU"/>
        </w:rPr>
        <w:t xml:space="preserve"> </w:t>
      </w:r>
      <w:r>
        <w:rPr>
          <w:rFonts w:ascii="Calibri" w:eastAsia="Times New Roman" w:hAnsi="Calibri" w:cs="Calibri"/>
          <w:color w:val="1C1D1E"/>
          <w:shd w:val="clear" w:color="auto" w:fill="FFFFFF"/>
          <w:lang w:val="en-AU"/>
        </w:rPr>
        <w:t>from events such as perinatal stress and shoulder dystocia.</w:t>
      </w:r>
    </w:p>
    <w:p w14:paraId="6D5B66AE" w14:textId="77777777" w:rsidR="00C91EFA" w:rsidRDefault="00C91EFA" w:rsidP="00C91EFA">
      <w:pPr>
        <w:shd w:val="clear" w:color="auto" w:fill="FFFFFF"/>
        <w:spacing w:line="276" w:lineRule="auto"/>
        <w:rPr>
          <w:rFonts w:cs="Calibri"/>
          <w:color w:val="1C1D1E"/>
          <w:szCs w:val="24"/>
          <w:lang w:eastAsia="en-AU"/>
        </w:rPr>
      </w:pPr>
    </w:p>
    <w:p w14:paraId="667F144C" w14:textId="77777777" w:rsidR="00C91EFA" w:rsidRDefault="00C91EFA" w:rsidP="00C91EFA">
      <w:pPr>
        <w:shd w:val="clear" w:color="auto" w:fill="FFFFFF"/>
        <w:rPr>
          <w:rFonts w:cs="Calibri"/>
          <w:color w:val="1C1D1E"/>
          <w:szCs w:val="24"/>
          <w:lang w:eastAsia="en-AU"/>
        </w:rPr>
      </w:pPr>
      <w:r w:rsidRPr="00CF2693">
        <w:rPr>
          <w:rFonts w:cs="Calibri"/>
          <w:color w:val="1C1D1E"/>
          <w:szCs w:val="24"/>
          <w:lang w:eastAsia="en-AU"/>
        </w:rPr>
        <w:t xml:space="preserve">Barriers to achieving glycaemic targets and optimal pregnancy outcomes include: </w:t>
      </w:r>
    </w:p>
    <w:p w14:paraId="343AA7D0" w14:textId="77777777" w:rsidR="00C91EFA" w:rsidRPr="0077348C" w:rsidRDefault="00C91EFA" w:rsidP="00C91EFA">
      <w:pPr>
        <w:pStyle w:val="ListBullet"/>
        <w:rPr>
          <w:lang w:eastAsia="en-AU"/>
        </w:rPr>
      </w:pPr>
      <w:r w:rsidRPr="2BC6C1F3">
        <w:rPr>
          <w:lang w:eastAsia="en-AU"/>
        </w:rPr>
        <w:t>lack of pregnancy planning</w:t>
      </w:r>
    </w:p>
    <w:p w14:paraId="4944A83C" w14:textId="77777777" w:rsidR="00C91EFA" w:rsidRDefault="00C91EFA" w:rsidP="00C91EFA">
      <w:pPr>
        <w:pStyle w:val="ListBullet"/>
        <w:rPr>
          <w:lang w:eastAsia="en-AU"/>
        </w:rPr>
      </w:pPr>
      <w:r w:rsidRPr="2BC6C1F3">
        <w:rPr>
          <w:lang w:eastAsia="en-AU"/>
        </w:rPr>
        <w:lastRenderedPageBreak/>
        <w:t>lack of awareness (particularly among patients with Type 2 DM) of the potential risks associated with diabetes in pregnancy</w:t>
      </w:r>
    </w:p>
    <w:p w14:paraId="69F6DF2F" w14:textId="77777777" w:rsidR="00C91EFA" w:rsidRDefault="00C91EFA" w:rsidP="00C91EFA">
      <w:pPr>
        <w:pStyle w:val="ListBullet"/>
        <w:rPr>
          <w:lang w:eastAsia="en-AU"/>
        </w:rPr>
      </w:pPr>
      <w:r w:rsidRPr="2BC6C1F3">
        <w:rPr>
          <w:lang w:eastAsia="en-AU"/>
        </w:rPr>
        <w:t>failure to achieve optimal glycaemia prior to conception</w:t>
      </w:r>
    </w:p>
    <w:p w14:paraId="3EDD02AA" w14:textId="77777777" w:rsidR="00C91EFA" w:rsidRDefault="00C91EFA" w:rsidP="00C91EFA">
      <w:pPr>
        <w:pStyle w:val="ListBullet"/>
        <w:rPr>
          <w:lang w:eastAsia="en-AU"/>
        </w:rPr>
      </w:pPr>
      <w:r w:rsidRPr="2BC6C1F3">
        <w:rPr>
          <w:lang w:eastAsia="en-AU"/>
        </w:rPr>
        <w:t xml:space="preserve">difficulties in achieving and maintaining optimal glycaemia in pregnancy </w:t>
      </w:r>
    </w:p>
    <w:p w14:paraId="3FBBFF83" w14:textId="77777777" w:rsidR="00C91EFA" w:rsidRPr="00E850E1" w:rsidRDefault="00C91EFA" w:rsidP="00C91EFA">
      <w:pPr>
        <w:pStyle w:val="ListBullet"/>
        <w:rPr>
          <w:lang w:eastAsia="en-AU"/>
        </w:rPr>
      </w:pPr>
      <w:r w:rsidRPr="2BC6C1F3">
        <w:rPr>
          <w:lang w:eastAsia="en-AU"/>
        </w:rPr>
        <w:t>variable attendance at antenatal appointments.</w:t>
      </w:r>
    </w:p>
    <w:p w14:paraId="2A461092" w14:textId="77777777" w:rsidR="00C91EFA" w:rsidRPr="00946999" w:rsidRDefault="00C91EFA" w:rsidP="00C91EFA">
      <w:pPr>
        <w:shd w:val="clear" w:color="auto" w:fill="FFFFFF"/>
        <w:spacing w:before="100" w:beforeAutospacing="1" w:after="240" w:line="276" w:lineRule="auto"/>
        <w:rPr>
          <w:vertAlign w:val="superscript"/>
        </w:rPr>
      </w:pPr>
      <w:r>
        <w:rPr>
          <w:rFonts w:cs="Calibri"/>
          <w:color w:val="1C1D1E"/>
          <w:szCs w:val="24"/>
          <w:lang w:eastAsia="en-AU"/>
        </w:rPr>
        <w:t xml:space="preserve">For management of patients with Type 1 DM, refer to the </w:t>
      </w:r>
      <w:r w:rsidRPr="00CF2693">
        <w:rPr>
          <w:rFonts w:cs="Calibri"/>
          <w:color w:val="1C1D1E"/>
          <w:szCs w:val="24"/>
          <w:lang w:eastAsia="en-AU"/>
        </w:rPr>
        <w:t xml:space="preserve">ADIPS 2020 </w:t>
      </w:r>
      <w:r>
        <w:rPr>
          <w:rFonts w:cs="Calibri"/>
          <w:color w:val="1C1D1E"/>
          <w:szCs w:val="24"/>
          <w:lang w:eastAsia="en-AU"/>
        </w:rPr>
        <w:t>G</w:t>
      </w:r>
      <w:r w:rsidRPr="00CF2693">
        <w:rPr>
          <w:rFonts w:cs="Calibri"/>
          <w:color w:val="1C1D1E"/>
          <w:szCs w:val="24"/>
          <w:lang w:eastAsia="en-AU"/>
        </w:rPr>
        <w:t xml:space="preserve">uideline for </w:t>
      </w:r>
      <w:r>
        <w:rPr>
          <w:rFonts w:cs="Calibri"/>
          <w:color w:val="1C1D1E"/>
          <w:szCs w:val="24"/>
          <w:lang w:eastAsia="en-AU"/>
        </w:rPr>
        <w:t>P</w:t>
      </w:r>
      <w:r w:rsidRPr="00CF2693">
        <w:rPr>
          <w:rFonts w:cs="Calibri"/>
          <w:color w:val="1C1D1E"/>
          <w:szCs w:val="24"/>
          <w:lang w:eastAsia="en-AU"/>
        </w:rPr>
        <w:t xml:space="preserve">re-existing </w:t>
      </w:r>
      <w:r>
        <w:rPr>
          <w:rFonts w:cs="Calibri"/>
          <w:color w:val="1C1D1E"/>
          <w:szCs w:val="24"/>
          <w:lang w:eastAsia="en-AU"/>
        </w:rPr>
        <w:t>D</w:t>
      </w:r>
      <w:r w:rsidRPr="00CF2693">
        <w:rPr>
          <w:rFonts w:cs="Calibri"/>
          <w:color w:val="1C1D1E"/>
          <w:szCs w:val="24"/>
          <w:lang w:eastAsia="en-AU"/>
        </w:rPr>
        <w:t xml:space="preserve">iabetes and </w:t>
      </w:r>
      <w:r>
        <w:rPr>
          <w:rFonts w:cs="Calibri"/>
          <w:color w:val="1C1D1E"/>
          <w:szCs w:val="24"/>
          <w:lang w:eastAsia="en-AU"/>
        </w:rPr>
        <w:t>P</w:t>
      </w:r>
      <w:r w:rsidRPr="00CF2693">
        <w:rPr>
          <w:rFonts w:cs="Calibri"/>
          <w:color w:val="1C1D1E"/>
          <w:szCs w:val="24"/>
          <w:lang w:eastAsia="en-AU"/>
        </w:rPr>
        <w:t>regnancy</w:t>
      </w:r>
      <w:r>
        <w:rPr>
          <w:rFonts w:cs="Calibri"/>
          <w:color w:val="1C1D1E"/>
          <w:szCs w:val="24"/>
          <w:lang w:eastAsia="en-AU"/>
        </w:rPr>
        <w:t>.</w:t>
      </w:r>
      <w:r>
        <w:rPr>
          <w:rFonts w:cs="Calibri"/>
          <w:color w:val="1C1D1E"/>
          <w:szCs w:val="24"/>
          <w:vertAlign w:val="superscript"/>
          <w:lang w:eastAsia="en-AU"/>
        </w:rPr>
        <w:t>2</w:t>
      </w:r>
    </w:p>
    <w:p w14:paraId="5CF66B8E" w14:textId="77777777" w:rsidR="00C91EFA" w:rsidRPr="00DB4F35" w:rsidRDefault="00C91EFA" w:rsidP="00C91EFA">
      <w:pPr>
        <w:rPr>
          <w:b/>
          <w:bCs/>
        </w:rPr>
      </w:pPr>
      <w:r w:rsidRPr="00DB4F35">
        <w:rPr>
          <w:b/>
          <w:bCs/>
        </w:rPr>
        <w:t xml:space="preserve">Key </w:t>
      </w:r>
      <w:r>
        <w:rPr>
          <w:b/>
          <w:bCs/>
        </w:rPr>
        <w:t>p</w:t>
      </w:r>
      <w:r w:rsidRPr="00DB4F35">
        <w:rPr>
          <w:b/>
          <w:bCs/>
        </w:rPr>
        <w:t xml:space="preserve">oints </w:t>
      </w:r>
    </w:p>
    <w:p w14:paraId="74892177" w14:textId="77777777" w:rsidR="00C91EFA" w:rsidRPr="00A50773" w:rsidRDefault="00C91EFA" w:rsidP="00C91EFA">
      <w:pPr>
        <w:pStyle w:val="BodyText"/>
        <w:rPr>
          <w:rFonts w:ascii="Calibri" w:hAnsi="Calibri" w:cs="Calibri"/>
          <w:b/>
          <w:bCs/>
        </w:rPr>
      </w:pPr>
      <w:r w:rsidRPr="00E849B6">
        <w:rPr>
          <w:rFonts w:ascii="Calibri" w:hAnsi="Calibri" w:cs="Calibri"/>
          <w:b/>
          <w:bCs/>
        </w:rPr>
        <w:t>Frequency of visits</w:t>
      </w:r>
    </w:p>
    <w:p w14:paraId="4BD5CE3D" w14:textId="77777777" w:rsidR="00C91EFA" w:rsidRPr="0077348C" w:rsidRDefault="00C91EFA" w:rsidP="00C91EFA">
      <w:pPr>
        <w:pStyle w:val="ListBullet"/>
      </w:pPr>
      <w:r>
        <w:t xml:space="preserve">Obstetrician and endocrinologist review should be performed as per </w:t>
      </w:r>
      <w:r w:rsidRPr="2BC6C1F3">
        <w:rPr>
          <w:i/>
          <w:iCs/>
        </w:rPr>
        <w:t xml:space="preserve">CHS Insulin Requiring Diabetes in Pregnancy Visit Plan </w:t>
      </w:r>
      <w:r w:rsidRPr="2BC6C1F3">
        <w:rPr>
          <w:rFonts w:cs="Calibri"/>
        </w:rPr>
        <w:t>(form no. 37561 on the Clinical Forms Register)</w:t>
      </w:r>
      <w:r>
        <w:t xml:space="preserve"> or according to the stability of BGL control and risk of complications. </w:t>
      </w:r>
    </w:p>
    <w:p w14:paraId="6455C550" w14:textId="77777777" w:rsidR="00C91EFA" w:rsidRDefault="00C91EFA" w:rsidP="00C91EFA">
      <w:pPr>
        <w:pStyle w:val="ListBullet"/>
      </w:pPr>
      <w:r>
        <w:t xml:space="preserve">Credentialed Diabetes Educator (CDE) monitoring of diabetes control and supervision of diabetes management should occur regularly.  </w:t>
      </w:r>
    </w:p>
    <w:p w14:paraId="497F6F05" w14:textId="77777777" w:rsidR="00C91EFA" w:rsidRPr="00A50773" w:rsidRDefault="00C91EFA" w:rsidP="00C91EFA">
      <w:pPr>
        <w:pStyle w:val="ListBullet"/>
        <w:numPr>
          <w:ilvl w:val="0"/>
          <w:numId w:val="0"/>
        </w:numPr>
        <w:ind w:left="426"/>
      </w:pPr>
    </w:p>
    <w:p w14:paraId="38D2EE4E" w14:textId="77777777" w:rsidR="00C91EFA" w:rsidRDefault="00C91EFA" w:rsidP="00C91EFA">
      <w:pPr>
        <w:pStyle w:val="BodyText"/>
        <w:rPr>
          <w:rFonts w:ascii="Calibri" w:hAnsi="Calibri" w:cs="Calibri"/>
          <w:b/>
          <w:bCs/>
        </w:rPr>
      </w:pPr>
    </w:p>
    <w:p w14:paraId="0F0CF7DC" w14:textId="77777777" w:rsidR="00C91EFA" w:rsidRDefault="00C91EFA" w:rsidP="00C91EFA">
      <w:pPr>
        <w:pStyle w:val="BodyText"/>
        <w:rPr>
          <w:rFonts w:ascii="Calibri" w:hAnsi="Calibri" w:cs="Calibri"/>
          <w:b/>
          <w:bCs/>
        </w:rPr>
      </w:pPr>
      <w:r>
        <w:rPr>
          <w:rFonts w:ascii="Calibri" w:hAnsi="Calibri" w:cs="Calibri"/>
          <w:b/>
          <w:bCs/>
        </w:rPr>
        <w:t>Insulin requirements and glycaemia monitoring</w:t>
      </w:r>
    </w:p>
    <w:p w14:paraId="7F8D7E5F" w14:textId="77777777" w:rsidR="00C91EFA" w:rsidRDefault="00C91EFA" w:rsidP="00C91EFA">
      <w:pPr>
        <w:pStyle w:val="ListBullet"/>
        <w:rPr>
          <w:shd w:val="clear" w:color="auto" w:fill="FFFFFF"/>
        </w:rPr>
      </w:pPr>
      <w:r>
        <w:rPr>
          <w:shd w:val="clear" w:color="auto" w:fill="FFFFFF"/>
        </w:rPr>
        <w:t>Most pregnant patients with Type 1 DM will utilise continuous glucose monitoring.</w:t>
      </w:r>
    </w:p>
    <w:p w14:paraId="7235FF57" w14:textId="77777777" w:rsidR="00C91EFA" w:rsidRDefault="00C91EFA" w:rsidP="00C91EFA">
      <w:pPr>
        <w:pStyle w:val="ListBullet"/>
        <w:rPr>
          <w:shd w:val="clear" w:color="auto" w:fill="FFFFFF"/>
        </w:rPr>
      </w:pPr>
      <w:r>
        <w:rPr>
          <w:shd w:val="clear" w:color="auto" w:fill="FFFFFF"/>
        </w:rPr>
        <w:t>T</w:t>
      </w:r>
      <w:r w:rsidRPr="000649B4">
        <w:rPr>
          <w:shd w:val="clear" w:color="auto" w:fill="FFFFFF"/>
        </w:rPr>
        <w:t>ypically, insulin requirements fall early in the first trimester</w:t>
      </w:r>
      <w:r>
        <w:rPr>
          <w:shd w:val="clear" w:color="auto" w:fill="FFFFFF"/>
        </w:rPr>
        <w:t xml:space="preserve"> </w:t>
      </w:r>
      <w:r w:rsidRPr="000649B4">
        <w:rPr>
          <w:shd w:val="clear" w:color="auto" w:fill="FFFFFF"/>
        </w:rPr>
        <w:t>and then rise progressively from around 16 weeks gestation to around 36 weeks gestation before declining slightly towards term</w:t>
      </w:r>
      <w:r>
        <w:rPr>
          <w:shd w:val="clear" w:color="auto" w:fill="FFFFFF"/>
        </w:rPr>
        <w:t>.</w:t>
      </w:r>
    </w:p>
    <w:p w14:paraId="1C919E20" w14:textId="77777777" w:rsidR="00C91EFA" w:rsidRDefault="00C91EFA" w:rsidP="00C91EFA">
      <w:pPr>
        <w:pStyle w:val="ListBullet"/>
        <w:rPr>
          <w:shd w:val="clear" w:color="auto" w:fill="FFFFFF"/>
        </w:rPr>
      </w:pPr>
      <w:r w:rsidRPr="00E849B6">
        <w:t>HbA1c</w:t>
      </w:r>
      <w:r w:rsidRPr="0077348C">
        <w:rPr>
          <w:shd w:val="clear" w:color="auto" w:fill="FFFFFF"/>
        </w:rPr>
        <w:t xml:space="preserve"> is a useful adjunct for assessing glycaemia and should be performed at least once each trimester</w:t>
      </w:r>
      <w:r>
        <w:rPr>
          <w:shd w:val="clear" w:color="auto" w:fill="FFFFFF"/>
        </w:rPr>
        <w:t>:</w:t>
      </w:r>
    </w:p>
    <w:p w14:paraId="196BEC4C" w14:textId="77777777" w:rsidR="00C91EFA" w:rsidRDefault="00C91EFA" w:rsidP="00C91EFA">
      <w:pPr>
        <w:pStyle w:val="ListBullet"/>
        <w:tabs>
          <w:tab w:val="num" w:pos="1506"/>
        </w:tabs>
        <w:ind w:left="852"/>
        <w:rPr>
          <w:b/>
          <w:bCs/>
        </w:rPr>
      </w:pPr>
      <w:r>
        <w:t>preconception and 1st trimester target</w:t>
      </w:r>
      <w:r w:rsidRPr="2BC6C1F3">
        <w:rPr>
          <w:b/>
          <w:bCs/>
        </w:rPr>
        <w:t xml:space="preserve"> </w:t>
      </w:r>
      <w:r>
        <w:t>HbA1c ≤6.5% (48 mmol/mol)</w:t>
      </w:r>
      <w:r>
        <w:tab/>
      </w:r>
    </w:p>
    <w:p w14:paraId="5C54DBB3" w14:textId="77777777" w:rsidR="00C91EFA" w:rsidRPr="006B16B1" w:rsidRDefault="00C91EFA" w:rsidP="00C91EFA">
      <w:pPr>
        <w:pStyle w:val="ListBullet"/>
        <w:tabs>
          <w:tab w:val="num" w:pos="1506"/>
        </w:tabs>
        <w:ind w:left="852"/>
        <w:rPr>
          <w:rFonts w:cs="Calibri"/>
          <w:b/>
          <w:bCs/>
        </w:rPr>
      </w:pPr>
      <w:r>
        <w:t>2nd and 3rd trimesters target HbA1c ≤6.0% (42 mmol/mol).</w:t>
      </w:r>
    </w:p>
    <w:p w14:paraId="3E7D55CB" w14:textId="77777777" w:rsidR="00C91EFA" w:rsidRDefault="00C91EFA" w:rsidP="00C91EFA">
      <w:pPr>
        <w:pStyle w:val="BodyText"/>
        <w:rPr>
          <w:rFonts w:ascii="Calibri" w:hAnsi="Calibri" w:cs="Calibri"/>
          <w:b/>
          <w:bCs/>
        </w:rPr>
      </w:pPr>
    </w:p>
    <w:p w14:paraId="69511892" w14:textId="77777777" w:rsidR="00C91EFA" w:rsidRPr="000F71E3" w:rsidRDefault="00C91EFA" w:rsidP="00C91EFA">
      <w:pPr>
        <w:pStyle w:val="BodyText"/>
        <w:rPr>
          <w:rFonts w:ascii="Calibri" w:hAnsi="Calibri" w:cs="Calibri"/>
          <w:b/>
          <w:bCs/>
        </w:rPr>
      </w:pPr>
      <w:r w:rsidRPr="000F71E3">
        <w:rPr>
          <w:rFonts w:ascii="Calibri" w:hAnsi="Calibri" w:cs="Calibri"/>
          <w:b/>
          <w:bCs/>
        </w:rPr>
        <w:t xml:space="preserve">Ketone testing </w:t>
      </w:r>
    </w:p>
    <w:p w14:paraId="67289259" w14:textId="77777777" w:rsidR="00C91EFA" w:rsidRPr="00CB6B53" w:rsidRDefault="00C91EFA" w:rsidP="00C91EFA">
      <w:pPr>
        <w:pStyle w:val="ListBullet"/>
      </w:pPr>
      <w:r>
        <w:t xml:space="preserve"> Capillary finger prick testing for ketones should be performed: </w:t>
      </w:r>
    </w:p>
    <w:p w14:paraId="1A833D19" w14:textId="77777777" w:rsidR="00C91EFA" w:rsidRDefault="00C91EFA" w:rsidP="00C91EFA">
      <w:pPr>
        <w:pStyle w:val="ListBullet"/>
        <w:tabs>
          <w:tab w:val="num" w:pos="1506"/>
        </w:tabs>
        <w:ind w:left="852"/>
      </w:pPr>
      <w:r>
        <w:t>if BGL &gt; 15 mmol/L (note DKA may occur at lower BGLs in pregnancy and blood ketones may be performed for BGL &gt; 12 mmol/L)</w:t>
      </w:r>
    </w:p>
    <w:p w14:paraId="37CB969D" w14:textId="77777777" w:rsidR="00C91EFA" w:rsidRDefault="00C91EFA" w:rsidP="00C91EFA">
      <w:pPr>
        <w:pStyle w:val="ListBullet"/>
        <w:tabs>
          <w:tab w:val="num" w:pos="1506"/>
        </w:tabs>
        <w:ind w:left="852"/>
      </w:pPr>
      <w:r>
        <w:t xml:space="preserve">if hyperemesis occurs, particularly if two meals are missed.  </w:t>
      </w:r>
    </w:p>
    <w:p w14:paraId="185DD729" w14:textId="77777777" w:rsidR="00C91EFA" w:rsidRPr="000F71E3" w:rsidRDefault="00C91EFA" w:rsidP="00C91EFA">
      <w:pPr>
        <w:pStyle w:val="ListBullet"/>
      </w:pPr>
      <w:r>
        <w:t>Pregnant patients with Type 1 DM should promptly present for emergency medical/diabetic management if blood ketones ≥ 0.6 mmol/L.</w:t>
      </w:r>
    </w:p>
    <w:p w14:paraId="6313F65E" w14:textId="77777777" w:rsidR="00C91EFA" w:rsidRPr="00AB37B4" w:rsidRDefault="00C91EFA" w:rsidP="00C91EFA">
      <w:pPr>
        <w:pStyle w:val="ListBullet"/>
      </w:pPr>
      <w:r>
        <w:t>During inpatient admission for diabetes stabilisation, blood ketones should be tested twice daily.</w:t>
      </w:r>
    </w:p>
    <w:p w14:paraId="0FDF5004" w14:textId="77777777" w:rsidR="00C91EFA" w:rsidRDefault="00C91EFA" w:rsidP="00C91EFA">
      <w:pPr>
        <w:pStyle w:val="BodyText"/>
        <w:rPr>
          <w:rFonts w:ascii="Calibri" w:hAnsi="Calibri" w:cs="Calibri"/>
          <w:b/>
          <w:bCs/>
        </w:rPr>
      </w:pPr>
    </w:p>
    <w:p w14:paraId="050D5118" w14:textId="77777777" w:rsidR="00C91EFA" w:rsidRPr="00A50773" w:rsidRDefault="00C91EFA" w:rsidP="00C91EFA">
      <w:pPr>
        <w:pStyle w:val="BodyText"/>
        <w:rPr>
          <w:rFonts w:ascii="Calibri" w:hAnsi="Calibri" w:cs="Calibri"/>
          <w:b/>
          <w:bCs/>
        </w:rPr>
      </w:pPr>
      <w:r w:rsidRPr="2BC6C1F3">
        <w:rPr>
          <w:rFonts w:ascii="Calibri" w:hAnsi="Calibri" w:cs="Calibri"/>
          <w:b/>
          <w:bCs/>
        </w:rPr>
        <w:t>Pregnancy surveillance</w:t>
      </w:r>
    </w:p>
    <w:p w14:paraId="6AECBC90" w14:textId="77777777" w:rsidR="00C91EFA" w:rsidRPr="006B16B1" w:rsidRDefault="00C91EFA" w:rsidP="00C91EFA">
      <w:pPr>
        <w:pStyle w:val="ListBullet"/>
        <w:rPr>
          <w:b/>
          <w:bCs/>
        </w:rPr>
      </w:pPr>
      <w:r>
        <w:t xml:space="preserve">Review HbA1c, renal function and proteinuria results at first visit. Repeat every two to three months or as indicated. </w:t>
      </w:r>
    </w:p>
    <w:p w14:paraId="170ADF05" w14:textId="77777777" w:rsidR="00C91EFA" w:rsidRPr="006B16B1" w:rsidRDefault="00C91EFA" w:rsidP="00C91EFA">
      <w:pPr>
        <w:pStyle w:val="ListBullet"/>
      </w:pPr>
      <w:r>
        <w:t>Pre-eclampsia prevention:</w:t>
      </w:r>
    </w:p>
    <w:p w14:paraId="171A7C4A" w14:textId="77777777" w:rsidR="00C91EFA" w:rsidRPr="006B16B1" w:rsidRDefault="00C91EFA" w:rsidP="00C91EFA">
      <w:pPr>
        <w:pStyle w:val="ListBullet"/>
        <w:tabs>
          <w:tab w:val="num" w:pos="1506"/>
        </w:tabs>
        <w:ind w:left="852"/>
      </w:pPr>
      <w:r>
        <w:t>commence aspirin 100–150 mg daily with evening meal (unless contraindicated) from 12 weeks gestation and cease at 36 weeks gestation</w:t>
      </w:r>
    </w:p>
    <w:p w14:paraId="6E1EE292" w14:textId="77777777" w:rsidR="00C91EFA" w:rsidRPr="006B16B1" w:rsidRDefault="00C91EFA" w:rsidP="00C91EFA">
      <w:pPr>
        <w:pStyle w:val="ListBullet"/>
        <w:tabs>
          <w:tab w:val="num" w:pos="1506"/>
        </w:tabs>
        <w:ind w:left="852"/>
      </w:pPr>
      <w:r>
        <w:lastRenderedPageBreak/>
        <w:t>commence calcium supplementation (total 1.5 g daily including dietary calcium) from 12 weeks gestation</w:t>
      </w:r>
    </w:p>
    <w:p w14:paraId="31E6E404" w14:textId="77777777" w:rsidR="00C91EFA" w:rsidRPr="006B16B1" w:rsidRDefault="00C91EFA" w:rsidP="00C91EFA">
      <w:pPr>
        <w:pStyle w:val="ListBullet"/>
        <w:tabs>
          <w:tab w:val="num" w:pos="1506"/>
        </w:tabs>
        <w:ind w:left="852"/>
      </w:pPr>
      <w:r>
        <w:t>check BP and urinalysis at each visit.</w:t>
      </w:r>
    </w:p>
    <w:p w14:paraId="01C6335E" w14:textId="77777777" w:rsidR="00C91EFA" w:rsidRDefault="00C91EFA" w:rsidP="00C91EFA">
      <w:pPr>
        <w:pStyle w:val="ListBullet"/>
      </w:pPr>
      <w:r>
        <w:t>Renal screening</w:t>
      </w:r>
    </w:p>
    <w:p w14:paraId="2BAD3C52" w14:textId="77777777" w:rsidR="00C91EFA" w:rsidRPr="006B16B1" w:rsidRDefault="00C91EFA" w:rsidP="00C91EFA">
      <w:pPr>
        <w:pStyle w:val="ListBullet"/>
        <w:tabs>
          <w:tab w:val="num" w:pos="1506"/>
        </w:tabs>
        <w:ind w:left="852"/>
        <w:rPr>
          <w:b/>
          <w:bCs/>
        </w:rPr>
      </w:pPr>
      <w:r>
        <w:t>serum creatinine, and spot urine protein/creatinine ratio (PCR) each trimester. Increase to monthly monitoring if elevated creatinine or macroalbuminuria and arrange specialist review.</w:t>
      </w:r>
    </w:p>
    <w:p w14:paraId="2FEFDED9" w14:textId="77777777" w:rsidR="00C91EFA" w:rsidRDefault="00C91EFA" w:rsidP="00C91EFA">
      <w:pPr>
        <w:pStyle w:val="BodyText"/>
        <w:rPr>
          <w:rFonts w:ascii="Calibri" w:hAnsi="Calibri" w:cs="Calibri"/>
          <w:b/>
          <w:bCs/>
        </w:rPr>
      </w:pPr>
    </w:p>
    <w:p w14:paraId="2044F922" w14:textId="77777777" w:rsidR="00C91EFA" w:rsidRPr="00A50773" w:rsidRDefault="00C91EFA" w:rsidP="00C91EFA">
      <w:pPr>
        <w:pStyle w:val="BodyText"/>
        <w:rPr>
          <w:rFonts w:ascii="Calibri" w:hAnsi="Calibri" w:cs="Calibri"/>
          <w:b/>
          <w:bCs/>
        </w:rPr>
      </w:pPr>
      <w:r w:rsidRPr="00A50773">
        <w:rPr>
          <w:rFonts w:ascii="Calibri" w:hAnsi="Calibri" w:cs="Calibri"/>
          <w:b/>
          <w:bCs/>
        </w:rPr>
        <w:t>Fetal surveillance</w:t>
      </w:r>
    </w:p>
    <w:p w14:paraId="11166013" w14:textId="77777777" w:rsidR="00C91EFA" w:rsidRPr="0077348C" w:rsidRDefault="00C91EFA" w:rsidP="00C91EFA">
      <w:pPr>
        <w:pStyle w:val="ListBullet"/>
      </w:pPr>
      <w:r>
        <w:t xml:space="preserve">Dating and viability ultrasound - 7 to 9 weeks gestation (can be performed at any medical imaging facility) </w:t>
      </w:r>
    </w:p>
    <w:p w14:paraId="227080C3" w14:textId="77777777" w:rsidR="00C91EFA" w:rsidRPr="00A50773" w:rsidRDefault="00C91EFA" w:rsidP="00C91EFA">
      <w:pPr>
        <w:pStyle w:val="ListBullet"/>
        <w:rPr>
          <w:szCs w:val="24"/>
        </w:rPr>
      </w:pPr>
      <w:r>
        <w:t>12 – 13 weeks' gestation- recommend nuchal translucency assessment and maternal serum screening, offer n</w:t>
      </w:r>
      <w:r w:rsidRPr="2BC6C1F3">
        <w:rPr>
          <w:szCs w:val="24"/>
        </w:rPr>
        <w:t>on-Invasive Prenatal Testing (NIPT)</w:t>
      </w:r>
    </w:p>
    <w:p w14:paraId="510873BC" w14:textId="77777777" w:rsidR="00C91EFA" w:rsidRPr="00A50773" w:rsidRDefault="00C91EFA" w:rsidP="00C91EFA">
      <w:pPr>
        <w:pStyle w:val="ListBullet"/>
      </w:pPr>
      <w:r>
        <w:t>19–20-week morphology ultrasound- Recommend tertiary level morphology ultrasound (Maternal Fetal Medicine (MFM), for all patients with Type 1 DM, and all patients with Type 2 DM who have suboptimal BGL control (document that the patient has Type 1 or Type 2 DM with sub-optimal control on the request form).</w:t>
      </w:r>
    </w:p>
    <w:p w14:paraId="4C4CC44B" w14:textId="77777777" w:rsidR="00C91EFA" w:rsidRPr="00A50773" w:rsidRDefault="00C91EFA" w:rsidP="00C91EFA">
      <w:pPr>
        <w:pStyle w:val="ListBullet"/>
      </w:pPr>
      <w:r>
        <w:t>If the woman has not had 19-20 morphology ultrasound through tertiary service, a fetal echocardiogram should be done for patients with markedly elevated HbA1c (≥10 %) at 20-22 weeks.</w:t>
      </w:r>
    </w:p>
    <w:p w14:paraId="381358A6" w14:textId="77777777" w:rsidR="00C91EFA" w:rsidRPr="00A50773" w:rsidRDefault="00C91EFA" w:rsidP="00C91EFA">
      <w:pPr>
        <w:pStyle w:val="ListBullet"/>
      </w:pPr>
      <w:r>
        <w:t>Ultrasound scans for growth/</w:t>
      </w:r>
      <w:proofErr w:type="spellStart"/>
      <w:r>
        <w:t>liqor</w:t>
      </w:r>
      <w:proofErr w:type="spellEnd"/>
      <w:r>
        <w:t xml:space="preserve"> volume should be repeated at </w:t>
      </w:r>
      <w:proofErr w:type="gramStart"/>
      <w:r>
        <w:t>24, 28, 32 and 36 weeks’</w:t>
      </w:r>
      <w:proofErr w:type="gramEnd"/>
      <w:r>
        <w:t xml:space="preserve"> gestation as per clinician discretion.</w:t>
      </w:r>
    </w:p>
    <w:p w14:paraId="593CA541" w14:textId="77777777" w:rsidR="00C91EFA" w:rsidRPr="00A50773" w:rsidRDefault="00C91EFA" w:rsidP="00C91EFA">
      <w:pPr>
        <w:pStyle w:val="ListBullet"/>
      </w:pPr>
      <w:r>
        <w:t>Consider umbilical artery blood flow measurement in late pregnancy in the following situations:</w:t>
      </w:r>
    </w:p>
    <w:p w14:paraId="069C9D5C" w14:textId="77777777" w:rsidR="00C91EFA" w:rsidRPr="00A50773" w:rsidRDefault="00C91EFA" w:rsidP="00C91EFA">
      <w:pPr>
        <w:pStyle w:val="ListBullet"/>
        <w:tabs>
          <w:tab w:val="num" w:pos="1506"/>
        </w:tabs>
        <w:ind w:left="852"/>
      </w:pPr>
      <w:r>
        <w:t>evidence of microvascular (nephropathy or proliferative retinopathy) or macro vascular disease</w:t>
      </w:r>
    </w:p>
    <w:p w14:paraId="414D97BB" w14:textId="77777777" w:rsidR="00C91EFA" w:rsidRPr="00A50773" w:rsidRDefault="00C91EFA" w:rsidP="00C91EFA">
      <w:pPr>
        <w:pStyle w:val="ListBullet"/>
        <w:tabs>
          <w:tab w:val="num" w:pos="1506"/>
        </w:tabs>
        <w:ind w:left="852"/>
      </w:pPr>
      <w:r>
        <w:t>hypertension (essential or gestational or pre-eclampsia)</w:t>
      </w:r>
    </w:p>
    <w:p w14:paraId="58C2BB72" w14:textId="77777777" w:rsidR="00C91EFA" w:rsidRPr="00A50773" w:rsidRDefault="00C91EFA" w:rsidP="00C91EFA">
      <w:pPr>
        <w:pStyle w:val="ListBullet"/>
        <w:tabs>
          <w:tab w:val="num" w:pos="1506"/>
        </w:tabs>
        <w:ind w:left="852"/>
      </w:pPr>
      <w:r>
        <w:t>intrauterine growth restriction</w:t>
      </w:r>
    </w:p>
    <w:p w14:paraId="419DEE70" w14:textId="77777777" w:rsidR="00C91EFA" w:rsidRDefault="00C91EFA" w:rsidP="00C91EFA">
      <w:pPr>
        <w:pStyle w:val="ListBullet"/>
        <w:tabs>
          <w:tab w:val="num" w:pos="1506"/>
        </w:tabs>
        <w:ind w:left="852"/>
      </w:pPr>
      <w:r>
        <w:t>patient is a smoker.</w:t>
      </w:r>
    </w:p>
    <w:p w14:paraId="62D11959" w14:textId="77777777" w:rsidR="00C91EFA" w:rsidRDefault="00C91EFA" w:rsidP="00C91EFA">
      <w:pPr>
        <w:pStyle w:val="BodyText"/>
        <w:rPr>
          <w:rFonts w:ascii="Calibri" w:hAnsi="Calibri" w:cs="Calibri"/>
          <w:b/>
          <w:bCs/>
        </w:rPr>
      </w:pPr>
    </w:p>
    <w:p w14:paraId="0AC6634C" w14:textId="77777777" w:rsidR="00C91EFA" w:rsidRPr="000649B4" w:rsidRDefault="00C91EFA" w:rsidP="00C91EFA">
      <w:pPr>
        <w:pStyle w:val="BodyText"/>
        <w:rPr>
          <w:rFonts w:ascii="Calibri" w:hAnsi="Calibri" w:cs="Calibri"/>
          <w:b/>
          <w:bCs/>
        </w:rPr>
      </w:pPr>
      <w:proofErr w:type="spellStart"/>
      <w:r w:rsidRPr="000649B4">
        <w:rPr>
          <w:rFonts w:ascii="Calibri" w:hAnsi="Calibri" w:cs="Calibri"/>
          <w:b/>
          <w:bCs/>
        </w:rPr>
        <w:t>Glycaemic</w:t>
      </w:r>
      <w:proofErr w:type="spellEnd"/>
      <w:r w:rsidRPr="000649B4">
        <w:rPr>
          <w:rFonts w:ascii="Calibri" w:hAnsi="Calibri" w:cs="Calibri"/>
          <w:b/>
          <w:bCs/>
        </w:rPr>
        <w:t xml:space="preserve"> management after corticosteroid administration</w:t>
      </w:r>
    </w:p>
    <w:p w14:paraId="77DC06AA" w14:textId="77777777" w:rsidR="00C91EFA" w:rsidRDefault="00C91EFA" w:rsidP="00C91EFA">
      <w:pPr>
        <w:pStyle w:val="BodyText"/>
        <w:rPr>
          <w:rFonts w:ascii="Calibri" w:hAnsi="Calibri" w:cs="Calibri"/>
        </w:rPr>
      </w:pPr>
      <w:r w:rsidRPr="000649B4">
        <w:rPr>
          <w:rFonts w:ascii="Calibri" w:hAnsi="Calibri" w:cs="Calibri"/>
        </w:rPr>
        <w:t>Blood glucose levels typically start to rise 4–6 h</w:t>
      </w:r>
      <w:r>
        <w:rPr>
          <w:rFonts w:ascii="Calibri" w:hAnsi="Calibri" w:cs="Calibri"/>
        </w:rPr>
        <w:t>ours</w:t>
      </w:r>
      <w:r w:rsidRPr="000649B4">
        <w:rPr>
          <w:rFonts w:ascii="Calibri" w:hAnsi="Calibri" w:cs="Calibri"/>
        </w:rPr>
        <w:t xml:space="preserve"> after a betamethasone injection, with the main impact on blood glucose levels occurring in the first 24 h after the injection</w:t>
      </w:r>
      <w:r>
        <w:rPr>
          <w:rFonts w:ascii="Calibri" w:hAnsi="Calibri" w:cs="Calibri"/>
        </w:rPr>
        <w:t>. Insulin doses will need to be adjusted. Please seek endocrinology advice prior to administration of corticosteroids.</w:t>
      </w:r>
    </w:p>
    <w:p w14:paraId="4EF8A077" w14:textId="77777777" w:rsidR="00C91EFA" w:rsidRDefault="00C91EFA" w:rsidP="00C91EFA">
      <w:pPr>
        <w:pStyle w:val="BodyText"/>
        <w:rPr>
          <w:rFonts w:ascii="Calibri" w:hAnsi="Calibri" w:cs="Calibri"/>
        </w:rPr>
      </w:pPr>
    </w:p>
    <w:p w14:paraId="3330E70C" w14:textId="77777777" w:rsidR="00C91EFA" w:rsidRDefault="00C91EFA" w:rsidP="00C91EFA">
      <w:pPr>
        <w:pStyle w:val="BodyText"/>
        <w:rPr>
          <w:rFonts w:ascii="Calibri" w:eastAsia="Times New Roman" w:hAnsi="Calibri" w:cs="Times New Roman"/>
          <w:szCs w:val="20"/>
          <w:lang w:val="en-AU"/>
        </w:rPr>
      </w:pPr>
      <w:bookmarkStart w:id="36" w:name="_Hlk129963702"/>
      <w:r w:rsidRPr="009610CA">
        <w:rPr>
          <w:rFonts w:ascii="Calibri" w:hAnsi="Calibri" w:cs="Calibri"/>
        </w:rPr>
        <w:t xml:space="preserve">Please refer to the ADIPS weblink for further information on management of pre-existing diabetes in pregnancy. </w:t>
      </w:r>
      <w:hyperlink r:id="rId15" w:history="1">
        <w:r w:rsidRPr="009610CA">
          <w:rPr>
            <w:rFonts w:ascii="Calibri" w:eastAsia="Times New Roman" w:hAnsi="Calibri" w:cs="Times New Roman"/>
            <w:color w:val="0000FF"/>
            <w:szCs w:val="20"/>
            <w:u w:val="single"/>
            <w:lang w:val="en-AU"/>
          </w:rPr>
          <w:t>ADIPS - Information for Health Care Providers</w:t>
        </w:r>
      </w:hyperlink>
    </w:p>
    <w:bookmarkEnd w:id="36"/>
    <w:p w14:paraId="761C8DD3" w14:textId="77777777" w:rsidR="00C91EFA" w:rsidRDefault="00C91EFA" w:rsidP="00C91EFA">
      <w:pPr>
        <w:pStyle w:val="BodyText"/>
        <w:rPr>
          <w:rFonts w:ascii="Calibri" w:hAnsi="Calibri" w:cs="Calibri"/>
        </w:rPr>
      </w:pPr>
    </w:p>
    <w:p w14:paraId="4079C905" w14:textId="77777777" w:rsidR="00C91EFA" w:rsidRPr="00AB37B4" w:rsidRDefault="00C91EFA" w:rsidP="00C91EFA">
      <w:pPr>
        <w:pStyle w:val="BodyText"/>
        <w:ind w:left="6262"/>
        <w:rPr>
          <w:rFonts w:ascii="Calibri" w:hAnsi="Calibri" w:cs="Calibri"/>
        </w:rPr>
      </w:pPr>
      <w:hyperlink w:anchor="Contents" w:history="1">
        <w:r w:rsidRPr="002B2599">
          <w:rPr>
            <w:rStyle w:val="Hyperlink"/>
            <w:rFonts w:ascii="Calibri" w:eastAsiaTheme="majorEastAsia" w:hAnsi="Calibri" w:cs="Calibri"/>
            <w:i/>
          </w:rPr>
          <w:t>Back to Table of Contents</w:t>
        </w:r>
      </w:hyperlink>
    </w:p>
    <w:tbl>
      <w:tblPr>
        <w:tblpPr w:leftFromText="180" w:rightFromText="180" w:vertAnchor="text" w:horzAnchor="margin" w:tblpY="222"/>
        <w:tblW w:w="9320" w:type="dxa"/>
        <w:tblLook w:val="0000" w:firstRow="0" w:lastRow="0" w:firstColumn="0" w:lastColumn="0" w:noHBand="0" w:noVBand="0"/>
      </w:tblPr>
      <w:tblGrid>
        <w:gridCol w:w="9320"/>
      </w:tblGrid>
      <w:tr w:rsidR="00C91EFA" w:rsidRPr="00CD1C0E" w14:paraId="72CDB057" w14:textId="77777777" w:rsidTr="00B3038D">
        <w:trPr>
          <w:cantSplit/>
          <w:trHeight w:val="285"/>
        </w:trPr>
        <w:tc>
          <w:tcPr>
            <w:tcW w:w="9320" w:type="dxa"/>
            <w:shd w:val="clear" w:color="auto" w:fill="D9D9D9" w:themeFill="background1" w:themeFillShade="D9"/>
          </w:tcPr>
          <w:p w14:paraId="1B2197EA" w14:textId="77777777" w:rsidR="00C91EFA" w:rsidRPr="003D2D06" w:rsidRDefault="00C91EFA" w:rsidP="00B3038D">
            <w:pPr>
              <w:pStyle w:val="Heading1"/>
            </w:pPr>
            <w:bookmarkStart w:id="37" w:name="_Toc480806033"/>
            <w:bookmarkStart w:id="38" w:name="_Toc111196924"/>
            <w:bookmarkStart w:id="39" w:name="_Toc116893341"/>
            <w:bookmarkStart w:id="40" w:name="_Toc126585731"/>
            <w:r>
              <w:t>Section 8 -</w:t>
            </w:r>
            <w:r w:rsidRPr="003D2D06">
              <w:t xml:space="preserve"> </w:t>
            </w:r>
            <w:r>
              <w:rPr>
                <w:spacing w:val="-1"/>
              </w:rPr>
              <w:t xml:space="preserve">Use </w:t>
            </w:r>
            <w:r>
              <w:t>of</w:t>
            </w:r>
            <w:r>
              <w:rPr>
                <w:spacing w:val="-1"/>
              </w:rPr>
              <w:t xml:space="preserve"> </w:t>
            </w:r>
            <w:bookmarkStart w:id="41" w:name="_Hlk125720413"/>
            <w:r>
              <w:rPr>
                <w:spacing w:val="-1"/>
              </w:rPr>
              <w:t>Patient</w:t>
            </w:r>
            <w:r>
              <w:t xml:space="preserve"> C</w:t>
            </w:r>
            <w:r>
              <w:rPr>
                <w:spacing w:val="-1"/>
              </w:rPr>
              <w:t xml:space="preserve">ontrolled Subcutaneous Insulin Pumps </w:t>
            </w:r>
            <w:bookmarkEnd w:id="41"/>
            <w:r>
              <w:rPr>
                <w:spacing w:val="-1"/>
              </w:rPr>
              <w:t>in Hospital</w:t>
            </w:r>
            <w:bookmarkEnd w:id="37"/>
            <w:bookmarkEnd w:id="38"/>
            <w:bookmarkEnd w:id="39"/>
            <w:bookmarkEnd w:id="40"/>
          </w:p>
        </w:tc>
      </w:tr>
    </w:tbl>
    <w:p w14:paraId="57F2EC9F" w14:textId="77777777" w:rsidR="00C91EFA" w:rsidRDefault="00C91EFA" w:rsidP="00C91EFA">
      <w:pPr>
        <w:rPr>
          <w:rFonts w:cs="Calibri"/>
        </w:rPr>
      </w:pPr>
    </w:p>
    <w:p w14:paraId="1D6C62B6" w14:textId="77777777" w:rsidR="00C91EFA" w:rsidRDefault="00C91EFA" w:rsidP="00C91EFA">
      <w:pPr>
        <w:rPr>
          <w:rFonts w:cs="Calibri"/>
        </w:rPr>
      </w:pPr>
      <w:r w:rsidRPr="002B2599">
        <w:rPr>
          <w:rFonts w:cs="Calibri"/>
        </w:rPr>
        <w:lastRenderedPageBreak/>
        <w:t xml:space="preserve">An insulin pump is a medical device used for the administration of insulin by subcutaneous infusion in the day-to-day care of </w:t>
      </w:r>
      <w:r>
        <w:rPr>
          <w:rFonts w:cs="Calibri"/>
        </w:rPr>
        <w:t>T</w:t>
      </w:r>
      <w:r w:rsidRPr="002B2599">
        <w:rPr>
          <w:rFonts w:cs="Calibri"/>
        </w:rPr>
        <w:t xml:space="preserve">ype 1 </w:t>
      </w:r>
      <w:r>
        <w:rPr>
          <w:rFonts w:cs="Calibri"/>
        </w:rPr>
        <w:t>DM</w:t>
      </w:r>
      <w:r w:rsidRPr="002B2599">
        <w:rPr>
          <w:rFonts w:cs="Calibri"/>
        </w:rPr>
        <w:t xml:space="preserve">.  This approach to insulin delivery is also termed Continuous Subcutaneous Insulin Infusion (CSII) therapy. </w:t>
      </w:r>
    </w:p>
    <w:p w14:paraId="62139683" w14:textId="77777777" w:rsidR="00C91EFA" w:rsidRDefault="00C91EFA" w:rsidP="00C91EFA">
      <w:pPr>
        <w:rPr>
          <w:rFonts w:cs="Calibri"/>
        </w:rPr>
      </w:pPr>
    </w:p>
    <w:p w14:paraId="24821AD9" w14:textId="77777777" w:rsidR="00C91EFA" w:rsidRPr="00897528" w:rsidRDefault="00C91EFA" w:rsidP="00C91EFA">
      <w:pPr>
        <w:rPr>
          <w:rFonts w:cs="Calibri"/>
        </w:rPr>
      </w:pPr>
      <w:r w:rsidRPr="002B2599">
        <w:rPr>
          <w:rFonts w:cs="Calibri"/>
        </w:rPr>
        <w:t xml:space="preserve">Insulin pumps use only rapid acting insulin analogues (e.g., </w:t>
      </w:r>
      <w:proofErr w:type="spellStart"/>
      <w:r w:rsidRPr="002B2599">
        <w:rPr>
          <w:rFonts w:cs="Calibri"/>
        </w:rPr>
        <w:t>Novorapid</w:t>
      </w:r>
      <w:proofErr w:type="spellEnd"/>
      <w:r w:rsidRPr="002B2599">
        <w:rPr>
          <w:rFonts w:cs="Calibri"/>
        </w:rPr>
        <w:t xml:space="preserve">, Humalog or </w:t>
      </w:r>
      <w:proofErr w:type="spellStart"/>
      <w:r w:rsidRPr="002B2599">
        <w:rPr>
          <w:rFonts w:cs="Calibri"/>
        </w:rPr>
        <w:t>Apidra</w:t>
      </w:r>
      <w:proofErr w:type="spellEnd"/>
      <w:r w:rsidRPr="002B2599">
        <w:rPr>
          <w:rFonts w:cs="Calibri"/>
        </w:rPr>
        <w:t xml:space="preserve">). Rapid acting insulin starts working within 10 to 15 minutes of delivery, peaks within one to three hours and ceases working after three to five hours. </w:t>
      </w:r>
      <w:r w:rsidRPr="00897528">
        <w:rPr>
          <w:rFonts w:cs="Calibri"/>
        </w:rPr>
        <w:t>Insulin pump users do not use any long-acting insulin.</w:t>
      </w:r>
    </w:p>
    <w:p w14:paraId="2E4CC8F4" w14:textId="77777777" w:rsidR="00C91EFA" w:rsidRDefault="00C91EFA" w:rsidP="00C91EFA">
      <w:pPr>
        <w:rPr>
          <w:rFonts w:cs="Calibri"/>
        </w:rPr>
      </w:pPr>
    </w:p>
    <w:p w14:paraId="52C6157A" w14:textId="77777777" w:rsidR="00C91EFA" w:rsidRDefault="00C91EFA" w:rsidP="00C91EFA">
      <w:pPr>
        <w:pBdr>
          <w:top w:val="single" w:sz="4" w:space="1" w:color="auto"/>
          <w:left w:val="single" w:sz="4" w:space="4" w:color="auto"/>
          <w:bottom w:val="single" w:sz="4" w:space="1" w:color="auto"/>
          <w:right w:val="single" w:sz="4" w:space="4" w:color="auto"/>
        </w:pBdr>
        <w:rPr>
          <w:rFonts w:cs="Calibri"/>
          <w:b/>
          <w:bCs/>
        </w:rPr>
      </w:pPr>
      <w:r>
        <w:rPr>
          <w:rFonts w:cs="Calibri"/>
          <w:b/>
          <w:bCs/>
        </w:rPr>
        <w:t>Note:</w:t>
      </w:r>
    </w:p>
    <w:p w14:paraId="1432C52F" w14:textId="77777777" w:rsidR="00C91EFA" w:rsidRDefault="00C91EFA" w:rsidP="00C91EFA">
      <w:pPr>
        <w:pBdr>
          <w:top w:val="single" w:sz="4" w:space="1" w:color="auto"/>
          <w:left w:val="single" w:sz="4" w:space="4" w:color="auto"/>
          <w:bottom w:val="single" w:sz="4" w:space="1" w:color="auto"/>
          <w:right w:val="single" w:sz="4" w:space="4" w:color="auto"/>
        </w:pBdr>
        <w:rPr>
          <w:rFonts w:cs="Calibri"/>
        </w:rPr>
      </w:pPr>
      <w:r w:rsidRPr="005A04C3">
        <w:rPr>
          <w:rFonts w:cs="Calibri"/>
        </w:rPr>
        <w:t xml:space="preserve">Insulin </w:t>
      </w:r>
      <w:r w:rsidRPr="00CA6C19">
        <w:rPr>
          <w:rFonts w:cs="Calibri"/>
        </w:rPr>
        <w:t xml:space="preserve">pumps deliver a constant basal rate of short acting insulin, and the </w:t>
      </w:r>
      <w:r>
        <w:rPr>
          <w:rFonts w:cs="Calibri"/>
        </w:rPr>
        <w:t>patient</w:t>
      </w:r>
      <w:r w:rsidRPr="00CA6C19">
        <w:rPr>
          <w:rFonts w:cs="Calibri"/>
        </w:rPr>
        <w:t xml:space="preserve"> will give a bolus dose for meals.</w:t>
      </w:r>
      <w:r>
        <w:rPr>
          <w:rFonts w:cs="Calibri"/>
        </w:rPr>
        <w:t xml:space="preserve"> The patient should know how to manage their pump and monitor blood glucose. Should the patient be unable to self-manage their pump, please contact Endocrinology for advice about changing to multiple daily insulin injections.</w:t>
      </w:r>
    </w:p>
    <w:p w14:paraId="7AC36A12" w14:textId="77777777" w:rsidR="00C91EFA" w:rsidRPr="00FD76CC" w:rsidRDefault="00C91EFA" w:rsidP="00C91EFA">
      <w:pPr>
        <w:rPr>
          <w:rFonts w:cs="Calibri"/>
          <w:b/>
          <w:bCs/>
        </w:rPr>
      </w:pPr>
    </w:p>
    <w:p w14:paraId="35C9381D" w14:textId="77777777" w:rsidR="00C91EFA" w:rsidRDefault="00C91EFA" w:rsidP="00C91EFA">
      <w:pPr>
        <w:rPr>
          <w:rFonts w:cs="Calibri"/>
        </w:rPr>
      </w:pPr>
      <w:r w:rsidRPr="002B2599">
        <w:rPr>
          <w:rFonts w:cs="Calibri"/>
        </w:rPr>
        <w:t>The continued use of insulin pumps during a period of hospitalisation is dependent upon the patient being assessed as being competent and able to successfully operate their own device. Orders for an alternative method of insulin delivery must be charted by a MO prior to disconnection of an insulin pump</w:t>
      </w:r>
      <w:r>
        <w:rPr>
          <w:rFonts w:cs="Calibri"/>
        </w:rPr>
        <w:t>, under the guidance of the endocrinology team</w:t>
      </w:r>
      <w:r w:rsidRPr="002B2599">
        <w:rPr>
          <w:rFonts w:cs="Calibri"/>
        </w:rPr>
        <w:t>.</w:t>
      </w:r>
    </w:p>
    <w:p w14:paraId="037A88E1" w14:textId="77777777" w:rsidR="00C91EFA" w:rsidRDefault="00C91EFA" w:rsidP="00C91EFA">
      <w:pPr>
        <w:rPr>
          <w:rFonts w:cs="Calibri"/>
        </w:rPr>
      </w:pPr>
    </w:p>
    <w:p w14:paraId="0EE1D923" w14:textId="77777777" w:rsidR="00C91EFA" w:rsidRPr="00967603" w:rsidRDefault="00C91EFA" w:rsidP="00C91EFA">
      <w:pPr>
        <w:rPr>
          <w:rFonts w:cs="Calibri"/>
          <w:bCs/>
          <w:lang w:val="en-US"/>
        </w:rPr>
      </w:pPr>
      <w:r w:rsidRPr="00967603">
        <w:rPr>
          <w:rFonts w:cs="Calibri"/>
          <w:bCs/>
          <w:lang w:val="en-US"/>
        </w:rPr>
        <w:t xml:space="preserve">Contra-indications for CSII therapy </w:t>
      </w:r>
      <w:r>
        <w:rPr>
          <w:rFonts w:cs="Calibri"/>
          <w:bCs/>
          <w:lang w:val="en-US"/>
        </w:rPr>
        <w:t>include</w:t>
      </w:r>
      <w:r w:rsidRPr="00967603">
        <w:rPr>
          <w:rFonts w:cs="Calibri"/>
          <w:bCs/>
          <w:lang w:val="en-US"/>
        </w:rPr>
        <w:t xml:space="preserve">: </w:t>
      </w:r>
    </w:p>
    <w:p w14:paraId="0953CC70" w14:textId="77777777" w:rsidR="00C91EFA" w:rsidRPr="002B2599" w:rsidRDefault="00C91EFA" w:rsidP="00C91EFA">
      <w:pPr>
        <w:pStyle w:val="ListBullet"/>
        <w:rPr>
          <w:lang w:val="en-US"/>
        </w:rPr>
      </w:pPr>
      <w:r w:rsidRPr="2BC6C1F3">
        <w:rPr>
          <w:lang w:val="en-US"/>
        </w:rPr>
        <w:t>patients with an impaired level of consciousness</w:t>
      </w:r>
    </w:p>
    <w:p w14:paraId="6ED6AB6B" w14:textId="77777777" w:rsidR="00C91EFA" w:rsidRPr="002B2599" w:rsidRDefault="00C91EFA" w:rsidP="00C91EFA">
      <w:pPr>
        <w:pStyle w:val="ListBullet"/>
        <w:rPr>
          <w:lang w:val="en-US"/>
        </w:rPr>
      </w:pPr>
      <w:r w:rsidRPr="2BC6C1F3">
        <w:rPr>
          <w:lang w:val="en-US"/>
        </w:rPr>
        <w:t>patients with critical illness requiring intensive care</w:t>
      </w:r>
    </w:p>
    <w:p w14:paraId="3C7B13B2" w14:textId="77777777" w:rsidR="00C91EFA" w:rsidRPr="002B2599" w:rsidRDefault="00C91EFA" w:rsidP="00C91EFA">
      <w:pPr>
        <w:pStyle w:val="ListBullet"/>
        <w:rPr>
          <w:lang w:val="en-US"/>
        </w:rPr>
      </w:pPr>
      <w:r w:rsidRPr="2BC6C1F3">
        <w:rPr>
          <w:lang w:val="en-US"/>
        </w:rPr>
        <w:t>patients with major psychiatric disturbance</w:t>
      </w:r>
    </w:p>
    <w:p w14:paraId="58AF55D3" w14:textId="77777777" w:rsidR="00C91EFA" w:rsidRPr="006C19F7" w:rsidRDefault="00C91EFA" w:rsidP="00C91EFA">
      <w:pPr>
        <w:pStyle w:val="ListBullet"/>
      </w:pPr>
      <w:r w:rsidRPr="2BC6C1F3">
        <w:rPr>
          <w:lang w:val="en-US"/>
        </w:rPr>
        <w:t>DKA</w:t>
      </w:r>
    </w:p>
    <w:p w14:paraId="597C6867" w14:textId="77777777" w:rsidR="00C91EFA" w:rsidRPr="005A04C3" w:rsidRDefault="00C91EFA" w:rsidP="00C91EFA">
      <w:pPr>
        <w:pStyle w:val="ListBullet"/>
      </w:pPr>
      <w:r w:rsidRPr="2BC6C1F3">
        <w:rPr>
          <w:lang w:val="en-US"/>
        </w:rPr>
        <w:t>patients refusing or unwilling to participate in self-care.</w:t>
      </w:r>
    </w:p>
    <w:p w14:paraId="14BE0EB6" w14:textId="77777777" w:rsidR="00C91EFA" w:rsidRDefault="00C91EFA" w:rsidP="00C91EFA">
      <w:pPr>
        <w:pStyle w:val="ListBullet"/>
        <w:numPr>
          <w:ilvl w:val="0"/>
          <w:numId w:val="0"/>
        </w:numPr>
        <w:ind w:left="426" w:hanging="426"/>
        <w:rPr>
          <w:lang w:val="en-US"/>
        </w:rPr>
      </w:pPr>
    </w:p>
    <w:p w14:paraId="5A47270B" w14:textId="77777777" w:rsidR="00C91EFA" w:rsidRDefault="00C91EFA" w:rsidP="00C91EFA">
      <w:pPr>
        <w:rPr>
          <w:lang w:val="en-US"/>
        </w:rPr>
      </w:pPr>
      <w:proofErr w:type="spellStart"/>
      <w:r w:rsidRPr="002B2599">
        <w:rPr>
          <w:lang w:val="en-US"/>
        </w:rPr>
        <w:t>Labour</w:t>
      </w:r>
      <w:proofErr w:type="spellEnd"/>
      <w:r w:rsidRPr="002B2599">
        <w:rPr>
          <w:lang w:val="en-US"/>
        </w:rPr>
        <w:t xml:space="preserve"> is not an absolute contraindication to the use of an insulin pump. The use of CSII in </w:t>
      </w:r>
      <w:proofErr w:type="spellStart"/>
      <w:r w:rsidRPr="002B2599">
        <w:rPr>
          <w:lang w:val="en-US"/>
        </w:rPr>
        <w:t>labour</w:t>
      </w:r>
      <w:proofErr w:type="spellEnd"/>
      <w:r w:rsidRPr="002B2599">
        <w:rPr>
          <w:lang w:val="en-US"/>
        </w:rPr>
        <w:t xml:space="preserve"> is as per </w:t>
      </w:r>
      <w:r>
        <w:rPr>
          <w:lang w:val="en-US"/>
        </w:rPr>
        <w:t>e</w:t>
      </w:r>
      <w:r w:rsidRPr="002B2599">
        <w:rPr>
          <w:lang w:val="en-US"/>
        </w:rPr>
        <w:t xml:space="preserve">ndocrine </w:t>
      </w:r>
      <w:r>
        <w:rPr>
          <w:lang w:val="en-US"/>
        </w:rPr>
        <w:t>s</w:t>
      </w:r>
      <w:r w:rsidRPr="002B2599">
        <w:rPr>
          <w:lang w:val="en-US"/>
        </w:rPr>
        <w:t xml:space="preserve">pecialist as documented in </w:t>
      </w:r>
      <w:r>
        <w:rPr>
          <w:lang w:val="en-US"/>
        </w:rPr>
        <w:t>patient</w:t>
      </w:r>
      <w:r w:rsidRPr="002B2599">
        <w:rPr>
          <w:lang w:val="en-US"/>
        </w:rPr>
        <w:t>’s clinical record.</w:t>
      </w:r>
    </w:p>
    <w:p w14:paraId="76B1C369" w14:textId="77777777" w:rsidR="00C91EFA" w:rsidRDefault="00C91EFA" w:rsidP="00C91EFA">
      <w:pPr>
        <w:rPr>
          <w:lang w:val="en-US"/>
        </w:rPr>
      </w:pPr>
    </w:p>
    <w:p w14:paraId="1CA27AFF" w14:textId="77777777" w:rsidR="00C91EFA" w:rsidRPr="009610CA" w:rsidRDefault="00C91EFA" w:rsidP="00C91EFA">
      <w:r w:rsidRPr="009610CA">
        <w:rPr>
          <w:lang w:val="en-US"/>
        </w:rPr>
        <w:t>For further information on insulin pumps please refer to the National Diabetes Service Scheme (NDSS) link below.</w:t>
      </w:r>
    </w:p>
    <w:p w14:paraId="20555930" w14:textId="77777777" w:rsidR="00C91EFA" w:rsidRPr="008E6E3F" w:rsidRDefault="00C91EFA" w:rsidP="00C91EFA">
      <w:pPr>
        <w:pStyle w:val="ListBullet"/>
        <w:numPr>
          <w:ilvl w:val="0"/>
          <w:numId w:val="0"/>
        </w:numPr>
        <w:ind w:left="426" w:hanging="426"/>
      </w:pPr>
      <w:hyperlink r:id="rId16" w:history="1">
        <w:r w:rsidRPr="009610CA">
          <w:rPr>
            <w:rStyle w:val="Hyperlink"/>
          </w:rPr>
          <w:t>https://www.ndss.com.au/products/insulin-pump-consumables/</w:t>
        </w:r>
      </w:hyperlink>
      <w:r>
        <w:t xml:space="preserve"> </w:t>
      </w:r>
    </w:p>
    <w:p w14:paraId="054B4408" w14:textId="77777777" w:rsidR="00C91EFA" w:rsidRDefault="00C91EFA" w:rsidP="00C91EFA">
      <w:pPr>
        <w:pStyle w:val="BodyText"/>
        <w:ind w:left="5760" w:firstLine="720"/>
        <w:rPr>
          <w:rStyle w:val="Hyperlink"/>
          <w:rFonts w:eastAsiaTheme="majorEastAsia"/>
          <w:i/>
        </w:rPr>
      </w:pPr>
      <w:hyperlink w:anchor="Contents" w:history="1">
        <w:r w:rsidRPr="002B2599">
          <w:rPr>
            <w:rStyle w:val="Hyperlink"/>
            <w:rFonts w:ascii="Calibri" w:eastAsiaTheme="majorEastAsia" w:hAnsi="Calibri" w:cs="Calibri"/>
            <w:i/>
          </w:rPr>
          <w:t>Back to Table of Contents</w:t>
        </w:r>
      </w:hyperlink>
    </w:p>
    <w:tbl>
      <w:tblPr>
        <w:tblpPr w:leftFromText="180" w:rightFromText="180" w:vertAnchor="text" w:horzAnchor="margin" w:tblpY="37"/>
        <w:tblW w:w="9158" w:type="dxa"/>
        <w:tblLook w:val="0000" w:firstRow="0" w:lastRow="0" w:firstColumn="0" w:lastColumn="0" w:noHBand="0" w:noVBand="0"/>
      </w:tblPr>
      <w:tblGrid>
        <w:gridCol w:w="9158"/>
      </w:tblGrid>
      <w:tr w:rsidR="00C91EFA" w:rsidRPr="00CD1C0E" w14:paraId="765E9ED6" w14:textId="77777777" w:rsidTr="00B3038D">
        <w:trPr>
          <w:cantSplit/>
          <w:trHeight w:val="285"/>
        </w:trPr>
        <w:tc>
          <w:tcPr>
            <w:tcW w:w="9158" w:type="dxa"/>
            <w:shd w:val="clear" w:color="auto" w:fill="D9D9D9" w:themeFill="background1" w:themeFillShade="D9"/>
          </w:tcPr>
          <w:p w14:paraId="337DA639" w14:textId="77777777" w:rsidR="00C91EFA" w:rsidRPr="00C76688" w:rsidRDefault="00C91EFA" w:rsidP="00B3038D">
            <w:pPr>
              <w:pStyle w:val="Heading1"/>
            </w:pPr>
            <w:bookmarkStart w:id="42" w:name="_Toc389473278"/>
            <w:bookmarkStart w:id="43" w:name="_Toc393203334"/>
            <w:bookmarkStart w:id="44" w:name="_Toc116893342"/>
            <w:bookmarkStart w:id="45" w:name="_Toc126585732"/>
            <w:r w:rsidRPr="00C76688">
              <w:t>Section</w:t>
            </w:r>
            <w:r>
              <w:t xml:space="preserve"> 9</w:t>
            </w:r>
            <w:r w:rsidRPr="00C76688">
              <w:t xml:space="preserve"> </w:t>
            </w:r>
            <w:r>
              <w:t xml:space="preserve">- </w:t>
            </w:r>
            <w:proofErr w:type="spellStart"/>
            <w:r w:rsidRPr="00CE636C">
              <w:rPr>
                <w:iCs w:val="0"/>
                <w:szCs w:val="24"/>
                <w:lang w:val="en-US"/>
              </w:rPr>
              <w:t>Hypoglycaemia</w:t>
            </w:r>
            <w:proofErr w:type="spellEnd"/>
            <w:r w:rsidRPr="00CE636C">
              <w:rPr>
                <w:lang w:val="en-US"/>
              </w:rPr>
              <w:t xml:space="preserve"> management</w:t>
            </w:r>
            <w:bookmarkEnd w:id="42"/>
            <w:bookmarkEnd w:id="43"/>
            <w:bookmarkEnd w:id="44"/>
            <w:bookmarkEnd w:id="45"/>
          </w:p>
        </w:tc>
      </w:tr>
    </w:tbl>
    <w:p w14:paraId="2700788C" w14:textId="77777777" w:rsidR="00C91EFA" w:rsidRDefault="00C91EFA" w:rsidP="00C91EFA">
      <w:pPr>
        <w:outlineLvl w:val="0"/>
        <w:rPr>
          <w:szCs w:val="24"/>
        </w:rPr>
      </w:pPr>
    </w:p>
    <w:p w14:paraId="581D4FA0" w14:textId="77777777" w:rsidR="00C91EFA" w:rsidRPr="00D42D11" w:rsidRDefault="00C91EFA" w:rsidP="00C91EFA">
      <w:pPr>
        <w:outlineLvl w:val="0"/>
        <w:rPr>
          <w:b/>
          <w:bCs/>
          <w:i/>
          <w:iCs/>
        </w:rPr>
      </w:pPr>
      <w:r w:rsidRPr="005D5957">
        <w:rPr>
          <w:szCs w:val="24"/>
        </w:rPr>
        <w:t xml:space="preserve">Hypoglycaemia is a condition in which blood glucose levels drop below 4 mmol/L. Delays in recognising or treating hypoglycaemia have the potential to cause serious adverse </w:t>
      </w:r>
      <w:r>
        <w:rPr>
          <w:szCs w:val="24"/>
        </w:rPr>
        <w:t>events</w:t>
      </w:r>
      <w:r w:rsidRPr="005D5957">
        <w:rPr>
          <w:szCs w:val="24"/>
        </w:rPr>
        <w:t xml:space="preserve"> such as injury, unconsciousness, or convulsions</w:t>
      </w:r>
      <w:r>
        <w:t>. It should be noted that a patient with low blood glucose levels may be asymptomatic.</w:t>
      </w:r>
      <w:r>
        <w:rPr>
          <w:rFonts w:cs="Arial"/>
          <w:iCs/>
          <w:szCs w:val="24"/>
        </w:rPr>
        <w:t xml:space="preserve"> </w:t>
      </w:r>
      <w:r w:rsidRPr="00967603">
        <w:t xml:space="preserve">For management of </w:t>
      </w:r>
      <w:r>
        <w:t>h</w:t>
      </w:r>
      <w:r w:rsidRPr="00967603">
        <w:t xml:space="preserve">ypoglycaemia refer to Attachment 2 </w:t>
      </w:r>
      <w:r>
        <w:t xml:space="preserve">- </w:t>
      </w:r>
      <w:r w:rsidRPr="00F36453">
        <w:t>Management of Hypoglycaemia</w:t>
      </w:r>
      <w:r>
        <w:t xml:space="preserve"> </w:t>
      </w:r>
      <w:r w:rsidRPr="00D42D11">
        <w:rPr>
          <w:b/>
          <w:bCs/>
          <w:i/>
          <w:iCs/>
        </w:rPr>
        <w:t>(as per Canberra Health Services</w:t>
      </w:r>
    </w:p>
    <w:p w14:paraId="778492E0" w14:textId="77777777" w:rsidR="00C91EFA" w:rsidRPr="00D42D11" w:rsidRDefault="00C91EFA" w:rsidP="00C91EFA">
      <w:pPr>
        <w:outlineLvl w:val="0"/>
        <w:rPr>
          <w:rFonts w:cs="Arial"/>
          <w:b/>
          <w:bCs/>
          <w:i/>
          <w:iCs/>
          <w:szCs w:val="24"/>
        </w:rPr>
      </w:pPr>
      <w:r w:rsidRPr="00D42D11">
        <w:rPr>
          <w:b/>
          <w:bCs/>
          <w:i/>
          <w:iCs/>
        </w:rPr>
        <w:t>Guideline. Diabetes Management: Including Hypoglycaemia, IV Insulin Infusions and Insulin Pumps (Adults only)</w:t>
      </w:r>
    </w:p>
    <w:p w14:paraId="34038ED7" w14:textId="77777777" w:rsidR="00C91EFA" w:rsidRPr="001971D9" w:rsidRDefault="00C91EFA" w:rsidP="00C91EFA">
      <w:pPr>
        <w:rPr>
          <w:b/>
          <w:bCs/>
        </w:rPr>
      </w:pPr>
    </w:p>
    <w:p w14:paraId="078BA480" w14:textId="77777777" w:rsidR="00C91EFA" w:rsidRPr="008F1907" w:rsidRDefault="00C91EFA" w:rsidP="00C91EFA">
      <w:pPr>
        <w:pBdr>
          <w:top w:val="single" w:sz="4" w:space="1" w:color="auto"/>
          <w:left w:val="single" w:sz="4" w:space="4" w:color="auto"/>
          <w:bottom w:val="single" w:sz="4" w:space="1" w:color="auto"/>
          <w:right w:val="single" w:sz="4" w:space="4" w:color="auto"/>
        </w:pBdr>
        <w:rPr>
          <w:b/>
          <w:bCs/>
          <w:iCs/>
        </w:rPr>
      </w:pPr>
      <w:r w:rsidRPr="008F1907">
        <w:rPr>
          <w:b/>
          <w:bCs/>
          <w:iCs/>
        </w:rPr>
        <w:lastRenderedPageBreak/>
        <w:t>Note:</w:t>
      </w:r>
    </w:p>
    <w:p w14:paraId="1332868A" w14:textId="77777777" w:rsidR="00C91EFA" w:rsidRPr="00761AB5" w:rsidRDefault="00C91EFA" w:rsidP="00C91EFA">
      <w:pPr>
        <w:pBdr>
          <w:top w:val="single" w:sz="4" w:space="1" w:color="auto"/>
          <w:left w:val="single" w:sz="4" w:space="4" w:color="auto"/>
          <w:bottom w:val="single" w:sz="4" w:space="1" w:color="auto"/>
          <w:right w:val="single" w:sz="4" w:space="4" w:color="auto"/>
        </w:pBdr>
        <w:rPr>
          <w:iCs/>
          <w:lang w:val="en-US"/>
        </w:rPr>
      </w:pPr>
      <w:r w:rsidRPr="00761AB5">
        <w:rPr>
          <w:iCs/>
        </w:rPr>
        <w:t>Hypoglycaemia treatment items are held in the medication room</w:t>
      </w:r>
      <w:r>
        <w:rPr>
          <w:iCs/>
        </w:rPr>
        <w:t>. T</w:t>
      </w:r>
      <w:r w:rsidRPr="00761AB5">
        <w:rPr>
          <w:iCs/>
        </w:rPr>
        <w:t xml:space="preserve">hese include glucose gel, hypo kits (sourced from </w:t>
      </w:r>
      <w:r>
        <w:rPr>
          <w:iCs/>
        </w:rPr>
        <w:t>F</w:t>
      </w:r>
      <w:r w:rsidRPr="00761AB5">
        <w:rPr>
          <w:iCs/>
        </w:rPr>
        <w:t xml:space="preserve">ood </w:t>
      </w:r>
      <w:r>
        <w:rPr>
          <w:iCs/>
        </w:rPr>
        <w:t>S</w:t>
      </w:r>
      <w:r w:rsidRPr="00761AB5">
        <w:rPr>
          <w:iCs/>
        </w:rPr>
        <w:t>ervices</w:t>
      </w:r>
      <w:r>
        <w:rPr>
          <w:iCs/>
        </w:rPr>
        <w:t>)</w:t>
      </w:r>
      <w:r w:rsidRPr="00761AB5">
        <w:rPr>
          <w:iCs/>
        </w:rPr>
        <w:t xml:space="preserve"> glucagon and IV glucose solutions.</w:t>
      </w:r>
      <w:r w:rsidRPr="00761AB5">
        <w:rPr>
          <w:iCs/>
          <w:lang w:val="en-US"/>
        </w:rPr>
        <w:t xml:space="preserve"> </w:t>
      </w:r>
      <w:r w:rsidRPr="00761AB5">
        <w:rPr>
          <w:iCs/>
        </w:rPr>
        <w:t xml:space="preserve">Consider </w:t>
      </w:r>
      <w:r>
        <w:rPr>
          <w:iCs/>
        </w:rPr>
        <w:t xml:space="preserve">the patient’s </w:t>
      </w:r>
      <w:r w:rsidRPr="00761AB5">
        <w:rPr>
          <w:iCs/>
        </w:rPr>
        <w:t>own supply of high glucose snacks (e.g., 5-6 jellybeans)</w:t>
      </w:r>
      <w:r>
        <w:rPr>
          <w:iCs/>
        </w:rPr>
        <w:t>.</w:t>
      </w:r>
    </w:p>
    <w:p w14:paraId="14600CEA" w14:textId="77777777" w:rsidR="00C91EFA" w:rsidRDefault="00C91EFA" w:rsidP="00C91EFA">
      <w:pPr>
        <w:rPr>
          <w:b/>
          <w:bCs/>
        </w:rPr>
      </w:pPr>
    </w:p>
    <w:p w14:paraId="43DC2A00" w14:textId="77777777" w:rsidR="00C91EFA" w:rsidRPr="00F43EE7" w:rsidRDefault="00C91EFA" w:rsidP="00C91EFA">
      <w:pPr>
        <w:rPr>
          <w:rFonts w:cs="Arial"/>
          <w:iCs/>
          <w:szCs w:val="24"/>
          <w:lang w:val="en-US"/>
        </w:rPr>
      </w:pPr>
      <w:r w:rsidRPr="00F43EE7">
        <w:rPr>
          <w:b/>
          <w:bCs/>
        </w:rPr>
        <w:t xml:space="preserve">Key </w:t>
      </w:r>
      <w:r>
        <w:rPr>
          <w:b/>
          <w:bCs/>
        </w:rPr>
        <w:t>p</w:t>
      </w:r>
      <w:r w:rsidRPr="00F43EE7">
        <w:rPr>
          <w:b/>
          <w:bCs/>
        </w:rPr>
        <w:t>oints</w:t>
      </w:r>
      <w:r>
        <w:rPr>
          <w:b/>
          <w:bCs/>
        </w:rPr>
        <w:t xml:space="preserve"> in managing hypoglycaemia</w:t>
      </w:r>
      <w:bookmarkStart w:id="46" w:name="_bookmark5"/>
      <w:bookmarkEnd w:id="46"/>
    </w:p>
    <w:p w14:paraId="7044164B" w14:textId="77777777" w:rsidR="00C91EFA" w:rsidRDefault="00C91EFA" w:rsidP="00C91EFA">
      <w:pPr>
        <w:pStyle w:val="ListBullet"/>
        <w:rPr>
          <w:lang w:val="en-US"/>
        </w:rPr>
      </w:pPr>
      <w:r w:rsidRPr="2BC6C1F3">
        <w:rPr>
          <w:lang w:val="en-US"/>
        </w:rPr>
        <w:t xml:space="preserve">Identify and treat the cause of </w:t>
      </w:r>
      <w:proofErr w:type="spellStart"/>
      <w:r w:rsidRPr="2BC6C1F3">
        <w:rPr>
          <w:lang w:val="en-US"/>
        </w:rPr>
        <w:t>hypoglycaemia</w:t>
      </w:r>
      <w:proofErr w:type="spellEnd"/>
      <w:r w:rsidRPr="2BC6C1F3">
        <w:rPr>
          <w:lang w:val="en-US"/>
        </w:rPr>
        <w:t>.</w:t>
      </w:r>
    </w:p>
    <w:p w14:paraId="7F182258" w14:textId="77777777" w:rsidR="00C91EFA" w:rsidRPr="003C56A2" w:rsidRDefault="00C91EFA" w:rsidP="00C91EFA">
      <w:pPr>
        <w:pStyle w:val="ListBullet"/>
        <w:rPr>
          <w:lang w:val="en-US"/>
        </w:rPr>
      </w:pPr>
      <w:r w:rsidRPr="2BC6C1F3">
        <w:rPr>
          <w:b/>
          <w:bCs/>
          <w:lang w:val="en-US"/>
        </w:rPr>
        <w:t>Do not</w:t>
      </w:r>
      <w:r w:rsidRPr="2BC6C1F3">
        <w:rPr>
          <w:lang w:val="en-US"/>
        </w:rPr>
        <w:t xml:space="preserve"> omit the next insulin dose. If the patient is hypoglycemic when the next dose of insulin is due, delay administration until after correction of the </w:t>
      </w:r>
      <w:proofErr w:type="spellStart"/>
      <w:r w:rsidRPr="2BC6C1F3">
        <w:rPr>
          <w:lang w:val="en-US"/>
        </w:rPr>
        <w:t>hypoglycaemia</w:t>
      </w:r>
      <w:proofErr w:type="spellEnd"/>
      <w:r w:rsidRPr="2BC6C1F3">
        <w:rPr>
          <w:lang w:val="en-US"/>
        </w:rPr>
        <w:t>.</w:t>
      </w:r>
      <w:bookmarkStart w:id="47" w:name="_Hlk110329169"/>
    </w:p>
    <w:p w14:paraId="5BEA87C6" w14:textId="77777777" w:rsidR="00C91EFA" w:rsidRPr="001E54D3" w:rsidRDefault="00C91EFA" w:rsidP="00C91EFA">
      <w:pPr>
        <w:pStyle w:val="ListBullet"/>
        <w:rPr>
          <w:lang w:val="en-US"/>
        </w:rPr>
      </w:pPr>
      <w:r w:rsidRPr="2BC6C1F3">
        <w:rPr>
          <w:lang w:val="en-US"/>
        </w:rPr>
        <w:t xml:space="preserve">If </w:t>
      </w:r>
      <w:proofErr w:type="spellStart"/>
      <w:r w:rsidRPr="2BC6C1F3">
        <w:rPr>
          <w:lang w:val="en-US"/>
        </w:rPr>
        <w:t>hypoglycaemia</w:t>
      </w:r>
      <w:proofErr w:type="spellEnd"/>
      <w:r w:rsidRPr="2BC6C1F3">
        <w:rPr>
          <w:lang w:val="en-US"/>
        </w:rPr>
        <w:t xml:space="preserve"> is recurrent notify the obstetric team for medical review and notify the endocrine team to review insulin regimen.</w:t>
      </w:r>
    </w:p>
    <w:p w14:paraId="4F678FDE" w14:textId="77777777" w:rsidR="00C91EFA" w:rsidRDefault="00C91EFA" w:rsidP="00C91EFA">
      <w:pPr>
        <w:rPr>
          <w:rFonts w:cs="Arial"/>
          <w:iCs/>
          <w:szCs w:val="24"/>
          <w:lang w:val="en-US"/>
        </w:rPr>
      </w:pPr>
    </w:p>
    <w:p w14:paraId="530728CA" w14:textId="77777777" w:rsidR="00C91EFA" w:rsidRDefault="00C91EFA" w:rsidP="00C91EFA">
      <w:pPr>
        <w:pBdr>
          <w:top w:val="single" w:sz="4" w:space="1" w:color="auto"/>
          <w:left w:val="single" w:sz="4" w:space="4" w:color="auto"/>
          <w:bottom w:val="single" w:sz="4" w:space="1" w:color="auto"/>
          <w:right w:val="single" w:sz="4" w:space="4" w:color="auto"/>
        </w:pBdr>
      </w:pPr>
      <w:r w:rsidRPr="00F36453">
        <w:rPr>
          <w:b/>
          <w:bCs/>
        </w:rPr>
        <w:t>Alert:</w:t>
      </w:r>
      <w:r>
        <w:t xml:space="preserve"> </w:t>
      </w:r>
    </w:p>
    <w:p w14:paraId="54B4B1DC" w14:textId="77777777" w:rsidR="00C91EFA" w:rsidRPr="00761AB5" w:rsidRDefault="00C91EFA" w:rsidP="00C91EFA">
      <w:pPr>
        <w:pBdr>
          <w:top w:val="single" w:sz="4" w:space="1" w:color="auto"/>
          <w:left w:val="single" w:sz="4" w:space="4" w:color="auto"/>
          <w:bottom w:val="single" w:sz="4" w:space="1" w:color="auto"/>
          <w:right w:val="single" w:sz="4" w:space="4" w:color="auto"/>
        </w:pBdr>
      </w:pPr>
      <w:r>
        <w:t>W</w:t>
      </w:r>
      <w:r w:rsidRPr="00761AB5">
        <w:t xml:space="preserve">ithholding insulin in </w:t>
      </w:r>
      <w:r>
        <w:t>T</w:t>
      </w:r>
      <w:r w:rsidRPr="00761AB5">
        <w:t xml:space="preserve">ype 1 </w:t>
      </w:r>
      <w:r>
        <w:t>DM</w:t>
      </w:r>
      <w:r w:rsidRPr="00761AB5">
        <w:t xml:space="preserve"> patients places them at risk </w:t>
      </w:r>
      <w:r>
        <w:t>of DKA.</w:t>
      </w:r>
    </w:p>
    <w:p w14:paraId="33183504" w14:textId="77777777" w:rsidR="00C91EFA" w:rsidRDefault="00C91EFA" w:rsidP="00C91EFA">
      <w:pPr>
        <w:rPr>
          <w:rFonts w:cs="Arial"/>
          <w:iCs/>
          <w:szCs w:val="24"/>
          <w:lang w:val="en-US"/>
        </w:rPr>
      </w:pPr>
    </w:p>
    <w:p w14:paraId="42B6AA1A" w14:textId="77777777" w:rsidR="00C91EFA" w:rsidRPr="009610CA" w:rsidRDefault="00C91EFA" w:rsidP="00C91EFA">
      <w:pPr>
        <w:rPr>
          <w:rFonts w:cs="Arial"/>
          <w:iCs/>
          <w:szCs w:val="24"/>
          <w:lang w:val="en-US"/>
        </w:rPr>
      </w:pPr>
      <w:r w:rsidRPr="009610CA">
        <w:rPr>
          <w:rFonts w:cs="Arial"/>
          <w:iCs/>
          <w:szCs w:val="24"/>
          <w:lang w:val="en-US"/>
        </w:rPr>
        <w:t xml:space="preserve">For patient information regarding management of </w:t>
      </w:r>
      <w:proofErr w:type="spellStart"/>
      <w:r w:rsidRPr="009610CA">
        <w:rPr>
          <w:rFonts w:cs="Arial"/>
          <w:iCs/>
          <w:szCs w:val="24"/>
          <w:lang w:val="en-US"/>
        </w:rPr>
        <w:t>hypoglycaemia</w:t>
      </w:r>
      <w:proofErr w:type="spellEnd"/>
      <w:r w:rsidRPr="009610CA">
        <w:rPr>
          <w:rFonts w:cs="Arial"/>
          <w:iCs/>
          <w:szCs w:val="24"/>
          <w:lang w:val="en-US"/>
        </w:rPr>
        <w:t xml:space="preserve"> please refer to</w:t>
      </w:r>
    </w:p>
    <w:p w14:paraId="74A88481" w14:textId="77777777" w:rsidR="00C91EFA" w:rsidRDefault="00C91EFA" w:rsidP="00C91EFA">
      <w:pPr>
        <w:rPr>
          <w:rFonts w:cs="Arial"/>
          <w:iCs/>
          <w:szCs w:val="24"/>
          <w:lang w:val="en-US"/>
        </w:rPr>
      </w:pPr>
      <w:hyperlink r:id="rId17" w:history="1">
        <w:r w:rsidRPr="009610CA">
          <w:rPr>
            <w:rStyle w:val="Hyperlink"/>
            <w:rFonts w:cs="Arial"/>
            <w:iCs/>
            <w:szCs w:val="24"/>
            <w:lang w:val="en-US"/>
          </w:rPr>
          <w:t>https://www.ndss.com.au/about-diabetes/resources/find-a-resource/managing-hypoglycaemia-fact-sheet/</w:t>
        </w:r>
      </w:hyperlink>
      <w:r>
        <w:rPr>
          <w:rFonts w:cs="Arial"/>
          <w:iCs/>
          <w:szCs w:val="24"/>
          <w:lang w:val="en-US"/>
        </w:rPr>
        <w:t xml:space="preserve"> </w:t>
      </w:r>
    </w:p>
    <w:p w14:paraId="7FF039A0" w14:textId="77777777" w:rsidR="00C91EFA" w:rsidRDefault="00C91EFA" w:rsidP="00C91EFA">
      <w:pPr>
        <w:rPr>
          <w:rFonts w:cs="Arial"/>
          <w:iCs/>
          <w:szCs w:val="24"/>
          <w:lang w:val="en-US"/>
        </w:rPr>
      </w:pPr>
    </w:p>
    <w:bookmarkEnd w:id="47"/>
    <w:p w14:paraId="3DDFBD90" w14:textId="77777777" w:rsidR="00C91EFA" w:rsidRDefault="00C91EFA" w:rsidP="00C91EFA">
      <w:pPr>
        <w:jc w:val="right"/>
        <w:rPr>
          <w:rFonts w:cs="Arial"/>
          <w:i/>
          <w:szCs w:val="24"/>
        </w:rPr>
      </w:pPr>
      <w:r>
        <w:fldChar w:fldCharType="begin"/>
      </w:r>
      <w:r>
        <w:instrText xml:space="preserve"> HYPERLINK \l "Contents" </w:instrText>
      </w:r>
      <w:r>
        <w:fldChar w:fldCharType="separate"/>
      </w:r>
      <w:r w:rsidRPr="00C91F3F">
        <w:rPr>
          <w:rStyle w:val="Hyperlink"/>
          <w:rFonts w:eastAsiaTheme="majorEastAsia" w:cs="Arial"/>
          <w:i/>
          <w:szCs w:val="24"/>
        </w:rPr>
        <w:t>Back to Table of Contents</w:t>
      </w:r>
      <w:r>
        <w:rPr>
          <w:rStyle w:val="Hyperlink"/>
          <w:rFonts w:eastAsiaTheme="majorEastAsia" w:cs="Arial"/>
          <w:i/>
          <w:szCs w:val="24"/>
        </w:rPr>
        <w:fldChar w:fldCharType="end"/>
      </w:r>
      <w:r>
        <w:rPr>
          <w:rFonts w:cs="Arial"/>
          <w:i/>
          <w:szCs w:val="24"/>
        </w:rPr>
        <w:t xml:space="preserve"> </w:t>
      </w:r>
    </w:p>
    <w:p w14:paraId="4B7822B1" w14:textId="77777777" w:rsidR="00C91EFA" w:rsidRDefault="00C91EFA" w:rsidP="00C91EFA">
      <w:pPr>
        <w:jc w:val="right"/>
        <w:rPr>
          <w:rFonts w:cs="Arial"/>
          <w:i/>
          <w:szCs w:val="24"/>
        </w:rPr>
      </w:pPr>
    </w:p>
    <w:tbl>
      <w:tblPr>
        <w:tblpPr w:leftFromText="180" w:rightFromText="180" w:vertAnchor="text" w:horzAnchor="margin" w:tblpY="-60"/>
        <w:tblW w:w="9158" w:type="dxa"/>
        <w:tblLook w:val="0000" w:firstRow="0" w:lastRow="0" w:firstColumn="0" w:lastColumn="0" w:noHBand="0" w:noVBand="0"/>
      </w:tblPr>
      <w:tblGrid>
        <w:gridCol w:w="9158"/>
      </w:tblGrid>
      <w:tr w:rsidR="00C91EFA" w:rsidRPr="00CD1C0E" w14:paraId="1FAB38A9" w14:textId="77777777" w:rsidTr="00B3038D">
        <w:trPr>
          <w:cantSplit/>
          <w:trHeight w:val="285"/>
        </w:trPr>
        <w:tc>
          <w:tcPr>
            <w:tcW w:w="9158" w:type="dxa"/>
            <w:shd w:val="clear" w:color="auto" w:fill="D9D9D9" w:themeFill="background1" w:themeFillShade="D9"/>
          </w:tcPr>
          <w:p w14:paraId="5AD7B0EC" w14:textId="77777777" w:rsidR="00C91EFA" w:rsidRPr="00C76688" w:rsidRDefault="00C91EFA" w:rsidP="00B3038D">
            <w:pPr>
              <w:pStyle w:val="Heading1"/>
            </w:pPr>
            <w:bookmarkStart w:id="48" w:name="_Toc116893343"/>
            <w:bookmarkStart w:id="49" w:name="_Toc126585733"/>
            <w:bookmarkStart w:id="50" w:name="_Toc389473281"/>
            <w:bookmarkStart w:id="51" w:name="_Toc393203337"/>
            <w:r w:rsidRPr="00C76688">
              <w:t xml:space="preserve">Section </w:t>
            </w:r>
            <w:r>
              <w:t>10</w:t>
            </w:r>
            <w:r w:rsidRPr="00C76688">
              <w:t xml:space="preserve"> </w:t>
            </w:r>
            <w:r>
              <w:t>-</w:t>
            </w:r>
            <w:r w:rsidRPr="00C76688">
              <w:t xml:space="preserve"> </w:t>
            </w:r>
            <w:r w:rsidRPr="007A2EE6">
              <w:rPr>
                <w:lang w:val="en-US"/>
              </w:rPr>
              <w:t>Diabetic ketoacidosis (DKA) management</w:t>
            </w:r>
            <w:bookmarkEnd w:id="48"/>
            <w:bookmarkEnd w:id="49"/>
            <w:r w:rsidRPr="007A2EE6">
              <w:t xml:space="preserve"> </w:t>
            </w:r>
            <w:bookmarkEnd w:id="50"/>
            <w:bookmarkEnd w:id="51"/>
          </w:p>
        </w:tc>
      </w:tr>
    </w:tbl>
    <w:p w14:paraId="06A96697" w14:textId="77777777" w:rsidR="00C91EFA" w:rsidRDefault="00C91EFA" w:rsidP="00C91EFA">
      <w:pPr>
        <w:rPr>
          <w:rFonts w:cs="Arial"/>
          <w:iCs/>
          <w:szCs w:val="24"/>
          <w:lang w:val="en-US"/>
        </w:rPr>
      </w:pPr>
      <w:r w:rsidRPr="00866CFF">
        <w:rPr>
          <w:rFonts w:cs="Arial"/>
          <w:bCs/>
          <w:iCs/>
          <w:szCs w:val="24"/>
        </w:rPr>
        <w:t>DKA is an acute and potentially fatal complication of diabetes</w:t>
      </w:r>
      <w:r>
        <w:rPr>
          <w:rFonts w:cs="Arial"/>
          <w:bCs/>
          <w:iCs/>
          <w:szCs w:val="24"/>
        </w:rPr>
        <w:t xml:space="preserve">. It is </w:t>
      </w:r>
      <w:r w:rsidRPr="00866CFF">
        <w:rPr>
          <w:rFonts w:cs="Arial"/>
          <w:bCs/>
          <w:iCs/>
          <w:szCs w:val="24"/>
        </w:rPr>
        <w:t>characteri</w:t>
      </w:r>
      <w:r>
        <w:rPr>
          <w:rFonts w:cs="Arial"/>
          <w:bCs/>
          <w:iCs/>
          <w:szCs w:val="24"/>
        </w:rPr>
        <w:t>s</w:t>
      </w:r>
      <w:r w:rsidRPr="00866CFF">
        <w:rPr>
          <w:rFonts w:cs="Arial"/>
          <w:bCs/>
          <w:iCs/>
          <w:szCs w:val="24"/>
        </w:rPr>
        <w:t>ed by hyperglycaemia, ketone body formation and metabolic acidosis</w:t>
      </w:r>
      <w:r>
        <w:rPr>
          <w:rFonts w:cs="Arial"/>
          <w:bCs/>
          <w:iCs/>
          <w:szCs w:val="24"/>
          <w:lang w:val="en-US"/>
        </w:rPr>
        <w:t xml:space="preserve">. </w:t>
      </w:r>
      <w:r>
        <w:rPr>
          <w:rFonts w:cs="Arial"/>
          <w:iCs/>
          <w:szCs w:val="24"/>
          <w:lang w:val="en-US"/>
        </w:rPr>
        <w:t>R</w:t>
      </w:r>
      <w:r w:rsidRPr="00561AC6">
        <w:rPr>
          <w:rFonts w:cs="Arial"/>
          <w:iCs/>
          <w:szCs w:val="24"/>
          <w:lang w:val="en-US"/>
        </w:rPr>
        <w:t xml:space="preserve">esulting </w:t>
      </w:r>
      <w:proofErr w:type="spellStart"/>
      <w:r w:rsidRPr="00561AC6">
        <w:rPr>
          <w:rFonts w:cs="Arial"/>
          <w:iCs/>
          <w:szCs w:val="24"/>
          <w:lang w:val="en-US"/>
        </w:rPr>
        <w:t>hyperglycaemia</w:t>
      </w:r>
      <w:proofErr w:type="spellEnd"/>
      <w:r w:rsidRPr="00561AC6">
        <w:rPr>
          <w:rFonts w:cs="Arial"/>
          <w:iCs/>
          <w:szCs w:val="24"/>
          <w:lang w:val="en-US"/>
        </w:rPr>
        <w:t xml:space="preserve"> results in loss of water and electrolytes, hyperosmolality and fluid depletion</w:t>
      </w:r>
      <w:r>
        <w:rPr>
          <w:rFonts w:cs="Arial"/>
          <w:iCs/>
          <w:szCs w:val="24"/>
          <w:lang w:val="en-US"/>
        </w:rPr>
        <w:t xml:space="preserve">. </w:t>
      </w:r>
    </w:p>
    <w:p w14:paraId="2BD1755D" w14:textId="77777777" w:rsidR="00C91EFA" w:rsidRDefault="00C91EFA" w:rsidP="00C91EFA">
      <w:pPr>
        <w:rPr>
          <w:rFonts w:cs="Arial"/>
          <w:iCs/>
          <w:szCs w:val="24"/>
          <w:lang w:val="en-US"/>
        </w:rPr>
      </w:pPr>
    </w:p>
    <w:p w14:paraId="1D9047B4" w14:textId="77777777" w:rsidR="00C91EFA" w:rsidRPr="008F1907" w:rsidRDefault="00C91EFA" w:rsidP="00C91EFA">
      <w:pPr>
        <w:pBdr>
          <w:top w:val="single" w:sz="4" w:space="1" w:color="auto"/>
          <w:left w:val="single" w:sz="4" w:space="4" w:color="auto"/>
          <w:bottom w:val="single" w:sz="4" w:space="1" w:color="auto"/>
          <w:right w:val="single" w:sz="4" w:space="4" w:color="auto"/>
        </w:pBdr>
        <w:rPr>
          <w:b/>
          <w:bCs/>
          <w:iCs/>
          <w:lang w:val="en-US"/>
        </w:rPr>
      </w:pPr>
      <w:bookmarkStart w:id="52" w:name="_bookmark8"/>
      <w:bookmarkEnd w:id="52"/>
      <w:r w:rsidRPr="008F1907">
        <w:rPr>
          <w:b/>
          <w:bCs/>
          <w:iCs/>
          <w:lang w:val="en-US"/>
        </w:rPr>
        <w:t>Alert:</w:t>
      </w:r>
    </w:p>
    <w:p w14:paraId="431B92D7" w14:textId="77777777" w:rsidR="00C91EFA" w:rsidRPr="00D7273B" w:rsidRDefault="00C91EFA" w:rsidP="00C91EFA">
      <w:pPr>
        <w:pBdr>
          <w:top w:val="single" w:sz="4" w:space="1" w:color="auto"/>
          <w:left w:val="single" w:sz="4" w:space="4" w:color="auto"/>
          <w:bottom w:val="single" w:sz="4" w:space="1" w:color="auto"/>
          <w:right w:val="single" w:sz="4" w:space="4" w:color="auto"/>
        </w:pBdr>
        <w:rPr>
          <w:iCs/>
        </w:rPr>
      </w:pPr>
      <w:r w:rsidRPr="00D7273B">
        <w:rPr>
          <w:iCs/>
          <w:lang w:val="en-US"/>
        </w:rPr>
        <w:t xml:space="preserve">The </w:t>
      </w:r>
      <w:r>
        <w:rPr>
          <w:iCs/>
          <w:lang w:val="en-US"/>
        </w:rPr>
        <w:t>e</w:t>
      </w:r>
      <w:r w:rsidRPr="00D7273B">
        <w:rPr>
          <w:iCs/>
          <w:lang w:val="en-US"/>
        </w:rPr>
        <w:t>ndocrine consultant on call</w:t>
      </w:r>
      <w:r>
        <w:rPr>
          <w:iCs/>
          <w:lang w:val="en-US"/>
        </w:rPr>
        <w:t xml:space="preserve"> </w:t>
      </w:r>
      <w:r w:rsidRPr="008F08BC">
        <w:rPr>
          <w:b/>
          <w:bCs/>
          <w:iCs/>
          <w:lang w:val="en-US"/>
        </w:rPr>
        <w:t>must</w:t>
      </w:r>
      <w:r w:rsidRPr="00D7273B">
        <w:rPr>
          <w:iCs/>
          <w:lang w:val="en-US"/>
        </w:rPr>
        <w:t xml:space="preserve"> be notified of all </w:t>
      </w:r>
      <w:r>
        <w:rPr>
          <w:iCs/>
          <w:lang w:val="en-US"/>
        </w:rPr>
        <w:t>patients</w:t>
      </w:r>
      <w:r w:rsidRPr="00D7273B">
        <w:rPr>
          <w:iCs/>
          <w:lang w:val="en-US"/>
        </w:rPr>
        <w:t xml:space="preserve"> admitted with suspected DKA </w:t>
      </w:r>
      <w:r w:rsidRPr="008F08BC">
        <w:rPr>
          <w:b/>
          <w:bCs/>
          <w:iCs/>
          <w:lang w:val="en-US"/>
        </w:rPr>
        <w:t>before</w:t>
      </w:r>
      <w:r>
        <w:rPr>
          <w:iCs/>
          <w:lang w:val="en-US"/>
        </w:rPr>
        <w:t xml:space="preserve"> </w:t>
      </w:r>
      <w:r w:rsidRPr="00D7273B">
        <w:rPr>
          <w:iCs/>
          <w:lang w:val="en-US"/>
        </w:rPr>
        <w:t>extensive management plans have been made or started</w:t>
      </w:r>
      <w:r>
        <w:rPr>
          <w:iCs/>
          <w:lang w:val="en-US"/>
        </w:rPr>
        <w:t>.</w:t>
      </w:r>
    </w:p>
    <w:p w14:paraId="13DD22C4" w14:textId="77777777" w:rsidR="00C91EFA" w:rsidRDefault="00C91EFA" w:rsidP="00C91EFA">
      <w:pPr>
        <w:rPr>
          <w:rFonts w:cs="Arial"/>
          <w:b/>
          <w:iCs/>
          <w:szCs w:val="24"/>
          <w:lang w:val="en-US"/>
        </w:rPr>
      </w:pPr>
    </w:p>
    <w:p w14:paraId="258B78D2" w14:textId="77777777" w:rsidR="00C91EFA" w:rsidRPr="000A004D" w:rsidRDefault="00C91EFA" w:rsidP="00C91EFA">
      <w:pPr>
        <w:rPr>
          <w:rFonts w:cs="Arial"/>
          <w:iCs/>
          <w:szCs w:val="24"/>
          <w:lang w:val="en-US"/>
        </w:rPr>
      </w:pPr>
      <w:r w:rsidRPr="000A004D">
        <w:rPr>
          <w:rFonts w:cs="Arial"/>
          <w:iCs/>
          <w:szCs w:val="24"/>
          <w:lang w:val="en-US"/>
        </w:rPr>
        <w:t>The most common causes for DKA are:</w:t>
      </w:r>
    </w:p>
    <w:p w14:paraId="72A6CBEE" w14:textId="77777777" w:rsidR="00C91EFA" w:rsidRPr="00BF122E" w:rsidRDefault="00C91EFA" w:rsidP="00C91EFA">
      <w:pPr>
        <w:numPr>
          <w:ilvl w:val="0"/>
          <w:numId w:val="2"/>
        </w:numPr>
        <w:rPr>
          <w:rFonts w:cs="Arial"/>
          <w:iCs/>
          <w:szCs w:val="24"/>
          <w:lang w:val="en-US"/>
        </w:rPr>
      </w:pPr>
      <w:r w:rsidRPr="00BF122E">
        <w:rPr>
          <w:rFonts w:cs="Arial"/>
          <w:iCs/>
          <w:szCs w:val="24"/>
          <w:lang w:val="en-US"/>
        </w:rPr>
        <w:t>omission or inadequate dosing of insulin</w:t>
      </w:r>
    </w:p>
    <w:p w14:paraId="03EA59C8" w14:textId="77777777" w:rsidR="00C91EFA" w:rsidRPr="00BF122E" w:rsidRDefault="00C91EFA" w:rsidP="00C91EFA">
      <w:pPr>
        <w:numPr>
          <w:ilvl w:val="0"/>
          <w:numId w:val="2"/>
        </w:numPr>
        <w:rPr>
          <w:rFonts w:cs="Arial"/>
          <w:iCs/>
          <w:szCs w:val="24"/>
          <w:lang w:val="en-US"/>
        </w:rPr>
      </w:pPr>
      <w:r w:rsidRPr="00BF122E">
        <w:rPr>
          <w:rFonts w:cs="Arial"/>
          <w:iCs/>
          <w:szCs w:val="24"/>
          <w:lang w:val="en-US"/>
        </w:rPr>
        <w:t>infection (pneumonia, UTI, gastroenteritis, viral)</w:t>
      </w:r>
    </w:p>
    <w:p w14:paraId="50830BEC" w14:textId="77777777" w:rsidR="00C91EFA" w:rsidRPr="00BF122E" w:rsidRDefault="00C91EFA" w:rsidP="00C91EFA">
      <w:pPr>
        <w:numPr>
          <w:ilvl w:val="0"/>
          <w:numId w:val="2"/>
        </w:numPr>
        <w:rPr>
          <w:rFonts w:cs="Arial"/>
          <w:iCs/>
          <w:szCs w:val="24"/>
          <w:lang w:val="en-US"/>
        </w:rPr>
      </w:pPr>
      <w:r w:rsidRPr="00BF122E">
        <w:rPr>
          <w:rFonts w:cs="Arial"/>
          <w:iCs/>
          <w:szCs w:val="24"/>
          <w:lang w:val="en-US"/>
        </w:rPr>
        <w:t>hyperemesis</w:t>
      </w:r>
    </w:p>
    <w:p w14:paraId="4E6D3466" w14:textId="77777777" w:rsidR="00C91EFA" w:rsidRPr="00BF122E" w:rsidRDefault="00C91EFA" w:rsidP="00C91EFA">
      <w:pPr>
        <w:numPr>
          <w:ilvl w:val="0"/>
          <w:numId w:val="2"/>
        </w:numPr>
        <w:rPr>
          <w:rFonts w:cs="Arial"/>
          <w:iCs/>
          <w:szCs w:val="24"/>
          <w:lang w:val="en-US"/>
        </w:rPr>
      </w:pPr>
      <w:r w:rsidRPr="00BF122E">
        <w:rPr>
          <w:rFonts w:cs="Arial"/>
          <w:iCs/>
          <w:szCs w:val="24"/>
          <w:lang w:val="en-US"/>
        </w:rPr>
        <w:t xml:space="preserve">medical / surgical intercurrent illness </w:t>
      </w:r>
    </w:p>
    <w:p w14:paraId="4E801AD3" w14:textId="77777777" w:rsidR="00C91EFA" w:rsidRPr="00BF122E" w:rsidRDefault="00C91EFA" w:rsidP="00C91EFA">
      <w:pPr>
        <w:numPr>
          <w:ilvl w:val="0"/>
          <w:numId w:val="2"/>
        </w:numPr>
        <w:rPr>
          <w:rFonts w:cs="Arial"/>
          <w:iCs/>
          <w:szCs w:val="24"/>
          <w:lang w:val="en-US"/>
        </w:rPr>
      </w:pPr>
      <w:r w:rsidRPr="00BF122E">
        <w:rPr>
          <w:rFonts w:cs="Arial"/>
          <w:iCs/>
          <w:szCs w:val="24"/>
          <w:lang w:val="en-US"/>
        </w:rPr>
        <w:t xml:space="preserve">steroid induced </w:t>
      </w:r>
      <w:proofErr w:type="spellStart"/>
      <w:r w:rsidRPr="00BF122E">
        <w:rPr>
          <w:rFonts w:cs="Arial"/>
          <w:iCs/>
          <w:szCs w:val="24"/>
          <w:lang w:val="en-US"/>
        </w:rPr>
        <w:t>hyperglycaemia</w:t>
      </w:r>
      <w:proofErr w:type="spellEnd"/>
      <w:r w:rsidRPr="00BF122E">
        <w:rPr>
          <w:rFonts w:cs="Arial"/>
          <w:iCs/>
          <w:szCs w:val="24"/>
          <w:lang w:val="en-US"/>
        </w:rPr>
        <w:t xml:space="preserve"> after administration for fetal lung maturation</w:t>
      </w:r>
    </w:p>
    <w:p w14:paraId="2391EE77" w14:textId="77777777" w:rsidR="00C91EFA" w:rsidRDefault="00C91EFA" w:rsidP="00C91EFA">
      <w:pPr>
        <w:numPr>
          <w:ilvl w:val="0"/>
          <w:numId w:val="2"/>
        </w:numPr>
        <w:rPr>
          <w:rFonts w:cs="Arial"/>
          <w:iCs/>
          <w:szCs w:val="24"/>
          <w:lang w:val="en-US"/>
        </w:rPr>
      </w:pPr>
      <w:r w:rsidRPr="00BF122E">
        <w:rPr>
          <w:rFonts w:cs="Arial"/>
          <w:iCs/>
          <w:szCs w:val="24"/>
          <w:lang w:val="en-US"/>
        </w:rPr>
        <w:t>β2 agonists (e.g., salbutamol, terbutaline) for tocolysis</w:t>
      </w:r>
      <w:r>
        <w:rPr>
          <w:rFonts w:cs="Arial"/>
          <w:iCs/>
          <w:szCs w:val="24"/>
          <w:lang w:val="en-US"/>
        </w:rPr>
        <w:t>, which</w:t>
      </w:r>
      <w:r w:rsidRPr="00BF122E">
        <w:rPr>
          <w:rFonts w:cs="Arial"/>
          <w:iCs/>
          <w:szCs w:val="24"/>
          <w:lang w:val="en-US"/>
        </w:rPr>
        <w:t xml:space="preserve"> can cause and further aggravate DKA.</w:t>
      </w:r>
    </w:p>
    <w:p w14:paraId="30760E98" w14:textId="77777777" w:rsidR="00C91EFA" w:rsidRDefault="00C91EFA" w:rsidP="00C91EFA">
      <w:pPr>
        <w:rPr>
          <w:rFonts w:cs="Arial"/>
          <w:iCs/>
          <w:szCs w:val="24"/>
          <w:lang w:val="en-US"/>
        </w:rPr>
      </w:pPr>
    </w:p>
    <w:p w14:paraId="3C1A9C02" w14:textId="77777777" w:rsidR="00C91EFA" w:rsidRDefault="00C91EFA" w:rsidP="00C91EFA">
      <w:pPr>
        <w:rPr>
          <w:rFonts w:cs="Arial"/>
          <w:iCs/>
          <w:szCs w:val="24"/>
          <w:lang w:val="en-US"/>
        </w:rPr>
      </w:pPr>
      <w:r w:rsidRPr="00BF122E">
        <w:rPr>
          <w:rFonts w:cs="Arial"/>
          <w:iCs/>
          <w:szCs w:val="24"/>
          <w:lang w:val="en-US"/>
        </w:rPr>
        <w:t xml:space="preserve">Although more commonly associated with Type 1 </w:t>
      </w:r>
      <w:r>
        <w:rPr>
          <w:rFonts w:cs="Arial"/>
          <w:iCs/>
          <w:szCs w:val="24"/>
          <w:lang w:val="en-US"/>
        </w:rPr>
        <w:t>DM</w:t>
      </w:r>
      <w:r w:rsidRPr="00BF122E">
        <w:rPr>
          <w:rFonts w:cs="Arial"/>
          <w:iCs/>
          <w:szCs w:val="24"/>
          <w:lang w:val="en-US"/>
        </w:rPr>
        <w:t xml:space="preserve">, DKA can occur in Type 2 </w:t>
      </w:r>
      <w:r>
        <w:rPr>
          <w:rFonts w:cs="Arial"/>
          <w:iCs/>
          <w:szCs w:val="24"/>
          <w:lang w:val="en-US"/>
        </w:rPr>
        <w:t xml:space="preserve">DM </w:t>
      </w:r>
      <w:r w:rsidRPr="00BF122E">
        <w:rPr>
          <w:rFonts w:cs="Arial"/>
          <w:iCs/>
          <w:szCs w:val="24"/>
          <w:lang w:val="en-US"/>
        </w:rPr>
        <w:t xml:space="preserve">or </w:t>
      </w:r>
      <w:r>
        <w:rPr>
          <w:rFonts w:cs="Arial"/>
          <w:iCs/>
          <w:szCs w:val="24"/>
          <w:lang w:val="en-US"/>
        </w:rPr>
        <w:t>GDM</w:t>
      </w:r>
      <w:r w:rsidRPr="00BF122E">
        <w:rPr>
          <w:rFonts w:cs="Arial"/>
          <w:iCs/>
          <w:szCs w:val="24"/>
          <w:lang w:val="en-US"/>
        </w:rPr>
        <w:t xml:space="preserve"> in the context of severe illness such as sepsis, insulin disruption</w:t>
      </w:r>
      <w:r>
        <w:rPr>
          <w:rFonts w:cs="Arial"/>
          <w:iCs/>
          <w:szCs w:val="24"/>
          <w:lang w:val="en-US"/>
        </w:rPr>
        <w:t xml:space="preserve"> </w:t>
      </w:r>
      <w:r w:rsidRPr="00BF122E">
        <w:rPr>
          <w:rFonts w:cs="Arial"/>
          <w:iCs/>
          <w:szCs w:val="24"/>
          <w:lang w:val="en-US"/>
        </w:rPr>
        <w:t>or medication administration (e.g., corticosteroids).</w:t>
      </w:r>
    </w:p>
    <w:p w14:paraId="63DFDACE" w14:textId="77777777" w:rsidR="00C91EFA" w:rsidRDefault="00C91EFA" w:rsidP="00C91EFA">
      <w:pPr>
        <w:rPr>
          <w:rFonts w:cs="Arial"/>
          <w:b/>
          <w:iCs/>
          <w:szCs w:val="24"/>
          <w:lang w:val="en-US"/>
        </w:rPr>
      </w:pPr>
    </w:p>
    <w:p w14:paraId="1DDA0820" w14:textId="77777777" w:rsidR="00C91EFA" w:rsidRPr="00BF122E" w:rsidRDefault="00C91EFA" w:rsidP="00C91EFA">
      <w:pPr>
        <w:rPr>
          <w:rFonts w:cs="Arial"/>
          <w:b/>
          <w:iCs/>
          <w:szCs w:val="24"/>
          <w:lang w:val="en-US"/>
        </w:rPr>
      </w:pPr>
      <w:r w:rsidRPr="00BF122E">
        <w:rPr>
          <w:rFonts w:cs="Arial"/>
          <w:b/>
          <w:iCs/>
          <w:szCs w:val="24"/>
          <w:lang w:val="en-US"/>
        </w:rPr>
        <w:lastRenderedPageBreak/>
        <w:t>Diagnosis</w:t>
      </w:r>
    </w:p>
    <w:p w14:paraId="50766DB2" w14:textId="77777777" w:rsidR="00C91EFA" w:rsidRPr="00BF122E" w:rsidRDefault="00C91EFA" w:rsidP="00C91EFA">
      <w:pPr>
        <w:rPr>
          <w:rFonts w:cs="Arial"/>
          <w:iCs/>
          <w:szCs w:val="24"/>
          <w:lang w:val="en-US"/>
        </w:rPr>
      </w:pPr>
      <w:r w:rsidRPr="00BF122E">
        <w:rPr>
          <w:rFonts w:cs="Arial"/>
          <w:iCs/>
          <w:szCs w:val="24"/>
          <w:lang w:val="en-US"/>
        </w:rPr>
        <w:t>The diagnosis of diabetic ketoacidosis is made based on history (including polyuria, polydipsia, vomiting, abdominal pain, weight loss, dehydration</w:t>
      </w:r>
      <w:r>
        <w:rPr>
          <w:rFonts w:cs="Arial"/>
          <w:iCs/>
          <w:szCs w:val="24"/>
          <w:lang w:val="en-US"/>
        </w:rPr>
        <w:t xml:space="preserve"> and</w:t>
      </w:r>
      <w:r w:rsidRPr="00BF122E">
        <w:rPr>
          <w:rFonts w:cs="Arial"/>
          <w:iCs/>
          <w:szCs w:val="24"/>
          <w:lang w:val="en-US"/>
        </w:rPr>
        <w:t xml:space="preserve"> infection</w:t>
      </w:r>
      <w:r>
        <w:rPr>
          <w:rFonts w:cs="Arial"/>
          <w:iCs/>
          <w:szCs w:val="24"/>
          <w:lang w:val="en-US"/>
        </w:rPr>
        <w:t>)</w:t>
      </w:r>
      <w:r w:rsidRPr="00BF122E">
        <w:rPr>
          <w:rFonts w:cs="Arial"/>
          <w:iCs/>
          <w:szCs w:val="24"/>
          <w:lang w:val="en-US"/>
        </w:rPr>
        <w:t xml:space="preserve"> and</w:t>
      </w:r>
      <w:r>
        <w:rPr>
          <w:rFonts w:cs="Arial"/>
          <w:iCs/>
          <w:szCs w:val="24"/>
          <w:lang w:val="en-US"/>
        </w:rPr>
        <w:t xml:space="preserve"> the following</w:t>
      </w:r>
      <w:r w:rsidRPr="00BF122E">
        <w:rPr>
          <w:rFonts w:cs="Arial"/>
          <w:iCs/>
          <w:szCs w:val="24"/>
          <w:lang w:val="en-US"/>
        </w:rPr>
        <w:t>:</w:t>
      </w:r>
    </w:p>
    <w:p w14:paraId="6A5B16BC" w14:textId="77777777" w:rsidR="00C91EFA" w:rsidRPr="00561AC6" w:rsidRDefault="00C91EFA" w:rsidP="00C91EFA">
      <w:pPr>
        <w:numPr>
          <w:ilvl w:val="0"/>
          <w:numId w:val="2"/>
        </w:numPr>
        <w:rPr>
          <w:rFonts w:cs="Arial"/>
          <w:iCs/>
          <w:szCs w:val="24"/>
          <w:lang w:val="en-US"/>
        </w:rPr>
      </w:pPr>
      <w:proofErr w:type="spellStart"/>
      <w:r>
        <w:rPr>
          <w:rFonts w:cs="Arial"/>
          <w:iCs/>
          <w:szCs w:val="24"/>
          <w:lang w:val="en-US"/>
        </w:rPr>
        <w:t>h</w:t>
      </w:r>
      <w:r w:rsidRPr="00561AC6">
        <w:rPr>
          <w:rFonts w:cs="Arial"/>
          <w:iCs/>
          <w:szCs w:val="24"/>
          <w:lang w:val="en-US"/>
        </w:rPr>
        <w:t>yperglycaemia</w:t>
      </w:r>
      <w:proofErr w:type="spellEnd"/>
      <w:r w:rsidRPr="00561AC6">
        <w:rPr>
          <w:rFonts w:cs="Arial"/>
          <w:iCs/>
          <w:szCs w:val="24"/>
          <w:lang w:val="en-US"/>
        </w:rPr>
        <w:t>, typically BGL&gt;13mmol/L but may be lower or normal in pregnancy</w:t>
      </w:r>
    </w:p>
    <w:p w14:paraId="438418AB" w14:textId="77777777" w:rsidR="00C91EFA" w:rsidRDefault="00C91EFA" w:rsidP="00C91EFA">
      <w:pPr>
        <w:numPr>
          <w:ilvl w:val="0"/>
          <w:numId w:val="2"/>
        </w:numPr>
        <w:rPr>
          <w:rFonts w:cs="Arial"/>
          <w:iCs/>
          <w:szCs w:val="24"/>
          <w:lang w:val="en-US"/>
        </w:rPr>
      </w:pPr>
      <w:r>
        <w:rPr>
          <w:rFonts w:cs="Arial"/>
          <w:iCs/>
          <w:szCs w:val="24"/>
          <w:lang w:val="en-US"/>
        </w:rPr>
        <w:t>m</w:t>
      </w:r>
      <w:r w:rsidRPr="00BF122E">
        <w:rPr>
          <w:rFonts w:cs="Arial"/>
          <w:iCs/>
          <w:szCs w:val="24"/>
          <w:lang w:val="en-US"/>
        </w:rPr>
        <w:t xml:space="preserve">etabolic acidosis (pH&lt;7.30) </w:t>
      </w:r>
    </w:p>
    <w:p w14:paraId="3DB320F4" w14:textId="77777777" w:rsidR="00C91EFA" w:rsidRPr="001971D9" w:rsidRDefault="00C91EFA" w:rsidP="00C91EFA">
      <w:pPr>
        <w:numPr>
          <w:ilvl w:val="0"/>
          <w:numId w:val="2"/>
        </w:numPr>
        <w:rPr>
          <w:rFonts w:cs="Arial"/>
          <w:iCs/>
          <w:szCs w:val="24"/>
          <w:lang w:val="en-US"/>
        </w:rPr>
      </w:pPr>
      <w:r>
        <w:rPr>
          <w:rFonts w:cs="Arial"/>
          <w:iCs/>
          <w:szCs w:val="24"/>
          <w:lang w:val="en-US"/>
        </w:rPr>
        <w:t>p</w:t>
      </w:r>
      <w:r w:rsidRPr="001971D9">
        <w:rPr>
          <w:rFonts w:cs="Arial"/>
          <w:iCs/>
          <w:szCs w:val="24"/>
          <w:lang w:val="en-US"/>
        </w:rPr>
        <w:t>resence of ketones</w:t>
      </w:r>
      <w:r>
        <w:rPr>
          <w:rFonts w:cs="Arial"/>
          <w:iCs/>
          <w:szCs w:val="24"/>
          <w:lang w:val="en-US"/>
        </w:rPr>
        <w:t xml:space="preserve"> in blood or urine.</w:t>
      </w:r>
      <w:r w:rsidRPr="001971D9">
        <w:rPr>
          <w:rFonts w:cs="Arial"/>
          <w:iCs/>
          <w:szCs w:val="24"/>
          <w:lang w:val="en-US"/>
        </w:rPr>
        <w:t xml:space="preserve"> </w:t>
      </w:r>
    </w:p>
    <w:p w14:paraId="1C03F966" w14:textId="77777777" w:rsidR="00C91EFA" w:rsidRDefault="00C91EFA" w:rsidP="00C91EFA">
      <w:pPr>
        <w:rPr>
          <w:rFonts w:cs="Arial"/>
          <w:b/>
          <w:iCs/>
          <w:szCs w:val="24"/>
          <w:lang w:val="en-US"/>
        </w:rPr>
      </w:pPr>
    </w:p>
    <w:p w14:paraId="5F837FD7" w14:textId="77777777" w:rsidR="00C91EFA" w:rsidRDefault="00C91EFA" w:rsidP="00C91EFA">
      <w:pPr>
        <w:rPr>
          <w:rFonts w:cs="Arial"/>
          <w:b/>
          <w:iCs/>
          <w:szCs w:val="24"/>
          <w:lang w:val="en-US"/>
        </w:rPr>
      </w:pPr>
      <w:r w:rsidRPr="00BF122E">
        <w:rPr>
          <w:rFonts w:cs="Arial"/>
          <w:b/>
          <w:iCs/>
          <w:szCs w:val="24"/>
          <w:lang w:val="en-US"/>
        </w:rPr>
        <w:t>Treatment</w:t>
      </w:r>
    </w:p>
    <w:p w14:paraId="52CC4760" w14:textId="77777777" w:rsidR="00C91EFA" w:rsidRPr="00293E69" w:rsidRDefault="00C91EFA" w:rsidP="00C91EFA">
      <w:pPr>
        <w:rPr>
          <w:rFonts w:cs="Arial"/>
          <w:bCs/>
          <w:iCs/>
          <w:szCs w:val="24"/>
          <w:lang w:val="en-US"/>
        </w:rPr>
      </w:pPr>
      <w:r w:rsidRPr="00293E69">
        <w:rPr>
          <w:rFonts w:cs="Arial"/>
          <w:bCs/>
          <w:iCs/>
          <w:szCs w:val="24"/>
          <w:lang w:val="en-US"/>
        </w:rPr>
        <w:t xml:space="preserve">Refer to CHS guideline </w:t>
      </w:r>
      <w:r w:rsidRPr="00293E69">
        <w:rPr>
          <w:rFonts w:cs="Arial"/>
          <w:bCs/>
          <w:i/>
          <w:szCs w:val="24"/>
          <w:lang w:val="en-US"/>
        </w:rPr>
        <w:t xml:space="preserve">Diabetes Management: Including </w:t>
      </w:r>
      <w:proofErr w:type="spellStart"/>
      <w:r w:rsidRPr="00293E69">
        <w:rPr>
          <w:rFonts w:cs="Arial"/>
          <w:bCs/>
          <w:i/>
          <w:szCs w:val="24"/>
          <w:lang w:val="en-US"/>
        </w:rPr>
        <w:t>Hypoglycaemia</w:t>
      </w:r>
      <w:proofErr w:type="spellEnd"/>
      <w:r w:rsidRPr="00293E69">
        <w:rPr>
          <w:rFonts w:cs="Arial"/>
          <w:bCs/>
          <w:i/>
          <w:szCs w:val="24"/>
          <w:lang w:val="en-US"/>
        </w:rPr>
        <w:t>, IV Insulin Infusions and Insulin Pumps (Adults only)</w:t>
      </w:r>
      <w:r>
        <w:rPr>
          <w:rFonts w:cs="Arial"/>
          <w:bCs/>
          <w:iCs/>
          <w:szCs w:val="24"/>
          <w:lang w:val="en-US"/>
        </w:rPr>
        <w:t xml:space="preserve"> (available on the Policy and Guidance Documents register). </w:t>
      </w:r>
      <w:r w:rsidRPr="00BF122E">
        <w:rPr>
          <w:rFonts w:cs="Arial"/>
          <w:iCs/>
          <w:szCs w:val="24"/>
          <w:lang w:val="en-US"/>
        </w:rPr>
        <w:t>Generally:</w:t>
      </w:r>
    </w:p>
    <w:p w14:paraId="01DB19C7" w14:textId="77777777" w:rsidR="00C91EFA" w:rsidRDefault="00C91EFA" w:rsidP="00C91EFA">
      <w:pPr>
        <w:pStyle w:val="ListBullet"/>
        <w:rPr>
          <w:lang w:val="en-US"/>
        </w:rPr>
      </w:pPr>
      <w:r w:rsidRPr="2BC6C1F3">
        <w:rPr>
          <w:lang w:val="en-US"/>
        </w:rPr>
        <w:t>stabilise patient condition</w:t>
      </w:r>
    </w:p>
    <w:p w14:paraId="4D7889FC" w14:textId="77777777" w:rsidR="00C91EFA" w:rsidRPr="00BF122E" w:rsidRDefault="00C91EFA" w:rsidP="00C91EFA">
      <w:pPr>
        <w:pStyle w:val="ListBullet"/>
        <w:rPr>
          <w:lang w:val="en-US"/>
        </w:rPr>
      </w:pPr>
      <w:r w:rsidRPr="2BC6C1F3">
        <w:rPr>
          <w:lang w:val="en-US"/>
        </w:rPr>
        <w:t>continue close fetal surveillance</w:t>
      </w:r>
    </w:p>
    <w:p w14:paraId="24526636" w14:textId="77777777" w:rsidR="00C91EFA" w:rsidRPr="000F0767" w:rsidRDefault="00C91EFA" w:rsidP="00C91EFA">
      <w:pPr>
        <w:pStyle w:val="ListBullet"/>
        <w:rPr>
          <w:b/>
          <w:bCs/>
          <w:lang w:val="en-US"/>
        </w:rPr>
      </w:pPr>
      <w:r w:rsidRPr="2BC6C1F3">
        <w:rPr>
          <w:lang w:val="en-US"/>
        </w:rPr>
        <w:t xml:space="preserve">consider delivery if despite aggressive therapy the patient’s condition continues to </w:t>
      </w:r>
      <w:proofErr w:type="gramStart"/>
      <w:r w:rsidRPr="2BC6C1F3">
        <w:rPr>
          <w:lang w:val="en-US"/>
        </w:rPr>
        <w:t>deteriorate</w:t>
      </w:r>
      <w:proofErr w:type="gramEnd"/>
      <w:r w:rsidRPr="2BC6C1F3">
        <w:rPr>
          <w:lang w:val="en-US"/>
        </w:rPr>
        <w:t xml:space="preserve"> or fetal status does not improve.</w:t>
      </w:r>
    </w:p>
    <w:p w14:paraId="0827F20C" w14:textId="77777777" w:rsidR="00C91EFA" w:rsidRPr="00293E69" w:rsidRDefault="00C91EFA" w:rsidP="00C91EFA">
      <w:pPr>
        <w:rPr>
          <w:rFonts w:cs="Arial"/>
          <w:bCs/>
          <w:iCs/>
          <w:szCs w:val="24"/>
          <w:lang w:val="en-US"/>
        </w:rPr>
      </w:pPr>
    </w:p>
    <w:p w14:paraId="7F7D7452" w14:textId="77777777" w:rsidR="00C91EFA" w:rsidRPr="008F1907" w:rsidRDefault="00C91EFA" w:rsidP="00C91EFA">
      <w:pPr>
        <w:pBdr>
          <w:top w:val="single" w:sz="4" w:space="1" w:color="auto"/>
          <w:left w:val="single" w:sz="4" w:space="4" w:color="auto"/>
          <w:bottom w:val="single" w:sz="4" w:space="1" w:color="auto"/>
          <w:right w:val="single" w:sz="4" w:space="4" w:color="auto"/>
        </w:pBdr>
        <w:rPr>
          <w:b/>
          <w:bCs/>
          <w:iCs/>
          <w:lang w:val="en-US"/>
        </w:rPr>
      </w:pPr>
      <w:r w:rsidRPr="008F1907">
        <w:rPr>
          <w:b/>
          <w:bCs/>
          <w:iCs/>
          <w:lang w:val="en-US"/>
        </w:rPr>
        <w:t>Alert:</w:t>
      </w:r>
    </w:p>
    <w:p w14:paraId="0AE47650" w14:textId="77777777" w:rsidR="00C91EFA" w:rsidRPr="00293E69" w:rsidRDefault="00C91EFA" w:rsidP="00C91EFA">
      <w:pPr>
        <w:pBdr>
          <w:top w:val="single" w:sz="4" w:space="1" w:color="auto"/>
          <w:left w:val="single" w:sz="4" w:space="4" w:color="auto"/>
          <w:bottom w:val="single" w:sz="4" w:space="1" w:color="auto"/>
          <w:right w:val="single" w:sz="4" w:space="4" w:color="auto"/>
        </w:pBdr>
        <w:rPr>
          <w:iCs/>
          <w:lang w:val="en-US"/>
        </w:rPr>
      </w:pPr>
      <w:r w:rsidRPr="00293E69">
        <w:rPr>
          <w:iCs/>
          <w:lang w:val="en-US"/>
        </w:rPr>
        <w:t xml:space="preserve">All patients with DKA should be monitored in a high dependency unit. The Birth Suite </w:t>
      </w:r>
      <w:r>
        <w:rPr>
          <w:iCs/>
          <w:lang w:val="en-US"/>
        </w:rPr>
        <w:t>o</w:t>
      </w:r>
      <w:r w:rsidRPr="00293E69">
        <w:rPr>
          <w:iCs/>
          <w:lang w:val="en-US"/>
        </w:rPr>
        <w:t>bstetric registrar and Birth Suite Team Leader must be informed immediately of all admissions if the patient is in DKA.</w:t>
      </w:r>
    </w:p>
    <w:p w14:paraId="799B8CBD" w14:textId="77777777" w:rsidR="00C91EFA" w:rsidRDefault="00C91EFA" w:rsidP="00C91EFA">
      <w:pPr>
        <w:rPr>
          <w:rFonts w:cs="Arial"/>
          <w:b/>
          <w:iCs/>
          <w:szCs w:val="24"/>
          <w:lang w:val="en-US"/>
        </w:rPr>
      </w:pPr>
    </w:p>
    <w:p w14:paraId="5F7318E8" w14:textId="77777777" w:rsidR="00C91EFA" w:rsidRDefault="00C91EFA" w:rsidP="00C91EFA">
      <w:pPr>
        <w:rPr>
          <w:rFonts w:cs="Arial"/>
          <w:b/>
          <w:iCs/>
          <w:szCs w:val="24"/>
          <w:lang w:val="en-US"/>
        </w:rPr>
      </w:pPr>
      <w:r w:rsidRPr="00BF122E">
        <w:rPr>
          <w:rFonts w:cs="Arial"/>
          <w:b/>
          <w:iCs/>
          <w:szCs w:val="24"/>
          <w:lang w:val="en-US"/>
        </w:rPr>
        <w:t>Perinatal complications</w:t>
      </w:r>
    </w:p>
    <w:p w14:paraId="5D8F6BFF" w14:textId="77777777" w:rsidR="00C91EFA" w:rsidRDefault="00C91EFA" w:rsidP="00C91EFA">
      <w:pPr>
        <w:rPr>
          <w:rFonts w:cs="Arial"/>
          <w:iCs/>
          <w:szCs w:val="24"/>
          <w:lang w:val="en-US"/>
        </w:rPr>
      </w:pPr>
      <w:r w:rsidRPr="00BF122E">
        <w:rPr>
          <w:rFonts w:cs="Arial"/>
          <w:iCs/>
          <w:szCs w:val="24"/>
          <w:lang w:val="en-US"/>
        </w:rPr>
        <w:t xml:space="preserve">The </w:t>
      </w:r>
      <w:r>
        <w:rPr>
          <w:rFonts w:cs="Arial"/>
          <w:iCs/>
          <w:szCs w:val="24"/>
          <w:lang w:val="en-US"/>
        </w:rPr>
        <w:t>s</w:t>
      </w:r>
      <w:r w:rsidRPr="00BF122E">
        <w:rPr>
          <w:rFonts w:cs="Arial"/>
          <w:iCs/>
          <w:szCs w:val="24"/>
          <w:lang w:val="en-US"/>
        </w:rPr>
        <w:t xml:space="preserve">everity of perinatal complications is dependent upon the severity of </w:t>
      </w:r>
      <w:r>
        <w:rPr>
          <w:rFonts w:cs="Arial"/>
          <w:iCs/>
          <w:szCs w:val="24"/>
          <w:lang w:val="en-US"/>
        </w:rPr>
        <w:t>the patient’s</w:t>
      </w:r>
      <w:r w:rsidRPr="00BF122E">
        <w:rPr>
          <w:rFonts w:cs="Arial"/>
          <w:iCs/>
          <w:szCs w:val="24"/>
          <w:lang w:val="en-US"/>
        </w:rPr>
        <w:t xml:space="preserve"> condition at the time of presentation</w:t>
      </w:r>
      <w:r>
        <w:rPr>
          <w:rFonts w:cs="Arial"/>
          <w:iCs/>
          <w:szCs w:val="24"/>
          <w:lang w:val="en-US"/>
        </w:rPr>
        <w:t xml:space="preserve">, </w:t>
      </w:r>
      <w:r w:rsidRPr="00BF122E">
        <w:rPr>
          <w:rFonts w:cs="Arial"/>
          <w:iCs/>
          <w:szCs w:val="24"/>
          <w:lang w:val="en-US"/>
        </w:rPr>
        <w:t>the gestational age and condition of the fetus prior to onset of the DKA. The reported fetal mortality in recent years has ranged from 10-36%.</w:t>
      </w:r>
      <w:r>
        <w:rPr>
          <w:rFonts w:cs="Arial"/>
          <w:iCs/>
          <w:szCs w:val="24"/>
          <w:lang w:val="en-US"/>
        </w:rPr>
        <w:t xml:space="preserve"> </w:t>
      </w:r>
      <w:r w:rsidRPr="00BF122E">
        <w:rPr>
          <w:rFonts w:cs="Arial"/>
          <w:iCs/>
          <w:szCs w:val="24"/>
          <w:lang w:val="en-US"/>
        </w:rPr>
        <w:t>Perinatal morbidity is high due to preterm delivery, hypoxia and acidosis</w:t>
      </w:r>
      <w:r>
        <w:rPr>
          <w:rFonts w:cs="Arial"/>
          <w:iCs/>
          <w:szCs w:val="24"/>
          <w:lang w:val="en-US"/>
        </w:rPr>
        <w:t>.</w:t>
      </w:r>
    </w:p>
    <w:p w14:paraId="622F0F2B" w14:textId="77777777" w:rsidR="00C91EFA" w:rsidRDefault="00C91EFA" w:rsidP="00C91EFA">
      <w:pPr>
        <w:rPr>
          <w:rFonts w:cs="Arial"/>
          <w:iCs/>
          <w:szCs w:val="24"/>
          <w:lang w:val="en-US"/>
        </w:rPr>
      </w:pPr>
    </w:p>
    <w:p w14:paraId="4265D64A" w14:textId="77777777" w:rsidR="00C91EFA" w:rsidRPr="008F1907" w:rsidRDefault="00C91EFA" w:rsidP="00C91EFA">
      <w:pPr>
        <w:pBdr>
          <w:top w:val="single" w:sz="4" w:space="1" w:color="auto"/>
          <w:left w:val="single" w:sz="4" w:space="4" w:color="auto"/>
          <w:bottom w:val="single" w:sz="4" w:space="1" w:color="auto"/>
          <w:right w:val="single" w:sz="4" w:space="4" w:color="auto"/>
        </w:pBdr>
        <w:rPr>
          <w:b/>
          <w:bCs/>
          <w:iCs/>
          <w:lang w:val="en-US"/>
        </w:rPr>
      </w:pPr>
      <w:r w:rsidRPr="008F1907">
        <w:rPr>
          <w:b/>
          <w:bCs/>
          <w:iCs/>
          <w:lang w:val="en-US"/>
        </w:rPr>
        <w:t>Note:</w:t>
      </w:r>
    </w:p>
    <w:p w14:paraId="57DA9D6A" w14:textId="77777777" w:rsidR="00C91EFA" w:rsidRPr="008F1907" w:rsidRDefault="00C91EFA" w:rsidP="00C91EFA">
      <w:pPr>
        <w:pBdr>
          <w:top w:val="single" w:sz="4" w:space="1" w:color="auto"/>
          <w:left w:val="single" w:sz="4" w:space="4" w:color="auto"/>
          <w:bottom w:val="single" w:sz="4" w:space="1" w:color="auto"/>
          <w:right w:val="single" w:sz="4" w:space="4" w:color="auto"/>
        </w:pBdr>
        <w:rPr>
          <w:iCs/>
          <w:lang w:val="en-US"/>
        </w:rPr>
      </w:pPr>
      <w:r w:rsidRPr="00293E69">
        <w:rPr>
          <w:iCs/>
          <w:lang w:val="en-US"/>
        </w:rPr>
        <w:t xml:space="preserve">DKA on its own is </w:t>
      </w:r>
      <w:r w:rsidRPr="00293E69">
        <w:rPr>
          <w:b/>
          <w:bCs/>
          <w:iCs/>
          <w:lang w:val="en-US"/>
        </w:rPr>
        <w:t>not</w:t>
      </w:r>
      <w:r w:rsidRPr="00293E69">
        <w:rPr>
          <w:iCs/>
          <w:lang w:val="en-US"/>
        </w:rPr>
        <w:t xml:space="preserve"> an indication for urgent delivery. This increases both maternal morbidity and mortality and leads to the delivery of a hypoxic, acidotic and usually preterm neonate</w:t>
      </w:r>
      <w:r w:rsidRPr="00322E9A">
        <w:rPr>
          <w:b/>
          <w:bCs/>
          <w:iCs/>
          <w:lang w:val="en-US"/>
        </w:rPr>
        <w:t>.</w:t>
      </w:r>
    </w:p>
    <w:p w14:paraId="78D5BEC0" w14:textId="77777777" w:rsidR="00C91EFA" w:rsidRDefault="00C91EFA" w:rsidP="00C91EFA">
      <w:pPr>
        <w:rPr>
          <w:rFonts w:cs="Arial"/>
          <w:iCs/>
          <w:szCs w:val="24"/>
          <w:lang w:val="en-US"/>
        </w:rPr>
      </w:pPr>
    </w:p>
    <w:p w14:paraId="3B03C463" w14:textId="77777777" w:rsidR="00C91EFA" w:rsidRPr="00BF122E" w:rsidRDefault="00C91EFA" w:rsidP="00C91EFA">
      <w:pPr>
        <w:rPr>
          <w:rFonts w:cs="Arial"/>
          <w:b/>
          <w:iCs/>
          <w:szCs w:val="24"/>
          <w:lang w:val="en-US"/>
        </w:rPr>
      </w:pPr>
      <w:r w:rsidRPr="00BF122E">
        <w:rPr>
          <w:rFonts w:cs="Arial"/>
          <w:b/>
          <w:iCs/>
          <w:szCs w:val="24"/>
          <w:lang w:val="en-US"/>
        </w:rPr>
        <w:t>Effect of DKA on the fetus</w:t>
      </w:r>
    </w:p>
    <w:p w14:paraId="1A91CE87" w14:textId="77777777" w:rsidR="00C91EFA" w:rsidRPr="00BF122E" w:rsidRDefault="00C91EFA" w:rsidP="00C91EFA">
      <w:pPr>
        <w:rPr>
          <w:rFonts w:cs="Arial"/>
          <w:iCs/>
          <w:szCs w:val="24"/>
          <w:lang w:val="en-US"/>
        </w:rPr>
      </w:pPr>
      <w:r w:rsidRPr="00BF122E">
        <w:rPr>
          <w:rFonts w:cs="Arial"/>
          <w:iCs/>
          <w:szCs w:val="24"/>
          <w:lang w:val="en-US"/>
        </w:rPr>
        <w:t>The mechanism of fetal loss is not clear but believed to be due to:</w:t>
      </w:r>
    </w:p>
    <w:p w14:paraId="66ACCC3C" w14:textId="77777777" w:rsidR="00C91EFA" w:rsidRPr="005836D5" w:rsidRDefault="00C91EFA" w:rsidP="00C91EFA">
      <w:pPr>
        <w:pStyle w:val="ListBullet"/>
        <w:rPr>
          <w:lang w:val="en-US"/>
        </w:rPr>
      </w:pPr>
      <w:r w:rsidRPr="2BC6C1F3">
        <w:rPr>
          <w:lang w:val="en-US"/>
        </w:rPr>
        <w:t>Reduced utero-placental blood perfusion- massive osmotic diuresis and consequent dehydration leads to circulatory volume depletion in the pregnant patient.</w:t>
      </w:r>
    </w:p>
    <w:p w14:paraId="0E2406AC" w14:textId="77777777" w:rsidR="00C91EFA" w:rsidRPr="005836D5" w:rsidRDefault="00C91EFA" w:rsidP="00C91EFA">
      <w:pPr>
        <w:pStyle w:val="ListBullet"/>
        <w:rPr>
          <w:lang w:val="en-US"/>
        </w:rPr>
      </w:pPr>
      <w:r w:rsidRPr="2BC6C1F3">
        <w:rPr>
          <w:lang w:val="en-US"/>
        </w:rPr>
        <w:t>Acidemia reduces placental blood flow with resultant fetal hypoxia.</w:t>
      </w:r>
    </w:p>
    <w:p w14:paraId="1720A50A" w14:textId="77777777" w:rsidR="00C91EFA" w:rsidRPr="005836D5" w:rsidRDefault="00C91EFA" w:rsidP="00C91EFA">
      <w:pPr>
        <w:pStyle w:val="ListBullet"/>
        <w:rPr>
          <w:lang w:val="en-US"/>
        </w:rPr>
      </w:pPr>
      <w:r w:rsidRPr="2BC6C1F3">
        <w:rPr>
          <w:lang w:val="en-US"/>
        </w:rPr>
        <w:t xml:space="preserve">Fetal hyperinsulinemia (from maternal </w:t>
      </w:r>
      <w:proofErr w:type="spellStart"/>
      <w:r w:rsidRPr="2BC6C1F3">
        <w:rPr>
          <w:lang w:val="en-US"/>
        </w:rPr>
        <w:t>hyperglycaemia</w:t>
      </w:r>
      <w:proofErr w:type="spellEnd"/>
      <w:r w:rsidRPr="2BC6C1F3">
        <w:rPr>
          <w:lang w:val="en-US"/>
        </w:rPr>
        <w:t>) leads to increased fetal oxygen requirements further aggravating the fetal hypoxia.</w:t>
      </w:r>
    </w:p>
    <w:p w14:paraId="5A683F15" w14:textId="77777777" w:rsidR="00C91EFA" w:rsidRPr="005836D5" w:rsidRDefault="00C91EFA" w:rsidP="00C91EFA">
      <w:pPr>
        <w:pStyle w:val="ListBullet"/>
        <w:rPr>
          <w:lang w:val="en-US"/>
        </w:rPr>
      </w:pPr>
      <w:r w:rsidRPr="2BC6C1F3">
        <w:rPr>
          <w:lang w:val="en-US"/>
        </w:rPr>
        <w:t>Maternal hypophosphatemia alters metabolism of red blood cell oxygen metabolism. This leads to further fetal hypoxia.</w:t>
      </w:r>
    </w:p>
    <w:p w14:paraId="6C48E949" w14:textId="77777777" w:rsidR="00C91EFA" w:rsidRPr="005836D5" w:rsidRDefault="00C91EFA" w:rsidP="00C91EFA">
      <w:pPr>
        <w:pStyle w:val="ListBullet"/>
        <w:rPr>
          <w:lang w:val="en-US"/>
        </w:rPr>
      </w:pPr>
      <w:r w:rsidRPr="2BC6C1F3">
        <w:rPr>
          <w:lang w:val="en-US"/>
        </w:rPr>
        <w:t>Maternal hypokalemia can potentially cause fetal hypokalemia which can cause fatal cardiac arrhythmias in the fetus.</w:t>
      </w:r>
    </w:p>
    <w:p w14:paraId="442A7B7F" w14:textId="77777777" w:rsidR="00C91EFA" w:rsidRPr="00BF122E" w:rsidRDefault="00C91EFA" w:rsidP="00C91EFA">
      <w:pPr>
        <w:rPr>
          <w:rFonts w:cs="Arial"/>
          <w:iCs/>
          <w:szCs w:val="24"/>
          <w:lang w:val="en-US"/>
        </w:rPr>
      </w:pPr>
    </w:p>
    <w:p w14:paraId="2CD09938" w14:textId="77777777" w:rsidR="00C91EFA" w:rsidRPr="00BF122E" w:rsidRDefault="00C91EFA" w:rsidP="00C91EFA">
      <w:pPr>
        <w:rPr>
          <w:rFonts w:cs="Arial"/>
          <w:b/>
          <w:iCs/>
          <w:szCs w:val="24"/>
          <w:lang w:val="en-US"/>
        </w:rPr>
      </w:pPr>
      <w:r w:rsidRPr="00BF122E">
        <w:rPr>
          <w:rFonts w:cs="Arial"/>
          <w:b/>
          <w:iCs/>
          <w:szCs w:val="24"/>
          <w:lang w:val="en-US"/>
        </w:rPr>
        <w:t>Management of DKA – Fetal monitoring:</w:t>
      </w:r>
    </w:p>
    <w:p w14:paraId="5992CA44" w14:textId="77777777" w:rsidR="00C91EFA" w:rsidRDefault="00C91EFA" w:rsidP="00C91EFA">
      <w:pPr>
        <w:rPr>
          <w:rFonts w:cs="Arial"/>
          <w:iCs/>
          <w:szCs w:val="24"/>
          <w:lang w:val="en-US"/>
        </w:rPr>
      </w:pPr>
      <w:r w:rsidRPr="00BF122E">
        <w:rPr>
          <w:rFonts w:cs="Arial"/>
          <w:iCs/>
          <w:szCs w:val="24"/>
          <w:lang w:val="en-US"/>
        </w:rPr>
        <w:t>The mode and intensity of fetal monitoring will largely be influenced by gestational age at time of DKA and by other pregnancy risk factors and past obstetric history.</w:t>
      </w:r>
    </w:p>
    <w:p w14:paraId="6F667322" w14:textId="77777777" w:rsidR="00C91EFA" w:rsidRPr="00BF122E" w:rsidRDefault="00C91EFA" w:rsidP="00C91EFA">
      <w:pPr>
        <w:pStyle w:val="ListBullet"/>
        <w:rPr>
          <w:lang w:val="en-US"/>
        </w:rPr>
      </w:pPr>
      <w:r w:rsidRPr="2BC6C1F3">
        <w:rPr>
          <w:lang w:val="en-US"/>
        </w:rPr>
        <w:t xml:space="preserve">Decisions regarding the type and intensity of fetal surveillance at gestations under 28 weeks are difficult and should be </w:t>
      </w:r>
      <w:proofErr w:type="spellStart"/>
      <w:r w:rsidRPr="2BC6C1F3">
        <w:rPr>
          <w:lang w:val="en-US"/>
        </w:rPr>
        <w:t>indiviualised</w:t>
      </w:r>
      <w:proofErr w:type="spellEnd"/>
      <w:r w:rsidRPr="2BC6C1F3">
        <w:rPr>
          <w:lang w:val="en-US"/>
        </w:rPr>
        <w:t xml:space="preserve"> and made at a consultant level. </w:t>
      </w:r>
    </w:p>
    <w:p w14:paraId="485BD6C9" w14:textId="77777777" w:rsidR="00C91EFA" w:rsidRPr="00BF122E" w:rsidRDefault="00C91EFA" w:rsidP="00C91EFA">
      <w:pPr>
        <w:pStyle w:val="ListBullet"/>
        <w:rPr>
          <w:lang w:val="en-US"/>
        </w:rPr>
      </w:pPr>
      <w:r w:rsidRPr="2BC6C1F3">
        <w:rPr>
          <w:lang w:val="en-US"/>
        </w:rPr>
        <w:t xml:space="preserve">For gestations over 28 weeks, continuous fetal heart rate monitoring is recommended until the pregnant patient is </w:t>
      </w:r>
      <w:proofErr w:type="spellStart"/>
      <w:r w:rsidRPr="2BC6C1F3">
        <w:rPr>
          <w:lang w:val="en-US"/>
        </w:rPr>
        <w:t>stabilised</w:t>
      </w:r>
      <w:proofErr w:type="spellEnd"/>
      <w:r w:rsidRPr="2BC6C1F3">
        <w:rPr>
          <w:lang w:val="en-US"/>
        </w:rPr>
        <w:t xml:space="preserve"> with correction of metabolic derangements. </w:t>
      </w:r>
    </w:p>
    <w:p w14:paraId="064BCB8B" w14:textId="77777777" w:rsidR="00C91EFA" w:rsidRPr="00BF122E" w:rsidRDefault="00C91EFA" w:rsidP="00C91EFA">
      <w:pPr>
        <w:pStyle w:val="ListBullet"/>
        <w:rPr>
          <w:lang w:val="en-US"/>
        </w:rPr>
      </w:pPr>
      <w:r w:rsidRPr="2BC6C1F3">
        <w:rPr>
          <w:lang w:val="en-US"/>
        </w:rPr>
        <w:t>Consider an ultrasound scan to check fetal well-being, especially in very preterm gestations where CTG (cardiotocograph) is more difficult to interpret and other situations where these findings may help with delivery decisions.</w:t>
      </w:r>
    </w:p>
    <w:p w14:paraId="24CC43E7" w14:textId="77777777" w:rsidR="00C91EFA" w:rsidRDefault="00C91EFA" w:rsidP="00C91EFA">
      <w:pPr>
        <w:pStyle w:val="ListBullet"/>
        <w:rPr>
          <w:lang w:val="en-US"/>
        </w:rPr>
      </w:pPr>
      <w:r w:rsidRPr="2BC6C1F3">
        <w:rPr>
          <w:lang w:val="en-US"/>
        </w:rPr>
        <w:t>The decision to continue the pregnancy or to proceed with delivery in the setting of DKA can be very challenging and should be made at the consultant level. These decisions should consider:</w:t>
      </w:r>
    </w:p>
    <w:p w14:paraId="4B55B56E" w14:textId="77777777" w:rsidR="00C91EFA" w:rsidRPr="00AB3BB2" w:rsidRDefault="00C91EFA" w:rsidP="00C91EFA">
      <w:pPr>
        <w:pStyle w:val="ListBullet"/>
        <w:tabs>
          <w:tab w:val="num" w:pos="1506"/>
        </w:tabs>
        <w:ind w:left="852"/>
        <w:rPr>
          <w:lang w:val="en-US"/>
        </w:rPr>
      </w:pPr>
      <w:r w:rsidRPr="2BC6C1F3">
        <w:rPr>
          <w:lang w:val="en-US"/>
        </w:rPr>
        <w:t>the gestational age of the fetus</w:t>
      </w:r>
    </w:p>
    <w:p w14:paraId="321E25DD" w14:textId="77777777" w:rsidR="00C91EFA" w:rsidRPr="00AB3BB2" w:rsidRDefault="00C91EFA" w:rsidP="00C91EFA">
      <w:pPr>
        <w:pStyle w:val="ListBullet"/>
        <w:tabs>
          <w:tab w:val="num" w:pos="1506"/>
        </w:tabs>
        <w:ind w:left="852"/>
        <w:rPr>
          <w:lang w:val="en-US"/>
        </w:rPr>
      </w:pPr>
      <w:r w:rsidRPr="2BC6C1F3">
        <w:rPr>
          <w:lang w:val="en-US"/>
        </w:rPr>
        <w:t>the patient status and the fetal status</w:t>
      </w:r>
    </w:p>
    <w:p w14:paraId="499F4E26" w14:textId="77777777" w:rsidR="00C91EFA" w:rsidRPr="00AB3BB2" w:rsidRDefault="00C91EFA" w:rsidP="00C91EFA">
      <w:pPr>
        <w:pStyle w:val="ListBullet"/>
        <w:tabs>
          <w:tab w:val="num" w:pos="1506"/>
        </w:tabs>
        <w:ind w:left="852"/>
        <w:rPr>
          <w:lang w:val="en-US"/>
        </w:rPr>
      </w:pPr>
      <w:r w:rsidRPr="2BC6C1F3">
        <w:rPr>
          <w:lang w:val="en-US"/>
        </w:rPr>
        <w:t>the response to treatment</w:t>
      </w:r>
    </w:p>
    <w:p w14:paraId="7F85F0DA" w14:textId="77777777" w:rsidR="00C91EFA" w:rsidRDefault="00C91EFA" w:rsidP="00C91EFA">
      <w:pPr>
        <w:pStyle w:val="ListBullet"/>
        <w:tabs>
          <w:tab w:val="num" w:pos="1506"/>
        </w:tabs>
        <w:ind w:left="852"/>
        <w:rPr>
          <w:lang w:val="en-US"/>
        </w:rPr>
      </w:pPr>
      <w:r w:rsidRPr="2BC6C1F3">
        <w:rPr>
          <w:lang w:val="en-US"/>
        </w:rPr>
        <w:t>the background medical history of co-morbidities and past obstetric history.</w:t>
      </w:r>
    </w:p>
    <w:p w14:paraId="5075CE5C" w14:textId="77777777" w:rsidR="00C91EFA" w:rsidRPr="00AB3BB2" w:rsidRDefault="00C91EFA" w:rsidP="00C91EFA">
      <w:pPr>
        <w:pStyle w:val="ListBullet"/>
        <w:numPr>
          <w:ilvl w:val="0"/>
          <w:numId w:val="0"/>
        </w:numPr>
        <w:ind w:left="852"/>
        <w:rPr>
          <w:lang w:val="en-US"/>
        </w:rPr>
      </w:pPr>
    </w:p>
    <w:bookmarkStart w:id="53" w:name="_Hlk114061054"/>
    <w:p w14:paraId="527A804E" w14:textId="77777777" w:rsidR="00C91EFA" w:rsidRDefault="00C91EFA" w:rsidP="00C91EFA">
      <w:pPr>
        <w:jc w:val="right"/>
        <w:rPr>
          <w:rFonts w:cs="Arial"/>
          <w:i/>
          <w:szCs w:val="24"/>
        </w:rPr>
      </w:pPr>
      <w:r>
        <w:fldChar w:fldCharType="begin"/>
      </w:r>
      <w:r>
        <w:instrText xml:space="preserve"> HYPERLINK \l "Contents" </w:instrText>
      </w:r>
      <w:r>
        <w:fldChar w:fldCharType="separate"/>
      </w:r>
      <w:r w:rsidRPr="00C91F3F">
        <w:rPr>
          <w:rStyle w:val="Hyperlink"/>
          <w:rFonts w:eastAsiaTheme="majorEastAsia" w:cs="Arial"/>
          <w:i/>
          <w:szCs w:val="24"/>
        </w:rPr>
        <w:t>Back to Table of Contents</w:t>
      </w:r>
      <w:r>
        <w:rPr>
          <w:rStyle w:val="Hyperlink"/>
          <w:rFonts w:eastAsiaTheme="majorEastAsia" w:cs="Arial"/>
          <w:i/>
          <w:szCs w:val="24"/>
        </w:rPr>
        <w:fldChar w:fldCharType="end"/>
      </w:r>
      <w:r>
        <w:rPr>
          <w:rFonts w:cs="Arial"/>
          <w:i/>
          <w:szCs w:val="24"/>
        </w:rPr>
        <w:t xml:space="preserve"> </w:t>
      </w:r>
      <w:bookmarkStart w:id="54" w:name="_bookmark12"/>
      <w:bookmarkStart w:id="55" w:name="_bookmark13"/>
      <w:bookmarkStart w:id="56" w:name="_bookmark14"/>
      <w:bookmarkStart w:id="57" w:name="_bookmark15"/>
      <w:bookmarkEnd w:id="54"/>
      <w:bookmarkEnd w:id="55"/>
      <w:bookmarkEnd w:id="56"/>
      <w:bookmarkEnd w:id="57"/>
      <w:r>
        <w:rPr>
          <w:rFonts w:cs="Arial"/>
          <w:i/>
          <w:szCs w:val="24"/>
        </w:rPr>
        <w:t xml:space="preserve"> </w:t>
      </w:r>
    </w:p>
    <w:p w14:paraId="409904DB" w14:textId="77777777" w:rsidR="00C91EFA" w:rsidRPr="00DA3910" w:rsidRDefault="00C91EFA" w:rsidP="00C91EFA">
      <w:pPr>
        <w:jc w:val="right"/>
        <w:rPr>
          <w:rFonts w:cs="Arial"/>
          <w:i/>
          <w:szCs w:val="24"/>
        </w:rPr>
      </w:pPr>
    </w:p>
    <w:tbl>
      <w:tblPr>
        <w:tblpPr w:leftFromText="180" w:rightFromText="180" w:vertAnchor="text" w:horzAnchor="margin" w:tblpY="181"/>
        <w:tblW w:w="9158" w:type="dxa"/>
        <w:tblLook w:val="0000" w:firstRow="0" w:lastRow="0" w:firstColumn="0" w:lastColumn="0" w:noHBand="0" w:noVBand="0"/>
      </w:tblPr>
      <w:tblGrid>
        <w:gridCol w:w="9158"/>
      </w:tblGrid>
      <w:tr w:rsidR="00C91EFA" w:rsidRPr="00CD1C0E" w14:paraId="6D8C64F7" w14:textId="77777777" w:rsidTr="00B3038D">
        <w:trPr>
          <w:cantSplit/>
          <w:trHeight w:val="285"/>
        </w:trPr>
        <w:tc>
          <w:tcPr>
            <w:tcW w:w="9158" w:type="dxa"/>
            <w:shd w:val="clear" w:color="auto" w:fill="D9D9D9" w:themeFill="background1" w:themeFillShade="D9"/>
          </w:tcPr>
          <w:p w14:paraId="495C1B34" w14:textId="77777777" w:rsidR="00C91EFA" w:rsidRPr="003D2D06" w:rsidRDefault="00C91EFA" w:rsidP="00B3038D">
            <w:pPr>
              <w:pStyle w:val="Heading1"/>
            </w:pPr>
            <w:bookmarkStart w:id="58" w:name="_Toc116893344"/>
            <w:bookmarkStart w:id="59" w:name="_Toc126585734"/>
            <w:bookmarkEnd w:id="53"/>
            <w:r>
              <w:rPr>
                <w:color w:val="000000"/>
                <w:sz w:val="27"/>
                <w:szCs w:val="27"/>
              </w:rPr>
              <w:t>Section 11 - Mode and Timing of Birth</w:t>
            </w:r>
            <w:bookmarkEnd w:id="58"/>
            <w:bookmarkEnd w:id="59"/>
          </w:p>
        </w:tc>
      </w:tr>
    </w:tbl>
    <w:p w14:paraId="3E0A5815" w14:textId="77777777" w:rsidR="00C91EFA" w:rsidRDefault="00C91EFA" w:rsidP="00C91EFA">
      <w:pPr>
        <w:rPr>
          <w:b/>
          <w:bCs/>
        </w:rPr>
      </w:pPr>
    </w:p>
    <w:p w14:paraId="2DE1FD50" w14:textId="77777777" w:rsidR="00C91EFA" w:rsidRDefault="00C91EFA" w:rsidP="00C91EFA">
      <w:pPr>
        <w:rPr>
          <w:b/>
          <w:bCs/>
        </w:rPr>
      </w:pPr>
      <w:r>
        <w:rPr>
          <w:b/>
          <w:bCs/>
        </w:rPr>
        <w:t>Key points</w:t>
      </w:r>
    </w:p>
    <w:p w14:paraId="51BFBE2D" w14:textId="77777777" w:rsidR="00C91EFA" w:rsidRDefault="00C91EFA" w:rsidP="00C91EFA">
      <w:pPr>
        <w:pStyle w:val="ListBullet"/>
      </w:pPr>
      <w:r>
        <w:t xml:space="preserve">There is no clear evidence that patients with GDM and a normally grown </w:t>
      </w:r>
      <w:proofErr w:type="spellStart"/>
      <w:r>
        <w:t>fetus</w:t>
      </w:r>
      <w:proofErr w:type="spellEnd"/>
      <w:r>
        <w:t xml:space="preserve"> should have different indications for induction of labour (IOL) than patients without GDM.</w:t>
      </w:r>
    </w:p>
    <w:p w14:paraId="43EFB590" w14:textId="77777777" w:rsidR="00C91EFA" w:rsidRDefault="00C91EFA" w:rsidP="00C91EFA">
      <w:pPr>
        <w:pStyle w:val="ListBullet"/>
      </w:pPr>
      <w:r>
        <w:t>Other pregnancy complications (e.g., pre-eclampsia, growth restriction, obesity) that influence the risk of stillbirth must be considered when counselling patients about expectant management versus induction.</w:t>
      </w:r>
    </w:p>
    <w:p w14:paraId="5E1540C2" w14:textId="77777777" w:rsidR="00C91EFA" w:rsidRDefault="00C91EFA" w:rsidP="00C91EFA">
      <w:pPr>
        <w:pStyle w:val="ListBullet"/>
      </w:pPr>
      <w:r>
        <w:t xml:space="preserve">Birth planning should include consideration of the patient’s preferences as well as a discussion of the potential risks and benefits of induction. </w:t>
      </w:r>
    </w:p>
    <w:p w14:paraId="70623E72" w14:textId="77777777" w:rsidR="00C91EFA" w:rsidRPr="00FF0143" w:rsidRDefault="00C91EFA" w:rsidP="00C91EFA">
      <w:pPr>
        <w:pStyle w:val="ListBullet"/>
      </w:pPr>
      <w:r>
        <w:t xml:space="preserve">Induction of labour is as per the </w:t>
      </w:r>
      <w:r w:rsidRPr="2BC6C1F3">
        <w:rPr>
          <w:i/>
          <w:iCs/>
        </w:rPr>
        <w:t>Induction of Labour Guideline</w:t>
      </w:r>
      <w:r>
        <w:t xml:space="preserve"> (available on the Policy and Guidance Documents Register) and requires completion of the Labour Induction form on the clinical records system. </w:t>
      </w:r>
    </w:p>
    <w:p w14:paraId="040291CE" w14:textId="77777777" w:rsidR="00C91EFA" w:rsidRPr="00810323" w:rsidRDefault="00C91EFA" w:rsidP="00C91EFA">
      <w:pPr>
        <w:rPr>
          <w:i/>
          <w:iCs/>
        </w:rPr>
      </w:pPr>
    </w:p>
    <w:p w14:paraId="71A03F02" w14:textId="77777777" w:rsidR="00C91EFA" w:rsidRDefault="00C91EFA" w:rsidP="00C91EFA">
      <w:pPr>
        <w:rPr>
          <w:b/>
          <w:bCs/>
        </w:rPr>
      </w:pPr>
      <w:r w:rsidRPr="00542EBE">
        <w:rPr>
          <w:b/>
          <w:bCs/>
        </w:rPr>
        <w:t>Mode of birth</w:t>
      </w:r>
    </w:p>
    <w:p w14:paraId="2B9E3241" w14:textId="77777777" w:rsidR="00C91EFA" w:rsidRPr="00542EBE" w:rsidRDefault="00C91EFA" w:rsidP="00C91EFA">
      <w:pPr>
        <w:contextualSpacing/>
        <w:rPr>
          <w:b/>
          <w:bCs/>
        </w:rPr>
      </w:pPr>
      <w:r w:rsidRPr="00C5140A">
        <w:t>The decision on mode of birth is pri</w:t>
      </w:r>
      <w:r>
        <w:t>ma</w:t>
      </w:r>
      <w:r w:rsidRPr="00C5140A">
        <w:t>rily intended to minimise the risk of intrapartum complications associated with the birth of a</w:t>
      </w:r>
      <w:r>
        <w:t xml:space="preserve"> large for gestational age </w:t>
      </w:r>
      <w:r w:rsidRPr="00C5140A">
        <w:t xml:space="preserve">or </w:t>
      </w:r>
      <w:proofErr w:type="spellStart"/>
      <w:r w:rsidRPr="00C5140A">
        <w:t>macrosomic</w:t>
      </w:r>
      <w:proofErr w:type="spellEnd"/>
      <w:r w:rsidRPr="00C5140A">
        <w:t xml:space="preserve"> infant. </w:t>
      </w:r>
    </w:p>
    <w:p w14:paraId="6EFAAB45" w14:textId="77777777" w:rsidR="00C91EFA" w:rsidRDefault="00C91EFA" w:rsidP="00C91EFA"/>
    <w:p w14:paraId="21897718" w14:textId="77777777" w:rsidR="00C91EFA" w:rsidRDefault="00C91EFA" w:rsidP="00C91EFA">
      <w:r>
        <w:t>If fetal weight is estimated at:</w:t>
      </w:r>
    </w:p>
    <w:p w14:paraId="31AAA577" w14:textId="77777777" w:rsidR="00C91EFA" w:rsidRDefault="00C91EFA" w:rsidP="00C91EFA">
      <w:pPr>
        <w:pStyle w:val="ListBullet"/>
      </w:pPr>
      <w:r>
        <w:t>less than 4000g, vaginal birth is usually appropriate</w:t>
      </w:r>
    </w:p>
    <w:p w14:paraId="7A9AA696" w14:textId="77777777" w:rsidR="00C91EFA" w:rsidRDefault="00C91EFA" w:rsidP="00C91EFA">
      <w:pPr>
        <w:pStyle w:val="ListBullet"/>
      </w:pPr>
      <w:r>
        <w:lastRenderedPageBreak/>
        <w:t>4000–4500g, consider other individual factors (e.g., patient stature, obstetric and birth history, previous macrosomia with or without shoulder dystocia, limitations of estimating fetal weight)</w:t>
      </w:r>
    </w:p>
    <w:p w14:paraId="19F5B8F6" w14:textId="77777777" w:rsidR="00C91EFA" w:rsidRPr="003D4D4C" w:rsidRDefault="00C91EFA" w:rsidP="00C91EFA">
      <w:pPr>
        <w:pStyle w:val="ListBullet"/>
      </w:pPr>
      <w:r>
        <w:t>more than 4500g, consider elective lower uterine segment caesarean section (LUSCS).</w:t>
      </w:r>
    </w:p>
    <w:p w14:paraId="02C58193" w14:textId="77777777" w:rsidR="00C91EFA" w:rsidRDefault="00C91EFA" w:rsidP="00C91EFA">
      <w:pPr>
        <w:rPr>
          <w:b/>
          <w:szCs w:val="24"/>
        </w:rPr>
      </w:pPr>
    </w:p>
    <w:p w14:paraId="6E088D76" w14:textId="77777777" w:rsidR="00C91EFA" w:rsidRPr="003D4D4C" w:rsidRDefault="00C91EFA" w:rsidP="00C91EFA">
      <w:pPr>
        <w:rPr>
          <w:szCs w:val="24"/>
        </w:rPr>
      </w:pPr>
      <w:r w:rsidRPr="003D4D4C">
        <w:rPr>
          <w:b/>
          <w:szCs w:val="24"/>
        </w:rPr>
        <w:t>Timing of Birth</w:t>
      </w:r>
    </w:p>
    <w:p w14:paraId="5927D663" w14:textId="77777777" w:rsidR="00C91EFA" w:rsidRDefault="00C91EFA" w:rsidP="00C91EFA">
      <w:pPr>
        <w:rPr>
          <w:b/>
          <w:bCs/>
        </w:rPr>
      </w:pPr>
      <w:r>
        <w:t>The decision on elective birth should be made on an individual basis with consideration of all relevant clinical factors including gestational age, fetal weight and other obstetric factors.</w:t>
      </w:r>
    </w:p>
    <w:p w14:paraId="685881BC" w14:textId="77777777" w:rsidR="00C91EFA" w:rsidRDefault="00C91EFA" w:rsidP="00C91EFA"/>
    <w:p w14:paraId="2675E71C" w14:textId="77777777" w:rsidR="00C91EFA" w:rsidRPr="00980914" w:rsidRDefault="00C91EFA" w:rsidP="00C91EFA">
      <w:r w:rsidRPr="00980914">
        <w:t>Await spontaneous labour for:</w:t>
      </w:r>
    </w:p>
    <w:p w14:paraId="142FE089" w14:textId="77777777" w:rsidR="00C91EFA" w:rsidRDefault="00C91EFA" w:rsidP="00C91EFA">
      <w:pPr>
        <w:pStyle w:val="ListBullet"/>
      </w:pPr>
      <w:r>
        <w:t xml:space="preserve">GDM managed through dietary measures with no fetal macrosomia or other complications </w:t>
      </w:r>
    </w:p>
    <w:p w14:paraId="0BC5A690" w14:textId="77777777" w:rsidR="00C91EFA" w:rsidRPr="00C5140A" w:rsidRDefault="00C91EFA" w:rsidP="00C91EFA">
      <w:pPr>
        <w:pStyle w:val="ListBullet"/>
        <w:rPr>
          <w:b/>
          <w:bCs/>
        </w:rPr>
      </w:pPr>
      <w:r>
        <w:t>birth should occur before 41</w:t>
      </w:r>
      <w:r w:rsidRPr="00D46764">
        <w:rPr>
          <w:vertAlign w:val="superscript"/>
        </w:rPr>
        <w:t>+3</w:t>
      </w:r>
      <w:r>
        <w:t xml:space="preserve"> weeks of pregnancy</w:t>
      </w:r>
    </w:p>
    <w:p w14:paraId="38939E08" w14:textId="77777777" w:rsidR="00C91EFA" w:rsidRDefault="00C91EFA" w:rsidP="00C91EFA"/>
    <w:p w14:paraId="122269D5" w14:textId="77777777" w:rsidR="00C91EFA" w:rsidRPr="00D764AB" w:rsidRDefault="00C91EFA" w:rsidP="00C91EFA">
      <w:r w:rsidRPr="00D764AB">
        <w:t>Induction of Labour at 39-40 weeks</w:t>
      </w:r>
      <w:r>
        <w:t>:</w:t>
      </w:r>
      <w:r w:rsidRPr="00D764AB">
        <w:t xml:space="preserve"> </w:t>
      </w:r>
    </w:p>
    <w:p w14:paraId="4D42CA73" w14:textId="77777777" w:rsidR="00C91EFA" w:rsidRDefault="00C91EFA" w:rsidP="00C91EFA">
      <w:pPr>
        <w:pStyle w:val="ListBullet"/>
      </w:pPr>
      <w:r>
        <w:t>Insulin requiring with optimal BGL control with normal fetal growth and no other complication of pregnancy (e.g., pre-eclampsia/polyhydramnios/reduced fetal movements).</w:t>
      </w:r>
    </w:p>
    <w:p w14:paraId="165D6EDA" w14:textId="77777777" w:rsidR="00C91EFA" w:rsidRDefault="00C91EFA" w:rsidP="00C91EFA">
      <w:pPr>
        <w:rPr>
          <w:b/>
          <w:bCs/>
        </w:rPr>
      </w:pPr>
    </w:p>
    <w:p w14:paraId="19726934" w14:textId="77777777" w:rsidR="00C91EFA" w:rsidRPr="00E03A9F" w:rsidRDefault="00C91EFA" w:rsidP="00C91EFA">
      <w:pPr>
        <w:rPr>
          <w:b/>
          <w:bCs/>
        </w:rPr>
      </w:pPr>
      <w:r w:rsidRPr="00D764AB">
        <w:t>Induction of Labour at 38-39 weeks</w:t>
      </w:r>
      <w:r>
        <w:rPr>
          <w:b/>
          <w:bCs/>
        </w:rPr>
        <w:t xml:space="preserve"> </w:t>
      </w:r>
      <w:r w:rsidRPr="003D4D4C">
        <w:t>(earlier if indicated)</w:t>
      </w:r>
      <w:r>
        <w:t>:</w:t>
      </w:r>
    </w:p>
    <w:p w14:paraId="553AB8B8" w14:textId="77777777" w:rsidR="00C91EFA" w:rsidRDefault="00C91EFA" w:rsidP="00C91EFA">
      <w:pPr>
        <w:pStyle w:val="ListBullet"/>
      </w:pPr>
      <w:r>
        <w:t>insulin requiring with suboptimal BGL control</w:t>
      </w:r>
    </w:p>
    <w:p w14:paraId="48CD59F6" w14:textId="77777777" w:rsidR="00C91EFA" w:rsidRDefault="00C91EFA" w:rsidP="00C91EFA">
      <w:pPr>
        <w:pStyle w:val="ListBullet"/>
      </w:pPr>
      <w:r>
        <w:t>poor glycaemic control at 38+0 weeks</w:t>
      </w:r>
    </w:p>
    <w:p w14:paraId="09011A85" w14:textId="77777777" w:rsidR="00C91EFA" w:rsidRDefault="00C91EFA" w:rsidP="00C91EFA">
      <w:pPr>
        <w:pStyle w:val="ListBullet"/>
      </w:pPr>
      <w:r>
        <w:t>reducing insulin requirements</w:t>
      </w:r>
    </w:p>
    <w:p w14:paraId="0A63263A" w14:textId="77777777" w:rsidR="00C91EFA" w:rsidRDefault="00C91EFA" w:rsidP="00C91EFA">
      <w:pPr>
        <w:pStyle w:val="ListBullet"/>
      </w:pPr>
      <w:r>
        <w:t xml:space="preserve">polyhydramnios or oligohydramnios </w:t>
      </w:r>
    </w:p>
    <w:p w14:paraId="18BE449B" w14:textId="77777777" w:rsidR="00C91EFA" w:rsidRDefault="00C91EFA" w:rsidP="00C91EFA">
      <w:pPr>
        <w:pStyle w:val="ListBullet"/>
      </w:pPr>
      <w:r>
        <w:t xml:space="preserve">macrosomia or growth restriction </w:t>
      </w:r>
    </w:p>
    <w:p w14:paraId="565AB75D" w14:textId="77777777" w:rsidR="00C91EFA" w:rsidRDefault="00C91EFA" w:rsidP="00C91EFA">
      <w:pPr>
        <w:pStyle w:val="ListBullet"/>
      </w:pPr>
      <w:r>
        <w:t xml:space="preserve">increased patient BMI requiring high doses of insulin </w:t>
      </w:r>
    </w:p>
    <w:p w14:paraId="71394871" w14:textId="77777777" w:rsidR="00C91EFA" w:rsidRPr="006A1680" w:rsidRDefault="00C91EFA" w:rsidP="00C91EFA">
      <w:pPr>
        <w:pStyle w:val="ListBullet"/>
        <w:spacing w:after="200" w:line="276" w:lineRule="auto"/>
        <w:rPr>
          <w:b/>
          <w:bCs/>
        </w:rPr>
      </w:pPr>
      <w:r>
        <w:t>development of hypertension / pre-eclampsia.</w:t>
      </w:r>
    </w:p>
    <w:p w14:paraId="3D9D1934" w14:textId="77777777" w:rsidR="00C91EFA" w:rsidRDefault="00C91EFA" w:rsidP="00C91EFA">
      <w:pPr>
        <w:rPr>
          <w:b/>
          <w:bCs/>
        </w:rPr>
      </w:pPr>
      <w:r w:rsidRPr="00C26AB9">
        <w:rPr>
          <w:b/>
          <w:bCs/>
        </w:rPr>
        <w:t xml:space="preserve">Type 1 </w:t>
      </w:r>
      <w:r>
        <w:rPr>
          <w:b/>
          <w:bCs/>
        </w:rPr>
        <w:t>DM</w:t>
      </w:r>
    </w:p>
    <w:p w14:paraId="4EDCA6FF" w14:textId="77777777" w:rsidR="00C91EFA" w:rsidRPr="00C26AB9" w:rsidRDefault="00C91EFA" w:rsidP="00C91EFA">
      <w:pPr>
        <w:rPr>
          <w:rFonts w:cs="Calibri"/>
        </w:rPr>
      </w:pPr>
      <w:r w:rsidRPr="00C27945">
        <w:rPr>
          <w:rFonts w:cs="Calibri"/>
          <w:color w:val="1C1D1E"/>
          <w:shd w:val="clear" w:color="auto" w:fill="FFFFFF"/>
        </w:rPr>
        <w:t xml:space="preserve">The </w:t>
      </w:r>
      <w:r>
        <w:rPr>
          <w:rFonts w:cs="Calibri"/>
          <w:color w:val="1C1D1E"/>
          <w:shd w:val="clear" w:color="auto" w:fill="FFFFFF"/>
        </w:rPr>
        <w:t xml:space="preserve">risk rating for </w:t>
      </w:r>
      <w:r w:rsidRPr="00C27945">
        <w:rPr>
          <w:rFonts w:cs="Calibri"/>
          <w:color w:val="1C1D1E"/>
          <w:shd w:val="clear" w:color="auto" w:fill="FFFFFF"/>
        </w:rPr>
        <w:t xml:space="preserve">stillbirth in </w:t>
      </w:r>
      <w:r>
        <w:rPr>
          <w:rFonts w:cs="Calibri"/>
          <w:color w:val="1C1D1E"/>
          <w:shd w:val="clear" w:color="auto" w:fill="FFFFFF"/>
        </w:rPr>
        <w:t>patients</w:t>
      </w:r>
      <w:r w:rsidRPr="00C27945">
        <w:rPr>
          <w:rFonts w:cs="Calibri"/>
          <w:color w:val="1C1D1E"/>
          <w:shd w:val="clear" w:color="auto" w:fill="FFFFFF"/>
        </w:rPr>
        <w:t xml:space="preserve"> with pre-existing diabetes after 39 weeks gestation compared to other </w:t>
      </w:r>
      <w:r>
        <w:rPr>
          <w:rFonts w:cs="Calibri"/>
          <w:color w:val="1C1D1E"/>
          <w:shd w:val="clear" w:color="auto" w:fill="FFFFFF"/>
        </w:rPr>
        <w:t>patients</w:t>
      </w:r>
      <w:r w:rsidRPr="00C27945">
        <w:rPr>
          <w:rFonts w:cs="Calibri"/>
          <w:color w:val="1C1D1E"/>
          <w:shd w:val="clear" w:color="auto" w:fill="FFFFFF"/>
        </w:rPr>
        <w:t xml:space="preserve"> is 7.2 (95% CI 1.31–39.63)</w:t>
      </w:r>
      <w:r>
        <w:t>, th</w:t>
      </w:r>
      <w:r w:rsidRPr="00C26AB9">
        <w:rPr>
          <w:rFonts w:cs="Calibri"/>
          <w:color w:val="1C1D1E"/>
          <w:shd w:val="clear" w:color="auto" w:fill="FFFFFF"/>
        </w:rPr>
        <w:t xml:space="preserve">erefore </w:t>
      </w:r>
      <w:r>
        <w:rPr>
          <w:rFonts w:cs="Calibri"/>
          <w:color w:val="1C1D1E"/>
          <w:shd w:val="clear" w:color="auto" w:fill="FFFFFF"/>
        </w:rPr>
        <w:t>patients</w:t>
      </w:r>
      <w:r w:rsidRPr="00C26AB9">
        <w:rPr>
          <w:rFonts w:cs="Calibri"/>
          <w:color w:val="1C1D1E"/>
          <w:shd w:val="clear" w:color="auto" w:fill="FFFFFF"/>
        </w:rPr>
        <w:t xml:space="preserve"> with pre-existing </w:t>
      </w:r>
      <w:r>
        <w:rPr>
          <w:rFonts w:cs="Calibri"/>
          <w:color w:val="1C1D1E"/>
          <w:shd w:val="clear" w:color="auto" w:fill="FFFFFF"/>
        </w:rPr>
        <w:t>T1DM</w:t>
      </w:r>
      <w:r w:rsidRPr="00C26AB9">
        <w:rPr>
          <w:rFonts w:cs="Calibri"/>
          <w:color w:val="1C1D1E"/>
          <w:shd w:val="clear" w:color="auto" w:fill="FFFFFF"/>
        </w:rPr>
        <w:t xml:space="preserve"> should be advised to give birth by the end of 38 completed weeks gestation</w:t>
      </w:r>
      <w:r>
        <w:rPr>
          <w:rFonts w:cs="Calibri"/>
          <w:color w:val="1C1D1E"/>
          <w:shd w:val="clear" w:color="auto" w:fill="FFFFFF"/>
        </w:rPr>
        <w:t>. T</w:t>
      </w:r>
      <w:r w:rsidRPr="00C26AB9">
        <w:rPr>
          <w:rFonts w:cs="Calibri"/>
          <w:color w:val="1C1D1E"/>
          <w:shd w:val="clear" w:color="auto" w:fill="FFFFFF"/>
        </w:rPr>
        <w:t xml:space="preserve">he presence of </w:t>
      </w:r>
      <w:r>
        <w:rPr>
          <w:rFonts w:cs="Calibri"/>
          <w:color w:val="1C1D1E"/>
          <w:shd w:val="clear" w:color="auto" w:fill="FFFFFF"/>
        </w:rPr>
        <w:t xml:space="preserve">other clinical factors such as </w:t>
      </w:r>
      <w:r w:rsidRPr="00C26AB9">
        <w:rPr>
          <w:rFonts w:cs="Calibri"/>
          <w:color w:val="1C1D1E"/>
          <w:shd w:val="clear" w:color="auto" w:fill="FFFFFF"/>
        </w:rPr>
        <w:t xml:space="preserve">fetal macrosomia, glycaemic levels and any other </w:t>
      </w:r>
      <w:r>
        <w:rPr>
          <w:rFonts w:cs="Calibri"/>
          <w:color w:val="1C1D1E"/>
          <w:shd w:val="clear" w:color="auto" w:fill="FFFFFF"/>
        </w:rPr>
        <w:t>pregnancy complications may indicate need for birth prior to 38 weeks.</w:t>
      </w:r>
      <w:r>
        <w:rPr>
          <w:rFonts w:cs="Calibri"/>
          <w:color w:val="1C1D1E"/>
          <w:shd w:val="clear" w:color="auto" w:fill="FFFFFF"/>
          <w:vertAlign w:val="superscript"/>
        </w:rPr>
        <w:t>2</w:t>
      </w:r>
      <w:r w:rsidRPr="00C26AB9">
        <w:rPr>
          <w:rFonts w:cs="Calibri"/>
          <w:color w:val="1C1D1E"/>
          <w:shd w:val="clear" w:color="auto" w:fill="FFFFFF"/>
        </w:rPr>
        <w:t> </w:t>
      </w:r>
    </w:p>
    <w:p w14:paraId="01FF6CF1" w14:textId="77777777" w:rsidR="00C91EFA" w:rsidRDefault="00C91EFA" w:rsidP="00C91EFA"/>
    <w:p w14:paraId="3F030708" w14:textId="77777777" w:rsidR="00C91EFA" w:rsidRDefault="00C91EFA" w:rsidP="00C91EFA">
      <w:r w:rsidRPr="00517819">
        <w:t xml:space="preserve">During pregnancy, the endocrine team will </w:t>
      </w:r>
      <w:r>
        <w:t>determine a</w:t>
      </w:r>
      <w:r w:rsidRPr="00517819">
        <w:t xml:space="preserve"> plan for </w:t>
      </w:r>
      <w:r>
        <w:t xml:space="preserve">intrapartum </w:t>
      </w:r>
      <w:r w:rsidRPr="00517819">
        <w:t>insulin management</w:t>
      </w:r>
      <w:r>
        <w:t>. This plan will be documented in the patient’s clinical record</w:t>
      </w:r>
      <w:r w:rsidRPr="00517819">
        <w:t>.</w:t>
      </w:r>
      <w:r>
        <w:t xml:space="preserve"> </w:t>
      </w:r>
      <w:r w:rsidRPr="00517819">
        <w:t xml:space="preserve">If a plan is unavailable at time of labour contact the endocrine registrar (or endocrine consultant after hours) to discuss </w:t>
      </w:r>
      <w:r>
        <w:t xml:space="preserve">perinatal </w:t>
      </w:r>
      <w:r w:rsidRPr="00517819">
        <w:t>management of diabetes.</w:t>
      </w:r>
    </w:p>
    <w:p w14:paraId="7231A18F" w14:textId="77777777" w:rsidR="00C91EFA" w:rsidRDefault="00C91EFA" w:rsidP="00C91EFA"/>
    <w:p w14:paraId="750FF21E" w14:textId="77777777" w:rsidR="00C91EFA" w:rsidRDefault="00C91EFA" w:rsidP="00C91EFA">
      <w:pPr>
        <w:pStyle w:val="BodyText"/>
        <w:rPr>
          <w:rFonts w:ascii="Calibri" w:eastAsia="Times New Roman" w:hAnsi="Calibri" w:cs="Times New Roman"/>
          <w:szCs w:val="20"/>
          <w:lang w:val="en-AU"/>
        </w:rPr>
      </w:pPr>
      <w:r w:rsidRPr="009610CA">
        <w:rPr>
          <w:rFonts w:ascii="Calibri" w:hAnsi="Calibri" w:cs="Calibri"/>
        </w:rPr>
        <w:t xml:space="preserve">Please refer to the ADIPS weblink for further information on Type 1 Diabetes and Type 2 Diabetes: Management During Birth. </w:t>
      </w:r>
      <w:hyperlink r:id="rId18" w:history="1">
        <w:r w:rsidRPr="009610CA">
          <w:rPr>
            <w:rFonts w:ascii="Calibri" w:eastAsia="Times New Roman" w:hAnsi="Calibri" w:cs="Times New Roman"/>
            <w:color w:val="0000FF"/>
            <w:szCs w:val="20"/>
            <w:u w:val="single"/>
            <w:lang w:val="en-AU"/>
          </w:rPr>
          <w:t>ADIPS - Information for Health Care Providers</w:t>
        </w:r>
      </w:hyperlink>
    </w:p>
    <w:p w14:paraId="7FC85CCF" w14:textId="77777777" w:rsidR="00C91EFA" w:rsidRDefault="00C91EFA" w:rsidP="00C91EFA"/>
    <w:p w14:paraId="449D7167" w14:textId="77777777" w:rsidR="00C91EFA" w:rsidRDefault="00C91EFA" w:rsidP="00C91EFA">
      <w:pPr>
        <w:jc w:val="right"/>
      </w:pPr>
      <w:hyperlink w:anchor="Contents" w:history="1">
        <w:r w:rsidRPr="00C91F3F">
          <w:rPr>
            <w:rStyle w:val="Hyperlink"/>
            <w:rFonts w:eastAsiaTheme="majorEastAsia" w:cs="Arial"/>
            <w:i/>
            <w:szCs w:val="24"/>
          </w:rPr>
          <w:t>Back to Table of Contents</w:t>
        </w:r>
      </w:hyperlink>
      <w:r>
        <w:rPr>
          <w:rFonts w:cs="Arial"/>
          <w:i/>
          <w:szCs w:val="24"/>
        </w:rPr>
        <w:t xml:space="preserve">  </w:t>
      </w:r>
      <w:r>
        <w:tab/>
      </w:r>
    </w:p>
    <w:tbl>
      <w:tblPr>
        <w:tblpPr w:leftFromText="180" w:rightFromText="180" w:vertAnchor="text" w:horzAnchor="margin" w:tblpY="181"/>
        <w:tblW w:w="9158" w:type="dxa"/>
        <w:tblLook w:val="0000" w:firstRow="0" w:lastRow="0" w:firstColumn="0" w:lastColumn="0" w:noHBand="0" w:noVBand="0"/>
      </w:tblPr>
      <w:tblGrid>
        <w:gridCol w:w="9158"/>
      </w:tblGrid>
      <w:tr w:rsidR="00C91EFA" w:rsidRPr="003D2D06" w14:paraId="1107819E" w14:textId="77777777" w:rsidTr="00B3038D">
        <w:trPr>
          <w:cantSplit/>
          <w:trHeight w:val="285"/>
        </w:trPr>
        <w:tc>
          <w:tcPr>
            <w:tcW w:w="9158" w:type="dxa"/>
            <w:shd w:val="clear" w:color="auto" w:fill="D9D9D9" w:themeFill="background1" w:themeFillShade="D9"/>
          </w:tcPr>
          <w:p w14:paraId="67144E2A" w14:textId="77777777" w:rsidR="00C91EFA" w:rsidRPr="003C5A81" w:rsidRDefault="00C91EFA" w:rsidP="00B3038D">
            <w:pPr>
              <w:pStyle w:val="Heading1"/>
              <w:rPr>
                <w:sz w:val="27"/>
                <w:szCs w:val="27"/>
              </w:rPr>
            </w:pPr>
            <w:bookmarkStart w:id="60" w:name="_Toc126585735"/>
            <w:bookmarkStart w:id="61" w:name="_Toc116893345"/>
            <w:r w:rsidRPr="003C5A81">
              <w:rPr>
                <w:color w:val="000000"/>
                <w:sz w:val="27"/>
                <w:szCs w:val="27"/>
              </w:rPr>
              <w:lastRenderedPageBreak/>
              <w:t>Section 1</w:t>
            </w:r>
            <w:r>
              <w:rPr>
                <w:color w:val="000000"/>
                <w:sz w:val="27"/>
                <w:szCs w:val="27"/>
              </w:rPr>
              <w:t>2 -</w:t>
            </w:r>
            <w:r w:rsidRPr="003C5A81">
              <w:rPr>
                <w:color w:val="000000"/>
                <w:sz w:val="27"/>
                <w:szCs w:val="27"/>
              </w:rPr>
              <w:t xml:space="preserve"> </w:t>
            </w:r>
            <w:bookmarkStart w:id="62" w:name="_Hlk125720454"/>
            <w:r w:rsidRPr="003C5A81">
              <w:rPr>
                <w:color w:val="000000"/>
                <w:sz w:val="27"/>
                <w:szCs w:val="27"/>
              </w:rPr>
              <w:t xml:space="preserve">Insulin </w:t>
            </w:r>
            <w:r>
              <w:rPr>
                <w:color w:val="000000"/>
                <w:sz w:val="27"/>
                <w:szCs w:val="27"/>
              </w:rPr>
              <w:t>i</w:t>
            </w:r>
            <w:r w:rsidRPr="003C5A81">
              <w:rPr>
                <w:color w:val="000000"/>
                <w:sz w:val="27"/>
                <w:szCs w:val="27"/>
              </w:rPr>
              <w:t>nfusion for birth</w:t>
            </w:r>
            <w:r>
              <w:rPr>
                <w:color w:val="000000"/>
                <w:sz w:val="27"/>
                <w:szCs w:val="27"/>
              </w:rPr>
              <w:t xml:space="preserve"> </w:t>
            </w:r>
            <w:bookmarkEnd w:id="62"/>
            <w:r>
              <w:rPr>
                <w:color w:val="000000"/>
                <w:sz w:val="27"/>
                <w:szCs w:val="27"/>
              </w:rPr>
              <w:t>and postpartum</w:t>
            </w:r>
            <w:bookmarkEnd w:id="60"/>
            <w:r w:rsidRPr="003C5A81">
              <w:rPr>
                <w:color w:val="000000"/>
                <w:sz w:val="27"/>
                <w:szCs w:val="27"/>
              </w:rPr>
              <w:t xml:space="preserve"> </w:t>
            </w:r>
            <w:bookmarkEnd w:id="61"/>
          </w:p>
        </w:tc>
      </w:tr>
    </w:tbl>
    <w:p w14:paraId="68045480" w14:textId="77777777" w:rsidR="00C91EFA" w:rsidRDefault="00C91EFA" w:rsidP="00C91EFA">
      <w:pPr>
        <w:rPr>
          <w:b/>
          <w:bCs/>
        </w:rPr>
      </w:pPr>
      <w:r w:rsidRPr="00517819">
        <w:rPr>
          <w:b/>
          <w:bCs/>
        </w:rPr>
        <w:t>Indications for insulin and glucose infusion</w:t>
      </w:r>
    </w:p>
    <w:p w14:paraId="092AA4FE" w14:textId="77777777" w:rsidR="00C91EFA" w:rsidRPr="00517819" w:rsidRDefault="00C91EFA" w:rsidP="00C91EFA">
      <w:r>
        <w:t>Indications for insulin and glucose infusion include patients with:</w:t>
      </w:r>
    </w:p>
    <w:p w14:paraId="44086CBB" w14:textId="77777777" w:rsidR="00C91EFA" w:rsidRDefault="00C91EFA" w:rsidP="00C91EFA">
      <w:pPr>
        <w:pStyle w:val="ListBullet"/>
      </w:pPr>
      <w:r>
        <w:t xml:space="preserve">Type 1 DM </w:t>
      </w:r>
    </w:p>
    <w:p w14:paraId="12400E37" w14:textId="77777777" w:rsidR="00C91EFA" w:rsidRPr="00517819" w:rsidRDefault="00C91EFA" w:rsidP="00C91EFA">
      <w:pPr>
        <w:pStyle w:val="ListBullet"/>
      </w:pPr>
      <w:r>
        <w:t>Type 2 DM requiring insulin</w:t>
      </w:r>
    </w:p>
    <w:p w14:paraId="3E6E0403" w14:textId="77777777" w:rsidR="00C91EFA" w:rsidRDefault="00C91EFA" w:rsidP="00C91EFA">
      <w:pPr>
        <w:pStyle w:val="ListBullet"/>
      </w:pPr>
      <w:r>
        <w:t>Insulin Requiring Gestational Diabetes Mellitus (IRDGM) and unstable BGL as ordered by the endocrine team.</w:t>
      </w:r>
    </w:p>
    <w:p w14:paraId="1D9CAB21" w14:textId="77777777" w:rsidR="00C91EFA" w:rsidRDefault="00C91EFA" w:rsidP="00C91EFA">
      <w:pPr>
        <w:pStyle w:val="ListParagraph"/>
        <w:ind w:left="643"/>
      </w:pPr>
    </w:p>
    <w:p w14:paraId="1E5DC1C5" w14:textId="77777777" w:rsidR="00C91EFA" w:rsidRPr="00B87498" w:rsidRDefault="00C91EFA" w:rsidP="00C91EFA">
      <w:r>
        <w:rPr>
          <w:rFonts w:cs="Arial"/>
          <w:b/>
          <w:bCs/>
          <w:iCs/>
          <w:szCs w:val="24"/>
        </w:rPr>
        <w:t>Patients with Type 1 DM using</w:t>
      </w:r>
      <w:r w:rsidRPr="00B87498">
        <w:rPr>
          <w:rFonts w:cs="Arial"/>
          <w:b/>
          <w:bCs/>
          <w:iCs/>
          <w:szCs w:val="24"/>
        </w:rPr>
        <w:t xml:space="preserve"> subcutaneous insulin pump therapy</w:t>
      </w:r>
    </w:p>
    <w:p w14:paraId="0DDF5F90" w14:textId="77777777" w:rsidR="00C91EFA" w:rsidRDefault="00C91EFA" w:rsidP="00C91EFA">
      <w:pPr>
        <w:pStyle w:val="ListBullet"/>
      </w:pPr>
      <w:r>
        <w:t>Subcutaneous insulin pumps can be used during labour in consultation with the endocrine team as per the plan in the patient’s clinical record.</w:t>
      </w:r>
    </w:p>
    <w:p w14:paraId="4D61C53E" w14:textId="77777777" w:rsidR="00C91EFA" w:rsidRPr="00B87498" w:rsidRDefault="00C91EFA" w:rsidP="00C91EFA">
      <w:pPr>
        <w:pStyle w:val="ListBullet"/>
      </w:pPr>
      <w:r>
        <w:t xml:space="preserve">If there is no consultation prior to labour, patients on subcutaneous insulin pumps will be required to cease subcutaneous insulin therapy and commence insulin infusion. </w:t>
      </w:r>
    </w:p>
    <w:p w14:paraId="3AD8C2A0" w14:textId="77777777" w:rsidR="00C91EFA" w:rsidRDefault="00C91EFA" w:rsidP="00C91EFA">
      <w:pPr>
        <w:rPr>
          <w:rFonts w:cs="Arial"/>
          <w:b/>
          <w:bCs/>
          <w:iCs/>
          <w:szCs w:val="24"/>
        </w:rPr>
      </w:pPr>
    </w:p>
    <w:p w14:paraId="28AF4B91" w14:textId="77777777" w:rsidR="00C91EFA" w:rsidRPr="008F1907" w:rsidRDefault="00C91EFA" w:rsidP="00C91EFA">
      <w:pPr>
        <w:pBdr>
          <w:top w:val="single" w:sz="4" w:space="1" w:color="auto"/>
          <w:left w:val="single" w:sz="4" w:space="4" w:color="auto"/>
          <w:bottom w:val="single" w:sz="4" w:space="1" w:color="auto"/>
          <w:right w:val="single" w:sz="4" w:space="4" w:color="auto"/>
        </w:pBdr>
        <w:rPr>
          <w:rFonts w:cs="Arial"/>
          <w:b/>
          <w:bCs/>
          <w:iCs/>
          <w:szCs w:val="24"/>
        </w:rPr>
      </w:pPr>
      <w:r w:rsidRPr="008F1907">
        <w:rPr>
          <w:rFonts w:cs="Arial"/>
          <w:b/>
          <w:bCs/>
          <w:iCs/>
          <w:szCs w:val="24"/>
        </w:rPr>
        <w:t xml:space="preserve">Alert: </w:t>
      </w:r>
    </w:p>
    <w:p w14:paraId="67F2D28A" w14:textId="77777777" w:rsidR="00C91EFA" w:rsidRPr="00293E69" w:rsidRDefault="00C91EFA" w:rsidP="00C91EFA">
      <w:pPr>
        <w:pBdr>
          <w:top w:val="single" w:sz="4" w:space="1" w:color="auto"/>
          <w:left w:val="single" w:sz="4" w:space="4" w:color="auto"/>
          <w:bottom w:val="single" w:sz="4" w:space="1" w:color="auto"/>
          <w:right w:val="single" w:sz="4" w:space="4" w:color="auto"/>
        </w:pBdr>
        <w:rPr>
          <w:rFonts w:cs="Arial"/>
          <w:iCs/>
          <w:szCs w:val="24"/>
        </w:rPr>
      </w:pPr>
      <w:r w:rsidRPr="00293E69">
        <w:rPr>
          <w:rFonts w:cs="Arial"/>
          <w:iCs/>
          <w:szCs w:val="24"/>
        </w:rPr>
        <w:t>If an insulin infusion tissues, replace IV cannula as a matter of urgency. The half-life of intravenous insulin is 5 minutes therefore cessation of insulin infusion makes the patients immediately insulin deficient and at risk of ketoacidosis.</w:t>
      </w:r>
    </w:p>
    <w:p w14:paraId="6983E24E" w14:textId="77777777" w:rsidR="00C91EFA" w:rsidRDefault="00C91EFA" w:rsidP="00C91EFA">
      <w:pPr>
        <w:rPr>
          <w:rFonts w:cs="Arial"/>
          <w:b/>
          <w:bCs/>
          <w:iCs/>
          <w:szCs w:val="24"/>
        </w:rPr>
      </w:pPr>
    </w:p>
    <w:p w14:paraId="038DB2F1" w14:textId="77777777" w:rsidR="00C91EFA" w:rsidRDefault="00C91EFA" w:rsidP="00C91EFA">
      <w:pPr>
        <w:rPr>
          <w:rFonts w:cs="Arial"/>
          <w:b/>
          <w:bCs/>
          <w:iCs/>
          <w:szCs w:val="24"/>
        </w:rPr>
      </w:pPr>
      <w:r w:rsidRPr="00517819">
        <w:rPr>
          <w:rFonts w:cs="Arial"/>
          <w:b/>
          <w:bCs/>
          <w:iCs/>
          <w:szCs w:val="24"/>
        </w:rPr>
        <w:t xml:space="preserve">Management of </w:t>
      </w:r>
      <w:r>
        <w:rPr>
          <w:rFonts w:cs="Arial"/>
          <w:b/>
          <w:bCs/>
          <w:iCs/>
          <w:szCs w:val="24"/>
        </w:rPr>
        <w:t>patients</w:t>
      </w:r>
      <w:r w:rsidRPr="00517819">
        <w:rPr>
          <w:rFonts w:cs="Arial"/>
          <w:b/>
          <w:bCs/>
          <w:iCs/>
          <w:szCs w:val="24"/>
        </w:rPr>
        <w:t xml:space="preserve"> having an </w:t>
      </w:r>
      <w:r>
        <w:rPr>
          <w:rFonts w:cs="Arial"/>
          <w:b/>
          <w:bCs/>
          <w:iCs/>
          <w:szCs w:val="24"/>
        </w:rPr>
        <w:t xml:space="preserve">IOL </w:t>
      </w:r>
      <w:r w:rsidRPr="00517819">
        <w:rPr>
          <w:rFonts w:cs="Arial"/>
          <w:b/>
          <w:bCs/>
          <w:iCs/>
          <w:szCs w:val="24"/>
        </w:rPr>
        <w:t>and requiring insulin infusion</w:t>
      </w:r>
    </w:p>
    <w:p w14:paraId="6E166A8A" w14:textId="77777777" w:rsidR="00C91EFA" w:rsidRPr="00E62CEE" w:rsidRDefault="00C91EFA" w:rsidP="00C91EFA">
      <w:pPr>
        <w:pStyle w:val="ListBullet"/>
        <w:rPr>
          <w:b/>
          <w:bCs/>
        </w:rPr>
      </w:pPr>
      <w:r>
        <w:t>Continue the patient’s usual insulin regime during early IOL processes.</w:t>
      </w:r>
    </w:p>
    <w:p w14:paraId="6D0229AA" w14:textId="77777777" w:rsidR="00C91EFA" w:rsidRPr="00517819" w:rsidRDefault="00C91EFA" w:rsidP="00C91EFA">
      <w:pPr>
        <w:pStyle w:val="ListBullet"/>
        <w:rPr>
          <w:b/>
          <w:bCs/>
        </w:rPr>
      </w:pPr>
      <w:r>
        <w:t>Commence induction of labour preferably between 09:00 and 10:00 hours.</w:t>
      </w:r>
    </w:p>
    <w:p w14:paraId="07055094" w14:textId="77777777" w:rsidR="00C91EFA" w:rsidRDefault="00C91EFA" w:rsidP="00C91EFA">
      <w:pPr>
        <w:pStyle w:val="ListBullet"/>
      </w:pPr>
      <w:r>
        <w:t>Administer half of the usual morning subcutaneous insulin dose (if the patient is on insulin).</w:t>
      </w:r>
    </w:p>
    <w:p w14:paraId="71F0EDF1" w14:textId="77777777" w:rsidR="00C91EFA" w:rsidRPr="00517819" w:rsidRDefault="00C91EFA" w:rsidP="00C91EFA">
      <w:pPr>
        <w:pStyle w:val="ListBullet"/>
      </w:pPr>
      <w:r>
        <w:t>Ensure the patient consumes a light meal/breakfast.</w:t>
      </w:r>
    </w:p>
    <w:p w14:paraId="42E52EE3" w14:textId="77777777" w:rsidR="00C91EFA" w:rsidRDefault="00C91EFA" w:rsidP="00C91EFA">
      <w:pPr>
        <w:pStyle w:val="ListBullet"/>
      </w:pPr>
      <w:r>
        <w:t>Insulin infusion requires a separate cannula.</w:t>
      </w:r>
    </w:p>
    <w:p w14:paraId="6D448983" w14:textId="77777777" w:rsidR="00C91EFA" w:rsidRPr="006C19F7" w:rsidRDefault="00C91EFA" w:rsidP="00C91EFA">
      <w:pPr>
        <w:pStyle w:val="ListBullet"/>
        <w:rPr>
          <w:rFonts w:asciiTheme="minorHAnsi" w:hAnsiTheme="minorHAnsi"/>
          <w:b/>
          <w:bCs/>
          <w:lang w:val="en-US"/>
        </w:rPr>
      </w:pPr>
      <w:r>
        <w:t xml:space="preserve">Target </w:t>
      </w:r>
      <w:proofErr w:type="spellStart"/>
      <w:r>
        <w:t>cBGL</w:t>
      </w:r>
      <w:proofErr w:type="spellEnd"/>
      <w:r>
        <w:t xml:space="preserve"> via insulin adjustments unless the patient is hypoglycaemic.</w:t>
      </w:r>
    </w:p>
    <w:p w14:paraId="795C58A1" w14:textId="77777777" w:rsidR="00C91EFA" w:rsidRPr="00B87498" w:rsidRDefault="00C91EFA" w:rsidP="00C91EFA">
      <w:pPr>
        <w:pStyle w:val="ListBullet"/>
        <w:rPr>
          <w:rFonts w:asciiTheme="minorHAnsi" w:hAnsiTheme="minorHAnsi"/>
          <w:b/>
          <w:bCs/>
          <w:lang w:val="en-US"/>
        </w:rPr>
      </w:pPr>
      <w:r>
        <w:t>Insulin infusion and related fluids are to be charted/prescribed via the clinical record system’s “order set” Insulin (ACTRAPID) infusion – labour and birth.</w:t>
      </w:r>
    </w:p>
    <w:p w14:paraId="66C10402" w14:textId="77777777" w:rsidR="00C91EFA" w:rsidRPr="00B87498" w:rsidRDefault="00C91EFA" w:rsidP="00C91EFA">
      <w:pPr>
        <w:pStyle w:val="ListParagraph"/>
        <w:tabs>
          <w:tab w:val="left" w:pos="360"/>
        </w:tabs>
        <w:ind w:left="780"/>
        <w:rPr>
          <w:rFonts w:asciiTheme="minorHAnsi" w:hAnsiTheme="minorHAnsi"/>
          <w:b/>
          <w:bCs/>
          <w:szCs w:val="24"/>
          <w:lang w:val="en-US"/>
        </w:rPr>
      </w:pPr>
    </w:p>
    <w:p w14:paraId="15C3B3BF" w14:textId="77777777" w:rsidR="00C91EFA" w:rsidRPr="00244626" w:rsidRDefault="00C91EFA" w:rsidP="00C91EFA">
      <w:pPr>
        <w:pBdr>
          <w:top w:val="single" w:sz="4" w:space="1" w:color="auto"/>
          <w:left w:val="single" w:sz="4" w:space="4" w:color="auto"/>
          <w:bottom w:val="single" w:sz="4" w:space="1" w:color="auto"/>
          <w:right w:val="single" w:sz="4" w:space="4" w:color="auto"/>
        </w:pBdr>
        <w:rPr>
          <w:rFonts w:asciiTheme="minorHAnsi" w:hAnsiTheme="minorHAnsi"/>
          <w:b/>
          <w:bCs/>
        </w:rPr>
      </w:pPr>
      <w:r w:rsidRPr="00244626">
        <w:rPr>
          <w:rFonts w:asciiTheme="minorHAnsi" w:hAnsiTheme="minorHAnsi"/>
          <w:b/>
          <w:bCs/>
        </w:rPr>
        <w:t>Note:</w:t>
      </w:r>
    </w:p>
    <w:p w14:paraId="0FD352E6" w14:textId="77777777" w:rsidR="00C91EFA" w:rsidRPr="00244626" w:rsidRDefault="00C91EFA" w:rsidP="00C91EFA">
      <w:pPr>
        <w:pBdr>
          <w:top w:val="single" w:sz="4" w:space="1" w:color="auto"/>
          <w:left w:val="single" w:sz="4" w:space="4" w:color="auto"/>
          <w:bottom w:val="single" w:sz="4" w:space="1" w:color="auto"/>
          <w:right w:val="single" w:sz="4" w:space="4" w:color="auto"/>
        </w:pBdr>
        <w:rPr>
          <w:rFonts w:asciiTheme="minorHAnsi" w:hAnsiTheme="minorHAnsi"/>
        </w:rPr>
      </w:pPr>
      <w:r w:rsidRPr="00244626">
        <w:rPr>
          <w:rFonts w:asciiTheme="minorHAnsi" w:hAnsiTheme="minorHAnsi"/>
        </w:rPr>
        <w:t>All lines and infusions must be labelled according to National Standard for User-applied Labelling of Injectable Medicines, Fluids and Lines.</w:t>
      </w:r>
    </w:p>
    <w:p w14:paraId="391FF0FC" w14:textId="77777777" w:rsidR="00C91EFA" w:rsidRPr="00242377" w:rsidRDefault="00C91EFA" w:rsidP="00C91EFA">
      <w:pPr>
        <w:rPr>
          <w:lang w:val="en-US"/>
        </w:rPr>
      </w:pPr>
    </w:p>
    <w:p w14:paraId="196CCC90" w14:textId="77777777" w:rsidR="00C91EFA" w:rsidRPr="00371615" w:rsidRDefault="00C91EFA" w:rsidP="00C91EFA">
      <w:pPr>
        <w:rPr>
          <w:b/>
          <w:bCs/>
          <w:lang w:val="en-US"/>
        </w:rPr>
      </w:pPr>
      <w:bookmarkStart w:id="63" w:name="_Toc116893346"/>
      <w:r w:rsidRPr="00371615">
        <w:rPr>
          <w:b/>
          <w:bCs/>
          <w:lang w:val="en-US"/>
        </w:rPr>
        <w:t>Table 3 Insulin Infusion</w:t>
      </w:r>
      <w:bookmarkEnd w:id="63"/>
    </w:p>
    <w:tbl>
      <w:tblPr>
        <w:tblStyle w:val="TableGrid"/>
        <w:tblW w:w="0" w:type="auto"/>
        <w:tblLayout w:type="fixed"/>
        <w:tblLook w:val="04A0" w:firstRow="1" w:lastRow="0" w:firstColumn="1" w:lastColumn="0" w:noHBand="0" w:noVBand="1"/>
      </w:tblPr>
      <w:tblGrid>
        <w:gridCol w:w="4565"/>
        <w:gridCol w:w="4361"/>
      </w:tblGrid>
      <w:tr w:rsidR="00C91EFA" w14:paraId="1E142475" w14:textId="77777777" w:rsidTr="00B3038D">
        <w:tc>
          <w:tcPr>
            <w:tcW w:w="4565" w:type="dxa"/>
            <w:shd w:val="clear" w:color="auto" w:fill="F2F2F2" w:themeFill="background1" w:themeFillShade="F2"/>
          </w:tcPr>
          <w:p w14:paraId="7DF0820E" w14:textId="77777777" w:rsidR="00C91EFA" w:rsidRPr="005B6F66" w:rsidRDefault="00C91EFA" w:rsidP="00B3038D">
            <w:pPr>
              <w:widowControl w:val="0"/>
              <w:autoSpaceDE w:val="0"/>
              <w:autoSpaceDN w:val="0"/>
              <w:adjustRightInd w:val="0"/>
              <w:rPr>
                <w:rFonts w:asciiTheme="minorHAnsi" w:hAnsiTheme="minorHAnsi"/>
                <w:b/>
                <w:bCs/>
                <w:szCs w:val="24"/>
                <w:lang w:val="en-US"/>
              </w:rPr>
            </w:pPr>
            <w:r w:rsidRPr="005B6F66">
              <w:rPr>
                <w:b/>
                <w:bCs/>
              </w:rPr>
              <w:t xml:space="preserve">Aspect </w:t>
            </w:r>
          </w:p>
        </w:tc>
        <w:tc>
          <w:tcPr>
            <w:tcW w:w="4361" w:type="dxa"/>
            <w:shd w:val="clear" w:color="auto" w:fill="F2F2F2" w:themeFill="background1" w:themeFillShade="F2"/>
          </w:tcPr>
          <w:p w14:paraId="0EBA59CF" w14:textId="77777777" w:rsidR="00C91EFA" w:rsidRPr="005B6F66" w:rsidRDefault="00C91EFA" w:rsidP="00B3038D">
            <w:pPr>
              <w:widowControl w:val="0"/>
              <w:autoSpaceDE w:val="0"/>
              <w:autoSpaceDN w:val="0"/>
              <w:adjustRightInd w:val="0"/>
              <w:rPr>
                <w:rFonts w:asciiTheme="minorHAnsi" w:hAnsiTheme="minorHAnsi"/>
                <w:b/>
                <w:bCs/>
                <w:szCs w:val="24"/>
                <w:lang w:val="en-US"/>
              </w:rPr>
            </w:pPr>
            <w:r w:rsidRPr="005B6F66">
              <w:rPr>
                <w:b/>
                <w:bCs/>
              </w:rPr>
              <w:t>Recommendation</w:t>
            </w:r>
          </w:p>
        </w:tc>
      </w:tr>
      <w:tr w:rsidR="00C91EFA" w14:paraId="6376E59E" w14:textId="77777777" w:rsidTr="00B3038D">
        <w:tc>
          <w:tcPr>
            <w:tcW w:w="4565" w:type="dxa"/>
          </w:tcPr>
          <w:p w14:paraId="05C75035" w14:textId="77777777" w:rsidR="00C91EFA" w:rsidRPr="005B6F66" w:rsidRDefault="00C91EFA" w:rsidP="00B3038D">
            <w:pPr>
              <w:widowControl w:val="0"/>
              <w:autoSpaceDE w:val="0"/>
              <w:autoSpaceDN w:val="0"/>
              <w:adjustRightInd w:val="0"/>
              <w:rPr>
                <w:rFonts w:asciiTheme="minorHAnsi" w:hAnsiTheme="minorHAnsi"/>
                <w:b/>
                <w:bCs/>
                <w:szCs w:val="24"/>
                <w:lang w:val="en-US"/>
              </w:rPr>
            </w:pPr>
            <w:r>
              <w:t xml:space="preserve">IV Infusion </w:t>
            </w:r>
          </w:p>
        </w:tc>
        <w:tc>
          <w:tcPr>
            <w:tcW w:w="4361" w:type="dxa"/>
          </w:tcPr>
          <w:p w14:paraId="4A5CC178" w14:textId="77777777" w:rsidR="00C91EFA" w:rsidRPr="005B6F66" w:rsidRDefault="00C91EFA" w:rsidP="00B3038D">
            <w:pPr>
              <w:widowControl w:val="0"/>
              <w:autoSpaceDE w:val="0"/>
              <w:autoSpaceDN w:val="0"/>
              <w:adjustRightInd w:val="0"/>
              <w:rPr>
                <w:rFonts w:asciiTheme="minorHAnsi" w:hAnsiTheme="minorHAnsi"/>
                <w:b/>
                <w:bCs/>
                <w:szCs w:val="24"/>
                <w:lang w:val="en-US"/>
              </w:rPr>
            </w:pPr>
            <w:r>
              <w:t xml:space="preserve">Administer via </w:t>
            </w:r>
            <w:proofErr w:type="spellStart"/>
            <w:r>
              <w:t>Arcomed</w:t>
            </w:r>
            <w:proofErr w:type="spellEnd"/>
            <w:r>
              <w:t xml:space="preserve"> syringe pump</w:t>
            </w:r>
          </w:p>
        </w:tc>
      </w:tr>
      <w:tr w:rsidR="00C91EFA" w14:paraId="38398AAD" w14:textId="77777777" w:rsidTr="00B3038D">
        <w:tc>
          <w:tcPr>
            <w:tcW w:w="4565" w:type="dxa"/>
          </w:tcPr>
          <w:p w14:paraId="6353D41C" w14:textId="77777777" w:rsidR="00C91EFA" w:rsidRPr="00D25210" w:rsidRDefault="00C91EFA" w:rsidP="00B3038D">
            <w:pPr>
              <w:widowControl w:val="0"/>
              <w:autoSpaceDE w:val="0"/>
              <w:autoSpaceDN w:val="0"/>
              <w:adjustRightInd w:val="0"/>
              <w:rPr>
                <w:b/>
                <w:bCs/>
              </w:rPr>
            </w:pPr>
            <w:r w:rsidRPr="00D25210">
              <w:rPr>
                <w:b/>
                <w:bCs/>
              </w:rPr>
              <w:t>Mainline</w:t>
            </w:r>
          </w:p>
          <w:p w14:paraId="21FD1DBA" w14:textId="77777777" w:rsidR="00C91EFA" w:rsidRDefault="00C91EFA" w:rsidP="00C91EFA">
            <w:pPr>
              <w:pStyle w:val="ListParagraph"/>
              <w:widowControl w:val="0"/>
              <w:numPr>
                <w:ilvl w:val="0"/>
                <w:numId w:val="7"/>
              </w:numPr>
              <w:autoSpaceDE w:val="0"/>
              <w:autoSpaceDN w:val="0"/>
              <w:adjustRightInd w:val="0"/>
            </w:pPr>
            <w:r>
              <w:rPr>
                <w:b/>
                <w:bCs/>
              </w:rPr>
              <w:t>5</w:t>
            </w:r>
            <w:r w:rsidRPr="009610CA">
              <w:rPr>
                <w:b/>
                <w:bCs/>
              </w:rPr>
              <w:t xml:space="preserve">0 units of </w:t>
            </w:r>
            <w:proofErr w:type="spellStart"/>
            <w:r w:rsidRPr="009610CA">
              <w:rPr>
                <w:b/>
                <w:bCs/>
              </w:rPr>
              <w:t>actrapid</w:t>
            </w:r>
            <w:proofErr w:type="spellEnd"/>
            <w:r w:rsidRPr="009610CA">
              <w:t xml:space="preserve"> insulin in</w:t>
            </w:r>
            <w:r>
              <w:t xml:space="preserve"> 50 mL of sodium chloride 0.9% syringe (concentration of 1 unit/mL)</w:t>
            </w:r>
          </w:p>
          <w:p w14:paraId="066A1D19" w14:textId="77777777" w:rsidR="00C91EFA" w:rsidRDefault="00C91EFA" w:rsidP="00C91EFA">
            <w:pPr>
              <w:pStyle w:val="ListParagraph"/>
              <w:widowControl w:val="0"/>
              <w:numPr>
                <w:ilvl w:val="0"/>
                <w:numId w:val="7"/>
              </w:numPr>
              <w:autoSpaceDE w:val="0"/>
              <w:autoSpaceDN w:val="0"/>
              <w:adjustRightInd w:val="0"/>
            </w:pPr>
            <w:r>
              <w:t xml:space="preserve">Insulin infusion should be prepared by drawing up 50 units of </w:t>
            </w:r>
            <w:proofErr w:type="spellStart"/>
            <w:r>
              <w:t>actrapid</w:t>
            </w:r>
            <w:proofErr w:type="spellEnd"/>
            <w:r>
              <w:t xml:space="preserve"> in a 50 </w:t>
            </w:r>
            <w:r>
              <w:lastRenderedPageBreak/>
              <w:t xml:space="preserve">unit/0.5mL insulin syringes, transferring this into a 50ml </w:t>
            </w:r>
            <w:proofErr w:type="spellStart"/>
            <w:r>
              <w:t>luer</w:t>
            </w:r>
            <w:proofErr w:type="spellEnd"/>
            <w:r>
              <w:t xml:space="preserve"> lock syringe containing 49.5ml of 0.9% sodium chloride.</w:t>
            </w:r>
          </w:p>
        </w:tc>
        <w:tc>
          <w:tcPr>
            <w:tcW w:w="4361" w:type="dxa"/>
          </w:tcPr>
          <w:p w14:paraId="2FEB0839" w14:textId="77777777" w:rsidR="00C91EFA" w:rsidRPr="00B12929" w:rsidRDefault="00C91EFA" w:rsidP="00C91EFA">
            <w:pPr>
              <w:pStyle w:val="ListParagraph"/>
              <w:widowControl w:val="0"/>
              <w:numPr>
                <w:ilvl w:val="0"/>
                <w:numId w:val="7"/>
              </w:numPr>
              <w:autoSpaceDE w:val="0"/>
              <w:autoSpaceDN w:val="0"/>
              <w:adjustRightInd w:val="0"/>
              <w:rPr>
                <w:rFonts w:asciiTheme="minorHAnsi" w:hAnsiTheme="minorHAnsi"/>
                <w:bCs/>
                <w:szCs w:val="24"/>
                <w:lang w:val="en-US"/>
              </w:rPr>
            </w:pPr>
            <w:r>
              <w:lastRenderedPageBreak/>
              <w:t xml:space="preserve">Prime line with insulin to connection port </w:t>
            </w:r>
          </w:p>
          <w:p w14:paraId="66A738C3" w14:textId="77777777" w:rsidR="00C91EFA" w:rsidRPr="00D25210" w:rsidRDefault="00C91EFA" w:rsidP="00C91EFA">
            <w:pPr>
              <w:pStyle w:val="ListParagraph"/>
              <w:widowControl w:val="0"/>
              <w:numPr>
                <w:ilvl w:val="0"/>
                <w:numId w:val="7"/>
              </w:numPr>
              <w:autoSpaceDE w:val="0"/>
              <w:autoSpaceDN w:val="0"/>
              <w:adjustRightInd w:val="0"/>
              <w:rPr>
                <w:rFonts w:asciiTheme="minorHAnsi" w:hAnsiTheme="minorHAnsi"/>
                <w:bCs/>
                <w:szCs w:val="24"/>
                <w:lang w:val="en-US"/>
              </w:rPr>
            </w:pPr>
            <w:r>
              <w:t>Commence and adjust insulin infusion according to BGL</w:t>
            </w:r>
          </w:p>
        </w:tc>
      </w:tr>
      <w:tr w:rsidR="00C91EFA" w14:paraId="2C27A351" w14:textId="77777777" w:rsidTr="00B3038D">
        <w:tc>
          <w:tcPr>
            <w:tcW w:w="4565" w:type="dxa"/>
          </w:tcPr>
          <w:p w14:paraId="1289CFAA" w14:textId="77777777" w:rsidR="00C91EFA" w:rsidRPr="00D25210" w:rsidRDefault="00C91EFA" w:rsidP="00B3038D">
            <w:pPr>
              <w:widowControl w:val="0"/>
              <w:autoSpaceDE w:val="0"/>
              <w:autoSpaceDN w:val="0"/>
              <w:adjustRightInd w:val="0"/>
              <w:rPr>
                <w:b/>
                <w:bCs/>
              </w:rPr>
            </w:pPr>
            <w:r w:rsidRPr="00D25210">
              <w:rPr>
                <w:b/>
                <w:bCs/>
              </w:rPr>
              <w:t xml:space="preserve">Sideline </w:t>
            </w:r>
          </w:p>
          <w:p w14:paraId="4BF064CE" w14:textId="77777777" w:rsidR="00C91EFA" w:rsidRPr="004F7D9E" w:rsidRDefault="00C91EFA" w:rsidP="00C91EFA">
            <w:pPr>
              <w:pStyle w:val="ListParagraph"/>
              <w:widowControl w:val="0"/>
              <w:numPr>
                <w:ilvl w:val="0"/>
                <w:numId w:val="6"/>
              </w:numPr>
              <w:autoSpaceDE w:val="0"/>
              <w:autoSpaceDN w:val="0"/>
              <w:adjustRightInd w:val="0"/>
              <w:rPr>
                <w:rFonts w:asciiTheme="minorHAnsi" w:hAnsiTheme="minorHAnsi"/>
                <w:szCs w:val="24"/>
                <w:lang w:val="en-US"/>
              </w:rPr>
            </w:pPr>
            <w:r w:rsidRPr="004F7D9E">
              <w:rPr>
                <w:rFonts w:asciiTheme="minorHAnsi" w:hAnsiTheme="minorHAnsi"/>
                <w:bCs/>
                <w:szCs w:val="24"/>
                <w:lang w:val="en-US"/>
              </w:rPr>
              <w:t xml:space="preserve">5% glucose </w:t>
            </w:r>
            <w:r w:rsidRPr="004F7D9E">
              <w:rPr>
                <w:rFonts w:asciiTheme="minorHAnsi" w:hAnsiTheme="minorHAnsi"/>
                <w:b/>
                <w:szCs w:val="24"/>
                <w:lang w:val="en-US"/>
              </w:rPr>
              <w:t>or</w:t>
            </w:r>
            <w:r w:rsidRPr="004F7D9E">
              <w:rPr>
                <w:rFonts w:asciiTheme="minorHAnsi" w:hAnsiTheme="minorHAnsi"/>
                <w:bCs/>
                <w:szCs w:val="24"/>
                <w:lang w:val="en-US"/>
              </w:rPr>
              <w:t xml:space="preserve"> 0.18% sodium chloride and 4% glucose</w:t>
            </w:r>
            <w:r w:rsidRPr="004F7D9E">
              <w:rPr>
                <w:rFonts w:asciiTheme="minorHAnsi" w:hAnsiTheme="minorHAnsi"/>
                <w:bCs/>
                <w:color w:val="FF6600"/>
                <w:szCs w:val="24"/>
                <w:lang w:val="en-US"/>
              </w:rPr>
              <w:t xml:space="preserve"> </w:t>
            </w:r>
            <w:r w:rsidRPr="004F7D9E">
              <w:rPr>
                <w:rFonts w:asciiTheme="minorHAnsi" w:hAnsiTheme="minorHAnsi"/>
                <w:bCs/>
                <w:szCs w:val="24"/>
                <w:lang w:val="en-US"/>
              </w:rPr>
              <w:t>infusion</w:t>
            </w:r>
            <w:r w:rsidRPr="004F7D9E">
              <w:rPr>
                <w:rFonts w:asciiTheme="minorHAnsi" w:hAnsiTheme="minorHAnsi"/>
                <w:szCs w:val="24"/>
                <w:lang w:val="en-US"/>
              </w:rPr>
              <w:t xml:space="preserve"> in 1000mls</w:t>
            </w:r>
          </w:p>
        </w:tc>
        <w:tc>
          <w:tcPr>
            <w:tcW w:w="4361" w:type="dxa"/>
          </w:tcPr>
          <w:p w14:paraId="60580794" w14:textId="77777777" w:rsidR="00C91EFA" w:rsidRPr="00647328" w:rsidRDefault="00C91EFA" w:rsidP="00C91EFA">
            <w:pPr>
              <w:pStyle w:val="ListParagraph"/>
              <w:widowControl w:val="0"/>
              <w:numPr>
                <w:ilvl w:val="0"/>
                <w:numId w:val="6"/>
              </w:numPr>
              <w:autoSpaceDE w:val="0"/>
              <w:autoSpaceDN w:val="0"/>
              <w:adjustRightInd w:val="0"/>
              <w:rPr>
                <w:rFonts w:asciiTheme="minorHAnsi" w:hAnsiTheme="minorHAnsi"/>
                <w:szCs w:val="24"/>
                <w:lang w:val="en-US"/>
              </w:rPr>
            </w:pPr>
            <w:r w:rsidRPr="00647328">
              <w:rPr>
                <w:rFonts w:asciiTheme="minorHAnsi" w:hAnsiTheme="minorHAnsi"/>
                <w:szCs w:val="24"/>
                <w:lang w:val="en-US"/>
              </w:rPr>
              <w:t xml:space="preserve">Infusion </w:t>
            </w:r>
            <w:r>
              <w:rPr>
                <w:rFonts w:asciiTheme="minorHAnsi" w:hAnsiTheme="minorHAnsi"/>
                <w:szCs w:val="24"/>
                <w:lang w:val="en-US"/>
              </w:rPr>
              <w:t>12</w:t>
            </w:r>
            <w:r w:rsidRPr="00647328">
              <w:rPr>
                <w:rFonts w:asciiTheme="minorHAnsi" w:hAnsiTheme="minorHAnsi"/>
                <w:szCs w:val="24"/>
                <w:lang w:val="en-US"/>
              </w:rPr>
              <w:t>5mL per hour</w:t>
            </w:r>
            <w:r>
              <w:rPr>
                <w:rFonts w:asciiTheme="minorHAnsi" w:hAnsiTheme="minorHAnsi"/>
                <w:szCs w:val="24"/>
                <w:lang w:val="en-US"/>
              </w:rPr>
              <w:t xml:space="preserve"> (8hrly rate)</w:t>
            </w:r>
          </w:p>
        </w:tc>
      </w:tr>
      <w:tr w:rsidR="00C91EFA" w14:paraId="5F16CAA3" w14:textId="77777777" w:rsidTr="00B3038D">
        <w:tc>
          <w:tcPr>
            <w:tcW w:w="4565" w:type="dxa"/>
          </w:tcPr>
          <w:p w14:paraId="07B11925" w14:textId="77777777" w:rsidR="00C91EFA" w:rsidRPr="00D25210" w:rsidRDefault="00C91EFA" w:rsidP="00B3038D">
            <w:pPr>
              <w:widowControl w:val="0"/>
              <w:autoSpaceDE w:val="0"/>
              <w:autoSpaceDN w:val="0"/>
              <w:adjustRightInd w:val="0"/>
              <w:rPr>
                <w:rFonts w:asciiTheme="minorHAnsi" w:hAnsiTheme="minorHAnsi"/>
                <w:b/>
                <w:bCs/>
                <w:szCs w:val="24"/>
                <w:lang w:val="en-US"/>
              </w:rPr>
            </w:pPr>
            <w:r>
              <w:t xml:space="preserve"> </w:t>
            </w:r>
            <w:r w:rsidRPr="00D25210">
              <w:rPr>
                <w:b/>
                <w:bCs/>
              </w:rPr>
              <w:t>BGL Monitoring</w:t>
            </w:r>
          </w:p>
        </w:tc>
        <w:tc>
          <w:tcPr>
            <w:tcW w:w="4361" w:type="dxa"/>
          </w:tcPr>
          <w:p w14:paraId="301E5531" w14:textId="77777777" w:rsidR="00C91EFA" w:rsidRDefault="00C91EFA" w:rsidP="00C91EFA">
            <w:pPr>
              <w:pStyle w:val="ListParagraph"/>
              <w:numPr>
                <w:ilvl w:val="0"/>
                <w:numId w:val="4"/>
              </w:numPr>
              <w:rPr>
                <w:rFonts w:cs="Arial"/>
                <w:iCs/>
                <w:szCs w:val="24"/>
              </w:rPr>
            </w:pPr>
            <w:r>
              <w:t>hourly while insulin infusion is being administered</w:t>
            </w:r>
            <w:r w:rsidRPr="00477BAF">
              <w:rPr>
                <w:rFonts w:cs="Arial"/>
                <w:iCs/>
                <w:szCs w:val="24"/>
              </w:rPr>
              <w:t xml:space="preserve"> </w:t>
            </w:r>
          </w:p>
          <w:p w14:paraId="16B70DD9" w14:textId="77777777" w:rsidR="00C91EFA" w:rsidRPr="00647328" w:rsidRDefault="00C91EFA" w:rsidP="00C91EFA">
            <w:pPr>
              <w:pStyle w:val="ListParagraph"/>
              <w:widowControl w:val="0"/>
              <w:numPr>
                <w:ilvl w:val="0"/>
                <w:numId w:val="4"/>
              </w:numPr>
              <w:autoSpaceDE w:val="0"/>
              <w:autoSpaceDN w:val="0"/>
              <w:adjustRightInd w:val="0"/>
              <w:rPr>
                <w:rFonts w:asciiTheme="minorHAnsi" w:hAnsiTheme="minorHAnsi"/>
                <w:szCs w:val="24"/>
                <w:lang w:val="en-US"/>
              </w:rPr>
            </w:pPr>
            <w:r>
              <w:rPr>
                <w:rFonts w:cs="Arial"/>
                <w:iCs/>
                <w:szCs w:val="24"/>
              </w:rPr>
              <w:t>c</w:t>
            </w:r>
            <w:r w:rsidRPr="00647328">
              <w:rPr>
                <w:rFonts w:cs="Arial"/>
                <w:iCs/>
                <w:szCs w:val="24"/>
              </w:rPr>
              <w:t>ollect blood from the opposite arm to the IV insulin infusion</w:t>
            </w:r>
          </w:p>
          <w:p w14:paraId="079AF788" w14:textId="77777777" w:rsidR="00C91EFA" w:rsidRPr="00D25210" w:rsidRDefault="00C91EFA" w:rsidP="00C91EFA">
            <w:pPr>
              <w:pStyle w:val="ListParagraph"/>
              <w:numPr>
                <w:ilvl w:val="0"/>
                <w:numId w:val="4"/>
              </w:numPr>
              <w:rPr>
                <w:rFonts w:asciiTheme="minorHAnsi" w:hAnsiTheme="minorHAnsi"/>
                <w:szCs w:val="24"/>
                <w:lang w:val="en-US"/>
              </w:rPr>
            </w:pPr>
            <w:r>
              <w:rPr>
                <w:rFonts w:cs="Arial"/>
                <w:iCs/>
                <w:szCs w:val="24"/>
              </w:rPr>
              <w:t>i</w:t>
            </w:r>
            <w:r w:rsidRPr="00477BAF">
              <w:rPr>
                <w:rFonts w:cs="Arial"/>
                <w:iCs/>
                <w:szCs w:val="24"/>
              </w:rPr>
              <w:t xml:space="preserve">f </w:t>
            </w:r>
            <w:proofErr w:type="spellStart"/>
            <w:r w:rsidRPr="00477BAF">
              <w:rPr>
                <w:rFonts w:cs="Arial"/>
                <w:iCs/>
                <w:szCs w:val="24"/>
              </w:rPr>
              <w:t>cBGL</w:t>
            </w:r>
            <w:proofErr w:type="spellEnd"/>
            <w:r w:rsidRPr="00477BAF">
              <w:rPr>
                <w:rFonts w:cs="Arial"/>
                <w:iCs/>
                <w:szCs w:val="24"/>
              </w:rPr>
              <w:t xml:space="preserve"> &gt; 1</w:t>
            </w:r>
            <w:r>
              <w:rPr>
                <w:rFonts w:cs="Arial"/>
                <w:iCs/>
                <w:szCs w:val="24"/>
              </w:rPr>
              <w:t>1</w:t>
            </w:r>
            <w:r w:rsidRPr="00477BAF">
              <w:rPr>
                <w:rFonts w:cs="Arial"/>
                <w:iCs/>
                <w:szCs w:val="24"/>
              </w:rPr>
              <w:t>mmol/L check for blood ketone</w:t>
            </w:r>
            <w:r>
              <w:rPr>
                <w:rFonts w:cs="Arial"/>
                <w:iCs/>
                <w:szCs w:val="24"/>
              </w:rPr>
              <w:t>s.</w:t>
            </w:r>
          </w:p>
        </w:tc>
      </w:tr>
    </w:tbl>
    <w:p w14:paraId="2C55AF84" w14:textId="77777777" w:rsidR="0045381A" w:rsidRPr="0045381A" w:rsidRDefault="0045381A" w:rsidP="0045381A">
      <w:pPr>
        <w:pStyle w:val="ListBullet"/>
        <w:numPr>
          <w:ilvl w:val="0"/>
          <w:numId w:val="0"/>
        </w:numPr>
        <w:rPr>
          <w:rFonts w:cs="Calibri"/>
          <w:b/>
          <w:bCs/>
          <w:szCs w:val="24"/>
        </w:rPr>
      </w:pPr>
      <w:r w:rsidRPr="0045381A">
        <w:rPr>
          <w:rFonts w:cs="Calibri"/>
          <w:b/>
          <w:bCs/>
          <w:szCs w:val="24"/>
        </w:rPr>
        <w:t>Insulin Infusion for labour and immediate post birth</w:t>
      </w:r>
    </w:p>
    <w:tbl>
      <w:tblPr>
        <w:tblStyle w:val="TableGrid"/>
        <w:tblW w:w="0" w:type="auto"/>
        <w:tblLook w:val="04A0" w:firstRow="1" w:lastRow="0" w:firstColumn="1" w:lastColumn="0" w:noHBand="0" w:noVBand="1"/>
      </w:tblPr>
      <w:tblGrid>
        <w:gridCol w:w="3020"/>
        <w:gridCol w:w="3020"/>
        <w:gridCol w:w="3020"/>
      </w:tblGrid>
      <w:tr w:rsidR="0045381A" w14:paraId="5D9B44F7" w14:textId="77777777" w:rsidTr="00765665">
        <w:tc>
          <w:tcPr>
            <w:tcW w:w="3020" w:type="dxa"/>
          </w:tcPr>
          <w:p w14:paraId="6E3B383D" w14:textId="77777777" w:rsidR="0045381A" w:rsidRPr="004049CE" w:rsidRDefault="0045381A" w:rsidP="00765665">
            <w:pPr>
              <w:pStyle w:val="ListBullet"/>
              <w:numPr>
                <w:ilvl w:val="0"/>
                <w:numId w:val="0"/>
              </w:numPr>
              <w:rPr>
                <w:rFonts w:cs="Calibri"/>
                <w:szCs w:val="24"/>
              </w:rPr>
            </w:pPr>
          </w:p>
        </w:tc>
        <w:tc>
          <w:tcPr>
            <w:tcW w:w="3020" w:type="dxa"/>
          </w:tcPr>
          <w:p w14:paraId="70E95B77" w14:textId="77777777" w:rsidR="0045381A" w:rsidRPr="004049CE" w:rsidRDefault="0045381A" w:rsidP="00765665">
            <w:pPr>
              <w:pStyle w:val="ListBullet"/>
              <w:numPr>
                <w:ilvl w:val="0"/>
                <w:numId w:val="0"/>
              </w:numPr>
              <w:rPr>
                <w:rFonts w:cs="Calibri"/>
                <w:szCs w:val="24"/>
              </w:rPr>
            </w:pPr>
            <w:r w:rsidRPr="004049CE">
              <w:t>Intrapartum</w:t>
            </w:r>
          </w:p>
        </w:tc>
        <w:tc>
          <w:tcPr>
            <w:tcW w:w="3020" w:type="dxa"/>
          </w:tcPr>
          <w:p w14:paraId="4366E63B" w14:textId="77777777" w:rsidR="0045381A" w:rsidRPr="004049CE" w:rsidRDefault="0045381A" w:rsidP="00765665">
            <w:pPr>
              <w:pStyle w:val="ListBullet"/>
              <w:numPr>
                <w:ilvl w:val="0"/>
                <w:numId w:val="0"/>
              </w:numPr>
              <w:rPr>
                <w:rFonts w:cs="Calibri"/>
                <w:szCs w:val="24"/>
              </w:rPr>
            </w:pPr>
            <w:r w:rsidRPr="004049CE">
              <w:t>Post birth of placenta (if indicated as per table 4)</w:t>
            </w:r>
          </w:p>
        </w:tc>
      </w:tr>
      <w:tr w:rsidR="0045381A" w14:paraId="160810E5" w14:textId="77777777" w:rsidTr="00765665">
        <w:tc>
          <w:tcPr>
            <w:tcW w:w="3020" w:type="dxa"/>
          </w:tcPr>
          <w:p w14:paraId="28B1A846" w14:textId="77777777" w:rsidR="0045381A" w:rsidRPr="004049CE" w:rsidRDefault="0045381A" w:rsidP="00765665">
            <w:pPr>
              <w:pStyle w:val="ListBullet"/>
              <w:numPr>
                <w:ilvl w:val="0"/>
                <w:numId w:val="0"/>
              </w:numPr>
              <w:rPr>
                <w:rFonts w:cs="Calibri"/>
                <w:szCs w:val="24"/>
              </w:rPr>
            </w:pPr>
            <w:r w:rsidRPr="004049CE">
              <w:t>Blood Glucose Level</w:t>
            </w:r>
          </w:p>
        </w:tc>
        <w:tc>
          <w:tcPr>
            <w:tcW w:w="3020" w:type="dxa"/>
          </w:tcPr>
          <w:p w14:paraId="42915886" w14:textId="77777777" w:rsidR="0045381A" w:rsidRPr="004049CE" w:rsidRDefault="0045381A" w:rsidP="00765665">
            <w:pPr>
              <w:pStyle w:val="ListBullet"/>
              <w:numPr>
                <w:ilvl w:val="0"/>
                <w:numId w:val="0"/>
              </w:numPr>
              <w:rPr>
                <w:rFonts w:cs="Calibri"/>
                <w:szCs w:val="24"/>
              </w:rPr>
            </w:pPr>
            <w:r w:rsidRPr="004049CE">
              <w:t>mL/Unit per hour</w:t>
            </w:r>
          </w:p>
        </w:tc>
        <w:tc>
          <w:tcPr>
            <w:tcW w:w="3020" w:type="dxa"/>
          </w:tcPr>
          <w:p w14:paraId="5CFDF760" w14:textId="77777777" w:rsidR="0045381A" w:rsidRPr="004049CE" w:rsidRDefault="0045381A" w:rsidP="00765665">
            <w:pPr>
              <w:pStyle w:val="ListBullet"/>
              <w:numPr>
                <w:ilvl w:val="0"/>
                <w:numId w:val="0"/>
              </w:numPr>
              <w:rPr>
                <w:rFonts w:cs="Calibri"/>
                <w:szCs w:val="24"/>
              </w:rPr>
            </w:pPr>
            <w:r w:rsidRPr="004049CE">
              <w:t>mL/Unit per hour</w:t>
            </w:r>
          </w:p>
        </w:tc>
      </w:tr>
      <w:tr w:rsidR="0045381A" w14:paraId="7EFAD814" w14:textId="77777777" w:rsidTr="00765665">
        <w:tc>
          <w:tcPr>
            <w:tcW w:w="3020" w:type="dxa"/>
          </w:tcPr>
          <w:p w14:paraId="4E7CCDB3" w14:textId="77777777" w:rsidR="0045381A" w:rsidRDefault="0045381A" w:rsidP="00765665">
            <w:pPr>
              <w:pStyle w:val="ListBullet"/>
              <w:numPr>
                <w:ilvl w:val="0"/>
                <w:numId w:val="0"/>
              </w:numPr>
              <w:rPr>
                <w:rFonts w:cs="Calibri"/>
                <w:szCs w:val="24"/>
              </w:rPr>
            </w:pPr>
            <w:r w:rsidRPr="00363B0B">
              <w:t>&lt; 4</w:t>
            </w:r>
          </w:p>
        </w:tc>
        <w:tc>
          <w:tcPr>
            <w:tcW w:w="3020" w:type="dxa"/>
          </w:tcPr>
          <w:p w14:paraId="24EC21D2" w14:textId="77777777" w:rsidR="0045381A" w:rsidRDefault="0045381A" w:rsidP="00765665">
            <w:pPr>
              <w:pStyle w:val="ListBullet"/>
              <w:numPr>
                <w:ilvl w:val="0"/>
                <w:numId w:val="0"/>
              </w:numPr>
              <w:rPr>
                <w:rFonts w:cs="Calibri"/>
                <w:szCs w:val="24"/>
              </w:rPr>
            </w:pPr>
            <w:r w:rsidRPr="00363B0B">
              <w:t>0.0</w:t>
            </w:r>
          </w:p>
        </w:tc>
        <w:tc>
          <w:tcPr>
            <w:tcW w:w="3020" w:type="dxa"/>
          </w:tcPr>
          <w:p w14:paraId="11DA4E4F" w14:textId="77777777" w:rsidR="0045381A" w:rsidRDefault="0045381A" w:rsidP="00765665">
            <w:pPr>
              <w:pStyle w:val="ListBullet"/>
              <w:numPr>
                <w:ilvl w:val="0"/>
                <w:numId w:val="0"/>
              </w:numPr>
              <w:rPr>
                <w:rFonts w:cs="Calibri"/>
                <w:szCs w:val="24"/>
              </w:rPr>
            </w:pPr>
            <w:r w:rsidRPr="00363B0B">
              <w:t>0.0</w:t>
            </w:r>
          </w:p>
        </w:tc>
      </w:tr>
      <w:tr w:rsidR="0045381A" w14:paraId="202C463D" w14:textId="77777777" w:rsidTr="00765665">
        <w:tc>
          <w:tcPr>
            <w:tcW w:w="3020" w:type="dxa"/>
          </w:tcPr>
          <w:p w14:paraId="78407DFC" w14:textId="77777777" w:rsidR="0045381A" w:rsidRDefault="0045381A" w:rsidP="00765665">
            <w:pPr>
              <w:pStyle w:val="ListBullet"/>
              <w:numPr>
                <w:ilvl w:val="0"/>
                <w:numId w:val="0"/>
              </w:numPr>
              <w:rPr>
                <w:rFonts w:cs="Calibri"/>
                <w:szCs w:val="24"/>
              </w:rPr>
            </w:pPr>
            <w:r w:rsidRPr="00363B0B">
              <w:t>4 – 5</w:t>
            </w:r>
          </w:p>
        </w:tc>
        <w:tc>
          <w:tcPr>
            <w:tcW w:w="3020" w:type="dxa"/>
          </w:tcPr>
          <w:p w14:paraId="5D2E1D2A" w14:textId="77777777" w:rsidR="0045381A" w:rsidRDefault="0045381A" w:rsidP="00765665">
            <w:pPr>
              <w:pStyle w:val="ListBullet"/>
              <w:numPr>
                <w:ilvl w:val="0"/>
                <w:numId w:val="0"/>
              </w:numPr>
              <w:rPr>
                <w:rFonts w:cs="Calibri"/>
                <w:szCs w:val="24"/>
              </w:rPr>
            </w:pPr>
            <w:r w:rsidRPr="00363B0B">
              <w:t>0.5</w:t>
            </w:r>
          </w:p>
        </w:tc>
        <w:tc>
          <w:tcPr>
            <w:tcW w:w="3020" w:type="dxa"/>
          </w:tcPr>
          <w:p w14:paraId="4D21AE65" w14:textId="77777777" w:rsidR="0045381A" w:rsidRDefault="0045381A" w:rsidP="00765665">
            <w:pPr>
              <w:pStyle w:val="ListBullet"/>
              <w:numPr>
                <w:ilvl w:val="0"/>
                <w:numId w:val="0"/>
              </w:numPr>
              <w:rPr>
                <w:rFonts w:cs="Calibri"/>
                <w:szCs w:val="24"/>
              </w:rPr>
            </w:pPr>
            <w:r w:rsidRPr="00363B0B">
              <w:t>0.0</w:t>
            </w:r>
          </w:p>
        </w:tc>
      </w:tr>
      <w:tr w:rsidR="0045381A" w14:paraId="50FB89C6" w14:textId="77777777" w:rsidTr="00765665">
        <w:tc>
          <w:tcPr>
            <w:tcW w:w="3020" w:type="dxa"/>
          </w:tcPr>
          <w:p w14:paraId="5D8F5B10" w14:textId="77777777" w:rsidR="0045381A" w:rsidRDefault="0045381A" w:rsidP="00765665">
            <w:pPr>
              <w:pStyle w:val="ListBullet"/>
              <w:numPr>
                <w:ilvl w:val="0"/>
                <w:numId w:val="0"/>
              </w:numPr>
              <w:rPr>
                <w:rFonts w:cs="Calibri"/>
                <w:szCs w:val="24"/>
              </w:rPr>
            </w:pPr>
            <w:r w:rsidRPr="00363B0B">
              <w:t>5.1 – 7</w:t>
            </w:r>
          </w:p>
        </w:tc>
        <w:tc>
          <w:tcPr>
            <w:tcW w:w="3020" w:type="dxa"/>
          </w:tcPr>
          <w:p w14:paraId="5FA56AE6" w14:textId="77777777" w:rsidR="0045381A" w:rsidRDefault="0045381A" w:rsidP="00765665">
            <w:pPr>
              <w:pStyle w:val="ListBullet"/>
              <w:numPr>
                <w:ilvl w:val="0"/>
                <w:numId w:val="0"/>
              </w:numPr>
              <w:rPr>
                <w:rFonts w:cs="Calibri"/>
                <w:szCs w:val="24"/>
              </w:rPr>
            </w:pPr>
            <w:r w:rsidRPr="00363B0B">
              <w:t>1</w:t>
            </w:r>
          </w:p>
        </w:tc>
        <w:tc>
          <w:tcPr>
            <w:tcW w:w="3020" w:type="dxa"/>
          </w:tcPr>
          <w:p w14:paraId="6802DD95" w14:textId="77777777" w:rsidR="0045381A" w:rsidRDefault="0045381A" w:rsidP="00765665">
            <w:pPr>
              <w:pStyle w:val="ListBullet"/>
              <w:numPr>
                <w:ilvl w:val="0"/>
                <w:numId w:val="0"/>
              </w:numPr>
              <w:rPr>
                <w:rFonts w:cs="Calibri"/>
                <w:szCs w:val="24"/>
              </w:rPr>
            </w:pPr>
            <w:r w:rsidRPr="00363B0B">
              <w:t>0.5</w:t>
            </w:r>
          </w:p>
        </w:tc>
      </w:tr>
      <w:tr w:rsidR="0045381A" w14:paraId="053160CA" w14:textId="77777777" w:rsidTr="00765665">
        <w:tc>
          <w:tcPr>
            <w:tcW w:w="3020" w:type="dxa"/>
          </w:tcPr>
          <w:p w14:paraId="5CE1594E" w14:textId="77777777" w:rsidR="0045381A" w:rsidRDefault="0045381A" w:rsidP="00765665">
            <w:pPr>
              <w:pStyle w:val="ListBullet"/>
              <w:numPr>
                <w:ilvl w:val="0"/>
                <w:numId w:val="0"/>
              </w:numPr>
              <w:rPr>
                <w:rFonts w:cs="Calibri"/>
                <w:szCs w:val="24"/>
              </w:rPr>
            </w:pPr>
            <w:r w:rsidRPr="00363B0B">
              <w:t>7.1 – 9</w:t>
            </w:r>
          </w:p>
        </w:tc>
        <w:tc>
          <w:tcPr>
            <w:tcW w:w="3020" w:type="dxa"/>
          </w:tcPr>
          <w:p w14:paraId="4C2BE026" w14:textId="77777777" w:rsidR="0045381A" w:rsidRDefault="0045381A" w:rsidP="00765665">
            <w:pPr>
              <w:pStyle w:val="ListBullet"/>
              <w:numPr>
                <w:ilvl w:val="0"/>
                <w:numId w:val="0"/>
              </w:numPr>
              <w:rPr>
                <w:rFonts w:cs="Calibri"/>
                <w:szCs w:val="24"/>
              </w:rPr>
            </w:pPr>
            <w:r w:rsidRPr="00363B0B">
              <w:t>2</w:t>
            </w:r>
          </w:p>
        </w:tc>
        <w:tc>
          <w:tcPr>
            <w:tcW w:w="3020" w:type="dxa"/>
          </w:tcPr>
          <w:p w14:paraId="4A42F157" w14:textId="77777777" w:rsidR="0045381A" w:rsidRDefault="0045381A" w:rsidP="00765665">
            <w:pPr>
              <w:pStyle w:val="ListBullet"/>
              <w:numPr>
                <w:ilvl w:val="0"/>
                <w:numId w:val="0"/>
              </w:numPr>
              <w:rPr>
                <w:rFonts w:cs="Calibri"/>
                <w:szCs w:val="24"/>
              </w:rPr>
            </w:pPr>
            <w:r w:rsidRPr="00363B0B">
              <w:t>1</w:t>
            </w:r>
          </w:p>
        </w:tc>
      </w:tr>
      <w:tr w:rsidR="0045381A" w14:paraId="4FDF25A6" w14:textId="77777777" w:rsidTr="00765665">
        <w:tc>
          <w:tcPr>
            <w:tcW w:w="3020" w:type="dxa"/>
          </w:tcPr>
          <w:p w14:paraId="525AD21D" w14:textId="77777777" w:rsidR="0045381A" w:rsidRDefault="0045381A" w:rsidP="00765665">
            <w:pPr>
              <w:pStyle w:val="ListBullet"/>
              <w:numPr>
                <w:ilvl w:val="0"/>
                <w:numId w:val="0"/>
              </w:numPr>
              <w:rPr>
                <w:rFonts w:cs="Calibri"/>
                <w:szCs w:val="24"/>
              </w:rPr>
            </w:pPr>
            <w:r w:rsidRPr="00363B0B">
              <w:t>9.1 - 11</w:t>
            </w:r>
          </w:p>
        </w:tc>
        <w:tc>
          <w:tcPr>
            <w:tcW w:w="3020" w:type="dxa"/>
          </w:tcPr>
          <w:p w14:paraId="013B8D3D" w14:textId="77777777" w:rsidR="0045381A" w:rsidRDefault="0045381A" w:rsidP="00765665">
            <w:pPr>
              <w:pStyle w:val="ListBullet"/>
              <w:numPr>
                <w:ilvl w:val="0"/>
                <w:numId w:val="0"/>
              </w:numPr>
              <w:rPr>
                <w:rFonts w:cs="Calibri"/>
                <w:szCs w:val="24"/>
              </w:rPr>
            </w:pPr>
            <w:r w:rsidRPr="00363B0B">
              <w:t>3</w:t>
            </w:r>
          </w:p>
        </w:tc>
        <w:tc>
          <w:tcPr>
            <w:tcW w:w="3020" w:type="dxa"/>
          </w:tcPr>
          <w:p w14:paraId="64A60372" w14:textId="77777777" w:rsidR="0045381A" w:rsidRDefault="0045381A" w:rsidP="00765665">
            <w:pPr>
              <w:pStyle w:val="ListBullet"/>
              <w:numPr>
                <w:ilvl w:val="0"/>
                <w:numId w:val="0"/>
              </w:numPr>
              <w:rPr>
                <w:rFonts w:cs="Calibri"/>
                <w:szCs w:val="24"/>
              </w:rPr>
            </w:pPr>
            <w:r w:rsidRPr="00363B0B">
              <w:t>1.5</w:t>
            </w:r>
          </w:p>
        </w:tc>
      </w:tr>
    </w:tbl>
    <w:p w14:paraId="3EB43290" w14:textId="77777777" w:rsidR="0045381A" w:rsidRPr="0045381A" w:rsidRDefault="0045381A" w:rsidP="0045381A">
      <w:pPr>
        <w:pStyle w:val="ListBullet"/>
        <w:numPr>
          <w:ilvl w:val="0"/>
          <w:numId w:val="0"/>
        </w:numPr>
        <w:rPr>
          <w:rFonts w:cs="Calibri"/>
          <w:b/>
          <w:bCs/>
          <w:szCs w:val="24"/>
        </w:rPr>
      </w:pPr>
      <w:r w:rsidRPr="0045381A">
        <w:rPr>
          <w:rFonts w:cs="Calibri"/>
          <w:b/>
          <w:bCs/>
          <w:szCs w:val="24"/>
        </w:rPr>
        <w:t>Note: BGL ≥11.1 requires ketone testing. For urgent endocrine review if ketones &gt;0.6 mmol/L or BGL not decreasing after 2 hours of insulin at prescribed rate.</w:t>
      </w:r>
    </w:p>
    <w:tbl>
      <w:tblPr>
        <w:tblStyle w:val="TableGrid"/>
        <w:tblW w:w="0" w:type="auto"/>
        <w:tblLook w:val="04A0" w:firstRow="1" w:lastRow="0" w:firstColumn="1" w:lastColumn="0" w:noHBand="0" w:noVBand="1"/>
      </w:tblPr>
      <w:tblGrid>
        <w:gridCol w:w="3020"/>
        <w:gridCol w:w="3020"/>
        <w:gridCol w:w="3020"/>
      </w:tblGrid>
      <w:tr w:rsidR="00533569" w14:paraId="4E1AB46F" w14:textId="77777777" w:rsidTr="00765665">
        <w:tc>
          <w:tcPr>
            <w:tcW w:w="3020" w:type="dxa"/>
          </w:tcPr>
          <w:p w14:paraId="22048F50" w14:textId="69A09175" w:rsidR="00533569" w:rsidRDefault="00533569" w:rsidP="00533569">
            <w:pPr>
              <w:pStyle w:val="ListBullet"/>
              <w:numPr>
                <w:ilvl w:val="0"/>
                <w:numId w:val="0"/>
              </w:numPr>
              <w:rPr>
                <w:rFonts w:cs="Calibri"/>
                <w:szCs w:val="24"/>
              </w:rPr>
            </w:pPr>
          </w:p>
        </w:tc>
        <w:tc>
          <w:tcPr>
            <w:tcW w:w="3020" w:type="dxa"/>
          </w:tcPr>
          <w:p w14:paraId="23FAB11A" w14:textId="43FCD169" w:rsidR="00533569" w:rsidRDefault="00533569" w:rsidP="00533569">
            <w:pPr>
              <w:pStyle w:val="ListBullet"/>
              <w:numPr>
                <w:ilvl w:val="0"/>
                <w:numId w:val="0"/>
              </w:numPr>
              <w:rPr>
                <w:rFonts w:cs="Calibri"/>
                <w:szCs w:val="24"/>
              </w:rPr>
            </w:pPr>
            <w:r w:rsidRPr="004049CE">
              <w:t>Intrapartum</w:t>
            </w:r>
          </w:p>
        </w:tc>
        <w:tc>
          <w:tcPr>
            <w:tcW w:w="3020" w:type="dxa"/>
          </w:tcPr>
          <w:p w14:paraId="6368FF65" w14:textId="54FA8515" w:rsidR="00533569" w:rsidRDefault="00533569" w:rsidP="00533569">
            <w:pPr>
              <w:pStyle w:val="ListBullet"/>
              <w:numPr>
                <w:ilvl w:val="0"/>
                <w:numId w:val="0"/>
              </w:numPr>
              <w:rPr>
                <w:rFonts w:cs="Calibri"/>
                <w:szCs w:val="24"/>
              </w:rPr>
            </w:pPr>
            <w:r w:rsidRPr="004049CE">
              <w:t>Post birth of placenta (if indicated as per table 4)</w:t>
            </w:r>
          </w:p>
        </w:tc>
      </w:tr>
      <w:tr w:rsidR="00533569" w14:paraId="3347E84E" w14:textId="77777777" w:rsidTr="00765665">
        <w:tc>
          <w:tcPr>
            <w:tcW w:w="3020" w:type="dxa"/>
          </w:tcPr>
          <w:p w14:paraId="6653CD03" w14:textId="29D04B99" w:rsidR="00533569" w:rsidRDefault="00533569" w:rsidP="00533569">
            <w:pPr>
              <w:pStyle w:val="ListBullet"/>
              <w:numPr>
                <w:ilvl w:val="0"/>
                <w:numId w:val="0"/>
              </w:numPr>
              <w:rPr>
                <w:rFonts w:cs="Calibri"/>
                <w:szCs w:val="24"/>
              </w:rPr>
            </w:pPr>
            <w:r w:rsidRPr="004049CE">
              <w:t>Blood Glucose Level</w:t>
            </w:r>
          </w:p>
        </w:tc>
        <w:tc>
          <w:tcPr>
            <w:tcW w:w="3020" w:type="dxa"/>
          </w:tcPr>
          <w:p w14:paraId="37ECE71F" w14:textId="36F105AC" w:rsidR="00533569" w:rsidRDefault="00533569" w:rsidP="00533569">
            <w:pPr>
              <w:pStyle w:val="ListBullet"/>
              <w:numPr>
                <w:ilvl w:val="0"/>
                <w:numId w:val="0"/>
              </w:numPr>
              <w:rPr>
                <w:rFonts w:cs="Calibri"/>
                <w:szCs w:val="24"/>
              </w:rPr>
            </w:pPr>
            <w:r w:rsidRPr="004049CE">
              <w:t>mL/Unit per hour</w:t>
            </w:r>
          </w:p>
        </w:tc>
        <w:tc>
          <w:tcPr>
            <w:tcW w:w="3020" w:type="dxa"/>
          </w:tcPr>
          <w:p w14:paraId="166B73D8" w14:textId="57737033" w:rsidR="00533569" w:rsidRDefault="00533569" w:rsidP="00533569">
            <w:pPr>
              <w:pStyle w:val="ListBullet"/>
              <w:numPr>
                <w:ilvl w:val="0"/>
                <w:numId w:val="0"/>
              </w:numPr>
              <w:rPr>
                <w:rFonts w:cs="Calibri"/>
                <w:szCs w:val="24"/>
              </w:rPr>
            </w:pPr>
            <w:r w:rsidRPr="004049CE">
              <w:t>mL/Unit per hour</w:t>
            </w:r>
          </w:p>
        </w:tc>
      </w:tr>
      <w:tr w:rsidR="00533569" w14:paraId="4BEE4121" w14:textId="77777777" w:rsidTr="00765665">
        <w:tc>
          <w:tcPr>
            <w:tcW w:w="3020" w:type="dxa"/>
          </w:tcPr>
          <w:p w14:paraId="4F439308" w14:textId="660EA418" w:rsidR="00533569" w:rsidRPr="0021672B" w:rsidRDefault="00533569" w:rsidP="00533569">
            <w:pPr>
              <w:pStyle w:val="ListBullet"/>
              <w:numPr>
                <w:ilvl w:val="0"/>
                <w:numId w:val="0"/>
              </w:numPr>
              <w:rPr>
                <w:rFonts w:cs="Calibri"/>
                <w:szCs w:val="24"/>
              </w:rPr>
            </w:pPr>
            <w:r w:rsidRPr="0021672B">
              <w:rPr>
                <w:rFonts w:cs="Calibri"/>
                <w:szCs w:val="24"/>
              </w:rPr>
              <w:t>11.1 - 13</w:t>
            </w:r>
          </w:p>
        </w:tc>
        <w:tc>
          <w:tcPr>
            <w:tcW w:w="3020" w:type="dxa"/>
          </w:tcPr>
          <w:p w14:paraId="6E6C8AE5" w14:textId="5ABA2AE6" w:rsidR="00533569" w:rsidRPr="0021672B" w:rsidRDefault="00533569" w:rsidP="00533569">
            <w:pPr>
              <w:pStyle w:val="ListBullet"/>
              <w:numPr>
                <w:ilvl w:val="0"/>
                <w:numId w:val="0"/>
              </w:numPr>
              <w:rPr>
                <w:rFonts w:cs="Calibri"/>
                <w:szCs w:val="24"/>
              </w:rPr>
            </w:pPr>
            <w:r w:rsidRPr="0021672B">
              <w:rPr>
                <w:rFonts w:cs="Calibri"/>
                <w:szCs w:val="24"/>
              </w:rPr>
              <w:t>4</w:t>
            </w:r>
          </w:p>
        </w:tc>
        <w:tc>
          <w:tcPr>
            <w:tcW w:w="3020" w:type="dxa"/>
          </w:tcPr>
          <w:p w14:paraId="55197019" w14:textId="330C8EE6" w:rsidR="00533569" w:rsidRPr="0021672B" w:rsidRDefault="00533569" w:rsidP="00533569">
            <w:pPr>
              <w:pStyle w:val="ListBullet"/>
              <w:numPr>
                <w:ilvl w:val="0"/>
                <w:numId w:val="0"/>
              </w:numPr>
              <w:rPr>
                <w:rFonts w:cs="Calibri"/>
                <w:szCs w:val="24"/>
              </w:rPr>
            </w:pPr>
            <w:r w:rsidRPr="0021672B">
              <w:rPr>
                <w:rFonts w:cs="Calibri"/>
                <w:szCs w:val="24"/>
              </w:rPr>
              <w:t>2</w:t>
            </w:r>
          </w:p>
        </w:tc>
      </w:tr>
      <w:tr w:rsidR="00533569" w14:paraId="488AFCAE" w14:textId="77777777" w:rsidTr="00765665">
        <w:tc>
          <w:tcPr>
            <w:tcW w:w="3020" w:type="dxa"/>
          </w:tcPr>
          <w:p w14:paraId="7188F1FE" w14:textId="77777777" w:rsidR="00533569" w:rsidRDefault="00533569" w:rsidP="00533569">
            <w:pPr>
              <w:pStyle w:val="ListBullet"/>
              <w:numPr>
                <w:ilvl w:val="0"/>
                <w:numId w:val="0"/>
              </w:numPr>
              <w:rPr>
                <w:rFonts w:cs="Calibri"/>
                <w:szCs w:val="24"/>
              </w:rPr>
            </w:pPr>
            <w:r w:rsidRPr="0021672B">
              <w:rPr>
                <w:rFonts w:cs="Calibri"/>
                <w:szCs w:val="24"/>
              </w:rPr>
              <w:t>13.1 – 15</w:t>
            </w:r>
          </w:p>
        </w:tc>
        <w:tc>
          <w:tcPr>
            <w:tcW w:w="3020" w:type="dxa"/>
          </w:tcPr>
          <w:p w14:paraId="2DB89E27" w14:textId="77777777" w:rsidR="00533569" w:rsidRDefault="00533569" w:rsidP="00533569">
            <w:pPr>
              <w:pStyle w:val="ListBullet"/>
              <w:numPr>
                <w:ilvl w:val="0"/>
                <w:numId w:val="0"/>
              </w:numPr>
              <w:rPr>
                <w:rFonts w:cs="Calibri"/>
                <w:szCs w:val="24"/>
              </w:rPr>
            </w:pPr>
            <w:r w:rsidRPr="0021672B">
              <w:rPr>
                <w:rFonts w:cs="Calibri"/>
                <w:szCs w:val="24"/>
              </w:rPr>
              <w:t>5</w:t>
            </w:r>
          </w:p>
        </w:tc>
        <w:tc>
          <w:tcPr>
            <w:tcW w:w="3020" w:type="dxa"/>
          </w:tcPr>
          <w:p w14:paraId="1E9801D5" w14:textId="77777777" w:rsidR="00533569" w:rsidRDefault="00533569" w:rsidP="00533569">
            <w:pPr>
              <w:pStyle w:val="ListBullet"/>
              <w:numPr>
                <w:ilvl w:val="0"/>
                <w:numId w:val="0"/>
              </w:numPr>
              <w:rPr>
                <w:rFonts w:cs="Calibri"/>
                <w:szCs w:val="24"/>
              </w:rPr>
            </w:pPr>
            <w:r w:rsidRPr="0021672B">
              <w:rPr>
                <w:rFonts w:cs="Calibri"/>
                <w:szCs w:val="24"/>
              </w:rPr>
              <w:t>2.5</w:t>
            </w:r>
          </w:p>
        </w:tc>
      </w:tr>
      <w:tr w:rsidR="00533569" w14:paraId="7EEA4A8C" w14:textId="77777777" w:rsidTr="00765665">
        <w:tc>
          <w:tcPr>
            <w:tcW w:w="3020" w:type="dxa"/>
          </w:tcPr>
          <w:p w14:paraId="170C70D0" w14:textId="77777777" w:rsidR="00533569" w:rsidRDefault="00533569" w:rsidP="00533569">
            <w:pPr>
              <w:pStyle w:val="ListBullet"/>
              <w:numPr>
                <w:ilvl w:val="0"/>
                <w:numId w:val="0"/>
              </w:numPr>
              <w:rPr>
                <w:rFonts w:cs="Calibri"/>
                <w:szCs w:val="24"/>
              </w:rPr>
            </w:pPr>
            <w:r w:rsidRPr="0021672B">
              <w:rPr>
                <w:rFonts w:cs="Calibri"/>
                <w:szCs w:val="24"/>
              </w:rPr>
              <w:t>15.1 – 20</w:t>
            </w:r>
          </w:p>
        </w:tc>
        <w:tc>
          <w:tcPr>
            <w:tcW w:w="3020" w:type="dxa"/>
          </w:tcPr>
          <w:p w14:paraId="5350879F" w14:textId="77777777" w:rsidR="00533569" w:rsidRDefault="00533569" w:rsidP="00533569">
            <w:pPr>
              <w:pStyle w:val="ListBullet"/>
              <w:numPr>
                <w:ilvl w:val="0"/>
                <w:numId w:val="0"/>
              </w:numPr>
              <w:rPr>
                <w:rFonts w:cs="Calibri"/>
                <w:szCs w:val="24"/>
              </w:rPr>
            </w:pPr>
            <w:r w:rsidRPr="0021672B">
              <w:rPr>
                <w:rFonts w:cs="Calibri"/>
                <w:szCs w:val="24"/>
              </w:rPr>
              <w:t>5.5</w:t>
            </w:r>
          </w:p>
        </w:tc>
        <w:tc>
          <w:tcPr>
            <w:tcW w:w="3020" w:type="dxa"/>
          </w:tcPr>
          <w:p w14:paraId="536FB11B" w14:textId="77777777" w:rsidR="00533569" w:rsidRDefault="00533569" w:rsidP="00533569">
            <w:pPr>
              <w:pStyle w:val="ListBullet"/>
              <w:numPr>
                <w:ilvl w:val="0"/>
                <w:numId w:val="0"/>
              </w:numPr>
              <w:rPr>
                <w:rFonts w:cs="Calibri"/>
                <w:szCs w:val="24"/>
              </w:rPr>
            </w:pPr>
            <w:r w:rsidRPr="0021672B">
              <w:rPr>
                <w:rFonts w:cs="Calibri"/>
                <w:szCs w:val="24"/>
              </w:rPr>
              <w:t>3</w:t>
            </w:r>
          </w:p>
        </w:tc>
      </w:tr>
      <w:tr w:rsidR="00533569" w14:paraId="605E1AB1" w14:textId="77777777" w:rsidTr="00765665">
        <w:tc>
          <w:tcPr>
            <w:tcW w:w="3020" w:type="dxa"/>
          </w:tcPr>
          <w:p w14:paraId="7D3AD2B8" w14:textId="77777777" w:rsidR="00533569" w:rsidRDefault="00533569" w:rsidP="00533569">
            <w:pPr>
              <w:pStyle w:val="ListBullet"/>
              <w:numPr>
                <w:ilvl w:val="0"/>
                <w:numId w:val="0"/>
              </w:numPr>
              <w:rPr>
                <w:rFonts w:cs="Calibri"/>
                <w:szCs w:val="24"/>
              </w:rPr>
            </w:pPr>
            <w:r w:rsidRPr="0021672B">
              <w:rPr>
                <w:rFonts w:cs="Calibri"/>
                <w:szCs w:val="24"/>
              </w:rPr>
              <w:t>20.1 – 25</w:t>
            </w:r>
          </w:p>
        </w:tc>
        <w:tc>
          <w:tcPr>
            <w:tcW w:w="3020" w:type="dxa"/>
          </w:tcPr>
          <w:p w14:paraId="54B2D268" w14:textId="77777777" w:rsidR="00533569" w:rsidRDefault="00533569" w:rsidP="00533569">
            <w:pPr>
              <w:pStyle w:val="ListBullet"/>
              <w:numPr>
                <w:ilvl w:val="0"/>
                <w:numId w:val="0"/>
              </w:numPr>
              <w:rPr>
                <w:rFonts w:cs="Calibri"/>
                <w:szCs w:val="24"/>
              </w:rPr>
            </w:pPr>
            <w:r w:rsidRPr="0021672B">
              <w:rPr>
                <w:rFonts w:cs="Calibri"/>
                <w:szCs w:val="24"/>
              </w:rPr>
              <w:t>6</w:t>
            </w:r>
          </w:p>
        </w:tc>
        <w:tc>
          <w:tcPr>
            <w:tcW w:w="3020" w:type="dxa"/>
          </w:tcPr>
          <w:p w14:paraId="6B3EB978" w14:textId="77777777" w:rsidR="00533569" w:rsidRDefault="00533569" w:rsidP="00533569">
            <w:pPr>
              <w:pStyle w:val="ListBullet"/>
              <w:numPr>
                <w:ilvl w:val="0"/>
                <w:numId w:val="0"/>
              </w:numPr>
              <w:rPr>
                <w:rFonts w:cs="Calibri"/>
                <w:szCs w:val="24"/>
              </w:rPr>
            </w:pPr>
            <w:r w:rsidRPr="0021672B">
              <w:rPr>
                <w:rFonts w:cs="Calibri"/>
                <w:szCs w:val="24"/>
              </w:rPr>
              <w:t>4</w:t>
            </w:r>
          </w:p>
        </w:tc>
      </w:tr>
      <w:tr w:rsidR="00533569" w14:paraId="2F040B64" w14:textId="77777777" w:rsidTr="00765665">
        <w:tc>
          <w:tcPr>
            <w:tcW w:w="3020" w:type="dxa"/>
          </w:tcPr>
          <w:p w14:paraId="1532D9EF" w14:textId="77777777" w:rsidR="00533569" w:rsidRDefault="00533569" w:rsidP="00533569">
            <w:pPr>
              <w:pStyle w:val="ListBullet"/>
              <w:numPr>
                <w:ilvl w:val="0"/>
                <w:numId w:val="0"/>
              </w:numPr>
              <w:rPr>
                <w:rFonts w:cs="Calibri"/>
                <w:szCs w:val="24"/>
              </w:rPr>
            </w:pPr>
            <w:r w:rsidRPr="0021672B">
              <w:rPr>
                <w:rFonts w:cs="Calibri"/>
                <w:szCs w:val="24"/>
              </w:rPr>
              <w:t>&gt;25.1</w:t>
            </w:r>
          </w:p>
        </w:tc>
        <w:tc>
          <w:tcPr>
            <w:tcW w:w="3020" w:type="dxa"/>
          </w:tcPr>
          <w:p w14:paraId="5ADF734C" w14:textId="77777777" w:rsidR="00533569" w:rsidRDefault="00533569" w:rsidP="00533569">
            <w:pPr>
              <w:pStyle w:val="ListBullet"/>
              <w:numPr>
                <w:ilvl w:val="0"/>
                <w:numId w:val="0"/>
              </w:numPr>
              <w:rPr>
                <w:rFonts w:cs="Calibri"/>
                <w:szCs w:val="24"/>
              </w:rPr>
            </w:pPr>
            <w:r w:rsidRPr="0021672B">
              <w:rPr>
                <w:rFonts w:cs="Calibri"/>
                <w:szCs w:val="24"/>
              </w:rPr>
              <w:t>6.5</w:t>
            </w:r>
          </w:p>
        </w:tc>
        <w:tc>
          <w:tcPr>
            <w:tcW w:w="3020" w:type="dxa"/>
          </w:tcPr>
          <w:p w14:paraId="495723C5" w14:textId="77777777" w:rsidR="00533569" w:rsidRDefault="00533569" w:rsidP="00533569">
            <w:pPr>
              <w:pStyle w:val="ListBullet"/>
              <w:numPr>
                <w:ilvl w:val="0"/>
                <w:numId w:val="0"/>
              </w:numPr>
              <w:rPr>
                <w:rFonts w:cs="Calibri"/>
                <w:szCs w:val="24"/>
              </w:rPr>
            </w:pPr>
            <w:r w:rsidRPr="0021672B">
              <w:rPr>
                <w:rFonts w:cs="Calibri"/>
                <w:szCs w:val="24"/>
              </w:rPr>
              <w:t>5</w:t>
            </w:r>
          </w:p>
        </w:tc>
      </w:tr>
    </w:tbl>
    <w:p w14:paraId="68710C78" w14:textId="77777777" w:rsidR="00C91EFA" w:rsidRDefault="00C91EFA" w:rsidP="00C91EFA">
      <w:pPr>
        <w:spacing w:after="200" w:line="276" w:lineRule="auto"/>
        <w:rPr>
          <w:i/>
          <w:iCs/>
        </w:rPr>
      </w:pPr>
    </w:p>
    <w:p w14:paraId="53F84477" w14:textId="77777777" w:rsidR="00C91EFA" w:rsidRDefault="00C91EFA" w:rsidP="00C91EFA">
      <w:pPr>
        <w:pBdr>
          <w:top w:val="single" w:sz="4" w:space="1" w:color="auto"/>
          <w:left w:val="single" w:sz="4" w:space="4" w:color="auto"/>
          <w:bottom w:val="single" w:sz="4" w:space="1" w:color="auto"/>
          <w:right w:val="single" w:sz="4" w:space="4" w:color="auto"/>
        </w:pBdr>
        <w:rPr>
          <w:b/>
          <w:bCs/>
        </w:rPr>
      </w:pPr>
      <w:bookmarkStart w:id="64" w:name="_Toc116893348"/>
      <w:r w:rsidRPr="00371615">
        <w:rPr>
          <w:b/>
          <w:bCs/>
        </w:rPr>
        <w:t xml:space="preserve">Alert </w:t>
      </w:r>
    </w:p>
    <w:p w14:paraId="76676025" w14:textId="77777777" w:rsidR="00C91EFA" w:rsidRPr="0062250E" w:rsidRDefault="00C91EFA" w:rsidP="00C91EFA">
      <w:pPr>
        <w:pBdr>
          <w:top w:val="single" w:sz="4" w:space="1" w:color="auto"/>
          <w:left w:val="single" w:sz="4" w:space="4" w:color="auto"/>
          <w:bottom w:val="single" w:sz="4" w:space="1" w:color="auto"/>
          <w:right w:val="single" w:sz="4" w:space="4" w:color="auto"/>
        </w:pBdr>
      </w:pPr>
      <w:r w:rsidRPr="0062250E">
        <w:t xml:space="preserve">In </w:t>
      </w:r>
      <w:r>
        <w:t>h</w:t>
      </w:r>
      <w:r w:rsidRPr="0062250E">
        <w:t>ypoglycaemia</w:t>
      </w:r>
      <w:bookmarkEnd w:id="64"/>
      <w:r>
        <w:t>, if the patient has altered consciousness or seizure initiate a MET (call 2222 from the Canberra Hospital or 0-000 for other locations) and page endocrine team through switch for an urgent review.</w:t>
      </w:r>
    </w:p>
    <w:p w14:paraId="76E06040" w14:textId="77777777" w:rsidR="00C91EFA" w:rsidRDefault="00C91EFA" w:rsidP="00C91EFA">
      <w:pPr>
        <w:pBdr>
          <w:top w:val="single" w:sz="4" w:space="1" w:color="auto"/>
          <w:left w:val="single" w:sz="4" w:space="4" w:color="auto"/>
          <w:bottom w:val="single" w:sz="4" w:space="1" w:color="auto"/>
          <w:right w:val="single" w:sz="4" w:space="4" w:color="auto"/>
        </w:pBdr>
        <w:rPr>
          <w:b/>
          <w:bCs/>
        </w:rPr>
      </w:pPr>
    </w:p>
    <w:p w14:paraId="18D97E59" w14:textId="77777777" w:rsidR="00C91EFA" w:rsidRPr="0062250E" w:rsidRDefault="00C91EFA" w:rsidP="00C91EFA">
      <w:pPr>
        <w:pBdr>
          <w:top w:val="single" w:sz="4" w:space="1" w:color="auto"/>
          <w:left w:val="single" w:sz="4" w:space="4" w:color="auto"/>
          <w:bottom w:val="single" w:sz="4" w:space="1" w:color="auto"/>
          <w:right w:val="single" w:sz="4" w:space="4" w:color="auto"/>
        </w:pBdr>
      </w:pPr>
      <w:r w:rsidRPr="0062250E">
        <w:t xml:space="preserve">If </w:t>
      </w:r>
      <w:proofErr w:type="spellStart"/>
      <w:r w:rsidRPr="0062250E">
        <w:t>cBGL</w:t>
      </w:r>
      <w:proofErr w:type="spellEnd"/>
      <w:r>
        <w:t xml:space="preserve"> is</w:t>
      </w:r>
      <w:r w:rsidRPr="0062250E">
        <w:t xml:space="preserve"> </w:t>
      </w:r>
      <w:r>
        <w:t>&lt;</w:t>
      </w:r>
      <w:r w:rsidRPr="0062250E">
        <w:t xml:space="preserve"> 4 mmol/L</w:t>
      </w:r>
      <w:r>
        <w:t xml:space="preserve"> but &gt; 3.5 mmol/L:</w:t>
      </w:r>
    </w:p>
    <w:p w14:paraId="6AD0E2FD" w14:textId="77777777" w:rsidR="00C91EFA" w:rsidRPr="00DE718E" w:rsidRDefault="00C91EFA" w:rsidP="00C91EFA">
      <w:pPr>
        <w:numPr>
          <w:ilvl w:val="0"/>
          <w:numId w:val="29"/>
        </w:numPr>
        <w:pBdr>
          <w:top w:val="single" w:sz="4" w:space="1" w:color="auto"/>
          <w:left w:val="single" w:sz="4" w:space="4" w:color="auto"/>
          <w:bottom w:val="single" w:sz="4" w:space="1" w:color="auto"/>
          <w:right w:val="single" w:sz="4" w:space="4" w:color="auto"/>
        </w:pBdr>
        <w:tabs>
          <w:tab w:val="num" w:pos="360"/>
        </w:tabs>
        <w:ind w:left="360"/>
      </w:pPr>
      <w:r>
        <w:t>stop the insulin infusion and continue the glucose infusion</w:t>
      </w:r>
    </w:p>
    <w:p w14:paraId="6AA0E8C3" w14:textId="77777777" w:rsidR="00C91EFA" w:rsidRPr="00DE718E" w:rsidRDefault="00C91EFA" w:rsidP="00C91EFA">
      <w:pPr>
        <w:numPr>
          <w:ilvl w:val="0"/>
          <w:numId w:val="29"/>
        </w:numPr>
        <w:pBdr>
          <w:top w:val="single" w:sz="4" w:space="1" w:color="auto"/>
          <w:left w:val="single" w:sz="4" w:space="4" w:color="auto"/>
          <w:bottom w:val="single" w:sz="4" w:space="1" w:color="auto"/>
          <w:right w:val="single" w:sz="4" w:space="4" w:color="auto"/>
        </w:pBdr>
        <w:tabs>
          <w:tab w:val="num" w:pos="360"/>
        </w:tabs>
        <w:ind w:left="360"/>
      </w:pPr>
      <w:r>
        <w:t xml:space="preserve">check </w:t>
      </w:r>
      <w:proofErr w:type="spellStart"/>
      <w:r>
        <w:t>cBGL</w:t>
      </w:r>
      <w:proofErr w:type="spellEnd"/>
      <w:r>
        <w:t xml:space="preserve"> every 15 minutes until </w:t>
      </w:r>
      <w:proofErr w:type="spellStart"/>
      <w:r>
        <w:t>cBGL</w:t>
      </w:r>
      <w:proofErr w:type="spellEnd"/>
      <w:r>
        <w:t xml:space="preserve"> is greater than 5mmol/L</w:t>
      </w:r>
    </w:p>
    <w:p w14:paraId="3A0E6D90" w14:textId="77777777" w:rsidR="00C91EFA" w:rsidRPr="00DE718E" w:rsidRDefault="00C91EFA" w:rsidP="00C91EFA">
      <w:pPr>
        <w:numPr>
          <w:ilvl w:val="0"/>
          <w:numId w:val="29"/>
        </w:numPr>
        <w:pBdr>
          <w:top w:val="single" w:sz="4" w:space="1" w:color="auto"/>
          <w:left w:val="single" w:sz="4" w:space="4" w:color="auto"/>
          <w:bottom w:val="single" w:sz="4" w:space="1" w:color="auto"/>
          <w:right w:val="single" w:sz="4" w:space="4" w:color="auto"/>
        </w:pBdr>
        <w:tabs>
          <w:tab w:val="num" w:pos="360"/>
        </w:tabs>
        <w:ind w:left="360"/>
      </w:pPr>
      <w:r>
        <w:t xml:space="preserve">once </w:t>
      </w:r>
      <w:proofErr w:type="spellStart"/>
      <w:r>
        <w:t>cBGL</w:t>
      </w:r>
      <w:proofErr w:type="spellEnd"/>
      <w:r>
        <w:t xml:space="preserve"> is greater than 5 mmol/L restart the insulin infusion at rate as per the table above. </w:t>
      </w:r>
    </w:p>
    <w:p w14:paraId="568DF64B" w14:textId="77777777" w:rsidR="00C91EFA" w:rsidRDefault="00C91EFA" w:rsidP="00C91EFA">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b/>
          <w:bCs/>
          <w:color w:val="000000"/>
          <w:szCs w:val="24"/>
          <w:lang w:eastAsia="en-AU"/>
        </w:rPr>
      </w:pPr>
    </w:p>
    <w:p w14:paraId="1F2E71F1" w14:textId="77777777" w:rsidR="00C91EFA" w:rsidRPr="00225BC8" w:rsidRDefault="00C91EFA" w:rsidP="00C91EFA">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olor w:val="000000"/>
          <w:szCs w:val="24"/>
          <w:lang w:eastAsia="en-AU"/>
        </w:rPr>
      </w:pPr>
      <w:r w:rsidRPr="00225BC8">
        <w:rPr>
          <w:rFonts w:asciiTheme="minorHAnsi" w:hAnsiTheme="minorHAnsi"/>
          <w:color w:val="000000"/>
          <w:szCs w:val="24"/>
          <w:lang w:eastAsia="en-AU"/>
        </w:rPr>
        <w:t xml:space="preserve">If </w:t>
      </w:r>
      <w:proofErr w:type="spellStart"/>
      <w:r w:rsidRPr="00225BC8">
        <w:rPr>
          <w:rFonts w:asciiTheme="minorHAnsi" w:hAnsiTheme="minorHAnsi"/>
          <w:color w:val="000000"/>
          <w:szCs w:val="24"/>
          <w:lang w:eastAsia="en-AU"/>
        </w:rPr>
        <w:t>cBGL</w:t>
      </w:r>
      <w:proofErr w:type="spellEnd"/>
      <w:r w:rsidRPr="00225BC8">
        <w:rPr>
          <w:rFonts w:asciiTheme="minorHAnsi" w:hAnsiTheme="minorHAnsi"/>
          <w:color w:val="000000"/>
          <w:szCs w:val="24"/>
          <w:lang w:eastAsia="en-AU"/>
        </w:rPr>
        <w:t xml:space="preserve"> is less than 3.5 mmol/L and/or the patient has symptoms of hypoglycaemia</w:t>
      </w:r>
    </w:p>
    <w:p w14:paraId="53D5E418" w14:textId="77777777" w:rsidR="00C91EFA" w:rsidRPr="00DE718E" w:rsidRDefault="00C91EFA" w:rsidP="00C91EFA">
      <w:pPr>
        <w:numPr>
          <w:ilvl w:val="0"/>
          <w:numId w:val="29"/>
        </w:numPr>
        <w:pBdr>
          <w:top w:val="single" w:sz="4" w:space="1" w:color="auto"/>
          <w:left w:val="single" w:sz="4" w:space="4" w:color="auto"/>
          <w:bottom w:val="single" w:sz="4" w:space="1" w:color="auto"/>
          <w:right w:val="single" w:sz="4" w:space="4" w:color="auto"/>
        </w:pBdr>
        <w:tabs>
          <w:tab w:val="num" w:pos="360"/>
        </w:tabs>
        <w:ind w:left="360"/>
      </w:pPr>
      <w:r>
        <w:t>stop the insulin infusion.</w:t>
      </w:r>
    </w:p>
    <w:p w14:paraId="4F9C59BD" w14:textId="77777777" w:rsidR="00C91EFA" w:rsidRDefault="00C91EFA" w:rsidP="00C91EFA">
      <w:pPr>
        <w:numPr>
          <w:ilvl w:val="0"/>
          <w:numId w:val="29"/>
        </w:numPr>
        <w:pBdr>
          <w:top w:val="single" w:sz="4" w:space="1" w:color="auto"/>
          <w:left w:val="single" w:sz="4" w:space="4" w:color="auto"/>
          <w:bottom w:val="single" w:sz="4" w:space="1" w:color="auto"/>
          <w:right w:val="single" w:sz="4" w:space="4" w:color="auto"/>
        </w:pBdr>
        <w:tabs>
          <w:tab w:val="num" w:pos="360"/>
        </w:tabs>
        <w:ind w:left="360"/>
      </w:pPr>
      <w:r>
        <w:t xml:space="preserve">administer a bolus of glucose by increasing the glucose infusion rate to 300 mL/hour </w:t>
      </w:r>
    </w:p>
    <w:p w14:paraId="3C2B8C84" w14:textId="77777777" w:rsidR="00C91EFA" w:rsidRDefault="00C91EFA" w:rsidP="00C91EFA">
      <w:pPr>
        <w:numPr>
          <w:ilvl w:val="0"/>
          <w:numId w:val="29"/>
        </w:numPr>
        <w:pBdr>
          <w:top w:val="single" w:sz="4" w:space="1" w:color="auto"/>
          <w:left w:val="single" w:sz="4" w:space="4" w:color="auto"/>
          <w:bottom w:val="single" w:sz="4" w:space="1" w:color="auto"/>
          <w:right w:val="single" w:sz="4" w:space="4" w:color="auto"/>
        </w:pBdr>
        <w:tabs>
          <w:tab w:val="num" w:pos="360"/>
        </w:tabs>
        <w:ind w:left="360"/>
      </w:pPr>
      <w:r>
        <w:t xml:space="preserve">check </w:t>
      </w:r>
      <w:proofErr w:type="spellStart"/>
      <w:r>
        <w:t>cBGL</w:t>
      </w:r>
      <w:proofErr w:type="spellEnd"/>
      <w:r>
        <w:t xml:space="preserve"> every 15 minutes until it is greater than 5 mmol/L.</w:t>
      </w:r>
    </w:p>
    <w:p w14:paraId="6DBA6A29" w14:textId="77777777" w:rsidR="00C91EFA" w:rsidRPr="00DE718E" w:rsidRDefault="00C91EFA" w:rsidP="00C91EFA">
      <w:pPr>
        <w:numPr>
          <w:ilvl w:val="0"/>
          <w:numId w:val="29"/>
        </w:numPr>
        <w:pBdr>
          <w:top w:val="single" w:sz="4" w:space="1" w:color="auto"/>
          <w:left w:val="single" w:sz="4" w:space="4" w:color="auto"/>
          <w:bottom w:val="single" w:sz="4" w:space="1" w:color="auto"/>
          <w:right w:val="single" w:sz="4" w:space="4" w:color="auto"/>
        </w:pBdr>
        <w:tabs>
          <w:tab w:val="num" w:pos="360"/>
        </w:tabs>
        <w:ind w:left="360"/>
      </w:pPr>
      <w:r>
        <w:t>arrange for an urgent endocrine review to plan further management of infusion.</w:t>
      </w:r>
    </w:p>
    <w:p w14:paraId="2387884E" w14:textId="77777777" w:rsidR="00C91EFA" w:rsidRDefault="00C91EFA" w:rsidP="00C91EFA">
      <w:pPr>
        <w:tabs>
          <w:tab w:val="num" w:pos="1430"/>
        </w:tabs>
        <w:rPr>
          <w:b/>
          <w:bCs/>
        </w:rPr>
      </w:pPr>
    </w:p>
    <w:p w14:paraId="2184D0E9" w14:textId="77777777" w:rsidR="00C91EFA" w:rsidRDefault="00C91EFA" w:rsidP="00C91EFA">
      <w:pPr>
        <w:pBdr>
          <w:top w:val="single" w:sz="4" w:space="1" w:color="auto"/>
          <w:left w:val="single" w:sz="4" w:space="4" w:color="auto"/>
          <w:bottom w:val="single" w:sz="4" w:space="1" w:color="auto"/>
          <w:right w:val="single" w:sz="4" w:space="4" w:color="auto"/>
        </w:pBdr>
        <w:rPr>
          <w:b/>
          <w:bCs/>
        </w:rPr>
      </w:pPr>
      <w:bookmarkStart w:id="65" w:name="_Toc116893349"/>
      <w:r w:rsidRPr="00371615">
        <w:rPr>
          <w:b/>
          <w:bCs/>
        </w:rPr>
        <w:t xml:space="preserve">Alert </w:t>
      </w:r>
    </w:p>
    <w:p w14:paraId="7F4F3370" w14:textId="77777777" w:rsidR="00C91EFA" w:rsidRDefault="00C91EFA" w:rsidP="00C91EFA">
      <w:pPr>
        <w:pBdr>
          <w:top w:val="single" w:sz="4" w:space="1" w:color="auto"/>
          <w:left w:val="single" w:sz="4" w:space="4" w:color="auto"/>
          <w:bottom w:val="single" w:sz="4" w:space="1" w:color="auto"/>
          <w:right w:val="single" w:sz="4" w:space="4" w:color="auto"/>
        </w:pBdr>
      </w:pPr>
      <w:r w:rsidRPr="0062250E">
        <w:t>In hyperglycaemia</w:t>
      </w:r>
      <w:bookmarkEnd w:id="65"/>
      <w:r>
        <w:t>, i</w:t>
      </w:r>
      <w:r w:rsidRPr="008D1239">
        <w:t xml:space="preserve">f </w:t>
      </w:r>
      <w:proofErr w:type="spellStart"/>
      <w:r w:rsidRPr="008D1239">
        <w:t>cBGL</w:t>
      </w:r>
      <w:proofErr w:type="spellEnd"/>
      <w:r w:rsidRPr="008D1239">
        <w:t xml:space="preserve"> remains greater than 11mmol/L for more than 2 hours and there is no downward trend from previous higher readings, measure blood ketones</w:t>
      </w:r>
      <w:r>
        <w:t xml:space="preserve"> and</w:t>
      </w:r>
      <w:r w:rsidRPr="008D1239">
        <w:t xml:space="preserve"> seek endocrine review.</w:t>
      </w:r>
    </w:p>
    <w:p w14:paraId="1C7543C1" w14:textId="77777777" w:rsidR="00C91EFA" w:rsidRPr="008D1239" w:rsidRDefault="00C91EFA" w:rsidP="00C91EFA">
      <w:pPr>
        <w:pStyle w:val="ListParagraph"/>
        <w:ind w:left="0"/>
        <w:rPr>
          <w:b/>
          <w:bCs/>
        </w:rPr>
      </w:pPr>
    </w:p>
    <w:p w14:paraId="59B50486" w14:textId="77777777" w:rsidR="00C91EFA" w:rsidRDefault="00C91EFA" w:rsidP="00C91EFA">
      <w:pPr>
        <w:pBdr>
          <w:top w:val="single" w:sz="4" w:space="1" w:color="auto"/>
          <w:left w:val="single" w:sz="4" w:space="4" w:color="auto"/>
          <w:bottom w:val="single" w:sz="4" w:space="1" w:color="auto"/>
          <w:right w:val="single" w:sz="4" w:space="4" w:color="auto"/>
        </w:pBdr>
        <w:rPr>
          <w:b/>
          <w:bCs/>
        </w:rPr>
      </w:pPr>
      <w:bookmarkStart w:id="66" w:name="_Toc116893350"/>
      <w:r w:rsidRPr="00371615">
        <w:rPr>
          <w:b/>
          <w:bCs/>
        </w:rPr>
        <w:t>Alert</w:t>
      </w:r>
    </w:p>
    <w:p w14:paraId="107B787A" w14:textId="77777777" w:rsidR="00C91EFA" w:rsidRPr="0062250E" w:rsidRDefault="00C91EFA" w:rsidP="00C91EFA">
      <w:pPr>
        <w:pBdr>
          <w:top w:val="single" w:sz="4" w:space="1" w:color="auto"/>
          <w:left w:val="single" w:sz="4" w:space="4" w:color="auto"/>
          <w:bottom w:val="single" w:sz="4" w:space="1" w:color="auto"/>
          <w:right w:val="single" w:sz="4" w:space="4" w:color="auto"/>
        </w:pBdr>
      </w:pPr>
      <w:r w:rsidRPr="0062250E">
        <w:t>Urgent endocrine review</w:t>
      </w:r>
      <w:bookmarkEnd w:id="66"/>
      <w:r>
        <w:t xml:space="preserve"> is required if:</w:t>
      </w:r>
    </w:p>
    <w:p w14:paraId="6BC99418" w14:textId="77777777" w:rsidR="00C91EFA" w:rsidRDefault="00C91EFA" w:rsidP="00C91EFA">
      <w:pPr>
        <w:pStyle w:val="ListBullet"/>
        <w:numPr>
          <w:ilvl w:val="0"/>
          <w:numId w:val="8"/>
        </w:numPr>
        <w:pBdr>
          <w:top w:val="single" w:sz="4" w:space="1" w:color="auto"/>
          <w:left w:val="single" w:sz="4" w:space="4" w:color="auto"/>
          <w:bottom w:val="single" w:sz="4" w:space="1" w:color="auto"/>
          <w:right w:val="single" w:sz="4" w:space="4" w:color="auto"/>
        </w:pBdr>
      </w:pPr>
      <w:r>
        <w:t>b</w:t>
      </w:r>
      <w:r w:rsidRPr="00477BAF">
        <w:t>lood ketones &gt;0.6 mmol/L</w:t>
      </w:r>
    </w:p>
    <w:p w14:paraId="2F434A44" w14:textId="77777777" w:rsidR="00C91EFA" w:rsidRPr="00242377" w:rsidRDefault="00C91EFA" w:rsidP="00C91EFA">
      <w:pPr>
        <w:pStyle w:val="ListBullet"/>
        <w:widowControl w:val="0"/>
        <w:numPr>
          <w:ilvl w:val="0"/>
          <w:numId w:val="8"/>
        </w:numPr>
        <w:pBdr>
          <w:top w:val="single" w:sz="4" w:space="1" w:color="auto"/>
          <w:left w:val="single" w:sz="4" w:space="4" w:color="auto"/>
          <w:bottom w:val="single" w:sz="4" w:space="1" w:color="auto"/>
          <w:right w:val="single" w:sz="4" w:space="4" w:color="auto"/>
        </w:pBdr>
        <w:tabs>
          <w:tab w:val="left" w:pos="360"/>
        </w:tabs>
        <w:autoSpaceDE w:val="0"/>
        <w:autoSpaceDN w:val="0"/>
        <w:adjustRightInd w:val="0"/>
        <w:rPr>
          <w:rFonts w:asciiTheme="minorHAnsi" w:hAnsiTheme="minorHAnsi"/>
          <w:b/>
          <w:bCs/>
          <w:szCs w:val="24"/>
          <w:lang w:val="en-GB"/>
        </w:rPr>
      </w:pPr>
      <w:proofErr w:type="spellStart"/>
      <w:r>
        <w:t>cBGL</w:t>
      </w:r>
      <w:proofErr w:type="spellEnd"/>
      <w:r>
        <w:t xml:space="preserve"> is greater than 20</w:t>
      </w:r>
      <w:r w:rsidRPr="009718DB">
        <w:t>mmol/L</w:t>
      </w:r>
      <w:r>
        <w:t>.</w:t>
      </w:r>
    </w:p>
    <w:p w14:paraId="4384DBC2" w14:textId="77777777" w:rsidR="00C91EFA" w:rsidRDefault="00C91EFA" w:rsidP="00C91EFA">
      <w:pPr>
        <w:rPr>
          <w:b/>
          <w:bCs/>
        </w:rPr>
      </w:pPr>
    </w:p>
    <w:p w14:paraId="5AEF7F23" w14:textId="77777777" w:rsidR="00C91EFA" w:rsidRDefault="00C91EFA" w:rsidP="00C91EFA">
      <w:pPr>
        <w:rPr>
          <w:i/>
          <w:iCs/>
        </w:rPr>
      </w:pPr>
      <w:r>
        <w:t xml:space="preserve">For further information, see </w:t>
      </w:r>
      <w:r w:rsidRPr="006B1CCA">
        <w:rPr>
          <w:i/>
          <w:iCs/>
        </w:rPr>
        <w:t>Diabetes Management: Including Hypoglycaemia, IV Insulin Infusions and Insulin Pumps (Adults only)</w:t>
      </w:r>
      <w:r>
        <w:t xml:space="preserve"> (available on the Policy and guidance Documents Register)</w:t>
      </w:r>
      <w:r w:rsidRPr="006B1CCA">
        <w:rPr>
          <w:i/>
          <w:iCs/>
        </w:rPr>
        <w:t xml:space="preserve">. </w:t>
      </w:r>
    </w:p>
    <w:p w14:paraId="30ED3D81" w14:textId="77777777" w:rsidR="00C91EFA" w:rsidRDefault="00C91EFA" w:rsidP="00C91EFA">
      <w:pPr>
        <w:rPr>
          <w:b/>
          <w:bCs/>
        </w:rPr>
      </w:pPr>
    </w:p>
    <w:p w14:paraId="185D44E6" w14:textId="77777777" w:rsidR="00C91EFA" w:rsidRPr="00B919F6" w:rsidRDefault="00C91EFA" w:rsidP="00C91EFA">
      <w:pPr>
        <w:rPr>
          <w:b/>
          <w:bCs/>
        </w:rPr>
      </w:pPr>
      <w:bookmarkStart w:id="67" w:name="_Toc116893351"/>
      <w:r w:rsidRPr="00B919F6">
        <w:rPr>
          <w:b/>
          <w:bCs/>
        </w:rPr>
        <w:t xml:space="preserve">Insulin management for Type </w:t>
      </w:r>
      <w:r>
        <w:rPr>
          <w:b/>
          <w:bCs/>
        </w:rPr>
        <w:t>1</w:t>
      </w:r>
      <w:r w:rsidRPr="00B919F6">
        <w:rPr>
          <w:b/>
          <w:bCs/>
        </w:rPr>
        <w:t xml:space="preserve"> </w:t>
      </w:r>
      <w:r>
        <w:rPr>
          <w:b/>
          <w:bCs/>
        </w:rPr>
        <w:t xml:space="preserve">DM </w:t>
      </w:r>
      <w:r w:rsidRPr="00B919F6">
        <w:rPr>
          <w:b/>
          <w:bCs/>
        </w:rPr>
        <w:t>after birth of placenta</w:t>
      </w:r>
      <w:bookmarkEnd w:id="67"/>
      <w:r w:rsidRPr="00B919F6">
        <w:rPr>
          <w:b/>
          <w:bCs/>
        </w:rPr>
        <w:t xml:space="preserve"> </w:t>
      </w:r>
    </w:p>
    <w:p w14:paraId="4D28E686" w14:textId="77777777" w:rsidR="00C91EFA" w:rsidRDefault="00C91EFA" w:rsidP="00C91EFA">
      <w:pPr>
        <w:rPr>
          <w:rFonts w:asciiTheme="minorHAnsi" w:hAnsiTheme="minorHAnsi" w:cstheme="minorHAnsi"/>
          <w:szCs w:val="24"/>
        </w:rPr>
      </w:pPr>
      <w:r w:rsidRPr="00B919F6">
        <w:rPr>
          <w:rFonts w:asciiTheme="minorHAnsi" w:hAnsiTheme="minorHAnsi" w:cstheme="minorHAnsi"/>
          <w:szCs w:val="24"/>
        </w:rPr>
        <w:t>Cessation of insulin infusion and recommencement of subcutaneous insulin will be specified by the endocrinology team. Plan for management of insulin post birth will be documented in the patient’s clinical record</w:t>
      </w:r>
      <w:r>
        <w:rPr>
          <w:rFonts w:asciiTheme="minorHAnsi" w:hAnsiTheme="minorHAnsi" w:cstheme="minorHAnsi"/>
          <w:szCs w:val="24"/>
        </w:rPr>
        <w:t>.</w:t>
      </w:r>
    </w:p>
    <w:p w14:paraId="35207AA6" w14:textId="77777777" w:rsidR="00C91EFA" w:rsidRDefault="00C91EFA" w:rsidP="00C91EFA">
      <w:pPr>
        <w:rPr>
          <w:rFonts w:asciiTheme="minorHAnsi" w:hAnsiTheme="minorHAnsi" w:cstheme="minorHAnsi"/>
          <w:szCs w:val="24"/>
        </w:rPr>
      </w:pPr>
    </w:p>
    <w:p w14:paraId="1959775D" w14:textId="1844E575" w:rsidR="0045381A" w:rsidRDefault="00C91EFA" w:rsidP="00C91EFA">
      <w:r>
        <w:t>Patient</w:t>
      </w:r>
      <w:r w:rsidRPr="005800EA">
        <w:t xml:space="preserve"> insulin requirement</w:t>
      </w:r>
      <w:r>
        <w:t>s</w:t>
      </w:r>
      <w:r w:rsidRPr="005800EA">
        <w:t xml:space="preserve"> fall dramatically immediately </w:t>
      </w:r>
      <w:r>
        <w:t xml:space="preserve">after the </w:t>
      </w:r>
      <w:r w:rsidRPr="005800EA">
        <w:t xml:space="preserve">birth of </w:t>
      </w:r>
      <w:r>
        <w:t xml:space="preserve">the </w:t>
      </w:r>
      <w:r w:rsidRPr="005800EA">
        <w:t xml:space="preserve">placenta. </w:t>
      </w:r>
      <w:r>
        <w:t xml:space="preserve">Alter the rate of insulin infusion to meet post birth insulin requirements as per </w:t>
      </w:r>
      <w:r w:rsidRPr="00B929ED">
        <w:t xml:space="preserve">Table </w:t>
      </w:r>
      <w:r>
        <w:t>3</w:t>
      </w:r>
      <w:r>
        <w:rPr>
          <w:b/>
          <w:bCs/>
        </w:rPr>
        <w:t xml:space="preserve"> </w:t>
      </w:r>
      <w:r w:rsidRPr="003352F6">
        <w:t>as soon as the placenta is born.</w:t>
      </w:r>
      <w:r>
        <w:t xml:space="preserve"> Monitor carefully for hypoglycaemia. Do NOT stop insulin infusion without prior administration of subcutaneous insulin.</w:t>
      </w:r>
    </w:p>
    <w:p w14:paraId="3D4A5F79" w14:textId="77777777" w:rsidR="00C91EFA" w:rsidRDefault="00C91EFA" w:rsidP="00C91EFA"/>
    <w:p w14:paraId="39633BFC" w14:textId="77777777" w:rsidR="0045381A" w:rsidRDefault="0045381A" w:rsidP="00C91EFA"/>
    <w:p w14:paraId="542B7BD2" w14:textId="77777777" w:rsidR="0045381A" w:rsidRDefault="0045381A" w:rsidP="00C91EFA"/>
    <w:p w14:paraId="03BA3B9F" w14:textId="77777777" w:rsidR="0045381A" w:rsidRDefault="0045381A" w:rsidP="00C91EFA"/>
    <w:p w14:paraId="52044127" w14:textId="77777777" w:rsidR="0045381A" w:rsidRDefault="0045381A" w:rsidP="00C91EFA"/>
    <w:p w14:paraId="3FE56DE8" w14:textId="77777777" w:rsidR="0045381A" w:rsidRDefault="0045381A" w:rsidP="00C91EFA"/>
    <w:p w14:paraId="6CEECC1D" w14:textId="77777777" w:rsidR="0045381A" w:rsidRDefault="0045381A" w:rsidP="00C91EFA"/>
    <w:p w14:paraId="06C3A07C" w14:textId="77777777" w:rsidR="0045381A" w:rsidRDefault="0045381A" w:rsidP="00C91EFA"/>
    <w:p w14:paraId="36205747" w14:textId="77777777" w:rsidR="0045381A" w:rsidRDefault="0045381A" w:rsidP="00C91EFA"/>
    <w:p w14:paraId="3468583A" w14:textId="77777777" w:rsidR="0045381A" w:rsidRDefault="0045381A" w:rsidP="00C91EFA"/>
    <w:p w14:paraId="7B331883" w14:textId="77777777" w:rsidR="0045381A" w:rsidRDefault="0045381A" w:rsidP="00C91EFA"/>
    <w:p w14:paraId="28B07EB5" w14:textId="77777777" w:rsidR="0045381A" w:rsidRDefault="0045381A" w:rsidP="00C91EFA"/>
    <w:p w14:paraId="2497B12D" w14:textId="77777777" w:rsidR="0045381A" w:rsidRDefault="0045381A" w:rsidP="00C91EFA"/>
    <w:p w14:paraId="1D33A608" w14:textId="77777777" w:rsidR="0045381A" w:rsidRDefault="0045381A" w:rsidP="00C91EFA"/>
    <w:p w14:paraId="693D7D5F" w14:textId="77777777" w:rsidR="00C91EFA" w:rsidRDefault="00C91EFA" w:rsidP="00C91EFA">
      <w:pPr>
        <w:rPr>
          <w:b/>
          <w:bCs/>
        </w:rPr>
      </w:pPr>
      <w:r>
        <w:rPr>
          <w:b/>
          <w:bCs/>
        </w:rPr>
        <w:lastRenderedPageBreak/>
        <w:t>Table 4. Management of insulin infusion after birth of placenta</w:t>
      </w:r>
    </w:p>
    <w:tbl>
      <w:tblPr>
        <w:tblStyle w:val="TableGrid"/>
        <w:tblW w:w="0" w:type="auto"/>
        <w:tblLook w:val="04A0" w:firstRow="1" w:lastRow="0" w:firstColumn="1" w:lastColumn="0" w:noHBand="0" w:noVBand="1"/>
      </w:tblPr>
      <w:tblGrid>
        <w:gridCol w:w="2861"/>
        <w:gridCol w:w="6155"/>
      </w:tblGrid>
      <w:tr w:rsidR="00C91EFA" w14:paraId="42EA21E2" w14:textId="77777777" w:rsidTr="00B3038D">
        <w:tc>
          <w:tcPr>
            <w:tcW w:w="2861" w:type="dxa"/>
            <w:tcBorders>
              <w:right w:val="single" w:sz="4" w:space="0" w:color="auto"/>
            </w:tcBorders>
            <w:shd w:val="clear" w:color="auto" w:fill="D9D9D9" w:themeFill="background1" w:themeFillShade="D9"/>
          </w:tcPr>
          <w:p w14:paraId="76FF8C3C" w14:textId="77777777" w:rsidR="00C91EFA" w:rsidRPr="00677BA4" w:rsidRDefault="00C91EFA" w:rsidP="00B3038D">
            <w:pPr>
              <w:rPr>
                <w:rFonts w:eastAsiaTheme="majorEastAsia"/>
                <w:b/>
                <w:bCs/>
              </w:rPr>
            </w:pPr>
            <w:r w:rsidRPr="00677BA4">
              <w:rPr>
                <w:rFonts w:eastAsiaTheme="majorEastAsia"/>
                <w:b/>
                <w:bCs/>
              </w:rPr>
              <w:t>Type 1 Diabetes</w:t>
            </w:r>
          </w:p>
        </w:tc>
        <w:tc>
          <w:tcPr>
            <w:tcW w:w="6155" w:type="dxa"/>
            <w:tcBorders>
              <w:left w:val="single" w:sz="4" w:space="0" w:color="auto"/>
            </w:tcBorders>
            <w:shd w:val="clear" w:color="auto" w:fill="D9D9D9" w:themeFill="background1" w:themeFillShade="D9"/>
          </w:tcPr>
          <w:p w14:paraId="44B3DB20" w14:textId="77777777" w:rsidR="00C91EFA" w:rsidRDefault="00C91EFA" w:rsidP="00B3038D">
            <w:pPr>
              <w:keepNext/>
              <w:keepLines/>
              <w:spacing w:before="40"/>
              <w:outlineLvl w:val="4"/>
              <w:rPr>
                <w:rFonts w:asciiTheme="minorHAnsi" w:eastAsiaTheme="majorEastAsia" w:hAnsiTheme="minorHAnsi"/>
                <w:b/>
                <w:szCs w:val="24"/>
              </w:rPr>
            </w:pPr>
            <w:r w:rsidRPr="00677BA4">
              <w:rPr>
                <w:rFonts w:eastAsiaTheme="majorEastAsia"/>
                <w:b/>
                <w:bCs/>
              </w:rPr>
              <w:t>Post birth of placenta</w:t>
            </w:r>
          </w:p>
        </w:tc>
      </w:tr>
      <w:tr w:rsidR="00C91EFA" w14:paraId="3DE487A4" w14:textId="77777777" w:rsidTr="00B3038D">
        <w:tc>
          <w:tcPr>
            <w:tcW w:w="2861" w:type="dxa"/>
            <w:tcBorders>
              <w:right w:val="single" w:sz="4" w:space="0" w:color="auto"/>
            </w:tcBorders>
          </w:tcPr>
          <w:p w14:paraId="2B22AAFA" w14:textId="77777777" w:rsidR="00C91EFA" w:rsidRDefault="00C91EFA" w:rsidP="00B3038D">
            <w:pPr>
              <w:keepNext/>
              <w:keepLines/>
              <w:spacing w:before="40"/>
              <w:outlineLvl w:val="4"/>
              <w:rPr>
                <w:rFonts w:asciiTheme="minorHAnsi" w:eastAsiaTheme="majorEastAsia" w:hAnsiTheme="minorHAnsi"/>
                <w:b/>
                <w:szCs w:val="24"/>
              </w:rPr>
            </w:pPr>
            <w:r>
              <w:rPr>
                <w:rFonts w:asciiTheme="minorHAnsi" w:eastAsiaTheme="majorEastAsia" w:hAnsiTheme="minorHAnsi"/>
                <w:b/>
                <w:szCs w:val="24"/>
              </w:rPr>
              <w:t>Insulin Infusion</w:t>
            </w:r>
          </w:p>
        </w:tc>
        <w:tc>
          <w:tcPr>
            <w:tcW w:w="6155" w:type="dxa"/>
            <w:tcBorders>
              <w:left w:val="single" w:sz="4" w:space="0" w:color="auto"/>
            </w:tcBorders>
          </w:tcPr>
          <w:p w14:paraId="6C06046C" w14:textId="77777777" w:rsidR="00C91EFA" w:rsidRPr="00B929ED" w:rsidRDefault="00C91EFA" w:rsidP="00B3038D">
            <w:pPr>
              <w:keepNext/>
              <w:keepLines/>
              <w:spacing w:before="40"/>
              <w:outlineLvl w:val="4"/>
            </w:pPr>
            <w:r>
              <w:t>H</w:t>
            </w:r>
            <w:r w:rsidRPr="005B6115">
              <w:t xml:space="preserve">alve the </w:t>
            </w:r>
            <w:r>
              <w:t xml:space="preserve">current </w:t>
            </w:r>
            <w:r w:rsidRPr="005B6115">
              <w:t xml:space="preserve">infusion rate and follow the post birth protocol </w:t>
            </w:r>
            <w:r>
              <w:t xml:space="preserve">in </w:t>
            </w:r>
            <w:r w:rsidRPr="0012076C">
              <w:rPr>
                <w:b/>
                <w:bCs/>
              </w:rPr>
              <w:t xml:space="preserve">Table </w:t>
            </w:r>
            <w:r>
              <w:rPr>
                <w:b/>
                <w:bCs/>
              </w:rPr>
              <w:t>3</w:t>
            </w:r>
          </w:p>
        </w:tc>
      </w:tr>
      <w:tr w:rsidR="00C91EFA" w14:paraId="30A7C63C" w14:textId="77777777" w:rsidTr="00B3038D">
        <w:tc>
          <w:tcPr>
            <w:tcW w:w="2861" w:type="dxa"/>
            <w:tcBorders>
              <w:right w:val="single" w:sz="4" w:space="0" w:color="auto"/>
            </w:tcBorders>
          </w:tcPr>
          <w:p w14:paraId="03346158" w14:textId="77777777" w:rsidR="00C91EFA" w:rsidRDefault="00C91EFA" w:rsidP="00B3038D">
            <w:pPr>
              <w:keepNext/>
              <w:keepLines/>
              <w:spacing w:before="40"/>
              <w:outlineLvl w:val="4"/>
              <w:rPr>
                <w:rFonts w:asciiTheme="minorHAnsi" w:eastAsiaTheme="majorEastAsia" w:hAnsiTheme="minorHAnsi"/>
                <w:b/>
                <w:szCs w:val="24"/>
              </w:rPr>
            </w:pPr>
            <w:r>
              <w:rPr>
                <w:rFonts w:asciiTheme="minorHAnsi" w:eastAsiaTheme="majorEastAsia" w:hAnsiTheme="minorHAnsi"/>
                <w:b/>
                <w:szCs w:val="24"/>
              </w:rPr>
              <w:t>Glucose sideline</w:t>
            </w:r>
          </w:p>
        </w:tc>
        <w:tc>
          <w:tcPr>
            <w:tcW w:w="6155" w:type="dxa"/>
            <w:tcBorders>
              <w:left w:val="single" w:sz="4" w:space="0" w:color="auto"/>
            </w:tcBorders>
          </w:tcPr>
          <w:p w14:paraId="0B871A61" w14:textId="77777777" w:rsidR="00C91EFA" w:rsidRPr="005B6115" w:rsidRDefault="00C91EFA" w:rsidP="00B3038D">
            <w:r>
              <w:t>G</w:t>
            </w:r>
            <w:r w:rsidRPr="005B6115">
              <w:t xml:space="preserve">lucose sideline infusion </w:t>
            </w:r>
            <w:r>
              <w:t>must</w:t>
            </w:r>
            <w:r w:rsidRPr="005B6115">
              <w:t xml:space="preserve"> be continued until the </w:t>
            </w:r>
            <w:r>
              <w:t>patient</w:t>
            </w:r>
            <w:r w:rsidRPr="005B6115">
              <w:t xml:space="preserve"> is tolerating an adequate carbohydrate intake</w:t>
            </w:r>
          </w:p>
          <w:p w14:paraId="590BB190" w14:textId="77777777" w:rsidR="00C91EFA" w:rsidRDefault="00C91EFA" w:rsidP="00B3038D">
            <w:pPr>
              <w:keepNext/>
              <w:keepLines/>
              <w:spacing w:before="40"/>
              <w:outlineLvl w:val="4"/>
              <w:rPr>
                <w:rFonts w:asciiTheme="minorHAnsi" w:eastAsiaTheme="majorEastAsia" w:hAnsiTheme="minorHAnsi"/>
                <w:b/>
                <w:szCs w:val="24"/>
              </w:rPr>
            </w:pPr>
          </w:p>
        </w:tc>
      </w:tr>
      <w:tr w:rsidR="00C91EFA" w14:paraId="5729C7A3" w14:textId="77777777" w:rsidTr="00B3038D">
        <w:tc>
          <w:tcPr>
            <w:tcW w:w="2861" w:type="dxa"/>
            <w:tcBorders>
              <w:right w:val="single" w:sz="4" w:space="0" w:color="auto"/>
            </w:tcBorders>
          </w:tcPr>
          <w:p w14:paraId="2F6CA9B0" w14:textId="77777777" w:rsidR="00C91EFA" w:rsidRDefault="00C91EFA" w:rsidP="00B3038D">
            <w:pPr>
              <w:keepNext/>
              <w:keepLines/>
              <w:spacing w:before="40"/>
              <w:outlineLvl w:val="4"/>
              <w:rPr>
                <w:rFonts w:asciiTheme="minorHAnsi" w:eastAsiaTheme="majorEastAsia" w:hAnsiTheme="minorHAnsi"/>
                <w:b/>
                <w:szCs w:val="24"/>
              </w:rPr>
            </w:pPr>
            <w:r>
              <w:rPr>
                <w:rFonts w:asciiTheme="minorHAnsi" w:eastAsiaTheme="majorEastAsia" w:hAnsiTheme="minorHAnsi"/>
                <w:b/>
                <w:szCs w:val="24"/>
              </w:rPr>
              <w:t>BGL monitoring</w:t>
            </w:r>
          </w:p>
        </w:tc>
        <w:tc>
          <w:tcPr>
            <w:tcW w:w="6155" w:type="dxa"/>
            <w:tcBorders>
              <w:left w:val="single" w:sz="4" w:space="0" w:color="auto"/>
            </w:tcBorders>
          </w:tcPr>
          <w:p w14:paraId="76B6A01F" w14:textId="77777777" w:rsidR="00C91EFA" w:rsidRDefault="00C91EFA" w:rsidP="00B3038D">
            <w:pPr>
              <w:keepNext/>
              <w:keepLines/>
              <w:spacing w:before="40"/>
              <w:outlineLvl w:val="4"/>
              <w:rPr>
                <w:rFonts w:asciiTheme="minorHAnsi" w:eastAsiaTheme="majorEastAsia" w:hAnsiTheme="minorHAnsi"/>
                <w:b/>
                <w:szCs w:val="24"/>
              </w:rPr>
            </w:pPr>
            <w:r w:rsidRPr="00251AFF">
              <w:t xml:space="preserve">1/2 hourly for 2 hours </w:t>
            </w:r>
            <w:r>
              <w:t xml:space="preserve">then every 2 hours </w:t>
            </w:r>
            <w:r w:rsidRPr="00251AFF">
              <w:t>until subcutaneous</w:t>
            </w:r>
            <w:r>
              <w:t xml:space="preserve"> insulin recommenced.</w:t>
            </w:r>
          </w:p>
        </w:tc>
      </w:tr>
      <w:tr w:rsidR="003946BC" w14:paraId="40D700C8" w14:textId="77777777" w:rsidTr="001368FF">
        <w:trPr>
          <w:trHeight w:val="2767"/>
        </w:trPr>
        <w:tc>
          <w:tcPr>
            <w:tcW w:w="2861" w:type="dxa"/>
            <w:tcBorders>
              <w:right w:val="single" w:sz="4" w:space="0" w:color="auto"/>
            </w:tcBorders>
          </w:tcPr>
          <w:p w14:paraId="78DC9426" w14:textId="77777777" w:rsidR="003946BC" w:rsidRDefault="003946BC" w:rsidP="00B3038D">
            <w:pPr>
              <w:keepNext/>
              <w:keepLines/>
              <w:spacing w:before="40"/>
              <w:outlineLvl w:val="4"/>
              <w:rPr>
                <w:rFonts w:asciiTheme="minorHAnsi" w:eastAsiaTheme="majorEastAsia" w:hAnsiTheme="minorHAnsi"/>
                <w:b/>
                <w:szCs w:val="24"/>
              </w:rPr>
            </w:pPr>
            <w:r>
              <w:rPr>
                <w:rFonts w:asciiTheme="minorHAnsi" w:eastAsiaTheme="majorEastAsia" w:hAnsiTheme="minorHAnsi"/>
                <w:b/>
                <w:szCs w:val="24"/>
              </w:rPr>
              <w:t>Subcutaneous Insulin</w:t>
            </w:r>
          </w:p>
          <w:p w14:paraId="412C7123" w14:textId="77777777" w:rsidR="003946BC" w:rsidRPr="003352F6" w:rsidRDefault="003946BC" w:rsidP="00B3038D">
            <w:pPr>
              <w:rPr>
                <w:rFonts w:asciiTheme="minorHAnsi" w:eastAsiaTheme="majorEastAsia" w:hAnsiTheme="minorHAnsi"/>
                <w:szCs w:val="24"/>
              </w:rPr>
            </w:pPr>
          </w:p>
          <w:p w14:paraId="60FD24F4" w14:textId="77777777" w:rsidR="003946BC" w:rsidRPr="003352F6" w:rsidRDefault="003946BC" w:rsidP="00B3038D">
            <w:pPr>
              <w:rPr>
                <w:rFonts w:asciiTheme="minorHAnsi" w:eastAsiaTheme="majorEastAsia" w:hAnsiTheme="minorHAnsi"/>
                <w:szCs w:val="24"/>
              </w:rPr>
            </w:pPr>
          </w:p>
          <w:p w14:paraId="6A7F8B4A" w14:textId="77777777" w:rsidR="003946BC" w:rsidRPr="003352F6" w:rsidRDefault="003946BC" w:rsidP="00B3038D">
            <w:pPr>
              <w:rPr>
                <w:rFonts w:asciiTheme="minorHAnsi" w:eastAsiaTheme="majorEastAsia" w:hAnsiTheme="minorHAnsi"/>
                <w:szCs w:val="24"/>
              </w:rPr>
            </w:pPr>
          </w:p>
          <w:p w14:paraId="3A0F903E" w14:textId="77777777" w:rsidR="003946BC" w:rsidRPr="003352F6" w:rsidRDefault="003946BC" w:rsidP="00B3038D">
            <w:pPr>
              <w:rPr>
                <w:rFonts w:asciiTheme="minorHAnsi" w:eastAsiaTheme="majorEastAsia" w:hAnsiTheme="minorHAnsi"/>
                <w:szCs w:val="24"/>
              </w:rPr>
            </w:pPr>
          </w:p>
          <w:p w14:paraId="021D65C1" w14:textId="77777777" w:rsidR="003946BC" w:rsidRPr="003352F6" w:rsidRDefault="003946BC" w:rsidP="00B3038D">
            <w:pPr>
              <w:rPr>
                <w:rFonts w:asciiTheme="minorHAnsi" w:eastAsiaTheme="majorEastAsia" w:hAnsiTheme="minorHAnsi"/>
                <w:szCs w:val="24"/>
              </w:rPr>
            </w:pPr>
          </w:p>
          <w:p w14:paraId="3CD55EAD" w14:textId="77777777" w:rsidR="003946BC" w:rsidRPr="003352F6" w:rsidRDefault="003946BC" w:rsidP="00B3038D">
            <w:pPr>
              <w:rPr>
                <w:rFonts w:asciiTheme="minorHAnsi" w:eastAsiaTheme="majorEastAsia" w:hAnsiTheme="minorHAnsi"/>
                <w:szCs w:val="24"/>
              </w:rPr>
            </w:pPr>
          </w:p>
          <w:p w14:paraId="609DEA37" w14:textId="77777777" w:rsidR="003946BC" w:rsidRDefault="003946BC" w:rsidP="00B3038D">
            <w:pPr>
              <w:rPr>
                <w:rFonts w:asciiTheme="minorHAnsi" w:eastAsiaTheme="majorEastAsia" w:hAnsiTheme="minorHAnsi"/>
                <w:b/>
                <w:szCs w:val="24"/>
              </w:rPr>
            </w:pPr>
          </w:p>
          <w:p w14:paraId="252F28E2" w14:textId="77777777" w:rsidR="003946BC" w:rsidRPr="003352F6" w:rsidRDefault="003946BC" w:rsidP="00B3038D">
            <w:pPr>
              <w:jc w:val="right"/>
              <w:rPr>
                <w:rFonts w:asciiTheme="minorHAnsi" w:eastAsiaTheme="majorEastAsia" w:hAnsiTheme="minorHAnsi"/>
                <w:szCs w:val="24"/>
              </w:rPr>
            </w:pPr>
          </w:p>
        </w:tc>
        <w:tc>
          <w:tcPr>
            <w:tcW w:w="6155" w:type="dxa"/>
            <w:tcBorders>
              <w:left w:val="single" w:sz="4" w:space="0" w:color="auto"/>
            </w:tcBorders>
          </w:tcPr>
          <w:p w14:paraId="42088A93" w14:textId="77777777" w:rsidR="003946BC" w:rsidRDefault="003946BC" w:rsidP="00B3038D">
            <w:pPr>
              <w:keepNext/>
              <w:keepLines/>
              <w:spacing w:before="40"/>
              <w:outlineLvl w:val="4"/>
              <w:rPr>
                <w:rFonts w:asciiTheme="minorHAnsi" w:eastAsiaTheme="majorEastAsia" w:hAnsiTheme="minorHAnsi"/>
                <w:b/>
                <w:szCs w:val="24"/>
              </w:rPr>
            </w:pPr>
            <w:r>
              <w:t>A</w:t>
            </w:r>
            <w:r w:rsidRPr="00251AFF">
              <w:t>s prescribed by the endocrine team</w:t>
            </w:r>
          </w:p>
          <w:p w14:paraId="5CB9050A" w14:textId="77777777" w:rsidR="003946BC" w:rsidRDefault="003946BC" w:rsidP="00B3038D">
            <w:pPr>
              <w:keepNext/>
              <w:keepLines/>
              <w:spacing w:before="40"/>
              <w:outlineLvl w:val="4"/>
              <w:rPr>
                <w:rFonts w:asciiTheme="minorHAnsi" w:eastAsiaTheme="majorEastAsia" w:hAnsiTheme="minorHAnsi"/>
                <w:b/>
                <w:szCs w:val="24"/>
              </w:rPr>
            </w:pPr>
            <w:r>
              <w:rPr>
                <w:rFonts w:asciiTheme="minorHAnsi" w:eastAsiaTheme="majorEastAsia" w:hAnsiTheme="minorHAnsi"/>
                <w:b/>
                <w:szCs w:val="24"/>
              </w:rPr>
              <w:t>Vaginal Birth</w:t>
            </w:r>
          </w:p>
          <w:p w14:paraId="41033017" w14:textId="77777777" w:rsidR="003946BC" w:rsidRPr="005B6115" w:rsidRDefault="003946BC" w:rsidP="00C91EFA">
            <w:pPr>
              <w:pStyle w:val="ListParagraph"/>
              <w:numPr>
                <w:ilvl w:val="0"/>
                <w:numId w:val="9"/>
              </w:numPr>
            </w:pPr>
            <w:r>
              <w:t xml:space="preserve">Introduce </w:t>
            </w:r>
            <w:r w:rsidRPr="005B6115">
              <w:t xml:space="preserve">subcutaneous insulin at the time of the first meal post birth </w:t>
            </w:r>
          </w:p>
          <w:p w14:paraId="3258CBEE" w14:textId="77777777" w:rsidR="003946BC" w:rsidRDefault="003946BC" w:rsidP="00B3038D">
            <w:pPr>
              <w:keepNext/>
              <w:keepLines/>
              <w:spacing w:before="40"/>
              <w:outlineLvl w:val="4"/>
              <w:rPr>
                <w:rFonts w:asciiTheme="minorHAnsi" w:eastAsiaTheme="majorEastAsia" w:hAnsiTheme="minorHAnsi"/>
                <w:b/>
                <w:szCs w:val="24"/>
              </w:rPr>
            </w:pPr>
            <w:r>
              <w:rPr>
                <w:rFonts w:asciiTheme="minorHAnsi" w:eastAsiaTheme="majorEastAsia" w:hAnsiTheme="minorHAnsi"/>
                <w:b/>
                <w:szCs w:val="24"/>
              </w:rPr>
              <w:t>Caesarean Birth</w:t>
            </w:r>
          </w:p>
          <w:p w14:paraId="139440AE" w14:textId="77777777" w:rsidR="003946BC" w:rsidRPr="005B6115" w:rsidRDefault="003946BC" w:rsidP="00C91EFA">
            <w:pPr>
              <w:pStyle w:val="ListParagraph"/>
              <w:numPr>
                <w:ilvl w:val="0"/>
                <w:numId w:val="9"/>
              </w:numPr>
            </w:pPr>
            <w:r>
              <w:t>C</w:t>
            </w:r>
            <w:r w:rsidRPr="005B6115">
              <w:t xml:space="preserve">ontinue the insulin infusion protocol until the </w:t>
            </w:r>
            <w:r>
              <w:t>patient</w:t>
            </w:r>
            <w:r w:rsidRPr="005B6115">
              <w:t xml:space="preserve"> can eat</w:t>
            </w:r>
          </w:p>
          <w:p w14:paraId="1D4024F8" w14:textId="3982172C" w:rsidR="003946BC" w:rsidRDefault="003946BC" w:rsidP="00C91EFA">
            <w:pPr>
              <w:pStyle w:val="ListParagraph"/>
              <w:keepNext/>
              <w:keepLines/>
              <w:numPr>
                <w:ilvl w:val="0"/>
                <w:numId w:val="9"/>
              </w:numPr>
              <w:spacing w:before="40"/>
              <w:outlineLvl w:val="4"/>
              <w:rPr>
                <w:rFonts w:asciiTheme="minorHAnsi" w:eastAsiaTheme="majorEastAsia" w:hAnsiTheme="minorHAnsi"/>
                <w:b/>
                <w:szCs w:val="24"/>
              </w:rPr>
            </w:pPr>
            <w:r>
              <w:t>C</w:t>
            </w:r>
            <w:r w:rsidRPr="005B6115">
              <w:t>ease insulin infusion protocol 2 hours after the first subcutaneous insulin injection</w:t>
            </w:r>
          </w:p>
        </w:tc>
      </w:tr>
      <w:tr w:rsidR="00C91EFA" w14:paraId="0672E199" w14:textId="77777777" w:rsidTr="00B3038D">
        <w:tc>
          <w:tcPr>
            <w:tcW w:w="2861" w:type="dxa"/>
            <w:tcBorders>
              <w:right w:val="single" w:sz="4" w:space="0" w:color="auto"/>
            </w:tcBorders>
            <w:shd w:val="clear" w:color="auto" w:fill="D9D9D9" w:themeFill="background1" w:themeFillShade="D9"/>
          </w:tcPr>
          <w:p w14:paraId="459100C9" w14:textId="77777777" w:rsidR="00C91EFA" w:rsidRDefault="00C91EFA" w:rsidP="00B3038D">
            <w:pPr>
              <w:keepNext/>
              <w:keepLines/>
              <w:spacing w:before="40"/>
              <w:outlineLvl w:val="4"/>
              <w:rPr>
                <w:rFonts w:asciiTheme="minorHAnsi" w:eastAsiaTheme="majorEastAsia" w:hAnsiTheme="minorHAnsi"/>
                <w:b/>
                <w:szCs w:val="24"/>
              </w:rPr>
            </w:pPr>
            <w:r w:rsidRPr="005B6115">
              <w:rPr>
                <w:rFonts w:asciiTheme="minorHAnsi" w:hAnsiTheme="minorHAnsi"/>
                <w:b/>
                <w:bCs/>
                <w:szCs w:val="24"/>
              </w:rPr>
              <w:t>Type 2 Diabetes</w:t>
            </w:r>
            <w:r>
              <w:rPr>
                <w:rFonts w:asciiTheme="minorHAnsi" w:hAnsiTheme="minorHAnsi"/>
                <w:b/>
                <w:bCs/>
                <w:szCs w:val="24"/>
              </w:rPr>
              <w:t>/GDM with insulin infusion</w:t>
            </w:r>
          </w:p>
        </w:tc>
        <w:tc>
          <w:tcPr>
            <w:tcW w:w="6155" w:type="dxa"/>
            <w:tcBorders>
              <w:left w:val="single" w:sz="4" w:space="0" w:color="auto"/>
            </w:tcBorders>
            <w:shd w:val="clear" w:color="auto" w:fill="D9D9D9" w:themeFill="background1" w:themeFillShade="D9"/>
          </w:tcPr>
          <w:p w14:paraId="66D7F8DB" w14:textId="77777777" w:rsidR="00C91EFA" w:rsidRDefault="00C91EFA" w:rsidP="00B3038D">
            <w:pPr>
              <w:keepNext/>
              <w:keepLines/>
              <w:spacing w:before="40"/>
              <w:outlineLvl w:val="4"/>
              <w:rPr>
                <w:rFonts w:asciiTheme="minorHAnsi" w:eastAsiaTheme="majorEastAsia" w:hAnsiTheme="minorHAnsi"/>
                <w:b/>
                <w:szCs w:val="24"/>
              </w:rPr>
            </w:pPr>
            <w:r>
              <w:rPr>
                <w:rFonts w:asciiTheme="minorHAnsi" w:eastAsiaTheme="majorEastAsia" w:hAnsiTheme="minorHAnsi"/>
                <w:b/>
                <w:szCs w:val="24"/>
              </w:rPr>
              <w:t>Post birth of placenta</w:t>
            </w:r>
          </w:p>
        </w:tc>
      </w:tr>
      <w:tr w:rsidR="00C91EFA" w14:paraId="2F96F70D" w14:textId="77777777" w:rsidTr="00B3038D">
        <w:tc>
          <w:tcPr>
            <w:tcW w:w="2861" w:type="dxa"/>
            <w:tcBorders>
              <w:right w:val="single" w:sz="4" w:space="0" w:color="auto"/>
            </w:tcBorders>
          </w:tcPr>
          <w:p w14:paraId="00455D9D" w14:textId="77777777" w:rsidR="00C91EFA" w:rsidRDefault="00C91EFA" w:rsidP="00B3038D">
            <w:pPr>
              <w:keepNext/>
              <w:keepLines/>
              <w:spacing w:before="40"/>
              <w:outlineLvl w:val="4"/>
              <w:rPr>
                <w:rFonts w:asciiTheme="minorHAnsi" w:eastAsiaTheme="majorEastAsia" w:hAnsiTheme="minorHAnsi"/>
                <w:b/>
                <w:szCs w:val="24"/>
              </w:rPr>
            </w:pPr>
            <w:r>
              <w:rPr>
                <w:rFonts w:asciiTheme="minorHAnsi" w:eastAsiaTheme="majorEastAsia" w:hAnsiTheme="minorHAnsi"/>
                <w:b/>
                <w:szCs w:val="24"/>
              </w:rPr>
              <w:t>Insulin Infusion</w:t>
            </w:r>
          </w:p>
        </w:tc>
        <w:tc>
          <w:tcPr>
            <w:tcW w:w="6155" w:type="dxa"/>
            <w:tcBorders>
              <w:left w:val="single" w:sz="4" w:space="0" w:color="auto"/>
            </w:tcBorders>
          </w:tcPr>
          <w:p w14:paraId="0024F7E7" w14:textId="77777777" w:rsidR="00C91EFA" w:rsidRPr="005B6115" w:rsidRDefault="00C91EFA" w:rsidP="00B3038D">
            <w:r>
              <w:t>Ce</w:t>
            </w:r>
            <w:r w:rsidRPr="005B6115">
              <w:t>ase IV insulin infusion after birth of placenta</w:t>
            </w:r>
          </w:p>
          <w:p w14:paraId="2546FE50" w14:textId="77777777" w:rsidR="00C91EFA" w:rsidRDefault="00C91EFA" w:rsidP="00B3038D">
            <w:pPr>
              <w:keepNext/>
              <w:keepLines/>
              <w:spacing w:before="40"/>
              <w:outlineLvl w:val="4"/>
              <w:rPr>
                <w:rFonts w:asciiTheme="minorHAnsi" w:eastAsiaTheme="majorEastAsia" w:hAnsiTheme="minorHAnsi"/>
                <w:b/>
                <w:szCs w:val="24"/>
              </w:rPr>
            </w:pPr>
          </w:p>
        </w:tc>
      </w:tr>
      <w:tr w:rsidR="00C91EFA" w14:paraId="4B507AF3" w14:textId="77777777" w:rsidTr="00B3038D">
        <w:tc>
          <w:tcPr>
            <w:tcW w:w="2861" w:type="dxa"/>
            <w:tcBorders>
              <w:right w:val="single" w:sz="4" w:space="0" w:color="auto"/>
            </w:tcBorders>
          </w:tcPr>
          <w:p w14:paraId="4D908427" w14:textId="77777777" w:rsidR="00C91EFA" w:rsidRDefault="00C91EFA" w:rsidP="00B3038D">
            <w:pPr>
              <w:keepNext/>
              <w:keepLines/>
              <w:spacing w:before="40"/>
              <w:outlineLvl w:val="4"/>
              <w:rPr>
                <w:rFonts w:asciiTheme="minorHAnsi" w:eastAsiaTheme="majorEastAsia" w:hAnsiTheme="minorHAnsi"/>
                <w:b/>
                <w:szCs w:val="24"/>
              </w:rPr>
            </w:pPr>
            <w:r>
              <w:rPr>
                <w:rFonts w:asciiTheme="minorHAnsi" w:eastAsiaTheme="majorEastAsia" w:hAnsiTheme="minorHAnsi"/>
                <w:b/>
                <w:szCs w:val="24"/>
              </w:rPr>
              <w:t>Glucose sideline</w:t>
            </w:r>
          </w:p>
        </w:tc>
        <w:tc>
          <w:tcPr>
            <w:tcW w:w="6155" w:type="dxa"/>
            <w:tcBorders>
              <w:left w:val="single" w:sz="4" w:space="0" w:color="auto"/>
            </w:tcBorders>
          </w:tcPr>
          <w:p w14:paraId="3C2AA6DF" w14:textId="77777777" w:rsidR="00C91EFA" w:rsidRPr="003352F6" w:rsidRDefault="00C91EFA" w:rsidP="00B3038D">
            <w:pPr>
              <w:keepNext/>
              <w:keepLines/>
              <w:spacing w:before="40"/>
              <w:outlineLvl w:val="4"/>
              <w:rPr>
                <w:rFonts w:asciiTheme="minorHAnsi" w:eastAsiaTheme="majorEastAsia" w:hAnsiTheme="minorHAnsi"/>
                <w:bCs/>
                <w:szCs w:val="24"/>
              </w:rPr>
            </w:pPr>
            <w:r w:rsidRPr="003352F6">
              <w:rPr>
                <w:rFonts w:asciiTheme="minorHAnsi" w:eastAsiaTheme="majorEastAsia" w:hAnsiTheme="minorHAnsi"/>
                <w:bCs/>
                <w:szCs w:val="24"/>
              </w:rPr>
              <w:t xml:space="preserve">Cease </w:t>
            </w:r>
            <w:r>
              <w:rPr>
                <w:rFonts w:asciiTheme="minorHAnsi" w:eastAsiaTheme="majorEastAsia" w:hAnsiTheme="minorHAnsi"/>
                <w:bCs/>
                <w:szCs w:val="24"/>
              </w:rPr>
              <w:t>when diet is tolerated</w:t>
            </w:r>
          </w:p>
        </w:tc>
      </w:tr>
      <w:tr w:rsidR="00C91EFA" w14:paraId="7E0589F6" w14:textId="77777777" w:rsidTr="00B3038D">
        <w:tc>
          <w:tcPr>
            <w:tcW w:w="2861" w:type="dxa"/>
            <w:tcBorders>
              <w:right w:val="single" w:sz="4" w:space="0" w:color="auto"/>
            </w:tcBorders>
          </w:tcPr>
          <w:p w14:paraId="6989901F" w14:textId="77777777" w:rsidR="00C91EFA" w:rsidRDefault="00C91EFA" w:rsidP="00B3038D">
            <w:pPr>
              <w:keepNext/>
              <w:keepLines/>
              <w:spacing w:before="40"/>
              <w:outlineLvl w:val="4"/>
              <w:rPr>
                <w:rFonts w:asciiTheme="minorHAnsi" w:eastAsiaTheme="majorEastAsia" w:hAnsiTheme="minorHAnsi"/>
                <w:b/>
                <w:szCs w:val="24"/>
              </w:rPr>
            </w:pPr>
            <w:r>
              <w:rPr>
                <w:rFonts w:asciiTheme="minorHAnsi" w:eastAsiaTheme="majorEastAsia" w:hAnsiTheme="minorHAnsi"/>
                <w:b/>
                <w:szCs w:val="24"/>
              </w:rPr>
              <w:t>BGL monitoring</w:t>
            </w:r>
          </w:p>
        </w:tc>
        <w:tc>
          <w:tcPr>
            <w:tcW w:w="6155" w:type="dxa"/>
            <w:tcBorders>
              <w:left w:val="single" w:sz="4" w:space="0" w:color="auto"/>
            </w:tcBorders>
          </w:tcPr>
          <w:p w14:paraId="5D6AD8EA" w14:textId="77777777" w:rsidR="00C91EFA" w:rsidRDefault="00C91EFA" w:rsidP="00C91EFA">
            <w:pPr>
              <w:pStyle w:val="ListBullet"/>
              <w:numPr>
                <w:ilvl w:val="0"/>
                <w:numId w:val="10"/>
              </w:numPr>
            </w:pPr>
            <w:r>
              <w:t>Monitoring as per gravid requirements for 24 hours</w:t>
            </w:r>
          </w:p>
          <w:p w14:paraId="6710792C" w14:textId="77777777" w:rsidR="00C91EFA" w:rsidRDefault="00C91EFA" w:rsidP="00C91EFA">
            <w:pPr>
              <w:pStyle w:val="ListBullet"/>
              <w:numPr>
                <w:ilvl w:val="0"/>
                <w:numId w:val="10"/>
              </w:numPr>
              <w:rPr>
                <w:rFonts w:asciiTheme="minorHAnsi" w:eastAsiaTheme="majorEastAsia" w:hAnsiTheme="minorHAnsi"/>
                <w:b/>
                <w:szCs w:val="24"/>
              </w:rPr>
            </w:pPr>
            <w:r>
              <w:t>N</w:t>
            </w:r>
            <w:r w:rsidRPr="005B6115">
              <w:t>otify the endocrinologist if fasting BGLs are &gt;7mmol/L or postprandial BGL</w:t>
            </w:r>
            <w:r>
              <w:t>s</w:t>
            </w:r>
            <w:r w:rsidRPr="005B6115">
              <w:t xml:space="preserve"> &gt; 7.8 mmol/L</w:t>
            </w:r>
          </w:p>
        </w:tc>
      </w:tr>
    </w:tbl>
    <w:p w14:paraId="358AA1AC" w14:textId="77777777" w:rsidR="00C91EFA" w:rsidRPr="00FE43CF" w:rsidRDefault="00C91EFA" w:rsidP="00C91EFA">
      <w:pPr>
        <w:rPr>
          <w:rFonts w:eastAsiaTheme="majorEastAsia"/>
        </w:rPr>
      </w:pPr>
    </w:p>
    <w:p w14:paraId="22690E57" w14:textId="77777777" w:rsidR="00C91EFA" w:rsidRPr="00C06CDE" w:rsidRDefault="00C91EFA" w:rsidP="00C91EFA">
      <w:pPr>
        <w:pStyle w:val="ListParagraph"/>
        <w:pBdr>
          <w:top w:val="single" w:sz="4" w:space="1" w:color="auto"/>
          <w:left w:val="single" w:sz="4" w:space="4" w:color="auto"/>
          <w:bottom w:val="single" w:sz="4" w:space="1" w:color="auto"/>
          <w:right w:val="single" w:sz="4" w:space="4" w:color="auto"/>
        </w:pBdr>
        <w:ind w:left="142"/>
        <w:rPr>
          <w:b/>
          <w:bCs/>
        </w:rPr>
      </w:pPr>
      <w:r w:rsidRPr="00C06CDE">
        <w:rPr>
          <w:b/>
          <w:bCs/>
        </w:rPr>
        <w:t>Note:</w:t>
      </w:r>
    </w:p>
    <w:p w14:paraId="3357E4B1" w14:textId="77777777" w:rsidR="00C91EFA" w:rsidRPr="00FE43CF" w:rsidRDefault="00C91EFA" w:rsidP="00C91EFA">
      <w:pPr>
        <w:pStyle w:val="ListParagraph"/>
        <w:pBdr>
          <w:top w:val="single" w:sz="4" w:space="1" w:color="auto"/>
          <w:left w:val="single" w:sz="4" w:space="4" w:color="auto"/>
          <w:bottom w:val="single" w:sz="4" w:space="1" w:color="auto"/>
          <w:right w:val="single" w:sz="4" w:space="4" w:color="auto"/>
        </w:pBdr>
        <w:ind w:left="142"/>
      </w:pPr>
      <w:r w:rsidRPr="00FE43CF">
        <w:t xml:space="preserve">Leave </w:t>
      </w:r>
      <w:r>
        <w:t xml:space="preserve">the </w:t>
      </w:r>
      <w:r w:rsidRPr="00FE43CF">
        <w:t>cannula in situ for at least 6 hours after cessation of infusion</w:t>
      </w:r>
      <w:r>
        <w:t>. W</w:t>
      </w:r>
      <w:r w:rsidRPr="00FE43CF">
        <w:t>hen BGLs are stabilised, urine is ketone</w:t>
      </w:r>
      <w:r>
        <w:t>-</w:t>
      </w:r>
      <w:proofErr w:type="gramStart"/>
      <w:r w:rsidRPr="00FE43CF">
        <w:t>free</w:t>
      </w:r>
      <w:proofErr w:type="gramEnd"/>
      <w:r w:rsidRPr="00FE43CF">
        <w:t xml:space="preserve"> and diet is tolerated </w:t>
      </w:r>
      <w:r>
        <w:t xml:space="preserve">the </w:t>
      </w:r>
      <w:r w:rsidRPr="00FE43CF">
        <w:t>cannula can be removed.</w:t>
      </w:r>
    </w:p>
    <w:p w14:paraId="4DED1FE9" w14:textId="77777777" w:rsidR="00C91EFA" w:rsidRPr="00576541" w:rsidRDefault="00C91EFA" w:rsidP="00C91EFA">
      <w:pPr>
        <w:pStyle w:val="ListParagraph"/>
        <w:rPr>
          <w:b/>
          <w:bCs/>
        </w:rPr>
      </w:pPr>
    </w:p>
    <w:p w14:paraId="1CEDFDAC" w14:textId="77777777" w:rsidR="00C91EFA" w:rsidRDefault="00C91EFA" w:rsidP="00C91EFA">
      <w:pPr>
        <w:tabs>
          <w:tab w:val="left" w:pos="188"/>
        </w:tabs>
        <w:jc w:val="right"/>
      </w:pPr>
      <w:hyperlink w:anchor="Contents" w:history="1">
        <w:r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C91EFA" w:rsidRPr="003D2D06" w14:paraId="5BBAC98E" w14:textId="77777777" w:rsidTr="00B3038D">
        <w:trPr>
          <w:cantSplit/>
          <w:trHeight w:val="285"/>
        </w:trPr>
        <w:tc>
          <w:tcPr>
            <w:tcW w:w="9158" w:type="dxa"/>
            <w:shd w:val="clear" w:color="auto" w:fill="D9D9D9" w:themeFill="background1" w:themeFillShade="D9"/>
          </w:tcPr>
          <w:p w14:paraId="712962A8" w14:textId="77777777" w:rsidR="00C91EFA" w:rsidRPr="00DC547C" w:rsidRDefault="00C91EFA" w:rsidP="00B3038D">
            <w:pPr>
              <w:pStyle w:val="Heading1"/>
              <w:rPr>
                <w:sz w:val="27"/>
                <w:szCs w:val="27"/>
              </w:rPr>
            </w:pPr>
            <w:bookmarkStart w:id="68" w:name="_Toc116893353"/>
            <w:bookmarkStart w:id="69" w:name="_Toc126585736"/>
            <w:r w:rsidRPr="00DC547C">
              <w:rPr>
                <w:sz w:val="27"/>
                <w:szCs w:val="27"/>
              </w:rPr>
              <w:t xml:space="preserve">Section </w:t>
            </w:r>
            <w:r>
              <w:rPr>
                <w:sz w:val="27"/>
                <w:szCs w:val="27"/>
              </w:rPr>
              <w:t xml:space="preserve">13 </w:t>
            </w:r>
            <w:r w:rsidRPr="00DC547C">
              <w:rPr>
                <w:sz w:val="27"/>
                <w:szCs w:val="27"/>
              </w:rPr>
              <w:t xml:space="preserve">- Intrapartum </w:t>
            </w:r>
            <w:r>
              <w:rPr>
                <w:sz w:val="27"/>
                <w:szCs w:val="27"/>
              </w:rPr>
              <w:t>management of IR</w:t>
            </w:r>
            <w:r w:rsidRPr="00DC547C">
              <w:rPr>
                <w:sz w:val="27"/>
                <w:szCs w:val="27"/>
              </w:rPr>
              <w:t xml:space="preserve">GDM (including IOL </w:t>
            </w:r>
            <w:r>
              <w:rPr>
                <w:sz w:val="27"/>
                <w:szCs w:val="27"/>
              </w:rPr>
              <w:t>and</w:t>
            </w:r>
            <w:r w:rsidRPr="00DC547C">
              <w:rPr>
                <w:sz w:val="27"/>
                <w:szCs w:val="27"/>
              </w:rPr>
              <w:t xml:space="preserve"> caesarean)</w:t>
            </w:r>
            <w:bookmarkEnd w:id="68"/>
            <w:bookmarkEnd w:id="69"/>
          </w:p>
        </w:tc>
      </w:tr>
    </w:tbl>
    <w:p w14:paraId="27D3369C" w14:textId="77777777" w:rsidR="00C91EFA" w:rsidRDefault="00C91EFA" w:rsidP="00C91EFA">
      <w:pPr>
        <w:rPr>
          <w:b/>
          <w:lang w:val="en-US"/>
        </w:rPr>
      </w:pPr>
    </w:p>
    <w:p w14:paraId="6CE2D955" w14:textId="77777777" w:rsidR="00C91EFA" w:rsidRPr="00F71FBF" w:rsidRDefault="00C91EFA" w:rsidP="00C91EFA">
      <w:pPr>
        <w:rPr>
          <w:b/>
          <w:lang w:val="en-US"/>
        </w:rPr>
      </w:pPr>
      <w:r w:rsidRPr="00F71FBF">
        <w:rPr>
          <w:b/>
          <w:lang w:val="en-US"/>
        </w:rPr>
        <w:t>Key points</w:t>
      </w:r>
    </w:p>
    <w:p w14:paraId="55B889D7" w14:textId="77777777" w:rsidR="00C91EFA" w:rsidRDefault="00C91EFA" w:rsidP="00C91EFA">
      <w:pPr>
        <w:rPr>
          <w:bCs/>
          <w:lang w:val="en-US"/>
        </w:rPr>
      </w:pPr>
      <w:r w:rsidRPr="0068035F">
        <w:rPr>
          <w:lang w:val="en-US"/>
        </w:rPr>
        <w:t xml:space="preserve">Very few </w:t>
      </w:r>
      <w:r>
        <w:rPr>
          <w:lang w:val="en-US"/>
        </w:rPr>
        <w:t>patients</w:t>
      </w:r>
      <w:r w:rsidRPr="0068035F">
        <w:rPr>
          <w:lang w:val="en-US"/>
        </w:rPr>
        <w:t xml:space="preserve"> with </w:t>
      </w:r>
      <w:r>
        <w:rPr>
          <w:lang w:val="en-US"/>
        </w:rPr>
        <w:t>IR</w:t>
      </w:r>
      <w:r w:rsidRPr="0068035F">
        <w:rPr>
          <w:lang w:val="en-US"/>
        </w:rPr>
        <w:t xml:space="preserve">GDM require insulin for </w:t>
      </w:r>
      <w:proofErr w:type="spellStart"/>
      <w:r w:rsidRPr="0068035F">
        <w:rPr>
          <w:lang w:val="en-US"/>
        </w:rPr>
        <w:t>labour</w:t>
      </w:r>
      <w:proofErr w:type="spellEnd"/>
      <w:r w:rsidRPr="0068035F">
        <w:rPr>
          <w:lang w:val="en-US"/>
        </w:rPr>
        <w:t xml:space="preserve"> or caesarean section</w:t>
      </w:r>
      <w:r>
        <w:rPr>
          <w:lang w:val="en-US"/>
        </w:rPr>
        <w:t>.</w:t>
      </w:r>
      <w:r w:rsidRPr="00C878F0">
        <w:rPr>
          <w:bCs/>
          <w:lang w:val="en-US"/>
        </w:rPr>
        <w:t xml:space="preserve"> </w:t>
      </w:r>
    </w:p>
    <w:p w14:paraId="238CCF9B" w14:textId="77777777" w:rsidR="00C91EFA" w:rsidRPr="004C730C" w:rsidRDefault="00C91EFA" w:rsidP="00C91EFA">
      <w:pPr>
        <w:pStyle w:val="ListParagraph"/>
        <w:numPr>
          <w:ilvl w:val="0"/>
          <w:numId w:val="20"/>
        </w:numPr>
        <w:rPr>
          <w:lang w:val="en-US"/>
        </w:rPr>
      </w:pPr>
      <w:r w:rsidRPr="004C730C">
        <w:rPr>
          <w:lang w:val="en-US"/>
        </w:rPr>
        <w:t>All patients with IRGDM for IOL or caesarean section will have a plan for their intrapartum and postpartum management discussed and documented in their clinical record.</w:t>
      </w:r>
    </w:p>
    <w:p w14:paraId="6C052042" w14:textId="77777777" w:rsidR="00C91EFA" w:rsidRPr="004C730C" w:rsidRDefault="00C91EFA" w:rsidP="00C91EFA">
      <w:pPr>
        <w:pStyle w:val="ListParagraph"/>
        <w:numPr>
          <w:ilvl w:val="0"/>
          <w:numId w:val="20"/>
        </w:numPr>
        <w:rPr>
          <w:lang w:val="en-US"/>
        </w:rPr>
      </w:pPr>
      <w:r w:rsidRPr="004C730C">
        <w:rPr>
          <w:lang w:val="en-US"/>
        </w:rPr>
        <w:t xml:space="preserve">Patients with Type 1 DM require special considerations for intrapartum management of insulin- see </w:t>
      </w:r>
      <w:r w:rsidRPr="007E3EDD">
        <w:rPr>
          <w:lang w:val="en-US"/>
        </w:rPr>
        <w:t>Sections 8 and 12.</w:t>
      </w:r>
      <w:r>
        <w:rPr>
          <w:lang w:val="en-US"/>
        </w:rPr>
        <w:t xml:space="preserve"> </w:t>
      </w:r>
    </w:p>
    <w:p w14:paraId="1BB37199" w14:textId="77777777" w:rsidR="00C91EFA" w:rsidRDefault="00C91EFA" w:rsidP="00C91EFA">
      <w:pPr>
        <w:rPr>
          <w:b/>
          <w:bCs/>
        </w:rPr>
      </w:pPr>
      <w:bookmarkStart w:id="70" w:name="_Toc116893354"/>
    </w:p>
    <w:p w14:paraId="4E19CA88" w14:textId="77777777" w:rsidR="00C91EFA" w:rsidRPr="00565BE9" w:rsidRDefault="00C91EFA" w:rsidP="00C91EFA">
      <w:pPr>
        <w:rPr>
          <w:b/>
          <w:bCs/>
        </w:rPr>
      </w:pPr>
      <w:r w:rsidRPr="00565BE9">
        <w:rPr>
          <w:b/>
          <w:bCs/>
        </w:rPr>
        <w:lastRenderedPageBreak/>
        <w:t>BGL monitoring and medication management</w:t>
      </w:r>
      <w:bookmarkEnd w:id="70"/>
      <w:r w:rsidRPr="00565BE9">
        <w:rPr>
          <w:b/>
          <w:bCs/>
        </w:rPr>
        <w:t xml:space="preserve"> prior to IOL or fasting for any reason</w:t>
      </w:r>
    </w:p>
    <w:p w14:paraId="4E7B95FA" w14:textId="77777777" w:rsidR="00C91EFA" w:rsidRPr="00405083" w:rsidRDefault="00C91EFA" w:rsidP="00C91EFA">
      <w:pPr>
        <w:pStyle w:val="ListParagraph"/>
        <w:numPr>
          <w:ilvl w:val="0"/>
          <w:numId w:val="17"/>
        </w:numPr>
        <w:rPr>
          <w:lang w:val="en-US"/>
        </w:rPr>
      </w:pPr>
      <w:r w:rsidRPr="007E3EDD">
        <w:rPr>
          <w:lang w:val="en-US"/>
        </w:rPr>
        <w:t xml:space="preserve">GDM </w:t>
      </w:r>
      <w:r w:rsidRPr="00405083">
        <w:rPr>
          <w:lang w:val="en-US"/>
        </w:rPr>
        <w:t>managed by dietary modifications</w:t>
      </w:r>
    </w:p>
    <w:p w14:paraId="7635781A" w14:textId="77777777" w:rsidR="00C91EFA" w:rsidRPr="00E62CEE" w:rsidRDefault="00C91EFA" w:rsidP="00C91EFA">
      <w:pPr>
        <w:ind w:left="360"/>
        <w:rPr>
          <w:lang w:val="en-US"/>
        </w:rPr>
      </w:pPr>
      <w:r w:rsidRPr="00E62CEE">
        <w:rPr>
          <w:lang w:val="en-US"/>
        </w:rPr>
        <w:t>Continue measurement of BGL at usual times</w:t>
      </w:r>
      <w:r>
        <w:rPr>
          <w:lang w:val="en-US"/>
        </w:rPr>
        <w:t xml:space="preserve"> (</w:t>
      </w:r>
      <w:r w:rsidRPr="00E62CEE">
        <w:rPr>
          <w:lang w:val="en-US"/>
        </w:rPr>
        <w:t xml:space="preserve">fasting </w:t>
      </w:r>
      <w:r>
        <w:rPr>
          <w:lang w:val="en-US"/>
        </w:rPr>
        <w:t xml:space="preserve">[once per 24 hours] </w:t>
      </w:r>
      <w:r w:rsidRPr="00E62CEE">
        <w:rPr>
          <w:lang w:val="en-US"/>
        </w:rPr>
        <w:t>and two hours post</w:t>
      </w:r>
      <w:r>
        <w:rPr>
          <w:lang w:val="en-US"/>
        </w:rPr>
        <w:t xml:space="preserve"> meals)</w:t>
      </w:r>
      <w:r w:rsidRPr="00E62CEE">
        <w:rPr>
          <w:lang w:val="en-US"/>
        </w:rPr>
        <w:t>.</w:t>
      </w:r>
    </w:p>
    <w:p w14:paraId="7C4D66F1" w14:textId="77777777" w:rsidR="00C91EFA" w:rsidRDefault="00C91EFA" w:rsidP="00C91EFA">
      <w:pPr>
        <w:rPr>
          <w:b/>
          <w:bCs/>
          <w:i/>
          <w:iCs/>
        </w:rPr>
      </w:pPr>
      <w:bookmarkStart w:id="71" w:name="_bookmark45"/>
      <w:bookmarkEnd w:id="71"/>
    </w:p>
    <w:p w14:paraId="4073222A" w14:textId="77777777" w:rsidR="00C91EFA" w:rsidRPr="007E3EDD" w:rsidRDefault="00C91EFA" w:rsidP="00C91EFA">
      <w:pPr>
        <w:pStyle w:val="ListParagraph"/>
        <w:numPr>
          <w:ilvl w:val="0"/>
          <w:numId w:val="17"/>
        </w:numPr>
      </w:pPr>
      <w:r w:rsidRPr="007E3EDD">
        <w:t xml:space="preserve">IRGDM  </w:t>
      </w:r>
    </w:p>
    <w:p w14:paraId="1BF26D6B" w14:textId="77777777" w:rsidR="00C91EFA" w:rsidRPr="00405083" w:rsidRDefault="00C91EFA" w:rsidP="00C91EFA">
      <w:pPr>
        <w:ind w:left="360"/>
        <w:rPr>
          <w:lang w:val="en-US"/>
        </w:rPr>
      </w:pPr>
      <w:r w:rsidRPr="00405083">
        <w:rPr>
          <w:lang w:val="en-US"/>
        </w:rPr>
        <w:t xml:space="preserve">Confirm </w:t>
      </w:r>
      <w:r>
        <w:rPr>
          <w:lang w:val="en-US"/>
        </w:rPr>
        <w:t xml:space="preserve">the </w:t>
      </w:r>
      <w:r w:rsidRPr="00405083">
        <w:rPr>
          <w:lang w:val="en-US"/>
        </w:rPr>
        <w:t>management plan in patient’s clinical record from endocrine team</w:t>
      </w:r>
      <w:r>
        <w:rPr>
          <w:lang w:val="en-US"/>
        </w:rPr>
        <w:t>. Examples of usual plans include:</w:t>
      </w:r>
    </w:p>
    <w:p w14:paraId="3E5C5246" w14:textId="77777777" w:rsidR="00C91EFA" w:rsidRPr="005457EA" w:rsidRDefault="00C91EFA" w:rsidP="00C91EFA">
      <w:pPr>
        <w:pStyle w:val="ListBullet"/>
        <w:tabs>
          <w:tab w:val="clear" w:pos="644"/>
          <w:tab w:val="num" w:pos="1004"/>
        </w:tabs>
        <w:ind w:left="786"/>
        <w:rPr>
          <w:lang w:val="en-US"/>
        </w:rPr>
      </w:pPr>
      <w:r w:rsidRPr="2BC6C1F3">
        <w:rPr>
          <w:lang w:val="en-US"/>
        </w:rPr>
        <w:t>Long-acting insulin:</w:t>
      </w:r>
    </w:p>
    <w:p w14:paraId="76CD2E4E" w14:textId="77777777" w:rsidR="00C91EFA" w:rsidRDefault="00C91EFA" w:rsidP="00C91EFA">
      <w:pPr>
        <w:pStyle w:val="ListBullet"/>
        <w:tabs>
          <w:tab w:val="clear" w:pos="644"/>
          <w:tab w:val="num" w:pos="1364"/>
        </w:tabs>
        <w:ind w:left="1146"/>
        <w:rPr>
          <w:lang w:val="en-US"/>
        </w:rPr>
      </w:pPr>
      <w:r w:rsidRPr="2BC6C1F3">
        <w:rPr>
          <w:lang w:val="en-US"/>
        </w:rPr>
        <w:t>measure BGL at usual times (fasting [once per 24 hours] and 2 hours post meals)</w:t>
      </w:r>
    </w:p>
    <w:p w14:paraId="38764F3D" w14:textId="77777777" w:rsidR="00C91EFA" w:rsidRDefault="00C91EFA" w:rsidP="00C91EFA">
      <w:pPr>
        <w:pStyle w:val="ListBullet"/>
        <w:tabs>
          <w:tab w:val="clear" w:pos="644"/>
          <w:tab w:val="num" w:pos="1364"/>
        </w:tabs>
        <w:ind w:left="1146"/>
        <w:rPr>
          <w:lang w:val="en-US"/>
        </w:rPr>
      </w:pPr>
      <w:r w:rsidRPr="2BC6C1F3">
        <w:rPr>
          <w:lang w:val="en-US"/>
        </w:rPr>
        <w:t xml:space="preserve">if IOL or night before booked LUSCS, reduce night-time long-acting insulin by 50% (e.g., </w:t>
      </w:r>
      <w:proofErr w:type="spellStart"/>
      <w:r w:rsidRPr="2BC6C1F3">
        <w:rPr>
          <w:lang w:val="en-US"/>
        </w:rPr>
        <w:t>Protophane</w:t>
      </w:r>
      <w:proofErr w:type="spellEnd"/>
      <w:r w:rsidRPr="2BC6C1F3">
        <w:rPr>
          <w:lang w:val="en-US"/>
        </w:rPr>
        <w:t xml:space="preserve"> or Humulin NPH)</w:t>
      </w:r>
    </w:p>
    <w:p w14:paraId="2DCA9607" w14:textId="77777777" w:rsidR="00C91EFA" w:rsidRDefault="00C91EFA" w:rsidP="00C91EFA">
      <w:pPr>
        <w:pStyle w:val="ListBullet"/>
        <w:tabs>
          <w:tab w:val="clear" w:pos="644"/>
          <w:tab w:val="num" w:pos="1364"/>
        </w:tabs>
        <w:ind w:left="1146"/>
        <w:rPr>
          <w:lang w:val="en-US"/>
        </w:rPr>
      </w:pPr>
      <w:r w:rsidRPr="2BC6C1F3">
        <w:rPr>
          <w:lang w:val="en-US"/>
        </w:rPr>
        <w:t>OHAs: do not give nighttime OHAs.</w:t>
      </w:r>
    </w:p>
    <w:p w14:paraId="4FEA4D3A" w14:textId="77777777" w:rsidR="00C91EFA" w:rsidRPr="007E3EDD" w:rsidRDefault="00C91EFA" w:rsidP="00C91EFA">
      <w:pPr>
        <w:pStyle w:val="ListBullet"/>
        <w:numPr>
          <w:ilvl w:val="0"/>
          <w:numId w:val="0"/>
        </w:numPr>
        <w:rPr>
          <w:lang w:val="en-US"/>
        </w:rPr>
      </w:pPr>
    </w:p>
    <w:p w14:paraId="6AA19D3C" w14:textId="77777777" w:rsidR="00C91EFA" w:rsidRPr="005457EA" w:rsidRDefault="00C91EFA" w:rsidP="00C91EFA">
      <w:pPr>
        <w:pStyle w:val="ListBullet"/>
        <w:tabs>
          <w:tab w:val="clear" w:pos="644"/>
          <w:tab w:val="num" w:pos="1070"/>
        </w:tabs>
        <w:ind w:left="852"/>
        <w:rPr>
          <w:lang w:val="en-US"/>
        </w:rPr>
      </w:pPr>
      <w:r>
        <w:t xml:space="preserve">Short-acting insulin </w:t>
      </w:r>
    </w:p>
    <w:p w14:paraId="5519E79A" w14:textId="77777777" w:rsidR="00C91EFA" w:rsidRDefault="00C91EFA" w:rsidP="00C91EFA">
      <w:pPr>
        <w:pStyle w:val="ListBullet"/>
        <w:tabs>
          <w:tab w:val="clear" w:pos="644"/>
          <w:tab w:val="num" w:pos="1364"/>
        </w:tabs>
        <w:ind w:left="1146"/>
        <w:rPr>
          <w:lang w:val="en-US"/>
        </w:rPr>
      </w:pPr>
      <w:r w:rsidRPr="2BC6C1F3">
        <w:rPr>
          <w:lang w:val="en-US"/>
        </w:rPr>
        <w:t xml:space="preserve">Continue normal meal-time short acting insulin (e.g., </w:t>
      </w:r>
      <w:proofErr w:type="spellStart"/>
      <w:r w:rsidRPr="2BC6C1F3">
        <w:rPr>
          <w:lang w:val="en-US"/>
        </w:rPr>
        <w:t>Novorapid</w:t>
      </w:r>
      <w:proofErr w:type="spellEnd"/>
      <w:r w:rsidRPr="2BC6C1F3">
        <w:rPr>
          <w:lang w:val="en-US"/>
        </w:rPr>
        <w:t xml:space="preserve">) if still eating meals until </w:t>
      </w:r>
      <w:proofErr w:type="spellStart"/>
      <w:r w:rsidRPr="2BC6C1F3">
        <w:rPr>
          <w:lang w:val="en-US"/>
        </w:rPr>
        <w:t>labour</w:t>
      </w:r>
      <w:proofErr w:type="spellEnd"/>
      <w:r w:rsidRPr="2BC6C1F3">
        <w:rPr>
          <w:lang w:val="en-US"/>
        </w:rPr>
        <w:t xml:space="preserve"> or if required to fast for any reason</w:t>
      </w:r>
    </w:p>
    <w:p w14:paraId="5DD6F2DC" w14:textId="77777777" w:rsidR="00C91EFA" w:rsidRDefault="00C91EFA" w:rsidP="00C91EFA">
      <w:pPr>
        <w:pStyle w:val="ListBullet"/>
        <w:tabs>
          <w:tab w:val="clear" w:pos="644"/>
          <w:tab w:val="num" w:pos="1364"/>
        </w:tabs>
        <w:ind w:left="1146"/>
        <w:rPr>
          <w:lang w:val="en-US"/>
        </w:rPr>
      </w:pPr>
      <w:r w:rsidRPr="2BC6C1F3">
        <w:rPr>
          <w:lang w:val="en-US"/>
        </w:rPr>
        <w:t>check BGL at usual intervals (fasting [once per 24 hours] and two hours post meals).</w:t>
      </w:r>
    </w:p>
    <w:p w14:paraId="1A2FBBB0" w14:textId="77777777" w:rsidR="00C91EFA" w:rsidRPr="005457EA" w:rsidRDefault="00C91EFA" w:rsidP="00C91EFA">
      <w:pPr>
        <w:pStyle w:val="ListBullet"/>
        <w:numPr>
          <w:ilvl w:val="0"/>
          <w:numId w:val="0"/>
        </w:numPr>
        <w:ind w:left="1146"/>
        <w:rPr>
          <w:lang w:val="en-US"/>
        </w:rPr>
      </w:pPr>
    </w:p>
    <w:p w14:paraId="344019A4" w14:textId="77777777" w:rsidR="00C91EFA" w:rsidRPr="00565BE9" w:rsidRDefault="00C91EFA" w:rsidP="00C91EFA">
      <w:pPr>
        <w:rPr>
          <w:b/>
          <w:bCs/>
        </w:rPr>
      </w:pPr>
      <w:r w:rsidRPr="00565BE9">
        <w:rPr>
          <w:b/>
          <w:bCs/>
        </w:rPr>
        <w:t>BGL monitoring and medication management for active labour or commencement of oxytocin infusion in IOL or fasting for caesarean section</w:t>
      </w:r>
    </w:p>
    <w:p w14:paraId="1A248617" w14:textId="77777777" w:rsidR="00C91EFA" w:rsidRPr="00EE6601" w:rsidRDefault="00C91EFA" w:rsidP="00C91EFA">
      <w:r w:rsidRPr="00EE6601">
        <w:t>For most patients</w:t>
      </w:r>
      <w:r>
        <w:t>,</w:t>
      </w:r>
      <w:r w:rsidRPr="00EE6601">
        <w:t xml:space="preserve"> insulin is not required during labour or caesarean section</w:t>
      </w:r>
      <w:r>
        <w:t>.</w:t>
      </w:r>
    </w:p>
    <w:p w14:paraId="0638EE36" w14:textId="77777777" w:rsidR="00C91EFA" w:rsidRPr="00EE6601" w:rsidRDefault="00C91EFA" w:rsidP="00C91EFA">
      <w:r w:rsidRPr="00EE6601">
        <w:t>Confirm management plan in patient’s clinical record</w:t>
      </w:r>
      <w:r>
        <w:t>.</w:t>
      </w:r>
    </w:p>
    <w:p w14:paraId="51173687" w14:textId="77777777" w:rsidR="00C91EFA" w:rsidRDefault="00C91EFA" w:rsidP="00C91EFA">
      <w:pPr>
        <w:pStyle w:val="ListBullet"/>
        <w:tabs>
          <w:tab w:val="num" w:pos="710"/>
        </w:tabs>
        <w:ind w:left="852"/>
        <w:rPr>
          <w:lang w:val="en-US"/>
        </w:rPr>
      </w:pPr>
      <w:r w:rsidRPr="2BC6C1F3">
        <w:rPr>
          <w:lang w:val="en-US"/>
        </w:rPr>
        <w:t xml:space="preserve">Hourly BGLs are required in active </w:t>
      </w:r>
      <w:proofErr w:type="spellStart"/>
      <w:r w:rsidRPr="2BC6C1F3">
        <w:rPr>
          <w:lang w:val="en-US"/>
        </w:rPr>
        <w:t>labour</w:t>
      </w:r>
      <w:proofErr w:type="spellEnd"/>
      <w:r w:rsidRPr="2BC6C1F3">
        <w:rPr>
          <w:lang w:val="en-US"/>
        </w:rPr>
        <w:t>/commencement of oxytocin infusion/operative birth.</w:t>
      </w:r>
    </w:p>
    <w:p w14:paraId="0293B9A1" w14:textId="77777777" w:rsidR="00C91EFA" w:rsidRPr="009D6B31" w:rsidRDefault="00C91EFA" w:rsidP="00C91EFA">
      <w:pPr>
        <w:pStyle w:val="ListBullet"/>
        <w:tabs>
          <w:tab w:val="num" w:pos="710"/>
        </w:tabs>
        <w:ind w:left="852"/>
        <w:rPr>
          <w:lang w:val="en-US"/>
        </w:rPr>
      </w:pPr>
      <w:r w:rsidRPr="2BC6C1F3">
        <w:rPr>
          <w:lang w:val="en-US"/>
        </w:rPr>
        <w:t xml:space="preserve">Anesthesia (nitrous oxide/epidural or spinal anesthesia) may mask signs of </w:t>
      </w:r>
      <w:proofErr w:type="spellStart"/>
      <w:r w:rsidRPr="2BC6C1F3">
        <w:rPr>
          <w:lang w:val="en-US"/>
        </w:rPr>
        <w:t>hypoglycaemia</w:t>
      </w:r>
      <w:proofErr w:type="spellEnd"/>
      <w:r w:rsidRPr="2BC6C1F3">
        <w:rPr>
          <w:lang w:val="en-US"/>
        </w:rPr>
        <w:t>.</w:t>
      </w:r>
    </w:p>
    <w:p w14:paraId="78450E22" w14:textId="77777777" w:rsidR="00C91EFA" w:rsidRPr="009D6B31" w:rsidRDefault="00C91EFA" w:rsidP="00C91EFA">
      <w:pPr>
        <w:pStyle w:val="ListBullet"/>
        <w:tabs>
          <w:tab w:val="num" w:pos="710"/>
        </w:tabs>
        <w:ind w:left="852"/>
        <w:rPr>
          <w:lang w:val="en-US"/>
        </w:rPr>
      </w:pPr>
      <w:r w:rsidRPr="2BC6C1F3">
        <w:rPr>
          <w:lang w:val="en-US"/>
        </w:rPr>
        <w:t>If BGL exceeds 7.0 mmol/L call endocrine team for management instructions (small doses of short acting insulin are considered).</w:t>
      </w:r>
    </w:p>
    <w:p w14:paraId="0C3C147C" w14:textId="77777777" w:rsidR="00C91EFA" w:rsidRDefault="00C91EFA" w:rsidP="00C91EFA">
      <w:pPr>
        <w:pStyle w:val="ListBullet"/>
        <w:tabs>
          <w:tab w:val="num" w:pos="710"/>
        </w:tabs>
        <w:ind w:left="852"/>
        <w:rPr>
          <w:b/>
          <w:bCs/>
          <w:lang w:val="en-US"/>
        </w:rPr>
      </w:pPr>
      <w:r w:rsidRPr="2BC6C1F3">
        <w:rPr>
          <w:lang w:val="en-US"/>
        </w:rPr>
        <w:t xml:space="preserve">If BGL drops below 4.0 mmol/L, see Attachment 2 for management of </w:t>
      </w:r>
      <w:proofErr w:type="spellStart"/>
      <w:r w:rsidRPr="2BC6C1F3">
        <w:rPr>
          <w:lang w:val="en-US"/>
        </w:rPr>
        <w:t>Hypoglycaemia</w:t>
      </w:r>
      <w:proofErr w:type="spellEnd"/>
      <w:r w:rsidRPr="2BC6C1F3">
        <w:rPr>
          <w:lang w:val="en-US"/>
        </w:rPr>
        <w:t>.</w:t>
      </w:r>
    </w:p>
    <w:p w14:paraId="77EA9343" w14:textId="77777777" w:rsidR="00C91EFA" w:rsidRDefault="00C91EFA" w:rsidP="00C91EFA">
      <w:pPr>
        <w:pStyle w:val="Heading1"/>
        <w:rPr>
          <w:sz w:val="24"/>
          <w:szCs w:val="24"/>
        </w:rPr>
      </w:pPr>
      <w:bookmarkStart w:id="72" w:name="_Toc116893355"/>
    </w:p>
    <w:p w14:paraId="7D2076B5" w14:textId="77777777" w:rsidR="00C91EFA" w:rsidRPr="00565BE9" w:rsidRDefault="00C91EFA" w:rsidP="00C91EFA">
      <w:pPr>
        <w:rPr>
          <w:b/>
          <w:bCs/>
        </w:rPr>
      </w:pPr>
      <w:r w:rsidRPr="00565BE9">
        <w:rPr>
          <w:b/>
          <w:bCs/>
        </w:rPr>
        <w:t>Fetal Surveillance</w:t>
      </w:r>
      <w:bookmarkEnd w:id="72"/>
    </w:p>
    <w:p w14:paraId="61770A3E" w14:textId="77777777" w:rsidR="00C91EFA" w:rsidRDefault="00C91EFA" w:rsidP="00C91EFA">
      <w:pPr>
        <w:rPr>
          <w:b/>
          <w:bCs/>
        </w:rPr>
      </w:pPr>
      <w:r w:rsidRPr="008A25B9">
        <w:rPr>
          <w:b/>
          <w:bCs/>
        </w:rPr>
        <w:t xml:space="preserve">Key </w:t>
      </w:r>
      <w:r>
        <w:rPr>
          <w:b/>
          <w:bCs/>
        </w:rPr>
        <w:t>p</w:t>
      </w:r>
      <w:r w:rsidRPr="008A25B9">
        <w:rPr>
          <w:b/>
          <w:bCs/>
        </w:rPr>
        <w:t>oints</w:t>
      </w:r>
    </w:p>
    <w:p w14:paraId="2ED0DC8B" w14:textId="77777777" w:rsidR="00C91EFA" w:rsidRPr="00E74EBC" w:rsidRDefault="00C91EFA" w:rsidP="00C91EFA">
      <w:pPr>
        <w:pStyle w:val="ListBullet"/>
      </w:pPr>
      <w:r>
        <w:t>Fetal monitoring during early IOL procedure is as per the</w:t>
      </w:r>
      <w:r w:rsidRPr="2BC6C1F3">
        <w:rPr>
          <w:i/>
          <w:iCs/>
        </w:rPr>
        <w:t xml:space="preserve"> Induction of Labour Guideline.</w:t>
      </w:r>
    </w:p>
    <w:p w14:paraId="1DA9892E" w14:textId="77777777" w:rsidR="00C91EFA" w:rsidRDefault="00C91EFA" w:rsidP="00C91EFA">
      <w:pPr>
        <w:pStyle w:val="ListBullet"/>
      </w:pPr>
      <w:r>
        <w:t xml:space="preserve">Refer to the </w:t>
      </w:r>
      <w:r w:rsidRPr="2BC6C1F3">
        <w:rPr>
          <w:i/>
          <w:iCs/>
        </w:rPr>
        <w:t>Fetal Surveillance Guideline</w:t>
      </w:r>
      <w:r>
        <w:t xml:space="preserve"> and the </w:t>
      </w:r>
      <w:r w:rsidRPr="2BC6C1F3">
        <w:rPr>
          <w:i/>
          <w:iCs/>
        </w:rPr>
        <w:t xml:space="preserve">Labour and Birth: Care during First, Second, Third and Fourth Stage Procedure </w:t>
      </w:r>
      <w:r>
        <w:t>(available on the Policy and Guidance Documents Register) for intrapartum monitoring recommendations.</w:t>
      </w:r>
    </w:p>
    <w:p w14:paraId="0C006488" w14:textId="77777777" w:rsidR="00C91EFA" w:rsidRDefault="00C91EFA" w:rsidP="00C91EFA"/>
    <w:p w14:paraId="061D7F70" w14:textId="77777777" w:rsidR="00C91EFA" w:rsidRPr="0068035F" w:rsidRDefault="00C91EFA" w:rsidP="00C91EFA">
      <w:r w:rsidRPr="0068035F">
        <w:t xml:space="preserve">Continuous fetal monitoring in active labour is recommended for: </w:t>
      </w:r>
    </w:p>
    <w:p w14:paraId="34AEB0D9" w14:textId="77777777" w:rsidR="00C91EFA" w:rsidRDefault="00C91EFA" w:rsidP="00C91EFA">
      <w:pPr>
        <w:pStyle w:val="ListBullet"/>
      </w:pPr>
      <w:r>
        <w:t>patients with diabetes where medication was indicated (IRGDM/Type 2 diabetes in insulin/Type 1 diabetes)</w:t>
      </w:r>
    </w:p>
    <w:p w14:paraId="2CC34169" w14:textId="77777777" w:rsidR="00C91EFA" w:rsidRDefault="00C91EFA" w:rsidP="00C91EFA">
      <w:pPr>
        <w:pStyle w:val="ListBullet"/>
      </w:pPr>
      <w:r>
        <w:t>patients who have experienced poorly controlled blood sugar levels</w:t>
      </w:r>
    </w:p>
    <w:p w14:paraId="59B1250C" w14:textId="77777777" w:rsidR="00C91EFA" w:rsidRPr="008A4CE3" w:rsidRDefault="00C91EFA" w:rsidP="00C91EFA">
      <w:pPr>
        <w:pStyle w:val="ListBullet"/>
        <w:rPr>
          <w:b/>
          <w:bCs/>
          <w:lang w:val="en-US"/>
        </w:rPr>
      </w:pPr>
      <w:r>
        <w:t xml:space="preserve">patients whose baby is either </w:t>
      </w:r>
      <w:proofErr w:type="spellStart"/>
      <w:r>
        <w:t>macrosomic</w:t>
      </w:r>
      <w:proofErr w:type="spellEnd"/>
      <w:r>
        <w:t xml:space="preserve"> or small for gestational age.</w:t>
      </w:r>
    </w:p>
    <w:p w14:paraId="7BE71745" w14:textId="77777777" w:rsidR="00C91EFA" w:rsidRPr="00271D70" w:rsidRDefault="00C91EFA" w:rsidP="00C91EFA">
      <w:pPr>
        <w:pStyle w:val="ListParagraph"/>
        <w:ind w:left="1068"/>
        <w:rPr>
          <w:b/>
          <w:bCs/>
          <w:lang w:val="en-US"/>
        </w:rPr>
      </w:pPr>
    </w:p>
    <w:p w14:paraId="6B74B111" w14:textId="77777777" w:rsidR="00C91EFA" w:rsidRPr="00C60676" w:rsidRDefault="00C91EFA" w:rsidP="00C91EFA">
      <w:pPr>
        <w:pStyle w:val="ListParagraph"/>
        <w:ind w:left="5825" w:firstLine="655"/>
        <w:jc w:val="center"/>
        <w:rPr>
          <w:b/>
          <w:bCs/>
          <w:lang w:val="en-US"/>
        </w:rPr>
      </w:pPr>
      <w:hyperlink w:anchor="Contents" w:history="1">
        <w:r w:rsidRPr="00B01AD5">
          <w:rPr>
            <w:rStyle w:val="Hyperlink"/>
            <w:rFonts w:eastAsiaTheme="majorEastAsia" w:cs="Arial"/>
            <w:i/>
            <w:szCs w:val="24"/>
          </w:rPr>
          <w:t>Back to Table of Contents</w:t>
        </w:r>
      </w:hyperlink>
      <w:r w:rsidRPr="00B01AD5">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C91EFA" w:rsidRPr="003D2D06" w14:paraId="5228B7BE" w14:textId="77777777" w:rsidTr="00B3038D">
        <w:trPr>
          <w:cantSplit/>
          <w:trHeight w:val="285"/>
        </w:trPr>
        <w:tc>
          <w:tcPr>
            <w:tcW w:w="9158" w:type="dxa"/>
            <w:shd w:val="clear" w:color="auto" w:fill="D9D9D9" w:themeFill="background1" w:themeFillShade="D9"/>
          </w:tcPr>
          <w:p w14:paraId="76B9D4E1" w14:textId="77777777" w:rsidR="00C91EFA" w:rsidRPr="00DC547C" w:rsidRDefault="00C91EFA" w:rsidP="00B3038D">
            <w:pPr>
              <w:pStyle w:val="Heading1"/>
              <w:rPr>
                <w:sz w:val="27"/>
                <w:szCs w:val="27"/>
              </w:rPr>
            </w:pPr>
            <w:bookmarkStart w:id="73" w:name="_Toc116893356"/>
            <w:bookmarkStart w:id="74" w:name="_Toc126585737"/>
            <w:bookmarkStart w:id="75" w:name="_Hlk114071109"/>
            <w:r w:rsidRPr="00DC547C">
              <w:rPr>
                <w:sz w:val="27"/>
                <w:szCs w:val="27"/>
              </w:rPr>
              <w:t>Section 1</w:t>
            </w:r>
            <w:r>
              <w:rPr>
                <w:sz w:val="27"/>
                <w:szCs w:val="27"/>
              </w:rPr>
              <w:t>4 -</w:t>
            </w:r>
            <w:r w:rsidRPr="00DC547C">
              <w:rPr>
                <w:sz w:val="27"/>
                <w:szCs w:val="27"/>
              </w:rPr>
              <w:t xml:space="preserve"> </w:t>
            </w:r>
            <w:r>
              <w:rPr>
                <w:sz w:val="27"/>
                <w:szCs w:val="27"/>
              </w:rPr>
              <w:t>Postpartum</w:t>
            </w:r>
            <w:r w:rsidRPr="00DC547C">
              <w:rPr>
                <w:sz w:val="27"/>
                <w:szCs w:val="27"/>
              </w:rPr>
              <w:t xml:space="preserve"> </w:t>
            </w:r>
            <w:r>
              <w:rPr>
                <w:sz w:val="27"/>
                <w:szCs w:val="27"/>
              </w:rPr>
              <w:t xml:space="preserve">management for </w:t>
            </w:r>
            <w:r w:rsidRPr="00DC547C">
              <w:rPr>
                <w:sz w:val="27"/>
                <w:szCs w:val="27"/>
              </w:rPr>
              <w:t xml:space="preserve">GDM (including IOL </w:t>
            </w:r>
            <w:r>
              <w:rPr>
                <w:sz w:val="27"/>
                <w:szCs w:val="27"/>
              </w:rPr>
              <w:t>and</w:t>
            </w:r>
            <w:r w:rsidRPr="00DC547C">
              <w:rPr>
                <w:sz w:val="27"/>
                <w:szCs w:val="27"/>
              </w:rPr>
              <w:t xml:space="preserve"> caesarean)</w:t>
            </w:r>
            <w:bookmarkEnd w:id="73"/>
            <w:bookmarkEnd w:id="74"/>
          </w:p>
        </w:tc>
      </w:tr>
      <w:bookmarkEnd w:id="75"/>
    </w:tbl>
    <w:p w14:paraId="7F1DE589" w14:textId="77777777" w:rsidR="00C91EFA" w:rsidRDefault="00C91EFA" w:rsidP="00C91EFA">
      <w:pPr>
        <w:rPr>
          <w:b/>
          <w:bCs/>
          <w:i/>
          <w:iCs/>
          <w:lang w:val="en-US"/>
        </w:rPr>
      </w:pPr>
    </w:p>
    <w:p w14:paraId="38FBC017" w14:textId="77777777" w:rsidR="00C91EFA" w:rsidRPr="00E33D8A" w:rsidRDefault="00C91EFA" w:rsidP="00C91EFA">
      <w:pPr>
        <w:rPr>
          <w:lang w:val="en-US"/>
        </w:rPr>
      </w:pPr>
      <w:r w:rsidRPr="00E33D8A">
        <w:rPr>
          <w:lang w:val="en-US"/>
        </w:rPr>
        <w:t xml:space="preserve">Patients with IRGDM should cease all insulin immediately following birth unless advised otherwise by the endocrinology team. </w:t>
      </w:r>
    </w:p>
    <w:p w14:paraId="2D050DFF" w14:textId="77777777" w:rsidR="00C91EFA" w:rsidRPr="00271D70" w:rsidRDefault="00C91EFA" w:rsidP="00C91EFA">
      <w:pPr>
        <w:rPr>
          <w:b/>
          <w:bCs/>
          <w:i/>
          <w:iCs/>
          <w:lang w:val="en-US"/>
        </w:rPr>
      </w:pPr>
    </w:p>
    <w:p w14:paraId="35F6A8BC" w14:textId="77777777" w:rsidR="00C91EFA" w:rsidRDefault="00C91EFA" w:rsidP="00C91EFA">
      <w:pPr>
        <w:rPr>
          <w:lang w:val="en-US"/>
        </w:rPr>
      </w:pPr>
      <w:r>
        <w:rPr>
          <w:lang w:val="en-US"/>
        </w:rPr>
        <w:t>Patients</w:t>
      </w:r>
      <w:r w:rsidRPr="003C5A81">
        <w:rPr>
          <w:lang w:val="en-US"/>
        </w:rPr>
        <w:t xml:space="preserve"> </w:t>
      </w:r>
      <w:r>
        <w:rPr>
          <w:lang w:val="en-US"/>
        </w:rPr>
        <w:t xml:space="preserve">with IRGDM </w:t>
      </w:r>
      <w:r w:rsidRPr="003C5A81">
        <w:rPr>
          <w:lang w:val="en-US"/>
        </w:rPr>
        <w:t>should complete a 24-hour BGL profile</w:t>
      </w:r>
      <w:r>
        <w:rPr>
          <w:lang w:val="en-US"/>
        </w:rPr>
        <w:t>:</w:t>
      </w:r>
      <w:r w:rsidRPr="003C5A81">
        <w:rPr>
          <w:lang w:val="en-US"/>
        </w:rPr>
        <w:t xml:space="preserve"> </w:t>
      </w:r>
    </w:p>
    <w:p w14:paraId="52B3F782" w14:textId="77777777" w:rsidR="00C91EFA" w:rsidRDefault="00C91EFA" w:rsidP="00C91EFA">
      <w:pPr>
        <w:pStyle w:val="ListBullet"/>
        <w:rPr>
          <w:lang w:val="en-US"/>
        </w:rPr>
      </w:pPr>
      <w:r w:rsidRPr="2BC6C1F3">
        <w:rPr>
          <w:lang w:val="en-US"/>
        </w:rPr>
        <w:t xml:space="preserve">fasting (once per 24 hours) and 2 hours post each meal prior to discharge </w:t>
      </w:r>
    </w:p>
    <w:p w14:paraId="5D2B0D71" w14:textId="77777777" w:rsidR="00C91EFA" w:rsidRPr="003C5A81" w:rsidRDefault="00C91EFA" w:rsidP="00C91EFA">
      <w:pPr>
        <w:pStyle w:val="ListBullet"/>
        <w:rPr>
          <w:lang w:val="en-US"/>
        </w:rPr>
      </w:pPr>
      <w:r w:rsidRPr="2BC6C1F3">
        <w:rPr>
          <w:lang w:val="en-US"/>
        </w:rPr>
        <w:t xml:space="preserve">if fasting BGL&gt;6.0mmol/L or </w:t>
      </w:r>
      <w:proofErr w:type="spellStart"/>
      <w:r w:rsidRPr="2BC6C1F3">
        <w:rPr>
          <w:lang w:val="en-US"/>
        </w:rPr>
        <w:t>preprandial</w:t>
      </w:r>
      <w:proofErr w:type="spellEnd"/>
      <w:r w:rsidRPr="2BC6C1F3">
        <w:rPr>
          <w:lang w:val="en-US"/>
        </w:rPr>
        <w:t xml:space="preserve"> &gt; 10.0 mmol/L, continue BGL monitoring and notify endocrine team for management plan.</w:t>
      </w:r>
    </w:p>
    <w:p w14:paraId="57AF925F" w14:textId="77777777" w:rsidR="00C91EFA" w:rsidRDefault="00C91EFA" w:rsidP="00C91EFA">
      <w:pPr>
        <w:rPr>
          <w:b/>
          <w:bCs/>
        </w:rPr>
      </w:pPr>
    </w:p>
    <w:p w14:paraId="058F3D0D" w14:textId="77777777" w:rsidR="00C91EFA" w:rsidRDefault="00C91EFA" w:rsidP="00C91EFA">
      <w:pPr>
        <w:rPr>
          <w:b/>
          <w:bCs/>
        </w:rPr>
      </w:pPr>
      <w:r w:rsidRPr="00EC7EA8">
        <w:rPr>
          <w:b/>
          <w:bCs/>
        </w:rPr>
        <w:t>GDM lifestyle counselling</w:t>
      </w:r>
    </w:p>
    <w:p w14:paraId="6325DCD5" w14:textId="77777777" w:rsidR="00C91EFA" w:rsidRDefault="00C91EFA" w:rsidP="00C91EFA">
      <w:pPr>
        <w:rPr>
          <w:lang w:val="en-US"/>
        </w:rPr>
      </w:pPr>
      <w:r w:rsidRPr="00A00801">
        <w:rPr>
          <w:lang w:val="en-US"/>
        </w:rPr>
        <w:t xml:space="preserve">Approximately 50% of </w:t>
      </w:r>
      <w:r>
        <w:rPr>
          <w:lang w:val="en-US"/>
        </w:rPr>
        <w:t>patients</w:t>
      </w:r>
      <w:r w:rsidRPr="00A00801">
        <w:rPr>
          <w:lang w:val="en-US"/>
        </w:rPr>
        <w:t xml:space="preserve"> who have had gestational diabetes develop Type 2 </w:t>
      </w:r>
      <w:r>
        <w:rPr>
          <w:lang w:val="en-US"/>
        </w:rPr>
        <w:t>DM</w:t>
      </w:r>
      <w:r w:rsidRPr="00A00801">
        <w:rPr>
          <w:lang w:val="en-US"/>
        </w:rPr>
        <w:t xml:space="preserve"> later in life. Lifestyle counselling for the prevention of diabetes is therefore vital.</w:t>
      </w:r>
    </w:p>
    <w:p w14:paraId="3E95D1AA" w14:textId="77777777" w:rsidR="00C91EFA" w:rsidRDefault="00C91EFA" w:rsidP="00C91EFA">
      <w:pPr>
        <w:pStyle w:val="ListBullet"/>
        <w:rPr>
          <w:lang w:val="en-US"/>
        </w:rPr>
      </w:pPr>
      <w:r w:rsidRPr="2BC6C1F3">
        <w:rPr>
          <w:lang w:val="en-US"/>
        </w:rPr>
        <w:t xml:space="preserve">All patients with GDM are advised to have an OGTT 6 – 8 weeks post birth. </w:t>
      </w:r>
    </w:p>
    <w:p w14:paraId="14992B05" w14:textId="77777777" w:rsidR="00C91EFA" w:rsidRDefault="00C91EFA" w:rsidP="00C91EFA">
      <w:pPr>
        <w:pStyle w:val="ListBullet"/>
        <w:rPr>
          <w:lang w:val="en-US"/>
        </w:rPr>
      </w:pPr>
      <w:r w:rsidRPr="2BC6C1F3">
        <w:rPr>
          <w:lang w:val="en-US"/>
        </w:rPr>
        <w:t>Ensure the patient is provided with an explanation of the significance of OGTT testing at 6-8 weeks post birth and given a pathology collection form with GP copied in to receive results.</w:t>
      </w:r>
    </w:p>
    <w:p w14:paraId="53142480" w14:textId="77777777" w:rsidR="00C91EFA" w:rsidRPr="00A00801" w:rsidRDefault="00C91EFA" w:rsidP="00C91EFA">
      <w:pPr>
        <w:pStyle w:val="ListBullet"/>
        <w:rPr>
          <w:lang w:val="en-US"/>
        </w:rPr>
      </w:pPr>
      <w:r>
        <w:t>The patient’s GP should be notified as part of their discharge summary about the diagnosis of GDM and follow-up OGTT results.</w:t>
      </w:r>
    </w:p>
    <w:p w14:paraId="46C9197E" w14:textId="77777777" w:rsidR="00C91EFA" w:rsidRPr="00A00801" w:rsidRDefault="00C91EFA" w:rsidP="00C91EFA">
      <w:pPr>
        <w:rPr>
          <w:lang w:val="en-US"/>
        </w:rPr>
      </w:pPr>
    </w:p>
    <w:p w14:paraId="2BE3CC31" w14:textId="77777777" w:rsidR="00C91EFA" w:rsidRPr="00A00801" w:rsidRDefault="00C91EFA" w:rsidP="00C91EFA">
      <w:pPr>
        <w:rPr>
          <w:lang w:val="en-US"/>
        </w:rPr>
      </w:pPr>
      <w:r w:rsidRPr="00A00801">
        <w:rPr>
          <w:b/>
          <w:bCs/>
          <w:lang w:val="en-US"/>
        </w:rPr>
        <w:t xml:space="preserve">Prior to discharge, all </w:t>
      </w:r>
      <w:r>
        <w:rPr>
          <w:b/>
          <w:bCs/>
          <w:lang w:val="en-US"/>
        </w:rPr>
        <w:t>patients</w:t>
      </w:r>
      <w:r w:rsidRPr="00A00801">
        <w:rPr>
          <w:b/>
          <w:bCs/>
          <w:lang w:val="en-US"/>
        </w:rPr>
        <w:t xml:space="preserve"> with GDM should be offered information about</w:t>
      </w:r>
      <w:r w:rsidRPr="00A00801">
        <w:rPr>
          <w:lang w:val="en-US"/>
        </w:rPr>
        <w:t>:</w:t>
      </w:r>
    </w:p>
    <w:p w14:paraId="5D1D5056" w14:textId="77777777" w:rsidR="00C91EFA" w:rsidRPr="00A00801" w:rsidRDefault="00C91EFA" w:rsidP="00C91EFA">
      <w:pPr>
        <w:pStyle w:val="ListBullet"/>
        <w:rPr>
          <w:lang w:val="en-US"/>
        </w:rPr>
      </w:pPr>
      <w:r w:rsidRPr="2BC6C1F3">
        <w:rPr>
          <w:lang w:val="en-US"/>
        </w:rPr>
        <w:t>eating patterns (small frequent low-fat meals and snacks)</w:t>
      </w:r>
    </w:p>
    <w:p w14:paraId="489FD998" w14:textId="77777777" w:rsidR="00C91EFA" w:rsidRPr="00A00801" w:rsidRDefault="00C91EFA" w:rsidP="00C91EFA">
      <w:pPr>
        <w:pStyle w:val="ListBullet"/>
        <w:rPr>
          <w:lang w:val="en-US"/>
        </w:rPr>
      </w:pPr>
      <w:r w:rsidRPr="2BC6C1F3">
        <w:rPr>
          <w:lang w:val="en-US"/>
        </w:rPr>
        <w:t>regular physical activity (30 minutes/day – moderate intensity)</w:t>
      </w:r>
    </w:p>
    <w:p w14:paraId="376B7AB4" w14:textId="77777777" w:rsidR="00C91EFA" w:rsidRPr="00A00801" w:rsidRDefault="00C91EFA" w:rsidP="00C91EFA">
      <w:pPr>
        <w:pStyle w:val="ListBullet"/>
        <w:rPr>
          <w:lang w:val="en-US"/>
        </w:rPr>
      </w:pPr>
      <w:r w:rsidRPr="2BC6C1F3">
        <w:rPr>
          <w:lang w:val="en-US"/>
        </w:rPr>
        <w:t>weight control</w:t>
      </w:r>
    </w:p>
    <w:p w14:paraId="314F271B" w14:textId="77777777" w:rsidR="00C91EFA" w:rsidRPr="00A00801" w:rsidRDefault="00C91EFA" w:rsidP="00C91EFA">
      <w:pPr>
        <w:pStyle w:val="ListBullet"/>
        <w:rPr>
          <w:lang w:val="en-US"/>
        </w:rPr>
      </w:pPr>
      <w:r w:rsidRPr="2BC6C1F3">
        <w:rPr>
          <w:lang w:val="en-US"/>
        </w:rPr>
        <w:t>contraception</w:t>
      </w:r>
    </w:p>
    <w:p w14:paraId="449BF6DF" w14:textId="77777777" w:rsidR="00C91EFA" w:rsidRPr="00A00801" w:rsidRDefault="00C91EFA" w:rsidP="00C91EFA">
      <w:pPr>
        <w:pStyle w:val="ListBullet"/>
        <w:rPr>
          <w:lang w:val="en-US"/>
        </w:rPr>
      </w:pPr>
      <w:r w:rsidRPr="2BC6C1F3">
        <w:rPr>
          <w:lang w:val="en-US"/>
        </w:rPr>
        <w:t>long term follow-up (OGTT or HbA1C screening should be repeated every 2 years)</w:t>
      </w:r>
    </w:p>
    <w:p w14:paraId="2E5AAE77" w14:textId="77777777" w:rsidR="00C91EFA" w:rsidRDefault="00C91EFA" w:rsidP="00C91EFA">
      <w:pPr>
        <w:pStyle w:val="ListBullet"/>
        <w:rPr>
          <w:lang w:val="en-US"/>
        </w:rPr>
      </w:pPr>
      <w:r w:rsidRPr="2BC6C1F3">
        <w:rPr>
          <w:lang w:val="en-US"/>
        </w:rPr>
        <w:t>preconception counselling and future pregnancy.</w:t>
      </w:r>
    </w:p>
    <w:p w14:paraId="67E3E2D2" w14:textId="77777777" w:rsidR="00C91EFA" w:rsidRPr="000F0767" w:rsidRDefault="00C91EFA" w:rsidP="00C91EFA">
      <w:pPr>
        <w:pStyle w:val="ListBullet"/>
        <w:numPr>
          <w:ilvl w:val="0"/>
          <w:numId w:val="0"/>
        </w:numPr>
        <w:ind w:left="426"/>
        <w:rPr>
          <w:lang w:val="en-US"/>
        </w:rPr>
      </w:pPr>
    </w:p>
    <w:bookmarkStart w:id="76" w:name="_Hlk114086174"/>
    <w:p w14:paraId="2C817918" w14:textId="77777777" w:rsidR="00C91EFA" w:rsidRDefault="00C91EFA" w:rsidP="00C91EFA">
      <w:pPr>
        <w:pStyle w:val="ListParagraph"/>
        <w:ind w:left="6109" w:firstLine="371"/>
        <w:jc w:val="center"/>
        <w:rPr>
          <w:rFonts w:cs="Arial"/>
          <w:i/>
          <w:szCs w:val="24"/>
        </w:rPr>
      </w:pPr>
      <w:r w:rsidRPr="00B01AD5">
        <w:fldChar w:fldCharType="begin"/>
      </w:r>
      <w:r>
        <w:instrText xml:space="preserve"> HYPERLINK \l "Contents" </w:instrText>
      </w:r>
      <w:r w:rsidRPr="00B01AD5">
        <w:fldChar w:fldCharType="separate"/>
      </w:r>
      <w:r w:rsidRPr="00B01AD5">
        <w:rPr>
          <w:rStyle w:val="Hyperlink"/>
          <w:rFonts w:eastAsiaTheme="majorEastAsia" w:cs="Arial"/>
          <w:i/>
          <w:szCs w:val="24"/>
        </w:rPr>
        <w:t>Back to Table of Contents</w:t>
      </w:r>
      <w:r w:rsidRPr="00B01AD5">
        <w:rPr>
          <w:rStyle w:val="Hyperlink"/>
          <w:rFonts w:eastAsiaTheme="majorEastAsia" w:cs="Arial"/>
          <w:i/>
          <w:szCs w:val="24"/>
        </w:rPr>
        <w:fldChar w:fldCharType="end"/>
      </w:r>
      <w:r w:rsidRPr="00B01AD5">
        <w:rPr>
          <w:rFonts w:cs="Arial"/>
          <w:i/>
          <w:szCs w:val="24"/>
        </w:rPr>
        <w:t xml:space="preserve"> </w:t>
      </w:r>
      <w:bookmarkEnd w:id="76"/>
      <w:r w:rsidRPr="00B01AD5">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C91EFA" w:rsidRPr="00DC547C" w14:paraId="2B7B5EDF" w14:textId="77777777" w:rsidTr="00B3038D">
        <w:trPr>
          <w:cantSplit/>
          <w:trHeight w:val="285"/>
        </w:trPr>
        <w:tc>
          <w:tcPr>
            <w:tcW w:w="9158" w:type="dxa"/>
            <w:shd w:val="clear" w:color="auto" w:fill="D9D9D9" w:themeFill="background1" w:themeFillShade="D9"/>
          </w:tcPr>
          <w:p w14:paraId="7E0F4949" w14:textId="77777777" w:rsidR="00C91EFA" w:rsidRPr="00DC547C" w:rsidRDefault="00C91EFA" w:rsidP="00B3038D">
            <w:pPr>
              <w:pStyle w:val="Heading1"/>
              <w:rPr>
                <w:sz w:val="27"/>
                <w:szCs w:val="27"/>
              </w:rPr>
            </w:pPr>
            <w:bookmarkStart w:id="77" w:name="_Toc116893357"/>
            <w:bookmarkStart w:id="78" w:name="_Toc126585738"/>
            <w:r w:rsidRPr="00DC547C">
              <w:rPr>
                <w:sz w:val="27"/>
                <w:szCs w:val="27"/>
              </w:rPr>
              <w:t>Section 1</w:t>
            </w:r>
            <w:r>
              <w:rPr>
                <w:sz w:val="27"/>
                <w:szCs w:val="27"/>
              </w:rPr>
              <w:t>5 - Newborn considerations</w:t>
            </w:r>
            <w:bookmarkEnd w:id="77"/>
            <w:bookmarkEnd w:id="78"/>
            <w:r>
              <w:rPr>
                <w:sz w:val="27"/>
                <w:szCs w:val="27"/>
              </w:rPr>
              <w:t xml:space="preserve">  </w:t>
            </w:r>
          </w:p>
        </w:tc>
      </w:tr>
    </w:tbl>
    <w:p w14:paraId="36F35379" w14:textId="77777777" w:rsidR="00C91EFA" w:rsidRDefault="00C91EFA" w:rsidP="00C91EFA"/>
    <w:p w14:paraId="2FD62738" w14:textId="77777777" w:rsidR="00C91EFA" w:rsidRPr="005836D5" w:rsidRDefault="00C91EFA" w:rsidP="00C91EFA">
      <w:r>
        <w:t>Neonatal complications that arise from unstable glucose during pregnancy are the result of fetal hyperglycaemia and hyperinsulinism.</w:t>
      </w:r>
      <w:r w:rsidRPr="00961395">
        <w:t xml:space="preserve"> </w:t>
      </w:r>
      <w:r>
        <w:t xml:space="preserve">Glucose crosses the </w:t>
      </w:r>
      <w:r w:rsidRPr="005836D5">
        <w:t xml:space="preserve">placenta, but insulin does not. As a compensatory mechanism, fetal insulin levels increase (maternal insulin does not cross the placenta). High fetal glucose and insulin cause fetal macrosomia. </w:t>
      </w:r>
    </w:p>
    <w:p w14:paraId="45AB5627" w14:textId="77777777" w:rsidR="00C91EFA" w:rsidRPr="005836D5" w:rsidRDefault="00C91EFA" w:rsidP="00C91EFA"/>
    <w:p w14:paraId="5914E298" w14:textId="77777777" w:rsidR="00C91EFA" w:rsidRDefault="00C91EFA" w:rsidP="00C91EFA">
      <w:r w:rsidRPr="005836D5">
        <w:t>After birth, the baby no longer receives maternal glucose but still produces</w:t>
      </w:r>
      <w:r>
        <w:t xml:space="preserve"> high levels of insulin. This leads to neonatal hypoglycaemia. For this reason, if insulin is required to manage diabetes during pregnancy, the baby is at risk of hypoglycaemia. Untreated neonatal hypoglycaemia can lead to brain injury.</w:t>
      </w:r>
    </w:p>
    <w:p w14:paraId="1145C58D" w14:textId="77777777" w:rsidR="00C91EFA" w:rsidRDefault="00C91EFA" w:rsidP="00C91EFA"/>
    <w:p w14:paraId="3CB86E04" w14:textId="77777777" w:rsidR="00C91EFA" w:rsidRDefault="00C91EFA" w:rsidP="00C91EFA">
      <w:r>
        <w:t>Signs of hypoglycaemia are irritability, jitteriness, hypotonia, poor feeding, hypothermia, and seizures.</w:t>
      </w:r>
      <w:r w:rsidRPr="00AB3BB2">
        <w:t xml:space="preserve"> </w:t>
      </w:r>
      <w:r>
        <w:t xml:space="preserve">However, </w:t>
      </w:r>
      <w:r w:rsidRPr="00AB3BB2">
        <w:t>many</w:t>
      </w:r>
      <w:r>
        <w:t xml:space="preserve"> hypoglycaemic newborns have no obvious clinical signs and therefore BGL monitoring must be based on careful identification of risk factors.</w:t>
      </w:r>
    </w:p>
    <w:p w14:paraId="0A616759" w14:textId="77777777" w:rsidR="00C91EFA" w:rsidRDefault="00C91EFA" w:rsidP="00C91EFA">
      <w:pPr>
        <w:pStyle w:val="ListBullet"/>
      </w:pPr>
      <w:r>
        <w:t xml:space="preserve">Newborn babies of patients with Type 1 DM are at a high risk for neonatal hypoglycaemia and require measurement of BGL by 1 hour of life. </w:t>
      </w:r>
    </w:p>
    <w:p w14:paraId="55C67748" w14:textId="77777777" w:rsidR="00C91EFA" w:rsidRDefault="00C91EFA" w:rsidP="00C91EFA">
      <w:pPr>
        <w:pStyle w:val="ListBullet"/>
      </w:pPr>
      <w:r>
        <w:t xml:space="preserve">Infants of patients whose pregnancy was complicated by IRGDM require analysis of BGL within 1-2 hour of life depending on risk factors. </w:t>
      </w:r>
    </w:p>
    <w:p w14:paraId="39DAD69B" w14:textId="77777777" w:rsidR="00C91EFA" w:rsidRPr="009426C0" w:rsidRDefault="00C91EFA" w:rsidP="00C91EFA">
      <w:pPr>
        <w:pStyle w:val="ListBullet"/>
        <w:rPr>
          <w:i/>
          <w:iCs/>
        </w:rPr>
      </w:pPr>
      <w:r>
        <w:t xml:space="preserve">Neonatal hypoglycaemia risk assessment and management should be done as per the </w:t>
      </w:r>
      <w:r w:rsidRPr="2BC6C1F3">
        <w:rPr>
          <w:i/>
          <w:iCs/>
        </w:rPr>
        <w:t xml:space="preserve">Neonatal Hypoglycaemia Guideline </w:t>
      </w:r>
      <w:r>
        <w:t>(available on the Policy and Guidance Documents register).</w:t>
      </w:r>
      <w:r w:rsidRPr="2BC6C1F3">
        <w:rPr>
          <w:i/>
          <w:iCs/>
        </w:rPr>
        <w:t xml:space="preserve"> </w:t>
      </w:r>
    </w:p>
    <w:p w14:paraId="1B67BCCC" w14:textId="77777777" w:rsidR="00C91EFA" w:rsidRDefault="00C91EFA" w:rsidP="00C91EFA"/>
    <w:p w14:paraId="75C29255" w14:textId="77777777" w:rsidR="00C91EFA" w:rsidRPr="00EE1DF2" w:rsidRDefault="00C91EFA" w:rsidP="00C91EFA">
      <w:pPr>
        <w:rPr>
          <w:b/>
          <w:bCs/>
        </w:rPr>
      </w:pPr>
      <w:r w:rsidRPr="00EE1DF2">
        <w:rPr>
          <w:b/>
          <w:bCs/>
        </w:rPr>
        <w:t xml:space="preserve">Recommendations </w:t>
      </w:r>
      <w:r>
        <w:rPr>
          <w:b/>
          <w:bCs/>
        </w:rPr>
        <w:t>to minimise neonatal hypoglycaemia</w:t>
      </w:r>
    </w:p>
    <w:p w14:paraId="4474B7DF" w14:textId="77777777" w:rsidR="00C91EFA" w:rsidRDefault="00C91EFA" w:rsidP="00C91EFA">
      <w:pPr>
        <w:pStyle w:val="ListBullet"/>
      </w:pPr>
      <w:r>
        <w:t xml:space="preserve">Keep the baby warm and support immediate and uninterrupted skin to skin contact. </w:t>
      </w:r>
    </w:p>
    <w:p w14:paraId="4CBEBC8E" w14:textId="77777777" w:rsidR="00C91EFA" w:rsidRDefault="00C91EFA" w:rsidP="00C91EFA">
      <w:pPr>
        <w:pStyle w:val="ListBullet"/>
      </w:pPr>
      <w:r>
        <w:t>Support feeding within the first hour of life.</w:t>
      </w:r>
    </w:p>
    <w:p w14:paraId="4C54658F" w14:textId="77777777" w:rsidR="00C91EFA" w:rsidRDefault="00C91EFA" w:rsidP="00C91EFA">
      <w:pPr>
        <w:pStyle w:val="ListBullet"/>
      </w:pPr>
      <w:r>
        <w:t>Babies with recognised high risk for developing neonatal hypoglycaemia who are not ready to initiate breastfeeding should have early transfer of breast milk (antenatal expressed colostrum) and the parent should be supported to hand express.</w:t>
      </w:r>
    </w:p>
    <w:p w14:paraId="5CC8EDD9" w14:textId="77777777" w:rsidR="00C91EFA" w:rsidRDefault="00C91EFA" w:rsidP="00C91EFA"/>
    <w:p w14:paraId="235981F0" w14:textId="77777777" w:rsidR="00C91EFA" w:rsidRDefault="00C91EFA" w:rsidP="00C91EFA">
      <w:pPr>
        <w:pBdr>
          <w:top w:val="single" w:sz="4" w:space="1" w:color="auto"/>
          <w:left w:val="single" w:sz="4" w:space="4" w:color="auto"/>
          <w:bottom w:val="single" w:sz="4" w:space="1" w:color="auto"/>
          <w:right w:val="single" w:sz="4" w:space="4" w:color="auto"/>
        </w:pBdr>
      </w:pPr>
      <w:r w:rsidRPr="00EE1DF2">
        <w:rPr>
          <w:b/>
          <w:bCs/>
        </w:rPr>
        <w:t>Note</w:t>
      </w:r>
      <w:r>
        <w:t xml:space="preserve">: </w:t>
      </w:r>
    </w:p>
    <w:p w14:paraId="3BDAA170" w14:textId="77777777" w:rsidR="00C91EFA" w:rsidRDefault="00C91EFA" w:rsidP="00C91EFA">
      <w:pPr>
        <w:pBdr>
          <w:top w:val="single" w:sz="4" w:space="1" w:color="auto"/>
          <w:left w:val="single" w:sz="4" w:space="4" w:color="auto"/>
          <w:bottom w:val="single" w:sz="4" w:space="1" w:color="auto"/>
          <w:right w:val="single" w:sz="4" w:space="4" w:color="auto"/>
        </w:pBdr>
      </w:pPr>
      <w:r>
        <w:t>Babies of patients with GDM that is diet controlled, establishing breast feeding and do not have any further complicating neonatal factors (i.e., small for gestational age or large for gestational age) do not require BGL assessment and are eligible for early discharge.</w:t>
      </w:r>
    </w:p>
    <w:p w14:paraId="4D7029F1" w14:textId="77777777" w:rsidR="00C91EFA" w:rsidRPr="00151E3D" w:rsidRDefault="00C91EFA" w:rsidP="00C91EFA"/>
    <w:p w14:paraId="6305DDBD" w14:textId="77777777" w:rsidR="00C91EFA" w:rsidRPr="00B01AD5" w:rsidRDefault="00C91EFA" w:rsidP="00C91EFA">
      <w:pPr>
        <w:pStyle w:val="ListParagraph"/>
        <w:ind w:left="6109" w:firstLine="371"/>
        <w:jc w:val="center"/>
        <w:rPr>
          <w:rFonts w:cs="Arial"/>
          <w:i/>
          <w:szCs w:val="24"/>
        </w:rPr>
      </w:pPr>
      <w:hyperlink w:anchor="Contents" w:history="1">
        <w:r w:rsidRPr="00B01AD5">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C91EFA" w:rsidRPr="00DC547C" w14:paraId="0CB3DD6D" w14:textId="77777777" w:rsidTr="00B3038D">
        <w:trPr>
          <w:cantSplit/>
          <w:trHeight w:val="285"/>
        </w:trPr>
        <w:tc>
          <w:tcPr>
            <w:tcW w:w="9158" w:type="dxa"/>
            <w:shd w:val="clear" w:color="auto" w:fill="D9D9D9" w:themeFill="background1" w:themeFillShade="D9"/>
          </w:tcPr>
          <w:p w14:paraId="731877AB" w14:textId="77777777" w:rsidR="00C91EFA" w:rsidRPr="00DC547C" w:rsidRDefault="00C91EFA" w:rsidP="00B3038D">
            <w:pPr>
              <w:pStyle w:val="Heading1"/>
              <w:rPr>
                <w:sz w:val="27"/>
                <w:szCs w:val="27"/>
              </w:rPr>
            </w:pPr>
            <w:bookmarkStart w:id="79" w:name="_Toc116893358"/>
            <w:bookmarkStart w:id="80" w:name="_Toc126585739"/>
            <w:r w:rsidRPr="00DC547C">
              <w:rPr>
                <w:sz w:val="27"/>
                <w:szCs w:val="27"/>
              </w:rPr>
              <w:t>Section 1</w:t>
            </w:r>
            <w:r>
              <w:rPr>
                <w:sz w:val="27"/>
                <w:szCs w:val="27"/>
              </w:rPr>
              <w:t>6 - Breastfeeding considerations</w:t>
            </w:r>
            <w:bookmarkEnd w:id="79"/>
            <w:bookmarkEnd w:id="80"/>
          </w:p>
        </w:tc>
      </w:tr>
    </w:tbl>
    <w:p w14:paraId="6B424D47" w14:textId="77777777" w:rsidR="00C91EFA" w:rsidRDefault="00C91EFA" w:rsidP="00C91EFA"/>
    <w:p w14:paraId="699B7CD9" w14:textId="77777777" w:rsidR="00C91EFA" w:rsidRDefault="00C91EFA" w:rsidP="00C91EFA">
      <w:r>
        <w:t>Patients with GDM are less likely to breastfeed (75% versus 86%) and continue for a shorter duration (9 versus 17 weeks) compared with patients without GDM. Breastfeeding rates are even lower in patients with GDM who require insulin therapy or who are obese.</w:t>
      </w:r>
    </w:p>
    <w:p w14:paraId="0D118BF1" w14:textId="77777777" w:rsidR="00C91EFA" w:rsidRDefault="00C91EFA" w:rsidP="00C91EFA">
      <w:pPr>
        <w:rPr>
          <w:b/>
          <w:bCs/>
        </w:rPr>
      </w:pPr>
    </w:p>
    <w:p w14:paraId="753260BC" w14:textId="77777777" w:rsidR="00C91EFA" w:rsidRPr="00E16686" w:rsidRDefault="00C91EFA" w:rsidP="00C91EFA">
      <w:pPr>
        <w:rPr>
          <w:b/>
          <w:bCs/>
        </w:rPr>
      </w:pPr>
      <w:r>
        <w:rPr>
          <w:b/>
          <w:bCs/>
        </w:rPr>
        <w:t xml:space="preserve">Benefits of breastfeeding for patients with GDM  </w:t>
      </w:r>
    </w:p>
    <w:p w14:paraId="28B5F160" w14:textId="77777777" w:rsidR="00C91EFA" w:rsidRPr="006E28CC" w:rsidRDefault="00C91EFA" w:rsidP="00C91EFA">
      <w:r w:rsidRPr="006E28CC">
        <w:t>Breastfeeding has short- and long-term benefits for patients who have had GDM</w:t>
      </w:r>
      <w:r>
        <w:t>:</w:t>
      </w:r>
    </w:p>
    <w:p w14:paraId="66F9CB10" w14:textId="77777777" w:rsidR="00C91EFA" w:rsidRDefault="00C91EFA" w:rsidP="00C91EFA">
      <w:pPr>
        <w:pStyle w:val="ListBullet"/>
      </w:pPr>
      <w:r>
        <w:t>Longer duration of breastfeeding reduces risk of developing Type 2 DM in patients who have had GDM.</w:t>
      </w:r>
      <w:r w:rsidRPr="2BC6C1F3">
        <w:rPr>
          <w:vertAlign w:val="superscript"/>
        </w:rPr>
        <w:t>1</w:t>
      </w:r>
    </w:p>
    <w:p w14:paraId="17F000D4" w14:textId="77777777" w:rsidR="00C91EFA" w:rsidRDefault="00C91EFA" w:rsidP="00C91EFA">
      <w:pPr>
        <w:pStyle w:val="ListBullet"/>
      </w:pPr>
      <w:r>
        <w:t>Breastfeeding duration of three or more months reduced the risk of Type 2 diabetes and delayed development of Type 2 diabetes a further 10 years, compared with breastfeeding less than 3 months.</w:t>
      </w:r>
      <w:r w:rsidRPr="2BC6C1F3">
        <w:rPr>
          <w:vertAlign w:val="superscript"/>
        </w:rPr>
        <w:t>1</w:t>
      </w:r>
    </w:p>
    <w:p w14:paraId="6D5C7A96" w14:textId="77777777" w:rsidR="00C91EFA" w:rsidRDefault="00C91EFA" w:rsidP="00C91EFA">
      <w:pPr>
        <w:pStyle w:val="ListBullet"/>
      </w:pPr>
      <w:r>
        <w:t>Exclusive breastfeeding for greater than one month reduces the recurrence rate of GDM.</w:t>
      </w:r>
      <w:r w:rsidRPr="2BC6C1F3">
        <w:rPr>
          <w:vertAlign w:val="superscript"/>
        </w:rPr>
        <w:t>3</w:t>
      </w:r>
    </w:p>
    <w:p w14:paraId="0FD7C7D4" w14:textId="77777777" w:rsidR="00C91EFA" w:rsidRPr="00E16686" w:rsidRDefault="00C91EFA" w:rsidP="00C91EFA">
      <w:pPr>
        <w:pStyle w:val="ListBullet"/>
        <w:rPr>
          <w:b/>
          <w:bCs/>
        </w:rPr>
      </w:pPr>
      <w:r>
        <w:t>Metabolic adaptations during lactation can reverse atherogenic and diabetogenic effects of pregnancy for the patient who develops diabetes in pregnancy.</w:t>
      </w:r>
      <w:r w:rsidRPr="2BC6C1F3">
        <w:rPr>
          <w:vertAlign w:val="superscript"/>
        </w:rPr>
        <w:t>4</w:t>
      </w:r>
      <w:r>
        <w:t xml:space="preserve"> </w:t>
      </w:r>
    </w:p>
    <w:p w14:paraId="6419C2E4" w14:textId="77777777" w:rsidR="00C91EFA" w:rsidRPr="00E16686" w:rsidRDefault="00C91EFA" w:rsidP="00C91EFA">
      <w:pPr>
        <w:pStyle w:val="ListParagraph"/>
        <w:rPr>
          <w:b/>
          <w:bCs/>
        </w:rPr>
      </w:pPr>
    </w:p>
    <w:p w14:paraId="4B568B7B" w14:textId="77777777" w:rsidR="00C91EFA" w:rsidRPr="00E16686" w:rsidRDefault="00C91EFA" w:rsidP="00C91EFA">
      <w:pPr>
        <w:rPr>
          <w:b/>
          <w:bCs/>
        </w:rPr>
      </w:pPr>
      <w:r w:rsidRPr="00E16686">
        <w:rPr>
          <w:b/>
          <w:bCs/>
        </w:rPr>
        <w:lastRenderedPageBreak/>
        <w:t xml:space="preserve">Recommendations </w:t>
      </w:r>
    </w:p>
    <w:p w14:paraId="5231C1AD" w14:textId="77777777" w:rsidR="00C91EFA" w:rsidRDefault="00C91EFA" w:rsidP="00C91EFA">
      <w:pPr>
        <w:pStyle w:val="ListBullet"/>
      </w:pPr>
      <w:r>
        <w:t>Support and encourage patients to breastfeed.</w:t>
      </w:r>
    </w:p>
    <w:p w14:paraId="59DFFB70" w14:textId="77777777" w:rsidR="00C91EFA" w:rsidRDefault="00C91EFA" w:rsidP="00C91EFA">
      <w:pPr>
        <w:pStyle w:val="ListBullet"/>
      </w:pPr>
      <w:r>
        <w:t>Provide advice and information to the patient about the benefits of breastfeeding including:</w:t>
      </w:r>
    </w:p>
    <w:p w14:paraId="00BDDF9E" w14:textId="77777777" w:rsidR="00C91EFA" w:rsidRDefault="00C91EFA" w:rsidP="00C91EFA">
      <w:pPr>
        <w:pStyle w:val="ListBullet"/>
        <w:tabs>
          <w:tab w:val="num" w:pos="1506"/>
        </w:tabs>
        <w:ind w:left="852"/>
      </w:pPr>
      <w:r>
        <w:t xml:space="preserve">reducing the risk of developing diabetes for the patient and baby </w:t>
      </w:r>
    </w:p>
    <w:p w14:paraId="0F386168" w14:textId="77777777" w:rsidR="00C91EFA" w:rsidRDefault="00C91EFA" w:rsidP="00C91EFA">
      <w:pPr>
        <w:pStyle w:val="ListBullet"/>
        <w:tabs>
          <w:tab w:val="num" w:pos="1506"/>
        </w:tabs>
        <w:ind w:left="852"/>
      </w:pPr>
      <w:r>
        <w:t>prevention of neonatal hypoglycaemia</w:t>
      </w:r>
    </w:p>
    <w:p w14:paraId="00FD7E52" w14:textId="77777777" w:rsidR="00C91EFA" w:rsidRDefault="00C91EFA" w:rsidP="00C91EFA">
      <w:pPr>
        <w:pStyle w:val="ListBullet"/>
        <w:tabs>
          <w:tab w:val="num" w:pos="1506"/>
        </w:tabs>
        <w:ind w:left="852"/>
      </w:pPr>
      <w:r>
        <w:t xml:space="preserve">reducing the risk of childhood obesity. </w:t>
      </w:r>
    </w:p>
    <w:p w14:paraId="17E3BCDC" w14:textId="77777777" w:rsidR="00C91EFA" w:rsidRPr="00FA10DF" w:rsidRDefault="00C91EFA" w:rsidP="00C91EFA">
      <w:pPr>
        <w:pStyle w:val="ListBullet"/>
        <w:rPr>
          <w:rFonts w:cs="Arial"/>
          <w:i/>
          <w:iCs/>
        </w:rPr>
      </w:pPr>
      <w:r>
        <w:t>Offer additional skilled lactation support and assistance with breastfeeding to patients with GDM as required.</w:t>
      </w:r>
    </w:p>
    <w:p w14:paraId="16D11470" w14:textId="77777777" w:rsidR="00C91EFA" w:rsidRPr="00DA3910" w:rsidRDefault="00C91EFA" w:rsidP="00C91EFA">
      <w:pPr>
        <w:jc w:val="right"/>
        <w:rPr>
          <w:rFonts w:cs="Arial"/>
          <w:b/>
          <w:szCs w:val="24"/>
        </w:rPr>
      </w:pPr>
      <w:hyperlink w:anchor="Contents" w:history="1">
        <w:r w:rsidRPr="00B01AD5">
          <w:rPr>
            <w:rStyle w:val="Hyperlink"/>
            <w:rFonts w:eastAsiaTheme="majorEastAsia" w:cs="Arial"/>
            <w:i/>
            <w:szCs w:val="24"/>
          </w:rPr>
          <w:t>Back to Table of Contents</w:t>
        </w:r>
      </w:hyperlink>
      <w:r>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C91EFA" w:rsidRPr="00CD1C0E" w14:paraId="06F59EBE" w14:textId="77777777" w:rsidTr="00B3038D">
        <w:trPr>
          <w:cantSplit/>
          <w:trHeight w:val="285"/>
        </w:trPr>
        <w:tc>
          <w:tcPr>
            <w:tcW w:w="9158" w:type="dxa"/>
            <w:shd w:val="clear" w:color="auto" w:fill="D9D9D9" w:themeFill="background1" w:themeFillShade="D9"/>
          </w:tcPr>
          <w:p w14:paraId="6E09BF1D" w14:textId="77777777" w:rsidR="00C91EFA" w:rsidRPr="00CD1C0E" w:rsidRDefault="00C91EFA" w:rsidP="00B3038D">
            <w:pPr>
              <w:pStyle w:val="Heading1"/>
            </w:pPr>
            <w:bookmarkStart w:id="81" w:name="_Toc116893359"/>
            <w:bookmarkStart w:id="82" w:name="_Toc126585740"/>
            <w:r>
              <w:t>Evaluation</w:t>
            </w:r>
            <w:bookmarkEnd w:id="81"/>
            <w:bookmarkEnd w:id="82"/>
            <w:r>
              <w:t xml:space="preserve"> </w:t>
            </w:r>
          </w:p>
        </w:tc>
      </w:tr>
    </w:tbl>
    <w:p w14:paraId="17D7A562" w14:textId="77777777" w:rsidR="00C91EFA" w:rsidRDefault="00C91EFA" w:rsidP="00C91EFA">
      <w:pPr>
        <w:pStyle w:val="Default"/>
        <w:rPr>
          <w:rFonts w:ascii="Calibri" w:hAnsi="Calibri" w:cs="Arial"/>
          <w:b/>
          <w:bCs/>
          <w:iCs/>
          <w:color w:val="auto"/>
          <w:lang w:eastAsia="en-US"/>
        </w:rPr>
      </w:pPr>
    </w:p>
    <w:p w14:paraId="46F06995" w14:textId="77777777" w:rsidR="00C91EFA" w:rsidRDefault="00C91EFA" w:rsidP="00C91EFA">
      <w:pPr>
        <w:pStyle w:val="Default"/>
        <w:rPr>
          <w:rFonts w:ascii="Calibri" w:hAnsi="Calibri" w:cs="Arial"/>
          <w:b/>
          <w:bCs/>
          <w:iCs/>
          <w:color w:val="auto"/>
          <w:lang w:eastAsia="en-US"/>
        </w:rPr>
      </w:pPr>
      <w:r>
        <w:rPr>
          <w:rFonts w:ascii="Calibri" w:hAnsi="Calibri" w:cs="Arial"/>
          <w:b/>
          <w:bCs/>
          <w:iCs/>
          <w:color w:val="auto"/>
          <w:lang w:eastAsia="en-US"/>
        </w:rPr>
        <w:t>Outcome</w:t>
      </w:r>
    </w:p>
    <w:p w14:paraId="100F4FD3" w14:textId="77777777" w:rsidR="00C91EFA" w:rsidRDefault="00C91EFA" w:rsidP="00C91EFA">
      <w:pPr>
        <w:pStyle w:val="ListBullet"/>
      </w:pPr>
      <w:r>
        <w:t xml:space="preserve">This guideline will ensure safe and appropriate management of pregnancy care for pregnant patients with Type 1 DM, Type 2 DM and GDM. </w:t>
      </w:r>
    </w:p>
    <w:p w14:paraId="36760B33" w14:textId="77777777" w:rsidR="00C91EFA" w:rsidRPr="00026BC5" w:rsidRDefault="00C91EFA" w:rsidP="00C91EFA">
      <w:pPr>
        <w:pStyle w:val="ListBullet"/>
        <w:rPr>
          <w:b/>
          <w:bCs/>
        </w:rPr>
      </w:pPr>
      <w:r>
        <w:t>The information in this guideline will assist maternity care staff to respond appropriately to abnormal blood glucose results.</w:t>
      </w:r>
    </w:p>
    <w:p w14:paraId="69986A2F" w14:textId="77777777" w:rsidR="00C91EFA" w:rsidRDefault="00C91EFA" w:rsidP="00C91EFA">
      <w:pPr>
        <w:pStyle w:val="Default"/>
        <w:rPr>
          <w:rFonts w:ascii="Calibri" w:hAnsi="Calibri" w:cs="Arial"/>
          <w:b/>
          <w:bCs/>
          <w:iCs/>
          <w:color w:val="auto"/>
          <w:lang w:eastAsia="en-US"/>
        </w:rPr>
      </w:pPr>
    </w:p>
    <w:p w14:paraId="172E71EE" w14:textId="77777777" w:rsidR="00C91EFA" w:rsidRDefault="00C91EFA" w:rsidP="00C91EFA">
      <w:pPr>
        <w:pStyle w:val="Default"/>
        <w:rPr>
          <w:rFonts w:ascii="Calibri" w:hAnsi="Calibri" w:cs="Arial"/>
          <w:i/>
          <w:color w:val="auto"/>
          <w:lang w:eastAsia="en-US"/>
        </w:rPr>
      </w:pPr>
      <w:r>
        <w:rPr>
          <w:rFonts w:ascii="Calibri" w:hAnsi="Calibri" w:cs="Arial"/>
          <w:b/>
          <w:bCs/>
          <w:iCs/>
          <w:color w:val="auto"/>
          <w:lang w:eastAsia="en-US"/>
        </w:rPr>
        <w:t>Measures</w:t>
      </w:r>
    </w:p>
    <w:p w14:paraId="6BD57DAB" w14:textId="77777777" w:rsidR="00C91EFA" w:rsidRPr="00026BC5" w:rsidRDefault="00C91EFA" w:rsidP="00C91EFA">
      <w:pPr>
        <w:pStyle w:val="ListBullet"/>
        <w:rPr>
          <w:i/>
          <w:iCs/>
        </w:rPr>
      </w:pPr>
      <w:r>
        <w:t>Patients who experience pregnancy complications related to diabetes in pregnancy (as identified in the clinical incident reporting system) will have their case reviewed at weekly maternity Mortality &amp; Morbidity committee meetings to ensure correct procedures have been followed.</w:t>
      </w:r>
    </w:p>
    <w:p w14:paraId="7842EA86" w14:textId="77777777" w:rsidR="00C91EFA" w:rsidRPr="00512B4A" w:rsidRDefault="00C91EFA" w:rsidP="00C91EFA">
      <w:pPr>
        <w:pStyle w:val="ListBullet"/>
        <w:rPr>
          <w:i/>
          <w:iCs/>
        </w:rPr>
      </w:pPr>
      <w:r>
        <w:t xml:space="preserve">Infants who have experienced neonatal complications related to diabetes in pregnancy (as identified in the clinical incident reporting system) will have their case reviewed at weekly maternity M&amp;M committee meetings to ensure correct procedures have been followed. </w:t>
      </w:r>
    </w:p>
    <w:p w14:paraId="3A2C1BFA" w14:textId="77777777" w:rsidR="00C91EFA" w:rsidRPr="00026BC5" w:rsidRDefault="00C91EFA" w:rsidP="00C91EFA">
      <w:pPr>
        <w:pStyle w:val="ListBullet"/>
        <w:rPr>
          <w:i/>
          <w:iCs/>
        </w:rPr>
      </w:pPr>
      <w:r>
        <w:t xml:space="preserve">Neonatal complications related to diabetes in pregnancy are also reviewed by neonatal M&amp;M committee. </w:t>
      </w:r>
    </w:p>
    <w:p w14:paraId="493A250E" w14:textId="77777777" w:rsidR="00C91EFA" w:rsidRDefault="00C91EFA" w:rsidP="00C91EFA">
      <w:pPr>
        <w:jc w:val="right"/>
      </w:pPr>
      <w:hyperlink r:id="rId19" w:anchor="Contents" w:history="1">
        <w:r>
          <w:rPr>
            <w:rStyle w:val="Hyperlink"/>
            <w:rFonts w:eastAsiaTheme="majorEastAsia"/>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C91EFA" w:rsidRPr="00CD1C0E" w14:paraId="2DBBF5B2" w14:textId="77777777" w:rsidTr="00B3038D">
        <w:trPr>
          <w:cantSplit/>
          <w:trHeight w:val="285"/>
        </w:trPr>
        <w:tc>
          <w:tcPr>
            <w:tcW w:w="9158" w:type="dxa"/>
            <w:shd w:val="clear" w:color="auto" w:fill="D9D9D9" w:themeFill="background1" w:themeFillShade="D9"/>
          </w:tcPr>
          <w:p w14:paraId="56AC5EC1" w14:textId="77777777" w:rsidR="00C91EFA" w:rsidRPr="00CD1C0E" w:rsidRDefault="00C91EFA" w:rsidP="00B3038D">
            <w:pPr>
              <w:pStyle w:val="Heading1"/>
            </w:pPr>
            <w:bookmarkStart w:id="83" w:name="_Toc389473287"/>
            <w:bookmarkStart w:id="84" w:name="_Toc393203347"/>
            <w:bookmarkStart w:id="85" w:name="_Toc116893360"/>
            <w:bookmarkStart w:id="86" w:name="_Toc126585741"/>
            <w:r>
              <w:t>Related Policies, Procedures</w:t>
            </w:r>
            <w:bookmarkEnd w:id="83"/>
            <w:r>
              <w:t>, Guidelines and Legislation</w:t>
            </w:r>
            <w:bookmarkEnd w:id="84"/>
            <w:bookmarkEnd w:id="85"/>
            <w:bookmarkEnd w:id="86"/>
          </w:p>
        </w:tc>
      </w:tr>
    </w:tbl>
    <w:p w14:paraId="1ECD7081" w14:textId="77777777" w:rsidR="00C91EFA" w:rsidRDefault="00C91EFA" w:rsidP="00C91EFA">
      <w:pPr>
        <w:rPr>
          <w:b/>
        </w:rPr>
      </w:pPr>
    </w:p>
    <w:p w14:paraId="4A61B93D" w14:textId="77777777" w:rsidR="00C91EFA" w:rsidRDefault="00C91EFA" w:rsidP="00C91EFA">
      <w:pPr>
        <w:rPr>
          <w:b/>
        </w:rPr>
      </w:pPr>
      <w:r>
        <w:rPr>
          <w:b/>
        </w:rPr>
        <w:t>Policies</w:t>
      </w:r>
    </w:p>
    <w:p w14:paraId="220C31BA" w14:textId="77777777" w:rsidR="00C91EFA" w:rsidRDefault="00C91EFA" w:rsidP="00C91EFA">
      <w:pPr>
        <w:pStyle w:val="ListBullet"/>
        <w:numPr>
          <w:ilvl w:val="0"/>
          <w:numId w:val="24"/>
        </w:numPr>
        <w:tabs>
          <w:tab w:val="left" w:pos="720"/>
        </w:tabs>
      </w:pPr>
      <w:r>
        <w:t xml:space="preserve">ACT Health Nursing and Midwifery Board of Australia (NMBA) Requirements for Practice </w:t>
      </w:r>
    </w:p>
    <w:p w14:paraId="48DC7ADF" w14:textId="77777777" w:rsidR="00C91EFA" w:rsidRDefault="00C91EFA" w:rsidP="00C91EFA">
      <w:pPr>
        <w:pStyle w:val="ListBullet"/>
        <w:numPr>
          <w:ilvl w:val="0"/>
          <w:numId w:val="24"/>
        </w:numPr>
        <w:tabs>
          <w:tab w:val="left" w:pos="720"/>
        </w:tabs>
      </w:pPr>
      <w:r>
        <w:t>Informed Consent</w:t>
      </w:r>
    </w:p>
    <w:p w14:paraId="4D628FBB" w14:textId="77777777" w:rsidR="00C91EFA" w:rsidRDefault="00C91EFA" w:rsidP="00C91EFA">
      <w:pPr>
        <w:pStyle w:val="ListBullet"/>
        <w:numPr>
          <w:ilvl w:val="0"/>
          <w:numId w:val="24"/>
        </w:numPr>
        <w:tabs>
          <w:tab w:val="left" w:pos="720"/>
        </w:tabs>
      </w:pPr>
      <w:r>
        <w:t>Preventing and Controlling Healthcare Associated Infections</w:t>
      </w:r>
    </w:p>
    <w:p w14:paraId="5930E727" w14:textId="77777777" w:rsidR="00C91EFA" w:rsidRDefault="00C91EFA" w:rsidP="00C91EFA">
      <w:pPr>
        <w:rPr>
          <w:rFonts w:cs="Arial"/>
          <w:szCs w:val="24"/>
        </w:rPr>
      </w:pPr>
    </w:p>
    <w:p w14:paraId="4420A46D" w14:textId="77777777" w:rsidR="00C91EFA" w:rsidRDefault="00C91EFA" w:rsidP="00C91EFA">
      <w:pPr>
        <w:rPr>
          <w:b/>
        </w:rPr>
      </w:pPr>
      <w:r>
        <w:rPr>
          <w:b/>
        </w:rPr>
        <w:t>Procedures</w:t>
      </w:r>
    </w:p>
    <w:p w14:paraId="3350BA99" w14:textId="77777777" w:rsidR="00C91EFA" w:rsidRDefault="00C91EFA" w:rsidP="00C91EFA">
      <w:pPr>
        <w:pStyle w:val="ListBullet"/>
        <w:numPr>
          <w:ilvl w:val="0"/>
          <w:numId w:val="25"/>
        </w:numPr>
        <w:tabs>
          <w:tab w:val="left" w:pos="720"/>
        </w:tabs>
      </w:pPr>
      <w:r>
        <w:t>Blood Collection via Heel Lance Device (Neonates)</w:t>
      </w:r>
    </w:p>
    <w:p w14:paraId="3B13409F" w14:textId="77777777" w:rsidR="00C91EFA" w:rsidRDefault="00C91EFA" w:rsidP="00C91EFA">
      <w:pPr>
        <w:pStyle w:val="ListBullet"/>
        <w:numPr>
          <w:ilvl w:val="0"/>
          <w:numId w:val="25"/>
        </w:numPr>
        <w:tabs>
          <w:tab w:val="left" w:pos="720"/>
        </w:tabs>
      </w:pPr>
      <w:r>
        <w:t>Infection Prevention and Control</w:t>
      </w:r>
    </w:p>
    <w:p w14:paraId="6CA2E0B6" w14:textId="77777777" w:rsidR="00C91EFA" w:rsidRDefault="00C91EFA" w:rsidP="00C91EFA">
      <w:pPr>
        <w:pStyle w:val="ListBullet"/>
        <w:numPr>
          <w:ilvl w:val="0"/>
          <w:numId w:val="25"/>
        </w:numPr>
        <w:tabs>
          <w:tab w:val="left" w:pos="720"/>
        </w:tabs>
        <w:rPr>
          <w:szCs w:val="24"/>
        </w:rPr>
      </w:pPr>
      <w:r>
        <w:rPr>
          <w:color w:val="000000"/>
          <w:szCs w:val="24"/>
        </w:rPr>
        <w:t>Labour and Birth Care During First, Second, Third and Fourth Stage</w:t>
      </w:r>
    </w:p>
    <w:p w14:paraId="3F9394DD" w14:textId="77777777" w:rsidR="00C91EFA" w:rsidRDefault="00C91EFA" w:rsidP="00C91EFA">
      <w:pPr>
        <w:pStyle w:val="ListBullet"/>
        <w:numPr>
          <w:ilvl w:val="0"/>
          <w:numId w:val="25"/>
        </w:numPr>
        <w:tabs>
          <w:tab w:val="left" w:pos="720"/>
        </w:tabs>
      </w:pPr>
      <w:r>
        <w:lastRenderedPageBreak/>
        <w:t xml:space="preserve">Patient Identification and Procedure Matching </w:t>
      </w:r>
    </w:p>
    <w:p w14:paraId="1BC2A7BF" w14:textId="77777777" w:rsidR="00C91EFA" w:rsidRDefault="00C91EFA" w:rsidP="00C91EFA">
      <w:pPr>
        <w:pStyle w:val="ListBullet"/>
        <w:numPr>
          <w:ilvl w:val="0"/>
          <w:numId w:val="25"/>
        </w:numPr>
        <w:tabs>
          <w:tab w:val="left" w:pos="720"/>
        </w:tabs>
      </w:pPr>
      <w:r>
        <w:t>UCH Vital Signs and Early Warning Scores</w:t>
      </w:r>
    </w:p>
    <w:p w14:paraId="15AA0C7A" w14:textId="77777777" w:rsidR="00C91EFA" w:rsidRDefault="00C91EFA" w:rsidP="00C91EFA">
      <w:pPr>
        <w:pStyle w:val="ListBullet"/>
        <w:numPr>
          <w:ilvl w:val="0"/>
          <w:numId w:val="25"/>
        </w:numPr>
        <w:tabs>
          <w:tab w:val="left" w:pos="720"/>
        </w:tabs>
      </w:pPr>
      <w:r>
        <w:t>Venepuncture Blood Specimen Collection</w:t>
      </w:r>
    </w:p>
    <w:p w14:paraId="37AD5FBD" w14:textId="77777777" w:rsidR="00C91EFA" w:rsidRDefault="00C91EFA" w:rsidP="00C91EFA">
      <w:pPr>
        <w:pStyle w:val="ListBullet"/>
        <w:numPr>
          <w:ilvl w:val="0"/>
          <w:numId w:val="25"/>
        </w:numPr>
        <w:tabs>
          <w:tab w:val="left" w:pos="720"/>
        </w:tabs>
      </w:pPr>
      <w:r>
        <w:t>Vital Signs &amp; Early Warning Scores – The Canberra Hospital Inpatients</w:t>
      </w:r>
    </w:p>
    <w:p w14:paraId="113EB113" w14:textId="77777777" w:rsidR="00C91EFA" w:rsidRDefault="00C91EFA" w:rsidP="00C91EFA">
      <w:pPr>
        <w:ind w:left="360"/>
        <w:rPr>
          <w:rFonts w:cs="Arial"/>
          <w:szCs w:val="24"/>
        </w:rPr>
      </w:pPr>
    </w:p>
    <w:p w14:paraId="2D1BF075" w14:textId="77777777" w:rsidR="00C91EFA" w:rsidRDefault="00C91EFA" w:rsidP="00C91EFA">
      <w:pPr>
        <w:rPr>
          <w:b/>
        </w:rPr>
      </w:pPr>
      <w:r>
        <w:rPr>
          <w:b/>
        </w:rPr>
        <w:t xml:space="preserve">Guidelines </w:t>
      </w:r>
    </w:p>
    <w:p w14:paraId="23E48814" w14:textId="77777777" w:rsidR="00C91EFA" w:rsidRDefault="00C91EFA" w:rsidP="00C91EFA">
      <w:pPr>
        <w:pStyle w:val="ListBullet"/>
        <w:numPr>
          <w:ilvl w:val="0"/>
          <w:numId w:val="24"/>
        </w:numPr>
        <w:tabs>
          <w:tab w:val="left" w:pos="720"/>
        </w:tabs>
      </w:pPr>
      <w:r>
        <w:t>Breastfeeding Clinical Guideline</w:t>
      </w:r>
    </w:p>
    <w:p w14:paraId="11453D5D" w14:textId="77777777" w:rsidR="00C91EFA" w:rsidRDefault="00C91EFA" w:rsidP="00C91EFA">
      <w:pPr>
        <w:pStyle w:val="ListBullet"/>
        <w:numPr>
          <w:ilvl w:val="0"/>
          <w:numId w:val="24"/>
        </w:numPr>
        <w:tabs>
          <w:tab w:val="left" w:pos="720"/>
        </w:tabs>
      </w:pPr>
      <w:r>
        <w:t>Diabetes Management: Including Hypoglycaemia, IV Insulin Infusions and Insulin Pumps (Adults only)</w:t>
      </w:r>
    </w:p>
    <w:p w14:paraId="284FC0F3" w14:textId="77777777" w:rsidR="00C91EFA" w:rsidRDefault="00C91EFA" w:rsidP="00C91EFA">
      <w:pPr>
        <w:pStyle w:val="ListParagraph"/>
        <w:numPr>
          <w:ilvl w:val="0"/>
          <w:numId w:val="24"/>
        </w:numPr>
      </w:pPr>
      <w:r>
        <w:t>Emergency Management Plans – Code Blue</w:t>
      </w:r>
    </w:p>
    <w:p w14:paraId="16A9EB8B" w14:textId="77777777" w:rsidR="00C91EFA" w:rsidRDefault="00C91EFA" w:rsidP="00C91EFA">
      <w:pPr>
        <w:pStyle w:val="ListBullet"/>
        <w:numPr>
          <w:ilvl w:val="0"/>
          <w:numId w:val="24"/>
        </w:numPr>
        <w:tabs>
          <w:tab w:val="left" w:pos="720"/>
        </w:tabs>
      </w:pPr>
      <w:r>
        <w:t xml:space="preserve">Fasting Guidelines for Patients Requiring Sedation or Anaesthesia </w:t>
      </w:r>
    </w:p>
    <w:p w14:paraId="0FBDEEFE" w14:textId="77777777" w:rsidR="00C91EFA" w:rsidRDefault="00C91EFA" w:rsidP="00C91EFA">
      <w:pPr>
        <w:pStyle w:val="ListBullet"/>
        <w:numPr>
          <w:ilvl w:val="0"/>
          <w:numId w:val="24"/>
        </w:numPr>
        <w:tabs>
          <w:tab w:val="left" w:pos="720"/>
        </w:tabs>
      </w:pPr>
      <w:r>
        <w:t>Fetal Surveillance</w:t>
      </w:r>
    </w:p>
    <w:p w14:paraId="0486424C" w14:textId="77777777" w:rsidR="00C91EFA" w:rsidRDefault="00C91EFA" w:rsidP="00C91EFA">
      <w:pPr>
        <w:pStyle w:val="ListBullet"/>
        <w:numPr>
          <w:ilvl w:val="0"/>
          <w:numId w:val="24"/>
        </w:numPr>
        <w:tabs>
          <w:tab w:val="left" w:pos="720"/>
        </w:tabs>
        <w:rPr>
          <w:szCs w:val="24"/>
        </w:rPr>
      </w:pPr>
      <w:r>
        <w:rPr>
          <w:color w:val="000000"/>
          <w:szCs w:val="24"/>
        </w:rPr>
        <w:t>Induction of Labour</w:t>
      </w:r>
    </w:p>
    <w:p w14:paraId="2DA9FDAE" w14:textId="77777777" w:rsidR="00C91EFA" w:rsidRDefault="00C91EFA" w:rsidP="00C91EFA">
      <w:pPr>
        <w:pStyle w:val="ListBullet"/>
        <w:numPr>
          <w:ilvl w:val="0"/>
          <w:numId w:val="24"/>
        </w:numPr>
        <w:tabs>
          <w:tab w:val="left" w:pos="720"/>
        </w:tabs>
        <w:rPr>
          <w:color w:val="000000"/>
          <w:szCs w:val="24"/>
        </w:rPr>
      </w:pPr>
      <w:r>
        <w:rPr>
          <w:color w:val="000000"/>
          <w:szCs w:val="24"/>
        </w:rPr>
        <w:t>Neonatal Hypoglycaemia</w:t>
      </w:r>
    </w:p>
    <w:p w14:paraId="6D75CC28" w14:textId="77777777" w:rsidR="00C91EFA" w:rsidRDefault="00C91EFA" w:rsidP="00C91EFA">
      <w:pPr>
        <w:pStyle w:val="ListBullet"/>
        <w:numPr>
          <w:ilvl w:val="0"/>
          <w:numId w:val="24"/>
        </w:numPr>
        <w:tabs>
          <w:tab w:val="left" w:pos="720"/>
        </w:tabs>
        <w:rPr>
          <w:szCs w:val="24"/>
        </w:rPr>
      </w:pPr>
      <w:r>
        <w:rPr>
          <w:szCs w:val="24"/>
        </w:rPr>
        <w:t>Obesity – Pregnancy, Labour, Birth and Postnatal Care</w:t>
      </w:r>
    </w:p>
    <w:p w14:paraId="5B261377" w14:textId="77777777" w:rsidR="00C91EFA" w:rsidRDefault="00C91EFA" w:rsidP="00C91EFA"/>
    <w:p w14:paraId="5EC59CA9" w14:textId="77777777" w:rsidR="00C91EFA" w:rsidRDefault="00C91EFA" w:rsidP="00C91EFA">
      <w:pPr>
        <w:rPr>
          <w:b/>
        </w:rPr>
      </w:pPr>
      <w:r>
        <w:rPr>
          <w:b/>
        </w:rPr>
        <w:t>Legislation</w:t>
      </w:r>
    </w:p>
    <w:p w14:paraId="5E17F6D4" w14:textId="77777777" w:rsidR="00C91EFA" w:rsidRDefault="00C91EFA" w:rsidP="00C91EFA">
      <w:pPr>
        <w:pStyle w:val="ListBullet"/>
        <w:numPr>
          <w:ilvl w:val="0"/>
          <w:numId w:val="26"/>
        </w:numPr>
        <w:tabs>
          <w:tab w:val="left" w:pos="720"/>
        </w:tabs>
        <w:rPr>
          <w:iCs/>
        </w:rPr>
      </w:pPr>
      <w:r>
        <w:rPr>
          <w:i/>
        </w:rPr>
        <w:t>Health Records (Privacy and Access) Act</w:t>
      </w:r>
      <w:r>
        <w:rPr>
          <w:iCs/>
        </w:rPr>
        <w:t xml:space="preserve"> 1997</w:t>
      </w:r>
    </w:p>
    <w:p w14:paraId="58651162" w14:textId="77777777" w:rsidR="00C91EFA" w:rsidRDefault="00C91EFA" w:rsidP="00C91EFA">
      <w:pPr>
        <w:pStyle w:val="ListBullet"/>
        <w:numPr>
          <w:ilvl w:val="0"/>
          <w:numId w:val="26"/>
        </w:numPr>
        <w:tabs>
          <w:tab w:val="left" w:pos="720"/>
        </w:tabs>
        <w:rPr>
          <w:iCs/>
        </w:rPr>
      </w:pPr>
      <w:r>
        <w:rPr>
          <w:i/>
        </w:rPr>
        <w:t>Human Rights Act</w:t>
      </w:r>
      <w:r>
        <w:rPr>
          <w:iCs/>
        </w:rPr>
        <w:t xml:space="preserve"> 2004</w:t>
      </w:r>
    </w:p>
    <w:p w14:paraId="3858CBCC" w14:textId="77777777" w:rsidR="00C91EFA" w:rsidRDefault="00C91EFA" w:rsidP="00C91EFA">
      <w:pPr>
        <w:pStyle w:val="ListBullet"/>
        <w:numPr>
          <w:ilvl w:val="0"/>
          <w:numId w:val="26"/>
        </w:numPr>
        <w:tabs>
          <w:tab w:val="left" w:pos="720"/>
        </w:tabs>
        <w:rPr>
          <w:iCs/>
        </w:rPr>
      </w:pPr>
      <w:r>
        <w:rPr>
          <w:i/>
        </w:rPr>
        <w:t>Work Health and Safety Act</w:t>
      </w:r>
      <w:r>
        <w:rPr>
          <w:iCs/>
        </w:rPr>
        <w:t xml:space="preserve"> 2011</w:t>
      </w:r>
    </w:p>
    <w:p w14:paraId="418F19DD" w14:textId="77777777" w:rsidR="00C91EFA" w:rsidRDefault="00C91EFA" w:rsidP="00C91EFA">
      <w:pPr>
        <w:pStyle w:val="ListBullet"/>
        <w:numPr>
          <w:ilvl w:val="0"/>
          <w:numId w:val="26"/>
        </w:numPr>
        <w:tabs>
          <w:tab w:val="left" w:pos="720"/>
        </w:tabs>
        <w:rPr>
          <w:iCs/>
        </w:rPr>
      </w:pPr>
      <w:r>
        <w:rPr>
          <w:i/>
        </w:rPr>
        <w:t>Carers Recognition Act</w:t>
      </w:r>
      <w:r>
        <w:rPr>
          <w:iCs/>
        </w:rPr>
        <w:t xml:space="preserve"> 2021</w:t>
      </w:r>
    </w:p>
    <w:p w14:paraId="29E01B70" w14:textId="77777777" w:rsidR="00C91EFA" w:rsidRDefault="00C91EFA" w:rsidP="00C91EFA">
      <w:pPr>
        <w:rPr>
          <w:rFonts w:cs="Arial"/>
          <w:iCs/>
          <w:szCs w:val="24"/>
        </w:rPr>
      </w:pPr>
    </w:p>
    <w:p w14:paraId="15895D99" w14:textId="77777777" w:rsidR="00C91EFA" w:rsidRDefault="00C91EFA" w:rsidP="00C91EFA">
      <w:pPr>
        <w:rPr>
          <w:rFonts w:cs="Arial"/>
          <w:b/>
          <w:bCs/>
          <w:iCs/>
          <w:szCs w:val="24"/>
        </w:rPr>
      </w:pPr>
      <w:r>
        <w:rPr>
          <w:rFonts w:cs="Arial"/>
          <w:b/>
          <w:bCs/>
          <w:iCs/>
          <w:szCs w:val="24"/>
        </w:rPr>
        <w:t>Other</w:t>
      </w:r>
    </w:p>
    <w:p w14:paraId="51D87C1D" w14:textId="77777777" w:rsidR="00C91EFA" w:rsidRDefault="00C91EFA" w:rsidP="00C91EFA">
      <w:pPr>
        <w:pStyle w:val="ListBullet"/>
        <w:numPr>
          <w:ilvl w:val="0"/>
          <w:numId w:val="27"/>
        </w:numPr>
        <w:tabs>
          <w:tab w:val="left" w:pos="720"/>
        </w:tabs>
      </w:pPr>
      <w:r>
        <w:t>Australian Charter of Health Care Rights</w:t>
      </w:r>
    </w:p>
    <w:p w14:paraId="791E53F3" w14:textId="77777777" w:rsidR="00C91EFA" w:rsidRPr="008D0559" w:rsidRDefault="00C91EFA" w:rsidP="00C91EFA"/>
    <w:p w14:paraId="1B87954E" w14:textId="77777777" w:rsidR="00C91EFA" w:rsidRPr="00DA3910" w:rsidRDefault="00C91EFA" w:rsidP="00C91EFA">
      <w:pPr>
        <w:pStyle w:val="ListParagraph"/>
        <w:jc w:val="right"/>
        <w:rPr>
          <w:szCs w:val="24"/>
        </w:rPr>
      </w:pPr>
      <w:hyperlink w:anchor="Contents" w:history="1">
        <w:r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C91EFA" w:rsidRPr="001B2BAC" w14:paraId="737F6D9C" w14:textId="77777777" w:rsidTr="00B3038D">
        <w:trPr>
          <w:cantSplit/>
          <w:trHeight w:val="285"/>
        </w:trPr>
        <w:tc>
          <w:tcPr>
            <w:tcW w:w="9158" w:type="dxa"/>
            <w:shd w:val="clear" w:color="auto" w:fill="D9D9D9" w:themeFill="background1" w:themeFillShade="D9"/>
          </w:tcPr>
          <w:p w14:paraId="3B7786E9" w14:textId="77777777" w:rsidR="00C91EFA" w:rsidRPr="002E3BFE" w:rsidRDefault="00C91EFA" w:rsidP="00B3038D">
            <w:pPr>
              <w:pStyle w:val="Heading1"/>
              <w:rPr>
                <w:szCs w:val="24"/>
              </w:rPr>
            </w:pPr>
            <w:bookmarkStart w:id="87" w:name="_Toc116893361"/>
            <w:bookmarkStart w:id="88" w:name="_Toc126585742"/>
            <w:r>
              <w:rPr>
                <w:szCs w:val="24"/>
              </w:rPr>
              <w:t>References</w:t>
            </w:r>
            <w:bookmarkEnd w:id="87"/>
            <w:bookmarkEnd w:id="88"/>
          </w:p>
        </w:tc>
      </w:tr>
    </w:tbl>
    <w:p w14:paraId="7A9CF91F" w14:textId="77777777" w:rsidR="00C91EFA" w:rsidRDefault="00C91EFA" w:rsidP="00C91EFA">
      <w:pPr>
        <w:pStyle w:val="ListParagraph"/>
        <w:numPr>
          <w:ilvl w:val="0"/>
          <w:numId w:val="5"/>
        </w:numPr>
      </w:pPr>
      <w:r>
        <w:t xml:space="preserve">Diabetes Australia. Position Statement on Gestational Diabetes in Australia. 2020. Available from: </w:t>
      </w:r>
      <w:hyperlink r:id="rId20" w:history="1">
        <w:r w:rsidRPr="008E42F1">
          <w:rPr>
            <w:color w:val="0000FF"/>
            <w:u w:val="single"/>
          </w:rPr>
          <w:t>ADS - ADS Position Statements/Guidelines - Diabetes &amp; GDM/Obesity/Feet (diabetessociety.com.au)</w:t>
        </w:r>
      </w:hyperlink>
    </w:p>
    <w:p w14:paraId="730E196A" w14:textId="77777777" w:rsidR="00C91EFA" w:rsidRPr="00732376" w:rsidRDefault="00C91EFA" w:rsidP="00C91EFA">
      <w:pPr>
        <w:pStyle w:val="ListParagraph"/>
        <w:numPr>
          <w:ilvl w:val="0"/>
          <w:numId w:val="5"/>
        </w:numPr>
      </w:pPr>
      <w:r w:rsidRPr="00DC73CE">
        <w:rPr>
          <w:rFonts w:ascii="Open Sans" w:hAnsi="Open Sans" w:cs="Open Sans"/>
          <w:color w:val="1C1D1E"/>
          <w:sz w:val="21"/>
          <w:szCs w:val="21"/>
          <w:shd w:val="clear" w:color="auto" w:fill="FFFFFF"/>
        </w:rPr>
        <w:t xml:space="preserve">Rudland, V.L., Price, S.A., Hughes, R., Barrett, H.L., </w:t>
      </w:r>
      <w:proofErr w:type="spellStart"/>
      <w:r w:rsidRPr="00DC73CE">
        <w:rPr>
          <w:rFonts w:ascii="Open Sans" w:hAnsi="Open Sans" w:cs="Open Sans"/>
          <w:color w:val="1C1D1E"/>
          <w:sz w:val="21"/>
          <w:szCs w:val="21"/>
          <w:shd w:val="clear" w:color="auto" w:fill="FFFFFF"/>
        </w:rPr>
        <w:t>Lagstrom</w:t>
      </w:r>
      <w:proofErr w:type="spellEnd"/>
      <w:r w:rsidRPr="00DC73CE">
        <w:rPr>
          <w:rFonts w:ascii="Open Sans" w:hAnsi="Open Sans" w:cs="Open Sans"/>
          <w:color w:val="1C1D1E"/>
          <w:sz w:val="21"/>
          <w:szCs w:val="21"/>
          <w:shd w:val="clear" w:color="auto" w:fill="FFFFFF"/>
        </w:rPr>
        <w:t xml:space="preserve">, J., Porter, C., Britten, F.L., </w:t>
      </w:r>
      <w:proofErr w:type="spellStart"/>
      <w:r w:rsidRPr="00DC73CE">
        <w:rPr>
          <w:rFonts w:ascii="Open Sans" w:hAnsi="Open Sans" w:cs="Open Sans"/>
          <w:color w:val="1C1D1E"/>
          <w:sz w:val="21"/>
          <w:szCs w:val="21"/>
          <w:shd w:val="clear" w:color="auto" w:fill="FFFFFF"/>
        </w:rPr>
        <w:t>Glastras</w:t>
      </w:r>
      <w:proofErr w:type="spellEnd"/>
      <w:r w:rsidRPr="00DC73CE">
        <w:rPr>
          <w:rFonts w:ascii="Open Sans" w:hAnsi="Open Sans" w:cs="Open Sans"/>
          <w:color w:val="1C1D1E"/>
          <w:sz w:val="21"/>
          <w:szCs w:val="21"/>
          <w:shd w:val="clear" w:color="auto" w:fill="FFFFFF"/>
        </w:rPr>
        <w:t xml:space="preserve">, S., Fulcher, I., Wein, P., Simmons, D., McIntyre, H.D. and Callaway, L. (2020), ADIPS 2020 guideline for pre-existing diabetes and pregnancy. Aust N Z J </w:t>
      </w:r>
      <w:proofErr w:type="spellStart"/>
      <w:r w:rsidRPr="00DC73CE">
        <w:rPr>
          <w:rFonts w:ascii="Open Sans" w:hAnsi="Open Sans" w:cs="Open Sans"/>
          <w:color w:val="1C1D1E"/>
          <w:sz w:val="21"/>
          <w:szCs w:val="21"/>
          <w:shd w:val="clear" w:color="auto" w:fill="FFFFFF"/>
        </w:rPr>
        <w:t>Obstet</w:t>
      </w:r>
      <w:proofErr w:type="spellEnd"/>
      <w:r w:rsidRPr="00DC73CE">
        <w:rPr>
          <w:rFonts w:ascii="Open Sans" w:hAnsi="Open Sans" w:cs="Open Sans"/>
          <w:color w:val="1C1D1E"/>
          <w:sz w:val="21"/>
          <w:szCs w:val="21"/>
          <w:shd w:val="clear" w:color="auto" w:fill="FFFFFF"/>
        </w:rPr>
        <w:t xml:space="preserve"> </w:t>
      </w:r>
      <w:proofErr w:type="spellStart"/>
      <w:r w:rsidRPr="00DC73CE">
        <w:rPr>
          <w:rFonts w:ascii="Open Sans" w:hAnsi="Open Sans" w:cs="Open Sans"/>
          <w:color w:val="1C1D1E"/>
          <w:sz w:val="21"/>
          <w:szCs w:val="21"/>
          <w:shd w:val="clear" w:color="auto" w:fill="FFFFFF"/>
        </w:rPr>
        <w:t>Gynaecol</w:t>
      </w:r>
      <w:proofErr w:type="spellEnd"/>
      <w:r w:rsidRPr="00DC73CE">
        <w:rPr>
          <w:rFonts w:ascii="Open Sans" w:hAnsi="Open Sans" w:cs="Open Sans"/>
          <w:color w:val="1C1D1E"/>
          <w:sz w:val="21"/>
          <w:szCs w:val="21"/>
          <w:shd w:val="clear" w:color="auto" w:fill="FFFFFF"/>
        </w:rPr>
        <w:t xml:space="preserve">, 60: E18-E52. </w:t>
      </w:r>
      <w:hyperlink r:id="rId21" w:history="1">
        <w:r w:rsidRPr="00B2440A">
          <w:rPr>
            <w:rStyle w:val="Hyperlink"/>
            <w:rFonts w:ascii="Open Sans" w:hAnsi="Open Sans" w:cs="Open Sans"/>
            <w:sz w:val="21"/>
            <w:szCs w:val="21"/>
            <w:shd w:val="clear" w:color="auto" w:fill="FFFFFF"/>
          </w:rPr>
          <w:t>https://doi.org/10.1111/ajo.13265</w:t>
        </w:r>
      </w:hyperlink>
      <w:r>
        <w:rPr>
          <w:rFonts w:ascii="Open Sans" w:hAnsi="Open Sans" w:cs="Open Sans"/>
          <w:color w:val="1C1D1E"/>
          <w:sz w:val="21"/>
          <w:szCs w:val="21"/>
          <w:shd w:val="clear" w:color="auto" w:fill="FFFFFF"/>
        </w:rPr>
        <w:t xml:space="preserve">  Available from </w:t>
      </w:r>
      <w:hyperlink r:id="rId22" w:history="1">
        <w:r w:rsidRPr="00DC73CE">
          <w:rPr>
            <w:color w:val="0000FF"/>
            <w:u w:val="single"/>
          </w:rPr>
          <w:t>ADIPS 2020 guideline for pre‐existing diabetes and pregnancy - Rudland - 2020 - Australian and New Zealand Journal of Obstetrics and Gynaecology - Wiley Online Library</w:t>
        </w:r>
      </w:hyperlink>
    </w:p>
    <w:p w14:paraId="7EF1DAC9" w14:textId="77777777" w:rsidR="00C91EFA" w:rsidRDefault="00C91EFA" w:rsidP="00C91EFA">
      <w:pPr>
        <w:pStyle w:val="ListParagraph"/>
        <w:numPr>
          <w:ilvl w:val="0"/>
          <w:numId w:val="5"/>
        </w:numPr>
      </w:pPr>
      <w:r>
        <w:t xml:space="preserve">Western Australia North Metropolitan Health Service. Obstetrics and Gynaecology Clinical Guidelines. Diabetes. 2021. Available at </w:t>
      </w:r>
      <w:hyperlink r:id="rId23" w:history="1">
        <w:r w:rsidRPr="00DC73CE">
          <w:rPr>
            <w:color w:val="0000FF"/>
            <w:u w:val="single"/>
          </w:rPr>
          <w:t>Diabetes in obstetrics and gynaecology (health.wa.gov.au)</w:t>
        </w:r>
      </w:hyperlink>
    </w:p>
    <w:p w14:paraId="1F6344C9" w14:textId="77777777" w:rsidR="00C91EFA" w:rsidRDefault="00C91EFA" w:rsidP="00C91EFA">
      <w:pPr>
        <w:pStyle w:val="ListParagraph"/>
        <w:numPr>
          <w:ilvl w:val="0"/>
          <w:numId w:val="5"/>
        </w:numPr>
      </w:pPr>
      <w:r>
        <w:t xml:space="preserve">Crowther, C., Samuel, D., McCowan, L., Edlin, R., Tran, T., and McKinlay, C. </w:t>
      </w:r>
      <w:r w:rsidRPr="006E5D42">
        <w:t xml:space="preserve">Lower versus Higher </w:t>
      </w:r>
      <w:proofErr w:type="spellStart"/>
      <w:r w:rsidRPr="006E5D42">
        <w:t>Glycemic</w:t>
      </w:r>
      <w:proofErr w:type="spellEnd"/>
      <w:r w:rsidRPr="006E5D42">
        <w:t xml:space="preserve"> Criteria for Diagnosis of Gestational Diabetes</w:t>
      </w:r>
      <w:r>
        <w:t xml:space="preserve">. (2022). </w:t>
      </w:r>
      <w:r w:rsidRPr="006E5D42">
        <w:t>New England Journal of Medicine</w:t>
      </w:r>
      <w:r>
        <w:t xml:space="preserve">.  </w:t>
      </w:r>
      <w:r w:rsidRPr="006E5D42">
        <w:t>S</w:t>
      </w:r>
      <w:r>
        <w:t>P</w:t>
      </w:r>
      <w:r w:rsidRPr="006E5D42">
        <w:t xml:space="preserve"> </w:t>
      </w:r>
      <w:r>
        <w:t>–</w:t>
      </w:r>
      <w:r w:rsidRPr="006E5D42">
        <w:t xml:space="preserve"> 587</w:t>
      </w:r>
      <w:r>
        <w:t xml:space="preserve">, </w:t>
      </w:r>
      <w:r w:rsidRPr="006E5D42">
        <w:t>EP - 598</w:t>
      </w:r>
      <w:r>
        <w:t xml:space="preserve">, </w:t>
      </w:r>
      <w:r w:rsidRPr="006E5D42">
        <w:t>VL- 387</w:t>
      </w:r>
      <w:r>
        <w:t xml:space="preserve">, </w:t>
      </w:r>
      <w:r w:rsidRPr="006E5D42">
        <w:t>IS</w:t>
      </w:r>
      <w:r>
        <w:t>-</w:t>
      </w:r>
      <w:r w:rsidRPr="006E5D42">
        <w:t>7</w:t>
      </w:r>
      <w:r>
        <w:t xml:space="preserve">. Available from </w:t>
      </w:r>
      <w:hyperlink r:id="rId24" w:history="1">
        <w:r w:rsidRPr="00A04ACA">
          <w:rPr>
            <w:rStyle w:val="Hyperlink"/>
          </w:rPr>
          <w:t>https://www.nejm.org/doi/pdf/10.1056/NEJMoa2204091</w:t>
        </w:r>
      </w:hyperlink>
      <w:r>
        <w:t xml:space="preserve"> </w:t>
      </w:r>
    </w:p>
    <w:p w14:paraId="3E529EEC" w14:textId="77777777" w:rsidR="00C91EFA" w:rsidRDefault="00C91EFA" w:rsidP="00C91EFA">
      <w:pPr>
        <w:pStyle w:val="ListParagraph"/>
        <w:numPr>
          <w:ilvl w:val="0"/>
          <w:numId w:val="5"/>
        </w:numPr>
      </w:pPr>
      <w:r>
        <w:lastRenderedPageBreak/>
        <w:t xml:space="preserve">Greene, Michael F. Drawing the Line on Glycemia in Pregnancy. (2022). New England Journal of Medicine 652-654, V 387, N 7. Available from </w:t>
      </w:r>
      <w:hyperlink r:id="rId25" w:history="1">
        <w:r w:rsidRPr="00C72955">
          <w:rPr>
            <w:rStyle w:val="Hyperlink"/>
          </w:rPr>
          <w:t>https://www</w:t>
        </w:r>
        <w:r w:rsidRPr="00A04ACA">
          <w:rPr>
            <w:rStyle w:val="Hyperlink"/>
          </w:rPr>
          <w:t>.nejm.org/doi/full/10.1056/NEJMe2208339</w:t>
        </w:r>
      </w:hyperlink>
      <w:r>
        <w:t xml:space="preserve">  </w:t>
      </w:r>
    </w:p>
    <w:p w14:paraId="02A79DA7" w14:textId="77777777" w:rsidR="00C91EFA" w:rsidRDefault="00C91EFA" w:rsidP="00C91EFA">
      <w:pPr>
        <w:pStyle w:val="ListParagraph"/>
        <w:numPr>
          <w:ilvl w:val="0"/>
          <w:numId w:val="5"/>
        </w:numPr>
      </w:pPr>
      <w:proofErr w:type="spellStart"/>
      <w:r>
        <w:t>Biesty</w:t>
      </w:r>
      <w:proofErr w:type="spellEnd"/>
      <w:r>
        <w:t xml:space="preserve"> LM, Egan AM, Dunne F, Dempsey E, Meskell P, Smith V, et al. Planned birth at or near term for improving health outcomes for pregnant patients with gestational diabetes and their infants. Cochrane Database Systematic Reviews. 2018 [cited 2020 June 22]; Issue 1. Art. No.: CD012910(1): Cd012910. Available from:</w:t>
      </w:r>
    </w:p>
    <w:p w14:paraId="7357C1F1" w14:textId="77777777" w:rsidR="00C91EFA" w:rsidRPr="00DB15E0" w:rsidRDefault="00C91EFA" w:rsidP="00C91EFA">
      <w:pPr>
        <w:pStyle w:val="ListParagraph"/>
        <w:rPr>
          <w:rStyle w:val="Hyperlink"/>
          <w:color w:val="auto"/>
          <w:u w:val="none"/>
        </w:rPr>
      </w:pPr>
      <w:hyperlink r:id="rId26" w:history="1">
        <w:r w:rsidRPr="00DB15E0">
          <w:rPr>
            <w:rStyle w:val="Hyperlink"/>
          </w:rPr>
          <w:t>https://pubmed.ncbi.nlm.nih.gov/29303230/</w:t>
        </w:r>
      </w:hyperlink>
    </w:p>
    <w:p w14:paraId="08B83630" w14:textId="77777777" w:rsidR="00C91EFA" w:rsidRDefault="00C91EFA" w:rsidP="00C91EFA">
      <w:pPr>
        <w:pStyle w:val="ListParagraph"/>
        <w:numPr>
          <w:ilvl w:val="0"/>
          <w:numId w:val="5"/>
        </w:numPr>
      </w:pPr>
      <w:r w:rsidRPr="00E16686">
        <w:t xml:space="preserve">Dehmer EW, Phadnis MA, Gunderson EP, Lewis CE, Bibbins-Domingo K, Engel SM, Jonsson Funk M, Kramer H, Kshirsagar AV, Heiss G. Association Between Gestational Diabetes and Incident Maternal CKD: The Coronary Artery Risk Development in Young Adults (CARDIA) Study. Am J Kidney Dis. 2018 Jan;71(1):112-122. </w:t>
      </w:r>
      <w:proofErr w:type="spellStart"/>
      <w:r w:rsidRPr="00E16686">
        <w:t>doi</w:t>
      </w:r>
      <w:proofErr w:type="spellEnd"/>
      <w:r w:rsidRPr="00E16686">
        <w:t xml:space="preserve">: 10.1053/j.ajkd.2017.08.015. </w:t>
      </w:r>
      <w:proofErr w:type="spellStart"/>
      <w:r w:rsidRPr="00E16686">
        <w:t>Epub</w:t>
      </w:r>
      <w:proofErr w:type="spellEnd"/>
      <w:r w:rsidRPr="00E16686">
        <w:t xml:space="preserve"> 2017 Nov 8. PMID: 29128412; PMCID: PMC5742081.</w:t>
      </w:r>
      <w:r>
        <w:t xml:space="preserve"> Available from </w:t>
      </w:r>
      <w:hyperlink r:id="rId27" w:history="1">
        <w:r w:rsidRPr="00C72955">
          <w:rPr>
            <w:color w:val="0000FF"/>
            <w:u w:val="single"/>
          </w:rPr>
          <w:t>Association Between Gestational Diabetes and Incident Maternal CKD: The Coronary Artery Risk Development in Young Adults (CARDIA) Study - PubMed (nih.gov)</w:t>
        </w:r>
      </w:hyperlink>
    </w:p>
    <w:p w14:paraId="1E038EC1" w14:textId="77777777" w:rsidR="00C91EFA" w:rsidRDefault="00C91EFA" w:rsidP="00C91EFA">
      <w:pPr>
        <w:pStyle w:val="ListParagraph"/>
        <w:numPr>
          <w:ilvl w:val="0"/>
          <w:numId w:val="5"/>
        </w:numPr>
      </w:pPr>
      <w:r>
        <w:t xml:space="preserve">Ley SH, Chavarro JE, Li M, Bao W, Hinkle SN, Wander PL, et al. Lactation duration and long-term risk for incident type 2 diabetes in patients with a history of gestational diabetes mellitus. Diabetes Care 2020;43(4):793-8. Available from </w:t>
      </w:r>
      <w:hyperlink r:id="rId28" w:history="1">
        <w:r w:rsidRPr="0089154B">
          <w:rPr>
            <w:color w:val="0000FF"/>
            <w:u w:val="single"/>
          </w:rPr>
          <w:t xml:space="preserve">Lactation Duration and Long-term Risk for Incident Type 2 Diabetes in </w:t>
        </w:r>
        <w:r>
          <w:rPr>
            <w:color w:val="0000FF"/>
            <w:u w:val="single"/>
          </w:rPr>
          <w:t>Patients</w:t>
        </w:r>
        <w:r w:rsidRPr="0089154B">
          <w:rPr>
            <w:color w:val="0000FF"/>
            <w:u w:val="single"/>
          </w:rPr>
          <w:t xml:space="preserve"> With a History of Gestational Diabetes Mellitus - PMC (nih.gov)</w:t>
        </w:r>
      </w:hyperlink>
      <w:r w:rsidRPr="00014D35">
        <w:t xml:space="preserve"> </w:t>
      </w:r>
    </w:p>
    <w:p w14:paraId="09884840" w14:textId="77777777" w:rsidR="00C91EFA" w:rsidRDefault="00C91EFA" w:rsidP="00C91EFA">
      <w:pPr>
        <w:pStyle w:val="ListParagraph"/>
        <w:numPr>
          <w:ilvl w:val="0"/>
          <w:numId w:val="5"/>
        </w:numPr>
      </w:pPr>
      <w:r>
        <w:t xml:space="preserve">National Health Service in England (NICE) Guidelines. </w:t>
      </w:r>
      <w:r w:rsidRPr="00014D35">
        <w:t>Diabetes in pregnancy: management from preconception to the postnatal period</w:t>
      </w:r>
      <w:r>
        <w:t xml:space="preserve">. 2020. Available from </w:t>
      </w:r>
      <w:hyperlink r:id="rId29" w:history="1">
        <w:r w:rsidRPr="00014D35">
          <w:rPr>
            <w:color w:val="0000FF"/>
            <w:u w:val="single"/>
          </w:rPr>
          <w:t>NICE diabetes in pregnancy guideline | NICE guideline | Guidelines</w:t>
        </w:r>
      </w:hyperlink>
    </w:p>
    <w:p w14:paraId="4C487353" w14:textId="77777777" w:rsidR="00C91EFA" w:rsidRDefault="00C91EFA" w:rsidP="00C91EFA">
      <w:pPr>
        <w:pStyle w:val="ListParagraph"/>
        <w:numPr>
          <w:ilvl w:val="0"/>
          <w:numId w:val="5"/>
        </w:numPr>
      </w:pPr>
      <w:r>
        <w:t>National Midwifery Guidelines for Consultation and Referral. 4</w:t>
      </w:r>
      <w:r w:rsidRPr="00014D35">
        <w:rPr>
          <w:vertAlign w:val="superscript"/>
        </w:rPr>
        <w:t>th</w:t>
      </w:r>
      <w:r>
        <w:t xml:space="preserve"> Edition, 2021. Available from </w:t>
      </w:r>
      <w:hyperlink r:id="rId30" w:history="1">
        <w:r w:rsidRPr="00014D35">
          <w:rPr>
            <w:color w:val="0000FF"/>
            <w:u w:val="single"/>
          </w:rPr>
          <w:t>National-Midwifery-Guidelines-for-Consultation-and-Referral-4th-Edition-(2021).pdf (midwives.org.au)</w:t>
        </w:r>
      </w:hyperlink>
    </w:p>
    <w:p w14:paraId="127D1A36" w14:textId="77777777" w:rsidR="00C91EFA" w:rsidRDefault="00C91EFA" w:rsidP="00C91EFA">
      <w:pPr>
        <w:pStyle w:val="ListParagraph"/>
        <w:numPr>
          <w:ilvl w:val="0"/>
          <w:numId w:val="5"/>
        </w:numPr>
      </w:pPr>
      <w:r>
        <w:t>Q</w:t>
      </w:r>
      <w:r w:rsidRPr="00887AF2">
        <w:t>ueensland Health</w:t>
      </w:r>
      <w:r>
        <w:t xml:space="preserve">. </w:t>
      </w:r>
      <w:r w:rsidRPr="00887AF2">
        <w:t>Gestational diabetes mellitus (GDM)</w:t>
      </w:r>
      <w:r>
        <w:t xml:space="preserve"> (2021).Available from </w:t>
      </w:r>
      <w:hyperlink r:id="rId31" w:history="1">
        <w:r>
          <w:rPr>
            <w:rStyle w:val="Hyperlink"/>
          </w:rPr>
          <w:t>https://www.health.qld.gov.au/__data/assets/pdf_file/0022/950503/g-gdm.pdf</w:t>
        </w:r>
      </w:hyperlink>
    </w:p>
    <w:p w14:paraId="64634209" w14:textId="77777777" w:rsidR="00C91EFA" w:rsidRDefault="00C91EFA" w:rsidP="00C91EFA">
      <w:pPr>
        <w:pStyle w:val="ListParagraph"/>
        <w:numPr>
          <w:ilvl w:val="0"/>
          <w:numId w:val="5"/>
        </w:numPr>
      </w:pPr>
      <w:r w:rsidRPr="00887AF2">
        <w:t>Rubarth</w:t>
      </w:r>
      <w:r>
        <w:t xml:space="preserve"> L.</w:t>
      </w:r>
      <w:r w:rsidRPr="00887AF2">
        <w:t xml:space="preserve"> </w:t>
      </w:r>
      <w:r>
        <w:t xml:space="preserve">Infants of Diabetic Mothers. Neonatal Network. November/December 2013. Available from </w:t>
      </w:r>
      <w:hyperlink r:id="rId32" w:history="1">
        <w:r w:rsidRPr="00732376">
          <w:rPr>
            <w:color w:val="0000FF"/>
            <w:u w:val="single"/>
          </w:rPr>
          <w:t>Infants of Diabetic Mothers (academyofneonatalnursing.org)</w:t>
        </w:r>
      </w:hyperlink>
    </w:p>
    <w:p w14:paraId="4EE94ADB" w14:textId="77777777" w:rsidR="00C91EFA" w:rsidRDefault="00C91EFA" w:rsidP="00C91EFA">
      <w:pPr>
        <w:pStyle w:val="ListParagraph"/>
        <w:numPr>
          <w:ilvl w:val="0"/>
          <w:numId w:val="5"/>
        </w:numPr>
      </w:pPr>
      <w:r w:rsidRPr="00732376">
        <w:t>South Australian Perinatal Practice Guideline</w:t>
      </w:r>
      <w:r>
        <w:t xml:space="preserve">. Diabetes Mellitus and Gestational Diabetes. 2019. Available from </w:t>
      </w:r>
      <w:hyperlink r:id="rId33" w:history="1">
        <w:r w:rsidRPr="00DC73CE">
          <w:rPr>
            <w:color w:val="0000FF"/>
            <w:u w:val="single"/>
          </w:rPr>
          <w:t>Diabetes Mellitus and Gestational Diabetes (sahealth.sa.gov.au)</w:t>
        </w:r>
      </w:hyperlink>
    </w:p>
    <w:p w14:paraId="66E98980" w14:textId="77777777" w:rsidR="00C91EFA" w:rsidRDefault="00C91EFA" w:rsidP="00C91EFA">
      <w:pPr>
        <w:pStyle w:val="ListParagraph"/>
        <w:numPr>
          <w:ilvl w:val="0"/>
          <w:numId w:val="5"/>
        </w:numPr>
      </w:pPr>
      <w:r>
        <w:t xml:space="preserve">The Royal Australian College of General Practitioners (RACGP). Management of type 2 diabetes: A handbook for general practice. Gestational diabetes mellitus. 2020. Available from </w:t>
      </w:r>
      <w:hyperlink r:id="rId34" w:history="1">
        <w:r w:rsidRPr="0089154B">
          <w:rPr>
            <w:color w:val="0000FF"/>
            <w:u w:val="single"/>
          </w:rPr>
          <w:t>RACGP - Gestational diabetes mellitus</w:t>
        </w:r>
      </w:hyperlink>
    </w:p>
    <w:p w14:paraId="284CDA74" w14:textId="77777777" w:rsidR="00C91EFA" w:rsidRDefault="00C91EFA" w:rsidP="00C91EFA">
      <w:pPr>
        <w:pStyle w:val="ListParagraph"/>
        <w:numPr>
          <w:ilvl w:val="0"/>
          <w:numId w:val="5"/>
        </w:numPr>
      </w:pPr>
      <w:r>
        <w:t xml:space="preserve">The Royal Australian and New Zealand College of Obstetricians and Gynaecologists. Diagnosis and management of suspected fetal macrosomia. Best Practice Statement C-Obs.2020. Available from: </w:t>
      </w:r>
      <w:hyperlink r:id="rId35" w:history="1">
        <w:r w:rsidRPr="00B2440A">
          <w:rPr>
            <w:rStyle w:val="Hyperlink"/>
          </w:rPr>
          <w:t>https://www.ranzcog.edu.au</w:t>
        </w:r>
      </w:hyperlink>
      <w:r>
        <w:t xml:space="preserve"> </w:t>
      </w:r>
    </w:p>
    <w:p w14:paraId="27655DA6" w14:textId="77777777" w:rsidR="00C91EFA" w:rsidRPr="004D004F" w:rsidRDefault="00C91EFA" w:rsidP="00C91EFA">
      <w:pPr>
        <w:pStyle w:val="ListParagraph"/>
        <w:numPr>
          <w:ilvl w:val="0"/>
          <w:numId w:val="5"/>
        </w:numPr>
      </w:pPr>
      <w:r>
        <w:t xml:space="preserve">The Royal </w:t>
      </w:r>
      <w:proofErr w:type="spellStart"/>
      <w:r>
        <w:t>Patients’s</w:t>
      </w:r>
      <w:proofErr w:type="spellEnd"/>
      <w:r>
        <w:t xml:space="preserve"> Hospital Victoria.</w:t>
      </w:r>
      <w:r w:rsidRPr="00887AF2">
        <w:t xml:space="preserve"> </w:t>
      </w:r>
      <w:r>
        <w:t xml:space="preserve">Diabetes Mellitus: Management of Gestational Diabetes. 2020. Available from </w:t>
      </w:r>
      <w:hyperlink r:id="rId36" w:history="1">
        <w:r w:rsidRPr="00887AF2">
          <w:rPr>
            <w:color w:val="0000FF"/>
            <w:u w:val="single"/>
          </w:rPr>
          <w:t>Diabetes Mellitus Management of Gestational Diabetes (worldssl.net)</w:t>
        </w:r>
      </w:hyperlink>
    </w:p>
    <w:p w14:paraId="76C6640C" w14:textId="77777777" w:rsidR="00C91EFA" w:rsidRPr="004D004F" w:rsidRDefault="00C91EFA" w:rsidP="00C91EFA">
      <w:pPr>
        <w:pStyle w:val="ListParagraph"/>
        <w:numPr>
          <w:ilvl w:val="0"/>
          <w:numId w:val="5"/>
        </w:numPr>
      </w:pPr>
      <w:proofErr w:type="spellStart"/>
      <w:r w:rsidRPr="004D004F">
        <w:t>Zuarez</w:t>
      </w:r>
      <w:proofErr w:type="spellEnd"/>
      <w:r>
        <w:t xml:space="preserve">-Easton S, </w:t>
      </w:r>
      <w:r w:rsidRPr="00E16686">
        <w:t xml:space="preserve">Berkovich I, Birenbaum-Carmeli D, Tal A, Zoabi R, Salim R. Effect of lactation on the recurrence rate of gestational diabetes mellitus: a retrospective </w:t>
      </w:r>
      <w:r w:rsidRPr="00E16686">
        <w:lastRenderedPageBreak/>
        <w:t xml:space="preserve">cohort study. Arch </w:t>
      </w:r>
      <w:proofErr w:type="spellStart"/>
      <w:r w:rsidRPr="00E16686">
        <w:t>Gynecol</w:t>
      </w:r>
      <w:proofErr w:type="spellEnd"/>
      <w:r w:rsidRPr="00E16686">
        <w:t xml:space="preserve"> Obstet. 2020 Apr;301(4):973-979. </w:t>
      </w:r>
      <w:proofErr w:type="spellStart"/>
      <w:r w:rsidRPr="00E16686">
        <w:t>doi</w:t>
      </w:r>
      <w:proofErr w:type="spellEnd"/>
      <w:r w:rsidRPr="00E16686">
        <w:t xml:space="preserve">: 10.1007/s00404-020-05497-3. </w:t>
      </w:r>
      <w:proofErr w:type="spellStart"/>
      <w:r w:rsidRPr="00E16686">
        <w:t>Epub</w:t>
      </w:r>
      <w:proofErr w:type="spellEnd"/>
      <w:r w:rsidRPr="00E16686">
        <w:t xml:space="preserve"> 2020 Mar 18. PMID: </w:t>
      </w:r>
      <w:proofErr w:type="gramStart"/>
      <w:r w:rsidRPr="00E16686">
        <w:t>32189064.</w:t>
      </w:r>
      <w:r>
        <w:t>.</w:t>
      </w:r>
      <w:proofErr w:type="gramEnd"/>
      <w:r>
        <w:t xml:space="preserve"> Available from </w:t>
      </w:r>
      <w:hyperlink r:id="rId37" w:history="1">
        <w:r w:rsidRPr="00E16686">
          <w:rPr>
            <w:color w:val="0000FF"/>
            <w:u w:val="single"/>
          </w:rPr>
          <w:t>Effect of lactation on the recurrence rate of gestational diabetes mellitus: a retrospective cohort study - PubMed (nih.gov)</w:t>
        </w:r>
      </w:hyperlink>
    </w:p>
    <w:p w14:paraId="33F909C9" w14:textId="77777777" w:rsidR="00C91EFA" w:rsidRDefault="00C91EFA" w:rsidP="00C91EFA"/>
    <w:tbl>
      <w:tblPr>
        <w:tblpPr w:leftFromText="180" w:rightFromText="180" w:vertAnchor="text" w:horzAnchor="margin" w:tblpY="181"/>
        <w:tblW w:w="9158" w:type="dxa"/>
        <w:tblLook w:val="0000" w:firstRow="0" w:lastRow="0" w:firstColumn="0" w:lastColumn="0" w:noHBand="0" w:noVBand="0"/>
      </w:tblPr>
      <w:tblGrid>
        <w:gridCol w:w="9158"/>
      </w:tblGrid>
      <w:tr w:rsidR="00C91EFA" w:rsidRPr="000F1F60" w14:paraId="394E8F0C" w14:textId="77777777" w:rsidTr="00B3038D">
        <w:trPr>
          <w:cantSplit/>
          <w:trHeight w:val="285"/>
        </w:trPr>
        <w:tc>
          <w:tcPr>
            <w:tcW w:w="9158" w:type="dxa"/>
            <w:shd w:val="clear" w:color="auto" w:fill="D9D9D9" w:themeFill="background1" w:themeFillShade="D9"/>
          </w:tcPr>
          <w:p w14:paraId="73F92D5F" w14:textId="77777777" w:rsidR="00C91EFA" w:rsidRPr="000F1F60" w:rsidRDefault="00C91EFA" w:rsidP="00B3038D">
            <w:pPr>
              <w:pStyle w:val="Heading1"/>
            </w:pPr>
            <w:bookmarkStart w:id="89" w:name="_Toc126585743"/>
            <w:bookmarkStart w:id="90" w:name="_Toc396290588"/>
            <w:bookmarkStart w:id="91" w:name="_Toc43904314"/>
            <w:r>
              <w:t>Definition of Terms</w:t>
            </w:r>
            <w:bookmarkEnd w:id="89"/>
            <w:r>
              <w:t xml:space="preserve"> </w:t>
            </w:r>
            <w:bookmarkEnd w:id="90"/>
            <w:bookmarkEnd w:id="91"/>
          </w:p>
        </w:tc>
      </w:tr>
    </w:tbl>
    <w:p w14:paraId="15D28AD1" w14:textId="77777777" w:rsidR="00C91EFA" w:rsidRDefault="00C91EFA" w:rsidP="00C91EFA">
      <w:pPr>
        <w:rPr>
          <w:b/>
          <w:bCs/>
        </w:rPr>
      </w:pPr>
    </w:p>
    <w:p w14:paraId="49242408" w14:textId="77777777" w:rsidR="00C91EFA" w:rsidRPr="00F214DF" w:rsidRDefault="00C91EFA" w:rsidP="00C91EFA">
      <w:r w:rsidRPr="00E34BBF">
        <w:rPr>
          <w:b/>
          <w:bCs/>
        </w:rPr>
        <w:t>Gestational diabetes mellitus</w:t>
      </w:r>
      <w:r>
        <w:rPr>
          <w:b/>
          <w:bCs/>
        </w:rPr>
        <w:t xml:space="preserve"> (GDM) </w:t>
      </w:r>
      <w:r>
        <w:t>- carbohydrate intolerance of variable severity with onset or first recognition during pregnancy. This definition applies regardless of whether insulin is subsequently used for treatment and whether the condition persists after pregnancy.</w:t>
      </w:r>
    </w:p>
    <w:p w14:paraId="0A8711EA" w14:textId="77777777" w:rsidR="00C91EFA" w:rsidRDefault="00C91EFA" w:rsidP="00C91EFA">
      <w:pPr>
        <w:rPr>
          <w:b/>
          <w:bCs/>
        </w:rPr>
      </w:pPr>
    </w:p>
    <w:p w14:paraId="7AC6EAA9" w14:textId="77777777" w:rsidR="00C91EFA" w:rsidRDefault="00C91EFA" w:rsidP="00C91EFA">
      <w:r>
        <w:rPr>
          <w:b/>
          <w:bCs/>
        </w:rPr>
        <w:t>Post</w:t>
      </w:r>
      <w:r w:rsidRPr="00DA63D5">
        <w:rPr>
          <w:b/>
          <w:bCs/>
        </w:rPr>
        <w:t>prandial</w:t>
      </w:r>
      <w:r>
        <w:t xml:space="preserve"> - after a meal</w:t>
      </w:r>
    </w:p>
    <w:p w14:paraId="3C255F7D" w14:textId="77777777" w:rsidR="00C91EFA" w:rsidRDefault="00C91EFA" w:rsidP="00C91EFA"/>
    <w:p w14:paraId="00CD0F43" w14:textId="77777777" w:rsidR="00C91EFA" w:rsidRDefault="00C91EFA" w:rsidP="00C91EFA">
      <w:pPr>
        <w:rPr>
          <w:b/>
          <w:bCs/>
        </w:rPr>
      </w:pPr>
      <w:proofErr w:type="spellStart"/>
      <w:r w:rsidRPr="00F214DF">
        <w:rPr>
          <w:b/>
          <w:bCs/>
        </w:rPr>
        <w:t>Preprandial</w:t>
      </w:r>
      <w:proofErr w:type="spellEnd"/>
      <w:r>
        <w:t xml:space="preserve"> - before a meal</w:t>
      </w:r>
    </w:p>
    <w:p w14:paraId="55CF3071" w14:textId="77777777" w:rsidR="00C91EFA" w:rsidRDefault="00C91EFA" w:rsidP="00C91EFA">
      <w:pPr>
        <w:rPr>
          <w:b/>
          <w:bCs/>
        </w:rPr>
      </w:pPr>
    </w:p>
    <w:p w14:paraId="08823440" w14:textId="77777777" w:rsidR="00C91EFA" w:rsidRPr="00F214DF" w:rsidRDefault="00C91EFA" w:rsidP="00C91EFA">
      <w:r w:rsidRPr="00E34BBF">
        <w:rPr>
          <w:b/>
          <w:bCs/>
        </w:rPr>
        <w:t xml:space="preserve">Type 1 </w:t>
      </w:r>
      <w:r w:rsidRPr="00AC6EF7">
        <w:rPr>
          <w:b/>
          <w:bCs/>
        </w:rPr>
        <w:t>diabetes mellitus</w:t>
      </w:r>
      <w:r>
        <w:rPr>
          <w:b/>
          <w:bCs/>
        </w:rPr>
        <w:t xml:space="preserve"> (Type 1 DM) </w:t>
      </w:r>
      <w:r>
        <w:t xml:space="preserve">– a condition in which the pancreas does not make sufficient insulin as the result of autoimmune damage, as a result the body cannot convert glucose into energy. Daily insulin via injection or a continuous subcutaneous insulin infusion pump is required. Diagnosis is usually made when non-pregnant. </w:t>
      </w:r>
    </w:p>
    <w:p w14:paraId="061B27FC" w14:textId="77777777" w:rsidR="00C91EFA" w:rsidRDefault="00C91EFA" w:rsidP="00C91EFA">
      <w:pPr>
        <w:rPr>
          <w:b/>
          <w:bCs/>
        </w:rPr>
      </w:pPr>
    </w:p>
    <w:p w14:paraId="5AD9B2E1" w14:textId="77777777" w:rsidR="00C91EFA" w:rsidRDefault="00C91EFA" w:rsidP="00C91EFA">
      <w:r w:rsidRPr="00E34BBF">
        <w:rPr>
          <w:b/>
          <w:bCs/>
        </w:rPr>
        <w:t>Type 2 diabetes</w:t>
      </w:r>
      <w:r>
        <w:t xml:space="preserve"> </w:t>
      </w:r>
      <w:r w:rsidRPr="009B28CB">
        <w:rPr>
          <w:b/>
          <w:bCs/>
        </w:rPr>
        <w:t>mellitus (Type 2 DM)</w:t>
      </w:r>
      <w:r>
        <w:t xml:space="preserve"> - hyperglycaemia resulting from resistance to the effects of insulin and subsequent insufficient production of insulin to maintain blood glucose in the normal range. Lifestyle modification (diet, physical activity and weight control) is the cornerstone of management. Oral medication (such as metformin or various glucose lowering agents) may be required. Insulin may be necessary where such oral treatment is insufficient to control blood glucose. Diagnosis is made when non-pregnant.</w:t>
      </w:r>
    </w:p>
    <w:p w14:paraId="6CB054C0" w14:textId="77777777" w:rsidR="00C91EFA" w:rsidRDefault="00C91EFA" w:rsidP="00C91EFA"/>
    <w:p w14:paraId="43B042FC" w14:textId="77777777" w:rsidR="00C91EFA" w:rsidRDefault="00C91EFA" w:rsidP="00C91EFA">
      <w:pPr>
        <w:jc w:val="right"/>
        <w:rPr>
          <w:rStyle w:val="Hyperlink"/>
          <w:rFonts w:cs="Arial"/>
          <w:i/>
          <w:szCs w:val="24"/>
        </w:rPr>
      </w:pPr>
      <w:hyperlink w:anchor="_top" w:history="1">
        <w:r w:rsidRPr="00C91F3F">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C91EFA" w:rsidRPr="00CD1C0E" w14:paraId="0355095E" w14:textId="77777777" w:rsidTr="00B3038D">
        <w:trPr>
          <w:cantSplit/>
          <w:trHeight w:val="285"/>
        </w:trPr>
        <w:tc>
          <w:tcPr>
            <w:tcW w:w="9158" w:type="dxa"/>
            <w:shd w:val="clear" w:color="auto" w:fill="D9D9D9" w:themeFill="background1" w:themeFillShade="D9"/>
          </w:tcPr>
          <w:p w14:paraId="5C06937D" w14:textId="77777777" w:rsidR="00C91EFA" w:rsidRPr="00CD1C0E" w:rsidRDefault="00C91EFA" w:rsidP="00B3038D">
            <w:pPr>
              <w:pStyle w:val="Heading1"/>
            </w:pPr>
            <w:bookmarkStart w:id="92" w:name="_Toc389473290"/>
            <w:bookmarkStart w:id="93" w:name="_Toc396290589"/>
            <w:bookmarkStart w:id="94" w:name="_Toc116893362"/>
            <w:bookmarkStart w:id="95" w:name="_Toc126585744"/>
            <w:r>
              <w:t>Search Terms</w:t>
            </w:r>
            <w:bookmarkEnd w:id="92"/>
            <w:bookmarkEnd w:id="93"/>
            <w:bookmarkEnd w:id="94"/>
            <w:bookmarkEnd w:id="95"/>
            <w:r>
              <w:t xml:space="preserve"> </w:t>
            </w:r>
          </w:p>
        </w:tc>
      </w:tr>
    </w:tbl>
    <w:p w14:paraId="7054FE4A" w14:textId="77777777" w:rsidR="00C91EFA" w:rsidRPr="00FA10DF" w:rsidRDefault="00C91EFA" w:rsidP="00C91EFA">
      <w:pPr>
        <w:rPr>
          <w:rFonts w:cs="Calibri"/>
          <w:bCs/>
          <w:i/>
          <w:szCs w:val="24"/>
          <w:lang w:eastAsia="en-AU"/>
        </w:rPr>
      </w:pPr>
      <w:r w:rsidRPr="00FA10DF">
        <w:rPr>
          <w:rFonts w:cs="Calibri"/>
          <w:bCs/>
          <w:szCs w:val="24"/>
          <w:lang w:eastAsia="en-AU"/>
        </w:rPr>
        <w:t xml:space="preserve">Diabetes, Diabetes Management, Insulin, Insulin infusion, Hypoglycaemia, Hyperglycaemia, Insulin pump, Ketoacidosis, </w:t>
      </w:r>
      <w:r w:rsidRPr="00FA10DF">
        <w:rPr>
          <w:rFonts w:cs="Calibri"/>
          <w:szCs w:val="24"/>
        </w:rPr>
        <w:t xml:space="preserve">Diabetes in Labour, Insulin Infusion in Labour, Gestational Diabetes, GDM, IRGDM, </w:t>
      </w:r>
      <w:r w:rsidRPr="00FA10DF">
        <w:rPr>
          <w:rFonts w:cs="Calibri"/>
          <w:bCs/>
          <w:szCs w:val="24"/>
          <w:lang w:eastAsia="en-AU"/>
        </w:rPr>
        <w:t>Neonatal Hypoglycaemia.</w:t>
      </w:r>
      <w:r w:rsidRPr="00FA10DF">
        <w:rPr>
          <w:rFonts w:cs="Calibri"/>
          <w:bCs/>
          <w:i/>
          <w:szCs w:val="24"/>
          <w:lang w:eastAsia="en-AU"/>
        </w:rPr>
        <w:t xml:space="preserve"> </w:t>
      </w:r>
    </w:p>
    <w:p w14:paraId="07AC3DFF" w14:textId="77777777" w:rsidR="00C91EFA" w:rsidRPr="00901883" w:rsidRDefault="00C91EFA" w:rsidP="00C91EFA">
      <w:pPr>
        <w:rPr>
          <w:rFonts w:asciiTheme="minorHAnsi" w:hAnsiTheme="minorHAnsi" w:cs="Arial"/>
          <w:b/>
          <w:i/>
          <w:sz w:val="22"/>
          <w:szCs w:val="22"/>
        </w:rPr>
      </w:pPr>
    </w:p>
    <w:p w14:paraId="75D31369" w14:textId="77777777" w:rsidR="00C91EFA" w:rsidRDefault="00C91EFA" w:rsidP="00C91EFA">
      <w:pPr>
        <w:jc w:val="right"/>
        <w:rPr>
          <w:rStyle w:val="Hyperlink"/>
          <w:rFonts w:cs="Arial"/>
          <w:i/>
          <w:szCs w:val="24"/>
        </w:rPr>
      </w:pPr>
      <w:hyperlink w:anchor="_top" w:history="1">
        <w:r w:rsidRPr="00C91F3F">
          <w:rPr>
            <w:rStyle w:val="Hyperlink"/>
            <w:rFonts w:cs="Arial"/>
            <w:i/>
            <w:szCs w:val="24"/>
          </w:rPr>
          <w:t>Back to Table of Contents</w:t>
        </w:r>
      </w:hyperlink>
    </w:p>
    <w:tbl>
      <w:tblPr>
        <w:tblpPr w:leftFromText="180" w:rightFromText="180" w:vertAnchor="text" w:horzAnchor="margin" w:tblpX="-34" w:tblpY="181"/>
        <w:tblW w:w="9300" w:type="dxa"/>
        <w:tblLook w:val="0000" w:firstRow="0" w:lastRow="0" w:firstColumn="0" w:lastColumn="0" w:noHBand="0" w:noVBand="0"/>
      </w:tblPr>
      <w:tblGrid>
        <w:gridCol w:w="9300"/>
      </w:tblGrid>
      <w:tr w:rsidR="00C91EFA" w:rsidRPr="00FA10DF" w14:paraId="3A679F5B" w14:textId="77777777" w:rsidTr="00B3038D">
        <w:trPr>
          <w:cantSplit/>
          <w:trHeight w:val="285"/>
        </w:trPr>
        <w:tc>
          <w:tcPr>
            <w:tcW w:w="9300" w:type="dxa"/>
            <w:shd w:val="clear" w:color="auto" w:fill="D9D9D9" w:themeFill="background1" w:themeFillShade="D9"/>
          </w:tcPr>
          <w:p w14:paraId="3D9C90B1" w14:textId="77777777" w:rsidR="00C91EFA" w:rsidRPr="00FA10DF" w:rsidRDefault="00C91EFA" w:rsidP="00B3038D">
            <w:pPr>
              <w:pStyle w:val="Heading1"/>
            </w:pPr>
            <w:bookmarkStart w:id="96" w:name="_Toc480806039"/>
            <w:bookmarkStart w:id="97" w:name="_Toc111196938"/>
            <w:bookmarkStart w:id="98" w:name="_Toc126585745"/>
            <w:r w:rsidRPr="00FA10DF">
              <w:t>Attachments</w:t>
            </w:r>
            <w:bookmarkEnd w:id="96"/>
            <w:bookmarkEnd w:id="97"/>
            <w:bookmarkEnd w:id="98"/>
          </w:p>
        </w:tc>
      </w:tr>
    </w:tbl>
    <w:p w14:paraId="345943B8" w14:textId="77777777" w:rsidR="00C91EFA" w:rsidRDefault="00C91EFA" w:rsidP="00C91EFA">
      <w:pPr>
        <w:rPr>
          <w:b/>
          <w:bCs/>
        </w:rPr>
      </w:pPr>
    </w:p>
    <w:p w14:paraId="5F87C5A1" w14:textId="77777777" w:rsidR="00C91EFA" w:rsidRPr="00FA10DF" w:rsidRDefault="00C91EFA" w:rsidP="00C91EFA">
      <w:pPr>
        <w:rPr>
          <w:b/>
          <w:bCs/>
        </w:rPr>
      </w:pPr>
      <w:r w:rsidRPr="00FA10DF">
        <w:rPr>
          <w:b/>
          <w:bCs/>
        </w:rPr>
        <w:t xml:space="preserve">Attachment 1 </w:t>
      </w:r>
      <w:r>
        <w:rPr>
          <w:b/>
          <w:bCs/>
        </w:rPr>
        <w:t>-</w:t>
      </w:r>
      <w:r w:rsidRPr="00FA10DF">
        <w:rPr>
          <w:b/>
          <w:bCs/>
        </w:rPr>
        <w:t xml:space="preserve"> Screening and diagnosis of GDM</w:t>
      </w:r>
    </w:p>
    <w:p w14:paraId="76B59EE1" w14:textId="77777777" w:rsidR="00C91EFA" w:rsidRPr="00FA10DF" w:rsidRDefault="00C91EFA" w:rsidP="00C91EFA">
      <w:pPr>
        <w:rPr>
          <w:b/>
          <w:bCs/>
        </w:rPr>
      </w:pPr>
      <w:r w:rsidRPr="00FA10DF">
        <w:rPr>
          <w:b/>
          <w:bCs/>
        </w:rPr>
        <w:t xml:space="preserve">Attachment 2 - </w:t>
      </w:r>
      <w:r>
        <w:rPr>
          <w:b/>
          <w:bCs/>
        </w:rPr>
        <w:t>M</w:t>
      </w:r>
      <w:r w:rsidRPr="00FA10DF">
        <w:rPr>
          <w:b/>
          <w:bCs/>
        </w:rPr>
        <w:t xml:space="preserve">anagement of Hypoglycaemia </w:t>
      </w:r>
    </w:p>
    <w:p w14:paraId="309D256F" w14:textId="77777777" w:rsidR="00C91EFA" w:rsidRDefault="00C91EFA" w:rsidP="00C91EFA">
      <w:pPr>
        <w:jc w:val="right"/>
      </w:pPr>
    </w:p>
    <w:p w14:paraId="17B1EB5E" w14:textId="77777777" w:rsidR="00C91EFA" w:rsidRPr="003E167B" w:rsidRDefault="00C91EFA" w:rsidP="00C91EFA">
      <w:pPr>
        <w:rPr>
          <w:rFonts w:cs="Arial"/>
          <w:i/>
          <w:iCs/>
          <w:sz w:val="20"/>
        </w:rPr>
      </w:pPr>
      <w:r w:rsidRPr="003E167B">
        <w:rPr>
          <w:rFonts w:cs="Arial"/>
          <w:b/>
          <w:sz w:val="20"/>
        </w:rPr>
        <w:lastRenderedPageBreak/>
        <w:t>Disclaimer</w:t>
      </w:r>
      <w:r w:rsidRPr="003E167B">
        <w:rPr>
          <w:rFonts w:cs="Arial"/>
          <w:sz w:val="20"/>
        </w:rPr>
        <w:t xml:space="preserve">: </w:t>
      </w:r>
      <w:r w:rsidRPr="003E167B">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3E167B">
        <w:rPr>
          <w:rFonts w:cs="Arial"/>
          <w:i/>
          <w:iCs/>
          <w:sz w:val="20"/>
        </w:rPr>
        <w:t xml:space="preserve"> assumes no responsibility whatsoever.</w:t>
      </w:r>
    </w:p>
    <w:p w14:paraId="1F9F3909" w14:textId="77777777" w:rsidR="00C91EFA" w:rsidRPr="003E167B" w:rsidRDefault="00C91EFA" w:rsidP="00C91EFA">
      <w:pPr>
        <w:jc w:val="right"/>
        <w:rPr>
          <w:rFonts w:cs="Arial"/>
          <w:i/>
          <w:iCs/>
          <w:sz w:val="20"/>
        </w:rPr>
      </w:pPr>
    </w:p>
    <w:p w14:paraId="3A5BD77A" w14:textId="77777777" w:rsidR="00C91EFA" w:rsidRPr="003E167B" w:rsidRDefault="00C91EFA" w:rsidP="00C91EFA">
      <w:pPr>
        <w:rPr>
          <w:rFonts w:cs="Arial"/>
          <w:i/>
          <w:iCs/>
          <w:sz w:val="20"/>
        </w:rPr>
      </w:pPr>
      <w:r w:rsidRPr="003E167B">
        <w:rPr>
          <w:rFonts w:cs="Arial"/>
          <w:i/>
          <w:iCs/>
          <w:sz w:val="20"/>
        </w:rPr>
        <w:t>Policy Team ONLY to complete the following:</w:t>
      </w:r>
    </w:p>
    <w:tbl>
      <w:tblPr>
        <w:tblStyle w:val="TableGrid"/>
        <w:tblW w:w="0" w:type="auto"/>
        <w:tblLook w:val="04A0" w:firstRow="1" w:lastRow="0" w:firstColumn="1" w:lastColumn="0" w:noHBand="0" w:noVBand="1"/>
      </w:tblPr>
      <w:tblGrid>
        <w:gridCol w:w="1555"/>
        <w:gridCol w:w="2975"/>
        <w:gridCol w:w="2265"/>
        <w:gridCol w:w="2265"/>
      </w:tblGrid>
      <w:tr w:rsidR="00C91EFA" w:rsidRPr="003E167B" w14:paraId="6786CB96" w14:textId="77777777" w:rsidTr="00B3038D">
        <w:tc>
          <w:tcPr>
            <w:tcW w:w="1555" w:type="dxa"/>
          </w:tcPr>
          <w:p w14:paraId="7066288D" w14:textId="77777777" w:rsidR="00C91EFA" w:rsidRPr="003E167B" w:rsidRDefault="00C91EFA" w:rsidP="00B3038D">
            <w:pPr>
              <w:rPr>
                <w:i/>
                <w:sz w:val="20"/>
              </w:rPr>
            </w:pPr>
            <w:r w:rsidRPr="003E167B">
              <w:rPr>
                <w:i/>
                <w:sz w:val="20"/>
              </w:rPr>
              <w:t>Date Amended</w:t>
            </w:r>
          </w:p>
        </w:tc>
        <w:tc>
          <w:tcPr>
            <w:tcW w:w="2975" w:type="dxa"/>
          </w:tcPr>
          <w:p w14:paraId="1A2EA322" w14:textId="77777777" w:rsidR="00C91EFA" w:rsidRPr="003E167B" w:rsidRDefault="00C91EFA" w:rsidP="00B3038D">
            <w:pPr>
              <w:rPr>
                <w:i/>
                <w:sz w:val="20"/>
              </w:rPr>
            </w:pPr>
            <w:r w:rsidRPr="003E167B">
              <w:rPr>
                <w:i/>
                <w:sz w:val="20"/>
              </w:rPr>
              <w:t>Section Amended</w:t>
            </w:r>
          </w:p>
        </w:tc>
        <w:tc>
          <w:tcPr>
            <w:tcW w:w="2265" w:type="dxa"/>
          </w:tcPr>
          <w:p w14:paraId="0A351736" w14:textId="77777777" w:rsidR="00C91EFA" w:rsidRPr="003E167B" w:rsidRDefault="00C91EFA" w:rsidP="00B3038D">
            <w:pPr>
              <w:rPr>
                <w:i/>
                <w:sz w:val="20"/>
              </w:rPr>
            </w:pPr>
            <w:r w:rsidRPr="003E167B">
              <w:rPr>
                <w:i/>
                <w:sz w:val="20"/>
              </w:rPr>
              <w:t>Divisional Approval</w:t>
            </w:r>
          </w:p>
        </w:tc>
        <w:tc>
          <w:tcPr>
            <w:tcW w:w="2265" w:type="dxa"/>
          </w:tcPr>
          <w:p w14:paraId="31C82D83" w14:textId="77777777" w:rsidR="00C91EFA" w:rsidRPr="003E167B" w:rsidRDefault="00C91EFA" w:rsidP="00B3038D">
            <w:pPr>
              <w:rPr>
                <w:i/>
                <w:sz w:val="20"/>
              </w:rPr>
            </w:pPr>
            <w:r w:rsidRPr="003E167B">
              <w:rPr>
                <w:i/>
                <w:sz w:val="20"/>
              </w:rPr>
              <w:t xml:space="preserve">Final Approval </w:t>
            </w:r>
          </w:p>
        </w:tc>
      </w:tr>
      <w:tr w:rsidR="00C91EFA" w:rsidRPr="003E167B" w14:paraId="2AD64FB3" w14:textId="77777777" w:rsidTr="00B3038D">
        <w:tc>
          <w:tcPr>
            <w:tcW w:w="1555" w:type="dxa"/>
          </w:tcPr>
          <w:p w14:paraId="393D20E5" w14:textId="77777777" w:rsidR="00C91EFA" w:rsidRPr="003E167B" w:rsidRDefault="00C91EFA" w:rsidP="00B3038D">
            <w:pPr>
              <w:rPr>
                <w:i/>
                <w:sz w:val="20"/>
              </w:rPr>
            </w:pPr>
            <w:r>
              <w:rPr>
                <w:i/>
                <w:sz w:val="20"/>
              </w:rPr>
              <w:t>23/03/2023</w:t>
            </w:r>
          </w:p>
        </w:tc>
        <w:tc>
          <w:tcPr>
            <w:tcW w:w="2975" w:type="dxa"/>
          </w:tcPr>
          <w:p w14:paraId="7923BE24" w14:textId="77777777" w:rsidR="00C91EFA" w:rsidRPr="003E167B" w:rsidRDefault="00C91EFA" w:rsidP="00B3038D">
            <w:pPr>
              <w:rPr>
                <w:i/>
                <w:sz w:val="20"/>
              </w:rPr>
            </w:pPr>
            <w:r>
              <w:rPr>
                <w:i/>
                <w:sz w:val="20"/>
              </w:rPr>
              <w:t>New Document</w:t>
            </w:r>
          </w:p>
        </w:tc>
        <w:tc>
          <w:tcPr>
            <w:tcW w:w="2265" w:type="dxa"/>
          </w:tcPr>
          <w:p w14:paraId="6B4259D2" w14:textId="77777777" w:rsidR="00C91EFA" w:rsidRPr="003E167B" w:rsidRDefault="00C91EFA" w:rsidP="00B3038D">
            <w:pPr>
              <w:rPr>
                <w:i/>
                <w:sz w:val="20"/>
              </w:rPr>
            </w:pPr>
            <w:r>
              <w:rPr>
                <w:i/>
                <w:sz w:val="20"/>
              </w:rPr>
              <w:t>Susan Freiburg, ED WYC</w:t>
            </w:r>
          </w:p>
        </w:tc>
        <w:tc>
          <w:tcPr>
            <w:tcW w:w="2265" w:type="dxa"/>
          </w:tcPr>
          <w:p w14:paraId="6B7CB91C" w14:textId="77777777" w:rsidR="00C91EFA" w:rsidRPr="003E167B" w:rsidRDefault="00C91EFA" w:rsidP="00B3038D">
            <w:pPr>
              <w:rPr>
                <w:i/>
                <w:sz w:val="20"/>
              </w:rPr>
            </w:pPr>
            <w:r>
              <w:rPr>
                <w:i/>
                <w:sz w:val="20"/>
              </w:rPr>
              <w:t>CHS Policy Committee</w:t>
            </w:r>
          </w:p>
        </w:tc>
      </w:tr>
      <w:tr w:rsidR="00C91EFA" w:rsidRPr="003E167B" w14:paraId="21F73D99" w14:textId="77777777" w:rsidTr="00B3038D">
        <w:tc>
          <w:tcPr>
            <w:tcW w:w="1555" w:type="dxa"/>
          </w:tcPr>
          <w:p w14:paraId="7ABC487C" w14:textId="77777777" w:rsidR="00C91EFA" w:rsidRPr="003E167B" w:rsidRDefault="00C91EFA" w:rsidP="00B3038D">
            <w:pPr>
              <w:rPr>
                <w:i/>
                <w:sz w:val="20"/>
              </w:rPr>
            </w:pPr>
            <w:r>
              <w:rPr>
                <w:i/>
                <w:sz w:val="20"/>
              </w:rPr>
              <w:t>09/12/2024</w:t>
            </w:r>
          </w:p>
        </w:tc>
        <w:tc>
          <w:tcPr>
            <w:tcW w:w="2975" w:type="dxa"/>
          </w:tcPr>
          <w:p w14:paraId="2435C1AC" w14:textId="77777777" w:rsidR="00C91EFA" w:rsidRPr="003E167B" w:rsidRDefault="00C91EFA" w:rsidP="00B3038D">
            <w:pPr>
              <w:rPr>
                <w:i/>
                <w:sz w:val="20"/>
              </w:rPr>
            </w:pPr>
            <w:r>
              <w:rPr>
                <w:i/>
                <w:sz w:val="20"/>
              </w:rPr>
              <w:t>Minor amendments made to reflect changes to</w:t>
            </w:r>
            <w:r w:rsidRPr="00D21B45">
              <w:rPr>
                <w:i/>
                <w:sz w:val="20"/>
              </w:rPr>
              <w:t xml:space="preserve"> prescribing and manufacturing of insulin infusions.</w:t>
            </w:r>
          </w:p>
        </w:tc>
        <w:tc>
          <w:tcPr>
            <w:tcW w:w="2265" w:type="dxa"/>
          </w:tcPr>
          <w:p w14:paraId="3D53AA71" w14:textId="77777777" w:rsidR="00C91EFA" w:rsidRPr="003E167B" w:rsidRDefault="00C91EFA" w:rsidP="00B3038D">
            <w:pPr>
              <w:rPr>
                <w:i/>
                <w:sz w:val="20"/>
              </w:rPr>
            </w:pPr>
            <w:r>
              <w:rPr>
                <w:i/>
                <w:sz w:val="20"/>
              </w:rPr>
              <w:t>Carman Chan, Pharmacist</w:t>
            </w:r>
          </w:p>
        </w:tc>
        <w:tc>
          <w:tcPr>
            <w:tcW w:w="2265" w:type="dxa"/>
          </w:tcPr>
          <w:p w14:paraId="4DBE8B6A" w14:textId="77777777" w:rsidR="00C91EFA" w:rsidRPr="003E167B" w:rsidRDefault="00C91EFA" w:rsidP="00B3038D">
            <w:pPr>
              <w:rPr>
                <w:i/>
                <w:sz w:val="20"/>
              </w:rPr>
            </w:pPr>
            <w:r>
              <w:rPr>
                <w:i/>
                <w:sz w:val="20"/>
              </w:rPr>
              <w:t>CHS Policy Team</w:t>
            </w:r>
          </w:p>
        </w:tc>
      </w:tr>
      <w:tr w:rsidR="00C91EFA" w:rsidRPr="003E167B" w14:paraId="4A52D955" w14:textId="77777777" w:rsidTr="00B3038D">
        <w:tc>
          <w:tcPr>
            <w:tcW w:w="1555" w:type="dxa"/>
          </w:tcPr>
          <w:p w14:paraId="2502D320" w14:textId="77777777" w:rsidR="00C91EFA" w:rsidRDefault="00C91EFA" w:rsidP="00B3038D">
            <w:pPr>
              <w:rPr>
                <w:i/>
                <w:sz w:val="20"/>
              </w:rPr>
            </w:pPr>
            <w:r>
              <w:rPr>
                <w:i/>
                <w:sz w:val="20"/>
              </w:rPr>
              <w:t>8/7/2025</w:t>
            </w:r>
          </w:p>
        </w:tc>
        <w:tc>
          <w:tcPr>
            <w:tcW w:w="2975" w:type="dxa"/>
          </w:tcPr>
          <w:p w14:paraId="786A4378" w14:textId="77777777" w:rsidR="00C91EFA" w:rsidRDefault="00C91EFA" w:rsidP="00B3038D">
            <w:pPr>
              <w:rPr>
                <w:i/>
                <w:sz w:val="20"/>
              </w:rPr>
            </w:pPr>
            <w:r>
              <w:rPr>
                <w:i/>
                <w:sz w:val="20"/>
              </w:rPr>
              <w:t>Minor amendment to include 2024 ADIPS Recommendations</w:t>
            </w:r>
          </w:p>
        </w:tc>
        <w:tc>
          <w:tcPr>
            <w:tcW w:w="2265" w:type="dxa"/>
          </w:tcPr>
          <w:p w14:paraId="1FAB526C" w14:textId="77777777" w:rsidR="00C91EFA" w:rsidRDefault="00C91EFA" w:rsidP="00B3038D">
            <w:pPr>
              <w:rPr>
                <w:i/>
                <w:sz w:val="20"/>
              </w:rPr>
            </w:pPr>
            <w:r>
              <w:rPr>
                <w:i/>
                <w:sz w:val="20"/>
              </w:rPr>
              <w:t>Julianne Nissen, ADOM</w:t>
            </w:r>
          </w:p>
        </w:tc>
        <w:tc>
          <w:tcPr>
            <w:tcW w:w="2265" w:type="dxa"/>
          </w:tcPr>
          <w:p w14:paraId="0A85CE95" w14:textId="77777777" w:rsidR="00C91EFA" w:rsidRDefault="00C91EFA" w:rsidP="00B3038D">
            <w:pPr>
              <w:rPr>
                <w:i/>
                <w:sz w:val="20"/>
              </w:rPr>
            </w:pPr>
            <w:r>
              <w:rPr>
                <w:i/>
                <w:sz w:val="20"/>
              </w:rPr>
              <w:t xml:space="preserve">CHS Policy and Consumer Handouts Team </w:t>
            </w:r>
          </w:p>
        </w:tc>
      </w:tr>
    </w:tbl>
    <w:p w14:paraId="67687C5A" w14:textId="77777777" w:rsidR="00C91EFA" w:rsidRPr="003E167B" w:rsidRDefault="00C91EFA" w:rsidP="00C91EFA">
      <w:pPr>
        <w:rPr>
          <w:rFonts w:cs="Arial"/>
          <w:sz w:val="20"/>
        </w:rPr>
      </w:pPr>
    </w:p>
    <w:p w14:paraId="2E7766CF" w14:textId="77777777" w:rsidR="00C91EFA" w:rsidRPr="003E167B" w:rsidRDefault="00C91EFA" w:rsidP="00C91EFA">
      <w:pPr>
        <w:rPr>
          <w:rFonts w:cs="Arial"/>
          <w:i/>
          <w:sz w:val="20"/>
        </w:rPr>
      </w:pPr>
      <w:r w:rsidRPr="003E167B">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C91EFA" w:rsidRPr="003E167B" w14:paraId="62660BD5" w14:textId="77777777" w:rsidTr="00B3038D">
        <w:tc>
          <w:tcPr>
            <w:tcW w:w="2122" w:type="dxa"/>
          </w:tcPr>
          <w:p w14:paraId="35AFCC12" w14:textId="77777777" w:rsidR="00C91EFA" w:rsidRPr="003E167B" w:rsidRDefault="00C91EFA" w:rsidP="00B3038D">
            <w:pPr>
              <w:rPr>
                <w:i/>
                <w:sz w:val="20"/>
              </w:rPr>
            </w:pPr>
            <w:r w:rsidRPr="003E167B">
              <w:rPr>
                <w:i/>
                <w:sz w:val="20"/>
              </w:rPr>
              <w:t>Document Number</w:t>
            </w:r>
          </w:p>
        </w:tc>
        <w:tc>
          <w:tcPr>
            <w:tcW w:w="6938" w:type="dxa"/>
          </w:tcPr>
          <w:p w14:paraId="3434A336" w14:textId="77777777" w:rsidR="00C91EFA" w:rsidRPr="003E167B" w:rsidRDefault="00C91EFA" w:rsidP="00B3038D">
            <w:pPr>
              <w:rPr>
                <w:i/>
                <w:sz w:val="20"/>
              </w:rPr>
            </w:pPr>
            <w:r w:rsidRPr="003E167B">
              <w:rPr>
                <w:i/>
                <w:sz w:val="20"/>
              </w:rPr>
              <w:t>Document Name</w:t>
            </w:r>
          </w:p>
        </w:tc>
      </w:tr>
      <w:tr w:rsidR="00C91EFA" w:rsidRPr="003E167B" w14:paraId="7A56C080" w14:textId="77777777" w:rsidTr="00B3038D">
        <w:tc>
          <w:tcPr>
            <w:tcW w:w="2122" w:type="dxa"/>
          </w:tcPr>
          <w:p w14:paraId="7FE0D393" w14:textId="77777777" w:rsidR="00C91EFA" w:rsidRPr="003E167B" w:rsidRDefault="00C91EFA" w:rsidP="00B3038D">
            <w:pPr>
              <w:rPr>
                <w:i/>
                <w:sz w:val="20"/>
              </w:rPr>
            </w:pPr>
          </w:p>
        </w:tc>
        <w:tc>
          <w:tcPr>
            <w:tcW w:w="6938" w:type="dxa"/>
          </w:tcPr>
          <w:p w14:paraId="6F21AF80" w14:textId="77777777" w:rsidR="00C91EFA" w:rsidRPr="003E167B" w:rsidRDefault="00C91EFA" w:rsidP="00B3038D">
            <w:pPr>
              <w:rPr>
                <w:i/>
                <w:sz w:val="20"/>
              </w:rPr>
            </w:pPr>
          </w:p>
        </w:tc>
      </w:tr>
      <w:tr w:rsidR="00C91EFA" w:rsidRPr="003E167B" w14:paraId="5213EAB5" w14:textId="77777777" w:rsidTr="00B3038D">
        <w:tc>
          <w:tcPr>
            <w:tcW w:w="2122" w:type="dxa"/>
          </w:tcPr>
          <w:p w14:paraId="6D23EA34" w14:textId="77777777" w:rsidR="00C91EFA" w:rsidRPr="003E167B" w:rsidRDefault="00C91EFA" w:rsidP="00B3038D">
            <w:pPr>
              <w:rPr>
                <w:i/>
                <w:sz w:val="20"/>
              </w:rPr>
            </w:pPr>
          </w:p>
        </w:tc>
        <w:tc>
          <w:tcPr>
            <w:tcW w:w="6938" w:type="dxa"/>
          </w:tcPr>
          <w:p w14:paraId="15DCC8E6" w14:textId="77777777" w:rsidR="00C91EFA" w:rsidRPr="003E167B" w:rsidRDefault="00C91EFA" w:rsidP="00B3038D">
            <w:pPr>
              <w:rPr>
                <w:i/>
                <w:sz w:val="20"/>
              </w:rPr>
            </w:pPr>
          </w:p>
        </w:tc>
      </w:tr>
    </w:tbl>
    <w:p w14:paraId="612002B6" w14:textId="77777777" w:rsidR="00C91EFA" w:rsidRDefault="00C91EFA" w:rsidP="00C91EFA">
      <w:pPr>
        <w:pStyle w:val="Heading2"/>
      </w:pPr>
      <w:bookmarkStart w:id="99" w:name="_Toc116893363"/>
      <w:bookmarkStart w:id="100" w:name="_Hlk114089521"/>
      <w:bookmarkStart w:id="101" w:name="_Toc111196939"/>
    </w:p>
    <w:p w14:paraId="2414DB9B" w14:textId="77777777" w:rsidR="00C91EFA" w:rsidRDefault="00C91EFA" w:rsidP="00C91EFA">
      <w:pPr>
        <w:spacing w:after="200" w:line="276" w:lineRule="auto"/>
        <w:rPr>
          <w:rFonts w:eastAsiaTheme="majorEastAsia" w:cstheme="majorBidi"/>
          <w:b/>
          <w:bCs/>
          <w:szCs w:val="26"/>
        </w:rPr>
      </w:pPr>
      <w:r>
        <w:br w:type="page"/>
      </w:r>
    </w:p>
    <w:p w14:paraId="4F399AD4" w14:textId="77777777" w:rsidR="00C91EFA" w:rsidRPr="00A8258B" w:rsidRDefault="00C91EFA" w:rsidP="00C91EFA">
      <w:pPr>
        <w:pStyle w:val="Heading2"/>
      </w:pPr>
      <w:bookmarkStart w:id="102" w:name="_Toc126585746"/>
      <w:r w:rsidRPr="00A8258B">
        <w:lastRenderedPageBreak/>
        <w:t xml:space="preserve">Attachment 1 </w:t>
      </w:r>
      <w:r>
        <w:t>-</w:t>
      </w:r>
      <w:r w:rsidRPr="00A8258B">
        <w:t xml:space="preserve"> Screening and diagnosis of GDM</w:t>
      </w:r>
      <w:bookmarkEnd w:id="99"/>
      <w:bookmarkEnd w:id="102"/>
    </w:p>
    <w:bookmarkEnd w:id="100"/>
    <w:p w14:paraId="6FF5A8D4" w14:textId="77777777" w:rsidR="00C91EFA" w:rsidRDefault="00C91EFA" w:rsidP="00C91EFA"/>
    <w:p w14:paraId="3E5AC9D9" w14:textId="77777777" w:rsidR="00C91EFA" w:rsidRDefault="00C91EFA" w:rsidP="00C91EFA">
      <w:pPr>
        <w:jc w:val="center"/>
      </w:pPr>
      <w:r>
        <w:rPr>
          <w:noProof/>
        </w:rPr>
        <w:drawing>
          <wp:inline distT="0" distB="0" distL="0" distR="0" wp14:anchorId="5D73BD54" wp14:editId="2EAAF8A7">
            <wp:extent cx="5988880" cy="7548487"/>
            <wp:effectExtent l="0" t="0" r="0" b="0"/>
            <wp:docPr id="245859678" name="Picture 245859678" descr="A flow chart summary of screening and diagnosis of GDM detailing assessment of risk factors and recommended trea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859678" name="Picture 245859678" descr="A flow chart summary of screening and diagnosis of GDM detailing assessment of risk factors and recommended treatment."/>
                    <pic:cNvPicPr/>
                  </pic:nvPicPr>
                  <pic:blipFill>
                    <a:blip r:embed="rId38">
                      <a:extLst>
                        <a:ext uri="{28A0092B-C50C-407E-A947-70E740481C1C}">
                          <a14:useLocalDpi xmlns:a14="http://schemas.microsoft.com/office/drawing/2010/main" val="0"/>
                        </a:ext>
                      </a:extLst>
                    </a:blip>
                    <a:stretch>
                      <a:fillRect/>
                    </a:stretch>
                  </pic:blipFill>
                  <pic:spPr>
                    <a:xfrm>
                      <a:off x="0" y="0"/>
                      <a:ext cx="5988880" cy="7548487"/>
                    </a:xfrm>
                    <a:prstGeom prst="rect">
                      <a:avLst/>
                    </a:prstGeom>
                  </pic:spPr>
                </pic:pic>
              </a:graphicData>
            </a:graphic>
          </wp:inline>
        </w:drawing>
      </w:r>
    </w:p>
    <w:p w14:paraId="3BFE54FC" w14:textId="77777777" w:rsidR="00C91EFA" w:rsidRDefault="00C91EFA" w:rsidP="00C91EFA"/>
    <w:p w14:paraId="270F2882" w14:textId="77777777" w:rsidR="00C91EFA" w:rsidRDefault="00C91EFA" w:rsidP="00C91EFA">
      <w:r w:rsidRPr="71F4A9C8">
        <w:rPr>
          <w:rFonts w:eastAsia="Calibri" w:cs="Calibri"/>
          <w:szCs w:val="24"/>
        </w:rPr>
        <w:t>ADIPS 2024 Recommendations – Executive Summary (November 2024)</w:t>
      </w:r>
    </w:p>
    <w:p w14:paraId="0B91B85B" w14:textId="77777777" w:rsidR="00C91EFA" w:rsidRDefault="00C91EFA" w:rsidP="00C91EFA"/>
    <w:bookmarkEnd w:id="101"/>
    <w:p w14:paraId="705A2637" w14:textId="77777777" w:rsidR="00C91EFA" w:rsidRPr="008E6E3F" w:rsidRDefault="00C91EFA" w:rsidP="00C91EFA">
      <w:pPr>
        <w:pStyle w:val="Heading2"/>
      </w:pPr>
      <w:r>
        <w:rPr>
          <w:rFonts w:cs="Calibri"/>
          <w:sz w:val="20"/>
          <w:szCs w:val="20"/>
        </w:rPr>
        <w:lastRenderedPageBreak/>
        <w:t xml:space="preserve">                       </w:t>
      </w:r>
      <w:bookmarkStart w:id="103" w:name="_Toc116893364"/>
      <w:bookmarkStart w:id="104" w:name="_Toc126585747"/>
      <w:r w:rsidRPr="008E6E3F">
        <w:t xml:space="preserve">Attachment </w:t>
      </w:r>
      <w:r>
        <w:t>2</w:t>
      </w:r>
      <w:r w:rsidRPr="008E6E3F">
        <w:t xml:space="preserve"> - </w:t>
      </w:r>
      <w:r>
        <w:t>M</w:t>
      </w:r>
      <w:r w:rsidRPr="008E6E3F">
        <w:t>ana</w:t>
      </w:r>
      <w:r w:rsidRPr="008E6E3F">
        <w:rPr>
          <w:spacing w:val="-3"/>
        </w:rPr>
        <w:t>g</w:t>
      </w:r>
      <w:r w:rsidRPr="008E6E3F">
        <w:rPr>
          <w:spacing w:val="-1"/>
        </w:rPr>
        <w:t>e</w:t>
      </w:r>
      <w:r w:rsidRPr="008E6E3F">
        <w:t>me</w:t>
      </w:r>
      <w:r w:rsidRPr="008E6E3F">
        <w:rPr>
          <w:spacing w:val="-3"/>
        </w:rPr>
        <w:t>n</w:t>
      </w:r>
      <w:r w:rsidRPr="008E6E3F">
        <w:t>t</w:t>
      </w:r>
      <w:r w:rsidRPr="008E6E3F">
        <w:rPr>
          <w:spacing w:val="28"/>
        </w:rPr>
        <w:t xml:space="preserve"> </w:t>
      </w:r>
      <w:r w:rsidRPr="008E6E3F">
        <w:t>of</w:t>
      </w:r>
      <w:r w:rsidRPr="008E6E3F">
        <w:rPr>
          <w:spacing w:val="27"/>
        </w:rPr>
        <w:t xml:space="preserve"> </w:t>
      </w:r>
      <w:r>
        <w:t>h</w:t>
      </w:r>
      <w:r w:rsidRPr="008E6E3F">
        <w:t>ypoglycaemia</w:t>
      </w:r>
      <w:bookmarkEnd w:id="103"/>
      <w:bookmarkEnd w:id="104"/>
      <w:r w:rsidRPr="008E6E3F">
        <w:t xml:space="preserve"> </w:t>
      </w:r>
    </w:p>
    <w:p w14:paraId="4D78FDCC" w14:textId="77777777" w:rsidR="00C91EFA" w:rsidRPr="008E6E3F" w:rsidRDefault="00C91EFA" w:rsidP="00C91EFA">
      <w:pPr>
        <w:rPr>
          <w:rFonts w:cs="Arial"/>
          <w:iCs/>
          <w:szCs w:val="24"/>
        </w:rPr>
      </w:pPr>
      <w:r w:rsidRPr="005D1E18">
        <w:rPr>
          <w:rFonts w:cs="Arial"/>
          <w:iCs/>
          <w:noProof/>
          <w:szCs w:val="24"/>
        </w:rPr>
        <w:drawing>
          <wp:anchor distT="0" distB="0" distL="114300" distR="114300" simplePos="0" relativeHeight="251660288" behindDoc="1" locked="0" layoutInCell="1" allowOverlap="1" wp14:anchorId="11CA8DEE" wp14:editId="044C0873">
            <wp:simplePos x="0" y="0"/>
            <wp:positionH relativeFrom="column">
              <wp:posOffset>-107950</wp:posOffset>
            </wp:positionH>
            <wp:positionV relativeFrom="paragraph">
              <wp:posOffset>223520</wp:posOffset>
            </wp:positionV>
            <wp:extent cx="5590800" cy="7167600"/>
            <wp:effectExtent l="0" t="0" r="0" b="0"/>
            <wp:wrapTight wrapText="bothSides">
              <wp:wrapPolygon edited="0">
                <wp:start x="0" y="0"/>
                <wp:lineTo x="0" y="21529"/>
                <wp:lineTo x="21492" y="21529"/>
                <wp:lineTo x="21492" y="0"/>
                <wp:lineTo x="0" y="0"/>
              </wp:wrapPolygon>
            </wp:wrapTight>
            <wp:docPr id="18" name="Picture 18" descr="A flow chart describing management of hypoglycaemia if BGL drops below 4.0 mmol/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flow chart describing management of hypoglycaemia if BGL drops below 4.0 mmol/L.&#10;"/>
                    <pic:cNvPicPr/>
                  </pic:nvPicPr>
                  <pic:blipFill>
                    <a:blip r:embed="rId39">
                      <a:extLst>
                        <a:ext uri="{28A0092B-C50C-407E-A947-70E740481C1C}">
                          <a14:useLocalDpi xmlns:a14="http://schemas.microsoft.com/office/drawing/2010/main" val="0"/>
                        </a:ext>
                      </a:extLst>
                    </a:blip>
                    <a:stretch>
                      <a:fillRect/>
                    </a:stretch>
                  </pic:blipFill>
                  <pic:spPr>
                    <a:xfrm>
                      <a:off x="0" y="0"/>
                      <a:ext cx="5590800" cy="7167600"/>
                    </a:xfrm>
                    <a:prstGeom prst="rect">
                      <a:avLst/>
                    </a:prstGeom>
                  </pic:spPr>
                </pic:pic>
              </a:graphicData>
            </a:graphic>
            <wp14:sizeRelH relativeFrom="margin">
              <wp14:pctWidth>0</wp14:pctWidth>
            </wp14:sizeRelH>
            <wp14:sizeRelV relativeFrom="margin">
              <wp14:pctHeight>0</wp14:pctHeight>
            </wp14:sizeRelV>
          </wp:anchor>
        </w:drawing>
      </w:r>
    </w:p>
    <w:p w14:paraId="35AD51A7" w14:textId="77777777" w:rsidR="00C91EFA" w:rsidRDefault="00C91EFA" w:rsidP="00C91EFA">
      <w:pPr>
        <w:rPr>
          <w:rFonts w:cs="Arial"/>
          <w:i/>
          <w:szCs w:val="24"/>
        </w:rPr>
      </w:pPr>
    </w:p>
    <w:p w14:paraId="552245A3" w14:textId="77777777" w:rsidR="00C91EFA" w:rsidRDefault="00C91EFA" w:rsidP="00C91EFA">
      <w:pPr>
        <w:rPr>
          <w:rFonts w:cs="Arial"/>
          <w:i/>
          <w:szCs w:val="24"/>
        </w:rPr>
      </w:pPr>
    </w:p>
    <w:p w14:paraId="0D901B0B" w14:textId="77777777" w:rsidR="007817F1" w:rsidRPr="00C91EFA" w:rsidRDefault="007817F1" w:rsidP="00C91EFA"/>
    <w:sectPr w:rsidR="007817F1" w:rsidRPr="00C91EFA" w:rsidSect="00B10F87">
      <w:headerReference w:type="default" r:id="rId40"/>
      <w:footerReference w:type="default" r:id="rId41"/>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19F7F" w14:textId="77777777" w:rsidR="00EB365A" w:rsidRDefault="00EB365A" w:rsidP="00F66CB0">
      <w:r>
        <w:separator/>
      </w:r>
    </w:p>
  </w:endnote>
  <w:endnote w:type="continuationSeparator" w:id="0">
    <w:p w14:paraId="3F8B1B9B" w14:textId="77777777" w:rsidR="00EB365A" w:rsidRDefault="00EB365A"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2592"/>
      <w:gridCol w:w="990"/>
    </w:tblGrid>
    <w:tr w:rsidR="001670BB" w:rsidRPr="00AE7C5C" w14:paraId="08682A7C" w14:textId="77777777" w:rsidTr="009610CA">
      <w:tc>
        <w:tcPr>
          <w:tcW w:w="1515" w:type="dxa"/>
        </w:tcPr>
        <w:p w14:paraId="08682A76" w14:textId="77777777" w:rsidR="001670BB" w:rsidRPr="00B3752F" w:rsidRDefault="001670BB" w:rsidP="00B10F87">
          <w:pPr>
            <w:pStyle w:val="Footer"/>
            <w:rPr>
              <w:rFonts w:cs="Arial"/>
              <w:b/>
              <w:bCs/>
              <w:i/>
              <w:sz w:val="20"/>
            </w:rPr>
          </w:pPr>
          <w:r w:rsidRPr="00B3752F">
            <w:rPr>
              <w:rFonts w:cs="Arial"/>
              <w:b/>
              <w:bCs/>
              <w:i/>
              <w:sz w:val="20"/>
            </w:rPr>
            <w:t>Doc Number</w:t>
          </w:r>
        </w:p>
      </w:tc>
      <w:tc>
        <w:tcPr>
          <w:tcW w:w="965" w:type="dxa"/>
        </w:tcPr>
        <w:p w14:paraId="08682A77" w14:textId="77777777" w:rsidR="001670BB" w:rsidRPr="00B3752F" w:rsidRDefault="001670BB" w:rsidP="00B10F87">
          <w:pPr>
            <w:pStyle w:val="Footer"/>
            <w:rPr>
              <w:rFonts w:cs="Arial"/>
              <w:b/>
              <w:bCs/>
              <w:i/>
              <w:sz w:val="20"/>
            </w:rPr>
          </w:pPr>
          <w:r w:rsidRPr="00B3752F">
            <w:rPr>
              <w:rFonts w:cs="Arial"/>
              <w:b/>
              <w:bCs/>
              <w:i/>
              <w:sz w:val="20"/>
            </w:rPr>
            <w:t>Version</w:t>
          </w:r>
        </w:p>
      </w:tc>
      <w:tc>
        <w:tcPr>
          <w:tcW w:w="1552" w:type="dxa"/>
        </w:tcPr>
        <w:p w14:paraId="08682A78" w14:textId="77777777" w:rsidR="001670BB" w:rsidRPr="00B3752F" w:rsidRDefault="001670BB" w:rsidP="00B10F87">
          <w:pPr>
            <w:pStyle w:val="Footer"/>
            <w:rPr>
              <w:rFonts w:cs="Arial"/>
              <w:b/>
              <w:bCs/>
              <w:i/>
              <w:sz w:val="20"/>
            </w:rPr>
          </w:pPr>
          <w:r w:rsidRPr="00B3752F">
            <w:rPr>
              <w:rFonts w:cs="Arial"/>
              <w:b/>
              <w:bCs/>
              <w:i/>
              <w:sz w:val="20"/>
            </w:rPr>
            <w:t>Issued</w:t>
          </w:r>
        </w:p>
      </w:tc>
      <w:tc>
        <w:tcPr>
          <w:tcW w:w="1456" w:type="dxa"/>
        </w:tcPr>
        <w:p w14:paraId="08682A79" w14:textId="77777777" w:rsidR="001670BB" w:rsidRPr="00B3752F" w:rsidRDefault="001670BB" w:rsidP="00B10F87">
          <w:pPr>
            <w:pStyle w:val="Footer"/>
            <w:rPr>
              <w:rFonts w:cs="Arial"/>
              <w:b/>
              <w:bCs/>
              <w:i/>
              <w:sz w:val="20"/>
            </w:rPr>
          </w:pPr>
          <w:r w:rsidRPr="00B3752F">
            <w:rPr>
              <w:rFonts w:cs="Arial"/>
              <w:b/>
              <w:bCs/>
              <w:i/>
              <w:sz w:val="20"/>
            </w:rPr>
            <w:t>Review Date</w:t>
          </w:r>
        </w:p>
      </w:tc>
      <w:tc>
        <w:tcPr>
          <w:tcW w:w="2592" w:type="dxa"/>
        </w:tcPr>
        <w:p w14:paraId="08682A7A" w14:textId="77777777" w:rsidR="001670BB" w:rsidRPr="00B3752F" w:rsidRDefault="001670BB" w:rsidP="00B10F87">
          <w:pPr>
            <w:pStyle w:val="Footer"/>
            <w:rPr>
              <w:rFonts w:cs="Arial"/>
              <w:b/>
              <w:bCs/>
              <w:i/>
              <w:sz w:val="20"/>
            </w:rPr>
          </w:pPr>
          <w:r w:rsidRPr="00B3752F">
            <w:rPr>
              <w:rFonts w:cs="Arial"/>
              <w:b/>
              <w:bCs/>
              <w:i/>
              <w:sz w:val="20"/>
            </w:rPr>
            <w:t>Area Responsible</w:t>
          </w:r>
        </w:p>
      </w:tc>
      <w:tc>
        <w:tcPr>
          <w:tcW w:w="990" w:type="dxa"/>
        </w:tcPr>
        <w:p w14:paraId="08682A7B" w14:textId="77777777" w:rsidR="001670BB" w:rsidRPr="00B3752F" w:rsidRDefault="001670BB" w:rsidP="00B10F87">
          <w:pPr>
            <w:pStyle w:val="Footer"/>
            <w:rPr>
              <w:rFonts w:cs="Arial"/>
              <w:b/>
              <w:bCs/>
              <w:i/>
              <w:sz w:val="20"/>
            </w:rPr>
          </w:pPr>
          <w:r w:rsidRPr="00B3752F">
            <w:rPr>
              <w:rFonts w:cs="Arial"/>
              <w:b/>
              <w:bCs/>
              <w:i/>
              <w:sz w:val="20"/>
            </w:rPr>
            <w:t>Page</w:t>
          </w:r>
        </w:p>
      </w:tc>
    </w:tr>
    <w:tr w:rsidR="001670BB" w14:paraId="08682A83" w14:textId="77777777" w:rsidTr="009610CA">
      <w:tc>
        <w:tcPr>
          <w:tcW w:w="1515" w:type="dxa"/>
        </w:tcPr>
        <w:p w14:paraId="08682A7D" w14:textId="0F0DF046" w:rsidR="001670BB" w:rsidRPr="00542EE6" w:rsidRDefault="009610CA" w:rsidP="00B10F87">
          <w:pPr>
            <w:pStyle w:val="Footer"/>
            <w:rPr>
              <w:rFonts w:cs="Arial"/>
              <w:b/>
              <w:bCs/>
              <w:sz w:val="20"/>
            </w:rPr>
          </w:pPr>
          <w:r>
            <w:rPr>
              <w:b/>
              <w:sz w:val="20"/>
            </w:rPr>
            <w:t>CHS23/081</w:t>
          </w:r>
        </w:p>
      </w:tc>
      <w:tc>
        <w:tcPr>
          <w:tcW w:w="965" w:type="dxa"/>
        </w:tcPr>
        <w:p w14:paraId="08682A7E" w14:textId="0800A77F" w:rsidR="001670BB" w:rsidRPr="00B3752F" w:rsidRDefault="00E35C2B" w:rsidP="00B10F87">
          <w:pPr>
            <w:pStyle w:val="Footer"/>
            <w:rPr>
              <w:rFonts w:cs="Arial"/>
              <w:b/>
              <w:bCs/>
              <w:sz w:val="20"/>
            </w:rPr>
          </w:pPr>
          <w:r>
            <w:rPr>
              <w:rFonts w:cs="Arial"/>
              <w:b/>
              <w:bCs/>
              <w:sz w:val="20"/>
            </w:rPr>
            <w:t>2</w:t>
          </w:r>
        </w:p>
      </w:tc>
      <w:tc>
        <w:tcPr>
          <w:tcW w:w="1552" w:type="dxa"/>
        </w:tcPr>
        <w:p w14:paraId="08682A7F" w14:textId="216E074D" w:rsidR="001670BB" w:rsidRPr="00B3752F" w:rsidRDefault="009610CA" w:rsidP="00B10F87">
          <w:pPr>
            <w:pStyle w:val="Footer"/>
            <w:rPr>
              <w:rFonts w:cs="Arial"/>
              <w:b/>
              <w:bCs/>
              <w:sz w:val="20"/>
            </w:rPr>
          </w:pPr>
          <w:r>
            <w:rPr>
              <w:rFonts w:cs="Arial"/>
              <w:b/>
              <w:bCs/>
              <w:sz w:val="20"/>
            </w:rPr>
            <w:t>2</w:t>
          </w:r>
          <w:r w:rsidR="007D1635">
            <w:rPr>
              <w:rFonts w:cs="Arial"/>
              <w:b/>
              <w:bCs/>
              <w:sz w:val="20"/>
            </w:rPr>
            <w:t>3</w:t>
          </w:r>
          <w:r>
            <w:rPr>
              <w:rFonts w:cs="Arial"/>
              <w:b/>
              <w:bCs/>
              <w:sz w:val="20"/>
            </w:rPr>
            <w:t>/03/2023</w:t>
          </w:r>
        </w:p>
      </w:tc>
      <w:tc>
        <w:tcPr>
          <w:tcW w:w="1456" w:type="dxa"/>
        </w:tcPr>
        <w:p w14:paraId="08682A80" w14:textId="2C4D239C" w:rsidR="001670BB" w:rsidRPr="00B3752F" w:rsidRDefault="009610CA" w:rsidP="00470E63">
          <w:pPr>
            <w:pStyle w:val="Footer"/>
            <w:rPr>
              <w:rFonts w:cs="Arial"/>
              <w:b/>
              <w:bCs/>
              <w:sz w:val="20"/>
            </w:rPr>
          </w:pPr>
          <w:r>
            <w:rPr>
              <w:rFonts w:cs="Arial"/>
              <w:b/>
              <w:bCs/>
              <w:sz w:val="20"/>
            </w:rPr>
            <w:t>01/03/2027</w:t>
          </w:r>
        </w:p>
      </w:tc>
      <w:tc>
        <w:tcPr>
          <w:tcW w:w="2592" w:type="dxa"/>
        </w:tcPr>
        <w:p w14:paraId="08682A81" w14:textId="229FCA01" w:rsidR="001670BB" w:rsidRPr="00B3752F" w:rsidRDefault="009610CA" w:rsidP="00B10F87">
          <w:pPr>
            <w:pStyle w:val="Footer"/>
            <w:rPr>
              <w:rFonts w:cs="Arial"/>
              <w:b/>
              <w:bCs/>
              <w:sz w:val="20"/>
            </w:rPr>
          </w:pPr>
          <w:r>
            <w:rPr>
              <w:rFonts w:cs="Arial"/>
              <w:b/>
              <w:bCs/>
              <w:sz w:val="20"/>
            </w:rPr>
            <w:t>WYC – Women’s and Babies</w:t>
          </w:r>
        </w:p>
      </w:tc>
      <w:tc>
        <w:tcPr>
          <w:tcW w:w="990" w:type="dxa"/>
        </w:tcPr>
        <w:p w14:paraId="08682A82" w14:textId="77777777" w:rsidR="001670BB" w:rsidRPr="00B3752F" w:rsidRDefault="00A063FE" w:rsidP="00B10F87">
          <w:pPr>
            <w:pStyle w:val="Footer"/>
            <w:rPr>
              <w:sz w:val="20"/>
            </w:rPr>
          </w:pPr>
          <w:r w:rsidRPr="00B3752F">
            <w:rPr>
              <w:rStyle w:val="PageNumber"/>
              <w:sz w:val="20"/>
            </w:rPr>
            <w:fldChar w:fldCharType="begin"/>
          </w:r>
          <w:r w:rsidR="001670BB" w:rsidRPr="00B3752F">
            <w:rPr>
              <w:rStyle w:val="PageNumber"/>
              <w:sz w:val="20"/>
            </w:rPr>
            <w:instrText xml:space="preserve"> PAGE </w:instrText>
          </w:r>
          <w:r w:rsidRPr="00B3752F">
            <w:rPr>
              <w:rStyle w:val="PageNumber"/>
              <w:sz w:val="20"/>
            </w:rPr>
            <w:fldChar w:fldCharType="separate"/>
          </w:r>
          <w:r w:rsidR="00470E63">
            <w:rPr>
              <w:rStyle w:val="PageNumber"/>
              <w:noProof/>
              <w:sz w:val="20"/>
            </w:rPr>
            <w:t>5</w:t>
          </w:r>
          <w:r w:rsidRPr="00B3752F">
            <w:rPr>
              <w:rStyle w:val="PageNumber"/>
              <w:sz w:val="20"/>
            </w:rPr>
            <w:fldChar w:fldCharType="end"/>
          </w:r>
          <w:r w:rsidR="001670BB" w:rsidRPr="00B3752F">
            <w:rPr>
              <w:rStyle w:val="PageNumber"/>
              <w:sz w:val="20"/>
            </w:rPr>
            <w:t xml:space="preserve"> of </w:t>
          </w:r>
          <w:r w:rsidRPr="00B3752F">
            <w:rPr>
              <w:rStyle w:val="PageNumber"/>
              <w:sz w:val="20"/>
            </w:rPr>
            <w:fldChar w:fldCharType="begin"/>
          </w:r>
          <w:r w:rsidR="001670BB" w:rsidRPr="00B3752F">
            <w:rPr>
              <w:rStyle w:val="PageNumber"/>
              <w:sz w:val="20"/>
            </w:rPr>
            <w:instrText xml:space="preserve"> NUMPAGES </w:instrText>
          </w:r>
          <w:r w:rsidRPr="00B3752F">
            <w:rPr>
              <w:rStyle w:val="PageNumber"/>
              <w:sz w:val="20"/>
            </w:rPr>
            <w:fldChar w:fldCharType="separate"/>
          </w:r>
          <w:r w:rsidR="00470E63">
            <w:rPr>
              <w:rStyle w:val="PageNumber"/>
              <w:noProof/>
              <w:sz w:val="20"/>
            </w:rPr>
            <w:t>5</w:t>
          </w:r>
          <w:r w:rsidRPr="00B3752F">
            <w:rPr>
              <w:rStyle w:val="PageNumber"/>
              <w:sz w:val="20"/>
            </w:rPr>
            <w:fldChar w:fldCharType="end"/>
          </w:r>
        </w:p>
      </w:tc>
    </w:tr>
    <w:tr w:rsidR="008E7509" w14:paraId="274E5098" w14:textId="77777777" w:rsidTr="00BC326E">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81E8E84" w14:textId="208943B0" w:rsidR="008E7509" w:rsidRPr="002C1428" w:rsidRDefault="008E7509" w:rsidP="008E7509">
          <w:pPr>
            <w:pStyle w:val="Footer"/>
            <w:jc w:val="center"/>
            <w:rPr>
              <w:rStyle w:val="PageNumber"/>
              <w:sz w:val="16"/>
              <w:szCs w:val="16"/>
            </w:rPr>
          </w:pPr>
          <w:r w:rsidRPr="002C1428">
            <w:rPr>
              <w:sz w:val="16"/>
              <w:szCs w:val="16"/>
            </w:rPr>
            <w:t xml:space="preserve">Do not refer to a </w:t>
          </w:r>
          <w:proofErr w:type="gramStart"/>
          <w:r w:rsidRPr="002C1428">
            <w:rPr>
              <w:sz w:val="16"/>
              <w:szCs w:val="16"/>
            </w:rPr>
            <w:t>paper based</w:t>
          </w:r>
          <w:proofErr w:type="gramEnd"/>
          <w:r w:rsidRPr="002C1428">
            <w:rPr>
              <w:sz w:val="16"/>
              <w:szCs w:val="16"/>
            </w:rPr>
            <w:t xml:space="preserve">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205AF9">
            <w:rPr>
              <w:sz w:val="16"/>
              <w:szCs w:val="16"/>
            </w:rPr>
            <w:t>CHS</w:t>
          </w:r>
          <w:r w:rsidRPr="002C1428">
            <w:rPr>
              <w:sz w:val="16"/>
              <w:szCs w:val="16"/>
            </w:rPr>
            <w:t xml:space="preserve"> Policy Register</w:t>
          </w:r>
        </w:p>
      </w:tc>
    </w:tr>
  </w:tbl>
  <w:p w14:paraId="08682A85" w14:textId="0FDE7BBC" w:rsidR="001670BB" w:rsidRPr="00AE7C5C" w:rsidRDefault="001670BB" w:rsidP="00470E63">
    <w:pPr>
      <w:pStyle w:val="Footer"/>
      <w:tabs>
        <w:tab w:val="clear" w:pos="4153"/>
        <w:tab w:val="clear" w:pos="8306"/>
        <w:tab w:val="left" w:pos="142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78C7F" w14:textId="77777777" w:rsidR="00EB365A" w:rsidRDefault="00EB365A" w:rsidP="00F66CB0">
      <w:r>
        <w:separator/>
      </w:r>
    </w:p>
  </w:footnote>
  <w:footnote w:type="continuationSeparator" w:id="0">
    <w:p w14:paraId="084F5E5B" w14:textId="77777777" w:rsidR="00EB365A" w:rsidRDefault="00EB365A"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A939DF" w14:paraId="60F17A8F" w14:textId="77777777" w:rsidTr="00BC326E">
      <w:trPr>
        <w:trHeight w:val="1418"/>
      </w:trPr>
      <w:tc>
        <w:tcPr>
          <w:tcW w:w="5556" w:type="dxa"/>
          <w:vAlign w:val="center"/>
          <w:hideMark/>
        </w:tcPr>
        <w:p w14:paraId="4A5666D5" w14:textId="77777777" w:rsidR="00A939DF" w:rsidRDefault="00A939DF" w:rsidP="00A939DF">
          <w:pPr>
            <w:pStyle w:val="Header"/>
            <w:rPr>
              <w:sz w:val="20"/>
            </w:rPr>
          </w:pPr>
          <w:r>
            <w:rPr>
              <w:noProof/>
              <w:sz w:val="20"/>
            </w:rPr>
            <w:drawing>
              <wp:inline distT="0" distB="0" distL="0" distR="0" wp14:anchorId="2AF797D7" wp14:editId="7788EF6A">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6FB3D4A4" w14:textId="68E34617" w:rsidR="00A939DF" w:rsidRDefault="00A939DF" w:rsidP="00A939DF">
          <w:pPr>
            <w:pStyle w:val="Header"/>
            <w:tabs>
              <w:tab w:val="left" w:pos="720"/>
            </w:tabs>
            <w:jc w:val="right"/>
            <w:rPr>
              <w:sz w:val="20"/>
            </w:rPr>
          </w:pPr>
          <w:bookmarkStart w:id="105" w:name="_top"/>
          <w:bookmarkEnd w:id="105"/>
          <w:r>
            <w:rPr>
              <w:sz w:val="20"/>
            </w:rPr>
            <w:t>CHS</w:t>
          </w:r>
          <w:r w:rsidR="009610CA">
            <w:rPr>
              <w:sz w:val="20"/>
            </w:rPr>
            <w:t>23/081</w:t>
          </w:r>
        </w:p>
      </w:tc>
    </w:tr>
  </w:tbl>
  <w:p w14:paraId="08682A75" w14:textId="77777777" w:rsidR="001670BB" w:rsidRPr="00FC3538" w:rsidRDefault="001670BB">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6E29EEE"/>
    <w:lvl w:ilvl="0">
      <w:start w:val="1"/>
      <w:numFmt w:val="bullet"/>
      <w:pStyle w:val="ListBullet"/>
      <w:lvlText w:val=""/>
      <w:lvlJc w:val="left"/>
      <w:pPr>
        <w:tabs>
          <w:tab w:val="num" w:pos="644"/>
        </w:tabs>
        <w:ind w:left="644" w:hanging="360"/>
      </w:pPr>
      <w:rPr>
        <w:rFonts w:ascii="Symbol" w:hAnsi="Symbol" w:hint="default"/>
        <w:color w:val="auto"/>
      </w:rPr>
    </w:lvl>
  </w:abstractNum>
  <w:abstractNum w:abstractNumId="1" w15:restartNumberingAfterBreak="0">
    <w:nsid w:val="00E577A2"/>
    <w:multiLevelType w:val="hybridMultilevel"/>
    <w:tmpl w:val="F69C65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C056E4"/>
    <w:multiLevelType w:val="hybridMultilevel"/>
    <w:tmpl w:val="5B961626"/>
    <w:lvl w:ilvl="0" w:tplc="4D62108C">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37455E"/>
    <w:multiLevelType w:val="hybridMultilevel"/>
    <w:tmpl w:val="43D841AA"/>
    <w:lvl w:ilvl="0" w:tplc="0C09000B">
      <w:start w:val="1"/>
      <w:numFmt w:val="bullet"/>
      <w:lvlText w:val=""/>
      <w:lvlJc w:val="left"/>
      <w:pPr>
        <w:ind w:left="1506" w:hanging="360"/>
      </w:pPr>
      <w:rPr>
        <w:rFonts w:ascii="Wingdings" w:hAnsi="Wingdings" w:hint="default"/>
      </w:rPr>
    </w:lvl>
    <w:lvl w:ilvl="1" w:tplc="0C090003" w:tentative="1">
      <w:start w:val="1"/>
      <w:numFmt w:val="bullet"/>
      <w:lvlText w:val="o"/>
      <w:lvlJc w:val="left"/>
      <w:pPr>
        <w:ind w:left="2226" w:hanging="360"/>
      </w:pPr>
      <w:rPr>
        <w:rFonts w:ascii="Courier New" w:hAnsi="Courier New" w:cs="Courier New" w:hint="default"/>
      </w:rPr>
    </w:lvl>
    <w:lvl w:ilvl="2" w:tplc="0C090005" w:tentative="1">
      <w:start w:val="1"/>
      <w:numFmt w:val="bullet"/>
      <w:lvlText w:val=""/>
      <w:lvlJc w:val="left"/>
      <w:pPr>
        <w:ind w:left="2946" w:hanging="360"/>
      </w:pPr>
      <w:rPr>
        <w:rFonts w:ascii="Wingdings" w:hAnsi="Wingdings" w:hint="default"/>
      </w:rPr>
    </w:lvl>
    <w:lvl w:ilvl="3" w:tplc="0C090001" w:tentative="1">
      <w:start w:val="1"/>
      <w:numFmt w:val="bullet"/>
      <w:lvlText w:val=""/>
      <w:lvlJc w:val="left"/>
      <w:pPr>
        <w:ind w:left="3666" w:hanging="360"/>
      </w:pPr>
      <w:rPr>
        <w:rFonts w:ascii="Symbol" w:hAnsi="Symbol" w:hint="default"/>
      </w:rPr>
    </w:lvl>
    <w:lvl w:ilvl="4" w:tplc="0C090003" w:tentative="1">
      <w:start w:val="1"/>
      <w:numFmt w:val="bullet"/>
      <w:lvlText w:val="o"/>
      <w:lvlJc w:val="left"/>
      <w:pPr>
        <w:ind w:left="4386" w:hanging="360"/>
      </w:pPr>
      <w:rPr>
        <w:rFonts w:ascii="Courier New" w:hAnsi="Courier New" w:cs="Courier New" w:hint="default"/>
      </w:rPr>
    </w:lvl>
    <w:lvl w:ilvl="5" w:tplc="0C090005" w:tentative="1">
      <w:start w:val="1"/>
      <w:numFmt w:val="bullet"/>
      <w:lvlText w:val=""/>
      <w:lvlJc w:val="left"/>
      <w:pPr>
        <w:ind w:left="5106" w:hanging="360"/>
      </w:pPr>
      <w:rPr>
        <w:rFonts w:ascii="Wingdings" w:hAnsi="Wingdings" w:hint="default"/>
      </w:rPr>
    </w:lvl>
    <w:lvl w:ilvl="6" w:tplc="0C090001" w:tentative="1">
      <w:start w:val="1"/>
      <w:numFmt w:val="bullet"/>
      <w:lvlText w:val=""/>
      <w:lvlJc w:val="left"/>
      <w:pPr>
        <w:ind w:left="5826" w:hanging="360"/>
      </w:pPr>
      <w:rPr>
        <w:rFonts w:ascii="Symbol" w:hAnsi="Symbol" w:hint="default"/>
      </w:rPr>
    </w:lvl>
    <w:lvl w:ilvl="7" w:tplc="0C090003" w:tentative="1">
      <w:start w:val="1"/>
      <w:numFmt w:val="bullet"/>
      <w:lvlText w:val="o"/>
      <w:lvlJc w:val="left"/>
      <w:pPr>
        <w:ind w:left="6546" w:hanging="360"/>
      </w:pPr>
      <w:rPr>
        <w:rFonts w:ascii="Courier New" w:hAnsi="Courier New" w:cs="Courier New" w:hint="default"/>
      </w:rPr>
    </w:lvl>
    <w:lvl w:ilvl="8" w:tplc="0C090005" w:tentative="1">
      <w:start w:val="1"/>
      <w:numFmt w:val="bullet"/>
      <w:lvlText w:val=""/>
      <w:lvlJc w:val="left"/>
      <w:pPr>
        <w:ind w:left="7266" w:hanging="360"/>
      </w:pPr>
      <w:rPr>
        <w:rFonts w:ascii="Wingdings" w:hAnsi="Wingdings" w:hint="default"/>
      </w:rPr>
    </w:lvl>
  </w:abstractNum>
  <w:abstractNum w:abstractNumId="4" w15:restartNumberingAfterBreak="0">
    <w:nsid w:val="10105AC4"/>
    <w:multiLevelType w:val="hybridMultilevel"/>
    <w:tmpl w:val="AA10A082"/>
    <w:lvl w:ilvl="0" w:tplc="3FD89114">
      <w:start w:val="1"/>
      <w:numFmt w:val="bullet"/>
      <w:lvlText w:val="o"/>
      <w:lvlJc w:val="left"/>
      <w:pPr>
        <w:ind w:left="1080" w:hanging="360"/>
      </w:pPr>
      <w:rPr>
        <w:rFonts w:ascii="Courier New" w:hAnsi="Courier New" w:hint="default"/>
      </w:rPr>
    </w:lvl>
    <w:lvl w:ilvl="1" w:tplc="24486AF8">
      <w:start w:val="1"/>
      <w:numFmt w:val="bullet"/>
      <w:lvlText w:val="o"/>
      <w:lvlJc w:val="left"/>
      <w:pPr>
        <w:ind w:left="1800" w:hanging="360"/>
      </w:pPr>
      <w:rPr>
        <w:rFonts w:ascii="Courier New" w:hAnsi="Courier New" w:hint="default"/>
      </w:rPr>
    </w:lvl>
    <w:lvl w:ilvl="2" w:tplc="2A4AA58A">
      <w:start w:val="1"/>
      <w:numFmt w:val="bullet"/>
      <w:lvlText w:val=""/>
      <w:lvlJc w:val="left"/>
      <w:pPr>
        <w:ind w:left="2520" w:hanging="360"/>
      </w:pPr>
      <w:rPr>
        <w:rFonts w:ascii="Wingdings" w:hAnsi="Wingdings" w:hint="default"/>
      </w:rPr>
    </w:lvl>
    <w:lvl w:ilvl="3" w:tplc="180623D4">
      <w:start w:val="1"/>
      <w:numFmt w:val="bullet"/>
      <w:lvlText w:val=""/>
      <w:lvlJc w:val="left"/>
      <w:pPr>
        <w:ind w:left="3240" w:hanging="360"/>
      </w:pPr>
      <w:rPr>
        <w:rFonts w:ascii="Symbol" w:hAnsi="Symbol" w:hint="default"/>
      </w:rPr>
    </w:lvl>
    <w:lvl w:ilvl="4" w:tplc="C8505A10">
      <w:start w:val="1"/>
      <w:numFmt w:val="bullet"/>
      <w:lvlText w:val="o"/>
      <w:lvlJc w:val="left"/>
      <w:pPr>
        <w:ind w:left="3960" w:hanging="360"/>
      </w:pPr>
      <w:rPr>
        <w:rFonts w:ascii="Courier New" w:hAnsi="Courier New" w:hint="default"/>
      </w:rPr>
    </w:lvl>
    <w:lvl w:ilvl="5" w:tplc="97367534">
      <w:start w:val="1"/>
      <w:numFmt w:val="bullet"/>
      <w:lvlText w:val=""/>
      <w:lvlJc w:val="left"/>
      <w:pPr>
        <w:ind w:left="4680" w:hanging="360"/>
      </w:pPr>
      <w:rPr>
        <w:rFonts w:ascii="Wingdings" w:hAnsi="Wingdings" w:hint="default"/>
      </w:rPr>
    </w:lvl>
    <w:lvl w:ilvl="6" w:tplc="D6B2076E">
      <w:start w:val="1"/>
      <w:numFmt w:val="bullet"/>
      <w:lvlText w:val=""/>
      <w:lvlJc w:val="left"/>
      <w:pPr>
        <w:ind w:left="5400" w:hanging="360"/>
      </w:pPr>
      <w:rPr>
        <w:rFonts w:ascii="Symbol" w:hAnsi="Symbol" w:hint="default"/>
      </w:rPr>
    </w:lvl>
    <w:lvl w:ilvl="7" w:tplc="55029548">
      <w:start w:val="1"/>
      <w:numFmt w:val="bullet"/>
      <w:lvlText w:val="o"/>
      <w:lvlJc w:val="left"/>
      <w:pPr>
        <w:ind w:left="6120" w:hanging="360"/>
      </w:pPr>
      <w:rPr>
        <w:rFonts w:ascii="Courier New" w:hAnsi="Courier New" w:hint="default"/>
      </w:rPr>
    </w:lvl>
    <w:lvl w:ilvl="8" w:tplc="86E0E0FE">
      <w:start w:val="1"/>
      <w:numFmt w:val="bullet"/>
      <w:lvlText w:val=""/>
      <w:lvlJc w:val="left"/>
      <w:pPr>
        <w:ind w:left="6840" w:hanging="360"/>
      </w:pPr>
      <w:rPr>
        <w:rFonts w:ascii="Wingdings" w:hAnsi="Wingdings" w:hint="default"/>
      </w:rPr>
    </w:lvl>
  </w:abstractNum>
  <w:abstractNum w:abstractNumId="5" w15:restartNumberingAfterBreak="0">
    <w:nsid w:val="12E76DB5"/>
    <w:multiLevelType w:val="hybridMultilevel"/>
    <w:tmpl w:val="5700279A"/>
    <w:lvl w:ilvl="0" w:tplc="4D62108C">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0431F2"/>
    <w:multiLevelType w:val="hybridMultilevel"/>
    <w:tmpl w:val="91B8C056"/>
    <w:lvl w:ilvl="0" w:tplc="4D62108C">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1E1E12"/>
    <w:multiLevelType w:val="hybridMultilevel"/>
    <w:tmpl w:val="F49C9B3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8" w15:restartNumberingAfterBreak="0">
    <w:nsid w:val="15E603D1"/>
    <w:multiLevelType w:val="hybridMultilevel"/>
    <w:tmpl w:val="A75AC36E"/>
    <w:lvl w:ilvl="0" w:tplc="DC34618E">
      <w:start w:val="1"/>
      <w:numFmt w:val="bullet"/>
      <w:lvlText w:val=""/>
      <w:lvlJc w:val="left"/>
      <w:pPr>
        <w:ind w:left="360" w:hanging="360"/>
      </w:pPr>
      <w:rPr>
        <w:rFonts w:ascii="Symbol" w:hAnsi="Symbol" w:hint="default"/>
      </w:rPr>
    </w:lvl>
    <w:lvl w:ilvl="1" w:tplc="F9DC09F8">
      <w:start w:val="1"/>
      <w:numFmt w:val="bullet"/>
      <w:lvlText w:val="o"/>
      <w:lvlJc w:val="left"/>
      <w:pPr>
        <w:ind w:left="1080" w:hanging="360"/>
      </w:pPr>
      <w:rPr>
        <w:rFonts w:ascii="Courier New" w:hAnsi="Courier New" w:hint="default"/>
      </w:rPr>
    </w:lvl>
    <w:lvl w:ilvl="2" w:tplc="C3CACDFC">
      <w:start w:val="1"/>
      <w:numFmt w:val="bullet"/>
      <w:lvlText w:val=""/>
      <w:lvlJc w:val="left"/>
      <w:pPr>
        <w:ind w:left="1800" w:hanging="360"/>
      </w:pPr>
      <w:rPr>
        <w:rFonts w:ascii="Wingdings" w:hAnsi="Wingdings" w:hint="default"/>
      </w:rPr>
    </w:lvl>
    <w:lvl w:ilvl="3" w:tplc="B2DAEBEC">
      <w:start w:val="1"/>
      <w:numFmt w:val="bullet"/>
      <w:lvlText w:val=""/>
      <w:lvlJc w:val="left"/>
      <w:pPr>
        <w:ind w:left="2520" w:hanging="360"/>
      </w:pPr>
      <w:rPr>
        <w:rFonts w:ascii="Symbol" w:hAnsi="Symbol" w:hint="default"/>
      </w:rPr>
    </w:lvl>
    <w:lvl w:ilvl="4" w:tplc="3C74C1F6">
      <w:start w:val="1"/>
      <w:numFmt w:val="bullet"/>
      <w:lvlText w:val="o"/>
      <w:lvlJc w:val="left"/>
      <w:pPr>
        <w:ind w:left="3240" w:hanging="360"/>
      </w:pPr>
      <w:rPr>
        <w:rFonts w:ascii="Courier New" w:hAnsi="Courier New" w:hint="default"/>
      </w:rPr>
    </w:lvl>
    <w:lvl w:ilvl="5" w:tplc="796CA1D2">
      <w:start w:val="1"/>
      <w:numFmt w:val="bullet"/>
      <w:lvlText w:val=""/>
      <w:lvlJc w:val="left"/>
      <w:pPr>
        <w:ind w:left="3960" w:hanging="360"/>
      </w:pPr>
      <w:rPr>
        <w:rFonts w:ascii="Wingdings" w:hAnsi="Wingdings" w:hint="default"/>
      </w:rPr>
    </w:lvl>
    <w:lvl w:ilvl="6" w:tplc="8E002EDE">
      <w:start w:val="1"/>
      <w:numFmt w:val="bullet"/>
      <w:lvlText w:val=""/>
      <w:lvlJc w:val="left"/>
      <w:pPr>
        <w:ind w:left="4680" w:hanging="360"/>
      </w:pPr>
      <w:rPr>
        <w:rFonts w:ascii="Symbol" w:hAnsi="Symbol" w:hint="default"/>
      </w:rPr>
    </w:lvl>
    <w:lvl w:ilvl="7" w:tplc="442CB36C">
      <w:start w:val="1"/>
      <w:numFmt w:val="bullet"/>
      <w:lvlText w:val="o"/>
      <w:lvlJc w:val="left"/>
      <w:pPr>
        <w:ind w:left="5400" w:hanging="360"/>
      </w:pPr>
      <w:rPr>
        <w:rFonts w:ascii="Courier New" w:hAnsi="Courier New" w:hint="default"/>
      </w:rPr>
    </w:lvl>
    <w:lvl w:ilvl="8" w:tplc="A9FC9D36">
      <w:start w:val="1"/>
      <w:numFmt w:val="bullet"/>
      <w:lvlText w:val=""/>
      <w:lvlJc w:val="left"/>
      <w:pPr>
        <w:ind w:left="6120" w:hanging="360"/>
      </w:pPr>
      <w:rPr>
        <w:rFonts w:ascii="Wingdings" w:hAnsi="Wingdings" w:hint="default"/>
      </w:rPr>
    </w:lvl>
  </w:abstractNum>
  <w:abstractNum w:abstractNumId="9" w15:restartNumberingAfterBreak="0">
    <w:nsid w:val="2183577A"/>
    <w:multiLevelType w:val="hybridMultilevel"/>
    <w:tmpl w:val="2F264E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4797BAF"/>
    <w:multiLevelType w:val="hybridMultilevel"/>
    <w:tmpl w:val="7A884A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AD15AC8"/>
    <w:multiLevelType w:val="hybridMultilevel"/>
    <w:tmpl w:val="E01C1C56"/>
    <w:lvl w:ilvl="0" w:tplc="4D62108C">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19A854"/>
    <w:multiLevelType w:val="hybridMultilevel"/>
    <w:tmpl w:val="6E7E55EE"/>
    <w:lvl w:ilvl="0" w:tplc="23BC3062">
      <w:start w:val="1"/>
      <w:numFmt w:val="bullet"/>
      <w:lvlText w:val=""/>
      <w:lvlJc w:val="left"/>
      <w:pPr>
        <w:ind w:left="720" w:hanging="360"/>
      </w:pPr>
      <w:rPr>
        <w:rFonts w:ascii="Symbol" w:hAnsi="Symbol" w:hint="default"/>
      </w:rPr>
    </w:lvl>
    <w:lvl w:ilvl="1" w:tplc="84C6303A">
      <w:start w:val="1"/>
      <w:numFmt w:val="bullet"/>
      <w:lvlText w:val="o"/>
      <w:lvlJc w:val="left"/>
      <w:pPr>
        <w:ind w:left="1440" w:hanging="360"/>
      </w:pPr>
      <w:rPr>
        <w:rFonts w:ascii="Courier New" w:hAnsi="Courier New" w:hint="default"/>
      </w:rPr>
    </w:lvl>
    <w:lvl w:ilvl="2" w:tplc="843453A6">
      <w:start w:val="1"/>
      <w:numFmt w:val="bullet"/>
      <w:lvlText w:val=""/>
      <w:lvlJc w:val="left"/>
      <w:pPr>
        <w:ind w:left="2160" w:hanging="360"/>
      </w:pPr>
      <w:rPr>
        <w:rFonts w:ascii="Wingdings" w:hAnsi="Wingdings" w:hint="default"/>
      </w:rPr>
    </w:lvl>
    <w:lvl w:ilvl="3" w:tplc="74C07C90">
      <w:start w:val="1"/>
      <w:numFmt w:val="bullet"/>
      <w:lvlText w:val=""/>
      <w:lvlJc w:val="left"/>
      <w:pPr>
        <w:ind w:left="2880" w:hanging="360"/>
      </w:pPr>
      <w:rPr>
        <w:rFonts w:ascii="Symbol" w:hAnsi="Symbol" w:hint="default"/>
      </w:rPr>
    </w:lvl>
    <w:lvl w:ilvl="4" w:tplc="3294D326">
      <w:start w:val="1"/>
      <w:numFmt w:val="bullet"/>
      <w:lvlText w:val="o"/>
      <w:lvlJc w:val="left"/>
      <w:pPr>
        <w:ind w:left="3600" w:hanging="360"/>
      </w:pPr>
      <w:rPr>
        <w:rFonts w:ascii="Courier New" w:hAnsi="Courier New" w:hint="default"/>
      </w:rPr>
    </w:lvl>
    <w:lvl w:ilvl="5" w:tplc="D112488E">
      <w:start w:val="1"/>
      <w:numFmt w:val="bullet"/>
      <w:lvlText w:val=""/>
      <w:lvlJc w:val="left"/>
      <w:pPr>
        <w:ind w:left="4320" w:hanging="360"/>
      </w:pPr>
      <w:rPr>
        <w:rFonts w:ascii="Wingdings" w:hAnsi="Wingdings" w:hint="default"/>
      </w:rPr>
    </w:lvl>
    <w:lvl w:ilvl="6" w:tplc="DB4441F0">
      <w:start w:val="1"/>
      <w:numFmt w:val="bullet"/>
      <w:lvlText w:val=""/>
      <w:lvlJc w:val="left"/>
      <w:pPr>
        <w:ind w:left="5040" w:hanging="360"/>
      </w:pPr>
      <w:rPr>
        <w:rFonts w:ascii="Symbol" w:hAnsi="Symbol" w:hint="default"/>
      </w:rPr>
    </w:lvl>
    <w:lvl w:ilvl="7" w:tplc="0F48856A">
      <w:start w:val="1"/>
      <w:numFmt w:val="bullet"/>
      <w:lvlText w:val="o"/>
      <w:lvlJc w:val="left"/>
      <w:pPr>
        <w:ind w:left="5760" w:hanging="360"/>
      </w:pPr>
      <w:rPr>
        <w:rFonts w:ascii="Courier New" w:hAnsi="Courier New" w:hint="default"/>
      </w:rPr>
    </w:lvl>
    <w:lvl w:ilvl="8" w:tplc="D80E16FC">
      <w:start w:val="1"/>
      <w:numFmt w:val="bullet"/>
      <w:lvlText w:val=""/>
      <w:lvlJc w:val="left"/>
      <w:pPr>
        <w:ind w:left="6480" w:hanging="360"/>
      </w:pPr>
      <w:rPr>
        <w:rFonts w:ascii="Wingdings" w:hAnsi="Wingdings" w:hint="default"/>
      </w:rPr>
    </w:lvl>
  </w:abstractNum>
  <w:abstractNum w:abstractNumId="13" w15:restartNumberingAfterBreak="0">
    <w:nsid w:val="3136F17C"/>
    <w:multiLevelType w:val="hybridMultilevel"/>
    <w:tmpl w:val="AB36A4AE"/>
    <w:lvl w:ilvl="0" w:tplc="45A67126">
      <w:start w:val="1"/>
      <w:numFmt w:val="bullet"/>
      <w:lvlText w:val="o"/>
      <w:lvlJc w:val="left"/>
      <w:pPr>
        <w:ind w:left="720" w:hanging="360"/>
      </w:pPr>
      <w:rPr>
        <w:rFonts w:ascii="Courier New" w:hAnsi="Courier New" w:hint="default"/>
      </w:rPr>
    </w:lvl>
    <w:lvl w:ilvl="1" w:tplc="3AD4630C">
      <w:start w:val="1"/>
      <w:numFmt w:val="bullet"/>
      <w:lvlText w:val="o"/>
      <w:lvlJc w:val="left"/>
      <w:pPr>
        <w:ind w:left="1440" w:hanging="360"/>
      </w:pPr>
      <w:rPr>
        <w:rFonts w:ascii="Courier New" w:hAnsi="Courier New" w:hint="default"/>
      </w:rPr>
    </w:lvl>
    <w:lvl w:ilvl="2" w:tplc="17E6186E">
      <w:start w:val="1"/>
      <w:numFmt w:val="bullet"/>
      <w:lvlText w:val=""/>
      <w:lvlJc w:val="left"/>
      <w:pPr>
        <w:ind w:left="2160" w:hanging="360"/>
      </w:pPr>
      <w:rPr>
        <w:rFonts w:ascii="Wingdings" w:hAnsi="Wingdings" w:hint="default"/>
      </w:rPr>
    </w:lvl>
    <w:lvl w:ilvl="3" w:tplc="AF806BEA">
      <w:start w:val="1"/>
      <w:numFmt w:val="bullet"/>
      <w:lvlText w:val=""/>
      <w:lvlJc w:val="left"/>
      <w:pPr>
        <w:ind w:left="2880" w:hanging="360"/>
      </w:pPr>
      <w:rPr>
        <w:rFonts w:ascii="Symbol" w:hAnsi="Symbol" w:hint="default"/>
      </w:rPr>
    </w:lvl>
    <w:lvl w:ilvl="4" w:tplc="84146CEE">
      <w:start w:val="1"/>
      <w:numFmt w:val="bullet"/>
      <w:lvlText w:val="o"/>
      <w:lvlJc w:val="left"/>
      <w:pPr>
        <w:ind w:left="3600" w:hanging="360"/>
      </w:pPr>
      <w:rPr>
        <w:rFonts w:ascii="Courier New" w:hAnsi="Courier New" w:hint="default"/>
      </w:rPr>
    </w:lvl>
    <w:lvl w:ilvl="5" w:tplc="3ECCA920">
      <w:start w:val="1"/>
      <w:numFmt w:val="bullet"/>
      <w:lvlText w:val=""/>
      <w:lvlJc w:val="left"/>
      <w:pPr>
        <w:ind w:left="4320" w:hanging="360"/>
      </w:pPr>
      <w:rPr>
        <w:rFonts w:ascii="Wingdings" w:hAnsi="Wingdings" w:hint="default"/>
      </w:rPr>
    </w:lvl>
    <w:lvl w:ilvl="6" w:tplc="E3DCE954">
      <w:start w:val="1"/>
      <w:numFmt w:val="bullet"/>
      <w:lvlText w:val=""/>
      <w:lvlJc w:val="left"/>
      <w:pPr>
        <w:ind w:left="5040" w:hanging="360"/>
      </w:pPr>
      <w:rPr>
        <w:rFonts w:ascii="Symbol" w:hAnsi="Symbol" w:hint="default"/>
      </w:rPr>
    </w:lvl>
    <w:lvl w:ilvl="7" w:tplc="B94AC502">
      <w:start w:val="1"/>
      <w:numFmt w:val="bullet"/>
      <w:lvlText w:val="o"/>
      <w:lvlJc w:val="left"/>
      <w:pPr>
        <w:ind w:left="5760" w:hanging="360"/>
      </w:pPr>
      <w:rPr>
        <w:rFonts w:ascii="Courier New" w:hAnsi="Courier New" w:hint="default"/>
      </w:rPr>
    </w:lvl>
    <w:lvl w:ilvl="8" w:tplc="8C9A65E2">
      <w:start w:val="1"/>
      <w:numFmt w:val="bullet"/>
      <w:lvlText w:val=""/>
      <w:lvlJc w:val="left"/>
      <w:pPr>
        <w:ind w:left="6480" w:hanging="360"/>
      </w:pPr>
      <w:rPr>
        <w:rFonts w:ascii="Wingdings" w:hAnsi="Wingdings" w:hint="default"/>
      </w:rPr>
    </w:lvl>
  </w:abstractNum>
  <w:abstractNum w:abstractNumId="14" w15:restartNumberingAfterBreak="0">
    <w:nsid w:val="33724A2B"/>
    <w:multiLevelType w:val="hybridMultilevel"/>
    <w:tmpl w:val="E7462AEA"/>
    <w:lvl w:ilvl="0" w:tplc="0C09000B">
      <w:start w:val="1"/>
      <w:numFmt w:val="bullet"/>
      <w:lvlText w:val=""/>
      <w:lvlJc w:val="left"/>
      <w:pPr>
        <w:ind w:left="1211" w:hanging="360"/>
      </w:pPr>
      <w:rPr>
        <w:rFonts w:ascii="Wingdings" w:hAnsi="Wingdings" w:hint="default"/>
      </w:rPr>
    </w:lvl>
    <w:lvl w:ilvl="1" w:tplc="0C090003" w:tentative="1">
      <w:start w:val="1"/>
      <w:numFmt w:val="bullet"/>
      <w:lvlText w:val="o"/>
      <w:lvlJc w:val="left"/>
      <w:pPr>
        <w:ind w:left="2292" w:hanging="360"/>
      </w:pPr>
      <w:rPr>
        <w:rFonts w:ascii="Courier New" w:hAnsi="Courier New" w:cs="Courier New" w:hint="default"/>
      </w:rPr>
    </w:lvl>
    <w:lvl w:ilvl="2" w:tplc="0C090005" w:tentative="1">
      <w:start w:val="1"/>
      <w:numFmt w:val="bullet"/>
      <w:lvlText w:val=""/>
      <w:lvlJc w:val="left"/>
      <w:pPr>
        <w:ind w:left="3012" w:hanging="360"/>
      </w:pPr>
      <w:rPr>
        <w:rFonts w:ascii="Wingdings" w:hAnsi="Wingdings" w:hint="default"/>
      </w:rPr>
    </w:lvl>
    <w:lvl w:ilvl="3" w:tplc="0C090001" w:tentative="1">
      <w:start w:val="1"/>
      <w:numFmt w:val="bullet"/>
      <w:lvlText w:val=""/>
      <w:lvlJc w:val="left"/>
      <w:pPr>
        <w:ind w:left="3732" w:hanging="360"/>
      </w:pPr>
      <w:rPr>
        <w:rFonts w:ascii="Symbol" w:hAnsi="Symbol" w:hint="default"/>
      </w:rPr>
    </w:lvl>
    <w:lvl w:ilvl="4" w:tplc="0C090003" w:tentative="1">
      <w:start w:val="1"/>
      <w:numFmt w:val="bullet"/>
      <w:lvlText w:val="o"/>
      <w:lvlJc w:val="left"/>
      <w:pPr>
        <w:ind w:left="4452" w:hanging="360"/>
      </w:pPr>
      <w:rPr>
        <w:rFonts w:ascii="Courier New" w:hAnsi="Courier New" w:cs="Courier New" w:hint="default"/>
      </w:rPr>
    </w:lvl>
    <w:lvl w:ilvl="5" w:tplc="0C090005" w:tentative="1">
      <w:start w:val="1"/>
      <w:numFmt w:val="bullet"/>
      <w:lvlText w:val=""/>
      <w:lvlJc w:val="left"/>
      <w:pPr>
        <w:ind w:left="5172" w:hanging="360"/>
      </w:pPr>
      <w:rPr>
        <w:rFonts w:ascii="Wingdings" w:hAnsi="Wingdings" w:hint="default"/>
      </w:rPr>
    </w:lvl>
    <w:lvl w:ilvl="6" w:tplc="0C090001" w:tentative="1">
      <w:start w:val="1"/>
      <w:numFmt w:val="bullet"/>
      <w:lvlText w:val=""/>
      <w:lvlJc w:val="left"/>
      <w:pPr>
        <w:ind w:left="5892" w:hanging="360"/>
      </w:pPr>
      <w:rPr>
        <w:rFonts w:ascii="Symbol" w:hAnsi="Symbol" w:hint="default"/>
      </w:rPr>
    </w:lvl>
    <w:lvl w:ilvl="7" w:tplc="0C090003" w:tentative="1">
      <w:start w:val="1"/>
      <w:numFmt w:val="bullet"/>
      <w:lvlText w:val="o"/>
      <w:lvlJc w:val="left"/>
      <w:pPr>
        <w:ind w:left="6612" w:hanging="360"/>
      </w:pPr>
      <w:rPr>
        <w:rFonts w:ascii="Courier New" w:hAnsi="Courier New" w:cs="Courier New" w:hint="default"/>
      </w:rPr>
    </w:lvl>
    <w:lvl w:ilvl="8" w:tplc="0C090005" w:tentative="1">
      <w:start w:val="1"/>
      <w:numFmt w:val="bullet"/>
      <w:lvlText w:val=""/>
      <w:lvlJc w:val="left"/>
      <w:pPr>
        <w:ind w:left="7332" w:hanging="360"/>
      </w:pPr>
      <w:rPr>
        <w:rFonts w:ascii="Wingdings" w:hAnsi="Wingdings" w:hint="default"/>
      </w:rPr>
    </w:lvl>
  </w:abstractNum>
  <w:abstractNum w:abstractNumId="15" w15:restartNumberingAfterBreak="0">
    <w:nsid w:val="35246FFD"/>
    <w:multiLevelType w:val="hybridMultilevel"/>
    <w:tmpl w:val="05BECE2C"/>
    <w:lvl w:ilvl="0" w:tplc="07BAD4B0">
      <w:numFmt w:val="bullet"/>
      <w:lvlText w:val=""/>
      <w:lvlJc w:val="left"/>
      <w:pPr>
        <w:ind w:left="927" w:hanging="360"/>
      </w:pPr>
      <w:rPr>
        <w:rFonts w:ascii="Symbol" w:eastAsia="Symbol" w:hAnsi="Symbol" w:cs="Symbol" w:hint="default"/>
        <w:w w:val="100"/>
        <w:sz w:val="24"/>
        <w:szCs w:val="24"/>
        <w:lang w:val="en-US" w:eastAsia="en-US" w:bidi="ar-SA"/>
      </w:rPr>
    </w:lvl>
    <w:lvl w:ilvl="1" w:tplc="252666D8">
      <w:numFmt w:val="bullet"/>
      <w:lvlText w:val=""/>
      <w:lvlJc w:val="left"/>
      <w:pPr>
        <w:ind w:left="1376" w:hanging="360"/>
      </w:pPr>
      <w:rPr>
        <w:rFonts w:ascii="Wingdings" w:eastAsia="Wingdings" w:hAnsi="Wingdings" w:cs="Wingdings" w:hint="default"/>
        <w:w w:val="100"/>
        <w:sz w:val="24"/>
        <w:szCs w:val="24"/>
        <w:lang w:val="en-US" w:eastAsia="en-US" w:bidi="ar-SA"/>
      </w:rPr>
    </w:lvl>
    <w:lvl w:ilvl="2" w:tplc="DA50C984">
      <w:numFmt w:val="bullet"/>
      <w:lvlText w:val="•"/>
      <w:lvlJc w:val="left"/>
      <w:pPr>
        <w:ind w:left="1376" w:hanging="360"/>
      </w:pPr>
      <w:rPr>
        <w:rFonts w:hint="default"/>
        <w:lang w:val="en-US" w:eastAsia="en-US" w:bidi="ar-SA"/>
      </w:rPr>
    </w:lvl>
    <w:lvl w:ilvl="3" w:tplc="80001752">
      <w:numFmt w:val="bullet"/>
      <w:lvlText w:val="•"/>
      <w:lvlJc w:val="left"/>
      <w:pPr>
        <w:ind w:left="2451" w:hanging="360"/>
      </w:pPr>
      <w:rPr>
        <w:rFonts w:hint="default"/>
        <w:lang w:val="en-US" w:eastAsia="en-US" w:bidi="ar-SA"/>
      </w:rPr>
    </w:lvl>
    <w:lvl w:ilvl="4" w:tplc="0798D0EC">
      <w:numFmt w:val="bullet"/>
      <w:lvlText w:val="•"/>
      <w:lvlJc w:val="left"/>
      <w:pPr>
        <w:ind w:left="3527" w:hanging="360"/>
      </w:pPr>
      <w:rPr>
        <w:rFonts w:hint="default"/>
        <w:lang w:val="en-US" w:eastAsia="en-US" w:bidi="ar-SA"/>
      </w:rPr>
    </w:lvl>
    <w:lvl w:ilvl="5" w:tplc="9D601B20">
      <w:numFmt w:val="bullet"/>
      <w:lvlText w:val="•"/>
      <w:lvlJc w:val="left"/>
      <w:pPr>
        <w:ind w:left="4603" w:hanging="360"/>
      </w:pPr>
      <w:rPr>
        <w:rFonts w:hint="default"/>
        <w:lang w:val="en-US" w:eastAsia="en-US" w:bidi="ar-SA"/>
      </w:rPr>
    </w:lvl>
    <w:lvl w:ilvl="6" w:tplc="237491CA">
      <w:numFmt w:val="bullet"/>
      <w:lvlText w:val="•"/>
      <w:lvlJc w:val="left"/>
      <w:pPr>
        <w:ind w:left="5679" w:hanging="360"/>
      </w:pPr>
      <w:rPr>
        <w:rFonts w:hint="default"/>
        <w:lang w:val="en-US" w:eastAsia="en-US" w:bidi="ar-SA"/>
      </w:rPr>
    </w:lvl>
    <w:lvl w:ilvl="7" w:tplc="65F61712">
      <w:numFmt w:val="bullet"/>
      <w:lvlText w:val="•"/>
      <w:lvlJc w:val="left"/>
      <w:pPr>
        <w:ind w:left="6755" w:hanging="360"/>
      </w:pPr>
      <w:rPr>
        <w:rFonts w:hint="default"/>
        <w:lang w:val="en-US" w:eastAsia="en-US" w:bidi="ar-SA"/>
      </w:rPr>
    </w:lvl>
    <w:lvl w:ilvl="8" w:tplc="887EB8AE">
      <w:numFmt w:val="bullet"/>
      <w:lvlText w:val="•"/>
      <w:lvlJc w:val="left"/>
      <w:pPr>
        <w:ind w:left="7830" w:hanging="360"/>
      </w:pPr>
      <w:rPr>
        <w:rFonts w:hint="default"/>
        <w:lang w:val="en-US" w:eastAsia="en-US" w:bidi="ar-SA"/>
      </w:rPr>
    </w:lvl>
  </w:abstractNum>
  <w:abstractNum w:abstractNumId="16" w15:restartNumberingAfterBreak="0">
    <w:nsid w:val="389F5ECD"/>
    <w:multiLevelType w:val="hybridMultilevel"/>
    <w:tmpl w:val="97A8B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49F4600"/>
    <w:multiLevelType w:val="hybridMultilevel"/>
    <w:tmpl w:val="E076BB2E"/>
    <w:lvl w:ilvl="0" w:tplc="0C090003">
      <w:start w:val="1"/>
      <w:numFmt w:val="bullet"/>
      <w:lvlText w:val="o"/>
      <w:lvlJc w:val="left"/>
      <w:pPr>
        <w:ind w:left="785"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8" w15:restartNumberingAfterBreak="0">
    <w:nsid w:val="47FB34EC"/>
    <w:multiLevelType w:val="hybridMultilevel"/>
    <w:tmpl w:val="BEAC43EE"/>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4D47615F"/>
    <w:multiLevelType w:val="hybridMultilevel"/>
    <w:tmpl w:val="70503F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2258CD"/>
    <w:multiLevelType w:val="hybridMultilevel"/>
    <w:tmpl w:val="E208DB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B307D24"/>
    <w:multiLevelType w:val="hybridMultilevel"/>
    <w:tmpl w:val="7046C0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E177162"/>
    <w:multiLevelType w:val="hybridMultilevel"/>
    <w:tmpl w:val="B5F867FE"/>
    <w:lvl w:ilvl="0" w:tplc="4D62108C">
      <w:numFmt w:val="bullet"/>
      <w:lvlText w:val="•"/>
      <w:lvlJc w:val="left"/>
      <w:pPr>
        <w:ind w:left="502"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14C2BA"/>
    <w:multiLevelType w:val="hybridMultilevel"/>
    <w:tmpl w:val="324877BA"/>
    <w:lvl w:ilvl="0" w:tplc="AFF60656">
      <w:start w:val="1"/>
      <w:numFmt w:val="bullet"/>
      <w:lvlText w:val=""/>
      <w:lvlJc w:val="left"/>
      <w:pPr>
        <w:ind w:left="360" w:hanging="360"/>
      </w:pPr>
      <w:rPr>
        <w:rFonts w:ascii="Symbol" w:hAnsi="Symbol" w:hint="default"/>
      </w:rPr>
    </w:lvl>
    <w:lvl w:ilvl="1" w:tplc="89CE2138">
      <w:start w:val="1"/>
      <w:numFmt w:val="bullet"/>
      <w:lvlText w:val="o"/>
      <w:lvlJc w:val="left"/>
      <w:pPr>
        <w:ind w:left="1080" w:hanging="360"/>
      </w:pPr>
      <w:rPr>
        <w:rFonts w:ascii="Courier New" w:hAnsi="Courier New" w:hint="default"/>
      </w:rPr>
    </w:lvl>
    <w:lvl w:ilvl="2" w:tplc="EB3A998A">
      <w:start w:val="1"/>
      <w:numFmt w:val="bullet"/>
      <w:lvlText w:val=""/>
      <w:lvlJc w:val="left"/>
      <w:pPr>
        <w:ind w:left="1800" w:hanging="360"/>
      </w:pPr>
      <w:rPr>
        <w:rFonts w:ascii="Wingdings" w:hAnsi="Wingdings" w:hint="default"/>
      </w:rPr>
    </w:lvl>
    <w:lvl w:ilvl="3" w:tplc="AC248A08">
      <w:start w:val="1"/>
      <w:numFmt w:val="bullet"/>
      <w:lvlText w:val=""/>
      <w:lvlJc w:val="left"/>
      <w:pPr>
        <w:ind w:left="2520" w:hanging="360"/>
      </w:pPr>
      <w:rPr>
        <w:rFonts w:ascii="Symbol" w:hAnsi="Symbol" w:hint="default"/>
      </w:rPr>
    </w:lvl>
    <w:lvl w:ilvl="4" w:tplc="F9C001CE">
      <w:start w:val="1"/>
      <w:numFmt w:val="bullet"/>
      <w:lvlText w:val="o"/>
      <w:lvlJc w:val="left"/>
      <w:pPr>
        <w:ind w:left="3240" w:hanging="360"/>
      </w:pPr>
      <w:rPr>
        <w:rFonts w:ascii="Courier New" w:hAnsi="Courier New" w:hint="default"/>
      </w:rPr>
    </w:lvl>
    <w:lvl w:ilvl="5" w:tplc="7B06FE64">
      <w:start w:val="1"/>
      <w:numFmt w:val="bullet"/>
      <w:lvlText w:val=""/>
      <w:lvlJc w:val="left"/>
      <w:pPr>
        <w:ind w:left="3960" w:hanging="360"/>
      </w:pPr>
      <w:rPr>
        <w:rFonts w:ascii="Wingdings" w:hAnsi="Wingdings" w:hint="default"/>
      </w:rPr>
    </w:lvl>
    <w:lvl w:ilvl="6" w:tplc="F58225FA">
      <w:start w:val="1"/>
      <w:numFmt w:val="bullet"/>
      <w:lvlText w:val=""/>
      <w:lvlJc w:val="left"/>
      <w:pPr>
        <w:ind w:left="4680" w:hanging="360"/>
      </w:pPr>
      <w:rPr>
        <w:rFonts w:ascii="Symbol" w:hAnsi="Symbol" w:hint="default"/>
      </w:rPr>
    </w:lvl>
    <w:lvl w:ilvl="7" w:tplc="66F08CC0">
      <w:start w:val="1"/>
      <w:numFmt w:val="bullet"/>
      <w:lvlText w:val="o"/>
      <w:lvlJc w:val="left"/>
      <w:pPr>
        <w:ind w:left="5400" w:hanging="360"/>
      </w:pPr>
      <w:rPr>
        <w:rFonts w:ascii="Courier New" w:hAnsi="Courier New" w:hint="default"/>
      </w:rPr>
    </w:lvl>
    <w:lvl w:ilvl="8" w:tplc="2E6428B6">
      <w:start w:val="1"/>
      <w:numFmt w:val="bullet"/>
      <w:lvlText w:val=""/>
      <w:lvlJc w:val="left"/>
      <w:pPr>
        <w:ind w:left="6120" w:hanging="360"/>
      </w:pPr>
      <w:rPr>
        <w:rFonts w:ascii="Wingdings" w:hAnsi="Wingdings" w:hint="default"/>
      </w:rPr>
    </w:lvl>
  </w:abstractNum>
  <w:abstractNum w:abstractNumId="24" w15:restartNumberingAfterBreak="0">
    <w:nsid w:val="65DDE922"/>
    <w:multiLevelType w:val="hybridMultilevel"/>
    <w:tmpl w:val="DD243B76"/>
    <w:lvl w:ilvl="0" w:tplc="90686386">
      <w:start w:val="1"/>
      <w:numFmt w:val="bullet"/>
      <w:lvlText w:val="o"/>
      <w:lvlJc w:val="left"/>
      <w:pPr>
        <w:ind w:left="1080" w:hanging="360"/>
      </w:pPr>
      <w:rPr>
        <w:rFonts w:ascii="Courier New" w:hAnsi="Courier New" w:hint="default"/>
      </w:rPr>
    </w:lvl>
    <w:lvl w:ilvl="1" w:tplc="77986A34">
      <w:start w:val="1"/>
      <w:numFmt w:val="bullet"/>
      <w:lvlText w:val="o"/>
      <w:lvlJc w:val="left"/>
      <w:pPr>
        <w:ind w:left="1800" w:hanging="360"/>
      </w:pPr>
      <w:rPr>
        <w:rFonts w:ascii="Courier New" w:hAnsi="Courier New" w:hint="default"/>
      </w:rPr>
    </w:lvl>
    <w:lvl w:ilvl="2" w:tplc="AFDC33F8">
      <w:start w:val="1"/>
      <w:numFmt w:val="bullet"/>
      <w:lvlText w:val=""/>
      <w:lvlJc w:val="left"/>
      <w:pPr>
        <w:ind w:left="2520" w:hanging="360"/>
      </w:pPr>
      <w:rPr>
        <w:rFonts w:ascii="Wingdings" w:hAnsi="Wingdings" w:hint="default"/>
      </w:rPr>
    </w:lvl>
    <w:lvl w:ilvl="3" w:tplc="3E56FC0C">
      <w:start w:val="1"/>
      <w:numFmt w:val="bullet"/>
      <w:lvlText w:val=""/>
      <w:lvlJc w:val="left"/>
      <w:pPr>
        <w:ind w:left="3240" w:hanging="360"/>
      </w:pPr>
      <w:rPr>
        <w:rFonts w:ascii="Symbol" w:hAnsi="Symbol" w:hint="default"/>
      </w:rPr>
    </w:lvl>
    <w:lvl w:ilvl="4" w:tplc="DD24354E">
      <w:start w:val="1"/>
      <w:numFmt w:val="bullet"/>
      <w:lvlText w:val="o"/>
      <w:lvlJc w:val="left"/>
      <w:pPr>
        <w:ind w:left="3960" w:hanging="360"/>
      </w:pPr>
      <w:rPr>
        <w:rFonts w:ascii="Courier New" w:hAnsi="Courier New" w:hint="default"/>
      </w:rPr>
    </w:lvl>
    <w:lvl w:ilvl="5" w:tplc="3DA2E956">
      <w:start w:val="1"/>
      <w:numFmt w:val="bullet"/>
      <w:lvlText w:val=""/>
      <w:lvlJc w:val="left"/>
      <w:pPr>
        <w:ind w:left="4680" w:hanging="360"/>
      </w:pPr>
      <w:rPr>
        <w:rFonts w:ascii="Wingdings" w:hAnsi="Wingdings" w:hint="default"/>
      </w:rPr>
    </w:lvl>
    <w:lvl w:ilvl="6" w:tplc="34D087E2">
      <w:start w:val="1"/>
      <w:numFmt w:val="bullet"/>
      <w:lvlText w:val=""/>
      <w:lvlJc w:val="left"/>
      <w:pPr>
        <w:ind w:left="5400" w:hanging="360"/>
      </w:pPr>
      <w:rPr>
        <w:rFonts w:ascii="Symbol" w:hAnsi="Symbol" w:hint="default"/>
      </w:rPr>
    </w:lvl>
    <w:lvl w:ilvl="7" w:tplc="62C0D3C2">
      <w:start w:val="1"/>
      <w:numFmt w:val="bullet"/>
      <w:lvlText w:val="o"/>
      <w:lvlJc w:val="left"/>
      <w:pPr>
        <w:ind w:left="6120" w:hanging="360"/>
      </w:pPr>
      <w:rPr>
        <w:rFonts w:ascii="Courier New" w:hAnsi="Courier New" w:hint="default"/>
      </w:rPr>
    </w:lvl>
    <w:lvl w:ilvl="8" w:tplc="47028FBC">
      <w:start w:val="1"/>
      <w:numFmt w:val="bullet"/>
      <w:lvlText w:val=""/>
      <w:lvlJc w:val="left"/>
      <w:pPr>
        <w:ind w:left="6840" w:hanging="360"/>
      </w:pPr>
      <w:rPr>
        <w:rFonts w:ascii="Wingdings" w:hAnsi="Wingdings" w:hint="default"/>
      </w:rPr>
    </w:lvl>
  </w:abstractNum>
  <w:abstractNum w:abstractNumId="25" w15:restartNumberingAfterBreak="0">
    <w:nsid w:val="662A1464"/>
    <w:multiLevelType w:val="hybridMultilevel"/>
    <w:tmpl w:val="96E2CEAC"/>
    <w:lvl w:ilvl="0" w:tplc="4D62108C">
      <w:numFmt w:val="bullet"/>
      <w:lvlText w:val="•"/>
      <w:lvlJc w:val="left"/>
      <w:pPr>
        <w:ind w:left="360" w:hanging="360"/>
      </w:pPr>
      <w:rPr>
        <w:rFonts w:hint="default"/>
        <w:lang w:val="en-US" w:eastAsia="en-US" w:bidi="ar-SA"/>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7075778"/>
    <w:multiLevelType w:val="hybridMultilevel"/>
    <w:tmpl w:val="53DA5548"/>
    <w:lvl w:ilvl="0" w:tplc="3E0A8410">
      <w:start w:val="1"/>
      <w:numFmt w:val="bullet"/>
      <w:lvlText w:val=""/>
      <w:lvlJc w:val="left"/>
      <w:pPr>
        <w:ind w:left="720" w:hanging="360"/>
      </w:pPr>
      <w:rPr>
        <w:rFonts w:ascii="Symbol" w:hAnsi="Symbol" w:hint="default"/>
      </w:rPr>
    </w:lvl>
    <w:lvl w:ilvl="1" w:tplc="BB486224">
      <w:start w:val="1"/>
      <w:numFmt w:val="bullet"/>
      <w:lvlText w:val="o"/>
      <w:lvlJc w:val="left"/>
      <w:pPr>
        <w:ind w:left="1440" w:hanging="360"/>
      </w:pPr>
      <w:rPr>
        <w:rFonts w:ascii="Courier New" w:hAnsi="Courier New" w:hint="default"/>
      </w:rPr>
    </w:lvl>
    <w:lvl w:ilvl="2" w:tplc="97401D00">
      <w:start w:val="1"/>
      <w:numFmt w:val="bullet"/>
      <w:lvlText w:val=""/>
      <w:lvlJc w:val="left"/>
      <w:pPr>
        <w:ind w:left="2160" w:hanging="360"/>
      </w:pPr>
      <w:rPr>
        <w:rFonts w:ascii="Wingdings" w:hAnsi="Wingdings" w:hint="default"/>
      </w:rPr>
    </w:lvl>
    <w:lvl w:ilvl="3" w:tplc="EACAEA56">
      <w:start w:val="1"/>
      <w:numFmt w:val="bullet"/>
      <w:lvlText w:val=""/>
      <w:lvlJc w:val="left"/>
      <w:pPr>
        <w:ind w:left="2880" w:hanging="360"/>
      </w:pPr>
      <w:rPr>
        <w:rFonts w:ascii="Symbol" w:hAnsi="Symbol" w:hint="default"/>
      </w:rPr>
    </w:lvl>
    <w:lvl w:ilvl="4" w:tplc="7370FC82">
      <w:start w:val="1"/>
      <w:numFmt w:val="bullet"/>
      <w:lvlText w:val="o"/>
      <w:lvlJc w:val="left"/>
      <w:pPr>
        <w:ind w:left="3600" w:hanging="360"/>
      </w:pPr>
      <w:rPr>
        <w:rFonts w:ascii="Courier New" w:hAnsi="Courier New" w:hint="default"/>
      </w:rPr>
    </w:lvl>
    <w:lvl w:ilvl="5" w:tplc="B4EC487C">
      <w:start w:val="1"/>
      <w:numFmt w:val="bullet"/>
      <w:lvlText w:val=""/>
      <w:lvlJc w:val="left"/>
      <w:pPr>
        <w:ind w:left="4320" w:hanging="360"/>
      </w:pPr>
      <w:rPr>
        <w:rFonts w:ascii="Wingdings" w:hAnsi="Wingdings" w:hint="default"/>
      </w:rPr>
    </w:lvl>
    <w:lvl w:ilvl="6" w:tplc="37426BD8">
      <w:start w:val="1"/>
      <w:numFmt w:val="bullet"/>
      <w:lvlText w:val=""/>
      <w:lvlJc w:val="left"/>
      <w:pPr>
        <w:ind w:left="5040" w:hanging="360"/>
      </w:pPr>
      <w:rPr>
        <w:rFonts w:ascii="Symbol" w:hAnsi="Symbol" w:hint="default"/>
      </w:rPr>
    </w:lvl>
    <w:lvl w:ilvl="7" w:tplc="9E70B114">
      <w:start w:val="1"/>
      <w:numFmt w:val="bullet"/>
      <w:lvlText w:val="o"/>
      <w:lvlJc w:val="left"/>
      <w:pPr>
        <w:ind w:left="5760" w:hanging="360"/>
      </w:pPr>
      <w:rPr>
        <w:rFonts w:ascii="Courier New" w:hAnsi="Courier New" w:hint="default"/>
      </w:rPr>
    </w:lvl>
    <w:lvl w:ilvl="8" w:tplc="E12262A8">
      <w:start w:val="1"/>
      <w:numFmt w:val="bullet"/>
      <w:lvlText w:val=""/>
      <w:lvlJc w:val="left"/>
      <w:pPr>
        <w:ind w:left="6480" w:hanging="360"/>
      </w:pPr>
      <w:rPr>
        <w:rFonts w:ascii="Wingdings" w:hAnsi="Wingdings" w:hint="default"/>
      </w:rPr>
    </w:lvl>
  </w:abstractNum>
  <w:abstractNum w:abstractNumId="27" w15:restartNumberingAfterBreak="0">
    <w:nsid w:val="6A028F1D"/>
    <w:multiLevelType w:val="hybridMultilevel"/>
    <w:tmpl w:val="9DD6C502"/>
    <w:lvl w:ilvl="0" w:tplc="6F441848">
      <w:start w:val="1"/>
      <w:numFmt w:val="bullet"/>
      <w:lvlText w:val=""/>
      <w:lvlJc w:val="left"/>
      <w:pPr>
        <w:ind w:left="1080" w:hanging="360"/>
      </w:pPr>
      <w:rPr>
        <w:rFonts w:ascii="Symbol" w:hAnsi="Symbol" w:hint="default"/>
      </w:rPr>
    </w:lvl>
    <w:lvl w:ilvl="1" w:tplc="E378165A">
      <w:start w:val="1"/>
      <w:numFmt w:val="bullet"/>
      <w:lvlText w:val="o"/>
      <w:lvlJc w:val="left"/>
      <w:pPr>
        <w:ind w:left="1800" w:hanging="360"/>
      </w:pPr>
      <w:rPr>
        <w:rFonts w:ascii="Courier New" w:hAnsi="Courier New" w:hint="default"/>
      </w:rPr>
    </w:lvl>
    <w:lvl w:ilvl="2" w:tplc="DA4AFA72">
      <w:start w:val="1"/>
      <w:numFmt w:val="bullet"/>
      <w:lvlText w:val=""/>
      <w:lvlJc w:val="left"/>
      <w:pPr>
        <w:ind w:left="2520" w:hanging="360"/>
      </w:pPr>
      <w:rPr>
        <w:rFonts w:ascii="Wingdings" w:hAnsi="Wingdings" w:hint="default"/>
      </w:rPr>
    </w:lvl>
    <w:lvl w:ilvl="3" w:tplc="964A20B8">
      <w:start w:val="1"/>
      <w:numFmt w:val="bullet"/>
      <w:lvlText w:val=""/>
      <w:lvlJc w:val="left"/>
      <w:pPr>
        <w:ind w:left="3240" w:hanging="360"/>
      </w:pPr>
      <w:rPr>
        <w:rFonts w:ascii="Symbol" w:hAnsi="Symbol" w:hint="default"/>
      </w:rPr>
    </w:lvl>
    <w:lvl w:ilvl="4" w:tplc="910E537C">
      <w:start w:val="1"/>
      <w:numFmt w:val="bullet"/>
      <w:lvlText w:val="o"/>
      <w:lvlJc w:val="left"/>
      <w:pPr>
        <w:ind w:left="3960" w:hanging="360"/>
      </w:pPr>
      <w:rPr>
        <w:rFonts w:ascii="Courier New" w:hAnsi="Courier New" w:hint="default"/>
      </w:rPr>
    </w:lvl>
    <w:lvl w:ilvl="5" w:tplc="1996FB98">
      <w:start w:val="1"/>
      <w:numFmt w:val="bullet"/>
      <w:lvlText w:val=""/>
      <w:lvlJc w:val="left"/>
      <w:pPr>
        <w:ind w:left="4680" w:hanging="360"/>
      </w:pPr>
      <w:rPr>
        <w:rFonts w:ascii="Wingdings" w:hAnsi="Wingdings" w:hint="default"/>
      </w:rPr>
    </w:lvl>
    <w:lvl w:ilvl="6" w:tplc="9B743680">
      <w:start w:val="1"/>
      <w:numFmt w:val="bullet"/>
      <w:lvlText w:val=""/>
      <w:lvlJc w:val="left"/>
      <w:pPr>
        <w:ind w:left="5400" w:hanging="360"/>
      </w:pPr>
      <w:rPr>
        <w:rFonts w:ascii="Symbol" w:hAnsi="Symbol" w:hint="default"/>
      </w:rPr>
    </w:lvl>
    <w:lvl w:ilvl="7" w:tplc="5C84AC9E">
      <w:start w:val="1"/>
      <w:numFmt w:val="bullet"/>
      <w:lvlText w:val="o"/>
      <w:lvlJc w:val="left"/>
      <w:pPr>
        <w:ind w:left="6120" w:hanging="360"/>
      </w:pPr>
      <w:rPr>
        <w:rFonts w:ascii="Courier New" w:hAnsi="Courier New" w:hint="default"/>
      </w:rPr>
    </w:lvl>
    <w:lvl w:ilvl="8" w:tplc="99D4E23E">
      <w:start w:val="1"/>
      <w:numFmt w:val="bullet"/>
      <w:lvlText w:val=""/>
      <w:lvlJc w:val="left"/>
      <w:pPr>
        <w:ind w:left="6840" w:hanging="360"/>
      </w:pPr>
      <w:rPr>
        <w:rFonts w:ascii="Wingdings" w:hAnsi="Wingdings" w:hint="default"/>
      </w:rPr>
    </w:lvl>
  </w:abstractNum>
  <w:abstractNum w:abstractNumId="28" w15:restartNumberingAfterBreak="0">
    <w:nsid w:val="6AAE55C8"/>
    <w:multiLevelType w:val="hybridMultilevel"/>
    <w:tmpl w:val="9476F306"/>
    <w:lvl w:ilvl="0" w:tplc="4D62108C">
      <w:numFmt w:val="bullet"/>
      <w:lvlText w:val="•"/>
      <w:lvlJc w:val="left"/>
      <w:pPr>
        <w:ind w:left="643" w:hanging="360"/>
      </w:pPr>
      <w:rPr>
        <w:rFonts w:hint="default"/>
        <w:lang w:val="en-US" w:eastAsia="en-US" w:bidi="ar-SA"/>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29" w15:restartNumberingAfterBreak="0">
    <w:nsid w:val="6BF8DBDE"/>
    <w:multiLevelType w:val="hybridMultilevel"/>
    <w:tmpl w:val="70862FE4"/>
    <w:lvl w:ilvl="0" w:tplc="853497A6">
      <w:start w:val="1"/>
      <w:numFmt w:val="bullet"/>
      <w:lvlText w:val=""/>
      <w:lvlJc w:val="left"/>
      <w:pPr>
        <w:ind w:left="360" w:hanging="360"/>
      </w:pPr>
      <w:rPr>
        <w:rFonts w:ascii="Symbol" w:hAnsi="Symbol" w:hint="default"/>
      </w:rPr>
    </w:lvl>
    <w:lvl w:ilvl="1" w:tplc="641CFA46">
      <w:start w:val="1"/>
      <w:numFmt w:val="bullet"/>
      <w:lvlText w:val="o"/>
      <w:lvlJc w:val="left"/>
      <w:pPr>
        <w:ind w:left="1080" w:hanging="360"/>
      </w:pPr>
      <w:rPr>
        <w:rFonts w:ascii="Courier New" w:hAnsi="Courier New" w:hint="default"/>
      </w:rPr>
    </w:lvl>
    <w:lvl w:ilvl="2" w:tplc="FAE27DA4">
      <w:start w:val="1"/>
      <w:numFmt w:val="bullet"/>
      <w:lvlText w:val=""/>
      <w:lvlJc w:val="left"/>
      <w:pPr>
        <w:ind w:left="1800" w:hanging="360"/>
      </w:pPr>
      <w:rPr>
        <w:rFonts w:ascii="Wingdings" w:hAnsi="Wingdings" w:hint="default"/>
      </w:rPr>
    </w:lvl>
    <w:lvl w:ilvl="3" w:tplc="8B5E1232">
      <w:start w:val="1"/>
      <w:numFmt w:val="bullet"/>
      <w:lvlText w:val=""/>
      <w:lvlJc w:val="left"/>
      <w:pPr>
        <w:ind w:left="2520" w:hanging="360"/>
      </w:pPr>
      <w:rPr>
        <w:rFonts w:ascii="Symbol" w:hAnsi="Symbol" w:hint="default"/>
      </w:rPr>
    </w:lvl>
    <w:lvl w:ilvl="4" w:tplc="8C5C38EE">
      <w:start w:val="1"/>
      <w:numFmt w:val="bullet"/>
      <w:lvlText w:val="o"/>
      <w:lvlJc w:val="left"/>
      <w:pPr>
        <w:ind w:left="3240" w:hanging="360"/>
      </w:pPr>
      <w:rPr>
        <w:rFonts w:ascii="Courier New" w:hAnsi="Courier New" w:hint="default"/>
      </w:rPr>
    </w:lvl>
    <w:lvl w:ilvl="5" w:tplc="6F360144">
      <w:start w:val="1"/>
      <w:numFmt w:val="bullet"/>
      <w:lvlText w:val=""/>
      <w:lvlJc w:val="left"/>
      <w:pPr>
        <w:ind w:left="3960" w:hanging="360"/>
      </w:pPr>
      <w:rPr>
        <w:rFonts w:ascii="Wingdings" w:hAnsi="Wingdings" w:hint="default"/>
      </w:rPr>
    </w:lvl>
    <w:lvl w:ilvl="6" w:tplc="CBC2644E">
      <w:start w:val="1"/>
      <w:numFmt w:val="bullet"/>
      <w:lvlText w:val=""/>
      <w:lvlJc w:val="left"/>
      <w:pPr>
        <w:ind w:left="4680" w:hanging="360"/>
      </w:pPr>
      <w:rPr>
        <w:rFonts w:ascii="Symbol" w:hAnsi="Symbol" w:hint="default"/>
      </w:rPr>
    </w:lvl>
    <w:lvl w:ilvl="7" w:tplc="978A139C">
      <w:start w:val="1"/>
      <w:numFmt w:val="bullet"/>
      <w:lvlText w:val="o"/>
      <w:lvlJc w:val="left"/>
      <w:pPr>
        <w:ind w:left="5400" w:hanging="360"/>
      </w:pPr>
      <w:rPr>
        <w:rFonts w:ascii="Courier New" w:hAnsi="Courier New" w:hint="default"/>
      </w:rPr>
    </w:lvl>
    <w:lvl w:ilvl="8" w:tplc="9CBC4190">
      <w:start w:val="1"/>
      <w:numFmt w:val="bullet"/>
      <w:lvlText w:val=""/>
      <w:lvlJc w:val="left"/>
      <w:pPr>
        <w:ind w:left="6120" w:hanging="360"/>
      </w:pPr>
      <w:rPr>
        <w:rFonts w:ascii="Wingdings" w:hAnsi="Wingdings" w:hint="default"/>
      </w:rPr>
    </w:lvl>
  </w:abstractNum>
  <w:abstractNum w:abstractNumId="30" w15:restartNumberingAfterBreak="0">
    <w:nsid w:val="74CEBE3E"/>
    <w:multiLevelType w:val="hybridMultilevel"/>
    <w:tmpl w:val="E4E260A8"/>
    <w:lvl w:ilvl="0" w:tplc="9D52F73E">
      <w:start w:val="1"/>
      <w:numFmt w:val="bullet"/>
      <w:lvlText w:val=""/>
      <w:lvlJc w:val="left"/>
      <w:pPr>
        <w:ind w:left="720" w:hanging="360"/>
      </w:pPr>
      <w:rPr>
        <w:rFonts w:ascii="Symbol" w:hAnsi="Symbol" w:hint="default"/>
      </w:rPr>
    </w:lvl>
    <w:lvl w:ilvl="1" w:tplc="879CCF64">
      <w:start w:val="1"/>
      <w:numFmt w:val="bullet"/>
      <w:lvlText w:val="o"/>
      <w:lvlJc w:val="left"/>
      <w:pPr>
        <w:ind w:left="1440" w:hanging="360"/>
      </w:pPr>
      <w:rPr>
        <w:rFonts w:ascii="Courier New" w:hAnsi="Courier New" w:hint="default"/>
      </w:rPr>
    </w:lvl>
    <w:lvl w:ilvl="2" w:tplc="B678D258">
      <w:start w:val="1"/>
      <w:numFmt w:val="bullet"/>
      <w:lvlText w:val=""/>
      <w:lvlJc w:val="left"/>
      <w:pPr>
        <w:ind w:left="2160" w:hanging="360"/>
      </w:pPr>
      <w:rPr>
        <w:rFonts w:ascii="Wingdings" w:hAnsi="Wingdings" w:hint="default"/>
      </w:rPr>
    </w:lvl>
    <w:lvl w:ilvl="3" w:tplc="26EEF140">
      <w:start w:val="1"/>
      <w:numFmt w:val="bullet"/>
      <w:lvlText w:val=""/>
      <w:lvlJc w:val="left"/>
      <w:pPr>
        <w:ind w:left="2880" w:hanging="360"/>
      </w:pPr>
      <w:rPr>
        <w:rFonts w:ascii="Symbol" w:hAnsi="Symbol" w:hint="default"/>
      </w:rPr>
    </w:lvl>
    <w:lvl w:ilvl="4" w:tplc="B60436CC">
      <w:start w:val="1"/>
      <w:numFmt w:val="bullet"/>
      <w:lvlText w:val="o"/>
      <w:lvlJc w:val="left"/>
      <w:pPr>
        <w:ind w:left="3600" w:hanging="360"/>
      </w:pPr>
      <w:rPr>
        <w:rFonts w:ascii="Courier New" w:hAnsi="Courier New" w:hint="default"/>
      </w:rPr>
    </w:lvl>
    <w:lvl w:ilvl="5" w:tplc="B1FC7C84">
      <w:start w:val="1"/>
      <w:numFmt w:val="bullet"/>
      <w:lvlText w:val=""/>
      <w:lvlJc w:val="left"/>
      <w:pPr>
        <w:ind w:left="4320" w:hanging="360"/>
      </w:pPr>
      <w:rPr>
        <w:rFonts w:ascii="Wingdings" w:hAnsi="Wingdings" w:hint="default"/>
      </w:rPr>
    </w:lvl>
    <w:lvl w:ilvl="6" w:tplc="37E48980">
      <w:start w:val="1"/>
      <w:numFmt w:val="bullet"/>
      <w:lvlText w:val=""/>
      <w:lvlJc w:val="left"/>
      <w:pPr>
        <w:ind w:left="5040" w:hanging="360"/>
      </w:pPr>
      <w:rPr>
        <w:rFonts w:ascii="Symbol" w:hAnsi="Symbol" w:hint="default"/>
      </w:rPr>
    </w:lvl>
    <w:lvl w:ilvl="7" w:tplc="53A8AB96">
      <w:start w:val="1"/>
      <w:numFmt w:val="bullet"/>
      <w:lvlText w:val="o"/>
      <w:lvlJc w:val="left"/>
      <w:pPr>
        <w:ind w:left="5760" w:hanging="360"/>
      </w:pPr>
      <w:rPr>
        <w:rFonts w:ascii="Courier New" w:hAnsi="Courier New" w:hint="default"/>
      </w:rPr>
    </w:lvl>
    <w:lvl w:ilvl="8" w:tplc="18AA8EC2">
      <w:start w:val="1"/>
      <w:numFmt w:val="bullet"/>
      <w:lvlText w:val=""/>
      <w:lvlJc w:val="left"/>
      <w:pPr>
        <w:ind w:left="6480" w:hanging="360"/>
      </w:pPr>
      <w:rPr>
        <w:rFonts w:ascii="Wingdings" w:hAnsi="Wingdings" w:hint="default"/>
      </w:rPr>
    </w:lvl>
  </w:abstractNum>
  <w:abstractNum w:abstractNumId="31" w15:restartNumberingAfterBreak="0">
    <w:nsid w:val="776238B4"/>
    <w:multiLevelType w:val="hybridMultilevel"/>
    <w:tmpl w:val="268298F4"/>
    <w:lvl w:ilvl="0" w:tplc="4D62108C">
      <w:numFmt w:val="bullet"/>
      <w:lvlText w:val="•"/>
      <w:lvlJc w:val="left"/>
      <w:pPr>
        <w:ind w:left="36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8C14E84"/>
    <w:multiLevelType w:val="hybridMultilevel"/>
    <w:tmpl w:val="CAA49A94"/>
    <w:lvl w:ilvl="0" w:tplc="4D62108C">
      <w:numFmt w:val="bullet"/>
      <w:lvlText w:val="•"/>
      <w:lvlJc w:val="left"/>
      <w:pPr>
        <w:ind w:left="502"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93B2CBE"/>
    <w:multiLevelType w:val="hybridMultilevel"/>
    <w:tmpl w:val="1D78DFCC"/>
    <w:lvl w:ilvl="0" w:tplc="8EE4660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E5F44D9"/>
    <w:multiLevelType w:val="hybridMultilevel"/>
    <w:tmpl w:val="2CAC163A"/>
    <w:lvl w:ilvl="0" w:tplc="4D62108C">
      <w:numFmt w:val="bullet"/>
      <w:lvlText w:val="•"/>
      <w:lvlJc w:val="left"/>
      <w:pPr>
        <w:ind w:left="360" w:hanging="360"/>
      </w:pPr>
      <w:rPr>
        <w:rFonts w:hint="default"/>
        <w:lang w:val="en-US" w:eastAsia="en-US" w:bidi="ar-SA"/>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FF76ABD"/>
    <w:multiLevelType w:val="hybridMultilevel"/>
    <w:tmpl w:val="01741AEE"/>
    <w:lvl w:ilvl="0" w:tplc="0C09000B">
      <w:start w:val="1"/>
      <w:numFmt w:val="bullet"/>
      <w:lvlText w:val=""/>
      <w:lvlJc w:val="left"/>
      <w:pPr>
        <w:ind w:left="1572" w:hanging="360"/>
      </w:pPr>
      <w:rPr>
        <w:rFonts w:ascii="Wingdings" w:hAnsi="Wingdings" w:hint="default"/>
      </w:rPr>
    </w:lvl>
    <w:lvl w:ilvl="1" w:tplc="0C090003" w:tentative="1">
      <w:start w:val="1"/>
      <w:numFmt w:val="bullet"/>
      <w:lvlText w:val="o"/>
      <w:lvlJc w:val="left"/>
      <w:pPr>
        <w:ind w:left="2292" w:hanging="360"/>
      </w:pPr>
      <w:rPr>
        <w:rFonts w:ascii="Courier New" w:hAnsi="Courier New" w:cs="Courier New" w:hint="default"/>
      </w:rPr>
    </w:lvl>
    <w:lvl w:ilvl="2" w:tplc="0C090005" w:tentative="1">
      <w:start w:val="1"/>
      <w:numFmt w:val="bullet"/>
      <w:lvlText w:val=""/>
      <w:lvlJc w:val="left"/>
      <w:pPr>
        <w:ind w:left="3012" w:hanging="360"/>
      </w:pPr>
      <w:rPr>
        <w:rFonts w:ascii="Wingdings" w:hAnsi="Wingdings" w:hint="default"/>
      </w:rPr>
    </w:lvl>
    <w:lvl w:ilvl="3" w:tplc="0C090001" w:tentative="1">
      <w:start w:val="1"/>
      <w:numFmt w:val="bullet"/>
      <w:lvlText w:val=""/>
      <w:lvlJc w:val="left"/>
      <w:pPr>
        <w:ind w:left="3732" w:hanging="360"/>
      </w:pPr>
      <w:rPr>
        <w:rFonts w:ascii="Symbol" w:hAnsi="Symbol" w:hint="default"/>
      </w:rPr>
    </w:lvl>
    <w:lvl w:ilvl="4" w:tplc="0C090003" w:tentative="1">
      <w:start w:val="1"/>
      <w:numFmt w:val="bullet"/>
      <w:lvlText w:val="o"/>
      <w:lvlJc w:val="left"/>
      <w:pPr>
        <w:ind w:left="4452" w:hanging="360"/>
      </w:pPr>
      <w:rPr>
        <w:rFonts w:ascii="Courier New" w:hAnsi="Courier New" w:cs="Courier New" w:hint="default"/>
      </w:rPr>
    </w:lvl>
    <w:lvl w:ilvl="5" w:tplc="0C090005" w:tentative="1">
      <w:start w:val="1"/>
      <w:numFmt w:val="bullet"/>
      <w:lvlText w:val=""/>
      <w:lvlJc w:val="left"/>
      <w:pPr>
        <w:ind w:left="5172" w:hanging="360"/>
      </w:pPr>
      <w:rPr>
        <w:rFonts w:ascii="Wingdings" w:hAnsi="Wingdings" w:hint="default"/>
      </w:rPr>
    </w:lvl>
    <w:lvl w:ilvl="6" w:tplc="0C090001" w:tentative="1">
      <w:start w:val="1"/>
      <w:numFmt w:val="bullet"/>
      <w:lvlText w:val=""/>
      <w:lvlJc w:val="left"/>
      <w:pPr>
        <w:ind w:left="5892" w:hanging="360"/>
      </w:pPr>
      <w:rPr>
        <w:rFonts w:ascii="Symbol" w:hAnsi="Symbol" w:hint="default"/>
      </w:rPr>
    </w:lvl>
    <w:lvl w:ilvl="7" w:tplc="0C090003" w:tentative="1">
      <w:start w:val="1"/>
      <w:numFmt w:val="bullet"/>
      <w:lvlText w:val="o"/>
      <w:lvlJc w:val="left"/>
      <w:pPr>
        <w:ind w:left="6612" w:hanging="360"/>
      </w:pPr>
      <w:rPr>
        <w:rFonts w:ascii="Courier New" w:hAnsi="Courier New" w:cs="Courier New" w:hint="default"/>
      </w:rPr>
    </w:lvl>
    <w:lvl w:ilvl="8" w:tplc="0C090005" w:tentative="1">
      <w:start w:val="1"/>
      <w:numFmt w:val="bullet"/>
      <w:lvlText w:val=""/>
      <w:lvlJc w:val="left"/>
      <w:pPr>
        <w:ind w:left="7332" w:hanging="360"/>
      </w:pPr>
      <w:rPr>
        <w:rFonts w:ascii="Wingdings" w:hAnsi="Wingdings" w:hint="default"/>
      </w:rPr>
    </w:lvl>
  </w:abstractNum>
  <w:num w:numId="1" w16cid:durableId="536628411">
    <w:abstractNumId w:val="0"/>
  </w:num>
  <w:num w:numId="2" w16cid:durableId="1610624457">
    <w:abstractNumId w:val="15"/>
  </w:num>
  <w:num w:numId="3" w16cid:durableId="2138793045">
    <w:abstractNumId w:val="16"/>
  </w:num>
  <w:num w:numId="4" w16cid:durableId="1699812386">
    <w:abstractNumId w:val="31"/>
  </w:num>
  <w:num w:numId="5" w16cid:durableId="481191567">
    <w:abstractNumId w:val="33"/>
  </w:num>
  <w:num w:numId="6" w16cid:durableId="929464162">
    <w:abstractNumId w:val="22"/>
  </w:num>
  <w:num w:numId="7" w16cid:durableId="731462858">
    <w:abstractNumId w:val="32"/>
  </w:num>
  <w:num w:numId="8" w16cid:durableId="1418819211">
    <w:abstractNumId w:val="25"/>
  </w:num>
  <w:num w:numId="9" w16cid:durableId="1807620247">
    <w:abstractNumId w:val="34"/>
  </w:num>
  <w:num w:numId="10" w16cid:durableId="205456357">
    <w:abstractNumId w:val="5"/>
  </w:num>
  <w:num w:numId="11" w16cid:durableId="594486276">
    <w:abstractNumId w:val="28"/>
  </w:num>
  <w:num w:numId="12" w16cid:durableId="1140077896">
    <w:abstractNumId w:val="11"/>
  </w:num>
  <w:num w:numId="13" w16cid:durableId="1088624144">
    <w:abstractNumId w:val="6"/>
  </w:num>
  <w:num w:numId="14" w16cid:durableId="695696512">
    <w:abstractNumId w:val="2"/>
  </w:num>
  <w:num w:numId="15" w16cid:durableId="767702880">
    <w:abstractNumId w:val="9"/>
  </w:num>
  <w:num w:numId="16" w16cid:durableId="531262890">
    <w:abstractNumId w:val="21"/>
  </w:num>
  <w:num w:numId="17" w16cid:durableId="2051612099">
    <w:abstractNumId w:val="1"/>
  </w:num>
  <w:num w:numId="18" w16cid:durableId="1158035203">
    <w:abstractNumId w:val="14"/>
  </w:num>
  <w:num w:numId="19" w16cid:durableId="1417675770">
    <w:abstractNumId w:val="18"/>
  </w:num>
  <w:num w:numId="20" w16cid:durableId="1435781872">
    <w:abstractNumId w:val="7"/>
  </w:num>
  <w:num w:numId="21" w16cid:durableId="398285583">
    <w:abstractNumId w:val="3"/>
  </w:num>
  <w:num w:numId="22" w16cid:durableId="740444524">
    <w:abstractNumId w:val="35"/>
  </w:num>
  <w:num w:numId="23" w16cid:durableId="185023595">
    <w:abstractNumId w:val="10"/>
  </w:num>
  <w:num w:numId="24" w16cid:durableId="664742423">
    <w:abstractNumId w:val="28"/>
  </w:num>
  <w:num w:numId="25" w16cid:durableId="614168802">
    <w:abstractNumId w:val="2"/>
  </w:num>
  <w:num w:numId="26" w16cid:durableId="2122139074">
    <w:abstractNumId w:val="11"/>
  </w:num>
  <w:num w:numId="27" w16cid:durableId="349374063">
    <w:abstractNumId w:val="6"/>
  </w:num>
  <w:num w:numId="28" w16cid:durableId="693768619">
    <w:abstractNumId w:val="12"/>
  </w:num>
  <w:num w:numId="29" w16cid:durableId="490297291">
    <w:abstractNumId w:val="26"/>
  </w:num>
  <w:num w:numId="30" w16cid:durableId="1924873691">
    <w:abstractNumId w:val="4"/>
  </w:num>
  <w:num w:numId="31" w16cid:durableId="821969024">
    <w:abstractNumId w:val="29"/>
  </w:num>
  <w:num w:numId="32" w16cid:durableId="1814790115">
    <w:abstractNumId w:val="23"/>
  </w:num>
  <w:num w:numId="33" w16cid:durableId="240986275">
    <w:abstractNumId w:val="8"/>
  </w:num>
  <w:num w:numId="34" w16cid:durableId="1314993029">
    <w:abstractNumId w:val="27"/>
  </w:num>
  <w:num w:numId="35" w16cid:durableId="1513378364">
    <w:abstractNumId w:val="13"/>
  </w:num>
  <w:num w:numId="36" w16cid:durableId="1138229451">
    <w:abstractNumId w:val="24"/>
  </w:num>
  <w:num w:numId="37" w16cid:durableId="511996975">
    <w:abstractNumId w:val="30"/>
  </w:num>
  <w:num w:numId="38" w16cid:durableId="1160659770">
    <w:abstractNumId w:val="19"/>
  </w:num>
  <w:num w:numId="39" w16cid:durableId="888608330">
    <w:abstractNumId w:val="20"/>
  </w:num>
  <w:num w:numId="40" w16cid:durableId="2049059990">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904"/>
    <w:rsid w:val="00004A2A"/>
    <w:rsid w:val="0000728F"/>
    <w:rsid w:val="00010E74"/>
    <w:rsid w:val="000121C3"/>
    <w:rsid w:val="00015B90"/>
    <w:rsid w:val="0001607A"/>
    <w:rsid w:val="000251A9"/>
    <w:rsid w:val="00027F93"/>
    <w:rsid w:val="0005201D"/>
    <w:rsid w:val="00060F1B"/>
    <w:rsid w:val="00061B7E"/>
    <w:rsid w:val="000728F3"/>
    <w:rsid w:val="00077E0F"/>
    <w:rsid w:val="000855D9"/>
    <w:rsid w:val="000A004D"/>
    <w:rsid w:val="000A2248"/>
    <w:rsid w:val="000A365E"/>
    <w:rsid w:val="000A3D5E"/>
    <w:rsid w:val="000B5C8C"/>
    <w:rsid w:val="000C59E2"/>
    <w:rsid w:val="000C5F56"/>
    <w:rsid w:val="000C7B2D"/>
    <w:rsid w:val="000F73D0"/>
    <w:rsid w:val="000F7B7E"/>
    <w:rsid w:val="0010015B"/>
    <w:rsid w:val="00101D60"/>
    <w:rsid w:val="00103EEA"/>
    <w:rsid w:val="00112716"/>
    <w:rsid w:val="001230A3"/>
    <w:rsid w:val="00153FB3"/>
    <w:rsid w:val="001574F0"/>
    <w:rsid w:val="001670BB"/>
    <w:rsid w:val="0018239D"/>
    <w:rsid w:val="00185A12"/>
    <w:rsid w:val="00190F6C"/>
    <w:rsid w:val="00191109"/>
    <w:rsid w:val="00191B05"/>
    <w:rsid w:val="00197BD9"/>
    <w:rsid w:val="001A0053"/>
    <w:rsid w:val="001A2506"/>
    <w:rsid w:val="001B2465"/>
    <w:rsid w:val="001B25C5"/>
    <w:rsid w:val="001C731E"/>
    <w:rsid w:val="001C7B43"/>
    <w:rsid w:val="001E0E3A"/>
    <w:rsid w:val="001E53D6"/>
    <w:rsid w:val="001E54D3"/>
    <w:rsid w:val="001E64DB"/>
    <w:rsid w:val="001F2829"/>
    <w:rsid w:val="001F2C50"/>
    <w:rsid w:val="001F6D2D"/>
    <w:rsid w:val="00205AF9"/>
    <w:rsid w:val="00211DA4"/>
    <w:rsid w:val="00225BC8"/>
    <w:rsid w:val="00240B97"/>
    <w:rsid w:val="00244626"/>
    <w:rsid w:val="0025382D"/>
    <w:rsid w:val="00253F5A"/>
    <w:rsid w:val="002577B7"/>
    <w:rsid w:val="00263BA6"/>
    <w:rsid w:val="00266379"/>
    <w:rsid w:val="0026690C"/>
    <w:rsid w:val="0027264D"/>
    <w:rsid w:val="002916D9"/>
    <w:rsid w:val="00293E43"/>
    <w:rsid w:val="00293E69"/>
    <w:rsid w:val="002B478A"/>
    <w:rsid w:val="002B5F43"/>
    <w:rsid w:val="002C05A8"/>
    <w:rsid w:val="002D2A5A"/>
    <w:rsid w:val="002D539E"/>
    <w:rsid w:val="002F1382"/>
    <w:rsid w:val="002F7AFC"/>
    <w:rsid w:val="0030196B"/>
    <w:rsid w:val="00305278"/>
    <w:rsid w:val="0030613C"/>
    <w:rsid w:val="003073AA"/>
    <w:rsid w:val="0031218A"/>
    <w:rsid w:val="00313707"/>
    <w:rsid w:val="003305E7"/>
    <w:rsid w:val="00336065"/>
    <w:rsid w:val="00340E7A"/>
    <w:rsid w:val="00362E3A"/>
    <w:rsid w:val="00363A27"/>
    <w:rsid w:val="00371615"/>
    <w:rsid w:val="00374FEC"/>
    <w:rsid w:val="00376A6D"/>
    <w:rsid w:val="00380B98"/>
    <w:rsid w:val="003946BC"/>
    <w:rsid w:val="00396023"/>
    <w:rsid w:val="00396F11"/>
    <w:rsid w:val="003B71AF"/>
    <w:rsid w:val="003C4BB5"/>
    <w:rsid w:val="003E13AB"/>
    <w:rsid w:val="003E167B"/>
    <w:rsid w:val="003E29AF"/>
    <w:rsid w:val="003E3FF0"/>
    <w:rsid w:val="003E4CC0"/>
    <w:rsid w:val="003F3D8F"/>
    <w:rsid w:val="003F7C1F"/>
    <w:rsid w:val="00403D0D"/>
    <w:rsid w:val="00405083"/>
    <w:rsid w:val="00412CED"/>
    <w:rsid w:val="00420458"/>
    <w:rsid w:val="00427139"/>
    <w:rsid w:val="00432133"/>
    <w:rsid w:val="004358E9"/>
    <w:rsid w:val="00443A46"/>
    <w:rsid w:val="00447B55"/>
    <w:rsid w:val="004510FA"/>
    <w:rsid w:val="0045381A"/>
    <w:rsid w:val="00465C91"/>
    <w:rsid w:val="00470E63"/>
    <w:rsid w:val="00474D99"/>
    <w:rsid w:val="00487DD5"/>
    <w:rsid w:val="004A2E02"/>
    <w:rsid w:val="004A42B0"/>
    <w:rsid w:val="004A6A76"/>
    <w:rsid w:val="004B7C43"/>
    <w:rsid w:val="004C0B5B"/>
    <w:rsid w:val="004C2B20"/>
    <w:rsid w:val="004C730C"/>
    <w:rsid w:val="004D004F"/>
    <w:rsid w:val="004E15E8"/>
    <w:rsid w:val="004E28AD"/>
    <w:rsid w:val="004E40D4"/>
    <w:rsid w:val="004F0D1E"/>
    <w:rsid w:val="004F1D05"/>
    <w:rsid w:val="004F39FE"/>
    <w:rsid w:val="0050147B"/>
    <w:rsid w:val="00502985"/>
    <w:rsid w:val="00503F75"/>
    <w:rsid w:val="00512B4A"/>
    <w:rsid w:val="00514614"/>
    <w:rsid w:val="00521B4F"/>
    <w:rsid w:val="0052443C"/>
    <w:rsid w:val="0052759C"/>
    <w:rsid w:val="0052775E"/>
    <w:rsid w:val="00533569"/>
    <w:rsid w:val="00542514"/>
    <w:rsid w:val="005457EA"/>
    <w:rsid w:val="00546AED"/>
    <w:rsid w:val="00554215"/>
    <w:rsid w:val="005621E4"/>
    <w:rsid w:val="00563965"/>
    <w:rsid w:val="00565BE9"/>
    <w:rsid w:val="005736DB"/>
    <w:rsid w:val="005743AC"/>
    <w:rsid w:val="005836D5"/>
    <w:rsid w:val="00596FD7"/>
    <w:rsid w:val="005A04C3"/>
    <w:rsid w:val="005A3625"/>
    <w:rsid w:val="005A4B9A"/>
    <w:rsid w:val="005B4738"/>
    <w:rsid w:val="005C212D"/>
    <w:rsid w:val="005C3CB0"/>
    <w:rsid w:val="005D582F"/>
    <w:rsid w:val="005E0736"/>
    <w:rsid w:val="005F04EB"/>
    <w:rsid w:val="0060094D"/>
    <w:rsid w:val="00610CF9"/>
    <w:rsid w:val="00611AF1"/>
    <w:rsid w:val="00612231"/>
    <w:rsid w:val="00614380"/>
    <w:rsid w:val="0062250E"/>
    <w:rsid w:val="00633C8D"/>
    <w:rsid w:val="00635EB1"/>
    <w:rsid w:val="006473BB"/>
    <w:rsid w:val="006520DF"/>
    <w:rsid w:val="0065246A"/>
    <w:rsid w:val="0066495D"/>
    <w:rsid w:val="006743DB"/>
    <w:rsid w:val="00695EB6"/>
    <w:rsid w:val="006966A5"/>
    <w:rsid w:val="00696944"/>
    <w:rsid w:val="006A1680"/>
    <w:rsid w:val="006A4D46"/>
    <w:rsid w:val="006A6024"/>
    <w:rsid w:val="006B1CCA"/>
    <w:rsid w:val="006B34B0"/>
    <w:rsid w:val="006C31FF"/>
    <w:rsid w:val="006C6B6C"/>
    <w:rsid w:val="006C704D"/>
    <w:rsid w:val="006D633E"/>
    <w:rsid w:val="006D73AA"/>
    <w:rsid w:val="006E2130"/>
    <w:rsid w:val="006E21F8"/>
    <w:rsid w:val="006E28CC"/>
    <w:rsid w:val="0070331D"/>
    <w:rsid w:val="007324E7"/>
    <w:rsid w:val="00741B43"/>
    <w:rsid w:val="00752315"/>
    <w:rsid w:val="00756537"/>
    <w:rsid w:val="00761AB5"/>
    <w:rsid w:val="00775280"/>
    <w:rsid w:val="007778A9"/>
    <w:rsid w:val="007817F1"/>
    <w:rsid w:val="007874B2"/>
    <w:rsid w:val="007A0EBC"/>
    <w:rsid w:val="007B4ABB"/>
    <w:rsid w:val="007B6904"/>
    <w:rsid w:val="007D1635"/>
    <w:rsid w:val="007E0F95"/>
    <w:rsid w:val="007E3EDD"/>
    <w:rsid w:val="00800488"/>
    <w:rsid w:val="0080313E"/>
    <w:rsid w:val="008064BF"/>
    <w:rsid w:val="00810323"/>
    <w:rsid w:val="008140D1"/>
    <w:rsid w:val="0081552C"/>
    <w:rsid w:val="00816782"/>
    <w:rsid w:val="00816FBD"/>
    <w:rsid w:val="0082141D"/>
    <w:rsid w:val="00826D0E"/>
    <w:rsid w:val="00827F24"/>
    <w:rsid w:val="00833005"/>
    <w:rsid w:val="00841BD4"/>
    <w:rsid w:val="00855DA8"/>
    <w:rsid w:val="00865480"/>
    <w:rsid w:val="00865E29"/>
    <w:rsid w:val="00870BE7"/>
    <w:rsid w:val="008732E4"/>
    <w:rsid w:val="00874967"/>
    <w:rsid w:val="00886399"/>
    <w:rsid w:val="008974CA"/>
    <w:rsid w:val="00897528"/>
    <w:rsid w:val="008A26BB"/>
    <w:rsid w:val="008A6357"/>
    <w:rsid w:val="008A7583"/>
    <w:rsid w:val="008B3C76"/>
    <w:rsid w:val="008D0CBA"/>
    <w:rsid w:val="008E1F7F"/>
    <w:rsid w:val="008E3427"/>
    <w:rsid w:val="008E74FD"/>
    <w:rsid w:val="008E7509"/>
    <w:rsid w:val="008F00E8"/>
    <w:rsid w:val="008F08BC"/>
    <w:rsid w:val="008F1907"/>
    <w:rsid w:val="008F6921"/>
    <w:rsid w:val="00911B7E"/>
    <w:rsid w:val="00933EED"/>
    <w:rsid w:val="00940CDE"/>
    <w:rsid w:val="009426C0"/>
    <w:rsid w:val="00944C39"/>
    <w:rsid w:val="00946999"/>
    <w:rsid w:val="009549C1"/>
    <w:rsid w:val="009610CA"/>
    <w:rsid w:val="00967603"/>
    <w:rsid w:val="0097742A"/>
    <w:rsid w:val="00980914"/>
    <w:rsid w:val="00980AE7"/>
    <w:rsid w:val="00980EED"/>
    <w:rsid w:val="0098312B"/>
    <w:rsid w:val="0098579F"/>
    <w:rsid w:val="00991670"/>
    <w:rsid w:val="00997EC2"/>
    <w:rsid w:val="009A534C"/>
    <w:rsid w:val="009B0E44"/>
    <w:rsid w:val="009B28CB"/>
    <w:rsid w:val="009B4A8F"/>
    <w:rsid w:val="009B6C8C"/>
    <w:rsid w:val="009B6F42"/>
    <w:rsid w:val="009C0FCA"/>
    <w:rsid w:val="009C3963"/>
    <w:rsid w:val="009C79C8"/>
    <w:rsid w:val="009D2BDB"/>
    <w:rsid w:val="009D323C"/>
    <w:rsid w:val="00A063FE"/>
    <w:rsid w:val="00A107E6"/>
    <w:rsid w:val="00A13087"/>
    <w:rsid w:val="00A3469C"/>
    <w:rsid w:val="00A350E5"/>
    <w:rsid w:val="00A35DB4"/>
    <w:rsid w:val="00A35E2D"/>
    <w:rsid w:val="00A436D8"/>
    <w:rsid w:val="00A67699"/>
    <w:rsid w:val="00A74B8A"/>
    <w:rsid w:val="00A8258B"/>
    <w:rsid w:val="00A857A8"/>
    <w:rsid w:val="00A85F61"/>
    <w:rsid w:val="00A86A9D"/>
    <w:rsid w:val="00A86DB3"/>
    <w:rsid w:val="00A939DF"/>
    <w:rsid w:val="00AA07A4"/>
    <w:rsid w:val="00AA0EC3"/>
    <w:rsid w:val="00AA25DC"/>
    <w:rsid w:val="00AA54ED"/>
    <w:rsid w:val="00AC0AA9"/>
    <w:rsid w:val="00AC6EF7"/>
    <w:rsid w:val="00B01263"/>
    <w:rsid w:val="00B10F87"/>
    <w:rsid w:val="00B11471"/>
    <w:rsid w:val="00B1489B"/>
    <w:rsid w:val="00B17115"/>
    <w:rsid w:val="00B21043"/>
    <w:rsid w:val="00B26E4F"/>
    <w:rsid w:val="00B30DA2"/>
    <w:rsid w:val="00B4449A"/>
    <w:rsid w:val="00B44CAC"/>
    <w:rsid w:val="00B453FC"/>
    <w:rsid w:val="00B573D6"/>
    <w:rsid w:val="00B61F35"/>
    <w:rsid w:val="00B634F1"/>
    <w:rsid w:val="00B64380"/>
    <w:rsid w:val="00B6477B"/>
    <w:rsid w:val="00B66758"/>
    <w:rsid w:val="00B81455"/>
    <w:rsid w:val="00B919F6"/>
    <w:rsid w:val="00B929ED"/>
    <w:rsid w:val="00B961F7"/>
    <w:rsid w:val="00B9627F"/>
    <w:rsid w:val="00BA0A1B"/>
    <w:rsid w:val="00BA2415"/>
    <w:rsid w:val="00BA4F95"/>
    <w:rsid w:val="00BA5B60"/>
    <w:rsid w:val="00BB33F9"/>
    <w:rsid w:val="00BC326E"/>
    <w:rsid w:val="00BC3CE6"/>
    <w:rsid w:val="00BD03DB"/>
    <w:rsid w:val="00BE5E41"/>
    <w:rsid w:val="00BF16F4"/>
    <w:rsid w:val="00C02C00"/>
    <w:rsid w:val="00C06CDE"/>
    <w:rsid w:val="00C12F1F"/>
    <w:rsid w:val="00C13D33"/>
    <w:rsid w:val="00C15634"/>
    <w:rsid w:val="00C222E0"/>
    <w:rsid w:val="00C2485D"/>
    <w:rsid w:val="00C24EDC"/>
    <w:rsid w:val="00C25A76"/>
    <w:rsid w:val="00C26650"/>
    <w:rsid w:val="00C31BD5"/>
    <w:rsid w:val="00C32206"/>
    <w:rsid w:val="00C40F97"/>
    <w:rsid w:val="00C4262C"/>
    <w:rsid w:val="00C45B40"/>
    <w:rsid w:val="00C45C67"/>
    <w:rsid w:val="00C50692"/>
    <w:rsid w:val="00C523FF"/>
    <w:rsid w:val="00C532D4"/>
    <w:rsid w:val="00C55D6A"/>
    <w:rsid w:val="00C606F3"/>
    <w:rsid w:val="00C71C3C"/>
    <w:rsid w:val="00C72D00"/>
    <w:rsid w:val="00C878F0"/>
    <w:rsid w:val="00C91EFA"/>
    <w:rsid w:val="00C9490E"/>
    <w:rsid w:val="00CA417D"/>
    <w:rsid w:val="00CA593D"/>
    <w:rsid w:val="00CB6B53"/>
    <w:rsid w:val="00CE37A2"/>
    <w:rsid w:val="00D00317"/>
    <w:rsid w:val="00D006EF"/>
    <w:rsid w:val="00D048E3"/>
    <w:rsid w:val="00D05FE1"/>
    <w:rsid w:val="00D06786"/>
    <w:rsid w:val="00D16211"/>
    <w:rsid w:val="00D21780"/>
    <w:rsid w:val="00D21B45"/>
    <w:rsid w:val="00D23346"/>
    <w:rsid w:val="00D243B8"/>
    <w:rsid w:val="00D34794"/>
    <w:rsid w:val="00D42B85"/>
    <w:rsid w:val="00D42D11"/>
    <w:rsid w:val="00D4502D"/>
    <w:rsid w:val="00D50F7A"/>
    <w:rsid w:val="00D530CE"/>
    <w:rsid w:val="00D53E3C"/>
    <w:rsid w:val="00D54ED5"/>
    <w:rsid w:val="00D7273B"/>
    <w:rsid w:val="00D7517E"/>
    <w:rsid w:val="00D764AB"/>
    <w:rsid w:val="00D77950"/>
    <w:rsid w:val="00D84B5C"/>
    <w:rsid w:val="00DA049F"/>
    <w:rsid w:val="00DB032C"/>
    <w:rsid w:val="00DB1D71"/>
    <w:rsid w:val="00DC3762"/>
    <w:rsid w:val="00DC5E8B"/>
    <w:rsid w:val="00DC739E"/>
    <w:rsid w:val="00DD0346"/>
    <w:rsid w:val="00DD13AF"/>
    <w:rsid w:val="00DD616A"/>
    <w:rsid w:val="00DE0465"/>
    <w:rsid w:val="00DF580F"/>
    <w:rsid w:val="00E049ED"/>
    <w:rsid w:val="00E1372C"/>
    <w:rsid w:val="00E33D8A"/>
    <w:rsid w:val="00E34E6D"/>
    <w:rsid w:val="00E35C2B"/>
    <w:rsid w:val="00E37CD4"/>
    <w:rsid w:val="00E41A47"/>
    <w:rsid w:val="00E44238"/>
    <w:rsid w:val="00E469F4"/>
    <w:rsid w:val="00E50AB2"/>
    <w:rsid w:val="00E53B9C"/>
    <w:rsid w:val="00E57848"/>
    <w:rsid w:val="00E663ED"/>
    <w:rsid w:val="00E703E1"/>
    <w:rsid w:val="00E71F1E"/>
    <w:rsid w:val="00E74EBC"/>
    <w:rsid w:val="00E849B6"/>
    <w:rsid w:val="00E855BC"/>
    <w:rsid w:val="00EA1A1E"/>
    <w:rsid w:val="00EA7C32"/>
    <w:rsid w:val="00EB365A"/>
    <w:rsid w:val="00EC286D"/>
    <w:rsid w:val="00ED21C3"/>
    <w:rsid w:val="00ED388C"/>
    <w:rsid w:val="00EE6601"/>
    <w:rsid w:val="00EF02B0"/>
    <w:rsid w:val="00EF3655"/>
    <w:rsid w:val="00EF785F"/>
    <w:rsid w:val="00F01B61"/>
    <w:rsid w:val="00F13DD8"/>
    <w:rsid w:val="00F149FD"/>
    <w:rsid w:val="00F14FFB"/>
    <w:rsid w:val="00F214DF"/>
    <w:rsid w:val="00F30408"/>
    <w:rsid w:val="00F3099A"/>
    <w:rsid w:val="00F36453"/>
    <w:rsid w:val="00F3735E"/>
    <w:rsid w:val="00F4262F"/>
    <w:rsid w:val="00F46642"/>
    <w:rsid w:val="00F53719"/>
    <w:rsid w:val="00F550E8"/>
    <w:rsid w:val="00F565DA"/>
    <w:rsid w:val="00F57291"/>
    <w:rsid w:val="00F66CB0"/>
    <w:rsid w:val="00F72655"/>
    <w:rsid w:val="00F72D0E"/>
    <w:rsid w:val="00F76C89"/>
    <w:rsid w:val="00F774C8"/>
    <w:rsid w:val="00F779F9"/>
    <w:rsid w:val="00F83FBF"/>
    <w:rsid w:val="00FA29B8"/>
    <w:rsid w:val="00FB6B05"/>
    <w:rsid w:val="00FB7226"/>
    <w:rsid w:val="00FC1315"/>
    <w:rsid w:val="00FC4D88"/>
    <w:rsid w:val="00FD3D92"/>
    <w:rsid w:val="00FE43CF"/>
    <w:rsid w:val="00FF0143"/>
    <w:rsid w:val="00FF389E"/>
    <w:rsid w:val="00FF56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829D0"/>
  <w15:docId w15:val="{7E7CF512-0B4E-4BD4-8324-FB7CE81D2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 w:unhideWhenUsed="1"/>
    <w:lsdException w:name="toc 4" w:semiHidden="1" w:uiPriority="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uiPriority w:val="9"/>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unhideWhenUsed/>
    <w:rsid w:val="005743A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7817F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1"/>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542514"/>
    <w:pPr>
      <w:numPr>
        <w:numId w:val="1"/>
      </w:numPr>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styleId="CommentReference">
    <w:name w:val="annotation reference"/>
    <w:basedOn w:val="DefaultParagraphFont"/>
    <w:uiPriority w:val="99"/>
    <w:semiHidden/>
    <w:unhideWhenUsed/>
    <w:rsid w:val="00D7517E"/>
    <w:rPr>
      <w:sz w:val="16"/>
      <w:szCs w:val="16"/>
    </w:rPr>
  </w:style>
  <w:style w:type="paragraph" w:styleId="CommentText">
    <w:name w:val="annotation text"/>
    <w:basedOn w:val="Normal"/>
    <w:link w:val="CommentTextChar"/>
    <w:uiPriority w:val="99"/>
    <w:unhideWhenUsed/>
    <w:rsid w:val="00D7517E"/>
    <w:rPr>
      <w:sz w:val="20"/>
    </w:rPr>
  </w:style>
  <w:style w:type="character" w:customStyle="1" w:styleId="CommentTextChar">
    <w:name w:val="Comment Text Char"/>
    <w:basedOn w:val="DefaultParagraphFont"/>
    <w:link w:val="CommentText"/>
    <w:uiPriority w:val="99"/>
    <w:rsid w:val="00D7517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7517E"/>
    <w:rPr>
      <w:b/>
      <w:bCs/>
    </w:rPr>
  </w:style>
  <w:style w:type="character" w:customStyle="1" w:styleId="CommentSubjectChar">
    <w:name w:val="Comment Subject Char"/>
    <w:basedOn w:val="CommentTextChar"/>
    <w:link w:val="CommentSubject"/>
    <w:uiPriority w:val="99"/>
    <w:semiHidden/>
    <w:rsid w:val="00D7517E"/>
    <w:rPr>
      <w:rFonts w:ascii="Calibri" w:eastAsia="Times New Roman" w:hAnsi="Calibri" w:cs="Times New Roman"/>
      <w:b/>
      <w:bCs/>
      <w:sz w:val="20"/>
      <w:szCs w:val="20"/>
    </w:rPr>
  </w:style>
  <w:style w:type="character" w:customStyle="1" w:styleId="Heading3Char">
    <w:name w:val="Heading 3 Char"/>
    <w:basedOn w:val="DefaultParagraphFont"/>
    <w:link w:val="Heading3"/>
    <w:uiPriority w:val="9"/>
    <w:semiHidden/>
    <w:rsid w:val="005743AC"/>
    <w:rPr>
      <w:rFonts w:asciiTheme="majorHAnsi" w:eastAsiaTheme="majorEastAsia" w:hAnsiTheme="majorHAnsi" w:cstheme="majorBidi"/>
      <w:b/>
      <w:bCs/>
      <w:color w:val="4F81BD" w:themeColor="accent1"/>
      <w:sz w:val="24"/>
      <w:szCs w:val="20"/>
    </w:rPr>
  </w:style>
  <w:style w:type="character" w:styleId="UnresolvedMention">
    <w:name w:val="Unresolved Mention"/>
    <w:basedOn w:val="DefaultParagraphFont"/>
    <w:uiPriority w:val="99"/>
    <w:semiHidden/>
    <w:unhideWhenUsed/>
    <w:rsid w:val="002B478A"/>
    <w:rPr>
      <w:color w:val="605E5C"/>
      <w:shd w:val="clear" w:color="auto" w:fill="E1DFDD"/>
    </w:rPr>
  </w:style>
  <w:style w:type="character" w:customStyle="1" w:styleId="Heading4Char">
    <w:name w:val="Heading 4 Char"/>
    <w:basedOn w:val="DefaultParagraphFont"/>
    <w:link w:val="Heading4"/>
    <w:uiPriority w:val="9"/>
    <w:rsid w:val="007817F1"/>
    <w:rPr>
      <w:rFonts w:asciiTheme="majorHAnsi" w:eastAsiaTheme="majorEastAsia" w:hAnsiTheme="majorHAnsi" w:cstheme="majorBidi"/>
      <w:i/>
      <w:iCs/>
      <w:color w:val="365F91" w:themeColor="accent1" w:themeShade="BF"/>
      <w:sz w:val="24"/>
      <w:szCs w:val="20"/>
    </w:rPr>
  </w:style>
  <w:style w:type="paragraph" w:styleId="BodyText">
    <w:name w:val="Body Text"/>
    <w:basedOn w:val="Normal"/>
    <w:link w:val="BodyTextChar"/>
    <w:uiPriority w:val="1"/>
    <w:rsid w:val="007817F1"/>
    <w:pPr>
      <w:widowControl w:val="0"/>
      <w:autoSpaceDE w:val="0"/>
      <w:autoSpaceDN w:val="0"/>
    </w:pPr>
    <w:rPr>
      <w:rFonts w:ascii="Microsoft Sans Serif" w:eastAsia="Microsoft Sans Serif" w:hAnsi="Microsoft Sans Serif" w:cs="Microsoft Sans Serif"/>
      <w:szCs w:val="24"/>
      <w:lang w:val="en-US"/>
    </w:rPr>
  </w:style>
  <w:style w:type="character" w:customStyle="1" w:styleId="BodyTextChar">
    <w:name w:val="Body Text Char"/>
    <w:basedOn w:val="DefaultParagraphFont"/>
    <w:link w:val="BodyText"/>
    <w:uiPriority w:val="1"/>
    <w:rsid w:val="007817F1"/>
    <w:rPr>
      <w:rFonts w:ascii="Microsoft Sans Serif" w:eastAsia="Microsoft Sans Serif" w:hAnsi="Microsoft Sans Serif" w:cs="Microsoft Sans Serif"/>
      <w:sz w:val="24"/>
      <w:szCs w:val="24"/>
      <w:lang w:val="en-US"/>
    </w:rPr>
  </w:style>
  <w:style w:type="paragraph" w:styleId="TOC3">
    <w:name w:val="toc 3"/>
    <w:basedOn w:val="Normal"/>
    <w:uiPriority w:val="1"/>
    <w:rsid w:val="007817F1"/>
    <w:pPr>
      <w:widowControl w:val="0"/>
      <w:autoSpaceDE w:val="0"/>
      <w:autoSpaceDN w:val="0"/>
      <w:ind w:left="1281"/>
    </w:pPr>
    <w:rPr>
      <w:rFonts w:ascii="Microsoft Sans Serif" w:eastAsia="Microsoft Sans Serif" w:hAnsi="Microsoft Sans Serif" w:cs="Microsoft Sans Serif"/>
      <w:b/>
      <w:bCs/>
      <w:i/>
      <w:iCs/>
      <w:sz w:val="22"/>
      <w:szCs w:val="22"/>
      <w:lang w:val="en-US"/>
    </w:rPr>
  </w:style>
  <w:style w:type="paragraph" w:styleId="TOC4">
    <w:name w:val="toc 4"/>
    <w:basedOn w:val="Normal"/>
    <w:uiPriority w:val="1"/>
    <w:rsid w:val="007817F1"/>
    <w:pPr>
      <w:widowControl w:val="0"/>
      <w:autoSpaceDE w:val="0"/>
      <w:autoSpaceDN w:val="0"/>
      <w:spacing w:before="3"/>
      <w:ind w:left="1499"/>
    </w:pPr>
    <w:rPr>
      <w:rFonts w:ascii="Microsoft Sans Serif" w:eastAsia="Microsoft Sans Serif" w:hAnsi="Microsoft Sans Serif" w:cs="Microsoft Sans Serif"/>
      <w:sz w:val="22"/>
      <w:szCs w:val="22"/>
      <w:lang w:val="en-US"/>
    </w:rPr>
  </w:style>
  <w:style w:type="paragraph" w:customStyle="1" w:styleId="TableParagraph">
    <w:name w:val="Table Paragraph"/>
    <w:basedOn w:val="Normal"/>
    <w:uiPriority w:val="1"/>
    <w:rsid w:val="007817F1"/>
    <w:pPr>
      <w:widowControl w:val="0"/>
      <w:autoSpaceDE w:val="0"/>
      <w:autoSpaceDN w:val="0"/>
      <w:ind w:left="107"/>
    </w:pPr>
    <w:rPr>
      <w:rFonts w:ascii="Microsoft Sans Serif" w:eastAsia="Microsoft Sans Serif" w:hAnsi="Microsoft Sans Serif" w:cs="Microsoft Sans Serif"/>
      <w:sz w:val="22"/>
      <w:szCs w:val="22"/>
      <w:lang w:val="en-US"/>
    </w:rPr>
  </w:style>
  <w:style w:type="paragraph" w:customStyle="1" w:styleId="DecimalAligned">
    <w:name w:val="Decimal Aligned"/>
    <w:basedOn w:val="Normal"/>
    <w:uiPriority w:val="40"/>
    <w:rsid w:val="007817F1"/>
    <w:pPr>
      <w:tabs>
        <w:tab w:val="decimal" w:pos="360"/>
      </w:tabs>
      <w:spacing w:after="200" w:line="276" w:lineRule="auto"/>
    </w:pPr>
    <w:rPr>
      <w:rFonts w:asciiTheme="minorHAnsi" w:eastAsiaTheme="minorEastAsia" w:hAnsiTheme="minorHAnsi"/>
      <w:sz w:val="22"/>
      <w:szCs w:val="22"/>
      <w:lang w:val="en-US"/>
    </w:rPr>
  </w:style>
  <w:style w:type="paragraph" w:styleId="FootnoteText">
    <w:name w:val="footnote text"/>
    <w:basedOn w:val="Normal"/>
    <w:link w:val="FootnoteTextChar"/>
    <w:uiPriority w:val="99"/>
    <w:unhideWhenUsed/>
    <w:rsid w:val="007817F1"/>
    <w:rPr>
      <w:rFonts w:asciiTheme="minorHAnsi" w:eastAsiaTheme="minorEastAsia" w:hAnsiTheme="minorHAnsi"/>
      <w:sz w:val="20"/>
      <w:lang w:val="en-US"/>
    </w:rPr>
  </w:style>
  <w:style w:type="character" w:customStyle="1" w:styleId="FootnoteTextChar">
    <w:name w:val="Footnote Text Char"/>
    <w:basedOn w:val="DefaultParagraphFont"/>
    <w:link w:val="FootnoteText"/>
    <w:uiPriority w:val="99"/>
    <w:rsid w:val="007817F1"/>
    <w:rPr>
      <w:rFonts w:eastAsiaTheme="minorEastAsia" w:cs="Times New Roman"/>
      <w:sz w:val="20"/>
      <w:szCs w:val="20"/>
      <w:lang w:val="en-US"/>
    </w:rPr>
  </w:style>
  <w:style w:type="character" w:styleId="SubtleEmphasis">
    <w:name w:val="Subtle Emphasis"/>
    <w:basedOn w:val="DefaultParagraphFont"/>
    <w:uiPriority w:val="19"/>
    <w:rsid w:val="007817F1"/>
    <w:rPr>
      <w:i/>
      <w:iCs/>
    </w:rPr>
  </w:style>
  <w:style w:type="table" w:styleId="MediumShading2-Accent5">
    <w:name w:val="Medium Shading 2 Accent 5"/>
    <w:basedOn w:val="TableNormal"/>
    <w:uiPriority w:val="64"/>
    <w:rsid w:val="007817F1"/>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odyText2">
    <w:name w:val="Body Text 2"/>
    <w:basedOn w:val="Normal"/>
    <w:link w:val="BodyText2Char"/>
    <w:uiPriority w:val="99"/>
    <w:semiHidden/>
    <w:unhideWhenUsed/>
    <w:rsid w:val="007817F1"/>
    <w:pPr>
      <w:spacing w:after="120" w:line="480" w:lineRule="auto"/>
    </w:pPr>
  </w:style>
  <w:style w:type="character" w:customStyle="1" w:styleId="BodyText2Char">
    <w:name w:val="Body Text 2 Char"/>
    <w:basedOn w:val="DefaultParagraphFont"/>
    <w:link w:val="BodyText2"/>
    <w:uiPriority w:val="99"/>
    <w:semiHidden/>
    <w:rsid w:val="007817F1"/>
    <w:rPr>
      <w:rFonts w:ascii="Calibri" w:eastAsia="Times New Roman" w:hAnsi="Calibri" w:cs="Times New Roman"/>
      <w:sz w:val="24"/>
      <w:szCs w:val="20"/>
    </w:rPr>
  </w:style>
  <w:style w:type="paragraph" w:styleId="Revision">
    <w:name w:val="Revision"/>
    <w:hidden/>
    <w:uiPriority w:val="99"/>
    <w:semiHidden/>
    <w:rsid w:val="007817F1"/>
    <w:pPr>
      <w:spacing w:after="0" w:line="240" w:lineRule="auto"/>
    </w:pPr>
    <w:rPr>
      <w:rFonts w:ascii="Calibri" w:eastAsia="Times New Roman" w:hAnsi="Calibri" w:cs="Times New Roman"/>
      <w:sz w:val="24"/>
      <w:szCs w:val="20"/>
    </w:rPr>
  </w:style>
  <w:style w:type="paragraph" w:styleId="PlainText">
    <w:name w:val="Plain Text"/>
    <w:basedOn w:val="Normal"/>
    <w:link w:val="PlainTextChar"/>
    <w:uiPriority w:val="99"/>
    <w:unhideWhenUsed/>
    <w:rsid w:val="007817F1"/>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7817F1"/>
    <w:rPr>
      <w:rFonts w:ascii="Consolas" w:hAnsi="Consolas"/>
      <w:sz w:val="21"/>
      <w:szCs w:val="21"/>
    </w:rPr>
  </w:style>
  <w:style w:type="paragraph" w:styleId="NormalWeb">
    <w:name w:val="Normal (Web)"/>
    <w:basedOn w:val="Normal"/>
    <w:uiPriority w:val="99"/>
    <w:semiHidden/>
    <w:unhideWhenUsed/>
    <w:rsid w:val="00D42D11"/>
    <w:rPr>
      <w:rFonts w:ascii="Times New Roman" w:hAnsi="Times New Roman"/>
      <w:szCs w:val="24"/>
    </w:rPr>
  </w:style>
  <w:style w:type="paragraph" w:styleId="NoSpacing">
    <w:name w:val="No Spacing"/>
    <w:uiPriority w:val="1"/>
    <w:qFormat/>
    <w:rsid w:val="00C91EF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041539">
      <w:bodyDiv w:val="1"/>
      <w:marLeft w:val="0"/>
      <w:marRight w:val="0"/>
      <w:marTop w:val="0"/>
      <w:marBottom w:val="0"/>
      <w:divBdr>
        <w:top w:val="none" w:sz="0" w:space="0" w:color="auto"/>
        <w:left w:val="none" w:sz="0" w:space="0" w:color="auto"/>
        <w:bottom w:val="none" w:sz="0" w:space="0" w:color="auto"/>
        <w:right w:val="none" w:sz="0" w:space="0" w:color="auto"/>
      </w:divBdr>
    </w:div>
    <w:div w:id="437867629">
      <w:bodyDiv w:val="1"/>
      <w:marLeft w:val="0"/>
      <w:marRight w:val="0"/>
      <w:marTop w:val="0"/>
      <w:marBottom w:val="0"/>
      <w:divBdr>
        <w:top w:val="none" w:sz="0" w:space="0" w:color="auto"/>
        <w:left w:val="none" w:sz="0" w:space="0" w:color="auto"/>
        <w:bottom w:val="none" w:sz="0" w:space="0" w:color="auto"/>
        <w:right w:val="none" w:sz="0" w:space="0" w:color="auto"/>
      </w:divBdr>
    </w:div>
    <w:div w:id="1272668842">
      <w:bodyDiv w:val="1"/>
      <w:marLeft w:val="0"/>
      <w:marRight w:val="0"/>
      <w:marTop w:val="0"/>
      <w:marBottom w:val="0"/>
      <w:divBdr>
        <w:top w:val="none" w:sz="0" w:space="0" w:color="auto"/>
        <w:left w:val="none" w:sz="0" w:space="0" w:color="auto"/>
        <w:bottom w:val="none" w:sz="0" w:space="0" w:color="auto"/>
        <w:right w:val="none" w:sz="0" w:space="0" w:color="auto"/>
      </w:divBdr>
    </w:div>
    <w:div w:id="1325166974">
      <w:bodyDiv w:val="1"/>
      <w:marLeft w:val="0"/>
      <w:marRight w:val="0"/>
      <w:marTop w:val="0"/>
      <w:marBottom w:val="0"/>
      <w:divBdr>
        <w:top w:val="none" w:sz="0" w:space="0" w:color="auto"/>
        <w:left w:val="none" w:sz="0" w:space="0" w:color="auto"/>
        <w:bottom w:val="none" w:sz="0" w:space="0" w:color="auto"/>
        <w:right w:val="none" w:sz="0" w:space="0" w:color="auto"/>
      </w:divBdr>
    </w:div>
    <w:div w:id="1691644184">
      <w:bodyDiv w:val="1"/>
      <w:marLeft w:val="0"/>
      <w:marRight w:val="0"/>
      <w:marTop w:val="0"/>
      <w:marBottom w:val="0"/>
      <w:divBdr>
        <w:top w:val="none" w:sz="0" w:space="0" w:color="auto"/>
        <w:left w:val="none" w:sz="0" w:space="0" w:color="auto"/>
        <w:bottom w:val="none" w:sz="0" w:space="0" w:color="auto"/>
        <w:right w:val="none" w:sz="0" w:space="0" w:color="auto"/>
      </w:divBdr>
    </w:div>
    <w:div w:id="1831481197">
      <w:bodyDiv w:val="1"/>
      <w:marLeft w:val="0"/>
      <w:marRight w:val="0"/>
      <w:marTop w:val="0"/>
      <w:marBottom w:val="0"/>
      <w:divBdr>
        <w:top w:val="none" w:sz="0" w:space="0" w:color="auto"/>
        <w:left w:val="none" w:sz="0" w:space="0" w:color="auto"/>
        <w:bottom w:val="none" w:sz="0" w:space="0" w:color="auto"/>
        <w:right w:val="none" w:sz="0" w:space="0" w:color="auto"/>
      </w:divBdr>
    </w:div>
    <w:div w:id="1847163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midwives.org.au/" TargetMode="External"/><Relationship Id="rId18" Type="http://schemas.openxmlformats.org/officeDocument/2006/relationships/hyperlink" Target="https://www.adips.org/information-for-health-care-providers-approved.asp" TargetMode="External"/><Relationship Id="rId26" Type="http://schemas.openxmlformats.org/officeDocument/2006/relationships/hyperlink" Target="https://pubmed.ncbi.nlm.nih.gov/29303230/" TargetMode="External"/><Relationship Id="rId39" Type="http://schemas.openxmlformats.org/officeDocument/2006/relationships/image" Target="media/image3.png"/><Relationship Id="rId21" Type="http://schemas.openxmlformats.org/officeDocument/2006/relationships/hyperlink" Target="https://doi.org/10.1111/ajo.13265" TargetMode="External"/><Relationship Id="rId34" Type="http://schemas.openxmlformats.org/officeDocument/2006/relationships/hyperlink" Target="https://www.racgp.org.au/clinical-resources/clinical-guidelines/key-racgp-guidelines/view-all-racgp-guidelines/diabetes/gestational-diabetes"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dss.com.au/products/insulin-pump-consumables/" TargetMode="External"/><Relationship Id="rId20" Type="http://schemas.openxmlformats.org/officeDocument/2006/relationships/hyperlink" Target="http://diabetessociety.com.au/position-statements-guidelines-gdm-obesity.asp" TargetMode="External"/><Relationship Id="rId29" Type="http://schemas.openxmlformats.org/officeDocument/2006/relationships/hyperlink" Target="https://www.guidelines.co.uk/diabetes/nice-diabetes-in-pregnancy-guideline/252595.article"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ss.com.au/about-diabetes/resources/find-a-resource/continuous-glucose-monitoring-fact-sheet/" TargetMode="External"/><Relationship Id="rId24" Type="http://schemas.openxmlformats.org/officeDocument/2006/relationships/hyperlink" Target="https://www.nejm.org/doi/pdf/10.1056/NEJMoa2204091" TargetMode="External"/><Relationship Id="rId32" Type="http://schemas.openxmlformats.org/officeDocument/2006/relationships/hyperlink" Target="http://www.academyofneonatalnursing.org/NNT/Antepartum_InfantsDiabeticMothers.pdf" TargetMode="External"/><Relationship Id="rId37" Type="http://schemas.openxmlformats.org/officeDocument/2006/relationships/hyperlink" Target="https://pubmed.ncbi.nlm.nih.gov/32189064/"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adips.org/information-for-health-care-providers-approved.asp" TargetMode="External"/><Relationship Id="rId23" Type="http://schemas.openxmlformats.org/officeDocument/2006/relationships/hyperlink" Target="https://www.kemh.health.wa.gov.au/~/media/HSPs/NMHS/Hospitals/WNHS/Documents/Clinical-guidelines/Obs-Gyn-Guidelines/Diabetes.pdf?thn=0" TargetMode="External"/><Relationship Id="rId28" Type="http://schemas.openxmlformats.org/officeDocument/2006/relationships/hyperlink" Target="https://www.ncbi.nlm.nih.gov/pmc/articles/PMC7085808/" TargetMode="External"/><Relationship Id="rId36" Type="http://schemas.openxmlformats.org/officeDocument/2006/relationships/hyperlink" Target="https://thewomens.r.worldssl.net/images/uploads/downloadable-records/clinical-guidelines/diabetes-mellitus-management-of-gestational-diabetes_280720.pdf" TargetMode="External"/><Relationship Id="rId10" Type="http://schemas.openxmlformats.org/officeDocument/2006/relationships/endnotes" Target="endnotes.xml"/><Relationship Id="rId19" Type="http://schemas.openxmlformats.org/officeDocument/2006/relationships/hyperlink" Target="file:///Q:/Quality%20and%20Safety/CET/Policy%20Team/CHS%20PC/Resources/Templates/CHS%20Procedure%20Template.docx" TargetMode="External"/><Relationship Id="rId31" Type="http://schemas.openxmlformats.org/officeDocument/2006/relationships/hyperlink" Target="https://www.health.qld.gov.au/__data/assets/pdf_file/0022/950503/g-gdm.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obgyn.onlinelibrary.wiley.com/doi/10.1111/ajo.13265" TargetMode="External"/><Relationship Id="rId27" Type="http://schemas.openxmlformats.org/officeDocument/2006/relationships/hyperlink" Target="https://pubmed.ncbi.nlm.nih.gov/29128412/" TargetMode="External"/><Relationship Id="rId30" Type="http://schemas.openxmlformats.org/officeDocument/2006/relationships/hyperlink" Target="https://midwives.org.au/common/Uploaded%20files/_ADMIN-ACM/National-Midwifery-Guidelines-for-Consultation-and-Referral-4th-Edition-(2021).pdf" TargetMode="External"/><Relationship Id="rId35" Type="http://schemas.openxmlformats.org/officeDocument/2006/relationships/hyperlink" Target="https://www.ranzcog.edu.au"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ndss.com.au/wp-content/uploads/fact-sheets/fact-sheet-flash-glucose-monitoring.pdf" TargetMode="External"/><Relationship Id="rId17" Type="http://schemas.openxmlformats.org/officeDocument/2006/relationships/hyperlink" Target="https://www.ndss.com.au/about-diabetes/resources/find-a-resource/managing-hypoglycaemia-fact-sheet/" TargetMode="External"/><Relationship Id="rId25" Type="http://schemas.openxmlformats.org/officeDocument/2006/relationships/hyperlink" Target="https://www.nejm.org/doi/full/10.1056/NEJMe2208339" TargetMode="External"/><Relationship Id="rId33" Type="http://schemas.openxmlformats.org/officeDocument/2006/relationships/hyperlink" Target="https://www.sahealth.sa.gov.au/wps/wcm/connect/146238004ee2144cb404bdd150ce4f37/Diabetes+Mellitus+and+Gestational+Diabetes_July2015.pdf?MOD=AJPERES" TargetMode="External"/><Relationship Id="rId3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rogress xmlns="690b2128-8961-48af-a473-22c34a9accba">8/7/2025 - Minor amendment to include 2024 ADIPS Recommendations.</Progress>
    <Approval_x0020_Date xmlns="690b2128-8961-48af-a473-22c34a9accba">2023-02-27T13:00:00+00:00</Approval_x0020_Date>
    <Review_x0020_Date xmlns="690b2128-8961-48af-a473-22c34a9accba">2027-02-28T13:00:00+00:00</Review_x0020_Date>
    <TaxCatchAll xmlns="c0239a80-7f07-4ed7-82c3-24ad7d76ada5" xsi:nil="true"/>
    <Version_x0020_Number xmlns="690b2128-8961-48af-a473-22c34a9accba">2</Version_x0020_Number>
    <Notes0 xmlns="690b2128-8961-48af-a473-22c34a9accba">09/12/2024: Minor amendments made to reflect changes to prescribing and manufacturing of insulin infusions.</Notes0>
    <Key_x0020_Words xmlns="690b2128-8961-48af-a473-22c34a9accba">Diabetes, Diabetes Management, Insulin, Insulin infusion, Hypoglycaemia, Hyperglycaemia, Insulin pump, Ketoacidosis, Diabetes in Labour, Insulin Infusion in Labour, Gestational Diabetes, GDM, IRGDM, Neonatal Hypoglycaemia</Key_x0020_Words>
    <Type_x0020_of_x0020_Document xmlns="690b2128-8961-48af-a473-22c34a9accba">Guideline</Type_x0020_of_x0020_Document>
    <Approval_x0020_Name_x007c_Committee xmlns="690b2128-8961-48af-a473-22c34a9accba">CHS Policy Committee</Approval_x0020_Name_x007c_Committee>
    <Status xmlns="690b2128-8961-48af-a473-22c34a9accba">Approved</Status>
    <New_x0020_Applies_x0020_To xmlns="690b2128-8961-48af-a473-22c34a9accba">Canberra Health Services</New_x0020_Applies_x0020_To>
    <Replaces_x003a_ xmlns="690b2128-8961-48af-a473-22c34a9accba" xsi:nil="true"/>
    <Risk_x0020_Rating xmlns="690b2128-8961-48af-a473-22c34a9accba">Medium</Risk_x0020_Rating>
    <Description0 xmlns="690b2128-8961-48af-a473-22c34a9accba">The purpose of this guideline is to provide clinicians who care for pregnant patients with best practice information to effectively manage Type 1, Type 2 and gestational diabetes mellitus during pregnancy and the immediate postnatal period.</Description0>
    <Display_x0020_on_x0020_Internet xmlns="690b2128-8961-48af-a473-22c34a9accba">true</Display_x0020_on_x0020_Internet>
    <Related_x0020_Documents xmlns="690b2128-8961-48af-a473-22c34a9accba" xsi:nil="true"/>
    <Decision_x0020_Number xmlns="690b2128-8961-48af-a473-22c34a9accba">CHS23/081</Decision_x0020_Number>
    <New_x0020_Owner xmlns="690b2128-8961-48af-a473-22c34a9accba">Women, Youth and Children (WY&amp;C) - Women's and Babies</New_x0020_Owner>
    <ISD_x0020_Submitted xmlns="690b2128-8961-48af-a473-22c34a9accba">Not Required</ISD_x0020_Submitted>
    <RelatedPolicies_x002c_ProceduresGuidelines xmlns="690b2128-8961-48af-a473-22c34a9accba" xsi:nil="true"/>
    <k0794e393e1f41c2810d090eedba34a0 xmlns="690b2128-8961-48af-a473-22c34a9accba">
      <Terms xmlns="http://schemas.microsoft.com/office/infopath/2007/PartnerControls"/>
    </k0794e393e1f41c2810d090eedba34a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a85ca2a71eb48d3bbf240e90b0ab54da">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b66b2be4ec89f51385ddf3da80aee9b7"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berra Hospital - Integrated Operations Centre"/>
              <xsd:enumeration value="Canberra Hospital - Integrated Operations Centre - Emergency Management Coordination"/>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ancer and Ambulatory Support (CAS) - Integrated Care Program"/>
              <xsd:enumeration value="CEO"/>
              <xsd:enumeration value="CEO - Canberra Hospital Foundation"/>
              <xsd:enumeration value="CEO - Office of Research and Education (ORE)"/>
              <xsd:enumeration value="COO"/>
              <xsd:enumeration value="CHS ED Medical Services"/>
              <xsd:enumeration value="CHS ED Medical Services - Donate Life"/>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DRSM"/>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Not Required"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3B4F1B-9BCC-41AB-B9AC-EE257C95AE52}">
  <ds:schemaRefs>
    <ds:schemaRef ds:uri="http://schemas.openxmlformats.org/officeDocument/2006/bibliography"/>
  </ds:schemaRefs>
</ds:datastoreItem>
</file>

<file path=customXml/itemProps2.xml><?xml version="1.0" encoding="utf-8"?>
<ds:datastoreItem xmlns:ds="http://schemas.openxmlformats.org/officeDocument/2006/customXml" ds:itemID="{DB4DC44B-71B7-4995-8E5F-F0CBB4CC20A7}">
  <ds:schemaRefs>
    <ds:schemaRef ds:uri="http://www.w3.org/XML/1998/namespace"/>
    <ds:schemaRef ds:uri="http://purl.org/dc/dcmitype/"/>
    <ds:schemaRef ds:uri="http://schemas.microsoft.com/office/2006/documentManagement/types"/>
    <ds:schemaRef ds:uri="http://schemas.microsoft.com/office/2006/metadata/properties"/>
    <ds:schemaRef ds:uri="http://schemas.microsoft.com/office/infopath/2007/PartnerControls"/>
    <ds:schemaRef ds:uri="http://purl.org/dc/terms/"/>
    <ds:schemaRef ds:uri="http://schemas.openxmlformats.org/package/2006/metadata/core-properties"/>
    <ds:schemaRef ds:uri="c0239a80-7f07-4ed7-82c3-24ad7d76ada5"/>
    <ds:schemaRef ds:uri="690b2128-8961-48af-a473-22c34a9accba"/>
    <ds:schemaRef ds:uri="http://purl.org/dc/elements/1.1/"/>
  </ds:schemaRefs>
</ds:datastoreItem>
</file>

<file path=customXml/itemProps3.xml><?xml version="1.0" encoding="utf-8"?>
<ds:datastoreItem xmlns:ds="http://schemas.openxmlformats.org/officeDocument/2006/customXml" ds:itemID="{F8BCE065-8A76-4612-B6B3-FBE0E46BFCF4}">
  <ds:schemaRefs>
    <ds:schemaRef ds:uri="http://schemas.microsoft.com/sharepoint/v3/contenttype/forms"/>
  </ds:schemaRefs>
</ds:datastoreItem>
</file>

<file path=customXml/itemProps4.xml><?xml version="1.0" encoding="utf-8"?>
<ds:datastoreItem xmlns:ds="http://schemas.openxmlformats.org/officeDocument/2006/customXml" ds:itemID="{8ED3C16D-E327-4D2E-B0C7-76561D580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b2128-8961-48af-a473-22c34a9accba"/>
    <ds:schemaRef ds:uri="c0239a80-7f07-4ed7-82c3-24ad7d76a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29</Pages>
  <Words>8441</Words>
  <Characters>49214</Characters>
  <Application>Microsoft Office Word</Application>
  <DocSecurity>0</DocSecurity>
  <Lines>1171</Lines>
  <Paragraphs>748</Paragraphs>
  <ScaleCrop>false</ScaleCrop>
  <HeadingPairs>
    <vt:vector size="2" baseType="variant">
      <vt:variant>
        <vt:lpstr>Title</vt:lpstr>
      </vt:variant>
      <vt:variant>
        <vt:i4>1</vt:i4>
      </vt:variant>
    </vt:vector>
  </HeadingPairs>
  <TitlesOfParts>
    <vt:vector size="1" baseType="lpstr">
      <vt:lpstr>Diabetes in pregnancy - includes pre-existing and gestational diabetes</vt:lpstr>
    </vt:vector>
  </TitlesOfParts>
  <Company>ACT Government</Company>
  <LinksUpToDate>false</LinksUpToDate>
  <CharactersWithSpaces>56907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Diabetes in pregnancy - includes pre-existing and gestational diabetes</dc:title>
  <dc:subject/>
  <dc:creator>Kerryn Hunter</dc:creator>
  <cp:keywords/>
  <dc:description/>
  <cp:lastModifiedBy>Rusanov, Zoia</cp:lastModifiedBy>
  <cp:revision>19</cp:revision>
  <cp:lastPrinted>2014-07-16T01:36:00Z</cp:lastPrinted>
  <dcterms:created xsi:type="dcterms:W3CDTF">2023-03-20T22:40:00Z</dcterms:created>
  <dcterms:modified xsi:type="dcterms:W3CDTF">2025-09-03T02:06:00Z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_DocHome">
    <vt:i4>-1279851974</vt:i4>
  </property>
  <property fmtid="{D5CDD505-2E9C-101B-9397-08002B2CF9AE}" pid="4" name="Related Legislation &amp; Guidelines">
    <vt:lpwstr/>
  </property>
  <property fmtid="{D5CDD505-2E9C-101B-9397-08002B2CF9AE}" pid="5" name="MSIP_Label_69af8531-eb46-4968-8cb3-105d2f5ea87e_Enabled">
    <vt:lpwstr>true</vt:lpwstr>
  </property>
  <property fmtid="{D5CDD505-2E9C-101B-9397-08002B2CF9AE}" pid="6" name="MSIP_Label_69af8531-eb46-4968-8cb3-105d2f5ea87e_SetDate">
    <vt:lpwstr>2024-12-09T05:17:28Z</vt:lpwstr>
  </property>
  <property fmtid="{D5CDD505-2E9C-101B-9397-08002B2CF9AE}" pid="7" name="MSIP_Label_69af8531-eb46-4968-8cb3-105d2f5ea87e_Method">
    <vt:lpwstr>Standard</vt:lpwstr>
  </property>
  <property fmtid="{D5CDD505-2E9C-101B-9397-08002B2CF9AE}" pid="8" name="MSIP_Label_69af8531-eb46-4968-8cb3-105d2f5ea87e_Name">
    <vt:lpwstr>Official - No Marking</vt:lpwstr>
  </property>
  <property fmtid="{D5CDD505-2E9C-101B-9397-08002B2CF9AE}" pid="9" name="MSIP_Label_69af8531-eb46-4968-8cb3-105d2f5ea87e_SiteId">
    <vt:lpwstr>b46c1908-0334-4236-b978-585ee88e4199</vt:lpwstr>
  </property>
  <property fmtid="{D5CDD505-2E9C-101B-9397-08002B2CF9AE}" pid="10" name="MSIP_Label_69af8531-eb46-4968-8cb3-105d2f5ea87e_ActionId">
    <vt:lpwstr>b8626ce4-846d-4558-8e6c-a43c55e9eed6</vt:lpwstr>
  </property>
  <property fmtid="{D5CDD505-2E9C-101B-9397-08002B2CF9AE}" pid="11" name="MSIP_Label_69af8531-eb46-4968-8cb3-105d2f5ea87e_ContentBits">
    <vt:lpwstr>0</vt:lpwstr>
  </property>
  <property fmtid="{D5CDD505-2E9C-101B-9397-08002B2CF9AE}" pid="12" name="Related_x0020_Legislation_x0020__x0026__x0020_Guidelines">
    <vt:lpwstr/>
  </property>
</Properties>
</file>