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2923B8C" w:rsidR="009A534C" w:rsidRPr="00DA3910" w:rsidRDefault="009A534C" w:rsidP="009A534C">
      <w:pPr>
        <w:rPr>
          <w:rFonts w:cs="Arial"/>
          <w:b/>
          <w:sz w:val="40"/>
          <w:szCs w:val="40"/>
        </w:rPr>
      </w:pPr>
      <w:r>
        <w:rPr>
          <w:rFonts w:cs="Arial"/>
          <w:b/>
          <w:sz w:val="40"/>
          <w:szCs w:val="40"/>
        </w:rPr>
        <w:t>Guideline</w:t>
      </w:r>
      <w:r w:rsidR="00B10F87">
        <w:rPr>
          <w:rFonts w:cs="Arial"/>
          <w:b/>
          <w:sz w:val="40"/>
          <w:szCs w:val="40"/>
        </w:rPr>
        <w:t xml:space="preserve"> </w:t>
      </w:r>
    </w:p>
    <w:p w14:paraId="252EAEAD" w14:textId="58E18B92" w:rsidR="00CF2F95" w:rsidRPr="00452357" w:rsidRDefault="00CF2F95" w:rsidP="009A534C">
      <w:pPr>
        <w:rPr>
          <w:rFonts w:cs="Arial"/>
          <w:b/>
          <w:i/>
          <w:sz w:val="36"/>
          <w:szCs w:val="36"/>
        </w:rPr>
      </w:pPr>
      <w:r>
        <w:rPr>
          <w:rFonts w:cs="Arial"/>
          <w:b/>
          <w:i/>
          <w:sz w:val="36"/>
          <w:szCs w:val="36"/>
        </w:rPr>
        <w:t>Splenic Injury Management Guidelines for Adults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12684139"/>
            <w:r w:rsidRPr="00CD1C0E">
              <w:t>Contents</w:t>
            </w:r>
            <w:bookmarkEnd w:id="0"/>
            <w:bookmarkEnd w:id="1"/>
            <w:bookmarkEnd w:id="2"/>
            <w:bookmarkEnd w:id="3"/>
          </w:p>
        </w:tc>
      </w:tr>
    </w:tbl>
    <w:p w14:paraId="086829D5" w14:textId="77777777" w:rsidR="009A534C" w:rsidRDefault="009A534C" w:rsidP="00C13D33"/>
    <w:p w14:paraId="1B7DC6FD" w14:textId="0A2434E6" w:rsidR="00452357"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12684139" w:history="1">
        <w:r w:rsidR="00452357" w:rsidRPr="007C5814">
          <w:rPr>
            <w:rStyle w:val="Hyperlink"/>
            <w:noProof/>
          </w:rPr>
          <w:t>Contents</w:t>
        </w:r>
        <w:r w:rsidR="00452357">
          <w:rPr>
            <w:noProof/>
            <w:webHidden/>
          </w:rPr>
          <w:tab/>
        </w:r>
        <w:r w:rsidR="00452357">
          <w:rPr>
            <w:noProof/>
            <w:webHidden/>
          </w:rPr>
          <w:fldChar w:fldCharType="begin"/>
        </w:r>
        <w:r w:rsidR="00452357">
          <w:rPr>
            <w:noProof/>
            <w:webHidden/>
          </w:rPr>
          <w:instrText xml:space="preserve"> PAGEREF _Toc112684139 \h </w:instrText>
        </w:r>
        <w:r w:rsidR="00452357">
          <w:rPr>
            <w:noProof/>
            <w:webHidden/>
          </w:rPr>
        </w:r>
        <w:r w:rsidR="00452357">
          <w:rPr>
            <w:noProof/>
            <w:webHidden/>
          </w:rPr>
          <w:fldChar w:fldCharType="separate"/>
        </w:r>
        <w:r w:rsidR="00452357">
          <w:rPr>
            <w:noProof/>
            <w:webHidden/>
          </w:rPr>
          <w:t>1</w:t>
        </w:r>
        <w:r w:rsidR="00452357">
          <w:rPr>
            <w:noProof/>
            <w:webHidden/>
          </w:rPr>
          <w:fldChar w:fldCharType="end"/>
        </w:r>
      </w:hyperlink>
    </w:p>
    <w:p w14:paraId="4347A696" w14:textId="1D9C4F26" w:rsidR="00452357" w:rsidRDefault="00452357">
      <w:pPr>
        <w:pStyle w:val="TOC1"/>
        <w:tabs>
          <w:tab w:val="right" w:leader="dot" w:pos="9060"/>
        </w:tabs>
        <w:rPr>
          <w:rFonts w:eastAsiaTheme="minorEastAsia" w:cstheme="minorBidi"/>
          <w:noProof/>
          <w:sz w:val="22"/>
          <w:szCs w:val="22"/>
          <w:lang w:eastAsia="en-AU"/>
        </w:rPr>
      </w:pPr>
      <w:hyperlink w:anchor="_Toc112684140" w:history="1">
        <w:r w:rsidRPr="007C5814">
          <w:rPr>
            <w:rStyle w:val="Hyperlink"/>
            <w:noProof/>
          </w:rPr>
          <w:t>Guideline Statement</w:t>
        </w:r>
        <w:r>
          <w:rPr>
            <w:noProof/>
            <w:webHidden/>
          </w:rPr>
          <w:tab/>
        </w:r>
        <w:r>
          <w:rPr>
            <w:noProof/>
            <w:webHidden/>
          </w:rPr>
          <w:fldChar w:fldCharType="begin"/>
        </w:r>
        <w:r>
          <w:rPr>
            <w:noProof/>
            <w:webHidden/>
          </w:rPr>
          <w:instrText xml:space="preserve"> PAGEREF _Toc112684140 \h </w:instrText>
        </w:r>
        <w:r>
          <w:rPr>
            <w:noProof/>
            <w:webHidden/>
          </w:rPr>
        </w:r>
        <w:r>
          <w:rPr>
            <w:noProof/>
            <w:webHidden/>
          </w:rPr>
          <w:fldChar w:fldCharType="separate"/>
        </w:r>
        <w:r>
          <w:rPr>
            <w:noProof/>
            <w:webHidden/>
          </w:rPr>
          <w:t>2</w:t>
        </w:r>
        <w:r>
          <w:rPr>
            <w:noProof/>
            <w:webHidden/>
          </w:rPr>
          <w:fldChar w:fldCharType="end"/>
        </w:r>
      </w:hyperlink>
    </w:p>
    <w:p w14:paraId="2ECE97B1" w14:textId="58BF4794" w:rsidR="00452357" w:rsidRDefault="00452357">
      <w:pPr>
        <w:pStyle w:val="TOC1"/>
        <w:tabs>
          <w:tab w:val="right" w:leader="dot" w:pos="9060"/>
        </w:tabs>
        <w:rPr>
          <w:rFonts w:eastAsiaTheme="minorEastAsia" w:cstheme="minorBidi"/>
          <w:noProof/>
          <w:sz w:val="22"/>
          <w:szCs w:val="22"/>
          <w:lang w:eastAsia="en-AU"/>
        </w:rPr>
      </w:pPr>
      <w:hyperlink w:anchor="_Toc112684141" w:history="1">
        <w:r w:rsidRPr="007C5814">
          <w:rPr>
            <w:rStyle w:val="Hyperlink"/>
            <w:noProof/>
          </w:rPr>
          <w:t>Purpose</w:t>
        </w:r>
        <w:r>
          <w:rPr>
            <w:noProof/>
            <w:webHidden/>
          </w:rPr>
          <w:tab/>
        </w:r>
        <w:r>
          <w:rPr>
            <w:noProof/>
            <w:webHidden/>
          </w:rPr>
          <w:fldChar w:fldCharType="begin"/>
        </w:r>
        <w:r>
          <w:rPr>
            <w:noProof/>
            <w:webHidden/>
          </w:rPr>
          <w:instrText xml:space="preserve"> PAGEREF _Toc112684141 \h </w:instrText>
        </w:r>
        <w:r>
          <w:rPr>
            <w:noProof/>
            <w:webHidden/>
          </w:rPr>
        </w:r>
        <w:r>
          <w:rPr>
            <w:noProof/>
            <w:webHidden/>
          </w:rPr>
          <w:fldChar w:fldCharType="separate"/>
        </w:r>
        <w:r>
          <w:rPr>
            <w:noProof/>
            <w:webHidden/>
          </w:rPr>
          <w:t>2</w:t>
        </w:r>
        <w:r>
          <w:rPr>
            <w:noProof/>
            <w:webHidden/>
          </w:rPr>
          <w:fldChar w:fldCharType="end"/>
        </w:r>
      </w:hyperlink>
    </w:p>
    <w:p w14:paraId="469E3AEA" w14:textId="3BCDE208" w:rsidR="00452357" w:rsidRDefault="00452357">
      <w:pPr>
        <w:pStyle w:val="TOC1"/>
        <w:tabs>
          <w:tab w:val="right" w:leader="dot" w:pos="9060"/>
        </w:tabs>
        <w:rPr>
          <w:rFonts w:eastAsiaTheme="minorEastAsia" w:cstheme="minorBidi"/>
          <w:noProof/>
          <w:sz w:val="22"/>
          <w:szCs w:val="22"/>
          <w:lang w:eastAsia="en-AU"/>
        </w:rPr>
      </w:pPr>
      <w:hyperlink w:anchor="_Toc112684142" w:history="1">
        <w:r w:rsidRPr="007C5814">
          <w:rPr>
            <w:rStyle w:val="Hyperlink"/>
            <w:noProof/>
          </w:rPr>
          <w:t>Scope</w:t>
        </w:r>
        <w:r>
          <w:rPr>
            <w:noProof/>
            <w:webHidden/>
          </w:rPr>
          <w:tab/>
        </w:r>
        <w:r>
          <w:rPr>
            <w:noProof/>
            <w:webHidden/>
          </w:rPr>
          <w:fldChar w:fldCharType="begin"/>
        </w:r>
        <w:r>
          <w:rPr>
            <w:noProof/>
            <w:webHidden/>
          </w:rPr>
          <w:instrText xml:space="preserve"> PAGEREF _Toc112684142 \h </w:instrText>
        </w:r>
        <w:r>
          <w:rPr>
            <w:noProof/>
            <w:webHidden/>
          </w:rPr>
        </w:r>
        <w:r>
          <w:rPr>
            <w:noProof/>
            <w:webHidden/>
          </w:rPr>
          <w:fldChar w:fldCharType="separate"/>
        </w:r>
        <w:r>
          <w:rPr>
            <w:noProof/>
            <w:webHidden/>
          </w:rPr>
          <w:t>2</w:t>
        </w:r>
        <w:r>
          <w:rPr>
            <w:noProof/>
            <w:webHidden/>
          </w:rPr>
          <w:fldChar w:fldCharType="end"/>
        </w:r>
      </w:hyperlink>
    </w:p>
    <w:p w14:paraId="3F470623" w14:textId="3EE6C469" w:rsidR="00452357" w:rsidRDefault="00452357">
      <w:pPr>
        <w:pStyle w:val="TOC1"/>
        <w:tabs>
          <w:tab w:val="right" w:leader="dot" w:pos="9060"/>
        </w:tabs>
        <w:rPr>
          <w:rFonts w:eastAsiaTheme="minorEastAsia" w:cstheme="minorBidi"/>
          <w:noProof/>
          <w:sz w:val="22"/>
          <w:szCs w:val="22"/>
          <w:lang w:eastAsia="en-AU"/>
        </w:rPr>
      </w:pPr>
      <w:hyperlink w:anchor="_Toc112684143" w:history="1">
        <w:r w:rsidRPr="007C5814">
          <w:rPr>
            <w:rStyle w:val="Hyperlink"/>
            <w:noProof/>
          </w:rPr>
          <w:t>Section 1 – Treatment Algorithm</w:t>
        </w:r>
        <w:r>
          <w:rPr>
            <w:noProof/>
            <w:webHidden/>
          </w:rPr>
          <w:tab/>
        </w:r>
        <w:r>
          <w:rPr>
            <w:noProof/>
            <w:webHidden/>
          </w:rPr>
          <w:fldChar w:fldCharType="begin"/>
        </w:r>
        <w:r>
          <w:rPr>
            <w:noProof/>
            <w:webHidden/>
          </w:rPr>
          <w:instrText xml:space="preserve"> PAGEREF _Toc112684143 \h </w:instrText>
        </w:r>
        <w:r>
          <w:rPr>
            <w:noProof/>
            <w:webHidden/>
          </w:rPr>
        </w:r>
        <w:r>
          <w:rPr>
            <w:noProof/>
            <w:webHidden/>
          </w:rPr>
          <w:fldChar w:fldCharType="separate"/>
        </w:r>
        <w:r>
          <w:rPr>
            <w:noProof/>
            <w:webHidden/>
          </w:rPr>
          <w:t>3</w:t>
        </w:r>
        <w:r>
          <w:rPr>
            <w:noProof/>
            <w:webHidden/>
          </w:rPr>
          <w:fldChar w:fldCharType="end"/>
        </w:r>
      </w:hyperlink>
    </w:p>
    <w:p w14:paraId="22C35278" w14:textId="0CD43B4B" w:rsidR="00452357" w:rsidRDefault="00452357">
      <w:pPr>
        <w:pStyle w:val="TOC1"/>
        <w:tabs>
          <w:tab w:val="right" w:leader="dot" w:pos="9060"/>
        </w:tabs>
        <w:rPr>
          <w:rFonts w:eastAsiaTheme="minorEastAsia" w:cstheme="minorBidi"/>
          <w:noProof/>
          <w:sz w:val="22"/>
          <w:szCs w:val="22"/>
          <w:lang w:eastAsia="en-AU"/>
        </w:rPr>
      </w:pPr>
      <w:hyperlink w:anchor="_Toc112684144" w:history="1">
        <w:r w:rsidRPr="007C5814">
          <w:rPr>
            <w:rStyle w:val="Hyperlink"/>
            <w:noProof/>
          </w:rPr>
          <w:t>Section 2 – Initial Assessment</w:t>
        </w:r>
        <w:r>
          <w:rPr>
            <w:noProof/>
            <w:webHidden/>
          </w:rPr>
          <w:tab/>
        </w:r>
        <w:r>
          <w:rPr>
            <w:noProof/>
            <w:webHidden/>
          </w:rPr>
          <w:fldChar w:fldCharType="begin"/>
        </w:r>
        <w:r>
          <w:rPr>
            <w:noProof/>
            <w:webHidden/>
          </w:rPr>
          <w:instrText xml:space="preserve"> PAGEREF _Toc112684144 \h </w:instrText>
        </w:r>
        <w:r>
          <w:rPr>
            <w:noProof/>
            <w:webHidden/>
          </w:rPr>
        </w:r>
        <w:r>
          <w:rPr>
            <w:noProof/>
            <w:webHidden/>
          </w:rPr>
          <w:fldChar w:fldCharType="separate"/>
        </w:r>
        <w:r>
          <w:rPr>
            <w:noProof/>
            <w:webHidden/>
          </w:rPr>
          <w:t>4</w:t>
        </w:r>
        <w:r>
          <w:rPr>
            <w:noProof/>
            <w:webHidden/>
          </w:rPr>
          <w:fldChar w:fldCharType="end"/>
        </w:r>
      </w:hyperlink>
    </w:p>
    <w:p w14:paraId="3A3F92B2" w14:textId="6758AFDF" w:rsidR="00452357" w:rsidRDefault="00452357">
      <w:pPr>
        <w:pStyle w:val="TOC1"/>
        <w:tabs>
          <w:tab w:val="right" w:leader="dot" w:pos="9060"/>
        </w:tabs>
        <w:rPr>
          <w:rFonts w:eastAsiaTheme="minorEastAsia" w:cstheme="minorBidi"/>
          <w:noProof/>
          <w:sz w:val="22"/>
          <w:szCs w:val="22"/>
          <w:lang w:eastAsia="en-AU"/>
        </w:rPr>
      </w:pPr>
      <w:hyperlink w:anchor="_Toc112684145" w:history="1">
        <w:r w:rsidRPr="007C5814">
          <w:rPr>
            <w:rStyle w:val="Hyperlink"/>
            <w:noProof/>
          </w:rPr>
          <w:t>Section 3 – Use of FAST scan</w:t>
        </w:r>
        <w:r>
          <w:rPr>
            <w:noProof/>
            <w:webHidden/>
          </w:rPr>
          <w:tab/>
        </w:r>
        <w:r>
          <w:rPr>
            <w:noProof/>
            <w:webHidden/>
          </w:rPr>
          <w:fldChar w:fldCharType="begin"/>
        </w:r>
        <w:r>
          <w:rPr>
            <w:noProof/>
            <w:webHidden/>
          </w:rPr>
          <w:instrText xml:space="preserve"> PAGEREF _Toc112684145 \h </w:instrText>
        </w:r>
        <w:r>
          <w:rPr>
            <w:noProof/>
            <w:webHidden/>
          </w:rPr>
        </w:r>
        <w:r>
          <w:rPr>
            <w:noProof/>
            <w:webHidden/>
          </w:rPr>
          <w:fldChar w:fldCharType="separate"/>
        </w:r>
        <w:r>
          <w:rPr>
            <w:noProof/>
            <w:webHidden/>
          </w:rPr>
          <w:t>4</w:t>
        </w:r>
        <w:r>
          <w:rPr>
            <w:noProof/>
            <w:webHidden/>
          </w:rPr>
          <w:fldChar w:fldCharType="end"/>
        </w:r>
      </w:hyperlink>
    </w:p>
    <w:p w14:paraId="33EB8CFC" w14:textId="0B8F3370" w:rsidR="00452357" w:rsidRDefault="00452357">
      <w:pPr>
        <w:pStyle w:val="TOC1"/>
        <w:tabs>
          <w:tab w:val="right" w:leader="dot" w:pos="9060"/>
        </w:tabs>
        <w:rPr>
          <w:rFonts w:eastAsiaTheme="minorEastAsia" w:cstheme="minorBidi"/>
          <w:noProof/>
          <w:sz w:val="22"/>
          <w:szCs w:val="22"/>
          <w:lang w:eastAsia="en-AU"/>
        </w:rPr>
      </w:pPr>
      <w:hyperlink w:anchor="_Toc112684146" w:history="1">
        <w:r w:rsidRPr="007C5814">
          <w:rPr>
            <w:rStyle w:val="Hyperlink"/>
            <w:noProof/>
          </w:rPr>
          <w:t>Section 4 – Operative Management</w:t>
        </w:r>
        <w:r>
          <w:rPr>
            <w:noProof/>
            <w:webHidden/>
          </w:rPr>
          <w:tab/>
        </w:r>
        <w:r>
          <w:rPr>
            <w:noProof/>
            <w:webHidden/>
          </w:rPr>
          <w:fldChar w:fldCharType="begin"/>
        </w:r>
        <w:r>
          <w:rPr>
            <w:noProof/>
            <w:webHidden/>
          </w:rPr>
          <w:instrText xml:space="preserve"> PAGEREF _Toc112684146 \h </w:instrText>
        </w:r>
        <w:r>
          <w:rPr>
            <w:noProof/>
            <w:webHidden/>
          </w:rPr>
        </w:r>
        <w:r>
          <w:rPr>
            <w:noProof/>
            <w:webHidden/>
          </w:rPr>
          <w:fldChar w:fldCharType="separate"/>
        </w:r>
        <w:r>
          <w:rPr>
            <w:noProof/>
            <w:webHidden/>
          </w:rPr>
          <w:t>5</w:t>
        </w:r>
        <w:r>
          <w:rPr>
            <w:noProof/>
            <w:webHidden/>
          </w:rPr>
          <w:fldChar w:fldCharType="end"/>
        </w:r>
      </w:hyperlink>
    </w:p>
    <w:p w14:paraId="6E8C5C9C" w14:textId="4A85EEE0" w:rsidR="00452357" w:rsidRDefault="00452357">
      <w:pPr>
        <w:pStyle w:val="TOC1"/>
        <w:tabs>
          <w:tab w:val="right" w:leader="dot" w:pos="9060"/>
        </w:tabs>
        <w:rPr>
          <w:rFonts w:eastAsiaTheme="minorEastAsia" w:cstheme="minorBidi"/>
          <w:noProof/>
          <w:sz w:val="22"/>
          <w:szCs w:val="22"/>
          <w:lang w:eastAsia="en-AU"/>
        </w:rPr>
      </w:pPr>
      <w:hyperlink w:anchor="_Toc112684147" w:history="1">
        <w:r w:rsidRPr="007C5814">
          <w:rPr>
            <w:rStyle w:val="Hyperlink"/>
            <w:noProof/>
          </w:rPr>
          <w:t>Section 5 – Non operative Management following contrast-enhanced CT gradings of splenic injury</w:t>
        </w:r>
        <w:r>
          <w:rPr>
            <w:noProof/>
            <w:webHidden/>
          </w:rPr>
          <w:tab/>
        </w:r>
        <w:r>
          <w:rPr>
            <w:noProof/>
            <w:webHidden/>
          </w:rPr>
          <w:fldChar w:fldCharType="begin"/>
        </w:r>
        <w:r>
          <w:rPr>
            <w:noProof/>
            <w:webHidden/>
          </w:rPr>
          <w:instrText xml:space="preserve"> PAGEREF _Toc112684147 \h </w:instrText>
        </w:r>
        <w:r>
          <w:rPr>
            <w:noProof/>
            <w:webHidden/>
          </w:rPr>
        </w:r>
        <w:r>
          <w:rPr>
            <w:noProof/>
            <w:webHidden/>
          </w:rPr>
          <w:fldChar w:fldCharType="separate"/>
        </w:r>
        <w:r>
          <w:rPr>
            <w:noProof/>
            <w:webHidden/>
          </w:rPr>
          <w:t>5</w:t>
        </w:r>
        <w:r>
          <w:rPr>
            <w:noProof/>
            <w:webHidden/>
          </w:rPr>
          <w:fldChar w:fldCharType="end"/>
        </w:r>
      </w:hyperlink>
    </w:p>
    <w:p w14:paraId="19C9CE4D" w14:textId="083B82B2" w:rsidR="00452357" w:rsidRDefault="00452357">
      <w:pPr>
        <w:pStyle w:val="TOC1"/>
        <w:tabs>
          <w:tab w:val="right" w:leader="dot" w:pos="9060"/>
        </w:tabs>
        <w:rPr>
          <w:rFonts w:eastAsiaTheme="minorEastAsia" w:cstheme="minorBidi"/>
          <w:noProof/>
          <w:sz w:val="22"/>
          <w:szCs w:val="22"/>
          <w:lang w:eastAsia="en-AU"/>
        </w:rPr>
      </w:pPr>
      <w:hyperlink w:anchor="_Toc112684148" w:history="1">
        <w:r w:rsidRPr="007C5814">
          <w:rPr>
            <w:rStyle w:val="Hyperlink"/>
            <w:noProof/>
          </w:rPr>
          <w:t>Section 6 – Mobility vs Bed rest</w:t>
        </w:r>
        <w:r>
          <w:rPr>
            <w:noProof/>
            <w:webHidden/>
          </w:rPr>
          <w:tab/>
        </w:r>
        <w:r>
          <w:rPr>
            <w:noProof/>
            <w:webHidden/>
          </w:rPr>
          <w:fldChar w:fldCharType="begin"/>
        </w:r>
        <w:r>
          <w:rPr>
            <w:noProof/>
            <w:webHidden/>
          </w:rPr>
          <w:instrText xml:space="preserve"> PAGEREF _Toc112684148 \h </w:instrText>
        </w:r>
        <w:r>
          <w:rPr>
            <w:noProof/>
            <w:webHidden/>
          </w:rPr>
        </w:r>
        <w:r>
          <w:rPr>
            <w:noProof/>
            <w:webHidden/>
          </w:rPr>
          <w:fldChar w:fldCharType="separate"/>
        </w:r>
        <w:r>
          <w:rPr>
            <w:noProof/>
            <w:webHidden/>
          </w:rPr>
          <w:t>7</w:t>
        </w:r>
        <w:r>
          <w:rPr>
            <w:noProof/>
            <w:webHidden/>
          </w:rPr>
          <w:fldChar w:fldCharType="end"/>
        </w:r>
      </w:hyperlink>
    </w:p>
    <w:p w14:paraId="6DFC1CBD" w14:textId="3276F003" w:rsidR="00452357" w:rsidRDefault="00452357">
      <w:pPr>
        <w:pStyle w:val="TOC1"/>
        <w:tabs>
          <w:tab w:val="right" w:leader="dot" w:pos="9060"/>
        </w:tabs>
        <w:rPr>
          <w:rFonts w:eastAsiaTheme="minorEastAsia" w:cstheme="minorBidi"/>
          <w:noProof/>
          <w:sz w:val="22"/>
          <w:szCs w:val="22"/>
          <w:lang w:eastAsia="en-AU"/>
        </w:rPr>
      </w:pPr>
      <w:hyperlink w:anchor="_Toc112684149" w:history="1">
        <w:r w:rsidRPr="007C5814">
          <w:rPr>
            <w:rStyle w:val="Hyperlink"/>
            <w:noProof/>
          </w:rPr>
          <w:t>Section 7- Thromboprophylaxis</w:t>
        </w:r>
        <w:r>
          <w:rPr>
            <w:noProof/>
            <w:webHidden/>
          </w:rPr>
          <w:tab/>
        </w:r>
        <w:r>
          <w:rPr>
            <w:noProof/>
            <w:webHidden/>
          </w:rPr>
          <w:fldChar w:fldCharType="begin"/>
        </w:r>
        <w:r>
          <w:rPr>
            <w:noProof/>
            <w:webHidden/>
          </w:rPr>
          <w:instrText xml:space="preserve"> PAGEREF _Toc112684149 \h </w:instrText>
        </w:r>
        <w:r>
          <w:rPr>
            <w:noProof/>
            <w:webHidden/>
          </w:rPr>
        </w:r>
        <w:r>
          <w:rPr>
            <w:noProof/>
            <w:webHidden/>
          </w:rPr>
          <w:fldChar w:fldCharType="separate"/>
        </w:r>
        <w:r>
          <w:rPr>
            <w:noProof/>
            <w:webHidden/>
          </w:rPr>
          <w:t>7</w:t>
        </w:r>
        <w:r>
          <w:rPr>
            <w:noProof/>
            <w:webHidden/>
          </w:rPr>
          <w:fldChar w:fldCharType="end"/>
        </w:r>
      </w:hyperlink>
    </w:p>
    <w:p w14:paraId="7BE76469" w14:textId="1C6B3EA1" w:rsidR="00452357" w:rsidRDefault="00452357">
      <w:pPr>
        <w:pStyle w:val="TOC1"/>
        <w:tabs>
          <w:tab w:val="right" w:leader="dot" w:pos="9060"/>
        </w:tabs>
        <w:rPr>
          <w:rFonts w:eastAsiaTheme="minorEastAsia" w:cstheme="minorBidi"/>
          <w:noProof/>
          <w:sz w:val="22"/>
          <w:szCs w:val="22"/>
          <w:lang w:eastAsia="en-AU"/>
        </w:rPr>
      </w:pPr>
      <w:hyperlink w:anchor="_Toc112684150" w:history="1">
        <w:r w:rsidRPr="007C5814">
          <w:rPr>
            <w:rStyle w:val="Hyperlink"/>
            <w:noProof/>
          </w:rPr>
          <w:t>Section 8- Vaccinations</w:t>
        </w:r>
        <w:r>
          <w:rPr>
            <w:noProof/>
            <w:webHidden/>
          </w:rPr>
          <w:tab/>
        </w:r>
        <w:r>
          <w:rPr>
            <w:noProof/>
            <w:webHidden/>
          </w:rPr>
          <w:fldChar w:fldCharType="begin"/>
        </w:r>
        <w:r>
          <w:rPr>
            <w:noProof/>
            <w:webHidden/>
          </w:rPr>
          <w:instrText xml:space="preserve"> PAGEREF _Toc112684150 \h </w:instrText>
        </w:r>
        <w:r>
          <w:rPr>
            <w:noProof/>
            <w:webHidden/>
          </w:rPr>
        </w:r>
        <w:r>
          <w:rPr>
            <w:noProof/>
            <w:webHidden/>
          </w:rPr>
          <w:fldChar w:fldCharType="separate"/>
        </w:r>
        <w:r>
          <w:rPr>
            <w:noProof/>
            <w:webHidden/>
          </w:rPr>
          <w:t>7</w:t>
        </w:r>
        <w:r>
          <w:rPr>
            <w:noProof/>
            <w:webHidden/>
          </w:rPr>
          <w:fldChar w:fldCharType="end"/>
        </w:r>
      </w:hyperlink>
    </w:p>
    <w:p w14:paraId="770403C1" w14:textId="1DC3368B" w:rsidR="00452357" w:rsidRDefault="00452357">
      <w:pPr>
        <w:pStyle w:val="TOC1"/>
        <w:tabs>
          <w:tab w:val="right" w:leader="dot" w:pos="9060"/>
        </w:tabs>
        <w:rPr>
          <w:rFonts w:eastAsiaTheme="minorEastAsia" w:cstheme="minorBidi"/>
          <w:noProof/>
          <w:sz w:val="22"/>
          <w:szCs w:val="22"/>
          <w:lang w:eastAsia="en-AU"/>
        </w:rPr>
      </w:pPr>
      <w:hyperlink w:anchor="_Toc112684151" w:history="1">
        <w:r w:rsidRPr="007C5814">
          <w:rPr>
            <w:rStyle w:val="Hyperlink"/>
            <w:noProof/>
          </w:rPr>
          <w:t>Section 9 - Antibiotics</w:t>
        </w:r>
        <w:r>
          <w:rPr>
            <w:noProof/>
            <w:webHidden/>
          </w:rPr>
          <w:tab/>
        </w:r>
        <w:r>
          <w:rPr>
            <w:noProof/>
            <w:webHidden/>
          </w:rPr>
          <w:fldChar w:fldCharType="begin"/>
        </w:r>
        <w:r>
          <w:rPr>
            <w:noProof/>
            <w:webHidden/>
          </w:rPr>
          <w:instrText xml:space="preserve"> PAGEREF _Toc112684151 \h </w:instrText>
        </w:r>
        <w:r>
          <w:rPr>
            <w:noProof/>
            <w:webHidden/>
          </w:rPr>
        </w:r>
        <w:r>
          <w:rPr>
            <w:noProof/>
            <w:webHidden/>
          </w:rPr>
          <w:fldChar w:fldCharType="separate"/>
        </w:r>
        <w:r>
          <w:rPr>
            <w:noProof/>
            <w:webHidden/>
          </w:rPr>
          <w:t>7</w:t>
        </w:r>
        <w:r>
          <w:rPr>
            <w:noProof/>
            <w:webHidden/>
          </w:rPr>
          <w:fldChar w:fldCharType="end"/>
        </w:r>
      </w:hyperlink>
    </w:p>
    <w:p w14:paraId="70110DCE" w14:textId="292E5B12" w:rsidR="00452357" w:rsidRDefault="00452357">
      <w:pPr>
        <w:pStyle w:val="TOC1"/>
        <w:tabs>
          <w:tab w:val="right" w:leader="dot" w:pos="9060"/>
        </w:tabs>
        <w:rPr>
          <w:rFonts w:eastAsiaTheme="minorEastAsia" w:cstheme="minorBidi"/>
          <w:noProof/>
          <w:sz w:val="22"/>
          <w:szCs w:val="22"/>
          <w:lang w:eastAsia="en-AU"/>
        </w:rPr>
      </w:pPr>
      <w:hyperlink w:anchor="_Toc112684152" w:history="1">
        <w:r w:rsidRPr="007C5814">
          <w:rPr>
            <w:rStyle w:val="Hyperlink"/>
            <w:noProof/>
          </w:rPr>
          <w:t>Section 10- Follow up Imaging</w:t>
        </w:r>
        <w:r>
          <w:rPr>
            <w:noProof/>
            <w:webHidden/>
          </w:rPr>
          <w:tab/>
        </w:r>
        <w:r>
          <w:rPr>
            <w:noProof/>
            <w:webHidden/>
          </w:rPr>
          <w:fldChar w:fldCharType="begin"/>
        </w:r>
        <w:r>
          <w:rPr>
            <w:noProof/>
            <w:webHidden/>
          </w:rPr>
          <w:instrText xml:space="preserve"> PAGEREF _Toc112684152 \h </w:instrText>
        </w:r>
        <w:r>
          <w:rPr>
            <w:noProof/>
            <w:webHidden/>
          </w:rPr>
        </w:r>
        <w:r>
          <w:rPr>
            <w:noProof/>
            <w:webHidden/>
          </w:rPr>
          <w:fldChar w:fldCharType="separate"/>
        </w:r>
        <w:r>
          <w:rPr>
            <w:noProof/>
            <w:webHidden/>
          </w:rPr>
          <w:t>8</w:t>
        </w:r>
        <w:r>
          <w:rPr>
            <w:noProof/>
            <w:webHidden/>
          </w:rPr>
          <w:fldChar w:fldCharType="end"/>
        </w:r>
      </w:hyperlink>
    </w:p>
    <w:p w14:paraId="594B7A11" w14:textId="6B2E945B" w:rsidR="00452357" w:rsidRDefault="00452357">
      <w:pPr>
        <w:pStyle w:val="TOC1"/>
        <w:tabs>
          <w:tab w:val="right" w:leader="dot" w:pos="9060"/>
        </w:tabs>
        <w:rPr>
          <w:rFonts w:eastAsiaTheme="minorEastAsia" w:cstheme="minorBidi"/>
          <w:noProof/>
          <w:sz w:val="22"/>
          <w:szCs w:val="22"/>
          <w:lang w:eastAsia="en-AU"/>
        </w:rPr>
      </w:pPr>
      <w:hyperlink w:anchor="_Toc112684153" w:history="1">
        <w:r w:rsidRPr="007C5814">
          <w:rPr>
            <w:rStyle w:val="Hyperlink"/>
            <w:noProof/>
          </w:rPr>
          <w:t>Section 11- Spleen Education and Bracelet</w:t>
        </w:r>
        <w:r>
          <w:rPr>
            <w:noProof/>
            <w:webHidden/>
          </w:rPr>
          <w:tab/>
        </w:r>
        <w:r>
          <w:rPr>
            <w:noProof/>
            <w:webHidden/>
          </w:rPr>
          <w:fldChar w:fldCharType="begin"/>
        </w:r>
        <w:r>
          <w:rPr>
            <w:noProof/>
            <w:webHidden/>
          </w:rPr>
          <w:instrText xml:space="preserve"> PAGEREF _Toc112684153 \h </w:instrText>
        </w:r>
        <w:r>
          <w:rPr>
            <w:noProof/>
            <w:webHidden/>
          </w:rPr>
        </w:r>
        <w:r>
          <w:rPr>
            <w:noProof/>
            <w:webHidden/>
          </w:rPr>
          <w:fldChar w:fldCharType="separate"/>
        </w:r>
        <w:r>
          <w:rPr>
            <w:noProof/>
            <w:webHidden/>
          </w:rPr>
          <w:t>8</w:t>
        </w:r>
        <w:r>
          <w:rPr>
            <w:noProof/>
            <w:webHidden/>
          </w:rPr>
          <w:fldChar w:fldCharType="end"/>
        </w:r>
      </w:hyperlink>
    </w:p>
    <w:p w14:paraId="3F96BD1C" w14:textId="5516C4F6" w:rsidR="00452357" w:rsidRDefault="00452357">
      <w:pPr>
        <w:pStyle w:val="TOC1"/>
        <w:tabs>
          <w:tab w:val="right" w:leader="dot" w:pos="9060"/>
        </w:tabs>
        <w:rPr>
          <w:rFonts w:eastAsiaTheme="minorEastAsia" w:cstheme="minorBidi"/>
          <w:noProof/>
          <w:sz w:val="22"/>
          <w:szCs w:val="22"/>
          <w:lang w:eastAsia="en-AU"/>
        </w:rPr>
      </w:pPr>
      <w:hyperlink w:anchor="_Toc112684154" w:history="1">
        <w:r w:rsidRPr="007C5814">
          <w:rPr>
            <w:rStyle w:val="Hyperlink"/>
            <w:noProof/>
          </w:rPr>
          <w:t>Evaluation</w:t>
        </w:r>
        <w:r>
          <w:rPr>
            <w:noProof/>
            <w:webHidden/>
          </w:rPr>
          <w:tab/>
        </w:r>
        <w:r>
          <w:rPr>
            <w:noProof/>
            <w:webHidden/>
          </w:rPr>
          <w:fldChar w:fldCharType="begin"/>
        </w:r>
        <w:r>
          <w:rPr>
            <w:noProof/>
            <w:webHidden/>
          </w:rPr>
          <w:instrText xml:space="preserve"> PAGEREF _Toc112684154 \h </w:instrText>
        </w:r>
        <w:r>
          <w:rPr>
            <w:noProof/>
            <w:webHidden/>
          </w:rPr>
        </w:r>
        <w:r>
          <w:rPr>
            <w:noProof/>
            <w:webHidden/>
          </w:rPr>
          <w:fldChar w:fldCharType="separate"/>
        </w:r>
        <w:r>
          <w:rPr>
            <w:noProof/>
            <w:webHidden/>
          </w:rPr>
          <w:t>8</w:t>
        </w:r>
        <w:r>
          <w:rPr>
            <w:noProof/>
            <w:webHidden/>
          </w:rPr>
          <w:fldChar w:fldCharType="end"/>
        </w:r>
      </w:hyperlink>
    </w:p>
    <w:p w14:paraId="14E1BA55" w14:textId="4E004B3B" w:rsidR="00452357" w:rsidRDefault="00452357">
      <w:pPr>
        <w:pStyle w:val="TOC1"/>
        <w:tabs>
          <w:tab w:val="right" w:leader="dot" w:pos="9060"/>
        </w:tabs>
        <w:rPr>
          <w:rFonts w:eastAsiaTheme="minorEastAsia" w:cstheme="minorBidi"/>
          <w:noProof/>
          <w:sz w:val="22"/>
          <w:szCs w:val="22"/>
          <w:lang w:eastAsia="en-AU"/>
        </w:rPr>
      </w:pPr>
      <w:hyperlink w:anchor="_Toc112684155" w:history="1">
        <w:r w:rsidRPr="007C5814">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_Toc112684155 \h </w:instrText>
        </w:r>
        <w:r>
          <w:rPr>
            <w:noProof/>
            <w:webHidden/>
          </w:rPr>
        </w:r>
        <w:r>
          <w:rPr>
            <w:noProof/>
            <w:webHidden/>
          </w:rPr>
          <w:fldChar w:fldCharType="separate"/>
        </w:r>
        <w:r>
          <w:rPr>
            <w:noProof/>
            <w:webHidden/>
          </w:rPr>
          <w:t>9</w:t>
        </w:r>
        <w:r>
          <w:rPr>
            <w:noProof/>
            <w:webHidden/>
          </w:rPr>
          <w:fldChar w:fldCharType="end"/>
        </w:r>
      </w:hyperlink>
    </w:p>
    <w:p w14:paraId="32B61C95" w14:textId="36F93D4A" w:rsidR="00452357" w:rsidRDefault="00452357">
      <w:pPr>
        <w:pStyle w:val="TOC1"/>
        <w:tabs>
          <w:tab w:val="right" w:leader="dot" w:pos="9060"/>
        </w:tabs>
        <w:rPr>
          <w:rFonts w:eastAsiaTheme="minorEastAsia" w:cstheme="minorBidi"/>
          <w:noProof/>
          <w:sz w:val="22"/>
          <w:szCs w:val="22"/>
          <w:lang w:eastAsia="en-AU"/>
        </w:rPr>
      </w:pPr>
      <w:hyperlink w:anchor="_Toc112684156" w:history="1">
        <w:r w:rsidRPr="007C5814">
          <w:rPr>
            <w:rStyle w:val="Hyperlink"/>
            <w:noProof/>
          </w:rPr>
          <w:t>References</w:t>
        </w:r>
        <w:r>
          <w:rPr>
            <w:noProof/>
            <w:webHidden/>
          </w:rPr>
          <w:tab/>
        </w:r>
        <w:r>
          <w:rPr>
            <w:noProof/>
            <w:webHidden/>
          </w:rPr>
          <w:fldChar w:fldCharType="begin"/>
        </w:r>
        <w:r>
          <w:rPr>
            <w:noProof/>
            <w:webHidden/>
          </w:rPr>
          <w:instrText xml:space="preserve"> PAGEREF _Toc112684156 \h </w:instrText>
        </w:r>
        <w:r>
          <w:rPr>
            <w:noProof/>
            <w:webHidden/>
          </w:rPr>
        </w:r>
        <w:r>
          <w:rPr>
            <w:noProof/>
            <w:webHidden/>
          </w:rPr>
          <w:fldChar w:fldCharType="separate"/>
        </w:r>
        <w:r>
          <w:rPr>
            <w:noProof/>
            <w:webHidden/>
          </w:rPr>
          <w:t>9</w:t>
        </w:r>
        <w:r>
          <w:rPr>
            <w:noProof/>
            <w:webHidden/>
          </w:rPr>
          <w:fldChar w:fldCharType="end"/>
        </w:r>
      </w:hyperlink>
    </w:p>
    <w:p w14:paraId="0F734178" w14:textId="711C6342" w:rsidR="00452357" w:rsidRDefault="00452357">
      <w:pPr>
        <w:pStyle w:val="TOC1"/>
        <w:tabs>
          <w:tab w:val="right" w:leader="dot" w:pos="9060"/>
        </w:tabs>
        <w:rPr>
          <w:rFonts w:eastAsiaTheme="minorEastAsia" w:cstheme="minorBidi"/>
          <w:noProof/>
          <w:sz w:val="22"/>
          <w:szCs w:val="22"/>
          <w:lang w:eastAsia="en-AU"/>
        </w:rPr>
      </w:pPr>
      <w:hyperlink w:anchor="_Toc112684157" w:history="1">
        <w:r w:rsidRPr="007C5814">
          <w:rPr>
            <w:rStyle w:val="Hyperlink"/>
            <w:noProof/>
          </w:rPr>
          <w:t>Search Terms</w:t>
        </w:r>
        <w:r>
          <w:rPr>
            <w:noProof/>
            <w:webHidden/>
          </w:rPr>
          <w:tab/>
        </w:r>
        <w:r>
          <w:rPr>
            <w:noProof/>
            <w:webHidden/>
          </w:rPr>
          <w:fldChar w:fldCharType="begin"/>
        </w:r>
        <w:r>
          <w:rPr>
            <w:noProof/>
            <w:webHidden/>
          </w:rPr>
          <w:instrText xml:space="preserve"> PAGEREF _Toc112684157 \h </w:instrText>
        </w:r>
        <w:r>
          <w:rPr>
            <w:noProof/>
            <w:webHidden/>
          </w:rPr>
        </w:r>
        <w:r>
          <w:rPr>
            <w:noProof/>
            <w:webHidden/>
          </w:rPr>
          <w:fldChar w:fldCharType="separate"/>
        </w:r>
        <w:r>
          <w:rPr>
            <w:noProof/>
            <w:webHidden/>
          </w:rPr>
          <w:t>10</w:t>
        </w:r>
        <w:r>
          <w:rPr>
            <w:noProof/>
            <w:webHidden/>
          </w:rPr>
          <w:fldChar w:fldCharType="end"/>
        </w:r>
      </w:hyperlink>
    </w:p>
    <w:p w14:paraId="53A35B0E" w14:textId="0AC62538" w:rsidR="00452357" w:rsidRDefault="00452357">
      <w:pPr>
        <w:pStyle w:val="TOC1"/>
        <w:tabs>
          <w:tab w:val="right" w:leader="dot" w:pos="9060"/>
        </w:tabs>
        <w:rPr>
          <w:rFonts w:eastAsiaTheme="minorEastAsia" w:cstheme="minorBidi"/>
          <w:noProof/>
          <w:sz w:val="22"/>
          <w:szCs w:val="22"/>
          <w:lang w:eastAsia="en-AU"/>
        </w:rPr>
      </w:pPr>
      <w:hyperlink w:anchor="_Toc112684158" w:history="1">
        <w:r w:rsidRPr="007C5814">
          <w:rPr>
            <w:rStyle w:val="Hyperlink"/>
            <w:noProof/>
          </w:rPr>
          <w:t>Attachments</w:t>
        </w:r>
        <w:r>
          <w:rPr>
            <w:noProof/>
            <w:webHidden/>
          </w:rPr>
          <w:tab/>
        </w:r>
        <w:r>
          <w:rPr>
            <w:noProof/>
            <w:webHidden/>
          </w:rPr>
          <w:fldChar w:fldCharType="begin"/>
        </w:r>
        <w:r>
          <w:rPr>
            <w:noProof/>
            <w:webHidden/>
          </w:rPr>
          <w:instrText xml:space="preserve"> PAGEREF _Toc112684158 \h </w:instrText>
        </w:r>
        <w:r>
          <w:rPr>
            <w:noProof/>
            <w:webHidden/>
          </w:rPr>
        </w:r>
        <w:r>
          <w:rPr>
            <w:noProof/>
            <w:webHidden/>
          </w:rPr>
          <w:fldChar w:fldCharType="separate"/>
        </w:r>
        <w:r>
          <w:rPr>
            <w:noProof/>
            <w:webHidden/>
          </w:rPr>
          <w:t>10</w:t>
        </w:r>
        <w:r>
          <w:rPr>
            <w:noProof/>
            <w:webHidden/>
          </w:rPr>
          <w:fldChar w:fldCharType="end"/>
        </w:r>
      </w:hyperlink>
    </w:p>
    <w:p w14:paraId="086829E2" w14:textId="3CE90659"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12684140"/>
            <w:r>
              <w:lastRenderedPageBreak/>
              <w:t>Guideline Statement</w:t>
            </w:r>
            <w:bookmarkEnd w:id="4"/>
          </w:p>
        </w:tc>
      </w:tr>
    </w:tbl>
    <w:p w14:paraId="086829E6" w14:textId="77777777" w:rsidR="009A534C" w:rsidRDefault="009A534C" w:rsidP="00C13D33">
      <w:pPr>
        <w:rPr>
          <w:rFonts w:cs="Arial"/>
          <w:b/>
          <w:szCs w:val="24"/>
        </w:rPr>
      </w:pPr>
    </w:p>
    <w:p w14:paraId="289E5B4B" w14:textId="3FBD4189" w:rsidR="001A0D49" w:rsidRDefault="001A0D49" w:rsidP="00446F06">
      <w:pPr>
        <w:rPr>
          <w:rFonts w:cs="Arial"/>
          <w:b/>
          <w:szCs w:val="24"/>
        </w:rPr>
      </w:pPr>
      <w:r>
        <w:t xml:space="preserve">Splenic injury is commonly seen in blunt abdominal trauma. Historically, the management of splenic injuries involved mostly operative interventions because of the high failure rate in nonoperative management (NOM). Over the years, NOM has evolved as the standard of care for </w:t>
      </w:r>
      <w:proofErr w:type="spellStart"/>
      <w:r w:rsidR="00FB69B3">
        <w:t>h</w:t>
      </w:r>
      <w:r w:rsidR="00B10DDA">
        <w:t>a</w:t>
      </w:r>
      <w:r w:rsidR="00FB69B3">
        <w:t>emodynamically</w:t>
      </w:r>
      <w:proofErr w:type="spellEnd"/>
      <w:r>
        <w:t xml:space="preserve"> stable patients with splenic injury</w:t>
      </w:r>
      <w:r w:rsidR="005E061E">
        <w:t xml:space="preserve">, including that of high grade splenic injuries on </w:t>
      </w:r>
      <w:r w:rsidR="00E54484">
        <w:t>Computed Tomography (</w:t>
      </w:r>
      <w:r w:rsidR="005E061E">
        <w:t>CT</w:t>
      </w:r>
      <w:r w:rsidR="00E54484">
        <w:t>)</w:t>
      </w:r>
      <w:r w:rsidR="005E061E">
        <w:t xml:space="preserve"> scan</w:t>
      </w:r>
      <w:r>
        <w:t xml:space="preserve">. </w:t>
      </w:r>
      <w:r w:rsidR="001D1F6D">
        <w:t>Treatment of splenic injury s</w:t>
      </w:r>
      <w:r>
        <w:t>uccess rates have continued to improve with 90% or greater in most centres worldwide.</w:t>
      </w:r>
    </w:p>
    <w:p w14:paraId="086829F1" w14:textId="77777777" w:rsidR="00010E74" w:rsidRDefault="00010E74" w:rsidP="00C13D33"/>
    <w:p w14:paraId="086829F2" w14:textId="77777777" w:rsidR="0098579F" w:rsidRDefault="00452357"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054B9F35" w:rsidR="0098579F" w:rsidRPr="002E3BFE" w:rsidRDefault="00DA43D1" w:rsidP="00B10F87">
            <w:pPr>
              <w:pStyle w:val="Heading1"/>
            </w:pPr>
            <w:bookmarkStart w:id="5" w:name="_Toc112684141"/>
            <w:r>
              <w:t>Purpose</w:t>
            </w:r>
            <w:bookmarkEnd w:id="5"/>
          </w:p>
        </w:tc>
      </w:tr>
    </w:tbl>
    <w:p w14:paraId="086829F5" w14:textId="77777777" w:rsidR="0098579F" w:rsidRDefault="0098579F" w:rsidP="0098579F"/>
    <w:p w14:paraId="5701EB8D" w14:textId="07AA442A" w:rsidR="00CF2F95" w:rsidRPr="00844A6D" w:rsidRDefault="00CF2F95" w:rsidP="00446F06">
      <w:r>
        <w:t>The purpose of this guideline is to assist the emergency and trauma team in assessing and managing splenic trauma</w:t>
      </w:r>
      <w:r w:rsidR="00877871">
        <w:t xml:space="preserve"> in adults</w:t>
      </w:r>
      <w:r w:rsidR="00692CA0">
        <w:t xml:space="preserve">, </w:t>
      </w:r>
      <w:r w:rsidR="00877871">
        <w:t>16 years old and above</w:t>
      </w:r>
      <w:r>
        <w:t xml:space="preserve">. This guideline is based on existing </w:t>
      </w:r>
      <w:r w:rsidR="0047378F">
        <w:t>protocols</w:t>
      </w:r>
      <w:r>
        <w:t xml:space="preserve"> from </w:t>
      </w:r>
      <w:r w:rsidR="0047378F">
        <w:t>various</w:t>
      </w:r>
      <w:r>
        <w:t xml:space="preserve"> centres</w:t>
      </w:r>
      <w:r w:rsidR="0047378F">
        <w:t xml:space="preserve">.  </w:t>
      </w:r>
      <w:r w:rsidR="003012F8">
        <w:rPr>
          <w:rFonts w:cs="Arial"/>
          <w:szCs w:val="24"/>
        </w:rPr>
        <w:t>Canberra Health Services (</w:t>
      </w:r>
      <w:r w:rsidR="00D64301">
        <w:t>CHS</w:t>
      </w:r>
      <w:r w:rsidR="003012F8">
        <w:t>)</w:t>
      </w:r>
      <w:r w:rsidR="0047378F">
        <w:t xml:space="preserve"> acknowledge</w:t>
      </w:r>
      <w:r>
        <w:t xml:space="preserve"> </w:t>
      </w:r>
      <w:r w:rsidR="0047378F">
        <w:t>there are</w:t>
      </w:r>
      <w:r>
        <w:t xml:space="preserve"> controversies in </w:t>
      </w:r>
      <w:r w:rsidR="0047378F">
        <w:t>current</w:t>
      </w:r>
      <w:r>
        <w:t xml:space="preserve"> literature </w:t>
      </w:r>
      <w:r w:rsidR="0047378F">
        <w:t>around</w:t>
      </w:r>
      <w:r>
        <w:t xml:space="preserve"> splenic injury and management</w:t>
      </w:r>
      <w:r w:rsidR="0047378F">
        <w:t xml:space="preserve"> and have adapted guidelines to reflect</w:t>
      </w:r>
      <w:r w:rsidR="00D757F6">
        <w:t xml:space="preserve"> our</w:t>
      </w:r>
      <w:r w:rsidR="003012F8">
        <w:t xml:space="preserve"> </w:t>
      </w:r>
      <w:r w:rsidR="00D757F6">
        <w:t>consensus around</w:t>
      </w:r>
      <w:r w:rsidR="0047378F">
        <w:t xml:space="preserve"> best evidence</w:t>
      </w:r>
      <w:r w:rsidR="00D757F6">
        <w:t>.</w:t>
      </w:r>
      <w:r>
        <w:t xml:space="preserve"> </w:t>
      </w:r>
    </w:p>
    <w:p w14:paraId="086829FE" w14:textId="77777777" w:rsidR="00C13D33" w:rsidRDefault="00C13D33" w:rsidP="00C13D33">
      <w:pPr>
        <w:rPr>
          <w:rFonts w:cs="Arial"/>
          <w:szCs w:val="24"/>
        </w:rPr>
      </w:pPr>
    </w:p>
    <w:p w14:paraId="7B580CC3" w14:textId="5BEBA269" w:rsidR="00376ED4" w:rsidRDefault="00452357" w:rsidP="00041DA1">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41DA1" w:rsidRPr="001B2BAC" w14:paraId="1E89D606" w14:textId="77777777" w:rsidTr="005C5D26">
        <w:trPr>
          <w:cantSplit/>
          <w:trHeight w:val="285"/>
        </w:trPr>
        <w:tc>
          <w:tcPr>
            <w:tcW w:w="9158" w:type="dxa"/>
            <w:shd w:val="clear" w:color="auto" w:fill="D9D9D9" w:themeFill="background1" w:themeFillShade="D9"/>
          </w:tcPr>
          <w:p w14:paraId="694BDDD3" w14:textId="145354DF" w:rsidR="00041DA1" w:rsidRPr="002E3BFE" w:rsidRDefault="00041DA1" w:rsidP="005C5D26">
            <w:pPr>
              <w:pStyle w:val="Heading1"/>
            </w:pPr>
            <w:bookmarkStart w:id="6" w:name="_Toc112684142"/>
            <w:r>
              <w:t>Scope</w:t>
            </w:r>
            <w:bookmarkEnd w:id="6"/>
          </w:p>
        </w:tc>
      </w:tr>
    </w:tbl>
    <w:p w14:paraId="0B5A829C" w14:textId="3983D280" w:rsidR="00041DA1" w:rsidRDefault="00041DA1" w:rsidP="00376ED4">
      <w:pPr>
        <w:spacing w:after="200" w:line="276" w:lineRule="auto"/>
        <w:rPr>
          <w:rFonts w:cs="Arial"/>
          <w:szCs w:val="24"/>
        </w:rPr>
      </w:pPr>
      <w:r>
        <w:rPr>
          <w:rFonts w:cs="Arial"/>
          <w:szCs w:val="24"/>
        </w:rPr>
        <w:t>This guideline applies to patients presenting to CHS with splenic injury.</w:t>
      </w:r>
    </w:p>
    <w:p w14:paraId="0BD3A11F" w14:textId="51DD0649" w:rsidR="00041DA1" w:rsidRDefault="00041DA1" w:rsidP="00041DA1">
      <w:pPr>
        <w:spacing w:line="276" w:lineRule="auto"/>
        <w:rPr>
          <w:rFonts w:cs="Arial"/>
          <w:szCs w:val="24"/>
        </w:rPr>
      </w:pPr>
      <w:r>
        <w:rPr>
          <w:rFonts w:cs="Arial"/>
          <w:szCs w:val="24"/>
        </w:rPr>
        <w:t>This guideline applies to the following CHS staff working within their scope of practice:</w:t>
      </w:r>
    </w:p>
    <w:p w14:paraId="617DE5A2" w14:textId="05E4DC24" w:rsidR="00041DA1" w:rsidRPr="00041DA1" w:rsidRDefault="00041DA1" w:rsidP="00041DA1">
      <w:pPr>
        <w:pStyle w:val="ListBullet"/>
        <w:rPr>
          <w:rFonts w:eastAsiaTheme="majorEastAsia" w:cs="Arial"/>
          <w:i/>
          <w:color w:val="0000FF"/>
          <w:szCs w:val="24"/>
          <w:u w:val="single"/>
        </w:rPr>
      </w:pPr>
      <w:r>
        <w:t>Medical Officers - Emergency physicians, trauma and surgical teams, interventional radiologists</w:t>
      </w:r>
    </w:p>
    <w:p w14:paraId="54B514CE" w14:textId="0A38A923" w:rsidR="00041DA1" w:rsidRPr="00041DA1" w:rsidRDefault="00041DA1" w:rsidP="00041DA1">
      <w:pPr>
        <w:pStyle w:val="ListBullet"/>
        <w:rPr>
          <w:rFonts w:eastAsiaTheme="majorEastAsia" w:cs="Arial"/>
          <w:i/>
          <w:color w:val="0000FF"/>
          <w:szCs w:val="24"/>
          <w:u w:val="single"/>
        </w:rPr>
      </w:pPr>
      <w:r>
        <w:t xml:space="preserve">Nurses </w:t>
      </w:r>
    </w:p>
    <w:p w14:paraId="0002DADF" w14:textId="605C9AEE" w:rsidR="00041DA1" w:rsidRPr="00041DA1" w:rsidRDefault="00041DA1" w:rsidP="00041DA1">
      <w:pPr>
        <w:pStyle w:val="ListBullet"/>
        <w:rPr>
          <w:rFonts w:eastAsiaTheme="majorEastAsia" w:cs="Arial"/>
          <w:i/>
          <w:color w:val="0000FF"/>
          <w:szCs w:val="24"/>
          <w:u w:val="single"/>
        </w:rPr>
      </w:pPr>
      <w:r>
        <w:t xml:space="preserve">Allied </w:t>
      </w:r>
      <w:r w:rsidR="00000C5C">
        <w:t>H</w:t>
      </w:r>
      <w:r>
        <w:t xml:space="preserve">ealth </w:t>
      </w:r>
      <w:r w:rsidR="00000C5C">
        <w:t>P</w:t>
      </w:r>
      <w:r>
        <w:t>rofessionals</w:t>
      </w:r>
    </w:p>
    <w:p w14:paraId="667C0008" w14:textId="2E9EE155" w:rsidR="00C13D33" w:rsidRPr="00041DA1" w:rsidRDefault="00041DA1" w:rsidP="00041DA1">
      <w:pPr>
        <w:pStyle w:val="ListBullet"/>
        <w:rPr>
          <w:rStyle w:val="Hyperlink"/>
          <w:rFonts w:eastAsiaTheme="majorEastAsia" w:cs="Arial"/>
          <w:i/>
          <w:szCs w:val="24"/>
        </w:rPr>
      </w:pPr>
      <w:r>
        <w:t xml:space="preserve">Students under direct supervision. </w:t>
      </w:r>
      <w:r w:rsidR="00EB082F">
        <w:rPr>
          <w:rStyle w:val="Hyperlink"/>
          <w:rFonts w:eastAsiaTheme="majorEastAsia"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0A44ED" w:rsidRPr="00CD1C0E" w14:paraId="0020D78C" w14:textId="77777777" w:rsidTr="007E1DE1">
        <w:trPr>
          <w:cantSplit/>
          <w:trHeight w:val="285"/>
        </w:trPr>
        <w:tc>
          <w:tcPr>
            <w:tcW w:w="9158" w:type="dxa"/>
            <w:shd w:val="clear" w:color="auto" w:fill="D9D9D9" w:themeFill="background1" w:themeFillShade="D9"/>
          </w:tcPr>
          <w:p w14:paraId="23D010CA" w14:textId="39E9C02E" w:rsidR="000A44ED" w:rsidRPr="00C76688" w:rsidRDefault="000A44ED" w:rsidP="000A44ED">
            <w:pPr>
              <w:pStyle w:val="Heading1"/>
            </w:pPr>
            <w:bookmarkStart w:id="7" w:name="_Toc112684143"/>
            <w:r w:rsidRPr="00C76688">
              <w:lastRenderedPageBreak/>
              <w:t>Section 1 –</w:t>
            </w:r>
            <w:r>
              <w:t xml:space="preserve"> Treatment Algorithm</w:t>
            </w:r>
            <w:bookmarkEnd w:id="7"/>
          </w:p>
        </w:tc>
      </w:tr>
    </w:tbl>
    <w:p w14:paraId="163B5AF5" w14:textId="5C2CB6C5" w:rsidR="000A44ED" w:rsidRPr="003012F8" w:rsidRDefault="007C3F23" w:rsidP="003012F8">
      <w:pPr>
        <w:rPr>
          <w:rStyle w:val="Hyperlink"/>
          <w:rFonts w:eastAsiaTheme="majorEastAsia" w:cs="Arial"/>
          <w:color w:val="auto"/>
          <w:szCs w:val="24"/>
          <w:u w:val="none"/>
        </w:rPr>
      </w:pPr>
      <w:r w:rsidRPr="003012F8">
        <w:rPr>
          <w:rStyle w:val="Hyperlink"/>
          <w:rFonts w:eastAsiaTheme="majorEastAsia" w:cs="Arial"/>
          <w:iCs/>
          <w:color w:val="auto"/>
          <w:szCs w:val="24"/>
          <w:u w:val="none"/>
        </w:rPr>
        <w:t xml:space="preserve">Figure 1. </w:t>
      </w:r>
      <w:r w:rsidR="00254780" w:rsidRPr="003012F8">
        <w:rPr>
          <w:rStyle w:val="Hyperlink"/>
          <w:rFonts w:eastAsiaTheme="majorEastAsia" w:cs="Arial"/>
          <w:iCs/>
          <w:color w:val="auto"/>
          <w:szCs w:val="24"/>
          <w:u w:val="none"/>
        </w:rPr>
        <w:t xml:space="preserve">Treatment Algorithm for </w:t>
      </w:r>
      <w:r w:rsidR="00740065" w:rsidRPr="003012F8">
        <w:rPr>
          <w:rStyle w:val="Hyperlink"/>
          <w:rFonts w:eastAsiaTheme="majorEastAsia" w:cs="Arial"/>
          <w:iCs/>
          <w:color w:val="auto"/>
          <w:szCs w:val="24"/>
          <w:u w:val="none"/>
        </w:rPr>
        <w:t>Splenic Injury</w:t>
      </w:r>
    </w:p>
    <w:p w14:paraId="2E744556" w14:textId="7BDE3CDC" w:rsidR="00EB082F" w:rsidRDefault="00D4139A" w:rsidP="00EB082F">
      <w:pPr>
        <w:rPr>
          <w:sz w:val="20"/>
        </w:rPr>
      </w:pPr>
      <w:r w:rsidRPr="00D4139A">
        <w:rPr>
          <w:noProof/>
          <w:sz w:val="20"/>
        </w:rPr>
        <w:drawing>
          <wp:inline distT="0" distB="0" distL="0" distR="0" wp14:anchorId="17D1BA3D" wp14:editId="3CE88CA1">
            <wp:extent cx="6354161" cy="7310438"/>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4161" cy="7310438"/>
                    </a:xfrm>
                    <a:prstGeom prst="rect">
                      <a:avLst/>
                    </a:prstGeom>
                  </pic:spPr>
                </pic:pic>
              </a:graphicData>
            </a:graphic>
          </wp:inline>
        </w:drawing>
      </w:r>
    </w:p>
    <w:p w14:paraId="703F440E" w14:textId="7ADFAE8B" w:rsidR="00130C14" w:rsidRDefault="00130C14" w:rsidP="00EB082F">
      <w:pPr>
        <w:rPr>
          <w:rFonts w:cs="Arial"/>
          <w:szCs w:val="24"/>
        </w:rPr>
      </w:pPr>
    </w:p>
    <w:p w14:paraId="4499B646" w14:textId="13023A72" w:rsidR="00446F06" w:rsidRPr="00D4139A" w:rsidRDefault="00452357" w:rsidP="00D4139A">
      <w:pPr>
        <w:jc w:val="right"/>
        <w:rPr>
          <w:rFonts w:eastAsiaTheme="majorEastAsia" w:cs="Arial"/>
          <w:i/>
          <w:color w:val="0000FF"/>
          <w:szCs w:val="24"/>
          <w:u w:val="single"/>
        </w:rPr>
      </w:pPr>
      <w:hyperlink w:anchor="Contents" w:history="1">
        <w:r w:rsidR="00446F06"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432DBE3B" w:rsidR="009A534C" w:rsidRPr="00C76688" w:rsidRDefault="009A534C" w:rsidP="000A44ED">
            <w:pPr>
              <w:pStyle w:val="Heading1"/>
            </w:pPr>
            <w:bookmarkStart w:id="8" w:name="_Toc389473278"/>
            <w:bookmarkStart w:id="9" w:name="_Toc393203334"/>
            <w:bookmarkStart w:id="10" w:name="_Toc112684144"/>
            <w:r w:rsidRPr="00C76688">
              <w:lastRenderedPageBreak/>
              <w:t xml:space="preserve">Section </w:t>
            </w:r>
            <w:r w:rsidR="000A44ED">
              <w:t>2</w:t>
            </w:r>
            <w:r w:rsidRPr="00C76688">
              <w:t xml:space="preserve"> –</w:t>
            </w:r>
            <w:r>
              <w:t xml:space="preserve"> </w:t>
            </w:r>
            <w:bookmarkEnd w:id="8"/>
            <w:bookmarkEnd w:id="9"/>
            <w:r w:rsidR="00DA43D1">
              <w:t>Initial Assessment</w:t>
            </w:r>
            <w:bookmarkEnd w:id="10"/>
          </w:p>
        </w:tc>
      </w:tr>
    </w:tbl>
    <w:p w14:paraId="10DEB1E6" w14:textId="77777777" w:rsidR="00DA43D1" w:rsidRDefault="00DA43D1" w:rsidP="00DA43D1">
      <w:pPr>
        <w:pStyle w:val="ListParagraph"/>
        <w:ind w:left="570"/>
      </w:pPr>
    </w:p>
    <w:p w14:paraId="09A8580F" w14:textId="219E629B" w:rsidR="002822C8" w:rsidRDefault="00DA43D1" w:rsidP="00446F06">
      <w:r>
        <w:t xml:space="preserve">The initial evaluation of patients with suspected blunt abdominal injuries should follow the principles of </w:t>
      </w:r>
      <w:r w:rsidR="007640C4">
        <w:t>Advanced Trauma Life Support (</w:t>
      </w:r>
      <w:r>
        <w:t>ATLS</w:t>
      </w:r>
      <w:r w:rsidR="007640C4">
        <w:t>)</w:t>
      </w:r>
      <w:r>
        <w:t>/</w:t>
      </w:r>
      <w:r w:rsidR="007640C4">
        <w:t>Early Management of Severe Trauma (</w:t>
      </w:r>
      <w:r>
        <w:t>EMST</w:t>
      </w:r>
      <w:r w:rsidR="007640C4">
        <w:t>)</w:t>
      </w:r>
      <w:r>
        <w:t xml:space="preserve">. The patient’s haemodynamic status is evaluated clinically. There </w:t>
      </w:r>
      <w:r w:rsidR="00D757F6">
        <w:t>are</w:t>
      </w:r>
      <w:r>
        <w:t xml:space="preserve"> no clear definitions of haemodynamic stability/instability in </w:t>
      </w:r>
      <w:r w:rsidR="00D757F6">
        <w:t xml:space="preserve">the </w:t>
      </w:r>
      <w:r>
        <w:t>literature. A systolic blood pressure less than 90</w:t>
      </w:r>
      <w:r w:rsidR="002822C8">
        <w:t>mmHg</w:t>
      </w:r>
      <w:r>
        <w:t xml:space="preserve"> should alert the clinician of possible instability in the context of trauma, and thus require early notification </w:t>
      </w:r>
      <w:r w:rsidR="002822C8">
        <w:t>to</w:t>
      </w:r>
      <w:r>
        <w:t xml:space="preserve"> the </w:t>
      </w:r>
      <w:r w:rsidR="002822C8">
        <w:t>S</w:t>
      </w:r>
      <w:r>
        <w:t xml:space="preserve">enior </w:t>
      </w:r>
      <w:r w:rsidR="002822C8">
        <w:t>E</w:t>
      </w:r>
      <w:r>
        <w:t xml:space="preserve">mergency </w:t>
      </w:r>
      <w:r w:rsidR="002822C8">
        <w:t>D</w:t>
      </w:r>
      <w:r>
        <w:t xml:space="preserve">epartment </w:t>
      </w:r>
      <w:r w:rsidR="00821F03">
        <w:t>(ED)</w:t>
      </w:r>
      <w:r>
        <w:t xml:space="preserve"> </w:t>
      </w:r>
      <w:r w:rsidR="002822C8">
        <w:t>P</w:t>
      </w:r>
      <w:r>
        <w:t xml:space="preserve">hysician and the </w:t>
      </w:r>
      <w:r w:rsidR="002822C8">
        <w:t>T</w:t>
      </w:r>
      <w:r>
        <w:t xml:space="preserve">rauma </w:t>
      </w:r>
      <w:r w:rsidR="002822C8">
        <w:t>C</w:t>
      </w:r>
      <w:r>
        <w:t xml:space="preserve">onsultant. The patient’s response to </w:t>
      </w:r>
      <w:r w:rsidR="001D1F6D">
        <w:t xml:space="preserve">fluid or blood product </w:t>
      </w:r>
      <w:r>
        <w:t xml:space="preserve">resuscitation should also be used as an assessment of patient’s haemodynamic status. </w:t>
      </w:r>
    </w:p>
    <w:p w14:paraId="2F3651AF" w14:textId="77777777" w:rsidR="002822C8" w:rsidRDefault="002822C8" w:rsidP="00446F06"/>
    <w:p w14:paraId="385E3331" w14:textId="4638F4B0" w:rsidR="00DA43D1" w:rsidRPr="002822C8" w:rsidRDefault="002822C8" w:rsidP="002822C8">
      <w:pPr>
        <w:pBdr>
          <w:top w:val="single" w:sz="4" w:space="1" w:color="auto"/>
          <w:left w:val="single" w:sz="4" w:space="4" w:color="auto"/>
          <w:bottom w:val="single" w:sz="4" w:space="1" w:color="auto"/>
          <w:right w:val="single" w:sz="4" w:space="4" w:color="auto"/>
        </w:pBdr>
        <w:rPr>
          <w:bCs/>
        </w:rPr>
      </w:pPr>
      <w:r w:rsidRPr="002822C8">
        <w:rPr>
          <w:b/>
          <w:bCs/>
        </w:rPr>
        <w:t>Note:</w:t>
      </w:r>
      <w:r>
        <w:t xml:space="preserve"> </w:t>
      </w:r>
      <w:r w:rsidR="00DA43D1" w:rsidRPr="002822C8">
        <w:rPr>
          <w:bCs/>
        </w:rPr>
        <w:t xml:space="preserve">A senior physician’s </w:t>
      </w:r>
      <w:r w:rsidRPr="002822C8">
        <w:rPr>
          <w:bCs/>
        </w:rPr>
        <w:t xml:space="preserve">(Trauma Consultant/Fellow) </w:t>
      </w:r>
      <w:r w:rsidR="00DA43D1" w:rsidRPr="002822C8">
        <w:rPr>
          <w:bCs/>
        </w:rPr>
        <w:t xml:space="preserve">clinical judgment is </w:t>
      </w:r>
      <w:r w:rsidR="00D757F6" w:rsidRPr="002822C8">
        <w:rPr>
          <w:bCs/>
        </w:rPr>
        <w:t>imperative</w:t>
      </w:r>
      <w:r w:rsidR="00DA43D1" w:rsidRPr="002822C8">
        <w:rPr>
          <w:bCs/>
        </w:rPr>
        <w:t xml:space="preserve"> to assess the patient’s haemodynamic instability </w:t>
      </w:r>
      <w:r w:rsidR="00D757F6" w:rsidRPr="002822C8">
        <w:rPr>
          <w:bCs/>
        </w:rPr>
        <w:t>and</w:t>
      </w:r>
      <w:r w:rsidR="00DA43D1" w:rsidRPr="002822C8">
        <w:rPr>
          <w:bCs/>
        </w:rPr>
        <w:t xml:space="preserve"> guide subsequent management.</w:t>
      </w:r>
    </w:p>
    <w:p w14:paraId="08682A06" w14:textId="4A5B88E4" w:rsidR="009A534C" w:rsidRPr="002822C8" w:rsidRDefault="009A534C" w:rsidP="009A534C">
      <w:pPr>
        <w:rPr>
          <w:rFonts w:cs="Arial"/>
          <w:bCs/>
          <w:i/>
          <w:szCs w:val="24"/>
        </w:rPr>
      </w:pPr>
    </w:p>
    <w:p w14:paraId="08682A07" w14:textId="77777777" w:rsidR="009A534C" w:rsidRPr="00DA3910" w:rsidRDefault="00452357"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1D7C1E0B" w:rsidR="009A534C" w:rsidRPr="00C76688" w:rsidRDefault="009A534C" w:rsidP="00F068AC">
            <w:pPr>
              <w:pStyle w:val="Heading1"/>
            </w:pPr>
            <w:bookmarkStart w:id="11" w:name="_Toc389473281"/>
            <w:bookmarkStart w:id="12" w:name="_Toc393203337"/>
            <w:bookmarkStart w:id="13" w:name="_Toc112684145"/>
            <w:r w:rsidRPr="00C76688">
              <w:t xml:space="preserve">Section </w:t>
            </w:r>
            <w:r w:rsidR="00F068AC">
              <w:t>3</w:t>
            </w:r>
            <w:r w:rsidRPr="00C76688">
              <w:t xml:space="preserve"> –</w:t>
            </w:r>
            <w:bookmarkEnd w:id="11"/>
            <w:bookmarkEnd w:id="12"/>
            <w:r w:rsidR="00DA43D1">
              <w:t xml:space="preserve"> Use of FAST scan</w:t>
            </w:r>
            <w:bookmarkEnd w:id="13"/>
          </w:p>
        </w:tc>
      </w:tr>
    </w:tbl>
    <w:p w14:paraId="08682A0B" w14:textId="77777777" w:rsidR="008E74FD" w:rsidRDefault="008E74FD" w:rsidP="00D54ED5">
      <w:pPr>
        <w:rPr>
          <w:rFonts w:cs="Arial"/>
          <w:i/>
          <w:szCs w:val="24"/>
        </w:rPr>
      </w:pPr>
    </w:p>
    <w:p w14:paraId="4F3B24C4" w14:textId="04E4E605" w:rsidR="002F298D" w:rsidRDefault="002F298D" w:rsidP="00446F06">
      <w:r>
        <w:t xml:space="preserve">The use of Focused </w:t>
      </w:r>
      <w:r w:rsidR="002822C8">
        <w:t>A</w:t>
      </w:r>
      <w:r>
        <w:t>ssessment using Sonography in Trauma</w:t>
      </w:r>
      <w:r w:rsidR="007640C4">
        <w:t xml:space="preserve"> (FAST</w:t>
      </w:r>
      <w:r>
        <w:t>) is an important adjuvant in the initial evaluation of a polytrauma patient</w:t>
      </w:r>
      <w:r w:rsidR="00BA4493">
        <w:t>,</w:t>
      </w:r>
      <w:r>
        <w:t xml:space="preserve"> especially in the setting of haemodynamic instability. </w:t>
      </w:r>
    </w:p>
    <w:p w14:paraId="2AFE531D" w14:textId="77777777" w:rsidR="002F298D" w:rsidRDefault="002F298D" w:rsidP="00446F06">
      <w:pPr>
        <w:ind w:left="570"/>
      </w:pPr>
    </w:p>
    <w:p w14:paraId="79C74630" w14:textId="2AE747E3" w:rsidR="002F298D" w:rsidRDefault="002F298D" w:rsidP="00446F06">
      <w:r>
        <w:t xml:space="preserve">Patients with a positive FAST </w:t>
      </w:r>
      <w:r w:rsidR="00E7272D">
        <w:t>scan</w:t>
      </w:r>
      <w:r>
        <w:t xml:space="preserve"> </w:t>
      </w:r>
      <w:r w:rsidR="00FA5876">
        <w:t>and</w:t>
      </w:r>
      <w:r>
        <w:t xml:space="preserve"> signs of peritonism and haemodynamic instability should </w:t>
      </w:r>
      <w:r w:rsidR="00650A60">
        <w:t xml:space="preserve">be considered for </w:t>
      </w:r>
      <w:r>
        <w:t xml:space="preserve">urgent laparotomy and splenectomy in the setting of splenic involvement. </w:t>
      </w:r>
    </w:p>
    <w:p w14:paraId="6CDCAAA7" w14:textId="77777777" w:rsidR="002F298D" w:rsidRDefault="002F298D" w:rsidP="00446F06">
      <w:pPr>
        <w:ind w:left="570"/>
      </w:pPr>
    </w:p>
    <w:p w14:paraId="688BB563" w14:textId="4DFC49A3" w:rsidR="002F298D" w:rsidRDefault="002F298D" w:rsidP="00446F06">
      <w:r>
        <w:t xml:space="preserve">Patients with a positive FAST </w:t>
      </w:r>
      <w:r w:rsidR="00D757F6">
        <w:t>and</w:t>
      </w:r>
      <w:r>
        <w:t xml:space="preserve"> haemodynamic instability </w:t>
      </w:r>
      <w:r w:rsidR="00D757F6">
        <w:t>who</w:t>
      </w:r>
      <w:r>
        <w:t xml:space="preserve"> respond to initial blood/fluid resuscitation can potentially be </w:t>
      </w:r>
      <w:r w:rsidR="00897675">
        <w:t>transferred</w:t>
      </w:r>
      <w:r>
        <w:t xml:space="preserve"> to </w:t>
      </w:r>
      <w:r w:rsidR="00897675">
        <w:t>Medical Imaging</w:t>
      </w:r>
      <w:r>
        <w:t xml:space="preserve"> for</w:t>
      </w:r>
      <w:r w:rsidR="003012F8">
        <w:t xml:space="preserve"> </w:t>
      </w:r>
      <w:r>
        <w:t xml:space="preserve">CT. The patient should be accompanied by </w:t>
      </w:r>
      <w:r w:rsidR="00D757F6">
        <w:t>the trauma response team</w:t>
      </w:r>
      <w:r>
        <w:t xml:space="preserve"> (senior trauma person - consultant or fellow, senior ED physician, I</w:t>
      </w:r>
      <w:r w:rsidR="00821F03">
        <w:t>ntensive Care Unit (</w:t>
      </w:r>
      <w:r>
        <w:t>ICU</w:t>
      </w:r>
      <w:r w:rsidR="00821F03">
        <w:t>)</w:t>
      </w:r>
      <w:r>
        <w:t xml:space="preserve"> </w:t>
      </w:r>
      <w:r w:rsidR="00D757F6">
        <w:t>physician</w:t>
      </w:r>
      <w:r>
        <w:t xml:space="preserve">, anaesthetist, and ED nurses). </w:t>
      </w:r>
      <w:r w:rsidR="00897675">
        <w:t xml:space="preserve">Operating </w:t>
      </w:r>
      <w:r>
        <w:t xml:space="preserve">Theatre should be </w:t>
      </w:r>
      <w:r w:rsidR="00D757F6">
        <w:t>on standby in case</w:t>
      </w:r>
      <w:r>
        <w:t xml:space="preserve"> of rerouting to theatre</w:t>
      </w:r>
      <w:r w:rsidR="00821F03">
        <w:t>,</w:t>
      </w:r>
      <w:r>
        <w:t xml:space="preserve"> </w:t>
      </w:r>
      <w:r w:rsidR="00D757F6">
        <w:t>if clinical</w:t>
      </w:r>
      <w:r>
        <w:t xml:space="preserve"> deterioration</w:t>
      </w:r>
      <w:r w:rsidR="00897675">
        <w:t xml:space="preserve"> of the patient</w:t>
      </w:r>
      <w:r w:rsidR="00D757F6">
        <w:t xml:space="preserve"> occurs</w:t>
      </w:r>
      <w:r>
        <w:t xml:space="preserve">. The </w:t>
      </w:r>
      <w:r w:rsidR="00897675">
        <w:t>I</w:t>
      </w:r>
      <w:r>
        <w:t xml:space="preserve">nterventional </w:t>
      </w:r>
      <w:r w:rsidR="00897675">
        <w:t>R</w:t>
      </w:r>
      <w:r>
        <w:t>adiology</w:t>
      </w:r>
      <w:r w:rsidR="00821F03">
        <w:t xml:space="preserve"> </w:t>
      </w:r>
      <w:r w:rsidR="00897675">
        <w:t>(IR)</w:t>
      </w:r>
      <w:r>
        <w:t xml:space="preserve"> team should also be made aware of the patient</w:t>
      </w:r>
      <w:r w:rsidR="00821F03">
        <w:t>,</w:t>
      </w:r>
      <w:r>
        <w:t xml:space="preserve"> </w:t>
      </w:r>
      <w:r w:rsidR="00D757F6">
        <w:t>to facilitate transfer</w:t>
      </w:r>
      <w:r>
        <w:t xml:space="preserve"> directly to IR suite </w:t>
      </w:r>
      <w:r w:rsidR="00D757F6">
        <w:t xml:space="preserve">if required </w:t>
      </w:r>
      <w:r>
        <w:t xml:space="preserve">after CT. </w:t>
      </w:r>
    </w:p>
    <w:p w14:paraId="0BC16612" w14:textId="77777777" w:rsidR="00AE1DFD" w:rsidRDefault="00AE1DFD" w:rsidP="00446F06"/>
    <w:p w14:paraId="02AFDAC5" w14:textId="61AA9EAA" w:rsidR="009F56B4" w:rsidRPr="00446F06" w:rsidRDefault="002F298D" w:rsidP="00446F06">
      <w:pPr>
        <w:rPr>
          <w:rStyle w:val="Hyperlink"/>
          <w:color w:val="auto"/>
          <w:u w:val="none"/>
        </w:rPr>
      </w:pPr>
      <w:r>
        <w:t>A negative FAST scan does not completely rule out a bleeding/injured spleen. In</w:t>
      </w:r>
      <w:r w:rsidR="007640C4">
        <w:t xml:space="preserve"> the</w:t>
      </w:r>
      <w:r>
        <w:t xml:space="preserve"> </w:t>
      </w:r>
      <w:proofErr w:type="spellStart"/>
      <w:r>
        <w:t>haemodynamically</w:t>
      </w:r>
      <w:proofErr w:type="spellEnd"/>
      <w:r>
        <w:t xml:space="preserve"> unstable patient, a repeat FAST scan should be performed after a period of resuscitation </w:t>
      </w:r>
      <w:r w:rsidR="00D757F6">
        <w:t>if</w:t>
      </w:r>
      <w:r>
        <w:t xml:space="preserve"> no improvement noted. Other sites of haemorrhage and other causes of shock should always be considered. </w:t>
      </w:r>
    </w:p>
    <w:p w14:paraId="2F687B74" w14:textId="77777777" w:rsidR="009F56B4" w:rsidRDefault="009F56B4" w:rsidP="009A534C">
      <w:pPr>
        <w:jc w:val="right"/>
        <w:rPr>
          <w:rStyle w:val="Hyperlink"/>
          <w:rFonts w:eastAsiaTheme="majorEastAsia" w:cs="Arial"/>
          <w:i/>
          <w:szCs w:val="24"/>
        </w:rPr>
      </w:pPr>
    </w:p>
    <w:p w14:paraId="08682A10" w14:textId="5788EF6B" w:rsidR="009A534C" w:rsidRDefault="00452357"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3B55CB11" w14:textId="6DC741F1" w:rsidR="00D4139A" w:rsidRDefault="00D4139A" w:rsidP="009A534C">
      <w:pPr>
        <w:jc w:val="right"/>
      </w:pPr>
    </w:p>
    <w:p w14:paraId="1039A673" w14:textId="3C7EC26C" w:rsidR="00D4139A" w:rsidRDefault="00D4139A" w:rsidP="009A534C">
      <w:pPr>
        <w:jc w:val="right"/>
      </w:pPr>
    </w:p>
    <w:p w14:paraId="65F57044" w14:textId="77777777" w:rsidR="00D4139A" w:rsidRPr="00DA3910" w:rsidRDefault="00D4139A" w:rsidP="009A534C">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3C136BE5" w:rsidR="009A534C" w:rsidRPr="003D2D06" w:rsidRDefault="00010E74" w:rsidP="00F068AC">
            <w:pPr>
              <w:pStyle w:val="Heading1"/>
            </w:pPr>
            <w:bookmarkStart w:id="14" w:name="_Toc389473284"/>
            <w:bookmarkStart w:id="15" w:name="_Toc393203340"/>
            <w:bookmarkStart w:id="16" w:name="_Toc112684146"/>
            <w:r w:rsidRPr="003D2D06">
              <w:lastRenderedPageBreak/>
              <w:t xml:space="preserve">Section </w:t>
            </w:r>
            <w:bookmarkEnd w:id="14"/>
            <w:bookmarkEnd w:id="15"/>
            <w:r w:rsidR="00F068AC">
              <w:t>4</w:t>
            </w:r>
            <w:r w:rsidR="002F298D">
              <w:t xml:space="preserve"> – Operative Management</w:t>
            </w:r>
            <w:bookmarkEnd w:id="16"/>
          </w:p>
        </w:tc>
      </w:tr>
    </w:tbl>
    <w:p w14:paraId="08682A13" w14:textId="77777777" w:rsidR="009A534C" w:rsidRDefault="009A534C" w:rsidP="009A534C">
      <w:pPr>
        <w:pStyle w:val="Heading2"/>
      </w:pPr>
    </w:p>
    <w:p w14:paraId="184BE820" w14:textId="7A65E884" w:rsidR="00D4139A" w:rsidRDefault="002F298D" w:rsidP="00446F06">
      <w:r>
        <w:t xml:space="preserve">Patients with </w:t>
      </w:r>
      <w:r w:rsidR="00364A21">
        <w:t xml:space="preserve">persistent </w:t>
      </w:r>
      <w:r>
        <w:t>haemodynamic instability with clear signs of abdominal trauma and positive FAST scan should undergo laparotomy. Patient</w:t>
      </w:r>
      <w:r w:rsidR="007640C4">
        <w:t>s</w:t>
      </w:r>
      <w:r>
        <w:t xml:space="preserve"> should go </w:t>
      </w:r>
      <w:r w:rsidR="00D757F6">
        <w:t>direct</w:t>
      </w:r>
      <w:r>
        <w:t xml:space="preserve"> to</w:t>
      </w:r>
      <w:r w:rsidR="00446F06">
        <w:t xml:space="preserve"> operating</w:t>
      </w:r>
      <w:r>
        <w:t xml:space="preserve"> theatre from </w:t>
      </w:r>
      <w:r w:rsidR="00D757F6">
        <w:t xml:space="preserve">the </w:t>
      </w:r>
      <w:r>
        <w:t>resuscitation bay</w:t>
      </w:r>
      <w:r w:rsidR="003012F8">
        <w:t>.</w:t>
      </w:r>
    </w:p>
    <w:p w14:paraId="32961A6C" w14:textId="77777777" w:rsidR="003012F8" w:rsidRDefault="003012F8" w:rsidP="00446F06"/>
    <w:p w14:paraId="20C1239B" w14:textId="2B90C99E" w:rsidR="003012F8" w:rsidRDefault="003012F8" w:rsidP="003012F8">
      <w:r>
        <w:t xml:space="preserve">Operative management of splenic injury should be considered for patients with failed NOM and deterioration in haemodynamic status, or significant drop in haemoglobin levels requiring continuous transfusion of blood products. </w:t>
      </w:r>
    </w:p>
    <w:p w14:paraId="6C937336" w14:textId="77777777" w:rsidR="003012F8" w:rsidRDefault="003012F8" w:rsidP="003012F8"/>
    <w:p w14:paraId="454466AB" w14:textId="77777777" w:rsidR="003012F8" w:rsidRDefault="003012F8" w:rsidP="003012F8">
      <w:r>
        <w:t>Operative management of splenic injury is also indicated when there is failed angioembolisation, clinical deterioration and failed NOM in the context of high-grade splenic injuries.</w:t>
      </w:r>
    </w:p>
    <w:p w14:paraId="2E7C4E1A" w14:textId="77777777" w:rsidR="00FF6781" w:rsidRDefault="00FF6781" w:rsidP="00446F06"/>
    <w:p w14:paraId="3E130E88" w14:textId="01B3D8B6" w:rsidR="00D4139A" w:rsidRDefault="00446F06" w:rsidP="00446F06">
      <w:r>
        <w:t>Operating t</w:t>
      </w:r>
      <w:r w:rsidR="002F298D">
        <w:t>heatre</w:t>
      </w:r>
      <w:r>
        <w:t xml:space="preserve"> staff</w:t>
      </w:r>
      <w:r w:rsidR="002F298D">
        <w:t xml:space="preserve"> will be </w:t>
      </w:r>
      <w:r>
        <w:t>advised,</w:t>
      </w:r>
      <w:r w:rsidR="002F298D">
        <w:t xml:space="preserve"> and nursing staff should prepare for a laparotomy with </w:t>
      </w:r>
      <w:r w:rsidR="00364A21">
        <w:t xml:space="preserve">at least </w:t>
      </w:r>
      <w:r w:rsidR="002F298D">
        <w:t xml:space="preserve">20 </w:t>
      </w:r>
      <w:r w:rsidR="003012F8">
        <w:t xml:space="preserve">gauze </w:t>
      </w:r>
      <w:r w:rsidR="002F298D">
        <w:t xml:space="preserve">packs opened </w:t>
      </w:r>
      <w:r w:rsidR="00D757F6">
        <w:t>to facilitate</w:t>
      </w:r>
      <w:r w:rsidR="002F298D">
        <w:t xml:space="preserve"> immediate packing of the abdomen. </w:t>
      </w:r>
    </w:p>
    <w:p w14:paraId="26F15BA5" w14:textId="77777777" w:rsidR="00D4139A" w:rsidRDefault="00D4139A" w:rsidP="00446F06"/>
    <w:p w14:paraId="3985F407" w14:textId="5F54FD24" w:rsidR="001A0D49" w:rsidRDefault="001F660A" w:rsidP="003012F8">
      <w:r>
        <w:t xml:space="preserve">In theatre </w:t>
      </w:r>
      <w:r w:rsidR="003012F8">
        <w:t>t</w:t>
      </w:r>
      <w:r w:rsidR="007640C4">
        <w:t>he p</w:t>
      </w:r>
      <w:r w:rsidR="002F298D">
        <w:t xml:space="preserve">atient will be positioned supine with both arms out. The patient will be prepped from </w:t>
      </w:r>
      <w:r w:rsidR="00360584">
        <w:t xml:space="preserve">the </w:t>
      </w:r>
      <w:r w:rsidR="002F298D">
        <w:t>neck down to upper thigh and draped</w:t>
      </w:r>
      <w:r w:rsidR="00106525">
        <w:t>,</w:t>
      </w:r>
      <w:r w:rsidR="002F298D">
        <w:t xml:space="preserve"> only leaving the abdomen exposed. If spleen is the cause of intraabdominal haemorrhage causing haemodynamic instability, splenectomy is warranted. Damage control laparotomy may also be utilised if </w:t>
      </w:r>
      <w:r w:rsidR="00B417A0">
        <w:t xml:space="preserve">the </w:t>
      </w:r>
      <w:r w:rsidR="002F298D">
        <w:t xml:space="preserve">patient has multiple injuries </w:t>
      </w:r>
      <w:r w:rsidR="00D757F6">
        <w:t>with</w:t>
      </w:r>
      <w:r w:rsidR="002F298D">
        <w:t xml:space="preserve"> ong</w:t>
      </w:r>
      <w:r w:rsidR="001A0D49">
        <w:t>oing haemodynamic instability.</w:t>
      </w:r>
    </w:p>
    <w:p w14:paraId="5A055C1D" w14:textId="77777777" w:rsidR="002F298D" w:rsidRDefault="002F298D" w:rsidP="00446F06"/>
    <w:p w14:paraId="2B988567" w14:textId="77777777" w:rsidR="001A0D49" w:rsidRDefault="002F298D" w:rsidP="00446F06">
      <w:r>
        <w:t>The incidence of postoperative bleeding after splenectomy ranged from 1.6-3%, with overall hospital mortality of splenectomy in trauma at near 2%. (</w:t>
      </w:r>
      <w:proofErr w:type="spellStart"/>
      <w:r>
        <w:t>Coccolini</w:t>
      </w:r>
      <w:proofErr w:type="spellEnd"/>
      <w:r>
        <w:t xml:space="preserve"> et al 2017)</w:t>
      </w:r>
    </w:p>
    <w:p w14:paraId="3911481A" w14:textId="15427791" w:rsidR="001D667B" w:rsidRDefault="001A0D49" w:rsidP="00D54ED5">
      <w:pPr>
        <w:rPr>
          <w:rFonts w:cs="Arial"/>
          <w:i/>
          <w:szCs w:val="24"/>
        </w:rPr>
      </w:pPr>
      <w:r>
        <w:rPr>
          <w:rFonts w:cs="Arial"/>
          <w:i/>
          <w:szCs w:val="24"/>
        </w:rPr>
        <w:t xml:space="preserve"> </w:t>
      </w:r>
    </w:p>
    <w:p w14:paraId="157568B5" w14:textId="75D5C19A" w:rsidR="00AE1DFD" w:rsidRPr="00446F06" w:rsidRDefault="00452357" w:rsidP="00446F06">
      <w:pPr>
        <w:jc w:val="right"/>
        <w:rPr>
          <w:rFonts w:cs="Arial"/>
          <w:i/>
          <w:szCs w:val="24"/>
        </w:rPr>
      </w:pPr>
      <w:hyperlink w:anchor="Contents" w:history="1">
        <w:r w:rsidR="001A0D49" w:rsidRPr="00C91F3F">
          <w:rPr>
            <w:rStyle w:val="Hyperlink"/>
            <w:rFonts w:eastAsiaTheme="majorEastAsia" w:cs="Arial"/>
            <w:i/>
            <w:szCs w:val="24"/>
          </w:rPr>
          <w:t>Back to Table of Contents</w:t>
        </w:r>
      </w:hyperlink>
      <w:r w:rsidR="001A0D49">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F298D" w:rsidRPr="00CD1C0E" w14:paraId="45DA0906" w14:textId="77777777" w:rsidTr="00284570">
        <w:trPr>
          <w:cantSplit/>
          <w:trHeight w:val="285"/>
        </w:trPr>
        <w:tc>
          <w:tcPr>
            <w:tcW w:w="9158" w:type="dxa"/>
            <w:shd w:val="clear" w:color="auto" w:fill="D9D9D9" w:themeFill="background1" w:themeFillShade="D9"/>
          </w:tcPr>
          <w:p w14:paraId="78B4A991" w14:textId="523B01CB" w:rsidR="002F298D" w:rsidRPr="003D2D06" w:rsidRDefault="002F298D" w:rsidP="00F068AC">
            <w:pPr>
              <w:pStyle w:val="Heading1"/>
            </w:pPr>
            <w:bookmarkStart w:id="17" w:name="_Toc112684147"/>
            <w:r w:rsidRPr="003D2D06">
              <w:t xml:space="preserve">Section </w:t>
            </w:r>
            <w:r w:rsidR="00F068AC">
              <w:t>5</w:t>
            </w:r>
            <w:r w:rsidR="005E061E">
              <w:t xml:space="preserve"> – Non operative Management following contrast-enhanced CT gradings of splenic injury</w:t>
            </w:r>
            <w:bookmarkEnd w:id="17"/>
          </w:p>
        </w:tc>
      </w:tr>
    </w:tbl>
    <w:p w14:paraId="08682A15" w14:textId="77777777" w:rsidR="00C13D33" w:rsidRDefault="00C13D33" w:rsidP="00D54ED5">
      <w:pPr>
        <w:rPr>
          <w:rFonts w:cs="Arial"/>
          <w:i/>
          <w:szCs w:val="24"/>
        </w:rPr>
      </w:pPr>
    </w:p>
    <w:p w14:paraId="395BDA7E" w14:textId="5A803A33" w:rsidR="00D4139A" w:rsidRDefault="005E061E" w:rsidP="00446F06">
      <w:r>
        <w:t>Nonoperative management</w:t>
      </w:r>
      <w:r w:rsidR="00D4139A">
        <w:t xml:space="preserve"> (NOM)</w:t>
      </w:r>
      <w:r>
        <w:t xml:space="preserve"> of splenic injuries include supportive and expectant management and or interventional radiology angioembolisation. NOM is utilised more </w:t>
      </w:r>
      <w:r w:rsidR="00CD32A3">
        <w:t xml:space="preserve">in most centres in Australia and worldwide </w:t>
      </w:r>
      <w:r>
        <w:t xml:space="preserve">because of the availability of intensive care units and interventional radiology </w:t>
      </w:r>
    </w:p>
    <w:p w14:paraId="269ADE75" w14:textId="77777777" w:rsidR="00D4139A" w:rsidRDefault="00D4139A" w:rsidP="00446F06"/>
    <w:p w14:paraId="1423853A" w14:textId="5C785D62" w:rsidR="005E061E" w:rsidRDefault="005E061E" w:rsidP="00446F06">
      <w:r>
        <w:t xml:space="preserve">Patients with splenic injury who are </w:t>
      </w:r>
      <w:proofErr w:type="spellStart"/>
      <w:r>
        <w:t>haemodynamically</w:t>
      </w:r>
      <w:proofErr w:type="spellEnd"/>
      <w:r>
        <w:t xml:space="preserve"> stable should have NOM, including patients who were initially </w:t>
      </w:r>
      <w:proofErr w:type="spellStart"/>
      <w:r>
        <w:t>haemodynamically</w:t>
      </w:r>
      <w:proofErr w:type="spellEnd"/>
      <w:r>
        <w:t xml:space="preserve"> unstable but responded to a brief fluid resuscitation. The choice of NOM depends on patient’s grading of splenic injury severity. Patients with high grade splenic injuries</w:t>
      </w:r>
      <w:r w:rsidR="006165CC">
        <w:t xml:space="preserve"> (IV or V) or clinical requirement</w:t>
      </w:r>
      <w:r>
        <w:t xml:space="preserve"> should be admitted to a </w:t>
      </w:r>
      <w:r w:rsidR="00032706">
        <w:t>H</w:t>
      </w:r>
      <w:r>
        <w:t xml:space="preserve">igh </w:t>
      </w:r>
      <w:r w:rsidR="00032706">
        <w:t>D</w:t>
      </w:r>
      <w:r>
        <w:t xml:space="preserve">ependency </w:t>
      </w:r>
      <w:r w:rsidR="00032706">
        <w:t>U</w:t>
      </w:r>
      <w:r>
        <w:t>nit</w:t>
      </w:r>
      <w:r w:rsidR="00F71944">
        <w:t xml:space="preserve"> (HDU)</w:t>
      </w:r>
      <w:r>
        <w:t xml:space="preserve"> for ongoing monitoring. Splenic injury severity is graded on CT scan. (Figure 1)</w:t>
      </w:r>
    </w:p>
    <w:p w14:paraId="65048FD5" w14:textId="77777777" w:rsidR="005E061E" w:rsidRDefault="005E061E" w:rsidP="005E061E"/>
    <w:p w14:paraId="7B0EB96A" w14:textId="77777777" w:rsidR="005E061E" w:rsidRDefault="005E061E" w:rsidP="005E061E">
      <w:r w:rsidRPr="00784717">
        <w:rPr>
          <w:noProof/>
          <w:lang w:eastAsia="en-AU"/>
        </w:rPr>
        <w:lastRenderedPageBreak/>
        <w:drawing>
          <wp:inline distT="0" distB="0" distL="0" distR="0" wp14:anchorId="2D1465F9" wp14:editId="0298D9A7">
            <wp:extent cx="3105150" cy="2229338"/>
            <wp:effectExtent l="0" t="0" r="0" b="0"/>
            <wp:docPr id="3" name="Picture 3" descr="\\NAS327S2\HealthHome11\J\Jovy Carpio\My Pictures\JResMedSci_2018_23_1_29_228590_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327S2\HealthHome11\J\Jovy Carpio\My Pictures\JResMedSci_2018_23_1_29_228590_t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2881" cy="2242068"/>
                    </a:xfrm>
                    <a:prstGeom prst="rect">
                      <a:avLst/>
                    </a:prstGeom>
                    <a:noFill/>
                    <a:ln>
                      <a:noFill/>
                    </a:ln>
                  </pic:spPr>
                </pic:pic>
              </a:graphicData>
            </a:graphic>
          </wp:inline>
        </w:drawing>
      </w:r>
    </w:p>
    <w:p w14:paraId="617FB9E0" w14:textId="77777777" w:rsidR="00446F06" w:rsidRDefault="00446F06" w:rsidP="00446F06">
      <w:pPr>
        <w:jc w:val="both"/>
      </w:pPr>
      <w:r>
        <w:t>Figure 2. American Association for the Surgery of Trauma (AAST) Grading System of Splenic Injury</w:t>
      </w:r>
    </w:p>
    <w:p w14:paraId="7EEC0BF1" w14:textId="77777777" w:rsidR="005E061E" w:rsidRDefault="005E061E" w:rsidP="005E061E"/>
    <w:p w14:paraId="685557C1" w14:textId="7E92688F" w:rsidR="005E061E" w:rsidRDefault="005E061E" w:rsidP="00446F06">
      <w:r>
        <w:t>Failure rates for NOM</w:t>
      </w:r>
      <w:r w:rsidR="006165CC">
        <w:t xml:space="preserve"> (resulting in requirement for angioembolisation or splenectomy)</w:t>
      </w:r>
      <w:r>
        <w:t xml:space="preserve"> has significant variability. Grades IV and V have significantly high estimated failure rate for observation alone (43.7 and 83.1% respectively). Other clinical factors that can also affect failure of NOM include high Injury Severity Score (ISS) of 25 or higher, and age more than 40.</w:t>
      </w:r>
    </w:p>
    <w:p w14:paraId="28E7F456" w14:textId="77777777" w:rsidR="005E061E" w:rsidRDefault="005E061E" w:rsidP="005E061E">
      <w:pPr>
        <w:jc w:val="both"/>
      </w:pPr>
    </w:p>
    <w:p w14:paraId="3B126A24" w14:textId="61CC89C8" w:rsidR="005E061E" w:rsidRPr="005E061E" w:rsidRDefault="00331D87" w:rsidP="005E061E">
      <w:pPr>
        <w:pStyle w:val="ListParagraph"/>
        <w:numPr>
          <w:ilvl w:val="1"/>
          <w:numId w:val="10"/>
        </w:numPr>
        <w:rPr>
          <w:b/>
        </w:rPr>
      </w:pPr>
      <w:r>
        <w:rPr>
          <w:b/>
        </w:rPr>
        <w:t xml:space="preserve">AAST </w:t>
      </w:r>
      <w:r w:rsidR="005E061E" w:rsidRPr="005E061E">
        <w:rPr>
          <w:b/>
        </w:rPr>
        <w:t>Grade I and II injuries</w:t>
      </w:r>
    </w:p>
    <w:p w14:paraId="120CDC35" w14:textId="212C4932" w:rsidR="00AE1DFD" w:rsidRDefault="005E061E" w:rsidP="00D4139A">
      <w:r>
        <w:t xml:space="preserve">NOM should be pursued for patients with Grades I and II injuries, unless there is another indication for trauma laparotomy. The failure rate of NOM for low grade splenic injury is low. It is suggested that if there is a foci of contrast extravasation despite low grade, </w:t>
      </w:r>
      <w:r w:rsidR="00A50B49">
        <w:t>the decision whether embolization should be pursued will be made in conjunction with IR consultant taking into account other patient factors.  In most patients it will not be required.</w:t>
      </w:r>
    </w:p>
    <w:p w14:paraId="12689AC6" w14:textId="77777777" w:rsidR="00AE1DFD" w:rsidRDefault="00AE1DFD" w:rsidP="00D4139A"/>
    <w:p w14:paraId="345B30CD" w14:textId="73C248CC" w:rsidR="005E061E" w:rsidRPr="00446F06" w:rsidRDefault="005E061E" w:rsidP="00446F06">
      <w:pPr>
        <w:tabs>
          <w:tab w:val="left" w:pos="567"/>
        </w:tabs>
        <w:rPr>
          <w:b/>
        </w:rPr>
      </w:pPr>
      <w:r>
        <w:rPr>
          <w:b/>
        </w:rPr>
        <w:t xml:space="preserve">4.2 </w:t>
      </w:r>
      <w:r w:rsidR="00D35619">
        <w:rPr>
          <w:b/>
        </w:rPr>
        <w:t xml:space="preserve">AAST </w:t>
      </w:r>
      <w:r w:rsidRPr="005E061E">
        <w:rPr>
          <w:b/>
        </w:rPr>
        <w:t>Grade III injuries</w:t>
      </w:r>
    </w:p>
    <w:p w14:paraId="0A9CD473" w14:textId="2297B967" w:rsidR="005E061E" w:rsidRDefault="005E061E" w:rsidP="00D4139A">
      <w:r>
        <w:t xml:space="preserve">This is still the area of controversy on when to perform angiography. NOM in grade III injuries has success rates of 70-90%. Based on available literature, both observation/expectant management and angiography (+/-) embolization still remain acceptable options. A repeat CT angiogram in 72 hours is recommended to look for development of pseudoaneurysm. Angiography and embolization should be considered if this is associated with large </w:t>
      </w:r>
      <w:proofErr w:type="spellStart"/>
      <w:r w:rsidR="00C170F5">
        <w:t>haemoperitoneum</w:t>
      </w:r>
      <w:proofErr w:type="spellEnd"/>
      <w:r>
        <w:t xml:space="preserve"> on CT scan.</w:t>
      </w:r>
    </w:p>
    <w:p w14:paraId="3D8F0709" w14:textId="77777777" w:rsidR="005E061E" w:rsidRPr="003C6FA0" w:rsidRDefault="005E061E" w:rsidP="00D4139A"/>
    <w:p w14:paraId="2FC4BB0C" w14:textId="208559F1" w:rsidR="005E061E" w:rsidRPr="00446F06" w:rsidRDefault="004F6B69" w:rsidP="00446F06">
      <w:pPr>
        <w:pStyle w:val="ListParagraph"/>
        <w:numPr>
          <w:ilvl w:val="1"/>
          <w:numId w:val="11"/>
        </w:numPr>
        <w:tabs>
          <w:tab w:val="left" w:pos="567"/>
        </w:tabs>
        <w:rPr>
          <w:b/>
        </w:rPr>
      </w:pPr>
      <w:r>
        <w:rPr>
          <w:b/>
        </w:rPr>
        <w:t xml:space="preserve">AAST </w:t>
      </w:r>
      <w:r w:rsidR="005E061E" w:rsidRPr="005E061E">
        <w:rPr>
          <w:b/>
        </w:rPr>
        <w:t>Grade IV and V</w:t>
      </w:r>
    </w:p>
    <w:p w14:paraId="29487967" w14:textId="6A86A9C7" w:rsidR="005E061E" w:rsidRDefault="005E061E" w:rsidP="00D4139A">
      <w:r>
        <w:t xml:space="preserve">In a </w:t>
      </w:r>
      <w:proofErr w:type="spellStart"/>
      <w:r>
        <w:t>haemodynamically</w:t>
      </w:r>
      <w:proofErr w:type="spellEnd"/>
      <w:r>
        <w:t xml:space="preserve"> stable patient, it is recommended to </w:t>
      </w:r>
      <w:r w:rsidR="00A50B49">
        <w:t>perform</w:t>
      </w:r>
      <w:r>
        <w:t xml:space="preserve"> </w:t>
      </w:r>
      <w:r w:rsidR="00A50B49">
        <w:t>angio</w:t>
      </w:r>
      <w:r>
        <w:t>embolisation even without an obvious foci of bleeding or active contrast extravasation. Regular haemoglobin (Hb) check is recommended twice daily</w:t>
      </w:r>
      <w:r w:rsidR="00A50B49">
        <w:t xml:space="preserve"> until </w:t>
      </w:r>
      <w:r w:rsidR="006165CC">
        <w:t xml:space="preserve">clinician is </w:t>
      </w:r>
      <w:r w:rsidR="00A50B49">
        <w:t xml:space="preserve">satisfied </w:t>
      </w:r>
      <w:r w:rsidR="00F71944">
        <w:t xml:space="preserve">the </w:t>
      </w:r>
      <w:r w:rsidR="00A50B49">
        <w:t>patient is stable</w:t>
      </w:r>
      <w:r>
        <w:t>. It is also recommended that patient</w:t>
      </w:r>
      <w:r w:rsidR="00F71944">
        <w:t>s</w:t>
      </w:r>
      <w:r>
        <w:t xml:space="preserve"> be admitted in a high dependency unit for </w:t>
      </w:r>
      <w:r w:rsidR="00A94504">
        <w:t xml:space="preserve">haemodynamic </w:t>
      </w:r>
      <w:r>
        <w:t>monitoring. A repeat contrast enhanced CT imaging is recommended in 72 hours</w:t>
      </w:r>
      <w:r w:rsidR="008F286F">
        <w:t>,</w:t>
      </w:r>
      <w:r>
        <w:t xml:space="preserve"> to monitor development of pseudoaneurysm, or earlier than 72 hours if there are </w:t>
      </w:r>
      <w:r w:rsidR="00A50B49">
        <w:t>significant concerns re</w:t>
      </w:r>
      <w:r>
        <w:t xml:space="preserve"> patient’s haemodynamic status or haemoglobin. </w:t>
      </w:r>
      <w:r w:rsidR="00A50B49">
        <w:t>Repeat angioembolization may be indicated.</w:t>
      </w:r>
    </w:p>
    <w:p w14:paraId="058B6286" w14:textId="77777777" w:rsidR="00FD7AEB" w:rsidRDefault="00FD7AEB" w:rsidP="005E061E">
      <w:pPr>
        <w:jc w:val="both"/>
      </w:pPr>
    </w:p>
    <w:p w14:paraId="08682A17" w14:textId="77777777" w:rsidR="009A534C" w:rsidRDefault="009A534C" w:rsidP="009A534C">
      <w:pPr>
        <w:rPr>
          <w:rFonts w:cs="Arial"/>
          <w:b/>
          <w:szCs w:val="24"/>
        </w:rPr>
      </w:pPr>
    </w:p>
    <w:p w14:paraId="20A2007B" w14:textId="7874EB29" w:rsidR="00F068AC" w:rsidRPr="00F068AC" w:rsidRDefault="00452357" w:rsidP="00F068A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068AC" w:rsidRPr="000F1F60" w14:paraId="513DE6EC" w14:textId="77777777" w:rsidTr="007E1DE1">
        <w:trPr>
          <w:cantSplit/>
          <w:trHeight w:val="285"/>
        </w:trPr>
        <w:tc>
          <w:tcPr>
            <w:tcW w:w="9158" w:type="dxa"/>
            <w:shd w:val="clear" w:color="auto" w:fill="D9D9D9" w:themeFill="background1" w:themeFillShade="D9"/>
          </w:tcPr>
          <w:p w14:paraId="01F93A4A" w14:textId="77777777" w:rsidR="00F068AC" w:rsidRPr="000F1F60" w:rsidRDefault="00F068AC" w:rsidP="007E1DE1">
            <w:pPr>
              <w:pStyle w:val="Heading1"/>
            </w:pPr>
            <w:bookmarkStart w:id="18" w:name="_Toc112684148"/>
            <w:r>
              <w:t>Section 6 – Mobility vs Bed rest</w:t>
            </w:r>
            <w:bookmarkEnd w:id="18"/>
          </w:p>
        </w:tc>
      </w:tr>
    </w:tbl>
    <w:p w14:paraId="4ED0D4DC" w14:textId="77777777" w:rsidR="00F068AC" w:rsidRDefault="00F068AC" w:rsidP="00F068AC">
      <w:pPr>
        <w:rPr>
          <w:rFonts w:cs="Arial"/>
          <w:szCs w:val="24"/>
        </w:rPr>
      </w:pPr>
    </w:p>
    <w:p w14:paraId="3C82E6B2" w14:textId="21EC8759" w:rsidR="00F068AC" w:rsidRDefault="00F068AC" w:rsidP="00F068AC">
      <w:pPr>
        <w:jc w:val="both"/>
      </w:pPr>
      <w:r>
        <w:t xml:space="preserve">There is no supporting data </w:t>
      </w:r>
      <w:r w:rsidR="00A50B49">
        <w:t>around confining patients to bed rest</w:t>
      </w:r>
      <w:r w:rsidR="00BF1E0A">
        <w:t>,</w:t>
      </w:r>
      <w:r>
        <w:t xml:space="preserve"> including </w:t>
      </w:r>
      <w:r w:rsidR="00C73FC6">
        <w:t xml:space="preserve">those with </w:t>
      </w:r>
      <w:r>
        <w:t>higher grades injuries. It is recommended for the patient</w:t>
      </w:r>
      <w:r w:rsidR="00C73FC6">
        <w:t>, once considered stable,</w:t>
      </w:r>
      <w:r>
        <w:t xml:space="preserve"> to be </w:t>
      </w:r>
      <w:r w:rsidR="00C73FC6">
        <w:t xml:space="preserve">allowed to </w:t>
      </w:r>
      <w:r>
        <w:t>mobil</w:t>
      </w:r>
      <w:r w:rsidR="00C73FC6">
        <w:t>ise</w:t>
      </w:r>
      <w:r>
        <w:t xml:space="preserve"> even in the intensive care unit/high dependency unit.</w:t>
      </w:r>
    </w:p>
    <w:p w14:paraId="04D90E4A" w14:textId="77777777" w:rsidR="00F068AC" w:rsidRDefault="00F068AC" w:rsidP="00F068AC">
      <w:pPr>
        <w:jc w:val="both"/>
        <w:rPr>
          <w:rFonts w:cs="Arial"/>
          <w:szCs w:val="24"/>
        </w:rPr>
      </w:pPr>
    </w:p>
    <w:p w14:paraId="3265C82B" w14:textId="38BAB0D7" w:rsidR="00041DA1" w:rsidRDefault="00452357" w:rsidP="00041DA1">
      <w:pPr>
        <w:jc w:val="right"/>
        <w:rPr>
          <w:rStyle w:val="Hyperlink"/>
          <w:rFonts w:cs="Arial"/>
          <w:i/>
          <w:szCs w:val="24"/>
        </w:rPr>
      </w:pPr>
      <w:hyperlink w:anchor="Contents" w:history="1">
        <w:r w:rsidR="00F068AC"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068AC" w:rsidRPr="000F1F60" w14:paraId="2F481F77" w14:textId="77777777" w:rsidTr="007E1DE1">
        <w:trPr>
          <w:cantSplit/>
          <w:trHeight w:val="285"/>
        </w:trPr>
        <w:tc>
          <w:tcPr>
            <w:tcW w:w="9158" w:type="dxa"/>
            <w:shd w:val="clear" w:color="auto" w:fill="D9D9D9" w:themeFill="background1" w:themeFillShade="D9"/>
          </w:tcPr>
          <w:p w14:paraId="6704694A" w14:textId="77777777" w:rsidR="00F068AC" w:rsidRPr="000F1F60" w:rsidRDefault="00F068AC" w:rsidP="007E1DE1">
            <w:pPr>
              <w:pStyle w:val="Heading1"/>
            </w:pPr>
            <w:bookmarkStart w:id="19" w:name="_Toc112684149"/>
            <w:r>
              <w:t>Section 7- Thromboprophylaxis</w:t>
            </w:r>
            <w:bookmarkEnd w:id="19"/>
          </w:p>
        </w:tc>
      </w:tr>
    </w:tbl>
    <w:p w14:paraId="7CEBDB10" w14:textId="77777777" w:rsidR="00F068AC" w:rsidRDefault="00F068AC" w:rsidP="00F068AC"/>
    <w:p w14:paraId="7F3FF5E9" w14:textId="6D1A0795" w:rsidR="00F068AC" w:rsidRDefault="00F068AC" w:rsidP="00F068AC">
      <w:r>
        <w:t>Chemical prophylaxis (</w:t>
      </w:r>
      <w:r w:rsidR="00D4139A">
        <w:t>Low molecular weight heparin (</w:t>
      </w:r>
      <w:r>
        <w:t>LMWH</w:t>
      </w:r>
      <w:r w:rsidR="00D4139A">
        <w:t>)</w:t>
      </w:r>
      <w:r>
        <w:t xml:space="preserve">-based prophylactic anticoagulation) should be started as early as possible for patients with splenic trauma treated </w:t>
      </w:r>
      <w:r w:rsidR="00F71944">
        <w:t xml:space="preserve">using </w:t>
      </w:r>
      <w:r>
        <w:t xml:space="preserve">NOM, without evidence of ongoing bleeding. In patients who are already on oral anticoagulation, the risk-benefit of reversal should be </w:t>
      </w:r>
      <w:r w:rsidR="00F71944">
        <w:t xml:space="preserve">on </w:t>
      </w:r>
      <w:r>
        <w:t>a case</w:t>
      </w:r>
      <w:r w:rsidR="003012F8">
        <w:t xml:space="preserve"> </w:t>
      </w:r>
      <w:r w:rsidR="00AB4CD1">
        <w:t xml:space="preserve">by </w:t>
      </w:r>
      <w:r>
        <w:t>case basis.</w:t>
      </w:r>
    </w:p>
    <w:p w14:paraId="53C9EAA6" w14:textId="1E54E7FA" w:rsidR="00F068AC" w:rsidRDefault="00F068AC" w:rsidP="00F068AC"/>
    <w:p w14:paraId="7A5C39D8" w14:textId="2D769A45" w:rsidR="00F068AC" w:rsidRPr="00F068AC" w:rsidRDefault="00452357" w:rsidP="00F068AC">
      <w:pPr>
        <w:jc w:val="right"/>
        <w:rPr>
          <w:rStyle w:val="Hyperlink"/>
          <w:rFonts w:cs="Arial"/>
          <w:i/>
          <w:color w:val="auto"/>
          <w:szCs w:val="24"/>
          <w:u w:val="none"/>
        </w:rPr>
      </w:pPr>
      <w:hyperlink w:anchor="_top" w:history="1">
        <w:r w:rsidR="00F068AC"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068AC" w:rsidRPr="000F1F60" w14:paraId="64251579" w14:textId="77777777" w:rsidTr="007E1DE1">
        <w:trPr>
          <w:cantSplit/>
          <w:trHeight w:val="285"/>
        </w:trPr>
        <w:tc>
          <w:tcPr>
            <w:tcW w:w="9158" w:type="dxa"/>
            <w:shd w:val="clear" w:color="auto" w:fill="D9D9D9" w:themeFill="background1" w:themeFillShade="D9"/>
          </w:tcPr>
          <w:p w14:paraId="3F2406C9" w14:textId="10E44219" w:rsidR="00F068AC" w:rsidRPr="000F1F60" w:rsidRDefault="00F068AC" w:rsidP="00F068AC">
            <w:pPr>
              <w:pStyle w:val="Heading1"/>
            </w:pPr>
            <w:bookmarkStart w:id="20" w:name="_Toc112684150"/>
            <w:r>
              <w:t>Section 8- Vaccinations</w:t>
            </w:r>
            <w:bookmarkEnd w:id="20"/>
          </w:p>
        </w:tc>
      </w:tr>
    </w:tbl>
    <w:p w14:paraId="7DB5B598" w14:textId="77777777" w:rsidR="00F068AC" w:rsidRDefault="00F068AC" w:rsidP="00F068AC"/>
    <w:p w14:paraId="3B3C742F" w14:textId="5827D9B5" w:rsidR="0051122E" w:rsidRDefault="00F068AC" w:rsidP="00F068AC">
      <w:r>
        <w:t>It is recommended that patient</w:t>
      </w:r>
      <w:r w:rsidR="00F71944">
        <w:t>s</w:t>
      </w:r>
      <w:r>
        <w:t xml:space="preserve"> with </w:t>
      </w:r>
      <w:r w:rsidR="0051122E">
        <w:t xml:space="preserve">absolute or </w:t>
      </w:r>
      <w:r w:rsidR="0006609A">
        <w:t xml:space="preserve">functional </w:t>
      </w:r>
      <w:r>
        <w:t>asplenia receive vaccination against encapsulated bacteria (</w:t>
      </w:r>
      <w:r w:rsidRPr="00F068AC">
        <w:rPr>
          <w:i/>
        </w:rPr>
        <w:t>S. pneumoniae, H. influenza, and N. meningitidis</w:t>
      </w:r>
      <w:r>
        <w:t xml:space="preserve">). </w:t>
      </w:r>
      <w:r w:rsidR="0051122E">
        <w:t>It is also strongly recommended for the patient to receive seasonal flu vaccination</w:t>
      </w:r>
      <w:r w:rsidR="00B24865">
        <w:t>.</w:t>
      </w:r>
    </w:p>
    <w:p w14:paraId="3FB12961" w14:textId="77777777" w:rsidR="00D4139A" w:rsidRDefault="00D4139A" w:rsidP="00F068AC"/>
    <w:p w14:paraId="23842950" w14:textId="284023FB" w:rsidR="000D4B0F" w:rsidRDefault="0006609A" w:rsidP="00F068AC">
      <w:r>
        <w:t xml:space="preserve">Patients who </w:t>
      </w:r>
      <w:r w:rsidR="0051122E">
        <w:t>undergo</w:t>
      </w:r>
      <w:r>
        <w:t xml:space="preserve"> a splenectomy OR splenic artery </w:t>
      </w:r>
      <w:proofErr w:type="spellStart"/>
      <w:r>
        <w:t>embolisation</w:t>
      </w:r>
      <w:proofErr w:type="spellEnd"/>
      <w:r>
        <w:t xml:space="preserve"> </w:t>
      </w:r>
      <w:r w:rsidR="0051122E">
        <w:t>(</w:t>
      </w:r>
      <w:r>
        <w:t>for Grade IV or V splenic injury</w:t>
      </w:r>
      <w:r w:rsidR="0051122E">
        <w:t>)</w:t>
      </w:r>
      <w:r>
        <w:t xml:space="preserve"> </w:t>
      </w:r>
      <w:r w:rsidR="00F068AC">
        <w:t xml:space="preserve">should receive vaccinations one week after </w:t>
      </w:r>
      <w:r w:rsidR="0051122E">
        <w:t>the procedure</w:t>
      </w:r>
      <w:r w:rsidR="000D4B0F">
        <w:t>.</w:t>
      </w:r>
      <w:r w:rsidR="0051122E">
        <w:t xml:space="preserve"> If there is any doubt as to the reliability of access to follow-up, the</w:t>
      </w:r>
      <w:r w:rsidR="00F068AC">
        <w:t xml:space="preserve"> patient </w:t>
      </w:r>
      <w:r>
        <w:t xml:space="preserve">should be vaccinated </w:t>
      </w:r>
      <w:r w:rsidR="00F068AC">
        <w:t xml:space="preserve">prior to discharge </w:t>
      </w:r>
      <w:r w:rsidR="00F71944">
        <w:t>from</w:t>
      </w:r>
      <w:r w:rsidR="00F068AC">
        <w:t xml:space="preserve"> hospital. </w:t>
      </w:r>
    </w:p>
    <w:p w14:paraId="6658785D" w14:textId="77777777" w:rsidR="00D4139A" w:rsidRDefault="00D4139A" w:rsidP="00F068AC"/>
    <w:p w14:paraId="48C1202E" w14:textId="1AA1D96A" w:rsidR="00F068AC" w:rsidRDefault="0006609A" w:rsidP="00F068AC">
      <w:r>
        <w:t>Patients should be referred to the</w:t>
      </w:r>
      <w:r w:rsidR="0051122E">
        <w:t xml:space="preserve"> Infectious </w:t>
      </w:r>
      <w:r w:rsidR="000D4B0F">
        <w:t>D</w:t>
      </w:r>
      <w:r w:rsidR="0051122E">
        <w:t xml:space="preserve">iseases outpatient clinic </w:t>
      </w:r>
      <w:r w:rsidR="000D4B0F">
        <w:t>at 6 – 8 weeks after discharge with a blood film looking for Howell-Jolly bodies prior.</w:t>
      </w:r>
      <w:r w:rsidR="00C73FC6">
        <w:t xml:space="preserve">  </w:t>
      </w:r>
      <w:r w:rsidR="000D4B0F">
        <w:t>Patients</w:t>
      </w:r>
      <w:r w:rsidR="00C73FC6">
        <w:t xml:space="preserve"> should be counselled </w:t>
      </w:r>
      <w:r w:rsidR="00D4139A">
        <w:t>about</w:t>
      </w:r>
      <w:r w:rsidR="00C73FC6">
        <w:t xml:space="preserve"> asplenia.</w:t>
      </w:r>
      <w:r w:rsidR="00446F06">
        <w:t xml:space="preserve"> Refer to</w:t>
      </w:r>
      <w:r w:rsidR="00F068AC">
        <w:t xml:space="preserve"> </w:t>
      </w:r>
      <w:r w:rsidR="00F068AC" w:rsidRPr="00D4139A">
        <w:rPr>
          <w:i/>
          <w:iCs/>
        </w:rPr>
        <w:t>Prevention of Post</w:t>
      </w:r>
      <w:r w:rsidR="00F71944" w:rsidRPr="00D4139A">
        <w:rPr>
          <w:i/>
          <w:iCs/>
        </w:rPr>
        <w:t xml:space="preserve"> S</w:t>
      </w:r>
      <w:r w:rsidR="00F068AC" w:rsidRPr="00D4139A">
        <w:rPr>
          <w:i/>
          <w:iCs/>
        </w:rPr>
        <w:t xml:space="preserve">plenectomy </w:t>
      </w:r>
      <w:r w:rsidR="00C73FC6" w:rsidRPr="00D4139A">
        <w:rPr>
          <w:i/>
          <w:iCs/>
        </w:rPr>
        <w:t>S</w:t>
      </w:r>
      <w:r w:rsidR="00F068AC" w:rsidRPr="00D4139A">
        <w:rPr>
          <w:i/>
          <w:iCs/>
        </w:rPr>
        <w:t xml:space="preserve">epsis </w:t>
      </w:r>
      <w:r w:rsidR="00C73FC6" w:rsidRPr="00D4139A">
        <w:rPr>
          <w:i/>
          <w:iCs/>
        </w:rPr>
        <w:t>G</w:t>
      </w:r>
      <w:r w:rsidR="00F068AC" w:rsidRPr="00D4139A">
        <w:rPr>
          <w:i/>
          <w:iCs/>
        </w:rPr>
        <w:t>uidelines</w:t>
      </w:r>
      <w:r w:rsidR="00F068AC">
        <w:t xml:space="preserve">.  </w:t>
      </w:r>
    </w:p>
    <w:p w14:paraId="1BF85357" w14:textId="77777777" w:rsidR="00F068AC" w:rsidRDefault="00F068AC" w:rsidP="009A534C">
      <w:pPr>
        <w:jc w:val="right"/>
        <w:rPr>
          <w:rFonts w:cs="Arial"/>
          <w:b/>
          <w:szCs w:val="24"/>
        </w:rPr>
      </w:pPr>
    </w:p>
    <w:p w14:paraId="1BD0C01A" w14:textId="15D79F4C" w:rsidR="00F068AC" w:rsidRDefault="00452357" w:rsidP="00F068AC">
      <w:pPr>
        <w:jc w:val="right"/>
        <w:rPr>
          <w:rStyle w:val="Hyperlink"/>
          <w:rFonts w:cs="Arial"/>
          <w:i/>
          <w:szCs w:val="24"/>
        </w:rPr>
      </w:pPr>
      <w:hyperlink w:anchor="_top" w:history="1">
        <w:r w:rsidR="00F068AC"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068AC" w:rsidRPr="000F1F60" w14:paraId="1CE99656" w14:textId="77777777" w:rsidTr="007E1DE1">
        <w:trPr>
          <w:cantSplit/>
          <w:trHeight w:val="285"/>
        </w:trPr>
        <w:tc>
          <w:tcPr>
            <w:tcW w:w="9158" w:type="dxa"/>
            <w:shd w:val="clear" w:color="auto" w:fill="D9D9D9" w:themeFill="background1" w:themeFillShade="D9"/>
          </w:tcPr>
          <w:p w14:paraId="326662D0" w14:textId="3A74A534" w:rsidR="00F068AC" w:rsidRPr="000F1F60" w:rsidRDefault="00F068AC" w:rsidP="00F068AC">
            <w:pPr>
              <w:pStyle w:val="Heading1"/>
            </w:pPr>
            <w:bookmarkStart w:id="21" w:name="_Toc112684151"/>
            <w:r>
              <w:t>Section 9 - Antibiotics</w:t>
            </w:r>
            <w:bookmarkEnd w:id="21"/>
          </w:p>
        </w:tc>
      </w:tr>
    </w:tbl>
    <w:p w14:paraId="483933BD" w14:textId="77777777" w:rsidR="00F068AC" w:rsidRDefault="00F068AC" w:rsidP="00F068AC"/>
    <w:p w14:paraId="15B32188" w14:textId="77777777" w:rsidR="00EB391D" w:rsidRDefault="000D4B0F" w:rsidP="00446F06">
      <w:r>
        <w:t>Patients should also receive antibiotic prophylaxis on discharge from hospital to last them until follow-up</w:t>
      </w:r>
      <w:r w:rsidR="00D4139A">
        <w:t xml:space="preserve"> with Infectious Diseases</w:t>
      </w:r>
      <w:r w:rsidR="00EB391D">
        <w:t xml:space="preserve">, as per </w:t>
      </w:r>
      <w:r w:rsidR="00EB391D" w:rsidRPr="00D4139A">
        <w:rPr>
          <w:i/>
          <w:iCs/>
        </w:rPr>
        <w:t>Prevention of Post Splenectomy Sepsis Guidelines</w:t>
      </w:r>
      <w:r>
        <w:t>.</w:t>
      </w:r>
    </w:p>
    <w:p w14:paraId="207837D5" w14:textId="787E272F" w:rsidR="00F068AC" w:rsidRDefault="00EB391D" w:rsidP="00446F06">
      <w:r>
        <w:t>Patients with asplenia are</w:t>
      </w:r>
      <w:r w:rsidR="00F068AC">
        <w:t xml:space="preserve"> strongly recommended to </w:t>
      </w:r>
      <w:r w:rsidR="00C73FC6">
        <w:t>commence</w:t>
      </w:r>
      <w:r w:rsidR="00F068AC">
        <w:t xml:space="preserve"> antibiotic therapy </w:t>
      </w:r>
      <w:r w:rsidR="005A079C">
        <w:t>at treatment dosages</w:t>
      </w:r>
      <w:r w:rsidR="00F068AC">
        <w:t xml:space="preserve"> in the event of any onset of unexplained fever, chills, malaise or other </w:t>
      </w:r>
      <w:r w:rsidR="00F068AC">
        <w:lastRenderedPageBreak/>
        <w:t xml:space="preserve">flu-like symptoms, especially when medical review is not readily available. Post splenectomy </w:t>
      </w:r>
      <w:r w:rsidR="00446F06">
        <w:t>patients</w:t>
      </w:r>
      <w:r w:rsidR="00F068AC">
        <w:t xml:space="preserve"> should have a prescription </w:t>
      </w:r>
      <w:r w:rsidR="00F71944">
        <w:t>available</w:t>
      </w:r>
      <w:r w:rsidR="00F068AC">
        <w:t xml:space="preserve"> against encapsulated bacteria. </w:t>
      </w:r>
      <w:r w:rsidR="00446F06">
        <w:t>Refer to</w:t>
      </w:r>
      <w:r w:rsidR="00F068AC">
        <w:t xml:space="preserve"> </w:t>
      </w:r>
      <w:r w:rsidR="00F068AC" w:rsidRPr="00EB391D">
        <w:rPr>
          <w:i/>
          <w:iCs/>
        </w:rPr>
        <w:t xml:space="preserve">Prevention of </w:t>
      </w:r>
      <w:r w:rsidR="00C73FC6" w:rsidRPr="00EB391D">
        <w:rPr>
          <w:i/>
          <w:iCs/>
        </w:rPr>
        <w:t>P</w:t>
      </w:r>
      <w:r w:rsidR="00F068AC" w:rsidRPr="00EB391D">
        <w:rPr>
          <w:i/>
          <w:iCs/>
        </w:rPr>
        <w:t>ost</w:t>
      </w:r>
      <w:r w:rsidR="00F71944" w:rsidRPr="00EB391D">
        <w:rPr>
          <w:i/>
          <w:iCs/>
        </w:rPr>
        <w:t xml:space="preserve"> S</w:t>
      </w:r>
      <w:r w:rsidR="00F068AC" w:rsidRPr="00EB391D">
        <w:rPr>
          <w:i/>
          <w:iCs/>
        </w:rPr>
        <w:t xml:space="preserve">plenectomy </w:t>
      </w:r>
      <w:r w:rsidR="00C73FC6" w:rsidRPr="00EB391D">
        <w:rPr>
          <w:i/>
          <w:iCs/>
        </w:rPr>
        <w:t>S</w:t>
      </w:r>
      <w:r w:rsidR="00F068AC" w:rsidRPr="00EB391D">
        <w:rPr>
          <w:i/>
          <w:iCs/>
        </w:rPr>
        <w:t xml:space="preserve">epsis </w:t>
      </w:r>
      <w:r w:rsidR="00C73FC6" w:rsidRPr="00EB391D">
        <w:rPr>
          <w:i/>
          <w:iCs/>
        </w:rPr>
        <w:t>G</w:t>
      </w:r>
      <w:r w:rsidR="00F068AC" w:rsidRPr="00EB391D">
        <w:rPr>
          <w:i/>
          <w:iCs/>
        </w:rPr>
        <w:t>uidelines</w:t>
      </w:r>
      <w:r w:rsidR="00F068AC">
        <w:t>.</w:t>
      </w:r>
    </w:p>
    <w:p w14:paraId="1218E815" w14:textId="77777777" w:rsidR="00F068AC" w:rsidRDefault="00F068AC" w:rsidP="00F068AC"/>
    <w:p w14:paraId="79608BAD" w14:textId="0FE9385D" w:rsidR="00F068AC" w:rsidRDefault="00452357" w:rsidP="00F068AC">
      <w:pPr>
        <w:jc w:val="right"/>
        <w:rPr>
          <w:rStyle w:val="Hyperlink"/>
          <w:rFonts w:cs="Arial"/>
          <w:i/>
          <w:szCs w:val="24"/>
        </w:rPr>
      </w:pPr>
      <w:hyperlink w:anchor="_top" w:history="1">
        <w:r w:rsidR="00F068AC"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068AC" w:rsidRPr="000F1F60" w14:paraId="09624E2A" w14:textId="77777777" w:rsidTr="007E1DE1">
        <w:trPr>
          <w:cantSplit/>
          <w:trHeight w:val="285"/>
        </w:trPr>
        <w:tc>
          <w:tcPr>
            <w:tcW w:w="9158" w:type="dxa"/>
            <w:shd w:val="clear" w:color="auto" w:fill="D9D9D9" w:themeFill="background1" w:themeFillShade="D9"/>
          </w:tcPr>
          <w:p w14:paraId="07DB769E" w14:textId="65321675" w:rsidR="00F068AC" w:rsidRPr="000F1F60" w:rsidRDefault="00F068AC" w:rsidP="00F068AC">
            <w:pPr>
              <w:pStyle w:val="Heading1"/>
            </w:pPr>
            <w:bookmarkStart w:id="22" w:name="_Toc112684152"/>
            <w:r>
              <w:t>Section 10- Follow up Imaging</w:t>
            </w:r>
            <w:bookmarkEnd w:id="22"/>
          </w:p>
        </w:tc>
      </w:tr>
    </w:tbl>
    <w:p w14:paraId="1B5D4EAB" w14:textId="77777777" w:rsidR="00F068AC" w:rsidRDefault="00F068AC" w:rsidP="00F068AC"/>
    <w:p w14:paraId="6F23F31D" w14:textId="273E5AB8" w:rsidR="00F068AC" w:rsidRDefault="00F068AC" w:rsidP="00446F06">
      <w:r>
        <w:t>For high grade splenic injuries, the formation of pseudoaneurysm is a well-recognised complication associated with NOM. A repeat intravenous contrast enhanced CT scan in 48-72 hours</w:t>
      </w:r>
      <w:r w:rsidR="003B0ED7">
        <w:t xml:space="preserve"> for AAST Grade III or higher</w:t>
      </w:r>
      <w:r>
        <w:t xml:space="preserve"> is recommended. Further repeated imaging should be determined by patient’s clinical status. </w:t>
      </w:r>
    </w:p>
    <w:p w14:paraId="513286DC" w14:textId="77777777" w:rsidR="00F068AC" w:rsidRDefault="00F068AC" w:rsidP="003B0ED7">
      <w:pPr>
        <w:ind w:left="570"/>
        <w:jc w:val="both"/>
      </w:pPr>
    </w:p>
    <w:p w14:paraId="1A6C9259" w14:textId="62CD09F2" w:rsidR="00F068AC" w:rsidRDefault="00F068AC" w:rsidP="00446F06">
      <w:r>
        <w:t xml:space="preserve">For </w:t>
      </w:r>
      <w:r w:rsidR="00C73FC6">
        <w:t xml:space="preserve">high grade </w:t>
      </w:r>
      <w:r>
        <w:t>splenic injury patients treated non-operatively</w:t>
      </w:r>
      <w:r w:rsidR="005B6794">
        <w:t xml:space="preserve"> (NOM)</w:t>
      </w:r>
      <w:r>
        <w:t xml:space="preserve">, </w:t>
      </w:r>
      <w:r w:rsidR="00C73FC6">
        <w:t>follow up imaging is controversial but consider</w:t>
      </w:r>
      <w:r>
        <w:t xml:space="preserve"> </w:t>
      </w:r>
      <w:r w:rsidR="005B6794">
        <w:t>a</w:t>
      </w:r>
      <w:r>
        <w:t xml:space="preserve"> 6-week repeat imaging</w:t>
      </w:r>
      <w:r w:rsidR="00C73FC6">
        <w:t xml:space="preserve"> either </w:t>
      </w:r>
      <w:r w:rsidR="00F71944">
        <w:t xml:space="preserve">via </w:t>
      </w:r>
      <w:r w:rsidR="00C73FC6">
        <w:t>splenic</w:t>
      </w:r>
      <w:r>
        <w:t xml:space="preserve"> ultrasound or CT. </w:t>
      </w:r>
    </w:p>
    <w:p w14:paraId="608C1723" w14:textId="77777777" w:rsidR="00F068AC" w:rsidRDefault="00F068AC" w:rsidP="00F068AC"/>
    <w:p w14:paraId="68A31897" w14:textId="6D1F0863" w:rsidR="00F068AC" w:rsidRDefault="00452357" w:rsidP="00041DA1">
      <w:pPr>
        <w:jc w:val="right"/>
        <w:rPr>
          <w:rStyle w:val="Hyperlink"/>
          <w:rFonts w:cs="Arial"/>
          <w:i/>
          <w:szCs w:val="24"/>
        </w:rPr>
      </w:pPr>
      <w:hyperlink w:anchor="_top" w:history="1">
        <w:r w:rsidR="00F068AC"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068AC" w:rsidRPr="000F1F60" w14:paraId="5E08E795" w14:textId="77777777" w:rsidTr="007E1DE1">
        <w:trPr>
          <w:cantSplit/>
          <w:trHeight w:val="285"/>
        </w:trPr>
        <w:tc>
          <w:tcPr>
            <w:tcW w:w="9158" w:type="dxa"/>
            <w:shd w:val="clear" w:color="auto" w:fill="D9D9D9" w:themeFill="background1" w:themeFillShade="D9"/>
          </w:tcPr>
          <w:p w14:paraId="2C8DFBFD" w14:textId="54D0BEAC" w:rsidR="00F068AC" w:rsidRPr="000F1F60" w:rsidRDefault="00F068AC" w:rsidP="00F068AC">
            <w:pPr>
              <w:pStyle w:val="Heading1"/>
            </w:pPr>
            <w:bookmarkStart w:id="23" w:name="_Toc112684153"/>
            <w:r>
              <w:t xml:space="preserve">Section 11- </w:t>
            </w:r>
            <w:r w:rsidR="006E3B8A">
              <w:t>Spleen Education and Bracelet</w:t>
            </w:r>
            <w:bookmarkEnd w:id="23"/>
          </w:p>
        </w:tc>
      </w:tr>
    </w:tbl>
    <w:p w14:paraId="16A934B2" w14:textId="77777777" w:rsidR="00F068AC" w:rsidRDefault="00F068AC" w:rsidP="00F068AC"/>
    <w:p w14:paraId="0248037E" w14:textId="67BC12CF" w:rsidR="00F068AC" w:rsidRDefault="00F068AC" w:rsidP="00446F06">
      <w:r>
        <w:t>Post splenectomy patient</w:t>
      </w:r>
      <w:r w:rsidR="008C2873">
        <w:t>s</w:t>
      </w:r>
      <w:r>
        <w:t xml:space="preserve"> should be given </w:t>
      </w:r>
      <w:r w:rsidR="008C2873">
        <w:t>comprehensive</w:t>
      </w:r>
      <w:r>
        <w:t xml:space="preserve"> post splenectomy education</w:t>
      </w:r>
      <w:r w:rsidR="008C2873">
        <w:t xml:space="preserve"> covering the</w:t>
      </w:r>
      <w:r>
        <w:t xml:space="preserve"> possible implications of having no spleen. This include</w:t>
      </w:r>
      <w:r w:rsidR="008C2873">
        <w:t>s</w:t>
      </w:r>
      <w:r>
        <w:t xml:space="preserve"> discussion about overwhelming post splenectomy infections (OPSI), which </w:t>
      </w:r>
      <w:r w:rsidR="008C2873">
        <w:t>although</w:t>
      </w:r>
      <w:r>
        <w:t xml:space="preserve"> rare</w:t>
      </w:r>
      <w:r w:rsidR="008C2873">
        <w:t>, has a high mortality.</w:t>
      </w:r>
      <w:r>
        <w:t xml:space="preserve"> The discussion should </w:t>
      </w:r>
      <w:r w:rsidR="008C2873">
        <w:t>include</w:t>
      </w:r>
      <w:r>
        <w:t xml:space="preserve"> </w:t>
      </w:r>
      <w:r w:rsidR="008C2873">
        <w:t xml:space="preserve">requirement for </w:t>
      </w:r>
      <w:r>
        <w:t xml:space="preserve">vaccinations, antibiotics, and follow up. </w:t>
      </w:r>
    </w:p>
    <w:p w14:paraId="1FBAAD3A" w14:textId="77777777" w:rsidR="00F068AC" w:rsidRDefault="00F068AC" w:rsidP="006E3B8A">
      <w:pPr>
        <w:ind w:left="570"/>
        <w:jc w:val="both"/>
      </w:pPr>
    </w:p>
    <w:p w14:paraId="5794433E" w14:textId="236BC10F" w:rsidR="00F068AC" w:rsidRDefault="00F068AC" w:rsidP="00446F06">
      <w:r>
        <w:t>The patient should have</w:t>
      </w:r>
      <w:r w:rsidR="00C17F14">
        <w:t>/arrange</w:t>
      </w:r>
      <w:r w:rsidR="003012F8">
        <w:t xml:space="preserve"> to have</w:t>
      </w:r>
      <w:r>
        <w:t xml:space="preserve"> a post splenectomy bracelet to alert</w:t>
      </w:r>
      <w:r w:rsidR="008C2873">
        <w:t xml:space="preserve"> future </w:t>
      </w:r>
      <w:r>
        <w:t xml:space="preserve">medical teams/ hospitals about </w:t>
      </w:r>
      <w:r w:rsidR="008C2873">
        <w:t>their</w:t>
      </w:r>
      <w:r>
        <w:t xml:space="preserve"> post splenectomy status. </w:t>
      </w:r>
    </w:p>
    <w:p w14:paraId="6DE482B4" w14:textId="77777777" w:rsidR="00F068AC" w:rsidRDefault="00F068AC" w:rsidP="006E3B8A">
      <w:pPr>
        <w:ind w:left="570"/>
        <w:jc w:val="both"/>
      </w:pPr>
    </w:p>
    <w:p w14:paraId="727723C8" w14:textId="6524A8BC" w:rsidR="00F068AC" w:rsidRPr="0027186A" w:rsidRDefault="008C2873" w:rsidP="00446F06">
      <w:r>
        <w:t>Similarly,</w:t>
      </w:r>
      <w:r w:rsidR="00F068AC">
        <w:t xml:space="preserve"> splenic injury patients treated non-</w:t>
      </w:r>
      <w:r w:rsidR="00F71944">
        <w:t>operatively, should</w:t>
      </w:r>
      <w:r w:rsidR="00F068AC">
        <w:t xml:space="preserve"> be well informed of </w:t>
      </w:r>
      <w:r>
        <w:t>above requirements including vaccinations but also</w:t>
      </w:r>
      <w:r w:rsidR="00F068AC">
        <w:t xml:space="preserve"> restrictions in activities.</w:t>
      </w:r>
    </w:p>
    <w:p w14:paraId="18E79F91" w14:textId="77777777" w:rsidR="00F068AC" w:rsidRDefault="00F068AC" w:rsidP="00F068AC"/>
    <w:p w14:paraId="39E023CB" w14:textId="672FC1F8" w:rsidR="00F068AC" w:rsidRPr="00F068AC" w:rsidRDefault="00452357" w:rsidP="006E3B8A">
      <w:pPr>
        <w:jc w:val="right"/>
        <w:rPr>
          <w:rFonts w:cs="Arial"/>
          <w:i/>
          <w:color w:val="0000FF"/>
          <w:szCs w:val="24"/>
          <w:u w:val="single"/>
        </w:rPr>
      </w:pPr>
      <w:hyperlink w:anchor="_top" w:history="1">
        <w:r w:rsidR="00F068AC"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55BE58FF" w:rsidR="009A534C" w:rsidRPr="00CD1C0E" w:rsidRDefault="00446F06" w:rsidP="00B10F87">
            <w:pPr>
              <w:pStyle w:val="Heading1"/>
            </w:pPr>
            <w:bookmarkStart w:id="24" w:name="_Toc112684154"/>
            <w:r>
              <w:t>Evaluation</w:t>
            </w:r>
            <w:bookmarkEnd w:id="24"/>
          </w:p>
        </w:tc>
      </w:tr>
    </w:tbl>
    <w:p w14:paraId="08682A1B" w14:textId="77777777" w:rsidR="009A534C" w:rsidRDefault="009A534C" w:rsidP="009A534C">
      <w:pPr>
        <w:pStyle w:val="Default"/>
        <w:rPr>
          <w:rFonts w:ascii="Calibri" w:hAnsi="Calibri"/>
        </w:rPr>
      </w:pPr>
    </w:p>
    <w:p w14:paraId="08682A1D" w14:textId="6286603B" w:rsidR="009A534C" w:rsidRDefault="00041DA1" w:rsidP="009A534C">
      <w:pPr>
        <w:pStyle w:val="Default"/>
        <w:rPr>
          <w:rFonts w:ascii="Calibri" w:hAnsi="Calibri" w:cs="Arial"/>
          <w:b/>
          <w:bCs/>
          <w:iCs/>
          <w:color w:val="auto"/>
          <w:lang w:eastAsia="en-US"/>
        </w:rPr>
      </w:pPr>
      <w:r>
        <w:rPr>
          <w:rFonts w:ascii="Calibri" w:hAnsi="Calibri" w:cs="Arial"/>
          <w:b/>
          <w:bCs/>
          <w:iCs/>
          <w:color w:val="auto"/>
          <w:lang w:eastAsia="en-US"/>
        </w:rPr>
        <w:t>Outcome</w:t>
      </w:r>
    </w:p>
    <w:p w14:paraId="5826A8B9" w14:textId="26AEC324" w:rsidR="00041DA1" w:rsidRDefault="00041DA1" w:rsidP="009A534C">
      <w:pPr>
        <w:pStyle w:val="Default"/>
        <w:rPr>
          <w:rFonts w:ascii="Calibri" w:hAnsi="Calibri" w:cs="Arial"/>
          <w:iCs/>
          <w:color w:val="auto"/>
          <w:lang w:eastAsia="en-US"/>
        </w:rPr>
      </w:pPr>
      <w:r>
        <w:rPr>
          <w:rFonts w:ascii="Calibri" w:hAnsi="Calibri" w:cs="Arial"/>
          <w:iCs/>
          <w:color w:val="auto"/>
          <w:lang w:eastAsia="en-US"/>
        </w:rPr>
        <w:t xml:space="preserve">Patients presenting with </w:t>
      </w:r>
      <w:r w:rsidR="00EB391D">
        <w:rPr>
          <w:rFonts w:ascii="Calibri" w:hAnsi="Calibri" w:cs="Arial"/>
          <w:iCs/>
          <w:color w:val="auto"/>
          <w:lang w:eastAsia="en-US"/>
        </w:rPr>
        <w:t xml:space="preserve">traumatic </w:t>
      </w:r>
      <w:r>
        <w:rPr>
          <w:rFonts w:ascii="Calibri" w:hAnsi="Calibri" w:cs="Arial"/>
          <w:iCs/>
          <w:color w:val="auto"/>
          <w:lang w:eastAsia="en-US"/>
        </w:rPr>
        <w:t>splenic injury are managed as per this procedure.</w:t>
      </w:r>
    </w:p>
    <w:p w14:paraId="3BB1D37E" w14:textId="77777777" w:rsidR="00041DA1" w:rsidRPr="00041DA1" w:rsidRDefault="00041DA1" w:rsidP="009A534C">
      <w:pPr>
        <w:pStyle w:val="Default"/>
        <w:rPr>
          <w:rFonts w:ascii="Calibri" w:hAnsi="Calibri" w:cs="Arial"/>
          <w:iCs/>
          <w:color w:val="auto"/>
          <w:lang w:eastAsia="en-US"/>
        </w:rPr>
      </w:pPr>
    </w:p>
    <w:p w14:paraId="1AAEC29D" w14:textId="300B6DC7" w:rsidR="00041DA1" w:rsidRDefault="00041DA1" w:rsidP="009A534C">
      <w:pPr>
        <w:pStyle w:val="Default"/>
        <w:rPr>
          <w:rFonts w:ascii="Calibri" w:hAnsi="Calibri" w:cs="Arial"/>
          <w:b/>
          <w:bCs/>
          <w:iCs/>
          <w:color w:val="auto"/>
          <w:lang w:eastAsia="en-US"/>
        </w:rPr>
      </w:pPr>
      <w:r>
        <w:rPr>
          <w:rFonts w:ascii="Calibri" w:hAnsi="Calibri" w:cs="Arial"/>
          <w:b/>
          <w:bCs/>
          <w:iCs/>
          <w:color w:val="auto"/>
          <w:lang w:eastAsia="en-US"/>
        </w:rPr>
        <w:t>Measure</w:t>
      </w:r>
    </w:p>
    <w:p w14:paraId="417F3F70" w14:textId="54D11770" w:rsidR="00041DA1" w:rsidRPr="00940B70" w:rsidRDefault="00940B70" w:rsidP="00041DA1">
      <w:pPr>
        <w:pStyle w:val="Default"/>
        <w:numPr>
          <w:ilvl w:val="0"/>
          <w:numId w:val="12"/>
        </w:numPr>
        <w:rPr>
          <w:rFonts w:ascii="Calibri" w:hAnsi="Calibri" w:cs="Arial"/>
          <w:b/>
          <w:bCs/>
          <w:iCs/>
          <w:color w:val="auto"/>
          <w:lang w:eastAsia="en-US"/>
        </w:rPr>
      </w:pPr>
      <w:r>
        <w:rPr>
          <w:rFonts w:ascii="Calibri" w:hAnsi="Calibri" w:cs="Arial"/>
          <w:iCs/>
          <w:color w:val="auto"/>
          <w:lang w:eastAsia="en-US"/>
        </w:rPr>
        <w:t xml:space="preserve">Annual review of clinical incidents related to splenic trauma </w:t>
      </w:r>
    </w:p>
    <w:p w14:paraId="747D10DB" w14:textId="121234A3" w:rsidR="00940B70" w:rsidRPr="00940B70" w:rsidRDefault="00940B70" w:rsidP="00041DA1">
      <w:pPr>
        <w:pStyle w:val="Default"/>
        <w:numPr>
          <w:ilvl w:val="0"/>
          <w:numId w:val="12"/>
        </w:numPr>
        <w:rPr>
          <w:rFonts w:ascii="Calibri" w:hAnsi="Calibri" w:cs="Arial"/>
          <w:b/>
          <w:bCs/>
          <w:iCs/>
          <w:color w:val="auto"/>
          <w:lang w:eastAsia="en-US"/>
        </w:rPr>
      </w:pPr>
      <w:r>
        <w:rPr>
          <w:rFonts w:ascii="Calibri" w:hAnsi="Calibri" w:cs="Arial"/>
          <w:iCs/>
          <w:color w:val="auto"/>
          <w:lang w:eastAsia="en-US"/>
        </w:rPr>
        <w:t xml:space="preserve">Annual audit of clinical records of </w:t>
      </w:r>
      <w:r w:rsidR="006165CC">
        <w:rPr>
          <w:rFonts w:ascii="Calibri" w:hAnsi="Calibri" w:cs="Arial"/>
          <w:iCs/>
          <w:color w:val="auto"/>
          <w:lang w:eastAsia="en-US"/>
        </w:rPr>
        <w:t xml:space="preserve">all patients with high grade splenic injury </w:t>
      </w:r>
    </w:p>
    <w:p w14:paraId="13CD6853" w14:textId="77777777" w:rsidR="00940B70" w:rsidRPr="00041DA1" w:rsidRDefault="00940B70" w:rsidP="00940B70">
      <w:pPr>
        <w:pStyle w:val="Default"/>
        <w:rPr>
          <w:rFonts w:ascii="Calibri" w:hAnsi="Calibri" w:cs="Arial"/>
          <w:b/>
          <w:bCs/>
          <w:iCs/>
          <w:color w:val="auto"/>
          <w:lang w:eastAsia="en-US"/>
        </w:rPr>
      </w:pPr>
    </w:p>
    <w:p w14:paraId="2B44AFD7" w14:textId="14348DF3" w:rsidR="006E3B8A" w:rsidRPr="00446F06" w:rsidRDefault="00452357" w:rsidP="00446F06">
      <w:pPr>
        <w:jc w:val="right"/>
        <w:rPr>
          <w:rFonts w:eastAsiaTheme="majorEastAsia" w:cs="Arial"/>
          <w:i/>
          <w:color w:val="0000FF"/>
          <w:szCs w:val="24"/>
          <w:u w:val="single"/>
        </w:rPr>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5" w:name="_Toc389473287"/>
            <w:bookmarkStart w:id="26" w:name="_Toc393203347"/>
            <w:bookmarkStart w:id="27" w:name="_Toc112684155"/>
            <w:r>
              <w:lastRenderedPageBreak/>
              <w:t>Related Policies, Procedures</w:t>
            </w:r>
            <w:bookmarkEnd w:id="25"/>
            <w:r>
              <w:t>, Guidelines and Legislation</w:t>
            </w:r>
            <w:bookmarkEnd w:id="26"/>
            <w:bookmarkEnd w:id="27"/>
          </w:p>
        </w:tc>
      </w:tr>
    </w:tbl>
    <w:p w14:paraId="08682A2B" w14:textId="08C52170" w:rsidR="00B61F35" w:rsidRDefault="00B61F35" w:rsidP="00041DA1">
      <w:pPr>
        <w:rPr>
          <w:szCs w:val="24"/>
        </w:rPr>
      </w:pPr>
    </w:p>
    <w:p w14:paraId="0DA07D83" w14:textId="12E246F3" w:rsidR="00041DA1" w:rsidRDefault="00041DA1" w:rsidP="00041DA1">
      <w:pPr>
        <w:rPr>
          <w:b/>
          <w:bCs/>
          <w:szCs w:val="24"/>
        </w:rPr>
      </w:pPr>
      <w:r>
        <w:rPr>
          <w:b/>
          <w:bCs/>
          <w:szCs w:val="24"/>
        </w:rPr>
        <w:t>Policies</w:t>
      </w:r>
    </w:p>
    <w:p w14:paraId="0DC89160" w14:textId="4A881225" w:rsidR="00041DA1" w:rsidRDefault="00041DA1" w:rsidP="00041DA1">
      <w:pPr>
        <w:pStyle w:val="ListBullet"/>
      </w:pPr>
      <w:r>
        <w:t>Informed Consent (Clinical)</w:t>
      </w:r>
    </w:p>
    <w:p w14:paraId="3E934476" w14:textId="5B566104" w:rsidR="00041DA1" w:rsidRPr="00041DA1" w:rsidRDefault="00041DA1" w:rsidP="00041DA1">
      <w:pPr>
        <w:pStyle w:val="ListBullet"/>
      </w:pPr>
      <w:r>
        <w:t>Medication Handling</w:t>
      </w:r>
    </w:p>
    <w:p w14:paraId="3FB82828" w14:textId="29C679DC" w:rsidR="00041DA1" w:rsidRDefault="00041DA1" w:rsidP="00041DA1">
      <w:pPr>
        <w:rPr>
          <w:b/>
          <w:bCs/>
          <w:szCs w:val="24"/>
        </w:rPr>
      </w:pPr>
    </w:p>
    <w:p w14:paraId="3E3DB920" w14:textId="1BD4CB1E" w:rsidR="00041DA1" w:rsidRDefault="00041DA1" w:rsidP="00041DA1">
      <w:pPr>
        <w:rPr>
          <w:b/>
          <w:bCs/>
          <w:szCs w:val="24"/>
        </w:rPr>
      </w:pPr>
      <w:r>
        <w:rPr>
          <w:b/>
          <w:bCs/>
          <w:szCs w:val="24"/>
        </w:rPr>
        <w:t>Procedures</w:t>
      </w:r>
    </w:p>
    <w:p w14:paraId="4D81109E" w14:textId="737642FB" w:rsidR="00041DA1" w:rsidRDefault="00041DA1" w:rsidP="00041DA1">
      <w:pPr>
        <w:pStyle w:val="ListBullet"/>
      </w:pPr>
      <w:r>
        <w:t>Clinical handover</w:t>
      </w:r>
    </w:p>
    <w:p w14:paraId="1AF48388" w14:textId="7EFD3A11" w:rsidR="00041DA1" w:rsidRDefault="00041DA1" w:rsidP="00041DA1">
      <w:pPr>
        <w:pStyle w:val="ListBullet"/>
      </w:pPr>
      <w:r>
        <w:t>Patient Identification and Procedure Matching</w:t>
      </w:r>
    </w:p>
    <w:p w14:paraId="1897BAC2" w14:textId="1299C930" w:rsidR="00041DA1" w:rsidRDefault="00041DA1" w:rsidP="00041DA1">
      <w:pPr>
        <w:pStyle w:val="ListBullet"/>
      </w:pPr>
      <w:r>
        <w:t>Interventional Radiology</w:t>
      </w:r>
    </w:p>
    <w:p w14:paraId="30C7F5AE" w14:textId="54B590C3" w:rsidR="00041DA1" w:rsidRDefault="00041DA1" w:rsidP="00041DA1">
      <w:pPr>
        <w:pStyle w:val="ListBullet"/>
      </w:pPr>
      <w:r>
        <w:t>Vital Signs and Early Warning Scores</w:t>
      </w:r>
    </w:p>
    <w:p w14:paraId="547F5D35" w14:textId="743C638C" w:rsidR="00041DA1" w:rsidRDefault="00041DA1" w:rsidP="00041DA1">
      <w:pPr>
        <w:pStyle w:val="ListBullet"/>
      </w:pPr>
      <w:r>
        <w:t>Post Operative Handover and Observations – Adult Patient (First 24 Hours)</w:t>
      </w:r>
    </w:p>
    <w:p w14:paraId="4BC3F150" w14:textId="3464BF12" w:rsidR="00F0088F" w:rsidRDefault="00F0088F" w:rsidP="00041DA1">
      <w:pPr>
        <w:pStyle w:val="ListBullet"/>
      </w:pPr>
      <w:r>
        <w:t>Infection Prevention and Control</w:t>
      </w:r>
    </w:p>
    <w:p w14:paraId="2F638B1B" w14:textId="2431777D" w:rsidR="00F0088F" w:rsidRDefault="00F0088F" w:rsidP="00041DA1">
      <w:pPr>
        <w:pStyle w:val="ListBullet"/>
      </w:pPr>
      <w:r>
        <w:t>Aseptic Technique</w:t>
      </w:r>
    </w:p>
    <w:p w14:paraId="18C1AE9C" w14:textId="71E61951" w:rsidR="00F0088F" w:rsidRPr="00041DA1" w:rsidRDefault="00F0088F" w:rsidP="00041DA1">
      <w:pPr>
        <w:pStyle w:val="ListBullet"/>
      </w:pPr>
      <w:r>
        <w:t>Surgical Safety Checklist</w:t>
      </w:r>
    </w:p>
    <w:p w14:paraId="3691AE82" w14:textId="77777777" w:rsidR="00041DA1" w:rsidRPr="00B61F35" w:rsidRDefault="00041DA1" w:rsidP="00041DA1">
      <w:pPr>
        <w:rPr>
          <w:rFonts w:cs="Arial"/>
          <w:szCs w:val="24"/>
        </w:rPr>
      </w:pPr>
    </w:p>
    <w:p w14:paraId="08682A2C" w14:textId="77777777" w:rsidR="00B61F35" w:rsidRPr="006743DB" w:rsidRDefault="00B61F35" w:rsidP="006743DB">
      <w:pPr>
        <w:rPr>
          <w:b/>
        </w:rPr>
      </w:pPr>
      <w:r w:rsidRPr="006743DB">
        <w:rPr>
          <w:b/>
        </w:rPr>
        <w:t xml:space="preserve">Guidelines </w:t>
      </w:r>
    </w:p>
    <w:p w14:paraId="08682A2D" w14:textId="19811206" w:rsidR="00B61F35" w:rsidRDefault="006E3B8A" w:rsidP="00BA5B60">
      <w:pPr>
        <w:pStyle w:val="ListBullet"/>
      </w:pPr>
      <w:r>
        <w:t xml:space="preserve">Prevention of </w:t>
      </w:r>
      <w:r w:rsidR="00F71944">
        <w:t>Post splenectomy</w:t>
      </w:r>
      <w:r>
        <w:t xml:space="preserve"> </w:t>
      </w:r>
      <w:r w:rsidR="008C2873">
        <w:t>S</w:t>
      </w:r>
      <w:r>
        <w:t xml:space="preserve">epsis </w:t>
      </w:r>
    </w:p>
    <w:p w14:paraId="204FF000" w14:textId="35B6F815" w:rsidR="00F0088F" w:rsidRDefault="00F0088F" w:rsidP="00F0088F">
      <w:pPr>
        <w:pStyle w:val="ListBullet"/>
        <w:numPr>
          <w:ilvl w:val="0"/>
          <w:numId w:val="0"/>
        </w:numPr>
        <w:ind w:left="426" w:hanging="426"/>
      </w:pPr>
    </w:p>
    <w:p w14:paraId="47580D6D" w14:textId="12461237" w:rsidR="00F0088F" w:rsidRPr="00F0088F" w:rsidRDefault="00F0088F" w:rsidP="00F0088F">
      <w:pPr>
        <w:pStyle w:val="ListBullet"/>
        <w:numPr>
          <w:ilvl w:val="0"/>
          <w:numId w:val="0"/>
        </w:numPr>
        <w:ind w:left="426" w:hanging="426"/>
        <w:rPr>
          <w:b/>
          <w:bCs/>
        </w:rPr>
      </w:pPr>
      <w:r w:rsidRPr="00F0088F">
        <w:rPr>
          <w:b/>
          <w:bCs/>
        </w:rPr>
        <w:t>Legislation</w:t>
      </w:r>
    </w:p>
    <w:p w14:paraId="25357072" w14:textId="619276D1" w:rsidR="00F0088F" w:rsidRPr="00F0088F" w:rsidRDefault="00F0088F" w:rsidP="00F0088F">
      <w:pPr>
        <w:pStyle w:val="ListBullet"/>
      </w:pPr>
      <w:r>
        <w:rPr>
          <w:i/>
          <w:iCs/>
        </w:rPr>
        <w:t>Health Records (Privacy and Access) Act 1997</w:t>
      </w:r>
    </w:p>
    <w:p w14:paraId="0133840B" w14:textId="77777777" w:rsidR="00F0088F" w:rsidRPr="00C873CD" w:rsidRDefault="00F0088F" w:rsidP="00F0088F">
      <w:pPr>
        <w:numPr>
          <w:ilvl w:val="0"/>
          <w:numId w:val="1"/>
        </w:numPr>
        <w:ind w:left="426" w:hanging="426"/>
        <w:rPr>
          <w:i/>
        </w:rPr>
      </w:pPr>
      <w:r w:rsidRPr="00C873CD">
        <w:rPr>
          <w:i/>
        </w:rPr>
        <w:t>Human Rights Act 2004</w:t>
      </w:r>
    </w:p>
    <w:p w14:paraId="55DD01B3" w14:textId="098A6F0D" w:rsidR="00F0088F" w:rsidRDefault="00F0088F" w:rsidP="00F0088F">
      <w:pPr>
        <w:numPr>
          <w:ilvl w:val="0"/>
          <w:numId w:val="1"/>
        </w:numPr>
        <w:ind w:left="426" w:hanging="426"/>
        <w:rPr>
          <w:i/>
        </w:rPr>
      </w:pPr>
      <w:r w:rsidRPr="00C873CD">
        <w:rPr>
          <w:i/>
        </w:rPr>
        <w:t>Work Health and Safety Act 2011</w:t>
      </w:r>
    </w:p>
    <w:p w14:paraId="1ED30544" w14:textId="207DB661" w:rsidR="00F0088F" w:rsidRDefault="00F0088F" w:rsidP="00F0088F">
      <w:pPr>
        <w:rPr>
          <w:i/>
        </w:rPr>
      </w:pPr>
    </w:p>
    <w:p w14:paraId="11CA7551" w14:textId="75240AF2" w:rsidR="00F0088F" w:rsidRDefault="00F0088F" w:rsidP="00F0088F">
      <w:pPr>
        <w:rPr>
          <w:b/>
          <w:bCs/>
          <w:iCs/>
        </w:rPr>
      </w:pPr>
      <w:r>
        <w:rPr>
          <w:b/>
          <w:bCs/>
          <w:iCs/>
        </w:rPr>
        <w:t>Other</w:t>
      </w:r>
    </w:p>
    <w:p w14:paraId="02C4E320" w14:textId="126EC8CF" w:rsidR="00F0088F" w:rsidRPr="00F0088F" w:rsidRDefault="00F0088F" w:rsidP="00F0088F">
      <w:pPr>
        <w:pStyle w:val="ListBullet"/>
      </w:pPr>
      <w:r>
        <w:t>Australian Charter of Healthcare Rights</w:t>
      </w:r>
    </w:p>
    <w:p w14:paraId="08682A2E" w14:textId="77777777" w:rsidR="00B61F35" w:rsidRPr="00B61F35" w:rsidRDefault="00B61F35" w:rsidP="00B61F35"/>
    <w:p w14:paraId="08682A34" w14:textId="77777777" w:rsidR="009A534C" w:rsidRPr="00DA3910" w:rsidRDefault="00452357"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8" w:name="_Toc112684156"/>
            <w:r>
              <w:rPr>
                <w:szCs w:val="24"/>
              </w:rPr>
              <w:t>References</w:t>
            </w:r>
            <w:bookmarkEnd w:id="28"/>
          </w:p>
        </w:tc>
      </w:tr>
    </w:tbl>
    <w:p w14:paraId="08682A37" w14:textId="77777777" w:rsidR="009A534C" w:rsidRDefault="009A534C" w:rsidP="009A534C">
      <w:pPr>
        <w:jc w:val="both"/>
        <w:rPr>
          <w:rFonts w:cs="Arial"/>
          <w:b/>
          <w:szCs w:val="24"/>
        </w:rPr>
      </w:pPr>
    </w:p>
    <w:p w14:paraId="6E1B64BB" w14:textId="77777777" w:rsidR="001D667B" w:rsidRDefault="001D667B" w:rsidP="006E3B8A">
      <w:r>
        <w:t xml:space="preserve">Rowell, Susan MD, </w:t>
      </w:r>
      <w:proofErr w:type="spellStart"/>
      <w:r>
        <w:t>Biffl</w:t>
      </w:r>
      <w:proofErr w:type="spellEnd"/>
      <w:r>
        <w:t xml:space="preserve">, Walter MD, </w:t>
      </w:r>
      <w:proofErr w:type="spellStart"/>
      <w:r>
        <w:t>Brasel</w:t>
      </w:r>
      <w:proofErr w:type="spellEnd"/>
      <w:r>
        <w:t xml:space="preserve">, Karen MD et al. Western Trauma Association Critical Decisions in Trauma: Management of Adult Blunt Splenic Trauma – 2016 Updates. </w:t>
      </w:r>
    </w:p>
    <w:p w14:paraId="2BF45A10" w14:textId="77777777" w:rsidR="001D667B" w:rsidRDefault="001D667B" w:rsidP="001D667B">
      <w:pPr>
        <w:ind w:left="570"/>
      </w:pPr>
    </w:p>
    <w:p w14:paraId="582FE2AA" w14:textId="77777777" w:rsidR="001D667B" w:rsidRDefault="001D667B" w:rsidP="006E3B8A">
      <w:proofErr w:type="spellStart"/>
      <w:r>
        <w:t>Zarzaur</w:t>
      </w:r>
      <w:proofErr w:type="spellEnd"/>
      <w:r>
        <w:t xml:space="preserve">, Ben, </w:t>
      </w:r>
      <w:proofErr w:type="spellStart"/>
      <w:r>
        <w:t>Rozycki</w:t>
      </w:r>
      <w:proofErr w:type="spellEnd"/>
      <w:r>
        <w:t>, Grace. An Update on Nonoperative management of the spleen in adults. Trauma Surg Acute Care Open. 2017; 2:1-7.</w:t>
      </w:r>
    </w:p>
    <w:p w14:paraId="40177F35" w14:textId="77777777" w:rsidR="001D667B" w:rsidRDefault="001D667B" w:rsidP="001D667B">
      <w:pPr>
        <w:ind w:left="570"/>
      </w:pPr>
    </w:p>
    <w:p w14:paraId="6077D9DC" w14:textId="77777777" w:rsidR="001D667B" w:rsidRDefault="001D667B" w:rsidP="006E3B8A">
      <w:r>
        <w:t xml:space="preserve">Stassen, Nicole MD, Bhullar, </w:t>
      </w:r>
      <w:proofErr w:type="spellStart"/>
      <w:r>
        <w:t>Indermeet</w:t>
      </w:r>
      <w:proofErr w:type="spellEnd"/>
      <w:r>
        <w:t xml:space="preserve"> MD, Cheng, Julius MD et al. Selective nonoperative management of blunt splenic injury: an Eastern Association for the Surgery of Trauma Practice management guidelines.</w:t>
      </w:r>
    </w:p>
    <w:p w14:paraId="70EDC34E" w14:textId="77777777" w:rsidR="001D667B" w:rsidRDefault="001D667B" w:rsidP="001D667B">
      <w:pPr>
        <w:ind w:left="570"/>
      </w:pPr>
    </w:p>
    <w:p w14:paraId="6C6A873C" w14:textId="77777777" w:rsidR="001D667B" w:rsidRDefault="001D667B" w:rsidP="006E3B8A">
      <w:proofErr w:type="spellStart"/>
      <w:r>
        <w:lastRenderedPageBreak/>
        <w:t>Coccolini</w:t>
      </w:r>
      <w:proofErr w:type="spellEnd"/>
      <w:r>
        <w:t xml:space="preserve">, Federico, </w:t>
      </w:r>
      <w:proofErr w:type="spellStart"/>
      <w:r>
        <w:t>Montori</w:t>
      </w:r>
      <w:proofErr w:type="spellEnd"/>
      <w:r>
        <w:t xml:space="preserve">, </w:t>
      </w:r>
      <w:proofErr w:type="spellStart"/>
      <w:r>
        <w:t>Guilia</w:t>
      </w:r>
      <w:proofErr w:type="spellEnd"/>
      <w:r>
        <w:t>, Catena, Fausto et al. Splenic Trauma: WSES Classification and guidelines for adult and paediatric patients. World Journal of Emergency Surgery. 2017;12:40.</w:t>
      </w:r>
    </w:p>
    <w:p w14:paraId="4DD30B65" w14:textId="77777777" w:rsidR="001D667B" w:rsidRDefault="001D667B" w:rsidP="001D667B">
      <w:pPr>
        <w:ind w:left="570"/>
      </w:pPr>
    </w:p>
    <w:p w14:paraId="3469129C" w14:textId="77777777" w:rsidR="001D667B" w:rsidRDefault="001D667B" w:rsidP="006E3B8A">
      <w:r>
        <w:t xml:space="preserve">Immunisation Recommendations for Functional or Anatomical Asplenia in Adult. Liverpool Hospital Pharmacy Guidelines 2013. </w:t>
      </w:r>
    </w:p>
    <w:p w14:paraId="09A4E3B6" w14:textId="77777777" w:rsidR="001D667B" w:rsidRDefault="001D667B" w:rsidP="006165CC"/>
    <w:p w14:paraId="15C07E62" w14:textId="52EA019A" w:rsidR="001D667B" w:rsidRDefault="006165CC" w:rsidP="006E3B8A">
      <w:r>
        <w:t xml:space="preserve">International Association for Trauma Surgery and Intensive Care (IATSIC) </w:t>
      </w:r>
      <w:r w:rsidR="001D667B">
        <w:t>Definitive Surgical Trauma Care (DSTC) Course Manual 2017</w:t>
      </w:r>
    </w:p>
    <w:p w14:paraId="404DEA92" w14:textId="1802F6A6" w:rsidR="00F068AC" w:rsidRDefault="00F068AC" w:rsidP="00F068AC">
      <w:pPr>
        <w:rPr>
          <w:rFonts w:cs="Arial"/>
          <w:b/>
          <w:szCs w:val="24"/>
        </w:rPr>
      </w:pPr>
    </w:p>
    <w:p w14:paraId="44BD015E" w14:textId="038C27BC" w:rsidR="00EB391D" w:rsidRDefault="00452357" w:rsidP="00EB391D">
      <w:pPr>
        <w:jc w:val="right"/>
      </w:pPr>
      <w:hyperlink w:anchor="_top" w:history="1">
        <w:r w:rsidR="00EB391D"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9" w:name="_Toc389473290"/>
            <w:bookmarkStart w:id="30" w:name="_Toc396290589"/>
            <w:bookmarkStart w:id="31" w:name="_Toc112684157"/>
            <w:r>
              <w:t>Search Terms</w:t>
            </w:r>
            <w:bookmarkEnd w:id="29"/>
            <w:bookmarkEnd w:id="30"/>
            <w:bookmarkEnd w:id="31"/>
            <w:r>
              <w:t xml:space="preserve"> </w:t>
            </w:r>
          </w:p>
        </w:tc>
      </w:tr>
    </w:tbl>
    <w:p w14:paraId="08682A46" w14:textId="77777777" w:rsidR="004A6A76" w:rsidRDefault="004A6A76" w:rsidP="004A6A76">
      <w:pPr>
        <w:rPr>
          <w:rFonts w:cs="Calibri,Bold"/>
          <w:bCs/>
          <w:i/>
          <w:szCs w:val="24"/>
          <w:lang w:eastAsia="en-AU"/>
        </w:rPr>
      </w:pPr>
    </w:p>
    <w:p w14:paraId="42EFAC43" w14:textId="20F2D0C2" w:rsidR="006E3B8A" w:rsidRPr="006E3B8A" w:rsidRDefault="006E3B8A" w:rsidP="004A6A76">
      <w:pPr>
        <w:rPr>
          <w:rFonts w:cs="Calibri,Bold"/>
          <w:bCs/>
          <w:szCs w:val="24"/>
          <w:lang w:eastAsia="en-AU"/>
        </w:rPr>
      </w:pPr>
      <w:r>
        <w:rPr>
          <w:rFonts w:cs="Calibri,Bold"/>
          <w:bCs/>
          <w:szCs w:val="24"/>
          <w:lang w:eastAsia="en-AU"/>
        </w:rPr>
        <w:t>Splenic injury, blunt abdominal injury, FAST scan for abdominal injury</w:t>
      </w:r>
      <w:r w:rsidR="00EB391D">
        <w:rPr>
          <w:rFonts w:cs="Calibri,Bold"/>
          <w:bCs/>
          <w:szCs w:val="24"/>
          <w:lang w:eastAsia="en-AU"/>
        </w:rPr>
        <w:t>, spleen</w:t>
      </w:r>
      <w:r w:rsidR="00916A07">
        <w:rPr>
          <w:rFonts w:cs="Calibri,Bold"/>
          <w:bCs/>
          <w:szCs w:val="24"/>
          <w:lang w:eastAsia="en-AU"/>
        </w:rPr>
        <w:t>, trauma</w:t>
      </w:r>
      <w:r w:rsidR="008D1A91">
        <w:rPr>
          <w:rFonts w:cs="Calibri,Bold"/>
          <w:bCs/>
          <w:szCs w:val="24"/>
          <w:lang w:eastAsia="en-AU"/>
        </w:rPr>
        <w:t xml:space="preserve">, </w:t>
      </w:r>
      <w:r w:rsidR="001A04D7">
        <w:rPr>
          <w:rFonts w:cs="Calibri,Bold"/>
          <w:bCs/>
          <w:szCs w:val="24"/>
          <w:lang w:eastAsia="en-AU"/>
        </w:rPr>
        <w:t>splenectomy</w:t>
      </w:r>
    </w:p>
    <w:p w14:paraId="08682A48" w14:textId="77777777" w:rsidR="004A6A76" w:rsidRPr="00901883" w:rsidRDefault="004A6A76" w:rsidP="004A6A76">
      <w:pPr>
        <w:jc w:val="both"/>
        <w:rPr>
          <w:rFonts w:asciiTheme="minorHAnsi" w:hAnsiTheme="minorHAnsi" w:cs="Arial"/>
          <w:b/>
          <w:i/>
          <w:sz w:val="22"/>
          <w:szCs w:val="22"/>
        </w:rPr>
      </w:pPr>
    </w:p>
    <w:p w14:paraId="08682A49" w14:textId="77777777" w:rsidR="004A6A76" w:rsidRPr="00E41A47" w:rsidRDefault="00452357"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32" w:name="_Toc112684158"/>
            <w:r>
              <w:rPr>
                <w:szCs w:val="24"/>
              </w:rPr>
              <w:t>Attachments</w:t>
            </w:r>
            <w:bookmarkEnd w:id="32"/>
          </w:p>
        </w:tc>
      </w:tr>
    </w:tbl>
    <w:p w14:paraId="08682A4E" w14:textId="77777777" w:rsidR="009A534C" w:rsidRDefault="009A534C" w:rsidP="009A534C">
      <w:pPr>
        <w:rPr>
          <w:rFonts w:cs="Arial"/>
          <w:iCs/>
          <w:sz w:val="20"/>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5B3A1A">
        <w:tc>
          <w:tcPr>
            <w:tcW w:w="2265" w:type="dxa"/>
          </w:tcPr>
          <w:p w14:paraId="08682A53" w14:textId="77777777" w:rsidR="00153FB3" w:rsidRPr="003E167B" w:rsidRDefault="00153FB3" w:rsidP="005B3A1A">
            <w:pPr>
              <w:rPr>
                <w:i/>
                <w:sz w:val="20"/>
              </w:rPr>
            </w:pPr>
            <w:r w:rsidRPr="003E167B">
              <w:rPr>
                <w:i/>
                <w:sz w:val="20"/>
              </w:rPr>
              <w:t>Date Amended</w:t>
            </w:r>
          </w:p>
        </w:tc>
        <w:tc>
          <w:tcPr>
            <w:tcW w:w="2265" w:type="dxa"/>
          </w:tcPr>
          <w:p w14:paraId="08682A54" w14:textId="77777777" w:rsidR="00153FB3" w:rsidRPr="003E167B" w:rsidRDefault="00153FB3" w:rsidP="005B3A1A">
            <w:pPr>
              <w:rPr>
                <w:i/>
                <w:sz w:val="20"/>
              </w:rPr>
            </w:pPr>
            <w:r w:rsidRPr="003E167B">
              <w:rPr>
                <w:i/>
                <w:sz w:val="20"/>
              </w:rPr>
              <w:t>Section Amended</w:t>
            </w:r>
          </w:p>
        </w:tc>
        <w:tc>
          <w:tcPr>
            <w:tcW w:w="2265"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5B3A1A">
        <w:tc>
          <w:tcPr>
            <w:tcW w:w="2265" w:type="dxa"/>
          </w:tcPr>
          <w:p w14:paraId="08682A58" w14:textId="4284BB5C" w:rsidR="00153FB3" w:rsidRPr="003E167B" w:rsidRDefault="00452357" w:rsidP="005B3A1A">
            <w:pPr>
              <w:rPr>
                <w:i/>
                <w:sz w:val="20"/>
              </w:rPr>
            </w:pPr>
            <w:r>
              <w:rPr>
                <w:i/>
                <w:sz w:val="20"/>
              </w:rPr>
              <w:t>29/08/2022</w:t>
            </w:r>
          </w:p>
        </w:tc>
        <w:tc>
          <w:tcPr>
            <w:tcW w:w="2265" w:type="dxa"/>
          </w:tcPr>
          <w:p w14:paraId="08682A59" w14:textId="66E4B18F" w:rsidR="00153FB3" w:rsidRPr="003E167B" w:rsidRDefault="00452357" w:rsidP="005B3A1A">
            <w:pPr>
              <w:rPr>
                <w:i/>
                <w:sz w:val="20"/>
              </w:rPr>
            </w:pPr>
            <w:r>
              <w:rPr>
                <w:i/>
                <w:sz w:val="20"/>
              </w:rPr>
              <w:t>New document</w:t>
            </w:r>
          </w:p>
        </w:tc>
        <w:tc>
          <w:tcPr>
            <w:tcW w:w="2265" w:type="dxa"/>
          </w:tcPr>
          <w:p w14:paraId="08682A5A" w14:textId="53D13D3B" w:rsidR="00153FB3" w:rsidRPr="003E167B" w:rsidRDefault="00452357" w:rsidP="005B3A1A">
            <w:pPr>
              <w:rPr>
                <w:i/>
                <w:sz w:val="20"/>
              </w:rPr>
            </w:pPr>
            <w:r>
              <w:rPr>
                <w:i/>
                <w:sz w:val="20"/>
              </w:rPr>
              <w:t>Lisa Gilmore, ED Surgery</w:t>
            </w:r>
          </w:p>
        </w:tc>
        <w:tc>
          <w:tcPr>
            <w:tcW w:w="2265" w:type="dxa"/>
          </w:tcPr>
          <w:p w14:paraId="08682A5B" w14:textId="15ECEDD8" w:rsidR="00153FB3" w:rsidRPr="003E167B" w:rsidRDefault="00452357" w:rsidP="005B3A1A">
            <w:pPr>
              <w:rPr>
                <w:i/>
                <w:sz w:val="20"/>
              </w:rPr>
            </w:pPr>
            <w:r>
              <w:rPr>
                <w:i/>
                <w:sz w:val="20"/>
              </w:rPr>
              <w:t xml:space="preserve">CHS Policy Committee </w:t>
            </w:r>
          </w:p>
        </w:tc>
      </w:tr>
      <w:tr w:rsidR="00153FB3" w:rsidRPr="003E167B" w14:paraId="08682A61" w14:textId="77777777" w:rsidTr="005B3A1A">
        <w:tc>
          <w:tcPr>
            <w:tcW w:w="2265" w:type="dxa"/>
          </w:tcPr>
          <w:p w14:paraId="08682A5D" w14:textId="77777777" w:rsidR="00153FB3" w:rsidRPr="003E167B" w:rsidRDefault="00153FB3" w:rsidP="005B3A1A">
            <w:pPr>
              <w:rPr>
                <w:i/>
                <w:sz w:val="20"/>
              </w:rPr>
            </w:pPr>
          </w:p>
        </w:tc>
        <w:tc>
          <w:tcPr>
            <w:tcW w:w="2265" w:type="dxa"/>
          </w:tcPr>
          <w:p w14:paraId="08682A5E" w14:textId="77777777" w:rsidR="00153FB3" w:rsidRPr="003E167B" w:rsidRDefault="00153FB3" w:rsidP="005B3A1A">
            <w:pPr>
              <w:rPr>
                <w:i/>
                <w:sz w:val="20"/>
              </w:rPr>
            </w:pPr>
          </w:p>
        </w:tc>
        <w:tc>
          <w:tcPr>
            <w:tcW w:w="2265"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5B3A1A">
            <w:pPr>
              <w:rPr>
                <w:i/>
                <w:sz w:val="20"/>
              </w:rPr>
            </w:pPr>
          </w:p>
        </w:tc>
        <w:tc>
          <w:tcPr>
            <w:tcW w:w="6938" w:type="dxa"/>
          </w:tcPr>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77777777" w:rsidR="00010E74" w:rsidRPr="00010E74" w:rsidRDefault="00010E74" w:rsidP="00153FB3">
      <w:pPr>
        <w:rPr>
          <w:i/>
          <w:sz w:val="20"/>
          <w:szCs w:val="24"/>
        </w:rPr>
      </w:pPr>
    </w:p>
    <w:sectPr w:rsidR="00010E74" w:rsidRPr="00010E74" w:rsidSect="00B10F87">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7491" w14:textId="77777777" w:rsidR="000E14CD" w:rsidRDefault="000E14CD" w:rsidP="00F66CB0">
      <w:r>
        <w:separator/>
      </w:r>
    </w:p>
  </w:endnote>
  <w:endnote w:type="continuationSeparator" w:id="0">
    <w:p w14:paraId="725B26D9" w14:textId="77777777" w:rsidR="000E14CD" w:rsidRDefault="000E14CD" w:rsidP="00F66CB0">
      <w:r>
        <w:continuationSeparator/>
      </w:r>
    </w:p>
  </w:endnote>
  <w:endnote w:type="continuationNotice" w:id="1">
    <w:p w14:paraId="29AF80B5" w14:textId="77777777" w:rsidR="00BB5CE7" w:rsidRDefault="00BB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295AC883" w:rsidR="001670BB" w:rsidRPr="00542EE6" w:rsidRDefault="00452357" w:rsidP="00B10F87">
          <w:pPr>
            <w:pStyle w:val="Footer"/>
            <w:rPr>
              <w:rFonts w:cs="Arial"/>
              <w:b/>
              <w:bCs/>
              <w:sz w:val="20"/>
            </w:rPr>
          </w:pPr>
          <w:r>
            <w:rPr>
              <w:b/>
              <w:bCs/>
              <w:sz w:val="20"/>
            </w:rPr>
            <w:t>CHS22/349</w:t>
          </w:r>
        </w:p>
      </w:tc>
      <w:tc>
        <w:tcPr>
          <w:tcW w:w="965" w:type="dxa"/>
        </w:tcPr>
        <w:p w14:paraId="08682A7E" w14:textId="78EDE040" w:rsidR="001670BB" w:rsidRPr="00B3752F" w:rsidRDefault="00452357" w:rsidP="00B10F87">
          <w:pPr>
            <w:pStyle w:val="Footer"/>
            <w:rPr>
              <w:rFonts w:cs="Arial"/>
              <w:b/>
              <w:bCs/>
              <w:sz w:val="20"/>
            </w:rPr>
          </w:pPr>
          <w:r>
            <w:rPr>
              <w:rFonts w:cs="Arial"/>
              <w:b/>
              <w:bCs/>
              <w:sz w:val="20"/>
            </w:rPr>
            <w:t>1</w:t>
          </w:r>
        </w:p>
      </w:tc>
      <w:tc>
        <w:tcPr>
          <w:tcW w:w="1552" w:type="dxa"/>
        </w:tcPr>
        <w:p w14:paraId="08682A7F" w14:textId="6D65EA6C" w:rsidR="001670BB" w:rsidRPr="00B3752F" w:rsidRDefault="00452357" w:rsidP="00B10F87">
          <w:pPr>
            <w:pStyle w:val="Footer"/>
            <w:rPr>
              <w:rFonts w:cs="Arial"/>
              <w:b/>
              <w:bCs/>
              <w:sz w:val="20"/>
            </w:rPr>
          </w:pPr>
          <w:r>
            <w:rPr>
              <w:rFonts w:cs="Arial"/>
              <w:b/>
              <w:bCs/>
              <w:sz w:val="20"/>
            </w:rPr>
            <w:t>29/08/2022</w:t>
          </w:r>
        </w:p>
      </w:tc>
      <w:tc>
        <w:tcPr>
          <w:tcW w:w="1456" w:type="dxa"/>
        </w:tcPr>
        <w:p w14:paraId="08682A80" w14:textId="01AAE518" w:rsidR="001670BB" w:rsidRPr="00B3752F" w:rsidRDefault="00452357" w:rsidP="00470E63">
          <w:pPr>
            <w:pStyle w:val="Footer"/>
            <w:rPr>
              <w:rFonts w:cs="Arial"/>
              <w:b/>
              <w:bCs/>
              <w:sz w:val="20"/>
            </w:rPr>
          </w:pPr>
          <w:r>
            <w:rPr>
              <w:rFonts w:cs="Arial"/>
              <w:b/>
              <w:bCs/>
              <w:sz w:val="20"/>
            </w:rPr>
            <w:t>01/09/2025</w:t>
          </w:r>
        </w:p>
      </w:tc>
      <w:tc>
        <w:tcPr>
          <w:tcW w:w="1746" w:type="dxa"/>
        </w:tcPr>
        <w:p w14:paraId="08682A81" w14:textId="08D49FC3" w:rsidR="001670BB" w:rsidRPr="00B3752F" w:rsidRDefault="00452357" w:rsidP="00B10F87">
          <w:pPr>
            <w:pStyle w:val="Footer"/>
            <w:rPr>
              <w:rFonts w:cs="Arial"/>
              <w:b/>
              <w:bCs/>
              <w:sz w:val="20"/>
            </w:rPr>
          </w:pPr>
          <w:r>
            <w:rPr>
              <w:rFonts w:cs="Arial"/>
              <w:b/>
              <w:bCs/>
              <w:sz w:val="20"/>
            </w:rPr>
            <w:t>Surgery - Trauma</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3B0ED7">
            <w:rPr>
              <w:rStyle w:val="PageNumber"/>
              <w:noProof/>
              <w:sz w:val="20"/>
            </w:rPr>
            <w:t>9</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3B0ED7">
            <w:rPr>
              <w:rStyle w:val="PageNumber"/>
              <w:noProof/>
              <w:sz w:val="20"/>
            </w:rPr>
            <w:t>9</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77777777"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0033" w14:textId="77777777" w:rsidR="000E14CD" w:rsidRDefault="000E14CD" w:rsidP="00F66CB0">
      <w:r>
        <w:separator/>
      </w:r>
    </w:p>
  </w:footnote>
  <w:footnote w:type="continuationSeparator" w:id="0">
    <w:p w14:paraId="46D44A71" w14:textId="77777777" w:rsidR="000E14CD" w:rsidRDefault="000E14CD" w:rsidP="00F66CB0">
      <w:r>
        <w:continuationSeparator/>
      </w:r>
    </w:p>
  </w:footnote>
  <w:footnote w:type="continuationNotice" w:id="1">
    <w:p w14:paraId="6E233CF2" w14:textId="77777777" w:rsidR="00BB5CE7" w:rsidRDefault="00BB5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1670BB" w14:paraId="08682A74" w14:textId="77777777" w:rsidTr="008E74FD">
      <w:trPr>
        <w:trHeight w:val="1418"/>
      </w:trPr>
      <w:tc>
        <w:tcPr>
          <w:tcW w:w="5556" w:type="dxa"/>
          <w:vAlign w:val="center"/>
        </w:tcPr>
        <w:p w14:paraId="08682A72" w14:textId="6F256EBD" w:rsidR="001670BB" w:rsidRPr="00EF02B0" w:rsidRDefault="00B17115" w:rsidP="008E74FD">
          <w:pPr>
            <w:pStyle w:val="Header"/>
            <w:rPr>
              <w:sz w:val="20"/>
            </w:rPr>
          </w:pPr>
          <w:r>
            <w:rPr>
              <w:noProof/>
              <w:sz w:val="20"/>
            </w:rPr>
            <w:drawing>
              <wp:inline distT="0" distB="0" distL="0" distR="0" wp14:anchorId="6003831B" wp14:editId="0A164BF0">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08682A73" w14:textId="7C3CE368" w:rsidR="001670BB" w:rsidRDefault="00452357" w:rsidP="002C05A8">
          <w:pPr>
            <w:pStyle w:val="Header"/>
            <w:tabs>
              <w:tab w:val="clear" w:pos="4153"/>
              <w:tab w:val="clear" w:pos="8306"/>
            </w:tabs>
            <w:jc w:val="right"/>
            <w:rPr>
              <w:sz w:val="20"/>
            </w:rPr>
          </w:pPr>
          <w:bookmarkStart w:id="33" w:name="_top"/>
          <w:bookmarkEnd w:id="33"/>
          <w:r>
            <w:rPr>
              <w:sz w:val="20"/>
            </w:rPr>
            <w:t>CHS22/349</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47962"/>
    <w:multiLevelType w:val="multilevel"/>
    <w:tmpl w:val="D2A243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B03A42"/>
    <w:multiLevelType w:val="hybridMultilevel"/>
    <w:tmpl w:val="AC92D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F3255E"/>
    <w:multiLevelType w:val="multilevel"/>
    <w:tmpl w:val="A0243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9" w15:restartNumberingAfterBreak="0">
    <w:nsid w:val="51446775"/>
    <w:multiLevelType w:val="multilevel"/>
    <w:tmpl w:val="9F2E17F2"/>
    <w:lvl w:ilvl="0">
      <w:start w:val="1"/>
      <w:numFmt w:val="decimal"/>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decimal"/>
      <w:lvlText w:val="%1.%2.%3"/>
      <w:lvlJc w:val="left"/>
      <w:pPr>
        <w:ind w:left="1003"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0"/>
  </w:num>
  <w:num w:numId="4">
    <w:abstractNumId w:val="3"/>
  </w:num>
  <w:num w:numId="5">
    <w:abstractNumId w:val="4"/>
  </w:num>
  <w:num w:numId="6">
    <w:abstractNumId w:val="2"/>
  </w:num>
  <w:num w:numId="7">
    <w:abstractNumId w:val="11"/>
  </w:num>
  <w:num w:numId="8">
    <w:abstractNumId w:val="8"/>
  </w:num>
  <w:num w:numId="9">
    <w:abstractNumId w:val="9"/>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C5C"/>
    <w:rsid w:val="00004888"/>
    <w:rsid w:val="00010E74"/>
    <w:rsid w:val="000121C3"/>
    <w:rsid w:val="00012DB3"/>
    <w:rsid w:val="00015B90"/>
    <w:rsid w:val="0001607A"/>
    <w:rsid w:val="00032706"/>
    <w:rsid w:val="00041DA1"/>
    <w:rsid w:val="00044BAA"/>
    <w:rsid w:val="0006199B"/>
    <w:rsid w:val="0006609A"/>
    <w:rsid w:val="000728F3"/>
    <w:rsid w:val="000961C4"/>
    <w:rsid w:val="000A359F"/>
    <w:rsid w:val="000A3D5E"/>
    <w:rsid w:val="000A44ED"/>
    <w:rsid w:val="000A49B9"/>
    <w:rsid w:val="000A7EDA"/>
    <w:rsid w:val="000B5C8C"/>
    <w:rsid w:val="000C4F93"/>
    <w:rsid w:val="000C59E2"/>
    <w:rsid w:val="000C691C"/>
    <w:rsid w:val="000C7B2D"/>
    <w:rsid w:val="000D1F98"/>
    <w:rsid w:val="000D4B0F"/>
    <w:rsid w:val="000E14CD"/>
    <w:rsid w:val="000F7B7E"/>
    <w:rsid w:val="00103EEA"/>
    <w:rsid w:val="00106525"/>
    <w:rsid w:val="001075B7"/>
    <w:rsid w:val="00130C14"/>
    <w:rsid w:val="00134D5D"/>
    <w:rsid w:val="00153FB3"/>
    <w:rsid w:val="00165A46"/>
    <w:rsid w:val="001670BB"/>
    <w:rsid w:val="0018239D"/>
    <w:rsid w:val="00185FAC"/>
    <w:rsid w:val="00191109"/>
    <w:rsid w:val="001A0053"/>
    <w:rsid w:val="001A04D7"/>
    <w:rsid w:val="001A0D49"/>
    <w:rsid w:val="001A4254"/>
    <w:rsid w:val="001B2465"/>
    <w:rsid w:val="001B5A32"/>
    <w:rsid w:val="001C2E77"/>
    <w:rsid w:val="001D1F6D"/>
    <w:rsid w:val="001D36ED"/>
    <w:rsid w:val="001D667B"/>
    <w:rsid w:val="001E3206"/>
    <w:rsid w:val="001E64DB"/>
    <w:rsid w:val="001F2829"/>
    <w:rsid w:val="001F660A"/>
    <w:rsid w:val="001F6D2D"/>
    <w:rsid w:val="002014C2"/>
    <w:rsid w:val="0023373E"/>
    <w:rsid w:val="00240B97"/>
    <w:rsid w:val="0025382D"/>
    <w:rsid w:val="00253F5A"/>
    <w:rsid w:val="00254780"/>
    <w:rsid w:val="00263BA6"/>
    <w:rsid w:val="00266379"/>
    <w:rsid w:val="0026690C"/>
    <w:rsid w:val="0027264D"/>
    <w:rsid w:val="002822C8"/>
    <w:rsid w:val="0028660F"/>
    <w:rsid w:val="00293E43"/>
    <w:rsid w:val="002B16A7"/>
    <w:rsid w:val="002B21B8"/>
    <w:rsid w:val="002B5F43"/>
    <w:rsid w:val="002C05A8"/>
    <w:rsid w:val="002E4585"/>
    <w:rsid w:val="002F298D"/>
    <w:rsid w:val="002F7AFC"/>
    <w:rsid w:val="003012F8"/>
    <w:rsid w:val="00313707"/>
    <w:rsid w:val="0032668F"/>
    <w:rsid w:val="00331D87"/>
    <w:rsid w:val="00344542"/>
    <w:rsid w:val="00355F08"/>
    <w:rsid w:val="003577EC"/>
    <w:rsid w:val="00360584"/>
    <w:rsid w:val="00364A21"/>
    <w:rsid w:val="00376A6D"/>
    <w:rsid w:val="00376ED4"/>
    <w:rsid w:val="00376FE4"/>
    <w:rsid w:val="00380B98"/>
    <w:rsid w:val="00396023"/>
    <w:rsid w:val="00396F11"/>
    <w:rsid w:val="003A52EE"/>
    <w:rsid w:val="003B0ED7"/>
    <w:rsid w:val="003C0A2D"/>
    <w:rsid w:val="003C4BB5"/>
    <w:rsid w:val="003E167B"/>
    <w:rsid w:val="003E4CC0"/>
    <w:rsid w:val="003E6938"/>
    <w:rsid w:val="003F3D8F"/>
    <w:rsid w:val="003F6C46"/>
    <w:rsid w:val="00412CED"/>
    <w:rsid w:val="004140CD"/>
    <w:rsid w:val="00427139"/>
    <w:rsid w:val="004358E9"/>
    <w:rsid w:val="0044691B"/>
    <w:rsid w:val="00446F06"/>
    <w:rsid w:val="00447B55"/>
    <w:rsid w:val="0045074E"/>
    <w:rsid w:val="00452357"/>
    <w:rsid w:val="00465C91"/>
    <w:rsid w:val="00470E63"/>
    <w:rsid w:val="0047378F"/>
    <w:rsid w:val="00487DD5"/>
    <w:rsid w:val="00496D6C"/>
    <w:rsid w:val="00496DE4"/>
    <w:rsid w:val="004A2E02"/>
    <w:rsid w:val="004A6A76"/>
    <w:rsid w:val="004B7C43"/>
    <w:rsid w:val="004C2AC9"/>
    <w:rsid w:val="004C2B20"/>
    <w:rsid w:val="004E28AD"/>
    <w:rsid w:val="004E6AF4"/>
    <w:rsid w:val="004F1D05"/>
    <w:rsid w:val="004F6B69"/>
    <w:rsid w:val="0050147B"/>
    <w:rsid w:val="00503F75"/>
    <w:rsid w:val="0051122E"/>
    <w:rsid w:val="0052443C"/>
    <w:rsid w:val="0052775E"/>
    <w:rsid w:val="00542514"/>
    <w:rsid w:val="00546AED"/>
    <w:rsid w:val="005621E4"/>
    <w:rsid w:val="00567FD7"/>
    <w:rsid w:val="005736DB"/>
    <w:rsid w:val="005743AC"/>
    <w:rsid w:val="00596FD7"/>
    <w:rsid w:val="005A079C"/>
    <w:rsid w:val="005A0CC4"/>
    <w:rsid w:val="005A3625"/>
    <w:rsid w:val="005B4738"/>
    <w:rsid w:val="005B592C"/>
    <w:rsid w:val="005B6794"/>
    <w:rsid w:val="005C212D"/>
    <w:rsid w:val="005C3CB0"/>
    <w:rsid w:val="005E061E"/>
    <w:rsid w:val="005E609D"/>
    <w:rsid w:val="00612231"/>
    <w:rsid w:val="00614380"/>
    <w:rsid w:val="006165CC"/>
    <w:rsid w:val="0061778F"/>
    <w:rsid w:val="00635EB1"/>
    <w:rsid w:val="006473BB"/>
    <w:rsid w:val="00650A60"/>
    <w:rsid w:val="0065246A"/>
    <w:rsid w:val="00652518"/>
    <w:rsid w:val="0066495D"/>
    <w:rsid w:val="006743DB"/>
    <w:rsid w:val="00692CA0"/>
    <w:rsid w:val="00695EB6"/>
    <w:rsid w:val="006A4D46"/>
    <w:rsid w:val="006A6024"/>
    <w:rsid w:val="006B5281"/>
    <w:rsid w:val="006C31FF"/>
    <w:rsid w:val="006C6B6C"/>
    <w:rsid w:val="006C704D"/>
    <w:rsid w:val="006E3B8A"/>
    <w:rsid w:val="006F3330"/>
    <w:rsid w:val="0070331D"/>
    <w:rsid w:val="0070526B"/>
    <w:rsid w:val="00740065"/>
    <w:rsid w:val="00741B43"/>
    <w:rsid w:val="00747AEE"/>
    <w:rsid w:val="00756537"/>
    <w:rsid w:val="007640C4"/>
    <w:rsid w:val="00774746"/>
    <w:rsid w:val="00775280"/>
    <w:rsid w:val="007A0EBC"/>
    <w:rsid w:val="007A79BE"/>
    <w:rsid w:val="007B4ABB"/>
    <w:rsid w:val="007B6904"/>
    <w:rsid w:val="007C2C56"/>
    <w:rsid w:val="007C3F23"/>
    <w:rsid w:val="007C5A87"/>
    <w:rsid w:val="007E2C8D"/>
    <w:rsid w:val="007E7CA6"/>
    <w:rsid w:val="00816782"/>
    <w:rsid w:val="0082141D"/>
    <w:rsid w:val="00821F03"/>
    <w:rsid w:val="00827F24"/>
    <w:rsid w:val="00855DA8"/>
    <w:rsid w:val="008732E4"/>
    <w:rsid w:val="00877871"/>
    <w:rsid w:val="00886399"/>
    <w:rsid w:val="00886743"/>
    <w:rsid w:val="00895AE0"/>
    <w:rsid w:val="008974CA"/>
    <w:rsid w:val="00897675"/>
    <w:rsid w:val="008C2873"/>
    <w:rsid w:val="008D1A91"/>
    <w:rsid w:val="008E1F7F"/>
    <w:rsid w:val="008E67B9"/>
    <w:rsid w:val="008E74FD"/>
    <w:rsid w:val="008E7509"/>
    <w:rsid w:val="008F00E8"/>
    <w:rsid w:val="008F286F"/>
    <w:rsid w:val="008F6921"/>
    <w:rsid w:val="00916A07"/>
    <w:rsid w:val="00931450"/>
    <w:rsid w:val="00933EED"/>
    <w:rsid w:val="00934838"/>
    <w:rsid w:val="009362F4"/>
    <w:rsid w:val="00940B70"/>
    <w:rsid w:val="00940CDE"/>
    <w:rsid w:val="0097742A"/>
    <w:rsid w:val="009809D5"/>
    <w:rsid w:val="00980AE7"/>
    <w:rsid w:val="00980EED"/>
    <w:rsid w:val="0098312B"/>
    <w:rsid w:val="0098579F"/>
    <w:rsid w:val="00990858"/>
    <w:rsid w:val="00991670"/>
    <w:rsid w:val="009A534C"/>
    <w:rsid w:val="009B0E44"/>
    <w:rsid w:val="009B4A8F"/>
    <w:rsid w:val="009B6C8C"/>
    <w:rsid w:val="009B6F42"/>
    <w:rsid w:val="009C0FCA"/>
    <w:rsid w:val="009C3963"/>
    <w:rsid w:val="009D323C"/>
    <w:rsid w:val="009D4813"/>
    <w:rsid w:val="009D5C69"/>
    <w:rsid w:val="009E432D"/>
    <w:rsid w:val="009F56B4"/>
    <w:rsid w:val="00A063FE"/>
    <w:rsid w:val="00A13087"/>
    <w:rsid w:val="00A3469C"/>
    <w:rsid w:val="00A350E5"/>
    <w:rsid w:val="00A35E2D"/>
    <w:rsid w:val="00A4048B"/>
    <w:rsid w:val="00A50B49"/>
    <w:rsid w:val="00A71788"/>
    <w:rsid w:val="00A74B8A"/>
    <w:rsid w:val="00A82F67"/>
    <w:rsid w:val="00A84879"/>
    <w:rsid w:val="00A85F61"/>
    <w:rsid w:val="00A86A9D"/>
    <w:rsid w:val="00A86DB3"/>
    <w:rsid w:val="00A91A5C"/>
    <w:rsid w:val="00A94504"/>
    <w:rsid w:val="00AA25DC"/>
    <w:rsid w:val="00AB4CD1"/>
    <w:rsid w:val="00AD1E65"/>
    <w:rsid w:val="00AE1DFD"/>
    <w:rsid w:val="00AF5FF0"/>
    <w:rsid w:val="00B10DDA"/>
    <w:rsid w:val="00B10F87"/>
    <w:rsid w:val="00B11471"/>
    <w:rsid w:val="00B17115"/>
    <w:rsid w:val="00B21043"/>
    <w:rsid w:val="00B24865"/>
    <w:rsid w:val="00B30DA2"/>
    <w:rsid w:val="00B417A0"/>
    <w:rsid w:val="00B44CAC"/>
    <w:rsid w:val="00B453FC"/>
    <w:rsid w:val="00B573D6"/>
    <w:rsid w:val="00B61F35"/>
    <w:rsid w:val="00B634F1"/>
    <w:rsid w:val="00B81455"/>
    <w:rsid w:val="00B9627F"/>
    <w:rsid w:val="00BA0A1B"/>
    <w:rsid w:val="00BA2415"/>
    <w:rsid w:val="00BA2723"/>
    <w:rsid w:val="00BA3BDE"/>
    <w:rsid w:val="00BA4493"/>
    <w:rsid w:val="00BA4F95"/>
    <w:rsid w:val="00BA5B60"/>
    <w:rsid w:val="00BB33F9"/>
    <w:rsid w:val="00BB5CE7"/>
    <w:rsid w:val="00BC3CE6"/>
    <w:rsid w:val="00BD03DB"/>
    <w:rsid w:val="00BD2EB5"/>
    <w:rsid w:val="00BE5E41"/>
    <w:rsid w:val="00BF1E0A"/>
    <w:rsid w:val="00C13D33"/>
    <w:rsid w:val="00C170F5"/>
    <w:rsid w:val="00C17F14"/>
    <w:rsid w:val="00C24EDC"/>
    <w:rsid w:val="00C25A76"/>
    <w:rsid w:val="00C31BD5"/>
    <w:rsid w:val="00C32206"/>
    <w:rsid w:val="00C45B40"/>
    <w:rsid w:val="00C45C67"/>
    <w:rsid w:val="00C523FF"/>
    <w:rsid w:val="00C532D4"/>
    <w:rsid w:val="00C606F3"/>
    <w:rsid w:val="00C71C3C"/>
    <w:rsid w:val="00C73FC6"/>
    <w:rsid w:val="00C9490E"/>
    <w:rsid w:val="00CA5807"/>
    <w:rsid w:val="00CA593D"/>
    <w:rsid w:val="00CD32A3"/>
    <w:rsid w:val="00CE7C35"/>
    <w:rsid w:val="00CF2F95"/>
    <w:rsid w:val="00D06786"/>
    <w:rsid w:val="00D16211"/>
    <w:rsid w:val="00D178A9"/>
    <w:rsid w:val="00D21780"/>
    <w:rsid w:val="00D23346"/>
    <w:rsid w:val="00D243B8"/>
    <w:rsid w:val="00D34794"/>
    <w:rsid w:val="00D35619"/>
    <w:rsid w:val="00D4139A"/>
    <w:rsid w:val="00D42B85"/>
    <w:rsid w:val="00D4502D"/>
    <w:rsid w:val="00D530CE"/>
    <w:rsid w:val="00D53E3C"/>
    <w:rsid w:val="00D54ED5"/>
    <w:rsid w:val="00D64301"/>
    <w:rsid w:val="00D7517E"/>
    <w:rsid w:val="00D757F6"/>
    <w:rsid w:val="00D77950"/>
    <w:rsid w:val="00D9066A"/>
    <w:rsid w:val="00DA43D1"/>
    <w:rsid w:val="00DC3762"/>
    <w:rsid w:val="00DC739E"/>
    <w:rsid w:val="00DD4025"/>
    <w:rsid w:val="00DD616A"/>
    <w:rsid w:val="00DD7752"/>
    <w:rsid w:val="00DE0465"/>
    <w:rsid w:val="00E049ED"/>
    <w:rsid w:val="00E30E2A"/>
    <w:rsid w:val="00E34E6D"/>
    <w:rsid w:val="00E37CD4"/>
    <w:rsid w:val="00E41A47"/>
    <w:rsid w:val="00E53B9C"/>
    <w:rsid w:val="00E54484"/>
    <w:rsid w:val="00E57848"/>
    <w:rsid w:val="00E7272D"/>
    <w:rsid w:val="00EA1A1E"/>
    <w:rsid w:val="00EB082F"/>
    <w:rsid w:val="00EB391D"/>
    <w:rsid w:val="00EC7630"/>
    <w:rsid w:val="00ED21C3"/>
    <w:rsid w:val="00ED388C"/>
    <w:rsid w:val="00ED6F17"/>
    <w:rsid w:val="00EF02B0"/>
    <w:rsid w:val="00EF3CD4"/>
    <w:rsid w:val="00F0088F"/>
    <w:rsid w:val="00F01B61"/>
    <w:rsid w:val="00F068AC"/>
    <w:rsid w:val="00F149FD"/>
    <w:rsid w:val="00F3402C"/>
    <w:rsid w:val="00F419F8"/>
    <w:rsid w:val="00F41BA9"/>
    <w:rsid w:val="00F4262F"/>
    <w:rsid w:val="00F46C45"/>
    <w:rsid w:val="00F53719"/>
    <w:rsid w:val="00F565DA"/>
    <w:rsid w:val="00F57291"/>
    <w:rsid w:val="00F66CB0"/>
    <w:rsid w:val="00F71944"/>
    <w:rsid w:val="00F72D0E"/>
    <w:rsid w:val="00F76C89"/>
    <w:rsid w:val="00F83FBF"/>
    <w:rsid w:val="00F84FED"/>
    <w:rsid w:val="00FA29B8"/>
    <w:rsid w:val="00FA5876"/>
    <w:rsid w:val="00FA7414"/>
    <w:rsid w:val="00FB69B3"/>
    <w:rsid w:val="00FD3D92"/>
    <w:rsid w:val="00FD7AEB"/>
    <w:rsid w:val="00FF389E"/>
    <w:rsid w:val="00FF56DD"/>
    <w:rsid w:val="00FF6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paragraph" w:styleId="FootnoteText">
    <w:name w:val="footnote text"/>
    <w:basedOn w:val="Normal"/>
    <w:link w:val="FootnoteTextChar"/>
    <w:uiPriority w:val="99"/>
    <w:unhideWhenUsed/>
    <w:rsid w:val="009F56B4"/>
    <w:pPr>
      <w:tabs>
        <w:tab w:val="left" w:pos="567"/>
      </w:tabs>
      <w:ind w:left="567" w:hanging="567"/>
    </w:pPr>
    <w:rPr>
      <w:rFonts w:ascii="Arial" w:eastAsia="SimSun" w:hAnsi="Arial" w:cs="Arial"/>
      <w:sz w:val="20"/>
      <w:lang w:eastAsia="zh-CN"/>
    </w:rPr>
  </w:style>
  <w:style w:type="character" w:customStyle="1" w:styleId="FootnoteTextChar">
    <w:name w:val="Footnote Text Char"/>
    <w:basedOn w:val="DefaultParagraphFont"/>
    <w:link w:val="FootnoteText"/>
    <w:uiPriority w:val="99"/>
    <w:rsid w:val="009F56B4"/>
    <w:rPr>
      <w:rFonts w:ascii="Arial" w:eastAsia="SimSun" w:hAnsi="Arial" w:cs="Arial"/>
      <w:sz w:val="20"/>
      <w:szCs w:val="20"/>
      <w:lang w:eastAsia="zh-CN"/>
    </w:rPr>
  </w:style>
  <w:style w:type="paragraph" w:customStyle="1" w:styleId="Bulletintropara">
    <w:name w:val="Bullet intro para"/>
    <w:basedOn w:val="BodyText"/>
    <w:qFormat/>
    <w:rsid w:val="00EB082F"/>
    <w:pPr>
      <w:spacing w:before="120" w:after="160" w:line="280" w:lineRule="exact"/>
    </w:pPr>
    <w:rPr>
      <w:rFonts w:cs="Arial"/>
      <w:bCs/>
      <w:iCs/>
      <w:color w:val="323232"/>
      <w:szCs w:val="24"/>
    </w:rPr>
  </w:style>
  <w:style w:type="paragraph" w:styleId="BodyText">
    <w:name w:val="Body Text"/>
    <w:basedOn w:val="Normal"/>
    <w:link w:val="BodyTextChar"/>
    <w:uiPriority w:val="99"/>
    <w:semiHidden/>
    <w:unhideWhenUsed/>
    <w:rsid w:val="00EB082F"/>
    <w:pPr>
      <w:spacing w:after="120"/>
    </w:pPr>
  </w:style>
  <w:style w:type="character" w:customStyle="1" w:styleId="BodyTextChar">
    <w:name w:val="Body Text Char"/>
    <w:basedOn w:val="DefaultParagraphFont"/>
    <w:link w:val="BodyText"/>
    <w:uiPriority w:val="99"/>
    <w:semiHidden/>
    <w:rsid w:val="00EB082F"/>
    <w:rPr>
      <w:rFonts w:ascii="Calibri" w:eastAsia="Times New Roman" w:hAnsi="Calibri" w:cs="Times New Roman"/>
      <w:sz w:val="24"/>
      <w:szCs w:val="20"/>
    </w:rPr>
  </w:style>
  <w:style w:type="paragraph" w:styleId="Revision">
    <w:name w:val="Revision"/>
    <w:hidden/>
    <w:uiPriority w:val="99"/>
    <w:semiHidden/>
    <w:rsid w:val="008C2873"/>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BF544-D9C9-4305-99D0-92B515D56C13}">
  <ds:schemaRefs>
    <ds:schemaRef ds:uri="http://schemas.openxmlformats.org/officeDocument/2006/bibliography"/>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DB4DC44B-71B7-4995-8E5F-F0CBB4CC20A7}">
  <ds:schemaRefs>
    <ds:schemaRef ds:uri="http://schemas.microsoft.com/office/2006/documentManagement/types"/>
    <ds:schemaRef ds:uri="http://purl.org/dc/dcmitype/"/>
    <ds:schemaRef ds:uri="http://www.w3.org/XML/1998/namespace"/>
    <ds:schemaRef ds:uri="0c8e588b-9c83-49d3-a6c8-a54de8f95e6a"/>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9c2f0412-f90c-42c4-93a0-04fcb973abf1"/>
  </ds:schemaRefs>
</ds:datastoreItem>
</file>

<file path=customXml/itemProps4.xml><?xml version="1.0" encoding="utf-8"?>
<ds:datastoreItem xmlns:ds="http://schemas.openxmlformats.org/officeDocument/2006/customXml" ds:itemID="{6D33010B-515A-4A58-BD97-B71E3F71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Peter (Health)</dc:creator>
  <cp:lastModifiedBy>Clissold, Jacqui (Health)</cp:lastModifiedBy>
  <cp:revision>5</cp:revision>
  <cp:lastPrinted>2014-07-16T01:36:00Z</cp:lastPrinted>
  <dcterms:created xsi:type="dcterms:W3CDTF">2022-08-26T06:44:00Z</dcterms:created>
  <dcterms:modified xsi:type="dcterms:W3CDTF">2022-08-29T06:48:00Z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MSIP_Label_690d47f2-2d0a-4515-b8de-e13c18f23c62_Enabled">
    <vt:lpwstr>true</vt:lpwstr>
  </property>
  <property fmtid="{D5CDD505-2E9C-101B-9397-08002B2CF9AE}" pid="4" name="MSIP_Label_690d47f2-2d0a-4515-b8de-e13c18f23c62_SetDate">
    <vt:lpwstr>2022-08-15T07:17:33Z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70d6986a-5ab5-4c08-8cde-3c33b834f296</vt:lpwstr>
  </property>
  <property fmtid="{D5CDD505-2E9C-101B-9397-08002B2CF9AE}" pid="9" name="MSIP_Label_690d47f2-2d0a-4515-b8de-e13c18f23c62_ContentBits">
    <vt:lpwstr>1</vt:lpwstr>
  </property>
</Properties>
</file>