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3C55C" w14:textId="77777777" w:rsidR="00481A6C" w:rsidRPr="00481A6C" w:rsidRDefault="00BA236B" w:rsidP="00481A6C">
      <w:pPr>
        <w:pStyle w:val="Header"/>
        <w:rPr>
          <w:sz w:val="40"/>
          <w:szCs w:val="40"/>
        </w:rPr>
      </w:pPr>
      <w:bookmarkStart w:id="0" w:name="_Hlk175904837"/>
      <w:r>
        <w:rPr>
          <w:b/>
          <w:bCs/>
          <w:sz w:val="40"/>
          <w:szCs w:val="40"/>
        </w:rPr>
        <w:t>Procedure</w:t>
      </w:r>
      <w:r w:rsidR="008606A0" w:rsidRPr="008606A0">
        <w:rPr>
          <w:sz w:val="40"/>
          <w:szCs w:val="40"/>
        </w:rPr>
        <w:t xml:space="preserve"> | </w:t>
      </w:r>
      <w:r w:rsidR="00481A6C" w:rsidRPr="008606A0">
        <w:rPr>
          <w:sz w:val="40"/>
          <w:szCs w:val="40"/>
        </w:rPr>
        <w:t>Canberra Health Services</w:t>
      </w:r>
    </w:p>
    <w:p w14:paraId="015710AD" w14:textId="5FF45AAE" w:rsidR="00E31596" w:rsidRPr="00E31596" w:rsidRDefault="009F0D36" w:rsidP="00481A6C">
      <w:pPr>
        <w:pStyle w:val="Header"/>
        <w:rPr>
          <w:color w:val="575757" w:themeColor="text2"/>
          <w:sz w:val="20"/>
          <w:szCs w:val="20"/>
        </w:rPr>
      </w:pPr>
      <w:r>
        <w:rPr>
          <w:sz w:val="32"/>
          <w:szCs w:val="32"/>
        </w:rPr>
        <w:t>Intravenous Dosing and Monitoring of Aminoglycosides in Adults</w:t>
      </w:r>
      <w:r w:rsidR="00481A6C" w:rsidRPr="00FF35A0">
        <w:rPr>
          <w:sz w:val="32"/>
          <w:szCs w:val="32"/>
        </w:rPr>
        <w:t xml:space="preserve"> </w:t>
      </w:r>
      <w:r w:rsidR="00E31596">
        <w:rPr>
          <w:color w:val="575757" w:themeColor="text2"/>
          <w:sz w:val="20"/>
          <w:szCs w:val="20"/>
        </w:rPr>
        <w:br/>
      </w:r>
      <w:r w:rsidR="00E31596" w:rsidRPr="00E31596">
        <w:t>CHS</w:t>
      </w:r>
      <w:r w:rsidR="00055FF1">
        <w:t>24</w:t>
      </w:r>
      <w:r w:rsidR="00E31596" w:rsidRPr="00E31596">
        <w:t>/</w:t>
      </w:r>
      <w:bookmarkStart w:id="1" w:name="_Hlk174364598"/>
      <w:r w:rsidR="00055FF1">
        <w:t>527</w:t>
      </w:r>
      <w:bookmarkEnd w:id="1"/>
    </w:p>
    <w:p w14:paraId="04275D72" w14:textId="77777777" w:rsidR="00CA4FDE" w:rsidRDefault="00CA4FDE">
      <w:pPr>
        <w:spacing w:before="0" w:after="0" w:line="240" w:lineRule="auto"/>
      </w:pPr>
      <w:bookmarkStart w:id="2" w:name="_Hlk157074578"/>
    </w:p>
    <w:sdt>
      <w:sdtPr>
        <w:rPr>
          <w:sz w:val="32"/>
        </w:rPr>
        <w:id w:val="-1206019646"/>
        <w:docPartObj>
          <w:docPartGallery w:val="Table of Contents"/>
          <w:docPartUnique/>
        </w:docPartObj>
      </w:sdtPr>
      <w:sdtEndPr>
        <w:rPr>
          <w:noProof/>
        </w:rPr>
      </w:sdtEndPr>
      <w:sdtContent>
        <w:p w14:paraId="7538926A" w14:textId="77777777" w:rsidR="00A731B8" w:rsidRPr="000E7683" w:rsidRDefault="00A731B8">
          <w:pPr>
            <w:pStyle w:val="TOCHeading"/>
            <w:rPr>
              <w:rStyle w:val="Heading3Char"/>
              <w:b/>
              <w:bCs w:val="0"/>
            </w:rPr>
          </w:pPr>
          <w:r w:rsidRPr="000E7683">
            <w:rPr>
              <w:rStyle w:val="Heading3Char"/>
              <w:b/>
              <w:bCs w:val="0"/>
            </w:rPr>
            <w:t>Contents</w:t>
          </w:r>
        </w:p>
        <w:p w14:paraId="1B1B2D47" w14:textId="639C4A56" w:rsidR="00182013" w:rsidRDefault="00770AE2">
          <w:pPr>
            <w:pStyle w:val="TOC2"/>
            <w:tabs>
              <w:tab w:val="right" w:leader="dot" w:pos="9911"/>
            </w:tabs>
            <w:rPr>
              <w:rFonts w:asciiTheme="minorHAnsi" w:eastAsiaTheme="minorEastAsia" w:hAnsiTheme="minorHAnsi" w:cstheme="minorBidi"/>
              <w:noProof/>
              <w:color w:val="auto"/>
              <w:kern w:val="2"/>
              <w14:ligatures w14:val="standardContextual"/>
            </w:rPr>
          </w:pPr>
          <w:r>
            <w:rPr>
              <w:rFonts w:cs="Times New Roman"/>
              <w:b/>
              <w:noProof/>
            </w:rPr>
            <w:fldChar w:fldCharType="begin"/>
          </w:r>
          <w:r>
            <w:rPr>
              <w:rFonts w:cs="Times New Roman"/>
              <w:b/>
              <w:noProof/>
            </w:rPr>
            <w:instrText xml:space="preserve"> TOC \o "1-4" \h \z \u </w:instrText>
          </w:r>
          <w:r>
            <w:rPr>
              <w:rFonts w:cs="Times New Roman"/>
              <w:b/>
              <w:noProof/>
            </w:rPr>
            <w:fldChar w:fldCharType="separate"/>
          </w:r>
          <w:hyperlink w:anchor="_Toc181188528" w:history="1">
            <w:r w:rsidR="00182013" w:rsidRPr="00B9105D">
              <w:rPr>
                <w:rStyle w:val="Hyperlink"/>
                <w:noProof/>
              </w:rPr>
              <w:t>Purpose</w:t>
            </w:r>
            <w:r w:rsidR="00182013">
              <w:rPr>
                <w:noProof/>
                <w:webHidden/>
              </w:rPr>
              <w:tab/>
            </w:r>
            <w:r w:rsidR="00182013">
              <w:rPr>
                <w:noProof/>
                <w:webHidden/>
              </w:rPr>
              <w:fldChar w:fldCharType="begin"/>
            </w:r>
            <w:r w:rsidR="00182013">
              <w:rPr>
                <w:noProof/>
                <w:webHidden/>
              </w:rPr>
              <w:instrText xml:space="preserve"> PAGEREF _Toc181188528 \h </w:instrText>
            </w:r>
            <w:r w:rsidR="00182013">
              <w:rPr>
                <w:noProof/>
                <w:webHidden/>
              </w:rPr>
            </w:r>
            <w:r w:rsidR="00182013">
              <w:rPr>
                <w:noProof/>
                <w:webHidden/>
              </w:rPr>
              <w:fldChar w:fldCharType="separate"/>
            </w:r>
            <w:r w:rsidR="00182013">
              <w:rPr>
                <w:noProof/>
                <w:webHidden/>
              </w:rPr>
              <w:t>3</w:t>
            </w:r>
            <w:r w:rsidR="00182013">
              <w:rPr>
                <w:noProof/>
                <w:webHidden/>
              </w:rPr>
              <w:fldChar w:fldCharType="end"/>
            </w:r>
          </w:hyperlink>
        </w:p>
        <w:p w14:paraId="7CA4AACC" w14:textId="13F7F87E"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29" w:history="1">
            <w:r w:rsidRPr="00B9105D">
              <w:rPr>
                <w:rStyle w:val="Hyperlink"/>
                <w:noProof/>
              </w:rPr>
              <w:t>Alerts</w:t>
            </w:r>
            <w:r>
              <w:rPr>
                <w:noProof/>
                <w:webHidden/>
              </w:rPr>
              <w:tab/>
            </w:r>
            <w:r>
              <w:rPr>
                <w:noProof/>
                <w:webHidden/>
              </w:rPr>
              <w:fldChar w:fldCharType="begin"/>
            </w:r>
            <w:r>
              <w:rPr>
                <w:noProof/>
                <w:webHidden/>
              </w:rPr>
              <w:instrText xml:space="preserve"> PAGEREF _Toc181188529 \h </w:instrText>
            </w:r>
            <w:r>
              <w:rPr>
                <w:noProof/>
                <w:webHidden/>
              </w:rPr>
            </w:r>
            <w:r>
              <w:rPr>
                <w:noProof/>
                <w:webHidden/>
              </w:rPr>
              <w:fldChar w:fldCharType="separate"/>
            </w:r>
            <w:r>
              <w:rPr>
                <w:noProof/>
                <w:webHidden/>
              </w:rPr>
              <w:t>3</w:t>
            </w:r>
            <w:r>
              <w:rPr>
                <w:noProof/>
                <w:webHidden/>
              </w:rPr>
              <w:fldChar w:fldCharType="end"/>
            </w:r>
          </w:hyperlink>
        </w:p>
        <w:p w14:paraId="5439422E" w14:textId="704021D9"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30" w:history="1">
            <w:r w:rsidRPr="00B9105D">
              <w:rPr>
                <w:rStyle w:val="Hyperlink"/>
                <w:noProof/>
              </w:rPr>
              <w:t>Scope</w:t>
            </w:r>
            <w:r>
              <w:rPr>
                <w:noProof/>
                <w:webHidden/>
              </w:rPr>
              <w:tab/>
            </w:r>
            <w:r>
              <w:rPr>
                <w:noProof/>
                <w:webHidden/>
              </w:rPr>
              <w:fldChar w:fldCharType="begin"/>
            </w:r>
            <w:r>
              <w:rPr>
                <w:noProof/>
                <w:webHidden/>
              </w:rPr>
              <w:instrText xml:space="preserve"> PAGEREF _Toc181188530 \h </w:instrText>
            </w:r>
            <w:r>
              <w:rPr>
                <w:noProof/>
                <w:webHidden/>
              </w:rPr>
            </w:r>
            <w:r>
              <w:rPr>
                <w:noProof/>
                <w:webHidden/>
              </w:rPr>
              <w:fldChar w:fldCharType="separate"/>
            </w:r>
            <w:r>
              <w:rPr>
                <w:noProof/>
                <w:webHidden/>
              </w:rPr>
              <w:t>3</w:t>
            </w:r>
            <w:r>
              <w:rPr>
                <w:noProof/>
                <w:webHidden/>
              </w:rPr>
              <w:fldChar w:fldCharType="end"/>
            </w:r>
          </w:hyperlink>
        </w:p>
        <w:p w14:paraId="33ACB21B" w14:textId="524C5036"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31" w:history="1">
            <w:r w:rsidRPr="00B9105D">
              <w:rPr>
                <w:rStyle w:val="Hyperlink"/>
                <w:noProof/>
              </w:rPr>
              <w:t>Exclusions</w:t>
            </w:r>
            <w:r>
              <w:rPr>
                <w:noProof/>
                <w:webHidden/>
              </w:rPr>
              <w:tab/>
            </w:r>
            <w:r>
              <w:rPr>
                <w:noProof/>
                <w:webHidden/>
              </w:rPr>
              <w:fldChar w:fldCharType="begin"/>
            </w:r>
            <w:r>
              <w:rPr>
                <w:noProof/>
                <w:webHidden/>
              </w:rPr>
              <w:instrText xml:space="preserve"> PAGEREF _Toc181188531 \h </w:instrText>
            </w:r>
            <w:r>
              <w:rPr>
                <w:noProof/>
                <w:webHidden/>
              </w:rPr>
            </w:r>
            <w:r>
              <w:rPr>
                <w:noProof/>
                <w:webHidden/>
              </w:rPr>
              <w:fldChar w:fldCharType="separate"/>
            </w:r>
            <w:r>
              <w:rPr>
                <w:noProof/>
                <w:webHidden/>
              </w:rPr>
              <w:t>3</w:t>
            </w:r>
            <w:r>
              <w:rPr>
                <w:noProof/>
                <w:webHidden/>
              </w:rPr>
              <w:fldChar w:fldCharType="end"/>
            </w:r>
          </w:hyperlink>
        </w:p>
        <w:p w14:paraId="03399605" w14:textId="32C293F2"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32" w:history="1">
            <w:r w:rsidRPr="00B9105D">
              <w:rPr>
                <w:rStyle w:val="Hyperlink"/>
                <w:noProof/>
              </w:rPr>
              <w:t>Section 1 – Medication Information</w:t>
            </w:r>
            <w:r>
              <w:rPr>
                <w:noProof/>
                <w:webHidden/>
              </w:rPr>
              <w:tab/>
            </w:r>
            <w:r>
              <w:rPr>
                <w:noProof/>
                <w:webHidden/>
              </w:rPr>
              <w:fldChar w:fldCharType="begin"/>
            </w:r>
            <w:r>
              <w:rPr>
                <w:noProof/>
                <w:webHidden/>
              </w:rPr>
              <w:instrText xml:space="preserve"> PAGEREF _Toc181188532 \h </w:instrText>
            </w:r>
            <w:r>
              <w:rPr>
                <w:noProof/>
                <w:webHidden/>
              </w:rPr>
            </w:r>
            <w:r>
              <w:rPr>
                <w:noProof/>
                <w:webHidden/>
              </w:rPr>
              <w:fldChar w:fldCharType="separate"/>
            </w:r>
            <w:r>
              <w:rPr>
                <w:noProof/>
                <w:webHidden/>
              </w:rPr>
              <w:t>3</w:t>
            </w:r>
            <w:r>
              <w:rPr>
                <w:noProof/>
                <w:webHidden/>
              </w:rPr>
              <w:fldChar w:fldCharType="end"/>
            </w:r>
          </w:hyperlink>
        </w:p>
        <w:p w14:paraId="533CF9FC" w14:textId="70997FF4"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33" w:history="1">
            <w:r w:rsidRPr="00B9105D">
              <w:rPr>
                <w:rStyle w:val="Hyperlink"/>
                <w:noProof/>
              </w:rPr>
              <w:t>1.1</w:t>
            </w:r>
            <w:r>
              <w:rPr>
                <w:rFonts w:asciiTheme="minorHAnsi" w:eastAsiaTheme="minorEastAsia" w:hAnsiTheme="minorHAnsi" w:cstheme="minorBidi"/>
                <w:noProof/>
                <w:color w:val="auto"/>
                <w:kern w:val="2"/>
                <w14:ligatures w14:val="standardContextual"/>
              </w:rPr>
              <w:tab/>
            </w:r>
            <w:r w:rsidRPr="00B9105D">
              <w:rPr>
                <w:rStyle w:val="Hyperlink"/>
                <w:noProof/>
              </w:rPr>
              <w:t>Mechanism of action</w:t>
            </w:r>
            <w:r>
              <w:rPr>
                <w:noProof/>
                <w:webHidden/>
              </w:rPr>
              <w:tab/>
            </w:r>
            <w:r>
              <w:rPr>
                <w:noProof/>
                <w:webHidden/>
              </w:rPr>
              <w:fldChar w:fldCharType="begin"/>
            </w:r>
            <w:r>
              <w:rPr>
                <w:noProof/>
                <w:webHidden/>
              </w:rPr>
              <w:instrText xml:space="preserve"> PAGEREF _Toc181188533 \h </w:instrText>
            </w:r>
            <w:r>
              <w:rPr>
                <w:noProof/>
                <w:webHidden/>
              </w:rPr>
            </w:r>
            <w:r>
              <w:rPr>
                <w:noProof/>
                <w:webHidden/>
              </w:rPr>
              <w:fldChar w:fldCharType="separate"/>
            </w:r>
            <w:r>
              <w:rPr>
                <w:noProof/>
                <w:webHidden/>
              </w:rPr>
              <w:t>3</w:t>
            </w:r>
            <w:r>
              <w:rPr>
                <w:noProof/>
                <w:webHidden/>
              </w:rPr>
              <w:fldChar w:fldCharType="end"/>
            </w:r>
          </w:hyperlink>
        </w:p>
        <w:p w14:paraId="654F0CEB" w14:textId="500AA2ED"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34" w:history="1">
            <w:r w:rsidRPr="00B9105D">
              <w:rPr>
                <w:rStyle w:val="Hyperlink"/>
                <w:noProof/>
              </w:rPr>
              <w:t>1.2</w:t>
            </w:r>
            <w:r>
              <w:rPr>
                <w:rFonts w:asciiTheme="minorHAnsi" w:eastAsiaTheme="minorEastAsia" w:hAnsiTheme="minorHAnsi" w:cstheme="minorBidi"/>
                <w:noProof/>
                <w:color w:val="auto"/>
                <w:kern w:val="2"/>
                <w14:ligatures w14:val="standardContextual"/>
              </w:rPr>
              <w:tab/>
            </w:r>
            <w:r w:rsidRPr="00B9105D">
              <w:rPr>
                <w:rStyle w:val="Hyperlink"/>
                <w:noProof/>
              </w:rPr>
              <w:t>Contraindications and precautions</w:t>
            </w:r>
            <w:r>
              <w:rPr>
                <w:noProof/>
                <w:webHidden/>
              </w:rPr>
              <w:tab/>
            </w:r>
            <w:r>
              <w:rPr>
                <w:noProof/>
                <w:webHidden/>
              </w:rPr>
              <w:fldChar w:fldCharType="begin"/>
            </w:r>
            <w:r>
              <w:rPr>
                <w:noProof/>
                <w:webHidden/>
              </w:rPr>
              <w:instrText xml:space="preserve"> PAGEREF _Toc181188534 \h </w:instrText>
            </w:r>
            <w:r>
              <w:rPr>
                <w:noProof/>
                <w:webHidden/>
              </w:rPr>
            </w:r>
            <w:r>
              <w:rPr>
                <w:noProof/>
                <w:webHidden/>
              </w:rPr>
              <w:fldChar w:fldCharType="separate"/>
            </w:r>
            <w:r>
              <w:rPr>
                <w:noProof/>
                <w:webHidden/>
              </w:rPr>
              <w:t>4</w:t>
            </w:r>
            <w:r>
              <w:rPr>
                <w:noProof/>
                <w:webHidden/>
              </w:rPr>
              <w:fldChar w:fldCharType="end"/>
            </w:r>
          </w:hyperlink>
        </w:p>
        <w:p w14:paraId="24AF7215" w14:textId="3C44042D"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35" w:history="1">
            <w:r w:rsidRPr="00B9105D">
              <w:rPr>
                <w:rStyle w:val="Hyperlink"/>
                <w:noProof/>
              </w:rPr>
              <w:t>1.3</w:t>
            </w:r>
            <w:r>
              <w:rPr>
                <w:rFonts w:asciiTheme="minorHAnsi" w:eastAsiaTheme="minorEastAsia" w:hAnsiTheme="minorHAnsi" w:cstheme="minorBidi"/>
                <w:noProof/>
                <w:color w:val="auto"/>
                <w:kern w:val="2"/>
                <w14:ligatures w14:val="standardContextual"/>
              </w:rPr>
              <w:tab/>
            </w:r>
            <w:r w:rsidRPr="00B9105D">
              <w:rPr>
                <w:rStyle w:val="Hyperlink"/>
                <w:noProof/>
              </w:rPr>
              <w:t>Absolute contraindications</w:t>
            </w:r>
            <w:r>
              <w:rPr>
                <w:noProof/>
                <w:webHidden/>
              </w:rPr>
              <w:tab/>
            </w:r>
            <w:r>
              <w:rPr>
                <w:noProof/>
                <w:webHidden/>
              </w:rPr>
              <w:fldChar w:fldCharType="begin"/>
            </w:r>
            <w:r>
              <w:rPr>
                <w:noProof/>
                <w:webHidden/>
              </w:rPr>
              <w:instrText xml:space="preserve"> PAGEREF _Toc181188535 \h </w:instrText>
            </w:r>
            <w:r>
              <w:rPr>
                <w:noProof/>
                <w:webHidden/>
              </w:rPr>
            </w:r>
            <w:r>
              <w:rPr>
                <w:noProof/>
                <w:webHidden/>
              </w:rPr>
              <w:fldChar w:fldCharType="separate"/>
            </w:r>
            <w:r>
              <w:rPr>
                <w:noProof/>
                <w:webHidden/>
              </w:rPr>
              <w:t>4</w:t>
            </w:r>
            <w:r>
              <w:rPr>
                <w:noProof/>
                <w:webHidden/>
              </w:rPr>
              <w:fldChar w:fldCharType="end"/>
            </w:r>
          </w:hyperlink>
        </w:p>
        <w:p w14:paraId="79B859E1" w14:textId="5C3794F7"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36" w:history="1">
            <w:r w:rsidRPr="00B9105D">
              <w:rPr>
                <w:rStyle w:val="Hyperlink"/>
                <w:noProof/>
              </w:rPr>
              <w:t>1.4</w:t>
            </w:r>
            <w:r>
              <w:rPr>
                <w:rFonts w:asciiTheme="minorHAnsi" w:eastAsiaTheme="minorEastAsia" w:hAnsiTheme="minorHAnsi" w:cstheme="minorBidi"/>
                <w:noProof/>
                <w:color w:val="auto"/>
                <w:kern w:val="2"/>
                <w14:ligatures w14:val="standardContextual"/>
              </w:rPr>
              <w:tab/>
            </w:r>
            <w:r w:rsidRPr="00B9105D">
              <w:rPr>
                <w:rStyle w:val="Hyperlink"/>
                <w:noProof/>
              </w:rPr>
              <w:t>Precautions</w:t>
            </w:r>
            <w:r>
              <w:rPr>
                <w:noProof/>
                <w:webHidden/>
              </w:rPr>
              <w:tab/>
            </w:r>
            <w:r>
              <w:rPr>
                <w:noProof/>
                <w:webHidden/>
              </w:rPr>
              <w:fldChar w:fldCharType="begin"/>
            </w:r>
            <w:r>
              <w:rPr>
                <w:noProof/>
                <w:webHidden/>
              </w:rPr>
              <w:instrText xml:space="preserve"> PAGEREF _Toc181188536 \h </w:instrText>
            </w:r>
            <w:r>
              <w:rPr>
                <w:noProof/>
                <w:webHidden/>
              </w:rPr>
            </w:r>
            <w:r>
              <w:rPr>
                <w:noProof/>
                <w:webHidden/>
              </w:rPr>
              <w:fldChar w:fldCharType="separate"/>
            </w:r>
            <w:r>
              <w:rPr>
                <w:noProof/>
                <w:webHidden/>
              </w:rPr>
              <w:t>4</w:t>
            </w:r>
            <w:r>
              <w:rPr>
                <w:noProof/>
                <w:webHidden/>
              </w:rPr>
              <w:fldChar w:fldCharType="end"/>
            </w:r>
          </w:hyperlink>
        </w:p>
        <w:p w14:paraId="305D0D2B" w14:textId="3FC70645"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37" w:history="1">
            <w:r w:rsidRPr="00B9105D">
              <w:rPr>
                <w:rStyle w:val="Hyperlink"/>
                <w:noProof/>
              </w:rPr>
              <w:t>1.5</w:t>
            </w:r>
            <w:r>
              <w:rPr>
                <w:rFonts w:asciiTheme="minorHAnsi" w:eastAsiaTheme="minorEastAsia" w:hAnsiTheme="minorHAnsi" w:cstheme="minorBidi"/>
                <w:noProof/>
                <w:color w:val="auto"/>
                <w:kern w:val="2"/>
                <w14:ligatures w14:val="standardContextual"/>
              </w:rPr>
              <w:tab/>
            </w:r>
            <w:r w:rsidRPr="00B9105D">
              <w:rPr>
                <w:rStyle w:val="Hyperlink"/>
                <w:noProof/>
              </w:rPr>
              <w:t>Presentation</w:t>
            </w:r>
            <w:r>
              <w:rPr>
                <w:noProof/>
                <w:webHidden/>
              </w:rPr>
              <w:tab/>
            </w:r>
            <w:r>
              <w:rPr>
                <w:noProof/>
                <w:webHidden/>
              </w:rPr>
              <w:fldChar w:fldCharType="begin"/>
            </w:r>
            <w:r>
              <w:rPr>
                <w:noProof/>
                <w:webHidden/>
              </w:rPr>
              <w:instrText xml:space="preserve"> PAGEREF _Toc181188537 \h </w:instrText>
            </w:r>
            <w:r>
              <w:rPr>
                <w:noProof/>
                <w:webHidden/>
              </w:rPr>
            </w:r>
            <w:r>
              <w:rPr>
                <w:noProof/>
                <w:webHidden/>
              </w:rPr>
              <w:fldChar w:fldCharType="separate"/>
            </w:r>
            <w:r>
              <w:rPr>
                <w:noProof/>
                <w:webHidden/>
              </w:rPr>
              <w:t>4</w:t>
            </w:r>
            <w:r>
              <w:rPr>
                <w:noProof/>
                <w:webHidden/>
              </w:rPr>
              <w:fldChar w:fldCharType="end"/>
            </w:r>
          </w:hyperlink>
        </w:p>
        <w:p w14:paraId="7CCEEAFB" w14:textId="61455240"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38" w:history="1">
            <w:r w:rsidRPr="00B9105D">
              <w:rPr>
                <w:rStyle w:val="Hyperlink"/>
                <w:noProof/>
              </w:rPr>
              <w:t>1.6</w:t>
            </w:r>
            <w:r>
              <w:rPr>
                <w:rFonts w:asciiTheme="minorHAnsi" w:eastAsiaTheme="minorEastAsia" w:hAnsiTheme="minorHAnsi" w:cstheme="minorBidi"/>
                <w:noProof/>
                <w:color w:val="auto"/>
                <w:kern w:val="2"/>
                <w14:ligatures w14:val="standardContextual"/>
              </w:rPr>
              <w:tab/>
            </w:r>
            <w:r w:rsidRPr="00B9105D">
              <w:rPr>
                <w:rStyle w:val="Hyperlink"/>
                <w:noProof/>
              </w:rPr>
              <w:t>Interactions</w:t>
            </w:r>
            <w:r>
              <w:rPr>
                <w:noProof/>
                <w:webHidden/>
              </w:rPr>
              <w:tab/>
            </w:r>
            <w:r>
              <w:rPr>
                <w:noProof/>
                <w:webHidden/>
              </w:rPr>
              <w:fldChar w:fldCharType="begin"/>
            </w:r>
            <w:r>
              <w:rPr>
                <w:noProof/>
                <w:webHidden/>
              </w:rPr>
              <w:instrText xml:space="preserve"> PAGEREF _Toc181188538 \h </w:instrText>
            </w:r>
            <w:r>
              <w:rPr>
                <w:noProof/>
                <w:webHidden/>
              </w:rPr>
            </w:r>
            <w:r>
              <w:rPr>
                <w:noProof/>
                <w:webHidden/>
              </w:rPr>
              <w:fldChar w:fldCharType="separate"/>
            </w:r>
            <w:r>
              <w:rPr>
                <w:noProof/>
                <w:webHidden/>
              </w:rPr>
              <w:t>4</w:t>
            </w:r>
            <w:r>
              <w:rPr>
                <w:noProof/>
                <w:webHidden/>
              </w:rPr>
              <w:fldChar w:fldCharType="end"/>
            </w:r>
          </w:hyperlink>
        </w:p>
        <w:p w14:paraId="2919A083" w14:textId="074FD558"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39" w:history="1">
            <w:r w:rsidRPr="00B9105D">
              <w:rPr>
                <w:rStyle w:val="Hyperlink"/>
                <w:noProof/>
              </w:rPr>
              <w:t>1.7</w:t>
            </w:r>
            <w:r>
              <w:rPr>
                <w:rFonts w:asciiTheme="minorHAnsi" w:eastAsiaTheme="minorEastAsia" w:hAnsiTheme="minorHAnsi" w:cstheme="minorBidi"/>
                <w:noProof/>
                <w:color w:val="auto"/>
                <w:kern w:val="2"/>
                <w14:ligatures w14:val="standardContextual"/>
              </w:rPr>
              <w:tab/>
            </w:r>
            <w:r w:rsidRPr="00B9105D">
              <w:rPr>
                <w:rStyle w:val="Hyperlink"/>
                <w:noProof/>
              </w:rPr>
              <w:t>Adverse effects</w:t>
            </w:r>
            <w:r>
              <w:rPr>
                <w:noProof/>
                <w:webHidden/>
              </w:rPr>
              <w:tab/>
            </w:r>
            <w:r>
              <w:rPr>
                <w:noProof/>
                <w:webHidden/>
              </w:rPr>
              <w:fldChar w:fldCharType="begin"/>
            </w:r>
            <w:r>
              <w:rPr>
                <w:noProof/>
                <w:webHidden/>
              </w:rPr>
              <w:instrText xml:space="preserve"> PAGEREF _Toc181188539 \h </w:instrText>
            </w:r>
            <w:r>
              <w:rPr>
                <w:noProof/>
                <w:webHidden/>
              </w:rPr>
            </w:r>
            <w:r>
              <w:rPr>
                <w:noProof/>
                <w:webHidden/>
              </w:rPr>
              <w:fldChar w:fldCharType="separate"/>
            </w:r>
            <w:r>
              <w:rPr>
                <w:noProof/>
                <w:webHidden/>
              </w:rPr>
              <w:t>4</w:t>
            </w:r>
            <w:r>
              <w:rPr>
                <w:noProof/>
                <w:webHidden/>
              </w:rPr>
              <w:fldChar w:fldCharType="end"/>
            </w:r>
          </w:hyperlink>
        </w:p>
        <w:p w14:paraId="572F88D8" w14:textId="62B3CBC4"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40" w:history="1">
            <w:r w:rsidRPr="00B9105D">
              <w:rPr>
                <w:rStyle w:val="Hyperlink"/>
                <w:noProof/>
              </w:rPr>
              <w:t>Section 2 – Prescribing the Initial Dose</w:t>
            </w:r>
            <w:r>
              <w:rPr>
                <w:noProof/>
                <w:webHidden/>
              </w:rPr>
              <w:tab/>
            </w:r>
            <w:r>
              <w:rPr>
                <w:noProof/>
                <w:webHidden/>
              </w:rPr>
              <w:fldChar w:fldCharType="begin"/>
            </w:r>
            <w:r>
              <w:rPr>
                <w:noProof/>
                <w:webHidden/>
              </w:rPr>
              <w:instrText xml:space="preserve"> PAGEREF _Toc181188540 \h </w:instrText>
            </w:r>
            <w:r>
              <w:rPr>
                <w:noProof/>
                <w:webHidden/>
              </w:rPr>
            </w:r>
            <w:r>
              <w:rPr>
                <w:noProof/>
                <w:webHidden/>
              </w:rPr>
              <w:fldChar w:fldCharType="separate"/>
            </w:r>
            <w:r>
              <w:rPr>
                <w:noProof/>
                <w:webHidden/>
              </w:rPr>
              <w:t>5</w:t>
            </w:r>
            <w:r>
              <w:rPr>
                <w:noProof/>
                <w:webHidden/>
              </w:rPr>
              <w:fldChar w:fldCharType="end"/>
            </w:r>
          </w:hyperlink>
        </w:p>
        <w:p w14:paraId="55A1BCB4" w14:textId="73C137AB"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41" w:history="1">
            <w:r w:rsidRPr="00B9105D">
              <w:rPr>
                <w:rStyle w:val="Hyperlink"/>
                <w:noProof/>
              </w:rPr>
              <w:t>2.1</w:t>
            </w:r>
            <w:r>
              <w:rPr>
                <w:rFonts w:asciiTheme="minorHAnsi" w:eastAsiaTheme="minorEastAsia" w:hAnsiTheme="minorHAnsi" w:cstheme="minorBidi"/>
                <w:noProof/>
                <w:color w:val="auto"/>
                <w:kern w:val="2"/>
                <w14:ligatures w14:val="standardContextual"/>
              </w:rPr>
              <w:tab/>
            </w:r>
            <w:r w:rsidRPr="00B9105D">
              <w:rPr>
                <w:rStyle w:val="Hyperlink"/>
                <w:noProof/>
              </w:rPr>
              <w:t>Intra-operative surgical prophylaxis</w:t>
            </w:r>
            <w:r>
              <w:rPr>
                <w:noProof/>
                <w:webHidden/>
              </w:rPr>
              <w:tab/>
            </w:r>
            <w:r>
              <w:rPr>
                <w:noProof/>
                <w:webHidden/>
              </w:rPr>
              <w:fldChar w:fldCharType="begin"/>
            </w:r>
            <w:r>
              <w:rPr>
                <w:noProof/>
                <w:webHidden/>
              </w:rPr>
              <w:instrText xml:space="preserve"> PAGEREF _Toc181188541 \h </w:instrText>
            </w:r>
            <w:r>
              <w:rPr>
                <w:noProof/>
                <w:webHidden/>
              </w:rPr>
            </w:r>
            <w:r>
              <w:rPr>
                <w:noProof/>
                <w:webHidden/>
              </w:rPr>
              <w:fldChar w:fldCharType="separate"/>
            </w:r>
            <w:r>
              <w:rPr>
                <w:noProof/>
                <w:webHidden/>
              </w:rPr>
              <w:t>5</w:t>
            </w:r>
            <w:r>
              <w:rPr>
                <w:noProof/>
                <w:webHidden/>
              </w:rPr>
              <w:fldChar w:fldCharType="end"/>
            </w:r>
          </w:hyperlink>
        </w:p>
        <w:p w14:paraId="38D1375B" w14:textId="422B53C3"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42" w:history="1">
            <w:r w:rsidRPr="00B9105D">
              <w:rPr>
                <w:rStyle w:val="Hyperlink"/>
                <w:noProof/>
              </w:rPr>
              <w:t>2.2</w:t>
            </w:r>
            <w:r>
              <w:rPr>
                <w:rFonts w:asciiTheme="minorHAnsi" w:eastAsiaTheme="minorEastAsia" w:hAnsiTheme="minorHAnsi" w:cstheme="minorBidi"/>
                <w:noProof/>
                <w:color w:val="auto"/>
                <w:kern w:val="2"/>
                <w14:ligatures w14:val="standardContextual"/>
              </w:rPr>
              <w:tab/>
            </w:r>
            <w:r w:rsidRPr="00B9105D">
              <w:rPr>
                <w:rStyle w:val="Hyperlink"/>
                <w:noProof/>
              </w:rPr>
              <w:t>Standard gentamicin/tobramycin dosing</w:t>
            </w:r>
            <w:r>
              <w:rPr>
                <w:noProof/>
                <w:webHidden/>
              </w:rPr>
              <w:tab/>
            </w:r>
            <w:r>
              <w:rPr>
                <w:noProof/>
                <w:webHidden/>
              </w:rPr>
              <w:fldChar w:fldCharType="begin"/>
            </w:r>
            <w:r>
              <w:rPr>
                <w:noProof/>
                <w:webHidden/>
              </w:rPr>
              <w:instrText xml:space="preserve"> PAGEREF _Toc181188542 \h </w:instrText>
            </w:r>
            <w:r>
              <w:rPr>
                <w:noProof/>
                <w:webHidden/>
              </w:rPr>
            </w:r>
            <w:r>
              <w:rPr>
                <w:noProof/>
                <w:webHidden/>
              </w:rPr>
              <w:fldChar w:fldCharType="separate"/>
            </w:r>
            <w:r>
              <w:rPr>
                <w:noProof/>
                <w:webHidden/>
              </w:rPr>
              <w:t>5</w:t>
            </w:r>
            <w:r>
              <w:rPr>
                <w:noProof/>
                <w:webHidden/>
              </w:rPr>
              <w:fldChar w:fldCharType="end"/>
            </w:r>
          </w:hyperlink>
        </w:p>
        <w:p w14:paraId="4D458276" w14:textId="16D3A976"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43" w:history="1">
            <w:r w:rsidRPr="00B9105D">
              <w:rPr>
                <w:rStyle w:val="Hyperlink"/>
                <w:noProof/>
              </w:rPr>
              <w:t>2.3</w:t>
            </w:r>
            <w:r>
              <w:rPr>
                <w:rFonts w:asciiTheme="minorHAnsi" w:eastAsiaTheme="minorEastAsia" w:hAnsiTheme="minorHAnsi" w:cstheme="minorBidi"/>
                <w:noProof/>
                <w:color w:val="auto"/>
                <w:kern w:val="2"/>
                <w14:ligatures w14:val="standardContextual"/>
              </w:rPr>
              <w:tab/>
            </w:r>
            <w:r w:rsidRPr="00B9105D">
              <w:rPr>
                <w:rStyle w:val="Hyperlink"/>
                <w:noProof/>
              </w:rPr>
              <w:t>Standard amikacin dosing</w:t>
            </w:r>
            <w:r>
              <w:rPr>
                <w:noProof/>
                <w:webHidden/>
              </w:rPr>
              <w:tab/>
            </w:r>
            <w:r>
              <w:rPr>
                <w:noProof/>
                <w:webHidden/>
              </w:rPr>
              <w:fldChar w:fldCharType="begin"/>
            </w:r>
            <w:r>
              <w:rPr>
                <w:noProof/>
                <w:webHidden/>
              </w:rPr>
              <w:instrText xml:space="preserve"> PAGEREF _Toc181188543 \h </w:instrText>
            </w:r>
            <w:r>
              <w:rPr>
                <w:noProof/>
                <w:webHidden/>
              </w:rPr>
            </w:r>
            <w:r>
              <w:rPr>
                <w:noProof/>
                <w:webHidden/>
              </w:rPr>
              <w:fldChar w:fldCharType="separate"/>
            </w:r>
            <w:r>
              <w:rPr>
                <w:noProof/>
                <w:webHidden/>
              </w:rPr>
              <w:t>6</w:t>
            </w:r>
            <w:r>
              <w:rPr>
                <w:noProof/>
                <w:webHidden/>
              </w:rPr>
              <w:fldChar w:fldCharType="end"/>
            </w:r>
          </w:hyperlink>
        </w:p>
        <w:p w14:paraId="7EAAD1FD" w14:textId="40A115C0"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44" w:history="1">
            <w:r w:rsidRPr="00B9105D">
              <w:rPr>
                <w:rStyle w:val="Hyperlink"/>
                <w:noProof/>
              </w:rPr>
              <w:t>2.4</w:t>
            </w:r>
            <w:r>
              <w:rPr>
                <w:rFonts w:asciiTheme="minorHAnsi" w:eastAsiaTheme="minorEastAsia" w:hAnsiTheme="minorHAnsi" w:cstheme="minorBidi"/>
                <w:noProof/>
                <w:color w:val="auto"/>
                <w:kern w:val="2"/>
                <w14:ligatures w14:val="standardContextual"/>
              </w:rPr>
              <w:tab/>
            </w:r>
            <w:r w:rsidRPr="00B9105D">
              <w:rPr>
                <w:rStyle w:val="Hyperlink"/>
                <w:noProof/>
              </w:rPr>
              <w:t>Dosing in patients with special considerations</w:t>
            </w:r>
            <w:r>
              <w:rPr>
                <w:noProof/>
                <w:webHidden/>
              </w:rPr>
              <w:tab/>
            </w:r>
            <w:r>
              <w:rPr>
                <w:noProof/>
                <w:webHidden/>
              </w:rPr>
              <w:fldChar w:fldCharType="begin"/>
            </w:r>
            <w:r>
              <w:rPr>
                <w:noProof/>
                <w:webHidden/>
              </w:rPr>
              <w:instrText xml:space="preserve"> PAGEREF _Toc181188544 \h </w:instrText>
            </w:r>
            <w:r>
              <w:rPr>
                <w:noProof/>
                <w:webHidden/>
              </w:rPr>
            </w:r>
            <w:r>
              <w:rPr>
                <w:noProof/>
                <w:webHidden/>
              </w:rPr>
              <w:fldChar w:fldCharType="separate"/>
            </w:r>
            <w:r>
              <w:rPr>
                <w:noProof/>
                <w:webHidden/>
              </w:rPr>
              <w:t>6</w:t>
            </w:r>
            <w:r>
              <w:rPr>
                <w:noProof/>
                <w:webHidden/>
              </w:rPr>
              <w:fldChar w:fldCharType="end"/>
            </w:r>
          </w:hyperlink>
        </w:p>
        <w:p w14:paraId="7A46D10A" w14:textId="7CB15435"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45" w:history="1">
            <w:r w:rsidRPr="00B9105D">
              <w:rPr>
                <w:rStyle w:val="Hyperlink"/>
                <w:noProof/>
              </w:rPr>
              <w:t>Section 3 – Monitoring and Prescribing of Subsequent Doses</w:t>
            </w:r>
            <w:r>
              <w:rPr>
                <w:noProof/>
                <w:webHidden/>
              </w:rPr>
              <w:tab/>
            </w:r>
            <w:r>
              <w:rPr>
                <w:noProof/>
                <w:webHidden/>
              </w:rPr>
              <w:fldChar w:fldCharType="begin"/>
            </w:r>
            <w:r>
              <w:rPr>
                <w:noProof/>
                <w:webHidden/>
              </w:rPr>
              <w:instrText xml:space="preserve"> PAGEREF _Toc181188545 \h </w:instrText>
            </w:r>
            <w:r>
              <w:rPr>
                <w:noProof/>
                <w:webHidden/>
              </w:rPr>
            </w:r>
            <w:r>
              <w:rPr>
                <w:noProof/>
                <w:webHidden/>
              </w:rPr>
              <w:fldChar w:fldCharType="separate"/>
            </w:r>
            <w:r>
              <w:rPr>
                <w:noProof/>
                <w:webHidden/>
              </w:rPr>
              <w:t>8</w:t>
            </w:r>
            <w:r>
              <w:rPr>
                <w:noProof/>
                <w:webHidden/>
              </w:rPr>
              <w:fldChar w:fldCharType="end"/>
            </w:r>
          </w:hyperlink>
        </w:p>
        <w:p w14:paraId="09CE6FD6" w14:textId="083843DD"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46" w:history="1">
            <w:r w:rsidRPr="00B9105D">
              <w:rPr>
                <w:rStyle w:val="Hyperlink"/>
                <w:noProof/>
              </w:rPr>
              <w:t>3.1</w:t>
            </w:r>
            <w:r>
              <w:rPr>
                <w:rFonts w:asciiTheme="minorHAnsi" w:eastAsiaTheme="minorEastAsia" w:hAnsiTheme="minorHAnsi" w:cstheme="minorBidi"/>
                <w:noProof/>
                <w:color w:val="auto"/>
                <w:kern w:val="2"/>
                <w14:ligatures w14:val="standardContextual"/>
              </w:rPr>
              <w:tab/>
            </w:r>
            <w:r w:rsidRPr="00B9105D">
              <w:rPr>
                <w:rStyle w:val="Hyperlink"/>
                <w:noProof/>
              </w:rPr>
              <w:t>Unique indications: endocarditis and mycobacterial infections</w:t>
            </w:r>
            <w:r>
              <w:rPr>
                <w:noProof/>
                <w:webHidden/>
              </w:rPr>
              <w:tab/>
            </w:r>
            <w:r>
              <w:rPr>
                <w:noProof/>
                <w:webHidden/>
              </w:rPr>
              <w:fldChar w:fldCharType="begin"/>
            </w:r>
            <w:r>
              <w:rPr>
                <w:noProof/>
                <w:webHidden/>
              </w:rPr>
              <w:instrText xml:space="preserve"> PAGEREF _Toc181188546 \h </w:instrText>
            </w:r>
            <w:r>
              <w:rPr>
                <w:noProof/>
                <w:webHidden/>
              </w:rPr>
            </w:r>
            <w:r>
              <w:rPr>
                <w:noProof/>
                <w:webHidden/>
              </w:rPr>
              <w:fldChar w:fldCharType="separate"/>
            </w:r>
            <w:r>
              <w:rPr>
                <w:noProof/>
                <w:webHidden/>
              </w:rPr>
              <w:t>9</w:t>
            </w:r>
            <w:r>
              <w:rPr>
                <w:noProof/>
                <w:webHidden/>
              </w:rPr>
              <w:fldChar w:fldCharType="end"/>
            </w:r>
          </w:hyperlink>
        </w:p>
        <w:p w14:paraId="4FA51A51" w14:textId="41E5F91C"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47" w:history="1">
            <w:r w:rsidRPr="00B9105D">
              <w:rPr>
                <w:rStyle w:val="Hyperlink"/>
                <w:noProof/>
              </w:rPr>
              <w:t>3.2</w:t>
            </w:r>
            <w:r>
              <w:rPr>
                <w:rFonts w:asciiTheme="minorHAnsi" w:eastAsiaTheme="minorEastAsia" w:hAnsiTheme="minorHAnsi" w:cstheme="minorBidi"/>
                <w:noProof/>
                <w:color w:val="auto"/>
                <w:kern w:val="2"/>
                <w14:ligatures w14:val="standardContextual"/>
              </w:rPr>
              <w:tab/>
            </w:r>
            <w:r w:rsidRPr="00B9105D">
              <w:rPr>
                <w:rStyle w:val="Hyperlink"/>
                <w:noProof/>
              </w:rPr>
              <w:t>Amikacin therapy (not for unique indications) and patients with altered pharmacokinetics</w:t>
            </w:r>
            <w:r>
              <w:rPr>
                <w:noProof/>
                <w:webHidden/>
              </w:rPr>
              <w:tab/>
            </w:r>
            <w:r>
              <w:rPr>
                <w:noProof/>
                <w:webHidden/>
              </w:rPr>
              <w:fldChar w:fldCharType="begin"/>
            </w:r>
            <w:r>
              <w:rPr>
                <w:noProof/>
                <w:webHidden/>
              </w:rPr>
              <w:instrText xml:space="preserve"> PAGEREF _Toc181188547 \h </w:instrText>
            </w:r>
            <w:r>
              <w:rPr>
                <w:noProof/>
                <w:webHidden/>
              </w:rPr>
            </w:r>
            <w:r>
              <w:rPr>
                <w:noProof/>
                <w:webHidden/>
              </w:rPr>
              <w:fldChar w:fldCharType="separate"/>
            </w:r>
            <w:r>
              <w:rPr>
                <w:noProof/>
                <w:webHidden/>
              </w:rPr>
              <w:t>9</w:t>
            </w:r>
            <w:r>
              <w:rPr>
                <w:noProof/>
                <w:webHidden/>
              </w:rPr>
              <w:fldChar w:fldCharType="end"/>
            </w:r>
          </w:hyperlink>
        </w:p>
        <w:p w14:paraId="0BEF6A66" w14:textId="425E44F0"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48" w:history="1">
            <w:r w:rsidRPr="00B9105D">
              <w:rPr>
                <w:rStyle w:val="Hyperlink"/>
                <w:noProof/>
              </w:rPr>
              <w:t>3.3</w:t>
            </w:r>
            <w:r>
              <w:rPr>
                <w:rFonts w:asciiTheme="minorHAnsi" w:eastAsiaTheme="minorEastAsia" w:hAnsiTheme="minorHAnsi" w:cstheme="minorBidi"/>
                <w:noProof/>
                <w:color w:val="auto"/>
                <w:kern w:val="2"/>
                <w14:ligatures w14:val="standardContextual"/>
              </w:rPr>
              <w:tab/>
            </w:r>
            <w:r w:rsidRPr="00B9105D">
              <w:rPr>
                <w:rStyle w:val="Hyperlink"/>
                <w:noProof/>
              </w:rPr>
              <w:t>Single serum concentration monitoring</w:t>
            </w:r>
            <w:r>
              <w:rPr>
                <w:noProof/>
                <w:webHidden/>
              </w:rPr>
              <w:tab/>
            </w:r>
            <w:r>
              <w:rPr>
                <w:noProof/>
                <w:webHidden/>
              </w:rPr>
              <w:fldChar w:fldCharType="begin"/>
            </w:r>
            <w:r>
              <w:rPr>
                <w:noProof/>
                <w:webHidden/>
              </w:rPr>
              <w:instrText xml:space="preserve"> PAGEREF _Toc181188548 \h </w:instrText>
            </w:r>
            <w:r>
              <w:rPr>
                <w:noProof/>
                <w:webHidden/>
              </w:rPr>
            </w:r>
            <w:r>
              <w:rPr>
                <w:noProof/>
                <w:webHidden/>
              </w:rPr>
              <w:fldChar w:fldCharType="separate"/>
            </w:r>
            <w:r>
              <w:rPr>
                <w:noProof/>
                <w:webHidden/>
              </w:rPr>
              <w:t>10</w:t>
            </w:r>
            <w:r>
              <w:rPr>
                <w:noProof/>
                <w:webHidden/>
              </w:rPr>
              <w:fldChar w:fldCharType="end"/>
            </w:r>
          </w:hyperlink>
        </w:p>
        <w:p w14:paraId="7AD17DC7" w14:textId="2C37E182"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49" w:history="1">
            <w:r w:rsidRPr="00B9105D">
              <w:rPr>
                <w:rStyle w:val="Hyperlink"/>
                <w:noProof/>
              </w:rPr>
              <w:t>3.4</w:t>
            </w:r>
            <w:r>
              <w:rPr>
                <w:rFonts w:asciiTheme="minorHAnsi" w:eastAsiaTheme="minorEastAsia" w:hAnsiTheme="minorHAnsi" w:cstheme="minorBidi"/>
                <w:noProof/>
                <w:color w:val="auto"/>
                <w:kern w:val="2"/>
                <w14:ligatures w14:val="standardContextual"/>
              </w:rPr>
              <w:tab/>
            </w:r>
            <w:r w:rsidRPr="00B9105D">
              <w:rPr>
                <w:rStyle w:val="Hyperlink"/>
                <w:noProof/>
              </w:rPr>
              <w:t>Two serum concentration monitoring</w:t>
            </w:r>
            <w:r>
              <w:rPr>
                <w:noProof/>
                <w:webHidden/>
              </w:rPr>
              <w:tab/>
            </w:r>
            <w:r>
              <w:rPr>
                <w:noProof/>
                <w:webHidden/>
              </w:rPr>
              <w:fldChar w:fldCharType="begin"/>
            </w:r>
            <w:r>
              <w:rPr>
                <w:noProof/>
                <w:webHidden/>
              </w:rPr>
              <w:instrText xml:space="preserve"> PAGEREF _Toc181188549 \h </w:instrText>
            </w:r>
            <w:r>
              <w:rPr>
                <w:noProof/>
                <w:webHidden/>
              </w:rPr>
            </w:r>
            <w:r>
              <w:rPr>
                <w:noProof/>
                <w:webHidden/>
              </w:rPr>
              <w:fldChar w:fldCharType="separate"/>
            </w:r>
            <w:r>
              <w:rPr>
                <w:noProof/>
                <w:webHidden/>
              </w:rPr>
              <w:t>11</w:t>
            </w:r>
            <w:r>
              <w:rPr>
                <w:noProof/>
                <w:webHidden/>
              </w:rPr>
              <w:fldChar w:fldCharType="end"/>
            </w:r>
          </w:hyperlink>
        </w:p>
        <w:p w14:paraId="51D33A5F" w14:textId="181E823C"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50" w:history="1">
            <w:r w:rsidRPr="00B9105D">
              <w:rPr>
                <w:rStyle w:val="Hyperlink"/>
                <w:noProof/>
              </w:rPr>
              <w:t>3.5</w:t>
            </w:r>
            <w:r>
              <w:rPr>
                <w:rFonts w:asciiTheme="minorHAnsi" w:eastAsiaTheme="minorEastAsia" w:hAnsiTheme="minorHAnsi" w:cstheme="minorBidi"/>
                <w:noProof/>
                <w:color w:val="auto"/>
                <w:kern w:val="2"/>
                <w14:ligatures w14:val="standardContextual"/>
              </w:rPr>
              <w:tab/>
            </w:r>
            <w:r w:rsidRPr="00B9105D">
              <w:rPr>
                <w:rStyle w:val="Hyperlink"/>
                <w:noProof/>
              </w:rPr>
              <w:t>Serum concentration monitoring: for unique indications</w:t>
            </w:r>
            <w:r>
              <w:rPr>
                <w:noProof/>
                <w:webHidden/>
              </w:rPr>
              <w:tab/>
            </w:r>
            <w:r>
              <w:rPr>
                <w:noProof/>
                <w:webHidden/>
              </w:rPr>
              <w:fldChar w:fldCharType="begin"/>
            </w:r>
            <w:r>
              <w:rPr>
                <w:noProof/>
                <w:webHidden/>
              </w:rPr>
              <w:instrText xml:space="preserve"> PAGEREF _Toc181188550 \h </w:instrText>
            </w:r>
            <w:r>
              <w:rPr>
                <w:noProof/>
                <w:webHidden/>
              </w:rPr>
            </w:r>
            <w:r>
              <w:rPr>
                <w:noProof/>
                <w:webHidden/>
              </w:rPr>
              <w:fldChar w:fldCharType="separate"/>
            </w:r>
            <w:r>
              <w:rPr>
                <w:noProof/>
                <w:webHidden/>
              </w:rPr>
              <w:t>11</w:t>
            </w:r>
            <w:r>
              <w:rPr>
                <w:noProof/>
                <w:webHidden/>
              </w:rPr>
              <w:fldChar w:fldCharType="end"/>
            </w:r>
          </w:hyperlink>
        </w:p>
        <w:p w14:paraId="2F732AC0" w14:textId="1DA2B450" w:rsidR="00182013" w:rsidRDefault="00182013">
          <w:pPr>
            <w:pStyle w:val="TOC4"/>
            <w:tabs>
              <w:tab w:val="left" w:pos="1440"/>
              <w:tab w:val="right" w:leader="dot" w:pos="9911"/>
            </w:tabs>
            <w:rPr>
              <w:rFonts w:asciiTheme="minorHAnsi" w:eastAsiaTheme="minorEastAsia" w:hAnsiTheme="minorHAnsi" w:cstheme="minorBidi"/>
              <w:noProof/>
              <w:color w:val="auto"/>
              <w:kern w:val="2"/>
              <w14:ligatures w14:val="standardContextual"/>
            </w:rPr>
          </w:pPr>
          <w:hyperlink w:anchor="_Toc181188551" w:history="1">
            <w:r w:rsidRPr="00B9105D">
              <w:rPr>
                <w:rStyle w:val="Hyperlink"/>
                <w:noProof/>
              </w:rPr>
              <w:t>3.6</w:t>
            </w:r>
            <w:r>
              <w:rPr>
                <w:rFonts w:asciiTheme="minorHAnsi" w:eastAsiaTheme="minorEastAsia" w:hAnsiTheme="minorHAnsi" w:cstheme="minorBidi"/>
                <w:noProof/>
                <w:color w:val="auto"/>
                <w:kern w:val="2"/>
                <w14:ligatures w14:val="standardContextual"/>
              </w:rPr>
              <w:tab/>
            </w:r>
            <w:r w:rsidRPr="00B9105D">
              <w:rPr>
                <w:rStyle w:val="Hyperlink"/>
                <w:noProof/>
              </w:rPr>
              <w:t>Clinical monitoring requirements</w:t>
            </w:r>
            <w:r>
              <w:rPr>
                <w:noProof/>
                <w:webHidden/>
              </w:rPr>
              <w:tab/>
            </w:r>
            <w:r>
              <w:rPr>
                <w:noProof/>
                <w:webHidden/>
              </w:rPr>
              <w:fldChar w:fldCharType="begin"/>
            </w:r>
            <w:r>
              <w:rPr>
                <w:noProof/>
                <w:webHidden/>
              </w:rPr>
              <w:instrText xml:space="preserve"> PAGEREF _Toc181188551 \h </w:instrText>
            </w:r>
            <w:r>
              <w:rPr>
                <w:noProof/>
                <w:webHidden/>
              </w:rPr>
            </w:r>
            <w:r>
              <w:rPr>
                <w:noProof/>
                <w:webHidden/>
              </w:rPr>
              <w:fldChar w:fldCharType="separate"/>
            </w:r>
            <w:r>
              <w:rPr>
                <w:noProof/>
                <w:webHidden/>
              </w:rPr>
              <w:t>12</w:t>
            </w:r>
            <w:r>
              <w:rPr>
                <w:noProof/>
                <w:webHidden/>
              </w:rPr>
              <w:fldChar w:fldCharType="end"/>
            </w:r>
          </w:hyperlink>
        </w:p>
        <w:p w14:paraId="703BD23A" w14:textId="4DB17A3C"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52" w:history="1">
            <w:r w:rsidRPr="00B9105D">
              <w:rPr>
                <w:rStyle w:val="Hyperlink"/>
                <w:noProof/>
              </w:rPr>
              <w:t>Section 4 – Drug Administration</w:t>
            </w:r>
            <w:r>
              <w:rPr>
                <w:noProof/>
                <w:webHidden/>
              </w:rPr>
              <w:tab/>
            </w:r>
            <w:r>
              <w:rPr>
                <w:noProof/>
                <w:webHidden/>
              </w:rPr>
              <w:fldChar w:fldCharType="begin"/>
            </w:r>
            <w:r>
              <w:rPr>
                <w:noProof/>
                <w:webHidden/>
              </w:rPr>
              <w:instrText xml:space="preserve"> PAGEREF _Toc181188552 \h </w:instrText>
            </w:r>
            <w:r>
              <w:rPr>
                <w:noProof/>
                <w:webHidden/>
              </w:rPr>
            </w:r>
            <w:r>
              <w:rPr>
                <w:noProof/>
                <w:webHidden/>
              </w:rPr>
              <w:fldChar w:fldCharType="separate"/>
            </w:r>
            <w:r>
              <w:rPr>
                <w:noProof/>
                <w:webHidden/>
              </w:rPr>
              <w:t>13</w:t>
            </w:r>
            <w:r>
              <w:rPr>
                <w:noProof/>
                <w:webHidden/>
              </w:rPr>
              <w:fldChar w:fldCharType="end"/>
            </w:r>
          </w:hyperlink>
        </w:p>
        <w:p w14:paraId="41FCEA0A" w14:textId="3DA2A14D"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53" w:history="1">
            <w:r w:rsidRPr="00B9105D">
              <w:rPr>
                <w:rStyle w:val="Hyperlink"/>
                <w:noProof/>
              </w:rPr>
              <w:t>Evaluation</w:t>
            </w:r>
            <w:r>
              <w:rPr>
                <w:noProof/>
                <w:webHidden/>
              </w:rPr>
              <w:tab/>
            </w:r>
            <w:r>
              <w:rPr>
                <w:noProof/>
                <w:webHidden/>
              </w:rPr>
              <w:fldChar w:fldCharType="begin"/>
            </w:r>
            <w:r>
              <w:rPr>
                <w:noProof/>
                <w:webHidden/>
              </w:rPr>
              <w:instrText xml:space="preserve"> PAGEREF _Toc181188553 \h </w:instrText>
            </w:r>
            <w:r>
              <w:rPr>
                <w:noProof/>
                <w:webHidden/>
              </w:rPr>
            </w:r>
            <w:r>
              <w:rPr>
                <w:noProof/>
                <w:webHidden/>
              </w:rPr>
              <w:fldChar w:fldCharType="separate"/>
            </w:r>
            <w:r>
              <w:rPr>
                <w:noProof/>
                <w:webHidden/>
              </w:rPr>
              <w:t>14</w:t>
            </w:r>
            <w:r>
              <w:rPr>
                <w:noProof/>
                <w:webHidden/>
              </w:rPr>
              <w:fldChar w:fldCharType="end"/>
            </w:r>
          </w:hyperlink>
        </w:p>
        <w:p w14:paraId="1EAB5BEC" w14:textId="255BA7D7"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54" w:history="1">
            <w:r w:rsidRPr="00B9105D">
              <w:rPr>
                <w:rStyle w:val="Hyperlink"/>
                <w:noProof/>
              </w:rPr>
              <w:t>Outcome</w:t>
            </w:r>
            <w:r>
              <w:rPr>
                <w:noProof/>
                <w:webHidden/>
              </w:rPr>
              <w:tab/>
            </w:r>
            <w:r>
              <w:rPr>
                <w:noProof/>
                <w:webHidden/>
              </w:rPr>
              <w:fldChar w:fldCharType="begin"/>
            </w:r>
            <w:r>
              <w:rPr>
                <w:noProof/>
                <w:webHidden/>
              </w:rPr>
              <w:instrText xml:space="preserve"> PAGEREF _Toc181188554 \h </w:instrText>
            </w:r>
            <w:r>
              <w:rPr>
                <w:noProof/>
                <w:webHidden/>
              </w:rPr>
            </w:r>
            <w:r>
              <w:rPr>
                <w:noProof/>
                <w:webHidden/>
              </w:rPr>
              <w:fldChar w:fldCharType="separate"/>
            </w:r>
            <w:r>
              <w:rPr>
                <w:noProof/>
                <w:webHidden/>
              </w:rPr>
              <w:t>14</w:t>
            </w:r>
            <w:r>
              <w:rPr>
                <w:noProof/>
                <w:webHidden/>
              </w:rPr>
              <w:fldChar w:fldCharType="end"/>
            </w:r>
          </w:hyperlink>
        </w:p>
        <w:p w14:paraId="2EF241DB" w14:textId="422C6F09"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55" w:history="1">
            <w:r w:rsidRPr="00B9105D">
              <w:rPr>
                <w:rStyle w:val="Hyperlink"/>
                <w:noProof/>
              </w:rPr>
              <w:t>Measures</w:t>
            </w:r>
            <w:r>
              <w:rPr>
                <w:noProof/>
                <w:webHidden/>
              </w:rPr>
              <w:tab/>
            </w:r>
            <w:r>
              <w:rPr>
                <w:noProof/>
                <w:webHidden/>
              </w:rPr>
              <w:fldChar w:fldCharType="begin"/>
            </w:r>
            <w:r>
              <w:rPr>
                <w:noProof/>
                <w:webHidden/>
              </w:rPr>
              <w:instrText xml:space="preserve"> PAGEREF _Toc181188555 \h </w:instrText>
            </w:r>
            <w:r>
              <w:rPr>
                <w:noProof/>
                <w:webHidden/>
              </w:rPr>
            </w:r>
            <w:r>
              <w:rPr>
                <w:noProof/>
                <w:webHidden/>
              </w:rPr>
              <w:fldChar w:fldCharType="separate"/>
            </w:r>
            <w:r>
              <w:rPr>
                <w:noProof/>
                <w:webHidden/>
              </w:rPr>
              <w:t>14</w:t>
            </w:r>
            <w:r>
              <w:rPr>
                <w:noProof/>
                <w:webHidden/>
              </w:rPr>
              <w:fldChar w:fldCharType="end"/>
            </w:r>
          </w:hyperlink>
        </w:p>
        <w:p w14:paraId="1ED52F39" w14:textId="1F8D673E"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56" w:history="1">
            <w:r w:rsidRPr="00B9105D">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_Toc181188556 \h </w:instrText>
            </w:r>
            <w:r>
              <w:rPr>
                <w:noProof/>
                <w:webHidden/>
              </w:rPr>
            </w:r>
            <w:r>
              <w:rPr>
                <w:noProof/>
                <w:webHidden/>
              </w:rPr>
              <w:fldChar w:fldCharType="separate"/>
            </w:r>
            <w:r>
              <w:rPr>
                <w:noProof/>
                <w:webHidden/>
              </w:rPr>
              <w:t>14</w:t>
            </w:r>
            <w:r>
              <w:rPr>
                <w:noProof/>
                <w:webHidden/>
              </w:rPr>
              <w:fldChar w:fldCharType="end"/>
            </w:r>
          </w:hyperlink>
        </w:p>
        <w:p w14:paraId="73816E2D" w14:textId="3AD76AC6"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57" w:history="1">
            <w:r w:rsidRPr="00B9105D">
              <w:rPr>
                <w:rStyle w:val="Hyperlink"/>
                <w:noProof/>
              </w:rPr>
              <w:t>Policies</w:t>
            </w:r>
            <w:r>
              <w:rPr>
                <w:noProof/>
                <w:webHidden/>
              </w:rPr>
              <w:tab/>
            </w:r>
            <w:r>
              <w:rPr>
                <w:noProof/>
                <w:webHidden/>
              </w:rPr>
              <w:fldChar w:fldCharType="begin"/>
            </w:r>
            <w:r>
              <w:rPr>
                <w:noProof/>
                <w:webHidden/>
              </w:rPr>
              <w:instrText xml:space="preserve"> PAGEREF _Toc181188557 \h </w:instrText>
            </w:r>
            <w:r>
              <w:rPr>
                <w:noProof/>
                <w:webHidden/>
              </w:rPr>
            </w:r>
            <w:r>
              <w:rPr>
                <w:noProof/>
                <w:webHidden/>
              </w:rPr>
              <w:fldChar w:fldCharType="separate"/>
            </w:r>
            <w:r>
              <w:rPr>
                <w:noProof/>
                <w:webHidden/>
              </w:rPr>
              <w:t>14</w:t>
            </w:r>
            <w:r>
              <w:rPr>
                <w:noProof/>
                <w:webHidden/>
              </w:rPr>
              <w:fldChar w:fldCharType="end"/>
            </w:r>
          </w:hyperlink>
        </w:p>
        <w:p w14:paraId="476CB7B2" w14:textId="1C5A1B42"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58" w:history="1">
            <w:r w:rsidRPr="00B9105D">
              <w:rPr>
                <w:rStyle w:val="Hyperlink"/>
                <w:noProof/>
              </w:rPr>
              <w:t>Procedures</w:t>
            </w:r>
            <w:r>
              <w:rPr>
                <w:noProof/>
                <w:webHidden/>
              </w:rPr>
              <w:tab/>
            </w:r>
            <w:r>
              <w:rPr>
                <w:noProof/>
                <w:webHidden/>
              </w:rPr>
              <w:fldChar w:fldCharType="begin"/>
            </w:r>
            <w:r>
              <w:rPr>
                <w:noProof/>
                <w:webHidden/>
              </w:rPr>
              <w:instrText xml:space="preserve"> PAGEREF _Toc181188558 \h </w:instrText>
            </w:r>
            <w:r>
              <w:rPr>
                <w:noProof/>
                <w:webHidden/>
              </w:rPr>
            </w:r>
            <w:r>
              <w:rPr>
                <w:noProof/>
                <w:webHidden/>
              </w:rPr>
              <w:fldChar w:fldCharType="separate"/>
            </w:r>
            <w:r>
              <w:rPr>
                <w:noProof/>
                <w:webHidden/>
              </w:rPr>
              <w:t>14</w:t>
            </w:r>
            <w:r>
              <w:rPr>
                <w:noProof/>
                <w:webHidden/>
              </w:rPr>
              <w:fldChar w:fldCharType="end"/>
            </w:r>
          </w:hyperlink>
        </w:p>
        <w:p w14:paraId="30D0118A" w14:textId="3B7F3566"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59" w:history="1">
            <w:r w:rsidRPr="00B9105D">
              <w:rPr>
                <w:rStyle w:val="Hyperlink"/>
                <w:noProof/>
              </w:rPr>
              <w:t>Guidelines</w:t>
            </w:r>
            <w:r>
              <w:rPr>
                <w:noProof/>
                <w:webHidden/>
              </w:rPr>
              <w:tab/>
            </w:r>
            <w:r>
              <w:rPr>
                <w:noProof/>
                <w:webHidden/>
              </w:rPr>
              <w:fldChar w:fldCharType="begin"/>
            </w:r>
            <w:r>
              <w:rPr>
                <w:noProof/>
                <w:webHidden/>
              </w:rPr>
              <w:instrText xml:space="preserve"> PAGEREF _Toc181188559 \h </w:instrText>
            </w:r>
            <w:r>
              <w:rPr>
                <w:noProof/>
                <w:webHidden/>
              </w:rPr>
            </w:r>
            <w:r>
              <w:rPr>
                <w:noProof/>
                <w:webHidden/>
              </w:rPr>
              <w:fldChar w:fldCharType="separate"/>
            </w:r>
            <w:r>
              <w:rPr>
                <w:noProof/>
                <w:webHidden/>
              </w:rPr>
              <w:t>14</w:t>
            </w:r>
            <w:r>
              <w:rPr>
                <w:noProof/>
                <w:webHidden/>
              </w:rPr>
              <w:fldChar w:fldCharType="end"/>
            </w:r>
          </w:hyperlink>
        </w:p>
        <w:p w14:paraId="393DA7DC" w14:textId="4B97EF55"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60" w:history="1">
            <w:r w:rsidRPr="00B9105D">
              <w:rPr>
                <w:rStyle w:val="Hyperlink"/>
                <w:noProof/>
              </w:rPr>
              <w:t>Legislation</w:t>
            </w:r>
            <w:r>
              <w:rPr>
                <w:noProof/>
                <w:webHidden/>
              </w:rPr>
              <w:tab/>
            </w:r>
            <w:r>
              <w:rPr>
                <w:noProof/>
                <w:webHidden/>
              </w:rPr>
              <w:fldChar w:fldCharType="begin"/>
            </w:r>
            <w:r>
              <w:rPr>
                <w:noProof/>
                <w:webHidden/>
              </w:rPr>
              <w:instrText xml:space="preserve"> PAGEREF _Toc181188560 \h </w:instrText>
            </w:r>
            <w:r>
              <w:rPr>
                <w:noProof/>
                <w:webHidden/>
              </w:rPr>
            </w:r>
            <w:r>
              <w:rPr>
                <w:noProof/>
                <w:webHidden/>
              </w:rPr>
              <w:fldChar w:fldCharType="separate"/>
            </w:r>
            <w:r>
              <w:rPr>
                <w:noProof/>
                <w:webHidden/>
              </w:rPr>
              <w:t>14</w:t>
            </w:r>
            <w:r>
              <w:rPr>
                <w:noProof/>
                <w:webHidden/>
              </w:rPr>
              <w:fldChar w:fldCharType="end"/>
            </w:r>
          </w:hyperlink>
        </w:p>
        <w:p w14:paraId="0D5D7CC4" w14:textId="156D156B"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61" w:history="1">
            <w:r w:rsidRPr="00B9105D">
              <w:rPr>
                <w:rStyle w:val="Hyperlink"/>
                <w:noProof/>
              </w:rPr>
              <w:t>Other</w:t>
            </w:r>
            <w:r>
              <w:rPr>
                <w:noProof/>
                <w:webHidden/>
              </w:rPr>
              <w:tab/>
            </w:r>
            <w:r>
              <w:rPr>
                <w:noProof/>
                <w:webHidden/>
              </w:rPr>
              <w:fldChar w:fldCharType="begin"/>
            </w:r>
            <w:r>
              <w:rPr>
                <w:noProof/>
                <w:webHidden/>
              </w:rPr>
              <w:instrText xml:space="preserve"> PAGEREF _Toc181188561 \h </w:instrText>
            </w:r>
            <w:r>
              <w:rPr>
                <w:noProof/>
                <w:webHidden/>
              </w:rPr>
            </w:r>
            <w:r>
              <w:rPr>
                <w:noProof/>
                <w:webHidden/>
              </w:rPr>
              <w:fldChar w:fldCharType="separate"/>
            </w:r>
            <w:r>
              <w:rPr>
                <w:noProof/>
                <w:webHidden/>
              </w:rPr>
              <w:t>15</w:t>
            </w:r>
            <w:r>
              <w:rPr>
                <w:noProof/>
                <w:webHidden/>
              </w:rPr>
              <w:fldChar w:fldCharType="end"/>
            </w:r>
          </w:hyperlink>
        </w:p>
        <w:p w14:paraId="56881683" w14:textId="3DDB398A"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62" w:history="1">
            <w:r w:rsidRPr="00B9105D">
              <w:rPr>
                <w:rStyle w:val="Hyperlink"/>
                <w:noProof/>
              </w:rPr>
              <w:t>References</w:t>
            </w:r>
            <w:r>
              <w:rPr>
                <w:noProof/>
                <w:webHidden/>
              </w:rPr>
              <w:tab/>
            </w:r>
            <w:r>
              <w:rPr>
                <w:noProof/>
                <w:webHidden/>
              </w:rPr>
              <w:fldChar w:fldCharType="begin"/>
            </w:r>
            <w:r>
              <w:rPr>
                <w:noProof/>
                <w:webHidden/>
              </w:rPr>
              <w:instrText xml:space="preserve"> PAGEREF _Toc181188562 \h </w:instrText>
            </w:r>
            <w:r>
              <w:rPr>
                <w:noProof/>
                <w:webHidden/>
              </w:rPr>
            </w:r>
            <w:r>
              <w:rPr>
                <w:noProof/>
                <w:webHidden/>
              </w:rPr>
              <w:fldChar w:fldCharType="separate"/>
            </w:r>
            <w:r>
              <w:rPr>
                <w:noProof/>
                <w:webHidden/>
              </w:rPr>
              <w:t>15</w:t>
            </w:r>
            <w:r>
              <w:rPr>
                <w:noProof/>
                <w:webHidden/>
              </w:rPr>
              <w:fldChar w:fldCharType="end"/>
            </w:r>
          </w:hyperlink>
        </w:p>
        <w:p w14:paraId="3DD478FB" w14:textId="6211E8F4"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63" w:history="1">
            <w:r w:rsidRPr="00B9105D">
              <w:rPr>
                <w:rStyle w:val="Hyperlink"/>
                <w:noProof/>
              </w:rPr>
              <w:t>Search terms</w:t>
            </w:r>
            <w:r>
              <w:rPr>
                <w:noProof/>
                <w:webHidden/>
              </w:rPr>
              <w:tab/>
            </w:r>
            <w:r>
              <w:rPr>
                <w:noProof/>
                <w:webHidden/>
              </w:rPr>
              <w:fldChar w:fldCharType="begin"/>
            </w:r>
            <w:r>
              <w:rPr>
                <w:noProof/>
                <w:webHidden/>
              </w:rPr>
              <w:instrText xml:space="preserve"> PAGEREF _Toc181188563 \h </w:instrText>
            </w:r>
            <w:r>
              <w:rPr>
                <w:noProof/>
                <w:webHidden/>
              </w:rPr>
            </w:r>
            <w:r>
              <w:rPr>
                <w:noProof/>
                <w:webHidden/>
              </w:rPr>
              <w:fldChar w:fldCharType="separate"/>
            </w:r>
            <w:r>
              <w:rPr>
                <w:noProof/>
                <w:webHidden/>
              </w:rPr>
              <w:t>16</w:t>
            </w:r>
            <w:r>
              <w:rPr>
                <w:noProof/>
                <w:webHidden/>
              </w:rPr>
              <w:fldChar w:fldCharType="end"/>
            </w:r>
          </w:hyperlink>
        </w:p>
        <w:p w14:paraId="1B320369" w14:textId="261F7C93" w:rsidR="00182013" w:rsidRDefault="00182013">
          <w:pPr>
            <w:pStyle w:val="TOC2"/>
            <w:tabs>
              <w:tab w:val="right" w:leader="dot" w:pos="9911"/>
            </w:tabs>
            <w:rPr>
              <w:rFonts w:asciiTheme="minorHAnsi" w:eastAsiaTheme="minorEastAsia" w:hAnsiTheme="minorHAnsi" w:cstheme="minorBidi"/>
              <w:noProof/>
              <w:color w:val="auto"/>
              <w:kern w:val="2"/>
              <w14:ligatures w14:val="standardContextual"/>
            </w:rPr>
          </w:pPr>
          <w:hyperlink w:anchor="_Toc181188564" w:history="1">
            <w:r w:rsidRPr="00B9105D">
              <w:rPr>
                <w:rStyle w:val="Hyperlink"/>
                <w:noProof/>
              </w:rPr>
              <w:t>Attachments</w:t>
            </w:r>
            <w:r>
              <w:rPr>
                <w:noProof/>
                <w:webHidden/>
              </w:rPr>
              <w:tab/>
            </w:r>
            <w:r>
              <w:rPr>
                <w:noProof/>
                <w:webHidden/>
              </w:rPr>
              <w:fldChar w:fldCharType="begin"/>
            </w:r>
            <w:r>
              <w:rPr>
                <w:noProof/>
                <w:webHidden/>
              </w:rPr>
              <w:instrText xml:space="preserve"> PAGEREF _Toc181188564 \h </w:instrText>
            </w:r>
            <w:r>
              <w:rPr>
                <w:noProof/>
                <w:webHidden/>
              </w:rPr>
            </w:r>
            <w:r>
              <w:rPr>
                <w:noProof/>
                <w:webHidden/>
              </w:rPr>
              <w:fldChar w:fldCharType="separate"/>
            </w:r>
            <w:r>
              <w:rPr>
                <w:noProof/>
                <w:webHidden/>
              </w:rPr>
              <w:t>16</w:t>
            </w:r>
            <w:r>
              <w:rPr>
                <w:noProof/>
                <w:webHidden/>
              </w:rPr>
              <w:fldChar w:fldCharType="end"/>
            </w:r>
          </w:hyperlink>
        </w:p>
        <w:p w14:paraId="68B99EE5" w14:textId="5532B7C8"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65" w:history="1">
            <w:r w:rsidRPr="00B9105D">
              <w:rPr>
                <w:rStyle w:val="Hyperlink"/>
                <w:noProof/>
              </w:rPr>
              <w:t>Attachment 1 – Dosing calculation using Ideal Body Weight (IBW)</w:t>
            </w:r>
            <w:r>
              <w:rPr>
                <w:noProof/>
                <w:webHidden/>
              </w:rPr>
              <w:tab/>
            </w:r>
            <w:r>
              <w:rPr>
                <w:noProof/>
                <w:webHidden/>
              </w:rPr>
              <w:fldChar w:fldCharType="begin"/>
            </w:r>
            <w:r>
              <w:rPr>
                <w:noProof/>
                <w:webHidden/>
              </w:rPr>
              <w:instrText xml:space="preserve"> PAGEREF _Toc181188565 \h </w:instrText>
            </w:r>
            <w:r>
              <w:rPr>
                <w:noProof/>
                <w:webHidden/>
              </w:rPr>
            </w:r>
            <w:r>
              <w:rPr>
                <w:noProof/>
                <w:webHidden/>
              </w:rPr>
              <w:fldChar w:fldCharType="separate"/>
            </w:r>
            <w:r>
              <w:rPr>
                <w:noProof/>
                <w:webHidden/>
              </w:rPr>
              <w:t>18</w:t>
            </w:r>
            <w:r>
              <w:rPr>
                <w:noProof/>
                <w:webHidden/>
              </w:rPr>
              <w:fldChar w:fldCharType="end"/>
            </w:r>
          </w:hyperlink>
        </w:p>
        <w:p w14:paraId="3411A988" w14:textId="349009C2" w:rsidR="00182013" w:rsidRDefault="00182013">
          <w:pPr>
            <w:pStyle w:val="TOC4"/>
            <w:tabs>
              <w:tab w:val="right" w:leader="dot" w:pos="9911"/>
            </w:tabs>
            <w:rPr>
              <w:rFonts w:asciiTheme="minorHAnsi" w:eastAsiaTheme="minorEastAsia" w:hAnsiTheme="minorHAnsi" w:cstheme="minorBidi"/>
              <w:noProof/>
              <w:color w:val="auto"/>
              <w:kern w:val="2"/>
              <w14:ligatures w14:val="standardContextual"/>
            </w:rPr>
          </w:pPr>
          <w:hyperlink w:anchor="_Toc181188566" w:history="1">
            <w:r w:rsidRPr="00B9105D">
              <w:rPr>
                <w:rStyle w:val="Hyperlink"/>
                <w:noProof/>
              </w:rPr>
              <w:t>Attachment 2 – Dosing calculation using Adjusted body weight (AdjBW)</w:t>
            </w:r>
            <w:r>
              <w:rPr>
                <w:noProof/>
                <w:webHidden/>
              </w:rPr>
              <w:tab/>
            </w:r>
            <w:r>
              <w:rPr>
                <w:noProof/>
                <w:webHidden/>
              </w:rPr>
              <w:fldChar w:fldCharType="begin"/>
            </w:r>
            <w:r>
              <w:rPr>
                <w:noProof/>
                <w:webHidden/>
              </w:rPr>
              <w:instrText xml:space="preserve"> PAGEREF _Toc181188566 \h </w:instrText>
            </w:r>
            <w:r>
              <w:rPr>
                <w:noProof/>
                <w:webHidden/>
              </w:rPr>
            </w:r>
            <w:r>
              <w:rPr>
                <w:noProof/>
                <w:webHidden/>
              </w:rPr>
              <w:fldChar w:fldCharType="separate"/>
            </w:r>
            <w:r>
              <w:rPr>
                <w:noProof/>
                <w:webHidden/>
              </w:rPr>
              <w:t>19</w:t>
            </w:r>
            <w:r>
              <w:rPr>
                <w:noProof/>
                <w:webHidden/>
              </w:rPr>
              <w:fldChar w:fldCharType="end"/>
            </w:r>
          </w:hyperlink>
        </w:p>
        <w:p w14:paraId="0F901BDC" w14:textId="24A1A74A" w:rsidR="00481A6C" w:rsidRDefault="00770AE2" w:rsidP="00481A6C">
          <w:pPr>
            <w:pStyle w:val="TOCHeading2"/>
          </w:pPr>
          <w:r>
            <w:rPr>
              <w:rFonts w:eastAsia="Calibri" w:cs="Times New Roman"/>
              <w:b w:val="0"/>
              <w:noProof/>
              <w:color w:val="000000" w:themeColor="text1"/>
              <w:sz w:val="24"/>
              <w:szCs w:val="24"/>
            </w:rPr>
            <w:fldChar w:fldCharType="end"/>
          </w:r>
        </w:p>
      </w:sdtContent>
    </w:sdt>
    <w:p w14:paraId="26897E39" w14:textId="77777777" w:rsidR="00442979" w:rsidRDefault="00442979">
      <w:pPr>
        <w:spacing w:before="0" w:after="0" w:line="240" w:lineRule="auto"/>
        <w:rPr>
          <w:rFonts w:eastAsia="Times New Roman"/>
          <w:b/>
          <w:color w:val="FFFFFF" w:themeColor="background1"/>
          <w:szCs w:val="80"/>
          <w:lang w:eastAsia="en-US"/>
        </w:rPr>
      </w:pPr>
      <w:r>
        <w:br w:type="page"/>
      </w:r>
    </w:p>
    <w:p w14:paraId="03BC0623" w14:textId="0390147D" w:rsidR="0078367D" w:rsidRDefault="00BA236B" w:rsidP="0078367D">
      <w:pPr>
        <w:pStyle w:val="Heading2"/>
      </w:pPr>
      <w:bookmarkStart w:id="3" w:name="_Toc181188528"/>
      <w:bookmarkEnd w:id="0"/>
      <w:r>
        <w:lastRenderedPageBreak/>
        <w:t>Purpose</w:t>
      </w:r>
      <w:bookmarkEnd w:id="3"/>
      <w:r w:rsidR="0078367D">
        <w:t xml:space="preserve"> </w:t>
      </w:r>
    </w:p>
    <w:p w14:paraId="380D40F7" w14:textId="77777777" w:rsidR="009F0D36" w:rsidRPr="002C45A6" w:rsidRDefault="009F0D36" w:rsidP="009F0D36">
      <w:pPr>
        <w:jc w:val="both"/>
        <w:rPr>
          <w:rFonts w:asciiTheme="minorHAnsi" w:hAnsiTheme="minorHAnsi" w:cstheme="minorHAnsi"/>
        </w:rPr>
      </w:pPr>
      <w:r w:rsidRPr="002C45A6">
        <w:rPr>
          <w:rFonts w:asciiTheme="minorHAnsi" w:hAnsiTheme="minorHAnsi" w:cstheme="minorHAnsi"/>
        </w:rPr>
        <w:t>To ensure the safe prescribing, administration, and monitoring of intravenous aminoglycoside therapy for the treatment of systemic infection at Canberra Health Services (CHS).</w:t>
      </w:r>
    </w:p>
    <w:p w14:paraId="6D1C24D9"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6BBE9642" w14:textId="5D7B0368" w:rsidR="0078367D" w:rsidRPr="0078367D" w:rsidRDefault="00BA236B" w:rsidP="0078367D">
      <w:pPr>
        <w:pStyle w:val="Heading2"/>
        <w:rPr>
          <w:iCs/>
        </w:rPr>
      </w:pPr>
      <w:bookmarkStart w:id="4" w:name="_Toc181188529"/>
      <w:r>
        <w:rPr>
          <w:rStyle w:val="Hyperlink"/>
          <w:u w:val="none"/>
        </w:rPr>
        <w:t>Alerts</w:t>
      </w:r>
      <w:bookmarkEnd w:id="4"/>
      <w:r>
        <w:rPr>
          <w:rStyle w:val="Hyperlink"/>
          <w:u w:val="none"/>
        </w:rPr>
        <w:t xml:space="preserve"> </w:t>
      </w:r>
    </w:p>
    <w:p w14:paraId="1E8D6729" w14:textId="0A3E3705" w:rsidR="009F0D36" w:rsidRPr="002C45A6" w:rsidRDefault="009F0D36" w:rsidP="009F0D36">
      <w:pPr>
        <w:pStyle w:val="Bullet"/>
        <w:rPr>
          <w:b/>
          <w:bCs/>
        </w:rPr>
      </w:pPr>
      <w:r w:rsidRPr="002C45A6">
        <w:t>Amikacin is a RED restricted antimicrobial</w:t>
      </w:r>
      <w:r>
        <w:t xml:space="preserve">. </w:t>
      </w:r>
      <w:r w:rsidRPr="002C45A6">
        <w:t>Infectious Diseases (ID) or Antimicrobial Stewardship (AMS) approval is required within the first 24 hours of prescription.</w:t>
      </w:r>
    </w:p>
    <w:p w14:paraId="31BB4372" w14:textId="0FD17FE7" w:rsidR="009F0D36" w:rsidRPr="002C45A6" w:rsidRDefault="009F0D36" w:rsidP="009F0D36">
      <w:pPr>
        <w:pStyle w:val="Bullet"/>
        <w:rPr>
          <w:b/>
          <w:bCs/>
        </w:rPr>
      </w:pPr>
      <w:r w:rsidRPr="002C45A6">
        <w:t xml:space="preserve">Aminoglycosides are high-risk medicines and have an increased risk of causing significant patient harm or death if they are misused. Refer to the </w:t>
      </w:r>
      <w:r w:rsidRPr="002C45A6">
        <w:rPr>
          <w:i/>
          <w:iCs/>
        </w:rPr>
        <w:t>CHS High Risk Medicines Policy</w:t>
      </w:r>
      <w:r>
        <w:rPr>
          <w:i/>
          <w:iCs/>
        </w:rPr>
        <w:t>.</w:t>
      </w:r>
      <w:r w:rsidRPr="002C45A6">
        <w:t xml:space="preserve"> </w:t>
      </w:r>
    </w:p>
    <w:p w14:paraId="43C1C7B0" w14:textId="77777777" w:rsidR="00481A6C" w:rsidRDefault="00481A6C" w:rsidP="00BA236B">
      <w:pPr>
        <w:pStyle w:val="BodyCopy"/>
        <w:rPr>
          <w:rStyle w:val="Hyperlink"/>
          <w:iCs w:val="0"/>
        </w:rPr>
      </w:pPr>
      <w:hyperlink w:anchor="_top" w:history="1">
        <w:r w:rsidRPr="00481A6C">
          <w:rPr>
            <w:rStyle w:val="Hyperlink"/>
            <w:iCs w:val="0"/>
          </w:rPr>
          <w:t>Back to Contents</w:t>
        </w:r>
      </w:hyperlink>
    </w:p>
    <w:p w14:paraId="7C1691BC" w14:textId="77777777" w:rsidR="00BA236B" w:rsidRDefault="00BA236B" w:rsidP="00BA236B">
      <w:pPr>
        <w:pStyle w:val="Heading2"/>
      </w:pPr>
      <w:bookmarkStart w:id="5" w:name="_Toc181188530"/>
      <w:r>
        <w:t>Scope</w:t>
      </w:r>
      <w:bookmarkEnd w:id="5"/>
      <w:r>
        <w:t xml:space="preserve"> </w:t>
      </w:r>
    </w:p>
    <w:p w14:paraId="0EFABEC9" w14:textId="218C3740" w:rsidR="009F0D36" w:rsidRPr="002C45A6" w:rsidRDefault="009F0D36" w:rsidP="009F0D36">
      <w:pPr>
        <w:rPr>
          <w:rFonts w:asciiTheme="minorHAnsi" w:hAnsiTheme="minorHAnsi" w:cstheme="minorHAnsi"/>
        </w:rPr>
      </w:pPr>
      <w:r w:rsidRPr="002C45A6">
        <w:rPr>
          <w:rFonts w:asciiTheme="minorHAnsi" w:hAnsiTheme="minorHAnsi" w:cstheme="minorHAnsi"/>
        </w:rPr>
        <w:t xml:space="preserve">All </w:t>
      </w:r>
      <w:r w:rsidR="00721D14">
        <w:rPr>
          <w:rFonts w:asciiTheme="minorHAnsi" w:hAnsiTheme="minorHAnsi" w:cstheme="minorHAnsi"/>
        </w:rPr>
        <w:t>CHS</w:t>
      </w:r>
      <w:r w:rsidR="0042746C">
        <w:rPr>
          <w:rFonts w:asciiTheme="minorHAnsi" w:hAnsiTheme="minorHAnsi" w:cstheme="minorHAnsi"/>
        </w:rPr>
        <w:t xml:space="preserve"> Network</w:t>
      </w:r>
      <w:r w:rsidR="00721D14">
        <w:rPr>
          <w:rFonts w:asciiTheme="minorHAnsi" w:hAnsiTheme="minorHAnsi" w:cstheme="minorHAnsi"/>
        </w:rPr>
        <w:t xml:space="preserve"> </w:t>
      </w:r>
      <w:r w:rsidRPr="002C45A6">
        <w:rPr>
          <w:rFonts w:asciiTheme="minorHAnsi" w:hAnsiTheme="minorHAnsi" w:cstheme="minorHAnsi"/>
        </w:rPr>
        <w:t>staff working within their scope of practice that prescribe, administer, monitor, or advise on the use of intravenous</w:t>
      </w:r>
      <w:r w:rsidR="006837BB">
        <w:rPr>
          <w:rFonts w:asciiTheme="minorHAnsi" w:hAnsiTheme="minorHAnsi" w:cstheme="minorHAnsi"/>
        </w:rPr>
        <w:t xml:space="preserve"> (IV)</w:t>
      </w:r>
      <w:r w:rsidRPr="002C45A6">
        <w:rPr>
          <w:rFonts w:asciiTheme="minorHAnsi" w:hAnsiTheme="minorHAnsi" w:cstheme="minorHAnsi"/>
        </w:rPr>
        <w:t xml:space="preserve"> aminoglycosides</w:t>
      </w:r>
      <w:r w:rsidR="007116EA">
        <w:rPr>
          <w:rFonts w:asciiTheme="minorHAnsi" w:hAnsiTheme="minorHAnsi" w:cstheme="minorHAnsi"/>
        </w:rPr>
        <w:t xml:space="preserve"> in adult patients (16 years or older)</w:t>
      </w:r>
      <w:r w:rsidRPr="002C45A6">
        <w:rPr>
          <w:rFonts w:asciiTheme="minorHAnsi" w:hAnsiTheme="minorHAnsi" w:cstheme="minorHAnsi"/>
        </w:rPr>
        <w:t xml:space="preserve">. </w:t>
      </w:r>
    </w:p>
    <w:p w14:paraId="78FC466D" w14:textId="77777777" w:rsidR="009F0D36" w:rsidRPr="002C45A6" w:rsidRDefault="009F0D36" w:rsidP="009F0D36">
      <w:pPr>
        <w:rPr>
          <w:rFonts w:asciiTheme="minorHAnsi" w:hAnsiTheme="minorHAnsi" w:cstheme="minorHAnsi"/>
        </w:rPr>
      </w:pPr>
      <w:r w:rsidRPr="002C45A6">
        <w:rPr>
          <w:rFonts w:asciiTheme="minorHAnsi" w:hAnsiTheme="minorHAnsi" w:cstheme="minorHAnsi"/>
        </w:rPr>
        <w:t>CHS Network includes the inpatient facilities at Canberra Hospital, Clare Holland House, North Canberra Hospital, and University of Canberra and community-based services.</w:t>
      </w:r>
    </w:p>
    <w:p w14:paraId="00321BB4" w14:textId="77777777" w:rsidR="009F0D36" w:rsidRPr="002C45A6" w:rsidRDefault="009F0D36" w:rsidP="009F0D36">
      <w:pPr>
        <w:pStyle w:val="Heading4"/>
      </w:pPr>
      <w:bookmarkStart w:id="6" w:name="_Toc181188531"/>
      <w:r w:rsidRPr="002C45A6">
        <w:t>Exclusions</w:t>
      </w:r>
      <w:bookmarkEnd w:id="6"/>
    </w:p>
    <w:p w14:paraId="1D5D86A9" w14:textId="77777777" w:rsidR="009F0D36" w:rsidRPr="002C45A6" w:rsidRDefault="009F0D36" w:rsidP="009F0D36">
      <w:pPr>
        <w:rPr>
          <w:rFonts w:asciiTheme="minorHAnsi" w:hAnsiTheme="minorHAnsi" w:cstheme="minorHAnsi"/>
        </w:rPr>
      </w:pPr>
      <w:r w:rsidRPr="002C45A6">
        <w:rPr>
          <w:rFonts w:asciiTheme="minorHAnsi" w:hAnsiTheme="minorHAnsi" w:cstheme="minorHAnsi"/>
        </w:rPr>
        <w:t xml:space="preserve">This procedure does not apply to: </w:t>
      </w:r>
    </w:p>
    <w:p w14:paraId="2803B2B3" w14:textId="77777777" w:rsidR="009F0D36" w:rsidRPr="002C45A6" w:rsidRDefault="009F0D36" w:rsidP="009F0D36">
      <w:pPr>
        <w:pStyle w:val="Bullet"/>
      </w:pPr>
      <w:r w:rsidRPr="002C45A6">
        <w:t>Routes of administration other than intravenous (e.g. inhaled, intra-peritoneal, topical or implantation).</w:t>
      </w:r>
    </w:p>
    <w:p w14:paraId="30EB52D2" w14:textId="3D6DFD82" w:rsidR="009F0D36" w:rsidRPr="002C45A6" w:rsidRDefault="009F0D36" w:rsidP="009F0D36">
      <w:pPr>
        <w:pStyle w:val="Bullet"/>
      </w:pPr>
      <w:r w:rsidRPr="002C45A6">
        <w:t xml:space="preserve">Paediatrics – refer to </w:t>
      </w:r>
      <w:r w:rsidRPr="002C45A6">
        <w:rPr>
          <w:i/>
          <w:iCs/>
        </w:rPr>
        <w:t>CHS Gentamicin – Clinical Guidelines for Dosing and Monitoring of Once Daily Gentamicin in Paediatric Patients.</w:t>
      </w:r>
      <w:r w:rsidRPr="002C45A6">
        <w:t xml:space="preserve"> </w:t>
      </w:r>
    </w:p>
    <w:p w14:paraId="2C4A18A1" w14:textId="77777777" w:rsidR="00BA236B" w:rsidRPr="00BA236B" w:rsidRDefault="00BA236B" w:rsidP="00BA236B">
      <w:pPr>
        <w:pStyle w:val="BodyCopy"/>
        <w:spacing w:before="240"/>
      </w:pPr>
      <w:hyperlink w:anchor="_top" w:history="1">
        <w:r w:rsidRPr="00481A6C">
          <w:rPr>
            <w:rStyle w:val="Hyperlink"/>
            <w:iCs w:val="0"/>
          </w:rPr>
          <w:t>Back to Contents</w:t>
        </w:r>
      </w:hyperlink>
    </w:p>
    <w:p w14:paraId="319F96E8" w14:textId="1E7C86E2" w:rsidR="0078367D" w:rsidRDefault="0078367D" w:rsidP="0078367D">
      <w:pPr>
        <w:pStyle w:val="Heading2"/>
      </w:pPr>
      <w:bookmarkStart w:id="7" w:name="_Toc181188532"/>
      <w:r>
        <w:t xml:space="preserve">Section 1 </w:t>
      </w:r>
      <w:r w:rsidR="009F0D36">
        <w:t>–</w:t>
      </w:r>
      <w:r>
        <w:t xml:space="preserve"> </w:t>
      </w:r>
      <w:r w:rsidR="009F0D36">
        <w:t>Medication Information</w:t>
      </w:r>
      <w:bookmarkEnd w:id="7"/>
    </w:p>
    <w:p w14:paraId="6B3B3CBC" w14:textId="21A6191E" w:rsidR="009F0D36" w:rsidRPr="00E81332" w:rsidRDefault="009F0D36" w:rsidP="00532336">
      <w:pPr>
        <w:pStyle w:val="Heading4"/>
        <w:numPr>
          <w:ilvl w:val="0"/>
          <w:numId w:val="8"/>
        </w:numPr>
        <w:ind w:left="426" w:hanging="426"/>
      </w:pPr>
      <w:bookmarkStart w:id="8" w:name="_Toc181188533"/>
      <w:r w:rsidRPr="00E81332">
        <w:t xml:space="preserve">Mechanism of </w:t>
      </w:r>
      <w:r w:rsidR="00D31241">
        <w:t>a</w:t>
      </w:r>
      <w:r w:rsidRPr="00E81332">
        <w:t>ction</w:t>
      </w:r>
      <w:bookmarkEnd w:id="8"/>
      <w:r w:rsidRPr="00E81332">
        <w:t xml:space="preserve"> </w:t>
      </w:r>
    </w:p>
    <w:p w14:paraId="5A95E47E" w14:textId="77777777" w:rsidR="009F0D36" w:rsidRPr="00E81332" w:rsidRDefault="009F0D36" w:rsidP="009F0D36">
      <w:pPr>
        <w:pStyle w:val="BodyCopy"/>
      </w:pPr>
      <w:r w:rsidRPr="00E81332">
        <w:t>Aminoglycosides inhibit bacterial protein synthesis by binding to a protein on the 30S subunit of bacterial ribosomes, resulting in cell membrane damage and cell death.</w:t>
      </w:r>
    </w:p>
    <w:p w14:paraId="6B25E3C7" w14:textId="77777777" w:rsidR="009F0DD1" w:rsidRDefault="009F0DD1">
      <w:pPr>
        <w:spacing w:before="0" w:after="0" w:line="240" w:lineRule="auto"/>
        <w:rPr>
          <w:rFonts w:eastAsia="Times New Roman"/>
          <w:b/>
          <w:color w:val="3D2262" w:themeColor="accent1"/>
          <w:szCs w:val="32"/>
          <w:lang w:eastAsia="en-US"/>
        </w:rPr>
      </w:pPr>
      <w:r>
        <w:br w:type="page"/>
      </w:r>
    </w:p>
    <w:p w14:paraId="51FF0FAD" w14:textId="30EF65EC" w:rsidR="009F0D36" w:rsidRPr="00E81332" w:rsidRDefault="009F0D36" w:rsidP="00532336">
      <w:pPr>
        <w:pStyle w:val="Heading4"/>
        <w:numPr>
          <w:ilvl w:val="0"/>
          <w:numId w:val="8"/>
        </w:numPr>
        <w:ind w:left="426" w:hanging="426"/>
      </w:pPr>
      <w:bookmarkStart w:id="9" w:name="_Toc181188534"/>
      <w:r w:rsidRPr="00E81332">
        <w:lastRenderedPageBreak/>
        <w:t xml:space="preserve">Contraindications and </w:t>
      </w:r>
      <w:r w:rsidR="00D31241">
        <w:t>p</w:t>
      </w:r>
      <w:r w:rsidRPr="00E81332">
        <w:t>recautions</w:t>
      </w:r>
      <w:bookmarkEnd w:id="9"/>
    </w:p>
    <w:p w14:paraId="41093B7C" w14:textId="2260D22C" w:rsidR="009F0D36" w:rsidRPr="00E81332" w:rsidRDefault="009F0D36" w:rsidP="009F0D36">
      <w:pPr>
        <w:rPr>
          <w:rFonts w:asciiTheme="minorHAnsi" w:hAnsiTheme="minorHAnsi" w:cstheme="minorHAnsi"/>
          <w:color w:val="000000"/>
          <w:shd w:val="clear" w:color="auto" w:fill="FFFFFF"/>
        </w:rPr>
      </w:pPr>
      <w:r w:rsidRPr="00E81332">
        <w:rPr>
          <w:rFonts w:asciiTheme="minorHAnsi" w:hAnsiTheme="minorHAnsi" w:cstheme="minorHAnsi"/>
          <w:color w:val="000000"/>
        </w:rPr>
        <w:t>Renal impairment is not an absolute contraindication to aminoglycosides. F</w:t>
      </w:r>
      <w:r w:rsidRPr="00E81332">
        <w:rPr>
          <w:rFonts w:asciiTheme="minorHAnsi" w:hAnsiTheme="minorHAnsi" w:cstheme="minorHAnsi"/>
          <w:color w:val="000000"/>
          <w:shd w:val="clear" w:color="auto" w:fill="FFFFFF"/>
        </w:rPr>
        <w:t xml:space="preserve">or patients with renal impairment, a single dose of aminoglycoside, can be lifesaving and is generally considered safe. If the patient is likely to require broad spectrum </w:t>
      </w:r>
      <w:r w:rsidR="006446A8">
        <w:rPr>
          <w:rFonts w:asciiTheme="minorHAnsi" w:hAnsiTheme="minorHAnsi" w:cstheme="minorHAnsi"/>
          <w:color w:val="000000"/>
          <w:shd w:val="clear" w:color="auto" w:fill="FFFFFF"/>
        </w:rPr>
        <w:t>g</w:t>
      </w:r>
      <w:r w:rsidRPr="00E81332">
        <w:rPr>
          <w:rFonts w:asciiTheme="minorHAnsi" w:hAnsiTheme="minorHAnsi" w:cstheme="minorHAnsi"/>
          <w:color w:val="000000"/>
          <w:shd w:val="clear" w:color="auto" w:fill="FFFFFF"/>
        </w:rPr>
        <w:t>ram-negative cover longer than</w:t>
      </w:r>
      <w:r w:rsidR="00BF2C23">
        <w:rPr>
          <w:rFonts w:asciiTheme="minorHAnsi" w:hAnsiTheme="minorHAnsi" w:cstheme="minorHAnsi"/>
          <w:color w:val="000000"/>
          <w:shd w:val="clear" w:color="auto" w:fill="FFFFFF"/>
        </w:rPr>
        <w:t xml:space="preserve"> a</w:t>
      </w:r>
      <w:r w:rsidRPr="00E81332">
        <w:rPr>
          <w:rFonts w:asciiTheme="minorHAnsi" w:hAnsiTheme="minorHAnsi" w:cstheme="minorHAnsi"/>
          <w:color w:val="000000"/>
          <w:shd w:val="clear" w:color="auto" w:fill="FFFFFF"/>
        </w:rPr>
        <w:t xml:space="preserve"> </w:t>
      </w:r>
      <w:r w:rsidR="00BF2C23">
        <w:rPr>
          <w:rFonts w:asciiTheme="minorHAnsi" w:hAnsiTheme="minorHAnsi" w:cstheme="minorHAnsi"/>
          <w:color w:val="000000"/>
          <w:shd w:val="clear" w:color="auto" w:fill="FFFFFF"/>
        </w:rPr>
        <w:t>24-hour</w:t>
      </w:r>
      <w:r w:rsidR="006E1E7C">
        <w:rPr>
          <w:rFonts w:asciiTheme="minorHAnsi" w:hAnsiTheme="minorHAnsi" w:cstheme="minorHAnsi"/>
          <w:color w:val="000000"/>
          <w:shd w:val="clear" w:color="auto" w:fill="FFFFFF"/>
        </w:rPr>
        <w:t xml:space="preserve"> period</w:t>
      </w:r>
      <w:r w:rsidRPr="00E81332">
        <w:rPr>
          <w:rFonts w:asciiTheme="minorHAnsi" w:hAnsiTheme="minorHAnsi" w:cstheme="minorHAnsi"/>
          <w:color w:val="000000"/>
          <w:shd w:val="clear" w:color="auto" w:fill="FFFFFF"/>
        </w:rPr>
        <w:t xml:space="preserve">, and there are no guidelines available for appropriate second line antimicrobial therapy, consultation with an ID Specialist or the AMS </w:t>
      </w:r>
      <w:r w:rsidR="004D5351">
        <w:rPr>
          <w:rFonts w:asciiTheme="minorHAnsi" w:hAnsiTheme="minorHAnsi" w:cstheme="minorHAnsi"/>
          <w:color w:val="000000"/>
          <w:shd w:val="clear" w:color="auto" w:fill="FFFFFF"/>
        </w:rPr>
        <w:t>service</w:t>
      </w:r>
      <w:r w:rsidRPr="00E81332">
        <w:rPr>
          <w:rFonts w:asciiTheme="minorHAnsi" w:hAnsiTheme="minorHAnsi" w:cstheme="minorHAnsi"/>
          <w:color w:val="000000"/>
          <w:shd w:val="clear" w:color="auto" w:fill="FFFFFF"/>
        </w:rPr>
        <w:t xml:space="preserve"> </w:t>
      </w:r>
      <w:r w:rsidRPr="00E81332">
        <w:rPr>
          <w:rFonts w:asciiTheme="minorHAnsi" w:hAnsiTheme="minorHAnsi" w:cstheme="minorHAnsi"/>
        </w:rPr>
        <w:t xml:space="preserve">(via your hospital switchboard, noting separate AMS </w:t>
      </w:r>
      <w:r w:rsidR="004D5351">
        <w:rPr>
          <w:rFonts w:asciiTheme="minorHAnsi" w:hAnsiTheme="minorHAnsi" w:cstheme="minorHAnsi"/>
        </w:rPr>
        <w:t>services</w:t>
      </w:r>
      <w:r w:rsidRPr="00E81332">
        <w:rPr>
          <w:rFonts w:asciiTheme="minorHAnsi" w:hAnsiTheme="minorHAnsi" w:cstheme="minorHAnsi"/>
        </w:rPr>
        <w:t xml:space="preserve"> for NCH and </w:t>
      </w:r>
      <w:r w:rsidR="007116EA">
        <w:rPr>
          <w:rFonts w:asciiTheme="minorHAnsi" w:hAnsiTheme="minorHAnsi" w:cstheme="minorHAnsi"/>
        </w:rPr>
        <w:t>Canberra Hospital</w:t>
      </w:r>
      <w:r w:rsidRPr="00E81332">
        <w:rPr>
          <w:rFonts w:asciiTheme="minorHAnsi" w:hAnsiTheme="minorHAnsi" w:cstheme="minorHAnsi"/>
        </w:rPr>
        <w:t xml:space="preserve">), </w:t>
      </w:r>
      <w:r w:rsidRPr="00E81332">
        <w:rPr>
          <w:rFonts w:asciiTheme="minorHAnsi" w:hAnsiTheme="minorHAnsi" w:cstheme="minorHAnsi"/>
          <w:color w:val="000000"/>
          <w:shd w:val="clear" w:color="auto" w:fill="FFFFFF"/>
        </w:rPr>
        <w:t xml:space="preserve">is advisable. </w:t>
      </w:r>
    </w:p>
    <w:p w14:paraId="0693B571" w14:textId="1F873527" w:rsidR="009F0D36" w:rsidRPr="00E81332" w:rsidRDefault="009F0D36" w:rsidP="00532336">
      <w:pPr>
        <w:pStyle w:val="Heading4"/>
        <w:numPr>
          <w:ilvl w:val="0"/>
          <w:numId w:val="8"/>
        </w:numPr>
        <w:ind w:left="426" w:hanging="426"/>
      </w:pPr>
      <w:bookmarkStart w:id="10" w:name="_Toc181188535"/>
      <w:r w:rsidRPr="00E81332">
        <w:t xml:space="preserve">Absolute </w:t>
      </w:r>
      <w:r w:rsidR="00D31241">
        <w:t>c</w:t>
      </w:r>
      <w:r w:rsidRPr="00E81332">
        <w:t>ontraindications</w:t>
      </w:r>
      <w:bookmarkEnd w:id="10"/>
    </w:p>
    <w:p w14:paraId="6BA460E7" w14:textId="77777777" w:rsidR="009F0D36" w:rsidRPr="00E81332" w:rsidRDefault="009F0D36" w:rsidP="009F0D36">
      <w:pPr>
        <w:pStyle w:val="Bullet"/>
      </w:pPr>
      <w:r w:rsidRPr="00E81332">
        <w:t>Hypersensitivity to aminoglycosides</w:t>
      </w:r>
    </w:p>
    <w:p w14:paraId="1C26683E" w14:textId="77777777" w:rsidR="009F0D36" w:rsidRPr="00E81332" w:rsidRDefault="009F0D36" w:rsidP="009F0D36">
      <w:pPr>
        <w:pStyle w:val="Bullet"/>
      </w:pPr>
      <w:r w:rsidRPr="00E81332">
        <w:t>Previous aminoglycoside-induced ototoxicity or nephrotoxicity</w:t>
      </w:r>
    </w:p>
    <w:p w14:paraId="46FD8E03" w14:textId="791D107D" w:rsidR="009F0D36" w:rsidRPr="00E81332" w:rsidRDefault="009F0D36" w:rsidP="00532336">
      <w:pPr>
        <w:pStyle w:val="Heading4"/>
        <w:numPr>
          <w:ilvl w:val="0"/>
          <w:numId w:val="8"/>
        </w:numPr>
        <w:ind w:left="426" w:hanging="426"/>
      </w:pPr>
      <w:bookmarkStart w:id="11" w:name="_Toc181188536"/>
      <w:r w:rsidRPr="00E81332">
        <w:t>Precautions</w:t>
      </w:r>
      <w:bookmarkEnd w:id="11"/>
    </w:p>
    <w:p w14:paraId="083DD8E4" w14:textId="48B866C1" w:rsidR="009F0D36" w:rsidRPr="00E81332" w:rsidRDefault="009F0D36" w:rsidP="009F0D36">
      <w:pPr>
        <w:pStyle w:val="Bullet"/>
      </w:pPr>
      <w:r w:rsidRPr="00E81332">
        <w:t xml:space="preserve">Consult AMS or ID if the patient’s creatinine clearance (CrCl) is &lt; 40 mL/min and re-treatment is required within 5 days of the initial dose </w:t>
      </w:r>
    </w:p>
    <w:p w14:paraId="47B66776" w14:textId="77777777" w:rsidR="009F0D36" w:rsidRPr="00E81332" w:rsidRDefault="009F0D36" w:rsidP="009F0D36">
      <w:pPr>
        <w:pStyle w:val="Bullet"/>
      </w:pPr>
      <w:r w:rsidRPr="00E81332">
        <w:t>Pre-existing hearing impairment</w:t>
      </w:r>
    </w:p>
    <w:p w14:paraId="3BAC0265" w14:textId="77777777" w:rsidR="009F0D36" w:rsidRPr="00E81332" w:rsidRDefault="009F0D36" w:rsidP="009F0D36">
      <w:pPr>
        <w:pStyle w:val="Bullet"/>
      </w:pPr>
      <w:r w:rsidRPr="00E81332">
        <w:t>Neuromuscular disease</w:t>
      </w:r>
    </w:p>
    <w:p w14:paraId="50E49F14" w14:textId="77777777" w:rsidR="009F0D36" w:rsidRPr="00E81332" w:rsidRDefault="009F0D36" w:rsidP="009F0D36">
      <w:pPr>
        <w:pStyle w:val="Bullet"/>
        <w:rPr>
          <w:rFonts w:eastAsia="Calibri"/>
          <w:color w:val="auto"/>
        </w:rPr>
      </w:pPr>
      <w:r w:rsidRPr="00E81332">
        <w:rPr>
          <w:rFonts w:eastAsia="Calibri"/>
          <w:color w:val="auto"/>
        </w:rPr>
        <w:t>Elderly (&gt; 80 years old)</w:t>
      </w:r>
    </w:p>
    <w:p w14:paraId="6DB7998E" w14:textId="77777777" w:rsidR="009F0D36" w:rsidRPr="00E81332" w:rsidRDefault="009F0D36" w:rsidP="009F0D36">
      <w:pPr>
        <w:pStyle w:val="Bullet"/>
        <w:rPr>
          <w:b/>
          <w:bCs/>
        </w:rPr>
      </w:pPr>
      <w:r w:rsidRPr="00E81332">
        <w:t>Family history of aminoglycoside toxicity</w:t>
      </w:r>
    </w:p>
    <w:p w14:paraId="6308FCCA" w14:textId="77777777" w:rsidR="009F0D36" w:rsidRPr="00E81332" w:rsidRDefault="009F0D36" w:rsidP="00532336">
      <w:pPr>
        <w:pStyle w:val="Heading4"/>
        <w:numPr>
          <w:ilvl w:val="0"/>
          <w:numId w:val="8"/>
        </w:numPr>
        <w:ind w:left="426" w:hanging="426"/>
      </w:pPr>
      <w:bookmarkStart w:id="12" w:name="_Toc181188537"/>
      <w:r w:rsidRPr="00E81332">
        <w:t>Presentation</w:t>
      </w:r>
      <w:bookmarkEnd w:id="12"/>
    </w:p>
    <w:p w14:paraId="6AD6B93B" w14:textId="158483DB" w:rsidR="009F0D36" w:rsidRPr="00E81332" w:rsidRDefault="009F0D36" w:rsidP="009F0D36">
      <w:pPr>
        <w:pStyle w:val="Bullet"/>
      </w:pPr>
      <w:r w:rsidRPr="00E81332">
        <w:t>Gentamicin sulfate and tobramycin sulphate 80 mg/2mL solution for injection</w:t>
      </w:r>
    </w:p>
    <w:p w14:paraId="4A8D0332" w14:textId="77777777" w:rsidR="009F0D36" w:rsidRPr="00E81332" w:rsidRDefault="009F0D36" w:rsidP="009F0D36">
      <w:pPr>
        <w:pStyle w:val="Bullet"/>
      </w:pPr>
      <w:r w:rsidRPr="00E81332">
        <w:t>Amikacin sulfate 250 mg/mL solution for injection</w:t>
      </w:r>
    </w:p>
    <w:p w14:paraId="56DF9180" w14:textId="77777777" w:rsidR="009F0D36" w:rsidRPr="00E81332" w:rsidRDefault="009F0D36" w:rsidP="00532336">
      <w:pPr>
        <w:pStyle w:val="Heading4"/>
        <w:numPr>
          <w:ilvl w:val="0"/>
          <w:numId w:val="8"/>
        </w:numPr>
        <w:ind w:left="426" w:hanging="426"/>
      </w:pPr>
      <w:bookmarkStart w:id="13" w:name="_Toc181188538"/>
      <w:r w:rsidRPr="00E81332">
        <w:t>Interactions</w:t>
      </w:r>
      <w:bookmarkEnd w:id="13"/>
    </w:p>
    <w:p w14:paraId="59DDC320" w14:textId="4F32D6B6" w:rsidR="009F0D36" w:rsidRPr="00E81332" w:rsidRDefault="009F0D36" w:rsidP="009F0D36">
      <w:pPr>
        <w:pStyle w:val="Bullet"/>
      </w:pPr>
      <w:r w:rsidRPr="00E81332">
        <w:t>Avoid concurrent administration with other nephrotoxic drugs</w:t>
      </w:r>
      <w:r w:rsidR="006F5556">
        <w:t xml:space="preserve">, if possible. If unable to avoid please monitor renal function closely. </w:t>
      </w:r>
    </w:p>
    <w:p w14:paraId="2B93847C" w14:textId="5E74C1E8" w:rsidR="009F0D36" w:rsidRPr="00E81332" w:rsidRDefault="009F0D36" w:rsidP="009F0D36">
      <w:pPr>
        <w:pStyle w:val="Bullet"/>
      </w:pPr>
      <w:r w:rsidRPr="00E81332">
        <w:t>Potent diuretics such as high dose furosemide may contribute to ototoxicity and may also cause alterations in serum and tissue aminoglycoside concentrations</w:t>
      </w:r>
    </w:p>
    <w:p w14:paraId="554E4510" w14:textId="21FAC020" w:rsidR="009F0D36" w:rsidRPr="00E81332" w:rsidRDefault="009F0D36" w:rsidP="009F0D36">
      <w:pPr>
        <w:pStyle w:val="Bullet"/>
      </w:pPr>
      <w:r w:rsidRPr="00E81332">
        <w:t>Neuromuscular blocking activity of some drugs, (anaesthetics, opioids) may be enhanced</w:t>
      </w:r>
    </w:p>
    <w:p w14:paraId="7446279E" w14:textId="5417B636" w:rsidR="009F0D36" w:rsidRPr="00E81332" w:rsidRDefault="009F0D36" w:rsidP="00532336">
      <w:pPr>
        <w:pStyle w:val="Heading4"/>
        <w:numPr>
          <w:ilvl w:val="0"/>
          <w:numId w:val="8"/>
        </w:numPr>
        <w:ind w:left="426" w:hanging="426"/>
      </w:pPr>
      <w:bookmarkStart w:id="14" w:name="_Toc181188539"/>
      <w:r w:rsidRPr="00E81332">
        <w:t xml:space="preserve">Adverse </w:t>
      </w:r>
      <w:r w:rsidR="00D31241">
        <w:t>e</w:t>
      </w:r>
      <w:r w:rsidRPr="00E81332">
        <w:t>ffects</w:t>
      </w:r>
      <w:bookmarkEnd w:id="14"/>
    </w:p>
    <w:p w14:paraId="426AD155" w14:textId="77777777" w:rsidR="009F0D36" w:rsidRPr="00E81332" w:rsidRDefault="009F0D36" w:rsidP="009F0D36">
      <w:pPr>
        <w:pStyle w:val="Bullet"/>
      </w:pPr>
      <w:r w:rsidRPr="00E81332">
        <w:t>Nephrotoxicity (usually reversible)</w:t>
      </w:r>
    </w:p>
    <w:p w14:paraId="16ED8A50" w14:textId="2BA94060" w:rsidR="009F0D36" w:rsidRPr="00E81332" w:rsidRDefault="009F0D36" w:rsidP="009F0D36">
      <w:pPr>
        <w:pStyle w:val="Bullet"/>
        <w:numPr>
          <w:ilvl w:val="1"/>
          <w:numId w:val="1"/>
        </w:numPr>
      </w:pPr>
      <w:r w:rsidRPr="00E81332">
        <w:t>Gradual worsening of renal function, increasing creatinine and proteinuria</w:t>
      </w:r>
    </w:p>
    <w:p w14:paraId="31DFF023" w14:textId="7A60526D" w:rsidR="009F0D36" w:rsidRPr="00E81332" w:rsidRDefault="009F0D36" w:rsidP="009F0D36">
      <w:pPr>
        <w:pStyle w:val="Bullet"/>
        <w:numPr>
          <w:ilvl w:val="1"/>
          <w:numId w:val="1"/>
        </w:numPr>
      </w:pPr>
      <w:r w:rsidRPr="00E81332">
        <w:t>May present as acute tubular necrosis</w:t>
      </w:r>
    </w:p>
    <w:p w14:paraId="770C36B8" w14:textId="5C471A8E" w:rsidR="009F0D36" w:rsidRPr="00E81332" w:rsidRDefault="009F0D36" w:rsidP="009F0D36">
      <w:pPr>
        <w:pStyle w:val="Bullet"/>
        <w:numPr>
          <w:ilvl w:val="1"/>
          <w:numId w:val="1"/>
        </w:numPr>
      </w:pPr>
      <w:r w:rsidRPr="00E81332">
        <w:t>More common in patients with pre-existing renal impairment</w:t>
      </w:r>
    </w:p>
    <w:p w14:paraId="2A9C200A" w14:textId="2ED29646" w:rsidR="009F0D36" w:rsidRPr="00E81332" w:rsidRDefault="009F0D36" w:rsidP="009F0D36">
      <w:pPr>
        <w:pStyle w:val="Bullet"/>
        <w:numPr>
          <w:ilvl w:val="1"/>
          <w:numId w:val="1"/>
        </w:numPr>
      </w:pPr>
      <w:r w:rsidRPr="00E81332">
        <w:t>Associated with increased duration of therapy and large exposures</w:t>
      </w:r>
    </w:p>
    <w:p w14:paraId="4285E863" w14:textId="77777777" w:rsidR="009F0D36" w:rsidRPr="00E81332" w:rsidRDefault="009F0D36" w:rsidP="009F0D36">
      <w:pPr>
        <w:pStyle w:val="Bullet"/>
      </w:pPr>
      <w:r w:rsidRPr="00E81332">
        <w:t>Neuromuscular blockade</w:t>
      </w:r>
    </w:p>
    <w:p w14:paraId="2631061E" w14:textId="5FDBC95A" w:rsidR="009F0D36" w:rsidRPr="00E81332" w:rsidRDefault="009F0D36" w:rsidP="009F0D36">
      <w:pPr>
        <w:pStyle w:val="Bullet"/>
        <w:numPr>
          <w:ilvl w:val="1"/>
          <w:numId w:val="1"/>
        </w:numPr>
      </w:pPr>
      <w:r w:rsidRPr="00E81332">
        <w:t>May result in respiratory depression</w:t>
      </w:r>
    </w:p>
    <w:p w14:paraId="3854413F" w14:textId="5662BE88" w:rsidR="00481A6C" w:rsidRPr="009F0D36" w:rsidRDefault="009F0D36" w:rsidP="009F0D36">
      <w:pPr>
        <w:pStyle w:val="Bullet"/>
      </w:pPr>
      <w:r w:rsidRPr="00E81332">
        <w:t xml:space="preserve">Ototoxicity (can occur at any dose or duration) – </w:t>
      </w:r>
      <w:r w:rsidRPr="00DF1729">
        <w:rPr>
          <w:bCs/>
        </w:rPr>
        <w:t xml:space="preserve">Refer to </w:t>
      </w:r>
      <w:r w:rsidRPr="00C07986">
        <w:rPr>
          <w:b/>
        </w:rPr>
        <w:t xml:space="preserve">Section </w:t>
      </w:r>
      <w:r w:rsidR="00DF1729" w:rsidRPr="00C07986">
        <w:rPr>
          <w:b/>
        </w:rPr>
        <w:t>3.6</w:t>
      </w:r>
      <w:r w:rsidRPr="00E81332">
        <w:t xml:space="preserve"> for monitoring.</w:t>
      </w:r>
    </w:p>
    <w:p w14:paraId="3E009F96" w14:textId="77777777" w:rsidR="00481A6C" w:rsidRPr="00481A6C" w:rsidRDefault="00481A6C" w:rsidP="005C5F49">
      <w:pPr>
        <w:pStyle w:val="BodyCopy"/>
        <w:spacing w:before="240"/>
      </w:pPr>
      <w:hyperlink w:anchor="_top" w:history="1">
        <w:r w:rsidRPr="00481A6C">
          <w:rPr>
            <w:rStyle w:val="Hyperlink"/>
            <w:iCs w:val="0"/>
          </w:rPr>
          <w:t>Back to Contents</w:t>
        </w:r>
      </w:hyperlink>
    </w:p>
    <w:p w14:paraId="38F70679" w14:textId="2C66ED1F" w:rsidR="0078367D" w:rsidRDefault="0078367D" w:rsidP="0078367D">
      <w:pPr>
        <w:pStyle w:val="Heading2"/>
      </w:pPr>
      <w:bookmarkStart w:id="15" w:name="_Toc181188540"/>
      <w:r>
        <w:t xml:space="preserve">Section 2 </w:t>
      </w:r>
      <w:r w:rsidR="009F0D36">
        <w:t>–</w:t>
      </w:r>
      <w:r>
        <w:t xml:space="preserve"> </w:t>
      </w:r>
      <w:r w:rsidR="009F0D36">
        <w:t>Prescribing the Initial Dose</w:t>
      </w:r>
      <w:bookmarkEnd w:id="15"/>
    </w:p>
    <w:p w14:paraId="0BA5291F" w14:textId="22C9583B" w:rsidR="009F0D36" w:rsidRDefault="009F0D36" w:rsidP="009F0D36">
      <w:pPr>
        <w:rPr>
          <w:rFonts w:asciiTheme="minorHAnsi" w:hAnsiTheme="minorHAnsi" w:cstheme="minorHAnsi"/>
        </w:rPr>
      </w:pPr>
      <w:r w:rsidRPr="00E81332">
        <w:rPr>
          <w:rFonts w:asciiTheme="minorHAnsi" w:hAnsiTheme="minorHAnsi" w:cstheme="minorHAnsi"/>
        </w:rPr>
        <w:t xml:space="preserve">Empiric aminoglycoside dosing is dependent on the patient group and the clinical indication. Aside from the special patient considerations listed below, the majority of patients will be managed as per </w:t>
      </w:r>
      <w:r w:rsidRPr="00C07986">
        <w:rPr>
          <w:rFonts w:asciiTheme="minorHAnsi" w:hAnsiTheme="minorHAnsi" w:cstheme="minorHAnsi"/>
          <w:b/>
          <w:bCs/>
        </w:rPr>
        <w:t xml:space="preserve">Section </w:t>
      </w:r>
      <w:r w:rsidR="00386B8C" w:rsidRPr="00C07986">
        <w:rPr>
          <w:rFonts w:asciiTheme="minorHAnsi" w:hAnsiTheme="minorHAnsi" w:cstheme="minorHAnsi"/>
          <w:b/>
          <w:bCs/>
        </w:rPr>
        <w:t>2</w:t>
      </w:r>
      <w:r w:rsidRPr="00C07986">
        <w:rPr>
          <w:rFonts w:asciiTheme="minorHAnsi" w:hAnsiTheme="minorHAnsi" w:cstheme="minorHAnsi"/>
          <w:b/>
          <w:bCs/>
        </w:rPr>
        <w:t>.</w:t>
      </w:r>
      <w:r w:rsidR="00C07986" w:rsidRPr="00C07986">
        <w:rPr>
          <w:rFonts w:asciiTheme="minorHAnsi" w:hAnsiTheme="minorHAnsi" w:cstheme="minorHAnsi"/>
          <w:b/>
          <w:bCs/>
        </w:rPr>
        <w:t>2</w:t>
      </w:r>
      <w:r w:rsidRPr="00C07986">
        <w:rPr>
          <w:rFonts w:asciiTheme="minorHAnsi" w:hAnsiTheme="minorHAnsi" w:cstheme="minorHAnsi"/>
          <w:b/>
          <w:bCs/>
        </w:rPr>
        <w:t xml:space="preserve"> </w:t>
      </w:r>
      <w:r w:rsidRPr="0007715A">
        <w:rPr>
          <w:rFonts w:asciiTheme="minorHAnsi" w:hAnsiTheme="minorHAnsi" w:cstheme="minorHAnsi"/>
        </w:rPr>
        <w:t>and</w:t>
      </w:r>
      <w:r w:rsidRPr="00C07986">
        <w:rPr>
          <w:rFonts w:asciiTheme="minorHAnsi" w:hAnsiTheme="minorHAnsi" w:cstheme="minorHAnsi"/>
          <w:b/>
          <w:bCs/>
        </w:rPr>
        <w:t xml:space="preserve"> Section </w:t>
      </w:r>
      <w:r w:rsidR="00386B8C" w:rsidRPr="00C07986">
        <w:rPr>
          <w:rFonts w:asciiTheme="minorHAnsi" w:hAnsiTheme="minorHAnsi" w:cstheme="minorHAnsi"/>
          <w:b/>
          <w:bCs/>
        </w:rPr>
        <w:t>2</w:t>
      </w:r>
      <w:r w:rsidRPr="00C07986">
        <w:rPr>
          <w:rFonts w:asciiTheme="minorHAnsi" w:hAnsiTheme="minorHAnsi" w:cstheme="minorHAnsi"/>
          <w:b/>
          <w:bCs/>
        </w:rPr>
        <w:t>.</w:t>
      </w:r>
      <w:r w:rsidR="00C07986" w:rsidRPr="00C07986">
        <w:rPr>
          <w:rFonts w:asciiTheme="minorHAnsi" w:hAnsiTheme="minorHAnsi" w:cstheme="minorHAnsi"/>
          <w:b/>
          <w:bCs/>
        </w:rPr>
        <w:t>3</w:t>
      </w:r>
      <w:r w:rsidRPr="00DF1729">
        <w:rPr>
          <w:rFonts w:asciiTheme="minorHAnsi" w:hAnsiTheme="minorHAnsi" w:cstheme="minorHAnsi"/>
        </w:rPr>
        <w:t>.</w:t>
      </w:r>
      <w:r w:rsidRPr="00E81332">
        <w:rPr>
          <w:rFonts w:asciiTheme="minorHAnsi" w:hAnsiTheme="minorHAnsi" w:cstheme="minorHAnsi"/>
        </w:rPr>
        <w:t xml:space="preserve"> </w:t>
      </w:r>
    </w:p>
    <w:p w14:paraId="2E8C6C6E" w14:textId="28520441" w:rsidR="009F0D36" w:rsidRPr="00E81332" w:rsidRDefault="009F0D36" w:rsidP="00532336">
      <w:pPr>
        <w:pStyle w:val="Heading4"/>
        <w:numPr>
          <w:ilvl w:val="0"/>
          <w:numId w:val="15"/>
        </w:numPr>
        <w:ind w:left="426" w:hanging="426"/>
      </w:pPr>
      <w:bookmarkStart w:id="16" w:name="_Toc181188541"/>
      <w:r w:rsidRPr="00E81332">
        <w:t>Intra-operative surgical prophylaxis</w:t>
      </w:r>
      <w:bookmarkEnd w:id="16"/>
    </w:p>
    <w:p w14:paraId="5C287480" w14:textId="77777777" w:rsidR="009F0D36" w:rsidRPr="00E81332" w:rsidRDefault="009F0D36" w:rsidP="009F0D36">
      <w:pPr>
        <w:rPr>
          <w:rFonts w:asciiTheme="minorHAnsi" w:hAnsiTheme="minorHAnsi" w:cstheme="minorHAnsi"/>
        </w:rPr>
      </w:pPr>
      <w:r w:rsidRPr="00E81332">
        <w:rPr>
          <w:rFonts w:asciiTheme="minorHAnsi" w:hAnsiTheme="minorHAnsi" w:cstheme="minorHAnsi"/>
        </w:rPr>
        <w:t xml:space="preserve">Dosing is dependent on the surgical procedure and may vary from the doses recommended in this document. Refer to </w:t>
      </w:r>
      <w:hyperlink r:id="rId11" w:history="1">
        <w:r w:rsidRPr="00E81332">
          <w:rPr>
            <w:rStyle w:val="Hyperlink"/>
            <w:rFonts w:asciiTheme="minorHAnsi" w:hAnsiTheme="minorHAnsi" w:cstheme="minorHAnsi"/>
          </w:rPr>
          <w:t>Therapeutic Guidelines (eTG): Antibiotic</w:t>
        </w:r>
      </w:hyperlink>
      <w:r w:rsidRPr="00E81332">
        <w:rPr>
          <w:rFonts w:asciiTheme="minorHAnsi" w:hAnsiTheme="minorHAnsi" w:cstheme="minorHAnsi"/>
        </w:rPr>
        <w:t xml:space="preserve"> for more information.</w:t>
      </w:r>
    </w:p>
    <w:p w14:paraId="00BAA496" w14:textId="3A59D09E" w:rsidR="009F0D36" w:rsidRPr="00E81332" w:rsidRDefault="009F0D36" w:rsidP="009F0D36">
      <w:pPr>
        <w:rPr>
          <w:rFonts w:asciiTheme="minorHAnsi" w:hAnsiTheme="minorHAnsi" w:cstheme="minorHAnsi"/>
        </w:rPr>
      </w:pPr>
      <w:r w:rsidRPr="00386B8C">
        <w:rPr>
          <w:rStyle w:val="Heading5Char"/>
          <w:rFonts w:eastAsia="Calibri"/>
        </w:rPr>
        <w:t>Special patient considerations:</w:t>
      </w:r>
      <w:r w:rsidRPr="00E81332">
        <w:rPr>
          <w:rFonts w:asciiTheme="minorHAnsi" w:hAnsiTheme="minorHAnsi" w:cstheme="minorHAnsi"/>
          <w:bCs/>
        </w:rPr>
        <w:t xml:space="preserve"> pregnancy, cystic fibrosis, mycobacterial infections, and endocarditis. </w:t>
      </w:r>
      <w:r w:rsidRPr="00E81332">
        <w:rPr>
          <w:rFonts w:asciiTheme="minorHAnsi" w:hAnsiTheme="minorHAnsi" w:cstheme="minorHAnsi"/>
        </w:rPr>
        <w:t>These indications have unique dosing</w:t>
      </w:r>
      <w:r w:rsidR="00DF1729">
        <w:rPr>
          <w:rFonts w:asciiTheme="minorHAnsi" w:hAnsiTheme="minorHAnsi" w:cstheme="minorHAnsi"/>
        </w:rPr>
        <w:t xml:space="preserve">. </w:t>
      </w:r>
      <w:r w:rsidR="00DF1729" w:rsidRPr="00DF1729">
        <w:rPr>
          <w:rFonts w:asciiTheme="minorHAnsi" w:hAnsiTheme="minorHAnsi" w:cstheme="minorHAnsi"/>
        </w:rPr>
        <w:t>R</w:t>
      </w:r>
      <w:r w:rsidRPr="00DF1729">
        <w:rPr>
          <w:rFonts w:asciiTheme="minorHAnsi" w:hAnsiTheme="minorHAnsi" w:cstheme="minorHAnsi"/>
        </w:rPr>
        <w:t xml:space="preserve">efer to </w:t>
      </w:r>
      <w:r w:rsidRPr="00C07986">
        <w:rPr>
          <w:rFonts w:asciiTheme="minorHAnsi" w:hAnsiTheme="minorHAnsi" w:cstheme="minorHAnsi"/>
          <w:b/>
          <w:bCs/>
        </w:rPr>
        <w:t xml:space="preserve">Section </w:t>
      </w:r>
      <w:r w:rsidR="00386B8C" w:rsidRPr="00C07986">
        <w:rPr>
          <w:rFonts w:asciiTheme="minorHAnsi" w:hAnsiTheme="minorHAnsi" w:cstheme="minorHAnsi"/>
          <w:b/>
          <w:bCs/>
        </w:rPr>
        <w:t>2</w:t>
      </w:r>
      <w:r w:rsidRPr="00C07986">
        <w:rPr>
          <w:rFonts w:asciiTheme="minorHAnsi" w:hAnsiTheme="minorHAnsi" w:cstheme="minorHAnsi"/>
          <w:b/>
          <w:bCs/>
        </w:rPr>
        <w:t>.</w:t>
      </w:r>
      <w:r w:rsidR="00DF1729" w:rsidRPr="00C07986">
        <w:rPr>
          <w:rFonts w:asciiTheme="minorHAnsi" w:hAnsiTheme="minorHAnsi" w:cstheme="minorHAnsi"/>
          <w:b/>
          <w:bCs/>
        </w:rPr>
        <w:t>4</w:t>
      </w:r>
      <w:r w:rsidRPr="00E81332">
        <w:rPr>
          <w:rFonts w:asciiTheme="minorHAnsi" w:hAnsiTheme="minorHAnsi" w:cstheme="minorHAnsi"/>
        </w:rPr>
        <w:t>.</w:t>
      </w:r>
    </w:p>
    <w:p w14:paraId="6893E0C8" w14:textId="0963BEC1" w:rsidR="009F0D36" w:rsidRPr="00E81332" w:rsidRDefault="009F0D36" w:rsidP="00532336">
      <w:pPr>
        <w:pStyle w:val="Heading4"/>
        <w:numPr>
          <w:ilvl w:val="0"/>
          <w:numId w:val="15"/>
        </w:numPr>
        <w:ind w:left="426" w:hanging="426"/>
      </w:pPr>
      <w:bookmarkStart w:id="17" w:name="_Section_1.1:_Gentamicin/tobramycin"/>
      <w:bookmarkStart w:id="18" w:name="_Section_1.1:_Standard"/>
      <w:bookmarkStart w:id="19" w:name="_Toc171341014"/>
      <w:bookmarkStart w:id="20" w:name="_Toc181188542"/>
      <w:bookmarkEnd w:id="17"/>
      <w:bookmarkEnd w:id="18"/>
      <w:r w:rsidRPr="00E81332">
        <w:t>Standard gentamicin/tobramycin dosing</w:t>
      </w:r>
      <w:bookmarkEnd w:id="19"/>
      <w:bookmarkEnd w:id="20"/>
      <w:r w:rsidRPr="00E81332">
        <w:t xml:space="preserve"> </w:t>
      </w:r>
    </w:p>
    <w:p w14:paraId="09B971C6" w14:textId="561FC3CE" w:rsidR="00D158E5" w:rsidRDefault="00D158E5" w:rsidP="00386B8C">
      <w:pPr>
        <w:pStyle w:val="Numberedlist"/>
      </w:pPr>
      <w:r>
        <w:t>Determine if the patients in septic shock or is requiring intensive care support</w:t>
      </w:r>
    </w:p>
    <w:p w14:paraId="7D703B20" w14:textId="277334B3" w:rsidR="009F0D36" w:rsidRPr="00E81332" w:rsidRDefault="009F0D36" w:rsidP="00386B8C">
      <w:pPr>
        <w:pStyle w:val="Numberedlist"/>
      </w:pPr>
      <w:r w:rsidRPr="00E81332">
        <w:t>Determine if the patient is critically ill (e.g. hypotension, high lactate, sepsis etc)</w:t>
      </w:r>
    </w:p>
    <w:p w14:paraId="55994757" w14:textId="77777777" w:rsidR="009F0D36" w:rsidRPr="00E81332" w:rsidRDefault="009F0D36" w:rsidP="00386B8C">
      <w:pPr>
        <w:pStyle w:val="Numberedlist"/>
      </w:pPr>
      <w:r w:rsidRPr="00E81332">
        <w:t xml:space="preserve">Refer to the dose recommendations in </w:t>
      </w:r>
      <w:r w:rsidRPr="00E81332">
        <w:rPr>
          <w:b/>
          <w:bCs/>
        </w:rPr>
        <w:t>Table 1</w:t>
      </w:r>
      <w:r w:rsidRPr="00E81332">
        <w:t xml:space="preserve"> </w:t>
      </w:r>
    </w:p>
    <w:p w14:paraId="7452B33D" w14:textId="2AC0EBDB" w:rsidR="009F0D36" w:rsidRPr="00E81332" w:rsidRDefault="009F0D36" w:rsidP="00386B8C">
      <w:pPr>
        <w:pStyle w:val="Numberedlist"/>
      </w:pPr>
      <w:r w:rsidRPr="00E81332">
        <w:t>Calculate the dose (mg), then round the total dose UP to nearest 20mg</w:t>
      </w:r>
    </w:p>
    <w:p w14:paraId="23B314D0" w14:textId="77777777" w:rsidR="009F0D36" w:rsidRPr="00E81332" w:rsidRDefault="009F0D36" w:rsidP="00386B8C">
      <w:pPr>
        <w:pStyle w:val="Numberedlist"/>
      </w:pPr>
      <w:r w:rsidRPr="00E81332">
        <w:t xml:space="preserve">Cap the calculated dose at the maximum dose in </w:t>
      </w:r>
      <w:r w:rsidRPr="00E81332">
        <w:rPr>
          <w:b/>
          <w:bCs/>
        </w:rPr>
        <w:t>Table 1</w:t>
      </w:r>
    </w:p>
    <w:p w14:paraId="27569FAA" w14:textId="795127B1" w:rsidR="00D21EB3" w:rsidRPr="006E7099" w:rsidRDefault="009F0D36" w:rsidP="006E7099">
      <w:pPr>
        <w:pStyle w:val="Numberedlist"/>
      </w:pPr>
      <w:r w:rsidRPr="00E81332">
        <w:t>Dosing frequency is once in a 24-hour period – chart the initial dose and order</w:t>
      </w:r>
      <w:r w:rsidR="006F5556">
        <w:t xml:space="preserve"> </w:t>
      </w:r>
      <w:r w:rsidR="002E135E">
        <w:t xml:space="preserve">a </w:t>
      </w:r>
      <w:r w:rsidR="006F5556">
        <w:t>serum concentration</w:t>
      </w:r>
      <w:r w:rsidR="00AE492D">
        <w:t xml:space="preserve"> (Therapeutic Drug Monitoring)</w:t>
      </w:r>
      <w:r w:rsidR="006F5556">
        <w:t xml:space="preserve"> in DHR</w:t>
      </w:r>
      <w:r w:rsidRPr="00E81332">
        <w:t xml:space="preserve"> if the patient is planned to receive more than 1 dose.</w:t>
      </w:r>
      <w:r w:rsidR="00CA58AE">
        <w:t xml:space="preserve"> Refer to </w:t>
      </w:r>
      <w:r w:rsidR="00CA58AE" w:rsidRPr="006E7099">
        <w:rPr>
          <w:b/>
          <w:bCs/>
        </w:rPr>
        <w:t xml:space="preserve">Section 3 </w:t>
      </w:r>
      <w:r w:rsidR="00CA58AE">
        <w:t xml:space="preserve">for </w:t>
      </w:r>
      <w:r w:rsidR="006F5722">
        <w:t xml:space="preserve">more information on </w:t>
      </w:r>
      <w:r w:rsidR="00AE492D">
        <w:t xml:space="preserve">Therapeutic </w:t>
      </w:r>
      <w:r w:rsidR="00CA58AE">
        <w:t>D</w:t>
      </w:r>
      <w:r w:rsidR="00AE492D">
        <w:t xml:space="preserve">rug </w:t>
      </w:r>
      <w:r w:rsidR="00CA58AE">
        <w:t>M</w:t>
      </w:r>
      <w:r w:rsidR="00AE492D">
        <w:t>onitoring</w:t>
      </w:r>
      <w:r w:rsidR="00CA58AE">
        <w:t xml:space="preserve"> process/guide.</w:t>
      </w:r>
    </w:p>
    <w:p w14:paraId="2391767A" w14:textId="77777777" w:rsidR="0045458D" w:rsidRPr="00E81332" w:rsidRDefault="0045458D" w:rsidP="0045458D">
      <w:pPr>
        <w:pStyle w:val="Heading5"/>
      </w:pPr>
      <w:r w:rsidRPr="00E81332">
        <w:t xml:space="preserve">Table 1: </w:t>
      </w:r>
      <w:r>
        <w:t>Initial g</w:t>
      </w:r>
      <w:r w:rsidRPr="00E81332">
        <w:t>entamicin/tobramycin dosing in ADULT patients without special considerations</w:t>
      </w:r>
    </w:p>
    <w:tbl>
      <w:tblPr>
        <w:tblStyle w:val="TableGrid"/>
        <w:tblW w:w="0" w:type="auto"/>
        <w:tblLook w:val="04A0" w:firstRow="1" w:lastRow="0" w:firstColumn="1" w:lastColumn="0" w:noHBand="0" w:noVBand="1"/>
      </w:tblPr>
      <w:tblGrid>
        <w:gridCol w:w="3114"/>
        <w:gridCol w:w="3685"/>
        <w:gridCol w:w="3112"/>
      </w:tblGrid>
      <w:tr w:rsidR="002F7308" w:rsidRPr="008C597A" w14:paraId="73B2DE48" w14:textId="77777777" w:rsidTr="00FE6147">
        <w:tc>
          <w:tcPr>
            <w:tcW w:w="3114" w:type="dxa"/>
            <w:shd w:val="clear" w:color="auto" w:fill="D9D9D9" w:themeFill="background1" w:themeFillShade="D9"/>
          </w:tcPr>
          <w:p w14:paraId="0FD1570B" w14:textId="77777777" w:rsidR="002F7308" w:rsidRPr="008C597A" w:rsidRDefault="002F7308" w:rsidP="00FE6147">
            <w:pPr>
              <w:spacing w:before="0" w:line="240" w:lineRule="auto"/>
              <w:rPr>
                <w:rFonts w:asciiTheme="minorHAnsi" w:hAnsiTheme="minorHAnsi" w:cstheme="minorHAnsi"/>
                <w:b/>
                <w:bCs/>
              </w:rPr>
            </w:pPr>
            <w:r w:rsidRPr="008C597A">
              <w:rPr>
                <w:rFonts w:asciiTheme="minorHAnsi" w:hAnsiTheme="minorHAnsi" w:cstheme="minorHAnsi"/>
                <w:b/>
                <w:bCs/>
              </w:rPr>
              <w:t>Clinical dosing context</w:t>
            </w:r>
          </w:p>
        </w:tc>
        <w:tc>
          <w:tcPr>
            <w:tcW w:w="3685" w:type="dxa"/>
            <w:shd w:val="clear" w:color="auto" w:fill="D9D9D9" w:themeFill="background1" w:themeFillShade="D9"/>
          </w:tcPr>
          <w:p w14:paraId="6D05040E" w14:textId="77777777" w:rsidR="002F7308" w:rsidRPr="008C597A" w:rsidRDefault="002F7308" w:rsidP="00FE6147">
            <w:pPr>
              <w:spacing w:before="0" w:line="240" w:lineRule="auto"/>
              <w:rPr>
                <w:rFonts w:asciiTheme="minorHAnsi" w:hAnsiTheme="minorHAnsi" w:cstheme="minorHAnsi"/>
                <w:b/>
                <w:bCs/>
              </w:rPr>
            </w:pPr>
            <w:r w:rsidRPr="008C597A">
              <w:rPr>
                <w:rFonts w:asciiTheme="minorHAnsi" w:hAnsiTheme="minorHAnsi" w:cstheme="minorHAnsi"/>
                <w:b/>
                <w:bCs/>
              </w:rPr>
              <w:t>Renal function and dose</w:t>
            </w:r>
          </w:p>
        </w:tc>
        <w:tc>
          <w:tcPr>
            <w:tcW w:w="3112" w:type="dxa"/>
            <w:shd w:val="clear" w:color="auto" w:fill="D9D9D9" w:themeFill="background1" w:themeFillShade="D9"/>
          </w:tcPr>
          <w:p w14:paraId="74797CBA" w14:textId="77777777" w:rsidR="002F7308" w:rsidRPr="008C597A" w:rsidRDefault="002F7308" w:rsidP="00FE6147">
            <w:pPr>
              <w:spacing w:before="0" w:line="240" w:lineRule="auto"/>
              <w:rPr>
                <w:rFonts w:asciiTheme="minorHAnsi" w:hAnsiTheme="minorHAnsi" w:cstheme="minorHAnsi"/>
                <w:b/>
                <w:bCs/>
              </w:rPr>
            </w:pPr>
            <w:r w:rsidRPr="008C597A">
              <w:rPr>
                <w:rFonts w:asciiTheme="minorHAnsi" w:hAnsiTheme="minorHAnsi" w:cstheme="minorHAnsi"/>
                <w:b/>
                <w:bCs/>
              </w:rPr>
              <w:t>Dosing frequency</w:t>
            </w:r>
          </w:p>
        </w:tc>
      </w:tr>
      <w:tr w:rsidR="002F7308" w:rsidRPr="008C597A" w14:paraId="467EC106" w14:textId="77777777" w:rsidTr="00B75FF5">
        <w:tc>
          <w:tcPr>
            <w:tcW w:w="3114" w:type="dxa"/>
            <w:tcBorders>
              <w:bottom w:val="single" w:sz="4" w:space="0" w:color="auto"/>
            </w:tcBorders>
          </w:tcPr>
          <w:p w14:paraId="300673F5" w14:textId="77777777" w:rsidR="002F7308" w:rsidRPr="00CA653E" w:rsidRDefault="002F7308" w:rsidP="00FE6147">
            <w:pPr>
              <w:spacing w:before="0" w:line="240" w:lineRule="auto"/>
              <w:rPr>
                <w:rFonts w:asciiTheme="minorHAnsi" w:hAnsiTheme="minorHAnsi" w:cstheme="minorHAnsi"/>
              </w:rPr>
            </w:pPr>
            <w:r w:rsidRPr="008C597A">
              <w:rPr>
                <w:rFonts w:asciiTheme="minorHAnsi" w:hAnsiTheme="minorHAnsi" w:cstheme="minorHAnsi"/>
              </w:rPr>
              <w:t>Patients with septic shock or requiring ICU</w:t>
            </w:r>
          </w:p>
        </w:tc>
        <w:tc>
          <w:tcPr>
            <w:tcW w:w="3685" w:type="dxa"/>
          </w:tcPr>
          <w:p w14:paraId="029B44F7" w14:textId="77777777" w:rsidR="002F7308" w:rsidRPr="00CA653E" w:rsidRDefault="002F7308" w:rsidP="00FE6147">
            <w:pPr>
              <w:spacing w:before="0" w:line="240" w:lineRule="auto"/>
              <w:rPr>
                <w:rFonts w:asciiTheme="minorHAnsi" w:hAnsiTheme="minorHAnsi" w:cstheme="minorHAnsi"/>
              </w:rPr>
            </w:pPr>
            <w:r w:rsidRPr="008C597A">
              <w:rPr>
                <w:rFonts w:asciiTheme="minorHAnsi" w:hAnsiTheme="minorHAnsi" w:cstheme="minorHAnsi"/>
              </w:rPr>
              <w:t>7mg/kg (irrespective of renal function) up to 680mg</w:t>
            </w:r>
          </w:p>
        </w:tc>
        <w:tc>
          <w:tcPr>
            <w:tcW w:w="3112" w:type="dxa"/>
          </w:tcPr>
          <w:p w14:paraId="19B16BBC" w14:textId="77777777" w:rsidR="002F7308" w:rsidRPr="008C597A" w:rsidRDefault="002F7308" w:rsidP="00FE6147">
            <w:pPr>
              <w:spacing w:before="0" w:line="240" w:lineRule="auto"/>
              <w:rPr>
                <w:rFonts w:asciiTheme="minorHAnsi" w:hAnsiTheme="minorHAnsi" w:cstheme="minorHAnsi"/>
              </w:rPr>
            </w:pPr>
            <w:r w:rsidRPr="008C597A">
              <w:rPr>
                <w:rFonts w:asciiTheme="minorHAnsi" w:hAnsiTheme="minorHAnsi" w:cstheme="minorHAnsi"/>
              </w:rPr>
              <w:t>Single dose, next dose calculated as per TDM</w:t>
            </w:r>
          </w:p>
        </w:tc>
      </w:tr>
      <w:tr w:rsidR="00B75FF5" w:rsidRPr="008C597A" w14:paraId="143E17CA" w14:textId="77777777" w:rsidTr="00B75FF5">
        <w:tc>
          <w:tcPr>
            <w:tcW w:w="3114" w:type="dxa"/>
            <w:tcBorders>
              <w:top w:val="single" w:sz="4" w:space="0" w:color="auto"/>
              <w:left w:val="single" w:sz="4" w:space="0" w:color="auto"/>
              <w:bottom w:val="nil"/>
              <w:right w:val="single" w:sz="4" w:space="0" w:color="auto"/>
            </w:tcBorders>
          </w:tcPr>
          <w:p w14:paraId="07BFD6BA" w14:textId="77777777"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Patients without septic shock not requiring ICU</w:t>
            </w:r>
          </w:p>
        </w:tc>
        <w:tc>
          <w:tcPr>
            <w:tcW w:w="3685" w:type="dxa"/>
            <w:tcBorders>
              <w:left w:val="single" w:sz="4" w:space="0" w:color="auto"/>
            </w:tcBorders>
          </w:tcPr>
          <w:p w14:paraId="36D3EFA1" w14:textId="70103DF0" w:rsidR="00B75FF5" w:rsidRDefault="00B75FF5" w:rsidP="00FE6147">
            <w:pPr>
              <w:spacing w:before="0" w:line="240" w:lineRule="auto"/>
              <w:rPr>
                <w:rFonts w:asciiTheme="minorHAnsi" w:hAnsiTheme="minorHAnsi" w:cstheme="minorHAnsi"/>
              </w:rPr>
            </w:pPr>
            <w:proofErr w:type="spellStart"/>
            <w:r w:rsidRPr="008C597A">
              <w:rPr>
                <w:rFonts w:asciiTheme="minorHAnsi" w:hAnsiTheme="minorHAnsi" w:cstheme="minorHAnsi"/>
              </w:rPr>
              <w:t>CrCl</w:t>
            </w:r>
            <w:proofErr w:type="spellEnd"/>
            <w:r w:rsidRPr="008C597A">
              <w:rPr>
                <w:rFonts w:asciiTheme="minorHAnsi" w:hAnsiTheme="minorHAnsi" w:cstheme="minorHAnsi"/>
              </w:rPr>
              <w:t xml:space="preserve"> &gt; </w:t>
            </w:r>
            <w:r>
              <w:rPr>
                <w:rFonts w:asciiTheme="minorHAnsi" w:hAnsiTheme="minorHAnsi" w:cstheme="minorHAnsi"/>
              </w:rPr>
              <w:t xml:space="preserve">                    </w:t>
            </w:r>
            <w:r w:rsidRPr="008C597A">
              <w:rPr>
                <w:rFonts w:asciiTheme="minorHAnsi" w:hAnsiTheme="minorHAnsi" w:cstheme="minorHAnsi"/>
              </w:rPr>
              <w:t>7mg/kg*</w:t>
            </w:r>
          </w:p>
          <w:p w14:paraId="624607FB" w14:textId="2413D924"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 xml:space="preserve">60mL/min: </w:t>
            </w:r>
            <w:r>
              <w:rPr>
                <w:rFonts w:asciiTheme="minorHAnsi" w:hAnsiTheme="minorHAnsi" w:cstheme="minorHAnsi"/>
              </w:rPr>
              <w:t xml:space="preserve">              </w:t>
            </w:r>
            <w:r w:rsidRPr="008C597A">
              <w:rPr>
                <w:rFonts w:asciiTheme="minorHAnsi" w:hAnsiTheme="minorHAnsi" w:cstheme="minorHAnsi"/>
              </w:rPr>
              <w:t>up to 680mg</w:t>
            </w:r>
          </w:p>
        </w:tc>
        <w:tc>
          <w:tcPr>
            <w:tcW w:w="3112" w:type="dxa"/>
            <w:tcBorders>
              <w:bottom w:val="single" w:sz="4" w:space="0" w:color="auto"/>
            </w:tcBorders>
          </w:tcPr>
          <w:p w14:paraId="33AD23AB" w14:textId="77777777"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 xml:space="preserve">24-hourly </w:t>
            </w:r>
          </w:p>
        </w:tc>
      </w:tr>
      <w:tr w:rsidR="00B75FF5" w:rsidRPr="008C597A" w14:paraId="7DE0202E" w14:textId="77777777" w:rsidTr="00B75FF5">
        <w:tc>
          <w:tcPr>
            <w:tcW w:w="3114" w:type="dxa"/>
            <w:tcBorders>
              <w:top w:val="nil"/>
              <w:left w:val="single" w:sz="4" w:space="0" w:color="auto"/>
              <w:bottom w:val="nil"/>
              <w:right w:val="single" w:sz="4" w:space="0" w:color="auto"/>
            </w:tcBorders>
          </w:tcPr>
          <w:p w14:paraId="2D234A7E" w14:textId="77777777" w:rsidR="00B75FF5" w:rsidRPr="008C597A" w:rsidRDefault="00B75FF5" w:rsidP="00FE6147">
            <w:pPr>
              <w:spacing w:before="0" w:line="240" w:lineRule="auto"/>
              <w:rPr>
                <w:rFonts w:asciiTheme="minorHAnsi" w:hAnsiTheme="minorHAnsi" w:cstheme="minorHAnsi"/>
              </w:rPr>
            </w:pPr>
          </w:p>
        </w:tc>
        <w:tc>
          <w:tcPr>
            <w:tcW w:w="3685" w:type="dxa"/>
            <w:tcBorders>
              <w:left w:val="single" w:sz="4" w:space="0" w:color="auto"/>
              <w:right w:val="single" w:sz="4" w:space="0" w:color="auto"/>
            </w:tcBorders>
          </w:tcPr>
          <w:p w14:paraId="274FAE07" w14:textId="3BFD6B7D" w:rsidR="00B75FF5" w:rsidRDefault="00B75FF5" w:rsidP="00FE6147">
            <w:pPr>
              <w:spacing w:before="0" w:line="240" w:lineRule="auto"/>
              <w:rPr>
                <w:rFonts w:asciiTheme="minorHAnsi" w:hAnsiTheme="minorHAnsi" w:cstheme="minorHAnsi"/>
              </w:rPr>
            </w:pPr>
            <w:proofErr w:type="spellStart"/>
            <w:r w:rsidRPr="008C597A">
              <w:rPr>
                <w:rFonts w:asciiTheme="minorHAnsi" w:hAnsiTheme="minorHAnsi" w:cstheme="minorHAnsi"/>
              </w:rPr>
              <w:t>CrCl</w:t>
            </w:r>
            <w:proofErr w:type="spellEnd"/>
            <w:r w:rsidRPr="008C597A">
              <w:rPr>
                <w:rFonts w:asciiTheme="minorHAnsi" w:hAnsiTheme="minorHAnsi" w:cstheme="minorHAnsi"/>
              </w:rPr>
              <w:t xml:space="preserve"> 40 – 60 </w:t>
            </w:r>
            <w:r>
              <w:rPr>
                <w:rFonts w:asciiTheme="minorHAnsi" w:hAnsiTheme="minorHAnsi" w:cstheme="minorHAnsi"/>
              </w:rPr>
              <w:t xml:space="preserve">          </w:t>
            </w:r>
            <w:r w:rsidRPr="008C597A">
              <w:rPr>
                <w:rFonts w:asciiTheme="minorHAnsi" w:hAnsiTheme="minorHAnsi" w:cstheme="minorHAnsi"/>
              </w:rPr>
              <w:t>5mg/kg*</w:t>
            </w:r>
          </w:p>
          <w:p w14:paraId="603D1C46" w14:textId="038B7EA6"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mL/min:</w:t>
            </w:r>
            <w:r>
              <w:rPr>
                <w:rFonts w:asciiTheme="minorHAnsi" w:hAnsiTheme="minorHAnsi" w:cstheme="minorHAnsi"/>
              </w:rPr>
              <w:t xml:space="preserve"> </w:t>
            </w:r>
            <w:r>
              <w:rPr>
                <w:rFonts w:asciiTheme="minorHAnsi" w:hAnsiTheme="minorHAnsi" w:cstheme="minorHAnsi"/>
              </w:rPr>
              <w:t xml:space="preserve">                  </w:t>
            </w:r>
            <w:r w:rsidRPr="008C597A">
              <w:rPr>
                <w:rFonts w:asciiTheme="minorHAnsi" w:hAnsiTheme="minorHAnsi" w:cstheme="minorHAnsi"/>
              </w:rPr>
              <w:t>up to 480mg</w:t>
            </w:r>
          </w:p>
        </w:tc>
        <w:tc>
          <w:tcPr>
            <w:tcW w:w="3112" w:type="dxa"/>
            <w:tcBorders>
              <w:top w:val="single" w:sz="4" w:space="0" w:color="auto"/>
              <w:left w:val="single" w:sz="4" w:space="0" w:color="auto"/>
              <w:bottom w:val="nil"/>
              <w:right w:val="single" w:sz="4" w:space="0" w:color="auto"/>
            </w:tcBorders>
          </w:tcPr>
          <w:p w14:paraId="2372958E" w14:textId="77777777"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 xml:space="preserve">Single dose, next dose as per TDM or alternative antibiotic </w:t>
            </w:r>
            <w:r>
              <w:rPr>
                <w:rFonts w:asciiTheme="minorHAnsi" w:hAnsiTheme="minorHAnsi" w:cstheme="minorHAnsi"/>
              </w:rPr>
              <w:t xml:space="preserve">required </w:t>
            </w:r>
            <w:r w:rsidRPr="008C597A">
              <w:rPr>
                <w:rFonts w:asciiTheme="minorHAnsi" w:hAnsiTheme="minorHAnsi" w:cstheme="minorHAnsi"/>
              </w:rPr>
              <w:t>if the patient is not clearing well.</w:t>
            </w:r>
          </w:p>
        </w:tc>
      </w:tr>
      <w:tr w:rsidR="00B75FF5" w:rsidRPr="008C597A" w14:paraId="2E965FF3" w14:textId="77777777" w:rsidTr="00B75FF5">
        <w:tc>
          <w:tcPr>
            <w:tcW w:w="3114" w:type="dxa"/>
            <w:tcBorders>
              <w:top w:val="nil"/>
              <w:left w:val="single" w:sz="4" w:space="0" w:color="auto"/>
              <w:bottom w:val="single" w:sz="4" w:space="0" w:color="auto"/>
              <w:right w:val="single" w:sz="4" w:space="0" w:color="auto"/>
            </w:tcBorders>
          </w:tcPr>
          <w:p w14:paraId="1A3F7C60" w14:textId="77777777" w:rsidR="00B75FF5" w:rsidRPr="008C597A" w:rsidRDefault="00B75FF5" w:rsidP="00FE6147">
            <w:pPr>
              <w:spacing w:before="0" w:line="240" w:lineRule="auto"/>
              <w:rPr>
                <w:rFonts w:asciiTheme="minorHAnsi" w:hAnsiTheme="minorHAnsi" w:cstheme="minorHAnsi"/>
                <w:b/>
                <w:bCs/>
              </w:rPr>
            </w:pPr>
          </w:p>
        </w:tc>
        <w:tc>
          <w:tcPr>
            <w:tcW w:w="3685" w:type="dxa"/>
            <w:tcBorders>
              <w:left w:val="single" w:sz="4" w:space="0" w:color="auto"/>
              <w:right w:val="single" w:sz="4" w:space="0" w:color="auto"/>
            </w:tcBorders>
          </w:tcPr>
          <w:p w14:paraId="5379B074" w14:textId="2114BD30" w:rsidR="00B75FF5" w:rsidRDefault="00B75FF5" w:rsidP="00FE6147">
            <w:pPr>
              <w:spacing w:before="0" w:line="240" w:lineRule="auto"/>
              <w:rPr>
                <w:rFonts w:asciiTheme="minorHAnsi" w:hAnsiTheme="minorHAnsi" w:cstheme="minorHAnsi"/>
              </w:rPr>
            </w:pPr>
            <w:proofErr w:type="spellStart"/>
            <w:r w:rsidRPr="008C597A">
              <w:rPr>
                <w:rFonts w:asciiTheme="minorHAnsi" w:hAnsiTheme="minorHAnsi" w:cstheme="minorHAnsi"/>
              </w:rPr>
              <w:t>CrCl</w:t>
            </w:r>
            <w:proofErr w:type="spellEnd"/>
            <w:r w:rsidRPr="008C597A">
              <w:rPr>
                <w:rFonts w:asciiTheme="minorHAnsi" w:hAnsiTheme="minorHAnsi" w:cstheme="minorHAnsi"/>
              </w:rPr>
              <w:t xml:space="preserve"> &lt; </w:t>
            </w:r>
            <w:r>
              <w:rPr>
                <w:rFonts w:asciiTheme="minorHAnsi" w:hAnsiTheme="minorHAnsi" w:cstheme="minorHAnsi"/>
              </w:rPr>
              <w:t xml:space="preserve">                     </w:t>
            </w:r>
            <w:r w:rsidRPr="008C597A">
              <w:rPr>
                <w:rFonts w:asciiTheme="minorHAnsi" w:hAnsiTheme="minorHAnsi" w:cstheme="minorHAnsi"/>
              </w:rPr>
              <w:t>4mg/kg*</w:t>
            </w:r>
          </w:p>
          <w:p w14:paraId="781262EF" w14:textId="7464BEFD" w:rsidR="00B75FF5" w:rsidRPr="00B75FF5" w:rsidRDefault="00B75FF5" w:rsidP="00FE6147">
            <w:pPr>
              <w:spacing w:before="0" w:line="240" w:lineRule="auto"/>
              <w:rPr>
                <w:rFonts w:asciiTheme="minorHAnsi" w:hAnsiTheme="minorHAnsi" w:cstheme="minorHAnsi"/>
                <w:b/>
                <w:bCs/>
              </w:rPr>
            </w:pPr>
            <w:r w:rsidRPr="008C597A">
              <w:rPr>
                <w:rFonts w:asciiTheme="minorHAnsi" w:hAnsiTheme="minorHAnsi" w:cstheme="minorHAnsi"/>
              </w:rPr>
              <w:t xml:space="preserve">40mL/min: </w:t>
            </w:r>
            <w:r>
              <w:rPr>
                <w:rFonts w:asciiTheme="minorHAnsi" w:hAnsiTheme="minorHAnsi" w:cstheme="minorHAnsi"/>
              </w:rPr>
              <w:t xml:space="preserve">              </w:t>
            </w:r>
            <w:r w:rsidRPr="008C597A">
              <w:rPr>
                <w:rFonts w:asciiTheme="minorHAnsi" w:hAnsiTheme="minorHAnsi" w:cstheme="minorHAnsi"/>
              </w:rPr>
              <w:t>up to 380mg</w:t>
            </w:r>
          </w:p>
        </w:tc>
        <w:tc>
          <w:tcPr>
            <w:tcW w:w="3112" w:type="dxa"/>
            <w:tcBorders>
              <w:top w:val="nil"/>
              <w:left w:val="single" w:sz="4" w:space="0" w:color="auto"/>
              <w:bottom w:val="single" w:sz="4" w:space="0" w:color="auto"/>
              <w:right w:val="single" w:sz="4" w:space="0" w:color="auto"/>
            </w:tcBorders>
          </w:tcPr>
          <w:p w14:paraId="746A56F1" w14:textId="77777777" w:rsidR="00B75FF5" w:rsidRPr="008C597A" w:rsidRDefault="00B75FF5" w:rsidP="00FE6147">
            <w:pPr>
              <w:spacing w:before="0" w:line="240" w:lineRule="auto"/>
              <w:rPr>
                <w:rFonts w:asciiTheme="minorHAnsi" w:hAnsiTheme="minorHAnsi" w:cstheme="minorHAnsi"/>
                <w:b/>
                <w:bCs/>
              </w:rPr>
            </w:pPr>
          </w:p>
        </w:tc>
      </w:tr>
    </w:tbl>
    <w:p w14:paraId="59EBC59E" w14:textId="77777777" w:rsidR="002F7308" w:rsidRPr="00FE4823" w:rsidRDefault="002F7308" w:rsidP="002F7308">
      <w:pPr>
        <w:spacing w:before="0" w:line="240" w:lineRule="auto"/>
        <w:rPr>
          <w:rFonts w:asciiTheme="minorHAnsi" w:hAnsiTheme="minorHAnsi" w:cstheme="minorHAnsi"/>
        </w:rPr>
      </w:pPr>
      <w:r w:rsidRPr="00FE4823">
        <w:rPr>
          <w:rFonts w:asciiTheme="minorHAnsi" w:hAnsiTheme="minorHAnsi" w:cstheme="minorHAnsi"/>
        </w:rPr>
        <w:t>* All doses calculated using patients lean body weight</w:t>
      </w:r>
    </w:p>
    <w:p w14:paraId="31D11DF3" w14:textId="77777777" w:rsidR="00D92152" w:rsidRPr="00386B8C" w:rsidRDefault="00D92152" w:rsidP="00D92152">
      <w:pPr>
        <w:pStyle w:val="Heading4"/>
        <w:numPr>
          <w:ilvl w:val="0"/>
          <w:numId w:val="15"/>
        </w:numPr>
        <w:ind w:left="426" w:hanging="426"/>
      </w:pPr>
      <w:bookmarkStart w:id="21" w:name="_Toc171341015"/>
      <w:bookmarkStart w:id="22" w:name="_Toc181188543"/>
      <w:r w:rsidRPr="00386B8C">
        <w:lastRenderedPageBreak/>
        <w:t>Standard amikacin dosing</w:t>
      </w:r>
      <w:bookmarkEnd w:id="21"/>
      <w:bookmarkEnd w:id="22"/>
      <w:r w:rsidRPr="00386B8C">
        <w:t xml:space="preserve"> </w:t>
      </w:r>
    </w:p>
    <w:p w14:paraId="3E76BFB4" w14:textId="77777777" w:rsidR="00D92152" w:rsidRPr="00E81332" w:rsidRDefault="00D92152" w:rsidP="00D92152">
      <w:pPr>
        <w:pStyle w:val="Numberedlist"/>
        <w:numPr>
          <w:ilvl w:val="0"/>
          <w:numId w:val="9"/>
        </w:numPr>
      </w:pPr>
      <w:r w:rsidRPr="00E81332">
        <w:t xml:space="preserve">Determine if the patient </w:t>
      </w:r>
      <w:r>
        <w:t>is in septic shock or is requiring intensive care support</w:t>
      </w:r>
    </w:p>
    <w:p w14:paraId="6CA540B8" w14:textId="77777777" w:rsidR="00D92152" w:rsidRDefault="00D92152" w:rsidP="00D92152">
      <w:pPr>
        <w:pStyle w:val="Numberedlist"/>
      </w:pPr>
      <w:r>
        <w:t>Calculate the initial empiric dose by either:</w:t>
      </w:r>
    </w:p>
    <w:p w14:paraId="1AB0B501" w14:textId="77777777" w:rsidR="00D92152" w:rsidRPr="002262C4" w:rsidRDefault="00D92152" w:rsidP="00D92152">
      <w:pPr>
        <w:pStyle w:val="Numberedlist"/>
        <w:numPr>
          <w:ilvl w:val="1"/>
          <w:numId w:val="5"/>
        </w:numPr>
      </w:pPr>
      <w:r>
        <w:t xml:space="preserve">Determining the patients lean body weight and using this to dose as per </w:t>
      </w:r>
      <w:r>
        <w:rPr>
          <w:b/>
          <w:bCs/>
        </w:rPr>
        <w:t xml:space="preserve">Table 1, </w:t>
      </w:r>
      <w:r>
        <w:t xml:space="preserve">ensuring the dose is rounded up to nearest 125mg and capped as per the maximum dosing recommended in </w:t>
      </w:r>
      <w:r>
        <w:rPr>
          <w:b/>
          <w:bCs/>
        </w:rPr>
        <w:t>Table 2</w:t>
      </w:r>
    </w:p>
    <w:p w14:paraId="081C990B" w14:textId="77777777" w:rsidR="00D92152" w:rsidRPr="002262C4" w:rsidRDefault="00D92152" w:rsidP="00D92152">
      <w:pPr>
        <w:pStyle w:val="Numberedlist"/>
        <w:numPr>
          <w:ilvl w:val="0"/>
          <w:numId w:val="0"/>
        </w:numPr>
        <w:ind w:left="785"/>
      </w:pPr>
      <w:r>
        <w:rPr>
          <w:b/>
          <w:bCs/>
        </w:rPr>
        <w:t>OR</w:t>
      </w:r>
    </w:p>
    <w:p w14:paraId="4C27FEE1" w14:textId="77777777" w:rsidR="00D92152" w:rsidRPr="00E81332" w:rsidRDefault="00D92152" w:rsidP="00D92152">
      <w:pPr>
        <w:pStyle w:val="Numberedlist"/>
        <w:numPr>
          <w:ilvl w:val="1"/>
          <w:numId w:val="5"/>
        </w:numPr>
      </w:pPr>
      <w:r>
        <w:t xml:space="preserve">Utilising the Therapeutic Guidelines </w:t>
      </w:r>
      <w:hyperlink r:id="rId12" w:history="1">
        <w:r w:rsidRPr="003A0886">
          <w:rPr>
            <w:rStyle w:val="Hyperlink"/>
          </w:rPr>
          <w:t>Amikacin initial dose calculator for adults</w:t>
        </w:r>
      </w:hyperlink>
      <w:r w:rsidRPr="00E81332">
        <w:t xml:space="preserve"> </w:t>
      </w:r>
      <w:r>
        <w:t>to calculate the initial dose</w:t>
      </w:r>
    </w:p>
    <w:p w14:paraId="3569ED4F" w14:textId="77777777" w:rsidR="00D92152" w:rsidRPr="00E81332" w:rsidRDefault="00D92152" w:rsidP="00D92152">
      <w:pPr>
        <w:pStyle w:val="Numberedlist"/>
      </w:pPr>
      <w:r w:rsidRPr="00E81332">
        <w:t>Dosing frequency is once in a 24-hour period when using amikacin for standard indications (</w:t>
      </w:r>
      <w:r w:rsidRPr="000D46FD">
        <w:t xml:space="preserve">refer to </w:t>
      </w:r>
      <w:r w:rsidRPr="003A0886">
        <w:rPr>
          <w:b/>
          <w:bCs/>
        </w:rPr>
        <w:t>Section 2.4.4</w:t>
      </w:r>
      <w:r w:rsidRPr="00E81332">
        <w:t xml:space="preserve"> for advice for mycobacterial indications) – chart the initial dose and order TDM if patient is planned to receive more than 1 dose. If TDM is required, </w:t>
      </w:r>
      <w:r w:rsidRPr="000D46FD">
        <w:t xml:space="preserve">refer to </w:t>
      </w:r>
      <w:r w:rsidRPr="003A0886">
        <w:rPr>
          <w:b/>
          <w:bCs/>
        </w:rPr>
        <w:t>Section 3.4</w:t>
      </w:r>
      <w:hyperlink w:anchor="_Section_2.2:_Two-Sample"/>
      <w:r w:rsidRPr="003A0886">
        <w:rPr>
          <w:rStyle w:val="Hyperlink"/>
          <w:rFonts w:asciiTheme="minorHAnsi" w:hAnsiTheme="minorHAnsi" w:cstheme="minorHAnsi"/>
          <w:u w:val="none"/>
        </w:rPr>
        <w:t>: t</w:t>
      </w:r>
      <w:r>
        <w:t>wo serum</w:t>
      </w:r>
      <w:r w:rsidRPr="002C45A6">
        <w:t xml:space="preserve"> TDM</w:t>
      </w:r>
      <w:r>
        <w:t>.</w:t>
      </w:r>
    </w:p>
    <w:p w14:paraId="3D011886" w14:textId="77777777" w:rsidR="00D92152" w:rsidRPr="00E81332" w:rsidRDefault="00D92152" w:rsidP="00D92152">
      <w:pPr>
        <w:pStyle w:val="Heading5"/>
      </w:pPr>
      <w:bookmarkStart w:id="23" w:name="_Toc171341016"/>
      <w:r w:rsidRPr="00E81332">
        <w:t xml:space="preserve">Table 2: </w:t>
      </w:r>
      <w:r>
        <w:t>Initial a</w:t>
      </w:r>
      <w:r w:rsidRPr="00E81332">
        <w:t xml:space="preserve">mikacin dosing in </w:t>
      </w:r>
      <w:r>
        <w:t xml:space="preserve">ADULT </w:t>
      </w:r>
      <w:r w:rsidRPr="00E81332">
        <w:t xml:space="preserve">patients without special considerations </w:t>
      </w:r>
    </w:p>
    <w:tbl>
      <w:tblPr>
        <w:tblStyle w:val="TableGrid"/>
        <w:tblW w:w="0" w:type="auto"/>
        <w:tblLook w:val="04A0" w:firstRow="1" w:lastRow="0" w:firstColumn="1" w:lastColumn="0" w:noHBand="0" w:noVBand="1"/>
      </w:tblPr>
      <w:tblGrid>
        <w:gridCol w:w="3114"/>
        <w:gridCol w:w="3685"/>
        <w:gridCol w:w="3112"/>
      </w:tblGrid>
      <w:tr w:rsidR="00D92152" w:rsidRPr="008C597A" w14:paraId="1589FAF1" w14:textId="77777777" w:rsidTr="00FE6147">
        <w:tc>
          <w:tcPr>
            <w:tcW w:w="3114" w:type="dxa"/>
            <w:shd w:val="clear" w:color="auto" w:fill="D9D9D9" w:themeFill="background1" w:themeFillShade="D9"/>
          </w:tcPr>
          <w:p w14:paraId="6E16B042" w14:textId="77777777" w:rsidR="00D92152" w:rsidRPr="008C597A" w:rsidRDefault="00D92152" w:rsidP="00FE6147">
            <w:pPr>
              <w:spacing w:before="0" w:line="240" w:lineRule="auto"/>
              <w:rPr>
                <w:rFonts w:asciiTheme="minorHAnsi" w:hAnsiTheme="minorHAnsi" w:cstheme="minorHAnsi"/>
                <w:b/>
                <w:bCs/>
              </w:rPr>
            </w:pPr>
            <w:r w:rsidRPr="008C597A">
              <w:rPr>
                <w:rFonts w:asciiTheme="minorHAnsi" w:hAnsiTheme="minorHAnsi" w:cstheme="minorHAnsi"/>
                <w:b/>
                <w:bCs/>
              </w:rPr>
              <w:t>Clinical dosing context</w:t>
            </w:r>
          </w:p>
        </w:tc>
        <w:tc>
          <w:tcPr>
            <w:tcW w:w="3685" w:type="dxa"/>
            <w:shd w:val="clear" w:color="auto" w:fill="D9D9D9" w:themeFill="background1" w:themeFillShade="D9"/>
          </w:tcPr>
          <w:p w14:paraId="7774D42D" w14:textId="77777777" w:rsidR="00D92152" w:rsidRPr="008C597A" w:rsidRDefault="00D92152" w:rsidP="00FE6147">
            <w:pPr>
              <w:spacing w:before="0" w:line="240" w:lineRule="auto"/>
              <w:rPr>
                <w:rFonts w:asciiTheme="minorHAnsi" w:hAnsiTheme="minorHAnsi" w:cstheme="minorHAnsi"/>
                <w:b/>
                <w:bCs/>
              </w:rPr>
            </w:pPr>
            <w:r w:rsidRPr="008C597A">
              <w:rPr>
                <w:rFonts w:asciiTheme="minorHAnsi" w:hAnsiTheme="minorHAnsi" w:cstheme="minorHAnsi"/>
                <w:b/>
                <w:bCs/>
              </w:rPr>
              <w:t>Renal function and dose</w:t>
            </w:r>
          </w:p>
        </w:tc>
        <w:tc>
          <w:tcPr>
            <w:tcW w:w="3112" w:type="dxa"/>
            <w:shd w:val="clear" w:color="auto" w:fill="D9D9D9" w:themeFill="background1" w:themeFillShade="D9"/>
          </w:tcPr>
          <w:p w14:paraId="57FCBA75" w14:textId="77777777" w:rsidR="00D92152" w:rsidRPr="008C597A" w:rsidRDefault="00D92152" w:rsidP="00FE6147">
            <w:pPr>
              <w:spacing w:before="0" w:line="240" w:lineRule="auto"/>
              <w:rPr>
                <w:rFonts w:asciiTheme="minorHAnsi" w:hAnsiTheme="minorHAnsi" w:cstheme="minorHAnsi"/>
                <w:b/>
                <w:bCs/>
              </w:rPr>
            </w:pPr>
            <w:r w:rsidRPr="008C597A">
              <w:rPr>
                <w:rFonts w:asciiTheme="minorHAnsi" w:hAnsiTheme="minorHAnsi" w:cstheme="minorHAnsi"/>
                <w:b/>
                <w:bCs/>
              </w:rPr>
              <w:t>Dosing frequency</w:t>
            </w:r>
          </w:p>
        </w:tc>
      </w:tr>
      <w:tr w:rsidR="00D92152" w:rsidRPr="008C597A" w14:paraId="758E3B03" w14:textId="77777777" w:rsidTr="00B75FF5">
        <w:tc>
          <w:tcPr>
            <w:tcW w:w="3114" w:type="dxa"/>
            <w:tcBorders>
              <w:bottom w:val="single" w:sz="4" w:space="0" w:color="auto"/>
            </w:tcBorders>
          </w:tcPr>
          <w:p w14:paraId="696C9A42" w14:textId="77777777" w:rsidR="00D92152" w:rsidRPr="00CA653E" w:rsidRDefault="00D92152" w:rsidP="00FE6147">
            <w:pPr>
              <w:spacing w:before="0" w:line="240" w:lineRule="auto"/>
              <w:rPr>
                <w:rFonts w:asciiTheme="minorHAnsi" w:hAnsiTheme="minorHAnsi" w:cstheme="minorHAnsi"/>
              </w:rPr>
            </w:pPr>
            <w:r w:rsidRPr="008C597A">
              <w:rPr>
                <w:rFonts w:asciiTheme="minorHAnsi" w:hAnsiTheme="minorHAnsi" w:cstheme="minorHAnsi"/>
              </w:rPr>
              <w:t>Patients with septic shock or requiring ICU</w:t>
            </w:r>
          </w:p>
        </w:tc>
        <w:tc>
          <w:tcPr>
            <w:tcW w:w="3685" w:type="dxa"/>
          </w:tcPr>
          <w:p w14:paraId="0666C45A" w14:textId="77777777" w:rsidR="00D92152" w:rsidRPr="00CA653E" w:rsidRDefault="00D92152" w:rsidP="00FE6147">
            <w:pPr>
              <w:spacing w:before="0" w:line="240" w:lineRule="auto"/>
              <w:rPr>
                <w:rFonts w:asciiTheme="minorHAnsi" w:hAnsiTheme="minorHAnsi" w:cstheme="minorHAnsi"/>
              </w:rPr>
            </w:pPr>
            <w:r>
              <w:rPr>
                <w:rFonts w:asciiTheme="minorHAnsi" w:hAnsiTheme="minorHAnsi" w:cstheme="minorHAnsi"/>
              </w:rPr>
              <w:t>30</w:t>
            </w:r>
            <w:r w:rsidRPr="008C597A">
              <w:rPr>
                <w:rFonts w:asciiTheme="minorHAnsi" w:hAnsiTheme="minorHAnsi" w:cstheme="minorHAnsi"/>
              </w:rPr>
              <w:t xml:space="preserve">mg/kg (irrespective of renal function) up to </w:t>
            </w:r>
            <w:r>
              <w:rPr>
                <w:rFonts w:asciiTheme="minorHAnsi" w:hAnsiTheme="minorHAnsi" w:cstheme="minorHAnsi"/>
              </w:rPr>
              <w:t>2500mg</w:t>
            </w:r>
          </w:p>
        </w:tc>
        <w:tc>
          <w:tcPr>
            <w:tcW w:w="3112" w:type="dxa"/>
          </w:tcPr>
          <w:p w14:paraId="2F87532A" w14:textId="77777777" w:rsidR="00D92152" w:rsidRPr="008C597A" w:rsidRDefault="00D92152" w:rsidP="00FE6147">
            <w:pPr>
              <w:spacing w:before="0" w:line="240" w:lineRule="auto"/>
              <w:rPr>
                <w:rFonts w:asciiTheme="minorHAnsi" w:hAnsiTheme="minorHAnsi" w:cstheme="minorHAnsi"/>
              </w:rPr>
            </w:pPr>
            <w:r w:rsidRPr="008C597A">
              <w:rPr>
                <w:rFonts w:asciiTheme="minorHAnsi" w:hAnsiTheme="minorHAnsi" w:cstheme="minorHAnsi"/>
              </w:rPr>
              <w:t>Single dose, next dose calculated as per TDM</w:t>
            </w:r>
          </w:p>
        </w:tc>
      </w:tr>
      <w:tr w:rsidR="00B75FF5" w:rsidRPr="008C597A" w14:paraId="3DC437C7" w14:textId="77777777" w:rsidTr="00B75FF5">
        <w:tc>
          <w:tcPr>
            <w:tcW w:w="3114" w:type="dxa"/>
            <w:tcBorders>
              <w:top w:val="single" w:sz="4" w:space="0" w:color="auto"/>
              <w:left w:val="single" w:sz="4" w:space="0" w:color="auto"/>
              <w:bottom w:val="nil"/>
              <w:right w:val="single" w:sz="4" w:space="0" w:color="auto"/>
            </w:tcBorders>
          </w:tcPr>
          <w:p w14:paraId="6C7ACA3D" w14:textId="77777777"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Patients without septic shock not requiring ICU</w:t>
            </w:r>
          </w:p>
        </w:tc>
        <w:tc>
          <w:tcPr>
            <w:tcW w:w="3685" w:type="dxa"/>
            <w:tcBorders>
              <w:left w:val="single" w:sz="4" w:space="0" w:color="auto"/>
            </w:tcBorders>
          </w:tcPr>
          <w:p w14:paraId="31FDA19F" w14:textId="5C2B758E" w:rsidR="00B75FF5" w:rsidRDefault="00B75FF5" w:rsidP="00FE6147">
            <w:pPr>
              <w:spacing w:before="0" w:line="240" w:lineRule="auto"/>
              <w:rPr>
                <w:rFonts w:asciiTheme="minorHAnsi" w:hAnsiTheme="minorHAnsi" w:cstheme="minorHAnsi"/>
              </w:rPr>
            </w:pPr>
            <w:proofErr w:type="spellStart"/>
            <w:r w:rsidRPr="008C597A">
              <w:rPr>
                <w:rFonts w:asciiTheme="minorHAnsi" w:hAnsiTheme="minorHAnsi" w:cstheme="minorHAnsi"/>
              </w:rPr>
              <w:t>CrCl</w:t>
            </w:r>
            <w:proofErr w:type="spellEnd"/>
            <w:r w:rsidRPr="008C597A">
              <w:rPr>
                <w:rFonts w:asciiTheme="minorHAnsi" w:hAnsiTheme="minorHAnsi" w:cstheme="minorHAnsi"/>
              </w:rPr>
              <w:t xml:space="preserve"> &gt; </w:t>
            </w:r>
            <w:r>
              <w:rPr>
                <w:rFonts w:asciiTheme="minorHAnsi" w:hAnsiTheme="minorHAnsi" w:cstheme="minorHAnsi"/>
              </w:rPr>
              <w:t xml:space="preserve">                   </w:t>
            </w:r>
            <w:r>
              <w:rPr>
                <w:rFonts w:asciiTheme="minorHAnsi" w:hAnsiTheme="minorHAnsi" w:cstheme="minorHAnsi"/>
              </w:rPr>
              <w:t>30</w:t>
            </w:r>
            <w:r w:rsidRPr="008C597A">
              <w:rPr>
                <w:rFonts w:asciiTheme="minorHAnsi" w:hAnsiTheme="minorHAnsi" w:cstheme="minorHAnsi"/>
              </w:rPr>
              <w:t>mg/kg*</w:t>
            </w:r>
          </w:p>
          <w:p w14:paraId="421191AD" w14:textId="49DE82A3"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 xml:space="preserve">60mL/min: </w:t>
            </w:r>
            <w:r>
              <w:rPr>
                <w:rFonts w:asciiTheme="minorHAnsi" w:hAnsiTheme="minorHAnsi" w:cstheme="minorHAnsi"/>
              </w:rPr>
              <w:t xml:space="preserve">            </w:t>
            </w:r>
            <w:r w:rsidRPr="008C597A">
              <w:rPr>
                <w:rFonts w:asciiTheme="minorHAnsi" w:hAnsiTheme="minorHAnsi" w:cstheme="minorHAnsi"/>
              </w:rPr>
              <w:t xml:space="preserve">up to </w:t>
            </w:r>
            <w:r>
              <w:rPr>
                <w:rFonts w:asciiTheme="minorHAnsi" w:hAnsiTheme="minorHAnsi" w:cstheme="minorHAnsi"/>
              </w:rPr>
              <w:t>2500</w:t>
            </w:r>
            <w:r w:rsidRPr="008C597A">
              <w:rPr>
                <w:rFonts w:asciiTheme="minorHAnsi" w:hAnsiTheme="minorHAnsi" w:cstheme="minorHAnsi"/>
              </w:rPr>
              <w:t>mg</w:t>
            </w:r>
          </w:p>
        </w:tc>
        <w:tc>
          <w:tcPr>
            <w:tcW w:w="3112" w:type="dxa"/>
            <w:tcBorders>
              <w:bottom w:val="single" w:sz="4" w:space="0" w:color="auto"/>
            </w:tcBorders>
          </w:tcPr>
          <w:p w14:paraId="370E61A1" w14:textId="77777777"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 xml:space="preserve">24-hourly </w:t>
            </w:r>
          </w:p>
        </w:tc>
      </w:tr>
      <w:tr w:rsidR="00B75FF5" w:rsidRPr="008C597A" w14:paraId="46226F49" w14:textId="77777777" w:rsidTr="00B75FF5">
        <w:tc>
          <w:tcPr>
            <w:tcW w:w="3114" w:type="dxa"/>
            <w:tcBorders>
              <w:top w:val="nil"/>
              <w:left w:val="single" w:sz="4" w:space="0" w:color="auto"/>
              <w:bottom w:val="nil"/>
              <w:right w:val="single" w:sz="4" w:space="0" w:color="auto"/>
            </w:tcBorders>
          </w:tcPr>
          <w:p w14:paraId="2B9CA26A" w14:textId="77777777" w:rsidR="00B75FF5" w:rsidRPr="008C597A" w:rsidRDefault="00B75FF5" w:rsidP="00FE6147">
            <w:pPr>
              <w:spacing w:before="0" w:line="240" w:lineRule="auto"/>
              <w:rPr>
                <w:rFonts w:asciiTheme="minorHAnsi" w:hAnsiTheme="minorHAnsi" w:cstheme="minorHAnsi"/>
              </w:rPr>
            </w:pPr>
          </w:p>
        </w:tc>
        <w:tc>
          <w:tcPr>
            <w:tcW w:w="3685" w:type="dxa"/>
            <w:tcBorders>
              <w:left w:val="single" w:sz="4" w:space="0" w:color="auto"/>
              <w:right w:val="single" w:sz="4" w:space="0" w:color="auto"/>
            </w:tcBorders>
          </w:tcPr>
          <w:p w14:paraId="428CF65F" w14:textId="36E7DCCB" w:rsidR="00B75FF5" w:rsidRDefault="00B75FF5" w:rsidP="00FE6147">
            <w:pPr>
              <w:spacing w:before="0" w:line="240" w:lineRule="auto"/>
              <w:rPr>
                <w:rFonts w:asciiTheme="minorHAnsi" w:hAnsiTheme="minorHAnsi" w:cstheme="minorHAnsi"/>
              </w:rPr>
            </w:pPr>
            <w:proofErr w:type="spellStart"/>
            <w:r w:rsidRPr="008C597A">
              <w:rPr>
                <w:rFonts w:asciiTheme="minorHAnsi" w:hAnsiTheme="minorHAnsi" w:cstheme="minorHAnsi"/>
              </w:rPr>
              <w:t>CrCl</w:t>
            </w:r>
            <w:proofErr w:type="spellEnd"/>
            <w:r w:rsidRPr="008C597A">
              <w:rPr>
                <w:rFonts w:asciiTheme="minorHAnsi" w:hAnsiTheme="minorHAnsi" w:cstheme="minorHAnsi"/>
              </w:rPr>
              <w:t xml:space="preserve"> 40 – 60 </w:t>
            </w:r>
            <w:r>
              <w:rPr>
                <w:rFonts w:asciiTheme="minorHAnsi" w:hAnsiTheme="minorHAnsi" w:cstheme="minorHAnsi"/>
              </w:rPr>
              <w:t xml:space="preserve">         </w:t>
            </w:r>
            <w:r>
              <w:rPr>
                <w:rFonts w:asciiTheme="minorHAnsi" w:hAnsiTheme="minorHAnsi" w:cstheme="minorHAnsi"/>
              </w:rPr>
              <w:t>20</w:t>
            </w:r>
            <w:r w:rsidRPr="008C597A">
              <w:rPr>
                <w:rFonts w:asciiTheme="minorHAnsi" w:hAnsiTheme="minorHAnsi" w:cstheme="minorHAnsi"/>
              </w:rPr>
              <w:t>mg/kg*</w:t>
            </w:r>
          </w:p>
          <w:p w14:paraId="7441D174" w14:textId="5DE0086F"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 xml:space="preserve">mL/min: </w:t>
            </w:r>
            <w:r>
              <w:rPr>
                <w:rFonts w:asciiTheme="minorHAnsi" w:hAnsiTheme="minorHAnsi" w:cstheme="minorHAnsi"/>
              </w:rPr>
              <w:t xml:space="preserve">                </w:t>
            </w:r>
            <w:r w:rsidRPr="008C597A">
              <w:rPr>
                <w:rFonts w:asciiTheme="minorHAnsi" w:hAnsiTheme="minorHAnsi" w:cstheme="minorHAnsi"/>
              </w:rPr>
              <w:t xml:space="preserve">up to </w:t>
            </w:r>
            <w:r>
              <w:rPr>
                <w:rFonts w:asciiTheme="minorHAnsi" w:hAnsiTheme="minorHAnsi" w:cstheme="minorHAnsi"/>
              </w:rPr>
              <w:t>1625</w:t>
            </w:r>
            <w:r w:rsidRPr="008C597A">
              <w:rPr>
                <w:rFonts w:asciiTheme="minorHAnsi" w:hAnsiTheme="minorHAnsi" w:cstheme="minorHAnsi"/>
              </w:rPr>
              <w:t>mg</w:t>
            </w:r>
          </w:p>
        </w:tc>
        <w:tc>
          <w:tcPr>
            <w:tcW w:w="3112" w:type="dxa"/>
            <w:tcBorders>
              <w:top w:val="single" w:sz="4" w:space="0" w:color="auto"/>
              <w:left w:val="single" w:sz="4" w:space="0" w:color="auto"/>
              <w:bottom w:val="nil"/>
              <w:right w:val="single" w:sz="4" w:space="0" w:color="auto"/>
            </w:tcBorders>
          </w:tcPr>
          <w:p w14:paraId="1C0D527E" w14:textId="77777777" w:rsidR="00B75FF5" w:rsidRPr="008C597A" w:rsidRDefault="00B75FF5" w:rsidP="00FE6147">
            <w:pPr>
              <w:spacing w:before="0" w:line="240" w:lineRule="auto"/>
              <w:rPr>
                <w:rFonts w:asciiTheme="minorHAnsi" w:hAnsiTheme="minorHAnsi" w:cstheme="minorHAnsi"/>
              </w:rPr>
            </w:pPr>
            <w:r w:rsidRPr="008C597A">
              <w:rPr>
                <w:rFonts w:asciiTheme="minorHAnsi" w:hAnsiTheme="minorHAnsi" w:cstheme="minorHAnsi"/>
              </w:rPr>
              <w:t xml:space="preserve">Single dose, next dose as per TDM or alternative antibiotic </w:t>
            </w:r>
            <w:r>
              <w:rPr>
                <w:rFonts w:asciiTheme="minorHAnsi" w:hAnsiTheme="minorHAnsi" w:cstheme="minorHAnsi"/>
              </w:rPr>
              <w:t xml:space="preserve">required </w:t>
            </w:r>
            <w:r w:rsidRPr="008C597A">
              <w:rPr>
                <w:rFonts w:asciiTheme="minorHAnsi" w:hAnsiTheme="minorHAnsi" w:cstheme="minorHAnsi"/>
              </w:rPr>
              <w:t>if the patient is not clearing well.</w:t>
            </w:r>
          </w:p>
        </w:tc>
      </w:tr>
      <w:tr w:rsidR="00B75FF5" w:rsidRPr="008C597A" w14:paraId="0C1D113D" w14:textId="77777777" w:rsidTr="00B75FF5">
        <w:tc>
          <w:tcPr>
            <w:tcW w:w="3114" w:type="dxa"/>
            <w:tcBorders>
              <w:top w:val="nil"/>
              <w:left w:val="single" w:sz="4" w:space="0" w:color="auto"/>
              <w:bottom w:val="single" w:sz="4" w:space="0" w:color="auto"/>
              <w:right w:val="single" w:sz="4" w:space="0" w:color="auto"/>
            </w:tcBorders>
          </w:tcPr>
          <w:p w14:paraId="3214103F" w14:textId="77777777" w:rsidR="00B75FF5" w:rsidRPr="008C597A" w:rsidRDefault="00B75FF5" w:rsidP="00FE6147">
            <w:pPr>
              <w:spacing w:before="0" w:line="240" w:lineRule="auto"/>
              <w:rPr>
                <w:rFonts w:asciiTheme="minorHAnsi" w:hAnsiTheme="minorHAnsi" w:cstheme="minorHAnsi"/>
                <w:b/>
                <w:bCs/>
              </w:rPr>
            </w:pPr>
          </w:p>
        </w:tc>
        <w:tc>
          <w:tcPr>
            <w:tcW w:w="3685" w:type="dxa"/>
            <w:tcBorders>
              <w:left w:val="single" w:sz="4" w:space="0" w:color="auto"/>
              <w:right w:val="single" w:sz="4" w:space="0" w:color="auto"/>
            </w:tcBorders>
          </w:tcPr>
          <w:p w14:paraId="67A37511" w14:textId="47CAA412" w:rsidR="00B75FF5" w:rsidRDefault="00B75FF5" w:rsidP="00FE6147">
            <w:pPr>
              <w:spacing w:before="0" w:line="240" w:lineRule="auto"/>
              <w:rPr>
                <w:rFonts w:asciiTheme="minorHAnsi" w:hAnsiTheme="minorHAnsi" w:cstheme="minorHAnsi"/>
              </w:rPr>
            </w:pPr>
            <w:proofErr w:type="spellStart"/>
            <w:r w:rsidRPr="008C597A">
              <w:rPr>
                <w:rFonts w:asciiTheme="minorHAnsi" w:hAnsiTheme="minorHAnsi" w:cstheme="minorHAnsi"/>
              </w:rPr>
              <w:t>CrCl</w:t>
            </w:r>
            <w:proofErr w:type="spellEnd"/>
            <w:r w:rsidRPr="008C597A">
              <w:rPr>
                <w:rFonts w:asciiTheme="minorHAnsi" w:hAnsiTheme="minorHAnsi" w:cstheme="minorHAnsi"/>
              </w:rPr>
              <w:t xml:space="preserve"> &lt; </w:t>
            </w:r>
            <w:r>
              <w:rPr>
                <w:rFonts w:asciiTheme="minorHAnsi" w:hAnsiTheme="minorHAnsi" w:cstheme="minorHAnsi"/>
              </w:rPr>
              <w:t xml:space="preserve">                   </w:t>
            </w:r>
            <w:r>
              <w:rPr>
                <w:rFonts w:asciiTheme="minorHAnsi" w:hAnsiTheme="minorHAnsi" w:cstheme="minorHAnsi"/>
              </w:rPr>
              <w:t>15</w:t>
            </w:r>
            <w:r w:rsidRPr="008C597A">
              <w:rPr>
                <w:rFonts w:asciiTheme="minorHAnsi" w:hAnsiTheme="minorHAnsi" w:cstheme="minorHAnsi"/>
              </w:rPr>
              <w:t>mg/kg*</w:t>
            </w:r>
          </w:p>
          <w:p w14:paraId="52CE233E" w14:textId="779D0A2E" w:rsidR="00B75FF5" w:rsidRPr="00B75FF5" w:rsidRDefault="00B75FF5" w:rsidP="00FE6147">
            <w:pPr>
              <w:spacing w:before="0" w:line="240" w:lineRule="auto"/>
              <w:rPr>
                <w:rFonts w:asciiTheme="minorHAnsi" w:hAnsiTheme="minorHAnsi" w:cstheme="minorHAnsi"/>
                <w:b/>
                <w:bCs/>
              </w:rPr>
            </w:pPr>
            <w:r w:rsidRPr="008C597A">
              <w:rPr>
                <w:rFonts w:asciiTheme="minorHAnsi" w:hAnsiTheme="minorHAnsi" w:cstheme="minorHAnsi"/>
              </w:rPr>
              <w:t xml:space="preserve">40mL/min: </w:t>
            </w:r>
            <w:r>
              <w:rPr>
                <w:rFonts w:asciiTheme="minorHAnsi" w:hAnsiTheme="minorHAnsi" w:cstheme="minorHAnsi"/>
              </w:rPr>
              <w:t xml:space="preserve">            </w:t>
            </w:r>
            <w:r w:rsidRPr="008C597A">
              <w:rPr>
                <w:rFonts w:asciiTheme="minorHAnsi" w:hAnsiTheme="minorHAnsi" w:cstheme="minorHAnsi"/>
              </w:rPr>
              <w:t xml:space="preserve">up to </w:t>
            </w:r>
            <w:r>
              <w:rPr>
                <w:rFonts w:asciiTheme="minorHAnsi" w:hAnsiTheme="minorHAnsi" w:cstheme="minorHAnsi"/>
              </w:rPr>
              <w:t>1250</w:t>
            </w:r>
            <w:r w:rsidRPr="008C597A">
              <w:rPr>
                <w:rFonts w:asciiTheme="minorHAnsi" w:hAnsiTheme="minorHAnsi" w:cstheme="minorHAnsi"/>
              </w:rPr>
              <w:t>mg</w:t>
            </w:r>
          </w:p>
        </w:tc>
        <w:tc>
          <w:tcPr>
            <w:tcW w:w="3112" w:type="dxa"/>
            <w:tcBorders>
              <w:top w:val="nil"/>
              <w:left w:val="single" w:sz="4" w:space="0" w:color="auto"/>
              <w:bottom w:val="single" w:sz="4" w:space="0" w:color="auto"/>
              <w:right w:val="single" w:sz="4" w:space="0" w:color="auto"/>
            </w:tcBorders>
          </w:tcPr>
          <w:p w14:paraId="492ADAEA" w14:textId="77777777" w:rsidR="00B75FF5" w:rsidRPr="008C597A" w:rsidRDefault="00B75FF5" w:rsidP="00FE6147">
            <w:pPr>
              <w:spacing w:before="0" w:line="240" w:lineRule="auto"/>
              <w:rPr>
                <w:rFonts w:asciiTheme="minorHAnsi" w:hAnsiTheme="minorHAnsi" w:cstheme="minorHAnsi"/>
                <w:b/>
                <w:bCs/>
              </w:rPr>
            </w:pPr>
          </w:p>
        </w:tc>
      </w:tr>
    </w:tbl>
    <w:p w14:paraId="0FFC3C39" w14:textId="10A8AF8C" w:rsidR="00BF2C23" w:rsidRPr="00D92152" w:rsidRDefault="00D92152" w:rsidP="00D92152">
      <w:pPr>
        <w:spacing w:before="0" w:line="240" w:lineRule="auto"/>
        <w:rPr>
          <w:rFonts w:asciiTheme="minorHAnsi" w:hAnsiTheme="minorHAnsi" w:cstheme="minorHAnsi"/>
        </w:rPr>
      </w:pPr>
      <w:r w:rsidRPr="00FE4823">
        <w:rPr>
          <w:rFonts w:asciiTheme="minorHAnsi" w:hAnsiTheme="minorHAnsi" w:cstheme="minorHAnsi"/>
        </w:rPr>
        <w:t>* All doses calculated using patients lean body weight</w:t>
      </w:r>
    </w:p>
    <w:p w14:paraId="25F05A04" w14:textId="2017563C" w:rsidR="007D171B" w:rsidRPr="007D171B" w:rsidRDefault="007D171B" w:rsidP="00532336">
      <w:pPr>
        <w:pStyle w:val="Heading4"/>
        <w:numPr>
          <w:ilvl w:val="0"/>
          <w:numId w:val="15"/>
        </w:numPr>
        <w:ind w:left="426" w:hanging="426"/>
      </w:pPr>
      <w:bookmarkStart w:id="24" w:name="_Toc181188544"/>
      <w:r w:rsidRPr="007D171B">
        <w:t>Dosing in patients with special considerations</w:t>
      </w:r>
      <w:bookmarkStart w:id="25" w:name="_Section_1.3.1:_Cystic"/>
      <w:bookmarkEnd w:id="23"/>
      <w:bookmarkEnd w:id="24"/>
      <w:bookmarkEnd w:id="25"/>
    </w:p>
    <w:p w14:paraId="10BA0800" w14:textId="0F705CA0" w:rsidR="007D171B" w:rsidRPr="00E81332" w:rsidRDefault="007D171B" w:rsidP="007D171B">
      <w:pPr>
        <w:pStyle w:val="Heading5"/>
        <w:rPr>
          <w:b/>
        </w:rPr>
      </w:pPr>
      <w:bookmarkStart w:id="26" w:name="_Toc171341017"/>
      <w:r>
        <w:t>2</w:t>
      </w:r>
      <w:r w:rsidRPr="00E81332">
        <w:t>.</w:t>
      </w:r>
      <w:r w:rsidR="00D31241">
        <w:t>4</w:t>
      </w:r>
      <w:r w:rsidRPr="00E81332">
        <w:t>.1: Cystic</w:t>
      </w:r>
      <w:r w:rsidR="006446A8">
        <w:t xml:space="preserve"> f</w:t>
      </w:r>
      <w:r w:rsidRPr="00E81332">
        <w:t>ibrosis</w:t>
      </w:r>
      <w:bookmarkEnd w:id="26"/>
    </w:p>
    <w:p w14:paraId="4BD1927C" w14:textId="4E2F8DD1" w:rsidR="007D171B" w:rsidRDefault="007D171B" w:rsidP="007D171B">
      <w:pPr>
        <w:rPr>
          <w:rFonts w:asciiTheme="minorHAnsi" w:hAnsiTheme="minorHAnsi" w:cstheme="minorHAnsi"/>
        </w:rPr>
      </w:pPr>
      <w:r w:rsidRPr="00E81332">
        <w:rPr>
          <w:rFonts w:asciiTheme="minorHAnsi" w:hAnsiTheme="minorHAnsi" w:cstheme="minorHAnsi"/>
        </w:rPr>
        <w:t xml:space="preserve">Dosing requirements are higher in this population due to altered volume of distribution and increased drug clearance. Aminoglycosides, particularly tobramycin, are commonly used for ‘tune-ups’ of infective exacerbations in patients colonised with </w:t>
      </w:r>
      <w:r w:rsidRPr="00E81332">
        <w:rPr>
          <w:rFonts w:asciiTheme="minorHAnsi" w:hAnsiTheme="minorHAnsi" w:cstheme="minorHAnsi"/>
          <w:i/>
          <w:iCs/>
        </w:rPr>
        <w:t>Pseudomonas</w:t>
      </w:r>
      <w:r w:rsidRPr="00E81332">
        <w:rPr>
          <w:rFonts w:asciiTheme="minorHAnsi" w:hAnsiTheme="minorHAnsi" w:cstheme="minorHAnsi"/>
        </w:rPr>
        <w:t xml:space="preserve">. </w:t>
      </w:r>
      <w:r w:rsidRPr="00E81332">
        <w:rPr>
          <w:rFonts w:asciiTheme="minorHAnsi" w:hAnsiTheme="minorHAnsi" w:cstheme="minorHAnsi"/>
          <w:b/>
          <w:bCs/>
        </w:rPr>
        <w:t>Total body</w:t>
      </w:r>
      <w:r w:rsidRPr="00E81332">
        <w:rPr>
          <w:rFonts w:asciiTheme="minorHAnsi" w:hAnsiTheme="minorHAnsi" w:cstheme="minorHAnsi"/>
        </w:rPr>
        <w:t xml:space="preserve"> </w:t>
      </w:r>
      <w:r w:rsidRPr="00E81332">
        <w:rPr>
          <w:rFonts w:asciiTheme="minorHAnsi" w:hAnsiTheme="minorHAnsi" w:cstheme="minorHAnsi"/>
          <w:b/>
          <w:bCs/>
        </w:rPr>
        <w:t>weight</w:t>
      </w:r>
      <w:r w:rsidRPr="00E81332">
        <w:rPr>
          <w:rFonts w:asciiTheme="minorHAnsi" w:hAnsiTheme="minorHAnsi" w:cstheme="minorHAnsi"/>
        </w:rPr>
        <w:t xml:space="preserve"> should be calculated in this population, as this is often lower than </w:t>
      </w:r>
      <w:r w:rsidR="00D92152">
        <w:rPr>
          <w:rFonts w:asciiTheme="minorHAnsi" w:hAnsiTheme="minorHAnsi" w:cstheme="minorHAnsi"/>
          <w:b/>
          <w:bCs/>
        </w:rPr>
        <w:t xml:space="preserve">lean </w:t>
      </w:r>
      <w:r w:rsidRPr="00E81332">
        <w:rPr>
          <w:rFonts w:asciiTheme="minorHAnsi" w:hAnsiTheme="minorHAnsi" w:cstheme="minorHAnsi"/>
          <w:b/>
          <w:bCs/>
        </w:rPr>
        <w:t>body weight</w:t>
      </w:r>
      <w:r w:rsidRPr="00E81332">
        <w:rPr>
          <w:rFonts w:asciiTheme="minorHAnsi" w:hAnsiTheme="minorHAnsi" w:cstheme="minorHAnsi"/>
        </w:rPr>
        <w:t xml:space="preserve">. </w:t>
      </w:r>
    </w:p>
    <w:p w14:paraId="4E9DB635" w14:textId="1363F9BB" w:rsidR="006E7099" w:rsidRPr="00E81332" w:rsidRDefault="006E7099" w:rsidP="006E7099">
      <w:pPr>
        <w:spacing w:before="0" w:after="0" w:line="240" w:lineRule="auto"/>
        <w:rPr>
          <w:rFonts w:asciiTheme="minorHAnsi" w:hAnsiTheme="minorHAnsi" w:cstheme="minorHAnsi"/>
        </w:rPr>
      </w:pPr>
      <w:r>
        <w:rPr>
          <w:rFonts w:asciiTheme="minorHAnsi" w:hAnsiTheme="minorHAnsi" w:cstheme="minorHAnsi"/>
        </w:rPr>
        <w:br w:type="page"/>
      </w:r>
    </w:p>
    <w:p w14:paraId="4E350EC8" w14:textId="77777777" w:rsidR="007D171B" w:rsidRPr="00E81332" w:rsidRDefault="007D171B" w:rsidP="007D171B">
      <w:pPr>
        <w:pStyle w:val="Heading5"/>
      </w:pPr>
      <w:r w:rsidRPr="00E81332">
        <w:lastRenderedPageBreak/>
        <w:t>Table 3: Starting doses in cystic fibrosis</w:t>
      </w:r>
    </w:p>
    <w:tbl>
      <w:tblPr>
        <w:tblStyle w:val="TableGrid"/>
        <w:tblW w:w="0" w:type="auto"/>
        <w:tblInd w:w="-147" w:type="dxa"/>
        <w:tblLook w:val="04A0" w:firstRow="1" w:lastRow="0" w:firstColumn="1" w:lastColumn="0" w:noHBand="0" w:noVBand="1"/>
      </w:tblPr>
      <w:tblGrid>
        <w:gridCol w:w="4537"/>
        <w:gridCol w:w="4670"/>
      </w:tblGrid>
      <w:tr w:rsidR="007D171B" w:rsidRPr="00E81332" w14:paraId="3393202E" w14:textId="77777777" w:rsidTr="006E3419">
        <w:tc>
          <w:tcPr>
            <w:tcW w:w="4537" w:type="dxa"/>
            <w:shd w:val="clear" w:color="auto" w:fill="D9D9D9" w:themeFill="background1" w:themeFillShade="D9"/>
          </w:tcPr>
          <w:p w14:paraId="6484FCA6" w14:textId="3B01AB41"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Gentamicin/tobramycin</w:t>
            </w:r>
          </w:p>
        </w:tc>
        <w:tc>
          <w:tcPr>
            <w:tcW w:w="4670" w:type="dxa"/>
            <w:shd w:val="clear" w:color="auto" w:fill="D9D9D9" w:themeFill="background1" w:themeFillShade="D9"/>
          </w:tcPr>
          <w:p w14:paraId="5CDD5F05" w14:textId="77777777"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Amikacin</w:t>
            </w:r>
          </w:p>
        </w:tc>
      </w:tr>
      <w:tr w:rsidR="007D171B" w:rsidRPr="00E81332" w14:paraId="128F2524" w14:textId="77777777" w:rsidTr="006E3419">
        <w:trPr>
          <w:trHeight w:val="227"/>
        </w:trPr>
        <w:tc>
          <w:tcPr>
            <w:tcW w:w="4537" w:type="dxa"/>
          </w:tcPr>
          <w:p w14:paraId="2E4644A0" w14:textId="41C12A55" w:rsidR="007D171B" w:rsidRPr="00E81332" w:rsidRDefault="007D171B" w:rsidP="006E3419">
            <w:pPr>
              <w:rPr>
                <w:rFonts w:asciiTheme="minorHAnsi" w:hAnsiTheme="minorHAnsi" w:cstheme="minorHAnsi"/>
              </w:rPr>
            </w:pPr>
            <w:r w:rsidRPr="00E81332">
              <w:rPr>
                <w:rFonts w:asciiTheme="minorHAnsi" w:hAnsiTheme="minorHAnsi" w:cstheme="minorHAnsi"/>
              </w:rPr>
              <w:t xml:space="preserve">10 mg/kg x total body weight up to 660mg once </w:t>
            </w:r>
            <w:r w:rsidR="004830A7">
              <w:rPr>
                <w:rFonts w:asciiTheme="minorHAnsi" w:hAnsiTheme="minorHAnsi" w:cstheme="minorHAnsi"/>
              </w:rPr>
              <w:t>every 24 hours</w:t>
            </w:r>
            <w:r w:rsidRPr="00E81332">
              <w:rPr>
                <w:rFonts w:asciiTheme="minorHAnsi" w:hAnsiTheme="minorHAnsi" w:cstheme="minorHAnsi"/>
              </w:rPr>
              <w:t xml:space="preserve">, OR </w:t>
            </w:r>
          </w:p>
          <w:p w14:paraId="58C385A4"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Same dose used last admission if guided by previous TDM</w:t>
            </w:r>
          </w:p>
        </w:tc>
        <w:tc>
          <w:tcPr>
            <w:tcW w:w="4670" w:type="dxa"/>
          </w:tcPr>
          <w:p w14:paraId="5FEAC469" w14:textId="542D260E" w:rsidR="007D171B" w:rsidRPr="00E81332" w:rsidRDefault="007D171B" w:rsidP="006E3419">
            <w:pPr>
              <w:rPr>
                <w:rFonts w:asciiTheme="minorHAnsi" w:hAnsiTheme="minorHAnsi" w:cstheme="minorHAnsi"/>
              </w:rPr>
            </w:pPr>
            <w:r w:rsidRPr="00E81332">
              <w:rPr>
                <w:rFonts w:asciiTheme="minorHAnsi" w:hAnsiTheme="minorHAnsi" w:cstheme="minorHAnsi"/>
              </w:rPr>
              <w:t>30-35 mg/kg x total body weight up to 2500mg once</w:t>
            </w:r>
            <w:r w:rsidR="004830A7">
              <w:rPr>
                <w:rFonts w:asciiTheme="minorHAnsi" w:hAnsiTheme="minorHAnsi" w:cstheme="minorHAnsi"/>
              </w:rPr>
              <w:t xml:space="preserve"> every 24 hours</w:t>
            </w:r>
            <w:r w:rsidRPr="00E81332">
              <w:rPr>
                <w:rFonts w:asciiTheme="minorHAnsi" w:hAnsiTheme="minorHAnsi" w:cstheme="minorHAnsi"/>
              </w:rPr>
              <w:t>, OR</w:t>
            </w:r>
          </w:p>
          <w:p w14:paraId="4C7DD632"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Same dose used as last admission if guided by previous TDM</w:t>
            </w:r>
          </w:p>
        </w:tc>
      </w:tr>
    </w:tbl>
    <w:p w14:paraId="3D61372A" w14:textId="6E056947" w:rsidR="000D46FD" w:rsidRDefault="007D171B" w:rsidP="006E7099">
      <w:pPr>
        <w:rPr>
          <w:rFonts w:eastAsia="Times New Roman"/>
          <w:bCs/>
          <w:iCs/>
          <w:color w:val="6E3894" w:themeColor="accent2"/>
          <w:szCs w:val="36"/>
          <w:lang w:eastAsia="en-US"/>
        </w:rPr>
      </w:pPr>
      <w:r w:rsidRPr="00E81332">
        <w:rPr>
          <w:rFonts w:asciiTheme="minorHAnsi" w:hAnsiTheme="minorHAnsi" w:cstheme="minorHAnsi"/>
        </w:rPr>
        <w:t xml:space="preserve">For mycobacterial infections, dose according to </w:t>
      </w:r>
      <w:r w:rsidRPr="00C07986">
        <w:rPr>
          <w:rFonts w:asciiTheme="minorHAnsi" w:hAnsiTheme="minorHAnsi" w:cstheme="minorHAnsi"/>
          <w:b/>
          <w:bCs/>
        </w:rPr>
        <w:t xml:space="preserve">Section </w:t>
      </w:r>
      <w:r w:rsidR="000D46FD" w:rsidRPr="00C07986">
        <w:rPr>
          <w:rFonts w:asciiTheme="minorHAnsi" w:hAnsiTheme="minorHAnsi" w:cstheme="minorHAnsi"/>
          <w:b/>
          <w:bCs/>
        </w:rPr>
        <w:t>2</w:t>
      </w:r>
      <w:r w:rsidRPr="00C07986">
        <w:rPr>
          <w:rFonts w:asciiTheme="minorHAnsi" w:hAnsiTheme="minorHAnsi" w:cstheme="minorHAnsi"/>
          <w:b/>
          <w:bCs/>
        </w:rPr>
        <w:t>.</w:t>
      </w:r>
      <w:r w:rsidR="000D46FD" w:rsidRPr="00C07986">
        <w:rPr>
          <w:rFonts w:asciiTheme="minorHAnsi" w:hAnsiTheme="minorHAnsi" w:cstheme="minorHAnsi"/>
          <w:b/>
          <w:bCs/>
        </w:rPr>
        <w:t>4</w:t>
      </w:r>
      <w:r w:rsidRPr="00C07986">
        <w:rPr>
          <w:rFonts w:asciiTheme="minorHAnsi" w:hAnsiTheme="minorHAnsi" w:cstheme="minorHAnsi"/>
          <w:b/>
          <w:bCs/>
        </w:rPr>
        <w:t>.4</w:t>
      </w:r>
      <w:r w:rsidRPr="00E81332">
        <w:rPr>
          <w:rFonts w:asciiTheme="minorHAnsi" w:hAnsiTheme="minorHAnsi" w:cstheme="minorHAnsi"/>
        </w:rPr>
        <w:t xml:space="preserve"> instead.</w:t>
      </w:r>
      <w:r w:rsidRPr="00E81332">
        <w:rPr>
          <w:rFonts w:asciiTheme="minorHAnsi" w:hAnsiTheme="minorHAnsi" w:cstheme="minorHAnsi"/>
        </w:rPr>
        <w:br/>
      </w:r>
    </w:p>
    <w:p w14:paraId="7EBA1E92" w14:textId="015BC050" w:rsidR="007D171B" w:rsidRPr="007D171B" w:rsidRDefault="007D171B" w:rsidP="007D171B">
      <w:pPr>
        <w:pStyle w:val="Heading5"/>
      </w:pPr>
      <w:bookmarkStart w:id="27" w:name="_Toc171341018"/>
      <w:r>
        <w:t>2</w:t>
      </w:r>
      <w:r w:rsidRPr="007D171B">
        <w:t>.</w:t>
      </w:r>
      <w:r w:rsidR="00D31241">
        <w:t>4</w:t>
      </w:r>
      <w:r w:rsidRPr="007D171B">
        <w:t xml:space="preserve">.2: Aminoglycosides in </w:t>
      </w:r>
      <w:r w:rsidR="006446A8">
        <w:t>p</w:t>
      </w:r>
      <w:r w:rsidRPr="007D171B">
        <w:t>regnancy</w:t>
      </w:r>
      <w:bookmarkEnd w:id="27"/>
    </w:p>
    <w:p w14:paraId="4533BA94" w14:textId="538FEDB7" w:rsidR="007D171B" w:rsidRPr="00E81332" w:rsidRDefault="007D171B" w:rsidP="007D171B">
      <w:pPr>
        <w:rPr>
          <w:rFonts w:asciiTheme="minorHAnsi" w:hAnsiTheme="minorHAnsi" w:cstheme="minorHAnsi"/>
        </w:rPr>
      </w:pPr>
      <w:r w:rsidRPr="00E81332">
        <w:rPr>
          <w:rFonts w:asciiTheme="minorHAnsi" w:hAnsiTheme="minorHAnsi" w:cstheme="minorHAnsi"/>
        </w:rPr>
        <w:t xml:space="preserve">Use of aminoglycosides in pregnancy should be reserved for severe or life-threatening infections for which safer drugs are inappropriate. For more information consult the ward pharmacist, Medicines Information, AMS </w:t>
      </w:r>
      <w:r w:rsidR="004D5351">
        <w:rPr>
          <w:rFonts w:asciiTheme="minorHAnsi" w:hAnsiTheme="minorHAnsi" w:cstheme="minorHAnsi"/>
        </w:rPr>
        <w:t>service</w:t>
      </w:r>
      <w:r w:rsidRPr="00E81332">
        <w:rPr>
          <w:rFonts w:asciiTheme="minorHAnsi" w:hAnsiTheme="minorHAnsi" w:cstheme="minorHAnsi"/>
        </w:rPr>
        <w:t xml:space="preserve"> (via your hospital switchboard, noting separate AMS </w:t>
      </w:r>
      <w:r w:rsidR="004D5351">
        <w:rPr>
          <w:rFonts w:asciiTheme="minorHAnsi" w:hAnsiTheme="minorHAnsi" w:cstheme="minorHAnsi"/>
        </w:rPr>
        <w:t>services</w:t>
      </w:r>
      <w:r w:rsidRPr="00E81332">
        <w:rPr>
          <w:rFonts w:asciiTheme="minorHAnsi" w:hAnsiTheme="minorHAnsi" w:cstheme="minorHAnsi"/>
        </w:rPr>
        <w:t xml:space="preserve"> for NCH and </w:t>
      </w:r>
      <w:r w:rsidR="008D5534">
        <w:rPr>
          <w:rFonts w:asciiTheme="minorHAnsi" w:hAnsiTheme="minorHAnsi" w:cstheme="minorHAnsi"/>
        </w:rPr>
        <w:t>Canberra Hospital</w:t>
      </w:r>
      <w:r w:rsidRPr="00E81332">
        <w:rPr>
          <w:rFonts w:asciiTheme="minorHAnsi" w:hAnsiTheme="minorHAnsi" w:cstheme="minorHAnsi"/>
        </w:rPr>
        <w:t>, or obstetrics</w:t>
      </w:r>
      <w:r w:rsidR="00553EF2">
        <w:rPr>
          <w:rFonts w:asciiTheme="minorHAnsi" w:hAnsiTheme="minorHAnsi" w:cstheme="minorHAnsi"/>
        </w:rPr>
        <w:t xml:space="preserve"> service</w:t>
      </w:r>
      <w:r w:rsidRPr="00E81332">
        <w:rPr>
          <w:rFonts w:asciiTheme="minorHAnsi" w:hAnsiTheme="minorHAnsi" w:cstheme="minorHAnsi"/>
        </w:rPr>
        <w:t xml:space="preserve">. </w:t>
      </w:r>
    </w:p>
    <w:p w14:paraId="76609AC5" w14:textId="1DD1077A" w:rsidR="007D171B" w:rsidRPr="00E81332" w:rsidRDefault="00D92152" w:rsidP="007D171B">
      <w:pPr>
        <w:pStyle w:val="Bullet"/>
      </w:pPr>
      <w:r>
        <w:t xml:space="preserve">Use </w:t>
      </w:r>
      <w:r>
        <w:rPr>
          <w:b/>
          <w:bCs/>
        </w:rPr>
        <w:t xml:space="preserve">lean body </w:t>
      </w:r>
      <w:r w:rsidRPr="00B56856">
        <w:rPr>
          <w:b/>
          <w:bCs/>
        </w:rPr>
        <w:t>weight</w:t>
      </w:r>
      <w:r>
        <w:t xml:space="preserve"> (calculated using current weight during pregnancy) to calculate aminoglycoside doses in pregnant patients. TDM is crucial in this patient population due to their altered pharmacokinetics.</w:t>
      </w:r>
      <w:r w:rsidR="007D171B" w:rsidRPr="00E81332">
        <w:rPr>
          <w:b/>
          <w:bCs/>
        </w:rPr>
        <w:t xml:space="preserve"> </w:t>
      </w:r>
    </w:p>
    <w:p w14:paraId="731E7179" w14:textId="41D6D8CE" w:rsidR="007D171B" w:rsidRPr="00E81332" w:rsidRDefault="007D171B" w:rsidP="007D171B">
      <w:pPr>
        <w:pStyle w:val="Bullet"/>
      </w:pPr>
      <w:r w:rsidRPr="00E81332">
        <w:t xml:space="preserve">For standard indications, dose as per </w:t>
      </w:r>
      <w:r w:rsidRPr="00E81332">
        <w:rPr>
          <w:b/>
          <w:bCs/>
        </w:rPr>
        <w:t>Table 1</w:t>
      </w:r>
      <w:r w:rsidRPr="00E81332">
        <w:t xml:space="preserve"> for gentamicin/tobramycin, and </w:t>
      </w:r>
      <w:r w:rsidRPr="00E81332">
        <w:rPr>
          <w:b/>
          <w:bCs/>
        </w:rPr>
        <w:t>Table 2</w:t>
      </w:r>
      <w:r w:rsidRPr="00E81332">
        <w:t xml:space="preserve"> for amikacin using the appropriate dosing weight.</w:t>
      </w:r>
    </w:p>
    <w:p w14:paraId="71F41D2D" w14:textId="3E013458" w:rsidR="007D171B" w:rsidRPr="00E81332" w:rsidRDefault="007D171B" w:rsidP="007D171B">
      <w:pPr>
        <w:pStyle w:val="Bullet"/>
      </w:pPr>
      <w:r w:rsidRPr="00E81332">
        <w:t>For non-standard indications, refer to the relevant section</w:t>
      </w:r>
      <w:r w:rsidR="00314ACE">
        <w:t xml:space="preserve"> of the document</w:t>
      </w:r>
      <w:r w:rsidRPr="00E81332">
        <w:t xml:space="preserve"> for dosage and management, or consult the Infectious Diseases/Antimicrobial Stewardship </w:t>
      </w:r>
      <w:r w:rsidR="004D5351">
        <w:t>services</w:t>
      </w:r>
      <w:r w:rsidRPr="00E81332">
        <w:t xml:space="preserve">. </w:t>
      </w:r>
    </w:p>
    <w:p w14:paraId="2FF57341" w14:textId="65D37815" w:rsidR="007D171B" w:rsidRPr="007D171B" w:rsidRDefault="007D171B" w:rsidP="007D171B">
      <w:pPr>
        <w:pStyle w:val="Heading5"/>
      </w:pPr>
      <w:bookmarkStart w:id="28" w:name="_Toc171341019"/>
      <w:r>
        <w:t>2</w:t>
      </w:r>
      <w:r w:rsidRPr="007D171B">
        <w:t>.</w:t>
      </w:r>
      <w:r w:rsidR="00D31241">
        <w:t>4</w:t>
      </w:r>
      <w:r w:rsidRPr="007D171B">
        <w:t>.3: Endocarditis</w:t>
      </w:r>
      <w:bookmarkEnd w:id="28"/>
    </w:p>
    <w:p w14:paraId="7653487F" w14:textId="302C5186" w:rsidR="007D171B" w:rsidRPr="00E81332" w:rsidRDefault="007D171B" w:rsidP="007D171B">
      <w:pPr>
        <w:pStyle w:val="Bullet"/>
        <w:rPr>
          <w:rStyle w:val="Hyperlink"/>
          <w:rFonts w:asciiTheme="minorHAnsi" w:hAnsiTheme="minorHAnsi" w:cstheme="minorHAnsi"/>
        </w:rPr>
      </w:pPr>
      <w:r w:rsidRPr="00E81332">
        <w:t xml:space="preserve">Empiric therapy (organism unknown) – Prescribe </w:t>
      </w:r>
      <w:r w:rsidR="00D92152">
        <w:t xml:space="preserve">gentamicin with </w:t>
      </w:r>
      <w:r w:rsidRPr="00E81332">
        <w:t xml:space="preserve">once-daily dosing as per </w:t>
      </w:r>
      <w:r w:rsidRPr="00C07986">
        <w:rPr>
          <w:b/>
          <w:bCs/>
        </w:rPr>
        <w:t xml:space="preserve">Section </w:t>
      </w:r>
      <w:r w:rsidR="000D46FD" w:rsidRPr="00C07986">
        <w:rPr>
          <w:b/>
          <w:bCs/>
        </w:rPr>
        <w:t>2</w:t>
      </w:r>
      <w:r w:rsidRPr="00C07986">
        <w:rPr>
          <w:b/>
          <w:bCs/>
        </w:rPr>
        <w:t>.</w:t>
      </w:r>
      <w:r w:rsidR="000D46FD" w:rsidRPr="00C07986">
        <w:rPr>
          <w:b/>
          <w:bCs/>
        </w:rPr>
        <w:t>2</w:t>
      </w:r>
      <w:r w:rsidRPr="00E81332">
        <w:t xml:space="preserve"> </w:t>
      </w:r>
    </w:p>
    <w:p w14:paraId="05925DB0" w14:textId="299D66F4" w:rsidR="007D171B" w:rsidRPr="006E7099" w:rsidRDefault="007D171B" w:rsidP="006E7099">
      <w:pPr>
        <w:pStyle w:val="Bullet"/>
        <w:rPr>
          <w:b/>
          <w:bCs/>
        </w:rPr>
      </w:pPr>
      <w:r w:rsidRPr="00E81332">
        <w:t xml:space="preserve">Directed therapy – gentamicin use in this setting is for synergy with penicillins and glycopeptides for gram positive organisms (see eTG for more information). Management should be guided by </w:t>
      </w:r>
      <w:r w:rsidR="004D5351">
        <w:t xml:space="preserve">the </w:t>
      </w:r>
      <w:r w:rsidRPr="00E81332">
        <w:t xml:space="preserve">Infectious Diseases </w:t>
      </w:r>
      <w:r w:rsidR="004D5351">
        <w:t>s</w:t>
      </w:r>
      <w:r w:rsidRPr="00E81332">
        <w:t xml:space="preserve">ervice. The aim is to provide stable, detectable serum drug concentrations rather than concentration-dependent killing with high peaks and low troughs. Dose as per </w:t>
      </w:r>
      <w:r w:rsidRPr="00E81332">
        <w:rPr>
          <w:b/>
          <w:bCs/>
        </w:rPr>
        <w:t>Table 4.</w:t>
      </w:r>
    </w:p>
    <w:p w14:paraId="4ADFC867" w14:textId="123C8B47" w:rsidR="007D171B" w:rsidRPr="00E81332" w:rsidRDefault="007D171B" w:rsidP="007D171B">
      <w:pPr>
        <w:pStyle w:val="Heading5"/>
      </w:pPr>
      <w:r w:rsidRPr="00E81332">
        <w:t>Table 4: Empiric gentamicin dosing for synergistic therapy</w:t>
      </w:r>
    </w:p>
    <w:tbl>
      <w:tblPr>
        <w:tblStyle w:val="TableGrid"/>
        <w:tblW w:w="0" w:type="auto"/>
        <w:tblInd w:w="137" w:type="dxa"/>
        <w:tblLook w:val="04A0" w:firstRow="1" w:lastRow="0" w:firstColumn="1" w:lastColumn="0" w:noHBand="0" w:noVBand="1"/>
      </w:tblPr>
      <w:tblGrid>
        <w:gridCol w:w="4394"/>
        <w:gridCol w:w="4529"/>
      </w:tblGrid>
      <w:tr w:rsidR="007D171B" w:rsidRPr="00E81332" w14:paraId="2426BBE4" w14:textId="77777777" w:rsidTr="007D171B">
        <w:trPr>
          <w:trHeight w:hRule="exact" w:val="397"/>
        </w:trPr>
        <w:tc>
          <w:tcPr>
            <w:tcW w:w="4394" w:type="dxa"/>
            <w:shd w:val="clear" w:color="auto" w:fill="D9D9D9" w:themeFill="background1" w:themeFillShade="D9"/>
          </w:tcPr>
          <w:p w14:paraId="0617E20D" w14:textId="77777777"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 xml:space="preserve">Creatinine clearance </w:t>
            </w:r>
          </w:p>
        </w:tc>
        <w:tc>
          <w:tcPr>
            <w:tcW w:w="4529" w:type="dxa"/>
            <w:shd w:val="clear" w:color="auto" w:fill="D9D9D9" w:themeFill="background1" w:themeFillShade="D9"/>
          </w:tcPr>
          <w:p w14:paraId="5D47BCE6" w14:textId="354CD4A7"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Gentamicin dose (IBW)</w:t>
            </w:r>
            <w:r w:rsidR="00076E9D">
              <w:rPr>
                <w:rFonts w:asciiTheme="minorHAnsi" w:hAnsiTheme="minorHAnsi" w:cstheme="minorHAnsi"/>
                <w:b/>
                <w:bCs/>
              </w:rPr>
              <w:t xml:space="preserve"> </w:t>
            </w:r>
          </w:p>
        </w:tc>
      </w:tr>
      <w:tr w:rsidR="007D171B" w:rsidRPr="00E81332" w14:paraId="6A77B919" w14:textId="77777777" w:rsidTr="007D171B">
        <w:trPr>
          <w:trHeight w:hRule="exact" w:val="397"/>
        </w:trPr>
        <w:tc>
          <w:tcPr>
            <w:tcW w:w="4394" w:type="dxa"/>
          </w:tcPr>
          <w:p w14:paraId="7D02E8B9" w14:textId="77777777" w:rsidR="007D171B" w:rsidRPr="00E81332" w:rsidRDefault="007D171B" w:rsidP="006E3419">
            <w:pPr>
              <w:jc w:val="center"/>
              <w:rPr>
                <w:rFonts w:asciiTheme="minorHAnsi" w:hAnsiTheme="minorHAnsi" w:cstheme="minorHAnsi"/>
              </w:rPr>
            </w:pPr>
            <w:r w:rsidRPr="00E81332">
              <w:rPr>
                <w:rFonts w:asciiTheme="minorHAnsi" w:hAnsiTheme="minorHAnsi" w:cstheme="minorHAnsi"/>
              </w:rPr>
              <w:t>CrCl ≥60 mL/min</w:t>
            </w:r>
          </w:p>
        </w:tc>
        <w:tc>
          <w:tcPr>
            <w:tcW w:w="4529" w:type="dxa"/>
          </w:tcPr>
          <w:p w14:paraId="73A70BAC" w14:textId="77777777" w:rsidR="007D171B" w:rsidRPr="00E81332" w:rsidRDefault="007D171B" w:rsidP="006E3419">
            <w:pPr>
              <w:jc w:val="center"/>
              <w:rPr>
                <w:rFonts w:asciiTheme="minorHAnsi" w:hAnsiTheme="minorHAnsi" w:cstheme="minorHAnsi"/>
              </w:rPr>
            </w:pPr>
            <w:r w:rsidRPr="00E81332">
              <w:rPr>
                <w:rFonts w:asciiTheme="minorHAnsi" w:hAnsiTheme="minorHAnsi" w:cstheme="minorHAnsi"/>
              </w:rPr>
              <w:t>1 mg/kg 8-hourly</w:t>
            </w:r>
          </w:p>
        </w:tc>
      </w:tr>
      <w:tr w:rsidR="007D171B" w:rsidRPr="00E81332" w14:paraId="71375FDC" w14:textId="77777777" w:rsidTr="007D171B">
        <w:trPr>
          <w:trHeight w:hRule="exact" w:val="397"/>
        </w:trPr>
        <w:tc>
          <w:tcPr>
            <w:tcW w:w="4394" w:type="dxa"/>
          </w:tcPr>
          <w:p w14:paraId="0E04D86A" w14:textId="77777777" w:rsidR="007D171B" w:rsidRPr="00E81332" w:rsidRDefault="007D171B" w:rsidP="006E3419">
            <w:pPr>
              <w:jc w:val="center"/>
              <w:rPr>
                <w:rFonts w:asciiTheme="minorHAnsi" w:hAnsiTheme="minorHAnsi" w:cstheme="minorHAnsi"/>
              </w:rPr>
            </w:pPr>
            <w:r w:rsidRPr="00E81332">
              <w:rPr>
                <w:rFonts w:asciiTheme="minorHAnsi" w:hAnsiTheme="minorHAnsi" w:cstheme="minorHAnsi"/>
              </w:rPr>
              <w:t>CrCl 30-60 mL/min</w:t>
            </w:r>
          </w:p>
        </w:tc>
        <w:tc>
          <w:tcPr>
            <w:tcW w:w="4529" w:type="dxa"/>
          </w:tcPr>
          <w:p w14:paraId="6AEF164C" w14:textId="77777777" w:rsidR="007D171B" w:rsidRPr="00E81332" w:rsidRDefault="007D171B" w:rsidP="006E3419">
            <w:pPr>
              <w:jc w:val="center"/>
              <w:rPr>
                <w:rFonts w:asciiTheme="minorHAnsi" w:hAnsiTheme="minorHAnsi" w:cstheme="minorHAnsi"/>
              </w:rPr>
            </w:pPr>
            <w:r w:rsidRPr="00E81332">
              <w:rPr>
                <w:rFonts w:asciiTheme="minorHAnsi" w:hAnsiTheme="minorHAnsi" w:cstheme="minorHAnsi"/>
              </w:rPr>
              <w:t>1 mg/kg 12-hourly</w:t>
            </w:r>
          </w:p>
        </w:tc>
      </w:tr>
      <w:tr w:rsidR="007D171B" w:rsidRPr="00E81332" w14:paraId="47A5C93A" w14:textId="77777777" w:rsidTr="007D171B">
        <w:trPr>
          <w:trHeight w:hRule="exact" w:val="397"/>
        </w:trPr>
        <w:tc>
          <w:tcPr>
            <w:tcW w:w="4394" w:type="dxa"/>
          </w:tcPr>
          <w:p w14:paraId="74657DAB" w14:textId="77777777" w:rsidR="007D171B" w:rsidRPr="00E81332" w:rsidRDefault="007D171B" w:rsidP="006E3419">
            <w:pPr>
              <w:jc w:val="center"/>
              <w:rPr>
                <w:rFonts w:asciiTheme="minorHAnsi" w:hAnsiTheme="minorHAnsi" w:cstheme="minorHAnsi"/>
              </w:rPr>
            </w:pPr>
            <w:r w:rsidRPr="00E81332">
              <w:rPr>
                <w:rFonts w:asciiTheme="minorHAnsi" w:hAnsiTheme="minorHAnsi" w:cstheme="minorHAnsi"/>
              </w:rPr>
              <w:t>CrCl if &lt;30 mL/min</w:t>
            </w:r>
          </w:p>
        </w:tc>
        <w:tc>
          <w:tcPr>
            <w:tcW w:w="4529" w:type="dxa"/>
          </w:tcPr>
          <w:p w14:paraId="749307F9" w14:textId="77777777" w:rsidR="007D171B" w:rsidRPr="00E81332" w:rsidRDefault="007D171B" w:rsidP="006E3419">
            <w:pPr>
              <w:jc w:val="center"/>
              <w:rPr>
                <w:rFonts w:asciiTheme="minorHAnsi" w:hAnsiTheme="minorHAnsi" w:cstheme="minorHAnsi"/>
              </w:rPr>
            </w:pPr>
            <w:r w:rsidRPr="00E81332">
              <w:rPr>
                <w:rFonts w:asciiTheme="minorHAnsi" w:hAnsiTheme="minorHAnsi" w:cstheme="minorHAnsi"/>
              </w:rPr>
              <w:t>1 mg/kg 24-hourly</w:t>
            </w:r>
          </w:p>
        </w:tc>
      </w:tr>
    </w:tbl>
    <w:p w14:paraId="207AFE1A" w14:textId="53042D5B" w:rsidR="007D171B" w:rsidRDefault="007D171B" w:rsidP="007D171B">
      <w:pPr>
        <w:rPr>
          <w:rFonts w:asciiTheme="minorHAnsi" w:hAnsiTheme="minorHAnsi" w:cstheme="minorHAnsi"/>
        </w:rPr>
      </w:pPr>
      <w:r w:rsidRPr="00E81332">
        <w:rPr>
          <w:rFonts w:asciiTheme="minorHAnsi" w:hAnsiTheme="minorHAnsi" w:cstheme="minorHAnsi"/>
        </w:rPr>
        <w:lastRenderedPageBreak/>
        <w:t>The use of once-daily dosing (i.e. 3 mg/kg 24-hourly) for synergistic</w:t>
      </w:r>
      <w:r w:rsidRPr="00E81332">
        <w:rPr>
          <w:rFonts w:asciiTheme="minorHAnsi" w:hAnsiTheme="minorHAnsi" w:cstheme="minorHAnsi"/>
          <w:b/>
          <w:bCs/>
        </w:rPr>
        <w:t xml:space="preserve"> </w:t>
      </w:r>
      <w:r w:rsidRPr="00E81332">
        <w:rPr>
          <w:rFonts w:asciiTheme="minorHAnsi" w:hAnsiTheme="minorHAnsi" w:cstheme="minorHAnsi"/>
        </w:rPr>
        <w:t xml:space="preserve">therapy can be utilised for </w:t>
      </w:r>
      <w:r>
        <w:rPr>
          <w:rFonts w:asciiTheme="minorHAnsi" w:hAnsiTheme="minorHAnsi" w:cstheme="minorHAnsi"/>
        </w:rPr>
        <w:t>v</w:t>
      </w:r>
      <w:r w:rsidRPr="00E81332">
        <w:rPr>
          <w:rFonts w:asciiTheme="minorHAnsi" w:hAnsiTheme="minorHAnsi" w:cstheme="minorHAnsi"/>
        </w:rPr>
        <w:t>iridans group streptococci. Use of this regimen should be on the advice of CHS Infectious Diseases</w:t>
      </w:r>
      <w:r w:rsidR="004D5351">
        <w:rPr>
          <w:rFonts w:asciiTheme="minorHAnsi" w:hAnsiTheme="minorHAnsi" w:cstheme="minorHAnsi"/>
        </w:rPr>
        <w:t xml:space="preserve"> s</w:t>
      </w:r>
      <w:r w:rsidRPr="00E81332">
        <w:rPr>
          <w:rFonts w:asciiTheme="minorHAnsi" w:hAnsiTheme="minorHAnsi" w:cstheme="minorHAnsi"/>
        </w:rPr>
        <w:t xml:space="preserve">ervice only. </w:t>
      </w:r>
    </w:p>
    <w:p w14:paraId="47AFD209" w14:textId="77777777" w:rsidR="006E7099" w:rsidRPr="00E81332" w:rsidRDefault="006E7099" w:rsidP="007D171B">
      <w:pPr>
        <w:rPr>
          <w:rFonts w:asciiTheme="minorHAnsi" w:hAnsiTheme="minorHAnsi" w:cstheme="minorHAnsi"/>
        </w:rPr>
      </w:pPr>
    </w:p>
    <w:p w14:paraId="3AC168A9" w14:textId="6BCE183A" w:rsidR="007D171B" w:rsidRPr="007D171B" w:rsidRDefault="007D171B" w:rsidP="007D171B">
      <w:pPr>
        <w:pStyle w:val="Heading5"/>
      </w:pPr>
      <w:bookmarkStart w:id="29" w:name="_Toc171341020"/>
      <w:r>
        <w:t>2</w:t>
      </w:r>
      <w:r w:rsidRPr="007D171B">
        <w:t>.</w:t>
      </w:r>
      <w:r w:rsidR="00D31241">
        <w:t>4</w:t>
      </w:r>
      <w:r w:rsidRPr="007D171B">
        <w:t>.4: Mycobacterial infections</w:t>
      </w:r>
      <w:bookmarkEnd w:id="29"/>
    </w:p>
    <w:p w14:paraId="28D8EE58" w14:textId="360DB3F9" w:rsidR="007D171B" w:rsidRPr="00E81332" w:rsidRDefault="007D171B" w:rsidP="007D171B">
      <w:pPr>
        <w:rPr>
          <w:rFonts w:asciiTheme="minorHAnsi" w:hAnsiTheme="minorHAnsi" w:cstheme="minorHAnsi"/>
        </w:rPr>
      </w:pPr>
      <w:r w:rsidRPr="00E81332">
        <w:rPr>
          <w:rFonts w:asciiTheme="minorHAnsi" w:hAnsiTheme="minorHAnsi" w:cstheme="minorHAnsi"/>
        </w:rPr>
        <w:t>Amikacin is used in combination with other antimicrobials for mycobacterial infections such as multidrug resistant tuberculosis and nontuberculous mycobacteria when the minimum inhibitory concentration confirms susceptibility under the guidance of CHS Infectious Diseases and CHS tuberculosis (TB) services.</w:t>
      </w:r>
    </w:p>
    <w:p w14:paraId="17B0570C" w14:textId="2CB2AC83" w:rsidR="007D171B" w:rsidRPr="00E81332" w:rsidRDefault="007D171B" w:rsidP="007D171B">
      <w:pPr>
        <w:rPr>
          <w:rFonts w:asciiTheme="minorHAnsi" w:hAnsiTheme="minorHAnsi" w:cstheme="minorHAnsi"/>
        </w:rPr>
      </w:pPr>
      <w:r w:rsidRPr="00E81332">
        <w:rPr>
          <w:rFonts w:asciiTheme="minorHAnsi" w:hAnsiTheme="minorHAnsi" w:cstheme="minorHAnsi"/>
        </w:rPr>
        <w:t xml:space="preserve">There is limited data on the optimal dose and regimen for this indication and the choice of regimen will depend on the assessment of the individual patient by CHS Infectious Diseases </w:t>
      </w:r>
      <w:r w:rsidR="004D5351">
        <w:rPr>
          <w:rFonts w:asciiTheme="minorHAnsi" w:hAnsiTheme="minorHAnsi" w:cstheme="minorHAnsi"/>
        </w:rPr>
        <w:t>s</w:t>
      </w:r>
      <w:r w:rsidRPr="00E81332">
        <w:rPr>
          <w:rFonts w:asciiTheme="minorHAnsi" w:hAnsiTheme="minorHAnsi" w:cstheme="minorHAnsi"/>
        </w:rPr>
        <w:t xml:space="preserve">ervice or Respiratory </w:t>
      </w:r>
      <w:r w:rsidR="004D5351">
        <w:rPr>
          <w:rFonts w:asciiTheme="minorHAnsi" w:hAnsiTheme="minorHAnsi" w:cstheme="minorHAnsi"/>
        </w:rPr>
        <w:t>s</w:t>
      </w:r>
      <w:r w:rsidRPr="00E81332">
        <w:rPr>
          <w:rFonts w:asciiTheme="minorHAnsi" w:hAnsiTheme="minorHAnsi" w:cstheme="minorHAnsi"/>
        </w:rPr>
        <w:t xml:space="preserve">ervice (if infection is pulmonary in origin). International guidelines have a range of suggested doses that can be used, commonly reported doses are reflected below. </w:t>
      </w:r>
    </w:p>
    <w:p w14:paraId="47D242BC" w14:textId="4566B718" w:rsidR="007D171B" w:rsidRPr="00E81332" w:rsidRDefault="007D171B" w:rsidP="007D171B">
      <w:pPr>
        <w:pStyle w:val="Heading5"/>
      </w:pPr>
      <w:r w:rsidRPr="00E81332">
        <w:t xml:space="preserve">Table 5: Common amikacin starting doses for mycobacterial infections </w:t>
      </w:r>
    </w:p>
    <w:tbl>
      <w:tblPr>
        <w:tblStyle w:val="TableGrid"/>
        <w:tblW w:w="0" w:type="auto"/>
        <w:tblLook w:val="04A0" w:firstRow="1" w:lastRow="0" w:firstColumn="1" w:lastColumn="0" w:noHBand="0" w:noVBand="1"/>
      </w:tblPr>
      <w:tblGrid>
        <w:gridCol w:w="3823"/>
        <w:gridCol w:w="5953"/>
      </w:tblGrid>
      <w:tr w:rsidR="007D171B" w:rsidRPr="00E81332" w14:paraId="67C7AA66" w14:textId="77777777" w:rsidTr="007D171B">
        <w:trPr>
          <w:trHeight w:hRule="exact" w:val="397"/>
        </w:trPr>
        <w:tc>
          <w:tcPr>
            <w:tcW w:w="3823" w:type="dxa"/>
            <w:shd w:val="clear" w:color="auto" w:fill="D9D9D9" w:themeFill="background1" w:themeFillShade="D9"/>
          </w:tcPr>
          <w:p w14:paraId="68570228" w14:textId="77777777"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Dose</w:t>
            </w:r>
          </w:p>
        </w:tc>
        <w:tc>
          <w:tcPr>
            <w:tcW w:w="5953" w:type="dxa"/>
            <w:shd w:val="clear" w:color="auto" w:fill="D9D9D9" w:themeFill="background1" w:themeFillShade="D9"/>
          </w:tcPr>
          <w:p w14:paraId="6CFAACE4" w14:textId="77777777"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Comments</w:t>
            </w:r>
          </w:p>
        </w:tc>
      </w:tr>
      <w:tr w:rsidR="007D171B" w:rsidRPr="00E81332" w14:paraId="7DD37F92" w14:textId="77777777" w:rsidTr="006E7099">
        <w:trPr>
          <w:trHeight w:hRule="exact" w:val="1598"/>
        </w:trPr>
        <w:tc>
          <w:tcPr>
            <w:tcW w:w="3823" w:type="dxa"/>
          </w:tcPr>
          <w:p w14:paraId="71E109C1" w14:textId="0A6D7322" w:rsidR="007D171B" w:rsidRPr="00E81332" w:rsidRDefault="007D171B" w:rsidP="006E3419">
            <w:pPr>
              <w:rPr>
                <w:rFonts w:asciiTheme="minorHAnsi" w:hAnsiTheme="minorHAnsi" w:cstheme="minorHAnsi"/>
              </w:rPr>
            </w:pPr>
            <w:r w:rsidRPr="00E81332">
              <w:rPr>
                <w:rFonts w:asciiTheme="minorHAnsi" w:hAnsiTheme="minorHAnsi" w:cstheme="minorHAnsi"/>
              </w:rPr>
              <w:t xml:space="preserve">15 - 25 mg/kg </w:t>
            </w:r>
            <w:r w:rsidR="00165EE9">
              <w:rPr>
                <w:rFonts w:asciiTheme="minorHAnsi" w:hAnsiTheme="minorHAnsi" w:cstheme="minorHAnsi"/>
              </w:rPr>
              <w:t xml:space="preserve">dosed intermittently </w:t>
            </w:r>
            <w:r w:rsidRPr="00E81332">
              <w:rPr>
                <w:rFonts w:asciiTheme="minorHAnsi" w:hAnsiTheme="minorHAnsi" w:cstheme="minorHAnsi"/>
              </w:rPr>
              <w:t xml:space="preserve">3 times a week </w:t>
            </w:r>
          </w:p>
          <w:p w14:paraId="6140373C"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OR</w:t>
            </w:r>
          </w:p>
        </w:tc>
        <w:tc>
          <w:tcPr>
            <w:tcW w:w="5953" w:type="dxa"/>
          </w:tcPr>
          <w:p w14:paraId="7793D807"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 xml:space="preserve">If CrCl &lt; 50 ml/min, renally adjust from a starting dose of 10 - 15mg/kg daily as per </w:t>
            </w:r>
            <w:r w:rsidRPr="00E81332">
              <w:rPr>
                <w:rFonts w:asciiTheme="minorHAnsi" w:hAnsiTheme="minorHAnsi" w:cstheme="minorHAnsi"/>
                <w:b/>
                <w:bCs/>
              </w:rPr>
              <w:t>Table 6</w:t>
            </w:r>
          </w:p>
        </w:tc>
      </w:tr>
      <w:tr w:rsidR="007D171B" w:rsidRPr="00E81332" w14:paraId="616F20FD" w14:textId="77777777" w:rsidTr="007D171B">
        <w:trPr>
          <w:trHeight w:hRule="exact" w:val="1138"/>
        </w:trPr>
        <w:tc>
          <w:tcPr>
            <w:tcW w:w="3823" w:type="dxa"/>
          </w:tcPr>
          <w:p w14:paraId="35D20E22" w14:textId="1DDD0A2A" w:rsidR="007D171B" w:rsidRPr="00E81332" w:rsidRDefault="007D171B" w:rsidP="006E3419">
            <w:pPr>
              <w:rPr>
                <w:rFonts w:asciiTheme="minorHAnsi" w:hAnsiTheme="minorHAnsi" w:cstheme="minorHAnsi"/>
              </w:rPr>
            </w:pPr>
            <w:r w:rsidRPr="00E81332">
              <w:rPr>
                <w:rFonts w:asciiTheme="minorHAnsi" w:hAnsiTheme="minorHAnsi" w:cstheme="minorHAnsi"/>
              </w:rPr>
              <w:t>10-15 mg/kg daily 5-7 days a week</w:t>
            </w:r>
          </w:p>
        </w:tc>
        <w:tc>
          <w:tcPr>
            <w:tcW w:w="5953" w:type="dxa"/>
          </w:tcPr>
          <w:p w14:paraId="5674FF33" w14:textId="77777777" w:rsidR="007D171B" w:rsidRPr="00E81332" w:rsidRDefault="007D171B" w:rsidP="006E3419">
            <w:pPr>
              <w:rPr>
                <w:rFonts w:asciiTheme="minorHAnsi" w:eastAsia="Calibri" w:hAnsiTheme="minorHAnsi" w:cstheme="minorHAnsi"/>
              </w:rPr>
            </w:pPr>
            <w:r w:rsidRPr="00E81332">
              <w:rPr>
                <w:rFonts w:asciiTheme="minorHAnsi" w:eastAsia="Calibri" w:hAnsiTheme="minorHAnsi" w:cstheme="minorHAnsi"/>
              </w:rPr>
              <w:t xml:space="preserve">For dosage adjustment in renal impairment, see </w:t>
            </w:r>
            <w:r w:rsidRPr="00E81332">
              <w:rPr>
                <w:rFonts w:asciiTheme="minorHAnsi" w:eastAsia="Calibri" w:hAnsiTheme="minorHAnsi" w:cstheme="minorHAnsi"/>
                <w:b/>
                <w:bCs/>
              </w:rPr>
              <w:t>Table 6</w:t>
            </w:r>
          </w:p>
        </w:tc>
      </w:tr>
    </w:tbl>
    <w:p w14:paraId="30DB4D23" w14:textId="2FCBF18C" w:rsidR="00D21EB3" w:rsidRDefault="007D171B" w:rsidP="006E7099">
      <w:pPr>
        <w:rPr>
          <w:rFonts w:asciiTheme="minorHAnsi" w:hAnsiTheme="minorHAnsi" w:cstheme="minorHAnsi"/>
        </w:rPr>
      </w:pPr>
      <w:r w:rsidRPr="00E81332">
        <w:rPr>
          <w:rFonts w:asciiTheme="minorHAnsi" w:hAnsiTheme="minorHAnsi" w:cstheme="minorHAnsi"/>
        </w:rPr>
        <w:t xml:space="preserve">Use IBW or total body weight, whichever is less. If BMI </w:t>
      </w:r>
      <w:r w:rsidRPr="00E81332">
        <w:rPr>
          <w:rFonts w:asciiTheme="minorHAnsi" w:hAnsiTheme="minorHAnsi" w:cstheme="minorHAnsi"/>
          <w:b/>
          <w:bCs/>
        </w:rPr>
        <w:t>≥ 30 kg/m</w:t>
      </w:r>
      <w:r w:rsidRPr="00E81332">
        <w:rPr>
          <w:rFonts w:asciiTheme="minorHAnsi" w:hAnsiTheme="minorHAnsi" w:cstheme="minorHAnsi"/>
          <w:b/>
          <w:bCs/>
          <w:color w:val="414042"/>
          <w:vertAlign w:val="superscript"/>
        </w:rPr>
        <w:t>2</w:t>
      </w:r>
      <w:r w:rsidRPr="00E81332">
        <w:rPr>
          <w:rFonts w:asciiTheme="minorHAnsi" w:hAnsiTheme="minorHAnsi" w:cstheme="minorHAnsi"/>
          <w:b/>
          <w:bCs/>
        </w:rPr>
        <w:t>:</w:t>
      </w:r>
      <w:r w:rsidRPr="00E81332">
        <w:rPr>
          <w:rFonts w:asciiTheme="minorHAnsi" w:hAnsiTheme="minorHAnsi" w:cstheme="minorHAnsi"/>
        </w:rPr>
        <w:t xml:space="preserve"> use adjusted body weight, up to 100kg</w:t>
      </w:r>
      <w:r w:rsidR="000D46FD">
        <w:rPr>
          <w:rFonts w:asciiTheme="minorHAnsi" w:hAnsiTheme="minorHAnsi" w:cstheme="minorHAnsi"/>
        </w:rPr>
        <w:t>.</w:t>
      </w:r>
      <w:r w:rsidR="008664CA">
        <w:t xml:space="preserve"> DHR will calculate this when height and weight is recorded in the system. If needed</w:t>
      </w:r>
      <w:r w:rsidR="008664CA" w:rsidRPr="00E81332">
        <w:t xml:space="preserve"> use an online calculator or see </w:t>
      </w:r>
      <w:r w:rsidR="008664CA" w:rsidRPr="00E81332">
        <w:rPr>
          <w:b/>
          <w:bCs/>
        </w:rPr>
        <w:t>Attachment 1</w:t>
      </w:r>
      <w:r w:rsidR="006E7099">
        <w:rPr>
          <w:b/>
          <w:bCs/>
        </w:rPr>
        <w:t>.</w:t>
      </w:r>
      <w:r w:rsidR="008664CA" w:rsidRPr="00E81332">
        <w:t xml:space="preserve"> </w:t>
      </w:r>
    </w:p>
    <w:p w14:paraId="6766C16C" w14:textId="10CCD3FF" w:rsidR="007D171B" w:rsidRPr="00E81332" w:rsidRDefault="007D171B" w:rsidP="007D171B">
      <w:pPr>
        <w:pStyle w:val="Heading5"/>
      </w:pPr>
      <w:r w:rsidRPr="00E81332">
        <w:t>Table 6: Renal dosage adjustment of daily amikacin for mycobacterial infection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693"/>
        <w:gridCol w:w="2977"/>
      </w:tblGrid>
      <w:tr w:rsidR="007D171B" w:rsidRPr="00E81332" w14:paraId="6C5D9B71" w14:textId="77777777" w:rsidTr="007D171B">
        <w:trPr>
          <w:trHeight w:hRule="exact" w:val="397"/>
        </w:trPr>
        <w:tc>
          <w:tcPr>
            <w:tcW w:w="4111" w:type="dxa"/>
            <w:shd w:val="clear" w:color="auto" w:fill="D9D9D9" w:themeFill="background1" w:themeFillShade="D9"/>
          </w:tcPr>
          <w:p w14:paraId="6C1729AB" w14:textId="77777777"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Renal function (CrCl)</w:t>
            </w:r>
          </w:p>
        </w:tc>
        <w:tc>
          <w:tcPr>
            <w:tcW w:w="2693" w:type="dxa"/>
            <w:shd w:val="clear" w:color="auto" w:fill="D9D9D9" w:themeFill="background1" w:themeFillShade="D9"/>
          </w:tcPr>
          <w:p w14:paraId="4FA6725E" w14:textId="77777777"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Percentage of dose</w:t>
            </w:r>
          </w:p>
        </w:tc>
        <w:tc>
          <w:tcPr>
            <w:tcW w:w="2977" w:type="dxa"/>
            <w:shd w:val="clear" w:color="auto" w:fill="D9D9D9" w:themeFill="background1" w:themeFillShade="D9"/>
          </w:tcPr>
          <w:p w14:paraId="3F7E53B2" w14:textId="0F4D5036" w:rsidR="007D171B" w:rsidRPr="00E81332" w:rsidRDefault="007D171B" w:rsidP="006E3419">
            <w:pPr>
              <w:jc w:val="center"/>
              <w:rPr>
                <w:rFonts w:asciiTheme="minorHAnsi" w:hAnsiTheme="minorHAnsi" w:cstheme="minorHAnsi"/>
                <w:b/>
                <w:bCs/>
              </w:rPr>
            </w:pPr>
            <w:r w:rsidRPr="00E81332">
              <w:rPr>
                <w:rFonts w:asciiTheme="minorHAnsi" w:hAnsiTheme="minorHAnsi" w:cstheme="minorHAnsi"/>
                <w:b/>
                <w:bCs/>
              </w:rPr>
              <w:t>Dosing frequency</w:t>
            </w:r>
          </w:p>
        </w:tc>
      </w:tr>
      <w:tr w:rsidR="007D171B" w:rsidRPr="00E81332" w14:paraId="031985FB" w14:textId="77777777" w:rsidTr="007D171B">
        <w:trPr>
          <w:trHeight w:hRule="exact" w:val="397"/>
        </w:trPr>
        <w:tc>
          <w:tcPr>
            <w:tcW w:w="4111" w:type="dxa"/>
          </w:tcPr>
          <w:p w14:paraId="5E213EB3"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&gt; 50 ml/min</w:t>
            </w:r>
          </w:p>
        </w:tc>
        <w:tc>
          <w:tcPr>
            <w:tcW w:w="2693" w:type="dxa"/>
          </w:tcPr>
          <w:p w14:paraId="3C6F5496"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50-100%</w:t>
            </w:r>
          </w:p>
        </w:tc>
        <w:tc>
          <w:tcPr>
            <w:tcW w:w="2977" w:type="dxa"/>
          </w:tcPr>
          <w:p w14:paraId="160CC620"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24-hourly</w:t>
            </w:r>
          </w:p>
        </w:tc>
      </w:tr>
      <w:tr w:rsidR="007D171B" w:rsidRPr="00E81332" w14:paraId="1F4541CB" w14:textId="77777777" w:rsidTr="007D171B">
        <w:trPr>
          <w:trHeight w:hRule="exact" w:val="397"/>
        </w:trPr>
        <w:tc>
          <w:tcPr>
            <w:tcW w:w="4111" w:type="dxa"/>
          </w:tcPr>
          <w:p w14:paraId="0535A52F"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10-50 ml/min</w:t>
            </w:r>
          </w:p>
        </w:tc>
        <w:tc>
          <w:tcPr>
            <w:tcW w:w="2693" w:type="dxa"/>
          </w:tcPr>
          <w:p w14:paraId="760EBBFD"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50%</w:t>
            </w:r>
          </w:p>
        </w:tc>
        <w:tc>
          <w:tcPr>
            <w:tcW w:w="2977" w:type="dxa"/>
          </w:tcPr>
          <w:p w14:paraId="2E4EC76C"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48-hourly</w:t>
            </w:r>
          </w:p>
        </w:tc>
      </w:tr>
      <w:tr w:rsidR="007D171B" w:rsidRPr="00E81332" w14:paraId="0F54512E" w14:textId="77777777" w:rsidTr="007D171B">
        <w:trPr>
          <w:trHeight w:hRule="exact" w:val="397"/>
        </w:trPr>
        <w:tc>
          <w:tcPr>
            <w:tcW w:w="4111" w:type="dxa"/>
          </w:tcPr>
          <w:p w14:paraId="3EF9CE21"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&lt;10 ml/min</w:t>
            </w:r>
          </w:p>
        </w:tc>
        <w:tc>
          <w:tcPr>
            <w:tcW w:w="2693" w:type="dxa"/>
          </w:tcPr>
          <w:p w14:paraId="1065A979"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30%</w:t>
            </w:r>
          </w:p>
        </w:tc>
        <w:tc>
          <w:tcPr>
            <w:tcW w:w="2977" w:type="dxa"/>
          </w:tcPr>
          <w:p w14:paraId="27234680"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48-hourly</w:t>
            </w:r>
          </w:p>
        </w:tc>
      </w:tr>
      <w:tr w:rsidR="007D171B" w:rsidRPr="00E81332" w14:paraId="59211EBA" w14:textId="77777777" w:rsidTr="007D171B">
        <w:trPr>
          <w:trHeight w:hRule="exact" w:val="397"/>
        </w:trPr>
        <w:tc>
          <w:tcPr>
            <w:tcW w:w="4111" w:type="dxa"/>
          </w:tcPr>
          <w:p w14:paraId="30BAF96D" w14:textId="77777777" w:rsidR="007D171B" w:rsidRPr="00E81332" w:rsidRDefault="007D171B" w:rsidP="006E3419">
            <w:pPr>
              <w:rPr>
                <w:rFonts w:asciiTheme="minorHAnsi" w:hAnsiTheme="minorHAnsi" w:cstheme="minorHAnsi"/>
              </w:rPr>
            </w:pPr>
            <w:r w:rsidRPr="00E81332">
              <w:rPr>
                <w:rFonts w:asciiTheme="minorHAnsi" w:hAnsiTheme="minorHAnsi" w:cstheme="minorHAnsi"/>
              </w:rPr>
              <w:t>Dialysis/Renal Replacement therapy</w:t>
            </w:r>
          </w:p>
        </w:tc>
        <w:tc>
          <w:tcPr>
            <w:tcW w:w="5670" w:type="dxa"/>
            <w:gridSpan w:val="2"/>
          </w:tcPr>
          <w:p w14:paraId="0FFF886B" w14:textId="77777777" w:rsidR="007D171B" w:rsidRPr="00E81332" w:rsidRDefault="007D171B" w:rsidP="006E3419">
            <w:pPr>
              <w:jc w:val="center"/>
              <w:rPr>
                <w:rFonts w:asciiTheme="minorHAnsi" w:hAnsiTheme="minorHAnsi" w:cstheme="minorHAnsi"/>
              </w:rPr>
            </w:pPr>
            <w:r w:rsidRPr="00E81332">
              <w:rPr>
                <w:rFonts w:asciiTheme="minorHAnsi" w:hAnsiTheme="minorHAnsi" w:cstheme="minorHAnsi"/>
              </w:rPr>
              <w:t>Seek expert advice from ID</w:t>
            </w:r>
            <w:r>
              <w:rPr>
                <w:rFonts w:asciiTheme="minorHAnsi" w:hAnsiTheme="minorHAnsi" w:cstheme="minorHAnsi"/>
              </w:rPr>
              <w:t xml:space="preserve"> Service</w:t>
            </w:r>
          </w:p>
        </w:tc>
      </w:tr>
    </w:tbl>
    <w:p w14:paraId="1DD77A37" w14:textId="3E68A8F6" w:rsidR="00481A6C" w:rsidRDefault="00481A6C" w:rsidP="0091462B">
      <w:pPr>
        <w:pStyle w:val="BodyCopy"/>
      </w:pPr>
      <w:hyperlink w:anchor="_top" w:history="1">
        <w:r w:rsidRPr="00481A6C">
          <w:rPr>
            <w:rStyle w:val="Hyperlink"/>
            <w:iCs w:val="0"/>
          </w:rPr>
          <w:t>Back to Contents</w:t>
        </w:r>
      </w:hyperlink>
    </w:p>
    <w:p w14:paraId="6E785151" w14:textId="2BD80081" w:rsidR="0078367D" w:rsidRDefault="0078367D" w:rsidP="0078367D">
      <w:pPr>
        <w:pStyle w:val="Heading2"/>
      </w:pPr>
      <w:bookmarkStart w:id="30" w:name="_Toc181188545"/>
      <w:r w:rsidRPr="0078367D">
        <w:t xml:space="preserve">Section </w:t>
      </w:r>
      <w:r w:rsidR="007D171B">
        <w:t>3</w:t>
      </w:r>
      <w:r w:rsidRPr="0078367D">
        <w:t xml:space="preserve"> </w:t>
      </w:r>
      <w:r w:rsidR="007D171B">
        <w:t>–</w:t>
      </w:r>
      <w:r w:rsidRPr="0078367D">
        <w:t xml:space="preserve"> </w:t>
      </w:r>
      <w:r w:rsidR="007D171B">
        <w:t>Monitoring and Prescribing of Subsequent Doses</w:t>
      </w:r>
      <w:bookmarkEnd w:id="30"/>
    </w:p>
    <w:p w14:paraId="687A5D70" w14:textId="671235F6" w:rsidR="007D171B" w:rsidRPr="002C45A6" w:rsidRDefault="007D171B" w:rsidP="007D171B">
      <w:pPr>
        <w:rPr>
          <w:rFonts w:asciiTheme="minorHAnsi" w:hAnsiTheme="minorHAnsi" w:cstheme="minorHAnsi"/>
        </w:rPr>
      </w:pPr>
      <w:r w:rsidRPr="002C45A6">
        <w:rPr>
          <w:rFonts w:asciiTheme="minorHAnsi" w:hAnsiTheme="minorHAnsi" w:cstheme="minorHAnsi"/>
        </w:rPr>
        <w:lastRenderedPageBreak/>
        <w:t>Ongoing dosing should be determined by Therapeutic Drug Monitoring (TDM)</w:t>
      </w:r>
      <w:r w:rsidR="00B14C5B">
        <w:rPr>
          <w:rFonts w:asciiTheme="minorHAnsi" w:hAnsiTheme="minorHAnsi" w:cstheme="minorHAnsi"/>
        </w:rPr>
        <w:t xml:space="preserve"> via serum concentration</w:t>
      </w:r>
      <w:r w:rsidR="00AE492D">
        <w:rPr>
          <w:rFonts w:asciiTheme="minorHAnsi" w:hAnsiTheme="minorHAnsi" w:cstheme="minorHAnsi"/>
        </w:rPr>
        <w:t xml:space="preserve"> monitoring</w:t>
      </w:r>
      <w:r w:rsidRPr="002C45A6">
        <w:rPr>
          <w:rFonts w:asciiTheme="minorHAnsi" w:hAnsiTheme="minorHAnsi" w:cstheme="minorHAnsi"/>
        </w:rPr>
        <w:t xml:space="preserve"> in combination with clinical decision making. </w:t>
      </w:r>
      <w:r w:rsidRPr="000D46FD">
        <w:rPr>
          <w:rFonts w:asciiTheme="minorHAnsi" w:hAnsiTheme="minorHAnsi" w:cstheme="minorHAnsi"/>
        </w:rPr>
        <w:t xml:space="preserve">Refer to </w:t>
      </w:r>
      <w:r w:rsidRPr="00C07986">
        <w:rPr>
          <w:rFonts w:asciiTheme="minorHAnsi" w:hAnsiTheme="minorHAnsi" w:cstheme="minorHAnsi"/>
          <w:b/>
          <w:bCs/>
        </w:rPr>
        <w:t xml:space="preserve">Section </w:t>
      </w:r>
      <w:r w:rsidR="000D46FD" w:rsidRPr="00C07986">
        <w:rPr>
          <w:rFonts w:asciiTheme="minorHAnsi" w:hAnsiTheme="minorHAnsi" w:cstheme="minorHAnsi"/>
          <w:b/>
          <w:bCs/>
        </w:rPr>
        <w:t>3.6</w:t>
      </w:r>
      <w:r w:rsidRPr="002C45A6">
        <w:rPr>
          <w:rFonts w:asciiTheme="minorHAnsi" w:hAnsiTheme="minorHAnsi" w:cstheme="minorHAnsi"/>
        </w:rPr>
        <w:t xml:space="preserve"> for additional clinical monitoring requirements for aminoglycoside therapy.</w:t>
      </w:r>
    </w:p>
    <w:p w14:paraId="395F877A" w14:textId="5AAD8201" w:rsidR="007D171B" w:rsidRDefault="007D171B" w:rsidP="007D171B">
      <w:pPr>
        <w:rPr>
          <w:rFonts w:asciiTheme="minorHAnsi" w:hAnsiTheme="minorHAnsi" w:cstheme="minorHAnsi"/>
        </w:rPr>
      </w:pPr>
      <w:r w:rsidRPr="002C45A6">
        <w:rPr>
          <w:rFonts w:asciiTheme="minorHAnsi" w:hAnsiTheme="minorHAnsi" w:cstheme="minorHAnsi"/>
        </w:rPr>
        <w:t xml:space="preserve">The aim of </w:t>
      </w:r>
      <w:r w:rsidR="00AE492D">
        <w:rPr>
          <w:rFonts w:asciiTheme="minorHAnsi" w:hAnsiTheme="minorHAnsi" w:cstheme="minorHAnsi"/>
        </w:rPr>
        <w:t>serum concentration monitoring</w:t>
      </w:r>
      <w:r w:rsidR="00AE492D" w:rsidRPr="002C45A6">
        <w:rPr>
          <w:rFonts w:asciiTheme="minorHAnsi" w:hAnsiTheme="minorHAnsi" w:cstheme="minorHAnsi"/>
        </w:rPr>
        <w:t xml:space="preserve"> </w:t>
      </w:r>
      <w:r w:rsidRPr="002C45A6">
        <w:rPr>
          <w:rFonts w:asciiTheme="minorHAnsi" w:hAnsiTheme="minorHAnsi" w:cstheme="minorHAnsi"/>
        </w:rPr>
        <w:t xml:space="preserve">is to ensure the dose is adequate and to avoid excessive drug exposure. Monitoring </w:t>
      </w:r>
      <w:r w:rsidR="003504C7">
        <w:rPr>
          <w:rFonts w:asciiTheme="minorHAnsi" w:hAnsiTheme="minorHAnsi" w:cstheme="minorHAnsi"/>
        </w:rPr>
        <w:t xml:space="preserve">with assistance from the </w:t>
      </w:r>
      <w:r w:rsidR="00F025F9">
        <w:rPr>
          <w:rFonts w:asciiTheme="minorHAnsi" w:hAnsiTheme="minorHAnsi" w:cstheme="minorHAnsi"/>
        </w:rPr>
        <w:t>P</w:t>
      </w:r>
      <w:r w:rsidR="003504C7">
        <w:rPr>
          <w:rFonts w:asciiTheme="minorHAnsi" w:hAnsiTheme="minorHAnsi" w:cstheme="minorHAnsi"/>
        </w:rPr>
        <w:t xml:space="preserve">harmacy </w:t>
      </w:r>
      <w:r w:rsidR="00F025F9">
        <w:rPr>
          <w:rFonts w:asciiTheme="minorHAnsi" w:hAnsiTheme="minorHAnsi" w:cstheme="minorHAnsi"/>
        </w:rPr>
        <w:t>D</w:t>
      </w:r>
      <w:r w:rsidR="003504C7">
        <w:rPr>
          <w:rFonts w:asciiTheme="minorHAnsi" w:hAnsiTheme="minorHAnsi" w:cstheme="minorHAnsi"/>
        </w:rPr>
        <w:t xml:space="preserve">epartment </w:t>
      </w:r>
      <w:r w:rsidRPr="002C45A6">
        <w:rPr>
          <w:rFonts w:asciiTheme="minorHAnsi" w:hAnsiTheme="minorHAnsi" w:cstheme="minorHAnsi"/>
        </w:rPr>
        <w:t>should ideally occur after the first dose in all patients who are to receive subsequent doses.</w:t>
      </w:r>
      <w:r w:rsidR="0042734A">
        <w:rPr>
          <w:rFonts w:asciiTheme="minorHAnsi" w:hAnsiTheme="minorHAnsi" w:cstheme="minorHAnsi"/>
        </w:rPr>
        <w:t xml:space="preserve"> The treating team is responsible for</w:t>
      </w:r>
      <w:r w:rsidR="00165EE9">
        <w:rPr>
          <w:rFonts w:asciiTheme="minorHAnsi" w:hAnsiTheme="minorHAnsi" w:cstheme="minorHAnsi"/>
        </w:rPr>
        <w:t xml:space="preserve"> ordering the serum concentration</w:t>
      </w:r>
      <w:r w:rsidR="00AE492D">
        <w:rPr>
          <w:rFonts w:asciiTheme="minorHAnsi" w:hAnsiTheme="minorHAnsi" w:cstheme="minorHAnsi"/>
        </w:rPr>
        <w:t xml:space="preserve"> test</w:t>
      </w:r>
      <w:r w:rsidR="00165EE9">
        <w:rPr>
          <w:rFonts w:asciiTheme="minorHAnsi" w:hAnsiTheme="minorHAnsi" w:cstheme="minorHAnsi"/>
        </w:rPr>
        <w:t xml:space="preserve"> and</w:t>
      </w:r>
      <w:r w:rsidR="0042734A">
        <w:rPr>
          <w:rFonts w:asciiTheme="minorHAnsi" w:hAnsiTheme="minorHAnsi" w:cstheme="minorHAnsi"/>
        </w:rPr>
        <w:t xml:space="preserve"> referring to the ward pharmacist </w:t>
      </w:r>
      <w:r w:rsidR="00165EE9">
        <w:rPr>
          <w:rFonts w:asciiTheme="minorHAnsi" w:hAnsiTheme="minorHAnsi" w:cstheme="minorHAnsi"/>
        </w:rPr>
        <w:t xml:space="preserve">for dose recommendations. </w:t>
      </w:r>
    </w:p>
    <w:p w14:paraId="7532C1B7" w14:textId="77777777" w:rsidR="0007715A" w:rsidRPr="007D171B" w:rsidRDefault="0007715A" w:rsidP="0007715A">
      <w:pPr>
        <w:pBdr>
          <w:top w:val="single" w:sz="4" w:space="1" w:color="auto"/>
          <w:left w:val="single" w:sz="4" w:space="4" w:color="auto"/>
          <w:bottom w:val="single" w:sz="4" w:space="0" w:color="auto"/>
          <w:right w:val="single" w:sz="4" w:space="4" w:color="auto"/>
        </w:pBdr>
        <w:spacing w:after="0"/>
        <w:rPr>
          <w:rFonts w:asciiTheme="minorHAnsi" w:hAnsiTheme="minorHAnsi" w:cstheme="minorHAnsi"/>
          <w:b/>
          <w:bCs/>
        </w:rPr>
      </w:pPr>
      <w:r w:rsidRPr="007D171B">
        <w:rPr>
          <w:rFonts w:asciiTheme="minorHAnsi" w:hAnsiTheme="minorHAnsi" w:cstheme="minorHAnsi"/>
          <w:b/>
          <w:bCs/>
        </w:rPr>
        <w:t>Alert</w:t>
      </w:r>
    </w:p>
    <w:p w14:paraId="373E911A" w14:textId="420FC8C3" w:rsidR="0007715A" w:rsidRPr="002C45A6" w:rsidRDefault="0007715A" w:rsidP="0007715A">
      <w:pPr>
        <w:pStyle w:val="ListParagraph"/>
        <w:numPr>
          <w:ilvl w:val="0"/>
          <w:numId w:val="10"/>
        </w:numPr>
        <w:pBdr>
          <w:top w:val="single" w:sz="4" w:space="1" w:color="auto"/>
          <w:left w:val="single" w:sz="4" w:space="4" w:color="auto"/>
          <w:bottom w:val="single" w:sz="4" w:space="0" w:color="auto"/>
          <w:right w:val="single" w:sz="4" w:space="4" w:color="auto"/>
        </w:pBdr>
        <w:spacing w:before="120" w:after="120" w:line="300" w:lineRule="auto"/>
        <w:ind w:left="357" w:hanging="357"/>
        <w:rPr>
          <w:rFonts w:asciiTheme="minorHAnsi" w:hAnsiTheme="minorHAnsi" w:cstheme="minorHAnsi"/>
          <w:i/>
          <w:iCs/>
        </w:rPr>
      </w:pPr>
      <w:r w:rsidRPr="002C45A6">
        <w:rPr>
          <w:rFonts w:asciiTheme="minorHAnsi" w:hAnsiTheme="minorHAnsi" w:cstheme="minorHAnsi"/>
        </w:rPr>
        <w:t xml:space="preserve">For patients with severe sepsis or renal impairment, </w:t>
      </w:r>
      <w:r w:rsidR="00B74772">
        <w:rPr>
          <w:rFonts w:asciiTheme="minorHAnsi" w:hAnsiTheme="minorHAnsi" w:cstheme="minorHAnsi"/>
        </w:rPr>
        <w:t xml:space="preserve">a </w:t>
      </w:r>
      <w:r w:rsidR="00AE492D">
        <w:rPr>
          <w:rFonts w:asciiTheme="minorHAnsi" w:hAnsiTheme="minorHAnsi" w:cstheme="minorHAnsi"/>
        </w:rPr>
        <w:t>serum concentration test</w:t>
      </w:r>
      <w:r w:rsidR="00AE492D" w:rsidRPr="002C45A6">
        <w:rPr>
          <w:rFonts w:asciiTheme="minorHAnsi" w:hAnsiTheme="minorHAnsi" w:cstheme="minorHAnsi"/>
        </w:rPr>
        <w:t xml:space="preserve"> </w:t>
      </w:r>
      <w:r w:rsidRPr="002C45A6">
        <w:rPr>
          <w:rFonts w:asciiTheme="minorHAnsi" w:hAnsiTheme="minorHAnsi" w:cstheme="minorHAnsi"/>
        </w:rPr>
        <w:t xml:space="preserve">and </w:t>
      </w:r>
      <w:r w:rsidR="00B74772">
        <w:rPr>
          <w:rFonts w:asciiTheme="minorHAnsi" w:hAnsiTheme="minorHAnsi" w:cstheme="minorHAnsi"/>
        </w:rPr>
        <w:t xml:space="preserve">a </w:t>
      </w:r>
      <w:r w:rsidRPr="002C45A6">
        <w:rPr>
          <w:rFonts w:asciiTheme="minorHAnsi" w:hAnsiTheme="minorHAnsi" w:cstheme="minorHAnsi"/>
        </w:rPr>
        <w:t>review</w:t>
      </w:r>
      <w:r w:rsidR="00B74772">
        <w:rPr>
          <w:rFonts w:asciiTheme="minorHAnsi" w:hAnsiTheme="minorHAnsi" w:cstheme="minorHAnsi"/>
        </w:rPr>
        <w:t xml:space="preserve"> (by MO)</w:t>
      </w:r>
      <w:r w:rsidRPr="002C45A6">
        <w:rPr>
          <w:rFonts w:asciiTheme="minorHAnsi" w:hAnsiTheme="minorHAnsi" w:cstheme="minorHAnsi"/>
        </w:rPr>
        <w:t xml:space="preserve"> </w:t>
      </w:r>
      <w:r w:rsidR="00B74772">
        <w:rPr>
          <w:rFonts w:asciiTheme="minorHAnsi" w:hAnsiTheme="minorHAnsi" w:cstheme="minorHAnsi"/>
        </w:rPr>
        <w:t xml:space="preserve">is </w:t>
      </w:r>
      <w:r w:rsidR="00BE1188">
        <w:rPr>
          <w:rFonts w:asciiTheme="minorHAnsi" w:hAnsiTheme="minorHAnsi" w:cstheme="minorHAnsi"/>
        </w:rPr>
        <w:t xml:space="preserve">mandatory </w:t>
      </w:r>
      <w:r w:rsidRPr="002C45A6">
        <w:rPr>
          <w:rFonts w:asciiTheme="minorHAnsi" w:hAnsiTheme="minorHAnsi" w:cstheme="minorHAnsi"/>
        </w:rPr>
        <w:t>after the first dose.</w:t>
      </w:r>
      <w:r>
        <w:rPr>
          <w:rFonts w:asciiTheme="minorHAnsi" w:hAnsiTheme="minorHAnsi" w:cstheme="minorHAnsi"/>
        </w:rPr>
        <w:t xml:space="preserve"> </w:t>
      </w:r>
      <w:r w:rsidR="00CD5D59" w:rsidRPr="002C45A6">
        <w:rPr>
          <w:rFonts w:asciiTheme="minorHAnsi" w:hAnsiTheme="minorHAnsi" w:cstheme="minorHAnsi"/>
        </w:rPr>
        <w:t xml:space="preserve">The </w:t>
      </w:r>
      <w:r w:rsidR="0042734A">
        <w:rPr>
          <w:rFonts w:asciiTheme="minorHAnsi" w:hAnsiTheme="minorHAnsi" w:cstheme="minorHAnsi"/>
        </w:rPr>
        <w:t>treating team</w:t>
      </w:r>
      <w:r w:rsidR="0042734A" w:rsidRPr="002C45A6">
        <w:rPr>
          <w:rFonts w:asciiTheme="minorHAnsi" w:hAnsiTheme="minorHAnsi" w:cstheme="minorHAnsi"/>
        </w:rPr>
        <w:t xml:space="preserve"> </w:t>
      </w:r>
      <w:r w:rsidR="00CD5D59" w:rsidRPr="002C45A6">
        <w:rPr>
          <w:rFonts w:asciiTheme="minorHAnsi" w:hAnsiTheme="minorHAnsi" w:cstheme="minorHAnsi"/>
        </w:rPr>
        <w:t>should order a serum concentration level</w:t>
      </w:r>
      <w:r w:rsidRPr="002C45A6">
        <w:rPr>
          <w:rFonts w:asciiTheme="minorHAnsi" w:hAnsiTheme="minorHAnsi" w:cstheme="minorHAnsi"/>
        </w:rPr>
        <w:t xml:space="preserve"> when prescribing the first dose</w:t>
      </w:r>
      <w:r>
        <w:rPr>
          <w:rFonts w:asciiTheme="minorHAnsi" w:hAnsiTheme="minorHAnsi" w:cstheme="minorHAnsi"/>
        </w:rPr>
        <w:t xml:space="preserve">. </w:t>
      </w:r>
    </w:p>
    <w:p w14:paraId="76516397" w14:textId="79E9C646" w:rsidR="0007715A" w:rsidRPr="002C45A6" w:rsidRDefault="0007715A" w:rsidP="0007715A">
      <w:pPr>
        <w:pStyle w:val="ListParagraph"/>
        <w:numPr>
          <w:ilvl w:val="0"/>
          <w:numId w:val="10"/>
        </w:numPr>
        <w:pBdr>
          <w:top w:val="single" w:sz="4" w:space="1" w:color="auto"/>
          <w:left w:val="single" w:sz="4" w:space="4" w:color="auto"/>
          <w:bottom w:val="single" w:sz="4" w:space="0" w:color="auto"/>
          <w:right w:val="single" w:sz="4" w:space="4" w:color="auto"/>
        </w:pBdr>
        <w:spacing w:before="120" w:after="120" w:line="300" w:lineRule="auto"/>
        <w:ind w:left="357" w:hanging="357"/>
        <w:rPr>
          <w:rFonts w:asciiTheme="minorHAnsi" w:hAnsiTheme="minorHAnsi" w:cstheme="minorHAnsi"/>
        </w:rPr>
      </w:pPr>
      <w:r w:rsidRPr="002C45A6">
        <w:rPr>
          <w:rFonts w:asciiTheme="minorHAnsi" w:hAnsiTheme="minorHAnsi" w:cstheme="minorHAnsi"/>
        </w:rPr>
        <w:t>In patients with CrCl &lt; 40 mL/min, aminoglycosides should not be continued after the first dose unless on the advice of AMS or ID documented in the clinical record.</w:t>
      </w:r>
    </w:p>
    <w:p w14:paraId="2B668D32" w14:textId="674918C6" w:rsidR="0007715A" w:rsidRPr="002C45A6" w:rsidRDefault="0007715A" w:rsidP="0007715A">
      <w:pPr>
        <w:pStyle w:val="ListParagraph"/>
        <w:numPr>
          <w:ilvl w:val="0"/>
          <w:numId w:val="10"/>
        </w:numPr>
        <w:pBdr>
          <w:top w:val="single" w:sz="4" w:space="1" w:color="auto"/>
          <w:left w:val="single" w:sz="4" w:space="4" w:color="auto"/>
          <w:bottom w:val="single" w:sz="4" w:space="0" w:color="auto"/>
          <w:right w:val="single" w:sz="4" w:space="4" w:color="auto"/>
        </w:pBdr>
        <w:spacing w:before="120" w:after="120" w:line="300" w:lineRule="auto"/>
        <w:ind w:left="357" w:hanging="357"/>
        <w:rPr>
          <w:rFonts w:asciiTheme="minorHAnsi" w:hAnsiTheme="minorHAnsi" w:cstheme="minorHAnsi"/>
        </w:rPr>
      </w:pPr>
      <w:r>
        <w:rPr>
          <w:rFonts w:asciiTheme="minorHAnsi" w:hAnsiTheme="minorHAnsi" w:cstheme="minorHAnsi"/>
        </w:rPr>
        <w:t>Treating team please c</w:t>
      </w:r>
      <w:r w:rsidRPr="002C45A6">
        <w:rPr>
          <w:rFonts w:asciiTheme="minorHAnsi" w:hAnsiTheme="minorHAnsi" w:cstheme="minorHAnsi"/>
        </w:rPr>
        <w:t xml:space="preserve">onsult your </w:t>
      </w:r>
      <w:r>
        <w:rPr>
          <w:rFonts w:asciiTheme="minorHAnsi" w:hAnsiTheme="minorHAnsi" w:cstheme="minorHAnsi"/>
        </w:rPr>
        <w:t xml:space="preserve">ward </w:t>
      </w:r>
      <w:r w:rsidR="006E2402">
        <w:rPr>
          <w:rFonts w:asciiTheme="minorHAnsi" w:hAnsiTheme="minorHAnsi" w:cstheme="minorHAnsi"/>
        </w:rPr>
        <w:t>P</w:t>
      </w:r>
      <w:r w:rsidRPr="002C45A6">
        <w:rPr>
          <w:rFonts w:asciiTheme="minorHAnsi" w:hAnsiTheme="minorHAnsi" w:cstheme="minorHAnsi"/>
        </w:rPr>
        <w:t>harmacist</w:t>
      </w:r>
      <w:r>
        <w:rPr>
          <w:rFonts w:asciiTheme="minorHAnsi" w:hAnsiTheme="minorHAnsi" w:cstheme="minorHAnsi"/>
        </w:rPr>
        <w:t xml:space="preserve"> to organise </w:t>
      </w:r>
      <w:r w:rsidR="00AE492D">
        <w:rPr>
          <w:rFonts w:asciiTheme="minorHAnsi" w:hAnsiTheme="minorHAnsi" w:cstheme="minorHAnsi"/>
        </w:rPr>
        <w:t>serum concentration monitoring</w:t>
      </w:r>
      <w:r w:rsidR="00AE492D" w:rsidRPr="002C45A6">
        <w:rPr>
          <w:rFonts w:asciiTheme="minorHAnsi" w:hAnsiTheme="minorHAnsi" w:cstheme="minorHAnsi"/>
        </w:rPr>
        <w:t xml:space="preserve"> </w:t>
      </w:r>
      <w:r w:rsidRPr="002C45A6">
        <w:rPr>
          <w:rFonts w:asciiTheme="minorHAnsi" w:hAnsiTheme="minorHAnsi" w:cstheme="minorHAnsi"/>
        </w:rPr>
        <w:t>if the renal unit has approved ongoing aminoglycoside use in a patient undergoing haemodialysis or another form of renal replacement therapy.</w:t>
      </w:r>
    </w:p>
    <w:p w14:paraId="053E5DC1" w14:textId="3A1AEBFC" w:rsidR="007D171B" w:rsidRPr="002C45A6" w:rsidRDefault="007D171B" w:rsidP="00BE6BC3">
      <w:pPr>
        <w:pStyle w:val="Bullet"/>
      </w:pPr>
      <w:r w:rsidRPr="002C45A6">
        <w:t xml:space="preserve">For all other patient groups, </w:t>
      </w:r>
      <w:r w:rsidR="00AE492D">
        <w:t>serum concentration monitoring</w:t>
      </w:r>
      <w:r w:rsidR="00AE492D" w:rsidRPr="002C45A6">
        <w:t xml:space="preserve"> </w:t>
      </w:r>
      <w:r w:rsidRPr="002C45A6">
        <w:t>is mandatory if receiving more than 48 hours of therapy but should ideally occur after the first dose.</w:t>
      </w:r>
    </w:p>
    <w:p w14:paraId="449F73FA" w14:textId="539FA369" w:rsidR="007D171B" w:rsidRPr="002C45A6" w:rsidRDefault="007D171B" w:rsidP="00BE6BC3">
      <w:pPr>
        <w:pStyle w:val="Bullet"/>
      </w:pPr>
      <w:r w:rsidRPr="002C45A6">
        <w:t xml:space="preserve">For Hospital in the Home (HITH) patients receiving empiric </w:t>
      </w:r>
      <w:r>
        <w:t>g</w:t>
      </w:r>
      <w:r w:rsidRPr="002C45A6">
        <w:t xml:space="preserve">entamicin for pyelonephritis therapy and with a creatinine clearance &gt; 60 mL/min, up to 3 doses (day 0, day 1, day 2) of </w:t>
      </w:r>
      <w:r>
        <w:t>g</w:t>
      </w:r>
      <w:r w:rsidRPr="002C45A6">
        <w:t xml:space="preserve">entamicin may be administered without </w:t>
      </w:r>
      <w:r w:rsidR="00AE492D">
        <w:t>serum concentration monitoring</w:t>
      </w:r>
      <w:r w:rsidR="00AE492D" w:rsidRPr="002C45A6">
        <w:t xml:space="preserve"> </w:t>
      </w:r>
      <w:r w:rsidRPr="002C45A6">
        <w:t xml:space="preserve">whilst awaiting culture results and/or clinical improvement such that oral antibiotic therapy (rather than IV) is appropriate.  </w:t>
      </w:r>
    </w:p>
    <w:p w14:paraId="343126DF" w14:textId="45699D95" w:rsidR="007D171B" w:rsidRPr="002C45A6" w:rsidRDefault="007D2DE4" w:rsidP="00BE6BC3">
      <w:pPr>
        <w:pStyle w:val="Bullet"/>
      </w:pPr>
      <w:r>
        <w:t>S</w:t>
      </w:r>
      <w:r w:rsidR="00AE492D">
        <w:t>erum concentration monitoring</w:t>
      </w:r>
      <w:r w:rsidR="00AE492D" w:rsidRPr="002C45A6">
        <w:t xml:space="preserve"> </w:t>
      </w:r>
      <w:r w:rsidR="007D171B" w:rsidRPr="002C45A6">
        <w:t>is not required for single dose treatment only, such as surgical prophylaxis.</w:t>
      </w:r>
    </w:p>
    <w:p w14:paraId="5CAD05D0" w14:textId="1B0E117A" w:rsidR="007D171B" w:rsidRPr="002C45A6" w:rsidRDefault="007D171B" w:rsidP="00BE6BC3">
      <w:pPr>
        <w:pStyle w:val="Bullet"/>
      </w:pPr>
      <w:r w:rsidRPr="002C45A6">
        <w:t>Consult</w:t>
      </w:r>
      <w:r w:rsidR="00B31460">
        <w:t xml:space="preserve"> ID or</w:t>
      </w:r>
      <w:r w:rsidRPr="002C45A6">
        <w:t xml:space="preserve"> AMS if adequate exposure cannot be safely achieved with daily (</w:t>
      </w:r>
      <w:r w:rsidR="007B08A5">
        <w:t xml:space="preserve">once </w:t>
      </w:r>
      <w:r w:rsidRPr="002C45A6">
        <w:t xml:space="preserve">24hrly) dosing. </w:t>
      </w:r>
    </w:p>
    <w:p w14:paraId="3F6D5310" w14:textId="2B5F2BAB" w:rsidR="007D171B" w:rsidRPr="002C45A6" w:rsidRDefault="007D171B" w:rsidP="00D31241">
      <w:pPr>
        <w:pStyle w:val="Heading4"/>
        <w:numPr>
          <w:ilvl w:val="1"/>
          <w:numId w:val="14"/>
        </w:numPr>
        <w:ind w:left="426" w:hanging="426"/>
      </w:pPr>
      <w:bookmarkStart w:id="31" w:name="_Toc181188546"/>
      <w:r w:rsidRPr="002C45A6">
        <w:t xml:space="preserve">Unique indications: </w:t>
      </w:r>
      <w:r w:rsidR="006446A8">
        <w:t>e</w:t>
      </w:r>
      <w:r w:rsidRPr="002C45A6">
        <w:t>ndocarditis and mycobacterial infections</w:t>
      </w:r>
      <w:bookmarkEnd w:id="31"/>
    </w:p>
    <w:p w14:paraId="601866A6" w14:textId="550DBB98" w:rsidR="007D171B" w:rsidRDefault="007D171B" w:rsidP="007D171B">
      <w:pPr>
        <w:rPr>
          <w:rFonts w:asciiTheme="minorHAnsi" w:hAnsiTheme="minorHAnsi" w:cstheme="minorHAnsi"/>
          <w:b/>
          <w:bCs/>
        </w:rPr>
      </w:pPr>
      <w:r w:rsidRPr="002C45A6">
        <w:rPr>
          <w:rFonts w:asciiTheme="minorHAnsi" w:hAnsiTheme="minorHAnsi" w:cstheme="minorHAnsi"/>
        </w:rPr>
        <w:t xml:space="preserve">These patient groups have unique </w:t>
      </w:r>
      <w:r w:rsidR="00AE492D">
        <w:rPr>
          <w:rFonts w:asciiTheme="minorHAnsi" w:hAnsiTheme="minorHAnsi" w:cstheme="minorHAnsi"/>
        </w:rPr>
        <w:t>serum concentration monitoring</w:t>
      </w:r>
      <w:r w:rsidR="00AE492D" w:rsidRPr="002C45A6">
        <w:rPr>
          <w:rFonts w:asciiTheme="minorHAnsi" w:hAnsiTheme="minorHAnsi" w:cstheme="minorHAnsi"/>
        </w:rPr>
        <w:t xml:space="preserve"> </w:t>
      </w:r>
      <w:r w:rsidRPr="002C45A6">
        <w:rPr>
          <w:rFonts w:asciiTheme="minorHAnsi" w:hAnsiTheme="minorHAnsi" w:cstheme="minorHAnsi"/>
        </w:rPr>
        <w:t xml:space="preserve">requirements, </w:t>
      </w:r>
      <w:r w:rsidRPr="000D46FD">
        <w:rPr>
          <w:rFonts w:asciiTheme="minorHAnsi" w:hAnsiTheme="minorHAnsi" w:cstheme="minorHAnsi"/>
        </w:rPr>
        <w:t xml:space="preserve">refer to </w:t>
      </w:r>
      <w:r w:rsidRPr="00C07986">
        <w:rPr>
          <w:rFonts w:asciiTheme="minorHAnsi" w:hAnsiTheme="minorHAnsi" w:cstheme="minorHAnsi"/>
          <w:b/>
          <w:bCs/>
        </w:rPr>
        <w:t xml:space="preserve">Section </w:t>
      </w:r>
      <w:r w:rsidR="000D46FD" w:rsidRPr="00C07986">
        <w:rPr>
          <w:rFonts w:asciiTheme="minorHAnsi" w:hAnsiTheme="minorHAnsi" w:cstheme="minorHAnsi"/>
          <w:b/>
          <w:bCs/>
        </w:rPr>
        <w:t>3</w:t>
      </w:r>
      <w:r w:rsidRPr="00C07986">
        <w:rPr>
          <w:rFonts w:asciiTheme="minorHAnsi" w:hAnsiTheme="minorHAnsi" w:cstheme="minorHAnsi"/>
          <w:b/>
          <w:bCs/>
        </w:rPr>
        <w:t>.</w:t>
      </w:r>
      <w:r w:rsidR="000D46FD" w:rsidRPr="00C07986">
        <w:rPr>
          <w:rFonts w:asciiTheme="minorHAnsi" w:hAnsiTheme="minorHAnsi" w:cstheme="minorHAnsi"/>
          <w:b/>
          <w:bCs/>
        </w:rPr>
        <w:t>5</w:t>
      </w:r>
      <w:r w:rsidRPr="000D46FD">
        <w:rPr>
          <w:rFonts w:asciiTheme="minorHAnsi" w:hAnsiTheme="minorHAnsi" w:cstheme="minorHAnsi"/>
        </w:rPr>
        <w:t>.</w:t>
      </w:r>
    </w:p>
    <w:p w14:paraId="265F70FF" w14:textId="77777777" w:rsidR="007D171B" w:rsidRPr="002C45A6" w:rsidRDefault="007D171B" w:rsidP="0074227D">
      <w:pPr>
        <w:pStyle w:val="Heading4"/>
        <w:numPr>
          <w:ilvl w:val="1"/>
          <w:numId w:val="14"/>
        </w:numPr>
        <w:ind w:left="426" w:hanging="426"/>
      </w:pPr>
      <w:bookmarkStart w:id="32" w:name="_Toc181188547"/>
      <w:r w:rsidRPr="002C45A6">
        <w:t>Amikacin therapy (not for unique indications) and patients with altered pharmacokinetics</w:t>
      </w:r>
      <w:bookmarkEnd w:id="32"/>
      <w:r w:rsidRPr="002C45A6">
        <w:t xml:space="preserve"> </w:t>
      </w:r>
    </w:p>
    <w:p w14:paraId="367EB4DD" w14:textId="61104796" w:rsidR="007D171B" w:rsidRPr="004F1D1C" w:rsidRDefault="007D171B" w:rsidP="007D171B">
      <w:pPr>
        <w:rPr>
          <w:rFonts w:asciiTheme="minorHAnsi" w:hAnsiTheme="minorHAnsi" w:cstheme="minorHAnsi"/>
          <w:color w:val="0000FF"/>
          <w:u w:val="single"/>
        </w:rPr>
      </w:pPr>
      <w:r w:rsidRPr="002C45A6">
        <w:rPr>
          <w:rFonts w:asciiTheme="minorHAnsi" w:hAnsiTheme="minorHAnsi" w:cstheme="minorHAnsi"/>
        </w:rPr>
        <w:t xml:space="preserve">If your patient has altered pharmacokinetics, </w:t>
      </w:r>
      <w:r w:rsidRPr="000D46FD">
        <w:rPr>
          <w:rFonts w:asciiTheme="minorHAnsi" w:hAnsiTheme="minorHAnsi" w:cstheme="minorHAnsi"/>
        </w:rPr>
        <w:t xml:space="preserve">refer to </w:t>
      </w:r>
      <w:r w:rsidRPr="00C07986">
        <w:rPr>
          <w:rFonts w:asciiTheme="minorHAnsi" w:hAnsiTheme="minorHAnsi" w:cstheme="minorHAnsi"/>
          <w:b/>
          <w:bCs/>
        </w:rPr>
        <w:t xml:space="preserve">Section </w:t>
      </w:r>
      <w:r w:rsidR="000D46FD" w:rsidRPr="00C07986">
        <w:rPr>
          <w:rFonts w:asciiTheme="minorHAnsi" w:hAnsiTheme="minorHAnsi" w:cstheme="minorHAnsi"/>
          <w:b/>
          <w:bCs/>
        </w:rPr>
        <w:t>3.4</w:t>
      </w:r>
      <w:r w:rsidRPr="000D46FD">
        <w:rPr>
          <w:rFonts w:asciiTheme="minorHAnsi" w:hAnsiTheme="minorHAnsi" w:cstheme="minorHAnsi"/>
        </w:rPr>
        <w:t>:</w:t>
      </w:r>
      <w:r w:rsidRPr="002C45A6">
        <w:rPr>
          <w:rFonts w:asciiTheme="minorHAnsi" w:hAnsiTheme="minorHAnsi" w:cstheme="minorHAnsi"/>
        </w:rPr>
        <w:t xml:space="preserve"> </w:t>
      </w:r>
      <w:r w:rsidR="004F1D1C">
        <w:rPr>
          <w:rFonts w:asciiTheme="minorHAnsi" w:hAnsiTheme="minorHAnsi" w:cstheme="minorHAnsi"/>
        </w:rPr>
        <w:t>two</w:t>
      </w:r>
      <w:r w:rsidR="004F1D1C" w:rsidRPr="002C45A6">
        <w:rPr>
          <w:rFonts w:asciiTheme="minorHAnsi" w:hAnsiTheme="minorHAnsi" w:cstheme="minorHAnsi"/>
        </w:rPr>
        <w:t xml:space="preserve"> </w:t>
      </w:r>
      <w:r w:rsidR="004F1D1C">
        <w:rPr>
          <w:rFonts w:asciiTheme="minorHAnsi" w:hAnsiTheme="minorHAnsi" w:cstheme="minorHAnsi"/>
        </w:rPr>
        <w:t>serum</w:t>
      </w:r>
      <w:r w:rsidR="004F1D1C" w:rsidRPr="002C45A6">
        <w:rPr>
          <w:rFonts w:asciiTheme="minorHAnsi" w:hAnsiTheme="minorHAnsi" w:cstheme="minorHAnsi"/>
        </w:rPr>
        <w:t xml:space="preserve"> </w:t>
      </w:r>
      <w:r w:rsidR="00AE492D">
        <w:rPr>
          <w:rFonts w:asciiTheme="minorHAnsi" w:hAnsiTheme="minorHAnsi" w:cstheme="minorHAnsi"/>
        </w:rPr>
        <w:t>concentration monitoring</w:t>
      </w:r>
      <w:r w:rsidR="004F1D1C" w:rsidRPr="002C45A6">
        <w:rPr>
          <w:rFonts w:asciiTheme="minorHAnsi" w:hAnsiTheme="minorHAnsi" w:cstheme="minorHAnsi"/>
        </w:rPr>
        <w:t xml:space="preserve">. </w:t>
      </w:r>
    </w:p>
    <w:p w14:paraId="35ED4E0A" w14:textId="77777777" w:rsidR="007D171B" w:rsidRPr="002C45A6" w:rsidRDefault="007D171B" w:rsidP="00CD5D59">
      <w:pPr>
        <w:spacing w:after="0"/>
        <w:rPr>
          <w:rFonts w:asciiTheme="minorHAnsi" w:hAnsiTheme="minorHAnsi" w:cstheme="minorHAnsi"/>
        </w:rPr>
      </w:pPr>
      <w:r w:rsidRPr="002C45A6">
        <w:rPr>
          <w:rFonts w:asciiTheme="minorHAnsi" w:hAnsiTheme="minorHAnsi" w:cstheme="minorHAnsi"/>
        </w:rPr>
        <w:t>Those with altered pharmacokinetics include:</w:t>
      </w:r>
    </w:p>
    <w:p w14:paraId="6BD7A19C" w14:textId="77777777" w:rsidR="007D171B" w:rsidRPr="002C45A6" w:rsidRDefault="007D171B" w:rsidP="00BE6BC3">
      <w:pPr>
        <w:pStyle w:val="Bullet"/>
      </w:pPr>
      <w:r w:rsidRPr="002C45A6">
        <w:t>Patients admitted to the Intensive Care Unit</w:t>
      </w:r>
    </w:p>
    <w:p w14:paraId="4A5FBE8E" w14:textId="77777777" w:rsidR="007D171B" w:rsidRPr="002C45A6" w:rsidRDefault="007D171B" w:rsidP="00BE6BC3">
      <w:pPr>
        <w:pStyle w:val="Bullet"/>
        <w:rPr>
          <w:color w:val="000000"/>
        </w:rPr>
      </w:pPr>
      <w:r w:rsidRPr="002C45A6">
        <w:lastRenderedPageBreak/>
        <w:t>Patients in shock</w:t>
      </w:r>
    </w:p>
    <w:p w14:paraId="561E222E" w14:textId="77777777" w:rsidR="007D171B" w:rsidRPr="002C45A6" w:rsidRDefault="007D171B" w:rsidP="00BE6BC3">
      <w:pPr>
        <w:pStyle w:val="Bullet"/>
      </w:pPr>
      <w:r w:rsidRPr="002C45A6">
        <w:rPr>
          <w:color w:val="000000"/>
        </w:rPr>
        <w:t>Obese patients (BMI &gt;30 kg/m</w:t>
      </w:r>
      <w:r w:rsidRPr="002C45A6">
        <w:rPr>
          <w:color w:val="000000"/>
          <w:vertAlign w:val="superscript"/>
        </w:rPr>
        <w:t>2</w:t>
      </w:r>
      <w:r w:rsidRPr="002C45A6">
        <w:rPr>
          <w:color w:val="000000"/>
        </w:rPr>
        <w:t>)</w:t>
      </w:r>
    </w:p>
    <w:p w14:paraId="5D121B52" w14:textId="77777777" w:rsidR="007D171B" w:rsidRPr="002C45A6" w:rsidRDefault="007D171B" w:rsidP="00BE6BC3">
      <w:pPr>
        <w:pStyle w:val="Bullet"/>
      </w:pPr>
      <w:r w:rsidRPr="002C45A6">
        <w:t>eGFR &lt; 30mL/min (if further doses authorised by the renal service)</w:t>
      </w:r>
    </w:p>
    <w:p w14:paraId="1AAF061D" w14:textId="77777777" w:rsidR="007D171B" w:rsidRPr="002C45A6" w:rsidRDefault="007D171B" w:rsidP="00BE6BC3">
      <w:pPr>
        <w:pStyle w:val="Bullet"/>
      </w:pPr>
      <w:r w:rsidRPr="002C45A6">
        <w:t>Patients with quadriplegia</w:t>
      </w:r>
    </w:p>
    <w:p w14:paraId="478A3A89" w14:textId="77777777" w:rsidR="007D171B" w:rsidRPr="002C45A6" w:rsidRDefault="007D171B" w:rsidP="00BE6BC3">
      <w:pPr>
        <w:pStyle w:val="Bullet"/>
      </w:pPr>
      <w:r w:rsidRPr="002C45A6">
        <w:t>Patients with cystic fibrosis</w:t>
      </w:r>
    </w:p>
    <w:p w14:paraId="1CF475DC" w14:textId="77777777" w:rsidR="007D171B" w:rsidRPr="002C45A6" w:rsidRDefault="007D171B" w:rsidP="00BE6BC3">
      <w:pPr>
        <w:pStyle w:val="Bullet"/>
      </w:pPr>
      <w:r w:rsidRPr="002C45A6">
        <w:t>Patients with ascites</w:t>
      </w:r>
    </w:p>
    <w:p w14:paraId="695A3576" w14:textId="77777777" w:rsidR="007D171B" w:rsidRPr="002C45A6" w:rsidRDefault="007D171B" w:rsidP="00BE6BC3">
      <w:pPr>
        <w:pStyle w:val="Bullet"/>
      </w:pPr>
      <w:r w:rsidRPr="002C45A6">
        <w:t>Patients with burns</w:t>
      </w:r>
    </w:p>
    <w:p w14:paraId="44C1E714" w14:textId="77777777" w:rsidR="007D171B" w:rsidRPr="002C45A6" w:rsidRDefault="007D171B" w:rsidP="00BE6BC3">
      <w:pPr>
        <w:pStyle w:val="Bullet"/>
      </w:pPr>
      <w:r w:rsidRPr="002C45A6">
        <w:t>Pregnant patients</w:t>
      </w:r>
    </w:p>
    <w:p w14:paraId="5DCAC3BA" w14:textId="775C73AB" w:rsidR="007D171B" w:rsidRPr="005E0498" w:rsidRDefault="007D171B" w:rsidP="007D171B">
      <w:pPr>
        <w:rPr>
          <w:rFonts w:asciiTheme="minorHAnsi" w:hAnsiTheme="minorHAnsi" w:cstheme="minorHAnsi"/>
          <w:color w:val="0000FF"/>
          <w:u w:val="single"/>
        </w:rPr>
      </w:pPr>
      <w:r w:rsidRPr="00E92AED">
        <w:rPr>
          <w:rFonts w:asciiTheme="minorHAnsi" w:hAnsiTheme="minorHAnsi" w:cstheme="minorHAnsi"/>
        </w:rPr>
        <w:t>For all other patients:</w:t>
      </w:r>
      <w:r w:rsidRPr="002C45A6">
        <w:rPr>
          <w:rFonts w:asciiTheme="minorHAnsi" w:hAnsiTheme="minorHAnsi" w:cstheme="minorHAnsi"/>
        </w:rPr>
        <w:t xml:space="preserve"> </w:t>
      </w:r>
      <w:r w:rsidR="00E92AED">
        <w:rPr>
          <w:rFonts w:asciiTheme="minorHAnsi" w:hAnsiTheme="minorHAnsi" w:cstheme="minorHAnsi"/>
        </w:rPr>
        <w:t>R</w:t>
      </w:r>
      <w:r w:rsidRPr="002C45A6">
        <w:rPr>
          <w:rFonts w:asciiTheme="minorHAnsi" w:hAnsiTheme="minorHAnsi" w:cstheme="minorHAnsi"/>
        </w:rPr>
        <w:t xml:space="preserve">efer to </w:t>
      </w:r>
      <w:r w:rsidRPr="00C07986">
        <w:rPr>
          <w:rFonts w:asciiTheme="minorHAnsi" w:hAnsiTheme="minorHAnsi" w:cstheme="minorHAnsi"/>
          <w:b/>
          <w:bCs/>
        </w:rPr>
        <w:t xml:space="preserve">Section </w:t>
      </w:r>
      <w:r w:rsidR="000D46FD" w:rsidRPr="00C07986">
        <w:rPr>
          <w:rFonts w:asciiTheme="minorHAnsi" w:hAnsiTheme="minorHAnsi" w:cstheme="minorHAnsi"/>
          <w:b/>
          <w:bCs/>
        </w:rPr>
        <w:t>3.3</w:t>
      </w:r>
      <w:r w:rsidRPr="000D46FD">
        <w:rPr>
          <w:rFonts w:asciiTheme="minorHAnsi" w:hAnsiTheme="minorHAnsi" w:cstheme="minorHAnsi"/>
        </w:rPr>
        <w:t>:</w:t>
      </w:r>
      <w:r w:rsidRPr="002C45A6">
        <w:rPr>
          <w:rFonts w:asciiTheme="minorHAnsi" w:hAnsiTheme="minorHAnsi" w:cstheme="minorHAnsi"/>
          <w:b/>
          <w:bCs/>
        </w:rPr>
        <w:t xml:space="preserve"> </w:t>
      </w:r>
      <w:r w:rsidR="004F1D1C">
        <w:rPr>
          <w:rFonts w:asciiTheme="minorHAnsi" w:hAnsiTheme="minorHAnsi" w:cstheme="minorHAnsi"/>
        </w:rPr>
        <w:t>s</w:t>
      </w:r>
      <w:r w:rsidRPr="002C45A6">
        <w:rPr>
          <w:rFonts w:asciiTheme="minorHAnsi" w:hAnsiTheme="minorHAnsi" w:cstheme="minorHAnsi"/>
        </w:rPr>
        <w:t xml:space="preserve">ingle </w:t>
      </w:r>
      <w:r w:rsidR="006446A8">
        <w:rPr>
          <w:rFonts w:asciiTheme="minorHAnsi" w:hAnsiTheme="minorHAnsi" w:cstheme="minorHAnsi"/>
        </w:rPr>
        <w:t>serum</w:t>
      </w:r>
      <w:r w:rsidRPr="002C45A6">
        <w:rPr>
          <w:rFonts w:asciiTheme="minorHAnsi" w:hAnsiTheme="minorHAnsi" w:cstheme="minorHAnsi"/>
        </w:rPr>
        <w:t xml:space="preserve"> </w:t>
      </w:r>
      <w:r w:rsidR="00AE492D">
        <w:rPr>
          <w:rFonts w:asciiTheme="minorHAnsi" w:hAnsiTheme="minorHAnsi" w:cstheme="minorHAnsi"/>
        </w:rPr>
        <w:t>concentration monitoring</w:t>
      </w:r>
      <w:r w:rsidRPr="002C45A6">
        <w:rPr>
          <w:rFonts w:asciiTheme="minorHAnsi" w:hAnsiTheme="minorHAnsi" w:cstheme="minorHAnsi"/>
        </w:rPr>
        <w:t xml:space="preserve">. </w:t>
      </w:r>
    </w:p>
    <w:p w14:paraId="46C3B221" w14:textId="507C0E6B" w:rsidR="007D171B" w:rsidRPr="00BE6BC3" w:rsidRDefault="002E135E" w:rsidP="00D31241">
      <w:pPr>
        <w:pStyle w:val="Heading4"/>
        <w:numPr>
          <w:ilvl w:val="1"/>
          <w:numId w:val="14"/>
        </w:numPr>
        <w:ind w:left="426" w:hanging="426"/>
      </w:pPr>
      <w:bookmarkStart w:id="33" w:name="_Toc181188548"/>
      <w:r>
        <w:t>S</w:t>
      </w:r>
      <w:r w:rsidR="006446A8" w:rsidRPr="00BE6BC3">
        <w:t xml:space="preserve">ingle </w:t>
      </w:r>
      <w:r w:rsidR="006446A8">
        <w:t>s</w:t>
      </w:r>
      <w:r w:rsidR="006446A8" w:rsidRPr="00BE6BC3">
        <w:t xml:space="preserve">erum </w:t>
      </w:r>
      <w:r w:rsidR="006446A8">
        <w:t>c</w:t>
      </w:r>
      <w:r w:rsidR="006446A8" w:rsidRPr="00BE6BC3">
        <w:t xml:space="preserve">oncentration </w:t>
      </w:r>
      <w:r w:rsidR="006446A8">
        <w:t>m</w:t>
      </w:r>
      <w:r w:rsidR="006446A8" w:rsidRPr="00BE6BC3">
        <w:t>onitoring</w:t>
      </w:r>
      <w:bookmarkEnd w:id="33"/>
      <w:r w:rsidR="006446A8" w:rsidRPr="00BE6BC3">
        <w:t xml:space="preserve"> </w:t>
      </w:r>
    </w:p>
    <w:p w14:paraId="5E04DECC" w14:textId="64D9487D" w:rsidR="00414397" w:rsidRDefault="00414397" w:rsidP="007D171B">
      <w:pPr>
        <w:rPr>
          <w:rFonts w:asciiTheme="minorHAnsi" w:hAnsiTheme="minorHAnsi" w:cstheme="minorHAnsi"/>
        </w:rPr>
      </w:pPr>
      <w:r>
        <w:rPr>
          <w:rFonts w:asciiTheme="minorHAnsi" w:hAnsiTheme="minorHAnsi" w:cstheme="minorHAnsi"/>
        </w:rPr>
        <w:t xml:space="preserve">This method is to be used for patients other than those with altered pharmacokinetics. </w:t>
      </w:r>
    </w:p>
    <w:p w14:paraId="5C95639E" w14:textId="4C9DD518" w:rsidR="007D171B" w:rsidRPr="002C45A6" w:rsidRDefault="007D171B" w:rsidP="007D171B">
      <w:pPr>
        <w:rPr>
          <w:rFonts w:asciiTheme="minorHAnsi" w:hAnsiTheme="minorHAnsi" w:cstheme="minorHAnsi"/>
        </w:rPr>
      </w:pPr>
      <w:r w:rsidRPr="002C45A6">
        <w:rPr>
          <w:rFonts w:asciiTheme="minorHAnsi" w:hAnsiTheme="minorHAnsi" w:cstheme="minorHAnsi"/>
        </w:rPr>
        <w:t xml:space="preserve">This method requires use of Bayesian software (e.g. TDM-x) to provide a computer-generated recommendation for subsequent dosing by estimating the Area Under the Curve (AUC) and maximum concentration (C max) using a single drug concentration. </w:t>
      </w:r>
    </w:p>
    <w:p w14:paraId="6A1B971D" w14:textId="73CD1A4A" w:rsidR="007D171B" w:rsidRPr="002C45A6" w:rsidRDefault="007D171B" w:rsidP="00BE6BC3">
      <w:pPr>
        <w:pStyle w:val="Bullet"/>
        <w:rPr>
          <w:rFonts w:eastAsia="Calibri"/>
        </w:rPr>
      </w:pPr>
      <w:r w:rsidRPr="002C45A6">
        <w:rPr>
          <w:rFonts w:eastAsia="Calibri"/>
        </w:rPr>
        <w:t>Check if the aminoglycoside is to continue for the next dose</w:t>
      </w:r>
      <w:r w:rsidR="00BE6BC3">
        <w:rPr>
          <w:rFonts w:eastAsia="Calibri"/>
        </w:rPr>
        <w:t>:</w:t>
      </w:r>
    </w:p>
    <w:p w14:paraId="3F8110E5" w14:textId="6FFC1CED" w:rsidR="007D171B" w:rsidRPr="002C45A6" w:rsidRDefault="007D171B" w:rsidP="00BE6BC3">
      <w:pPr>
        <w:pStyle w:val="Bullet"/>
        <w:numPr>
          <w:ilvl w:val="1"/>
          <w:numId w:val="1"/>
        </w:numPr>
        <w:rPr>
          <w:rFonts w:eastAsia="Calibri"/>
        </w:rPr>
      </w:pPr>
      <w:r w:rsidRPr="002C45A6">
        <w:rPr>
          <w:rFonts w:eastAsia="Calibri"/>
        </w:rPr>
        <w:t xml:space="preserve">If the patient is &gt; 80 years old or has a CrCl &lt; 40mL/min eTG recommends a single dose of </w:t>
      </w:r>
      <w:r>
        <w:rPr>
          <w:rFonts w:eastAsia="Calibri"/>
        </w:rPr>
        <w:t>g</w:t>
      </w:r>
      <w:r w:rsidRPr="002C45A6">
        <w:rPr>
          <w:rFonts w:eastAsia="Calibri"/>
        </w:rPr>
        <w:t xml:space="preserve">entamicin (switch these patients to an alternative agent after the first dose of </w:t>
      </w:r>
      <w:r>
        <w:rPr>
          <w:rFonts w:eastAsia="Calibri"/>
        </w:rPr>
        <w:t>g</w:t>
      </w:r>
      <w:r w:rsidRPr="002C45A6">
        <w:rPr>
          <w:rFonts w:eastAsia="Calibri"/>
        </w:rPr>
        <w:t>entamicin unless approved by AMS or ID to continue)</w:t>
      </w:r>
    </w:p>
    <w:p w14:paraId="55720778" w14:textId="77777777" w:rsidR="007D171B" w:rsidRPr="002C45A6" w:rsidRDefault="007D171B" w:rsidP="00BE6BC3">
      <w:pPr>
        <w:pStyle w:val="Bullet"/>
        <w:numPr>
          <w:ilvl w:val="1"/>
          <w:numId w:val="1"/>
        </w:numPr>
        <w:rPr>
          <w:rFonts w:eastAsia="Calibri"/>
        </w:rPr>
      </w:pPr>
      <w:r w:rsidRPr="002C45A6">
        <w:rPr>
          <w:rFonts w:eastAsia="Calibri"/>
        </w:rPr>
        <w:t xml:space="preserve">Check if the patient can step down to orals or cease antimicrobials altogether. </w:t>
      </w:r>
    </w:p>
    <w:p w14:paraId="295FB734" w14:textId="3BFF2C71" w:rsidR="0042734A" w:rsidRDefault="0042734A" w:rsidP="00BE6BC3">
      <w:pPr>
        <w:pStyle w:val="Bullet"/>
        <w:rPr>
          <w:rFonts w:eastAsia="Calibri"/>
        </w:rPr>
      </w:pPr>
      <w:r>
        <w:rPr>
          <w:rFonts w:eastAsia="Calibri"/>
        </w:rPr>
        <w:t>The treating team should order a serum concentration when prescribing the first dose</w:t>
      </w:r>
    </w:p>
    <w:p w14:paraId="2DC834A2" w14:textId="72F7D97E" w:rsidR="00BE6BC3" w:rsidRDefault="007D171B" w:rsidP="00BE6BC3">
      <w:pPr>
        <w:pStyle w:val="Bullet"/>
        <w:rPr>
          <w:rFonts w:eastAsia="Calibri"/>
        </w:rPr>
      </w:pPr>
      <w:r w:rsidRPr="002C45A6">
        <w:rPr>
          <w:rFonts w:eastAsia="Calibri"/>
        </w:rPr>
        <w:t>To perform the single s</w:t>
      </w:r>
      <w:r>
        <w:rPr>
          <w:rFonts w:eastAsia="Calibri"/>
        </w:rPr>
        <w:t>erum</w:t>
      </w:r>
      <w:r w:rsidRPr="002C45A6">
        <w:rPr>
          <w:rFonts w:eastAsia="Calibri"/>
        </w:rPr>
        <w:t xml:space="preserve"> TDM</w:t>
      </w:r>
      <w:r w:rsidR="00BE6BC3">
        <w:rPr>
          <w:rFonts w:eastAsia="Calibri"/>
        </w:rPr>
        <w:t>:</w:t>
      </w:r>
    </w:p>
    <w:p w14:paraId="7899646A" w14:textId="7B66997F" w:rsidR="007D171B" w:rsidRPr="00BE6BC3" w:rsidRDefault="007D171B" w:rsidP="00BE6BC3">
      <w:pPr>
        <w:pStyle w:val="Bullet"/>
        <w:numPr>
          <w:ilvl w:val="1"/>
          <w:numId w:val="1"/>
        </w:numPr>
        <w:rPr>
          <w:rFonts w:eastAsia="Calibri"/>
        </w:rPr>
      </w:pPr>
      <w:r w:rsidRPr="00BE6BC3">
        <w:rPr>
          <w:rFonts w:asciiTheme="minorHAnsi" w:eastAsia="Calibri" w:hAnsiTheme="minorHAnsi" w:cstheme="minorHAnsi"/>
        </w:rPr>
        <w:t xml:space="preserve">One serum </w:t>
      </w:r>
      <w:r w:rsidR="004F1D1C" w:rsidRPr="002C45A6">
        <w:t>drug concentration</w:t>
      </w:r>
      <w:r w:rsidR="004F1D1C">
        <w:t xml:space="preserve"> </w:t>
      </w:r>
      <w:r w:rsidRPr="00BE6BC3">
        <w:rPr>
          <w:rFonts w:asciiTheme="minorHAnsi" w:eastAsia="Calibri" w:hAnsiTheme="minorHAnsi" w:cstheme="minorHAnsi"/>
        </w:rPr>
        <w:t>should be taken:</w:t>
      </w:r>
    </w:p>
    <w:tbl>
      <w:tblPr>
        <w:tblStyle w:val="TableGrid"/>
        <w:tblW w:w="0" w:type="auto"/>
        <w:tblLook w:val="04A0" w:firstRow="1" w:lastRow="0" w:firstColumn="1" w:lastColumn="0" w:noHBand="0" w:noVBand="1"/>
      </w:tblPr>
      <w:tblGrid>
        <w:gridCol w:w="9634"/>
      </w:tblGrid>
      <w:tr w:rsidR="007D171B" w:rsidRPr="002C45A6" w14:paraId="6F31C82F" w14:textId="77777777" w:rsidTr="006E7099">
        <w:trPr>
          <w:trHeight w:val="423"/>
        </w:trPr>
        <w:tc>
          <w:tcPr>
            <w:tcW w:w="9634" w:type="dxa"/>
            <w:vAlign w:val="center"/>
          </w:tcPr>
          <w:p w14:paraId="3A8A858A" w14:textId="1E7685CA" w:rsidR="007D171B" w:rsidRPr="002C45A6" w:rsidRDefault="007D171B" w:rsidP="006E7099">
            <w:pPr>
              <w:spacing w:after="0"/>
              <w:rPr>
                <w:rFonts w:asciiTheme="minorHAnsi" w:eastAsia="Calibri" w:hAnsiTheme="minorHAnsi" w:cstheme="minorHAnsi"/>
                <w:sz w:val="12"/>
                <w:szCs w:val="12"/>
                <w:u w:val="single"/>
              </w:rPr>
            </w:pPr>
            <w:r w:rsidRPr="00E81332">
              <w:rPr>
                <w:rFonts w:asciiTheme="minorHAnsi" w:eastAsia="Calibri" w:hAnsiTheme="minorHAnsi" w:cstheme="minorHAnsi"/>
                <w:b/>
                <w:bCs/>
              </w:rPr>
              <w:t>6-12</w:t>
            </w:r>
            <w:r w:rsidRPr="002C45A6">
              <w:rPr>
                <w:rFonts w:asciiTheme="minorHAnsi" w:eastAsia="Calibri" w:hAnsiTheme="minorHAnsi" w:cstheme="minorHAnsi"/>
              </w:rPr>
              <w:t xml:space="preserve"> </w:t>
            </w:r>
            <w:r w:rsidRPr="00D92152">
              <w:rPr>
                <w:rFonts w:asciiTheme="minorHAnsi" w:eastAsia="Calibri" w:hAnsiTheme="minorHAnsi" w:cstheme="minorHAnsi"/>
                <w:b/>
                <w:bCs/>
              </w:rPr>
              <w:t>hours</w:t>
            </w:r>
            <w:r w:rsidRPr="002C45A6">
              <w:rPr>
                <w:rFonts w:asciiTheme="minorHAnsi" w:eastAsia="Calibri" w:hAnsiTheme="minorHAnsi" w:cstheme="minorHAnsi"/>
              </w:rPr>
              <w:t xml:space="preserve"> after the beginning of the antibiotic infusion</w:t>
            </w:r>
          </w:p>
        </w:tc>
      </w:tr>
    </w:tbl>
    <w:p w14:paraId="63D9B719" w14:textId="38D56987" w:rsidR="007D171B" w:rsidRDefault="007D171B" w:rsidP="00BE6BC3">
      <w:pPr>
        <w:pStyle w:val="Bullet"/>
        <w:numPr>
          <w:ilvl w:val="1"/>
          <w:numId w:val="1"/>
        </w:numPr>
        <w:rPr>
          <w:rFonts w:eastAsia="Calibri"/>
        </w:rPr>
      </w:pPr>
      <w:r w:rsidRPr="002C45A6">
        <w:rPr>
          <w:rFonts w:eastAsia="Calibri"/>
        </w:rPr>
        <w:t xml:space="preserve">The treating team should </w:t>
      </w:r>
      <w:r>
        <w:rPr>
          <w:rFonts w:eastAsia="Calibri"/>
        </w:rPr>
        <w:t>c</w:t>
      </w:r>
      <w:r w:rsidRPr="002C45A6">
        <w:rPr>
          <w:rFonts w:eastAsia="Calibri"/>
        </w:rPr>
        <w:t xml:space="preserve">ontact </w:t>
      </w:r>
      <w:r>
        <w:rPr>
          <w:rFonts w:eastAsia="Calibri"/>
        </w:rPr>
        <w:t xml:space="preserve">their clinical ward </w:t>
      </w:r>
      <w:r w:rsidR="000329D8">
        <w:rPr>
          <w:rFonts w:eastAsia="Calibri"/>
        </w:rPr>
        <w:t>P</w:t>
      </w:r>
      <w:r>
        <w:rPr>
          <w:rFonts w:eastAsia="Calibri"/>
        </w:rPr>
        <w:t xml:space="preserve">harmacist, </w:t>
      </w:r>
      <w:r w:rsidRPr="002C45A6">
        <w:rPr>
          <w:rFonts w:eastAsia="Calibri"/>
        </w:rPr>
        <w:t>for interpretation of the level and for subsequent dosing advic</w:t>
      </w:r>
      <w:r w:rsidR="00FE188E">
        <w:rPr>
          <w:rFonts w:eastAsia="Calibri"/>
        </w:rPr>
        <w:t xml:space="preserve">e, to be documented by the </w:t>
      </w:r>
      <w:r w:rsidR="0094578F">
        <w:rPr>
          <w:rFonts w:eastAsia="Calibri"/>
        </w:rPr>
        <w:t>P</w:t>
      </w:r>
      <w:r w:rsidR="00FE188E">
        <w:rPr>
          <w:rFonts w:eastAsia="Calibri"/>
        </w:rPr>
        <w:t>harmacist</w:t>
      </w:r>
      <w:r w:rsidRPr="002C45A6">
        <w:rPr>
          <w:rFonts w:eastAsia="Calibri"/>
        </w:rPr>
        <w:t xml:space="preserve">. </w:t>
      </w:r>
      <w:r>
        <w:rPr>
          <w:rFonts w:eastAsia="Calibri"/>
        </w:rPr>
        <w:t xml:space="preserve">Where this is unable to be determined by the </w:t>
      </w:r>
      <w:r w:rsidR="0094578F">
        <w:rPr>
          <w:rFonts w:eastAsia="Calibri"/>
        </w:rPr>
        <w:t>P</w:t>
      </w:r>
      <w:r>
        <w:rPr>
          <w:rFonts w:eastAsia="Calibri"/>
        </w:rPr>
        <w:t xml:space="preserve">harmacist due to complex patient factors, </w:t>
      </w:r>
      <w:r w:rsidRPr="002C45A6">
        <w:rPr>
          <w:rFonts w:eastAsia="Calibri"/>
        </w:rPr>
        <w:t xml:space="preserve">contact </w:t>
      </w:r>
      <w:r>
        <w:rPr>
          <w:rFonts w:eastAsia="Calibri"/>
        </w:rPr>
        <w:t xml:space="preserve">the </w:t>
      </w:r>
      <w:r w:rsidRPr="002C45A6">
        <w:rPr>
          <w:rFonts w:eastAsia="Calibri"/>
        </w:rPr>
        <w:t xml:space="preserve">AMS </w:t>
      </w:r>
      <w:r w:rsidR="004D5351">
        <w:rPr>
          <w:rFonts w:eastAsia="Calibri"/>
        </w:rPr>
        <w:t>service</w:t>
      </w:r>
      <w:r>
        <w:rPr>
          <w:rFonts w:eastAsia="Calibri"/>
        </w:rPr>
        <w:t xml:space="preserve"> or the on-call ID physician after hours.</w:t>
      </w:r>
    </w:p>
    <w:p w14:paraId="222EF8ED" w14:textId="6E3E304A" w:rsidR="003504C7" w:rsidRDefault="007D171B" w:rsidP="003504C7">
      <w:pPr>
        <w:pStyle w:val="Bullet"/>
        <w:numPr>
          <w:ilvl w:val="1"/>
          <w:numId w:val="1"/>
        </w:numPr>
        <w:rPr>
          <w:rFonts w:eastAsia="Calibri"/>
        </w:rPr>
      </w:pPr>
      <w:r>
        <w:rPr>
          <w:rFonts w:eastAsia="Calibri"/>
        </w:rPr>
        <w:t xml:space="preserve">After-hours, if the review and recommendation has not been completed, the treating doctor should review when the next dose is due. If it is due overnight contact the after-hours </w:t>
      </w:r>
      <w:r w:rsidR="00F41E05">
        <w:rPr>
          <w:rFonts w:eastAsia="Calibri"/>
        </w:rPr>
        <w:t>P</w:t>
      </w:r>
      <w:r>
        <w:rPr>
          <w:rFonts w:eastAsia="Calibri"/>
        </w:rPr>
        <w:t xml:space="preserve">harmacist, if not, place a pharmacy consult to be done the next day. </w:t>
      </w:r>
    </w:p>
    <w:p w14:paraId="668CDF28" w14:textId="74D0AC02" w:rsidR="003504C7" w:rsidRPr="00BD7A13" w:rsidRDefault="003504C7" w:rsidP="003504C7">
      <w:pPr>
        <w:pStyle w:val="Bullet"/>
        <w:numPr>
          <w:ilvl w:val="1"/>
          <w:numId w:val="1"/>
        </w:numPr>
        <w:rPr>
          <w:rFonts w:eastAsia="Calibri"/>
        </w:rPr>
      </w:pPr>
      <w:r>
        <w:rPr>
          <w:rFonts w:eastAsia="Calibri"/>
        </w:rPr>
        <w:t>Nursing staff should escalate through the normal pathways if recommendations are not being actioned by treating doctor</w:t>
      </w:r>
      <w:r w:rsidR="00247C74">
        <w:rPr>
          <w:rFonts w:eastAsia="Calibri"/>
        </w:rPr>
        <w:t xml:space="preserve"> or if the ‘five rights’ for medication administration have not been confirmed</w:t>
      </w:r>
      <w:r>
        <w:rPr>
          <w:rFonts w:eastAsia="Calibri"/>
        </w:rPr>
        <w:t xml:space="preserve">. </w:t>
      </w:r>
    </w:p>
    <w:p w14:paraId="36D10890" w14:textId="77777777" w:rsidR="003504C7" w:rsidRPr="003504C7" w:rsidRDefault="003504C7" w:rsidP="003504C7">
      <w:pPr>
        <w:pStyle w:val="Bullet"/>
        <w:numPr>
          <w:ilvl w:val="0"/>
          <w:numId w:val="0"/>
        </w:numPr>
        <w:ind w:left="850"/>
        <w:rPr>
          <w:rFonts w:eastAsia="Calibri"/>
        </w:rPr>
      </w:pPr>
    </w:p>
    <w:p w14:paraId="79C3021B" w14:textId="6CC83360" w:rsidR="007D171B" w:rsidRPr="002C45A6" w:rsidRDefault="007D171B" w:rsidP="00BE6BC3">
      <w:pPr>
        <w:pStyle w:val="Bullet"/>
        <w:rPr>
          <w:rFonts w:eastAsia="Calibri"/>
          <w:b/>
          <w:bCs/>
        </w:rPr>
      </w:pPr>
      <w:r w:rsidRPr="002C45A6">
        <w:rPr>
          <w:rFonts w:eastAsia="Calibri"/>
        </w:rPr>
        <w:t xml:space="preserve">Frequency of subsequent </w:t>
      </w:r>
      <w:r w:rsidR="00AE492D">
        <w:rPr>
          <w:rFonts w:eastAsia="Calibri"/>
        </w:rPr>
        <w:t>serum concentration monitoring</w:t>
      </w:r>
      <w:r w:rsidR="00BE6BC3">
        <w:rPr>
          <w:rFonts w:eastAsia="Calibri"/>
          <w:b/>
          <w:bCs/>
        </w:rPr>
        <w:t>:</w:t>
      </w:r>
    </w:p>
    <w:p w14:paraId="4934C4E3" w14:textId="38495E1A" w:rsidR="007D171B" w:rsidRDefault="007D171B" w:rsidP="00BE6BC3">
      <w:pPr>
        <w:pStyle w:val="Bullet"/>
        <w:numPr>
          <w:ilvl w:val="1"/>
          <w:numId w:val="1"/>
        </w:numPr>
        <w:rPr>
          <w:rFonts w:eastAsia="Calibri"/>
        </w:rPr>
      </w:pPr>
      <w:r w:rsidRPr="002C45A6">
        <w:rPr>
          <w:rFonts w:eastAsia="Calibri"/>
        </w:rPr>
        <w:t>If a dose change is recommended</w:t>
      </w:r>
      <w:r w:rsidR="00FE188E">
        <w:rPr>
          <w:rFonts w:eastAsia="Calibri"/>
        </w:rPr>
        <w:t xml:space="preserve"> by pharmacy</w:t>
      </w:r>
      <w:r w:rsidRPr="002C45A6">
        <w:rPr>
          <w:rFonts w:eastAsia="Calibri"/>
        </w:rPr>
        <w:t xml:space="preserve">, repeat </w:t>
      </w:r>
      <w:r w:rsidR="00D21EB3">
        <w:rPr>
          <w:rFonts w:eastAsia="Calibri"/>
        </w:rPr>
        <w:t>serum concentration test</w:t>
      </w:r>
      <w:r w:rsidR="00D21EB3" w:rsidRPr="002C45A6">
        <w:rPr>
          <w:rFonts w:eastAsia="Calibri"/>
        </w:rPr>
        <w:t xml:space="preserve"> </w:t>
      </w:r>
      <w:r w:rsidRPr="002C45A6">
        <w:rPr>
          <w:rFonts w:eastAsia="Calibri"/>
        </w:rPr>
        <w:t>after the new dose has been administered</w:t>
      </w:r>
      <w:r w:rsidR="00CD5D59">
        <w:rPr>
          <w:rFonts w:eastAsia="Calibri"/>
        </w:rPr>
        <w:t>.</w:t>
      </w:r>
    </w:p>
    <w:p w14:paraId="087214B5" w14:textId="1C69001B" w:rsidR="007D171B" w:rsidRPr="00E81332" w:rsidRDefault="007D171B" w:rsidP="00BE6BC3">
      <w:pPr>
        <w:pStyle w:val="Bullet"/>
        <w:numPr>
          <w:ilvl w:val="1"/>
          <w:numId w:val="1"/>
        </w:numPr>
        <w:rPr>
          <w:rFonts w:eastAsia="Calibri"/>
        </w:rPr>
      </w:pPr>
      <w:r w:rsidRPr="00E81332">
        <w:rPr>
          <w:rFonts w:eastAsia="Calibri"/>
        </w:rPr>
        <w:lastRenderedPageBreak/>
        <w:t xml:space="preserve">If the recommendation is to continue at the same dose, repeat </w:t>
      </w:r>
      <w:r w:rsidR="00D21EB3">
        <w:rPr>
          <w:rFonts w:eastAsia="Calibri"/>
        </w:rPr>
        <w:t>serum concentration tests</w:t>
      </w:r>
      <w:r w:rsidR="00D21EB3" w:rsidRPr="00E81332">
        <w:rPr>
          <w:rFonts w:eastAsia="Calibri"/>
        </w:rPr>
        <w:t xml:space="preserve"> </w:t>
      </w:r>
      <w:r w:rsidRPr="00E81332">
        <w:rPr>
          <w:rFonts w:eastAsia="Calibri"/>
        </w:rPr>
        <w:t>every 2 - 3 days.</w:t>
      </w:r>
    </w:p>
    <w:p w14:paraId="1B9107DF" w14:textId="53EFA427" w:rsidR="007D171B" w:rsidRPr="002C45A6" w:rsidRDefault="007D171B" w:rsidP="00BE6BC3">
      <w:pPr>
        <w:pStyle w:val="Bullet"/>
        <w:numPr>
          <w:ilvl w:val="1"/>
          <w:numId w:val="1"/>
        </w:numPr>
        <w:rPr>
          <w:rFonts w:eastAsia="Calibri"/>
        </w:rPr>
      </w:pPr>
      <w:r w:rsidRPr="002C45A6">
        <w:rPr>
          <w:rFonts w:eastAsia="Calibri"/>
        </w:rPr>
        <w:t>More frequent monitoring may be required if the patient is unstable, e.g. fluctuating renal function</w:t>
      </w:r>
      <w:r w:rsidR="00CD5D59">
        <w:rPr>
          <w:rFonts w:eastAsia="Calibri"/>
        </w:rPr>
        <w:t>.</w:t>
      </w:r>
    </w:p>
    <w:p w14:paraId="25E7BE9F" w14:textId="77777777" w:rsidR="007D171B" w:rsidRPr="00E81332" w:rsidRDefault="007D171B" w:rsidP="00BE6BC3">
      <w:pPr>
        <w:pStyle w:val="Bullet"/>
        <w:numPr>
          <w:ilvl w:val="1"/>
          <w:numId w:val="1"/>
        </w:numPr>
        <w:rPr>
          <w:rFonts w:eastAsia="Calibri"/>
        </w:rPr>
      </w:pPr>
      <w:r w:rsidRPr="0032177E">
        <w:rPr>
          <w:rFonts w:eastAsia="Calibri"/>
        </w:rPr>
        <w:t>Serial decreasing dose recommendations can be an early indication of deteriorating renal function, consider ceasing aminoglycoside therapy if this is suspected</w:t>
      </w:r>
      <w:r>
        <w:rPr>
          <w:rFonts w:eastAsia="Calibri"/>
        </w:rPr>
        <w:t xml:space="preserve"> or contact AMS or ID for review. </w:t>
      </w:r>
    </w:p>
    <w:p w14:paraId="40348C39" w14:textId="6C44660A" w:rsidR="007D171B" w:rsidRPr="00BE6BC3" w:rsidRDefault="002E135E" w:rsidP="00D31241">
      <w:pPr>
        <w:pStyle w:val="Heading4"/>
        <w:numPr>
          <w:ilvl w:val="1"/>
          <w:numId w:val="14"/>
        </w:numPr>
        <w:ind w:left="426" w:hanging="426"/>
      </w:pPr>
      <w:bookmarkStart w:id="34" w:name="_Section_2.2:_Two-Sample"/>
      <w:bookmarkStart w:id="35" w:name="_Toc181188549"/>
      <w:bookmarkEnd w:id="34"/>
      <w:r>
        <w:t>T</w:t>
      </w:r>
      <w:r w:rsidR="006446A8" w:rsidRPr="00BE6BC3">
        <w:t xml:space="preserve">wo </w:t>
      </w:r>
      <w:r w:rsidR="006446A8">
        <w:t>s</w:t>
      </w:r>
      <w:r w:rsidR="006446A8" w:rsidRPr="00BE6BC3">
        <w:t xml:space="preserve">erum </w:t>
      </w:r>
      <w:r w:rsidR="006446A8">
        <w:t>c</w:t>
      </w:r>
      <w:r w:rsidR="006446A8" w:rsidRPr="00BE6BC3">
        <w:t xml:space="preserve">oncentration </w:t>
      </w:r>
      <w:r w:rsidR="006446A8">
        <w:t>m</w:t>
      </w:r>
      <w:r w:rsidR="006446A8" w:rsidRPr="00BE6BC3">
        <w:t>onitoring</w:t>
      </w:r>
      <w:bookmarkEnd w:id="35"/>
    </w:p>
    <w:p w14:paraId="78EDAE20" w14:textId="2765973C" w:rsidR="00414397" w:rsidRDefault="00414397" w:rsidP="007D171B">
      <w:pPr>
        <w:rPr>
          <w:rFonts w:asciiTheme="minorHAnsi" w:hAnsiTheme="minorHAnsi" w:cstheme="minorHAnsi"/>
        </w:rPr>
      </w:pPr>
      <w:r>
        <w:rPr>
          <w:rFonts w:asciiTheme="minorHAnsi" w:hAnsiTheme="minorHAnsi" w:cstheme="minorHAnsi"/>
        </w:rPr>
        <w:t>To be used for patients with altered pharmacokinetics – refer to section 3.2.</w:t>
      </w:r>
    </w:p>
    <w:p w14:paraId="3AF436F5" w14:textId="4FC2A2D5" w:rsidR="007D171B" w:rsidRPr="002C45A6" w:rsidRDefault="007D171B" w:rsidP="007D171B">
      <w:pPr>
        <w:rPr>
          <w:rFonts w:asciiTheme="minorHAnsi" w:hAnsiTheme="minorHAnsi" w:cstheme="minorHAnsi"/>
        </w:rPr>
      </w:pPr>
      <w:r w:rsidRPr="002C45A6">
        <w:rPr>
          <w:rFonts w:asciiTheme="minorHAnsi" w:hAnsiTheme="minorHAnsi" w:cstheme="minorHAnsi"/>
        </w:rPr>
        <w:t xml:space="preserve">This method calculates the Area-Under the Curve (AUC) and C max using two drug levels. </w:t>
      </w:r>
    </w:p>
    <w:p w14:paraId="419AD299" w14:textId="39A39116" w:rsidR="0042734A" w:rsidRDefault="0042734A" w:rsidP="0042734A">
      <w:pPr>
        <w:pStyle w:val="Bullet"/>
        <w:rPr>
          <w:rFonts w:eastAsia="Calibri"/>
        </w:rPr>
      </w:pPr>
      <w:r>
        <w:rPr>
          <w:rFonts w:eastAsia="Calibri"/>
        </w:rPr>
        <w:t>The treating team should order serum concentration</w:t>
      </w:r>
      <w:r w:rsidR="00414397">
        <w:rPr>
          <w:rFonts w:eastAsia="Calibri"/>
        </w:rPr>
        <w:t>s</w:t>
      </w:r>
      <w:r>
        <w:rPr>
          <w:rFonts w:eastAsia="Calibri"/>
        </w:rPr>
        <w:t xml:space="preserve"> when prescribing the first dose</w:t>
      </w:r>
    </w:p>
    <w:p w14:paraId="3481A4CB" w14:textId="77777777" w:rsidR="007D171B" w:rsidRPr="002C45A6" w:rsidRDefault="007D171B" w:rsidP="00BE6BC3">
      <w:pPr>
        <w:pStyle w:val="Bullet"/>
      </w:pPr>
      <w:r w:rsidRPr="002C45A6">
        <w:t xml:space="preserve">To perform </w:t>
      </w:r>
      <w:r>
        <w:t>two serum</w:t>
      </w:r>
      <w:r w:rsidRPr="002C45A6">
        <w:t xml:space="preserve"> TDM:</w:t>
      </w:r>
    </w:p>
    <w:p w14:paraId="6C9BC461" w14:textId="77777777" w:rsidR="007D171B" w:rsidRPr="002C45A6" w:rsidRDefault="007D171B" w:rsidP="00BE6BC3">
      <w:pPr>
        <w:pStyle w:val="Bullet"/>
        <w:numPr>
          <w:ilvl w:val="1"/>
          <w:numId w:val="1"/>
        </w:numPr>
      </w:pPr>
      <w:r w:rsidRPr="002C45A6">
        <w:t>Two (2) serum drug concentrations should be taken:</w:t>
      </w:r>
    </w:p>
    <w:tbl>
      <w:tblPr>
        <w:tblStyle w:val="TableGrid"/>
        <w:tblW w:w="0" w:type="auto"/>
        <w:tblLook w:val="04A0" w:firstRow="1" w:lastRow="0" w:firstColumn="1" w:lastColumn="0" w:noHBand="0" w:noVBand="1"/>
      </w:tblPr>
      <w:tblGrid>
        <w:gridCol w:w="9493"/>
      </w:tblGrid>
      <w:tr w:rsidR="007D171B" w:rsidRPr="002C45A6" w14:paraId="2854A0A0" w14:textId="77777777" w:rsidTr="00BE6BC3">
        <w:tc>
          <w:tcPr>
            <w:tcW w:w="9493" w:type="dxa"/>
          </w:tcPr>
          <w:p w14:paraId="2EC9A5C4" w14:textId="77777777" w:rsidR="007D171B" w:rsidRPr="002C45A6" w:rsidRDefault="007D171B" w:rsidP="003C7CB1">
            <w:pPr>
              <w:pStyle w:val="ListParagraph"/>
              <w:numPr>
                <w:ilvl w:val="0"/>
                <w:numId w:val="11"/>
              </w:numPr>
              <w:jc w:val="center"/>
              <w:rPr>
                <w:rFonts w:asciiTheme="minorHAnsi" w:hAnsiTheme="minorHAnsi" w:cstheme="minorHAnsi"/>
                <w:b/>
                <w:bCs/>
                <w:u w:val="single"/>
              </w:rPr>
            </w:pPr>
            <w:r w:rsidRPr="00E81332">
              <w:rPr>
                <w:rFonts w:asciiTheme="minorHAnsi" w:hAnsiTheme="minorHAnsi" w:cstheme="minorHAnsi"/>
                <w:b/>
                <w:bCs/>
              </w:rPr>
              <w:t>1 hour</w:t>
            </w:r>
            <w:r w:rsidRPr="002C45A6">
              <w:rPr>
                <w:rFonts w:asciiTheme="minorHAnsi" w:hAnsiTheme="minorHAnsi" w:cstheme="minorHAnsi"/>
              </w:rPr>
              <w:t xml:space="preserve"> after the beginning of the antibiotic infusion (infusion duration of 30 minutes)</w:t>
            </w:r>
          </w:p>
          <w:p w14:paraId="08E912AB" w14:textId="77777777" w:rsidR="007D171B" w:rsidRPr="002C45A6" w:rsidRDefault="007D171B" w:rsidP="00D92152">
            <w:pPr>
              <w:spacing w:before="0" w:after="0"/>
              <w:rPr>
                <w:rFonts w:asciiTheme="minorHAnsi" w:hAnsiTheme="minorHAnsi" w:cstheme="minorHAnsi"/>
              </w:rPr>
            </w:pPr>
            <w:r w:rsidRPr="002C45A6">
              <w:rPr>
                <w:rFonts w:asciiTheme="minorHAnsi" w:hAnsiTheme="minorHAnsi" w:cstheme="minorHAnsi"/>
                <w:b/>
                <w:bCs/>
                <w:u w:val="single"/>
              </w:rPr>
              <w:t>AND</w:t>
            </w:r>
          </w:p>
          <w:p w14:paraId="707DE204" w14:textId="7A9B5A57" w:rsidR="007D171B" w:rsidRPr="00D92152" w:rsidRDefault="007D171B" w:rsidP="00D92152">
            <w:pPr>
              <w:pStyle w:val="ListParagraph"/>
              <w:numPr>
                <w:ilvl w:val="0"/>
                <w:numId w:val="11"/>
              </w:numPr>
              <w:rPr>
                <w:rFonts w:asciiTheme="minorHAnsi" w:hAnsiTheme="minorHAnsi" w:cstheme="minorHAnsi"/>
              </w:rPr>
            </w:pPr>
            <w:r w:rsidRPr="00D92152">
              <w:rPr>
                <w:rFonts w:asciiTheme="minorHAnsi" w:eastAsia="Calibri" w:hAnsiTheme="minorHAnsi" w:cstheme="minorHAnsi"/>
                <w:b/>
                <w:bCs/>
                <w:szCs w:val="24"/>
              </w:rPr>
              <w:t xml:space="preserve">6-12 </w:t>
            </w:r>
            <w:r w:rsidRPr="00D92152">
              <w:rPr>
                <w:rFonts w:asciiTheme="minorHAnsi" w:hAnsiTheme="minorHAnsi" w:cstheme="minorHAnsi"/>
                <w:b/>
                <w:bCs/>
              </w:rPr>
              <w:t>hours</w:t>
            </w:r>
            <w:r w:rsidRPr="00D92152">
              <w:rPr>
                <w:rFonts w:asciiTheme="minorHAnsi" w:hAnsiTheme="minorHAnsi" w:cstheme="minorHAnsi"/>
              </w:rPr>
              <w:t xml:space="preserve"> after the beginning of the antibiotic infusion</w:t>
            </w:r>
          </w:p>
        </w:tc>
      </w:tr>
    </w:tbl>
    <w:p w14:paraId="45A7F373" w14:textId="77777777" w:rsidR="00247C74" w:rsidRDefault="00247C74" w:rsidP="00247C74">
      <w:pPr>
        <w:pStyle w:val="Bullet"/>
        <w:numPr>
          <w:ilvl w:val="1"/>
          <w:numId w:val="1"/>
        </w:numPr>
        <w:rPr>
          <w:rFonts w:eastAsia="Calibri"/>
        </w:rPr>
      </w:pPr>
      <w:r w:rsidRPr="002C45A6">
        <w:rPr>
          <w:rFonts w:eastAsia="Calibri"/>
        </w:rPr>
        <w:t xml:space="preserve">The treating team should </w:t>
      </w:r>
      <w:r>
        <w:rPr>
          <w:rFonts w:eastAsia="Calibri"/>
        </w:rPr>
        <w:t>c</w:t>
      </w:r>
      <w:r w:rsidRPr="002C45A6">
        <w:rPr>
          <w:rFonts w:eastAsia="Calibri"/>
        </w:rPr>
        <w:t xml:space="preserve">ontact </w:t>
      </w:r>
      <w:r>
        <w:rPr>
          <w:rFonts w:eastAsia="Calibri"/>
        </w:rPr>
        <w:t xml:space="preserve">their clinical ward Pharmacist, </w:t>
      </w:r>
      <w:r w:rsidRPr="002C45A6">
        <w:rPr>
          <w:rFonts w:eastAsia="Calibri"/>
        </w:rPr>
        <w:t>for interpretation of the level and for subsequent dosing advic</w:t>
      </w:r>
      <w:r>
        <w:rPr>
          <w:rFonts w:eastAsia="Calibri"/>
        </w:rPr>
        <w:t>e, to be documented by the Pharmacist</w:t>
      </w:r>
      <w:r w:rsidRPr="002C45A6">
        <w:rPr>
          <w:rFonts w:eastAsia="Calibri"/>
        </w:rPr>
        <w:t xml:space="preserve">. </w:t>
      </w:r>
      <w:r>
        <w:rPr>
          <w:rFonts w:eastAsia="Calibri"/>
        </w:rPr>
        <w:t xml:space="preserve">Where this is unable to be determined by the Pharmacist due to complex patient factors, </w:t>
      </w:r>
      <w:r w:rsidRPr="002C45A6">
        <w:rPr>
          <w:rFonts w:eastAsia="Calibri"/>
        </w:rPr>
        <w:t xml:space="preserve">contact </w:t>
      </w:r>
      <w:r>
        <w:rPr>
          <w:rFonts w:eastAsia="Calibri"/>
        </w:rPr>
        <w:t xml:space="preserve">the </w:t>
      </w:r>
      <w:r w:rsidRPr="002C45A6">
        <w:rPr>
          <w:rFonts w:eastAsia="Calibri"/>
        </w:rPr>
        <w:t xml:space="preserve">AMS </w:t>
      </w:r>
      <w:r>
        <w:rPr>
          <w:rFonts w:eastAsia="Calibri"/>
        </w:rPr>
        <w:t>service or the on-call ID physician after hours.</w:t>
      </w:r>
    </w:p>
    <w:p w14:paraId="57335A5E" w14:textId="77777777" w:rsidR="00247C74" w:rsidRDefault="00247C74" w:rsidP="00247C74">
      <w:pPr>
        <w:pStyle w:val="Bullet"/>
        <w:numPr>
          <w:ilvl w:val="1"/>
          <w:numId w:val="1"/>
        </w:numPr>
        <w:rPr>
          <w:rFonts w:eastAsia="Calibri"/>
        </w:rPr>
      </w:pPr>
      <w:r>
        <w:rPr>
          <w:rFonts w:eastAsia="Calibri"/>
        </w:rPr>
        <w:t xml:space="preserve">After-hours, if the review and recommendation has not been completed, the treating doctor should review when the next dose is due. If it is due overnight contact the after-hours Pharmacist, if not, place a pharmacy consult to be done the next day. </w:t>
      </w:r>
    </w:p>
    <w:p w14:paraId="1939D9F0" w14:textId="69C79471" w:rsidR="002E135E" w:rsidRPr="006E7099" w:rsidRDefault="00247C74" w:rsidP="006E7099">
      <w:pPr>
        <w:pStyle w:val="Bullet"/>
        <w:numPr>
          <w:ilvl w:val="1"/>
          <w:numId w:val="1"/>
        </w:numPr>
        <w:rPr>
          <w:rFonts w:eastAsia="Calibri"/>
        </w:rPr>
      </w:pPr>
      <w:r>
        <w:rPr>
          <w:rFonts w:eastAsia="Calibri"/>
        </w:rPr>
        <w:t xml:space="preserve">Nursing staff should escalate through the normal pathways if recommendations are not being actioned by treating doctor or if the ‘five rights’ for medication administration have not been confirmed. </w:t>
      </w:r>
    </w:p>
    <w:p w14:paraId="05D2149B" w14:textId="5FF9440D" w:rsidR="00247C74" w:rsidRPr="002C45A6" w:rsidRDefault="00247C74" w:rsidP="00247C74">
      <w:pPr>
        <w:pStyle w:val="Bullet"/>
        <w:rPr>
          <w:rFonts w:eastAsia="Calibri"/>
          <w:b/>
          <w:bCs/>
        </w:rPr>
      </w:pPr>
      <w:r w:rsidRPr="002C45A6">
        <w:rPr>
          <w:rFonts w:eastAsia="Calibri"/>
        </w:rPr>
        <w:t xml:space="preserve">Frequency of subsequent </w:t>
      </w:r>
      <w:r w:rsidR="00D21EB3">
        <w:rPr>
          <w:rFonts w:eastAsia="Calibri"/>
        </w:rPr>
        <w:t>serum concentration monitoring</w:t>
      </w:r>
      <w:r>
        <w:rPr>
          <w:rFonts w:eastAsia="Calibri"/>
          <w:b/>
          <w:bCs/>
        </w:rPr>
        <w:t>:</w:t>
      </w:r>
    </w:p>
    <w:p w14:paraId="676D40C5" w14:textId="453B9C53" w:rsidR="00247C74" w:rsidRDefault="00247C74" w:rsidP="00247C74">
      <w:pPr>
        <w:pStyle w:val="Bullet"/>
        <w:numPr>
          <w:ilvl w:val="1"/>
          <w:numId w:val="1"/>
        </w:numPr>
        <w:rPr>
          <w:rFonts w:eastAsia="Calibri"/>
        </w:rPr>
      </w:pPr>
      <w:r w:rsidRPr="002C45A6">
        <w:rPr>
          <w:rFonts w:eastAsia="Calibri"/>
        </w:rPr>
        <w:t>If a dose change is recommended</w:t>
      </w:r>
      <w:r>
        <w:rPr>
          <w:rFonts w:eastAsia="Calibri"/>
        </w:rPr>
        <w:t xml:space="preserve"> by pharmacy</w:t>
      </w:r>
      <w:r w:rsidRPr="002C45A6">
        <w:rPr>
          <w:rFonts w:eastAsia="Calibri"/>
        </w:rPr>
        <w:t xml:space="preserve">, repeat </w:t>
      </w:r>
      <w:r w:rsidR="00D21EB3">
        <w:rPr>
          <w:rFonts w:eastAsia="Calibri"/>
        </w:rPr>
        <w:t>serum concentration test</w:t>
      </w:r>
      <w:r w:rsidRPr="002C45A6">
        <w:rPr>
          <w:rFonts w:eastAsia="Calibri"/>
        </w:rPr>
        <w:t xml:space="preserve"> after the new dose has been administered</w:t>
      </w:r>
      <w:r>
        <w:rPr>
          <w:rFonts w:eastAsia="Calibri"/>
        </w:rPr>
        <w:t>.</w:t>
      </w:r>
    </w:p>
    <w:p w14:paraId="655AA3D3" w14:textId="3DECA143" w:rsidR="00247C74" w:rsidRPr="00E81332" w:rsidRDefault="00247C74" w:rsidP="00247C74">
      <w:pPr>
        <w:pStyle w:val="Bullet"/>
        <w:numPr>
          <w:ilvl w:val="1"/>
          <w:numId w:val="1"/>
        </w:numPr>
        <w:rPr>
          <w:rFonts w:eastAsia="Calibri"/>
        </w:rPr>
      </w:pPr>
      <w:r w:rsidRPr="00E81332">
        <w:rPr>
          <w:rFonts w:eastAsia="Calibri"/>
        </w:rPr>
        <w:t xml:space="preserve">If the recommendation is to continue at the same dose, repeat </w:t>
      </w:r>
      <w:r w:rsidR="00D21EB3">
        <w:rPr>
          <w:rFonts w:eastAsia="Calibri"/>
        </w:rPr>
        <w:t>serum concentration test</w:t>
      </w:r>
      <w:r w:rsidRPr="00E81332">
        <w:rPr>
          <w:rFonts w:eastAsia="Calibri"/>
        </w:rPr>
        <w:t xml:space="preserve"> every 2 - 3 days.</w:t>
      </w:r>
    </w:p>
    <w:p w14:paraId="614BC2D2" w14:textId="77777777" w:rsidR="00247C74" w:rsidRPr="002C45A6" w:rsidRDefault="00247C74" w:rsidP="00247C74">
      <w:pPr>
        <w:pStyle w:val="Bullet"/>
        <w:numPr>
          <w:ilvl w:val="1"/>
          <w:numId w:val="1"/>
        </w:numPr>
        <w:rPr>
          <w:rFonts w:eastAsia="Calibri"/>
        </w:rPr>
      </w:pPr>
      <w:r w:rsidRPr="002C45A6">
        <w:rPr>
          <w:rFonts w:eastAsia="Calibri"/>
        </w:rPr>
        <w:t>More frequent monitoring may be required if the patient is unstable, e.g. fluctuating renal function</w:t>
      </w:r>
      <w:r>
        <w:rPr>
          <w:rFonts w:eastAsia="Calibri"/>
        </w:rPr>
        <w:t>.</w:t>
      </w:r>
    </w:p>
    <w:p w14:paraId="327DE515" w14:textId="77777777" w:rsidR="00247C74" w:rsidRPr="00E81332" w:rsidRDefault="00247C74" w:rsidP="00247C74">
      <w:pPr>
        <w:pStyle w:val="Bullet"/>
        <w:numPr>
          <w:ilvl w:val="1"/>
          <w:numId w:val="1"/>
        </w:numPr>
        <w:rPr>
          <w:rFonts w:eastAsia="Calibri"/>
        </w:rPr>
      </w:pPr>
      <w:r w:rsidRPr="0032177E">
        <w:rPr>
          <w:rFonts w:eastAsia="Calibri"/>
        </w:rPr>
        <w:t>Serial decreasing dose recommendations can be an early indication of deteriorating renal function, consider ceasing aminoglycoside therapy if this is suspected</w:t>
      </w:r>
      <w:r>
        <w:rPr>
          <w:rFonts w:eastAsia="Calibri"/>
        </w:rPr>
        <w:t xml:space="preserve"> or contact AMS or ID for review. </w:t>
      </w:r>
    </w:p>
    <w:p w14:paraId="7176736B" w14:textId="0E034E6E" w:rsidR="007D171B" w:rsidRPr="00BE6BC3" w:rsidRDefault="002E135E" w:rsidP="00D31241">
      <w:pPr>
        <w:pStyle w:val="Heading4"/>
        <w:numPr>
          <w:ilvl w:val="1"/>
          <w:numId w:val="14"/>
        </w:numPr>
        <w:ind w:left="426" w:hanging="426"/>
      </w:pPr>
      <w:bookmarkStart w:id="36" w:name="_Section_2.3:_TDM"/>
      <w:bookmarkStart w:id="37" w:name="_Toc171341023"/>
      <w:bookmarkStart w:id="38" w:name="_Toc181188550"/>
      <w:bookmarkEnd w:id="36"/>
      <w:r>
        <w:t>S</w:t>
      </w:r>
      <w:r w:rsidR="00AE492D">
        <w:t>erum concentration monitoring</w:t>
      </w:r>
      <w:r w:rsidR="00DF1729">
        <w:t>:</w:t>
      </w:r>
      <w:r w:rsidR="007D171B" w:rsidRPr="00BE6BC3">
        <w:t xml:space="preserve"> for unique indications</w:t>
      </w:r>
      <w:bookmarkEnd w:id="37"/>
      <w:bookmarkEnd w:id="38"/>
    </w:p>
    <w:p w14:paraId="6836D444" w14:textId="77777777" w:rsidR="007D171B" w:rsidRPr="002C45A6" w:rsidRDefault="007D171B" w:rsidP="007D171B">
      <w:pPr>
        <w:rPr>
          <w:rFonts w:asciiTheme="minorHAnsi" w:hAnsiTheme="minorHAnsi" w:cstheme="minorHAnsi"/>
        </w:rPr>
      </w:pPr>
      <w:r w:rsidRPr="002C45A6">
        <w:rPr>
          <w:rFonts w:asciiTheme="minorHAnsi" w:hAnsiTheme="minorHAnsi" w:cstheme="minorHAnsi"/>
        </w:rPr>
        <w:t>This section applies to patients with mycobacterial infections and endocarditis.</w:t>
      </w:r>
    </w:p>
    <w:p w14:paraId="5D12FC8A" w14:textId="7A224D07" w:rsidR="007D171B" w:rsidRPr="002C45A6" w:rsidRDefault="00BE6BC3" w:rsidP="00BE6BC3">
      <w:pPr>
        <w:pStyle w:val="Heading5"/>
      </w:pPr>
      <w:bookmarkStart w:id="39" w:name="_Toc171341024"/>
      <w:r>
        <w:lastRenderedPageBreak/>
        <w:t>3</w:t>
      </w:r>
      <w:r w:rsidR="007D171B" w:rsidRPr="002C45A6">
        <w:t>.</w:t>
      </w:r>
      <w:r w:rsidR="00F37C04">
        <w:t>5</w:t>
      </w:r>
      <w:r w:rsidR="007D171B" w:rsidRPr="002C45A6">
        <w:t>.1: Mycobacterial infections</w:t>
      </w:r>
      <w:bookmarkEnd w:id="39"/>
    </w:p>
    <w:p w14:paraId="60067009" w14:textId="04EC6DAF" w:rsidR="000D46FD" w:rsidRPr="00CD5D59" w:rsidRDefault="007D171B" w:rsidP="00CD5D59">
      <w:pPr>
        <w:pStyle w:val="Bullet"/>
      </w:pPr>
      <w:r w:rsidRPr="002C45A6">
        <w:t xml:space="preserve">Patients treated with </w:t>
      </w:r>
      <w:r>
        <w:t>a</w:t>
      </w:r>
      <w:r w:rsidRPr="002C45A6">
        <w:t>mikacin for mycobacterial infections often require a prolonged course and the dosing regimen differs from that of standard bacterial infections. The best monitoring strategy is not well established, however regular</w:t>
      </w:r>
      <w:r>
        <w:t xml:space="preserve"> immediate pre-dose serum concentrations </w:t>
      </w:r>
      <w:r w:rsidRPr="002C45A6">
        <w:t xml:space="preserve">are recommended to reduce toxicity risk. Sampling at other times, such as peak levels, may be conducted to help characterise the pharmacokinetic profile in the patient, particularly if the patient is expected to have unpredictable pharmacokinetics (e.g. renal failure, cystic fibrosis). Consult the AMS pharmacist for further advice. </w:t>
      </w:r>
    </w:p>
    <w:p w14:paraId="35D204BA" w14:textId="46B07955" w:rsidR="007D171B" w:rsidRPr="002C45A6" w:rsidRDefault="007D171B" w:rsidP="00BE6BC3">
      <w:pPr>
        <w:pStyle w:val="Heading5"/>
      </w:pPr>
      <w:r w:rsidRPr="002C45A6">
        <w:t xml:space="preserve">Table 7: Monitoring of </w:t>
      </w:r>
      <w:r>
        <w:t>a</w:t>
      </w:r>
      <w:r w:rsidRPr="002C45A6">
        <w:t>mikacin for mycobacterial infections</w:t>
      </w:r>
    </w:p>
    <w:tbl>
      <w:tblPr>
        <w:tblStyle w:val="TableGrid"/>
        <w:tblW w:w="0" w:type="auto"/>
        <w:tblLook w:val="04A0" w:firstRow="1" w:lastRow="0" w:firstColumn="1" w:lastColumn="0" w:noHBand="0" w:noVBand="1"/>
      </w:tblPr>
      <w:tblGrid>
        <w:gridCol w:w="1430"/>
        <w:gridCol w:w="3957"/>
        <w:gridCol w:w="4394"/>
      </w:tblGrid>
      <w:tr w:rsidR="007D171B" w:rsidRPr="002C45A6" w14:paraId="46EFD660" w14:textId="77777777" w:rsidTr="00BE6BC3">
        <w:tc>
          <w:tcPr>
            <w:tcW w:w="1430" w:type="dxa"/>
            <w:tcBorders>
              <w:top w:val="nil"/>
              <w:left w:val="nil"/>
              <w:bottom w:val="single" w:sz="4" w:space="0" w:color="auto"/>
              <w:right w:val="single" w:sz="4" w:space="0" w:color="auto"/>
            </w:tcBorders>
            <w:shd w:val="clear" w:color="auto" w:fill="FFFFFF" w:themeFill="background1"/>
          </w:tcPr>
          <w:p w14:paraId="550C15A8" w14:textId="77777777" w:rsidR="007D171B" w:rsidRPr="002C45A6" w:rsidRDefault="007D171B" w:rsidP="006E3419">
            <w:pPr>
              <w:rPr>
                <w:rFonts w:asciiTheme="minorHAnsi" w:hAnsiTheme="minorHAnsi" w:cstheme="minorHAnsi"/>
                <w:b/>
                <w:bCs/>
              </w:rPr>
            </w:pPr>
          </w:p>
        </w:tc>
        <w:tc>
          <w:tcPr>
            <w:tcW w:w="3957" w:type="dxa"/>
            <w:tcBorders>
              <w:left w:val="single" w:sz="4" w:space="0" w:color="auto"/>
            </w:tcBorders>
            <w:shd w:val="clear" w:color="auto" w:fill="D9D9D9" w:themeFill="background1" w:themeFillShade="D9"/>
            <w:vAlign w:val="center"/>
          </w:tcPr>
          <w:p w14:paraId="4BA7AFD0" w14:textId="77777777" w:rsidR="007D171B" w:rsidRPr="002C45A6" w:rsidRDefault="007D171B" w:rsidP="006E3419">
            <w:pPr>
              <w:jc w:val="center"/>
              <w:rPr>
                <w:rFonts w:asciiTheme="minorHAnsi" w:hAnsiTheme="minorHAnsi" w:cstheme="minorHAnsi"/>
                <w:b/>
                <w:bCs/>
              </w:rPr>
            </w:pPr>
            <w:r w:rsidRPr="002C45A6">
              <w:rPr>
                <w:rFonts w:asciiTheme="minorHAnsi" w:hAnsiTheme="minorHAnsi" w:cstheme="minorHAnsi"/>
                <w:b/>
                <w:bCs/>
              </w:rPr>
              <w:t>Trough concentration</w:t>
            </w:r>
          </w:p>
        </w:tc>
        <w:tc>
          <w:tcPr>
            <w:tcW w:w="4394" w:type="dxa"/>
            <w:shd w:val="clear" w:color="auto" w:fill="D9D9D9" w:themeFill="background1" w:themeFillShade="D9"/>
            <w:vAlign w:val="center"/>
          </w:tcPr>
          <w:p w14:paraId="7B1099F9" w14:textId="77777777" w:rsidR="007D171B" w:rsidRPr="002C45A6" w:rsidRDefault="007D171B" w:rsidP="006E3419">
            <w:pPr>
              <w:jc w:val="center"/>
              <w:rPr>
                <w:rFonts w:asciiTheme="minorHAnsi" w:hAnsiTheme="minorHAnsi" w:cstheme="minorHAnsi"/>
                <w:b/>
                <w:bCs/>
              </w:rPr>
            </w:pPr>
            <w:r w:rsidRPr="002C45A6">
              <w:rPr>
                <w:rFonts w:asciiTheme="minorHAnsi" w:hAnsiTheme="minorHAnsi" w:cstheme="minorHAnsi"/>
                <w:b/>
                <w:bCs/>
              </w:rPr>
              <w:t>Peak concentration</w:t>
            </w:r>
          </w:p>
        </w:tc>
      </w:tr>
      <w:tr w:rsidR="007D171B" w:rsidRPr="002C45A6" w14:paraId="2C5C3D57" w14:textId="77777777" w:rsidTr="00BE6BC3">
        <w:tc>
          <w:tcPr>
            <w:tcW w:w="1430" w:type="dxa"/>
            <w:tcBorders>
              <w:top w:val="single" w:sz="4" w:space="0" w:color="auto"/>
            </w:tcBorders>
            <w:shd w:val="clear" w:color="auto" w:fill="D9D9D9" w:themeFill="background1" w:themeFillShade="D9"/>
            <w:vAlign w:val="center"/>
          </w:tcPr>
          <w:p w14:paraId="79FFF085" w14:textId="77777777" w:rsidR="007D171B" w:rsidRPr="002C45A6" w:rsidRDefault="007D171B" w:rsidP="006E3419">
            <w:pPr>
              <w:jc w:val="center"/>
              <w:rPr>
                <w:rFonts w:asciiTheme="minorHAnsi" w:hAnsiTheme="minorHAnsi" w:cstheme="minorHAnsi"/>
                <w:b/>
                <w:bCs/>
              </w:rPr>
            </w:pPr>
            <w:r w:rsidRPr="002C45A6">
              <w:rPr>
                <w:rFonts w:asciiTheme="minorHAnsi" w:hAnsiTheme="minorHAnsi" w:cstheme="minorHAnsi"/>
                <w:b/>
                <w:bCs/>
              </w:rPr>
              <w:t>Frequency</w:t>
            </w:r>
          </w:p>
        </w:tc>
        <w:tc>
          <w:tcPr>
            <w:tcW w:w="3957" w:type="dxa"/>
          </w:tcPr>
          <w:p w14:paraId="6ABB21BD" w14:textId="77777777" w:rsidR="007D171B" w:rsidRPr="002C45A6" w:rsidRDefault="007D171B" w:rsidP="006E3419">
            <w:pPr>
              <w:rPr>
                <w:rFonts w:asciiTheme="minorHAnsi" w:hAnsiTheme="minorHAnsi" w:cstheme="minorHAnsi"/>
              </w:rPr>
            </w:pPr>
            <w:r w:rsidRPr="002C45A6">
              <w:rPr>
                <w:rFonts w:asciiTheme="minorHAnsi" w:hAnsiTheme="minorHAnsi" w:cstheme="minorHAnsi"/>
              </w:rPr>
              <w:t>Perform after the first dose, then weekly for the first 2 weeks, then monthly thereafter</w:t>
            </w:r>
          </w:p>
        </w:tc>
        <w:tc>
          <w:tcPr>
            <w:tcW w:w="4394" w:type="dxa"/>
          </w:tcPr>
          <w:p w14:paraId="280A4094" w14:textId="77777777" w:rsidR="007D171B" w:rsidRPr="002C45A6" w:rsidRDefault="007D171B" w:rsidP="006E3419">
            <w:pPr>
              <w:rPr>
                <w:rFonts w:asciiTheme="minorHAnsi" w:hAnsiTheme="minorHAnsi" w:cstheme="minorHAnsi"/>
              </w:rPr>
            </w:pPr>
            <w:r w:rsidRPr="002C45A6">
              <w:rPr>
                <w:rFonts w:asciiTheme="minorHAnsi" w:hAnsiTheme="minorHAnsi" w:cstheme="minorHAnsi"/>
              </w:rPr>
              <w:t>Not considered routine practice. Consult Infectious Diseases for advice on frequency if required</w:t>
            </w:r>
          </w:p>
        </w:tc>
      </w:tr>
      <w:tr w:rsidR="007D171B" w:rsidRPr="002C45A6" w14:paraId="3546DFB0" w14:textId="77777777" w:rsidTr="00BE6BC3">
        <w:tc>
          <w:tcPr>
            <w:tcW w:w="1430" w:type="dxa"/>
            <w:shd w:val="clear" w:color="auto" w:fill="D9D9D9" w:themeFill="background1" w:themeFillShade="D9"/>
            <w:vAlign w:val="center"/>
          </w:tcPr>
          <w:p w14:paraId="69AA08B2" w14:textId="77777777" w:rsidR="007D171B" w:rsidRPr="002C45A6" w:rsidRDefault="007D171B" w:rsidP="006E3419">
            <w:pPr>
              <w:jc w:val="center"/>
              <w:rPr>
                <w:rFonts w:asciiTheme="minorHAnsi" w:hAnsiTheme="minorHAnsi" w:cstheme="minorHAnsi"/>
                <w:b/>
                <w:bCs/>
              </w:rPr>
            </w:pPr>
            <w:r w:rsidRPr="002C45A6">
              <w:rPr>
                <w:rFonts w:asciiTheme="minorHAnsi" w:hAnsiTheme="minorHAnsi" w:cstheme="minorHAnsi"/>
                <w:b/>
                <w:bCs/>
              </w:rPr>
              <w:t>Timing of sample</w:t>
            </w:r>
          </w:p>
        </w:tc>
        <w:tc>
          <w:tcPr>
            <w:tcW w:w="3957" w:type="dxa"/>
          </w:tcPr>
          <w:p w14:paraId="3B1C898E" w14:textId="77777777" w:rsidR="007D171B" w:rsidRPr="002C45A6" w:rsidRDefault="007D171B" w:rsidP="006E3419">
            <w:pPr>
              <w:rPr>
                <w:rFonts w:asciiTheme="minorHAnsi" w:hAnsiTheme="minorHAnsi" w:cstheme="minorHAnsi"/>
              </w:rPr>
            </w:pPr>
            <w:r w:rsidRPr="002C45A6">
              <w:rPr>
                <w:rFonts w:asciiTheme="minorHAnsi" w:hAnsiTheme="minorHAnsi" w:cstheme="minorHAnsi"/>
              </w:rPr>
              <w:t>Within 1hr before the due dose (trough)</w:t>
            </w:r>
          </w:p>
        </w:tc>
        <w:tc>
          <w:tcPr>
            <w:tcW w:w="4394" w:type="dxa"/>
          </w:tcPr>
          <w:p w14:paraId="50D5CDD9" w14:textId="77777777" w:rsidR="007D171B" w:rsidRPr="002C45A6" w:rsidRDefault="007D171B" w:rsidP="006E3419">
            <w:pPr>
              <w:rPr>
                <w:rFonts w:asciiTheme="minorHAnsi" w:hAnsiTheme="minorHAnsi" w:cstheme="minorHAnsi"/>
              </w:rPr>
            </w:pPr>
            <w:r w:rsidRPr="002C45A6">
              <w:rPr>
                <w:rFonts w:asciiTheme="minorHAnsi" w:hAnsiTheme="minorHAnsi" w:cstheme="minorHAnsi"/>
              </w:rPr>
              <w:t>30 minutes after completion of infusion or injection</w:t>
            </w:r>
          </w:p>
        </w:tc>
      </w:tr>
      <w:tr w:rsidR="007D171B" w:rsidRPr="002C45A6" w14:paraId="33680D12" w14:textId="77777777" w:rsidTr="00BE6BC3">
        <w:tc>
          <w:tcPr>
            <w:tcW w:w="1430" w:type="dxa"/>
            <w:shd w:val="clear" w:color="auto" w:fill="D9D9D9" w:themeFill="background1" w:themeFillShade="D9"/>
            <w:vAlign w:val="center"/>
          </w:tcPr>
          <w:p w14:paraId="7B004551" w14:textId="77777777" w:rsidR="007D171B" w:rsidRPr="002C45A6" w:rsidRDefault="007D171B" w:rsidP="006E3419">
            <w:pPr>
              <w:jc w:val="center"/>
              <w:rPr>
                <w:rFonts w:asciiTheme="minorHAnsi" w:hAnsiTheme="minorHAnsi" w:cstheme="minorHAnsi"/>
                <w:b/>
                <w:bCs/>
              </w:rPr>
            </w:pPr>
          </w:p>
          <w:p w14:paraId="54702139" w14:textId="77777777" w:rsidR="007D171B" w:rsidRPr="002C45A6" w:rsidRDefault="007D171B" w:rsidP="006E3419">
            <w:pPr>
              <w:jc w:val="center"/>
              <w:rPr>
                <w:rFonts w:asciiTheme="minorHAnsi" w:hAnsiTheme="minorHAnsi" w:cstheme="minorHAnsi"/>
                <w:b/>
                <w:bCs/>
              </w:rPr>
            </w:pPr>
            <w:r w:rsidRPr="002C45A6">
              <w:rPr>
                <w:rFonts w:asciiTheme="minorHAnsi" w:hAnsiTheme="minorHAnsi" w:cstheme="minorHAnsi"/>
                <w:b/>
                <w:bCs/>
              </w:rPr>
              <w:t>Target</w:t>
            </w:r>
          </w:p>
        </w:tc>
        <w:tc>
          <w:tcPr>
            <w:tcW w:w="3957" w:type="dxa"/>
          </w:tcPr>
          <w:p w14:paraId="6CB757A7" w14:textId="77777777" w:rsidR="007D171B" w:rsidRPr="002C45A6" w:rsidRDefault="007D171B" w:rsidP="006E3419">
            <w:pPr>
              <w:rPr>
                <w:rFonts w:asciiTheme="minorHAnsi" w:hAnsiTheme="minorHAnsi" w:cstheme="minorHAnsi"/>
              </w:rPr>
            </w:pPr>
            <w:r w:rsidRPr="002C45A6">
              <w:rPr>
                <w:rFonts w:asciiTheme="minorHAnsi" w:hAnsiTheme="minorHAnsi" w:cstheme="minorHAnsi"/>
              </w:rPr>
              <w:t xml:space="preserve">&lt;5mg/L </w:t>
            </w:r>
          </w:p>
          <w:p w14:paraId="50AA9A9A" w14:textId="77777777" w:rsidR="007D171B" w:rsidRPr="002C45A6" w:rsidRDefault="007D171B" w:rsidP="006E3419">
            <w:pPr>
              <w:rPr>
                <w:rFonts w:asciiTheme="minorHAnsi" w:hAnsiTheme="minorHAnsi" w:cstheme="minorHAnsi"/>
              </w:rPr>
            </w:pPr>
            <w:r w:rsidRPr="002C45A6">
              <w:rPr>
                <w:rFonts w:asciiTheme="minorHAnsi" w:hAnsiTheme="minorHAnsi" w:cstheme="minorHAnsi"/>
              </w:rPr>
              <w:t>Reduce dose if the measured trough concentration exceeds this – seek advice from your pharmacist</w:t>
            </w:r>
          </w:p>
        </w:tc>
        <w:tc>
          <w:tcPr>
            <w:tcW w:w="4394" w:type="dxa"/>
          </w:tcPr>
          <w:p w14:paraId="3BF9E661" w14:textId="77777777" w:rsidR="007D171B" w:rsidRPr="002C45A6" w:rsidRDefault="007D171B" w:rsidP="006E3419">
            <w:pPr>
              <w:rPr>
                <w:rFonts w:asciiTheme="minorHAnsi" w:hAnsiTheme="minorHAnsi" w:cstheme="minorHAnsi"/>
              </w:rPr>
            </w:pPr>
            <w:r w:rsidRPr="002C45A6">
              <w:rPr>
                <w:rFonts w:asciiTheme="minorHAnsi" w:hAnsiTheme="minorHAnsi" w:cstheme="minorHAnsi"/>
              </w:rPr>
              <w:t>Peak with daily dosing: 35-45 mg/L</w:t>
            </w:r>
          </w:p>
          <w:p w14:paraId="7D07E84F" w14:textId="77777777" w:rsidR="007D171B" w:rsidRPr="002C45A6" w:rsidRDefault="007D171B" w:rsidP="006E3419">
            <w:pPr>
              <w:rPr>
                <w:rFonts w:asciiTheme="minorHAnsi" w:hAnsiTheme="minorHAnsi" w:cstheme="minorHAnsi"/>
                <w:b/>
                <w:bCs/>
              </w:rPr>
            </w:pPr>
            <w:r w:rsidRPr="002C45A6">
              <w:rPr>
                <w:rFonts w:asciiTheme="minorHAnsi" w:hAnsiTheme="minorHAnsi" w:cstheme="minorHAnsi"/>
              </w:rPr>
              <w:t>Peak with intermittent dosing: 65-80 mg/L (These ranges are not considered to be validated targets)</w:t>
            </w:r>
          </w:p>
        </w:tc>
      </w:tr>
    </w:tbl>
    <w:p w14:paraId="1D4AC924" w14:textId="3CE0AC37" w:rsidR="007D171B" w:rsidRPr="005E0498" w:rsidRDefault="00BE6BC3" w:rsidP="0007715A">
      <w:pPr>
        <w:pStyle w:val="Heading5"/>
        <w:spacing w:before="360"/>
        <w:rPr>
          <w:rFonts w:eastAsia="Calibri"/>
        </w:rPr>
      </w:pPr>
      <w:bookmarkStart w:id="40" w:name="_Toc171341025"/>
      <w:r>
        <w:rPr>
          <w:rFonts w:eastAsia="Calibri"/>
        </w:rPr>
        <w:t>3</w:t>
      </w:r>
      <w:r w:rsidR="007D171B" w:rsidRPr="002C45A6">
        <w:rPr>
          <w:rFonts w:eastAsia="Calibri"/>
        </w:rPr>
        <w:t>.</w:t>
      </w:r>
      <w:r w:rsidR="00F37C04">
        <w:rPr>
          <w:rFonts w:eastAsia="Calibri"/>
        </w:rPr>
        <w:t>5</w:t>
      </w:r>
      <w:r w:rsidR="007D171B" w:rsidRPr="002C45A6">
        <w:rPr>
          <w:rFonts w:eastAsia="Calibri"/>
        </w:rPr>
        <w:t>.2 Endocarditis</w:t>
      </w:r>
      <w:r w:rsidR="007D171B" w:rsidRPr="002C45A6">
        <w:t xml:space="preserve"> – synergistic dosing</w:t>
      </w:r>
      <w:bookmarkEnd w:id="40"/>
    </w:p>
    <w:p w14:paraId="591327BE" w14:textId="0C540A00" w:rsidR="007D171B" w:rsidRPr="002C45A6" w:rsidRDefault="007D171B" w:rsidP="00BE6BC3">
      <w:pPr>
        <w:pStyle w:val="Bullet"/>
      </w:pPr>
      <w:r w:rsidRPr="002C45A6">
        <w:t xml:space="preserve">Trough (pre-dose) </w:t>
      </w:r>
      <w:r>
        <w:t>g</w:t>
      </w:r>
      <w:r w:rsidRPr="002C45A6">
        <w:t xml:space="preserve">entamicin concentrations levels should be performed at least twice a week for </w:t>
      </w:r>
      <w:r>
        <w:t>g</w:t>
      </w:r>
      <w:r w:rsidRPr="002C45A6">
        <w:t xml:space="preserve">entamicin synergistic regimens (8-hourly or 12-hourly). </w:t>
      </w:r>
    </w:p>
    <w:p w14:paraId="4EE890AB" w14:textId="37047D51" w:rsidR="007D171B" w:rsidRPr="002C45A6" w:rsidRDefault="007D171B" w:rsidP="00BE6BC3">
      <w:pPr>
        <w:pStyle w:val="Bullet"/>
      </w:pPr>
      <w:r w:rsidRPr="002C45A6">
        <w:t>Occasionally a peak concentration can be recommended for endocarditis caused by viridans group streptococci or enterococci, this should be on the advice of ID only.</w:t>
      </w:r>
    </w:p>
    <w:p w14:paraId="4B02D87F" w14:textId="77777777" w:rsidR="007D171B" w:rsidRPr="002C45A6" w:rsidRDefault="007D171B" w:rsidP="00BE6BC3">
      <w:pPr>
        <w:pStyle w:val="Bullet"/>
      </w:pPr>
      <w:r w:rsidRPr="002C45A6">
        <w:t xml:space="preserve">In patients with renal dysfunction, it may be necessary to monitor trough levels daily. </w:t>
      </w:r>
    </w:p>
    <w:p w14:paraId="47385AF3" w14:textId="248294F8" w:rsidR="007D171B" w:rsidRPr="002C45A6" w:rsidRDefault="007D171B" w:rsidP="00BE6BC3">
      <w:pPr>
        <w:pStyle w:val="Bullet"/>
      </w:pPr>
      <w:r w:rsidRPr="002C45A6">
        <w:t xml:space="preserve">Aim for trough concentration levels 0.5-1mg/L to minimise toxicity. If trough concentration levels are </w:t>
      </w:r>
      <w:r w:rsidR="00832EF6" w:rsidRPr="002C45A6">
        <w:t>elevated,</w:t>
      </w:r>
      <w:r w:rsidRPr="002C45A6">
        <w:t xml:space="preserve"> it may be necessary to reduce the dose or dose frequency as </w:t>
      </w:r>
      <w:r w:rsidR="00102600">
        <w:t>below.</w:t>
      </w:r>
    </w:p>
    <w:p w14:paraId="789A24BD" w14:textId="41CD63D0" w:rsidR="007D171B" w:rsidRPr="002C45A6" w:rsidRDefault="007D171B" w:rsidP="00BE6BC3">
      <w:pPr>
        <w:pStyle w:val="Heading5"/>
      </w:pPr>
      <w:r w:rsidRPr="002C45A6">
        <w:t xml:space="preserve">Table </w:t>
      </w:r>
      <w:r w:rsidR="009F0DD1">
        <w:t>8</w:t>
      </w:r>
      <w:r w:rsidRPr="002C45A6">
        <w:t xml:space="preserve">: Dose adjustments for synergistic gentamicin </w:t>
      </w:r>
    </w:p>
    <w:tbl>
      <w:tblPr>
        <w:tblStyle w:val="TableGrid"/>
        <w:tblW w:w="9072" w:type="dxa"/>
        <w:tblInd w:w="-5" w:type="dxa"/>
        <w:tblLook w:val="04A0" w:firstRow="1" w:lastRow="0" w:firstColumn="1" w:lastColumn="0" w:noHBand="0" w:noVBand="1"/>
      </w:tblPr>
      <w:tblGrid>
        <w:gridCol w:w="4253"/>
        <w:gridCol w:w="4819"/>
      </w:tblGrid>
      <w:tr w:rsidR="007D171B" w:rsidRPr="002C45A6" w14:paraId="7DBB1F1A" w14:textId="77777777" w:rsidTr="00BE6BC3">
        <w:trPr>
          <w:trHeight w:hRule="exact" w:val="397"/>
        </w:trPr>
        <w:tc>
          <w:tcPr>
            <w:tcW w:w="4253" w:type="dxa"/>
            <w:shd w:val="clear" w:color="auto" w:fill="D9D9D9" w:themeFill="background1" w:themeFillShade="D9"/>
          </w:tcPr>
          <w:p w14:paraId="4C80601E" w14:textId="77777777" w:rsidR="007D171B" w:rsidRPr="002C45A6" w:rsidRDefault="007D171B" w:rsidP="006E3419">
            <w:pPr>
              <w:jc w:val="center"/>
              <w:rPr>
                <w:rFonts w:asciiTheme="minorHAnsi" w:hAnsiTheme="minorHAnsi" w:cstheme="minorHAnsi"/>
                <w:b/>
                <w:bCs/>
                <w:sz w:val="22"/>
                <w:szCs w:val="22"/>
              </w:rPr>
            </w:pPr>
            <w:r w:rsidRPr="002C45A6">
              <w:rPr>
                <w:rFonts w:asciiTheme="minorHAnsi" w:hAnsiTheme="minorHAnsi" w:cstheme="minorHAnsi"/>
                <w:b/>
                <w:bCs/>
                <w:sz w:val="22"/>
                <w:szCs w:val="22"/>
              </w:rPr>
              <w:t xml:space="preserve">Trough concentration </w:t>
            </w:r>
          </w:p>
        </w:tc>
        <w:tc>
          <w:tcPr>
            <w:tcW w:w="4819" w:type="dxa"/>
            <w:shd w:val="clear" w:color="auto" w:fill="D9D9D9" w:themeFill="background1" w:themeFillShade="D9"/>
          </w:tcPr>
          <w:p w14:paraId="73F449AB" w14:textId="77777777" w:rsidR="007D171B" w:rsidRPr="002C45A6" w:rsidRDefault="007D171B" w:rsidP="006E3419">
            <w:pPr>
              <w:jc w:val="center"/>
              <w:rPr>
                <w:rFonts w:asciiTheme="minorHAnsi" w:hAnsiTheme="minorHAnsi" w:cstheme="minorHAnsi"/>
                <w:b/>
                <w:bCs/>
                <w:sz w:val="22"/>
                <w:szCs w:val="22"/>
              </w:rPr>
            </w:pPr>
            <w:r w:rsidRPr="002C45A6">
              <w:rPr>
                <w:rFonts w:asciiTheme="minorHAnsi" w:hAnsiTheme="minorHAnsi" w:cstheme="minorHAnsi"/>
                <w:b/>
                <w:bCs/>
                <w:sz w:val="22"/>
                <w:szCs w:val="22"/>
              </w:rPr>
              <w:t>Dose adjustment</w:t>
            </w:r>
          </w:p>
        </w:tc>
      </w:tr>
      <w:tr w:rsidR="007D171B" w:rsidRPr="002C45A6" w14:paraId="15ABAD44" w14:textId="77777777" w:rsidTr="00BE6BC3">
        <w:trPr>
          <w:trHeight w:hRule="exact" w:val="397"/>
        </w:trPr>
        <w:tc>
          <w:tcPr>
            <w:tcW w:w="4253" w:type="dxa"/>
          </w:tcPr>
          <w:p w14:paraId="0EA51D90" w14:textId="77777777" w:rsidR="007D171B" w:rsidRPr="002C45A6" w:rsidRDefault="007D171B" w:rsidP="006E3419">
            <w:pPr>
              <w:jc w:val="center"/>
              <w:rPr>
                <w:rFonts w:asciiTheme="minorHAnsi" w:hAnsiTheme="minorHAnsi" w:cstheme="minorHAnsi"/>
                <w:sz w:val="22"/>
                <w:szCs w:val="22"/>
              </w:rPr>
            </w:pPr>
            <w:r w:rsidRPr="002C45A6">
              <w:rPr>
                <w:rFonts w:asciiTheme="minorHAnsi" w:hAnsiTheme="minorHAnsi" w:cstheme="minorHAnsi"/>
                <w:sz w:val="22"/>
                <w:szCs w:val="22"/>
              </w:rPr>
              <w:t>&gt;1mg/L</w:t>
            </w:r>
          </w:p>
        </w:tc>
        <w:tc>
          <w:tcPr>
            <w:tcW w:w="4819" w:type="dxa"/>
          </w:tcPr>
          <w:p w14:paraId="6F6BCD30" w14:textId="77777777" w:rsidR="007D171B" w:rsidRPr="002C45A6" w:rsidRDefault="007D171B" w:rsidP="006E3419">
            <w:pPr>
              <w:jc w:val="center"/>
              <w:rPr>
                <w:rFonts w:asciiTheme="minorHAnsi" w:hAnsiTheme="minorHAnsi" w:cstheme="minorHAnsi"/>
                <w:sz w:val="22"/>
                <w:szCs w:val="22"/>
              </w:rPr>
            </w:pPr>
            <w:r w:rsidRPr="002C45A6">
              <w:rPr>
                <w:rFonts w:asciiTheme="minorHAnsi" w:hAnsiTheme="minorHAnsi" w:cstheme="minorHAnsi"/>
                <w:sz w:val="22"/>
                <w:szCs w:val="22"/>
              </w:rPr>
              <w:t>Decrease dose or frequency</w:t>
            </w:r>
          </w:p>
        </w:tc>
      </w:tr>
      <w:tr w:rsidR="007D171B" w:rsidRPr="002C45A6" w14:paraId="04FF7BD6" w14:textId="77777777" w:rsidTr="00BE6BC3">
        <w:trPr>
          <w:trHeight w:hRule="exact" w:val="397"/>
        </w:trPr>
        <w:tc>
          <w:tcPr>
            <w:tcW w:w="4253" w:type="dxa"/>
          </w:tcPr>
          <w:p w14:paraId="7622C2DF" w14:textId="77777777" w:rsidR="007D171B" w:rsidRPr="002C45A6" w:rsidRDefault="007D171B" w:rsidP="006E3419">
            <w:pPr>
              <w:jc w:val="center"/>
              <w:rPr>
                <w:rFonts w:asciiTheme="minorHAnsi" w:hAnsiTheme="minorHAnsi" w:cstheme="minorHAnsi"/>
                <w:sz w:val="22"/>
                <w:szCs w:val="22"/>
              </w:rPr>
            </w:pPr>
            <w:r w:rsidRPr="002C45A6">
              <w:rPr>
                <w:rFonts w:asciiTheme="minorHAnsi" w:hAnsiTheme="minorHAnsi" w:cstheme="minorHAnsi"/>
                <w:sz w:val="22"/>
                <w:szCs w:val="22"/>
              </w:rPr>
              <w:t>0.5-1mg/L</w:t>
            </w:r>
          </w:p>
        </w:tc>
        <w:tc>
          <w:tcPr>
            <w:tcW w:w="4819" w:type="dxa"/>
          </w:tcPr>
          <w:p w14:paraId="2E9AD58E" w14:textId="77777777" w:rsidR="007D171B" w:rsidRPr="002C45A6" w:rsidRDefault="007D171B" w:rsidP="006E3419">
            <w:pPr>
              <w:jc w:val="center"/>
              <w:rPr>
                <w:rFonts w:asciiTheme="minorHAnsi" w:hAnsiTheme="minorHAnsi" w:cstheme="minorHAnsi"/>
                <w:sz w:val="22"/>
                <w:szCs w:val="22"/>
              </w:rPr>
            </w:pPr>
            <w:r w:rsidRPr="002C45A6">
              <w:rPr>
                <w:rFonts w:asciiTheme="minorHAnsi" w:hAnsiTheme="minorHAnsi" w:cstheme="minorHAnsi"/>
                <w:sz w:val="22"/>
                <w:szCs w:val="22"/>
              </w:rPr>
              <w:t>Continue current dose</w:t>
            </w:r>
          </w:p>
        </w:tc>
      </w:tr>
      <w:tr w:rsidR="007D171B" w:rsidRPr="002C45A6" w14:paraId="06AB5DE4" w14:textId="77777777" w:rsidTr="00BE6BC3">
        <w:trPr>
          <w:trHeight w:hRule="exact" w:val="397"/>
        </w:trPr>
        <w:tc>
          <w:tcPr>
            <w:tcW w:w="4253" w:type="dxa"/>
          </w:tcPr>
          <w:p w14:paraId="583E6CA6" w14:textId="77777777" w:rsidR="007D171B" w:rsidRPr="002C45A6" w:rsidRDefault="007D171B" w:rsidP="006E3419">
            <w:pPr>
              <w:jc w:val="center"/>
              <w:rPr>
                <w:rFonts w:asciiTheme="minorHAnsi" w:hAnsiTheme="minorHAnsi" w:cstheme="minorHAnsi"/>
                <w:sz w:val="22"/>
                <w:szCs w:val="22"/>
              </w:rPr>
            </w:pPr>
            <w:r w:rsidRPr="002C45A6">
              <w:rPr>
                <w:rFonts w:asciiTheme="minorHAnsi" w:hAnsiTheme="minorHAnsi" w:cstheme="minorHAnsi"/>
                <w:sz w:val="22"/>
                <w:szCs w:val="22"/>
              </w:rPr>
              <w:t>Undetectable</w:t>
            </w:r>
          </w:p>
        </w:tc>
        <w:tc>
          <w:tcPr>
            <w:tcW w:w="4819" w:type="dxa"/>
          </w:tcPr>
          <w:p w14:paraId="6DDB0713" w14:textId="77777777" w:rsidR="007D171B" w:rsidRPr="002C45A6" w:rsidRDefault="007D171B" w:rsidP="006E3419">
            <w:pPr>
              <w:jc w:val="center"/>
              <w:rPr>
                <w:rFonts w:asciiTheme="minorHAnsi" w:hAnsiTheme="minorHAnsi" w:cstheme="minorHAnsi"/>
                <w:sz w:val="22"/>
                <w:szCs w:val="22"/>
              </w:rPr>
            </w:pPr>
            <w:r w:rsidRPr="002C45A6">
              <w:rPr>
                <w:rFonts w:asciiTheme="minorHAnsi" w:hAnsiTheme="minorHAnsi" w:cstheme="minorHAnsi"/>
                <w:sz w:val="22"/>
                <w:szCs w:val="22"/>
              </w:rPr>
              <w:t>Increase dose or frequency</w:t>
            </w:r>
          </w:p>
        </w:tc>
      </w:tr>
    </w:tbl>
    <w:p w14:paraId="123E4773" w14:textId="02F3F050" w:rsidR="007D171B" w:rsidRPr="00770AE2" w:rsidRDefault="007D171B" w:rsidP="00D31241">
      <w:pPr>
        <w:pStyle w:val="Heading4"/>
        <w:numPr>
          <w:ilvl w:val="1"/>
          <w:numId w:val="14"/>
        </w:numPr>
        <w:ind w:hanging="720"/>
      </w:pPr>
      <w:bookmarkStart w:id="41" w:name="_Section_2.3.3_Clinical"/>
      <w:bookmarkStart w:id="42" w:name="_Section_2.4._Clinical"/>
      <w:bookmarkStart w:id="43" w:name="_Toc171341026"/>
      <w:bookmarkStart w:id="44" w:name="_Toc181188551"/>
      <w:bookmarkEnd w:id="41"/>
      <w:bookmarkEnd w:id="42"/>
      <w:r w:rsidRPr="00770AE2">
        <w:lastRenderedPageBreak/>
        <w:t>Clinical monitoring requirements</w:t>
      </w:r>
      <w:bookmarkEnd w:id="43"/>
      <w:bookmarkEnd w:id="44"/>
    </w:p>
    <w:p w14:paraId="593BA875" w14:textId="3B1E251F" w:rsidR="005C6C67" w:rsidRDefault="007D171B" w:rsidP="006E7099">
      <w:pPr>
        <w:pStyle w:val="BodyCopy"/>
        <w:rPr>
          <w:lang w:eastAsia="en-US"/>
        </w:rPr>
      </w:pPr>
      <w:r w:rsidRPr="002C45A6">
        <w:rPr>
          <w:rFonts w:asciiTheme="minorHAnsi" w:hAnsiTheme="minorHAnsi" w:cstheme="minorHAnsi"/>
        </w:rPr>
        <w:t xml:space="preserve">Additional clinical patient monitoring should occur in addition to </w:t>
      </w:r>
      <w:r w:rsidR="00AE492D">
        <w:rPr>
          <w:rFonts w:asciiTheme="minorHAnsi" w:hAnsiTheme="minorHAnsi" w:cstheme="minorHAnsi"/>
        </w:rPr>
        <w:t xml:space="preserve">serum concentration monitoring </w:t>
      </w:r>
      <w:r w:rsidRPr="002C45A6">
        <w:rPr>
          <w:rFonts w:asciiTheme="minorHAnsi" w:hAnsiTheme="minorHAnsi" w:cstheme="minorHAnsi"/>
        </w:rPr>
        <w:t xml:space="preserve">. For more in-depth information, refer to </w:t>
      </w:r>
      <w:hyperlink r:id="rId13" w:anchor="toc_d1e1628">
        <w:r w:rsidRPr="002C45A6">
          <w:rPr>
            <w:rStyle w:val="Hyperlink"/>
            <w:rFonts w:asciiTheme="minorHAnsi" w:hAnsiTheme="minorHAnsi" w:cstheme="minorHAnsi"/>
          </w:rPr>
          <w:t>Therapeutic Guidelines: Antibiotic</w:t>
        </w:r>
      </w:hyperlink>
      <w:r w:rsidRPr="002C45A6">
        <w:rPr>
          <w:rFonts w:asciiTheme="minorHAnsi" w:hAnsiTheme="minorHAnsi" w:cstheme="minorHAnsi"/>
        </w:rPr>
        <w:t xml:space="preserve">.  </w:t>
      </w:r>
    </w:p>
    <w:p w14:paraId="38CB128B" w14:textId="042D4EFB" w:rsidR="007D171B" w:rsidRPr="002C45A6" w:rsidRDefault="007D171B" w:rsidP="00770AE2">
      <w:pPr>
        <w:pStyle w:val="Heading5"/>
      </w:pPr>
      <w:r w:rsidRPr="002C45A6">
        <w:t>Nephrotoxicity</w:t>
      </w:r>
    </w:p>
    <w:p w14:paraId="6193369C" w14:textId="6875DEA3" w:rsidR="007D171B" w:rsidRPr="002C45A6" w:rsidRDefault="007D171B" w:rsidP="00770AE2">
      <w:pPr>
        <w:pStyle w:val="Bullet"/>
      </w:pPr>
      <w:r w:rsidRPr="002C45A6">
        <w:t xml:space="preserve">Blood sampling - Electrolytes, urea, and creatinine </w:t>
      </w:r>
      <w:r w:rsidR="004E4DD6">
        <w:t xml:space="preserve">(EUC) </w:t>
      </w:r>
      <w:r w:rsidRPr="002C45A6">
        <w:t>at baseline and then at least 2 to 3 times a week, increasing the frequency of monitoring if renal function is unstable.</w:t>
      </w:r>
    </w:p>
    <w:p w14:paraId="67A2EFE3" w14:textId="2E448F28" w:rsidR="007D171B" w:rsidRPr="00EE3E1D" w:rsidRDefault="007D171B" w:rsidP="00770AE2">
      <w:pPr>
        <w:pStyle w:val="Bullet"/>
      </w:pPr>
      <w:r w:rsidRPr="002C45A6">
        <w:t>Stop aminoglycoside therapy if there is a significant decrease in renal function (e.g. increase in serum creatinine by ≥ 26.5 micromol/L within 48hrs or ≥1.5 times the baseline within 7 days)</w:t>
      </w:r>
      <w:r w:rsidR="004E4DD6">
        <w:t>.</w:t>
      </w:r>
    </w:p>
    <w:p w14:paraId="70D9C2E9" w14:textId="6779B2B5" w:rsidR="007D171B" w:rsidRPr="00971AA6" w:rsidRDefault="007D171B" w:rsidP="00770AE2">
      <w:pPr>
        <w:pStyle w:val="Bullet"/>
        <w:rPr>
          <w:rFonts w:eastAsia="Calibri"/>
        </w:rPr>
      </w:pPr>
      <w:r w:rsidRPr="0032177E">
        <w:rPr>
          <w:rFonts w:eastAsia="Calibri"/>
        </w:rPr>
        <w:t>Serial decreasing dose recommendations can be an early indication of deteriorating renal function, consider ceasing aminoglycoside therapy if this is suspected</w:t>
      </w:r>
      <w:r>
        <w:rPr>
          <w:rFonts w:eastAsia="Calibri"/>
        </w:rPr>
        <w:t xml:space="preserve"> or contact AMS or ID for review</w:t>
      </w:r>
      <w:r w:rsidR="004E4DD6">
        <w:rPr>
          <w:rFonts w:eastAsia="Calibri"/>
        </w:rPr>
        <w:t>.</w:t>
      </w:r>
    </w:p>
    <w:p w14:paraId="6D17509D" w14:textId="0195761F" w:rsidR="007D171B" w:rsidRPr="002C45A6" w:rsidRDefault="007D171B" w:rsidP="00770AE2">
      <w:pPr>
        <w:pStyle w:val="Bullet"/>
      </w:pPr>
      <w:r w:rsidRPr="002C45A6">
        <w:t xml:space="preserve">If further </w:t>
      </w:r>
      <w:r>
        <w:t xml:space="preserve">aminoglycoside </w:t>
      </w:r>
      <w:r w:rsidRPr="002C45A6">
        <w:t>therapy required seek expert advice.</w:t>
      </w:r>
    </w:p>
    <w:p w14:paraId="6F4D21B7" w14:textId="758B58BC" w:rsidR="007D171B" w:rsidRPr="002C45A6" w:rsidRDefault="007D171B" w:rsidP="00770AE2">
      <w:pPr>
        <w:pStyle w:val="Heading5"/>
      </w:pPr>
      <w:r w:rsidRPr="002C45A6">
        <w:t>Vestibular and auditory toxicity</w:t>
      </w:r>
    </w:p>
    <w:p w14:paraId="7D136ED9" w14:textId="5E345B26" w:rsidR="007D171B" w:rsidRPr="002C45A6" w:rsidRDefault="007D171B" w:rsidP="00770AE2">
      <w:pPr>
        <w:pStyle w:val="Bullet"/>
      </w:pPr>
      <w:r w:rsidRPr="002C45A6">
        <w:t>All patients should be informed, if possible, of the potential for vestibular and auditory toxicity when prescribing aminoglycoside therapy</w:t>
      </w:r>
      <w:r w:rsidR="004E4DD6">
        <w:t>.</w:t>
      </w:r>
    </w:p>
    <w:p w14:paraId="6D908752" w14:textId="77777777" w:rsidR="007D171B" w:rsidRPr="002C45A6" w:rsidRDefault="007D171B" w:rsidP="00770AE2">
      <w:pPr>
        <w:pStyle w:val="Bullet"/>
      </w:pPr>
      <w:r w:rsidRPr="002C45A6">
        <w:t>Instruct patients to report any balance or hearing problems and ask patients receiving aminoglycosides on each Medical clinical review about whether they are experiencing gait ataxia, imbalance, blurred vision during head movement, sensation of bouncing vision, or hearing loss.</w:t>
      </w:r>
    </w:p>
    <w:p w14:paraId="5CA444CE" w14:textId="77777777" w:rsidR="007D171B" w:rsidRPr="002C45A6" w:rsidRDefault="007D171B" w:rsidP="00770AE2">
      <w:pPr>
        <w:pStyle w:val="Bullet"/>
        <w:numPr>
          <w:ilvl w:val="1"/>
          <w:numId w:val="1"/>
        </w:numPr>
      </w:pPr>
      <w:r w:rsidRPr="002C45A6">
        <w:t>Spontaneous vertigo is not a feature of vestibular toxicity.</w:t>
      </w:r>
    </w:p>
    <w:p w14:paraId="24F081F5" w14:textId="0A957691" w:rsidR="007D171B" w:rsidRPr="002C45A6" w:rsidRDefault="007D171B" w:rsidP="00770AE2">
      <w:pPr>
        <w:pStyle w:val="Bullet"/>
      </w:pPr>
      <w:r w:rsidRPr="002C45A6">
        <w:t xml:space="preserve">For prolonged courses of aminoglycoside therapy (&gt; 5 days) formal vestibular (contact Ear, Nose and Throat (ENT) for advice) and audiometry testing should be performed. For audiometry testing, please order “Inpatient consult to Audiology” via DHR or </w:t>
      </w:r>
      <w:r w:rsidR="00414397">
        <w:t xml:space="preserve">if urgent </w:t>
      </w:r>
      <w:r w:rsidRPr="002C45A6">
        <w:t>call ext. 45261 to speak with the audiologist on duty for further advice.</w:t>
      </w:r>
    </w:p>
    <w:p w14:paraId="39B655CB" w14:textId="77777777" w:rsidR="007D171B" w:rsidRPr="002C45A6" w:rsidRDefault="007D171B" w:rsidP="00770AE2">
      <w:pPr>
        <w:pStyle w:val="Bullet"/>
        <w:numPr>
          <w:ilvl w:val="1"/>
          <w:numId w:val="1"/>
        </w:numPr>
      </w:pPr>
      <w:r w:rsidRPr="002C45A6">
        <w:t xml:space="preserve">Perform baseline audiometry testing and then repeat periodically (e.g. weekly). </w:t>
      </w:r>
    </w:p>
    <w:p w14:paraId="230612A8" w14:textId="77777777" w:rsidR="007D171B" w:rsidRPr="002C45A6" w:rsidRDefault="007D171B" w:rsidP="00770AE2">
      <w:pPr>
        <w:pStyle w:val="Bullet"/>
        <w:numPr>
          <w:ilvl w:val="1"/>
          <w:numId w:val="1"/>
        </w:numPr>
      </w:pPr>
      <w:r w:rsidRPr="002C45A6">
        <w:t>If vestibular or auditory toxicity is noted, stop the aminoglycoside, and seek expert advice from AMS or ID if ongoing antibiotic therapy is required.</w:t>
      </w:r>
    </w:p>
    <w:p w14:paraId="3B067C91" w14:textId="730758B1" w:rsidR="007D171B" w:rsidRPr="002C45A6" w:rsidRDefault="007D171B" w:rsidP="00770AE2">
      <w:pPr>
        <w:pStyle w:val="Bullet"/>
        <w:numPr>
          <w:ilvl w:val="1"/>
          <w:numId w:val="1"/>
        </w:numPr>
      </w:pPr>
      <w:r w:rsidRPr="002C45A6">
        <w:t>The audiology service is available Monday to Wednesdays on site at Canberra Hospital and is available to all inpatients.</w:t>
      </w:r>
    </w:p>
    <w:p w14:paraId="64A07A06" w14:textId="77777777" w:rsidR="00770AE2" w:rsidRDefault="00770AE2" w:rsidP="00770AE2">
      <w:pPr>
        <w:pStyle w:val="BodyCopy"/>
      </w:pPr>
      <w:hyperlink w:anchor="_top" w:history="1">
        <w:r w:rsidRPr="00481A6C">
          <w:rPr>
            <w:rStyle w:val="Hyperlink"/>
            <w:iCs w:val="0"/>
          </w:rPr>
          <w:t>Back to Contents</w:t>
        </w:r>
      </w:hyperlink>
    </w:p>
    <w:p w14:paraId="7B762D24" w14:textId="33449170" w:rsidR="00770AE2" w:rsidRDefault="00770AE2" w:rsidP="00770AE2">
      <w:pPr>
        <w:pStyle w:val="Heading2"/>
      </w:pPr>
      <w:bookmarkStart w:id="45" w:name="_Toc181188552"/>
      <w:r>
        <w:t>Section 4 – Drug Administration</w:t>
      </w:r>
      <w:bookmarkEnd w:id="45"/>
    </w:p>
    <w:p w14:paraId="5CBA8817" w14:textId="77777777" w:rsidR="00770AE2" w:rsidRDefault="00770AE2" w:rsidP="00770AE2">
      <w:pPr>
        <w:rPr>
          <w:rFonts w:asciiTheme="minorHAnsi" w:hAnsiTheme="minorHAnsi" w:cstheme="minorHAnsi"/>
        </w:rPr>
      </w:pPr>
      <w:r w:rsidRPr="002C45A6">
        <w:rPr>
          <w:rFonts w:asciiTheme="minorHAnsi" w:hAnsiTheme="minorHAnsi" w:cstheme="minorHAnsi"/>
        </w:rPr>
        <w:t xml:space="preserve">The preferred method of administration for aminoglycosides is as an infusion over 30 minutes, as this is factored into the methods used to calculate AUC when monitoring drug concentration levels. </w:t>
      </w:r>
    </w:p>
    <w:p w14:paraId="13330F51" w14:textId="761DC217" w:rsidR="00770AE2" w:rsidRPr="002C45A6" w:rsidRDefault="00770AE2" w:rsidP="00770AE2">
      <w:pPr>
        <w:pStyle w:val="Heading5"/>
      </w:pPr>
      <w:r w:rsidRPr="002C45A6">
        <w:t xml:space="preserve">Table </w:t>
      </w:r>
      <w:r w:rsidR="009F0DD1">
        <w:t>9</w:t>
      </w:r>
      <w:r w:rsidRPr="002C45A6">
        <w:t>: Recommendations for administration of aminoglycosides</w:t>
      </w:r>
    </w:p>
    <w:tbl>
      <w:tblPr>
        <w:tblStyle w:val="TableGrid"/>
        <w:tblW w:w="9918" w:type="dxa"/>
        <w:tblLook w:val="04A0" w:firstRow="1" w:lastRow="0" w:firstColumn="1" w:lastColumn="0" w:noHBand="0" w:noVBand="1"/>
      </w:tblPr>
      <w:tblGrid>
        <w:gridCol w:w="2671"/>
        <w:gridCol w:w="3411"/>
        <w:gridCol w:w="3836"/>
      </w:tblGrid>
      <w:tr w:rsidR="00770AE2" w:rsidRPr="002C45A6" w14:paraId="6DEE4E75" w14:textId="77777777" w:rsidTr="005C6C67">
        <w:trPr>
          <w:trHeight w:hRule="exact" w:val="454"/>
        </w:trPr>
        <w:tc>
          <w:tcPr>
            <w:tcW w:w="2671" w:type="dxa"/>
            <w:shd w:val="clear" w:color="auto" w:fill="D9D9D9" w:themeFill="background1" w:themeFillShade="D9"/>
          </w:tcPr>
          <w:p w14:paraId="28DF5345" w14:textId="77777777" w:rsidR="00770AE2" w:rsidRPr="002C45A6" w:rsidRDefault="00770AE2" w:rsidP="006E3419">
            <w:pPr>
              <w:rPr>
                <w:rFonts w:asciiTheme="minorHAnsi" w:hAnsiTheme="minorHAnsi" w:cstheme="minorHAnsi"/>
                <w:b/>
              </w:rPr>
            </w:pPr>
            <w:r w:rsidRPr="002C45A6">
              <w:rPr>
                <w:rFonts w:asciiTheme="minorHAnsi" w:hAnsiTheme="minorHAnsi" w:cstheme="minorHAnsi"/>
                <w:b/>
              </w:rPr>
              <w:lastRenderedPageBreak/>
              <w:t>Drug</w:t>
            </w:r>
          </w:p>
        </w:tc>
        <w:tc>
          <w:tcPr>
            <w:tcW w:w="3411" w:type="dxa"/>
            <w:shd w:val="clear" w:color="auto" w:fill="D9D9D9" w:themeFill="background1" w:themeFillShade="D9"/>
          </w:tcPr>
          <w:p w14:paraId="1A8A446D" w14:textId="77777777" w:rsidR="00770AE2" w:rsidRPr="002C45A6" w:rsidRDefault="00770AE2" w:rsidP="006E3419">
            <w:pPr>
              <w:rPr>
                <w:rFonts w:asciiTheme="minorHAnsi" w:hAnsiTheme="minorHAnsi" w:cstheme="minorHAnsi"/>
                <w:b/>
              </w:rPr>
            </w:pPr>
            <w:r w:rsidRPr="002C45A6">
              <w:rPr>
                <w:rFonts w:asciiTheme="minorHAnsi" w:hAnsiTheme="minorHAnsi" w:cstheme="minorHAnsi"/>
                <w:b/>
              </w:rPr>
              <w:t>Infusion</w:t>
            </w:r>
          </w:p>
        </w:tc>
        <w:tc>
          <w:tcPr>
            <w:tcW w:w="3836" w:type="dxa"/>
            <w:shd w:val="clear" w:color="auto" w:fill="D9D9D9" w:themeFill="background1" w:themeFillShade="D9"/>
          </w:tcPr>
          <w:p w14:paraId="456FD294" w14:textId="77777777" w:rsidR="00770AE2" w:rsidRPr="002C45A6" w:rsidRDefault="00770AE2" w:rsidP="006E3419">
            <w:pPr>
              <w:rPr>
                <w:rFonts w:asciiTheme="minorHAnsi" w:hAnsiTheme="minorHAnsi" w:cstheme="minorHAnsi"/>
                <w:b/>
              </w:rPr>
            </w:pPr>
            <w:r w:rsidRPr="002C45A6">
              <w:rPr>
                <w:rFonts w:asciiTheme="minorHAnsi" w:hAnsiTheme="minorHAnsi" w:cstheme="minorHAnsi"/>
                <w:b/>
              </w:rPr>
              <w:t>Bolus</w:t>
            </w:r>
          </w:p>
        </w:tc>
      </w:tr>
      <w:tr w:rsidR="00770AE2" w:rsidRPr="002C45A6" w14:paraId="3536F5BE" w14:textId="77777777" w:rsidTr="005C6C67">
        <w:trPr>
          <w:trHeight w:hRule="exact" w:val="1247"/>
        </w:trPr>
        <w:tc>
          <w:tcPr>
            <w:tcW w:w="2671" w:type="dxa"/>
          </w:tcPr>
          <w:p w14:paraId="6A44BE69" w14:textId="31A8EC3F" w:rsidR="00770AE2" w:rsidRPr="002C45A6" w:rsidRDefault="00770AE2" w:rsidP="006E3419">
            <w:pPr>
              <w:rPr>
                <w:rFonts w:asciiTheme="minorHAnsi" w:hAnsiTheme="minorHAnsi" w:cstheme="minorHAnsi"/>
              </w:rPr>
            </w:pPr>
            <w:r w:rsidRPr="002C45A6">
              <w:rPr>
                <w:rFonts w:asciiTheme="minorHAnsi" w:hAnsiTheme="minorHAnsi" w:cstheme="minorHAnsi"/>
              </w:rPr>
              <w:t>Gentamicin/</w:t>
            </w:r>
            <w:r>
              <w:rPr>
                <w:rFonts w:asciiTheme="minorHAnsi" w:hAnsiTheme="minorHAnsi" w:cstheme="minorHAnsi"/>
              </w:rPr>
              <w:t>t</w:t>
            </w:r>
            <w:r w:rsidRPr="002C45A6">
              <w:rPr>
                <w:rFonts w:asciiTheme="minorHAnsi" w:hAnsiTheme="minorHAnsi" w:cstheme="minorHAnsi"/>
              </w:rPr>
              <w:t>obramycin</w:t>
            </w:r>
          </w:p>
        </w:tc>
        <w:tc>
          <w:tcPr>
            <w:tcW w:w="3411" w:type="dxa"/>
          </w:tcPr>
          <w:p w14:paraId="6A49AF2A" w14:textId="77777777" w:rsidR="00770AE2" w:rsidRPr="002C45A6" w:rsidRDefault="00770AE2" w:rsidP="006E3419">
            <w:pPr>
              <w:rPr>
                <w:rFonts w:asciiTheme="minorHAnsi" w:hAnsiTheme="minorHAnsi" w:cstheme="minorHAnsi"/>
              </w:rPr>
            </w:pPr>
            <w:r w:rsidRPr="002C45A6">
              <w:rPr>
                <w:rFonts w:asciiTheme="minorHAnsi" w:hAnsiTheme="minorHAnsi" w:cstheme="minorHAnsi"/>
              </w:rPr>
              <w:t>In 50mL sodium chloride 0.9% over 30 minutes</w:t>
            </w:r>
          </w:p>
        </w:tc>
        <w:tc>
          <w:tcPr>
            <w:tcW w:w="3836" w:type="dxa"/>
          </w:tcPr>
          <w:p w14:paraId="27D1C31D" w14:textId="619211AD" w:rsidR="00770AE2" w:rsidRPr="002C45A6" w:rsidRDefault="00770AE2" w:rsidP="006E3419">
            <w:pPr>
              <w:rPr>
                <w:rFonts w:asciiTheme="minorHAnsi" w:hAnsiTheme="minorHAnsi" w:cstheme="minorHAnsi"/>
              </w:rPr>
            </w:pPr>
            <w:r w:rsidRPr="002C45A6">
              <w:rPr>
                <w:rFonts w:asciiTheme="minorHAnsi" w:hAnsiTheme="minorHAnsi" w:cstheme="minorHAnsi"/>
              </w:rPr>
              <w:t>Undiluted or diluted to 20mL with sodium chloride 0.9% given as slow injection over 3 - 5 minutes</w:t>
            </w:r>
          </w:p>
        </w:tc>
      </w:tr>
      <w:tr w:rsidR="00770AE2" w:rsidRPr="002C45A6" w14:paraId="4A6C2B65" w14:textId="77777777" w:rsidTr="005C6C67">
        <w:trPr>
          <w:trHeight w:hRule="exact" w:val="1247"/>
        </w:trPr>
        <w:tc>
          <w:tcPr>
            <w:tcW w:w="2671" w:type="dxa"/>
          </w:tcPr>
          <w:p w14:paraId="187E5B6F" w14:textId="77777777" w:rsidR="00770AE2" w:rsidRPr="002C45A6" w:rsidRDefault="00770AE2" w:rsidP="006E3419">
            <w:pPr>
              <w:rPr>
                <w:rFonts w:asciiTheme="minorHAnsi" w:hAnsiTheme="minorHAnsi" w:cstheme="minorHAnsi"/>
              </w:rPr>
            </w:pPr>
            <w:r w:rsidRPr="002C45A6">
              <w:rPr>
                <w:rFonts w:asciiTheme="minorHAnsi" w:hAnsiTheme="minorHAnsi" w:cstheme="minorHAnsi"/>
              </w:rPr>
              <w:t>Amikacin</w:t>
            </w:r>
          </w:p>
        </w:tc>
        <w:tc>
          <w:tcPr>
            <w:tcW w:w="3411" w:type="dxa"/>
          </w:tcPr>
          <w:p w14:paraId="428669E5" w14:textId="2FA1E651" w:rsidR="00770AE2" w:rsidRPr="002C45A6" w:rsidRDefault="00770AE2" w:rsidP="006E3419">
            <w:pPr>
              <w:rPr>
                <w:rFonts w:asciiTheme="minorHAnsi" w:hAnsiTheme="minorHAnsi" w:cstheme="minorHAnsi"/>
              </w:rPr>
            </w:pPr>
            <w:r w:rsidRPr="002C45A6">
              <w:rPr>
                <w:rFonts w:asciiTheme="minorHAnsi" w:hAnsiTheme="minorHAnsi" w:cstheme="minorHAnsi"/>
              </w:rPr>
              <w:t>In 100mL sodium chloride 0.9% over 15 - 30 minutes</w:t>
            </w:r>
          </w:p>
        </w:tc>
        <w:tc>
          <w:tcPr>
            <w:tcW w:w="3836" w:type="dxa"/>
          </w:tcPr>
          <w:p w14:paraId="3999555A" w14:textId="3BBD0EA9" w:rsidR="00770AE2" w:rsidRPr="002C45A6" w:rsidRDefault="00770AE2" w:rsidP="006E3419">
            <w:pPr>
              <w:rPr>
                <w:rFonts w:asciiTheme="minorHAnsi" w:hAnsiTheme="minorHAnsi" w:cstheme="minorHAnsi"/>
              </w:rPr>
            </w:pPr>
            <w:r w:rsidRPr="002C45A6">
              <w:rPr>
                <w:rFonts w:asciiTheme="minorHAnsi" w:hAnsiTheme="minorHAnsi" w:cstheme="minorHAnsi"/>
              </w:rPr>
              <w:t>Undiluted as slow injection over 3 - 5 minutes: only recommended for doses under 500mg</w:t>
            </w:r>
          </w:p>
        </w:tc>
      </w:tr>
    </w:tbl>
    <w:p w14:paraId="32C9A965" w14:textId="4E4AFCB6" w:rsidR="00770AE2" w:rsidRPr="002C45A6" w:rsidRDefault="00770AE2" w:rsidP="00770AE2">
      <w:pPr>
        <w:rPr>
          <w:rFonts w:asciiTheme="minorHAnsi" w:hAnsiTheme="minorHAnsi" w:cstheme="minorHAnsi"/>
        </w:rPr>
      </w:pPr>
      <w:r w:rsidRPr="002C45A6">
        <w:rPr>
          <w:rFonts w:asciiTheme="minorHAnsi" w:hAnsiTheme="minorHAnsi" w:cstheme="minorHAnsi"/>
        </w:rPr>
        <w:t xml:space="preserve">Please note </w:t>
      </w:r>
      <w:r>
        <w:rPr>
          <w:rFonts w:asciiTheme="minorHAnsi" w:hAnsiTheme="minorHAnsi" w:cstheme="minorHAnsi"/>
        </w:rPr>
        <w:t>g</w:t>
      </w:r>
      <w:r w:rsidRPr="002C45A6">
        <w:rPr>
          <w:rFonts w:asciiTheme="minorHAnsi" w:hAnsiTheme="minorHAnsi" w:cstheme="minorHAnsi"/>
        </w:rPr>
        <w:t>entamicin undiluted can be administered intramuscularly into the gluteus/lateral aspect of the thigh. Divide volumes &gt; 4mL between two or more injection sites.</w:t>
      </w:r>
    </w:p>
    <w:p w14:paraId="714D986D" w14:textId="77777777" w:rsidR="00770AE2" w:rsidRPr="002C45A6" w:rsidRDefault="00770AE2" w:rsidP="00770AE2">
      <w:pPr>
        <w:jc w:val="both"/>
        <w:rPr>
          <w:rFonts w:asciiTheme="minorHAnsi" w:hAnsiTheme="minorHAnsi" w:cstheme="minorHAnsi"/>
        </w:rPr>
      </w:pPr>
      <w:r w:rsidRPr="002C45A6">
        <w:rPr>
          <w:rFonts w:asciiTheme="minorHAnsi" w:hAnsiTheme="minorHAnsi" w:cstheme="minorHAnsi"/>
        </w:rPr>
        <w:t xml:space="preserve">For more information, consult the latest edition of the </w:t>
      </w:r>
      <w:hyperlink r:id="rId14" w:history="1">
        <w:r w:rsidRPr="002C45A6">
          <w:rPr>
            <w:rStyle w:val="Hyperlink"/>
            <w:rFonts w:asciiTheme="minorHAnsi" w:hAnsiTheme="minorHAnsi" w:cstheme="minorHAnsi"/>
          </w:rPr>
          <w:t>Australian Injectable Drugs Handbook</w:t>
        </w:r>
      </w:hyperlink>
      <w:r w:rsidRPr="002C45A6">
        <w:rPr>
          <w:rFonts w:asciiTheme="minorHAnsi" w:hAnsiTheme="minorHAnsi" w:cstheme="minorHAnsi"/>
        </w:rPr>
        <w:t xml:space="preserve"> via the CHS Library website.</w:t>
      </w:r>
    </w:p>
    <w:p w14:paraId="2A3C6A96" w14:textId="5DEACEBE" w:rsidR="00481A6C" w:rsidRDefault="00481A6C" w:rsidP="0091462B">
      <w:pPr>
        <w:pStyle w:val="BodyCopy"/>
      </w:pPr>
      <w:hyperlink w:anchor="_top" w:history="1">
        <w:r w:rsidRPr="00481A6C">
          <w:rPr>
            <w:rStyle w:val="Hyperlink"/>
            <w:iCs w:val="0"/>
          </w:rPr>
          <w:t>Back to Contents</w:t>
        </w:r>
      </w:hyperlink>
    </w:p>
    <w:p w14:paraId="6AD1CA44" w14:textId="77777777" w:rsidR="0078367D" w:rsidRDefault="0078367D" w:rsidP="0078367D">
      <w:pPr>
        <w:pStyle w:val="Heading2"/>
      </w:pPr>
      <w:bookmarkStart w:id="46" w:name="_Toc181188553"/>
      <w:bookmarkStart w:id="47" w:name="_Hlk43366294"/>
      <w:r>
        <w:t>Evaluatio</w:t>
      </w:r>
      <w:r w:rsidR="00FF35A0">
        <w:t>n</w:t>
      </w:r>
      <w:bookmarkEnd w:id="46"/>
    </w:p>
    <w:p w14:paraId="6A8950B3" w14:textId="77777777" w:rsidR="00770AE2" w:rsidRPr="00770AE2" w:rsidRDefault="00481A6C" w:rsidP="00770AE2">
      <w:pPr>
        <w:pStyle w:val="Bullet"/>
        <w:numPr>
          <w:ilvl w:val="0"/>
          <w:numId w:val="0"/>
        </w:numPr>
        <w:ind w:left="360" w:hanging="360"/>
      </w:pPr>
      <w:bookmarkStart w:id="48" w:name="_Hlk170467190"/>
      <w:bookmarkStart w:id="49" w:name="_Toc181188554"/>
      <w:bookmarkEnd w:id="47"/>
      <w:r w:rsidRPr="0078367D">
        <w:rPr>
          <w:rStyle w:val="Heading4Char"/>
        </w:rPr>
        <w:t>Outcome</w:t>
      </w:r>
      <w:bookmarkStart w:id="50" w:name="_Hlk170467240"/>
      <w:bookmarkEnd w:id="48"/>
      <w:bookmarkEnd w:id="49"/>
    </w:p>
    <w:p w14:paraId="0BD1EE3A" w14:textId="0D8CB85C" w:rsidR="00770AE2" w:rsidRDefault="00770AE2" w:rsidP="00770AE2">
      <w:pPr>
        <w:pStyle w:val="Bullet"/>
      </w:pPr>
      <w:r w:rsidRPr="00770AE2">
        <w:t>Aminoglycoside therapy as indicated for treatment of systemic infection is prescribed, administered, and monitored safely as per this procedure.</w:t>
      </w:r>
    </w:p>
    <w:p w14:paraId="7AB05691" w14:textId="77777777" w:rsidR="00115E22" w:rsidRDefault="00115E22" w:rsidP="006E7099">
      <w:pPr>
        <w:pStyle w:val="Bullet"/>
        <w:numPr>
          <w:ilvl w:val="0"/>
          <w:numId w:val="0"/>
        </w:numPr>
        <w:ind w:left="360"/>
      </w:pPr>
    </w:p>
    <w:p w14:paraId="5B24BD06" w14:textId="77777777" w:rsidR="00115E22" w:rsidRPr="00770AE2" w:rsidRDefault="00115E22" w:rsidP="00115E22">
      <w:pPr>
        <w:pStyle w:val="Bullet"/>
        <w:numPr>
          <w:ilvl w:val="0"/>
          <w:numId w:val="0"/>
        </w:numPr>
        <w:rPr>
          <w:rFonts w:asciiTheme="minorHAnsi" w:hAnsiTheme="minorHAnsi" w:cstheme="minorHAnsi"/>
          <w:color w:val="auto"/>
          <w:u w:val="single"/>
        </w:rPr>
      </w:pPr>
      <w:bookmarkStart w:id="51" w:name="_Toc181188555"/>
      <w:r w:rsidRPr="0078367D">
        <w:rPr>
          <w:rStyle w:val="Heading4Char"/>
        </w:rPr>
        <w:t>Measures</w:t>
      </w:r>
      <w:bookmarkEnd w:id="51"/>
    </w:p>
    <w:p w14:paraId="2B747D67" w14:textId="77777777" w:rsidR="00115E22" w:rsidRPr="00770AE2" w:rsidRDefault="00115E22" w:rsidP="00115E22">
      <w:pPr>
        <w:pStyle w:val="Bullet"/>
      </w:pPr>
      <w:r w:rsidRPr="00770AE2">
        <w:t>AMS and/or Pharmacy will conduct audits to review the appropriateness of dosing, administration, and monitoring of aminoglycosides as part of regular monthly AMS Clinical Care Standard audits.</w:t>
      </w:r>
    </w:p>
    <w:p w14:paraId="46639755" w14:textId="77777777" w:rsidR="00182013" w:rsidRDefault="00182013" w:rsidP="00182013">
      <w:pPr>
        <w:pStyle w:val="Bullet"/>
        <w:numPr>
          <w:ilvl w:val="0"/>
          <w:numId w:val="0"/>
        </w:numPr>
      </w:pPr>
    </w:p>
    <w:p w14:paraId="67F6B8B9" w14:textId="0AE8BFC1" w:rsidR="00481A6C" w:rsidRDefault="00115E22" w:rsidP="00182013">
      <w:pPr>
        <w:pStyle w:val="Bullet"/>
        <w:numPr>
          <w:ilvl w:val="0"/>
          <w:numId w:val="0"/>
        </w:numPr>
      </w:pPr>
      <w:hyperlink w:anchor="_top" w:history="1">
        <w:r w:rsidRPr="00481A6C">
          <w:rPr>
            <w:rStyle w:val="Hyperlink"/>
          </w:rPr>
          <w:t>Back to Contents</w:t>
        </w:r>
      </w:hyperlink>
      <w:bookmarkEnd w:id="50"/>
    </w:p>
    <w:tbl>
      <w:tblPr>
        <w:tblStyle w:val="TableGrid"/>
        <w:tblW w:w="0" w:type="auto"/>
        <w:tblLook w:val="04A0" w:firstRow="1" w:lastRow="0" w:firstColumn="1" w:lastColumn="0" w:noHBand="0" w:noVBand="1"/>
      </w:tblPr>
      <w:tblGrid>
        <w:gridCol w:w="9911"/>
      </w:tblGrid>
      <w:tr w:rsidR="00481A6C" w14:paraId="105FB82D" w14:textId="77777777" w:rsidTr="003B0E72">
        <w:tc>
          <w:tcPr>
            <w:tcW w:w="10194" w:type="dxa"/>
            <w:shd w:val="clear" w:color="auto" w:fill="3D2262" w:themeFill="accent1"/>
          </w:tcPr>
          <w:p w14:paraId="7F198066" w14:textId="77777777" w:rsidR="00481A6C" w:rsidRDefault="00481A6C" w:rsidP="003B0E72">
            <w:pPr>
              <w:pStyle w:val="Heading2"/>
            </w:pPr>
            <w:bookmarkStart w:id="52" w:name="_Toc181188556"/>
            <w:r>
              <w:t>Related policies, procedures, guidelines and legislation</w:t>
            </w:r>
            <w:bookmarkEnd w:id="52"/>
            <w:r>
              <w:t xml:space="preserve"> </w:t>
            </w:r>
          </w:p>
        </w:tc>
      </w:tr>
    </w:tbl>
    <w:p w14:paraId="2429DC7F" w14:textId="77777777" w:rsidR="00481A6C" w:rsidRDefault="00481A6C" w:rsidP="0078367D">
      <w:pPr>
        <w:pStyle w:val="Heading4"/>
      </w:pPr>
      <w:bookmarkStart w:id="53" w:name="_Toc181188557"/>
      <w:r>
        <w:t>Policies</w:t>
      </w:r>
      <w:bookmarkEnd w:id="53"/>
    </w:p>
    <w:p w14:paraId="1DCDABA8" w14:textId="77777777" w:rsidR="00481A6C" w:rsidRDefault="00442979" w:rsidP="000E7683">
      <w:pPr>
        <w:pStyle w:val="Bullet"/>
      </w:pPr>
      <w:r>
        <w:t>Preventing and Controlling Health Care Associated Infections</w:t>
      </w:r>
    </w:p>
    <w:p w14:paraId="6EBA49EF" w14:textId="21E1DFFC" w:rsidR="00770AE2" w:rsidRDefault="00770AE2" w:rsidP="000E7683">
      <w:pPr>
        <w:pStyle w:val="Bullet"/>
      </w:pPr>
      <w:r>
        <w:t>Medication Handling</w:t>
      </w:r>
    </w:p>
    <w:p w14:paraId="3C1B4F66" w14:textId="6307A112" w:rsidR="00770AE2" w:rsidRDefault="00770AE2" w:rsidP="000E7683">
      <w:pPr>
        <w:pStyle w:val="Bullet"/>
      </w:pPr>
      <w:r>
        <w:t>NCH High Risk Medication Management</w:t>
      </w:r>
    </w:p>
    <w:p w14:paraId="41918956" w14:textId="142278E6" w:rsidR="00770AE2" w:rsidRPr="000E7683" w:rsidRDefault="00770AE2" w:rsidP="000E7683">
      <w:pPr>
        <w:pStyle w:val="Bullet"/>
      </w:pPr>
      <w:r>
        <w:t>Informed Consent</w:t>
      </w:r>
    </w:p>
    <w:p w14:paraId="763EFFCE" w14:textId="77777777" w:rsidR="00481A6C" w:rsidRDefault="00481A6C" w:rsidP="0078367D">
      <w:pPr>
        <w:pStyle w:val="Heading4"/>
      </w:pPr>
      <w:bookmarkStart w:id="54" w:name="_Toc181188558"/>
      <w:r>
        <w:t>Procedures</w:t>
      </w:r>
      <w:bookmarkEnd w:id="54"/>
    </w:p>
    <w:p w14:paraId="69E86F61" w14:textId="77777777" w:rsidR="00481A6C" w:rsidRPr="000E7683" w:rsidRDefault="00442979" w:rsidP="000E7683">
      <w:pPr>
        <w:pStyle w:val="Bullet"/>
      </w:pPr>
      <w:r>
        <w:t>Infection Prevention and Control</w:t>
      </w:r>
    </w:p>
    <w:p w14:paraId="1505CBA9" w14:textId="77777777" w:rsidR="00481A6C" w:rsidRDefault="00481A6C" w:rsidP="000E7683">
      <w:pPr>
        <w:pStyle w:val="Bullet"/>
      </w:pPr>
      <w:r w:rsidRPr="000E7683">
        <w:t xml:space="preserve">Patient Identification and Procedure Matching </w:t>
      </w:r>
    </w:p>
    <w:p w14:paraId="45409B52" w14:textId="778B71DA" w:rsidR="00770AE2" w:rsidRDefault="00770AE2" w:rsidP="000E7683">
      <w:pPr>
        <w:pStyle w:val="Bullet"/>
      </w:pPr>
      <w:r>
        <w:t>Antimicrobial Stewardship</w:t>
      </w:r>
    </w:p>
    <w:p w14:paraId="62D3DBC0" w14:textId="77777777" w:rsidR="00770AE2" w:rsidRPr="002C45A6" w:rsidRDefault="00770AE2" w:rsidP="00770AE2">
      <w:pPr>
        <w:pStyle w:val="Bullet"/>
      </w:pPr>
      <w:r w:rsidRPr="002C45A6">
        <w:t xml:space="preserve">Antimicrobial Choice and Administration for Adult Hospital in the Home (HITH) Patients </w:t>
      </w:r>
    </w:p>
    <w:p w14:paraId="1A62C9B2" w14:textId="77777777" w:rsidR="00481A6C" w:rsidRDefault="00481A6C" w:rsidP="0078367D">
      <w:pPr>
        <w:pStyle w:val="Heading4"/>
      </w:pPr>
      <w:bookmarkStart w:id="55" w:name="_Toc181188559"/>
      <w:r>
        <w:lastRenderedPageBreak/>
        <w:t>Guidelines</w:t>
      </w:r>
      <w:bookmarkEnd w:id="55"/>
      <w:r>
        <w:t xml:space="preserve"> </w:t>
      </w:r>
    </w:p>
    <w:p w14:paraId="0575804F" w14:textId="0C178382" w:rsidR="005C6C67" w:rsidRPr="00D21EB3" w:rsidRDefault="00442979" w:rsidP="00D21EB3">
      <w:pPr>
        <w:pStyle w:val="Bullet"/>
      </w:pPr>
      <w:r>
        <w:t>Consent for Healthcare Treatment</w:t>
      </w:r>
    </w:p>
    <w:p w14:paraId="37B24B4C" w14:textId="50D1389B" w:rsidR="00481A6C" w:rsidRDefault="00481A6C" w:rsidP="00820942">
      <w:pPr>
        <w:pStyle w:val="Heading4"/>
      </w:pPr>
      <w:bookmarkStart w:id="56" w:name="_Toc181188560"/>
      <w:r>
        <w:t>Legislation</w:t>
      </w:r>
      <w:bookmarkEnd w:id="56"/>
    </w:p>
    <w:p w14:paraId="4DFF7AA6" w14:textId="77777777" w:rsidR="00481A6C" w:rsidRPr="000E7683" w:rsidRDefault="00481A6C" w:rsidP="000E7683">
      <w:pPr>
        <w:pStyle w:val="Bullet"/>
      </w:pPr>
      <w:r w:rsidRPr="00442979">
        <w:rPr>
          <w:i/>
          <w:iCs/>
        </w:rPr>
        <w:t>Health Records (Privacy and Access) Act</w:t>
      </w:r>
      <w:r w:rsidRPr="000E7683">
        <w:t xml:space="preserve"> 1997</w:t>
      </w:r>
    </w:p>
    <w:p w14:paraId="5D111C8D" w14:textId="77777777" w:rsidR="00481A6C" w:rsidRPr="000E7683" w:rsidRDefault="00481A6C" w:rsidP="000E7683">
      <w:pPr>
        <w:pStyle w:val="Bullet"/>
      </w:pPr>
      <w:r w:rsidRPr="00442979">
        <w:rPr>
          <w:i/>
          <w:iCs/>
        </w:rPr>
        <w:t>Human Rights Act</w:t>
      </w:r>
      <w:r w:rsidRPr="000E7683">
        <w:t xml:space="preserve"> 2004</w:t>
      </w:r>
    </w:p>
    <w:p w14:paraId="74813CCA" w14:textId="77777777" w:rsidR="00481A6C" w:rsidRPr="000E7683" w:rsidRDefault="00481A6C" w:rsidP="000E7683">
      <w:pPr>
        <w:pStyle w:val="Bullet"/>
      </w:pPr>
      <w:r w:rsidRPr="00442979">
        <w:rPr>
          <w:i/>
          <w:iCs/>
        </w:rPr>
        <w:t>Work Health and Safety Act</w:t>
      </w:r>
      <w:r w:rsidRPr="000E7683">
        <w:t xml:space="preserve"> 2011</w:t>
      </w:r>
    </w:p>
    <w:p w14:paraId="1D05FCFB" w14:textId="77777777" w:rsidR="00481A6C" w:rsidRDefault="00481A6C" w:rsidP="000E7683">
      <w:pPr>
        <w:pStyle w:val="Bullet"/>
      </w:pPr>
      <w:r w:rsidRPr="00442979">
        <w:rPr>
          <w:i/>
          <w:iCs/>
        </w:rPr>
        <w:t>Carers Recognition Act</w:t>
      </w:r>
      <w:r w:rsidRPr="000E7683">
        <w:t xml:space="preserve"> 2021</w:t>
      </w:r>
    </w:p>
    <w:p w14:paraId="61860407" w14:textId="190A8D59" w:rsidR="00770AE2" w:rsidRPr="00770AE2" w:rsidRDefault="00770AE2" w:rsidP="000E7683">
      <w:pPr>
        <w:pStyle w:val="Bullet"/>
      </w:pPr>
      <w:r>
        <w:rPr>
          <w:i/>
          <w:iCs/>
        </w:rPr>
        <w:t>Health Act 1993</w:t>
      </w:r>
    </w:p>
    <w:p w14:paraId="7BF91B96" w14:textId="38FF67A1" w:rsidR="00770AE2" w:rsidRPr="000E7683" w:rsidRDefault="00770AE2" w:rsidP="000E7683">
      <w:pPr>
        <w:pStyle w:val="Bullet"/>
      </w:pPr>
      <w:r>
        <w:rPr>
          <w:i/>
          <w:iCs/>
        </w:rPr>
        <w:t>Medicines, Poisons and Therapeutic Goods Act 2008</w:t>
      </w:r>
    </w:p>
    <w:p w14:paraId="09C6FCBB" w14:textId="77777777" w:rsidR="00481A6C" w:rsidRDefault="00481A6C" w:rsidP="0078367D">
      <w:pPr>
        <w:pStyle w:val="Heading4"/>
      </w:pPr>
      <w:bookmarkStart w:id="57" w:name="_Toc181188561"/>
      <w:r>
        <w:t>Other</w:t>
      </w:r>
      <w:bookmarkEnd w:id="57"/>
    </w:p>
    <w:p w14:paraId="31DA59B7" w14:textId="77777777" w:rsidR="000E7683" w:rsidRDefault="00481A6C" w:rsidP="000E7683">
      <w:pPr>
        <w:pStyle w:val="Bullet"/>
        <w:spacing w:after="240"/>
        <w:ind w:left="357" w:hanging="357"/>
      </w:pPr>
      <w:r w:rsidRPr="000E7683">
        <w:t>Australian Charter of Healthcare Right</w:t>
      </w:r>
      <w:r w:rsidR="00280C5D" w:rsidRPr="000E7683">
        <w:t>s</w:t>
      </w:r>
    </w:p>
    <w:p w14:paraId="20B09BC5" w14:textId="77777777" w:rsidR="000E7683" w:rsidRPr="000E7683" w:rsidRDefault="000E7683" w:rsidP="008606A0">
      <w:pPr>
        <w:pStyle w:val="BodyCopy"/>
      </w:pPr>
      <w:hyperlink w:anchor="_top" w:history="1">
        <w:r w:rsidRPr="004A7A7F">
          <w:rPr>
            <w:rStyle w:val="Hyperlink"/>
          </w:rPr>
          <w:t>Back to Contents</w:t>
        </w:r>
      </w:hyperlink>
    </w:p>
    <w:p w14:paraId="3254A9B0" w14:textId="77777777" w:rsidR="0078367D" w:rsidRPr="0078367D" w:rsidRDefault="0078367D" w:rsidP="0078367D">
      <w:pPr>
        <w:pStyle w:val="Heading2"/>
      </w:pPr>
      <w:bookmarkStart w:id="58" w:name="_Toc181188562"/>
      <w:r w:rsidRPr="0078367D">
        <w:t>References</w:t>
      </w:r>
      <w:bookmarkEnd w:id="58"/>
    </w:p>
    <w:p w14:paraId="63EC9E02" w14:textId="77777777" w:rsidR="00770AE2" w:rsidRPr="002C45A6" w:rsidRDefault="00770AE2" w:rsidP="00D21EB3">
      <w:pPr>
        <w:pStyle w:val="Numberedlist"/>
        <w:numPr>
          <w:ilvl w:val="0"/>
          <w:numId w:val="16"/>
        </w:numPr>
      </w:pPr>
      <w:r w:rsidRPr="002C45A6">
        <w:t>Avent ML, Rogers BA, Cheng AC, Paterson DL. Current use of aminoglycosides: indications, pharmacokinetics and monitoring for toxicity. Internal Medicine Journal [Internet]. 2011 Jun;41(6):441–9. Available from: https://doi.org/10.1111/j.1445-5994.2011.02452.x</w:t>
      </w:r>
    </w:p>
    <w:p w14:paraId="07769BDB" w14:textId="77777777" w:rsidR="00770AE2" w:rsidRPr="002C45A6" w:rsidRDefault="00770AE2" w:rsidP="00770AE2">
      <w:pPr>
        <w:pStyle w:val="Numberedlist"/>
      </w:pPr>
      <w:r w:rsidRPr="002C45A6">
        <w:t>Australian Medicines Handbook Pty Ltd. AMH Online [Internet]. Adelaide; 2024. Available from: https://amhonline.amh.net.au/ (via the CHS Library website)</w:t>
      </w:r>
    </w:p>
    <w:p w14:paraId="6C45CDF6" w14:textId="77777777" w:rsidR="00770AE2" w:rsidRPr="002C45A6" w:rsidRDefault="00770AE2" w:rsidP="00770AE2">
      <w:pPr>
        <w:pStyle w:val="Numberedlist"/>
      </w:pPr>
      <w:r w:rsidRPr="002C45A6">
        <w:t>Merative. Micromedex [Internet]. Michigan; 2024. Available from: https://www.micromedexsolutions.com/ (via the CHS Library website)</w:t>
      </w:r>
    </w:p>
    <w:p w14:paraId="4CFB596B" w14:textId="77777777" w:rsidR="00770AE2" w:rsidRPr="002C45A6" w:rsidRDefault="00770AE2" w:rsidP="00770AE2">
      <w:pPr>
        <w:pStyle w:val="Numberedlist"/>
      </w:pPr>
      <w:r w:rsidRPr="002C45A6">
        <w:t xml:space="preserve">MIMS Australia Pty Ltd. MIMS Online [Internet]. Sydney; 2024. Available from: </w:t>
      </w:r>
      <w:hyperlink r:id="rId15" w:history="1">
        <w:r w:rsidRPr="002C45A6">
          <w:rPr>
            <w:rStyle w:val="Hyperlink"/>
            <w:rFonts w:asciiTheme="minorHAnsi" w:hAnsiTheme="minorHAnsi" w:cstheme="minorHAnsi"/>
          </w:rPr>
          <w:t>https://app.emims.plus/</w:t>
        </w:r>
      </w:hyperlink>
      <w:r w:rsidRPr="002C45A6">
        <w:t xml:space="preserve"> (via the CHS Library website)</w:t>
      </w:r>
    </w:p>
    <w:p w14:paraId="61A22BDF" w14:textId="77777777" w:rsidR="00770AE2" w:rsidRPr="002C45A6" w:rsidRDefault="00770AE2" w:rsidP="00770AE2">
      <w:pPr>
        <w:pStyle w:val="Numberedlist"/>
      </w:pPr>
      <w:r w:rsidRPr="002C45A6">
        <w:t>The Society of Hospital Pharmacists of Australia. Australian Injectable Drugs Handbook [Internet]. 9th ed. Abbotsford; 2023. Available from: https://aidh.hcn.com.au/browse/about_aidh (via the CHS Library website)</w:t>
      </w:r>
    </w:p>
    <w:p w14:paraId="2579E739" w14:textId="77777777" w:rsidR="00770AE2" w:rsidRPr="002C45A6" w:rsidRDefault="00770AE2" w:rsidP="00770AE2">
      <w:pPr>
        <w:pStyle w:val="Numberedlist"/>
      </w:pPr>
      <w:r w:rsidRPr="002C45A6">
        <w:t xml:space="preserve">Street A, McBryde E, Denholm J, Eison D. Management of Tuberculosis: a handbook for clinicians [Internet]. Parkville: Victorian Infectious Diseases Service; 2012. Available from: </w:t>
      </w:r>
      <w:hyperlink r:id="rId16" w:history="1">
        <w:r w:rsidRPr="002C45A6">
          <w:t>https://researchonline.jcu.edu.au/51444/1/VIDSTBMx_WebVersion%281%29.pdf</w:t>
        </w:r>
      </w:hyperlink>
    </w:p>
    <w:p w14:paraId="50A84E0C" w14:textId="77777777" w:rsidR="00770AE2" w:rsidRPr="002C45A6" w:rsidRDefault="00770AE2" w:rsidP="00770AE2">
      <w:pPr>
        <w:pStyle w:val="Numberedlist"/>
      </w:pPr>
      <w:r w:rsidRPr="002C45A6">
        <w:t>Curry International Tuberculosis Center, California Department of Public Health. Drug-Resistant Tuberculosis: A Survival Guide for Clinicians [Internet]. 3rd ed. 2016. Available from: https://www.currytbcenter.ucsf.edu/products/view/drug-resistant-tuberculosis-survival-guide-clinicians-3rd-edition</w:t>
      </w:r>
    </w:p>
    <w:p w14:paraId="63C7021E" w14:textId="77777777" w:rsidR="00770AE2" w:rsidRPr="002C45A6" w:rsidRDefault="00770AE2" w:rsidP="00770AE2">
      <w:pPr>
        <w:pStyle w:val="Numberedlist"/>
      </w:pPr>
      <w:r w:rsidRPr="002C45A6">
        <w:t>Ward K, Theiler RN. Once-daily Dosing of Gentamicin in Obstetrics and Gynecology. Clinical Obstetrics and Gynecology [Internet]. 2008 Sep;51(3):498–506. Available from: https://doi.org/10.1097/GRF.0b013e31818091cd</w:t>
      </w:r>
    </w:p>
    <w:p w14:paraId="64A917FB" w14:textId="77777777" w:rsidR="00770AE2" w:rsidRPr="002C45A6" w:rsidRDefault="00770AE2" w:rsidP="00770AE2">
      <w:pPr>
        <w:pStyle w:val="Numberedlist"/>
      </w:pPr>
      <w:r w:rsidRPr="002C45A6">
        <w:lastRenderedPageBreak/>
        <w:t>Lexidrug. Gentamicin (systemic): Drug information [Internet]. UpToDate. 2024. Available from: https://www.uptodate.com/contents/gentamicin-systemic-drug-information (via the CHS Library website)</w:t>
      </w:r>
    </w:p>
    <w:p w14:paraId="4609E547" w14:textId="77777777" w:rsidR="00770AE2" w:rsidRPr="002C45A6" w:rsidRDefault="00770AE2" w:rsidP="00770AE2">
      <w:pPr>
        <w:pStyle w:val="Numberedlist"/>
      </w:pPr>
      <w:r w:rsidRPr="002C45A6">
        <w:t>Baddour LM, Wilson WR, Bayer AS, Fowler VG, Tleyjeh IM, Rybak MJ, et al. Infective Endocarditis in Adults: Diagnosis, Antimicrobial Therapy, and Management of Complications: A Scientific Statement for Healthcare Professionals from the American Heart Association. Circulation [Internet]. 2015 Sep 15;132(15):1435–86. Available from: https://doi.org/10.1161/CIR.0000000000000296</w:t>
      </w:r>
    </w:p>
    <w:p w14:paraId="04ADC09E" w14:textId="77777777" w:rsidR="00770AE2" w:rsidRPr="002C45A6" w:rsidRDefault="00770AE2" w:rsidP="00770AE2">
      <w:pPr>
        <w:pStyle w:val="Numberedlist"/>
        <w:rPr>
          <w:rStyle w:val="Hyperlink"/>
          <w:rFonts w:asciiTheme="minorHAnsi" w:hAnsiTheme="minorHAnsi" w:cstheme="minorHAnsi"/>
        </w:rPr>
      </w:pPr>
      <w:r w:rsidRPr="002C45A6">
        <w:rPr>
          <w:rStyle w:val="Hyperlink"/>
          <w:rFonts w:asciiTheme="minorHAnsi" w:hAnsiTheme="minorHAnsi" w:cstheme="minorHAnsi"/>
        </w:rPr>
        <w:t>Peloquin CA, Berning SE, Nitta AT, Simone PM, Goble M, Huitt GA, et al. Aminoglycoside Toxicity: Daily versus Thrice-Weekly Dosing for Treatment of Mycobacterial Diseases. Clinical Infectious Diseases [Internet]. 2004 Jun 1;38(11):1538–44. Available from: https://doi.org/10.1086/420742</w:t>
      </w:r>
    </w:p>
    <w:p w14:paraId="18C32F7D" w14:textId="2632B2BC" w:rsidR="00770AE2" w:rsidRPr="002C45A6" w:rsidRDefault="00770AE2" w:rsidP="00770AE2">
      <w:pPr>
        <w:pStyle w:val="Numberedlist"/>
      </w:pPr>
      <w:r w:rsidRPr="002C45A6">
        <w:t>Therapeutic Guidelines Limited. Antibiotic [Internet]. Therapeutic Guidelines. Melbourne; 20</w:t>
      </w:r>
      <w:r w:rsidR="00D92152">
        <w:t>25</w:t>
      </w:r>
      <w:r w:rsidRPr="002C45A6">
        <w:t>. Available from: https://tgldcdp.tg.org.au/etgAccess (via the CHS library website)</w:t>
      </w:r>
    </w:p>
    <w:p w14:paraId="130189D5" w14:textId="77777777" w:rsidR="00770AE2" w:rsidRPr="002C45A6" w:rsidRDefault="00770AE2" w:rsidP="00770AE2">
      <w:pPr>
        <w:pStyle w:val="Numberedlist"/>
        <w:rPr>
          <w:rFonts w:eastAsiaTheme="minorEastAsia"/>
        </w:rPr>
      </w:pPr>
      <w:r w:rsidRPr="002C45A6">
        <w:rPr>
          <w:rFonts w:eastAsiaTheme="minorEastAsia"/>
        </w:rPr>
        <w:t>Elbaz M, Zadka H, Weiss-Meilik A, Ben-Ami R. Effectiveness and safety of an institutional aminoglycoside-based regimen as empirical treatment of patients with pyelonephritis. Journal of Antimicrobial Chemotherapy [Internet]. 2020 May 25;75(8):2307–13. Available from: https://doi.org/10.1093/jac/dkaa148</w:t>
      </w:r>
    </w:p>
    <w:p w14:paraId="3D11656E" w14:textId="77777777" w:rsidR="00770AE2" w:rsidRPr="002C45A6" w:rsidRDefault="00770AE2" w:rsidP="00770AE2">
      <w:pPr>
        <w:pStyle w:val="Numberedlist"/>
      </w:pPr>
      <w:r w:rsidRPr="002C45A6">
        <w:rPr>
          <w:rFonts w:eastAsiaTheme="minorEastAsia"/>
        </w:rPr>
        <w:t xml:space="preserve">Kidney Disease: Improving Global Outcomes (KDIGO) Acute Kidney Injury Work Group. Clinical Practice Guideline for Acute Kidney Injury. Kidney International Supplement [Internet]. 2012 Mar;2(1):1–138. Available from: https://kdigo.org/guidelines/acute-kidney-injury/ </w:t>
      </w:r>
    </w:p>
    <w:p w14:paraId="5F6CF783" w14:textId="77777777" w:rsidR="00770AE2" w:rsidRPr="00913010" w:rsidRDefault="00770AE2" w:rsidP="00770AE2">
      <w:pPr>
        <w:pStyle w:val="Numberedlist"/>
      </w:pPr>
      <w:r w:rsidRPr="002C45A6">
        <w:t>Lexidrug. Tobramycin (systemic): Drug information [Internet]. UptoDate. 2024. Available from: https://www.uptodate.com/contents/tobramycin-systemic-drug-information</w:t>
      </w:r>
    </w:p>
    <w:p w14:paraId="1C51E714" w14:textId="77777777" w:rsidR="00280C5D" w:rsidRDefault="00280C5D" w:rsidP="00280C5D">
      <w:pPr>
        <w:pStyle w:val="Bullet"/>
        <w:numPr>
          <w:ilvl w:val="0"/>
          <w:numId w:val="0"/>
        </w:numPr>
        <w:tabs>
          <w:tab w:val="clear" w:pos="425"/>
        </w:tabs>
        <w:ind w:left="360" w:hanging="360"/>
        <w:rPr>
          <w:lang w:eastAsia="en-US"/>
        </w:rPr>
      </w:pPr>
      <w:hyperlink w:anchor="_top" w:history="1">
        <w:r w:rsidRPr="004A7A7F">
          <w:rPr>
            <w:rStyle w:val="Hyperlink"/>
          </w:rPr>
          <w:t>Back to Contents</w:t>
        </w:r>
      </w:hyperlink>
    </w:p>
    <w:p w14:paraId="3927FDF4" w14:textId="77777777" w:rsidR="0078367D" w:rsidRDefault="0078367D" w:rsidP="0078367D">
      <w:pPr>
        <w:pStyle w:val="Heading2"/>
      </w:pPr>
      <w:bookmarkStart w:id="59" w:name="_Toc181188563"/>
      <w:r>
        <w:t>Search terms</w:t>
      </w:r>
      <w:bookmarkEnd w:id="59"/>
    </w:p>
    <w:p w14:paraId="2C971945" w14:textId="1999B146" w:rsidR="00770AE2" w:rsidRPr="002C45A6" w:rsidRDefault="00770AE2" w:rsidP="00770AE2">
      <w:pPr>
        <w:rPr>
          <w:rFonts w:asciiTheme="minorHAnsi" w:hAnsiTheme="minorHAnsi" w:cstheme="minorHAnsi"/>
        </w:rPr>
      </w:pPr>
      <w:r w:rsidRPr="002C45A6">
        <w:rPr>
          <w:rFonts w:asciiTheme="minorHAnsi" w:hAnsiTheme="minorHAnsi" w:cstheme="minorHAnsi"/>
        </w:rPr>
        <w:t xml:space="preserve">Intravenous Dosing, Monitoring, Aminoglycosides, Gentamicin, Tobramycin, Amikacin, IV </w:t>
      </w:r>
      <w:r>
        <w:rPr>
          <w:rFonts w:asciiTheme="minorHAnsi" w:hAnsiTheme="minorHAnsi" w:cstheme="minorHAnsi"/>
        </w:rPr>
        <w:t>D</w:t>
      </w:r>
      <w:r w:rsidRPr="002C45A6">
        <w:rPr>
          <w:rFonts w:asciiTheme="minorHAnsi" w:hAnsiTheme="minorHAnsi" w:cstheme="minorHAnsi"/>
        </w:rPr>
        <w:t xml:space="preserve">osing, Sepsis, </w:t>
      </w:r>
      <w:r>
        <w:rPr>
          <w:rFonts w:asciiTheme="minorHAnsi" w:hAnsiTheme="minorHAnsi" w:cstheme="minorHAnsi"/>
        </w:rPr>
        <w:t>I</w:t>
      </w:r>
      <w:r w:rsidRPr="002C45A6">
        <w:rPr>
          <w:rFonts w:asciiTheme="minorHAnsi" w:hAnsiTheme="minorHAnsi" w:cstheme="minorHAnsi"/>
        </w:rPr>
        <w:t>nfection</w:t>
      </w:r>
      <w:r w:rsidR="004E4DD6">
        <w:rPr>
          <w:rFonts w:asciiTheme="minorHAnsi" w:hAnsiTheme="minorHAnsi" w:cstheme="minorHAnsi"/>
        </w:rPr>
        <w:t>.</w:t>
      </w:r>
    </w:p>
    <w:p w14:paraId="796AF975" w14:textId="77777777" w:rsidR="00280C5D" w:rsidRDefault="00280C5D" w:rsidP="00280C5D">
      <w:pPr>
        <w:pStyle w:val="Bullet"/>
        <w:numPr>
          <w:ilvl w:val="0"/>
          <w:numId w:val="0"/>
        </w:numPr>
        <w:rPr>
          <w:lang w:eastAsia="en-US"/>
        </w:rPr>
      </w:pPr>
      <w:hyperlink w:anchor="_top" w:history="1">
        <w:r w:rsidRPr="00481A6C">
          <w:rPr>
            <w:rStyle w:val="Hyperlink"/>
          </w:rPr>
          <w:t>Back to Contents</w:t>
        </w:r>
      </w:hyperlink>
    </w:p>
    <w:p w14:paraId="17F0FEC2" w14:textId="77777777" w:rsidR="0078367D" w:rsidRPr="009A5010" w:rsidRDefault="0078367D" w:rsidP="0038106F">
      <w:pPr>
        <w:pStyle w:val="Heading2"/>
      </w:pPr>
      <w:bookmarkStart w:id="60" w:name="_Toc181188564"/>
      <w:r>
        <w:t>Attachments</w:t>
      </w:r>
      <w:bookmarkEnd w:id="60"/>
    </w:p>
    <w:p w14:paraId="1ECBFD4F" w14:textId="77777777" w:rsidR="00770AE2" w:rsidRPr="002C45A6" w:rsidRDefault="00770AE2" w:rsidP="0007715A">
      <w:pPr>
        <w:spacing w:after="120"/>
        <w:jc w:val="both"/>
        <w:rPr>
          <w:rFonts w:asciiTheme="minorHAnsi" w:hAnsiTheme="minorHAnsi" w:cstheme="minorHAnsi"/>
          <w:bCs/>
        </w:rPr>
      </w:pPr>
      <w:r w:rsidRPr="002C45A6">
        <w:rPr>
          <w:rFonts w:asciiTheme="minorHAnsi" w:hAnsiTheme="minorHAnsi" w:cstheme="minorHAnsi"/>
          <w:bCs/>
        </w:rPr>
        <w:t>Attachment 1 – Dosing calculation using Ideal Body Weight (IBW)</w:t>
      </w:r>
    </w:p>
    <w:p w14:paraId="324A53A9" w14:textId="77777777" w:rsidR="00D92152" w:rsidRDefault="00770AE2" w:rsidP="00D92152">
      <w:pPr>
        <w:rPr>
          <w:rFonts w:asciiTheme="minorHAnsi" w:hAnsiTheme="minorHAnsi" w:cstheme="minorHAnsi"/>
        </w:rPr>
      </w:pPr>
      <w:r w:rsidRPr="002C45A6">
        <w:rPr>
          <w:rFonts w:asciiTheme="minorHAnsi" w:hAnsiTheme="minorHAnsi" w:cstheme="minorHAnsi"/>
        </w:rPr>
        <w:t>Attachment 2 – Dosing calculation using Adjusted body weight (AdjBW)</w:t>
      </w:r>
    </w:p>
    <w:p w14:paraId="2C25AC23" w14:textId="77777777" w:rsidR="00D92152" w:rsidRDefault="00D92152" w:rsidP="00D92152">
      <w:pPr>
        <w:rPr>
          <w:rFonts w:asciiTheme="minorHAnsi" w:hAnsiTheme="minorHAnsi" w:cstheme="minorHAnsi"/>
        </w:rPr>
      </w:pPr>
      <w:r>
        <w:rPr>
          <w:rFonts w:asciiTheme="minorHAnsi" w:hAnsiTheme="minorHAnsi" w:cstheme="minorHAnsi"/>
        </w:rPr>
        <w:t>Attachment 3 – Dosing Calculation using Lean body weight (LBW)</w:t>
      </w:r>
    </w:p>
    <w:p w14:paraId="147548B4" w14:textId="5E1A25B6" w:rsidR="00D21EB3" w:rsidRDefault="00684A68" w:rsidP="00D92152">
      <w:pPr>
        <w:rPr>
          <w:rStyle w:val="Hyperlink"/>
        </w:rPr>
      </w:pPr>
      <w:hyperlink w:anchor="_top" w:history="1">
        <w:r w:rsidRPr="00481A6C">
          <w:rPr>
            <w:rStyle w:val="Hyperlink"/>
          </w:rPr>
          <w:t>Back to Contents</w:t>
        </w:r>
      </w:hyperlink>
    </w:p>
    <w:p w14:paraId="0C0322A6" w14:textId="77777777" w:rsidR="00D21EB3" w:rsidRPr="009A5010" w:rsidRDefault="00D21EB3" w:rsidP="00D21EB3">
      <w:pPr>
        <w:pStyle w:val="Heading5"/>
      </w:pPr>
      <w:r>
        <w:t>For Policy Team to complete:</w:t>
      </w:r>
    </w:p>
    <w:tbl>
      <w:tblPr>
        <w:tblStyle w:val="CHSTable"/>
        <w:tblW w:w="0" w:type="auto"/>
        <w:tblLook w:val="0420" w:firstRow="1" w:lastRow="0" w:firstColumn="0" w:lastColumn="0" w:noHBand="0" w:noVBand="1"/>
      </w:tblPr>
      <w:tblGrid>
        <w:gridCol w:w="2263"/>
        <w:gridCol w:w="2552"/>
        <w:gridCol w:w="2693"/>
        <w:gridCol w:w="2403"/>
      </w:tblGrid>
      <w:tr w:rsidR="00D21EB3" w14:paraId="0CA62832" w14:textId="77777777" w:rsidTr="00055FF1">
        <w:trPr>
          <w:cnfStyle w:val="100000000000" w:firstRow="1" w:lastRow="0" w:firstColumn="0" w:lastColumn="0" w:oddVBand="0" w:evenVBand="0" w:oddHBand="0" w:evenHBand="0" w:firstRowFirstColumn="0" w:firstRowLastColumn="0" w:lastRowFirstColumn="0" w:lastRowLastColumn="0"/>
        </w:trPr>
        <w:tc>
          <w:tcPr>
            <w:tcW w:w="2263" w:type="dxa"/>
          </w:tcPr>
          <w:p w14:paraId="6F54E862" w14:textId="77777777" w:rsidR="00D21EB3" w:rsidRDefault="00D21EB3" w:rsidP="008C3B02">
            <w:pPr>
              <w:pStyle w:val="Tableheader"/>
            </w:pPr>
            <w:r>
              <w:lastRenderedPageBreak/>
              <w:t>Date amended</w:t>
            </w:r>
          </w:p>
        </w:tc>
        <w:tc>
          <w:tcPr>
            <w:tcW w:w="2552" w:type="dxa"/>
          </w:tcPr>
          <w:p w14:paraId="2763ECA4" w14:textId="77777777" w:rsidR="00D21EB3" w:rsidRDefault="00D21EB3" w:rsidP="008C3B02">
            <w:pPr>
              <w:pStyle w:val="Tableheader"/>
            </w:pPr>
            <w:r>
              <w:t>Section amended</w:t>
            </w:r>
          </w:p>
        </w:tc>
        <w:tc>
          <w:tcPr>
            <w:tcW w:w="2693" w:type="dxa"/>
          </w:tcPr>
          <w:p w14:paraId="3F7A1EED" w14:textId="77777777" w:rsidR="00D21EB3" w:rsidRDefault="00D21EB3" w:rsidP="008C3B02">
            <w:pPr>
              <w:pStyle w:val="Tableheader"/>
            </w:pPr>
            <w:r>
              <w:t>Divisional approval</w:t>
            </w:r>
          </w:p>
        </w:tc>
        <w:tc>
          <w:tcPr>
            <w:tcW w:w="2403" w:type="dxa"/>
          </w:tcPr>
          <w:p w14:paraId="4B0151A6" w14:textId="77777777" w:rsidR="00D21EB3" w:rsidRDefault="00D21EB3" w:rsidP="008C3B02">
            <w:pPr>
              <w:pStyle w:val="Tableheader"/>
            </w:pPr>
            <w:r>
              <w:t>Final approval</w:t>
            </w:r>
          </w:p>
        </w:tc>
      </w:tr>
      <w:tr w:rsidR="00D21EB3" w14:paraId="0DAB06F4" w14:textId="77777777" w:rsidTr="00055FF1">
        <w:tc>
          <w:tcPr>
            <w:tcW w:w="2263" w:type="dxa"/>
          </w:tcPr>
          <w:p w14:paraId="5D60C64D" w14:textId="5A025E3B" w:rsidR="00D21EB3" w:rsidRDefault="00055FF1" w:rsidP="008C3B02">
            <w:pPr>
              <w:pStyle w:val="Tablebody"/>
              <w:rPr>
                <w:lang w:eastAsia="en-US"/>
              </w:rPr>
            </w:pPr>
            <w:r>
              <w:rPr>
                <w:lang w:eastAsia="en-US"/>
              </w:rPr>
              <w:t>30/10/2024</w:t>
            </w:r>
          </w:p>
        </w:tc>
        <w:tc>
          <w:tcPr>
            <w:tcW w:w="2552" w:type="dxa"/>
          </w:tcPr>
          <w:p w14:paraId="64A46464" w14:textId="31C11BAA" w:rsidR="00D21EB3" w:rsidRDefault="00055FF1" w:rsidP="008C3B02">
            <w:pPr>
              <w:pStyle w:val="Tablebody"/>
              <w:rPr>
                <w:lang w:eastAsia="en-US"/>
              </w:rPr>
            </w:pPr>
            <w:r>
              <w:rPr>
                <w:lang w:eastAsia="en-US"/>
              </w:rPr>
              <w:t>New Document Added</w:t>
            </w:r>
          </w:p>
        </w:tc>
        <w:tc>
          <w:tcPr>
            <w:tcW w:w="2693" w:type="dxa"/>
          </w:tcPr>
          <w:p w14:paraId="11AC4A2A" w14:textId="040E55C2" w:rsidR="00D21EB3" w:rsidRDefault="00055FF1" w:rsidP="008C3B02">
            <w:pPr>
              <w:pStyle w:val="Tablebody"/>
              <w:rPr>
                <w:lang w:eastAsia="en-US"/>
              </w:rPr>
            </w:pPr>
            <w:r>
              <w:rPr>
                <w:lang w:eastAsia="en-US"/>
              </w:rPr>
              <w:t>Andrew Slattery, ED, Medicine</w:t>
            </w:r>
          </w:p>
        </w:tc>
        <w:tc>
          <w:tcPr>
            <w:tcW w:w="2403" w:type="dxa"/>
          </w:tcPr>
          <w:p w14:paraId="19A5EE13" w14:textId="248565DD" w:rsidR="00D21EB3" w:rsidRDefault="00055FF1" w:rsidP="008C3B02">
            <w:pPr>
              <w:pStyle w:val="Tablebody"/>
              <w:rPr>
                <w:lang w:eastAsia="en-US"/>
              </w:rPr>
            </w:pPr>
            <w:r>
              <w:rPr>
                <w:lang w:eastAsia="en-US"/>
              </w:rPr>
              <w:t>Policy Document Review Panel</w:t>
            </w:r>
          </w:p>
        </w:tc>
      </w:tr>
      <w:tr w:rsidR="00D21EB3" w14:paraId="76452A07" w14:textId="77777777" w:rsidTr="00055FF1">
        <w:tc>
          <w:tcPr>
            <w:tcW w:w="2263" w:type="dxa"/>
          </w:tcPr>
          <w:p w14:paraId="75366D05" w14:textId="2612E4A4" w:rsidR="00D21EB3" w:rsidRDefault="00D92152" w:rsidP="00DE2CED">
            <w:pPr>
              <w:pStyle w:val="Tablebody"/>
              <w:rPr>
                <w:lang w:eastAsia="en-US"/>
              </w:rPr>
            </w:pPr>
            <w:r>
              <w:rPr>
                <w:lang w:eastAsia="en-US"/>
              </w:rPr>
              <w:t>5 September 2025</w:t>
            </w:r>
          </w:p>
        </w:tc>
        <w:tc>
          <w:tcPr>
            <w:tcW w:w="2552" w:type="dxa"/>
          </w:tcPr>
          <w:p w14:paraId="4401435D" w14:textId="402A581D" w:rsidR="00D21EB3" w:rsidRDefault="00D92152" w:rsidP="00DE2CED">
            <w:pPr>
              <w:pStyle w:val="Tablebody"/>
              <w:rPr>
                <w:lang w:eastAsia="en-US"/>
              </w:rPr>
            </w:pPr>
            <w:r>
              <w:rPr>
                <w:lang w:eastAsia="en-US"/>
              </w:rPr>
              <w:t xml:space="preserve">Amendments from </w:t>
            </w:r>
            <w:r w:rsidRPr="00D92152">
              <w:rPr>
                <w:lang w:eastAsia="en-US"/>
              </w:rPr>
              <w:t>the April 2025 updates to the Australian Therapeutic Guidelines, the Antimicrobial Stewardship teams across ACT</w:t>
            </w:r>
            <w:r>
              <w:rPr>
                <w:lang w:eastAsia="en-US"/>
              </w:rPr>
              <w:t>.</w:t>
            </w:r>
          </w:p>
        </w:tc>
        <w:tc>
          <w:tcPr>
            <w:tcW w:w="2693" w:type="dxa"/>
          </w:tcPr>
          <w:p w14:paraId="7F822C02" w14:textId="3566879D" w:rsidR="00D21EB3" w:rsidRDefault="00DE2CED" w:rsidP="00DE2CED">
            <w:pPr>
              <w:pStyle w:val="Tablebody"/>
              <w:rPr>
                <w:lang w:eastAsia="en-US"/>
              </w:rPr>
            </w:pPr>
            <w:r w:rsidRPr="00DE2CED">
              <w:rPr>
                <w:lang w:eastAsia="en-US"/>
              </w:rPr>
              <w:t>Laura Triggs</w:t>
            </w:r>
            <w:r>
              <w:rPr>
                <w:lang w:eastAsia="en-US"/>
              </w:rPr>
              <w:t xml:space="preserve">, Medical Services </w:t>
            </w:r>
            <w:r w:rsidRPr="00DE2CED">
              <w:rPr>
                <w:lang w:eastAsia="en-US"/>
              </w:rPr>
              <w:t>Infectious Diseases and Antimicrobial Stewardship Advanced Training Resident</w:t>
            </w:r>
          </w:p>
        </w:tc>
        <w:tc>
          <w:tcPr>
            <w:tcW w:w="2403" w:type="dxa"/>
          </w:tcPr>
          <w:p w14:paraId="3FDF5824" w14:textId="4346C93B" w:rsidR="00D21EB3" w:rsidRDefault="00DE2CED" w:rsidP="00DE2CED">
            <w:pPr>
              <w:pStyle w:val="Tablebody"/>
              <w:rPr>
                <w:lang w:eastAsia="en-US"/>
              </w:rPr>
            </w:pPr>
            <w:r>
              <w:rPr>
                <w:lang w:eastAsia="en-US"/>
              </w:rPr>
              <w:t>CHS Policy and Consumer Handouts Team</w:t>
            </w:r>
          </w:p>
        </w:tc>
      </w:tr>
    </w:tbl>
    <w:p w14:paraId="566A3D49" w14:textId="77777777" w:rsidR="00D21EB3" w:rsidRDefault="00D21EB3" w:rsidP="00D21EB3">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D21EB3" w14:paraId="4B4AD1DE" w14:textId="77777777" w:rsidTr="008C3B02">
        <w:trPr>
          <w:cnfStyle w:val="100000000000" w:firstRow="1" w:lastRow="0" w:firstColumn="0" w:lastColumn="0" w:oddVBand="0" w:evenVBand="0" w:oddHBand="0" w:evenHBand="0" w:firstRowFirstColumn="0" w:firstRowLastColumn="0" w:lastRowFirstColumn="0" w:lastRowLastColumn="0"/>
        </w:trPr>
        <w:tc>
          <w:tcPr>
            <w:tcW w:w="2548" w:type="dxa"/>
          </w:tcPr>
          <w:p w14:paraId="44BE0557" w14:textId="77777777" w:rsidR="00D21EB3" w:rsidRDefault="00D21EB3" w:rsidP="008C3B02">
            <w:pPr>
              <w:pStyle w:val="Tableheader"/>
            </w:pPr>
            <w:r>
              <w:t>Document number</w:t>
            </w:r>
          </w:p>
        </w:tc>
        <w:tc>
          <w:tcPr>
            <w:tcW w:w="7653" w:type="dxa"/>
          </w:tcPr>
          <w:p w14:paraId="48DFC30E" w14:textId="77777777" w:rsidR="00D21EB3" w:rsidRDefault="00D21EB3" w:rsidP="008C3B02">
            <w:pPr>
              <w:pStyle w:val="Tableheader"/>
            </w:pPr>
            <w:r>
              <w:t>Document name</w:t>
            </w:r>
          </w:p>
        </w:tc>
      </w:tr>
      <w:tr w:rsidR="00D21EB3" w14:paraId="24548AB9" w14:textId="77777777" w:rsidTr="008C3B02">
        <w:tc>
          <w:tcPr>
            <w:tcW w:w="2548" w:type="dxa"/>
          </w:tcPr>
          <w:p w14:paraId="10620D10" w14:textId="0905BCF4" w:rsidR="00D21EB3" w:rsidRDefault="00055FF1" w:rsidP="008C3B02">
            <w:pPr>
              <w:pStyle w:val="Tablebody"/>
              <w:rPr>
                <w:lang w:eastAsia="en-US"/>
              </w:rPr>
            </w:pPr>
            <w:r w:rsidRPr="00055FF1">
              <w:rPr>
                <w:lang w:eastAsia="en-US"/>
              </w:rPr>
              <w:t>CHHS18/080</w:t>
            </w:r>
          </w:p>
        </w:tc>
        <w:tc>
          <w:tcPr>
            <w:tcW w:w="7653" w:type="dxa"/>
          </w:tcPr>
          <w:p w14:paraId="1C9BE95E" w14:textId="78F5CEA6" w:rsidR="00D21EB3" w:rsidRDefault="00055FF1" w:rsidP="008C3B02">
            <w:pPr>
              <w:pStyle w:val="Tablebody"/>
              <w:rPr>
                <w:lang w:eastAsia="en-US"/>
              </w:rPr>
            </w:pPr>
            <w:r w:rsidRPr="00055FF1">
              <w:rPr>
                <w:lang w:eastAsia="en-US"/>
              </w:rPr>
              <w:t xml:space="preserve">Intravenous Dosing and Monitoring of Aminoglycosides (gentamicin, tobramycin and amikacin) in </w:t>
            </w:r>
            <w:proofErr w:type="gramStart"/>
            <w:r w:rsidRPr="00055FF1">
              <w:rPr>
                <w:lang w:eastAsia="en-US"/>
              </w:rPr>
              <w:t>Adults</w:t>
            </w:r>
            <w:proofErr w:type="gramEnd"/>
          </w:p>
        </w:tc>
      </w:tr>
      <w:tr w:rsidR="00D21EB3" w14:paraId="04E9E0C4" w14:textId="77777777" w:rsidTr="008C3B02">
        <w:tc>
          <w:tcPr>
            <w:tcW w:w="2548" w:type="dxa"/>
          </w:tcPr>
          <w:p w14:paraId="5A5AB14C" w14:textId="77777777" w:rsidR="00D21EB3" w:rsidRDefault="00D21EB3" w:rsidP="008C3B02">
            <w:pPr>
              <w:pStyle w:val="Tablebody"/>
              <w:rPr>
                <w:lang w:eastAsia="en-US"/>
              </w:rPr>
            </w:pPr>
          </w:p>
        </w:tc>
        <w:tc>
          <w:tcPr>
            <w:tcW w:w="7653" w:type="dxa"/>
          </w:tcPr>
          <w:p w14:paraId="6450A57F" w14:textId="77777777" w:rsidR="00D21EB3" w:rsidRDefault="00D21EB3" w:rsidP="008C3B02">
            <w:pPr>
              <w:pStyle w:val="Tablebody"/>
              <w:rPr>
                <w:lang w:eastAsia="en-US"/>
              </w:rPr>
            </w:pPr>
          </w:p>
        </w:tc>
      </w:tr>
    </w:tbl>
    <w:p w14:paraId="1B607AB3" w14:textId="77777777" w:rsidR="00D21EB3" w:rsidRPr="0078367D" w:rsidRDefault="00D21EB3" w:rsidP="00D21EB3">
      <w:pPr>
        <w:pStyle w:val="Heading5"/>
      </w:pPr>
      <w:r w:rsidRPr="0078367D">
        <w:t>Disclaimer</w:t>
      </w:r>
    </w:p>
    <w:p w14:paraId="5F4FE10B" w14:textId="77777777" w:rsidR="00D21EB3" w:rsidRDefault="00D21EB3" w:rsidP="00D21EB3">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6794FCB" w14:textId="77777777" w:rsidR="00D21EB3" w:rsidRDefault="00D21EB3" w:rsidP="00D21EB3">
      <w:pPr>
        <w:pStyle w:val="Bullet"/>
        <w:numPr>
          <w:ilvl w:val="0"/>
          <w:numId w:val="0"/>
        </w:numPr>
        <w:rPr>
          <w:rStyle w:val="Hyperlink"/>
        </w:rPr>
      </w:pPr>
      <w:hyperlink w:anchor="_top" w:history="1">
        <w:r w:rsidRPr="00481A6C">
          <w:rPr>
            <w:rStyle w:val="Hyperlink"/>
          </w:rPr>
          <w:t>Back to Contents</w:t>
        </w:r>
      </w:hyperlink>
    </w:p>
    <w:p w14:paraId="46F6EEB2" w14:textId="77777777" w:rsidR="00D21EB3" w:rsidRDefault="00D21EB3" w:rsidP="00D21EB3">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D21EB3" w14:paraId="53E80161" w14:textId="77777777" w:rsidTr="008C3B02">
        <w:tc>
          <w:tcPr>
            <w:tcW w:w="5529" w:type="dxa"/>
            <w:shd w:val="clear" w:color="auto" w:fill="F4F3EE"/>
            <w:tcMar>
              <w:top w:w="142" w:type="dxa"/>
              <w:left w:w="170" w:type="dxa"/>
              <w:bottom w:w="142" w:type="dxa"/>
              <w:right w:w="170" w:type="dxa"/>
            </w:tcMar>
          </w:tcPr>
          <w:bookmarkStart w:id="61" w:name="_Hlk160027189" w:displacedByCustomXml="next"/>
          <w:sdt>
            <w:sdtPr>
              <w:rPr>
                <w:color w:val="auto"/>
                <w:u w:val="single"/>
              </w:rPr>
              <w:id w:val="643171884"/>
              <w:placeholder>
                <w:docPart w:val="F8482D87730A4260BFB9F28210F89EAC"/>
              </w:placeholder>
            </w:sdtPr>
            <w:sdtEndPr>
              <w:rPr>
                <w:color w:val="000000" w:themeColor="text1"/>
                <w:u w:val="none"/>
              </w:rPr>
            </w:sdtEndPr>
            <w:sdtContent>
              <w:p w14:paraId="0A2FF53D" w14:textId="77777777" w:rsidR="00D21EB3" w:rsidRPr="00350211" w:rsidRDefault="00D21EB3" w:rsidP="008C3B02">
                <w:pPr>
                  <w:pStyle w:val="Bottomblocktext"/>
                  <w:rPr>
                    <w:b/>
                    <w:bCs w:val="0"/>
                    <w:sz w:val="20"/>
                    <w:szCs w:val="20"/>
                  </w:rPr>
                </w:pPr>
                <w:r>
                  <w:rPr>
                    <w:noProof/>
                    <w:sz w:val="20"/>
                    <w:szCs w:val="20"/>
                  </w:rPr>
                  <w:drawing>
                    <wp:inline distT="0" distB="0" distL="0" distR="0" wp14:anchorId="6C4D1FF0" wp14:editId="65CF2542">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7"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CDFDF14" w14:textId="77777777" w:rsidR="00D21EB3" w:rsidRDefault="00D21EB3" w:rsidP="008C3B0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637DEBC3" w14:textId="77777777" w:rsidR="00D21EB3" w:rsidRPr="00350211" w:rsidRDefault="00D21EB3" w:rsidP="008C3B02">
                <w:pPr>
                  <w:pStyle w:val="Bottomblocktext"/>
                </w:pPr>
                <w:r w:rsidRPr="00AF532B">
                  <w:t>© Australian Capital Territory, C</w:t>
                </w:r>
                <w:r w:rsidRPr="003F6C0E">
                  <w:t>anberra 20</w:t>
                </w:r>
                <w:sdt>
                  <w:sdtPr>
                    <w:alias w:val="Year selector"/>
                    <w:tag w:val="Year selector"/>
                    <w:id w:val="1385675321"/>
                    <w:placeholder>
                      <w:docPart w:val="84476E9E3F694B4B9E1E0852A5F86C68"/>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DBEE154BB82B4F3F9D4667BD7DC0B247"/>
            </w:placeholder>
            <w:showingPlcHdr/>
          </w:sdtPr>
          <w:sdtEndPr/>
          <w:sdtContent>
            <w:tc>
              <w:tcPr>
                <w:tcW w:w="4665" w:type="dxa"/>
                <w:shd w:val="clear" w:color="auto" w:fill="F4F3EE"/>
                <w:tcMar>
                  <w:top w:w="142" w:type="dxa"/>
                  <w:left w:w="170" w:type="dxa"/>
                  <w:bottom w:w="142" w:type="dxa"/>
                  <w:right w:w="170" w:type="dxa"/>
                </w:tcMar>
              </w:tcPr>
              <w:p w14:paraId="70CA8E73" w14:textId="77777777" w:rsidR="00D21EB3" w:rsidRPr="00F26C97" w:rsidRDefault="00D21EB3" w:rsidP="008C3B02">
                <w:pPr>
                  <w:pStyle w:val="Bottomblocktext"/>
                  <w:rPr>
                    <w:b/>
                    <w:bCs w:val="0"/>
                    <w:sz w:val="20"/>
                    <w:szCs w:val="20"/>
                  </w:rPr>
                </w:pPr>
                <w:r>
                  <w:rPr>
                    <w:b/>
                    <w:bCs w:val="0"/>
                    <w:noProof/>
                    <w:sz w:val="20"/>
                    <w:szCs w:val="20"/>
                  </w:rPr>
                  <w:drawing>
                    <wp:inline distT="0" distB="0" distL="0" distR="0" wp14:anchorId="56D5448B" wp14:editId="4EB37418">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8"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5799043" wp14:editId="33A0487C">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25C7C039" w14:textId="77777777" w:rsidR="00D21EB3" w:rsidRPr="00F26C97" w:rsidRDefault="00D21EB3" w:rsidP="008C3B02">
                <w:pPr>
                  <w:pStyle w:val="Bottomblocktext"/>
                  <w:rPr>
                    <w:b/>
                    <w:bCs w:val="0"/>
                    <w:sz w:val="20"/>
                    <w:szCs w:val="20"/>
                  </w:rPr>
                </w:pPr>
                <w:r>
                  <w:rPr>
                    <w:b/>
                    <w:bCs w:val="0"/>
                    <w:noProof/>
                    <w:sz w:val="20"/>
                    <w:szCs w:val="20"/>
                  </w:rPr>
                  <w:drawing>
                    <wp:inline distT="0" distB="0" distL="0" distR="0" wp14:anchorId="27099756" wp14:editId="35FF935D">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0"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8C51773" wp14:editId="2C216740">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9"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7B261AA7" w14:textId="77777777" w:rsidR="00D21EB3" w:rsidRDefault="00D21EB3" w:rsidP="008C3B02">
                <w:pPr>
                  <w:pStyle w:val="Bottomblocktext"/>
                  <w:rPr>
                    <w:sz w:val="20"/>
                    <w:szCs w:val="20"/>
                  </w:rPr>
                </w:pPr>
                <w:hyperlink r:id="rId21" w:history="1">
                  <w:r w:rsidRPr="00350211">
                    <w:rPr>
                      <w:rStyle w:val="Hyperlink"/>
                      <w:sz w:val="20"/>
                      <w:szCs w:val="20"/>
                    </w:rPr>
                    <w:t>canberrahealthservices.act.gov.au/accessibility</w:t>
                  </w:r>
                </w:hyperlink>
              </w:p>
              <w:p w14:paraId="7FD97199" w14:textId="77777777" w:rsidR="00D21EB3" w:rsidRDefault="00D21EB3" w:rsidP="008C3B02">
                <w:pPr>
                  <w:pStyle w:val="Bottomblocktext"/>
                </w:pPr>
                <w:r>
                  <w:rPr>
                    <w:b/>
                    <w:bCs w:val="0"/>
                    <w:noProof/>
                  </w:rPr>
                  <w:drawing>
                    <wp:inline distT="0" distB="0" distL="0" distR="0" wp14:anchorId="1882DF3D" wp14:editId="6FBAEA98">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2"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61"/>
    </w:tbl>
    <w:p w14:paraId="756661C6" w14:textId="77777777" w:rsidR="00D21EB3" w:rsidRDefault="00D21EB3" w:rsidP="00684A68">
      <w:pPr>
        <w:pStyle w:val="Bullet"/>
        <w:numPr>
          <w:ilvl w:val="0"/>
          <w:numId w:val="0"/>
        </w:numPr>
        <w:rPr>
          <w:rStyle w:val="Hyperlink"/>
        </w:rPr>
      </w:pPr>
    </w:p>
    <w:p w14:paraId="13A193E8" w14:textId="77777777" w:rsidR="00D21EB3" w:rsidRDefault="00D21EB3">
      <w:pPr>
        <w:spacing w:before="0" w:after="0" w:line="240" w:lineRule="auto"/>
        <w:rPr>
          <w:rStyle w:val="Hyperlink"/>
          <w:rFonts w:eastAsia="Times New Roman"/>
        </w:rPr>
      </w:pPr>
      <w:r>
        <w:rPr>
          <w:rStyle w:val="Hyperlink"/>
        </w:rPr>
        <w:br w:type="page"/>
      </w:r>
    </w:p>
    <w:p w14:paraId="3FD167CF" w14:textId="77777777" w:rsidR="00770AE2" w:rsidRPr="002C45A6" w:rsidRDefault="00770AE2" w:rsidP="00770AE2">
      <w:pPr>
        <w:pStyle w:val="Heading4"/>
      </w:pPr>
      <w:bookmarkStart w:id="62" w:name="_Toc181188565"/>
      <w:r w:rsidRPr="002C45A6">
        <w:lastRenderedPageBreak/>
        <w:t>Attachment 1 – Dosing calculation using Ideal Body Weight (IBW)</w:t>
      </w:r>
      <w:bookmarkEnd w:id="62"/>
    </w:p>
    <w:p w14:paraId="5F8856B3" w14:textId="77777777" w:rsidR="00770AE2" w:rsidRPr="002C45A6" w:rsidRDefault="00770AE2" w:rsidP="00770AE2">
      <w:pPr>
        <w:pStyle w:val="Bullet"/>
      </w:pPr>
      <w:r w:rsidRPr="002C45A6">
        <w:t>Males:  50 kg + 0.9 kg/cm for each cm over 152 cm</w:t>
      </w:r>
    </w:p>
    <w:p w14:paraId="0C72FD74" w14:textId="77777777" w:rsidR="00770AE2" w:rsidRPr="002C45A6" w:rsidRDefault="00770AE2" w:rsidP="00770AE2">
      <w:pPr>
        <w:pStyle w:val="Bullet"/>
      </w:pPr>
      <w:r w:rsidRPr="002C45A6">
        <w:t>Females:  45.5 kg + 0.9 kg/cm for each cm over 152 cm</w:t>
      </w:r>
    </w:p>
    <w:p w14:paraId="3271F840" w14:textId="77777777" w:rsidR="00770AE2" w:rsidRPr="002C45A6" w:rsidRDefault="00770AE2" w:rsidP="00770AE2">
      <w:pPr>
        <w:pStyle w:val="Bullet"/>
        <w:rPr>
          <w:b/>
        </w:rPr>
      </w:pPr>
      <w:r w:rsidRPr="002C45A6">
        <w:t>If the patient is obese, calculate 40% of the difference between the IBW and the total body weight and add this to the IBW to give an adjusted dosing weight.</w:t>
      </w:r>
    </w:p>
    <w:p w14:paraId="594D7010" w14:textId="77777777" w:rsidR="00770AE2" w:rsidRPr="002C45A6" w:rsidRDefault="00770AE2" w:rsidP="00770AE2">
      <w:pPr>
        <w:jc w:val="both"/>
        <w:rPr>
          <w:rFonts w:asciiTheme="minorHAnsi" w:hAnsiTheme="minorHAnsi" w:cstheme="minorHAnsi"/>
        </w:rPr>
      </w:pPr>
    </w:p>
    <w:tbl>
      <w:tblPr>
        <w:tblStyle w:val="TableGrid"/>
        <w:tblW w:w="0" w:type="auto"/>
        <w:jc w:val="center"/>
        <w:tblLook w:val="04A0" w:firstRow="1" w:lastRow="0" w:firstColumn="1" w:lastColumn="0" w:noHBand="0" w:noVBand="1"/>
      </w:tblPr>
      <w:tblGrid>
        <w:gridCol w:w="2122"/>
        <w:gridCol w:w="2268"/>
        <w:gridCol w:w="2268"/>
      </w:tblGrid>
      <w:tr w:rsidR="00B75FF5" w:rsidRPr="002C45A6" w14:paraId="6C2F3D53" w14:textId="77777777" w:rsidTr="00D25681">
        <w:trPr>
          <w:trHeight w:hRule="exact" w:val="454"/>
          <w:jc w:val="center"/>
        </w:trPr>
        <w:tc>
          <w:tcPr>
            <w:tcW w:w="2122" w:type="dxa"/>
            <w:tcBorders>
              <w:top w:val="single" w:sz="4" w:space="0" w:color="auto"/>
              <w:left w:val="single" w:sz="4" w:space="0" w:color="auto"/>
              <w:bottom w:val="nil"/>
              <w:right w:val="single" w:sz="4" w:space="0" w:color="auto"/>
            </w:tcBorders>
            <w:vAlign w:val="center"/>
          </w:tcPr>
          <w:p w14:paraId="0AD0F43A" w14:textId="77777777" w:rsidR="00B75FF5" w:rsidRPr="002C45A6" w:rsidRDefault="00B75FF5" w:rsidP="006E3419">
            <w:pPr>
              <w:jc w:val="center"/>
              <w:rPr>
                <w:rFonts w:asciiTheme="minorHAnsi" w:hAnsiTheme="minorHAnsi" w:cstheme="minorHAnsi"/>
              </w:rPr>
            </w:pPr>
            <w:r w:rsidRPr="002C45A6">
              <w:rPr>
                <w:rFonts w:asciiTheme="minorHAnsi" w:hAnsiTheme="minorHAnsi" w:cstheme="minorHAnsi"/>
              </w:rPr>
              <w:t>Height (cm)</w:t>
            </w:r>
          </w:p>
        </w:tc>
        <w:tc>
          <w:tcPr>
            <w:tcW w:w="2268" w:type="dxa"/>
            <w:tcBorders>
              <w:left w:val="single" w:sz="4" w:space="0" w:color="auto"/>
            </w:tcBorders>
            <w:vAlign w:val="center"/>
          </w:tcPr>
          <w:p w14:paraId="6F30B607" w14:textId="77777777" w:rsidR="00B75FF5" w:rsidRPr="002C45A6" w:rsidRDefault="00B75FF5" w:rsidP="006E3419">
            <w:pPr>
              <w:jc w:val="center"/>
              <w:rPr>
                <w:rFonts w:asciiTheme="minorHAnsi" w:hAnsiTheme="minorHAnsi" w:cstheme="minorHAnsi"/>
              </w:rPr>
            </w:pPr>
            <w:r w:rsidRPr="002C45A6">
              <w:rPr>
                <w:rFonts w:asciiTheme="minorHAnsi" w:hAnsiTheme="minorHAnsi" w:cstheme="minorHAnsi"/>
              </w:rPr>
              <w:t>IBW (kg)</w:t>
            </w:r>
          </w:p>
        </w:tc>
        <w:tc>
          <w:tcPr>
            <w:tcW w:w="2268" w:type="dxa"/>
            <w:tcBorders>
              <w:left w:val="single" w:sz="4" w:space="0" w:color="auto"/>
            </w:tcBorders>
            <w:vAlign w:val="center"/>
          </w:tcPr>
          <w:p w14:paraId="0D360374" w14:textId="7EED2634" w:rsidR="00B75FF5" w:rsidRPr="002C45A6" w:rsidRDefault="00B75FF5" w:rsidP="006E3419">
            <w:pPr>
              <w:jc w:val="center"/>
              <w:rPr>
                <w:rFonts w:asciiTheme="minorHAnsi" w:hAnsiTheme="minorHAnsi" w:cstheme="minorHAnsi"/>
              </w:rPr>
            </w:pPr>
            <w:r w:rsidRPr="002C45A6">
              <w:rPr>
                <w:rFonts w:asciiTheme="minorHAnsi" w:hAnsiTheme="minorHAnsi" w:cstheme="minorHAnsi"/>
              </w:rPr>
              <w:t>IBW (kg)</w:t>
            </w:r>
          </w:p>
        </w:tc>
      </w:tr>
      <w:tr w:rsidR="00770AE2" w:rsidRPr="002C45A6" w14:paraId="54F032BD" w14:textId="77777777" w:rsidTr="00B75FF5">
        <w:trPr>
          <w:trHeight w:hRule="exact" w:val="454"/>
          <w:jc w:val="center"/>
        </w:trPr>
        <w:tc>
          <w:tcPr>
            <w:tcW w:w="2122" w:type="dxa"/>
            <w:tcBorders>
              <w:top w:val="nil"/>
              <w:left w:val="single" w:sz="4" w:space="0" w:color="auto"/>
              <w:bottom w:val="single" w:sz="4" w:space="0" w:color="auto"/>
              <w:right w:val="single" w:sz="4" w:space="0" w:color="auto"/>
            </w:tcBorders>
            <w:vAlign w:val="center"/>
          </w:tcPr>
          <w:p w14:paraId="6B507E3A" w14:textId="77777777" w:rsidR="00770AE2" w:rsidRPr="002C45A6" w:rsidRDefault="00770AE2" w:rsidP="006E3419">
            <w:pPr>
              <w:jc w:val="center"/>
              <w:rPr>
                <w:rFonts w:asciiTheme="minorHAnsi" w:hAnsiTheme="minorHAnsi" w:cstheme="minorHAnsi"/>
              </w:rPr>
            </w:pPr>
          </w:p>
        </w:tc>
        <w:tc>
          <w:tcPr>
            <w:tcW w:w="2268" w:type="dxa"/>
            <w:tcBorders>
              <w:left w:val="single" w:sz="4" w:space="0" w:color="auto"/>
            </w:tcBorders>
            <w:vAlign w:val="center"/>
          </w:tcPr>
          <w:p w14:paraId="0A0778A0" w14:textId="77777777" w:rsidR="00770AE2" w:rsidRPr="002C45A6" w:rsidRDefault="00770AE2" w:rsidP="006E3419">
            <w:pPr>
              <w:jc w:val="center"/>
              <w:rPr>
                <w:rFonts w:asciiTheme="minorHAnsi" w:hAnsiTheme="minorHAnsi" w:cstheme="minorHAnsi"/>
              </w:rPr>
            </w:pPr>
            <w:r w:rsidRPr="002C45A6">
              <w:rPr>
                <w:rFonts w:asciiTheme="minorHAnsi" w:hAnsiTheme="minorHAnsi" w:cstheme="minorHAnsi"/>
              </w:rPr>
              <w:t>Male</w:t>
            </w:r>
          </w:p>
        </w:tc>
        <w:tc>
          <w:tcPr>
            <w:tcW w:w="2268" w:type="dxa"/>
            <w:tcBorders>
              <w:bottom w:val="single" w:sz="4" w:space="0" w:color="auto"/>
            </w:tcBorders>
            <w:vAlign w:val="center"/>
          </w:tcPr>
          <w:p w14:paraId="5BAB47D9" w14:textId="77777777" w:rsidR="00770AE2" w:rsidRPr="002C45A6" w:rsidRDefault="00770AE2" w:rsidP="006E3419">
            <w:pPr>
              <w:jc w:val="center"/>
              <w:rPr>
                <w:rFonts w:asciiTheme="minorHAnsi" w:hAnsiTheme="minorHAnsi" w:cstheme="minorHAnsi"/>
              </w:rPr>
            </w:pPr>
            <w:r w:rsidRPr="002C45A6">
              <w:rPr>
                <w:rFonts w:asciiTheme="minorHAnsi" w:hAnsiTheme="minorHAnsi" w:cstheme="minorHAnsi"/>
              </w:rPr>
              <w:t>Female</w:t>
            </w:r>
          </w:p>
        </w:tc>
      </w:tr>
      <w:tr w:rsidR="00770AE2" w:rsidRPr="002C45A6" w14:paraId="66B053C4" w14:textId="77777777" w:rsidTr="00B75FF5">
        <w:trPr>
          <w:trHeight w:hRule="exact" w:val="454"/>
          <w:jc w:val="center"/>
        </w:trPr>
        <w:tc>
          <w:tcPr>
            <w:tcW w:w="2122" w:type="dxa"/>
            <w:tcBorders>
              <w:top w:val="single" w:sz="4" w:space="0" w:color="auto"/>
            </w:tcBorders>
            <w:noWrap/>
            <w:vAlign w:val="center"/>
            <w:hideMark/>
          </w:tcPr>
          <w:p w14:paraId="1DD74D83"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150</w:t>
            </w:r>
          </w:p>
        </w:tc>
        <w:tc>
          <w:tcPr>
            <w:tcW w:w="2268" w:type="dxa"/>
            <w:noWrap/>
            <w:vAlign w:val="center"/>
            <w:hideMark/>
          </w:tcPr>
          <w:p w14:paraId="67C54DB0"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50</w:t>
            </w:r>
          </w:p>
        </w:tc>
        <w:tc>
          <w:tcPr>
            <w:tcW w:w="2268" w:type="dxa"/>
            <w:tcBorders>
              <w:top w:val="single" w:sz="4" w:space="0" w:color="auto"/>
              <w:left w:val="nil"/>
              <w:bottom w:val="single" w:sz="4" w:space="0" w:color="auto"/>
              <w:right w:val="single" w:sz="4" w:space="0" w:color="auto"/>
            </w:tcBorders>
            <w:shd w:val="clear" w:color="auto" w:fill="auto"/>
            <w:vAlign w:val="center"/>
          </w:tcPr>
          <w:p w14:paraId="1742547F"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46</w:t>
            </w:r>
          </w:p>
        </w:tc>
      </w:tr>
      <w:tr w:rsidR="00770AE2" w:rsidRPr="002C45A6" w14:paraId="50F2B735" w14:textId="77777777" w:rsidTr="00770AE2">
        <w:trPr>
          <w:trHeight w:hRule="exact" w:val="454"/>
          <w:jc w:val="center"/>
        </w:trPr>
        <w:tc>
          <w:tcPr>
            <w:tcW w:w="2122" w:type="dxa"/>
            <w:noWrap/>
            <w:vAlign w:val="center"/>
            <w:hideMark/>
          </w:tcPr>
          <w:p w14:paraId="158A78EC"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155</w:t>
            </w:r>
          </w:p>
        </w:tc>
        <w:tc>
          <w:tcPr>
            <w:tcW w:w="2268" w:type="dxa"/>
            <w:noWrap/>
            <w:vAlign w:val="center"/>
            <w:hideMark/>
          </w:tcPr>
          <w:p w14:paraId="7C4DACBA"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53</w:t>
            </w:r>
          </w:p>
        </w:tc>
        <w:tc>
          <w:tcPr>
            <w:tcW w:w="2268" w:type="dxa"/>
            <w:tcBorders>
              <w:top w:val="single" w:sz="4" w:space="0" w:color="auto"/>
              <w:left w:val="nil"/>
              <w:bottom w:val="single" w:sz="4" w:space="0" w:color="auto"/>
              <w:right w:val="single" w:sz="4" w:space="0" w:color="auto"/>
            </w:tcBorders>
            <w:shd w:val="clear" w:color="auto" w:fill="auto"/>
            <w:vAlign w:val="center"/>
          </w:tcPr>
          <w:p w14:paraId="4AE86836"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48</w:t>
            </w:r>
          </w:p>
        </w:tc>
      </w:tr>
      <w:tr w:rsidR="00770AE2" w:rsidRPr="002C45A6" w14:paraId="79628D25" w14:textId="77777777" w:rsidTr="00770AE2">
        <w:trPr>
          <w:trHeight w:hRule="exact" w:val="454"/>
          <w:jc w:val="center"/>
        </w:trPr>
        <w:tc>
          <w:tcPr>
            <w:tcW w:w="2122" w:type="dxa"/>
            <w:noWrap/>
            <w:vAlign w:val="center"/>
            <w:hideMark/>
          </w:tcPr>
          <w:p w14:paraId="0A6B530F"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160</w:t>
            </w:r>
          </w:p>
        </w:tc>
        <w:tc>
          <w:tcPr>
            <w:tcW w:w="2268" w:type="dxa"/>
            <w:noWrap/>
            <w:vAlign w:val="center"/>
            <w:hideMark/>
          </w:tcPr>
          <w:p w14:paraId="525E2204"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57</w:t>
            </w:r>
          </w:p>
        </w:tc>
        <w:tc>
          <w:tcPr>
            <w:tcW w:w="2268" w:type="dxa"/>
            <w:tcBorders>
              <w:top w:val="single" w:sz="4" w:space="0" w:color="auto"/>
              <w:left w:val="nil"/>
              <w:bottom w:val="single" w:sz="4" w:space="0" w:color="auto"/>
              <w:right w:val="single" w:sz="4" w:space="0" w:color="auto"/>
            </w:tcBorders>
            <w:shd w:val="clear" w:color="auto" w:fill="auto"/>
            <w:vAlign w:val="center"/>
          </w:tcPr>
          <w:p w14:paraId="004BDCCE"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53</w:t>
            </w:r>
          </w:p>
        </w:tc>
      </w:tr>
      <w:tr w:rsidR="00770AE2" w:rsidRPr="002C45A6" w14:paraId="21C59C3B" w14:textId="77777777" w:rsidTr="00770AE2">
        <w:trPr>
          <w:trHeight w:hRule="exact" w:val="454"/>
          <w:jc w:val="center"/>
        </w:trPr>
        <w:tc>
          <w:tcPr>
            <w:tcW w:w="2122" w:type="dxa"/>
            <w:noWrap/>
            <w:vAlign w:val="center"/>
            <w:hideMark/>
          </w:tcPr>
          <w:p w14:paraId="54CDBB21"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165</w:t>
            </w:r>
          </w:p>
        </w:tc>
        <w:tc>
          <w:tcPr>
            <w:tcW w:w="2268" w:type="dxa"/>
            <w:noWrap/>
            <w:vAlign w:val="center"/>
            <w:hideMark/>
          </w:tcPr>
          <w:p w14:paraId="7390BE6C"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62</w:t>
            </w:r>
          </w:p>
        </w:tc>
        <w:tc>
          <w:tcPr>
            <w:tcW w:w="2268" w:type="dxa"/>
            <w:tcBorders>
              <w:top w:val="single" w:sz="4" w:space="0" w:color="auto"/>
              <w:left w:val="nil"/>
              <w:bottom w:val="single" w:sz="4" w:space="0" w:color="auto"/>
              <w:right w:val="single" w:sz="4" w:space="0" w:color="auto"/>
            </w:tcBorders>
            <w:shd w:val="clear" w:color="auto" w:fill="auto"/>
            <w:vAlign w:val="center"/>
          </w:tcPr>
          <w:p w14:paraId="12E6227C"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57</w:t>
            </w:r>
          </w:p>
        </w:tc>
      </w:tr>
      <w:tr w:rsidR="00770AE2" w:rsidRPr="002C45A6" w14:paraId="2E0B3D1A" w14:textId="77777777" w:rsidTr="00770AE2">
        <w:trPr>
          <w:trHeight w:hRule="exact" w:val="454"/>
          <w:jc w:val="center"/>
        </w:trPr>
        <w:tc>
          <w:tcPr>
            <w:tcW w:w="2122" w:type="dxa"/>
            <w:noWrap/>
            <w:vAlign w:val="center"/>
            <w:hideMark/>
          </w:tcPr>
          <w:p w14:paraId="35074B37"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170</w:t>
            </w:r>
          </w:p>
        </w:tc>
        <w:tc>
          <w:tcPr>
            <w:tcW w:w="2268" w:type="dxa"/>
            <w:noWrap/>
            <w:vAlign w:val="center"/>
            <w:hideMark/>
          </w:tcPr>
          <w:p w14:paraId="73DD5744"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66</w:t>
            </w:r>
          </w:p>
        </w:tc>
        <w:tc>
          <w:tcPr>
            <w:tcW w:w="2268" w:type="dxa"/>
            <w:tcBorders>
              <w:top w:val="single" w:sz="4" w:space="0" w:color="auto"/>
              <w:left w:val="nil"/>
              <w:bottom w:val="single" w:sz="4" w:space="0" w:color="auto"/>
              <w:right w:val="single" w:sz="4" w:space="0" w:color="auto"/>
            </w:tcBorders>
            <w:shd w:val="clear" w:color="auto" w:fill="auto"/>
            <w:vAlign w:val="center"/>
          </w:tcPr>
          <w:p w14:paraId="0D69C730"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62</w:t>
            </w:r>
          </w:p>
        </w:tc>
      </w:tr>
      <w:tr w:rsidR="00770AE2" w:rsidRPr="002C45A6" w14:paraId="2891B211" w14:textId="77777777" w:rsidTr="00770AE2">
        <w:trPr>
          <w:trHeight w:hRule="exact" w:val="454"/>
          <w:jc w:val="center"/>
        </w:trPr>
        <w:tc>
          <w:tcPr>
            <w:tcW w:w="2122" w:type="dxa"/>
            <w:noWrap/>
            <w:vAlign w:val="center"/>
            <w:hideMark/>
          </w:tcPr>
          <w:p w14:paraId="0033DEEC"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175</w:t>
            </w:r>
          </w:p>
        </w:tc>
        <w:tc>
          <w:tcPr>
            <w:tcW w:w="2268" w:type="dxa"/>
            <w:noWrap/>
            <w:vAlign w:val="center"/>
            <w:hideMark/>
          </w:tcPr>
          <w:p w14:paraId="60FBBA5B"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71</w:t>
            </w:r>
          </w:p>
        </w:tc>
        <w:tc>
          <w:tcPr>
            <w:tcW w:w="2268" w:type="dxa"/>
            <w:tcBorders>
              <w:top w:val="single" w:sz="4" w:space="0" w:color="auto"/>
              <w:left w:val="nil"/>
              <w:bottom w:val="single" w:sz="4" w:space="0" w:color="auto"/>
              <w:right w:val="single" w:sz="4" w:space="0" w:color="auto"/>
            </w:tcBorders>
            <w:shd w:val="clear" w:color="auto" w:fill="auto"/>
            <w:vAlign w:val="center"/>
          </w:tcPr>
          <w:p w14:paraId="34291EDC"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66</w:t>
            </w:r>
          </w:p>
        </w:tc>
      </w:tr>
      <w:tr w:rsidR="00770AE2" w:rsidRPr="002C45A6" w14:paraId="0A5DB9CD" w14:textId="77777777" w:rsidTr="00770AE2">
        <w:trPr>
          <w:trHeight w:hRule="exact" w:val="454"/>
          <w:jc w:val="center"/>
        </w:trPr>
        <w:tc>
          <w:tcPr>
            <w:tcW w:w="2122" w:type="dxa"/>
            <w:noWrap/>
            <w:vAlign w:val="center"/>
            <w:hideMark/>
          </w:tcPr>
          <w:p w14:paraId="78690F56"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180</w:t>
            </w:r>
          </w:p>
        </w:tc>
        <w:tc>
          <w:tcPr>
            <w:tcW w:w="2268" w:type="dxa"/>
            <w:noWrap/>
            <w:vAlign w:val="center"/>
            <w:hideMark/>
          </w:tcPr>
          <w:p w14:paraId="717E5C49"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75</w:t>
            </w:r>
          </w:p>
        </w:tc>
        <w:tc>
          <w:tcPr>
            <w:tcW w:w="2268" w:type="dxa"/>
            <w:tcBorders>
              <w:top w:val="single" w:sz="4" w:space="0" w:color="auto"/>
              <w:left w:val="nil"/>
              <w:bottom w:val="single" w:sz="4" w:space="0" w:color="auto"/>
              <w:right w:val="single" w:sz="4" w:space="0" w:color="auto"/>
            </w:tcBorders>
            <w:shd w:val="clear" w:color="auto" w:fill="auto"/>
            <w:vAlign w:val="center"/>
          </w:tcPr>
          <w:p w14:paraId="17A75B14"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71</w:t>
            </w:r>
          </w:p>
        </w:tc>
      </w:tr>
      <w:tr w:rsidR="00770AE2" w:rsidRPr="002C45A6" w14:paraId="77F9BFB3" w14:textId="77777777" w:rsidTr="00770AE2">
        <w:trPr>
          <w:trHeight w:hRule="exact" w:val="454"/>
          <w:jc w:val="center"/>
        </w:trPr>
        <w:tc>
          <w:tcPr>
            <w:tcW w:w="2122" w:type="dxa"/>
            <w:noWrap/>
            <w:vAlign w:val="center"/>
            <w:hideMark/>
          </w:tcPr>
          <w:p w14:paraId="48ADB567"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185</w:t>
            </w:r>
          </w:p>
        </w:tc>
        <w:tc>
          <w:tcPr>
            <w:tcW w:w="2268" w:type="dxa"/>
            <w:noWrap/>
            <w:vAlign w:val="center"/>
            <w:hideMark/>
          </w:tcPr>
          <w:p w14:paraId="4B1518A5"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80</w:t>
            </w:r>
          </w:p>
        </w:tc>
        <w:tc>
          <w:tcPr>
            <w:tcW w:w="2268" w:type="dxa"/>
            <w:tcBorders>
              <w:top w:val="single" w:sz="4" w:space="0" w:color="auto"/>
              <w:left w:val="nil"/>
              <w:bottom w:val="single" w:sz="4" w:space="0" w:color="auto"/>
              <w:right w:val="single" w:sz="4" w:space="0" w:color="auto"/>
            </w:tcBorders>
            <w:shd w:val="clear" w:color="auto" w:fill="auto"/>
            <w:vAlign w:val="center"/>
          </w:tcPr>
          <w:p w14:paraId="035F3ED2"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75</w:t>
            </w:r>
          </w:p>
        </w:tc>
      </w:tr>
      <w:tr w:rsidR="00770AE2" w:rsidRPr="002C45A6" w14:paraId="5510C67F" w14:textId="77777777" w:rsidTr="00770AE2">
        <w:trPr>
          <w:trHeight w:hRule="exact" w:val="454"/>
          <w:jc w:val="center"/>
        </w:trPr>
        <w:tc>
          <w:tcPr>
            <w:tcW w:w="2122" w:type="dxa"/>
            <w:noWrap/>
            <w:vAlign w:val="center"/>
            <w:hideMark/>
          </w:tcPr>
          <w:p w14:paraId="433C25D2"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190</w:t>
            </w:r>
          </w:p>
        </w:tc>
        <w:tc>
          <w:tcPr>
            <w:tcW w:w="2268" w:type="dxa"/>
            <w:noWrap/>
            <w:vAlign w:val="center"/>
            <w:hideMark/>
          </w:tcPr>
          <w:p w14:paraId="7583C36D"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lang w:eastAsia="en-AU"/>
              </w:rPr>
              <w:t>84</w:t>
            </w:r>
          </w:p>
        </w:tc>
        <w:tc>
          <w:tcPr>
            <w:tcW w:w="2268" w:type="dxa"/>
            <w:tcBorders>
              <w:top w:val="single" w:sz="4" w:space="0" w:color="auto"/>
              <w:left w:val="nil"/>
              <w:bottom w:val="single" w:sz="4" w:space="0" w:color="auto"/>
              <w:right w:val="single" w:sz="4" w:space="0" w:color="auto"/>
            </w:tcBorders>
            <w:shd w:val="clear" w:color="auto" w:fill="auto"/>
            <w:vAlign w:val="center"/>
          </w:tcPr>
          <w:p w14:paraId="5AED1A24" w14:textId="77777777" w:rsidR="00770AE2" w:rsidRPr="002C45A6" w:rsidRDefault="00770AE2" w:rsidP="006E3419">
            <w:pPr>
              <w:jc w:val="center"/>
              <w:rPr>
                <w:rFonts w:asciiTheme="minorHAnsi" w:hAnsiTheme="minorHAnsi" w:cstheme="minorHAnsi"/>
                <w:color w:val="000000"/>
                <w:sz w:val="22"/>
                <w:szCs w:val="22"/>
                <w:lang w:eastAsia="en-AU"/>
              </w:rPr>
            </w:pPr>
            <w:r w:rsidRPr="002C45A6">
              <w:rPr>
                <w:rFonts w:asciiTheme="minorHAnsi" w:hAnsiTheme="minorHAnsi" w:cstheme="minorHAnsi"/>
                <w:color w:val="000000"/>
                <w:sz w:val="22"/>
                <w:szCs w:val="22"/>
              </w:rPr>
              <w:t>80</w:t>
            </w:r>
          </w:p>
        </w:tc>
      </w:tr>
    </w:tbl>
    <w:p w14:paraId="7F9BD3CB" w14:textId="77777777" w:rsidR="00770AE2" w:rsidRPr="002C45A6" w:rsidRDefault="00770AE2" w:rsidP="00770AE2">
      <w:pPr>
        <w:rPr>
          <w:rFonts w:asciiTheme="minorHAnsi" w:hAnsiTheme="minorHAnsi" w:cstheme="minorHAnsi"/>
          <w:b/>
          <w:bCs/>
        </w:rPr>
      </w:pPr>
    </w:p>
    <w:p w14:paraId="6BBF1732" w14:textId="77777777" w:rsidR="00D92152" w:rsidRDefault="00D92152" w:rsidP="00D92152">
      <w:pPr>
        <w:pStyle w:val="Bullet"/>
        <w:numPr>
          <w:ilvl w:val="0"/>
          <w:numId w:val="0"/>
        </w:numPr>
        <w:rPr>
          <w:lang w:eastAsia="en-US"/>
        </w:rPr>
      </w:pPr>
      <w:hyperlink w:anchor="_top" w:history="1">
        <w:r w:rsidRPr="00481A6C">
          <w:rPr>
            <w:rStyle w:val="Hyperlink"/>
          </w:rPr>
          <w:t>Back to Contents</w:t>
        </w:r>
      </w:hyperlink>
    </w:p>
    <w:p w14:paraId="181914E6" w14:textId="4A73777E" w:rsidR="00D21EB3" w:rsidRDefault="00D21EB3">
      <w:pPr>
        <w:spacing w:before="0" w:after="0" w:line="240" w:lineRule="auto"/>
        <w:rPr>
          <w:rFonts w:asciiTheme="minorHAnsi" w:hAnsiTheme="minorHAnsi" w:cstheme="minorHAnsi"/>
          <w:b/>
          <w:bCs/>
        </w:rPr>
      </w:pPr>
      <w:r>
        <w:rPr>
          <w:rFonts w:asciiTheme="minorHAnsi" w:hAnsiTheme="minorHAnsi" w:cstheme="minorHAnsi"/>
          <w:b/>
          <w:bCs/>
        </w:rPr>
        <w:br w:type="page"/>
      </w:r>
    </w:p>
    <w:p w14:paraId="154382AA" w14:textId="77777777" w:rsidR="00770AE2" w:rsidRPr="002C45A6" w:rsidRDefault="00770AE2" w:rsidP="00770AE2">
      <w:pPr>
        <w:pStyle w:val="Heading4"/>
      </w:pPr>
      <w:bookmarkStart w:id="63" w:name="_Toc181188566"/>
      <w:r w:rsidRPr="002C45A6">
        <w:lastRenderedPageBreak/>
        <w:t>Attachment 2 – Dosing calculation using Adjusted body weight (AdjBW)</w:t>
      </w:r>
      <w:bookmarkEnd w:id="63"/>
    </w:p>
    <w:p w14:paraId="59F875B2" w14:textId="77777777" w:rsidR="00770AE2" w:rsidRPr="002C45A6" w:rsidRDefault="00770AE2" w:rsidP="00770AE2">
      <w:pPr>
        <w:spacing w:after="120"/>
        <w:rPr>
          <w:rFonts w:asciiTheme="minorHAnsi" w:hAnsiTheme="minorHAnsi" w:cstheme="minorHAnsi"/>
        </w:rPr>
      </w:pPr>
      <w:r w:rsidRPr="002C45A6">
        <w:rPr>
          <w:rFonts w:asciiTheme="minorHAnsi" w:hAnsiTheme="minorHAnsi" w:cstheme="minorHAnsi"/>
        </w:rPr>
        <w:t>Adjusted body weight = IBW + 0.4 x</w:t>
      </w:r>
      <w:r>
        <w:rPr>
          <w:rFonts w:asciiTheme="minorHAnsi" w:hAnsiTheme="minorHAnsi" w:cstheme="minorHAnsi"/>
        </w:rPr>
        <w:t xml:space="preserve"> </w:t>
      </w:r>
      <w:r w:rsidRPr="002C45A6">
        <w:rPr>
          <w:rFonts w:asciiTheme="minorHAnsi" w:hAnsiTheme="minorHAnsi" w:cstheme="minorHAnsi"/>
        </w:rPr>
        <w:t>(TBW - IBW)</w:t>
      </w:r>
    </w:p>
    <w:p w14:paraId="2BC80183" w14:textId="77777777" w:rsidR="00770AE2" w:rsidRPr="002C45A6" w:rsidRDefault="00770AE2" w:rsidP="00770AE2">
      <w:pPr>
        <w:spacing w:after="120"/>
        <w:rPr>
          <w:rFonts w:asciiTheme="minorHAnsi" w:hAnsiTheme="minorHAnsi" w:cstheme="minorHAnsi"/>
        </w:rPr>
      </w:pPr>
      <w:r w:rsidRPr="002C45A6">
        <w:rPr>
          <w:rFonts w:asciiTheme="minorHAnsi" w:hAnsiTheme="minorHAnsi" w:cstheme="minorHAnsi"/>
        </w:rPr>
        <w:t>Where IBW = ideal body weight, and TBW = total body weight</w:t>
      </w:r>
    </w:p>
    <w:p w14:paraId="32EEBBE2" w14:textId="77777777" w:rsidR="00770AE2" w:rsidRPr="002C45A6" w:rsidRDefault="00770AE2" w:rsidP="00770AE2">
      <w:pPr>
        <w:rPr>
          <w:rFonts w:asciiTheme="minorHAnsi" w:hAnsiTheme="minorHAnsi" w:cstheme="minorHAnsi"/>
        </w:rPr>
      </w:pPr>
    </w:p>
    <w:bookmarkEnd w:id="2"/>
    <w:p w14:paraId="68420B53" w14:textId="646FA1E0" w:rsidR="009A5010" w:rsidRDefault="009A5010" w:rsidP="00684A68">
      <w:pPr>
        <w:pStyle w:val="Bullet"/>
        <w:numPr>
          <w:ilvl w:val="0"/>
          <w:numId w:val="0"/>
        </w:numPr>
        <w:rPr>
          <w:lang w:eastAsia="en-US"/>
        </w:rPr>
      </w:pPr>
    </w:p>
    <w:p w14:paraId="1CE9D1A7" w14:textId="77777777" w:rsidR="00D92152" w:rsidRDefault="00D92152" w:rsidP="00D92152">
      <w:pPr>
        <w:pStyle w:val="Bullet"/>
        <w:numPr>
          <w:ilvl w:val="0"/>
          <w:numId w:val="0"/>
        </w:numPr>
        <w:rPr>
          <w:lang w:eastAsia="en-US"/>
        </w:rPr>
      </w:pPr>
      <w:hyperlink w:anchor="_top" w:history="1">
        <w:r w:rsidRPr="00481A6C">
          <w:rPr>
            <w:rStyle w:val="Hyperlink"/>
          </w:rPr>
          <w:t>Back to Contents</w:t>
        </w:r>
      </w:hyperlink>
    </w:p>
    <w:p w14:paraId="1EAE7AE0" w14:textId="77777777" w:rsidR="00D92152" w:rsidRDefault="00D92152" w:rsidP="00684A68">
      <w:pPr>
        <w:pStyle w:val="Bullet"/>
        <w:numPr>
          <w:ilvl w:val="0"/>
          <w:numId w:val="0"/>
        </w:numPr>
        <w:rPr>
          <w:lang w:eastAsia="en-US"/>
        </w:rPr>
      </w:pPr>
    </w:p>
    <w:p w14:paraId="464F18ED" w14:textId="77777777" w:rsidR="00D92152" w:rsidRDefault="00D92152" w:rsidP="00684A68">
      <w:pPr>
        <w:pStyle w:val="Bullet"/>
        <w:numPr>
          <w:ilvl w:val="0"/>
          <w:numId w:val="0"/>
        </w:numPr>
        <w:rPr>
          <w:lang w:eastAsia="en-US"/>
        </w:rPr>
      </w:pPr>
    </w:p>
    <w:p w14:paraId="2C8D30E7" w14:textId="77777777" w:rsidR="00D92152" w:rsidRDefault="00D92152" w:rsidP="00684A68">
      <w:pPr>
        <w:pStyle w:val="Bullet"/>
        <w:numPr>
          <w:ilvl w:val="0"/>
          <w:numId w:val="0"/>
        </w:numPr>
        <w:rPr>
          <w:lang w:eastAsia="en-US"/>
        </w:rPr>
      </w:pPr>
    </w:p>
    <w:p w14:paraId="0A15A06D" w14:textId="77777777" w:rsidR="00D92152" w:rsidRDefault="00D92152" w:rsidP="00684A68">
      <w:pPr>
        <w:pStyle w:val="Bullet"/>
        <w:numPr>
          <w:ilvl w:val="0"/>
          <w:numId w:val="0"/>
        </w:numPr>
        <w:rPr>
          <w:lang w:eastAsia="en-US"/>
        </w:rPr>
      </w:pPr>
    </w:p>
    <w:p w14:paraId="0590F524" w14:textId="77777777" w:rsidR="00D92152" w:rsidRDefault="00D92152" w:rsidP="00684A68">
      <w:pPr>
        <w:pStyle w:val="Bullet"/>
        <w:numPr>
          <w:ilvl w:val="0"/>
          <w:numId w:val="0"/>
        </w:numPr>
        <w:rPr>
          <w:lang w:eastAsia="en-US"/>
        </w:rPr>
      </w:pPr>
    </w:p>
    <w:p w14:paraId="4CB7481F" w14:textId="77777777" w:rsidR="00D92152" w:rsidRDefault="00D92152" w:rsidP="00684A68">
      <w:pPr>
        <w:pStyle w:val="Bullet"/>
        <w:numPr>
          <w:ilvl w:val="0"/>
          <w:numId w:val="0"/>
        </w:numPr>
        <w:rPr>
          <w:lang w:eastAsia="en-US"/>
        </w:rPr>
      </w:pPr>
    </w:p>
    <w:p w14:paraId="500D02D2" w14:textId="77777777" w:rsidR="00D92152" w:rsidRDefault="00D92152" w:rsidP="00684A68">
      <w:pPr>
        <w:pStyle w:val="Bullet"/>
        <w:numPr>
          <w:ilvl w:val="0"/>
          <w:numId w:val="0"/>
        </w:numPr>
        <w:rPr>
          <w:lang w:eastAsia="en-US"/>
        </w:rPr>
      </w:pPr>
    </w:p>
    <w:p w14:paraId="00FCA02E" w14:textId="77777777" w:rsidR="00D92152" w:rsidRDefault="00D92152" w:rsidP="00684A68">
      <w:pPr>
        <w:pStyle w:val="Bullet"/>
        <w:numPr>
          <w:ilvl w:val="0"/>
          <w:numId w:val="0"/>
        </w:numPr>
        <w:rPr>
          <w:lang w:eastAsia="en-US"/>
        </w:rPr>
      </w:pPr>
    </w:p>
    <w:p w14:paraId="04A2FF70" w14:textId="77777777" w:rsidR="00D92152" w:rsidRDefault="00D92152" w:rsidP="00684A68">
      <w:pPr>
        <w:pStyle w:val="Bullet"/>
        <w:numPr>
          <w:ilvl w:val="0"/>
          <w:numId w:val="0"/>
        </w:numPr>
        <w:rPr>
          <w:lang w:eastAsia="en-US"/>
        </w:rPr>
      </w:pPr>
    </w:p>
    <w:p w14:paraId="12290C04" w14:textId="77777777" w:rsidR="00D92152" w:rsidRDefault="00D92152" w:rsidP="00684A68">
      <w:pPr>
        <w:pStyle w:val="Bullet"/>
        <w:numPr>
          <w:ilvl w:val="0"/>
          <w:numId w:val="0"/>
        </w:numPr>
        <w:rPr>
          <w:lang w:eastAsia="en-US"/>
        </w:rPr>
      </w:pPr>
    </w:p>
    <w:p w14:paraId="6EF2E6A5" w14:textId="77777777" w:rsidR="00D92152" w:rsidRDefault="00D92152" w:rsidP="00684A68">
      <w:pPr>
        <w:pStyle w:val="Bullet"/>
        <w:numPr>
          <w:ilvl w:val="0"/>
          <w:numId w:val="0"/>
        </w:numPr>
        <w:rPr>
          <w:lang w:eastAsia="en-US"/>
        </w:rPr>
      </w:pPr>
    </w:p>
    <w:p w14:paraId="1901E68F" w14:textId="77777777" w:rsidR="00D92152" w:rsidRDefault="00D92152" w:rsidP="00684A68">
      <w:pPr>
        <w:pStyle w:val="Bullet"/>
        <w:numPr>
          <w:ilvl w:val="0"/>
          <w:numId w:val="0"/>
        </w:numPr>
        <w:rPr>
          <w:lang w:eastAsia="en-US"/>
        </w:rPr>
      </w:pPr>
    </w:p>
    <w:p w14:paraId="2A0E01C6" w14:textId="77777777" w:rsidR="00D92152" w:rsidRDefault="00D92152" w:rsidP="00684A68">
      <w:pPr>
        <w:pStyle w:val="Bullet"/>
        <w:numPr>
          <w:ilvl w:val="0"/>
          <w:numId w:val="0"/>
        </w:numPr>
        <w:rPr>
          <w:lang w:eastAsia="en-US"/>
        </w:rPr>
      </w:pPr>
    </w:p>
    <w:p w14:paraId="5F98A4F8" w14:textId="77777777" w:rsidR="00D92152" w:rsidRDefault="00D92152" w:rsidP="00684A68">
      <w:pPr>
        <w:pStyle w:val="Bullet"/>
        <w:numPr>
          <w:ilvl w:val="0"/>
          <w:numId w:val="0"/>
        </w:numPr>
        <w:rPr>
          <w:lang w:eastAsia="en-US"/>
        </w:rPr>
      </w:pPr>
    </w:p>
    <w:p w14:paraId="04810016" w14:textId="77777777" w:rsidR="00D92152" w:rsidRDefault="00D92152" w:rsidP="00684A68">
      <w:pPr>
        <w:pStyle w:val="Bullet"/>
        <w:numPr>
          <w:ilvl w:val="0"/>
          <w:numId w:val="0"/>
        </w:numPr>
        <w:rPr>
          <w:lang w:eastAsia="en-US"/>
        </w:rPr>
      </w:pPr>
    </w:p>
    <w:p w14:paraId="16E066F5" w14:textId="77777777" w:rsidR="00D92152" w:rsidRDefault="00D92152" w:rsidP="00684A68">
      <w:pPr>
        <w:pStyle w:val="Bullet"/>
        <w:numPr>
          <w:ilvl w:val="0"/>
          <w:numId w:val="0"/>
        </w:numPr>
        <w:rPr>
          <w:lang w:eastAsia="en-US"/>
        </w:rPr>
      </w:pPr>
    </w:p>
    <w:p w14:paraId="0EC2878C" w14:textId="77777777" w:rsidR="00D92152" w:rsidRDefault="00D92152" w:rsidP="00684A68">
      <w:pPr>
        <w:pStyle w:val="Bullet"/>
        <w:numPr>
          <w:ilvl w:val="0"/>
          <w:numId w:val="0"/>
        </w:numPr>
        <w:rPr>
          <w:lang w:eastAsia="en-US"/>
        </w:rPr>
      </w:pPr>
    </w:p>
    <w:p w14:paraId="63B3685C" w14:textId="77777777" w:rsidR="00D92152" w:rsidRDefault="00D92152" w:rsidP="00684A68">
      <w:pPr>
        <w:pStyle w:val="Bullet"/>
        <w:numPr>
          <w:ilvl w:val="0"/>
          <w:numId w:val="0"/>
        </w:numPr>
        <w:rPr>
          <w:lang w:eastAsia="en-US"/>
        </w:rPr>
      </w:pPr>
    </w:p>
    <w:p w14:paraId="3F9FCCB7" w14:textId="77777777" w:rsidR="00D92152" w:rsidRDefault="00D92152" w:rsidP="00684A68">
      <w:pPr>
        <w:pStyle w:val="Bullet"/>
        <w:numPr>
          <w:ilvl w:val="0"/>
          <w:numId w:val="0"/>
        </w:numPr>
        <w:rPr>
          <w:lang w:eastAsia="en-US"/>
        </w:rPr>
      </w:pPr>
    </w:p>
    <w:p w14:paraId="127FD481" w14:textId="77777777" w:rsidR="00D92152" w:rsidRDefault="00D92152" w:rsidP="00684A68">
      <w:pPr>
        <w:pStyle w:val="Bullet"/>
        <w:numPr>
          <w:ilvl w:val="0"/>
          <w:numId w:val="0"/>
        </w:numPr>
        <w:rPr>
          <w:lang w:eastAsia="en-US"/>
        </w:rPr>
      </w:pPr>
    </w:p>
    <w:p w14:paraId="4780C647" w14:textId="77777777" w:rsidR="00D92152" w:rsidRDefault="00D92152" w:rsidP="00684A68">
      <w:pPr>
        <w:pStyle w:val="Bullet"/>
        <w:numPr>
          <w:ilvl w:val="0"/>
          <w:numId w:val="0"/>
        </w:numPr>
        <w:rPr>
          <w:lang w:eastAsia="en-US"/>
        </w:rPr>
      </w:pPr>
    </w:p>
    <w:p w14:paraId="621A19C7" w14:textId="77777777" w:rsidR="00D92152" w:rsidRDefault="00D92152" w:rsidP="00684A68">
      <w:pPr>
        <w:pStyle w:val="Bullet"/>
        <w:numPr>
          <w:ilvl w:val="0"/>
          <w:numId w:val="0"/>
        </w:numPr>
        <w:rPr>
          <w:lang w:eastAsia="en-US"/>
        </w:rPr>
      </w:pPr>
    </w:p>
    <w:p w14:paraId="42AAF467" w14:textId="77777777" w:rsidR="00D92152" w:rsidRDefault="00D92152" w:rsidP="00684A68">
      <w:pPr>
        <w:pStyle w:val="Bullet"/>
        <w:numPr>
          <w:ilvl w:val="0"/>
          <w:numId w:val="0"/>
        </w:numPr>
        <w:rPr>
          <w:lang w:eastAsia="en-US"/>
        </w:rPr>
      </w:pPr>
    </w:p>
    <w:p w14:paraId="3ECDAE77" w14:textId="77777777" w:rsidR="00D92152" w:rsidRDefault="00D92152" w:rsidP="00684A68">
      <w:pPr>
        <w:pStyle w:val="Bullet"/>
        <w:numPr>
          <w:ilvl w:val="0"/>
          <w:numId w:val="0"/>
        </w:numPr>
        <w:rPr>
          <w:lang w:eastAsia="en-US"/>
        </w:rPr>
      </w:pPr>
    </w:p>
    <w:p w14:paraId="7AC45C01" w14:textId="77777777" w:rsidR="00D92152" w:rsidRDefault="00D92152" w:rsidP="00684A68">
      <w:pPr>
        <w:pStyle w:val="Bullet"/>
        <w:numPr>
          <w:ilvl w:val="0"/>
          <w:numId w:val="0"/>
        </w:numPr>
        <w:rPr>
          <w:lang w:eastAsia="en-US"/>
        </w:rPr>
      </w:pPr>
    </w:p>
    <w:p w14:paraId="63E787F0" w14:textId="77777777" w:rsidR="00D92152" w:rsidRDefault="00D92152" w:rsidP="00684A68">
      <w:pPr>
        <w:pStyle w:val="Bullet"/>
        <w:numPr>
          <w:ilvl w:val="0"/>
          <w:numId w:val="0"/>
        </w:numPr>
        <w:rPr>
          <w:lang w:eastAsia="en-US"/>
        </w:rPr>
      </w:pPr>
    </w:p>
    <w:p w14:paraId="540FE108" w14:textId="77777777" w:rsidR="00D92152" w:rsidRDefault="00D92152" w:rsidP="00684A68">
      <w:pPr>
        <w:pStyle w:val="Bullet"/>
        <w:numPr>
          <w:ilvl w:val="0"/>
          <w:numId w:val="0"/>
        </w:numPr>
        <w:rPr>
          <w:lang w:eastAsia="en-US"/>
        </w:rPr>
      </w:pPr>
    </w:p>
    <w:p w14:paraId="1FB43E23" w14:textId="77777777" w:rsidR="00D92152" w:rsidRDefault="00D92152" w:rsidP="00684A68">
      <w:pPr>
        <w:pStyle w:val="Bullet"/>
        <w:numPr>
          <w:ilvl w:val="0"/>
          <w:numId w:val="0"/>
        </w:numPr>
        <w:rPr>
          <w:lang w:eastAsia="en-US"/>
        </w:rPr>
      </w:pPr>
    </w:p>
    <w:p w14:paraId="5379683A" w14:textId="77777777" w:rsidR="00D92152" w:rsidRDefault="00D92152" w:rsidP="00684A68">
      <w:pPr>
        <w:pStyle w:val="Bullet"/>
        <w:numPr>
          <w:ilvl w:val="0"/>
          <w:numId w:val="0"/>
        </w:numPr>
        <w:rPr>
          <w:lang w:eastAsia="en-US"/>
        </w:rPr>
      </w:pPr>
    </w:p>
    <w:p w14:paraId="6B9EC386" w14:textId="77777777" w:rsidR="00D92152" w:rsidRDefault="00D92152" w:rsidP="00684A68">
      <w:pPr>
        <w:pStyle w:val="Bullet"/>
        <w:numPr>
          <w:ilvl w:val="0"/>
          <w:numId w:val="0"/>
        </w:numPr>
        <w:rPr>
          <w:lang w:eastAsia="en-US"/>
        </w:rPr>
      </w:pPr>
    </w:p>
    <w:p w14:paraId="125308A5" w14:textId="77777777" w:rsidR="00D92152" w:rsidRDefault="00D92152" w:rsidP="00684A68">
      <w:pPr>
        <w:pStyle w:val="Bullet"/>
        <w:numPr>
          <w:ilvl w:val="0"/>
          <w:numId w:val="0"/>
        </w:numPr>
        <w:rPr>
          <w:lang w:eastAsia="en-US"/>
        </w:rPr>
      </w:pPr>
    </w:p>
    <w:p w14:paraId="2E10DAA4" w14:textId="77777777" w:rsidR="00D92152" w:rsidRDefault="00D92152" w:rsidP="00684A68">
      <w:pPr>
        <w:pStyle w:val="Bullet"/>
        <w:numPr>
          <w:ilvl w:val="0"/>
          <w:numId w:val="0"/>
        </w:numPr>
        <w:rPr>
          <w:lang w:eastAsia="en-US"/>
        </w:rPr>
      </w:pPr>
    </w:p>
    <w:p w14:paraId="43ACB01C" w14:textId="77777777" w:rsidR="00D92152" w:rsidRDefault="00D92152" w:rsidP="00684A68">
      <w:pPr>
        <w:pStyle w:val="Bullet"/>
        <w:numPr>
          <w:ilvl w:val="0"/>
          <w:numId w:val="0"/>
        </w:numPr>
        <w:rPr>
          <w:lang w:eastAsia="en-US"/>
        </w:rPr>
      </w:pPr>
    </w:p>
    <w:p w14:paraId="687E7168" w14:textId="77777777" w:rsidR="00D92152" w:rsidRDefault="00D92152" w:rsidP="00684A68">
      <w:pPr>
        <w:pStyle w:val="Bullet"/>
        <w:numPr>
          <w:ilvl w:val="0"/>
          <w:numId w:val="0"/>
        </w:numPr>
        <w:rPr>
          <w:lang w:eastAsia="en-US"/>
        </w:rPr>
      </w:pPr>
    </w:p>
    <w:p w14:paraId="63ABEEA5" w14:textId="77777777" w:rsidR="00D92152" w:rsidRDefault="00D92152" w:rsidP="00684A68">
      <w:pPr>
        <w:pStyle w:val="Bullet"/>
        <w:numPr>
          <w:ilvl w:val="0"/>
          <w:numId w:val="0"/>
        </w:numPr>
        <w:rPr>
          <w:lang w:eastAsia="en-US"/>
        </w:rPr>
      </w:pPr>
    </w:p>
    <w:p w14:paraId="3BE153C4" w14:textId="77777777" w:rsidR="00D92152" w:rsidRPr="00D92152" w:rsidRDefault="00D92152" w:rsidP="00D92152">
      <w:pPr>
        <w:pStyle w:val="Heading4"/>
      </w:pPr>
      <w:r w:rsidRPr="00D92152">
        <w:t>Attachment 3 – Dosing Calculation using Lean body weight (LBW)</w:t>
      </w:r>
    </w:p>
    <w:p w14:paraId="4EDE2940" w14:textId="68188B42" w:rsidR="00D92152" w:rsidRDefault="00D92152" w:rsidP="00684A68">
      <w:pPr>
        <w:pStyle w:val="Bullet"/>
        <w:numPr>
          <w:ilvl w:val="0"/>
          <w:numId w:val="0"/>
        </w:numPr>
        <w:rPr>
          <w:lang w:eastAsia="en-US"/>
        </w:rPr>
      </w:pPr>
      <w:r w:rsidRPr="00D92152">
        <w:rPr>
          <w:noProof/>
          <w:lang w:eastAsia="en-US"/>
        </w:rPr>
        <w:drawing>
          <wp:inline distT="0" distB="0" distL="0" distR="0" wp14:anchorId="10A33F98" wp14:editId="5009C40E">
            <wp:extent cx="6299835" cy="2616200"/>
            <wp:effectExtent l="0" t="0" r="5715" b="0"/>
            <wp:docPr id="353096693" name="Picture 1" descr="Dosing calculation for adult females, adult males and the body mass index using Lean Body W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96693" name="Picture 1" descr="Dosing calculation for adult females, adult males and the body mass index using Lean Body Weight."/>
                    <pic:cNvPicPr/>
                  </pic:nvPicPr>
                  <pic:blipFill>
                    <a:blip r:embed="rId23"/>
                    <a:stretch>
                      <a:fillRect/>
                    </a:stretch>
                  </pic:blipFill>
                  <pic:spPr>
                    <a:xfrm>
                      <a:off x="0" y="0"/>
                      <a:ext cx="6299835" cy="2616200"/>
                    </a:xfrm>
                    <a:prstGeom prst="rect">
                      <a:avLst/>
                    </a:prstGeom>
                  </pic:spPr>
                </pic:pic>
              </a:graphicData>
            </a:graphic>
          </wp:inline>
        </w:drawing>
      </w:r>
    </w:p>
    <w:p w14:paraId="5555A58D" w14:textId="77777777" w:rsidR="00D92152" w:rsidRDefault="00D92152" w:rsidP="00D92152">
      <w:pPr>
        <w:pStyle w:val="Bullet"/>
        <w:numPr>
          <w:ilvl w:val="0"/>
          <w:numId w:val="0"/>
        </w:numPr>
        <w:rPr>
          <w:lang w:eastAsia="en-US"/>
        </w:rPr>
      </w:pPr>
      <w:hyperlink w:anchor="_top" w:history="1">
        <w:r w:rsidRPr="00481A6C">
          <w:rPr>
            <w:rStyle w:val="Hyperlink"/>
          </w:rPr>
          <w:t>Back to Contents</w:t>
        </w:r>
      </w:hyperlink>
    </w:p>
    <w:p w14:paraId="53B802F0" w14:textId="77777777" w:rsidR="00D92152" w:rsidRPr="00D92152" w:rsidRDefault="00D92152" w:rsidP="00D92152">
      <w:pPr>
        <w:rPr>
          <w:lang w:eastAsia="en-US"/>
        </w:rPr>
      </w:pPr>
    </w:p>
    <w:sectPr w:rsidR="00D92152" w:rsidRPr="00D92152" w:rsidSect="00E3733D">
      <w:footerReference w:type="default" r:id="rId24"/>
      <w:headerReference w:type="first" r:id="rId25"/>
      <w:footerReference w:type="first" r:id="rId26"/>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B98FE" w14:textId="77777777" w:rsidR="00263CBE" w:rsidRDefault="00263CBE" w:rsidP="00225769">
      <w:pPr>
        <w:spacing w:after="0" w:line="240" w:lineRule="auto"/>
      </w:pPr>
      <w:r>
        <w:separator/>
      </w:r>
    </w:p>
    <w:p w14:paraId="2BC933B9" w14:textId="77777777" w:rsidR="00263CBE" w:rsidRDefault="00263CBE"/>
    <w:p w14:paraId="60D205D0" w14:textId="77777777" w:rsidR="00263CBE" w:rsidRDefault="00263CBE"/>
    <w:p w14:paraId="7435F2F2" w14:textId="77777777" w:rsidR="00263CBE" w:rsidRDefault="00263CBE"/>
    <w:p w14:paraId="54B62DD1" w14:textId="77777777" w:rsidR="00263CBE" w:rsidRDefault="00263CBE"/>
    <w:p w14:paraId="6C088729" w14:textId="77777777" w:rsidR="00263CBE" w:rsidRDefault="00263CBE"/>
    <w:p w14:paraId="1E3620BD" w14:textId="77777777" w:rsidR="00263CBE" w:rsidRDefault="00263CBE"/>
  </w:endnote>
  <w:endnote w:type="continuationSeparator" w:id="0">
    <w:p w14:paraId="212CB9A9" w14:textId="77777777" w:rsidR="00263CBE" w:rsidRDefault="00263CBE" w:rsidP="00225769">
      <w:pPr>
        <w:spacing w:after="0" w:line="240" w:lineRule="auto"/>
      </w:pPr>
      <w:r>
        <w:continuationSeparator/>
      </w:r>
    </w:p>
    <w:p w14:paraId="4BDB4E4D" w14:textId="77777777" w:rsidR="00263CBE" w:rsidRDefault="00263CBE"/>
    <w:p w14:paraId="3757CBDF" w14:textId="77777777" w:rsidR="00263CBE" w:rsidRDefault="00263CBE"/>
    <w:p w14:paraId="3E34F311" w14:textId="77777777" w:rsidR="00263CBE" w:rsidRDefault="00263CBE"/>
    <w:p w14:paraId="105DB0D7" w14:textId="77777777" w:rsidR="00263CBE" w:rsidRDefault="00263CBE"/>
    <w:p w14:paraId="7555DD87" w14:textId="77777777" w:rsidR="00263CBE" w:rsidRDefault="00263CBE"/>
    <w:p w14:paraId="7A20716F" w14:textId="77777777" w:rsidR="00263CBE" w:rsidRDefault="00263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46C72BDD" w14:textId="77777777" w:rsidTr="003B0E72">
      <w:trPr>
        <w:jc w:val="center"/>
      </w:trPr>
      <w:tc>
        <w:tcPr>
          <w:tcW w:w="1515" w:type="dxa"/>
        </w:tcPr>
        <w:p w14:paraId="53B13AEB"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512E199E"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7099B0D7"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53221E44"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5EF001C6"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3880F86C"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68CC05E4" w14:textId="77777777" w:rsidTr="003B0E72">
      <w:trPr>
        <w:jc w:val="center"/>
      </w:trPr>
      <w:tc>
        <w:tcPr>
          <w:tcW w:w="1515" w:type="dxa"/>
        </w:tcPr>
        <w:p w14:paraId="61EA94F3" w14:textId="0DB9545D" w:rsidR="00481A6C" w:rsidRPr="00954F7B" w:rsidRDefault="00055FF1"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527</w:t>
          </w:r>
        </w:p>
      </w:tc>
      <w:tc>
        <w:tcPr>
          <w:tcW w:w="965" w:type="dxa"/>
        </w:tcPr>
        <w:p w14:paraId="7F611C0B" w14:textId="2509E043" w:rsidR="00481A6C" w:rsidRPr="00954F7B" w:rsidRDefault="00D92152" w:rsidP="00481A6C">
          <w:pPr>
            <w:pStyle w:val="Footer"/>
            <w:jc w:val="center"/>
            <w:rPr>
              <w:bCs/>
              <w:iCs/>
              <w:sz w:val="20"/>
              <w:szCs w:val="20"/>
            </w:rPr>
          </w:pPr>
          <w:r>
            <w:rPr>
              <w:bCs/>
              <w:iCs/>
              <w:sz w:val="20"/>
              <w:szCs w:val="20"/>
            </w:rPr>
            <w:t>2</w:t>
          </w:r>
        </w:p>
      </w:tc>
      <w:tc>
        <w:tcPr>
          <w:tcW w:w="1552" w:type="dxa"/>
        </w:tcPr>
        <w:p w14:paraId="4B7DD62B" w14:textId="5CA6672B" w:rsidR="00481A6C" w:rsidRPr="00954F7B" w:rsidRDefault="00055FF1" w:rsidP="00481A6C">
          <w:pPr>
            <w:pStyle w:val="Footer"/>
            <w:jc w:val="center"/>
            <w:rPr>
              <w:bCs/>
              <w:iCs/>
              <w:sz w:val="20"/>
              <w:szCs w:val="20"/>
            </w:rPr>
          </w:pPr>
          <w:r>
            <w:rPr>
              <w:bCs/>
              <w:iCs/>
              <w:sz w:val="20"/>
              <w:szCs w:val="20"/>
            </w:rPr>
            <w:t>30</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2024</w:t>
          </w:r>
        </w:p>
      </w:tc>
      <w:tc>
        <w:tcPr>
          <w:tcW w:w="1456" w:type="dxa"/>
        </w:tcPr>
        <w:p w14:paraId="358E1959" w14:textId="1274C500" w:rsidR="00481A6C" w:rsidRPr="00954F7B" w:rsidRDefault="00055FF1"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10</w:t>
          </w:r>
          <w:r w:rsidR="00481A6C" w:rsidRPr="00954F7B">
            <w:rPr>
              <w:bCs/>
              <w:iCs/>
              <w:sz w:val="20"/>
              <w:szCs w:val="20"/>
            </w:rPr>
            <w:t>/</w:t>
          </w:r>
          <w:r>
            <w:rPr>
              <w:bCs/>
              <w:iCs/>
              <w:sz w:val="20"/>
              <w:szCs w:val="20"/>
            </w:rPr>
            <w:t>2027</w:t>
          </w:r>
        </w:p>
      </w:tc>
      <w:tc>
        <w:tcPr>
          <w:tcW w:w="1746" w:type="dxa"/>
        </w:tcPr>
        <w:p w14:paraId="276F2A20" w14:textId="47CC503A" w:rsidR="00481A6C" w:rsidRPr="00954F7B" w:rsidRDefault="00055FF1" w:rsidP="00481A6C">
          <w:pPr>
            <w:pStyle w:val="Footer"/>
            <w:jc w:val="center"/>
            <w:rPr>
              <w:bCs/>
              <w:iCs/>
              <w:sz w:val="20"/>
              <w:szCs w:val="20"/>
            </w:rPr>
          </w:pPr>
          <w:r>
            <w:rPr>
              <w:bCs/>
              <w:iCs/>
              <w:sz w:val="20"/>
              <w:szCs w:val="20"/>
            </w:rPr>
            <w:t>Medicine</w:t>
          </w:r>
        </w:p>
      </w:tc>
      <w:tc>
        <w:tcPr>
          <w:tcW w:w="1836" w:type="dxa"/>
        </w:tcPr>
        <w:p w14:paraId="6EAFC957"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760ADC42"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54D182FB" w14:textId="77777777" w:rsidTr="008E1ED9">
      <w:trPr>
        <w:jc w:val="center"/>
      </w:trPr>
      <w:tc>
        <w:tcPr>
          <w:tcW w:w="1515" w:type="dxa"/>
        </w:tcPr>
        <w:p w14:paraId="11DB688F"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2946F87D"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22B79247"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7773707A"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22AEEB7D"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2B8CD4EE"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2257292F" w14:textId="77777777" w:rsidTr="008E1ED9">
      <w:trPr>
        <w:jc w:val="center"/>
      </w:trPr>
      <w:tc>
        <w:tcPr>
          <w:tcW w:w="1515" w:type="dxa"/>
        </w:tcPr>
        <w:p w14:paraId="049AACD5" w14:textId="0A07C98E" w:rsidR="008A3DD8" w:rsidRPr="00954F7B" w:rsidRDefault="00055FF1"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527</w:t>
          </w:r>
        </w:p>
      </w:tc>
      <w:tc>
        <w:tcPr>
          <w:tcW w:w="965" w:type="dxa"/>
        </w:tcPr>
        <w:p w14:paraId="3CE50C18" w14:textId="16063030" w:rsidR="008A3DD8" w:rsidRPr="00954F7B" w:rsidRDefault="00055FF1" w:rsidP="008A3DD8">
          <w:pPr>
            <w:pStyle w:val="Footer"/>
            <w:jc w:val="center"/>
            <w:rPr>
              <w:bCs/>
              <w:iCs/>
              <w:sz w:val="20"/>
              <w:szCs w:val="20"/>
            </w:rPr>
          </w:pPr>
          <w:r>
            <w:rPr>
              <w:bCs/>
              <w:iCs/>
              <w:sz w:val="20"/>
              <w:szCs w:val="20"/>
            </w:rPr>
            <w:t>1</w:t>
          </w:r>
        </w:p>
      </w:tc>
      <w:tc>
        <w:tcPr>
          <w:tcW w:w="1552" w:type="dxa"/>
        </w:tcPr>
        <w:p w14:paraId="3A0DCEB5" w14:textId="49F277A7" w:rsidR="008A3DD8" w:rsidRPr="00954F7B" w:rsidRDefault="00055FF1" w:rsidP="008A3DD8">
          <w:pPr>
            <w:pStyle w:val="Footer"/>
            <w:jc w:val="center"/>
            <w:rPr>
              <w:bCs/>
              <w:iCs/>
              <w:sz w:val="20"/>
              <w:szCs w:val="20"/>
            </w:rPr>
          </w:pPr>
          <w:r>
            <w:rPr>
              <w:bCs/>
              <w:iCs/>
              <w:sz w:val="20"/>
              <w:szCs w:val="20"/>
            </w:rPr>
            <w:t>30</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2024</w:t>
          </w:r>
        </w:p>
      </w:tc>
      <w:tc>
        <w:tcPr>
          <w:tcW w:w="1456" w:type="dxa"/>
        </w:tcPr>
        <w:p w14:paraId="3EBFD55D" w14:textId="51ABDD4C" w:rsidR="008A3DD8" w:rsidRPr="00954F7B" w:rsidRDefault="00055FF1"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10</w:t>
          </w:r>
          <w:r w:rsidR="008A3DD8" w:rsidRPr="00954F7B">
            <w:rPr>
              <w:bCs/>
              <w:iCs/>
              <w:sz w:val="20"/>
              <w:szCs w:val="20"/>
            </w:rPr>
            <w:t>/</w:t>
          </w:r>
          <w:r>
            <w:rPr>
              <w:bCs/>
              <w:iCs/>
              <w:sz w:val="20"/>
              <w:szCs w:val="20"/>
            </w:rPr>
            <w:t>2027</w:t>
          </w:r>
        </w:p>
      </w:tc>
      <w:tc>
        <w:tcPr>
          <w:tcW w:w="1746" w:type="dxa"/>
        </w:tcPr>
        <w:p w14:paraId="606921EE" w14:textId="375E83F4" w:rsidR="008A3DD8" w:rsidRPr="00954F7B" w:rsidRDefault="00055FF1" w:rsidP="008A3DD8">
          <w:pPr>
            <w:pStyle w:val="Footer"/>
            <w:jc w:val="center"/>
            <w:rPr>
              <w:bCs/>
              <w:iCs/>
              <w:sz w:val="20"/>
              <w:szCs w:val="20"/>
            </w:rPr>
          </w:pPr>
          <w:r>
            <w:rPr>
              <w:bCs/>
              <w:iCs/>
              <w:sz w:val="20"/>
              <w:szCs w:val="20"/>
            </w:rPr>
            <w:t>Medicine</w:t>
          </w:r>
        </w:p>
      </w:tc>
      <w:tc>
        <w:tcPr>
          <w:tcW w:w="1836" w:type="dxa"/>
        </w:tcPr>
        <w:p w14:paraId="3C479CCD"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04D3B935"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2655B" w14:textId="77777777" w:rsidR="00263CBE" w:rsidRDefault="00263CBE" w:rsidP="009D493B">
      <w:pPr>
        <w:spacing w:after="0" w:line="240" w:lineRule="auto"/>
      </w:pPr>
      <w:r>
        <w:separator/>
      </w:r>
    </w:p>
  </w:footnote>
  <w:footnote w:type="continuationSeparator" w:id="0">
    <w:p w14:paraId="7A806A2F" w14:textId="77777777" w:rsidR="00263CBE" w:rsidRDefault="00263CBE" w:rsidP="00A9080B">
      <w:pPr>
        <w:spacing w:after="0" w:line="240" w:lineRule="auto"/>
      </w:pPr>
      <w:r>
        <w:continuationSeparator/>
      </w:r>
    </w:p>
    <w:p w14:paraId="2B76943F" w14:textId="77777777" w:rsidR="00263CBE" w:rsidRDefault="00263CBE"/>
    <w:p w14:paraId="7F22026F" w14:textId="77777777" w:rsidR="00263CBE" w:rsidRDefault="00263C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F5AA" w14:textId="77777777" w:rsidR="008A3DD8" w:rsidRDefault="008A3DD8">
    <w:pPr>
      <w:pStyle w:val="Header"/>
    </w:pPr>
    <w:r w:rsidRPr="00324CF9">
      <w:rPr>
        <w:noProof/>
      </w:rPr>
      <w:drawing>
        <wp:inline distT="0" distB="0" distL="0" distR="0" wp14:anchorId="68731FF4" wp14:editId="239DB174">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790D"/>
    <w:multiLevelType w:val="hybridMultilevel"/>
    <w:tmpl w:val="5770CB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2190EF1"/>
    <w:multiLevelType w:val="multilevel"/>
    <w:tmpl w:val="DFB266F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79024A2"/>
    <w:multiLevelType w:val="multilevel"/>
    <w:tmpl w:val="04B26D8C"/>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4"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5" w15:restartNumberingAfterBreak="0">
    <w:nsid w:val="23C328BA"/>
    <w:multiLevelType w:val="multilevel"/>
    <w:tmpl w:val="3BA21A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0" w15:restartNumberingAfterBreak="0">
    <w:nsid w:val="5C684287"/>
    <w:multiLevelType w:val="multilevel"/>
    <w:tmpl w:val="033440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8E2FA2"/>
    <w:multiLevelType w:val="multilevel"/>
    <w:tmpl w:val="62C48FB0"/>
    <w:lvl w:ilvl="0">
      <w:start w:val="1"/>
      <w:numFmt w:val="decimal"/>
      <w:pStyle w:val="Numberedlist"/>
      <w:lvlText w:val="%1."/>
      <w:lvlJc w:val="left"/>
      <w:pPr>
        <w:ind w:left="425" w:hanging="425"/>
      </w:pPr>
      <w:rPr>
        <w:rFonts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2" w15:restartNumberingAfterBreak="0">
    <w:nsid w:val="6C583EA3"/>
    <w:multiLevelType w:val="multilevel"/>
    <w:tmpl w:val="622EF968"/>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CBB03E9"/>
    <w:multiLevelType w:val="hybridMultilevel"/>
    <w:tmpl w:val="640ECD6A"/>
    <w:lvl w:ilvl="0" w:tplc="0C09000F">
      <w:start w:val="1"/>
      <w:numFmt w:val="decimal"/>
      <w:lvlText w:val="%1."/>
      <w:lvlJc w:val="left"/>
      <w:pPr>
        <w:ind w:left="360" w:hanging="360"/>
      </w:pPr>
      <w:rPr>
        <w:rFonts w:hint="default"/>
        <w:b w:val="0"/>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48431774">
    <w:abstractNumId w:val="4"/>
  </w:num>
  <w:num w:numId="2" w16cid:durableId="842209657">
    <w:abstractNumId w:val="3"/>
  </w:num>
  <w:num w:numId="3" w16cid:durableId="1971085616">
    <w:abstractNumId w:val="7"/>
  </w:num>
  <w:num w:numId="4" w16cid:durableId="252517802">
    <w:abstractNumId w:val="8"/>
  </w:num>
  <w:num w:numId="5" w16cid:durableId="258952063">
    <w:abstractNumId w:val="11"/>
  </w:num>
  <w:num w:numId="6" w16cid:durableId="681904122">
    <w:abstractNumId w:val="6"/>
  </w:num>
  <w:num w:numId="7" w16cid:durableId="836698820">
    <w:abstractNumId w:val="9"/>
  </w:num>
  <w:num w:numId="8" w16cid:durableId="1488352714">
    <w:abstractNumId w:val="2"/>
  </w:num>
  <w:num w:numId="9" w16cid:durableId="3968275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2676538">
    <w:abstractNumId w:val="0"/>
  </w:num>
  <w:num w:numId="11" w16cid:durableId="1954240100">
    <w:abstractNumId w:val="13"/>
  </w:num>
  <w:num w:numId="12" w16cid:durableId="972176958">
    <w:abstractNumId w:val="10"/>
  </w:num>
  <w:num w:numId="13" w16cid:durableId="1344940444">
    <w:abstractNumId w:val="5"/>
  </w:num>
  <w:num w:numId="14" w16cid:durableId="150953189">
    <w:abstractNumId w:val="1"/>
  </w:num>
  <w:num w:numId="15" w16cid:durableId="1630435325">
    <w:abstractNumId w:val="12"/>
  </w:num>
  <w:num w:numId="16" w16cid:durableId="958608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F9"/>
    <w:rsid w:val="00000822"/>
    <w:rsid w:val="00003728"/>
    <w:rsid w:val="00004B91"/>
    <w:rsid w:val="00006344"/>
    <w:rsid w:val="000068B9"/>
    <w:rsid w:val="000115AB"/>
    <w:rsid w:val="000118F1"/>
    <w:rsid w:val="00012DA7"/>
    <w:rsid w:val="00014646"/>
    <w:rsid w:val="0001473F"/>
    <w:rsid w:val="00014D0A"/>
    <w:rsid w:val="00015018"/>
    <w:rsid w:val="000246D6"/>
    <w:rsid w:val="00025C12"/>
    <w:rsid w:val="00027053"/>
    <w:rsid w:val="000329D8"/>
    <w:rsid w:val="000347FB"/>
    <w:rsid w:val="00035A11"/>
    <w:rsid w:val="00041D05"/>
    <w:rsid w:val="00042268"/>
    <w:rsid w:val="00043534"/>
    <w:rsid w:val="00046D4C"/>
    <w:rsid w:val="00047707"/>
    <w:rsid w:val="00050A6B"/>
    <w:rsid w:val="00051318"/>
    <w:rsid w:val="000513FD"/>
    <w:rsid w:val="00052D11"/>
    <w:rsid w:val="00053BD7"/>
    <w:rsid w:val="00053CC3"/>
    <w:rsid w:val="00053D2F"/>
    <w:rsid w:val="0005461D"/>
    <w:rsid w:val="00055FF1"/>
    <w:rsid w:val="0005626F"/>
    <w:rsid w:val="0005685E"/>
    <w:rsid w:val="000570A6"/>
    <w:rsid w:val="00061582"/>
    <w:rsid w:val="000707E9"/>
    <w:rsid w:val="00070945"/>
    <w:rsid w:val="000717BA"/>
    <w:rsid w:val="00073FFA"/>
    <w:rsid w:val="00075506"/>
    <w:rsid w:val="00076E9D"/>
    <w:rsid w:val="0007715A"/>
    <w:rsid w:val="00080F06"/>
    <w:rsid w:val="00080FC2"/>
    <w:rsid w:val="00081780"/>
    <w:rsid w:val="000825CF"/>
    <w:rsid w:val="00082C60"/>
    <w:rsid w:val="00082EB1"/>
    <w:rsid w:val="00083D66"/>
    <w:rsid w:val="000848B6"/>
    <w:rsid w:val="000858DB"/>
    <w:rsid w:val="000905E4"/>
    <w:rsid w:val="000913D8"/>
    <w:rsid w:val="0009157D"/>
    <w:rsid w:val="000915F8"/>
    <w:rsid w:val="00096D01"/>
    <w:rsid w:val="000A3AA0"/>
    <w:rsid w:val="000A3C81"/>
    <w:rsid w:val="000A3F9B"/>
    <w:rsid w:val="000A4C7E"/>
    <w:rsid w:val="000A6268"/>
    <w:rsid w:val="000B4346"/>
    <w:rsid w:val="000B4DF9"/>
    <w:rsid w:val="000B6A88"/>
    <w:rsid w:val="000C36A3"/>
    <w:rsid w:val="000C3973"/>
    <w:rsid w:val="000C48B1"/>
    <w:rsid w:val="000C57C6"/>
    <w:rsid w:val="000C76AA"/>
    <w:rsid w:val="000D0A42"/>
    <w:rsid w:val="000D46FD"/>
    <w:rsid w:val="000D713F"/>
    <w:rsid w:val="000D742A"/>
    <w:rsid w:val="000D7D8C"/>
    <w:rsid w:val="000E058F"/>
    <w:rsid w:val="000E07C3"/>
    <w:rsid w:val="000E1D08"/>
    <w:rsid w:val="000E5739"/>
    <w:rsid w:val="000E7683"/>
    <w:rsid w:val="000E77F0"/>
    <w:rsid w:val="000F1EB3"/>
    <w:rsid w:val="000F288B"/>
    <w:rsid w:val="000F300A"/>
    <w:rsid w:val="000F3A4B"/>
    <w:rsid w:val="000F52E5"/>
    <w:rsid w:val="000F5C20"/>
    <w:rsid w:val="000F79A8"/>
    <w:rsid w:val="000F79EA"/>
    <w:rsid w:val="0010164B"/>
    <w:rsid w:val="00102600"/>
    <w:rsid w:val="00107118"/>
    <w:rsid w:val="00110D97"/>
    <w:rsid w:val="00112DAD"/>
    <w:rsid w:val="00115E22"/>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6EC"/>
    <w:rsid w:val="00154D8C"/>
    <w:rsid w:val="001575C5"/>
    <w:rsid w:val="001600FA"/>
    <w:rsid w:val="001616DD"/>
    <w:rsid w:val="00161AE4"/>
    <w:rsid w:val="00161FDC"/>
    <w:rsid w:val="00164AA5"/>
    <w:rsid w:val="00165EE9"/>
    <w:rsid w:val="00166052"/>
    <w:rsid w:val="001660FE"/>
    <w:rsid w:val="00167C17"/>
    <w:rsid w:val="0017051B"/>
    <w:rsid w:val="00171B11"/>
    <w:rsid w:val="00173EDD"/>
    <w:rsid w:val="00174ECE"/>
    <w:rsid w:val="00175212"/>
    <w:rsid w:val="00175FF8"/>
    <w:rsid w:val="001767CA"/>
    <w:rsid w:val="00181504"/>
    <w:rsid w:val="00181729"/>
    <w:rsid w:val="001819E4"/>
    <w:rsid w:val="00182013"/>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A0124"/>
    <w:rsid w:val="001A1DD6"/>
    <w:rsid w:val="001A2273"/>
    <w:rsid w:val="001A4BAB"/>
    <w:rsid w:val="001A62DF"/>
    <w:rsid w:val="001B0DC3"/>
    <w:rsid w:val="001B1A6A"/>
    <w:rsid w:val="001B3430"/>
    <w:rsid w:val="001C0F5C"/>
    <w:rsid w:val="001C108E"/>
    <w:rsid w:val="001C1ECB"/>
    <w:rsid w:val="001C223C"/>
    <w:rsid w:val="001C263F"/>
    <w:rsid w:val="001C5958"/>
    <w:rsid w:val="001C6E8F"/>
    <w:rsid w:val="001D12A9"/>
    <w:rsid w:val="001D140D"/>
    <w:rsid w:val="001D150B"/>
    <w:rsid w:val="001D195F"/>
    <w:rsid w:val="001D1D26"/>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2012D2"/>
    <w:rsid w:val="00201E5A"/>
    <w:rsid w:val="0020360D"/>
    <w:rsid w:val="002050C8"/>
    <w:rsid w:val="0020612C"/>
    <w:rsid w:val="00211BFA"/>
    <w:rsid w:val="00212F1D"/>
    <w:rsid w:val="0022138F"/>
    <w:rsid w:val="00225769"/>
    <w:rsid w:val="00225E3B"/>
    <w:rsid w:val="00227104"/>
    <w:rsid w:val="00230054"/>
    <w:rsid w:val="0023668B"/>
    <w:rsid w:val="00240DC9"/>
    <w:rsid w:val="00242601"/>
    <w:rsid w:val="002427B0"/>
    <w:rsid w:val="00244149"/>
    <w:rsid w:val="00245BF4"/>
    <w:rsid w:val="00246EDC"/>
    <w:rsid w:val="00247BAF"/>
    <w:rsid w:val="00247C74"/>
    <w:rsid w:val="00251D96"/>
    <w:rsid w:val="00253A48"/>
    <w:rsid w:val="00253EC8"/>
    <w:rsid w:val="0025483C"/>
    <w:rsid w:val="00256701"/>
    <w:rsid w:val="0026085A"/>
    <w:rsid w:val="00263CBE"/>
    <w:rsid w:val="002700D3"/>
    <w:rsid w:val="0027262B"/>
    <w:rsid w:val="00274308"/>
    <w:rsid w:val="00274379"/>
    <w:rsid w:val="00280051"/>
    <w:rsid w:val="00280C5D"/>
    <w:rsid w:val="00281798"/>
    <w:rsid w:val="00281830"/>
    <w:rsid w:val="002819D1"/>
    <w:rsid w:val="002827C4"/>
    <w:rsid w:val="00284D13"/>
    <w:rsid w:val="00290CB7"/>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56A1"/>
    <w:rsid w:val="002D59A9"/>
    <w:rsid w:val="002D5A00"/>
    <w:rsid w:val="002E135E"/>
    <w:rsid w:val="002E1E63"/>
    <w:rsid w:val="002E1FA1"/>
    <w:rsid w:val="002E63E1"/>
    <w:rsid w:val="002E6515"/>
    <w:rsid w:val="002E6517"/>
    <w:rsid w:val="002E6687"/>
    <w:rsid w:val="002F2A26"/>
    <w:rsid w:val="002F6957"/>
    <w:rsid w:val="002F6A0C"/>
    <w:rsid w:val="002F6CB3"/>
    <w:rsid w:val="002F7308"/>
    <w:rsid w:val="002F7DE5"/>
    <w:rsid w:val="002F7DF1"/>
    <w:rsid w:val="003007EA"/>
    <w:rsid w:val="003027B6"/>
    <w:rsid w:val="00306981"/>
    <w:rsid w:val="00307FDA"/>
    <w:rsid w:val="0031196F"/>
    <w:rsid w:val="00312B51"/>
    <w:rsid w:val="00312C39"/>
    <w:rsid w:val="00312E2F"/>
    <w:rsid w:val="00314716"/>
    <w:rsid w:val="00314ACE"/>
    <w:rsid w:val="00316881"/>
    <w:rsid w:val="00316C9F"/>
    <w:rsid w:val="00317020"/>
    <w:rsid w:val="00317101"/>
    <w:rsid w:val="003172CB"/>
    <w:rsid w:val="00317F10"/>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04C7"/>
    <w:rsid w:val="003518BF"/>
    <w:rsid w:val="00352DA1"/>
    <w:rsid w:val="0035392C"/>
    <w:rsid w:val="00354558"/>
    <w:rsid w:val="00363564"/>
    <w:rsid w:val="0036465D"/>
    <w:rsid w:val="00372477"/>
    <w:rsid w:val="00372544"/>
    <w:rsid w:val="0037341B"/>
    <w:rsid w:val="00376B5F"/>
    <w:rsid w:val="00377AD9"/>
    <w:rsid w:val="00380288"/>
    <w:rsid w:val="0038106F"/>
    <w:rsid w:val="003817A2"/>
    <w:rsid w:val="00385359"/>
    <w:rsid w:val="00385468"/>
    <w:rsid w:val="00386B8C"/>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8E8"/>
    <w:rsid w:val="003C5F3E"/>
    <w:rsid w:val="003C7810"/>
    <w:rsid w:val="003C7CB1"/>
    <w:rsid w:val="003D10DD"/>
    <w:rsid w:val="003D1C0C"/>
    <w:rsid w:val="003D2DDD"/>
    <w:rsid w:val="003D3B16"/>
    <w:rsid w:val="003D60E0"/>
    <w:rsid w:val="003D709B"/>
    <w:rsid w:val="003D7463"/>
    <w:rsid w:val="003E0103"/>
    <w:rsid w:val="003E0A22"/>
    <w:rsid w:val="003E727F"/>
    <w:rsid w:val="003E765B"/>
    <w:rsid w:val="003E7D3D"/>
    <w:rsid w:val="003F01DF"/>
    <w:rsid w:val="003F2C18"/>
    <w:rsid w:val="003F6C0E"/>
    <w:rsid w:val="0040691E"/>
    <w:rsid w:val="00407C75"/>
    <w:rsid w:val="00411B14"/>
    <w:rsid w:val="00412C91"/>
    <w:rsid w:val="004132C5"/>
    <w:rsid w:val="00414064"/>
    <w:rsid w:val="00414397"/>
    <w:rsid w:val="00415DFF"/>
    <w:rsid w:val="00417745"/>
    <w:rsid w:val="004236A8"/>
    <w:rsid w:val="00423CA6"/>
    <w:rsid w:val="0042634E"/>
    <w:rsid w:val="0042734A"/>
    <w:rsid w:val="0042746C"/>
    <w:rsid w:val="00430454"/>
    <w:rsid w:val="00432036"/>
    <w:rsid w:val="004326A8"/>
    <w:rsid w:val="004328A4"/>
    <w:rsid w:val="0043336B"/>
    <w:rsid w:val="00436B86"/>
    <w:rsid w:val="0043706A"/>
    <w:rsid w:val="004401B0"/>
    <w:rsid w:val="00441154"/>
    <w:rsid w:val="00441D90"/>
    <w:rsid w:val="00442224"/>
    <w:rsid w:val="00442979"/>
    <w:rsid w:val="0044376D"/>
    <w:rsid w:val="004444EE"/>
    <w:rsid w:val="00446394"/>
    <w:rsid w:val="00446CA1"/>
    <w:rsid w:val="004524CF"/>
    <w:rsid w:val="00452582"/>
    <w:rsid w:val="0045458D"/>
    <w:rsid w:val="00454812"/>
    <w:rsid w:val="004549FE"/>
    <w:rsid w:val="00454D38"/>
    <w:rsid w:val="00455C81"/>
    <w:rsid w:val="00457272"/>
    <w:rsid w:val="00457DCC"/>
    <w:rsid w:val="00461A18"/>
    <w:rsid w:val="00462060"/>
    <w:rsid w:val="00463C1A"/>
    <w:rsid w:val="00463EEC"/>
    <w:rsid w:val="004640FF"/>
    <w:rsid w:val="00465490"/>
    <w:rsid w:val="004706F1"/>
    <w:rsid w:val="00473FD3"/>
    <w:rsid w:val="00474746"/>
    <w:rsid w:val="00474A6A"/>
    <w:rsid w:val="00475AAB"/>
    <w:rsid w:val="00477432"/>
    <w:rsid w:val="00480537"/>
    <w:rsid w:val="00480DA2"/>
    <w:rsid w:val="00481A6C"/>
    <w:rsid w:val="004830A7"/>
    <w:rsid w:val="0048389D"/>
    <w:rsid w:val="00486165"/>
    <w:rsid w:val="00487DDF"/>
    <w:rsid w:val="0049014C"/>
    <w:rsid w:val="00492356"/>
    <w:rsid w:val="004957A2"/>
    <w:rsid w:val="00496167"/>
    <w:rsid w:val="004A0201"/>
    <w:rsid w:val="004A178D"/>
    <w:rsid w:val="004A1C33"/>
    <w:rsid w:val="004A7A7F"/>
    <w:rsid w:val="004B031B"/>
    <w:rsid w:val="004B474F"/>
    <w:rsid w:val="004B68F8"/>
    <w:rsid w:val="004C221A"/>
    <w:rsid w:val="004C39F8"/>
    <w:rsid w:val="004C416A"/>
    <w:rsid w:val="004C55B7"/>
    <w:rsid w:val="004C5D35"/>
    <w:rsid w:val="004D0A68"/>
    <w:rsid w:val="004D20BF"/>
    <w:rsid w:val="004D2C70"/>
    <w:rsid w:val="004D31D0"/>
    <w:rsid w:val="004D31F1"/>
    <w:rsid w:val="004D4286"/>
    <w:rsid w:val="004D4733"/>
    <w:rsid w:val="004D4B45"/>
    <w:rsid w:val="004D5351"/>
    <w:rsid w:val="004D6C3E"/>
    <w:rsid w:val="004D7B29"/>
    <w:rsid w:val="004E14DE"/>
    <w:rsid w:val="004E2562"/>
    <w:rsid w:val="004E2DDE"/>
    <w:rsid w:val="004E2E2F"/>
    <w:rsid w:val="004E4DD6"/>
    <w:rsid w:val="004E7CE8"/>
    <w:rsid w:val="004F08F1"/>
    <w:rsid w:val="004F1BEF"/>
    <w:rsid w:val="004F1D1C"/>
    <w:rsid w:val="004F2430"/>
    <w:rsid w:val="004F2B91"/>
    <w:rsid w:val="004F3034"/>
    <w:rsid w:val="004F37E6"/>
    <w:rsid w:val="004F435E"/>
    <w:rsid w:val="00501C54"/>
    <w:rsid w:val="00506D24"/>
    <w:rsid w:val="005077D2"/>
    <w:rsid w:val="005118F6"/>
    <w:rsid w:val="005121B5"/>
    <w:rsid w:val="0051350A"/>
    <w:rsid w:val="00517604"/>
    <w:rsid w:val="00517DA5"/>
    <w:rsid w:val="00517FA4"/>
    <w:rsid w:val="00525801"/>
    <w:rsid w:val="0052630B"/>
    <w:rsid w:val="00530642"/>
    <w:rsid w:val="00530F88"/>
    <w:rsid w:val="00532336"/>
    <w:rsid w:val="00532B1C"/>
    <w:rsid w:val="00532EB9"/>
    <w:rsid w:val="00533388"/>
    <w:rsid w:val="00534E1F"/>
    <w:rsid w:val="005364AF"/>
    <w:rsid w:val="00537269"/>
    <w:rsid w:val="00540533"/>
    <w:rsid w:val="005412CE"/>
    <w:rsid w:val="0054370E"/>
    <w:rsid w:val="005443C8"/>
    <w:rsid w:val="0054683B"/>
    <w:rsid w:val="00551E99"/>
    <w:rsid w:val="00552527"/>
    <w:rsid w:val="00553EF2"/>
    <w:rsid w:val="005558E1"/>
    <w:rsid w:val="005564A4"/>
    <w:rsid w:val="0055674C"/>
    <w:rsid w:val="005606CB"/>
    <w:rsid w:val="00563FD8"/>
    <w:rsid w:val="00564817"/>
    <w:rsid w:val="0056512E"/>
    <w:rsid w:val="0056561D"/>
    <w:rsid w:val="005700F3"/>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6C67"/>
    <w:rsid w:val="005C71BC"/>
    <w:rsid w:val="005D01D6"/>
    <w:rsid w:val="005D2629"/>
    <w:rsid w:val="005D4A78"/>
    <w:rsid w:val="005D5263"/>
    <w:rsid w:val="005D54F1"/>
    <w:rsid w:val="005D5820"/>
    <w:rsid w:val="005E03EB"/>
    <w:rsid w:val="005E3D07"/>
    <w:rsid w:val="005E6B49"/>
    <w:rsid w:val="005E7252"/>
    <w:rsid w:val="005E7AA8"/>
    <w:rsid w:val="005F02C2"/>
    <w:rsid w:val="005F70F7"/>
    <w:rsid w:val="005F797F"/>
    <w:rsid w:val="006046D3"/>
    <w:rsid w:val="00605E3B"/>
    <w:rsid w:val="006065E8"/>
    <w:rsid w:val="00607A1E"/>
    <w:rsid w:val="00607B4C"/>
    <w:rsid w:val="00610940"/>
    <w:rsid w:val="006155F0"/>
    <w:rsid w:val="00616766"/>
    <w:rsid w:val="00620386"/>
    <w:rsid w:val="006253B6"/>
    <w:rsid w:val="00625A15"/>
    <w:rsid w:val="00627BD8"/>
    <w:rsid w:val="00631685"/>
    <w:rsid w:val="0063178C"/>
    <w:rsid w:val="006349C4"/>
    <w:rsid w:val="00636177"/>
    <w:rsid w:val="006361D0"/>
    <w:rsid w:val="00637BE8"/>
    <w:rsid w:val="00637C90"/>
    <w:rsid w:val="00637D76"/>
    <w:rsid w:val="00640A07"/>
    <w:rsid w:val="0064271E"/>
    <w:rsid w:val="006431FF"/>
    <w:rsid w:val="0064333A"/>
    <w:rsid w:val="006446A8"/>
    <w:rsid w:val="00644F89"/>
    <w:rsid w:val="006553EC"/>
    <w:rsid w:val="00655674"/>
    <w:rsid w:val="00656027"/>
    <w:rsid w:val="00656746"/>
    <w:rsid w:val="006623D2"/>
    <w:rsid w:val="00666680"/>
    <w:rsid w:val="0067005A"/>
    <w:rsid w:val="006705ED"/>
    <w:rsid w:val="00680130"/>
    <w:rsid w:val="006824E0"/>
    <w:rsid w:val="006837BB"/>
    <w:rsid w:val="00684A68"/>
    <w:rsid w:val="00685883"/>
    <w:rsid w:val="00691C90"/>
    <w:rsid w:val="00692458"/>
    <w:rsid w:val="00693240"/>
    <w:rsid w:val="0069388D"/>
    <w:rsid w:val="006A0160"/>
    <w:rsid w:val="006A31AB"/>
    <w:rsid w:val="006A5215"/>
    <w:rsid w:val="006B18B2"/>
    <w:rsid w:val="006B3640"/>
    <w:rsid w:val="006B61AC"/>
    <w:rsid w:val="006B6C90"/>
    <w:rsid w:val="006B7CA7"/>
    <w:rsid w:val="006C1521"/>
    <w:rsid w:val="006C39B7"/>
    <w:rsid w:val="006C3C89"/>
    <w:rsid w:val="006C4E7E"/>
    <w:rsid w:val="006C7001"/>
    <w:rsid w:val="006C7362"/>
    <w:rsid w:val="006D11DF"/>
    <w:rsid w:val="006D2547"/>
    <w:rsid w:val="006D3EF5"/>
    <w:rsid w:val="006D47A7"/>
    <w:rsid w:val="006E0951"/>
    <w:rsid w:val="006E10A6"/>
    <w:rsid w:val="006E1E7C"/>
    <w:rsid w:val="006E2402"/>
    <w:rsid w:val="006E4456"/>
    <w:rsid w:val="006E462E"/>
    <w:rsid w:val="006E4EFE"/>
    <w:rsid w:val="006E5856"/>
    <w:rsid w:val="006E7099"/>
    <w:rsid w:val="006E71A5"/>
    <w:rsid w:val="006E73F9"/>
    <w:rsid w:val="006F0585"/>
    <w:rsid w:val="006F47AA"/>
    <w:rsid w:val="006F5556"/>
    <w:rsid w:val="006F5722"/>
    <w:rsid w:val="006F73C8"/>
    <w:rsid w:val="00700549"/>
    <w:rsid w:val="00700B1E"/>
    <w:rsid w:val="00700B46"/>
    <w:rsid w:val="00702088"/>
    <w:rsid w:val="00702564"/>
    <w:rsid w:val="007033DE"/>
    <w:rsid w:val="00703CCF"/>
    <w:rsid w:val="00705460"/>
    <w:rsid w:val="007116EA"/>
    <w:rsid w:val="00712F00"/>
    <w:rsid w:val="00721B04"/>
    <w:rsid w:val="00721D14"/>
    <w:rsid w:val="00721E2A"/>
    <w:rsid w:val="00724D61"/>
    <w:rsid w:val="007277AF"/>
    <w:rsid w:val="00735CAA"/>
    <w:rsid w:val="0073719C"/>
    <w:rsid w:val="0074227D"/>
    <w:rsid w:val="00742E09"/>
    <w:rsid w:val="00744C1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67B5F"/>
    <w:rsid w:val="00770769"/>
    <w:rsid w:val="00770AE2"/>
    <w:rsid w:val="0077225F"/>
    <w:rsid w:val="00774042"/>
    <w:rsid w:val="00774FDE"/>
    <w:rsid w:val="00775D89"/>
    <w:rsid w:val="00777EE3"/>
    <w:rsid w:val="00780596"/>
    <w:rsid w:val="007812CF"/>
    <w:rsid w:val="0078367D"/>
    <w:rsid w:val="00784D38"/>
    <w:rsid w:val="00785234"/>
    <w:rsid w:val="0079392E"/>
    <w:rsid w:val="00794079"/>
    <w:rsid w:val="00794435"/>
    <w:rsid w:val="00794ACF"/>
    <w:rsid w:val="007A1603"/>
    <w:rsid w:val="007A1BDE"/>
    <w:rsid w:val="007A2F1C"/>
    <w:rsid w:val="007A682A"/>
    <w:rsid w:val="007A7F29"/>
    <w:rsid w:val="007B03DA"/>
    <w:rsid w:val="007B08A5"/>
    <w:rsid w:val="007B3138"/>
    <w:rsid w:val="007B40DC"/>
    <w:rsid w:val="007B6F78"/>
    <w:rsid w:val="007B75F4"/>
    <w:rsid w:val="007C10BA"/>
    <w:rsid w:val="007C1998"/>
    <w:rsid w:val="007C2324"/>
    <w:rsid w:val="007C2806"/>
    <w:rsid w:val="007C3697"/>
    <w:rsid w:val="007C5C1B"/>
    <w:rsid w:val="007D171B"/>
    <w:rsid w:val="007D2DE4"/>
    <w:rsid w:val="007D3448"/>
    <w:rsid w:val="007E04CD"/>
    <w:rsid w:val="007E3320"/>
    <w:rsid w:val="007E4E9A"/>
    <w:rsid w:val="007F29F8"/>
    <w:rsid w:val="007F2D82"/>
    <w:rsid w:val="007F43F2"/>
    <w:rsid w:val="007F48B2"/>
    <w:rsid w:val="007F4EF0"/>
    <w:rsid w:val="007F5CFF"/>
    <w:rsid w:val="0081013E"/>
    <w:rsid w:val="008113B4"/>
    <w:rsid w:val="008114F0"/>
    <w:rsid w:val="00811D0A"/>
    <w:rsid w:val="00814D74"/>
    <w:rsid w:val="00814DE5"/>
    <w:rsid w:val="00817897"/>
    <w:rsid w:val="00820942"/>
    <w:rsid w:val="008248D1"/>
    <w:rsid w:val="0082586A"/>
    <w:rsid w:val="008261B4"/>
    <w:rsid w:val="00827EDE"/>
    <w:rsid w:val="00830C2F"/>
    <w:rsid w:val="00832EF6"/>
    <w:rsid w:val="008335C6"/>
    <w:rsid w:val="008358B4"/>
    <w:rsid w:val="00842EF4"/>
    <w:rsid w:val="00845AA0"/>
    <w:rsid w:val="008510FF"/>
    <w:rsid w:val="00852BCD"/>
    <w:rsid w:val="008530BE"/>
    <w:rsid w:val="008540FA"/>
    <w:rsid w:val="008606A0"/>
    <w:rsid w:val="00861E1B"/>
    <w:rsid w:val="00863446"/>
    <w:rsid w:val="00863E4E"/>
    <w:rsid w:val="008664CA"/>
    <w:rsid w:val="00867895"/>
    <w:rsid w:val="00875785"/>
    <w:rsid w:val="00875FE9"/>
    <w:rsid w:val="0087684F"/>
    <w:rsid w:val="00876CAC"/>
    <w:rsid w:val="00883015"/>
    <w:rsid w:val="00885A76"/>
    <w:rsid w:val="00886079"/>
    <w:rsid w:val="00891F34"/>
    <w:rsid w:val="008943BB"/>
    <w:rsid w:val="00895C04"/>
    <w:rsid w:val="008970B7"/>
    <w:rsid w:val="008A0530"/>
    <w:rsid w:val="008A1B21"/>
    <w:rsid w:val="008A3DD8"/>
    <w:rsid w:val="008A3F85"/>
    <w:rsid w:val="008A47BD"/>
    <w:rsid w:val="008A51E8"/>
    <w:rsid w:val="008B0AC9"/>
    <w:rsid w:val="008B0F37"/>
    <w:rsid w:val="008B45BE"/>
    <w:rsid w:val="008B55D2"/>
    <w:rsid w:val="008B5C21"/>
    <w:rsid w:val="008B74DE"/>
    <w:rsid w:val="008B791D"/>
    <w:rsid w:val="008C1C7C"/>
    <w:rsid w:val="008C208A"/>
    <w:rsid w:val="008D0538"/>
    <w:rsid w:val="008D0D9A"/>
    <w:rsid w:val="008D2CA8"/>
    <w:rsid w:val="008D4AA6"/>
    <w:rsid w:val="008D5534"/>
    <w:rsid w:val="008E0CD4"/>
    <w:rsid w:val="008E2267"/>
    <w:rsid w:val="008F0F03"/>
    <w:rsid w:val="008F1341"/>
    <w:rsid w:val="008F2CF5"/>
    <w:rsid w:val="008F3034"/>
    <w:rsid w:val="008F3194"/>
    <w:rsid w:val="008F52A4"/>
    <w:rsid w:val="008F5E84"/>
    <w:rsid w:val="008F65FF"/>
    <w:rsid w:val="00901E01"/>
    <w:rsid w:val="00902D2B"/>
    <w:rsid w:val="00904BC8"/>
    <w:rsid w:val="00906D5B"/>
    <w:rsid w:val="00907133"/>
    <w:rsid w:val="009071E8"/>
    <w:rsid w:val="009118F6"/>
    <w:rsid w:val="00911EB8"/>
    <w:rsid w:val="00912168"/>
    <w:rsid w:val="009139C7"/>
    <w:rsid w:val="00913CAC"/>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C28"/>
    <w:rsid w:val="00936DC9"/>
    <w:rsid w:val="00936E45"/>
    <w:rsid w:val="00936F4C"/>
    <w:rsid w:val="0093796A"/>
    <w:rsid w:val="00940816"/>
    <w:rsid w:val="00942585"/>
    <w:rsid w:val="0094333E"/>
    <w:rsid w:val="009448F7"/>
    <w:rsid w:val="0094578F"/>
    <w:rsid w:val="00945A1D"/>
    <w:rsid w:val="00945CC4"/>
    <w:rsid w:val="0094622E"/>
    <w:rsid w:val="00946533"/>
    <w:rsid w:val="00947A11"/>
    <w:rsid w:val="0095050A"/>
    <w:rsid w:val="0095266F"/>
    <w:rsid w:val="00953E59"/>
    <w:rsid w:val="0095533A"/>
    <w:rsid w:val="00955FC4"/>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5A13"/>
    <w:rsid w:val="00977BFB"/>
    <w:rsid w:val="009822A6"/>
    <w:rsid w:val="00982385"/>
    <w:rsid w:val="00982810"/>
    <w:rsid w:val="009903CC"/>
    <w:rsid w:val="00995B1B"/>
    <w:rsid w:val="009A1396"/>
    <w:rsid w:val="009A2981"/>
    <w:rsid w:val="009A336D"/>
    <w:rsid w:val="009A5010"/>
    <w:rsid w:val="009A510F"/>
    <w:rsid w:val="009A63B5"/>
    <w:rsid w:val="009A7037"/>
    <w:rsid w:val="009B1778"/>
    <w:rsid w:val="009C11CF"/>
    <w:rsid w:val="009C13FA"/>
    <w:rsid w:val="009C19F5"/>
    <w:rsid w:val="009C2AED"/>
    <w:rsid w:val="009C3490"/>
    <w:rsid w:val="009C3BB0"/>
    <w:rsid w:val="009C72D3"/>
    <w:rsid w:val="009D1FC0"/>
    <w:rsid w:val="009D2863"/>
    <w:rsid w:val="009D4238"/>
    <w:rsid w:val="009D4485"/>
    <w:rsid w:val="009D493B"/>
    <w:rsid w:val="009D5E09"/>
    <w:rsid w:val="009D5EE5"/>
    <w:rsid w:val="009D5F1E"/>
    <w:rsid w:val="009D7580"/>
    <w:rsid w:val="009E00C4"/>
    <w:rsid w:val="009E0C7A"/>
    <w:rsid w:val="009E0E38"/>
    <w:rsid w:val="009E31CD"/>
    <w:rsid w:val="009E53F4"/>
    <w:rsid w:val="009E59FA"/>
    <w:rsid w:val="009F0D36"/>
    <w:rsid w:val="009F0DD1"/>
    <w:rsid w:val="009F1833"/>
    <w:rsid w:val="009F5063"/>
    <w:rsid w:val="009F72C8"/>
    <w:rsid w:val="00A006D5"/>
    <w:rsid w:val="00A01509"/>
    <w:rsid w:val="00A02651"/>
    <w:rsid w:val="00A0337B"/>
    <w:rsid w:val="00A035E4"/>
    <w:rsid w:val="00A03809"/>
    <w:rsid w:val="00A0459A"/>
    <w:rsid w:val="00A07C43"/>
    <w:rsid w:val="00A11045"/>
    <w:rsid w:val="00A116EA"/>
    <w:rsid w:val="00A11739"/>
    <w:rsid w:val="00A14311"/>
    <w:rsid w:val="00A1579B"/>
    <w:rsid w:val="00A20CEA"/>
    <w:rsid w:val="00A23686"/>
    <w:rsid w:val="00A24C42"/>
    <w:rsid w:val="00A2629A"/>
    <w:rsid w:val="00A26F1E"/>
    <w:rsid w:val="00A272D4"/>
    <w:rsid w:val="00A2737A"/>
    <w:rsid w:val="00A303C6"/>
    <w:rsid w:val="00A32873"/>
    <w:rsid w:val="00A32B6F"/>
    <w:rsid w:val="00A333F2"/>
    <w:rsid w:val="00A34EAB"/>
    <w:rsid w:val="00A41E01"/>
    <w:rsid w:val="00A42A55"/>
    <w:rsid w:val="00A435C8"/>
    <w:rsid w:val="00A456F5"/>
    <w:rsid w:val="00A45D6C"/>
    <w:rsid w:val="00A470E3"/>
    <w:rsid w:val="00A60388"/>
    <w:rsid w:val="00A60EED"/>
    <w:rsid w:val="00A6232E"/>
    <w:rsid w:val="00A64430"/>
    <w:rsid w:val="00A65C0A"/>
    <w:rsid w:val="00A66A2A"/>
    <w:rsid w:val="00A721C0"/>
    <w:rsid w:val="00A7294C"/>
    <w:rsid w:val="00A731B8"/>
    <w:rsid w:val="00A7517C"/>
    <w:rsid w:val="00A75652"/>
    <w:rsid w:val="00A774B1"/>
    <w:rsid w:val="00A84013"/>
    <w:rsid w:val="00A84E3E"/>
    <w:rsid w:val="00A856B1"/>
    <w:rsid w:val="00A875F3"/>
    <w:rsid w:val="00A9080B"/>
    <w:rsid w:val="00A90E16"/>
    <w:rsid w:val="00A94E61"/>
    <w:rsid w:val="00A957B0"/>
    <w:rsid w:val="00A96564"/>
    <w:rsid w:val="00A96CD8"/>
    <w:rsid w:val="00A979FD"/>
    <w:rsid w:val="00AA0B0E"/>
    <w:rsid w:val="00AA15EB"/>
    <w:rsid w:val="00AA2D7A"/>
    <w:rsid w:val="00AA2E86"/>
    <w:rsid w:val="00AA3549"/>
    <w:rsid w:val="00AA5307"/>
    <w:rsid w:val="00AB3BAC"/>
    <w:rsid w:val="00AB4AD3"/>
    <w:rsid w:val="00AC0797"/>
    <w:rsid w:val="00AC53AF"/>
    <w:rsid w:val="00AD0DC4"/>
    <w:rsid w:val="00AD4F9D"/>
    <w:rsid w:val="00AD628A"/>
    <w:rsid w:val="00AE05E1"/>
    <w:rsid w:val="00AE0AC0"/>
    <w:rsid w:val="00AE2123"/>
    <w:rsid w:val="00AE486F"/>
    <w:rsid w:val="00AE492D"/>
    <w:rsid w:val="00AE4939"/>
    <w:rsid w:val="00AE59E5"/>
    <w:rsid w:val="00AE629D"/>
    <w:rsid w:val="00AE68AC"/>
    <w:rsid w:val="00AE6938"/>
    <w:rsid w:val="00AE6DBC"/>
    <w:rsid w:val="00AF0A65"/>
    <w:rsid w:val="00AF223D"/>
    <w:rsid w:val="00AF22E7"/>
    <w:rsid w:val="00AF3F61"/>
    <w:rsid w:val="00AF532B"/>
    <w:rsid w:val="00AF5C4F"/>
    <w:rsid w:val="00AF62FB"/>
    <w:rsid w:val="00AF67A9"/>
    <w:rsid w:val="00B024D9"/>
    <w:rsid w:val="00B03BB9"/>
    <w:rsid w:val="00B03FFF"/>
    <w:rsid w:val="00B0502D"/>
    <w:rsid w:val="00B058EF"/>
    <w:rsid w:val="00B07F75"/>
    <w:rsid w:val="00B1039A"/>
    <w:rsid w:val="00B10AB7"/>
    <w:rsid w:val="00B1151B"/>
    <w:rsid w:val="00B14C5B"/>
    <w:rsid w:val="00B15E43"/>
    <w:rsid w:val="00B170A2"/>
    <w:rsid w:val="00B17F72"/>
    <w:rsid w:val="00B203FF"/>
    <w:rsid w:val="00B22277"/>
    <w:rsid w:val="00B22944"/>
    <w:rsid w:val="00B2758D"/>
    <w:rsid w:val="00B30482"/>
    <w:rsid w:val="00B31460"/>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2163"/>
    <w:rsid w:val="00B55EF6"/>
    <w:rsid w:val="00B61582"/>
    <w:rsid w:val="00B6217E"/>
    <w:rsid w:val="00B625F2"/>
    <w:rsid w:val="00B627C5"/>
    <w:rsid w:val="00B64367"/>
    <w:rsid w:val="00B64C8C"/>
    <w:rsid w:val="00B65F91"/>
    <w:rsid w:val="00B6769D"/>
    <w:rsid w:val="00B6772A"/>
    <w:rsid w:val="00B74772"/>
    <w:rsid w:val="00B75B2F"/>
    <w:rsid w:val="00B75FF5"/>
    <w:rsid w:val="00B82683"/>
    <w:rsid w:val="00B83559"/>
    <w:rsid w:val="00B8499D"/>
    <w:rsid w:val="00B853F1"/>
    <w:rsid w:val="00B86A43"/>
    <w:rsid w:val="00B91976"/>
    <w:rsid w:val="00B92CED"/>
    <w:rsid w:val="00B94117"/>
    <w:rsid w:val="00B968C2"/>
    <w:rsid w:val="00B9767E"/>
    <w:rsid w:val="00BA028D"/>
    <w:rsid w:val="00BA1722"/>
    <w:rsid w:val="00BA236B"/>
    <w:rsid w:val="00BA3E7C"/>
    <w:rsid w:val="00BA58B5"/>
    <w:rsid w:val="00BA62AA"/>
    <w:rsid w:val="00BA6C5D"/>
    <w:rsid w:val="00BA6DD4"/>
    <w:rsid w:val="00BB1636"/>
    <w:rsid w:val="00BB1B98"/>
    <w:rsid w:val="00BB2425"/>
    <w:rsid w:val="00BB5BAF"/>
    <w:rsid w:val="00BB6801"/>
    <w:rsid w:val="00BB7B1F"/>
    <w:rsid w:val="00BC12C5"/>
    <w:rsid w:val="00BC4D26"/>
    <w:rsid w:val="00BC5518"/>
    <w:rsid w:val="00BD054F"/>
    <w:rsid w:val="00BD078D"/>
    <w:rsid w:val="00BD166D"/>
    <w:rsid w:val="00BD429D"/>
    <w:rsid w:val="00BD44A9"/>
    <w:rsid w:val="00BD6D69"/>
    <w:rsid w:val="00BE02A0"/>
    <w:rsid w:val="00BE1188"/>
    <w:rsid w:val="00BE1539"/>
    <w:rsid w:val="00BE4EDA"/>
    <w:rsid w:val="00BE6BC3"/>
    <w:rsid w:val="00BF27FA"/>
    <w:rsid w:val="00BF2C23"/>
    <w:rsid w:val="00BF35EB"/>
    <w:rsid w:val="00BF36A0"/>
    <w:rsid w:val="00BF3884"/>
    <w:rsid w:val="00BF52DE"/>
    <w:rsid w:val="00BF6116"/>
    <w:rsid w:val="00C00318"/>
    <w:rsid w:val="00C01BE9"/>
    <w:rsid w:val="00C034D3"/>
    <w:rsid w:val="00C049CA"/>
    <w:rsid w:val="00C055ED"/>
    <w:rsid w:val="00C07276"/>
    <w:rsid w:val="00C07986"/>
    <w:rsid w:val="00C11030"/>
    <w:rsid w:val="00C111B1"/>
    <w:rsid w:val="00C11E48"/>
    <w:rsid w:val="00C12554"/>
    <w:rsid w:val="00C15F4D"/>
    <w:rsid w:val="00C202F8"/>
    <w:rsid w:val="00C20D92"/>
    <w:rsid w:val="00C221C1"/>
    <w:rsid w:val="00C22BC7"/>
    <w:rsid w:val="00C24670"/>
    <w:rsid w:val="00C25557"/>
    <w:rsid w:val="00C32FD3"/>
    <w:rsid w:val="00C3347F"/>
    <w:rsid w:val="00C338D7"/>
    <w:rsid w:val="00C33B14"/>
    <w:rsid w:val="00C34F92"/>
    <w:rsid w:val="00C36B93"/>
    <w:rsid w:val="00C36F3E"/>
    <w:rsid w:val="00C37A4C"/>
    <w:rsid w:val="00C40538"/>
    <w:rsid w:val="00C40F96"/>
    <w:rsid w:val="00C43EF4"/>
    <w:rsid w:val="00C4612C"/>
    <w:rsid w:val="00C47732"/>
    <w:rsid w:val="00C50963"/>
    <w:rsid w:val="00C50BD6"/>
    <w:rsid w:val="00C50FA2"/>
    <w:rsid w:val="00C51E26"/>
    <w:rsid w:val="00C54D16"/>
    <w:rsid w:val="00C55135"/>
    <w:rsid w:val="00C572DB"/>
    <w:rsid w:val="00C57A55"/>
    <w:rsid w:val="00C601F9"/>
    <w:rsid w:val="00C629F2"/>
    <w:rsid w:val="00C62A0C"/>
    <w:rsid w:val="00C635E2"/>
    <w:rsid w:val="00C66B75"/>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1E8"/>
    <w:rsid w:val="00C91310"/>
    <w:rsid w:val="00CA0192"/>
    <w:rsid w:val="00CA43CF"/>
    <w:rsid w:val="00CA43F1"/>
    <w:rsid w:val="00CA4FDE"/>
    <w:rsid w:val="00CA58AE"/>
    <w:rsid w:val="00CA70E7"/>
    <w:rsid w:val="00CB228A"/>
    <w:rsid w:val="00CB2E17"/>
    <w:rsid w:val="00CB3056"/>
    <w:rsid w:val="00CB3987"/>
    <w:rsid w:val="00CB7E08"/>
    <w:rsid w:val="00CC4F4F"/>
    <w:rsid w:val="00CC5AD8"/>
    <w:rsid w:val="00CD434F"/>
    <w:rsid w:val="00CD5D59"/>
    <w:rsid w:val="00CE1D90"/>
    <w:rsid w:val="00CE2446"/>
    <w:rsid w:val="00CE5F47"/>
    <w:rsid w:val="00CE6986"/>
    <w:rsid w:val="00CE78F5"/>
    <w:rsid w:val="00CF24D4"/>
    <w:rsid w:val="00CF3925"/>
    <w:rsid w:val="00CF409F"/>
    <w:rsid w:val="00D01536"/>
    <w:rsid w:val="00D027B9"/>
    <w:rsid w:val="00D0489B"/>
    <w:rsid w:val="00D052B4"/>
    <w:rsid w:val="00D07650"/>
    <w:rsid w:val="00D07A8B"/>
    <w:rsid w:val="00D10F72"/>
    <w:rsid w:val="00D113BD"/>
    <w:rsid w:val="00D12267"/>
    <w:rsid w:val="00D158E5"/>
    <w:rsid w:val="00D17891"/>
    <w:rsid w:val="00D206E0"/>
    <w:rsid w:val="00D21EB3"/>
    <w:rsid w:val="00D223CA"/>
    <w:rsid w:val="00D228B8"/>
    <w:rsid w:val="00D25E0F"/>
    <w:rsid w:val="00D27637"/>
    <w:rsid w:val="00D30343"/>
    <w:rsid w:val="00D31241"/>
    <w:rsid w:val="00D32F4D"/>
    <w:rsid w:val="00D3635A"/>
    <w:rsid w:val="00D36920"/>
    <w:rsid w:val="00D36B09"/>
    <w:rsid w:val="00D434D3"/>
    <w:rsid w:val="00D4358F"/>
    <w:rsid w:val="00D443D7"/>
    <w:rsid w:val="00D5188B"/>
    <w:rsid w:val="00D520E7"/>
    <w:rsid w:val="00D53C66"/>
    <w:rsid w:val="00D54319"/>
    <w:rsid w:val="00D56DA0"/>
    <w:rsid w:val="00D62138"/>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152"/>
    <w:rsid w:val="00D92CE7"/>
    <w:rsid w:val="00D931B6"/>
    <w:rsid w:val="00D95849"/>
    <w:rsid w:val="00D9595A"/>
    <w:rsid w:val="00D967DA"/>
    <w:rsid w:val="00D96A05"/>
    <w:rsid w:val="00D96ACC"/>
    <w:rsid w:val="00D974FB"/>
    <w:rsid w:val="00DA031B"/>
    <w:rsid w:val="00DA48F8"/>
    <w:rsid w:val="00DA60A4"/>
    <w:rsid w:val="00DB0295"/>
    <w:rsid w:val="00DB207B"/>
    <w:rsid w:val="00DB3285"/>
    <w:rsid w:val="00DB5138"/>
    <w:rsid w:val="00DB5BC1"/>
    <w:rsid w:val="00DB6108"/>
    <w:rsid w:val="00DC008F"/>
    <w:rsid w:val="00DC1266"/>
    <w:rsid w:val="00DD4464"/>
    <w:rsid w:val="00DD6074"/>
    <w:rsid w:val="00DD693A"/>
    <w:rsid w:val="00DE125D"/>
    <w:rsid w:val="00DE2692"/>
    <w:rsid w:val="00DE2CED"/>
    <w:rsid w:val="00DE5620"/>
    <w:rsid w:val="00DE5C6B"/>
    <w:rsid w:val="00DE6056"/>
    <w:rsid w:val="00DE6090"/>
    <w:rsid w:val="00DF1729"/>
    <w:rsid w:val="00DF1CBC"/>
    <w:rsid w:val="00DF3EFE"/>
    <w:rsid w:val="00DF5464"/>
    <w:rsid w:val="00E01DCD"/>
    <w:rsid w:val="00E02685"/>
    <w:rsid w:val="00E02724"/>
    <w:rsid w:val="00E0642F"/>
    <w:rsid w:val="00E07186"/>
    <w:rsid w:val="00E17DC5"/>
    <w:rsid w:val="00E21634"/>
    <w:rsid w:val="00E25BA6"/>
    <w:rsid w:val="00E27141"/>
    <w:rsid w:val="00E272E4"/>
    <w:rsid w:val="00E31382"/>
    <w:rsid w:val="00E31596"/>
    <w:rsid w:val="00E32E9D"/>
    <w:rsid w:val="00E3510F"/>
    <w:rsid w:val="00E3663A"/>
    <w:rsid w:val="00E367AD"/>
    <w:rsid w:val="00E3733D"/>
    <w:rsid w:val="00E4038B"/>
    <w:rsid w:val="00E40792"/>
    <w:rsid w:val="00E41BFA"/>
    <w:rsid w:val="00E43DCB"/>
    <w:rsid w:val="00E45226"/>
    <w:rsid w:val="00E45436"/>
    <w:rsid w:val="00E47EAF"/>
    <w:rsid w:val="00E55664"/>
    <w:rsid w:val="00E563D9"/>
    <w:rsid w:val="00E56F2D"/>
    <w:rsid w:val="00E5710E"/>
    <w:rsid w:val="00E63F4F"/>
    <w:rsid w:val="00E64DA3"/>
    <w:rsid w:val="00E679F9"/>
    <w:rsid w:val="00E67F10"/>
    <w:rsid w:val="00E710F2"/>
    <w:rsid w:val="00E72731"/>
    <w:rsid w:val="00E73A87"/>
    <w:rsid w:val="00E76C52"/>
    <w:rsid w:val="00E80B1C"/>
    <w:rsid w:val="00E870E4"/>
    <w:rsid w:val="00E8796B"/>
    <w:rsid w:val="00E90C07"/>
    <w:rsid w:val="00E92AED"/>
    <w:rsid w:val="00E93F27"/>
    <w:rsid w:val="00E94350"/>
    <w:rsid w:val="00E97B77"/>
    <w:rsid w:val="00EA060C"/>
    <w:rsid w:val="00EA4041"/>
    <w:rsid w:val="00EA4C6B"/>
    <w:rsid w:val="00EA7109"/>
    <w:rsid w:val="00EB103A"/>
    <w:rsid w:val="00EB256E"/>
    <w:rsid w:val="00EB26B6"/>
    <w:rsid w:val="00EB70EE"/>
    <w:rsid w:val="00EC0190"/>
    <w:rsid w:val="00EC2D38"/>
    <w:rsid w:val="00EC3146"/>
    <w:rsid w:val="00EC4BB0"/>
    <w:rsid w:val="00EC4C64"/>
    <w:rsid w:val="00EC7202"/>
    <w:rsid w:val="00ED2843"/>
    <w:rsid w:val="00ED2DE6"/>
    <w:rsid w:val="00ED4AAB"/>
    <w:rsid w:val="00EE285A"/>
    <w:rsid w:val="00EE3372"/>
    <w:rsid w:val="00EE39BB"/>
    <w:rsid w:val="00EE5549"/>
    <w:rsid w:val="00EE5A45"/>
    <w:rsid w:val="00EE6F7A"/>
    <w:rsid w:val="00EF1F94"/>
    <w:rsid w:val="00EF273A"/>
    <w:rsid w:val="00EF42FD"/>
    <w:rsid w:val="00EF46D9"/>
    <w:rsid w:val="00EF6148"/>
    <w:rsid w:val="00EF7E3E"/>
    <w:rsid w:val="00F025F9"/>
    <w:rsid w:val="00F03A6B"/>
    <w:rsid w:val="00F04F4D"/>
    <w:rsid w:val="00F071B9"/>
    <w:rsid w:val="00F07604"/>
    <w:rsid w:val="00F109DA"/>
    <w:rsid w:val="00F122F6"/>
    <w:rsid w:val="00F12E4D"/>
    <w:rsid w:val="00F13831"/>
    <w:rsid w:val="00F14625"/>
    <w:rsid w:val="00F15189"/>
    <w:rsid w:val="00F1598A"/>
    <w:rsid w:val="00F16212"/>
    <w:rsid w:val="00F20F66"/>
    <w:rsid w:val="00F21E51"/>
    <w:rsid w:val="00F25056"/>
    <w:rsid w:val="00F26716"/>
    <w:rsid w:val="00F26C97"/>
    <w:rsid w:val="00F30FA6"/>
    <w:rsid w:val="00F3287A"/>
    <w:rsid w:val="00F34BCF"/>
    <w:rsid w:val="00F351DC"/>
    <w:rsid w:val="00F3576A"/>
    <w:rsid w:val="00F35EB0"/>
    <w:rsid w:val="00F373D8"/>
    <w:rsid w:val="00F37C04"/>
    <w:rsid w:val="00F41308"/>
    <w:rsid w:val="00F41387"/>
    <w:rsid w:val="00F41E05"/>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65B5"/>
    <w:rsid w:val="00F77117"/>
    <w:rsid w:val="00F826D8"/>
    <w:rsid w:val="00F84AF1"/>
    <w:rsid w:val="00F86E9A"/>
    <w:rsid w:val="00F879C4"/>
    <w:rsid w:val="00F87D53"/>
    <w:rsid w:val="00F9140F"/>
    <w:rsid w:val="00F9196B"/>
    <w:rsid w:val="00F942C6"/>
    <w:rsid w:val="00F94451"/>
    <w:rsid w:val="00F9448A"/>
    <w:rsid w:val="00F947D6"/>
    <w:rsid w:val="00F94CDC"/>
    <w:rsid w:val="00F9579E"/>
    <w:rsid w:val="00F961BE"/>
    <w:rsid w:val="00FA029F"/>
    <w:rsid w:val="00FA071C"/>
    <w:rsid w:val="00FA16AF"/>
    <w:rsid w:val="00FA4E6F"/>
    <w:rsid w:val="00FA5C1A"/>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188E"/>
    <w:rsid w:val="00FE332B"/>
    <w:rsid w:val="00FE70A6"/>
    <w:rsid w:val="00FE7A77"/>
    <w:rsid w:val="00FE7FF1"/>
    <w:rsid w:val="00FF0FE9"/>
    <w:rsid w:val="00FF248A"/>
    <w:rsid w:val="00FF35A0"/>
    <w:rsid w:val="00FF3F96"/>
    <w:rsid w:val="00FF55B2"/>
    <w:rsid w:val="00FF674A"/>
    <w:rsid w:val="00FF680D"/>
    <w:rsid w:val="00FF7D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600E7DA7"/>
  <w15:docId w15:val="{9FADA23E-0961-4418-9AF0-8BF287B6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43336B"/>
    <w:pPr>
      <w:spacing w:after="120" w:line="300" w:lineRule="exact"/>
      <w:outlineLvl w:val="3"/>
    </w:pPr>
    <w:rPr>
      <w:bCs w:val="0"/>
      <w:iCs w:val="0"/>
      <w:color w:val="3D2262" w:themeColor="accent1"/>
      <w:sz w:val="24"/>
      <w:szCs w:val="32"/>
    </w:rPr>
  </w:style>
  <w:style w:type="paragraph" w:styleId="Heading5">
    <w:name w:val="heading 5"/>
    <w:basedOn w:val="Heading3"/>
    <w:next w:val="BodyCopy"/>
    <w:link w:val="Heading5Char"/>
    <w:unhideWhenUsed/>
    <w:qFormat/>
    <w:locked/>
    <w:rsid w:val="0043336B"/>
    <w:pPr>
      <w:spacing w:before="0" w:beforeAutospacing="0" w:after="120" w:line="300" w:lineRule="exact"/>
      <w:outlineLvl w:val="4"/>
    </w:pPr>
    <w:rPr>
      <w:b w:val="0"/>
      <w:color w:val="6E3894" w:themeColor="accent2"/>
      <w:sz w:val="24"/>
    </w:rPr>
  </w:style>
  <w:style w:type="paragraph" w:styleId="Heading6">
    <w:name w:val="heading 6"/>
    <w:basedOn w:val="BodyText"/>
    <w:next w:val="BodyCopy"/>
    <w:link w:val="Heading6Char"/>
    <w:unhideWhenUsed/>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442979"/>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43336B"/>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43336B"/>
    <w:rPr>
      <w:rFonts w:eastAsia="Times New Roman"/>
      <w:bCs/>
      <w:iCs/>
      <w:color w:val="6E3894" w:themeColor="accent2"/>
      <w:szCs w:val="36"/>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ListParagraph">
    <w:name w:val="List Paragraph"/>
    <w:basedOn w:val="Normal"/>
    <w:uiPriority w:val="34"/>
    <w:qFormat/>
    <w:locked/>
    <w:rsid w:val="009F0D36"/>
    <w:pPr>
      <w:spacing w:before="0" w:after="0" w:line="240" w:lineRule="auto"/>
      <w:ind w:left="720"/>
      <w:contextualSpacing/>
    </w:pPr>
    <w:rPr>
      <w:rFonts w:ascii="Times New Roman" w:eastAsia="Times New Roman" w:hAnsi="Times New Roman" w:cs="Times New Roman"/>
      <w:color w:val="auto"/>
      <w:szCs w:val="20"/>
      <w:lang w:eastAsia="en-US"/>
    </w:rPr>
  </w:style>
  <w:style w:type="paragraph" w:customStyle="1" w:styleId="Default">
    <w:name w:val="Default"/>
    <w:rsid w:val="009F0D36"/>
    <w:pPr>
      <w:autoSpaceDE w:val="0"/>
      <w:autoSpaceDN w:val="0"/>
      <w:adjustRightInd w:val="0"/>
    </w:pPr>
    <w:rPr>
      <w:rFonts w:ascii="Times New Roman" w:eastAsia="Times New Roman" w:hAnsi="Times New Roman" w:cs="Times New Roman"/>
      <w:color w:val="000000"/>
    </w:rPr>
  </w:style>
  <w:style w:type="paragraph" w:styleId="TOC4">
    <w:name w:val="toc 4"/>
    <w:basedOn w:val="Normal"/>
    <w:next w:val="Normal"/>
    <w:autoRedefine/>
    <w:uiPriority w:val="39"/>
    <w:unhideWhenUsed/>
    <w:rsid w:val="00770AE2"/>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18334">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694766771">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gldcdp.tg.org.au/viewTopic?topicfile=aminoglycoside-use-principles&amp;guidelineName=Antibiotic"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anberrahealthservices.act.gov.au/accessibility" TargetMode="External"/><Relationship Id="rId7" Type="http://schemas.openxmlformats.org/officeDocument/2006/relationships/settings" Target="settings.xml"/><Relationship Id="rId12" Type="http://schemas.openxmlformats.org/officeDocument/2006/relationships/hyperlink" Target="https://tgldcdp.tg.org.au/calculator/Amikacin"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searchonline.jcu.edu.au/51444/1/VIDSTBMx_WebVersion%281%29.pdf"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gldcdp.tg.org.au/topicTeaser?guidelinePage=Antibiotic&amp;etgAccess=tru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app.emims.plus/" TargetMode="External"/><Relationship Id="rId23" Type="http://schemas.openxmlformats.org/officeDocument/2006/relationships/image" Target="media/image6.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cthealthlibrary.idm.oclc.org/login?url=http://aidh.hcn.com.au" TargetMode="External"/><Relationship Id="rId22" Type="http://schemas.openxmlformats.org/officeDocument/2006/relationships/image" Target="media/image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482D87730A4260BFB9F28210F89EAC"/>
        <w:category>
          <w:name w:val="General"/>
          <w:gallery w:val="placeholder"/>
        </w:category>
        <w:types>
          <w:type w:val="bbPlcHdr"/>
        </w:types>
        <w:behaviors>
          <w:behavior w:val="content"/>
        </w:behaviors>
        <w:guid w:val="{AB8F37D7-F942-4543-81E7-51F1652AC7BF}"/>
      </w:docPartPr>
      <w:docPartBody>
        <w:p w:rsidR="000F2A39" w:rsidRDefault="000F2A39" w:rsidP="000F2A39">
          <w:pPr>
            <w:pStyle w:val="F8482D87730A4260BFB9F28210F89EAC"/>
          </w:pPr>
          <w:r>
            <w:rPr>
              <w:noProof/>
              <w:sz w:val="20"/>
              <w:szCs w:val="20"/>
            </w:rPr>
            <w:drawing>
              <wp:inline distT="0" distB="0" distL="0" distR="0" wp14:anchorId="32AE5A7F" wp14:editId="32AE5A80">
                <wp:extent cx="282575" cy="285750"/>
                <wp:effectExtent l="0" t="0" r="3175" b="0"/>
                <wp:docPr id="251510926"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84476E9E3F694B4B9E1E0852A5F86C68"/>
        <w:category>
          <w:name w:val="General"/>
          <w:gallery w:val="placeholder"/>
        </w:category>
        <w:types>
          <w:type w:val="bbPlcHdr"/>
        </w:types>
        <w:behaviors>
          <w:behavior w:val="content"/>
        </w:behaviors>
        <w:guid w:val="{B66E3289-95C7-41F0-B091-A1793B54A8CB}"/>
      </w:docPartPr>
      <w:docPartBody>
        <w:p w:rsidR="000F2A39" w:rsidRDefault="000F2A39" w:rsidP="000F2A39">
          <w:pPr>
            <w:pStyle w:val="84476E9E3F694B4B9E1E0852A5F86C68"/>
          </w:pPr>
          <w:r w:rsidRPr="00EE29F8">
            <w:rPr>
              <w:rStyle w:val="PlaceholderText"/>
            </w:rPr>
            <w:t>Choose an item.</w:t>
          </w:r>
        </w:p>
      </w:docPartBody>
    </w:docPart>
    <w:docPart>
      <w:docPartPr>
        <w:name w:val="DBEE154BB82B4F3F9D4667BD7DC0B247"/>
        <w:category>
          <w:name w:val="General"/>
          <w:gallery w:val="placeholder"/>
        </w:category>
        <w:types>
          <w:type w:val="bbPlcHdr"/>
        </w:types>
        <w:behaviors>
          <w:behavior w:val="content"/>
        </w:behaviors>
        <w:guid w:val="{8F9B02DC-2E4F-4790-95A1-A5ECA1755875}"/>
      </w:docPartPr>
      <w:docPartBody>
        <w:p w:rsidR="000F2A39" w:rsidRPr="00F26C97" w:rsidRDefault="000F2A39" w:rsidP="00185FE8">
          <w:pPr>
            <w:pStyle w:val="Bottomblocktext"/>
            <w:rPr>
              <w:b/>
              <w:bCs w:val="0"/>
              <w:sz w:val="20"/>
              <w:szCs w:val="20"/>
            </w:rPr>
          </w:pPr>
          <w:r>
            <w:rPr>
              <w:b/>
              <w:bCs w:val="0"/>
              <w:noProof/>
              <w:sz w:val="20"/>
              <w:szCs w:val="20"/>
            </w:rPr>
            <w:drawing>
              <wp:inline distT="0" distB="0" distL="0" distR="0" wp14:anchorId="32AE5A81" wp14:editId="32AE5A82">
                <wp:extent cx="338275" cy="331065"/>
                <wp:effectExtent l="0" t="0" r="5080" b="0"/>
                <wp:docPr id="1714587777"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32AE5A83" wp14:editId="32AE5A84">
                <wp:extent cx="143919" cy="139700"/>
                <wp:effectExtent l="0" t="0" r="8890" b="0"/>
                <wp:docPr id="2103819412"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0F2A39" w:rsidRPr="00F26C97" w:rsidRDefault="000F2A39" w:rsidP="00185FE8">
          <w:pPr>
            <w:pStyle w:val="Bottomblocktext"/>
            <w:rPr>
              <w:b/>
              <w:bCs w:val="0"/>
              <w:sz w:val="20"/>
              <w:szCs w:val="20"/>
            </w:rPr>
          </w:pPr>
          <w:r>
            <w:rPr>
              <w:b/>
              <w:bCs w:val="0"/>
              <w:noProof/>
              <w:sz w:val="20"/>
              <w:szCs w:val="20"/>
            </w:rPr>
            <w:drawing>
              <wp:inline distT="0" distB="0" distL="0" distR="0" wp14:anchorId="32AE5A85" wp14:editId="32AE5A86">
                <wp:extent cx="326104" cy="323850"/>
                <wp:effectExtent l="0" t="0" r="0" b="0"/>
                <wp:docPr id="777039989"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2AE5A87" wp14:editId="32AE5A88">
                <wp:extent cx="143919" cy="139700"/>
                <wp:effectExtent l="0" t="0" r="8890" b="0"/>
                <wp:docPr id="875312809"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0F2A39" w:rsidRDefault="000F2A39" w:rsidP="00185FE8">
          <w:pPr>
            <w:pStyle w:val="Bottomblocktext"/>
            <w:rPr>
              <w:sz w:val="20"/>
              <w:szCs w:val="20"/>
            </w:rPr>
          </w:pPr>
          <w:hyperlink r:id="rId8" w:history="1">
            <w:r w:rsidRPr="00350211">
              <w:rPr>
                <w:rStyle w:val="Hyperlink"/>
                <w:sz w:val="20"/>
                <w:szCs w:val="20"/>
              </w:rPr>
              <w:t>canberrahealthservices.act.gov.au/accessibility</w:t>
            </w:r>
          </w:hyperlink>
        </w:p>
        <w:p w:rsidR="000F2A39" w:rsidRDefault="000F2A39" w:rsidP="000F2A39">
          <w:pPr>
            <w:pStyle w:val="DBEE154BB82B4F3F9D4667BD7DC0B247"/>
          </w:pPr>
          <w:r>
            <w:rPr>
              <w:b/>
              <w:bCs/>
              <w:noProof/>
            </w:rPr>
            <w:drawing>
              <wp:inline distT="0" distB="0" distL="0" distR="0" wp14:anchorId="32AE5A89" wp14:editId="32AE5A8A">
                <wp:extent cx="1323833" cy="309418"/>
                <wp:effectExtent l="0" t="0" r="0" b="0"/>
                <wp:docPr id="1238198497"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AA"/>
    <w:rsid w:val="000F2A39"/>
    <w:rsid w:val="000F52E5"/>
    <w:rsid w:val="000F79A8"/>
    <w:rsid w:val="002C3DAA"/>
    <w:rsid w:val="002F3274"/>
    <w:rsid w:val="00312E2F"/>
    <w:rsid w:val="003916BB"/>
    <w:rsid w:val="003C58E8"/>
    <w:rsid w:val="0052630B"/>
    <w:rsid w:val="006B3CF9"/>
    <w:rsid w:val="009E2AEB"/>
    <w:rsid w:val="009E51CA"/>
    <w:rsid w:val="00A02FF8"/>
    <w:rsid w:val="00A456F5"/>
    <w:rsid w:val="00A65DD6"/>
    <w:rsid w:val="00AC6B15"/>
    <w:rsid w:val="00B75B2F"/>
    <w:rsid w:val="00BD30C0"/>
    <w:rsid w:val="00C22828"/>
    <w:rsid w:val="00CF409F"/>
    <w:rsid w:val="00E67F10"/>
    <w:rsid w:val="00F4755F"/>
    <w:rsid w:val="00F6583D"/>
    <w:rsid w:val="00F70BC8"/>
    <w:rsid w:val="00FC4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A39"/>
    <w:rPr>
      <w:color w:val="808080"/>
    </w:rPr>
  </w:style>
  <w:style w:type="character" w:styleId="Hyperlink">
    <w:name w:val="Hyperlink"/>
    <w:uiPriority w:val="99"/>
    <w:rsid w:val="000F2A39"/>
    <w:rPr>
      <w:color w:val="auto"/>
      <w:u w:val="single"/>
    </w:rPr>
  </w:style>
  <w:style w:type="paragraph" w:customStyle="1" w:styleId="Bottomblocktext">
    <w:name w:val="Bottom block text"/>
    <w:basedOn w:val="Normal"/>
    <w:uiPriority w:val="99"/>
    <w:rsid w:val="000F2A3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F8482D87730A4260BFB9F28210F89EAC">
    <w:name w:val="F8482D87730A4260BFB9F28210F89EAC"/>
    <w:rsid w:val="000F2A39"/>
    <w:pPr>
      <w:spacing w:line="278" w:lineRule="auto"/>
    </w:pPr>
    <w:rPr>
      <w:sz w:val="24"/>
      <w:szCs w:val="24"/>
    </w:rPr>
  </w:style>
  <w:style w:type="paragraph" w:customStyle="1" w:styleId="84476E9E3F694B4B9E1E0852A5F86C68">
    <w:name w:val="84476E9E3F694B4B9E1E0852A5F86C68"/>
    <w:rsid w:val="000F2A39"/>
    <w:pPr>
      <w:spacing w:line="278" w:lineRule="auto"/>
    </w:pPr>
    <w:rPr>
      <w:sz w:val="24"/>
      <w:szCs w:val="24"/>
    </w:rPr>
  </w:style>
  <w:style w:type="paragraph" w:customStyle="1" w:styleId="DBEE154BB82B4F3F9D4667BD7DC0B247">
    <w:name w:val="DBEE154BB82B4F3F9D4667BD7DC0B247"/>
    <w:rsid w:val="000F2A3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a85ca2a71eb48d3bbf240e90b0ab54da">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b66b2be4ec89f51385ddf3da80aee9b7"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2024-09-24T14:00:00+00:00</Approval_x0020_Date>
    <Review_x0020_Date xmlns="690b2128-8961-48af-a473-22c34a9accba">2027-09-30T14:00:00+00:00</Review_x0020_Date>
    <TaxCatchAll xmlns="c0239a80-7f07-4ed7-82c3-24ad7d76ada5">
      <Value>432</Value>
      <Value>417</Value>
      <Value>416</Value>
      <Value>415</Value>
      <Value>448</Value>
      <Value>435</Value>
    </TaxCatchAll>
    <Version_x0020_Number xmlns="690b2128-8961-48af-a473-22c34a9accba">2</Version_x0020_Number>
    <Notes0 xmlns="690b2128-8961-48af-a473-22c34a9accba">5 September 2025 - Amendments from the April 2025 updates to the Australian Therapeutic Guidelines, the Antimicrobial Stewardship teams across ACT.</Notes0>
    <Key_x0020_Words xmlns="690b2128-8961-48af-a473-22c34a9accba">Intravenous Dosing, Monitoring, Aminoglycosides, Gentamicin, Tobramycin, Amikacin, IV Dosing, Sepsis, Infection</Key_x0020_Words>
    <Type_x0020_of_x0020_Document xmlns="690b2128-8961-48af-a473-22c34a9accba">Procedure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CHHS18/080 Intravenous Dosing and Monitoring of Aminoglycosides (gentamicin, tobramycin and amikacin) in Adults</Replaces_x003a_>
    <ISD_x0020_Submitted xmlns="690b2128-8961-48af-a473-22c34a9accba">Not Required</ISD_x0020_Submitted>
    <Risk_x0020_Rating xmlns="690b2128-8961-48af-a473-22c34a9accba">High</Risk_x0020_Rating>
    <Description0 xmlns="690b2128-8961-48af-a473-22c34a9accba">To ensure the safe prescribing, administration, and monitoring of intravenous aminoglycoside therapy for the treatment of systemic infection at Canberra Health Services (CHS).</Description0>
    <Display_x0020_on_x0020_Internet xmlns="690b2128-8961-48af-a473-22c34a9accba">true</Display_x0020_on_x0020_Internet>
    <Related_x0020_Documents xmlns="690b2128-8961-48af-a473-22c34a9accba" xsi:nil="true"/>
    <Decision_x0020_Number xmlns="690b2128-8961-48af-a473-22c34a9accba">CHS24/527</Decision_x0020_Number>
    <RelatedPolicies_x002c_ProceduresGuidelines xmlns="690b2128-8961-48af-a473-22c34a9accba">
      <Value>15920</Value>
      <Value>16471</Value>
      <Value>17042</Value>
      <Value>17468</Value>
      <Value>15087</Value>
      <Value>15944</Value>
      <Value>16546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Info xmlns="http://schemas.microsoft.com/office/infopath/2007/PartnerControls">
          <TermName xmlns="http://schemas.microsoft.com/office/infopath/2007/PartnerControls">Health Act 1993 (Territory)</TermName>
          <TermId xmlns="http://schemas.microsoft.com/office/infopath/2007/PartnerControls">6acc9136-72a0-4c53-82df-02c904fa25ae</TermId>
        </TermInfo>
        <TermInfo xmlns="http://schemas.microsoft.com/office/infopath/2007/PartnerControls">
          <TermName xmlns="http://schemas.microsoft.com/office/infopath/2007/PartnerControls">Medicines, Poisons and Therapeutic Goods Act 2008 (Territory)</TermName>
          <TermId xmlns="http://schemas.microsoft.com/office/infopath/2007/PartnerControls">e04bb8da-bc44-4cb4-a98e-c18b8e4177ac</TermId>
        </TermInfo>
      </Terms>
    </k0794e393e1f41c2810d090eedba34a0>
    <New_x0020_Owner xmlns="690b2128-8961-48af-a473-22c34a9accba">Medicine - Infectious Diseases</New_x0020_Owner>
  </documentManagement>
</p:properties>
</file>

<file path=customXml/itemProps1.xml><?xml version="1.0" encoding="utf-8"?>
<ds:datastoreItem xmlns:ds="http://schemas.openxmlformats.org/officeDocument/2006/customXml" ds:itemID="{AD454B62-8362-4743-B463-E70BA8252D27}">
  <ds:schemaRefs>
    <ds:schemaRef ds:uri="http://schemas.microsoft.com/sharepoint/v3/contenttype/forms"/>
  </ds:schemaRefs>
</ds:datastoreItem>
</file>

<file path=customXml/itemProps2.xml><?xml version="1.0" encoding="utf-8"?>
<ds:datastoreItem xmlns:ds="http://schemas.openxmlformats.org/officeDocument/2006/customXml" ds:itemID="{5515ABD2-FE32-42F3-90D6-9B55AEB62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D4078327-8EAD-4E1C-A570-142F125247BC}">
  <ds:schemaRef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c0239a80-7f07-4ed7-82c3-24ad7d76ada5"/>
    <ds:schemaRef ds:uri="690b2128-8961-48af-a473-22c34a9accba"/>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4621</Words>
  <Characters>30948</Characters>
  <Application>Microsoft Office Word</Application>
  <DocSecurity>0</DocSecurity>
  <Lines>257</Lines>
  <Paragraphs>70</Paragraphs>
  <ScaleCrop>false</ScaleCrop>
  <HeadingPairs>
    <vt:vector size="2" baseType="variant">
      <vt:variant>
        <vt:lpstr>Title</vt:lpstr>
      </vt:variant>
      <vt:variant>
        <vt:i4>1</vt:i4>
      </vt:variant>
    </vt:vector>
  </HeadingPairs>
  <TitlesOfParts>
    <vt:vector size="1" baseType="lpstr">
      <vt:lpstr>Intravenous Dosing and Monitoring of Aminoglycosides in Adults</vt:lpstr>
    </vt:vector>
  </TitlesOfParts>
  <Company>Canberra Health Services</Company>
  <LinksUpToDate>false</LinksUpToDate>
  <CharactersWithSpaces>35499</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Intravenous Dosing and Monitoring of Aminoglycosides in Adults</dc:title>
  <dc:creator>Golley, Pip (Health)</dc:creator>
  <cp:lastModifiedBy>Rusanov, Zoia</cp:lastModifiedBy>
  <cp:revision>11</cp:revision>
  <cp:lastPrinted>2017-05-22T07:29:00Z</cp:lastPrinted>
  <dcterms:created xsi:type="dcterms:W3CDTF">2024-10-30T02:50:00Z</dcterms:created>
  <dcterms:modified xsi:type="dcterms:W3CDTF">2025-09-17T23:09:00Z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(Territory)|a9c8282c-cc19-42a3-a6c3-de05b442298b;#448;#Health Act 1993 (Territory)|6acc9136-72a0-4c53-82df-02c904fa25ae;#435;#Medicines, Poisons and Therapeutic Goods Act 2008 (Territory)|e04bb8da-bc44-4cb4-a98e-c18b8e4177ac</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(Territory)|a9c8282c-cc19-42a3-a6c3-de05b442298b;#448;#Health Act 1993 (Territory)|6acc9136-72a0-4c53-82df-02c904fa25ae;#435;#Medicines, Poisons and Therapeutic Goods Act 2008 (Territory)|e04bb8da-bc44-4cb4-a98e-c18b8e4177ac</vt:lpwstr>
  </property>
</Properties>
</file>