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0E004C4B" w14:textId="77777777" w:rsidR="00AB1477" w:rsidRPr="00FE7104" w:rsidRDefault="00AB1477" w:rsidP="00AB1477">
      <w:pPr>
        <w:rPr>
          <w:rFonts w:cs="Arial"/>
          <w:i/>
          <w:iCs/>
        </w:rPr>
      </w:pPr>
      <w:r w:rsidRPr="4DB52DAB">
        <w:rPr>
          <w:rFonts w:cs="Arial"/>
          <w:b/>
          <w:bCs/>
          <w:sz w:val="36"/>
          <w:szCs w:val="36"/>
        </w:rPr>
        <w:t xml:space="preserve">Initiation and Administering O </w:t>
      </w:r>
      <w:proofErr w:type="spellStart"/>
      <w:r w:rsidRPr="4DB52DAB">
        <w:rPr>
          <w:rFonts w:cs="Arial"/>
          <w:b/>
          <w:bCs/>
          <w:sz w:val="36"/>
          <w:szCs w:val="36"/>
        </w:rPr>
        <w:t>RhD</w:t>
      </w:r>
      <w:proofErr w:type="spellEnd"/>
      <w:r w:rsidRPr="4DB52DAB">
        <w:rPr>
          <w:rFonts w:cs="Arial"/>
          <w:b/>
          <w:bCs/>
          <w:sz w:val="36"/>
          <w:szCs w:val="36"/>
        </w:rPr>
        <w:t xml:space="preserve"> Negative Units in the Pre-Hospital and Retrieval Service Environment</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92289786"/>
            <w:r w:rsidRPr="00CD1C0E">
              <w:t>Contents</w:t>
            </w:r>
            <w:bookmarkEnd w:id="5"/>
            <w:bookmarkEnd w:id="6"/>
            <w:bookmarkEnd w:id="7"/>
          </w:p>
        </w:tc>
      </w:tr>
    </w:tbl>
    <w:p w14:paraId="2F51A853" w14:textId="77777777" w:rsidR="007B6904" w:rsidRDefault="007B6904" w:rsidP="007B6904"/>
    <w:p w14:paraId="3A4CE4F3" w14:textId="4196BFAE" w:rsidR="00CF503A"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92289786" w:history="1">
        <w:r w:rsidR="00CF503A" w:rsidRPr="007F49F8">
          <w:rPr>
            <w:rStyle w:val="Hyperlink"/>
            <w:noProof/>
          </w:rPr>
          <w:t>Contents</w:t>
        </w:r>
        <w:r w:rsidR="00CF503A">
          <w:rPr>
            <w:noProof/>
            <w:webHidden/>
          </w:rPr>
          <w:tab/>
        </w:r>
        <w:r w:rsidR="00CF503A">
          <w:rPr>
            <w:noProof/>
            <w:webHidden/>
          </w:rPr>
          <w:fldChar w:fldCharType="begin"/>
        </w:r>
        <w:r w:rsidR="00CF503A">
          <w:rPr>
            <w:noProof/>
            <w:webHidden/>
          </w:rPr>
          <w:instrText xml:space="preserve"> PAGEREF _Toc92289786 \h </w:instrText>
        </w:r>
        <w:r w:rsidR="00CF503A">
          <w:rPr>
            <w:noProof/>
            <w:webHidden/>
          </w:rPr>
        </w:r>
        <w:r w:rsidR="00CF503A">
          <w:rPr>
            <w:noProof/>
            <w:webHidden/>
          </w:rPr>
          <w:fldChar w:fldCharType="separate"/>
        </w:r>
        <w:r w:rsidR="00CF503A">
          <w:rPr>
            <w:noProof/>
            <w:webHidden/>
          </w:rPr>
          <w:t>1</w:t>
        </w:r>
        <w:r w:rsidR="00CF503A">
          <w:rPr>
            <w:noProof/>
            <w:webHidden/>
          </w:rPr>
          <w:fldChar w:fldCharType="end"/>
        </w:r>
      </w:hyperlink>
    </w:p>
    <w:p w14:paraId="32F8241B" w14:textId="1C6C960E" w:rsidR="00CF503A" w:rsidRDefault="00CF503A">
      <w:pPr>
        <w:pStyle w:val="TOC1"/>
        <w:tabs>
          <w:tab w:val="right" w:leader="dot" w:pos="9060"/>
        </w:tabs>
        <w:rPr>
          <w:rFonts w:eastAsiaTheme="minorEastAsia" w:cstheme="minorBidi"/>
          <w:noProof/>
          <w:sz w:val="22"/>
          <w:szCs w:val="22"/>
          <w:lang w:eastAsia="en-AU"/>
        </w:rPr>
      </w:pPr>
      <w:hyperlink w:anchor="_Toc92289787" w:history="1">
        <w:r w:rsidRPr="007F49F8">
          <w:rPr>
            <w:rStyle w:val="Hyperlink"/>
            <w:noProof/>
          </w:rPr>
          <w:t>Purpose</w:t>
        </w:r>
        <w:r>
          <w:rPr>
            <w:noProof/>
            <w:webHidden/>
          </w:rPr>
          <w:tab/>
        </w:r>
        <w:r>
          <w:rPr>
            <w:noProof/>
            <w:webHidden/>
          </w:rPr>
          <w:fldChar w:fldCharType="begin"/>
        </w:r>
        <w:r>
          <w:rPr>
            <w:noProof/>
            <w:webHidden/>
          </w:rPr>
          <w:instrText xml:space="preserve"> PAGEREF _Toc92289787 \h </w:instrText>
        </w:r>
        <w:r>
          <w:rPr>
            <w:noProof/>
            <w:webHidden/>
          </w:rPr>
        </w:r>
        <w:r>
          <w:rPr>
            <w:noProof/>
            <w:webHidden/>
          </w:rPr>
          <w:fldChar w:fldCharType="separate"/>
        </w:r>
        <w:r>
          <w:rPr>
            <w:noProof/>
            <w:webHidden/>
          </w:rPr>
          <w:t>2</w:t>
        </w:r>
        <w:r>
          <w:rPr>
            <w:noProof/>
            <w:webHidden/>
          </w:rPr>
          <w:fldChar w:fldCharType="end"/>
        </w:r>
      </w:hyperlink>
    </w:p>
    <w:p w14:paraId="748DF3E0" w14:textId="235A4724" w:rsidR="00CF503A" w:rsidRDefault="00CF503A">
      <w:pPr>
        <w:pStyle w:val="TOC1"/>
        <w:tabs>
          <w:tab w:val="right" w:leader="dot" w:pos="9060"/>
        </w:tabs>
        <w:rPr>
          <w:rFonts w:eastAsiaTheme="minorEastAsia" w:cstheme="minorBidi"/>
          <w:noProof/>
          <w:sz w:val="22"/>
          <w:szCs w:val="22"/>
          <w:lang w:eastAsia="en-AU"/>
        </w:rPr>
      </w:pPr>
      <w:hyperlink w:anchor="_Toc92289788" w:history="1">
        <w:r w:rsidRPr="007F49F8">
          <w:rPr>
            <w:rStyle w:val="Hyperlink"/>
            <w:noProof/>
          </w:rPr>
          <w:t>Scope</w:t>
        </w:r>
        <w:r>
          <w:rPr>
            <w:noProof/>
            <w:webHidden/>
          </w:rPr>
          <w:tab/>
        </w:r>
        <w:r>
          <w:rPr>
            <w:noProof/>
            <w:webHidden/>
          </w:rPr>
          <w:fldChar w:fldCharType="begin"/>
        </w:r>
        <w:r>
          <w:rPr>
            <w:noProof/>
            <w:webHidden/>
          </w:rPr>
          <w:instrText xml:space="preserve"> PAGEREF _Toc92289788 \h </w:instrText>
        </w:r>
        <w:r>
          <w:rPr>
            <w:noProof/>
            <w:webHidden/>
          </w:rPr>
        </w:r>
        <w:r>
          <w:rPr>
            <w:noProof/>
            <w:webHidden/>
          </w:rPr>
          <w:fldChar w:fldCharType="separate"/>
        </w:r>
        <w:r>
          <w:rPr>
            <w:noProof/>
            <w:webHidden/>
          </w:rPr>
          <w:t>2</w:t>
        </w:r>
        <w:r>
          <w:rPr>
            <w:noProof/>
            <w:webHidden/>
          </w:rPr>
          <w:fldChar w:fldCharType="end"/>
        </w:r>
      </w:hyperlink>
    </w:p>
    <w:p w14:paraId="04D1D0F0" w14:textId="6E24C276" w:rsidR="00CF503A" w:rsidRDefault="00CF503A">
      <w:pPr>
        <w:pStyle w:val="TOC1"/>
        <w:tabs>
          <w:tab w:val="right" w:leader="dot" w:pos="9060"/>
        </w:tabs>
        <w:rPr>
          <w:rFonts w:eastAsiaTheme="minorEastAsia" w:cstheme="minorBidi"/>
          <w:noProof/>
          <w:sz w:val="22"/>
          <w:szCs w:val="22"/>
          <w:lang w:eastAsia="en-AU"/>
        </w:rPr>
      </w:pPr>
      <w:hyperlink w:anchor="_Toc92289789" w:history="1">
        <w:r w:rsidRPr="007F49F8">
          <w:rPr>
            <w:rStyle w:val="Hyperlink"/>
            <w:noProof/>
          </w:rPr>
          <w:t>Section 1 – Blood Administration</w:t>
        </w:r>
        <w:r>
          <w:rPr>
            <w:noProof/>
            <w:webHidden/>
          </w:rPr>
          <w:tab/>
        </w:r>
        <w:r>
          <w:rPr>
            <w:noProof/>
            <w:webHidden/>
          </w:rPr>
          <w:fldChar w:fldCharType="begin"/>
        </w:r>
        <w:r>
          <w:rPr>
            <w:noProof/>
            <w:webHidden/>
          </w:rPr>
          <w:instrText xml:space="preserve"> PAGEREF _Toc92289789 \h </w:instrText>
        </w:r>
        <w:r>
          <w:rPr>
            <w:noProof/>
            <w:webHidden/>
          </w:rPr>
        </w:r>
        <w:r>
          <w:rPr>
            <w:noProof/>
            <w:webHidden/>
          </w:rPr>
          <w:fldChar w:fldCharType="separate"/>
        </w:r>
        <w:r>
          <w:rPr>
            <w:noProof/>
            <w:webHidden/>
          </w:rPr>
          <w:t>2</w:t>
        </w:r>
        <w:r>
          <w:rPr>
            <w:noProof/>
            <w:webHidden/>
          </w:rPr>
          <w:fldChar w:fldCharType="end"/>
        </w:r>
      </w:hyperlink>
    </w:p>
    <w:p w14:paraId="004944B5" w14:textId="53643F89" w:rsidR="00CF503A" w:rsidRDefault="00CF503A">
      <w:pPr>
        <w:pStyle w:val="TOC1"/>
        <w:tabs>
          <w:tab w:val="right" w:leader="dot" w:pos="9060"/>
        </w:tabs>
        <w:rPr>
          <w:rFonts w:eastAsiaTheme="minorEastAsia" w:cstheme="minorBidi"/>
          <w:noProof/>
          <w:sz w:val="22"/>
          <w:szCs w:val="22"/>
          <w:lang w:eastAsia="en-AU"/>
        </w:rPr>
      </w:pPr>
      <w:hyperlink w:anchor="_Toc92289790" w:history="1">
        <w:r w:rsidRPr="007F49F8">
          <w:rPr>
            <w:rStyle w:val="Hyperlink"/>
            <w:noProof/>
          </w:rPr>
          <w:t>Section 2 –  Unidentified Patients</w:t>
        </w:r>
        <w:r>
          <w:rPr>
            <w:noProof/>
            <w:webHidden/>
          </w:rPr>
          <w:tab/>
        </w:r>
        <w:r>
          <w:rPr>
            <w:noProof/>
            <w:webHidden/>
          </w:rPr>
          <w:fldChar w:fldCharType="begin"/>
        </w:r>
        <w:r>
          <w:rPr>
            <w:noProof/>
            <w:webHidden/>
          </w:rPr>
          <w:instrText xml:space="preserve"> PAGEREF _Toc92289790 \h </w:instrText>
        </w:r>
        <w:r>
          <w:rPr>
            <w:noProof/>
            <w:webHidden/>
          </w:rPr>
        </w:r>
        <w:r>
          <w:rPr>
            <w:noProof/>
            <w:webHidden/>
          </w:rPr>
          <w:fldChar w:fldCharType="separate"/>
        </w:r>
        <w:r>
          <w:rPr>
            <w:noProof/>
            <w:webHidden/>
          </w:rPr>
          <w:t>3</w:t>
        </w:r>
        <w:r>
          <w:rPr>
            <w:noProof/>
            <w:webHidden/>
          </w:rPr>
          <w:fldChar w:fldCharType="end"/>
        </w:r>
      </w:hyperlink>
    </w:p>
    <w:p w14:paraId="15DD8C1A" w14:textId="6FAC36C8" w:rsidR="00CF503A" w:rsidRDefault="00CF503A">
      <w:pPr>
        <w:pStyle w:val="TOC1"/>
        <w:tabs>
          <w:tab w:val="right" w:leader="dot" w:pos="9060"/>
        </w:tabs>
        <w:rPr>
          <w:rFonts w:eastAsiaTheme="minorEastAsia" w:cstheme="minorBidi"/>
          <w:noProof/>
          <w:sz w:val="22"/>
          <w:szCs w:val="22"/>
          <w:lang w:eastAsia="en-AU"/>
        </w:rPr>
      </w:pPr>
      <w:hyperlink w:anchor="_Toc92289791" w:history="1">
        <w:r w:rsidRPr="007F49F8">
          <w:rPr>
            <w:rStyle w:val="Hyperlink"/>
            <w:noProof/>
          </w:rPr>
          <w:t>Evaluation</w:t>
        </w:r>
        <w:r>
          <w:rPr>
            <w:noProof/>
            <w:webHidden/>
          </w:rPr>
          <w:tab/>
        </w:r>
        <w:r>
          <w:rPr>
            <w:noProof/>
            <w:webHidden/>
          </w:rPr>
          <w:fldChar w:fldCharType="begin"/>
        </w:r>
        <w:r>
          <w:rPr>
            <w:noProof/>
            <w:webHidden/>
          </w:rPr>
          <w:instrText xml:space="preserve"> PAGEREF _Toc92289791 \h </w:instrText>
        </w:r>
        <w:r>
          <w:rPr>
            <w:noProof/>
            <w:webHidden/>
          </w:rPr>
        </w:r>
        <w:r>
          <w:rPr>
            <w:noProof/>
            <w:webHidden/>
          </w:rPr>
          <w:fldChar w:fldCharType="separate"/>
        </w:r>
        <w:r>
          <w:rPr>
            <w:noProof/>
            <w:webHidden/>
          </w:rPr>
          <w:t>3</w:t>
        </w:r>
        <w:r>
          <w:rPr>
            <w:noProof/>
            <w:webHidden/>
          </w:rPr>
          <w:fldChar w:fldCharType="end"/>
        </w:r>
      </w:hyperlink>
    </w:p>
    <w:p w14:paraId="6F548BB3" w14:textId="27166CEB" w:rsidR="00CF503A" w:rsidRDefault="00CF503A">
      <w:pPr>
        <w:pStyle w:val="TOC1"/>
        <w:tabs>
          <w:tab w:val="right" w:leader="dot" w:pos="9060"/>
        </w:tabs>
        <w:rPr>
          <w:rFonts w:eastAsiaTheme="minorEastAsia" w:cstheme="minorBidi"/>
          <w:noProof/>
          <w:sz w:val="22"/>
          <w:szCs w:val="22"/>
          <w:lang w:eastAsia="en-AU"/>
        </w:rPr>
      </w:pPr>
      <w:hyperlink w:anchor="_Toc92289792" w:history="1">
        <w:r w:rsidRPr="007F49F8">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_Toc92289792 \h </w:instrText>
        </w:r>
        <w:r>
          <w:rPr>
            <w:noProof/>
            <w:webHidden/>
          </w:rPr>
        </w:r>
        <w:r>
          <w:rPr>
            <w:noProof/>
            <w:webHidden/>
          </w:rPr>
          <w:fldChar w:fldCharType="separate"/>
        </w:r>
        <w:r>
          <w:rPr>
            <w:noProof/>
            <w:webHidden/>
          </w:rPr>
          <w:t>4</w:t>
        </w:r>
        <w:r>
          <w:rPr>
            <w:noProof/>
            <w:webHidden/>
          </w:rPr>
          <w:fldChar w:fldCharType="end"/>
        </w:r>
      </w:hyperlink>
    </w:p>
    <w:p w14:paraId="19803A76" w14:textId="11419F69" w:rsidR="00CF503A" w:rsidRDefault="00CF503A">
      <w:pPr>
        <w:pStyle w:val="TOC1"/>
        <w:tabs>
          <w:tab w:val="right" w:leader="dot" w:pos="9060"/>
        </w:tabs>
        <w:rPr>
          <w:rFonts w:eastAsiaTheme="minorEastAsia" w:cstheme="minorBidi"/>
          <w:noProof/>
          <w:sz w:val="22"/>
          <w:szCs w:val="22"/>
          <w:lang w:eastAsia="en-AU"/>
        </w:rPr>
      </w:pPr>
      <w:hyperlink w:anchor="_Toc92289793" w:history="1">
        <w:r w:rsidRPr="007F49F8">
          <w:rPr>
            <w:rStyle w:val="Hyperlink"/>
            <w:noProof/>
          </w:rPr>
          <w:t>References</w:t>
        </w:r>
        <w:r>
          <w:rPr>
            <w:noProof/>
            <w:webHidden/>
          </w:rPr>
          <w:tab/>
        </w:r>
        <w:r>
          <w:rPr>
            <w:noProof/>
            <w:webHidden/>
          </w:rPr>
          <w:fldChar w:fldCharType="begin"/>
        </w:r>
        <w:r>
          <w:rPr>
            <w:noProof/>
            <w:webHidden/>
          </w:rPr>
          <w:instrText xml:space="preserve"> PAGEREF _Toc92289793 \h </w:instrText>
        </w:r>
        <w:r>
          <w:rPr>
            <w:noProof/>
            <w:webHidden/>
          </w:rPr>
        </w:r>
        <w:r>
          <w:rPr>
            <w:noProof/>
            <w:webHidden/>
          </w:rPr>
          <w:fldChar w:fldCharType="separate"/>
        </w:r>
        <w:r>
          <w:rPr>
            <w:noProof/>
            <w:webHidden/>
          </w:rPr>
          <w:t>4</w:t>
        </w:r>
        <w:r>
          <w:rPr>
            <w:noProof/>
            <w:webHidden/>
          </w:rPr>
          <w:fldChar w:fldCharType="end"/>
        </w:r>
      </w:hyperlink>
    </w:p>
    <w:p w14:paraId="674F843A" w14:textId="11C6297F" w:rsidR="00CF503A" w:rsidRDefault="00CF503A">
      <w:pPr>
        <w:pStyle w:val="TOC1"/>
        <w:tabs>
          <w:tab w:val="right" w:leader="dot" w:pos="9060"/>
        </w:tabs>
        <w:rPr>
          <w:rFonts w:eastAsiaTheme="minorEastAsia" w:cstheme="minorBidi"/>
          <w:noProof/>
          <w:sz w:val="22"/>
          <w:szCs w:val="22"/>
          <w:lang w:eastAsia="en-AU"/>
        </w:rPr>
      </w:pPr>
      <w:hyperlink w:anchor="_Toc92289794" w:history="1">
        <w:r w:rsidRPr="007F49F8">
          <w:rPr>
            <w:rStyle w:val="Hyperlink"/>
            <w:noProof/>
          </w:rPr>
          <w:t>Search Terms</w:t>
        </w:r>
        <w:r>
          <w:rPr>
            <w:noProof/>
            <w:webHidden/>
          </w:rPr>
          <w:tab/>
        </w:r>
        <w:r>
          <w:rPr>
            <w:noProof/>
            <w:webHidden/>
          </w:rPr>
          <w:fldChar w:fldCharType="begin"/>
        </w:r>
        <w:r>
          <w:rPr>
            <w:noProof/>
            <w:webHidden/>
          </w:rPr>
          <w:instrText xml:space="preserve"> PAGEREF _Toc92289794 \h </w:instrText>
        </w:r>
        <w:r>
          <w:rPr>
            <w:noProof/>
            <w:webHidden/>
          </w:rPr>
        </w:r>
        <w:r>
          <w:rPr>
            <w:noProof/>
            <w:webHidden/>
          </w:rPr>
          <w:fldChar w:fldCharType="separate"/>
        </w:r>
        <w:r>
          <w:rPr>
            <w:noProof/>
            <w:webHidden/>
          </w:rPr>
          <w:t>5</w:t>
        </w:r>
        <w:r>
          <w:rPr>
            <w:noProof/>
            <w:webHidden/>
          </w:rPr>
          <w:fldChar w:fldCharType="end"/>
        </w:r>
      </w:hyperlink>
    </w:p>
    <w:p w14:paraId="2F51A861" w14:textId="70908A39" w:rsidR="007052B1" w:rsidRDefault="007B7628" w:rsidP="007B6904">
      <w:pPr>
        <w:rPr>
          <w:rFonts w:asciiTheme="minorHAnsi" w:hAnsiTheme="minorHAnsi"/>
        </w:rPr>
      </w:pPr>
      <w:r>
        <w:rPr>
          <w:rFonts w:asciiTheme="minorHAnsi" w:hAnsiTheme="minorHAnsi"/>
        </w:rPr>
        <w:fldChar w:fldCharType="end"/>
      </w:r>
    </w:p>
    <w:p w14:paraId="2F51A863" w14:textId="78DB5FBE" w:rsidR="007B6904" w:rsidRPr="00CF503A" w:rsidRDefault="007052B1" w:rsidP="00CF503A">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92289787"/>
            <w:r w:rsidRPr="00CD1C0E">
              <w:lastRenderedPageBreak/>
              <w:t>Purpose</w:t>
            </w:r>
            <w:bookmarkEnd w:id="8"/>
            <w:bookmarkEnd w:id="9"/>
          </w:p>
        </w:tc>
      </w:tr>
    </w:tbl>
    <w:p w14:paraId="2F51A866" w14:textId="77777777" w:rsidR="00931B93" w:rsidRDefault="00931B93" w:rsidP="00931B93">
      <w:pPr>
        <w:rPr>
          <w:rFonts w:cs="Arial"/>
          <w:i/>
          <w:szCs w:val="24"/>
        </w:rPr>
      </w:pPr>
    </w:p>
    <w:p w14:paraId="4354DB90" w14:textId="77777777" w:rsidR="00AB1477" w:rsidRPr="006B6E64" w:rsidRDefault="00AB1477" w:rsidP="00AB1477">
      <w:pPr>
        <w:rPr>
          <w:rFonts w:cs="Arial"/>
          <w:szCs w:val="24"/>
          <w:lang w:eastAsia="en-AU"/>
        </w:rPr>
      </w:pPr>
      <w:r w:rsidRPr="004A3B20">
        <w:rPr>
          <w:rFonts w:cs="Arial"/>
          <w:szCs w:val="24"/>
        </w:rPr>
        <w:t>The purpose of</w:t>
      </w:r>
      <w:r>
        <w:rPr>
          <w:rFonts w:cs="Arial"/>
          <w:szCs w:val="24"/>
        </w:rPr>
        <w:t xml:space="preserve"> this procedure</w:t>
      </w:r>
      <w:r w:rsidRPr="004A3B20">
        <w:rPr>
          <w:rFonts w:cs="Arial"/>
          <w:szCs w:val="24"/>
        </w:rPr>
        <w:t xml:space="preserve"> is to ensure</w:t>
      </w:r>
      <w:r>
        <w:rPr>
          <w:rFonts w:cs="Arial"/>
          <w:szCs w:val="24"/>
        </w:rPr>
        <w:t xml:space="preserve"> a</w:t>
      </w:r>
      <w:r w:rsidRPr="004A3B20">
        <w:rPr>
          <w:lang w:eastAsia="en-AU"/>
        </w:rPr>
        <w:t xml:space="preserve">ll Capital Region Retrieval Service (CRRS) medical practitioners are </w:t>
      </w:r>
      <w:r>
        <w:rPr>
          <w:lang w:eastAsia="en-AU"/>
        </w:rPr>
        <w:t xml:space="preserve">aware </w:t>
      </w:r>
      <w:r w:rsidRPr="004A3B20">
        <w:rPr>
          <w:lang w:eastAsia="en-AU"/>
        </w:rPr>
        <w:t xml:space="preserve">of the correct procedure for initiating </w:t>
      </w:r>
      <w:r>
        <w:rPr>
          <w:lang w:eastAsia="en-AU"/>
        </w:rPr>
        <w:t xml:space="preserve">and </w:t>
      </w:r>
      <w:r w:rsidRPr="004A3B20">
        <w:rPr>
          <w:lang w:eastAsia="en-AU"/>
        </w:rPr>
        <w:t xml:space="preserve">administration of </w:t>
      </w:r>
      <w:r>
        <w:rPr>
          <w:lang w:eastAsia="en-AU"/>
        </w:rPr>
        <w:t xml:space="preserve">O </w:t>
      </w:r>
      <w:proofErr w:type="spellStart"/>
      <w:r w:rsidRPr="004A3B20">
        <w:rPr>
          <w:lang w:eastAsia="en-AU"/>
        </w:rPr>
        <w:t>RhD</w:t>
      </w:r>
      <w:proofErr w:type="spellEnd"/>
      <w:r w:rsidRPr="004A3B20">
        <w:rPr>
          <w:lang w:eastAsia="en-AU"/>
        </w:rPr>
        <w:t xml:space="preserve"> Negative units</w:t>
      </w:r>
      <w:r>
        <w:rPr>
          <w:lang w:eastAsia="en-AU"/>
        </w:rPr>
        <w:t xml:space="preserve"> to patients</w:t>
      </w:r>
      <w:r w:rsidRPr="004A3B20">
        <w:rPr>
          <w:lang w:eastAsia="en-AU"/>
        </w:rPr>
        <w:t xml:space="preserve"> in the pre-hospital and retrieval service</w:t>
      </w:r>
      <w:r>
        <w:rPr>
          <w:lang w:eastAsia="en-AU"/>
        </w:rPr>
        <w:t>.</w:t>
      </w:r>
    </w:p>
    <w:p w14:paraId="2F51A86F" w14:textId="77777777" w:rsidR="007B6904" w:rsidRDefault="007B6904" w:rsidP="00931B93">
      <w:pPr>
        <w:rPr>
          <w:rFonts w:cs="Arial"/>
          <w:szCs w:val="24"/>
        </w:rPr>
      </w:pPr>
    </w:p>
    <w:p w14:paraId="2F51A879" w14:textId="0DBEC5DB" w:rsidR="009E70F4" w:rsidRPr="00AB1477" w:rsidRDefault="005E24D2" w:rsidP="00AB1477">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92289788"/>
            <w:r w:rsidRPr="003D2D06">
              <w:t>Scope</w:t>
            </w:r>
            <w:bookmarkEnd w:id="10"/>
            <w:bookmarkEnd w:id="11"/>
          </w:p>
        </w:tc>
      </w:tr>
    </w:tbl>
    <w:p w14:paraId="2F51A87C" w14:textId="77777777" w:rsidR="007B6904" w:rsidRPr="00CD1C0E" w:rsidRDefault="007B6904" w:rsidP="007B6904">
      <w:pPr>
        <w:rPr>
          <w:szCs w:val="24"/>
        </w:rPr>
      </w:pPr>
    </w:p>
    <w:p w14:paraId="4FC91A10" w14:textId="7DD97035" w:rsidR="00AB1477" w:rsidRPr="004A3B20" w:rsidRDefault="00AB1477" w:rsidP="00AB1477">
      <w:pPr>
        <w:outlineLvl w:val="0"/>
        <w:rPr>
          <w:rFonts w:cs="Arial"/>
          <w:szCs w:val="24"/>
        </w:rPr>
      </w:pPr>
      <w:r w:rsidRPr="004A3B20">
        <w:rPr>
          <w:rFonts w:cs="Arial"/>
          <w:szCs w:val="24"/>
        </w:rPr>
        <w:t>This document applies to</w:t>
      </w:r>
      <w:r w:rsidR="00CB3B5B">
        <w:rPr>
          <w:rFonts w:cs="Arial"/>
          <w:szCs w:val="24"/>
        </w:rPr>
        <w:t xml:space="preserve"> the following staff working within their scope of practice</w:t>
      </w:r>
      <w:r w:rsidRPr="004A3B20">
        <w:rPr>
          <w:rFonts w:cs="Arial"/>
          <w:szCs w:val="24"/>
        </w:rPr>
        <w:t>:</w:t>
      </w:r>
    </w:p>
    <w:p w14:paraId="70F9C714" w14:textId="77777777" w:rsidR="00AB1477" w:rsidRPr="004A3B20" w:rsidRDefault="00AB1477" w:rsidP="00AB1477">
      <w:pPr>
        <w:pStyle w:val="ListBullet"/>
        <w:tabs>
          <w:tab w:val="num" w:pos="1080"/>
        </w:tabs>
      </w:pPr>
      <w:r w:rsidRPr="004A3B20">
        <w:t>CRRS</w:t>
      </w:r>
      <w:r>
        <w:t xml:space="preserve"> Medical Practitioners</w:t>
      </w:r>
    </w:p>
    <w:p w14:paraId="3957405A" w14:textId="1F1A4712" w:rsidR="00AB1477" w:rsidRPr="00FA5FC1" w:rsidRDefault="00AB1477" w:rsidP="00AB1477">
      <w:pPr>
        <w:pStyle w:val="ListBullet"/>
        <w:tabs>
          <w:tab w:val="num" w:pos="1080"/>
        </w:tabs>
        <w:rPr>
          <w:rFonts w:cs="Arial"/>
          <w:szCs w:val="24"/>
        </w:rPr>
      </w:pPr>
      <w:r>
        <w:t>ACT Ambulance Service (ACTAS) Flight paramedics.</w:t>
      </w:r>
    </w:p>
    <w:p w14:paraId="2F51A886" w14:textId="77777777" w:rsidR="001F2A9B" w:rsidRDefault="001F2A9B" w:rsidP="00F14EC1"/>
    <w:p w14:paraId="2F51A887" w14:textId="77777777" w:rsidR="007B6904" w:rsidRPr="00CD1C0E" w:rsidRDefault="005E24D2" w:rsidP="00F14EC1">
      <w:pPr>
        <w:jc w:val="right"/>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23294C22" w:rsidR="007B6904" w:rsidRPr="00C76688" w:rsidRDefault="007B6904" w:rsidP="00931B93">
            <w:pPr>
              <w:pStyle w:val="Heading1"/>
            </w:pPr>
            <w:bookmarkStart w:id="12" w:name="_Toc389473278"/>
            <w:bookmarkStart w:id="13" w:name="_Toc92289789"/>
            <w:r w:rsidRPr="00C76688">
              <w:t>Section 1 –</w:t>
            </w:r>
            <w:r>
              <w:t xml:space="preserve"> </w:t>
            </w:r>
            <w:bookmarkEnd w:id="12"/>
            <w:r w:rsidR="00AB1477">
              <w:t>Blood Administration</w:t>
            </w:r>
            <w:bookmarkEnd w:id="13"/>
            <w:r w:rsidR="00AB1477">
              <w:t xml:space="preserve"> </w:t>
            </w:r>
          </w:p>
        </w:tc>
      </w:tr>
    </w:tbl>
    <w:p w14:paraId="2F51A88A" w14:textId="77777777" w:rsidR="007B6904" w:rsidRDefault="007B6904" w:rsidP="007B6904">
      <w:pPr>
        <w:outlineLvl w:val="0"/>
        <w:rPr>
          <w:szCs w:val="24"/>
        </w:rPr>
      </w:pPr>
    </w:p>
    <w:p w14:paraId="42C8027A" w14:textId="77777777" w:rsidR="00AB1477" w:rsidRPr="00EE1916" w:rsidRDefault="00AB1477" w:rsidP="00AB1477">
      <w:pPr>
        <w:rPr>
          <w:szCs w:val="24"/>
        </w:rPr>
      </w:pPr>
      <w:r w:rsidRPr="00EE1916">
        <w:rPr>
          <w:szCs w:val="24"/>
        </w:rPr>
        <w:t xml:space="preserve">The administration and prescription of all O </w:t>
      </w:r>
      <w:proofErr w:type="spellStart"/>
      <w:r w:rsidRPr="00EE1916">
        <w:rPr>
          <w:szCs w:val="24"/>
        </w:rPr>
        <w:t>RhD</w:t>
      </w:r>
      <w:proofErr w:type="spellEnd"/>
      <w:r w:rsidRPr="00EE1916">
        <w:rPr>
          <w:szCs w:val="24"/>
        </w:rPr>
        <w:t xml:space="preserve"> Negative units are the responsibility of the CRRS medical practitioner. </w:t>
      </w:r>
    </w:p>
    <w:p w14:paraId="0E13D38C" w14:textId="77777777" w:rsidR="00AB1477" w:rsidRPr="00EE1916" w:rsidRDefault="00AB1477" w:rsidP="00AB1477">
      <w:pPr>
        <w:rPr>
          <w:szCs w:val="24"/>
        </w:rPr>
      </w:pPr>
    </w:p>
    <w:p w14:paraId="29A75171" w14:textId="77777777" w:rsidR="00AB1477" w:rsidRPr="00EE1916" w:rsidRDefault="00AB1477" w:rsidP="00AB1477">
      <w:pPr>
        <w:rPr>
          <w:szCs w:val="24"/>
        </w:rPr>
      </w:pPr>
      <w:r w:rsidRPr="00EE1916">
        <w:rPr>
          <w:szCs w:val="24"/>
        </w:rPr>
        <w:t xml:space="preserve">Administering O </w:t>
      </w:r>
      <w:proofErr w:type="spellStart"/>
      <w:r w:rsidRPr="00EE1916">
        <w:rPr>
          <w:szCs w:val="24"/>
        </w:rPr>
        <w:t>RhD</w:t>
      </w:r>
      <w:proofErr w:type="spellEnd"/>
      <w:r w:rsidRPr="00EE1916">
        <w:rPr>
          <w:szCs w:val="24"/>
        </w:rPr>
        <w:t xml:space="preserve"> </w:t>
      </w:r>
      <w:r>
        <w:rPr>
          <w:szCs w:val="24"/>
        </w:rPr>
        <w:t>N</w:t>
      </w:r>
      <w:r w:rsidRPr="00EE1916">
        <w:rPr>
          <w:szCs w:val="24"/>
        </w:rPr>
        <w:t>egative units will be as follows:</w:t>
      </w:r>
    </w:p>
    <w:p w14:paraId="12EC1CA4" w14:textId="349523A5" w:rsidR="00AB1477" w:rsidRPr="00EE1916" w:rsidRDefault="00AB1477" w:rsidP="00AB1477">
      <w:pPr>
        <w:pStyle w:val="ListBullet"/>
        <w:tabs>
          <w:tab w:val="num" w:pos="1080"/>
        </w:tabs>
      </w:pPr>
      <w:r w:rsidRPr="00EE1916">
        <w:t xml:space="preserve">Only a CRRS medical practitioner can </w:t>
      </w:r>
      <w:r w:rsidR="00C714FF">
        <w:t>delegate</w:t>
      </w:r>
      <w:r w:rsidRPr="00EE1916">
        <w:t xml:space="preserve"> the administration of O </w:t>
      </w:r>
      <w:proofErr w:type="spellStart"/>
      <w:r w:rsidRPr="00EE1916">
        <w:t>RhD</w:t>
      </w:r>
      <w:proofErr w:type="spellEnd"/>
      <w:r w:rsidRPr="00EE1916">
        <w:t xml:space="preserve"> Negative units</w:t>
      </w:r>
      <w:r>
        <w:t>.</w:t>
      </w:r>
    </w:p>
    <w:p w14:paraId="07138916" w14:textId="77777777" w:rsidR="00AB1477" w:rsidRPr="00EE1916" w:rsidRDefault="00AB1477" w:rsidP="00AB1477">
      <w:pPr>
        <w:pStyle w:val="ListBullet"/>
        <w:tabs>
          <w:tab w:val="num" w:pos="1080"/>
        </w:tabs>
      </w:pPr>
      <w:r w:rsidRPr="00EE1916">
        <w:t>Under the direct supervision of a CRRS medical p</w:t>
      </w:r>
      <w:r>
        <w:t>r</w:t>
      </w:r>
      <w:r w:rsidRPr="00EE1916">
        <w:t>a</w:t>
      </w:r>
      <w:r>
        <w:t>c</w:t>
      </w:r>
      <w:r w:rsidRPr="00EE1916">
        <w:t xml:space="preserve">titioner, the flight paramedic may administer O </w:t>
      </w:r>
      <w:proofErr w:type="spellStart"/>
      <w:r w:rsidRPr="00EE1916">
        <w:t>RhD</w:t>
      </w:r>
      <w:proofErr w:type="spellEnd"/>
      <w:r w:rsidRPr="00EE1916">
        <w:t xml:space="preserve"> Negative units.</w:t>
      </w:r>
    </w:p>
    <w:p w14:paraId="137ECBBD" w14:textId="77777777" w:rsidR="00AB1477" w:rsidRPr="00EE1916" w:rsidRDefault="00AB1477" w:rsidP="00AB1477">
      <w:pPr>
        <w:tabs>
          <w:tab w:val="left" w:pos="720"/>
        </w:tabs>
        <w:rPr>
          <w:szCs w:val="24"/>
        </w:rPr>
      </w:pPr>
      <w:r w:rsidRPr="00EE1916">
        <w:rPr>
          <w:szCs w:val="24"/>
        </w:rPr>
        <w:tab/>
      </w:r>
    </w:p>
    <w:p w14:paraId="025AD4BA" w14:textId="77777777" w:rsidR="00AB1477" w:rsidRPr="00EE1916" w:rsidRDefault="00AB1477" w:rsidP="00AB1477">
      <w:pPr>
        <w:rPr>
          <w:rFonts w:cs="Arial"/>
          <w:szCs w:val="24"/>
        </w:rPr>
      </w:pPr>
      <w:r w:rsidRPr="00EE1916">
        <w:rPr>
          <w:rFonts w:cs="Arial"/>
          <w:szCs w:val="24"/>
        </w:rPr>
        <w:t xml:space="preserve">The concise practice for initiating the </w:t>
      </w:r>
      <w:r w:rsidRPr="00EE1916">
        <w:rPr>
          <w:szCs w:val="24"/>
        </w:rPr>
        <w:t xml:space="preserve">administering O </w:t>
      </w:r>
      <w:proofErr w:type="spellStart"/>
      <w:r w:rsidRPr="00EE1916">
        <w:rPr>
          <w:szCs w:val="24"/>
        </w:rPr>
        <w:t>RhD</w:t>
      </w:r>
      <w:proofErr w:type="spellEnd"/>
      <w:r w:rsidRPr="00EE1916">
        <w:rPr>
          <w:szCs w:val="24"/>
        </w:rPr>
        <w:t xml:space="preserve"> Negative units in the </w:t>
      </w:r>
      <w:proofErr w:type="gramStart"/>
      <w:r w:rsidRPr="00EE1916">
        <w:rPr>
          <w:szCs w:val="24"/>
        </w:rPr>
        <w:t>pre hospital</w:t>
      </w:r>
      <w:proofErr w:type="gramEnd"/>
      <w:r w:rsidRPr="00EE1916">
        <w:rPr>
          <w:szCs w:val="24"/>
        </w:rPr>
        <w:t xml:space="preserve"> and retrieval environment </w:t>
      </w:r>
      <w:r w:rsidRPr="00EE1916">
        <w:rPr>
          <w:rFonts w:cs="Arial"/>
          <w:szCs w:val="24"/>
        </w:rPr>
        <w:t>is:</w:t>
      </w:r>
    </w:p>
    <w:p w14:paraId="719F867C" w14:textId="442CADC2" w:rsidR="00AB1477" w:rsidRDefault="00AB1477" w:rsidP="00AB1477">
      <w:pPr>
        <w:numPr>
          <w:ilvl w:val="0"/>
          <w:numId w:val="13"/>
        </w:numPr>
        <w:tabs>
          <w:tab w:val="clear" w:pos="360"/>
          <w:tab w:val="num" w:pos="426"/>
        </w:tabs>
        <w:autoSpaceDE w:val="0"/>
        <w:autoSpaceDN w:val="0"/>
        <w:adjustRightInd w:val="0"/>
        <w:ind w:left="426" w:hanging="426"/>
        <w:rPr>
          <w:rFonts w:cs="Helvetica"/>
          <w:color w:val="000000"/>
          <w:szCs w:val="24"/>
          <w:lang w:eastAsia="en-AU"/>
        </w:rPr>
      </w:pPr>
      <w:r w:rsidRPr="00EE1916">
        <w:rPr>
          <w:rFonts w:cs="Helvetica"/>
          <w:color w:val="000000"/>
          <w:szCs w:val="24"/>
          <w:lang w:eastAsia="en-AU"/>
        </w:rPr>
        <w:t>Determine the patients’ clinical need for blood administration and consider any contraindications.</w:t>
      </w:r>
    </w:p>
    <w:p w14:paraId="0112BBCE" w14:textId="49233704" w:rsidR="00277C36" w:rsidRPr="00EE1916" w:rsidRDefault="00277C36" w:rsidP="00AB1477">
      <w:pPr>
        <w:numPr>
          <w:ilvl w:val="0"/>
          <w:numId w:val="13"/>
        </w:numPr>
        <w:tabs>
          <w:tab w:val="clear" w:pos="360"/>
          <w:tab w:val="num" w:pos="426"/>
        </w:tabs>
        <w:autoSpaceDE w:val="0"/>
        <w:autoSpaceDN w:val="0"/>
        <w:adjustRightInd w:val="0"/>
        <w:ind w:left="426" w:hanging="426"/>
        <w:rPr>
          <w:rFonts w:cs="Helvetica"/>
          <w:color w:val="000000"/>
          <w:szCs w:val="24"/>
          <w:lang w:eastAsia="en-AU"/>
        </w:rPr>
      </w:pPr>
      <w:r>
        <w:rPr>
          <w:rFonts w:cs="Helvetica"/>
          <w:color w:val="000000"/>
          <w:szCs w:val="24"/>
          <w:lang w:eastAsia="en-AU"/>
        </w:rPr>
        <w:t xml:space="preserve">If the patient is conscious and has capacity, seek their consent to administer </w:t>
      </w:r>
      <w:proofErr w:type="spellStart"/>
      <w:r>
        <w:rPr>
          <w:rFonts w:cs="Helvetica"/>
          <w:color w:val="000000"/>
          <w:szCs w:val="24"/>
          <w:lang w:eastAsia="en-AU"/>
        </w:rPr>
        <w:t>ORhD</w:t>
      </w:r>
      <w:proofErr w:type="spellEnd"/>
      <w:r>
        <w:rPr>
          <w:rFonts w:cs="Helvetica"/>
          <w:color w:val="000000"/>
          <w:szCs w:val="24"/>
          <w:lang w:eastAsia="en-AU"/>
        </w:rPr>
        <w:t xml:space="preserve"> Negative units.  </w:t>
      </w:r>
    </w:p>
    <w:p w14:paraId="0FF7359E" w14:textId="77777777" w:rsidR="00AB1477" w:rsidRPr="00EE1916" w:rsidRDefault="00AB1477" w:rsidP="00AB1477">
      <w:pPr>
        <w:numPr>
          <w:ilvl w:val="0"/>
          <w:numId w:val="13"/>
        </w:numPr>
        <w:tabs>
          <w:tab w:val="clear" w:pos="360"/>
          <w:tab w:val="num" w:pos="426"/>
        </w:tabs>
        <w:autoSpaceDE w:val="0"/>
        <w:autoSpaceDN w:val="0"/>
        <w:adjustRightInd w:val="0"/>
        <w:ind w:left="426" w:hanging="426"/>
        <w:rPr>
          <w:rFonts w:cs="Helvetica"/>
          <w:color w:val="000000"/>
          <w:szCs w:val="24"/>
          <w:lang w:eastAsia="en-AU"/>
        </w:rPr>
      </w:pPr>
      <w:r w:rsidRPr="00EE1916">
        <w:rPr>
          <w:szCs w:val="24"/>
          <w:lang w:eastAsia="en-AU"/>
        </w:rPr>
        <w:t>Open the blood esky and locate the plastic container with blood sampling collection tubes and the pathology request form.</w:t>
      </w:r>
    </w:p>
    <w:p w14:paraId="19D0AE77" w14:textId="5A16D1E3" w:rsidR="00AB1477" w:rsidRPr="00EE1916" w:rsidRDefault="00AB1477" w:rsidP="00AB1477">
      <w:pPr>
        <w:numPr>
          <w:ilvl w:val="0"/>
          <w:numId w:val="13"/>
        </w:numPr>
        <w:tabs>
          <w:tab w:val="clear" w:pos="360"/>
          <w:tab w:val="num" w:pos="426"/>
        </w:tabs>
        <w:autoSpaceDE w:val="0"/>
        <w:autoSpaceDN w:val="0"/>
        <w:adjustRightInd w:val="0"/>
        <w:ind w:left="426" w:hanging="426"/>
        <w:rPr>
          <w:rFonts w:cs="Courier New"/>
          <w:szCs w:val="24"/>
          <w:lang w:eastAsia="en-AU"/>
        </w:rPr>
      </w:pPr>
      <w:r w:rsidRPr="00EE1916">
        <w:rPr>
          <w:rFonts w:cs="Courier New"/>
          <w:szCs w:val="24"/>
          <w:lang w:eastAsia="en-AU"/>
        </w:rPr>
        <w:t>Complete the pathology request form and collect the blood sample</w:t>
      </w:r>
      <w:r w:rsidR="00C53511">
        <w:rPr>
          <w:rFonts w:cs="Courier New"/>
          <w:szCs w:val="24"/>
          <w:lang w:eastAsia="en-AU"/>
        </w:rPr>
        <w:t xml:space="preserve"> ensuring the form and blood sample include the three core </w:t>
      </w:r>
      <w:proofErr w:type="spellStart"/>
      <w:r w:rsidR="00C53511">
        <w:rPr>
          <w:rFonts w:cs="Courier New"/>
          <w:szCs w:val="24"/>
          <w:lang w:eastAsia="en-AU"/>
        </w:rPr>
        <w:t>idientifiers</w:t>
      </w:r>
      <w:proofErr w:type="spellEnd"/>
      <w:r w:rsidR="00C714FF">
        <w:rPr>
          <w:rFonts w:cs="Courier New"/>
          <w:szCs w:val="24"/>
          <w:lang w:eastAsia="en-AU"/>
        </w:rPr>
        <w:t xml:space="preserve"> if patient is conscious and process is feasible</w:t>
      </w:r>
      <w:r w:rsidR="00C53511">
        <w:rPr>
          <w:rFonts w:cs="Courier New"/>
          <w:szCs w:val="24"/>
          <w:lang w:eastAsia="en-AU"/>
        </w:rPr>
        <w:t xml:space="preserve">. </w:t>
      </w:r>
    </w:p>
    <w:p w14:paraId="75C1CA51" w14:textId="61A4B6DC" w:rsidR="00AB1477" w:rsidRPr="00EE1916" w:rsidRDefault="00AB1477" w:rsidP="00AB1477">
      <w:pPr>
        <w:numPr>
          <w:ilvl w:val="0"/>
          <w:numId w:val="13"/>
        </w:numPr>
        <w:tabs>
          <w:tab w:val="clear" w:pos="360"/>
          <w:tab w:val="num" w:pos="426"/>
        </w:tabs>
        <w:autoSpaceDE w:val="0"/>
        <w:autoSpaceDN w:val="0"/>
        <w:adjustRightInd w:val="0"/>
        <w:ind w:left="426" w:hanging="426"/>
        <w:rPr>
          <w:rFonts w:cs="Courier New"/>
          <w:szCs w:val="24"/>
          <w:lang w:eastAsia="en-AU"/>
        </w:rPr>
      </w:pPr>
      <w:r w:rsidRPr="00EE1916">
        <w:rPr>
          <w:rFonts w:cs="Courier New"/>
          <w:szCs w:val="24"/>
          <w:lang w:eastAsia="en-AU"/>
        </w:rPr>
        <w:t>Both the collecting officer and witness are to sign the pathology request form and the sample is to be labelled by the collecting officer immediately after collection</w:t>
      </w:r>
      <w:r w:rsidR="00C53511" w:rsidRPr="00C53511">
        <w:rPr>
          <w:rFonts w:cs="Courier New"/>
          <w:szCs w:val="24"/>
          <w:lang w:eastAsia="en-AU"/>
        </w:rPr>
        <w:t xml:space="preserve"> </w:t>
      </w:r>
      <w:r w:rsidR="00C53511">
        <w:rPr>
          <w:rFonts w:cs="Courier New"/>
          <w:szCs w:val="24"/>
          <w:lang w:eastAsia="en-AU"/>
        </w:rPr>
        <w:t xml:space="preserve">as per </w:t>
      </w:r>
      <w:r w:rsidR="00C53511">
        <w:rPr>
          <w:rFonts w:cs="Courier New"/>
          <w:i/>
          <w:iCs/>
          <w:szCs w:val="24"/>
          <w:lang w:eastAsia="en-AU"/>
        </w:rPr>
        <w:t>Patient Identification – Pathology Specimen Labelling Procedure</w:t>
      </w:r>
      <w:r w:rsidR="00C714FF">
        <w:rPr>
          <w:rFonts w:cs="Courier New"/>
          <w:szCs w:val="24"/>
          <w:lang w:eastAsia="en-AU"/>
        </w:rPr>
        <w:t xml:space="preserve"> if feasible</w:t>
      </w:r>
    </w:p>
    <w:p w14:paraId="267B8362" w14:textId="77777777" w:rsidR="00AB1477" w:rsidRPr="00EE1916" w:rsidRDefault="00AB1477" w:rsidP="00AB1477">
      <w:pPr>
        <w:numPr>
          <w:ilvl w:val="0"/>
          <w:numId w:val="13"/>
        </w:numPr>
        <w:tabs>
          <w:tab w:val="clear" w:pos="360"/>
          <w:tab w:val="num" w:pos="426"/>
        </w:tabs>
        <w:autoSpaceDE w:val="0"/>
        <w:autoSpaceDN w:val="0"/>
        <w:adjustRightInd w:val="0"/>
        <w:ind w:left="426" w:hanging="426"/>
        <w:rPr>
          <w:rFonts w:cs="Courier New"/>
          <w:szCs w:val="24"/>
          <w:lang w:eastAsia="en-AU"/>
        </w:rPr>
      </w:pPr>
      <w:r w:rsidRPr="00EE1916">
        <w:rPr>
          <w:rFonts w:cs="Courier New"/>
          <w:szCs w:val="24"/>
          <w:lang w:eastAsia="en-AU"/>
        </w:rPr>
        <w:t>Place the blood samples and request form into the blood esky.</w:t>
      </w:r>
    </w:p>
    <w:p w14:paraId="7D4895A0" w14:textId="7AE2F2F6" w:rsidR="00065158" w:rsidRDefault="00AB1477" w:rsidP="00AB1477">
      <w:pPr>
        <w:numPr>
          <w:ilvl w:val="0"/>
          <w:numId w:val="13"/>
        </w:numPr>
        <w:tabs>
          <w:tab w:val="clear" w:pos="360"/>
          <w:tab w:val="num" w:pos="426"/>
        </w:tabs>
        <w:autoSpaceDE w:val="0"/>
        <w:autoSpaceDN w:val="0"/>
        <w:adjustRightInd w:val="0"/>
        <w:ind w:left="426" w:hanging="426"/>
        <w:rPr>
          <w:rFonts w:cs="Courier New"/>
          <w:szCs w:val="24"/>
          <w:lang w:eastAsia="en-AU"/>
        </w:rPr>
      </w:pPr>
      <w:r w:rsidRPr="00696DD7">
        <w:rPr>
          <w:rFonts w:cs="Courier New"/>
          <w:szCs w:val="24"/>
          <w:lang w:eastAsia="en-AU"/>
        </w:rPr>
        <w:lastRenderedPageBreak/>
        <w:t xml:space="preserve">Locate the data logger stored with the blood </w:t>
      </w:r>
      <w:r w:rsidR="00065158">
        <w:rPr>
          <w:rFonts w:cs="Courier New"/>
          <w:szCs w:val="24"/>
          <w:lang w:eastAsia="en-AU"/>
        </w:rPr>
        <w:t xml:space="preserve">unit </w:t>
      </w:r>
      <w:r w:rsidRPr="00696DD7">
        <w:rPr>
          <w:rFonts w:cs="Courier New"/>
          <w:szCs w:val="24"/>
          <w:lang w:eastAsia="en-AU"/>
        </w:rPr>
        <w:t xml:space="preserve">and check the maximum and minimum temperatures on the LCD screen. </w:t>
      </w:r>
      <w:r w:rsidR="00065158">
        <w:rPr>
          <w:rFonts w:cs="Courier New"/>
          <w:szCs w:val="24"/>
          <w:lang w:eastAsia="en-AU"/>
        </w:rPr>
        <w:t>Blood products should be kept within the temperature range of 2 to 10</w:t>
      </w:r>
      <w:bookmarkStart w:id="14" w:name="_Hlk80263365"/>
      <w:r w:rsidR="00065158" w:rsidRPr="00065158">
        <w:rPr>
          <w:rFonts w:cs="Courier New"/>
          <w:szCs w:val="24"/>
          <w:vertAlign w:val="superscript"/>
          <w:lang w:eastAsia="en-AU"/>
        </w:rPr>
        <w:t>o</w:t>
      </w:r>
      <w:r w:rsidR="00065158">
        <w:rPr>
          <w:rFonts w:cs="Courier New"/>
          <w:szCs w:val="24"/>
          <w:lang w:eastAsia="en-AU"/>
        </w:rPr>
        <w:t>C</w:t>
      </w:r>
      <w:bookmarkEnd w:id="14"/>
      <w:r w:rsidR="00065158">
        <w:rPr>
          <w:rFonts w:cs="Courier New"/>
          <w:szCs w:val="24"/>
          <w:lang w:eastAsia="en-AU"/>
        </w:rPr>
        <w:t xml:space="preserve">. </w:t>
      </w:r>
    </w:p>
    <w:p w14:paraId="6B6C071D" w14:textId="387ED2B9" w:rsidR="00AB1477" w:rsidRPr="00EE1916" w:rsidRDefault="00AB1477" w:rsidP="3B3CF27B">
      <w:pPr>
        <w:numPr>
          <w:ilvl w:val="0"/>
          <w:numId w:val="13"/>
        </w:numPr>
        <w:tabs>
          <w:tab w:val="clear" w:pos="360"/>
          <w:tab w:val="num" w:pos="426"/>
        </w:tabs>
        <w:autoSpaceDE w:val="0"/>
        <w:autoSpaceDN w:val="0"/>
        <w:adjustRightInd w:val="0"/>
        <w:ind w:left="426" w:hanging="426"/>
        <w:rPr>
          <w:rFonts w:cs="Courier New"/>
          <w:lang w:eastAsia="en-AU"/>
        </w:rPr>
      </w:pPr>
      <w:r w:rsidRPr="3B3CF27B">
        <w:rPr>
          <w:rFonts w:cs="Courier New"/>
          <w:lang w:eastAsia="en-AU"/>
        </w:rPr>
        <w:t xml:space="preserve">If the logger shows that temperatures have been outside </w:t>
      </w:r>
      <w:r w:rsidR="00065158" w:rsidRPr="3B3CF27B">
        <w:rPr>
          <w:rFonts w:cs="Courier New"/>
          <w:lang w:eastAsia="en-AU"/>
        </w:rPr>
        <w:t xml:space="preserve">the range of </w:t>
      </w:r>
      <w:r w:rsidRPr="3B3CF27B">
        <w:rPr>
          <w:rFonts w:cs="Courier New"/>
          <w:lang w:eastAsia="en-AU"/>
        </w:rPr>
        <w:t>2</w:t>
      </w:r>
      <w:r w:rsidR="00CB3B5B" w:rsidRPr="3B3CF27B">
        <w:rPr>
          <w:rFonts w:cs="Courier New"/>
          <w:lang w:eastAsia="en-AU"/>
        </w:rPr>
        <w:t xml:space="preserve"> to </w:t>
      </w:r>
      <w:r w:rsidRPr="3B3CF27B">
        <w:rPr>
          <w:rFonts w:cs="Courier New"/>
          <w:lang w:eastAsia="en-AU"/>
        </w:rPr>
        <w:t>10</w:t>
      </w:r>
      <w:r w:rsidR="00065158" w:rsidRPr="3B3CF27B">
        <w:rPr>
          <w:rFonts w:cs="Courier New"/>
          <w:vertAlign w:val="superscript"/>
          <w:lang w:eastAsia="en-AU"/>
        </w:rPr>
        <w:t>o</w:t>
      </w:r>
      <w:r w:rsidR="00065158" w:rsidRPr="3B3CF27B">
        <w:rPr>
          <w:rFonts w:cs="Courier New"/>
          <w:lang w:eastAsia="en-AU"/>
        </w:rPr>
        <w:t>C</w:t>
      </w:r>
      <w:r w:rsidRPr="3B3CF27B">
        <w:rPr>
          <w:rFonts w:cs="Courier New"/>
          <w:lang w:eastAsia="en-AU"/>
        </w:rPr>
        <w:t>,</w:t>
      </w:r>
      <w:r w:rsidRPr="3B3CF27B">
        <w:rPr>
          <w:rFonts w:cs="Arial"/>
          <w:color w:val="0000FF"/>
        </w:rPr>
        <w:t xml:space="preserve"> </w:t>
      </w:r>
      <w:r w:rsidRPr="3B3CF27B">
        <w:rPr>
          <w:rFonts w:cs="Arial"/>
        </w:rPr>
        <w:t>and the patient has a life threatening condition, haematological advice should be obtained by contacting the on call haematologist at Canberra Health Services (CHS)</w:t>
      </w:r>
      <w:r w:rsidR="00CB3B5B" w:rsidRPr="3B3CF27B">
        <w:rPr>
          <w:rFonts w:cs="Arial"/>
        </w:rPr>
        <w:t xml:space="preserve">, via switchboard on </w:t>
      </w:r>
      <w:r w:rsidR="6DBEB3B4" w:rsidRPr="3B3CF27B">
        <w:rPr>
          <w:rFonts w:cs="Arial"/>
        </w:rPr>
        <w:t xml:space="preserve"> 02 </w:t>
      </w:r>
      <w:r w:rsidR="00CB3B5B" w:rsidRPr="3B3CF27B">
        <w:rPr>
          <w:rFonts w:cs="Arial"/>
        </w:rPr>
        <w:t>5124 0000,</w:t>
      </w:r>
      <w:r w:rsidRPr="3B3CF27B">
        <w:rPr>
          <w:rFonts w:cs="Arial"/>
        </w:rPr>
        <w:t xml:space="preserve"> if feasible. </w:t>
      </w:r>
    </w:p>
    <w:p w14:paraId="2A59CC70" w14:textId="7466D434" w:rsidR="00AB1477" w:rsidRPr="00EE1916" w:rsidRDefault="00065158" w:rsidP="3B3CF27B">
      <w:pPr>
        <w:numPr>
          <w:ilvl w:val="0"/>
          <w:numId w:val="13"/>
        </w:numPr>
        <w:tabs>
          <w:tab w:val="clear" w:pos="360"/>
          <w:tab w:val="num" w:pos="426"/>
        </w:tabs>
        <w:autoSpaceDE w:val="0"/>
        <w:autoSpaceDN w:val="0"/>
        <w:adjustRightInd w:val="0"/>
        <w:ind w:left="426" w:hanging="426"/>
        <w:rPr>
          <w:rFonts w:cs="Helvetica"/>
          <w:color w:val="000000"/>
          <w:lang w:eastAsia="en-AU"/>
        </w:rPr>
      </w:pPr>
      <w:r w:rsidRPr="3B3CF27B">
        <w:rPr>
          <w:rFonts w:cs="Helvetica"/>
          <w:color w:val="000000" w:themeColor="text1"/>
          <w:lang w:eastAsia="en-AU"/>
        </w:rPr>
        <w:t xml:space="preserve">If the </w:t>
      </w:r>
      <w:r w:rsidRPr="3B3CF27B">
        <w:rPr>
          <w:rFonts w:cs="Courier New"/>
          <w:lang w:eastAsia="en-AU"/>
        </w:rPr>
        <w:t>logger shows that temperatures have been within the range of 2 to 10</w:t>
      </w:r>
      <w:r w:rsidRPr="3B3CF27B">
        <w:rPr>
          <w:rFonts w:cs="Courier New"/>
          <w:vertAlign w:val="superscript"/>
          <w:lang w:eastAsia="en-AU"/>
        </w:rPr>
        <w:t>o</w:t>
      </w:r>
      <w:r w:rsidRPr="3B3CF27B">
        <w:rPr>
          <w:rFonts w:cs="Courier New"/>
          <w:lang w:eastAsia="en-AU"/>
        </w:rPr>
        <w:t>C,</w:t>
      </w:r>
      <w:r w:rsidR="00AB1477" w:rsidRPr="3B3CF27B">
        <w:rPr>
          <w:rFonts w:cs="Helvetica"/>
          <w:color w:val="000000" w:themeColor="text1"/>
          <w:lang w:eastAsia="en-AU"/>
        </w:rPr>
        <w:t xml:space="preserve"> administer the blood </w:t>
      </w:r>
      <w:r w:rsidRPr="3B3CF27B">
        <w:rPr>
          <w:rFonts w:cs="Helvetica"/>
          <w:color w:val="000000" w:themeColor="text1"/>
          <w:lang w:eastAsia="en-AU"/>
        </w:rPr>
        <w:t xml:space="preserve">unit </w:t>
      </w:r>
      <w:r w:rsidR="00AB1477" w:rsidRPr="3B3CF27B">
        <w:rPr>
          <w:rFonts w:cs="Helvetica"/>
          <w:color w:val="000000" w:themeColor="text1"/>
          <w:lang w:eastAsia="en-AU"/>
        </w:rPr>
        <w:t>as needed in accordance with the patient’s clinical status</w:t>
      </w:r>
      <w:r w:rsidR="00C53511">
        <w:rPr>
          <w:rFonts w:cs="Helvetica"/>
          <w:color w:val="000000" w:themeColor="text1"/>
          <w:lang w:eastAsia="en-AU"/>
        </w:rPr>
        <w:t xml:space="preserve"> as per Fresh Blood Products Administration – Adults, Paediatrics and Neonates Procedure</w:t>
      </w:r>
      <w:r w:rsidR="00AB1477" w:rsidRPr="3B3CF27B">
        <w:rPr>
          <w:rFonts w:cs="Helvetica"/>
          <w:color w:val="000000" w:themeColor="text1"/>
          <w:lang w:eastAsia="en-AU"/>
        </w:rPr>
        <w:t>.</w:t>
      </w:r>
    </w:p>
    <w:p w14:paraId="5204A38D" w14:textId="445D043F" w:rsidR="00AB1477" w:rsidRPr="00EE1916" w:rsidRDefault="00AB1477" w:rsidP="3B3CF27B">
      <w:pPr>
        <w:pStyle w:val="Header"/>
        <w:numPr>
          <w:ilvl w:val="0"/>
          <w:numId w:val="13"/>
        </w:numPr>
        <w:tabs>
          <w:tab w:val="clear" w:pos="360"/>
          <w:tab w:val="clear" w:pos="4153"/>
          <w:tab w:val="clear" w:pos="8306"/>
          <w:tab w:val="num" w:pos="426"/>
        </w:tabs>
        <w:ind w:left="426" w:hanging="426"/>
        <w:rPr>
          <w:rFonts w:cs="Arial"/>
          <w:lang w:eastAsia="en-AU"/>
        </w:rPr>
      </w:pPr>
      <w:r w:rsidRPr="3B3CF27B">
        <w:rPr>
          <w:rFonts w:cs="Courier New"/>
          <w:lang w:eastAsia="en-AU"/>
        </w:rPr>
        <w:t xml:space="preserve">Enter the patient’s details on the back of the blood </w:t>
      </w:r>
      <w:r w:rsidR="00065158" w:rsidRPr="3B3CF27B">
        <w:rPr>
          <w:rFonts w:cs="Courier New"/>
          <w:lang w:eastAsia="en-AU"/>
        </w:rPr>
        <w:t xml:space="preserve">unit </w:t>
      </w:r>
      <w:r w:rsidRPr="3B3CF27B">
        <w:rPr>
          <w:rFonts w:cs="Courier New"/>
          <w:lang w:eastAsia="en-AU"/>
        </w:rPr>
        <w:t>tag.</w:t>
      </w:r>
      <w:r w:rsidR="6E98DA43" w:rsidRPr="3B3CF27B">
        <w:rPr>
          <w:rFonts w:cs="Courier New"/>
          <w:lang w:eastAsia="en-AU"/>
        </w:rPr>
        <w:t xml:space="preserve"> </w:t>
      </w:r>
    </w:p>
    <w:p w14:paraId="17034146" w14:textId="4F3F9296" w:rsidR="00AB1477" w:rsidRPr="00EE1916" w:rsidRDefault="00AB1477" w:rsidP="00AB1477">
      <w:pPr>
        <w:numPr>
          <w:ilvl w:val="0"/>
          <w:numId w:val="13"/>
        </w:numPr>
        <w:tabs>
          <w:tab w:val="clear" w:pos="360"/>
          <w:tab w:val="num" w:pos="426"/>
        </w:tabs>
        <w:autoSpaceDE w:val="0"/>
        <w:autoSpaceDN w:val="0"/>
        <w:adjustRightInd w:val="0"/>
        <w:ind w:left="426" w:hanging="426"/>
        <w:rPr>
          <w:rFonts w:cs="Helvetica"/>
          <w:color w:val="000000"/>
          <w:szCs w:val="24"/>
          <w:lang w:eastAsia="en-AU"/>
        </w:rPr>
      </w:pPr>
      <w:r w:rsidRPr="00EE1916">
        <w:rPr>
          <w:rFonts w:cs="Helvetica"/>
          <w:color w:val="000000"/>
          <w:szCs w:val="24"/>
          <w:lang w:eastAsia="en-AU"/>
        </w:rPr>
        <w:t>Monitor the patient’s vital signs as frequently as is practical in this environment</w:t>
      </w:r>
      <w:r w:rsidR="00C714FF">
        <w:rPr>
          <w:rFonts w:cs="Helvetica"/>
          <w:color w:val="000000"/>
          <w:szCs w:val="24"/>
          <w:lang w:eastAsia="en-AU"/>
        </w:rPr>
        <w:t xml:space="preserve"> and document on the </w:t>
      </w:r>
      <w:proofErr w:type="gramStart"/>
      <w:r w:rsidR="00C714FF">
        <w:rPr>
          <w:rFonts w:cs="Helvetica"/>
          <w:color w:val="000000"/>
          <w:szCs w:val="24"/>
          <w:lang w:eastAsia="en-AU"/>
        </w:rPr>
        <w:t>patients</w:t>
      </w:r>
      <w:proofErr w:type="gramEnd"/>
      <w:r w:rsidR="00C714FF">
        <w:rPr>
          <w:rFonts w:cs="Helvetica"/>
          <w:color w:val="000000"/>
          <w:szCs w:val="24"/>
          <w:lang w:eastAsia="en-AU"/>
        </w:rPr>
        <w:t xml:space="preserve"> case sheet</w:t>
      </w:r>
      <w:r w:rsidRPr="00EE1916">
        <w:rPr>
          <w:rFonts w:cs="Helvetica"/>
          <w:color w:val="000000"/>
          <w:szCs w:val="24"/>
          <w:lang w:eastAsia="en-AU"/>
        </w:rPr>
        <w:t>.</w:t>
      </w:r>
    </w:p>
    <w:p w14:paraId="72EBE73A" w14:textId="7AC4099B" w:rsidR="00AB1477" w:rsidRPr="00EE1916" w:rsidRDefault="00AB1477" w:rsidP="3B3CF27B">
      <w:pPr>
        <w:numPr>
          <w:ilvl w:val="0"/>
          <w:numId w:val="13"/>
        </w:numPr>
        <w:tabs>
          <w:tab w:val="clear" w:pos="360"/>
          <w:tab w:val="num" w:pos="426"/>
        </w:tabs>
        <w:autoSpaceDE w:val="0"/>
        <w:autoSpaceDN w:val="0"/>
        <w:adjustRightInd w:val="0"/>
        <w:ind w:left="426" w:hanging="426"/>
        <w:rPr>
          <w:rFonts w:cs="Helvetica"/>
          <w:color w:val="000000"/>
          <w:lang w:eastAsia="en-AU"/>
        </w:rPr>
      </w:pPr>
      <w:r w:rsidRPr="3B3CF27B">
        <w:rPr>
          <w:lang w:eastAsia="en-AU"/>
        </w:rPr>
        <w:t xml:space="preserve">Telephone the CHS Transfusion Laboratory on </w:t>
      </w:r>
      <w:r w:rsidR="2F852C68" w:rsidRPr="3B3CF27B">
        <w:rPr>
          <w:lang w:eastAsia="en-AU"/>
        </w:rPr>
        <w:t xml:space="preserve"> 02 </w:t>
      </w:r>
      <w:r w:rsidRPr="3B3CF27B">
        <w:rPr>
          <w:lang w:eastAsia="en-AU"/>
        </w:rPr>
        <w:t xml:space="preserve">5124 2918 as soon as practicable to notify that the blood </w:t>
      </w:r>
      <w:r w:rsidR="00065158" w:rsidRPr="3B3CF27B">
        <w:rPr>
          <w:lang w:eastAsia="en-AU"/>
        </w:rPr>
        <w:t xml:space="preserve">unit </w:t>
      </w:r>
      <w:r w:rsidRPr="3B3CF27B">
        <w:rPr>
          <w:lang w:eastAsia="en-AU"/>
        </w:rPr>
        <w:t xml:space="preserve">was used so that a replacement blood esky can be organised. </w:t>
      </w:r>
    </w:p>
    <w:p w14:paraId="5F12A33D" w14:textId="72A88C93" w:rsidR="00AB1477" w:rsidRDefault="00AB1477" w:rsidP="00AB1477">
      <w:pPr>
        <w:numPr>
          <w:ilvl w:val="0"/>
          <w:numId w:val="13"/>
        </w:numPr>
        <w:tabs>
          <w:tab w:val="clear" w:pos="360"/>
          <w:tab w:val="num" w:pos="426"/>
        </w:tabs>
        <w:autoSpaceDE w:val="0"/>
        <w:autoSpaceDN w:val="0"/>
        <w:adjustRightInd w:val="0"/>
        <w:ind w:left="426" w:hanging="426"/>
        <w:rPr>
          <w:rFonts w:cs="Helvetica"/>
          <w:color w:val="000000"/>
          <w:szCs w:val="24"/>
          <w:lang w:eastAsia="en-AU"/>
        </w:rPr>
      </w:pPr>
      <w:r w:rsidRPr="00EE1916">
        <w:rPr>
          <w:rFonts w:cs="Helvetica"/>
          <w:color w:val="000000"/>
          <w:szCs w:val="24"/>
          <w:lang w:eastAsia="en-AU"/>
        </w:rPr>
        <w:t xml:space="preserve">Return the blood esky with any unused units, blood samples and all completed documentation to </w:t>
      </w:r>
      <w:r>
        <w:rPr>
          <w:rFonts w:cs="Helvetica"/>
          <w:color w:val="000000"/>
          <w:szCs w:val="24"/>
          <w:lang w:eastAsia="en-AU"/>
        </w:rPr>
        <w:t>CHS</w:t>
      </w:r>
      <w:r w:rsidRPr="00EE1916">
        <w:rPr>
          <w:rFonts w:cs="Helvetica"/>
          <w:color w:val="000000"/>
          <w:szCs w:val="24"/>
          <w:lang w:eastAsia="en-AU"/>
        </w:rPr>
        <w:t xml:space="preserve"> Pathology Department.</w:t>
      </w:r>
    </w:p>
    <w:p w14:paraId="2F51A892" w14:textId="77777777" w:rsidR="007B6904" w:rsidRDefault="007B6904" w:rsidP="007B6904">
      <w:pPr>
        <w:rPr>
          <w:rFonts w:cs="Arial"/>
          <w:i/>
          <w:szCs w:val="24"/>
        </w:rPr>
      </w:pPr>
      <w:r>
        <w:rPr>
          <w:rFonts w:cs="Arial"/>
          <w:i/>
          <w:szCs w:val="24"/>
        </w:rPr>
        <w:t xml:space="preserve"> </w:t>
      </w:r>
    </w:p>
    <w:p w14:paraId="2F51A893" w14:textId="77777777" w:rsidR="007B6904" w:rsidRDefault="005E24D2"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79E37F83" w:rsidR="007B6904" w:rsidRPr="00C76688" w:rsidRDefault="007B6904" w:rsidP="004213C3">
            <w:pPr>
              <w:pStyle w:val="Heading1"/>
            </w:pPr>
            <w:bookmarkStart w:id="15" w:name="_Toc389473281"/>
            <w:bookmarkStart w:id="16" w:name="_Toc92289790"/>
            <w:r w:rsidRPr="00C76688">
              <w:t xml:space="preserve">Section 2 – </w:t>
            </w:r>
            <w:r w:rsidR="00AB1477">
              <w:t xml:space="preserve"> Unidentified Patients</w:t>
            </w:r>
            <w:bookmarkEnd w:id="15"/>
            <w:bookmarkEnd w:id="16"/>
          </w:p>
        </w:tc>
      </w:tr>
    </w:tbl>
    <w:p w14:paraId="2F51A897" w14:textId="77777777" w:rsidR="007B6904" w:rsidRDefault="007B6904" w:rsidP="007B6904">
      <w:pPr>
        <w:rPr>
          <w:rFonts w:cs="Arial"/>
          <w:b/>
          <w:szCs w:val="24"/>
        </w:rPr>
      </w:pPr>
    </w:p>
    <w:p w14:paraId="51A435E6" w14:textId="77777777" w:rsidR="00AB1477" w:rsidRPr="00EE1916" w:rsidRDefault="00AB1477" w:rsidP="00AB1477">
      <w:pPr>
        <w:rPr>
          <w:iCs/>
          <w:szCs w:val="24"/>
          <w:lang w:eastAsia="en-AU"/>
        </w:rPr>
      </w:pPr>
      <w:r w:rsidRPr="006B6E64">
        <w:rPr>
          <w:iCs/>
          <w:szCs w:val="24"/>
          <w:lang w:eastAsia="en-AU"/>
        </w:rPr>
        <w:t>Unidentified patient(s) retrieved</w:t>
      </w:r>
      <w:r w:rsidRPr="00EE1916">
        <w:rPr>
          <w:iCs/>
          <w:szCs w:val="24"/>
          <w:lang w:eastAsia="en-AU"/>
        </w:rPr>
        <w:t xml:space="preserve"> from the pre-hospital environment are to have their blood sample and request form completed with the following information: </w:t>
      </w:r>
    </w:p>
    <w:p w14:paraId="23B4880E" w14:textId="77777777" w:rsidR="00AB1477" w:rsidRPr="00EE1916" w:rsidRDefault="00AB1477" w:rsidP="00AB1477">
      <w:pPr>
        <w:pStyle w:val="ListBullet"/>
        <w:tabs>
          <w:tab w:val="num" w:pos="1080"/>
        </w:tabs>
        <w:rPr>
          <w:lang w:eastAsia="en-AU"/>
        </w:rPr>
      </w:pPr>
      <w:r w:rsidRPr="00EE1916">
        <w:rPr>
          <w:lang w:eastAsia="en-AU"/>
        </w:rPr>
        <w:t>Date</w:t>
      </w:r>
    </w:p>
    <w:p w14:paraId="5FD45035" w14:textId="17D97FD7" w:rsidR="00AB1477" w:rsidRPr="00EE1916" w:rsidRDefault="00065158" w:rsidP="00AB1477">
      <w:pPr>
        <w:pStyle w:val="ListBullet"/>
        <w:tabs>
          <w:tab w:val="num" w:pos="1080"/>
        </w:tabs>
        <w:rPr>
          <w:lang w:eastAsia="en-AU"/>
        </w:rPr>
      </w:pPr>
      <w:r>
        <w:rPr>
          <w:lang w:eastAsia="en-AU"/>
        </w:rPr>
        <w:t>Sex</w:t>
      </w:r>
    </w:p>
    <w:p w14:paraId="6F15FA43" w14:textId="77777777" w:rsidR="00AB1477" w:rsidRPr="00EE1916" w:rsidRDefault="00AB1477" w:rsidP="00AB1477">
      <w:pPr>
        <w:pStyle w:val="ListBullet"/>
        <w:tabs>
          <w:tab w:val="num" w:pos="1080"/>
        </w:tabs>
        <w:rPr>
          <w:lang w:eastAsia="en-AU"/>
        </w:rPr>
      </w:pPr>
      <w:r w:rsidRPr="00EE1916">
        <w:rPr>
          <w:lang w:eastAsia="en-AU"/>
        </w:rPr>
        <w:t xml:space="preserve">Ambulance case sheet number </w:t>
      </w:r>
    </w:p>
    <w:p w14:paraId="392EC397" w14:textId="77777777" w:rsidR="00AB1477" w:rsidRPr="00EE1916" w:rsidRDefault="00AB1477" w:rsidP="00AB1477">
      <w:pPr>
        <w:pStyle w:val="ListBullet"/>
        <w:tabs>
          <w:tab w:val="num" w:pos="1080"/>
        </w:tabs>
        <w:rPr>
          <w:rFonts w:cs="Arial"/>
        </w:rPr>
      </w:pPr>
      <w:r w:rsidRPr="00EE1916">
        <w:rPr>
          <w:rFonts w:cs="Courier New"/>
          <w:lang w:eastAsia="en-AU"/>
        </w:rPr>
        <w:t>Both the collecting officer and witness are to sign the pathology request form and the sample is to be labelled by the collecting officer immediately after collection</w:t>
      </w:r>
      <w:r>
        <w:rPr>
          <w:rFonts w:cs="Courier New"/>
          <w:lang w:eastAsia="en-AU"/>
        </w:rPr>
        <w:t>.</w:t>
      </w:r>
    </w:p>
    <w:p w14:paraId="2F51A8AC" w14:textId="0A3F2F0C" w:rsidR="007B6904" w:rsidRPr="00AB1477" w:rsidRDefault="00931B93" w:rsidP="007B6904">
      <w:pPr>
        <w:rPr>
          <w:rFonts w:cs="Arial"/>
          <w:i/>
          <w:szCs w:val="24"/>
        </w:rPr>
      </w:pPr>
      <w:r>
        <w:rPr>
          <w:rFonts w:cs="Arial"/>
          <w:i/>
          <w:szCs w:val="24"/>
        </w:rPr>
        <w:t xml:space="preserve"> </w:t>
      </w:r>
    </w:p>
    <w:p w14:paraId="2F51A8AD" w14:textId="77777777" w:rsidR="007B6904" w:rsidRDefault="005E24D2" w:rsidP="007B6904">
      <w:pPr>
        <w:jc w:val="right"/>
        <w:rPr>
          <w:rFonts w:cs="Arial"/>
          <w:b/>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067D01FB" w:rsidR="00F9158A" w:rsidRPr="00CD1C0E" w:rsidRDefault="00F9158A" w:rsidP="00E73459">
            <w:pPr>
              <w:pStyle w:val="Heading1"/>
              <w:tabs>
                <w:tab w:val="left" w:pos="1953"/>
              </w:tabs>
            </w:pPr>
            <w:bookmarkStart w:id="17" w:name="_Toc92289791"/>
            <w:r>
              <w:t>Evaluation</w:t>
            </w:r>
            <w:bookmarkEnd w:id="17"/>
            <w:r>
              <w:t xml:space="preserve"> </w:t>
            </w:r>
            <w:r w:rsidR="00E73459">
              <w:tab/>
            </w:r>
          </w:p>
        </w:tc>
      </w:tr>
    </w:tbl>
    <w:p w14:paraId="6E93670E" w14:textId="77777777" w:rsidR="00F9158A" w:rsidRDefault="00F9158A" w:rsidP="00F9158A">
      <w:pPr>
        <w:pStyle w:val="Default"/>
        <w:rPr>
          <w:rFonts w:ascii="Calibri" w:hAnsi="Calibri"/>
        </w:rPr>
      </w:pPr>
    </w:p>
    <w:p w14:paraId="392F428C" w14:textId="265FF25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6AFDEABE" w14:textId="04A1F2A4" w:rsidR="00015D88" w:rsidRPr="00A96651" w:rsidRDefault="00A96651" w:rsidP="00A96651">
      <w:pPr>
        <w:rPr>
          <w:szCs w:val="24"/>
        </w:rPr>
      </w:pPr>
      <w:r>
        <w:rPr>
          <w:szCs w:val="24"/>
        </w:rPr>
        <w:t xml:space="preserve">Patients of the </w:t>
      </w:r>
      <w:bookmarkStart w:id="18" w:name="_Hlk80266862"/>
      <w:r>
        <w:rPr>
          <w:szCs w:val="24"/>
        </w:rPr>
        <w:t>C</w:t>
      </w:r>
      <w:r w:rsidR="00AE4674">
        <w:rPr>
          <w:szCs w:val="24"/>
        </w:rPr>
        <w:t>apital</w:t>
      </w:r>
      <w:r>
        <w:rPr>
          <w:szCs w:val="24"/>
        </w:rPr>
        <w:t xml:space="preserve"> Region Retrieval Service </w:t>
      </w:r>
      <w:bookmarkEnd w:id="18"/>
      <w:r>
        <w:rPr>
          <w:szCs w:val="24"/>
        </w:rPr>
        <w:t xml:space="preserve">with a clinical need for administration of a unit of blood are managed as per this procedure. </w:t>
      </w:r>
    </w:p>
    <w:p w14:paraId="49E18C96" w14:textId="6CDB362C" w:rsidR="00845445" w:rsidRPr="00845445" w:rsidRDefault="00845445" w:rsidP="00F9158A">
      <w:pPr>
        <w:pStyle w:val="Default"/>
        <w:rPr>
          <w:rFonts w:ascii="Calibri" w:hAnsi="Calibri" w:cs="Arial"/>
          <w:b/>
          <w:bCs/>
          <w:iCs/>
          <w:color w:val="auto"/>
          <w:lang w:eastAsia="en-US"/>
        </w:rPr>
      </w:pPr>
    </w:p>
    <w:p w14:paraId="30BA3477" w14:textId="6EB16B7C" w:rsidR="00845445" w:rsidRPr="00845445" w:rsidRDefault="00845445" w:rsidP="00F9158A">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27756F3B" w14:textId="16C8074F" w:rsidR="00845445" w:rsidRDefault="00A96651" w:rsidP="00CF503A">
      <w:pPr>
        <w:pStyle w:val="Default"/>
        <w:numPr>
          <w:ilvl w:val="0"/>
          <w:numId w:val="14"/>
        </w:numPr>
        <w:ind w:left="426" w:hanging="426"/>
        <w:rPr>
          <w:rFonts w:ascii="Calibri" w:hAnsi="Calibri" w:cs="Arial"/>
          <w:iCs/>
          <w:color w:val="auto"/>
          <w:lang w:eastAsia="en-US"/>
        </w:rPr>
      </w:pPr>
      <w:r>
        <w:rPr>
          <w:rFonts w:ascii="Calibri" w:hAnsi="Calibri" w:cs="Arial"/>
          <w:iCs/>
          <w:color w:val="auto"/>
          <w:lang w:eastAsia="en-US"/>
        </w:rPr>
        <w:t xml:space="preserve">Annual review of 5 clinical records of patients who received a unit of blood while transported to hospital by </w:t>
      </w:r>
      <w:r w:rsidRPr="00A96651">
        <w:rPr>
          <w:rFonts w:ascii="Calibri" w:hAnsi="Calibri" w:cs="Arial"/>
          <w:iCs/>
          <w:color w:val="auto"/>
          <w:lang w:eastAsia="en-US"/>
        </w:rPr>
        <w:t>Ca</w:t>
      </w:r>
      <w:r w:rsidR="00AE4674">
        <w:rPr>
          <w:rFonts w:ascii="Calibri" w:hAnsi="Calibri" w:cs="Arial"/>
          <w:iCs/>
          <w:color w:val="auto"/>
          <w:lang w:eastAsia="en-US"/>
        </w:rPr>
        <w:t>pital</w:t>
      </w:r>
      <w:r w:rsidRPr="00A96651">
        <w:rPr>
          <w:rFonts w:ascii="Calibri" w:hAnsi="Calibri" w:cs="Arial"/>
          <w:iCs/>
          <w:color w:val="auto"/>
          <w:lang w:eastAsia="en-US"/>
        </w:rPr>
        <w:t xml:space="preserve"> Region Retrieval Service</w:t>
      </w:r>
      <w:r>
        <w:rPr>
          <w:rFonts w:ascii="Calibri" w:hAnsi="Calibri" w:cs="Arial"/>
          <w:iCs/>
          <w:color w:val="auto"/>
          <w:lang w:eastAsia="en-US"/>
        </w:rPr>
        <w:t>.</w:t>
      </w:r>
      <w:r w:rsidR="00C714FF">
        <w:rPr>
          <w:rFonts w:ascii="Calibri" w:hAnsi="Calibri" w:cs="Arial"/>
          <w:iCs/>
          <w:color w:val="auto"/>
          <w:lang w:eastAsia="en-US"/>
        </w:rPr>
        <w:t xml:space="preserve"> This will be reported to the Retrieval </w:t>
      </w:r>
      <w:proofErr w:type="spellStart"/>
      <w:r w:rsidR="00C714FF">
        <w:rPr>
          <w:rFonts w:ascii="Calibri" w:hAnsi="Calibri" w:cs="Arial"/>
          <w:iCs/>
          <w:color w:val="auto"/>
          <w:lang w:eastAsia="en-US"/>
        </w:rPr>
        <w:t>Morbidiity</w:t>
      </w:r>
      <w:proofErr w:type="spellEnd"/>
      <w:r w:rsidR="00C714FF">
        <w:rPr>
          <w:rFonts w:ascii="Calibri" w:hAnsi="Calibri" w:cs="Arial"/>
          <w:iCs/>
          <w:color w:val="auto"/>
          <w:lang w:eastAsia="en-US"/>
        </w:rPr>
        <w:t xml:space="preserve"> and Mortality meeting. </w:t>
      </w:r>
    </w:p>
    <w:p w14:paraId="27DB0634" w14:textId="77777777" w:rsidR="00A96651" w:rsidRPr="00A96651" w:rsidRDefault="00A96651" w:rsidP="00A96651">
      <w:pPr>
        <w:pStyle w:val="Default"/>
        <w:rPr>
          <w:rFonts w:ascii="Calibri" w:hAnsi="Calibri" w:cs="Arial"/>
          <w:iCs/>
          <w:color w:val="auto"/>
          <w:lang w:eastAsia="en-US"/>
        </w:rPr>
      </w:pPr>
    </w:p>
    <w:p w14:paraId="119BA4AD" w14:textId="77777777" w:rsidR="00F9158A" w:rsidRPr="00253F5A" w:rsidRDefault="005E24D2"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9" w:name="_Toc389473287"/>
            <w:bookmarkStart w:id="20" w:name="_Toc92289792"/>
            <w:r>
              <w:lastRenderedPageBreak/>
              <w:t xml:space="preserve">Related Policies, </w:t>
            </w:r>
            <w:r w:rsidR="007B6904">
              <w:t>Procedures</w:t>
            </w:r>
            <w:bookmarkEnd w:id="19"/>
            <w:r>
              <w:t>, Guidelines and Legislation</w:t>
            </w:r>
            <w:bookmarkEnd w:id="20"/>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F51A8BC" w14:textId="410775A4" w:rsidR="000A7335" w:rsidRPr="000A7335" w:rsidRDefault="00AB1477" w:rsidP="00CF503A">
      <w:pPr>
        <w:numPr>
          <w:ilvl w:val="0"/>
          <w:numId w:val="3"/>
        </w:numPr>
        <w:ind w:left="426" w:hanging="426"/>
        <w:rPr>
          <w:rFonts w:cs="Arial"/>
          <w:szCs w:val="24"/>
        </w:rPr>
      </w:pPr>
      <w:r>
        <w:rPr>
          <w:rFonts w:cs="Arial"/>
          <w:szCs w:val="24"/>
        </w:rPr>
        <w:t xml:space="preserve"> Informed Consent </w:t>
      </w:r>
      <w:r w:rsidR="00A96651">
        <w:rPr>
          <w:rFonts w:cs="Arial"/>
          <w:szCs w:val="24"/>
        </w:rPr>
        <w:t>(</w:t>
      </w:r>
      <w:r>
        <w:rPr>
          <w:rFonts w:cs="Arial"/>
          <w:szCs w:val="24"/>
        </w:rPr>
        <w:t>Clinical</w:t>
      </w:r>
      <w:r w:rsidR="00A96651">
        <w:rPr>
          <w:rFonts w:cs="Arial"/>
          <w:szCs w:val="24"/>
        </w:rPr>
        <w:t>)</w:t>
      </w:r>
      <w:r>
        <w:rPr>
          <w:rFonts w:cs="Arial"/>
          <w:szCs w:val="24"/>
        </w:rPr>
        <w:t xml:space="preserve">  </w:t>
      </w:r>
    </w:p>
    <w:p w14:paraId="2F51A8BD" w14:textId="63EE797C" w:rsid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C0" w14:textId="13E545DE" w:rsidR="000A7335" w:rsidRDefault="00AB1477" w:rsidP="00CF503A">
      <w:pPr>
        <w:pStyle w:val="ListParagraph"/>
        <w:numPr>
          <w:ilvl w:val="0"/>
          <w:numId w:val="3"/>
        </w:numPr>
        <w:ind w:left="426" w:hanging="426"/>
        <w:rPr>
          <w:rFonts w:cs="Arial"/>
          <w:szCs w:val="24"/>
        </w:rPr>
      </w:pPr>
      <w:r>
        <w:rPr>
          <w:rFonts w:cs="Arial"/>
          <w:szCs w:val="24"/>
        </w:rPr>
        <w:t xml:space="preserve">Patient Identification – Pathology Specimen Labelling </w:t>
      </w:r>
    </w:p>
    <w:p w14:paraId="5DB60AFF" w14:textId="0DD8E08A" w:rsidR="00A96651" w:rsidRDefault="00A96651" w:rsidP="00CF503A">
      <w:pPr>
        <w:pStyle w:val="ListParagraph"/>
        <w:numPr>
          <w:ilvl w:val="0"/>
          <w:numId w:val="3"/>
        </w:numPr>
        <w:ind w:left="426" w:hanging="426"/>
        <w:rPr>
          <w:rFonts w:cs="Arial"/>
          <w:szCs w:val="24"/>
        </w:rPr>
      </w:pPr>
      <w:r>
        <w:rPr>
          <w:rFonts w:cs="Arial"/>
          <w:szCs w:val="24"/>
        </w:rPr>
        <w:t>Venepuncture Blood Specimen Collection</w:t>
      </w:r>
    </w:p>
    <w:p w14:paraId="542AD803" w14:textId="2F1BE160" w:rsidR="00A96651" w:rsidRDefault="00A96651" w:rsidP="00CF503A">
      <w:pPr>
        <w:pStyle w:val="ListParagraph"/>
        <w:numPr>
          <w:ilvl w:val="0"/>
          <w:numId w:val="3"/>
        </w:numPr>
        <w:ind w:left="426" w:hanging="426"/>
        <w:rPr>
          <w:rFonts w:cs="Arial"/>
          <w:szCs w:val="24"/>
        </w:rPr>
      </w:pPr>
      <w:r>
        <w:rPr>
          <w:rFonts w:cs="Arial"/>
          <w:szCs w:val="24"/>
        </w:rPr>
        <w:t>Pathology Specimen Handling</w:t>
      </w:r>
    </w:p>
    <w:p w14:paraId="2450A3F5" w14:textId="42DBEBCB" w:rsidR="00AB1477" w:rsidRDefault="00AB1477" w:rsidP="00CF503A">
      <w:pPr>
        <w:pStyle w:val="ListParagraph"/>
        <w:numPr>
          <w:ilvl w:val="0"/>
          <w:numId w:val="3"/>
        </w:numPr>
        <w:ind w:left="426" w:hanging="426"/>
        <w:rPr>
          <w:rFonts w:cs="Arial"/>
          <w:szCs w:val="24"/>
        </w:rPr>
      </w:pPr>
      <w:r>
        <w:rPr>
          <w:rFonts w:cs="Arial"/>
          <w:szCs w:val="24"/>
        </w:rPr>
        <w:t xml:space="preserve">Fresh Blood Product Administration </w:t>
      </w:r>
    </w:p>
    <w:p w14:paraId="09F198AD" w14:textId="7BEBFF25" w:rsidR="00A96651" w:rsidRPr="000A7335" w:rsidRDefault="00A96651" w:rsidP="00CF503A">
      <w:pPr>
        <w:pStyle w:val="ListParagraph"/>
        <w:numPr>
          <w:ilvl w:val="0"/>
          <w:numId w:val="3"/>
        </w:numPr>
        <w:ind w:left="426" w:hanging="426"/>
        <w:rPr>
          <w:rFonts w:cs="Arial"/>
          <w:szCs w:val="24"/>
        </w:rPr>
      </w:pPr>
      <w:r>
        <w:rPr>
          <w:rFonts w:cs="Arial"/>
          <w:szCs w:val="24"/>
        </w:rPr>
        <w:t>Clinical Handover</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C2B2C54" w14:textId="77777777" w:rsidR="00AB1477" w:rsidRPr="00AB1477" w:rsidRDefault="00AB1477" w:rsidP="00AB1477">
      <w:pPr>
        <w:pStyle w:val="ListBullet"/>
        <w:rPr>
          <w:i/>
          <w:iCs/>
        </w:rPr>
      </w:pPr>
      <w:r w:rsidRPr="00AB1477">
        <w:rPr>
          <w:i/>
          <w:iCs/>
        </w:rPr>
        <w:t xml:space="preserve">Medical Treatment (Health Directions) Act 2006 (ACT) </w:t>
      </w:r>
    </w:p>
    <w:p w14:paraId="45378E83" w14:textId="77777777" w:rsidR="00AB1477" w:rsidRDefault="00AB1477" w:rsidP="00AB1477">
      <w:pPr>
        <w:pStyle w:val="ListBullet"/>
        <w:rPr>
          <w:i/>
          <w:iCs/>
        </w:rPr>
      </w:pPr>
      <w:r w:rsidRPr="00AB1477">
        <w:rPr>
          <w:i/>
          <w:iCs/>
        </w:rPr>
        <w:t xml:space="preserve">Health Professionals Act 2004 (ACT) </w:t>
      </w:r>
    </w:p>
    <w:p w14:paraId="568CBF8E" w14:textId="77777777" w:rsidR="00AB1477" w:rsidRPr="00AB1477" w:rsidRDefault="000A7335" w:rsidP="00AB1477">
      <w:pPr>
        <w:pStyle w:val="ListBullet"/>
        <w:rPr>
          <w:i/>
          <w:iCs/>
        </w:rPr>
      </w:pPr>
      <w:r w:rsidRPr="00AB1477">
        <w:rPr>
          <w:rFonts w:cs="Arial"/>
          <w:i/>
          <w:szCs w:val="24"/>
        </w:rPr>
        <w:t>Health Records (Privacy and Access) Act</w:t>
      </w:r>
      <w:r w:rsidRPr="00AB1477">
        <w:rPr>
          <w:rFonts w:cs="Arial"/>
          <w:szCs w:val="24"/>
        </w:rPr>
        <w:t xml:space="preserve"> 1997</w:t>
      </w:r>
    </w:p>
    <w:p w14:paraId="394B29B5" w14:textId="77777777" w:rsidR="00AB1477" w:rsidRPr="00AB1477" w:rsidRDefault="000A7335" w:rsidP="00AB1477">
      <w:pPr>
        <w:pStyle w:val="ListBullet"/>
        <w:rPr>
          <w:i/>
          <w:iCs/>
        </w:rPr>
      </w:pPr>
      <w:r w:rsidRPr="00AB1477">
        <w:rPr>
          <w:rFonts w:cs="Arial"/>
          <w:i/>
          <w:szCs w:val="24"/>
        </w:rPr>
        <w:t>Human Rights Act</w:t>
      </w:r>
      <w:r w:rsidRPr="00AB1477">
        <w:rPr>
          <w:rFonts w:cs="Arial"/>
          <w:szCs w:val="24"/>
        </w:rPr>
        <w:t xml:space="preserve"> 2004</w:t>
      </w:r>
    </w:p>
    <w:p w14:paraId="643F8E44" w14:textId="0870123A" w:rsidR="00AB1477" w:rsidRPr="00814325" w:rsidRDefault="000A7335" w:rsidP="00AB1477">
      <w:pPr>
        <w:pStyle w:val="ListBullet"/>
        <w:rPr>
          <w:i/>
          <w:iCs/>
        </w:rPr>
      </w:pPr>
      <w:r w:rsidRPr="00AB1477">
        <w:rPr>
          <w:rFonts w:cs="Arial"/>
          <w:i/>
          <w:szCs w:val="24"/>
        </w:rPr>
        <w:t>Work Health and Safety Act</w:t>
      </w:r>
      <w:r w:rsidRPr="00AB1477">
        <w:rPr>
          <w:rFonts w:cs="Arial"/>
          <w:szCs w:val="24"/>
        </w:rPr>
        <w:t xml:space="preserve"> 2011</w:t>
      </w:r>
    </w:p>
    <w:p w14:paraId="4E77EB7A" w14:textId="69917ED3" w:rsidR="00814325" w:rsidRDefault="00814325" w:rsidP="00814325">
      <w:pPr>
        <w:pStyle w:val="ListBullet"/>
        <w:numPr>
          <w:ilvl w:val="0"/>
          <w:numId w:val="0"/>
        </w:numPr>
        <w:rPr>
          <w:rFonts w:cs="Arial"/>
          <w:i/>
          <w:szCs w:val="24"/>
        </w:rPr>
      </w:pPr>
    </w:p>
    <w:p w14:paraId="0DBB5B91" w14:textId="735745E7" w:rsidR="00814325" w:rsidRPr="00814325" w:rsidRDefault="00814325" w:rsidP="00814325">
      <w:pPr>
        <w:pStyle w:val="ListBullet"/>
        <w:numPr>
          <w:ilvl w:val="0"/>
          <w:numId w:val="0"/>
        </w:numPr>
        <w:rPr>
          <w:b/>
          <w:bCs/>
          <w:iCs/>
        </w:rPr>
      </w:pPr>
      <w:r>
        <w:rPr>
          <w:rFonts w:cs="Arial"/>
          <w:b/>
          <w:bCs/>
          <w:iCs/>
          <w:szCs w:val="24"/>
        </w:rPr>
        <w:t>Other</w:t>
      </w:r>
    </w:p>
    <w:p w14:paraId="6DA2ADEC" w14:textId="60EEC3D7" w:rsidR="00A96651" w:rsidRPr="00814325" w:rsidRDefault="00A96651" w:rsidP="00AB1477">
      <w:pPr>
        <w:pStyle w:val="ListBullet"/>
        <w:rPr>
          <w:iCs/>
        </w:rPr>
      </w:pPr>
      <w:r w:rsidRPr="00814325">
        <w:rPr>
          <w:rFonts w:cs="Arial"/>
          <w:iCs/>
          <w:szCs w:val="24"/>
        </w:rPr>
        <w:t>Australian Charter of Healthcare Rights</w:t>
      </w:r>
    </w:p>
    <w:p w14:paraId="2F51A8C9" w14:textId="77777777" w:rsidR="007B6904" w:rsidRPr="00FF56DD" w:rsidRDefault="007B6904" w:rsidP="007B6904">
      <w:pPr>
        <w:ind w:left="720"/>
        <w:rPr>
          <w:rFonts w:cs="Arial"/>
          <w:i/>
          <w:szCs w:val="24"/>
        </w:rPr>
      </w:pPr>
    </w:p>
    <w:p w14:paraId="2F51A8CA" w14:textId="77777777" w:rsidR="007B6904" w:rsidRDefault="005E24D2"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21" w:name="_Toc389473288"/>
            <w:bookmarkStart w:id="22" w:name="_Toc92289793"/>
            <w:r>
              <w:t>References</w:t>
            </w:r>
            <w:bookmarkEnd w:id="21"/>
            <w:bookmarkEnd w:id="22"/>
          </w:p>
        </w:tc>
      </w:tr>
    </w:tbl>
    <w:p w14:paraId="2F51A8CD" w14:textId="77777777" w:rsidR="007B6904" w:rsidRPr="00DE4E25" w:rsidRDefault="007B6904" w:rsidP="007B6904">
      <w:pPr>
        <w:rPr>
          <w:rFonts w:asciiTheme="majorHAnsi" w:hAnsiTheme="majorHAnsi" w:cstheme="majorHAnsi"/>
          <w:szCs w:val="24"/>
        </w:rPr>
      </w:pPr>
      <w:bookmarkStart w:id="23" w:name="_Toc389131245"/>
    </w:p>
    <w:bookmarkEnd w:id="23"/>
    <w:p w14:paraId="7DD349BB" w14:textId="77777777" w:rsidR="00AB1477" w:rsidRPr="00696DD7" w:rsidRDefault="00AB1477" w:rsidP="00AB1477">
      <w:pPr>
        <w:pStyle w:val="ListBullet"/>
        <w:tabs>
          <w:tab w:val="num" w:pos="1080"/>
        </w:tabs>
        <w:rPr>
          <w:lang w:eastAsia="en-AU"/>
        </w:rPr>
      </w:pPr>
      <w:r w:rsidRPr="006542E9">
        <w:rPr>
          <w:lang w:eastAsia="en-AU"/>
        </w:rPr>
        <w:t>Australian &amp; New Zealand Society of Blood Transfusion Inc. Royal College of Nursing Australia (2018) Guidelines for the Administration of Blood Components. 3</w:t>
      </w:r>
      <w:r w:rsidRPr="006542E9">
        <w:rPr>
          <w:vertAlign w:val="superscript"/>
          <w:lang w:eastAsia="en-AU"/>
        </w:rPr>
        <w:t>rd</w:t>
      </w:r>
      <w:r w:rsidRPr="006542E9">
        <w:rPr>
          <w:lang w:eastAsia="en-AU"/>
        </w:rPr>
        <w:t xml:space="preserve"> Edition </w:t>
      </w:r>
    </w:p>
    <w:p w14:paraId="2DC085E4" w14:textId="77777777" w:rsidR="00AB1477" w:rsidRPr="00EE1916" w:rsidRDefault="00AB1477" w:rsidP="00AB1477">
      <w:pPr>
        <w:pStyle w:val="ListBullet"/>
        <w:tabs>
          <w:tab w:val="num" w:pos="1080"/>
        </w:tabs>
        <w:rPr>
          <w:lang w:eastAsia="en-AU"/>
        </w:rPr>
      </w:pPr>
      <w:r w:rsidRPr="00EE1916">
        <w:rPr>
          <w:lang w:eastAsia="en-AU"/>
        </w:rPr>
        <w:t>National Blood Authority Patient Blood Management Guidelines: Critical Bleeding Massive Transfusion  March 2011</w:t>
      </w:r>
    </w:p>
    <w:p w14:paraId="4DDD5884" w14:textId="77777777" w:rsidR="00AB1477" w:rsidRPr="00EE1916" w:rsidRDefault="00AB1477" w:rsidP="00AB1477">
      <w:pPr>
        <w:pStyle w:val="ListBullet"/>
        <w:tabs>
          <w:tab w:val="num" w:pos="1080"/>
        </w:tabs>
        <w:rPr>
          <w:rFonts w:cs="Helvetica-Bold"/>
          <w:bCs/>
          <w:lang w:eastAsia="en-AU"/>
        </w:rPr>
      </w:pPr>
      <w:r w:rsidRPr="00EE1916">
        <w:t>Australia and New Zealand Society of Blood Transfusion</w:t>
      </w:r>
      <w:r w:rsidRPr="006542E9">
        <w:rPr>
          <w:sz w:val="28"/>
          <w:szCs w:val="22"/>
        </w:rPr>
        <w:t xml:space="preserve">. </w:t>
      </w:r>
      <w:r w:rsidRPr="006542E9">
        <w:rPr>
          <w:rFonts w:cs="Helvetica-Bold"/>
          <w:bCs/>
          <w:lang w:eastAsia="en-AU"/>
        </w:rPr>
        <w:t xml:space="preserve">Guidelines for Transfusion and </w:t>
      </w:r>
      <w:proofErr w:type="spellStart"/>
      <w:r w:rsidRPr="006542E9">
        <w:rPr>
          <w:rFonts w:cs="Helvetica-Bold"/>
          <w:bCs/>
          <w:lang w:eastAsia="en-AU"/>
        </w:rPr>
        <w:t>Immunohaematology</w:t>
      </w:r>
      <w:proofErr w:type="spellEnd"/>
      <w:r w:rsidRPr="006542E9">
        <w:rPr>
          <w:rFonts w:cs="Helvetica-Bold"/>
          <w:bCs/>
          <w:lang w:eastAsia="en-AU"/>
        </w:rPr>
        <w:t xml:space="preserve"> Laboratory practice. Revised 1</w:t>
      </w:r>
      <w:r w:rsidRPr="006542E9">
        <w:rPr>
          <w:rFonts w:cs="Helvetica-Bold"/>
          <w:bCs/>
          <w:vertAlign w:val="superscript"/>
          <w:lang w:eastAsia="en-AU"/>
        </w:rPr>
        <w:t>st</w:t>
      </w:r>
      <w:r w:rsidRPr="006542E9">
        <w:rPr>
          <w:rFonts w:cs="Helvetica-Bold"/>
          <w:bCs/>
          <w:lang w:eastAsia="en-AU"/>
        </w:rPr>
        <w:t xml:space="preserve"> Edition 2020</w:t>
      </w:r>
      <w:r w:rsidRPr="006542E9">
        <w:rPr>
          <w:sz w:val="28"/>
          <w:szCs w:val="22"/>
        </w:rPr>
        <w:t xml:space="preserve"> </w:t>
      </w:r>
      <w:r w:rsidRPr="00EE1916">
        <w:rPr>
          <w:rFonts w:cs="Helvetica-Bold"/>
          <w:bCs/>
          <w:lang w:eastAsia="en-AU"/>
        </w:rPr>
        <w:t>Guidelines for pre</w:t>
      </w:r>
      <w:r>
        <w:rPr>
          <w:rFonts w:cs="Helvetica-Bold"/>
          <w:bCs/>
          <w:lang w:eastAsia="en-AU"/>
        </w:rPr>
        <w:t>-</w:t>
      </w:r>
      <w:r w:rsidRPr="00EE1916">
        <w:rPr>
          <w:rFonts w:cs="Helvetica-Bold"/>
          <w:bCs/>
          <w:lang w:eastAsia="en-AU"/>
        </w:rPr>
        <w:t>transfusion laboratory practice.</w:t>
      </w:r>
    </w:p>
    <w:p w14:paraId="3F998DE1" w14:textId="77777777" w:rsidR="00AB1477" w:rsidRPr="00EE1916" w:rsidRDefault="00AB1477" w:rsidP="00AB1477">
      <w:pPr>
        <w:pStyle w:val="ListBullet"/>
        <w:tabs>
          <w:tab w:val="num" w:pos="1080"/>
        </w:tabs>
        <w:rPr>
          <w:rFonts w:cs="Helvetica-Bold"/>
          <w:bCs/>
          <w:lang w:eastAsia="en-AU"/>
        </w:rPr>
      </w:pPr>
      <w:r w:rsidRPr="00EE1916">
        <w:rPr>
          <w:rFonts w:cs="Helvetica-Bold"/>
          <w:bCs/>
          <w:lang w:eastAsia="en-AU"/>
        </w:rPr>
        <w:t>Australian Red Cross Blood Service 20</w:t>
      </w:r>
      <w:r>
        <w:rPr>
          <w:rFonts w:cs="Helvetica-Bold"/>
          <w:bCs/>
          <w:lang w:eastAsia="en-AU"/>
        </w:rPr>
        <w:t>20</w:t>
      </w:r>
      <w:r w:rsidRPr="00EE1916">
        <w:rPr>
          <w:rFonts w:cs="Helvetica-Bold"/>
          <w:bCs/>
          <w:lang w:eastAsia="en-AU"/>
        </w:rPr>
        <w:t>. Blood Component Information</w:t>
      </w:r>
      <w:r>
        <w:rPr>
          <w:rFonts w:cs="Helvetica-Bold"/>
          <w:bCs/>
          <w:lang w:eastAsia="en-AU"/>
        </w:rPr>
        <w:t xml:space="preserve"> </w:t>
      </w:r>
      <w:r w:rsidRPr="00EE1916">
        <w:rPr>
          <w:rFonts w:cs="Helvetica-Bold"/>
          <w:bCs/>
          <w:lang w:eastAsia="en-AU"/>
        </w:rPr>
        <w:t xml:space="preserve">- an extension of blood component labels. </w:t>
      </w:r>
    </w:p>
    <w:p w14:paraId="00E4C6FC" w14:textId="77777777" w:rsidR="00AB1477" w:rsidRPr="00851BB4" w:rsidRDefault="00AB1477" w:rsidP="00AB1477">
      <w:pPr>
        <w:pStyle w:val="ListBullet"/>
        <w:tabs>
          <w:tab w:val="num" w:pos="1080"/>
        </w:tabs>
        <w:rPr>
          <w:sz w:val="22"/>
          <w:szCs w:val="22"/>
        </w:rPr>
      </w:pPr>
      <w:proofErr w:type="spellStart"/>
      <w:r w:rsidRPr="00EE1916">
        <w:t>Rudmann</w:t>
      </w:r>
      <w:proofErr w:type="spellEnd"/>
      <w:r w:rsidRPr="00EE1916">
        <w:t xml:space="preserve">. Sally (Ed), 2005 Textbook of Blood Banking and Transfusion </w:t>
      </w:r>
      <w:r>
        <w:t>M</w:t>
      </w:r>
      <w:r w:rsidRPr="00EE1916">
        <w:t>edicine.  W. B Saunders Co. Second Edition</w:t>
      </w:r>
      <w:r w:rsidRPr="00851BB4">
        <w:rPr>
          <w:sz w:val="22"/>
          <w:szCs w:val="22"/>
        </w:rPr>
        <w:t xml:space="preserve"> </w:t>
      </w:r>
    </w:p>
    <w:p w14:paraId="2F51A8DA" w14:textId="77777777" w:rsidR="00FF56DD" w:rsidRDefault="00FF56DD" w:rsidP="00FF56DD">
      <w:pPr>
        <w:rPr>
          <w:rFonts w:cs="Arial"/>
          <w:szCs w:val="24"/>
        </w:rPr>
      </w:pPr>
    </w:p>
    <w:p w14:paraId="2F51A8DB" w14:textId="77777777" w:rsidR="00FF56DD" w:rsidRDefault="005E24D2"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p w14:paraId="5C8862B7" w14:textId="77777777" w:rsidR="00CF503A" w:rsidRDefault="00CF503A">
      <w:bookmarkStart w:id="24" w:name="_Toc389473290"/>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12F50332" w:rsidR="007B6904" w:rsidRPr="00CD1C0E" w:rsidRDefault="007B6904" w:rsidP="004213C3">
            <w:pPr>
              <w:pStyle w:val="Heading1"/>
            </w:pPr>
            <w:bookmarkStart w:id="25" w:name="_Toc92289794"/>
            <w:r>
              <w:lastRenderedPageBreak/>
              <w:t>Search Terms</w:t>
            </w:r>
            <w:bookmarkEnd w:id="24"/>
            <w:bookmarkEnd w:id="25"/>
            <w:r>
              <w:t xml:space="preserve"> </w:t>
            </w:r>
          </w:p>
        </w:tc>
      </w:tr>
    </w:tbl>
    <w:p w14:paraId="2F51A8DE" w14:textId="77777777" w:rsidR="007B6904" w:rsidRDefault="007B6904" w:rsidP="007B6904">
      <w:pPr>
        <w:rPr>
          <w:rFonts w:cs="Calibri,Bold"/>
          <w:bCs/>
          <w:i/>
          <w:szCs w:val="24"/>
          <w:lang w:eastAsia="en-AU"/>
        </w:rPr>
      </w:pPr>
    </w:p>
    <w:p w14:paraId="48C1793F" w14:textId="77777777" w:rsidR="00AB1477" w:rsidRPr="006B6E64" w:rsidRDefault="00AB1477" w:rsidP="00AB1477">
      <w:pPr>
        <w:rPr>
          <w:szCs w:val="24"/>
        </w:rPr>
      </w:pPr>
      <w:r w:rsidRPr="006B6E64">
        <w:rPr>
          <w:szCs w:val="24"/>
        </w:rPr>
        <w:t xml:space="preserve">Blood, O Rh D Negative, </w:t>
      </w:r>
      <w:proofErr w:type="gramStart"/>
      <w:r w:rsidRPr="006B6E64">
        <w:rPr>
          <w:szCs w:val="24"/>
        </w:rPr>
        <w:t>Pre hospital</w:t>
      </w:r>
      <w:proofErr w:type="gramEnd"/>
      <w:r w:rsidRPr="006B6E64">
        <w:rPr>
          <w:szCs w:val="24"/>
        </w:rPr>
        <w:t>, Retrieval</w:t>
      </w:r>
      <w:r>
        <w:rPr>
          <w:szCs w:val="24"/>
        </w:rPr>
        <w:t xml:space="preserve">, </w:t>
      </w:r>
      <w:r w:rsidRPr="006B6E64">
        <w:rPr>
          <w:szCs w:val="24"/>
        </w:rPr>
        <w:t>Administration</w:t>
      </w:r>
      <w:r>
        <w:rPr>
          <w:szCs w:val="24"/>
        </w:rPr>
        <w:t xml:space="preserve">, </w:t>
      </w:r>
      <w:r w:rsidRPr="006B6E64">
        <w:rPr>
          <w:szCs w:val="24"/>
        </w:rPr>
        <w:t>Pathology</w:t>
      </w:r>
      <w:r>
        <w:rPr>
          <w:szCs w:val="24"/>
        </w:rPr>
        <w:t xml:space="preserve">, </w:t>
      </w:r>
      <w:r w:rsidRPr="006B6E64">
        <w:rPr>
          <w:szCs w:val="24"/>
        </w:rPr>
        <w:t>Haematological</w:t>
      </w:r>
      <w:r>
        <w:rPr>
          <w:szCs w:val="24"/>
        </w:rPr>
        <w:t xml:space="preserve">, </w:t>
      </w:r>
      <w:r w:rsidRPr="006B6E64">
        <w:rPr>
          <w:szCs w:val="24"/>
        </w:rPr>
        <w:t>Life threatening</w:t>
      </w:r>
      <w:r>
        <w:rPr>
          <w:szCs w:val="24"/>
        </w:rPr>
        <w:t xml:space="preserve">, </w:t>
      </w:r>
      <w:r w:rsidRPr="006B6E64">
        <w:rPr>
          <w:szCs w:val="24"/>
        </w:rPr>
        <w:t>Blood tag</w:t>
      </w:r>
      <w:r>
        <w:rPr>
          <w:szCs w:val="24"/>
        </w:rPr>
        <w:t xml:space="preserve">, </w:t>
      </w:r>
      <w:r w:rsidRPr="006B6E64">
        <w:rPr>
          <w:szCs w:val="24"/>
        </w:rPr>
        <w:t>Vital signs</w:t>
      </w:r>
      <w:r>
        <w:rPr>
          <w:szCs w:val="24"/>
        </w:rPr>
        <w:t xml:space="preserve">, </w:t>
      </w:r>
      <w:r w:rsidRPr="006B6E64">
        <w:rPr>
          <w:szCs w:val="24"/>
        </w:rPr>
        <w:t>Haematologist</w:t>
      </w:r>
      <w:r>
        <w:rPr>
          <w:szCs w:val="24"/>
        </w:rPr>
        <w:t xml:space="preserve">, </w:t>
      </w:r>
      <w:r w:rsidRPr="006B6E64">
        <w:rPr>
          <w:szCs w:val="24"/>
        </w:rPr>
        <w:t>Transfusion</w:t>
      </w:r>
      <w:r>
        <w:rPr>
          <w:szCs w:val="24"/>
        </w:rPr>
        <w:t xml:space="preserve">, </w:t>
      </w:r>
      <w:r w:rsidRPr="006B6E64">
        <w:rPr>
          <w:szCs w:val="24"/>
        </w:rPr>
        <w:t>Flight</w:t>
      </w:r>
      <w:r>
        <w:rPr>
          <w:szCs w:val="24"/>
        </w:rPr>
        <w:t xml:space="preserve">, </w:t>
      </w:r>
      <w:r w:rsidRPr="006B6E64">
        <w:rPr>
          <w:szCs w:val="24"/>
        </w:rPr>
        <w:t>CRRS</w:t>
      </w:r>
    </w:p>
    <w:p w14:paraId="2F51A8E0" w14:textId="77777777" w:rsidR="007B6904" w:rsidRPr="00901883" w:rsidRDefault="007B6904" w:rsidP="007B6904">
      <w:pPr>
        <w:jc w:val="both"/>
        <w:rPr>
          <w:rFonts w:asciiTheme="minorHAnsi" w:hAnsiTheme="minorHAnsi" w:cs="Arial"/>
          <w:b/>
          <w:i/>
          <w:sz w:val="22"/>
          <w:szCs w:val="22"/>
        </w:rPr>
      </w:pPr>
    </w:p>
    <w:p w14:paraId="2F51A8E1" w14:textId="77777777" w:rsidR="005F3214" w:rsidRPr="00AC7025" w:rsidRDefault="005E24D2"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26" w:name="_Toc396995664"/>
    </w:p>
    <w:bookmarkEnd w:id="26"/>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9064" w:type="dxa"/>
        <w:tblLook w:val="04A0" w:firstRow="1" w:lastRow="0" w:firstColumn="1" w:lastColumn="0" w:noHBand="0" w:noVBand="1"/>
      </w:tblPr>
      <w:tblGrid>
        <w:gridCol w:w="1980"/>
        <w:gridCol w:w="2265"/>
        <w:gridCol w:w="2554"/>
        <w:gridCol w:w="2265"/>
      </w:tblGrid>
      <w:tr w:rsidR="00ED46C3" w:rsidRPr="008202D3" w14:paraId="3D8FB228" w14:textId="77777777" w:rsidTr="00CF503A">
        <w:tc>
          <w:tcPr>
            <w:tcW w:w="1980" w:type="dxa"/>
          </w:tcPr>
          <w:p w14:paraId="4CC3BE7E" w14:textId="77777777" w:rsidR="00ED46C3" w:rsidRPr="008202D3" w:rsidRDefault="00ED46C3" w:rsidP="004A1316">
            <w:pPr>
              <w:rPr>
                <w:i/>
                <w:sz w:val="20"/>
              </w:rPr>
            </w:pPr>
            <w:r w:rsidRPr="008202D3">
              <w:rPr>
                <w:i/>
                <w:sz w:val="20"/>
              </w:rPr>
              <w:t>Date Amended</w:t>
            </w:r>
          </w:p>
        </w:tc>
        <w:tc>
          <w:tcPr>
            <w:tcW w:w="2265" w:type="dxa"/>
          </w:tcPr>
          <w:p w14:paraId="0C6FC403" w14:textId="77777777" w:rsidR="00ED46C3" w:rsidRPr="008202D3" w:rsidRDefault="00ED46C3" w:rsidP="004A1316">
            <w:pPr>
              <w:rPr>
                <w:i/>
                <w:sz w:val="20"/>
              </w:rPr>
            </w:pPr>
            <w:r w:rsidRPr="008202D3">
              <w:rPr>
                <w:i/>
                <w:sz w:val="20"/>
              </w:rPr>
              <w:t>Section Amended</w:t>
            </w:r>
          </w:p>
        </w:tc>
        <w:tc>
          <w:tcPr>
            <w:tcW w:w="2554" w:type="dxa"/>
          </w:tcPr>
          <w:p w14:paraId="36BF7192" w14:textId="77777777" w:rsidR="00ED46C3" w:rsidRPr="008202D3" w:rsidRDefault="00ED46C3" w:rsidP="004A1316">
            <w:pPr>
              <w:rPr>
                <w:i/>
                <w:sz w:val="20"/>
              </w:rPr>
            </w:pPr>
            <w:r w:rsidRPr="008202D3">
              <w:rPr>
                <w:i/>
                <w:sz w:val="20"/>
              </w:rPr>
              <w:t>Divisional Approval</w:t>
            </w:r>
          </w:p>
        </w:tc>
        <w:tc>
          <w:tcPr>
            <w:tcW w:w="2265" w:type="dxa"/>
          </w:tcPr>
          <w:p w14:paraId="6974B6A4" w14:textId="77777777" w:rsidR="00ED46C3" w:rsidRPr="008202D3" w:rsidRDefault="00ED46C3" w:rsidP="004A1316">
            <w:pPr>
              <w:rPr>
                <w:i/>
                <w:sz w:val="20"/>
              </w:rPr>
            </w:pPr>
            <w:r w:rsidRPr="008202D3">
              <w:rPr>
                <w:i/>
                <w:sz w:val="20"/>
              </w:rPr>
              <w:t xml:space="preserve">Final Approval </w:t>
            </w:r>
          </w:p>
        </w:tc>
      </w:tr>
      <w:tr w:rsidR="00ED46C3" w:rsidRPr="008202D3" w14:paraId="69E49990" w14:textId="77777777" w:rsidTr="00CF503A">
        <w:tc>
          <w:tcPr>
            <w:tcW w:w="1980" w:type="dxa"/>
          </w:tcPr>
          <w:p w14:paraId="4CB276AE" w14:textId="3ED68490" w:rsidR="00ED46C3" w:rsidRPr="008202D3" w:rsidRDefault="00CF503A" w:rsidP="004A1316">
            <w:pPr>
              <w:rPr>
                <w:i/>
                <w:sz w:val="20"/>
              </w:rPr>
            </w:pPr>
            <w:r>
              <w:rPr>
                <w:i/>
                <w:sz w:val="20"/>
              </w:rPr>
              <w:t>05 January 2022</w:t>
            </w:r>
          </w:p>
        </w:tc>
        <w:tc>
          <w:tcPr>
            <w:tcW w:w="2265" w:type="dxa"/>
          </w:tcPr>
          <w:p w14:paraId="757FDC5B" w14:textId="5CE9BE4D" w:rsidR="00ED46C3" w:rsidRPr="008202D3" w:rsidRDefault="00CF503A" w:rsidP="004A1316">
            <w:pPr>
              <w:rPr>
                <w:i/>
                <w:sz w:val="20"/>
              </w:rPr>
            </w:pPr>
            <w:r>
              <w:rPr>
                <w:i/>
                <w:sz w:val="20"/>
              </w:rPr>
              <w:t>Complete Review</w:t>
            </w:r>
          </w:p>
        </w:tc>
        <w:tc>
          <w:tcPr>
            <w:tcW w:w="2554" w:type="dxa"/>
          </w:tcPr>
          <w:p w14:paraId="45358585" w14:textId="2E627883" w:rsidR="00ED46C3" w:rsidRPr="008202D3" w:rsidRDefault="00CF503A" w:rsidP="004A1316">
            <w:pPr>
              <w:rPr>
                <w:i/>
                <w:sz w:val="20"/>
              </w:rPr>
            </w:pPr>
            <w:r>
              <w:rPr>
                <w:i/>
                <w:sz w:val="20"/>
              </w:rPr>
              <w:t>Lisa Gilmore, ED-Surgery</w:t>
            </w:r>
          </w:p>
        </w:tc>
        <w:tc>
          <w:tcPr>
            <w:tcW w:w="2265" w:type="dxa"/>
          </w:tcPr>
          <w:p w14:paraId="31501FE6" w14:textId="7EB7CC78" w:rsidR="00ED46C3" w:rsidRPr="008202D3" w:rsidRDefault="00CF503A" w:rsidP="004A1316">
            <w:pPr>
              <w:rPr>
                <w:i/>
                <w:sz w:val="20"/>
              </w:rPr>
            </w:pPr>
            <w:r>
              <w:rPr>
                <w:i/>
                <w:sz w:val="20"/>
              </w:rPr>
              <w:t>CHS Policy Committee</w:t>
            </w:r>
          </w:p>
        </w:tc>
      </w:tr>
      <w:tr w:rsidR="00ED46C3" w:rsidRPr="008202D3" w14:paraId="4B9C0359" w14:textId="77777777" w:rsidTr="00CF503A">
        <w:tc>
          <w:tcPr>
            <w:tcW w:w="1980" w:type="dxa"/>
          </w:tcPr>
          <w:p w14:paraId="01E40F72" w14:textId="77777777" w:rsidR="00ED46C3" w:rsidRPr="008202D3" w:rsidRDefault="00ED46C3" w:rsidP="004A1316">
            <w:pPr>
              <w:rPr>
                <w:i/>
                <w:sz w:val="20"/>
              </w:rPr>
            </w:pPr>
          </w:p>
        </w:tc>
        <w:tc>
          <w:tcPr>
            <w:tcW w:w="2265" w:type="dxa"/>
          </w:tcPr>
          <w:p w14:paraId="25312BA2" w14:textId="77777777" w:rsidR="00ED46C3" w:rsidRPr="008202D3" w:rsidRDefault="00ED46C3" w:rsidP="004A1316">
            <w:pPr>
              <w:rPr>
                <w:i/>
                <w:sz w:val="20"/>
              </w:rPr>
            </w:pPr>
          </w:p>
        </w:tc>
        <w:tc>
          <w:tcPr>
            <w:tcW w:w="2554" w:type="dxa"/>
          </w:tcPr>
          <w:p w14:paraId="6A63A790" w14:textId="77777777" w:rsidR="00ED46C3" w:rsidRPr="008202D3" w:rsidRDefault="00ED46C3" w:rsidP="004A1316">
            <w:pPr>
              <w:rPr>
                <w:i/>
                <w:sz w:val="20"/>
              </w:rPr>
            </w:pPr>
          </w:p>
        </w:tc>
        <w:tc>
          <w:tcPr>
            <w:tcW w:w="2265" w:type="dxa"/>
          </w:tcPr>
          <w:p w14:paraId="0C203B9F" w14:textId="77777777" w:rsidR="00ED46C3" w:rsidRPr="008202D3" w:rsidRDefault="00ED46C3" w:rsidP="004A1316">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9067" w:type="dxa"/>
        <w:tblLook w:val="04A0" w:firstRow="1" w:lastRow="0" w:firstColumn="1" w:lastColumn="0" w:noHBand="0" w:noVBand="1"/>
      </w:tblPr>
      <w:tblGrid>
        <w:gridCol w:w="1980"/>
        <w:gridCol w:w="7087"/>
      </w:tblGrid>
      <w:tr w:rsidR="00ED46C3" w:rsidRPr="008202D3" w14:paraId="3DF1741B" w14:textId="77777777" w:rsidTr="00CF503A">
        <w:tc>
          <w:tcPr>
            <w:tcW w:w="1980" w:type="dxa"/>
          </w:tcPr>
          <w:p w14:paraId="3A0A8647" w14:textId="77777777" w:rsidR="00ED46C3" w:rsidRPr="008202D3" w:rsidRDefault="00ED46C3" w:rsidP="004A1316">
            <w:pPr>
              <w:rPr>
                <w:i/>
                <w:sz w:val="20"/>
              </w:rPr>
            </w:pPr>
            <w:r w:rsidRPr="008202D3">
              <w:rPr>
                <w:i/>
                <w:sz w:val="20"/>
              </w:rPr>
              <w:t>Document Number</w:t>
            </w:r>
          </w:p>
        </w:tc>
        <w:tc>
          <w:tcPr>
            <w:tcW w:w="7087" w:type="dxa"/>
          </w:tcPr>
          <w:p w14:paraId="40CE1B13" w14:textId="77777777" w:rsidR="00ED46C3" w:rsidRPr="008202D3" w:rsidRDefault="00ED46C3" w:rsidP="004A1316">
            <w:pPr>
              <w:rPr>
                <w:i/>
                <w:sz w:val="20"/>
              </w:rPr>
            </w:pPr>
            <w:r w:rsidRPr="008202D3">
              <w:rPr>
                <w:i/>
                <w:sz w:val="20"/>
              </w:rPr>
              <w:t>Document Name</w:t>
            </w:r>
          </w:p>
        </w:tc>
      </w:tr>
      <w:tr w:rsidR="00ED46C3" w:rsidRPr="008202D3" w14:paraId="389A2F7C" w14:textId="77777777" w:rsidTr="00CF503A">
        <w:tc>
          <w:tcPr>
            <w:tcW w:w="1980" w:type="dxa"/>
          </w:tcPr>
          <w:p w14:paraId="72FFFF3B" w14:textId="6857779A" w:rsidR="00ED46C3" w:rsidRPr="008202D3" w:rsidRDefault="00CF503A" w:rsidP="004A1316">
            <w:pPr>
              <w:rPr>
                <w:i/>
                <w:sz w:val="20"/>
              </w:rPr>
            </w:pPr>
            <w:r>
              <w:rPr>
                <w:i/>
                <w:sz w:val="20"/>
              </w:rPr>
              <w:t>CHHS15/085</w:t>
            </w:r>
          </w:p>
        </w:tc>
        <w:tc>
          <w:tcPr>
            <w:tcW w:w="7087" w:type="dxa"/>
          </w:tcPr>
          <w:p w14:paraId="61EF68F3" w14:textId="5E2CBA17" w:rsidR="00ED46C3" w:rsidRPr="008202D3" w:rsidRDefault="00CF503A" w:rsidP="004A1316">
            <w:pPr>
              <w:rPr>
                <w:i/>
                <w:sz w:val="20"/>
              </w:rPr>
            </w:pPr>
            <w:r>
              <w:rPr>
                <w:i/>
                <w:sz w:val="20"/>
              </w:rPr>
              <w:t xml:space="preserve">Initiation and Administering O </w:t>
            </w:r>
            <w:proofErr w:type="spellStart"/>
            <w:r>
              <w:rPr>
                <w:i/>
                <w:sz w:val="20"/>
              </w:rPr>
              <w:t>RhD</w:t>
            </w:r>
            <w:proofErr w:type="spellEnd"/>
            <w:r>
              <w:rPr>
                <w:i/>
                <w:sz w:val="20"/>
              </w:rPr>
              <w:t xml:space="preserve"> Negative Units in the Pre-Hospital and Retrieval Service Environment</w:t>
            </w:r>
          </w:p>
        </w:tc>
      </w:tr>
      <w:tr w:rsidR="00ED46C3" w:rsidRPr="008202D3" w14:paraId="4414C7E4" w14:textId="77777777" w:rsidTr="00CF503A">
        <w:tc>
          <w:tcPr>
            <w:tcW w:w="1980" w:type="dxa"/>
          </w:tcPr>
          <w:p w14:paraId="0E1C6F88" w14:textId="77777777" w:rsidR="00ED46C3" w:rsidRPr="008202D3" w:rsidRDefault="00ED46C3" w:rsidP="004A1316">
            <w:pPr>
              <w:rPr>
                <w:i/>
                <w:sz w:val="20"/>
              </w:rPr>
            </w:pPr>
          </w:p>
        </w:tc>
        <w:tc>
          <w:tcPr>
            <w:tcW w:w="7087" w:type="dxa"/>
          </w:tcPr>
          <w:p w14:paraId="73EF72D2" w14:textId="77777777" w:rsidR="00ED46C3" w:rsidRPr="008202D3" w:rsidRDefault="00ED46C3" w:rsidP="004A1316">
            <w:pPr>
              <w:rPr>
                <w:i/>
                <w:sz w:val="20"/>
              </w:rPr>
            </w:pP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sectPr w:rsidR="00395E36"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A908" w14:textId="77777777" w:rsidR="00E90708" w:rsidRDefault="00E90708" w:rsidP="00F66CB0">
      <w:r>
        <w:separator/>
      </w:r>
    </w:p>
  </w:endnote>
  <w:endnote w:type="continuationSeparator" w:id="0">
    <w:p w14:paraId="2F51A909" w14:textId="77777777" w:rsidR="00E90708" w:rsidRDefault="00E90708"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82" w:type="dxa"/>
      <w:tblBorders>
        <w:insideH w:val="single" w:sz="4" w:space="0" w:color="auto"/>
      </w:tblBorders>
      <w:tblLook w:val="00A0" w:firstRow="1" w:lastRow="0" w:firstColumn="1" w:lastColumn="0" w:noHBand="0" w:noVBand="0"/>
    </w:tblPr>
    <w:tblGrid>
      <w:gridCol w:w="1418"/>
      <w:gridCol w:w="850"/>
      <w:gridCol w:w="1418"/>
      <w:gridCol w:w="1418"/>
      <w:gridCol w:w="2551"/>
      <w:gridCol w:w="1427"/>
    </w:tblGrid>
    <w:tr w:rsidR="00E90708" w:rsidRPr="00AE7C5C" w14:paraId="2F51A914" w14:textId="77777777" w:rsidTr="003B3A88">
      <w:tc>
        <w:tcPr>
          <w:tcW w:w="1418"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850"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418"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18"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551"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423"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3B3A88">
      <w:tc>
        <w:tcPr>
          <w:tcW w:w="1418" w:type="dxa"/>
        </w:tcPr>
        <w:p w14:paraId="2F51A915" w14:textId="062E1584" w:rsidR="00E90708" w:rsidRPr="00542EE6" w:rsidRDefault="005E24D2" w:rsidP="004213C3">
          <w:pPr>
            <w:pStyle w:val="Footer"/>
            <w:rPr>
              <w:rFonts w:cs="Arial"/>
              <w:b/>
              <w:bCs/>
              <w:sz w:val="20"/>
            </w:rPr>
          </w:pPr>
          <w:r>
            <w:rPr>
              <w:b/>
              <w:sz w:val="20"/>
            </w:rPr>
            <w:t>CHS22/017</w:t>
          </w:r>
        </w:p>
      </w:tc>
      <w:tc>
        <w:tcPr>
          <w:tcW w:w="850" w:type="dxa"/>
        </w:tcPr>
        <w:p w14:paraId="2F51A916" w14:textId="31CFB8F6" w:rsidR="00E90708" w:rsidRPr="00B3752F" w:rsidRDefault="003B3A88" w:rsidP="004213C3">
          <w:pPr>
            <w:pStyle w:val="Footer"/>
            <w:rPr>
              <w:rFonts w:cs="Arial"/>
              <w:b/>
              <w:bCs/>
              <w:sz w:val="20"/>
            </w:rPr>
          </w:pPr>
          <w:r>
            <w:rPr>
              <w:rFonts w:cs="Arial"/>
              <w:b/>
              <w:bCs/>
              <w:sz w:val="20"/>
            </w:rPr>
            <w:t>1</w:t>
          </w:r>
        </w:p>
      </w:tc>
      <w:tc>
        <w:tcPr>
          <w:tcW w:w="1418" w:type="dxa"/>
        </w:tcPr>
        <w:p w14:paraId="2F51A917" w14:textId="65F2E865" w:rsidR="00E90708" w:rsidRPr="00B3752F" w:rsidRDefault="003B3A88" w:rsidP="004213C3">
          <w:pPr>
            <w:pStyle w:val="Footer"/>
            <w:rPr>
              <w:rFonts w:cs="Arial"/>
              <w:b/>
              <w:bCs/>
              <w:sz w:val="20"/>
            </w:rPr>
          </w:pPr>
          <w:r>
            <w:rPr>
              <w:rFonts w:cs="Arial"/>
              <w:b/>
              <w:bCs/>
              <w:sz w:val="20"/>
            </w:rPr>
            <w:t>05/01/2022</w:t>
          </w:r>
        </w:p>
      </w:tc>
      <w:tc>
        <w:tcPr>
          <w:tcW w:w="1418" w:type="dxa"/>
        </w:tcPr>
        <w:p w14:paraId="2F51A918" w14:textId="08A72241" w:rsidR="00E90708" w:rsidRPr="00B3752F" w:rsidRDefault="003B3A88" w:rsidP="004213C3">
          <w:pPr>
            <w:pStyle w:val="Footer"/>
            <w:rPr>
              <w:rFonts w:cs="Arial"/>
              <w:b/>
              <w:bCs/>
              <w:sz w:val="20"/>
            </w:rPr>
          </w:pPr>
          <w:r>
            <w:rPr>
              <w:rFonts w:cs="Arial"/>
              <w:b/>
              <w:bCs/>
              <w:sz w:val="20"/>
            </w:rPr>
            <w:t>01/11/2025</w:t>
          </w:r>
        </w:p>
      </w:tc>
      <w:tc>
        <w:tcPr>
          <w:tcW w:w="2551" w:type="dxa"/>
        </w:tcPr>
        <w:p w14:paraId="2F51A919" w14:textId="08C8E496" w:rsidR="00E90708" w:rsidRPr="00B3752F" w:rsidRDefault="003B3A88" w:rsidP="004213C3">
          <w:pPr>
            <w:pStyle w:val="Footer"/>
            <w:rPr>
              <w:rFonts w:cs="Arial"/>
              <w:b/>
              <w:bCs/>
              <w:sz w:val="20"/>
            </w:rPr>
          </w:pPr>
          <w:r>
            <w:rPr>
              <w:rFonts w:cs="Arial"/>
              <w:b/>
              <w:bCs/>
              <w:sz w:val="20"/>
            </w:rPr>
            <w:t>Surgery – Retrieval Service</w:t>
          </w:r>
        </w:p>
      </w:tc>
      <w:tc>
        <w:tcPr>
          <w:tcW w:w="1423"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3B3A88">
      <w:trPr>
        <w:trHeight w:val="231"/>
      </w:trPr>
      <w:tc>
        <w:tcPr>
          <w:tcW w:w="9082"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1A906" w14:textId="77777777" w:rsidR="00E90708" w:rsidRDefault="00E90708" w:rsidP="00F66CB0">
      <w:r>
        <w:separator/>
      </w:r>
    </w:p>
  </w:footnote>
  <w:footnote w:type="continuationSeparator" w:id="0">
    <w:p w14:paraId="2F51A907" w14:textId="77777777" w:rsidR="00E90708" w:rsidRDefault="00E90708"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0725C630" w:rsidR="00E90708" w:rsidRDefault="005E24D2">
          <w:pPr>
            <w:pStyle w:val="Header"/>
            <w:tabs>
              <w:tab w:val="left" w:pos="720"/>
            </w:tabs>
            <w:jc w:val="right"/>
            <w:rPr>
              <w:sz w:val="20"/>
            </w:rPr>
          </w:pPr>
          <w:bookmarkStart w:id="27" w:name="_top"/>
          <w:bookmarkEnd w:id="27"/>
          <w:r>
            <w:rPr>
              <w:sz w:val="20"/>
            </w:rPr>
            <w:t>CHS22/017</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680F479E"/>
    <w:multiLevelType w:val="hybridMultilevel"/>
    <w:tmpl w:val="CC9CF70A"/>
    <w:lvl w:ilvl="0" w:tplc="0C09000F">
      <w:start w:val="1"/>
      <w:numFmt w:val="decimal"/>
      <w:lvlText w:val="%1."/>
      <w:lvlJc w:val="left"/>
      <w:pPr>
        <w:tabs>
          <w:tab w:val="num" w:pos="360"/>
        </w:tabs>
        <w:ind w:left="360" w:hanging="360"/>
      </w:pPr>
      <w:rPr>
        <w:rFonts w:hint="default"/>
      </w:rPr>
    </w:lvl>
    <w:lvl w:ilvl="1" w:tplc="0A663142">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B23378"/>
    <w:multiLevelType w:val="hybridMultilevel"/>
    <w:tmpl w:val="7AF44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2"/>
  </w:num>
  <w:num w:numId="3">
    <w:abstractNumId w:val="10"/>
  </w:num>
  <w:num w:numId="4">
    <w:abstractNumId w:val="3"/>
  </w:num>
  <w:num w:numId="5">
    <w:abstractNumId w:val="5"/>
  </w:num>
  <w:num w:numId="6">
    <w:abstractNumId w:val="11"/>
  </w:num>
  <w:num w:numId="7">
    <w:abstractNumId w:val="7"/>
  </w:num>
  <w:num w:numId="8">
    <w:abstractNumId w:val="0"/>
  </w:num>
  <w:num w:numId="9">
    <w:abstractNumId w:val="0"/>
  </w:num>
  <w:num w:numId="10">
    <w:abstractNumId w:val="6"/>
  </w:num>
  <w:num w:numId="11">
    <w:abstractNumId w:val="1"/>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65158"/>
    <w:rsid w:val="00091AC9"/>
    <w:rsid w:val="00095ECD"/>
    <w:rsid w:val="000A7335"/>
    <w:rsid w:val="000B1620"/>
    <w:rsid w:val="000B5C8C"/>
    <w:rsid w:val="000B71ED"/>
    <w:rsid w:val="000C59E2"/>
    <w:rsid w:val="000C7B2D"/>
    <w:rsid w:val="000F7B7E"/>
    <w:rsid w:val="00103EEA"/>
    <w:rsid w:val="001115D7"/>
    <w:rsid w:val="00191109"/>
    <w:rsid w:val="00191235"/>
    <w:rsid w:val="001926F4"/>
    <w:rsid w:val="001A0053"/>
    <w:rsid w:val="001B2465"/>
    <w:rsid w:val="001B3435"/>
    <w:rsid w:val="001F2A9B"/>
    <w:rsid w:val="001F6D2D"/>
    <w:rsid w:val="00200D04"/>
    <w:rsid w:val="00201FB6"/>
    <w:rsid w:val="00215F79"/>
    <w:rsid w:val="002405CF"/>
    <w:rsid w:val="00240B97"/>
    <w:rsid w:val="00243F5D"/>
    <w:rsid w:val="0025382D"/>
    <w:rsid w:val="00263BA6"/>
    <w:rsid w:val="0027264D"/>
    <w:rsid w:val="00277C36"/>
    <w:rsid w:val="00285D38"/>
    <w:rsid w:val="00293E43"/>
    <w:rsid w:val="002B5F43"/>
    <w:rsid w:val="00313707"/>
    <w:rsid w:val="0032270B"/>
    <w:rsid w:val="00337E7C"/>
    <w:rsid w:val="00351CD9"/>
    <w:rsid w:val="00353CBB"/>
    <w:rsid w:val="00366924"/>
    <w:rsid w:val="00376A6D"/>
    <w:rsid w:val="00380B98"/>
    <w:rsid w:val="00395E36"/>
    <w:rsid w:val="00396023"/>
    <w:rsid w:val="003B3A88"/>
    <w:rsid w:val="003C204E"/>
    <w:rsid w:val="003C4BB5"/>
    <w:rsid w:val="003E4CC0"/>
    <w:rsid w:val="003F3D8F"/>
    <w:rsid w:val="00410409"/>
    <w:rsid w:val="00412CED"/>
    <w:rsid w:val="00416751"/>
    <w:rsid w:val="00420F9E"/>
    <w:rsid w:val="004213C3"/>
    <w:rsid w:val="0042413C"/>
    <w:rsid w:val="00427139"/>
    <w:rsid w:val="00431A1C"/>
    <w:rsid w:val="004358E9"/>
    <w:rsid w:val="004537B3"/>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90902"/>
    <w:rsid w:val="00592A14"/>
    <w:rsid w:val="00596FD7"/>
    <w:rsid w:val="005A3625"/>
    <w:rsid w:val="005B4738"/>
    <w:rsid w:val="005C212D"/>
    <w:rsid w:val="005C3CB0"/>
    <w:rsid w:val="005E1140"/>
    <w:rsid w:val="005E24D2"/>
    <w:rsid w:val="005F3214"/>
    <w:rsid w:val="00612231"/>
    <w:rsid w:val="00635EB1"/>
    <w:rsid w:val="0064371A"/>
    <w:rsid w:val="006473BB"/>
    <w:rsid w:val="0066495D"/>
    <w:rsid w:val="00695EB6"/>
    <w:rsid w:val="006A3770"/>
    <w:rsid w:val="006A4D46"/>
    <w:rsid w:val="006A6024"/>
    <w:rsid w:val="006C31FF"/>
    <w:rsid w:val="006C6256"/>
    <w:rsid w:val="006C6B6C"/>
    <w:rsid w:val="006C704D"/>
    <w:rsid w:val="006D31A2"/>
    <w:rsid w:val="0070331D"/>
    <w:rsid w:val="007052B1"/>
    <w:rsid w:val="00711BF4"/>
    <w:rsid w:val="00741B43"/>
    <w:rsid w:val="0074223E"/>
    <w:rsid w:val="007543AC"/>
    <w:rsid w:val="00756537"/>
    <w:rsid w:val="00756A2B"/>
    <w:rsid w:val="007A0EBC"/>
    <w:rsid w:val="007B27F1"/>
    <w:rsid w:val="007B2A0B"/>
    <w:rsid w:val="007B4ABB"/>
    <w:rsid w:val="007B6904"/>
    <w:rsid w:val="007B7628"/>
    <w:rsid w:val="007C36E4"/>
    <w:rsid w:val="00814325"/>
    <w:rsid w:val="00816782"/>
    <w:rsid w:val="0082141D"/>
    <w:rsid w:val="00827F24"/>
    <w:rsid w:val="00845445"/>
    <w:rsid w:val="00855DA8"/>
    <w:rsid w:val="00886399"/>
    <w:rsid w:val="008974CA"/>
    <w:rsid w:val="008E1F7F"/>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70F4"/>
    <w:rsid w:val="00A35E2D"/>
    <w:rsid w:val="00A54CB3"/>
    <w:rsid w:val="00A74B8A"/>
    <w:rsid w:val="00A85F61"/>
    <w:rsid w:val="00A86DB3"/>
    <w:rsid w:val="00A92E4F"/>
    <w:rsid w:val="00A96651"/>
    <w:rsid w:val="00AA25DC"/>
    <w:rsid w:val="00AB1477"/>
    <w:rsid w:val="00AB50DD"/>
    <w:rsid w:val="00AC7025"/>
    <w:rsid w:val="00AD196F"/>
    <w:rsid w:val="00AD3CCE"/>
    <w:rsid w:val="00AE4674"/>
    <w:rsid w:val="00B07A46"/>
    <w:rsid w:val="00B07DCE"/>
    <w:rsid w:val="00B12123"/>
    <w:rsid w:val="00B21043"/>
    <w:rsid w:val="00B42EA0"/>
    <w:rsid w:val="00B44CAC"/>
    <w:rsid w:val="00B573D6"/>
    <w:rsid w:val="00B73E65"/>
    <w:rsid w:val="00B81455"/>
    <w:rsid w:val="00B9627F"/>
    <w:rsid w:val="00BA2415"/>
    <w:rsid w:val="00BA4DB2"/>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53511"/>
    <w:rsid w:val="00C714FF"/>
    <w:rsid w:val="00C71C3C"/>
    <w:rsid w:val="00C76998"/>
    <w:rsid w:val="00C93E83"/>
    <w:rsid w:val="00CA593D"/>
    <w:rsid w:val="00CB3B5B"/>
    <w:rsid w:val="00CC5D11"/>
    <w:rsid w:val="00CD1505"/>
    <w:rsid w:val="00CF503A"/>
    <w:rsid w:val="00D21780"/>
    <w:rsid w:val="00D23346"/>
    <w:rsid w:val="00D243B8"/>
    <w:rsid w:val="00D34794"/>
    <w:rsid w:val="00D4502D"/>
    <w:rsid w:val="00D530CE"/>
    <w:rsid w:val="00D53E3C"/>
    <w:rsid w:val="00D77950"/>
    <w:rsid w:val="00DA1897"/>
    <w:rsid w:val="00DC3762"/>
    <w:rsid w:val="00DC5C47"/>
    <w:rsid w:val="00DD616A"/>
    <w:rsid w:val="00DE0465"/>
    <w:rsid w:val="00DE4E25"/>
    <w:rsid w:val="00E049ED"/>
    <w:rsid w:val="00E34E6D"/>
    <w:rsid w:val="00E37CD4"/>
    <w:rsid w:val="00E57848"/>
    <w:rsid w:val="00E73459"/>
    <w:rsid w:val="00E750BF"/>
    <w:rsid w:val="00E90708"/>
    <w:rsid w:val="00ED21C3"/>
    <w:rsid w:val="00ED388C"/>
    <w:rsid w:val="00ED46C3"/>
    <w:rsid w:val="00EF02B0"/>
    <w:rsid w:val="00EF13A4"/>
    <w:rsid w:val="00F01B61"/>
    <w:rsid w:val="00F11338"/>
    <w:rsid w:val="00F13AE5"/>
    <w:rsid w:val="00F149FD"/>
    <w:rsid w:val="00F14EC1"/>
    <w:rsid w:val="00F4262F"/>
    <w:rsid w:val="00F53719"/>
    <w:rsid w:val="00F57291"/>
    <w:rsid w:val="00F66CB0"/>
    <w:rsid w:val="00F76C89"/>
    <w:rsid w:val="00F772EF"/>
    <w:rsid w:val="00F9158A"/>
    <w:rsid w:val="00FA29B8"/>
    <w:rsid w:val="00FC7CBC"/>
    <w:rsid w:val="00FD3D92"/>
    <w:rsid w:val="00FF56DD"/>
    <w:rsid w:val="2F852C68"/>
    <w:rsid w:val="3B3CF27B"/>
    <w:rsid w:val="43A9BA19"/>
    <w:rsid w:val="5A9CEF3B"/>
    <w:rsid w:val="6DBEB3B4"/>
    <w:rsid w:val="6E98DA43"/>
    <w:rsid w:val="7D1D87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2021-10-14T13:00:00+00:00</Approval_x0020_Date>
    <Review_x0020_Date xmlns="690b2128-8961-48af-a473-22c34a9accba">2025-10-31T13:00:00+00:00</Review_x0020_Date>
    <TaxCatchAll xmlns="c0239a80-7f07-4ed7-82c3-24ad7d76ada5" xsi:nil="true"/>
    <Version_x0020_Number xmlns="690b2128-8961-48af-a473-22c34a9accba">1</Version_x0020_Number>
    <Notes0 xmlns="690b2128-8961-48af-a473-22c34a9accba">05 Jan 2022 - uploaded to the register; author and case manager notified; archived the old version CHHS15/085.</Notes0>
    <Key_x0020_Words xmlns="690b2128-8961-48af-a473-22c34a9accba">Blood, O Rh D Negative, Pre hospital, Retrieval, Administration, Pathology, Haematological, Life threatening, Blood tag, Vital signs, Haematologist, Transfusion, Flight, CRRS</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CHHS15/085 Initiation and Administering O RhD Negative Units in the Pre-Hospital and Retrieval Service Environment</Replaces_x003a_>
    <Risk_x0020_Rating xmlns="690b2128-8961-48af-a473-22c34a9accba">Medium</Risk_x0020_Rating>
    <Description0 xmlns="690b2128-8961-48af-a473-22c34a9accba">This document applies to the following staff working within their scope of practice:
•	CRRS Medical Practitioners
•	ACT Ambulance Service (ACTAS) Flight paramedics.</Description0>
    <Display_x0020_on_x0020_Internet xmlns="690b2128-8961-48af-a473-22c34a9accba">true</Display_x0020_on_x0020_Internet>
    <Related_x0020_Documents xmlns="690b2128-8961-48af-a473-22c34a9accba" xsi:nil="true"/>
    <Decision_x0020_Number xmlns="690b2128-8961-48af-a473-22c34a9accba">CHS22/017</Decision_x0020_Number>
    <New_x0020_Owner xmlns="690b2128-8961-48af-a473-22c34a9accba">Surgery - Retrieval Service</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00DF2-CB2C-4CAE-80A1-736F1DD29ABC}"/>
</file>

<file path=customXml/itemProps2.xml><?xml version="1.0" encoding="utf-8"?>
<ds:datastoreItem xmlns:ds="http://schemas.openxmlformats.org/officeDocument/2006/customXml" ds:itemID="{21287E84-24F4-48D0-B3E1-5C40036ABC77}">
  <ds:schemaRefs>
    <ds:schemaRef ds:uri="http://purl.org/dc/dcmitype/"/>
    <ds:schemaRef ds:uri="http://schemas.microsoft.com/office/infopath/2007/PartnerControls"/>
    <ds:schemaRef ds:uri="http://purl.org/dc/elements/1.1/"/>
    <ds:schemaRef ds:uri="http://schemas.microsoft.com/office/2006/metadata/properties"/>
    <ds:schemaRef ds:uri="9c2f0412-f90c-42c4-93a0-04fcb973abf1"/>
    <ds:schemaRef ds:uri="0c8e588b-9c83-49d3-a6c8-a54de8f95e6a"/>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and Administering O RhD Negative Units in the Pre-Hospital and Retrieval Service Environment</dc:title>
  <dc:subject>23;#Clinical Governance;#5;#Blood Management;#26;#Communicating for Safety</dc:subject>
  <dc:creator>Kerryn Hunter</dc:creator>
  <cp:lastModifiedBy>Stahre, Maria (Health)</cp:lastModifiedBy>
  <cp:revision>8</cp:revision>
  <cp:lastPrinted>2015-01-20T22:40:00Z</cp:lastPrinted>
  <dcterms:created xsi:type="dcterms:W3CDTF">2021-10-14T02:00:00Z</dcterms:created>
  <dcterms:modified xsi:type="dcterms:W3CDTF">2022-01-05T04:49:00Z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