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6FEA" w14:textId="77777777" w:rsidR="00481A6C" w:rsidRPr="00481A6C" w:rsidRDefault="008606A0" w:rsidP="00481A6C">
      <w:pPr>
        <w:pStyle w:val="Header"/>
        <w:rPr>
          <w:sz w:val="40"/>
          <w:szCs w:val="40"/>
        </w:rPr>
      </w:pPr>
      <w:bookmarkStart w:id="0" w:name="_top"/>
      <w:bookmarkEnd w:id="0"/>
      <w:r w:rsidRPr="008606A0">
        <w:rPr>
          <w:b/>
          <w:bCs/>
          <w:sz w:val="40"/>
          <w:szCs w:val="40"/>
        </w:rPr>
        <w:t>Guideline</w:t>
      </w:r>
      <w:r w:rsidRPr="008606A0">
        <w:rPr>
          <w:sz w:val="40"/>
          <w:szCs w:val="40"/>
        </w:rPr>
        <w:t xml:space="preserve"> | </w:t>
      </w:r>
      <w:r w:rsidR="00481A6C" w:rsidRPr="008606A0">
        <w:rPr>
          <w:sz w:val="40"/>
          <w:szCs w:val="40"/>
        </w:rPr>
        <w:t>Canberra Health Services</w:t>
      </w:r>
    </w:p>
    <w:p w14:paraId="5FB66DF3" w14:textId="79D30992" w:rsidR="00E31596" w:rsidRPr="00E31596" w:rsidRDefault="009542D4" w:rsidP="00481A6C">
      <w:pPr>
        <w:pStyle w:val="Header"/>
        <w:rPr>
          <w:color w:val="575757" w:themeColor="text2"/>
          <w:sz w:val="20"/>
          <w:szCs w:val="20"/>
        </w:rPr>
      </w:pPr>
      <w:r>
        <w:rPr>
          <w:sz w:val="32"/>
          <w:szCs w:val="32"/>
        </w:rPr>
        <w:t xml:space="preserve">Cystic Fibrosis – Management and Care of the Adult and Paediatric Patient </w:t>
      </w:r>
      <w:r w:rsidR="00E31596">
        <w:rPr>
          <w:color w:val="575757" w:themeColor="text2"/>
          <w:sz w:val="20"/>
          <w:szCs w:val="20"/>
        </w:rPr>
        <w:br/>
      </w:r>
      <w:r w:rsidR="00E31596" w:rsidRPr="00E31596">
        <w:t>CHS</w:t>
      </w:r>
      <w:r w:rsidR="00E55C78">
        <w:t>24/403</w:t>
      </w:r>
      <w:r w:rsidR="00E31596" w:rsidRPr="00E31596">
        <w:t xml:space="preserve"> </w:t>
      </w:r>
    </w:p>
    <w:p w14:paraId="74A4EC8C" w14:textId="77777777" w:rsidR="00CA4FDE" w:rsidRDefault="00CA4FDE">
      <w:pPr>
        <w:spacing w:before="0" w:after="0" w:line="240" w:lineRule="auto"/>
      </w:pPr>
      <w:bookmarkStart w:id="1" w:name="_Hlk157074578"/>
    </w:p>
    <w:sdt>
      <w:sdtPr>
        <w:rPr>
          <w:sz w:val="32"/>
        </w:rPr>
        <w:id w:val="-1206019646"/>
        <w:docPartObj>
          <w:docPartGallery w:val="Table of Contents"/>
          <w:docPartUnique/>
        </w:docPartObj>
      </w:sdtPr>
      <w:sdtEndPr>
        <w:rPr>
          <w:noProof/>
        </w:rPr>
      </w:sdtEndPr>
      <w:sdtContent>
        <w:p w14:paraId="7613BEED" w14:textId="77777777" w:rsidR="00A731B8" w:rsidRPr="000E7683" w:rsidRDefault="00A731B8">
          <w:pPr>
            <w:pStyle w:val="TOCHeading"/>
            <w:rPr>
              <w:rStyle w:val="Heading3Char"/>
              <w:b/>
              <w:bCs w:val="0"/>
            </w:rPr>
          </w:pPr>
          <w:r w:rsidRPr="000E7683">
            <w:rPr>
              <w:rStyle w:val="Heading3Char"/>
              <w:b/>
              <w:bCs w:val="0"/>
            </w:rPr>
            <w:t>Contents</w:t>
          </w:r>
        </w:p>
        <w:p w14:paraId="586A777D" w14:textId="05C6AD75" w:rsidR="005C6149" w:rsidRDefault="00A731B8">
          <w:pPr>
            <w:pStyle w:val="TOC1"/>
            <w:rPr>
              <w:rFonts w:asciiTheme="minorHAnsi" w:eastAsiaTheme="minorEastAsia" w:hAnsiTheme="minorHAnsi" w:cstheme="minorBidi"/>
              <w:color w:val="auto"/>
              <w:kern w:val="2"/>
              <w:sz w:val="22"/>
              <w:szCs w:val="22"/>
              <w14:ligatures w14:val="standardContextual"/>
            </w:rPr>
          </w:pPr>
          <w:r>
            <w:rPr>
              <w:rFonts w:cs="Times New Roman"/>
              <w:lang w:eastAsia="en-US"/>
            </w:rPr>
            <w:fldChar w:fldCharType="begin"/>
          </w:r>
          <w:r>
            <w:instrText xml:space="preserve"> TOC \h \z \u \t "Heading 2,1,Heading 3,2" </w:instrText>
          </w:r>
          <w:r>
            <w:rPr>
              <w:rFonts w:cs="Times New Roman"/>
              <w:lang w:eastAsia="en-US"/>
            </w:rPr>
            <w:fldChar w:fldCharType="separate"/>
          </w:r>
          <w:hyperlink w:anchor="_Toc176177616" w:history="1">
            <w:r w:rsidR="005C6149" w:rsidRPr="00EA51A0">
              <w:rPr>
                <w:rStyle w:val="Hyperlink"/>
              </w:rPr>
              <w:t>Guideline statement</w:t>
            </w:r>
            <w:r w:rsidR="005C6149">
              <w:rPr>
                <w:webHidden/>
              </w:rPr>
              <w:tab/>
            </w:r>
            <w:r w:rsidR="005C6149">
              <w:rPr>
                <w:webHidden/>
              </w:rPr>
              <w:fldChar w:fldCharType="begin"/>
            </w:r>
            <w:r w:rsidR="005C6149">
              <w:rPr>
                <w:webHidden/>
              </w:rPr>
              <w:instrText xml:space="preserve"> PAGEREF _Toc176177616 \h </w:instrText>
            </w:r>
            <w:r w:rsidR="005C6149">
              <w:rPr>
                <w:webHidden/>
              </w:rPr>
            </w:r>
            <w:r w:rsidR="005C6149">
              <w:rPr>
                <w:webHidden/>
              </w:rPr>
              <w:fldChar w:fldCharType="separate"/>
            </w:r>
            <w:r w:rsidR="005C6149">
              <w:rPr>
                <w:webHidden/>
              </w:rPr>
              <w:t>2</w:t>
            </w:r>
            <w:r w:rsidR="005C6149">
              <w:rPr>
                <w:webHidden/>
              </w:rPr>
              <w:fldChar w:fldCharType="end"/>
            </w:r>
          </w:hyperlink>
        </w:p>
        <w:p w14:paraId="0776DE90" w14:textId="3B19D931"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17" w:history="1">
            <w:r w:rsidR="005C6149" w:rsidRPr="00EA51A0">
              <w:rPr>
                <w:rStyle w:val="Hyperlink"/>
              </w:rPr>
              <w:t>Scope</w:t>
            </w:r>
            <w:r w:rsidR="005C6149">
              <w:rPr>
                <w:webHidden/>
              </w:rPr>
              <w:tab/>
            </w:r>
            <w:r w:rsidR="005C6149">
              <w:rPr>
                <w:webHidden/>
              </w:rPr>
              <w:fldChar w:fldCharType="begin"/>
            </w:r>
            <w:r w:rsidR="005C6149">
              <w:rPr>
                <w:webHidden/>
              </w:rPr>
              <w:instrText xml:space="preserve"> PAGEREF _Toc176177617 \h </w:instrText>
            </w:r>
            <w:r w:rsidR="005C6149">
              <w:rPr>
                <w:webHidden/>
              </w:rPr>
            </w:r>
            <w:r w:rsidR="005C6149">
              <w:rPr>
                <w:webHidden/>
              </w:rPr>
              <w:fldChar w:fldCharType="separate"/>
            </w:r>
            <w:r w:rsidR="005C6149">
              <w:rPr>
                <w:webHidden/>
              </w:rPr>
              <w:t>2</w:t>
            </w:r>
            <w:r w:rsidR="005C6149">
              <w:rPr>
                <w:webHidden/>
              </w:rPr>
              <w:fldChar w:fldCharType="end"/>
            </w:r>
          </w:hyperlink>
        </w:p>
        <w:p w14:paraId="76450038" w14:textId="55B46291"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18" w:history="1">
            <w:r w:rsidR="005C6149" w:rsidRPr="00EA51A0">
              <w:rPr>
                <w:rStyle w:val="Hyperlink"/>
              </w:rPr>
              <w:t>Section 1 – Care of the Inpatient with Cystic Fibrosis</w:t>
            </w:r>
            <w:r w:rsidR="005C6149">
              <w:rPr>
                <w:webHidden/>
              </w:rPr>
              <w:tab/>
            </w:r>
            <w:r w:rsidR="005C6149">
              <w:rPr>
                <w:webHidden/>
              </w:rPr>
              <w:fldChar w:fldCharType="begin"/>
            </w:r>
            <w:r w:rsidR="005C6149">
              <w:rPr>
                <w:webHidden/>
              </w:rPr>
              <w:instrText xml:space="preserve"> PAGEREF _Toc176177618 \h </w:instrText>
            </w:r>
            <w:r w:rsidR="005C6149">
              <w:rPr>
                <w:webHidden/>
              </w:rPr>
            </w:r>
            <w:r w:rsidR="005C6149">
              <w:rPr>
                <w:webHidden/>
              </w:rPr>
              <w:fldChar w:fldCharType="separate"/>
            </w:r>
            <w:r w:rsidR="005C6149">
              <w:rPr>
                <w:webHidden/>
              </w:rPr>
              <w:t>2</w:t>
            </w:r>
            <w:r w:rsidR="005C6149">
              <w:rPr>
                <w:webHidden/>
              </w:rPr>
              <w:fldChar w:fldCharType="end"/>
            </w:r>
          </w:hyperlink>
        </w:p>
        <w:p w14:paraId="5026503D" w14:textId="2E63E6F6"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19" w:history="1">
            <w:r w:rsidR="005C6149" w:rsidRPr="00EA51A0">
              <w:rPr>
                <w:rStyle w:val="Hyperlink"/>
              </w:rPr>
              <w:t>Section 2 – Cystic Fibrosis Outpatients</w:t>
            </w:r>
            <w:r w:rsidR="005C6149">
              <w:rPr>
                <w:webHidden/>
              </w:rPr>
              <w:tab/>
            </w:r>
            <w:r w:rsidR="005C6149">
              <w:rPr>
                <w:webHidden/>
              </w:rPr>
              <w:fldChar w:fldCharType="begin"/>
            </w:r>
            <w:r w:rsidR="005C6149">
              <w:rPr>
                <w:webHidden/>
              </w:rPr>
              <w:instrText xml:space="preserve"> PAGEREF _Toc176177619 \h </w:instrText>
            </w:r>
            <w:r w:rsidR="005C6149">
              <w:rPr>
                <w:webHidden/>
              </w:rPr>
            </w:r>
            <w:r w:rsidR="005C6149">
              <w:rPr>
                <w:webHidden/>
              </w:rPr>
              <w:fldChar w:fldCharType="separate"/>
            </w:r>
            <w:r w:rsidR="005C6149">
              <w:rPr>
                <w:webHidden/>
              </w:rPr>
              <w:t>16</w:t>
            </w:r>
            <w:r w:rsidR="005C6149">
              <w:rPr>
                <w:webHidden/>
              </w:rPr>
              <w:fldChar w:fldCharType="end"/>
            </w:r>
          </w:hyperlink>
        </w:p>
        <w:p w14:paraId="68E12394" w14:textId="235841C4"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20" w:history="1">
            <w:r w:rsidR="005C6149" w:rsidRPr="00EA51A0">
              <w:rPr>
                <w:rStyle w:val="Hyperlink"/>
              </w:rPr>
              <w:t>Evaluation</w:t>
            </w:r>
            <w:r w:rsidR="005C6149">
              <w:rPr>
                <w:webHidden/>
              </w:rPr>
              <w:tab/>
            </w:r>
            <w:r w:rsidR="005C6149">
              <w:rPr>
                <w:webHidden/>
              </w:rPr>
              <w:fldChar w:fldCharType="begin"/>
            </w:r>
            <w:r w:rsidR="005C6149">
              <w:rPr>
                <w:webHidden/>
              </w:rPr>
              <w:instrText xml:space="preserve"> PAGEREF _Toc176177620 \h </w:instrText>
            </w:r>
            <w:r w:rsidR="005C6149">
              <w:rPr>
                <w:webHidden/>
              </w:rPr>
            </w:r>
            <w:r w:rsidR="005C6149">
              <w:rPr>
                <w:webHidden/>
              </w:rPr>
              <w:fldChar w:fldCharType="separate"/>
            </w:r>
            <w:r w:rsidR="005C6149">
              <w:rPr>
                <w:webHidden/>
              </w:rPr>
              <w:t>19</w:t>
            </w:r>
            <w:r w:rsidR="005C6149">
              <w:rPr>
                <w:webHidden/>
              </w:rPr>
              <w:fldChar w:fldCharType="end"/>
            </w:r>
          </w:hyperlink>
        </w:p>
        <w:p w14:paraId="201EC26E" w14:textId="222977F1"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21" w:history="1">
            <w:r w:rsidR="005C6149" w:rsidRPr="00EA51A0">
              <w:rPr>
                <w:rStyle w:val="Hyperlink"/>
              </w:rPr>
              <w:t>Related policies, procedures, guidelines and legislation</w:t>
            </w:r>
            <w:r w:rsidR="005C6149">
              <w:rPr>
                <w:webHidden/>
              </w:rPr>
              <w:tab/>
            </w:r>
            <w:r w:rsidR="005C6149">
              <w:rPr>
                <w:webHidden/>
              </w:rPr>
              <w:fldChar w:fldCharType="begin"/>
            </w:r>
            <w:r w:rsidR="005C6149">
              <w:rPr>
                <w:webHidden/>
              </w:rPr>
              <w:instrText xml:space="preserve"> PAGEREF _Toc176177621 \h </w:instrText>
            </w:r>
            <w:r w:rsidR="005C6149">
              <w:rPr>
                <w:webHidden/>
              </w:rPr>
            </w:r>
            <w:r w:rsidR="005C6149">
              <w:rPr>
                <w:webHidden/>
              </w:rPr>
              <w:fldChar w:fldCharType="separate"/>
            </w:r>
            <w:r w:rsidR="005C6149">
              <w:rPr>
                <w:webHidden/>
              </w:rPr>
              <w:t>20</w:t>
            </w:r>
            <w:r w:rsidR="005C6149">
              <w:rPr>
                <w:webHidden/>
              </w:rPr>
              <w:fldChar w:fldCharType="end"/>
            </w:r>
          </w:hyperlink>
        </w:p>
        <w:p w14:paraId="5715AB62" w14:textId="75D6FC14"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22" w:history="1">
            <w:r w:rsidR="005C6149" w:rsidRPr="00EA51A0">
              <w:rPr>
                <w:rStyle w:val="Hyperlink"/>
              </w:rPr>
              <w:t>References</w:t>
            </w:r>
            <w:r w:rsidR="005C6149">
              <w:rPr>
                <w:webHidden/>
              </w:rPr>
              <w:tab/>
            </w:r>
            <w:r w:rsidR="005C6149">
              <w:rPr>
                <w:webHidden/>
              </w:rPr>
              <w:fldChar w:fldCharType="begin"/>
            </w:r>
            <w:r w:rsidR="005C6149">
              <w:rPr>
                <w:webHidden/>
              </w:rPr>
              <w:instrText xml:space="preserve"> PAGEREF _Toc176177622 \h </w:instrText>
            </w:r>
            <w:r w:rsidR="005C6149">
              <w:rPr>
                <w:webHidden/>
              </w:rPr>
            </w:r>
            <w:r w:rsidR="005C6149">
              <w:rPr>
                <w:webHidden/>
              </w:rPr>
              <w:fldChar w:fldCharType="separate"/>
            </w:r>
            <w:r w:rsidR="005C6149">
              <w:rPr>
                <w:webHidden/>
              </w:rPr>
              <w:t>21</w:t>
            </w:r>
            <w:r w:rsidR="005C6149">
              <w:rPr>
                <w:webHidden/>
              </w:rPr>
              <w:fldChar w:fldCharType="end"/>
            </w:r>
          </w:hyperlink>
        </w:p>
        <w:p w14:paraId="755CBBFE" w14:textId="1163EF22" w:rsidR="005C6149" w:rsidRDefault="00000000">
          <w:pPr>
            <w:pStyle w:val="TOC1"/>
            <w:rPr>
              <w:rFonts w:asciiTheme="minorHAnsi" w:eastAsiaTheme="minorEastAsia" w:hAnsiTheme="minorHAnsi" w:cstheme="minorBidi"/>
              <w:color w:val="auto"/>
              <w:kern w:val="2"/>
              <w:sz w:val="22"/>
              <w:szCs w:val="22"/>
              <w14:ligatures w14:val="standardContextual"/>
            </w:rPr>
          </w:pPr>
          <w:hyperlink w:anchor="_Toc176177623" w:history="1">
            <w:r w:rsidR="005C6149" w:rsidRPr="00EA51A0">
              <w:rPr>
                <w:rStyle w:val="Hyperlink"/>
              </w:rPr>
              <w:t>Search terms</w:t>
            </w:r>
            <w:r w:rsidR="005C6149">
              <w:rPr>
                <w:webHidden/>
              </w:rPr>
              <w:tab/>
            </w:r>
            <w:r w:rsidR="005C6149">
              <w:rPr>
                <w:webHidden/>
              </w:rPr>
              <w:fldChar w:fldCharType="begin"/>
            </w:r>
            <w:r w:rsidR="005C6149">
              <w:rPr>
                <w:webHidden/>
              </w:rPr>
              <w:instrText xml:space="preserve"> PAGEREF _Toc176177623 \h </w:instrText>
            </w:r>
            <w:r w:rsidR="005C6149">
              <w:rPr>
                <w:webHidden/>
              </w:rPr>
            </w:r>
            <w:r w:rsidR="005C6149">
              <w:rPr>
                <w:webHidden/>
              </w:rPr>
              <w:fldChar w:fldCharType="separate"/>
            </w:r>
            <w:r w:rsidR="005C6149">
              <w:rPr>
                <w:webHidden/>
              </w:rPr>
              <w:t>21</w:t>
            </w:r>
            <w:r w:rsidR="005C6149">
              <w:rPr>
                <w:webHidden/>
              </w:rPr>
              <w:fldChar w:fldCharType="end"/>
            </w:r>
          </w:hyperlink>
        </w:p>
        <w:p w14:paraId="3045FE1E" w14:textId="01A506F9" w:rsidR="00481A6C" w:rsidRDefault="00A731B8" w:rsidP="00481A6C">
          <w:pPr>
            <w:pStyle w:val="TOCHeading2"/>
          </w:pPr>
          <w:r>
            <w:rPr>
              <w:noProof/>
            </w:rPr>
            <w:fldChar w:fldCharType="end"/>
          </w:r>
        </w:p>
      </w:sdtContent>
    </w:sdt>
    <w:p w14:paraId="0832A4E3" w14:textId="77777777" w:rsidR="00FE46F1" w:rsidRDefault="00FE46F1">
      <w:pPr>
        <w:spacing w:before="0" w:after="0" w:line="240" w:lineRule="auto"/>
        <w:rPr>
          <w:rFonts w:eastAsia="Times New Roman"/>
          <w:b/>
          <w:color w:val="FFFFFF" w:themeColor="background1"/>
          <w:szCs w:val="80"/>
          <w:lang w:eastAsia="en-US"/>
        </w:rPr>
      </w:pPr>
      <w:r>
        <w:br w:type="page"/>
      </w:r>
    </w:p>
    <w:p w14:paraId="19EC3FBB" w14:textId="4601D68B" w:rsidR="0078367D" w:rsidRDefault="0078367D" w:rsidP="0078367D">
      <w:pPr>
        <w:pStyle w:val="Heading2"/>
      </w:pPr>
      <w:bookmarkStart w:id="2" w:name="_Toc176177616"/>
      <w:r>
        <w:lastRenderedPageBreak/>
        <w:t>Guideline statement</w:t>
      </w:r>
      <w:bookmarkEnd w:id="2"/>
      <w:r w:rsidR="009746B1">
        <w:t xml:space="preserve"> </w:t>
      </w:r>
    </w:p>
    <w:p w14:paraId="6AC98B4F" w14:textId="77777777" w:rsidR="00F41D0E" w:rsidRDefault="00481A6C" w:rsidP="00481A6C">
      <w:pPr>
        <w:pStyle w:val="BodyCopy"/>
        <w:rPr>
          <w:rStyle w:val="Heading4Char"/>
        </w:rPr>
      </w:pPr>
      <w:r w:rsidRPr="00A66966">
        <w:rPr>
          <w:rStyle w:val="Heading4Char"/>
        </w:rPr>
        <w:t>Background</w:t>
      </w:r>
      <w:r w:rsidR="0078367D" w:rsidRPr="00A66966">
        <w:rPr>
          <w:rStyle w:val="Heading4Char"/>
        </w:rPr>
        <w:t xml:space="preserve"> </w:t>
      </w:r>
    </w:p>
    <w:p w14:paraId="0E61065B" w14:textId="77777777" w:rsidR="00F41D0E" w:rsidRPr="00F41D0E" w:rsidRDefault="00F41D0E" w:rsidP="00F41D0E">
      <w:pPr>
        <w:pStyle w:val="BodyCopy"/>
      </w:pPr>
      <w:r w:rsidRPr="00F41D0E">
        <w:t xml:space="preserve">This guideline has been developed to guide the care of an infant, child, adolescent or adult with Cystic Fibrosis (CF).  </w:t>
      </w:r>
    </w:p>
    <w:p w14:paraId="44C70E46" w14:textId="77777777" w:rsidR="00F41D0E" w:rsidRPr="00F41D0E" w:rsidRDefault="00F41D0E" w:rsidP="00F41D0E">
      <w:pPr>
        <w:pStyle w:val="BodyCopy"/>
      </w:pPr>
      <w:r w:rsidRPr="00F41D0E">
        <w:t xml:space="preserve">CF is an inherited genetic disease caused by mutations in the cystic fibrosis transmembrane regulator (CFTR) gene. The mutations affect how chloride is transported across the membrane of epithelial cells in the airways, pancreas, intestine, sweat glands and vas deferens, resulting in very sticky mucous that causes obstruction, and can trap microorganisms. Repeated obstruction and infection </w:t>
      </w:r>
      <w:proofErr w:type="gramStart"/>
      <w:r w:rsidRPr="00F41D0E">
        <w:t>causes</w:t>
      </w:r>
      <w:proofErr w:type="gramEnd"/>
      <w:r w:rsidRPr="00F41D0E">
        <w:t xml:space="preserve"> progressive lung disease, pancreatic dysfunction, elevated sweat electrolytes and male infertility. 1 </w:t>
      </w:r>
    </w:p>
    <w:p w14:paraId="693BB42C" w14:textId="77777777" w:rsidR="00F41D0E" w:rsidRPr="00F41D0E" w:rsidRDefault="00481A6C" w:rsidP="00F41D0E">
      <w:pPr>
        <w:pStyle w:val="BodyCopy"/>
        <w:rPr>
          <w:b/>
        </w:rPr>
      </w:pPr>
      <w:r w:rsidRPr="00A66966">
        <w:rPr>
          <w:rStyle w:val="Heading4Char"/>
        </w:rPr>
        <w:t>Key Objective</w:t>
      </w:r>
      <w:r w:rsidRPr="00A66966">
        <w:rPr>
          <w:rStyle w:val="Heading4Char"/>
        </w:rPr>
        <w:br/>
      </w:r>
      <w:r w:rsidR="00F41D0E" w:rsidRPr="00F41D0E">
        <w:t>This guideline aims to provide an overview of the baseline care required during an admission of a patient with CF, and to provide a safe and standard process for review of patients with CF when they become unwell.</w:t>
      </w:r>
    </w:p>
    <w:p w14:paraId="3303244E" w14:textId="3C995C8B" w:rsidR="00481A6C" w:rsidRDefault="00481A6C" w:rsidP="00481A6C">
      <w:pPr>
        <w:pStyle w:val="BodyCopy"/>
        <w:rPr>
          <w:iCs w:val="0"/>
        </w:rPr>
      </w:pPr>
      <w:r w:rsidRPr="00A66966">
        <w:rPr>
          <w:rStyle w:val="Heading4Char"/>
        </w:rPr>
        <w:t xml:space="preserve">Alerts </w:t>
      </w:r>
      <w:r w:rsidRPr="00A66966">
        <w:rPr>
          <w:rStyle w:val="Heading4Char"/>
        </w:rPr>
        <w:br/>
      </w:r>
      <w:r w:rsidR="00F41D0E" w:rsidRPr="00F41D0E">
        <w:rPr>
          <w:iCs w:val="0"/>
        </w:rPr>
        <w:t xml:space="preserve">Infection control considerations are an important aspect of the care of the patient with CF, as these patients are at risk of colonisation with organisms that cause respiratory morbidity and accelerate respiratory decline.   </w:t>
      </w:r>
    </w:p>
    <w:p w14:paraId="1A94A55F" w14:textId="77777777" w:rsidR="00481A6C" w:rsidRDefault="00000000" w:rsidP="00481A6C">
      <w:pPr>
        <w:pStyle w:val="BodyCopy"/>
        <w:rPr>
          <w:rStyle w:val="Hyperlink"/>
          <w:iCs w:val="0"/>
        </w:rPr>
      </w:pPr>
      <w:hyperlink w:anchor="_top" w:history="1">
        <w:r w:rsidR="00481A6C" w:rsidRPr="00481A6C">
          <w:rPr>
            <w:rStyle w:val="Hyperlink"/>
            <w:iCs w:val="0"/>
          </w:rPr>
          <w:t>Back to Contents</w:t>
        </w:r>
      </w:hyperlink>
    </w:p>
    <w:p w14:paraId="5398E99A" w14:textId="77777777" w:rsidR="0078367D" w:rsidRPr="00AC2EDE" w:rsidRDefault="0078367D" w:rsidP="00AC2EDE">
      <w:pPr>
        <w:pStyle w:val="Heading2"/>
      </w:pPr>
      <w:bookmarkStart w:id="3" w:name="_Toc176177617"/>
      <w:r w:rsidRPr="00AC2EDE">
        <w:rPr>
          <w:rStyle w:val="Hyperlink"/>
          <w:color w:val="FFFFFF" w:themeColor="background1"/>
          <w:u w:val="none"/>
        </w:rPr>
        <w:t>Scope</w:t>
      </w:r>
      <w:bookmarkEnd w:id="3"/>
    </w:p>
    <w:p w14:paraId="2C5F6A32" w14:textId="77777777" w:rsidR="00F41D0E" w:rsidRPr="00F41D0E" w:rsidRDefault="00F41D0E" w:rsidP="00F41D0E">
      <w:pPr>
        <w:pStyle w:val="BodyCopy"/>
      </w:pPr>
      <w:r w:rsidRPr="00F41D0E">
        <w:t xml:space="preserve">This guideline applies to staff caring for patients with CF within Canberra Health Services (CHS) network. </w:t>
      </w:r>
    </w:p>
    <w:p w14:paraId="552024DC" w14:textId="6FB6D831" w:rsidR="00F41D0E" w:rsidRDefault="00F41D0E" w:rsidP="00F41D0E">
      <w:pPr>
        <w:pStyle w:val="BodyCopy"/>
      </w:pPr>
      <w:r w:rsidRPr="00F41D0E">
        <w:t>This document applies to the following CHS staff working within their scope of practice:</w:t>
      </w:r>
    </w:p>
    <w:p w14:paraId="4E4891B2" w14:textId="77777777" w:rsidR="00F41D0E" w:rsidRPr="00F41D0E" w:rsidRDefault="00F41D0E" w:rsidP="00F41D0E">
      <w:pPr>
        <w:pStyle w:val="Bullet"/>
      </w:pPr>
      <w:r w:rsidRPr="00F41D0E">
        <w:t>medical staff</w:t>
      </w:r>
    </w:p>
    <w:p w14:paraId="510A3C7E" w14:textId="77777777" w:rsidR="00F41D0E" w:rsidRPr="00F41D0E" w:rsidRDefault="00F41D0E" w:rsidP="00F41D0E">
      <w:pPr>
        <w:pStyle w:val="Bullet"/>
      </w:pPr>
      <w:r w:rsidRPr="00F41D0E">
        <w:t>registered nurses and enrolled nurses</w:t>
      </w:r>
    </w:p>
    <w:p w14:paraId="10BF9E05" w14:textId="77777777" w:rsidR="00F41D0E" w:rsidRPr="00F41D0E" w:rsidRDefault="00F41D0E" w:rsidP="00F41D0E">
      <w:pPr>
        <w:pStyle w:val="Bullet"/>
      </w:pPr>
      <w:r w:rsidRPr="00F41D0E">
        <w:t xml:space="preserve">allied health professionals </w:t>
      </w:r>
    </w:p>
    <w:p w14:paraId="15A97C71" w14:textId="77777777" w:rsidR="00F41D0E" w:rsidRDefault="00F41D0E" w:rsidP="00481A6C">
      <w:pPr>
        <w:pStyle w:val="Bullet"/>
      </w:pPr>
      <w:r w:rsidRPr="00F41D0E">
        <w:t>students working under the supervision of health professionals</w:t>
      </w:r>
    </w:p>
    <w:p w14:paraId="7DCBF0BE" w14:textId="77777777" w:rsidR="00F41D0E" w:rsidRDefault="00F41D0E" w:rsidP="00F41D0E">
      <w:pPr>
        <w:pStyle w:val="Bullet"/>
        <w:numPr>
          <w:ilvl w:val="0"/>
          <w:numId w:val="0"/>
        </w:numPr>
      </w:pPr>
    </w:p>
    <w:p w14:paraId="36041978" w14:textId="017843C1" w:rsidR="00481A6C" w:rsidRPr="00F41D0E" w:rsidRDefault="00000000" w:rsidP="00F41D0E">
      <w:pPr>
        <w:pStyle w:val="Bullet"/>
        <w:numPr>
          <w:ilvl w:val="0"/>
          <w:numId w:val="0"/>
        </w:numPr>
      </w:pPr>
      <w:hyperlink w:anchor="_top" w:history="1">
        <w:r w:rsidR="00481A6C" w:rsidRPr="00F41D0E">
          <w:rPr>
            <w:rStyle w:val="Hyperlink"/>
          </w:rPr>
          <w:t>Back to Contents</w:t>
        </w:r>
      </w:hyperlink>
    </w:p>
    <w:p w14:paraId="61239C06" w14:textId="6103C4A8" w:rsidR="00F41D0E" w:rsidRDefault="0078367D" w:rsidP="00F41D0E">
      <w:pPr>
        <w:pStyle w:val="Heading2"/>
      </w:pPr>
      <w:bookmarkStart w:id="4" w:name="_Toc176177618"/>
      <w:r>
        <w:t xml:space="preserve">Section 1 </w:t>
      </w:r>
      <w:r w:rsidR="00F41D0E">
        <w:t>–</w:t>
      </w:r>
      <w:r>
        <w:t xml:space="preserve"> </w:t>
      </w:r>
      <w:r w:rsidR="00F41D0E">
        <w:t>Care of the Inpatient with Cystic Fibrosis</w:t>
      </w:r>
      <w:bookmarkEnd w:id="4"/>
    </w:p>
    <w:p w14:paraId="2835B614" w14:textId="467D4F7F" w:rsidR="00F41D0E" w:rsidRPr="00F41D0E" w:rsidRDefault="00F41D0E" w:rsidP="00F41D0E">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bookmarkStart w:id="5" w:name="_Toc1042462"/>
      <w:bookmarkStart w:id="6" w:name="_Toc3468925"/>
      <w:bookmarkStart w:id="7" w:name="_Toc3468945"/>
      <w:bookmarkStart w:id="8" w:name="_Toc3468964"/>
      <w:r w:rsidRPr="00F41D0E">
        <w:rPr>
          <w:b/>
          <w:bCs w:val="0"/>
        </w:rPr>
        <w:t>Alert:</w:t>
      </w:r>
      <w:r w:rsidRPr="00F41D0E">
        <w:t xml:space="preserve"> All patients with CF, regardless of infective status, are to be admitted to a single room with an ensuite or dedicated bathroom facilities. This is to reduce their risk of contracting new infections or transmitting to others the organisms known to be colonising their respiratory tract.</w:t>
      </w:r>
      <w:bookmarkEnd w:id="5"/>
      <w:bookmarkEnd w:id="6"/>
      <w:bookmarkEnd w:id="7"/>
      <w:bookmarkEnd w:id="8"/>
      <w:r w:rsidRPr="00F41D0E">
        <w:rPr>
          <w:vertAlign w:val="superscript"/>
        </w:rPr>
        <w:t>1</w:t>
      </w:r>
      <w:r>
        <w:rPr>
          <w:vertAlign w:val="superscript"/>
        </w:rPr>
        <w:t xml:space="preserve"> </w:t>
      </w:r>
    </w:p>
    <w:p w14:paraId="629ECD2D" w14:textId="36963D7C" w:rsidR="00FE46F1" w:rsidRDefault="00F41D0E" w:rsidP="00F41D0E">
      <w:pPr>
        <w:pStyle w:val="Heading4"/>
        <w:rPr>
          <w:vertAlign w:val="superscript"/>
        </w:rPr>
      </w:pPr>
      <w:bookmarkStart w:id="9" w:name="_Toc175924717"/>
      <w:bookmarkStart w:id="10" w:name="_Hlk172532356"/>
      <w:r w:rsidRPr="00F41D0E">
        <w:lastRenderedPageBreak/>
        <w:t xml:space="preserve">1.1 Care considerations on admission </w:t>
      </w:r>
      <w:r w:rsidRPr="00F41D0E">
        <w:rPr>
          <w:vertAlign w:val="superscript"/>
        </w:rPr>
        <w:t>1</w:t>
      </w:r>
      <w:bookmarkEnd w:id="9"/>
      <w:r w:rsidRPr="00F41D0E">
        <w:rPr>
          <w:vertAlign w:val="superscript"/>
        </w:rPr>
        <w:t>, 2</w:t>
      </w:r>
    </w:p>
    <w:p w14:paraId="1515A870" w14:textId="77777777" w:rsidR="00F41D0E" w:rsidRPr="00F41D0E" w:rsidRDefault="00F41D0E" w:rsidP="00F41D0E">
      <w:pPr>
        <w:pStyle w:val="BodyCopy"/>
      </w:pPr>
      <w:r w:rsidRPr="00F41D0E">
        <w:t>On patient admission, the following should be undertaken or considered:</w:t>
      </w:r>
    </w:p>
    <w:p w14:paraId="0CE17214" w14:textId="77777777" w:rsidR="00F41D0E" w:rsidRPr="00F41D0E" w:rsidRDefault="00F41D0E" w:rsidP="00F41D0E">
      <w:pPr>
        <w:pStyle w:val="Bullet"/>
        <w:rPr>
          <w:lang w:eastAsia="en-US"/>
        </w:rPr>
      </w:pPr>
      <w:r w:rsidRPr="00F41D0E">
        <w:rPr>
          <w:lang w:eastAsia="en-US"/>
        </w:rPr>
        <w:t>Full set of vital signs (refer to CHS Procedure Vital Signs &amp; Early Warning Scores).</w:t>
      </w:r>
    </w:p>
    <w:p w14:paraId="3FE22535" w14:textId="77777777" w:rsidR="00F41D0E" w:rsidRPr="00F41D0E" w:rsidRDefault="00F41D0E" w:rsidP="00F41D0E">
      <w:pPr>
        <w:pStyle w:val="Bullet"/>
        <w:rPr>
          <w:lang w:eastAsia="en-US"/>
        </w:rPr>
      </w:pPr>
      <w:r w:rsidRPr="00F41D0E">
        <w:rPr>
          <w:lang w:eastAsia="en-US"/>
        </w:rPr>
        <w:t>Measure weight and height, then twice weekly weighs for the remainder of the admission. Plot serial centiles for paediatric CF patients.</w:t>
      </w:r>
    </w:p>
    <w:p w14:paraId="61BA4814" w14:textId="77777777" w:rsidR="00F41D0E" w:rsidRPr="00F41D0E" w:rsidRDefault="00F41D0E" w:rsidP="00F41D0E">
      <w:pPr>
        <w:pStyle w:val="Bullet"/>
        <w:rPr>
          <w:lang w:eastAsia="en-US"/>
        </w:rPr>
      </w:pPr>
      <w:r w:rsidRPr="00F41D0E">
        <w:rPr>
          <w:lang w:eastAsia="en-US"/>
        </w:rPr>
        <w:t>Check Full Blood Count (FBC), Liver Function Test (LFT), Urea, Electrolytes, Creatinine (UEC); Blood Glucose Level (BGL); Blood Cultures and Coagulation profile. Consider whether regular BGL monitoring is required.</w:t>
      </w:r>
    </w:p>
    <w:p w14:paraId="426C21B3" w14:textId="77777777" w:rsidR="00F41D0E" w:rsidRPr="00F41D0E" w:rsidRDefault="00F41D0E" w:rsidP="00F41D0E">
      <w:pPr>
        <w:pStyle w:val="Bullet"/>
        <w:rPr>
          <w:lang w:eastAsia="en-US"/>
        </w:rPr>
      </w:pPr>
      <w:r w:rsidRPr="00F41D0E">
        <w:rPr>
          <w:lang w:eastAsia="en-US"/>
        </w:rPr>
        <w:t xml:space="preserve">Consider most suitable type of intravenous (IV) access if long-term antibiotics will be required or patient likely to be transferred to Hospital </w:t>
      </w:r>
      <w:proofErr w:type="gramStart"/>
      <w:r w:rsidRPr="00F41D0E">
        <w:rPr>
          <w:lang w:eastAsia="en-US"/>
        </w:rPr>
        <w:t>In</w:t>
      </w:r>
      <w:proofErr w:type="gramEnd"/>
      <w:r w:rsidRPr="00F41D0E">
        <w:rPr>
          <w:lang w:eastAsia="en-US"/>
        </w:rPr>
        <w:t xml:space="preserve"> The Home (HITH).</w:t>
      </w:r>
    </w:p>
    <w:p w14:paraId="4955A239" w14:textId="77777777" w:rsidR="00F41D0E" w:rsidRPr="00F41D0E" w:rsidRDefault="00F41D0E" w:rsidP="00F41D0E">
      <w:pPr>
        <w:pStyle w:val="Bullet"/>
        <w:rPr>
          <w:lang w:eastAsia="en-US"/>
        </w:rPr>
      </w:pPr>
      <w:r w:rsidRPr="00F41D0E">
        <w:rPr>
          <w:lang w:eastAsia="en-US"/>
        </w:rPr>
        <w:t>Once the patient is stable check Vitamins A, D &amp; E, Immunoglobulin E, Aspergillus precipitins.</w:t>
      </w:r>
    </w:p>
    <w:p w14:paraId="753D4882" w14:textId="77777777" w:rsidR="00F41D0E" w:rsidRPr="00F41D0E" w:rsidRDefault="00F41D0E" w:rsidP="00F41D0E">
      <w:pPr>
        <w:pStyle w:val="Bullet"/>
        <w:rPr>
          <w:lang w:eastAsia="en-US"/>
        </w:rPr>
      </w:pPr>
      <w:r w:rsidRPr="00F41D0E">
        <w:rPr>
          <w:lang w:eastAsia="en-US"/>
        </w:rPr>
        <w:t>Sputum Microscopy Culture Sensitivity (MCS) or Cough Swab (for patients who cannot produce a sputum specimen) – obtain recent results for comparison. Include ‘Cystic Fibrosis’ in the patient history section of pathology requests.</w:t>
      </w:r>
    </w:p>
    <w:p w14:paraId="4B13A155" w14:textId="77777777" w:rsidR="00F41D0E" w:rsidRPr="00F41D0E" w:rsidRDefault="00F41D0E" w:rsidP="00F41D0E">
      <w:pPr>
        <w:pStyle w:val="Bullet"/>
        <w:rPr>
          <w:lang w:eastAsia="en-US"/>
        </w:rPr>
      </w:pPr>
      <w:r w:rsidRPr="00F41D0E">
        <w:rPr>
          <w:lang w:eastAsia="en-US"/>
        </w:rPr>
        <w:t>Paediatric patients - viral nasopharyngeal aspirate (NPA) or swab for extended respiratory panel.</w:t>
      </w:r>
    </w:p>
    <w:p w14:paraId="4B210854" w14:textId="77777777" w:rsidR="00F41D0E" w:rsidRPr="00F41D0E" w:rsidRDefault="00F41D0E" w:rsidP="00F41D0E">
      <w:pPr>
        <w:pStyle w:val="Bullet"/>
        <w:rPr>
          <w:lang w:eastAsia="en-US"/>
        </w:rPr>
      </w:pPr>
      <w:r w:rsidRPr="00F41D0E">
        <w:rPr>
          <w:lang w:eastAsia="en-US"/>
        </w:rPr>
        <w:t>Chest X-ray if there are new symptoms or an X-ray has not been performed in the last 12 months.</w:t>
      </w:r>
    </w:p>
    <w:p w14:paraId="4D495F2C" w14:textId="77777777" w:rsidR="00F41D0E" w:rsidRPr="00F41D0E" w:rsidRDefault="00F41D0E" w:rsidP="00F41D0E">
      <w:pPr>
        <w:pStyle w:val="Bullet"/>
        <w:rPr>
          <w:lang w:eastAsia="en-US"/>
        </w:rPr>
      </w:pPr>
      <w:r w:rsidRPr="00F41D0E">
        <w:rPr>
          <w:lang w:eastAsia="en-US"/>
        </w:rPr>
        <w:t>Request Lung Function Testing for Day 1, Day 6-7 and Day 10-14 of admission (depending on availability of Respiratory Lab).</w:t>
      </w:r>
    </w:p>
    <w:p w14:paraId="12D500F7" w14:textId="77777777" w:rsidR="00F41D0E" w:rsidRPr="00F41D0E" w:rsidRDefault="00F41D0E" w:rsidP="00F41D0E">
      <w:pPr>
        <w:pStyle w:val="Bullet"/>
        <w:rPr>
          <w:lang w:eastAsia="en-US"/>
        </w:rPr>
      </w:pPr>
      <w:r w:rsidRPr="00F41D0E">
        <w:rPr>
          <w:lang w:eastAsia="en-US"/>
        </w:rPr>
        <w:t>For patients presenting with constipation or vomiting, consider Distal Intestinal Obstructive Syndrome (DIOS).</w:t>
      </w:r>
    </w:p>
    <w:p w14:paraId="1092BF60" w14:textId="77777777" w:rsidR="00F41D0E" w:rsidRPr="00F41D0E" w:rsidRDefault="00F41D0E" w:rsidP="00F41D0E">
      <w:pPr>
        <w:pStyle w:val="Bullet"/>
        <w:rPr>
          <w:lang w:eastAsia="en-US"/>
        </w:rPr>
      </w:pPr>
      <w:r w:rsidRPr="00F41D0E">
        <w:rPr>
          <w:lang w:eastAsia="en-US"/>
        </w:rPr>
        <w:t xml:space="preserve">Create referral to Nutrition Department in the Digital Health Record (DHR) to enable Dietitian assessment, appropriate menus, nourishing mid-meal extras and salt supplementation to be implemented, and enteral nutrition support if required </w:t>
      </w:r>
    </w:p>
    <w:p w14:paraId="68C48FD4" w14:textId="77777777" w:rsidR="00F41D0E" w:rsidRPr="00F41D0E" w:rsidRDefault="00F41D0E" w:rsidP="00F41D0E">
      <w:pPr>
        <w:pStyle w:val="Bullet"/>
        <w:rPr>
          <w:lang w:eastAsia="en-US"/>
        </w:rPr>
      </w:pPr>
      <w:r w:rsidRPr="00F41D0E">
        <w:rPr>
          <w:lang w:eastAsia="en-US"/>
        </w:rPr>
        <w:t xml:space="preserve">Create referral to Physiotherapy in DHR and page relevant ward physiotherapist.  </w:t>
      </w:r>
    </w:p>
    <w:p w14:paraId="57CE9C91" w14:textId="77777777" w:rsidR="00F41D0E" w:rsidRPr="00F41D0E" w:rsidRDefault="00F41D0E" w:rsidP="00F41D0E">
      <w:pPr>
        <w:pStyle w:val="Bullet"/>
        <w:rPr>
          <w:lang w:eastAsia="en-US"/>
        </w:rPr>
      </w:pPr>
      <w:r w:rsidRPr="00F41D0E">
        <w:rPr>
          <w:lang w:eastAsia="en-US"/>
        </w:rPr>
        <w:t xml:space="preserve">Create referrals in DHR or inform by phone (as relevant) the CF treating team, respiratory physician, paediatrician, social worker, psychologist, pharmacist and paediatric/adult CF Nurse of admission. For children admitted during business hours (Monday – Friday 0830-1700), the paediatric CF Nurse may assist with referrals. </w:t>
      </w:r>
    </w:p>
    <w:p w14:paraId="30836E3E" w14:textId="77777777" w:rsidR="00F41D0E" w:rsidRDefault="00F41D0E" w:rsidP="00F41D0E">
      <w:pPr>
        <w:pStyle w:val="Bullet"/>
        <w:rPr>
          <w:lang w:eastAsia="en-US"/>
        </w:rPr>
      </w:pPr>
      <w:r w:rsidRPr="00F41D0E">
        <w:rPr>
          <w:lang w:eastAsia="en-US"/>
        </w:rPr>
        <w:t xml:space="preserve">Consider contacting the endocrine team, the gastroenterologist, and/or genetics team for input/management. </w:t>
      </w:r>
    </w:p>
    <w:p w14:paraId="39A426C5" w14:textId="68F03284" w:rsidR="00051E12" w:rsidRDefault="00F41D0E" w:rsidP="00051E12">
      <w:pPr>
        <w:pStyle w:val="Bullet"/>
      </w:pPr>
      <w:r w:rsidRPr="00051E12">
        <w:t>Patients with CF should have their condition documented in the Infection Status of their DHR journey board. If the Infection Status is not updated, or if the patient is newly</w:t>
      </w:r>
      <w:bookmarkEnd w:id="10"/>
      <w:r w:rsidR="00051E12" w:rsidRPr="00051E12">
        <w:t xml:space="preserve"> diagnosed, please contact the Infection Prevention and Control Unit to have the digital health record updated.</w:t>
      </w:r>
    </w:p>
    <w:p w14:paraId="73C6F1EF" w14:textId="147CB809" w:rsidR="00051E12" w:rsidRDefault="00051E12" w:rsidP="00051E12">
      <w:pPr>
        <w:pStyle w:val="Heading4"/>
      </w:pPr>
      <w:bookmarkStart w:id="11" w:name="_Toc401927854"/>
      <w:bookmarkStart w:id="12" w:name="_Toc30582183"/>
      <w:bookmarkStart w:id="13" w:name="_Toc175924718"/>
      <w:r w:rsidRPr="00051E12">
        <w:t>1.2 Infection control considerations</w:t>
      </w:r>
      <w:bookmarkEnd w:id="11"/>
      <w:bookmarkEnd w:id="12"/>
      <w:bookmarkEnd w:id="13"/>
    </w:p>
    <w:p w14:paraId="6BDF5811" w14:textId="77777777" w:rsidR="00051E12" w:rsidRPr="00051E12" w:rsidRDefault="00051E12" w:rsidP="00051E12">
      <w:pPr>
        <w:pStyle w:val="Heading5"/>
      </w:pPr>
      <w:r w:rsidRPr="00051E12">
        <w:lastRenderedPageBreak/>
        <w:t>1.2.1 General guidelines for CF patients</w:t>
      </w:r>
    </w:p>
    <w:p w14:paraId="165AF30F" w14:textId="77777777" w:rsidR="00051E12" w:rsidRPr="00051E12" w:rsidRDefault="00051E12" w:rsidP="00051E12">
      <w:pPr>
        <w:pStyle w:val="Bullet"/>
        <w:rPr>
          <w:lang w:eastAsia="en-US"/>
        </w:rPr>
      </w:pPr>
      <w:r w:rsidRPr="00051E12">
        <w:rPr>
          <w:lang w:eastAsia="en-US"/>
        </w:rPr>
        <w:t xml:space="preserve">For adult patients, implement droplet precautions.  </w:t>
      </w:r>
    </w:p>
    <w:p w14:paraId="3A2B4B02" w14:textId="77777777" w:rsidR="00051E12" w:rsidRPr="00051E12" w:rsidRDefault="00051E12" w:rsidP="00051E12">
      <w:pPr>
        <w:pStyle w:val="Bullet"/>
        <w:rPr>
          <w:lang w:eastAsia="en-US"/>
        </w:rPr>
      </w:pPr>
      <w:r w:rsidRPr="00051E12">
        <w:rPr>
          <w:lang w:eastAsia="en-US"/>
        </w:rPr>
        <w:t>For paediatric patients, implement standard precautions.</w:t>
      </w:r>
    </w:p>
    <w:p w14:paraId="29E96D49" w14:textId="77777777" w:rsidR="00051E12" w:rsidRPr="00051E12" w:rsidRDefault="00051E12" w:rsidP="00051E12">
      <w:pPr>
        <w:pStyle w:val="Bullet"/>
        <w:rPr>
          <w:lang w:eastAsia="en-US"/>
        </w:rPr>
      </w:pPr>
      <w:r w:rsidRPr="00051E12">
        <w:rPr>
          <w:lang w:eastAsia="en-US"/>
        </w:rPr>
        <w:t>Surgical masks should be worn by the patient with CF when they are out of their room, to protect them from potential exposure to respiratory pathogens.</w:t>
      </w:r>
    </w:p>
    <w:p w14:paraId="7B125006" w14:textId="77777777" w:rsidR="00051E12" w:rsidRPr="00051E12" w:rsidRDefault="00051E12" w:rsidP="00051E12">
      <w:pPr>
        <w:pStyle w:val="Bullet"/>
        <w:rPr>
          <w:lang w:eastAsia="en-US"/>
        </w:rPr>
      </w:pPr>
      <w:r w:rsidRPr="00051E12">
        <w:rPr>
          <w:lang w:eastAsia="en-US"/>
        </w:rPr>
        <w:t>Encourage the patient to cover their mouth and nose when coughing or sneezing, preferably using a tissue. Encourage the patient to dispose of used tissues immediately after use.</w:t>
      </w:r>
    </w:p>
    <w:p w14:paraId="0894F377" w14:textId="77777777" w:rsidR="00051E12" w:rsidRPr="00051E12" w:rsidRDefault="00051E12" w:rsidP="00051E12">
      <w:pPr>
        <w:pStyle w:val="Bullet"/>
        <w:rPr>
          <w:lang w:eastAsia="en-US"/>
        </w:rPr>
      </w:pPr>
      <w:r w:rsidRPr="00051E12">
        <w:rPr>
          <w:lang w:eastAsia="en-US"/>
        </w:rPr>
        <w:t xml:space="preserve">Encourage and provide the patient with facilities to clean/wash hands frequently, particularly after coughing. </w:t>
      </w:r>
    </w:p>
    <w:p w14:paraId="554CC451" w14:textId="77777777" w:rsidR="00051E12" w:rsidRPr="00051E12" w:rsidRDefault="00051E12" w:rsidP="00051E12">
      <w:pPr>
        <w:pStyle w:val="Bullet"/>
        <w:rPr>
          <w:lang w:eastAsia="en-US"/>
        </w:rPr>
      </w:pPr>
      <w:r w:rsidRPr="00051E12">
        <w:rPr>
          <w:lang w:eastAsia="en-US"/>
        </w:rPr>
        <w:t>Single-use items (devices or equipment), or single patient items should be used wherever practicable, and items designed for single use must not be used for multiple patients.</w:t>
      </w:r>
      <w:r w:rsidRPr="00051E12" w:rsidDel="00085759">
        <w:rPr>
          <w:lang w:eastAsia="en-US"/>
        </w:rPr>
        <w:t xml:space="preserve"> </w:t>
      </w:r>
    </w:p>
    <w:p w14:paraId="7D143814" w14:textId="77777777" w:rsidR="00051E12" w:rsidRPr="00051E12" w:rsidRDefault="00051E12" w:rsidP="00051E12">
      <w:pPr>
        <w:pStyle w:val="Bullet"/>
        <w:rPr>
          <w:lang w:eastAsia="en-US"/>
        </w:rPr>
      </w:pPr>
      <w:r w:rsidRPr="00051E12">
        <w:rPr>
          <w:lang w:eastAsia="en-US"/>
        </w:rPr>
        <w:t>Ensure the patient’s hospital room is cleaned each day as environmental contamination is an identified risk factor for respiratory colonisation.</w:t>
      </w:r>
    </w:p>
    <w:p w14:paraId="0BC2B43C" w14:textId="77777777" w:rsidR="00051E12" w:rsidRPr="00AB4FF1" w:rsidRDefault="00051E12" w:rsidP="00051E12">
      <w:pPr>
        <w:pStyle w:val="BodyCopy"/>
      </w:pPr>
      <w:r w:rsidRPr="00AB4FF1">
        <w:t>Staff should refer to the Infection Prevention and Control Procedure on the CHS Policy Register.</w:t>
      </w:r>
    </w:p>
    <w:p w14:paraId="693BF9BD" w14:textId="77777777" w:rsidR="00051E12" w:rsidRPr="00051E12" w:rsidRDefault="00051E12" w:rsidP="00051E12">
      <w:pPr>
        <w:pStyle w:val="Heading5"/>
      </w:pPr>
      <w:r w:rsidRPr="00051E12">
        <w:t>1.2.2 Management of patients with specific infections</w:t>
      </w:r>
    </w:p>
    <w:p w14:paraId="0734B00F" w14:textId="5F2C4F47" w:rsidR="00051E12" w:rsidRPr="00051E12" w:rsidRDefault="00051E12" w:rsidP="00051E12">
      <w:pPr>
        <w:pStyle w:val="BodyCopy"/>
        <w:rPr>
          <w:b/>
          <w:lang w:eastAsia="en-US"/>
        </w:rPr>
      </w:pPr>
      <w:r w:rsidRPr="00051E12">
        <w:rPr>
          <w:b/>
          <w:lang w:eastAsia="en-US"/>
        </w:rPr>
        <w:t xml:space="preserve">Multi-resistant organisms (MROs) including </w:t>
      </w:r>
      <w:r w:rsidRPr="00051E12">
        <w:rPr>
          <w:b/>
          <w:i/>
          <w:lang w:eastAsia="en-US"/>
        </w:rPr>
        <w:t>MRSA, multi resistant Pseudomonas</w:t>
      </w:r>
      <w:r w:rsidRPr="00051E12">
        <w:rPr>
          <w:b/>
          <w:lang w:eastAsia="en-US"/>
        </w:rPr>
        <w:t xml:space="preserve"> </w:t>
      </w:r>
      <w:r w:rsidRPr="00051E12">
        <w:t xml:space="preserve">MROs can be spread from person to person, from contact with contaminated equipment or the environment. </w:t>
      </w:r>
    </w:p>
    <w:p w14:paraId="055155DA" w14:textId="77777777" w:rsidR="00051E12" w:rsidRPr="00051E12" w:rsidRDefault="00051E12" w:rsidP="00051E12">
      <w:pPr>
        <w:pStyle w:val="BodyCopy"/>
        <w:rPr>
          <w:lang w:eastAsia="en-US"/>
        </w:rPr>
      </w:pPr>
      <w:r w:rsidRPr="00051E12">
        <w:t>The following requirements apply to patients known to, or are suspected of having</w:t>
      </w:r>
      <w:r w:rsidRPr="00051E12">
        <w:rPr>
          <w:lang w:eastAsia="en-US"/>
        </w:rPr>
        <w:t xml:space="preserve"> an MRO: </w:t>
      </w:r>
    </w:p>
    <w:p w14:paraId="2B1F5CCA" w14:textId="77777777" w:rsidR="00051E12" w:rsidRPr="00051E12" w:rsidRDefault="00051E12" w:rsidP="00051E12">
      <w:pPr>
        <w:pStyle w:val="Bullet"/>
        <w:rPr>
          <w:lang w:eastAsia="en-US"/>
        </w:rPr>
      </w:pPr>
      <w:r w:rsidRPr="00051E12">
        <w:rPr>
          <w:lang w:eastAsia="en-US"/>
        </w:rPr>
        <w:t xml:space="preserve">Patients must be placed on contact precautions in a single room with dedicated bathroom facilities and, where possible, dedicated equipment. If dedicated equipment is not available, refer to the </w:t>
      </w:r>
      <w:bookmarkStart w:id="14" w:name="_Hlk172110667"/>
      <w:r w:rsidRPr="00051E12">
        <w:rPr>
          <w:lang w:eastAsia="en-US"/>
        </w:rPr>
        <w:t xml:space="preserve">Infection Control - Cleaning (Shared) patient equipment guideline </w:t>
      </w:r>
      <w:bookmarkEnd w:id="14"/>
      <w:r w:rsidRPr="00051E12">
        <w:rPr>
          <w:lang w:eastAsia="en-US"/>
        </w:rPr>
        <w:t>on the CHS policy register.</w:t>
      </w:r>
    </w:p>
    <w:p w14:paraId="6D377D22" w14:textId="77777777" w:rsidR="00051E12" w:rsidRPr="00051E12" w:rsidRDefault="00051E12" w:rsidP="00051E12">
      <w:pPr>
        <w:pStyle w:val="Bullet"/>
        <w:rPr>
          <w:lang w:eastAsia="en-US"/>
        </w:rPr>
      </w:pPr>
      <w:r w:rsidRPr="00051E12">
        <w:rPr>
          <w:lang w:eastAsia="en-US"/>
        </w:rPr>
        <w:t>If the MRO is in the patient’s sputum, healthcare workers are required to wear a surgical mask when attending to the patient.</w:t>
      </w:r>
    </w:p>
    <w:p w14:paraId="04C873B2" w14:textId="77777777" w:rsidR="00051E12" w:rsidRPr="00051E12" w:rsidRDefault="00051E12" w:rsidP="00051E12">
      <w:pPr>
        <w:pStyle w:val="Bullet"/>
        <w:rPr>
          <w:lang w:eastAsia="en-US"/>
        </w:rPr>
      </w:pPr>
      <w:r w:rsidRPr="00051E12">
        <w:rPr>
          <w:lang w:eastAsia="en-US"/>
        </w:rPr>
        <w:t xml:space="preserve">The patient should be encouraged to stay within their room. </w:t>
      </w:r>
    </w:p>
    <w:p w14:paraId="190B2E56" w14:textId="77777777" w:rsidR="00051E12" w:rsidRPr="00051E12" w:rsidRDefault="00051E12" w:rsidP="00051E12">
      <w:pPr>
        <w:pStyle w:val="Bullet"/>
        <w:rPr>
          <w:lang w:eastAsia="en-US"/>
        </w:rPr>
      </w:pPr>
      <w:r w:rsidRPr="00051E12">
        <w:rPr>
          <w:lang w:eastAsia="en-US"/>
        </w:rPr>
        <w:t xml:space="preserve">Patients with CF that have an MRO in their sputum and a productive cough </w:t>
      </w:r>
      <w:r w:rsidRPr="00051E12">
        <w:rPr>
          <w:b/>
          <w:lang w:eastAsia="en-US"/>
        </w:rPr>
        <w:t xml:space="preserve">must </w:t>
      </w:r>
      <w:r w:rsidRPr="00051E12">
        <w:rPr>
          <w:lang w:eastAsia="en-US"/>
        </w:rPr>
        <w:t>wear a surgical mask when out of their room.</w:t>
      </w:r>
    </w:p>
    <w:p w14:paraId="5CFD5555" w14:textId="77777777" w:rsidR="00051E12" w:rsidRPr="00051E12" w:rsidRDefault="00051E12" w:rsidP="00051E12">
      <w:pPr>
        <w:pStyle w:val="Bullet"/>
        <w:rPr>
          <w:lang w:eastAsia="en-US"/>
        </w:rPr>
      </w:pPr>
      <w:r w:rsidRPr="00051E12">
        <w:rPr>
          <w:lang w:eastAsia="en-US"/>
        </w:rPr>
        <w:t xml:space="preserve">Patients unable to effectively manage their respiratory secretion </w:t>
      </w:r>
      <w:r w:rsidRPr="00051E12">
        <w:rPr>
          <w:b/>
          <w:lang w:eastAsia="en-US"/>
        </w:rPr>
        <w:t>must</w:t>
      </w:r>
      <w:r w:rsidRPr="00051E12">
        <w:rPr>
          <w:lang w:eastAsia="en-US"/>
        </w:rPr>
        <w:t xml:space="preserve"> remain within their rooms.</w:t>
      </w:r>
    </w:p>
    <w:p w14:paraId="7DBF91A4" w14:textId="77777777" w:rsidR="00051E12" w:rsidRPr="00051E12" w:rsidRDefault="00051E12" w:rsidP="00051E12">
      <w:pPr>
        <w:pStyle w:val="Bullet"/>
        <w:rPr>
          <w:lang w:eastAsia="en-US"/>
        </w:rPr>
      </w:pPr>
      <w:r w:rsidRPr="00051E12">
        <w:rPr>
          <w:lang w:eastAsia="en-US"/>
        </w:rPr>
        <w:t xml:space="preserve">Patients with an MRO should not socialise with patients with CF without an MRO. </w:t>
      </w:r>
    </w:p>
    <w:p w14:paraId="394332C5" w14:textId="77777777" w:rsidR="00051E12" w:rsidRPr="00051E12" w:rsidRDefault="00051E12" w:rsidP="00051E12">
      <w:pPr>
        <w:pStyle w:val="Bullet"/>
        <w:rPr>
          <w:lang w:eastAsia="en-US"/>
        </w:rPr>
      </w:pPr>
      <w:r w:rsidRPr="00051E12">
        <w:rPr>
          <w:lang w:eastAsia="en-US"/>
        </w:rPr>
        <w:t xml:space="preserve">If a patient with an MRO has appointments in other areas of the hospital e.g. respiratory laboratory, the receiving area must be pre-warned to avoid inadvertent contact with other susceptible patients. </w:t>
      </w:r>
    </w:p>
    <w:p w14:paraId="61FF8283" w14:textId="77777777" w:rsidR="00051E12" w:rsidRPr="00051E12" w:rsidRDefault="00051E12" w:rsidP="00051E12">
      <w:pPr>
        <w:pStyle w:val="Bullet"/>
        <w:rPr>
          <w:lang w:eastAsia="en-US"/>
        </w:rPr>
      </w:pPr>
      <w:r w:rsidRPr="00051E12">
        <w:rPr>
          <w:lang w:eastAsia="en-US"/>
        </w:rPr>
        <w:t>The patient’s room must be cleaned daily.</w:t>
      </w:r>
    </w:p>
    <w:p w14:paraId="2A317AF7" w14:textId="223EB85A" w:rsidR="00051E12" w:rsidRPr="00051E12" w:rsidRDefault="00051E12" w:rsidP="00051E12">
      <w:pPr>
        <w:pStyle w:val="Bullet"/>
        <w:rPr>
          <w:lang w:eastAsia="en-US"/>
        </w:rPr>
      </w:pPr>
      <w:r w:rsidRPr="00051E12">
        <w:rPr>
          <w:lang w:eastAsia="en-US"/>
        </w:rPr>
        <w:lastRenderedPageBreak/>
        <w:t>On discharge provide the patient with surgical masks to wear when attending the outpatient clinic.</w:t>
      </w:r>
    </w:p>
    <w:p w14:paraId="533B3810" w14:textId="77777777" w:rsidR="00051E12" w:rsidRPr="00051E12" w:rsidRDefault="00051E12" w:rsidP="00051E12">
      <w:pPr>
        <w:pStyle w:val="Bullet"/>
        <w:numPr>
          <w:ilvl w:val="0"/>
          <w:numId w:val="0"/>
        </w:numPr>
        <w:rPr>
          <w:b/>
          <w:bCs/>
        </w:rPr>
      </w:pPr>
    </w:p>
    <w:p w14:paraId="562942B3" w14:textId="48FAA93C" w:rsidR="00051E12" w:rsidRPr="00051E12" w:rsidRDefault="00051E12" w:rsidP="00051E12">
      <w:pPr>
        <w:pStyle w:val="Bullet"/>
        <w:numPr>
          <w:ilvl w:val="0"/>
          <w:numId w:val="0"/>
        </w:numPr>
        <w:rPr>
          <w:b/>
          <w:bCs/>
        </w:rPr>
      </w:pPr>
      <w:r w:rsidRPr="00051E12">
        <w:rPr>
          <w:b/>
          <w:bCs/>
        </w:rPr>
        <w:t>Paediatric specific requirements:</w:t>
      </w:r>
    </w:p>
    <w:p w14:paraId="487025B7" w14:textId="77777777" w:rsidR="00051E12" w:rsidRPr="00051E12" w:rsidRDefault="00051E12" w:rsidP="00051E12">
      <w:pPr>
        <w:pStyle w:val="Bullet"/>
      </w:pPr>
      <w:r w:rsidRPr="00051E12">
        <w:t>Children with CF should be discouraged from socialising with other children with CF.</w:t>
      </w:r>
    </w:p>
    <w:p w14:paraId="1163BB85" w14:textId="77777777" w:rsidR="00051E12" w:rsidRPr="00051E12" w:rsidRDefault="00051E12" w:rsidP="00051E12">
      <w:pPr>
        <w:pStyle w:val="Bullet"/>
      </w:pPr>
      <w:r w:rsidRPr="00051E12">
        <w:t xml:space="preserve">If two children with CF are admitted to hospital at the same time, they should be cared for on different wards. </w:t>
      </w:r>
    </w:p>
    <w:p w14:paraId="3A1D8F38" w14:textId="77777777" w:rsidR="00051E12" w:rsidRPr="00051E12" w:rsidRDefault="00051E12" w:rsidP="00051E12">
      <w:pPr>
        <w:pStyle w:val="Bullet"/>
      </w:pPr>
      <w:r w:rsidRPr="00051E12">
        <w:t>Children with CF and an MRO should not mix with other children with CF, including in the school room and playroom.</w:t>
      </w:r>
    </w:p>
    <w:p w14:paraId="1B0C3023" w14:textId="77777777" w:rsidR="00051E12" w:rsidRPr="00051E12" w:rsidRDefault="00051E12" w:rsidP="00051E12">
      <w:pPr>
        <w:pStyle w:val="Bullet"/>
      </w:pPr>
      <w:r w:rsidRPr="00051E12">
        <w:t>Paediatric patients preferably should not play with toys in the hospital playroom. Where possible hospital toys should be limited and toys that are used must be appropriately cleaned after use. Best practice is for the patient’s own toys to be brought in from home and kept in their room.</w:t>
      </w:r>
    </w:p>
    <w:p w14:paraId="3D9F6B8F" w14:textId="77777777" w:rsidR="00051E12" w:rsidRPr="00051E12" w:rsidRDefault="00051E12" w:rsidP="00051E12">
      <w:pPr>
        <w:pStyle w:val="Bullet"/>
      </w:pPr>
      <w:r w:rsidRPr="00051E12">
        <w:t xml:space="preserve">If a paediatric patient with an MRO attends the hospital school, it is important that they are placed in a defined area away from other children. The hospital school area must be well cleaned after the attendance by a patient with an MRO. School resources should not be shared and should be appropriately cleaned after use. </w:t>
      </w:r>
    </w:p>
    <w:p w14:paraId="27EE134F" w14:textId="77777777" w:rsidR="00051E12" w:rsidRPr="00051E12" w:rsidRDefault="00051E12" w:rsidP="00051E12">
      <w:pPr>
        <w:pStyle w:val="Bullet"/>
      </w:pPr>
      <w:r w:rsidRPr="00051E12">
        <w:t>Only one patient with an MRO can attend the hospital school at any one time.</w:t>
      </w:r>
    </w:p>
    <w:p w14:paraId="736786AD" w14:textId="77777777" w:rsidR="00051E12" w:rsidRPr="00051E12" w:rsidRDefault="00051E12" w:rsidP="00051E12">
      <w:pPr>
        <w:pStyle w:val="Bullet"/>
      </w:pPr>
      <w:r w:rsidRPr="00051E12">
        <w:t>Adolescents with an MRO may need to be allocated time in the activities room when no other patients are allowed to use the room.</w:t>
      </w:r>
    </w:p>
    <w:p w14:paraId="03D6E56E" w14:textId="77777777" w:rsidR="00051E12" w:rsidRPr="00AB4FF1" w:rsidRDefault="00051E12" w:rsidP="00051E12">
      <w:pPr>
        <w:pStyle w:val="BodyCopy"/>
      </w:pPr>
      <w:r>
        <w:t xml:space="preserve">Refer to the </w:t>
      </w:r>
      <w:bookmarkStart w:id="15" w:name="_Hlk172110688"/>
      <w:r>
        <w:t xml:space="preserve">Specific Patient Groups, Services and Spaces in the Infection Prevention and Control Procedure, </w:t>
      </w:r>
      <w:bookmarkEnd w:id="15"/>
      <w:r>
        <w:t>available on the CHS Policy Register.</w:t>
      </w:r>
    </w:p>
    <w:p w14:paraId="37ED6532" w14:textId="510B8DCA" w:rsidR="00051E12" w:rsidRDefault="00051E12" w:rsidP="00051E12">
      <w:pPr>
        <w:pStyle w:val="BodyCopy"/>
        <w:spacing w:after="0"/>
        <w:rPr>
          <w:b/>
          <w:bCs w:val="0"/>
        </w:rPr>
      </w:pPr>
      <w:proofErr w:type="spellStart"/>
      <w:r w:rsidRPr="00051E12">
        <w:rPr>
          <w:b/>
          <w:bCs w:val="0"/>
        </w:rPr>
        <w:t>Burkholderia</w:t>
      </w:r>
      <w:proofErr w:type="spellEnd"/>
      <w:r w:rsidRPr="00051E12">
        <w:rPr>
          <w:b/>
          <w:bCs w:val="0"/>
        </w:rPr>
        <w:t xml:space="preserve"> </w:t>
      </w:r>
      <w:proofErr w:type="spellStart"/>
      <w:r w:rsidRPr="00051E12">
        <w:rPr>
          <w:b/>
          <w:bCs w:val="0"/>
        </w:rPr>
        <w:t>cepacia</w:t>
      </w:r>
      <w:proofErr w:type="spellEnd"/>
      <w:r w:rsidRPr="00051E12">
        <w:rPr>
          <w:b/>
          <w:bCs w:val="0"/>
        </w:rPr>
        <w:t xml:space="preserve"> </w:t>
      </w:r>
    </w:p>
    <w:p w14:paraId="75E4B00C" w14:textId="03D5B0D4" w:rsidR="00051E12" w:rsidRPr="00051E12" w:rsidRDefault="00051E12" w:rsidP="00051E12">
      <w:pPr>
        <w:pStyle w:val="BodyCopy"/>
        <w:spacing w:after="0"/>
        <w:rPr>
          <w:b/>
          <w:bCs w:val="0"/>
        </w:rPr>
      </w:pPr>
      <w:proofErr w:type="spellStart"/>
      <w:r w:rsidRPr="00051E12">
        <w:rPr>
          <w:i/>
        </w:rPr>
        <w:t>Burkholderia</w:t>
      </w:r>
      <w:proofErr w:type="spellEnd"/>
      <w:r w:rsidRPr="00051E12">
        <w:rPr>
          <w:i/>
        </w:rPr>
        <w:t xml:space="preserve"> </w:t>
      </w:r>
      <w:proofErr w:type="spellStart"/>
      <w:r w:rsidRPr="00051E12">
        <w:rPr>
          <w:i/>
        </w:rPr>
        <w:t>cepacia</w:t>
      </w:r>
      <w:proofErr w:type="spellEnd"/>
      <w:r w:rsidRPr="00051E12">
        <w:t> complex (</w:t>
      </w:r>
      <w:r w:rsidRPr="00051E12">
        <w:rPr>
          <w:i/>
        </w:rPr>
        <w:t xml:space="preserve">B. </w:t>
      </w:r>
      <w:proofErr w:type="spellStart"/>
      <w:r w:rsidRPr="00051E12">
        <w:rPr>
          <w:i/>
        </w:rPr>
        <w:t>cepacia</w:t>
      </w:r>
      <w:proofErr w:type="spellEnd"/>
      <w:r w:rsidRPr="00051E12">
        <w:t xml:space="preserve">) are a group of bacteria, found in the natural environment, that may pose serious health risks to a person with CF. Clinical outcomes in patients identified with </w:t>
      </w:r>
      <w:r w:rsidRPr="00051E12">
        <w:rPr>
          <w:i/>
        </w:rPr>
        <w:t xml:space="preserve">B. </w:t>
      </w:r>
      <w:proofErr w:type="spellStart"/>
      <w:r w:rsidRPr="00051E12">
        <w:rPr>
          <w:i/>
        </w:rPr>
        <w:t>cepacia</w:t>
      </w:r>
      <w:proofErr w:type="spellEnd"/>
      <w:r w:rsidRPr="00051E12">
        <w:t xml:space="preserve"> varies however in some it is associated with accelerated decline in lung function and increased morbidity. </w:t>
      </w:r>
      <w:proofErr w:type="spellStart"/>
      <w:r w:rsidRPr="00051E12">
        <w:rPr>
          <w:i/>
        </w:rPr>
        <w:t>Burkholderia</w:t>
      </w:r>
      <w:proofErr w:type="spellEnd"/>
      <w:r w:rsidRPr="00051E12">
        <w:rPr>
          <w:i/>
        </w:rPr>
        <w:t xml:space="preserve"> </w:t>
      </w:r>
      <w:r w:rsidRPr="00051E12">
        <w:t xml:space="preserve">are often resistant to many antibiotics, making therapeutic management challenging. These bacteria pose very little medical risk to healthy people.  </w:t>
      </w:r>
    </w:p>
    <w:p w14:paraId="692A49B3" w14:textId="77777777" w:rsidR="00051E12" w:rsidRPr="00051E12" w:rsidRDefault="00051E12" w:rsidP="00051E12">
      <w:pPr>
        <w:pStyle w:val="BodyCopy"/>
        <w:rPr>
          <w:vertAlign w:val="superscript"/>
        </w:rPr>
      </w:pPr>
      <w:r w:rsidRPr="00051E12">
        <w:t xml:space="preserve">The following requirements apply to patients known to or suspected of having </w:t>
      </w:r>
      <w:r w:rsidRPr="00051E12">
        <w:rPr>
          <w:i/>
        </w:rPr>
        <w:t>Burkholderia</w:t>
      </w:r>
      <w:r w:rsidRPr="00051E12">
        <w:t>:</w:t>
      </w:r>
      <w:r w:rsidRPr="00051E12">
        <w:rPr>
          <w:vertAlign w:val="superscript"/>
        </w:rPr>
        <w:t>2</w:t>
      </w:r>
    </w:p>
    <w:p w14:paraId="17F364CB" w14:textId="77777777" w:rsidR="00051E12" w:rsidRPr="00051E12" w:rsidRDefault="00051E12" w:rsidP="00051E12">
      <w:pPr>
        <w:pStyle w:val="Bullet"/>
      </w:pPr>
      <w:r w:rsidRPr="00051E12">
        <w:t xml:space="preserve">Patients must be placed in a single room with dedicated bathroom facilities and have dedicated equipment. </w:t>
      </w:r>
    </w:p>
    <w:p w14:paraId="6F6E911E" w14:textId="77777777" w:rsidR="00051E12" w:rsidRPr="00051E12" w:rsidRDefault="00051E12" w:rsidP="00051E12">
      <w:pPr>
        <w:pStyle w:val="Bullet"/>
      </w:pPr>
      <w:r w:rsidRPr="00051E12">
        <w:t>The patient’s room must be cleaned daily.</w:t>
      </w:r>
    </w:p>
    <w:p w14:paraId="7FC20FC6" w14:textId="77777777" w:rsidR="00051E12" w:rsidRPr="00051E12" w:rsidRDefault="00051E12" w:rsidP="00051E12">
      <w:pPr>
        <w:pStyle w:val="Bullet"/>
      </w:pPr>
      <w:r w:rsidRPr="00051E12">
        <w:t>Patients must wear a surgical mask when out of their room.</w:t>
      </w:r>
    </w:p>
    <w:p w14:paraId="52E42414" w14:textId="77777777" w:rsidR="00051E12" w:rsidRPr="00051E12" w:rsidRDefault="00051E12" w:rsidP="00051E12">
      <w:pPr>
        <w:pStyle w:val="Bullet"/>
      </w:pPr>
      <w:r w:rsidRPr="00051E12">
        <w:t xml:space="preserve">Patients with </w:t>
      </w:r>
      <w:r w:rsidRPr="00051E12">
        <w:rPr>
          <w:i/>
          <w:iCs/>
        </w:rPr>
        <w:t xml:space="preserve">B. </w:t>
      </w:r>
      <w:proofErr w:type="spellStart"/>
      <w:r w:rsidRPr="00051E12">
        <w:rPr>
          <w:i/>
          <w:iCs/>
        </w:rPr>
        <w:t>cepacia</w:t>
      </w:r>
      <w:proofErr w:type="spellEnd"/>
      <w:r w:rsidRPr="00051E12">
        <w:t xml:space="preserve"> must not socialise with other non-</w:t>
      </w:r>
      <w:r w:rsidRPr="00051E12">
        <w:rPr>
          <w:i/>
          <w:iCs/>
        </w:rPr>
        <w:t xml:space="preserve">B. </w:t>
      </w:r>
      <w:proofErr w:type="spellStart"/>
      <w:r w:rsidRPr="00051E12">
        <w:rPr>
          <w:i/>
          <w:iCs/>
        </w:rPr>
        <w:t>cepacia</w:t>
      </w:r>
      <w:proofErr w:type="spellEnd"/>
      <w:r w:rsidRPr="00051E12">
        <w:t xml:space="preserve"> patients with CF. </w:t>
      </w:r>
    </w:p>
    <w:p w14:paraId="1548E491" w14:textId="77777777" w:rsidR="00051E12" w:rsidRPr="00051E12" w:rsidRDefault="00051E12" w:rsidP="00051E12">
      <w:pPr>
        <w:pStyle w:val="Bullet"/>
      </w:pPr>
      <w:r w:rsidRPr="00051E12">
        <w:t xml:space="preserve">If a patient with </w:t>
      </w:r>
      <w:r w:rsidRPr="00051E12">
        <w:rPr>
          <w:i/>
        </w:rPr>
        <w:t xml:space="preserve">B. </w:t>
      </w:r>
      <w:proofErr w:type="spellStart"/>
      <w:r w:rsidRPr="00051E12">
        <w:rPr>
          <w:i/>
        </w:rPr>
        <w:t>cepacia</w:t>
      </w:r>
      <w:proofErr w:type="spellEnd"/>
      <w:r w:rsidRPr="00051E12">
        <w:t xml:space="preserve"> has appointments in other areas of the hospital e.g. respiratory laboratory, the receiving area must be pre-warned to avoid inadvertent contact with other susceptible patients. </w:t>
      </w:r>
    </w:p>
    <w:p w14:paraId="2875453A" w14:textId="77777777" w:rsidR="00051E12" w:rsidRPr="00051E12" w:rsidRDefault="00051E12" w:rsidP="00051E12">
      <w:pPr>
        <w:pStyle w:val="Bullet"/>
      </w:pPr>
      <w:r w:rsidRPr="00051E12">
        <w:lastRenderedPageBreak/>
        <w:t>On discharge, provide the patient with surgical masks to wear when attending the outpatient clinic.</w:t>
      </w:r>
    </w:p>
    <w:p w14:paraId="35ED7E8A" w14:textId="77777777" w:rsidR="00051E12" w:rsidRDefault="00051E12" w:rsidP="00051E12">
      <w:pPr>
        <w:pStyle w:val="Bullet"/>
      </w:pPr>
      <w:r w:rsidRPr="00051E12">
        <w:t xml:space="preserve">To be declared ‘clear’ for </w:t>
      </w:r>
      <w:proofErr w:type="spellStart"/>
      <w:proofErr w:type="gramStart"/>
      <w:r w:rsidRPr="00051E12">
        <w:rPr>
          <w:i/>
          <w:iCs/>
        </w:rPr>
        <w:t>B.cepacia</w:t>
      </w:r>
      <w:proofErr w:type="spellEnd"/>
      <w:proofErr w:type="gramEnd"/>
      <w:r w:rsidRPr="00051E12">
        <w:t xml:space="preserve">, three consecutive negative sputum specimens over a 12 month period are required. </w:t>
      </w:r>
    </w:p>
    <w:p w14:paraId="04869261" w14:textId="77777777" w:rsidR="00051E12" w:rsidRPr="00051E12" w:rsidRDefault="00051E12" w:rsidP="00051E12">
      <w:pPr>
        <w:pStyle w:val="BodyCopy"/>
        <w:spacing w:after="0"/>
        <w:rPr>
          <w:b/>
          <w:bCs w:val="0"/>
        </w:rPr>
      </w:pPr>
      <w:r w:rsidRPr="00051E12">
        <w:rPr>
          <w:b/>
          <w:bCs w:val="0"/>
        </w:rPr>
        <w:t xml:space="preserve">Mycobacterium </w:t>
      </w:r>
      <w:proofErr w:type="spellStart"/>
      <w:r w:rsidRPr="00051E12">
        <w:rPr>
          <w:b/>
          <w:bCs w:val="0"/>
        </w:rPr>
        <w:t>abscessus</w:t>
      </w:r>
      <w:proofErr w:type="spellEnd"/>
      <w:r w:rsidRPr="00051E12">
        <w:rPr>
          <w:b/>
          <w:bCs w:val="0"/>
        </w:rPr>
        <w:t xml:space="preserve"> </w:t>
      </w:r>
    </w:p>
    <w:p w14:paraId="172106CA" w14:textId="77777777" w:rsidR="00051E12" w:rsidRPr="00051E12" w:rsidRDefault="00051E12" w:rsidP="00051E12">
      <w:pPr>
        <w:pStyle w:val="BodyCopy"/>
      </w:pPr>
      <w:r w:rsidRPr="00051E12">
        <w:rPr>
          <w:i/>
        </w:rPr>
        <w:t xml:space="preserve">Mycobacterium </w:t>
      </w:r>
      <w:proofErr w:type="spellStart"/>
      <w:r w:rsidRPr="00051E12">
        <w:rPr>
          <w:i/>
        </w:rPr>
        <w:t>abscessus</w:t>
      </w:r>
      <w:proofErr w:type="spellEnd"/>
      <w:r w:rsidRPr="00051E12">
        <w:t xml:space="preserve"> is a non-tuberculous mycobacterium (NTM) that is increasingly being isolated from the sputum of individuals with CF. It causes progressive lung damage and an accelerated decline in lung function. It is challenging to treat, requiring extended therapy with poorly tolerated combination antibiotics, and is prone to treatment failure.</w:t>
      </w:r>
    </w:p>
    <w:p w14:paraId="690E39AA" w14:textId="77777777" w:rsidR="00051E12" w:rsidRPr="00051E12" w:rsidRDefault="00051E12" w:rsidP="00051E12">
      <w:pPr>
        <w:pStyle w:val="BodyCopy"/>
      </w:pPr>
      <w:r w:rsidRPr="00051E12">
        <w:t>Currently the mode of transmission is not clearly understood, however there is potential for person-to-person transmission and transmission from environmental contamination.</w:t>
      </w:r>
    </w:p>
    <w:p w14:paraId="2DCF4E2B" w14:textId="77777777" w:rsidR="00051E12" w:rsidRPr="00051E12" w:rsidRDefault="00051E12" w:rsidP="00051E12">
      <w:pPr>
        <w:pStyle w:val="BodyCopy"/>
      </w:pPr>
      <w:r w:rsidRPr="00051E12">
        <w:t xml:space="preserve">The following requirements apply to patients known to have, or suspected of having </w:t>
      </w:r>
      <w:r w:rsidRPr="00051E12">
        <w:rPr>
          <w:i/>
        </w:rPr>
        <w:t xml:space="preserve">Mycobacterium </w:t>
      </w:r>
      <w:proofErr w:type="spellStart"/>
      <w:r w:rsidRPr="00051E12">
        <w:rPr>
          <w:i/>
        </w:rPr>
        <w:t>abscessus</w:t>
      </w:r>
      <w:proofErr w:type="spellEnd"/>
      <w:r w:rsidRPr="00051E12">
        <w:t xml:space="preserve">: </w:t>
      </w:r>
    </w:p>
    <w:p w14:paraId="47AD985A" w14:textId="77777777" w:rsidR="00051E12" w:rsidRPr="00051E12" w:rsidRDefault="00051E12" w:rsidP="00051E12">
      <w:pPr>
        <w:pStyle w:val="Bullet"/>
      </w:pPr>
      <w:r w:rsidRPr="00051E12">
        <w:t xml:space="preserve">Patients </w:t>
      </w:r>
      <w:r w:rsidRPr="00051E12">
        <w:rPr>
          <w:b/>
          <w:bCs/>
        </w:rPr>
        <w:t xml:space="preserve">must </w:t>
      </w:r>
      <w:r w:rsidRPr="00051E12">
        <w:t xml:space="preserve">be placed in a single room with dedicated bathroom facilities and dedicated equipment. The door to the patient room should remain closed. Where possible, the patient should be placed in a negative pressure room. </w:t>
      </w:r>
    </w:p>
    <w:p w14:paraId="69BAA217" w14:textId="77777777" w:rsidR="00051E12" w:rsidRPr="00051E12" w:rsidRDefault="00051E12" w:rsidP="00051E12">
      <w:pPr>
        <w:pStyle w:val="Bullet"/>
      </w:pPr>
      <w:r w:rsidRPr="00051E12">
        <w:t>Staff should use gowns and gloves when attending to patient cares and may choose to wear masks. There is currently insufficient evidence to recommend the routine use of masks by healthy staff.</w:t>
      </w:r>
    </w:p>
    <w:p w14:paraId="37E92DB0" w14:textId="77777777" w:rsidR="00051E12" w:rsidRPr="00051E12" w:rsidRDefault="00051E12" w:rsidP="00051E12">
      <w:pPr>
        <w:pStyle w:val="Bullet"/>
      </w:pPr>
      <w:r w:rsidRPr="00051E12">
        <w:t xml:space="preserve">The patient should be encouraged to stay within their room. </w:t>
      </w:r>
    </w:p>
    <w:p w14:paraId="078A90E8" w14:textId="77777777" w:rsidR="00051E12" w:rsidRPr="00051E12" w:rsidRDefault="00051E12" w:rsidP="00051E12">
      <w:pPr>
        <w:pStyle w:val="Bullet"/>
      </w:pPr>
      <w:r w:rsidRPr="00051E12">
        <w:t xml:space="preserve">Patients </w:t>
      </w:r>
      <w:r w:rsidRPr="00051E12">
        <w:rPr>
          <w:b/>
          <w:bCs/>
        </w:rPr>
        <w:t>must</w:t>
      </w:r>
      <w:r w:rsidRPr="00051E12">
        <w:t xml:space="preserve"> wear a surgical mask when out of their room.</w:t>
      </w:r>
    </w:p>
    <w:p w14:paraId="69E5D132" w14:textId="77777777" w:rsidR="00051E12" w:rsidRPr="00051E12" w:rsidRDefault="00051E12" w:rsidP="00051E12">
      <w:pPr>
        <w:pStyle w:val="Bullet"/>
      </w:pPr>
      <w:r w:rsidRPr="00051E12">
        <w:t>Patients unable to effectively manage their respiratory secretion must remain within their rooms.</w:t>
      </w:r>
    </w:p>
    <w:p w14:paraId="30975EDB" w14:textId="77777777" w:rsidR="00051E12" w:rsidRPr="00051E12" w:rsidRDefault="00051E12" w:rsidP="00051E12">
      <w:pPr>
        <w:pStyle w:val="Bullet"/>
        <w:rPr>
          <w:rFonts w:eastAsiaTheme="minorHAnsi"/>
        </w:rPr>
      </w:pPr>
      <w:r w:rsidRPr="00051E12">
        <w:t xml:space="preserve">Patients with M. </w:t>
      </w:r>
      <w:proofErr w:type="spellStart"/>
      <w:r w:rsidRPr="00051E12">
        <w:t>abscessus</w:t>
      </w:r>
      <w:proofErr w:type="spellEnd"/>
      <w:r w:rsidRPr="00051E12">
        <w:t xml:space="preserve"> must be segregated from each other and from all other people with CF. </w:t>
      </w:r>
    </w:p>
    <w:p w14:paraId="3A1EBC6B" w14:textId="77777777" w:rsidR="00051E12" w:rsidRPr="00051E12" w:rsidRDefault="00051E12" w:rsidP="00051E12">
      <w:pPr>
        <w:pStyle w:val="Bullet"/>
        <w:rPr>
          <w:rFonts w:eastAsiaTheme="minorHAnsi"/>
        </w:rPr>
      </w:pPr>
      <w:r w:rsidRPr="00051E12">
        <w:t xml:space="preserve">Airway clearance techniques and any other physiotherapy procedures </w:t>
      </w:r>
      <w:r w:rsidRPr="00051E12">
        <w:rPr>
          <w:b/>
          <w:bCs/>
        </w:rPr>
        <w:t xml:space="preserve">must </w:t>
      </w:r>
      <w:r w:rsidRPr="00051E12">
        <w:t>be carried out in the patient’s own room.</w:t>
      </w:r>
      <w:r w:rsidRPr="00051E12">
        <w:rPr>
          <w:rFonts w:eastAsiaTheme="minorHAnsi"/>
        </w:rPr>
        <w:t xml:space="preserve"> </w:t>
      </w:r>
    </w:p>
    <w:p w14:paraId="482F2BF0" w14:textId="77777777" w:rsidR="00051E12" w:rsidRPr="00051E12" w:rsidRDefault="00051E12" w:rsidP="00051E12">
      <w:pPr>
        <w:pStyle w:val="Bullet"/>
        <w:rPr>
          <w:rFonts w:eastAsiaTheme="minorHAnsi"/>
        </w:rPr>
      </w:pPr>
      <w:r w:rsidRPr="00051E12">
        <w:rPr>
          <w:rFonts w:eastAsiaTheme="minorHAnsi"/>
        </w:rPr>
        <w:t>Exercise should be performed in a patient’s own room with the door closed and any equipment appropriately decontaminated after use. If exercise is performed in a communal area this should be at the end of the day and the equipment and surfaces well cleaned after use.</w:t>
      </w:r>
    </w:p>
    <w:p w14:paraId="54B57293" w14:textId="77777777" w:rsidR="00051E12" w:rsidRPr="00051E12" w:rsidRDefault="00051E12" w:rsidP="00051E12">
      <w:pPr>
        <w:pStyle w:val="Bullet"/>
      </w:pPr>
      <w:r w:rsidRPr="00051E12">
        <w:t xml:space="preserve">If a patient has appointments in other areas of the hospital e.g. respiratory laboratory, radiology, the receiving area must be pre-warned to avoid inadvertent contact with other susceptible patients. </w:t>
      </w:r>
    </w:p>
    <w:p w14:paraId="4FF949D1" w14:textId="77777777" w:rsidR="00051E12" w:rsidRPr="00051E12" w:rsidRDefault="00051E12" w:rsidP="00051E12">
      <w:pPr>
        <w:pStyle w:val="Bullet"/>
      </w:pPr>
      <w:r w:rsidRPr="00051E12">
        <w:t>The patient’s room must be cleaned daily.</w:t>
      </w:r>
    </w:p>
    <w:p w14:paraId="2991BDA7" w14:textId="77777777" w:rsidR="00051E12" w:rsidRPr="00051E12" w:rsidRDefault="00051E12" w:rsidP="00051E12">
      <w:pPr>
        <w:pStyle w:val="Bullet"/>
      </w:pPr>
      <w:r w:rsidRPr="00051E12">
        <w:t xml:space="preserve">On discharge, the patient’s room must be left with the door closed for an hour prior to cleaning to allow for dispersion of possible airborne contamination. </w:t>
      </w:r>
    </w:p>
    <w:p w14:paraId="57258AA1" w14:textId="77777777" w:rsidR="00051E12" w:rsidRPr="00051E12" w:rsidRDefault="00051E12" w:rsidP="00051E12">
      <w:pPr>
        <w:pStyle w:val="Bullet"/>
      </w:pPr>
      <w:r w:rsidRPr="00051E12">
        <w:t>On discharge, provide the patient with surgical masks to wear when attending outpatient clinic appointments.</w:t>
      </w:r>
    </w:p>
    <w:p w14:paraId="5A43DF9E" w14:textId="77777777" w:rsidR="00051E12" w:rsidRDefault="00051E12" w:rsidP="00051E12">
      <w:pPr>
        <w:pStyle w:val="BodyCopy"/>
        <w:spacing w:after="0"/>
        <w:rPr>
          <w:b/>
          <w:bCs w:val="0"/>
        </w:rPr>
      </w:pPr>
      <w:r w:rsidRPr="00051E12">
        <w:rPr>
          <w:b/>
          <w:bCs w:val="0"/>
        </w:rPr>
        <w:lastRenderedPageBreak/>
        <w:t>Pseudomonas aeruginosa (</w:t>
      </w:r>
      <w:proofErr w:type="gramStart"/>
      <w:r w:rsidRPr="00051E12">
        <w:rPr>
          <w:b/>
          <w:bCs w:val="0"/>
        </w:rPr>
        <w:t>non MRO</w:t>
      </w:r>
      <w:proofErr w:type="gramEnd"/>
      <w:r w:rsidRPr="00051E12">
        <w:rPr>
          <w:b/>
          <w:bCs w:val="0"/>
        </w:rPr>
        <w:t>)</w:t>
      </w:r>
    </w:p>
    <w:p w14:paraId="2070764D" w14:textId="3E6C429A" w:rsidR="00051E12" w:rsidRPr="00051E12" w:rsidRDefault="00051E12" w:rsidP="00051E12">
      <w:pPr>
        <w:pStyle w:val="BodyCopy"/>
        <w:rPr>
          <w:b/>
          <w:bCs w:val="0"/>
        </w:rPr>
      </w:pPr>
      <w:r w:rsidRPr="00051E12">
        <w:t xml:space="preserve">To avoid the spread of </w:t>
      </w:r>
      <w:r w:rsidRPr="00666AF5">
        <w:rPr>
          <w:i/>
          <w:iCs w:val="0"/>
        </w:rPr>
        <w:t>P. aeruginosa</w:t>
      </w:r>
      <w:r w:rsidRPr="00051E12">
        <w:t xml:space="preserve">, it is recommended that patients colonised with P. aeruginosa should be separated from other patients with CF who have not acquired the organism.  </w:t>
      </w:r>
    </w:p>
    <w:p w14:paraId="17B7EF78" w14:textId="77777777" w:rsidR="00051E12" w:rsidRPr="00051E12" w:rsidRDefault="00051E12" w:rsidP="00051E12">
      <w:pPr>
        <w:pStyle w:val="BodyCopy"/>
      </w:pPr>
      <w:r w:rsidRPr="00051E12">
        <w:t xml:space="preserve">A patient with CF that has chronic </w:t>
      </w:r>
      <w:r w:rsidRPr="00666AF5">
        <w:rPr>
          <w:i/>
          <w:iCs w:val="0"/>
        </w:rPr>
        <w:t>P. aeruginosa</w:t>
      </w:r>
      <w:r w:rsidRPr="00051E12">
        <w:t xml:space="preserve"> colonisation can attend school but must maintain usual hygiene standards (sit 1m apart, care with coughing, contact). </w:t>
      </w:r>
    </w:p>
    <w:p w14:paraId="400C92B4" w14:textId="77777777" w:rsidR="00051E12" w:rsidRPr="00051E12" w:rsidRDefault="00051E12" w:rsidP="00051E12">
      <w:pPr>
        <w:pStyle w:val="BodyCopy"/>
      </w:pPr>
      <w:r w:rsidRPr="00051E12">
        <w:t>Please note, antibiotic sensitivities are not performed on routine surveillance sputum samples.</w:t>
      </w:r>
    </w:p>
    <w:p w14:paraId="2A0E1786" w14:textId="77777777" w:rsidR="00051E12" w:rsidRPr="00051E12" w:rsidRDefault="00051E12" w:rsidP="00051E12">
      <w:pPr>
        <w:pStyle w:val="BodyCopy"/>
        <w:spacing w:after="0"/>
        <w:rPr>
          <w:b/>
          <w:bCs w:val="0"/>
        </w:rPr>
      </w:pPr>
      <w:bookmarkStart w:id="16" w:name="_Toc175924720"/>
      <w:r w:rsidRPr="00051E12">
        <w:rPr>
          <w:b/>
          <w:bCs w:val="0"/>
        </w:rPr>
        <w:t>Respiratory viruses [Respiratory Syncytial Virus (RSV), parainfluenza, Influenza etc]</w:t>
      </w:r>
      <w:bookmarkEnd w:id="16"/>
      <w:r w:rsidRPr="00051E12">
        <w:rPr>
          <w:b/>
          <w:bCs w:val="0"/>
        </w:rPr>
        <w:t xml:space="preserve"> </w:t>
      </w:r>
    </w:p>
    <w:p w14:paraId="3C07F1F8" w14:textId="77777777" w:rsidR="00051E12" w:rsidRPr="00051E12" w:rsidRDefault="00051E12" w:rsidP="00051E12">
      <w:pPr>
        <w:pStyle w:val="BodyCopy"/>
      </w:pPr>
      <w:r w:rsidRPr="00051E12">
        <w:t xml:space="preserve">Additional droplet precautions are recommended for patients with CF that have symptoms of respiratory viral infections. When respiratory viral infections are suspected or proven, droplet precautions are implemented in addition to standard precautions and include allocation of a single room with dedicated facilities. </w:t>
      </w:r>
    </w:p>
    <w:p w14:paraId="3530D265" w14:textId="77777777" w:rsidR="00051E12" w:rsidRPr="00051E12" w:rsidRDefault="00051E12" w:rsidP="00051E12">
      <w:pPr>
        <w:pStyle w:val="BodyCopy"/>
      </w:pPr>
      <w:r w:rsidRPr="00051E12">
        <w:t xml:space="preserve">The patient </w:t>
      </w:r>
      <w:r w:rsidRPr="00051E12">
        <w:rPr>
          <w:b/>
          <w:bCs w:val="0"/>
        </w:rPr>
        <w:t xml:space="preserve">must </w:t>
      </w:r>
      <w:r w:rsidRPr="00051E12">
        <w:t>remain on droplet precautions until asymptomatic (refer to CHS Procedure ‘</w:t>
      </w:r>
      <w:bookmarkStart w:id="17" w:name="_Hlk172110730"/>
      <w:r w:rsidRPr="00051E12">
        <w:t xml:space="preserve">Acute Respiratory Infection (ARI): Infection control management in adults, paediatrics and neonates’). </w:t>
      </w:r>
      <w:r w:rsidRPr="00051E12" w:rsidDel="003B4D2E">
        <w:t xml:space="preserve"> </w:t>
      </w:r>
      <w:bookmarkEnd w:id="17"/>
    </w:p>
    <w:p w14:paraId="002BF7F6" w14:textId="05532932" w:rsidR="00051E12" w:rsidRPr="00051E12" w:rsidRDefault="00051E12" w:rsidP="00051E12">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051E12">
        <w:rPr>
          <w:b/>
          <w:bCs w:val="0"/>
        </w:rPr>
        <w:t>Note:</w:t>
      </w:r>
      <w:r>
        <w:t xml:space="preserve"> </w:t>
      </w:r>
      <w:r w:rsidRPr="00051E12">
        <w:t xml:space="preserve">For repeat test and clearance requirements refer to </w:t>
      </w:r>
      <w:bookmarkStart w:id="18" w:name="_Hlk172110751"/>
      <w:r w:rsidRPr="00051E12">
        <w:t>Multi-resistant Organism Screening and Clearance in the Infection Prevention and Control Procedure</w:t>
      </w:r>
      <w:bookmarkEnd w:id="18"/>
      <w:r w:rsidRPr="00051E12">
        <w:t>, available on the CHS Policy Register</w:t>
      </w:r>
    </w:p>
    <w:p w14:paraId="3F5CDA47" w14:textId="77777777" w:rsidR="00051E12" w:rsidRPr="00051E12" w:rsidRDefault="00051E12" w:rsidP="00051E12">
      <w:pPr>
        <w:pStyle w:val="Heading5"/>
        <w:rPr>
          <w:vertAlign w:val="superscript"/>
        </w:rPr>
      </w:pPr>
      <w:r w:rsidRPr="00051E12">
        <w:t xml:space="preserve">1.2.3 Management of the patient with an MRO, </w:t>
      </w:r>
      <w:r w:rsidRPr="00051E12">
        <w:rPr>
          <w:i/>
        </w:rPr>
        <w:t xml:space="preserve">B. </w:t>
      </w:r>
      <w:proofErr w:type="spellStart"/>
      <w:r w:rsidRPr="00051E12">
        <w:rPr>
          <w:i/>
        </w:rPr>
        <w:t>cepacia</w:t>
      </w:r>
      <w:proofErr w:type="spellEnd"/>
      <w:r w:rsidRPr="00051E12">
        <w:t xml:space="preserve"> or </w:t>
      </w:r>
      <w:r w:rsidRPr="00051E12">
        <w:rPr>
          <w:i/>
        </w:rPr>
        <w:t xml:space="preserve">Mycobacterium </w:t>
      </w:r>
      <w:proofErr w:type="spellStart"/>
      <w:r w:rsidRPr="00051E12">
        <w:rPr>
          <w:i/>
        </w:rPr>
        <w:t>abscessus</w:t>
      </w:r>
      <w:proofErr w:type="spellEnd"/>
      <w:r w:rsidRPr="00051E12">
        <w:t xml:space="preserve"> in an Outpatient clinic</w:t>
      </w:r>
      <w:r w:rsidRPr="00051E12">
        <w:rPr>
          <w:vertAlign w:val="superscript"/>
        </w:rPr>
        <w:t>2</w:t>
      </w:r>
    </w:p>
    <w:p w14:paraId="01E9240E" w14:textId="77777777" w:rsidR="00051E12" w:rsidRPr="00051E12" w:rsidRDefault="00051E12" w:rsidP="00051E12">
      <w:pPr>
        <w:pStyle w:val="Bullet"/>
      </w:pPr>
      <w:r w:rsidRPr="00051E12">
        <w:t xml:space="preserve">Patients with an MRO, </w:t>
      </w:r>
      <w:r w:rsidRPr="00051E12">
        <w:rPr>
          <w:i/>
        </w:rPr>
        <w:t xml:space="preserve">B. </w:t>
      </w:r>
      <w:proofErr w:type="spellStart"/>
      <w:r w:rsidRPr="00051E12">
        <w:rPr>
          <w:i/>
        </w:rPr>
        <w:t>cepacia</w:t>
      </w:r>
      <w:proofErr w:type="spellEnd"/>
      <w:r w:rsidRPr="00051E12">
        <w:t xml:space="preserve"> or </w:t>
      </w:r>
      <w:r w:rsidRPr="00051E12">
        <w:rPr>
          <w:i/>
        </w:rPr>
        <w:t xml:space="preserve">Mycobacterium </w:t>
      </w:r>
      <w:proofErr w:type="spellStart"/>
      <w:r w:rsidRPr="00051E12">
        <w:rPr>
          <w:i/>
        </w:rPr>
        <w:t>abscessus</w:t>
      </w:r>
      <w:proofErr w:type="spellEnd"/>
      <w:r w:rsidRPr="00051E12">
        <w:t xml:space="preserve"> who need to attend specific CF outpatient clinics should not mix with other clinic patients. </w:t>
      </w:r>
    </w:p>
    <w:p w14:paraId="6818DACA" w14:textId="77777777" w:rsidR="00051E12" w:rsidRPr="00051E12" w:rsidRDefault="00051E12" w:rsidP="00051E12">
      <w:pPr>
        <w:pStyle w:val="Bullet"/>
      </w:pPr>
      <w:r w:rsidRPr="00051E12">
        <w:t>Provide patients with surgical masks to wear to and from the clinic appointment.</w:t>
      </w:r>
    </w:p>
    <w:p w14:paraId="1C8E6FF2" w14:textId="77777777" w:rsidR="00051E12" w:rsidRPr="00051E12" w:rsidRDefault="00051E12" w:rsidP="00051E12">
      <w:pPr>
        <w:pStyle w:val="Bullet"/>
      </w:pPr>
      <w:r w:rsidRPr="00051E12">
        <w:t>On arrival, patients should be placed directly into a defined area/consultation room. Medical teams should review them in the dedicated room.</w:t>
      </w:r>
    </w:p>
    <w:p w14:paraId="1F696B5C" w14:textId="77777777" w:rsidR="00051E12" w:rsidRPr="00051E12" w:rsidRDefault="00051E12" w:rsidP="00051E12">
      <w:pPr>
        <w:pStyle w:val="Bullet"/>
      </w:pPr>
      <w:r w:rsidRPr="00051E12">
        <w:t>Consider allocation of these patients to the</w:t>
      </w:r>
      <w:r w:rsidRPr="00051E12">
        <w:rPr>
          <w:i/>
        </w:rPr>
        <w:t xml:space="preserve"> last</w:t>
      </w:r>
      <w:r w:rsidRPr="00051E12">
        <w:t xml:space="preserve"> appointment of the session.</w:t>
      </w:r>
    </w:p>
    <w:p w14:paraId="2A487719" w14:textId="77777777" w:rsidR="00051E12" w:rsidRPr="00051E12" w:rsidRDefault="00051E12" w:rsidP="00051E12">
      <w:pPr>
        <w:pStyle w:val="Bullet"/>
      </w:pPr>
      <w:r w:rsidRPr="00051E12">
        <w:t>Clean all surfaces in the clinic room with detergent wipes following the appointment.</w:t>
      </w:r>
    </w:p>
    <w:p w14:paraId="16338FB0" w14:textId="77777777" w:rsidR="00051E12" w:rsidRDefault="00051E12" w:rsidP="00051E12">
      <w:pPr>
        <w:pStyle w:val="Heading4"/>
      </w:pPr>
      <w:bookmarkStart w:id="19" w:name="_Toc30582184"/>
      <w:bookmarkStart w:id="20" w:name="_Toc175924721"/>
      <w:r w:rsidRPr="42E569D5">
        <w:t>1.3 Pharmacological Considerations</w:t>
      </w:r>
      <w:bookmarkEnd w:id="19"/>
      <w:bookmarkEnd w:id="20"/>
      <w:r w:rsidRPr="42E569D5">
        <w:t xml:space="preserve"> </w:t>
      </w:r>
    </w:p>
    <w:p w14:paraId="4B68C7D8" w14:textId="77777777" w:rsidR="00051E12" w:rsidRPr="00051E12" w:rsidRDefault="00051E12" w:rsidP="00051E12">
      <w:pPr>
        <w:pStyle w:val="Heading5"/>
      </w:pPr>
      <w:r w:rsidRPr="00051E12">
        <w:t>Empiric Treatment for Tune up or Major Exacerbation – Antibiotics for Inpatients</w:t>
      </w:r>
    </w:p>
    <w:p w14:paraId="1832B322" w14:textId="77777777" w:rsidR="00051E12" w:rsidRPr="00051E12" w:rsidRDefault="00051E12" w:rsidP="00051E12">
      <w:pPr>
        <w:pStyle w:val="BodyCopy"/>
      </w:pPr>
      <w:r w:rsidRPr="00051E12">
        <w:t>Therapy should be directed by microbiology results (sputum, cough swab or blood cultures should be obtained for microscopy and culture as soon as possible).  If no culture results are available, use two antibacterial agents (usually tobramycin and piperacillin with tazobactam (</w:t>
      </w:r>
      <w:proofErr w:type="spellStart"/>
      <w:r w:rsidRPr="00051E12">
        <w:t>Tazocin</w:t>
      </w:r>
      <w:proofErr w:type="spellEnd"/>
      <w:r w:rsidRPr="00051E12">
        <w:t xml:space="preserve">®)):  </w:t>
      </w:r>
    </w:p>
    <w:p w14:paraId="6C9B633F" w14:textId="77777777" w:rsidR="00051E12" w:rsidRPr="00051E12" w:rsidRDefault="00051E12" w:rsidP="00051E12">
      <w:pPr>
        <w:pStyle w:val="BodyCopy"/>
        <w:rPr>
          <w:b/>
          <w:bCs w:val="0"/>
        </w:rPr>
      </w:pPr>
    </w:p>
    <w:p w14:paraId="30B46908" w14:textId="77777777" w:rsidR="003C406F" w:rsidRPr="00666AF5" w:rsidRDefault="003C406F" w:rsidP="003C406F">
      <w:pPr>
        <w:pStyle w:val="BodyCopy"/>
        <w:rPr>
          <w:u w:val="single"/>
        </w:rPr>
      </w:pPr>
      <w:r w:rsidRPr="00666AF5">
        <w:rPr>
          <w:u w:val="single"/>
        </w:rPr>
        <w:lastRenderedPageBreak/>
        <w:t>Paediatric and adult dosing:</w:t>
      </w:r>
    </w:p>
    <w:p w14:paraId="18286470" w14:textId="77777777" w:rsidR="003C406F" w:rsidRPr="003C406F" w:rsidRDefault="003C406F" w:rsidP="003C406F">
      <w:pPr>
        <w:pStyle w:val="Bullet"/>
      </w:pPr>
      <w:r w:rsidRPr="003C406F">
        <w:t xml:space="preserve">Start with tobramycin dose from last admission, or 10mg/kg/dose IV once daily (max 660mg). </w:t>
      </w:r>
      <w:r w:rsidRPr="003C406F">
        <w:rPr>
          <w:vertAlign w:val="superscript"/>
        </w:rPr>
        <w:t>1, 3</w:t>
      </w:r>
    </w:p>
    <w:p w14:paraId="60A1CB24" w14:textId="77777777" w:rsidR="003C406F" w:rsidRPr="003C406F" w:rsidRDefault="003C406F" w:rsidP="003C406F">
      <w:pPr>
        <w:pStyle w:val="Bullet"/>
      </w:pPr>
      <w:r w:rsidRPr="003C406F">
        <w:t>Adjust dose as required according to Therapeutic Drug Levels (see below) to a maximum of 660mg daily.</w:t>
      </w:r>
    </w:p>
    <w:p w14:paraId="39FB1598" w14:textId="77777777" w:rsidR="003C406F" w:rsidRPr="003C406F" w:rsidRDefault="003C406F" w:rsidP="003C406F">
      <w:pPr>
        <w:pStyle w:val="Bullet"/>
      </w:pPr>
      <w:r w:rsidRPr="003C406F">
        <w:t xml:space="preserve">If the patient is &gt;20% over their Ideal Body Weight (IBW), use their Adjusted Body Weight to calculate the dose. </w:t>
      </w:r>
      <w:r w:rsidRPr="003C406F">
        <w:rPr>
          <w:vertAlign w:val="superscript"/>
        </w:rPr>
        <w:t>3</w:t>
      </w:r>
    </w:p>
    <w:p w14:paraId="2FA43E0A" w14:textId="77777777" w:rsidR="003C406F" w:rsidRDefault="003C406F" w:rsidP="003C406F">
      <w:pPr>
        <w:pStyle w:val="BodyCopy"/>
        <w:rPr>
          <w:b/>
          <w:bCs w:val="0"/>
          <w:noProof/>
        </w:rPr>
      </w:pPr>
      <w:r w:rsidRPr="003C406F">
        <w:rPr>
          <w:b/>
          <w:bCs w:val="0"/>
          <w:noProof/>
        </w:rPr>
        <w:t>AND</w:t>
      </w:r>
    </w:p>
    <w:p w14:paraId="63089F61" w14:textId="77777777" w:rsidR="003C406F" w:rsidRPr="003C406F" w:rsidRDefault="003C406F" w:rsidP="003C406F">
      <w:pPr>
        <w:pStyle w:val="BodyCopy"/>
        <w:rPr>
          <w:bCs w:val="0"/>
          <w:noProof/>
          <w:u w:val="single"/>
        </w:rPr>
      </w:pPr>
      <w:r w:rsidRPr="003C406F">
        <w:rPr>
          <w:bCs w:val="0"/>
          <w:noProof/>
          <w:u w:val="single"/>
        </w:rPr>
        <w:t>Paediatric dosing:</w:t>
      </w:r>
    </w:p>
    <w:p w14:paraId="36D4522F" w14:textId="77777777" w:rsidR="003C406F" w:rsidRPr="003C406F" w:rsidRDefault="003C406F" w:rsidP="003C406F">
      <w:pPr>
        <w:pStyle w:val="Bullet"/>
        <w:rPr>
          <w:noProof/>
        </w:rPr>
      </w:pPr>
      <w:r w:rsidRPr="003C406F">
        <w:rPr>
          <w:noProof/>
        </w:rPr>
        <w:t xml:space="preserve">1 to 6 months: Piperacillin with tazobactam </w:t>
      </w:r>
      <w:bookmarkStart w:id="21" w:name="_Hlk153463048"/>
      <w:r w:rsidRPr="003C406F">
        <w:rPr>
          <w:noProof/>
        </w:rPr>
        <w:t xml:space="preserve">(Tazocin®) </w:t>
      </w:r>
      <w:bookmarkEnd w:id="21"/>
      <w:r w:rsidRPr="003C406F">
        <w:rPr>
          <w:noProof/>
        </w:rPr>
        <w:t>80-100mg/kg/dose (piperacillin component max 4g) IV every 8 hours</w:t>
      </w:r>
      <w:r w:rsidRPr="003C406F">
        <w:rPr>
          <w:noProof/>
          <w:vertAlign w:val="superscript"/>
        </w:rPr>
        <w:t>3</w:t>
      </w:r>
    </w:p>
    <w:p w14:paraId="0A61A7A6" w14:textId="77777777" w:rsidR="003C406F" w:rsidRPr="003C406F" w:rsidRDefault="003C406F" w:rsidP="003C406F">
      <w:pPr>
        <w:pStyle w:val="Bullet"/>
        <w:rPr>
          <w:noProof/>
        </w:rPr>
      </w:pPr>
      <w:r w:rsidRPr="003C406F">
        <w:rPr>
          <w:noProof/>
        </w:rPr>
        <w:t xml:space="preserve">6 months to 18 years: Piperacillin with tazobactam (Tazocin®) 100mg/kg/dose (piperacillin component max 4g) IV every 6 hours (maximum 16 g/day). </w:t>
      </w:r>
      <w:r w:rsidRPr="003C406F">
        <w:rPr>
          <w:noProof/>
          <w:vertAlign w:val="superscript"/>
        </w:rPr>
        <w:t>1, 3</w:t>
      </w:r>
    </w:p>
    <w:p w14:paraId="62526D45" w14:textId="71650987" w:rsidR="003C406F" w:rsidRPr="00666AF5" w:rsidRDefault="003C406F" w:rsidP="003C406F">
      <w:pPr>
        <w:pStyle w:val="BodyCopy"/>
        <w:rPr>
          <w:noProof/>
          <w:u w:val="single"/>
        </w:rPr>
      </w:pPr>
      <w:r w:rsidRPr="00666AF5">
        <w:rPr>
          <w:noProof/>
          <w:u w:val="single"/>
        </w:rPr>
        <w:t>Adult dosing:</w:t>
      </w:r>
    </w:p>
    <w:p w14:paraId="3CC1189A" w14:textId="77777777" w:rsidR="003C406F" w:rsidRPr="003C406F" w:rsidRDefault="003C406F" w:rsidP="003C406F">
      <w:pPr>
        <w:pStyle w:val="Bullet"/>
      </w:pPr>
      <w:r w:rsidRPr="003C406F">
        <w:t>Piperacillin with tazobactam (</w:t>
      </w:r>
      <w:proofErr w:type="spellStart"/>
      <w:r w:rsidRPr="003C406F">
        <w:t>Tazocin</w:t>
      </w:r>
      <w:proofErr w:type="spellEnd"/>
      <w:r w:rsidRPr="003C406F">
        <w:t xml:space="preserve">®) 4.5g (piperacillin component 4g/tazobactam component 500mg) IV every 6 </w:t>
      </w:r>
      <w:proofErr w:type="gramStart"/>
      <w:r w:rsidRPr="003C406F">
        <w:t>hours  (</w:t>
      </w:r>
      <w:proofErr w:type="gramEnd"/>
      <w:r w:rsidRPr="003C406F">
        <w:t>maximum 16 g/day).</w:t>
      </w:r>
    </w:p>
    <w:p w14:paraId="37458047" w14:textId="77777777" w:rsidR="003C406F" w:rsidRPr="00AB4FF1" w:rsidRDefault="003C406F" w:rsidP="003C406F">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rPr>
          <w:noProof/>
        </w:rPr>
      </w:pPr>
      <w:r w:rsidRPr="007323EF">
        <w:rPr>
          <w:b/>
          <w:noProof/>
        </w:rPr>
        <w:t>Note:</w:t>
      </w:r>
      <w:r w:rsidRPr="395D9BFD">
        <w:rPr>
          <w:noProof/>
        </w:rPr>
        <w:t xml:space="preserve"> Request Antimicrobial Stewardship (AMS) </w:t>
      </w:r>
      <w:r>
        <w:rPr>
          <w:noProof/>
        </w:rPr>
        <w:t>consultation after the first dose. Refer to</w:t>
      </w:r>
      <w:r w:rsidRPr="395D9BFD">
        <w:rPr>
          <w:noProof/>
        </w:rPr>
        <w:t xml:space="preserve"> </w:t>
      </w:r>
      <w:bookmarkStart w:id="22" w:name="_Hlk172110779"/>
      <w:r w:rsidRPr="395D9BFD">
        <w:rPr>
          <w:noProof/>
        </w:rPr>
        <w:t>Antimicrobial Stewardship Clinical Procedure.</w:t>
      </w:r>
      <w:bookmarkEnd w:id="22"/>
    </w:p>
    <w:p w14:paraId="76E7A5E0" w14:textId="77777777" w:rsidR="003C406F" w:rsidRPr="003C406F" w:rsidRDefault="003C406F" w:rsidP="003C406F">
      <w:pPr>
        <w:pStyle w:val="BodyCopy"/>
      </w:pPr>
      <w:r w:rsidRPr="003C406F">
        <w:t xml:space="preserve">In cases of </w:t>
      </w:r>
      <w:r w:rsidRPr="003C406F">
        <w:rPr>
          <w:b/>
          <w:bCs w:val="0"/>
        </w:rPr>
        <w:t>penicillin allergy</w:t>
      </w:r>
      <w:r w:rsidRPr="003C406F">
        <w:t xml:space="preserve">, in place of piperacillin with tazobactam, use either ceftazidime or meropenem: </w:t>
      </w:r>
    </w:p>
    <w:p w14:paraId="0DE7D6B4" w14:textId="77777777" w:rsidR="003C406F" w:rsidRPr="00666AF5" w:rsidRDefault="003C406F" w:rsidP="003C406F">
      <w:pPr>
        <w:pStyle w:val="BodyCopy"/>
        <w:rPr>
          <w:u w:val="single"/>
        </w:rPr>
      </w:pPr>
      <w:r w:rsidRPr="00666AF5">
        <w:rPr>
          <w:u w:val="single"/>
        </w:rPr>
        <w:t>Paediatric (from 1 month) and adult dosing:</w:t>
      </w:r>
    </w:p>
    <w:p w14:paraId="29E620F1" w14:textId="77777777" w:rsidR="003C406F" w:rsidRPr="003C406F" w:rsidRDefault="003C406F" w:rsidP="003C406F">
      <w:pPr>
        <w:pStyle w:val="Bullet"/>
      </w:pPr>
      <w:r w:rsidRPr="003C406F">
        <w:t>Ceftazidime 50mg/kg/dose (max 2g) IV every 8 hours.</w:t>
      </w:r>
      <w:r w:rsidRPr="003C406F">
        <w:rPr>
          <w:vertAlign w:val="superscript"/>
        </w:rPr>
        <w:t>1,</w:t>
      </w:r>
      <w:r w:rsidRPr="003C406F">
        <w:t xml:space="preserve"> </w:t>
      </w:r>
      <w:r w:rsidRPr="003C406F">
        <w:rPr>
          <w:vertAlign w:val="superscript"/>
        </w:rPr>
        <w:t>3</w:t>
      </w:r>
    </w:p>
    <w:p w14:paraId="19B1E263" w14:textId="77777777" w:rsidR="003C406F" w:rsidRPr="00666AF5" w:rsidRDefault="003C406F" w:rsidP="003C406F">
      <w:pPr>
        <w:pStyle w:val="BodyCopy"/>
        <w:rPr>
          <w:u w:val="single"/>
        </w:rPr>
      </w:pPr>
      <w:r w:rsidRPr="00666AF5">
        <w:rPr>
          <w:u w:val="single"/>
        </w:rPr>
        <w:t>Paediatric dosing from 1 month:</w:t>
      </w:r>
    </w:p>
    <w:p w14:paraId="5995AEAC" w14:textId="77777777" w:rsidR="003C406F" w:rsidRPr="003C406F" w:rsidRDefault="003C406F" w:rsidP="003C406F">
      <w:pPr>
        <w:pStyle w:val="Bullet"/>
      </w:pPr>
      <w:r w:rsidRPr="003C406F">
        <w:t xml:space="preserve">Meropenem 40mg/kg (max 2 g) IV every 8 hours. </w:t>
      </w:r>
      <w:r w:rsidRPr="003C406F">
        <w:rPr>
          <w:vertAlign w:val="superscript"/>
        </w:rPr>
        <w:t>1, 3</w:t>
      </w:r>
    </w:p>
    <w:p w14:paraId="74BAEBB6" w14:textId="77777777" w:rsidR="003C406F" w:rsidRPr="00666AF5" w:rsidRDefault="003C406F" w:rsidP="003C406F">
      <w:pPr>
        <w:pStyle w:val="BodyCopy"/>
        <w:rPr>
          <w:u w:val="single"/>
        </w:rPr>
      </w:pPr>
      <w:r w:rsidRPr="00666AF5">
        <w:rPr>
          <w:u w:val="single"/>
        </w:rPr>
        <w:t>Adult dosing:</w:t>
      </w:r>
    </w:p>
    <w:p w14:paraId="0D344548" w14:textId="77777777" w:rsidR="003C406F" w:rsidRPr="003C406F" w:rsidRDefault="003C406F" w:rsidP="003C406F">
      <w:pPr>
        <w:pStyle w:val="Bullet"/>
      </w:pPr>
      <w:r w:rsidRPr="003C406F">
        <w:t>Meropenem 1-2g IV every 8 hours.</w:t>
      </w:r>
    </w:p>
    <w:p w14:paraId="295294C7" w14:textId="70FAFC02" w:rsidR="003C406F" w:rsidRPr="003C406F" w:rsidRDefault="00181CA3" w:rsidP="00181CA3">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181CA3">
        <w:rPr>
          <w:b/>
          <w:bCs w:val="0"/>
        </w:rPr>
        <w:t>Note:</w:t>
      </w:r>
      <w:r w:rsidRPr="00181CA3">
        <w:t xml:space="preserve"> Request AMS consultation after the first dose, refer to Antimicrobial Stewardship Clinical Procedure.</w:t>
      </w:r>
    </w:p>
    <w:p w14:paraId="7B9C7C09" w14:textId="77777777" w:rsidR="00181CA3" w:rsidRPr="00181CA3" w:rsidRDefault="00181CA3" w:rsidP="00181CA3">
      <w:pPr>
        <w:pStyle w:val="Heading5"/>
      </w:pPr>
      <w:r w:rsidRPr="00181CA3">
        <w:t>Tobramycin Therapeutic Drug Monitoring (paediatric and adult patients)</w:t>
      </w:r>
    </w:p>
    <w:p w14:paraId="78662934" w14:textId="45925AB0" w:rsidR="00181CA3" w:rsidRPr="00181CA3" w:rsidRDefault="00181CA3" w:rsidP="00181CA3">
      <w:pPr>
        <w:pStyle w:val="BodyCopy"/>
      </w:pPr>
      <w:r w:rsidRPr="00181CA3">
        <w:t xml:space="preserve">Tobramycin should be monitored after the first dose using the Area Under the Curve (AUC) calculation. The AUC should be checked </w:t>
      </w:r>
      <w:r w:rsidR="00666AF5" w:rsidRPr="00181CA3">
        <w:t>every</w:t>
      </w:r>
      <w:r w:rsidRPr="00181CA3">
        <w:t xml:space="preserve"> time a dose is changed and then once weekly </w:t>
      </w:r>
      <w:r w:rsidRPr="00181CA3">
        <w:lastRenderedPageBreak/>
        <w:t xml:space="preserve">if the patient is stable.  Target AUC is 100mg/L/hr with a range of 90-110mg/L/hr1 and target </w:t>
      </w:r>
      <w:proofErr w:type="spellStart"/>
      <w:r w:rsidRPr="00181CA3">
        <w:t>Cmax</w:t>
      </w:r>
      <w:proofErr w:type="spellEnd"/>
      <w:r w:rsidRPr="00181CA3">
        <w:t xml:space="preserve"> is 20-40mg/L.  </w:t>
      </w:r>
    </w:p>
    <w:p w14:paraId="392EC31D" w14:textId="77777777" w:rsidR="00181CA3" w:rsidRPr="00181CA3" w:rsidRDefault="00181CA3" w:rsidP="00181CA3">
      <w:pPr>
        <w:pStyle w:val="Bullet"/>
      </w:pPr>
      <w:r w:rsidRPr="00181CA3">
        <w:t xml:space="preserve">Tobramycin levels should be checked 2 and 6 hours after the infusion was commenced. </w:t>
      </w:r>
      <w:r w:rsidRPr="00181CA3">
        <w:rPr>
          <w:vertAlign w:val="superscript"/>
        </w:rPr>
        <w:t>1</w:t>
      </w:r>
    </w:p>
    <w:p w14:paraId="51FFFB83" w14:textId="77777777" w:rsidR="00181CA3" w:rsidRPr="00181CA3" w:rsidRDefault="00181CA3" w:rsidP="00181CA3">
      <w:pPr>
        <w:pStyle w:val="Bullet"/>
      </w:pPr>
      <w:r w:rsidRPr="00181CA3">
        <w:t xml:space="preserve">Ideally tobramycin should be given at 0600 so that monitoring blood sample can be undertaken at 08:00 and 1200. The first dose of Tobramycin can be deferred to the morning after admission.  This allows pathology to determine the current levels and the ward pharmacist to calculate the AUC to make a dose recommendation within the same day. </w:t>
      </w:r>
    </w:p>
    <w:p w14:paraId="6460B178" w14:textId="77777777" w:rsidR="00181CA3" w:rsidRPr="00181CA3" w:rsidRDefault="00181CA3" w:rsidP="00181CA3">
      <w:pPr>
        <w:pStyle w:val="Bullet"/>
      </w:pPr>
      <w:r w:rsidRPr="00181CA3">
        <w:t xml:space="preserve">For adult patients, </w:t>
      </w:r>
      <w:proofErr w:type="spellStart"/>
      <w:r w:rsidRPr="00181CA3">
        <w:t>tobramcyin</w:t>
      </w:r>
      <w:proofErr w:type="spellEnd"/>
      <w:r w:rsidRPr="00181CA3">
        <w:t xml:space="preserve"> should be given in 50mL of sodium chloride 0.9% and infused over 30 minutes. For paediatric patients, dilute to 40mg/mL or weaker, and infuse over 30 minutes using tobramycin CF library setting in the smart pump. An infusion pump with medication safety software should be used.</w:t>
      </w:r>
    </w:p>
    <w:p w14:paraId="6C854379" w14:textId="77777777" w:rsidR="00181CA3" w:rsidRPr="00181CA3" w:rsidRDefault="00181CA3" w:rsidP="00181CA3">
      <w:pPr>
        <w:pStyle w:val="Bullet"/>
      </w:pPr>
      <w:r w:rsidRPr="00181CA3">
        <w:t xml:space="preserve">The exact time infusion was commenced, finished and the exact time the levels where taken must be recorded on the medication chart and in progress notes so that the AUC can be calculated. </w:t>
      </w:r>
    </w:p>
    <w:p w14:paraId="4F7A74F6" w14:textId="3F8B2DD7" w:rsidR="00181CA3" w:rsidRPr="00181CA3" w:rsidRDefault="00181CA3" w:rsidP="00181CA3">
      <w:pPr>
        <w:pStyle w:val="Bullet"/>
      </w:pPr>
      <w:r w:rsidRPr="00181CA3">
        <w:t>Paediatric patients cared for by Hospital in The Home</w:t>
      </w:r>
      <w:r>
        <w:t xml:space="preserve"> </w:t>
      </w:r>
      <w:r w:rsidR="00CA657E">
        <w:t>(</w:t>
      </w:r>
      <w:r>
        <w:t>HITH)</w:t>
      </w:r>
      <w:r w:rsidRPr="00181CA3">
        <w:t xml:space="preserve"> may be monitored with trough levels if: they have had an appropriate AUC; do not have signs of altered pharmacokinetics (e.g. abnormal renal function); and are not on concurrent nephrotoxic agents (e.g. vancomycin).</w:t>
      </w:r>
    </w:p>
    <w:p w14:paraId="5E7A62AD" w14:textId="3F19BE31" w:rsidR="003C406F" w:rsidRPr="003C406F" w:rsidRDefault="00181CA3" w:rsidP="00181CA3">
      <w:pPr>
        <w:pStyle w:val="Heading5"/>
      </w:pPr>
      <w:r w:rsidRPr="00181CA3">
        <w:t>Directed Treatment – Antibiotics for Inpatients</w:t>
      </w:r>
    </w:p>
    <w:p w14:paraId="109B3886" w14:textId="77777777" w:rsidR="00181CA3" w:rsidRPr="00181CA3" w:rsidRDefault="00181CA3" w:rsidP="00181CA3">
      <w:pPr>
        <w:pStyle w:val="BodyCopy"/>
      </w:pPr>
      <w:r w:rsidRPr="00181CA3">
        <w:t xml:space="preserve">If </w:t>
      </w:r>
      <w:r w:rsidRPr="00181CA3">
        <w:rPr>
          <w:i/>
        </w:rPr>
        <w:t>Methicillin Sensitive Staphylococcus Aureus (MSSA)</w:t>
      </w:r>
      <w:r w:rsidRPr="00181CA3">
        <w:t xml:space="preserve"> isolated from sputum culture in past 3 months, replace above regimen with:</w:t>
      </w:r>
    </w:p>
    <w:p w14:paraId="31240DD0" w14:textId="77777777" w:rsidR="00181CA3" w:rsidRPr="00666AF5" w:rsidRDefault="00181CA3" w:rsidP="00181CA3">
      <w:pPr>
        <w:pStyle w:val="BodyCopy"/>
        <w:rPr>
          <w:noProof/>
          <w:u w:val="single"/>
        </w:rPr>
      </w:pPr>
      <w:r w:rsidRPr="00666AF5">
        <w:rPr>
          <w:noProof/>
          <w:u w:val="single"/>
        </w:rPr>
        <w:t>Paediatric dosing:</w:t>
      </w:r>
    </w:p>
    <w:p w14:paraId="6826E0FB" w14:textId="77777777" w:rsidR="00181CA3" w:rsidRPr="00181CA3" w:rsidRDefault="00181CA3" w:rsidP="00181CA3">
      <w:pPr>
        <w:pStyle w:val="Bullet"/>
        <w:rPr>
          <w:noProof/>
        </w:rPr>
      </w:pPr>
      <w:r w:rsidRPr="00181CA3">
        <w:rPr>
          <w:noProof/>
        </w:rPr>
        <w:t xml:space="preserve">Flucloxacillin 25-50mg/kg/dose (max 2g) IV every 6 hours OR oral 25-50mg/kg (max 1g) every 6 hours. </w:t>
      </w:r>
      <w:r w:rsidRPr="00181CA3">
        <w:rPr>
          <w:noProof/>
          <w:vertAlign w:val="superscript"/>
        </w:rPr>
        <w:t>1, 3</w:t>
      </w:r>
      <w:r w:rsidRPr="00181CA3">
        <w:rPr>
          <w:noProof/>
        </w:rPr>
        <w:tab/>
      </w:r>
    </w:p>
    <w:p w14:paraId="75304EF3" w14:textId="77777777" w:rsidR="00181CA3" w:rsidRPr="00666AF5" w:rsidRDefault="00181CA3" w:rsidP="00181CA3">
      <w:pPr>
        <w:pStyle w:val="BodyCopy"/>
        <w:rPr>
          <w:noProof/>
          <w:u w:val="single"/>
        </w:rPr>
      </w:pPr>
      <w:r w:rsidRPr="00666AF5">
        <w:rPr>
          <w:noProof/>
          <w:u w:val="single"/>
        </w:rPr>
        <w:t>Adult dosing:</w:t>
      </w:r>
    </w:p>
    <w:p w14:paraId="141A35B9" w14:textId="77777777" w:rsidR="00181CA3" w:rsidRPr="00181CA3" w:rsidRDefault="00181CA3" w:rsidP="00181CA3">
      <w:pPr>
        <w:pStyle w:val="Bullet"/>
        <w:rPr>
          <w:noProof/>
        </w:rPr>
      </w:pPr>
      <w:r w:rsidRPr="00181CA3">
        <w:rPr>
          <w:noProof/>
        </w:rPr>
        <w:t>Flucloxacillin 1-2g IV every 6 hours OR oral 500mg every 6 hours.</w:t>
      </w:r>
      <w:r w:rsidRPr="00181CA3">
        <w:rPr>
          <w:noProof/>
        </w:rPr>
        <w:tab/>
      </w:r>
    </w:p>
    <w:p w14:paraId="4C8BBCF8" w14:textId="1170F920" w:rsidR="00181CA3" w:rsidRPr="00181CA3" w:rsidRDefault="00181CA3" w:rsidP="00181CA3">
      <w:pPr>
        <w:pStyle w:val="BodyCopy"/>
      </w:pPr>
      <w:r w:rsidRPr="00181CA3">
        <w:t xml:space="preserve">If the isolate is </w:t>
      </w:r>
      <w:r w:rsidRPr="00666AF5">
        <w:rPr>
          <w:i/>
          <w:iCs w:val="0"/>
        </w:rPr>
        <w:t>Methicillin Resistant Staphylococcus Aureus (MRSA):</w:t>
      </w:r>
    </w:p>
    <w:p w14:paraId="37DBEECF" w14:textId="77777777" w:rsidR="000523DD" w:rsidRDefault="00181CA3" w:rsidP="00666AF5">
      <w:pPr>
        <w:pStyle w:val="Bullet"/>
        <w:rPr>
          <w:noProof/>
        </w:rPr>
      </w:pPr>
      <w:r w:rsidRPr="00181CA3">
        <w:rPr>
          <w:noProof/>
        </w:rPr>
        <w:t xml:space="preserve">Substitute vancomycin for flucloxacillin, refer to </w:t>
      </w:r>
      <w:hyperlink r:id="rId11" w:history="1">
        <w:r w:rsidRPr="00181CA3">
          <w:rPr>
            <w:rStyle w:val="Hyperlink"/>
            <w:b/>
            <w:noProof/>
          </w:rPr>
          <w:t>Therapeutic Guidelines: Antibiotic</w:t>
        </w:r>
      </w:hyperlink>
      <w:r w:rsidRPr="00181CA3">
        <w:rPr>
          <w:noProof/>
        </w:rPr>
        <w:t xml:space="preserve"> for information on paediatric dosing and monitoring.</w:t>
      </w:r>
    </w:p>
    <w:p w14:paraId="17CE1F03" w14:textId="5FB1822D" w:rsidR="00181CA3" w:rsidRPr="00181CA3" w:rsidRDefault="000523DD" w:rsidP="000523DD">
      <w:pPr>
        <w:pStyle w:val="BodyCopy"/>
        <w:rPr>
          <w:noProof/>
        </w:rPr>
      </w:pPr>
      <w:r w:rsidRPr="000523DD">
        <w:rPr>
          <w:noProof/>
        </w:rPr>
        <w:t xml:space="preserve">If </w:t>
      </w:r>
      <w:r w:rsidRPr="000523DD">
        <w:rPr>
          <w:i/>
          <w:noProof/>
        </w:rPr>
        <w:t>Stenotrophomonas maltophilia</w:t>
      </w:r>
      <w:r w:rsidRPr="000523DD">
        <w:rPr>
          <w:noProof/>
        </w:rPr>
        <w:t xml:space="preserve"> isolation from sputum culture in past 3 months, add:</w:t>
      </w:r>
    </w:p>
    <w:p w14:paraId="131D83FF" w14:textId="77777777" w:rsidR="000523DD" w:rsidRPr="00666AF5" w:rsidRDefault="000523DD" w:rsidP="000523DD">
      <w:pPr>
        <w:pStyle w:val="BodyCopy"/>
        <w:rPr>
          <w:u w:val="single"/>
        </w:rPr>
      </w:pPr>
      <w:r w:rsidRPr="00666AF5">
        <w:rPr>
          <w:u w:val="single"/>
        </w:rPr>
        <w:t>Paediatric dosing:</w:t>
      </w:r>
    </w:p>
    <w:p w14:paraId="40C163AE" w14:textId="77777777" w:rsidR="000523DD" w:rsidRPr="000523DD" w:rsidRDefault="000523DD" w:rsidP="000523DD">
      <w:pPr>
        <w:pStyle w:val="Bullet"/>
        <w:rPr>
          <w:noProof/>
        </w:rPr>
      </w:pPr>
      <w:r w:rsidRPr="000523DD">
        <w:rPr>
          <w:noProof/>
        </w:rPr>
        <w:t xml:space="preserve">Trimethoprim with sulfamethoxazole (Septrin™) 4mg/kg/dose (trimethoprim component) twice daily. [0.5mL/kg of (40mg/200mg per 5 mL) mixture, maximum 20mL bd]. </w:t>
      </w:r>
      <w:r w:rsidRPr="000523DD">
        <w:rPr>
          <w:noProof/>
          <w:vertAlign w:val="superscript"/>
        </w:rPr>
        <w:t>3</w:t>
      </w:r>
    </w:p>
    <w:p w14:paraId="04DC2571" w14:textId="77777777" w:rsidR="000523DD" w:rsidRPr="00AB4FF1" w:rsidRDefault="000523DD" w:rsidP="000523DD">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rPr>
          <w:noProof/>
        </w:rPr>
      </w:pPr>
      <w:r w:rsidRPr="000523DD">
        <w:rPr>
          <w:b/>
          <w:bCs w:val="0"/>
          <w:noProof/>
        </w:rPr>
        <w:lastRenderedPageBreak/>
        <w:t>Note:</w:t>
      </w:r>
      <w:r w:rsidRPr="00AB4FF1">
        <w:rPr>
          <w:noProof/>
        </w:rPr>
        <w:t xml:space="preserve"> That 10mL of mixture = one 80/400mg tablet, and 20mL = one 160/800mg (DS) tablet. Dose refers to Trimethoprim content.</w:t>
      </w:r>
    </w:p>
    <w:p w14:paraId="35A54C21" w14:textId="77777777" w:rsidR="000523DD" w:rsidRPr="00666AF5" w:rsidRDefault="000523DD" w:rsidP="000523DD">
      <w:pPr>
        <w:pStyle w:val="BodyCopy"/>
        <w:rPr>
          <w:u w:val="single"/>
        </w:rPr>
      </w:pPr>
      <w:r w:rsidRPr="00666AF5">
        <w:rPr>
          <w:u w:val="single"/>
        </w:rPr>
        <w:t>Adult dosing:</w:t>
      </w:r>
    </w:p>
    <w:p w14:paraId="7B603523" w14:textId="77777777" w:rsidR="000523DD" w:rsidRPr="000523DD" w:rsidRDefault="000523DD" w:rsidP="000523DD">
      <w:pPr>
        <w:pStyle w:val="Bullet"/>
        <w:rPr>
          <w:noProof/>
        </w:rPr>
      </w:pPr>
      <w:r w:rsidRPr="000523DD">
        <w:rPr>
          <w:noProof/>
        </w:rPr>
        <w:t>Trimethoprim/sulfamethoxazole (Septrin</w:t>
      </w:r>
      <w:bookmarkStart w:id="23" w:name="_Hlk158987857"/>
      <w:r w:rsidRPr="000523DD">
        <w:rPr>
          <w:noProof/>
        </w:rPr>
        <w:t>™</w:t>
      </w:r>
      <w:bookmarkEnd w:id="23"/>
      <w:r w:rsidRPr="000523DD">
        <w:rPr>
          <w:noProof/>
        </w:rPr>
        <w:t>) 160/800mg twice daily. Higher doses may be used on Infectious Diseases (ID) advice</w:t>
      </w:r>
    </w:p>
    <w:p w14:paraId="35F6D7D4" w14:textId="77777777" w:rsidR="000523DD" w:rsidRPr="00AB4FF1" w:rsidRDefault="000523DD" w:rsidP="000523DD">
      <w:pPr>
        <w:pStyle w:val="BodyCopy"/>
      </w:pPr>
      <w:r w:rsidRPr="00AB4FF1">
        <w:rPr>
          <w:noProof/>
        </w:rPr>
        <w:t xml:space="preserve">If </w:t>
      </w:r>
      <w:r w:rsidRPr="00AB4FF1">
        <w:rPr>
          <w:i/>
          <w:noProof/>
        </w:rPr>
        <w:t>Pseudomonas aeruginosa</w:t>
      </w:r>
      <w:r w:rsidRPr="00AB4FF1">
        <w:rPr>
          <w:noProof/>
        </w:rPr>
        <w:t xml:space="preserve"> isolated from sputum culture in past 3 months:</w:t>
      </w:r>
    </w:p>
    <w:p w14:paraId="24E493DE" w14:textId="77777777" w:rsidR="000523DD" w:rsidRPr="000523DD" w:rsidRDefault="000523DD" w:rsidP="000523DD">
      <w:pPr>
        <w:pStyle w:val="Bullet"/>
        <w:rPr>
          <w:noProof/>
        </w:rPr>
      </w:pPr>
      <w:r w:rsidRPr="000523DD">
        <w:rPr>
          <w:noProof/>
        </w:rPr>
        <w:t>Treat with two antipseudomonal antibiotics as for Empiric Therapy (as above).</w:t>
      </w:r>
    </w:p>
    <w:p w14:paraId="3F902B9E" w14:textId="523D210D" w:rsidR="000523DD" w:rsidRPr="00DE54FF" w:rsidRDefault="000523DD" w:rsidP="000523DD">
      <w:pPr>
        <w:pStyle w:val="Heading5"/>
      </w:pPr>
      <w:r w:rsidRPr="00AB4FF1">
        <w:rPr>
          <w:noProof/>
        </w:rPr>
        <w:t xml:space="preserve">Eradication treatment of </w:t>
      </w:r>
      <w:r w:rsidRPr="00DE54FF">
        <w:rPr>
          <w:i/>
          <w:noProof/>
        </w:rPr>
        <w:t>Pseudomonas aeruginosa</w:t>
      </w:r>
    </w:p>
    <w:p w14:paraId="4D15913B" w14:textId="77777777" w:rsidR="000523DD" w:rsidRPr="000523DD" w:rsidRDefault="000523DD" w:rsidP="000523DD">
      <w:pPr>
        <w:pStyle w:val="BodyCopy"/>
      </w:pPr>
      <w:r w:rsidRPr="000523DD">
        <w:t xml:space="preserve">The aim of this approach is to eradicate or delay early onset of pseudomonas colonisation of the CF lung after initial positive culture. </w:t>
      </w:r>
    </w:p>
    <w:p w14:paraId="4D3FDDD3" w14:textId="77777777" w:rsidR="000523DD" w:rsidRPr="000523DD" w:rsidRDefault="000523DD" w:rsidP="000523DD">
      <w:pPr>
        <w:pStyle w:val="BodyCopy"/>
      </w:pPr>
      <w:r w:rsidRPr="000523DD">
        <w:t>For patients that are well use:</w:t>
      </w:r>
    </w:p>
    <w:p w14:paraId="57702E2E" w14:textId="77777777" w:rsidR="000523DD" w:rsidRPr="00666AF5" w:rsidRDefault="000523DD" w:rsidP="000523DD">
      <w:pPr>
        <w:pStyle w:val="BodyCopy"/>
        <w:rPr>
          <w:u w:val="single"/>
        </w:rPr>
      </w:pPr>
      <w:r w:rsidRPr="00666AF5">
        <w:rPr>
          <w:u w:val="single"/>
        </w:rPr>
        <w:t>Paediatric patients:</w:t>
      </w:r>
    </w:p>
    <w:p w14:paraId="0C7B9506" w14:textId="77777777" w:rsidR="000523DD" w:rsidRPr="000523DD" w:rsidRDefault="000523DD" w:rsidP="000523DD">
      <w:pPr>
        <w:pStyle w:val="Bullet"/>
        <w:rPr>
          <w:noProof/>
        </w:rPr>
      </w:pPr>
      <w:r w:rsidRPr="000523DD">
        <w:rPr>
          <w:noProof/>
        </w:rPr>
        <w:t>Oral ciprofloxacin 15mg/kg (max 750mg) every 12 hours for a further 2-3 weeks.</w:t>
      </w:r>
      <w:r w:rsidRPr="000523DD">
        <w:rPr>
          <w:noProof/>
          <w:vertAlign w:val="superscript"/>
        </w:rPr>
        <w:t xml:space="preserve">1                    </w:t>
      </w:r>
      <w:r w:rsidRPr="000523DD">
        <w:rPr>
          <w:noProof/>
        </w:rPr>
        <w:t>A 50mg/mL oral suspension is available via the special access scheme.</w:t>
      </w:r>
    </w:p>
    <w:p w14:paraId="7C10CC69" w14:textId="4099ACC5" w:rsidR="000523DD" w:rsidRPr="00666AF5" w:rsidRDefault="000523DD" w:rsidP="000523DD">
      <w:pPr>
        <w:pStyle w:val="BodyCopy"/>
        <w:rPr>
          <w:u w:val="single"/>
        </w:rPr>
      </w:pPr>
      <w:r w:rsidRPr="00666AF5">
        <w:rPr>
          <w:u w:val="single"/>
        </w:rPr>
        <w:t>Adult patients:</w:t>
      </w:r>
    </w:p>
    <w:p w14:paraId="2D604BBF" w14:textId="77777777" w:rsidR="000523DD" w:rsidRPr="000523DD" w:rsidRDefault="000523DD" w:rsidP="000523DD">
      <w:pPr>
        <w:pStyle w:val="Bullet"/>
      </w:pPr>
      <w:r w:rsidRPr="000523DD">
        <w:t>Oral ciprofloxacin 500-750mg every 12 hours for a further 2-3 weeks.</w:t>
      </w:r>
    </w:p>
    <w:p w14:paraId="2FFCA0AF" w14:textId="77777777" w:rsidR="000523DD" w:rsidRDefault="000523DD" w:rsidP="000523DD">
      <w:pPr>
        <w:pStyle w:val="BodyCopy"/>
        <w:rPr>
          <w:b/>
          <w:bCs w:val="0"/>
        </w:rPr>
      </w:pPr>
      <w:r w:rsidRPr="000523DD">
        <w:rPr>
          <w:b/>
          <w:bCs w:val="0"/>
        </w:rPr>
        <w:t>PLUS</w:t>
      </w:r>
    </w:p>
    <w:p w14:paraId="3777E64A" w14:textId="77777777" w:rsidR="000523DD" w:rsidRPr="00666AF5" w:rsidRDefault="000523DD" w:rsidP="000523DD">
      <w:pPr>
        <w:pStyle w:val="BodyCopy"/>
        <w:rPr>
          <w:u w:val="single"/>
        </w:rPr>
      </w:pPr>
      <w:r w:rsidRPr="00666AF5">
        <w:rPr>
          <w:u w:val="single"/>
        </w:rPr>
        <w:t xml:space="preserve">Children &lt; 6 years: </w:t>
      </w:r>
    </w:p>
    <w:p w14:paraId="187207E6" w14:textId="77777777" w:rsidR="000523DD" w:rsidRPr="000523DD" w:rsidRDefault="000523DD" w:rsidP="000523DD">
      <w:pPr>
        <w:pStyle w:val="Bullet"/>
      </w:pPr>
      <w:r w:rsidRPr="000523DD">
        <w:t>Nebulised Tobramycin - 100 mg nebulised twice daily.</w:t>
      </w:r>
      <w:r w:rsidRPr="000523DD">
        <w:rPr>
          <w:vertAlign w:val="superscript"/>
        </w:rPr>
        <w:t>3</w:t>
      </w:r>
    </w:p>
    <w:p w14:paraId="5BF19819" w14:textId="77777777" w:rsidR="000523DD" w:rsidRPr="00666AF5" w:rsidRDefault="000523DD" w:rsidP="000523DD">
      <w:pPr>
        <w:pStyle w:val="BodyCopy"/>
        <w:rPr>
          <w:u w:val="single"/>
        </w:rPr>
      </w:pPr>
      <w:r w:rsidRPr="00666AF5">
        <w:rPr>
          <w:u w:val="single"/>
        </w:rPr>
        <w:t>Children &gt; 6 years and adults:</w:t>
      </w:r>
    </w:p>
    <w:p w14:paraId="782045BA" w14:textId="77777777" w:rsidR="000523DD" w:rsidRPr="000523DD" w:rsidRDefault="000523DD" w:rsidP="000523DD">
      <w:pPr>
        <w:pStyle w:val="Bullet"/>
      </w:pPr>
      <w:r w:rsidRPr="000523DD">
        <w:t xml:space="preserve">Nebulised Tobramycin - 300 mg nebulised twice daily (every 12 hours, and not &lt;6 hours apart) for 28 days. </w:t>
      </w:r>
      <w:r w:rsidRPr="000523DD">
        <w:rPr>
          <w:vertAlign w:val="superscript"/>
        </w:rPr>
        <w:t>1, 3</w:t>
      </w:r>
    </w:p>
    <w:p w14:paraId="7BD09131" w14:textId="77777777" w:rsidR="000523DD" w:rsidRDefault="000523DD" w:rsidP="000523DD">
      <w:pPr>
        <w:pStyle w:val="BodyCopy"/>
        <w:rPr>
          <w:b/>
          <w:bCs w:val="0"/>
        </w:rPr>
      </w:pPr>
      <w:r w:rsidRPr="000523DD">
        <w:rPr>
          <w:b/>
          <w:bCs w:val="0"/>
        </w:rPr>
        <w:t>OR</w:t>
      </w:r>
    </w:p>
    <w:p w14:paraId="2A1F3B45" w14:textId="77777777" w:rsidR="000523DD" w:rsidRPr="000523DD" w:rsidRDefault="000523DD" w:rsidP="000523DD">
      <w:pPr>
        <w:pStyle w:val="Bullet"/>
      </w:pPr>
      <w:r w:rsidRPr="000523DD">
        <w:t xml:space="preserve">Tobramycin dry powder for inhalation – 112 mg (inhaled) twice daily (every 12 hours) for 2 weeks-28 days. The first dose should be given under supervision prior to discharge, or in Paediatric/Adult Outpatients. </w:t>
      </w:r>
      <w:r w:rsidRPr="000523DD">
        <w:rPr>
          <w:vertAlign w:val="superscript"/>
        </w:rPr>
        <w:t>1</w:t>
      </w:r>
    </w:p>
    <w:p w14:paraId="258B1C3C" w14:textId="3E5622FC" w:rsidR="00AE68AF" w:rsidRDefault="000523DD" w:rsidP="000523DD">
      <w:pPr>
        <w:pStyle w:val="BodyCopy"/>
      </w:pPr>
      <w:r w:rsidRPr="00AB4FF1">
        <w:t xml:space="preserve">If the patient is unwell, or </w:t>
      </w:r>
      <w:r w:rsidRPr="00AB4FF1">
        <w:rPr>
          <w:i/>
        </w:rPr>
        <w:t>Pseudomonas</w:t>
      </w:r>
      <w:r w:rsidRPr="00AB4FF1">
        <w:t xml:space="preserve"> is persistent despite above treatment seek advice from CF physician for either a repeat course or IV antibiotics as per above ‘Empiric Treatment for Major Exacerbation’ regimen. </w:t>
      </w:r>
    </w:p>
    <w:p w14:paraId="4EE83C17" w14:textId="66340663" w:rsidR="000523DD" w:rsidRPr="00AE68AF" w:rsidRDefault="00AE68AF" w:rsidP="00AE68AF">
      <w:pPr>
        <w:spacing w:before="0" w:after="0" w:line="240" w:lineRule="auto"/>
        <w:rPr>
          <w:rFonts w:eastAsia="Times New Roman"/>
          <w:bCs/>
          <w:iCs/>
        </w:rPr>
      </w:pPr>
      <w:r>
        <w:br w:type="page"/>
      </w:r>
    </w:p>
    <w:p w14:paraId="6BDB1F7A" w14:textId="77777777" w:rsidR="000523DD" w:rsidRDefault="000523DD" w:rsidP="000523DD">
      <w:pPr>
        <w:pStyle w:val="Heading5"/>
      </w:pPr>
      <w:r w:rsidRPr="000523DD">
        <w:lastRenderedPageBreak/>
        <w:t>Adjunct therapy</w:t>
      </w:r>
    </w:p>
    <w:p w14:paraId="3D494CD4" w14:textId="77777777" w:rsidR="000523DD" w:rsidRPr="00AE68AF" w:rsidRDefault="000523DD" w:rsidP="000523DD">
      <w:pPr>
        <w:pStyle w:val="BodyCopy"/>
        <w:rPr>
          <w:i/>
          <w:iCs w:val="0"/>
        </w:rPr>
      </w:pPr>
      <w:r w:rsidRPr="00AE68AF">
        <w:rPr>
          <w:i/>
          <w:iCs w:val="0"/>
        </w:rPr>
        <w:t>Macrolide antibiotic an anti-inflammatory agent</w:t>
      </w:r>
    </w:p>
    <w:p w14:paraId="401535FC" w14:textId="77777777" w:rsidR="000523DD" w:rsidRPr="000523DD" w:rsidRDefault="000523DD" w:rsidP="000523DD">
      <w:pPr>
        <w:pStyle w:val="BodyCopy"/>
      </w:pPr>
      <w:r w:rsidRPr="000523DD">
        <w:t>The Respiratory Consultant may prescribe azithromycin (a macrolide antibiotic) for use as an anti-inflammatory agent in CF patients (recommended for use in patients &gt;6yrs of age).</w:t>
      </w:r>
    </w:p>
    <w:p w14:paraId="7142F7C9" w14:textId="77777777" w:rsidR="000523DD" w:rsidRPr="000523DD" w:rsidRDefault="000523DD" w:rsidP="000523DD">
      <w:pPr>
        <w:pStyle w:val="Bullet"/>
        <w:rPr>
          <w:lang w:eastAsia="en-US"/>
        </w:rPr>
      </w:pPr>
      <w:r w:rsidRPr="000523DD">
        <w:rPr>
          <w:lang w:eastAsia="en-US"/>
        </w:rPr>
        <w:t xml:space="preserve">10mg/kg if body weight &lt;15kg three times per week (Monday, Wednesday and Friday (M, W, F)). </w:t>
      </w:r>
    </w:p>
    <w:p w14:paraId="3128D248" w14:textId="77777777" w:rsidR="000523DD" w:rsidRPr="000523DD" w:rsidRDefault="000523DD" w:rsidP="000523DD">
      <w:pPr>
        <w:pStyle w:val="Bullet"/>
        <w:rPr>
          <w:lang w:eastAsia="en-US"/>
        </w:rPr>
      </w:pPr>
      <w:r w:rsidRPr="000523DD">
        <w:rPr>
          <w:lang w:eastAsia="en-US"/>
        </w:rPr>
        <w:t>250mg if body weight 15-40kg three times per week (M, W, F).</w:t>
      </w:r>
    </w:p>
    <w:p w14:paraId="0617DC2B" w14:textId="77777777" w:rsidR="000523DD" w:rsidRPr="000523DD" w:rsidRDefault="000523DD" w:rsidP="000523DD">
      <w:pPr>
        <w:pStyle w:val="Bullet"/>
        <w:rPr>
          <w:lang w:eastAsia="en-US"/>
        </w:rPr>
      </w:pPr>
      <w:r w:rsidRPr="000523DD">
        <w:rPr>
          <w:lang w:eastAsia="en-US"/>
        </w:rPr>
        <w:t>500mg if body weight &gt;40kg three times per week (M, W, F).</w:t>
      </w:r>
    </w:p>
    <w:p w14:paraId="6FCA832E" w14:textId="77777777" w:rsidR="000523DD" w:rsidRPr="009E665D" w:rsidRDefault="000523DD" w:rsidP="000523DD">
      <w:pPr>
        <w:pStyle w:val="BodyCopy"/>
        <w:rPr>
          <w:noProof/>
          <w:vertAlign w:val="superscript"/>
        </w:rPr>
      </w:pPr>
      <w:r w:rsidRPr="00AB4FF1">
        <w:rPr>
          <w:noProof/>
        </w:rPr>
        <w:t xml:space="preserve">When macrolides are used in this way, a </w:t>
      </w:r>
      <w:r w:rsidRPr="00AB4FF1">
        <w:rPr>
          <w:i/>
          <w:noProof/>
        </w:rPr>
        <w:t>NTM</w:t>
      </w:r>
      <w:r w:rsidRPr="00AB4FF1">
        <w:rPr>
          <w:noProof/>
        </w:rPr>
        <w:t xml:space="preserve"> culture should be checked annually. </w:t>
      </w:r>
      <w:r w:rsidRPr="00AB4FF1">
        <w:rPr>
          <w:i/>
          <w:noProof/>
        </w:rPr>
        <w:t>NTM</w:t>
      </w:r>
      <w:r w:rsidRPr="00AB4FF1">
        <w:rPr>
          <w:noProof/>
        </w:rPr>
        <w:t xml:space="preserve"> needs to be specified on the pathology request rather than just mycobacterium.</w:t>
      </w:r>
      <w:r>
        <w:rPr>
          <w:noProof/>
        </w:rPr>
        <w:t xml:space="preserve"> </w:t>
      </w:r>
      <w:r>
        <w:rPr>
          <w:noProof/>
          <w:vertAlign w:val="superscript"/>
        </w:rPr>
        <w:t>1</w:t>
      </w:r>
    </w:p>
    <w:p w14:paraId="6AD7134E" w14:textId="77777777" w:rsidR="000523DD" w:rsidRPr="00AB4FF1" w:rsidRDefault="000523DD" w:rsidP="000523DD">
      <w:pPr>
        <w:pStyle w:val="BodyCopy"/>
      </w:pPr>
      <w:r w:rsidRPr="00AB4FF1">
        <w:t xml:space="preserve">If prescribing for an inpatient, the AMS team will approve azithromycin prescriptions according to the above criteria or in discussion with the admitting staff specialist for other circumstances. AMS Approval should be sought before Day 3 of initiation </w:t>
      </w:r>
      <w:r>
        <w:t xml:space="preserve">as </w:t>
      </w:r>
      <w:r w:rsidRPr="00AB4FF1">
        <w:t>per the CHS Antimicrobial Stewardship Procedure.</w:t>
      </w:r>
    </w:p>
    <w:p w14:paraId="483FB097" w14:textId="77777777" w:rsidR="000523DD" w:rsidRPr="00AE68AF" w:rsidRDefault="000523DD" w:rsidP="000523DD">
      <w:pPr>
        <w:rPr>
          <w:rFonts w:asciiTheme="minorHAnsi" w:hAnsiTheme="minorHAnsi"/>
          <w:i/>
          <w:noProof/>
        </w:rPr>
      </w:pPr>
      <w:r w:rsidRPr="00AE68AF">
        <w:rPr>
          <w:rFonts w:asciiTheme="minorHAnsi" w:hAnsiTheme="minorHAnsi"/>
          <w:i/>
          <w:noProof/>
        </w:rPr>
        <w:t>Hypertonic saline inhalation</w:t>
      </w:r>
    </w:p>
    <w:p w14:paraId="24C41D7A" w14:textId="103687F5" w:rsidR="000523DD" w:rsidRPr="000523DD" w:rsidRDefault="000523DD" w:rsidP="000523DD">
      <w:pPr>
        <w:pStyle w:val="BodyCopy"/>
      </w:pPr>
      <w:r w:rsidRPr="000523DD">
        <w:t>Often used to aid mucus clearance in patients with frequent respiratory tract infections.5mL of solution (</w:t>
      </w:r>
      <w:proofErr w:type="spellStart"/>
      <w:r w:rsidRPr="000523DD">
        <w:t>HyperSal</w:t>
      </w:r>
      <w:proofErr w:type="spellEnd"/>
      <w:r w:rsidRPr="000523DD">
        <w:t xml:space="preserve"> 6% ™) nebulised, before physio, twice a day, often decreased to once a day when well.  In Paediatrics, commence at 3% hypertonic saline by diluting 2.5 mL of </w:t>
      </w:r>
      <w:proofErr w:type="spellStart"/>
      <w:r w:rsidRPr="000523DD">
        <w:t>HyperSal</w:t>
      </w:r>
      <w:proofErr w:type="spellEnd"/>
      <w:r w:rsidRPr="000523DD">
        <w:t xml:space="preserve"> 6% with 2.5 mL of sterile water and nebulise the 5mL of 3% solution. Grade up to 6% hypertonic saline over a period of approximately 3 weeks. In adults, commence as ordered by the Respiratory Physician. Hypertonic saline must be prescribed by the medical team. </w:t>
      </w:r>
    </w:p>
    <w:p w14:paraId="5D4B2727" w14:textId="0F7173C0" w:rsidR="000523DD" w:rsidRPr="000523DD" w:rsidRDefault="000523DD" w:rsidP="000523DD">
      <w:pPr>
        <w:pStyle w:val="BodyCopy"/>
      </w:pPr>
      <w:r w:rsidRPr="000523DD">
        <w:t>Hypertonic saline may cause or aggravate bronchoconstriction, therefore is often administered following bronchodilator therapy.</w:t>
      </w:r>
    </w:p>
    <w:p w14:paraId="461EAAE6" w14:textId="77777777" w:rsidR="003150CA" w:rsidRPr="00AE68AF" w:rsidRDefault="003150CA" w:rsidP="003150CA">
      <w:pPr>
        <w:pStyle w:val="BodyCopy"/>
        <w:rPr>
          <w:i/>
          <w:iCs w:val="0"/>
        </w:rPr>
      </w:pPr>
      <w:r w:rsidRPr="00AE68AF">
        <w:rPr>
          <w:i/>
          <w:iCs w:val="0"/>
          <w:noProof/>
        </w:rPr>
        <w:t>Pulmozyme</w:t>
      </w:r>
      <w:r w:rsidRPr="00AE68AF">
        <w:rPr>
          <w:i/>
          <w:iCs w:val="0"/>
        </w:rPr>
        <w:t>™</w:t>
      </w:r>
    </w:p>
    <w:p w14:paraId="728C03F1" w14:textId="5803D7C9" w:rsidR="003150CA" w:rsidRPr="003150CA" w:rsidRDefault="003150CA" w:rsidP="003150CA">
      <w:pPr>
        <w:pStyle w:val="BodyCopy"/>
      </w:pPr>
      <w:r w:rsidRPr="003150CA">
        <w:t xml:space="preserve">For children over the age of 5 years who use </w:t>
      </w:r>
      <w:proofErr w:type="spellStart"/>
      <w:r w:rsidRPr="003150CA">
        <w:t>Pulmozyme</w:t>
      </w:r>
      <w:proofErr w:type="spellEnd"/>
      <w:r w:rsidRPr="003150CA">
        <w:t>™ at home, or at discretion of treating team, 2.5mg daily.</w:t>
      </w:r>
      <w:r w:rsidRPr="003150CA">
        <w:rPr>
          <w:vertAlign w:val="superscript"/>
        </w:rPr>
        <w:t xml:space="preserve">3 </w:t>
      </w:r>
    </w:p>
    <w:p w14:paraId="364CDA18" w14:textId="07CD4111" w:rsidR="003150CA" w:rsidRPr="00AE68AF" w:rsidRDefault="003150CA" w:rsidP="003150CA">
      <w:pPr>
        <w:pStyle w:val="BodyCopy"/>
        <w:rPr>
          <w:i/>
          <w:iCs w:val="0"/>
          <w:noProof/>
        </w:rPr>
      </w:pPr>
      <w:r w:rsidRPr="00AE68AF">
        <w:rPr>
          <w:i/>
          <w:iCs w:val="0"/>
          <w:noProof/>
        </w:rPr>
        <w:t>CFTR – modulator</w:t>
      </w:r>
    </w:p>
    <w:p w14:paraId="592F1B5C" w14:textId="77777777" w:rsidR="003150CA" w:rsidRPr="003150CA" w:rsidRDefault="003150CA" w:rsidP="003150CA">
      <w:pPr>
        <w:pStyle w:val="BodyCopy"/>
      </w:pPr>
      <w:r w:rsidRPr="003150CA">
        <w:t>CFTR modulators should be charted for inpatients, using own supply.</w:t>
      </w:r>
    </w:p>
    <w:p w14:paraId="62702AAA" w14:textId="77777777" w:rsidR="003150CA" w:rsidRDefault="003150CA" w:rsidP="003150CA">
      <w:pPr>
        <w:pStyle w:val="Heading4"/>
        <w:rPr>
          <w:noProof/>
        </w:rPr>
      </w:pPr>
      <w:bookmarkStart w:id="24" w:name="_Toc30582185"/>
      <w:bookmarkStart w:id="25" w:name="_Toc175924722"/>
      <w:r w:rsidRPr="003150CA">
        <w:rPr>
          <w:noProof/>
        </w:rPr>
        <w:t>1.4 Vitamin Supplementation</w:t>
      </w:r>
      <w:bookmarkEnd w:id="24"/>
      <w:bookmarkEnd w:id="25"/>
    </w:p>
    <w:p w14:paraId="5CB30496" w14:textId="77777777" w:rsidR="003150CA" w:rsidRDefault="003150CA" w:rsidP="003150CA">
      <w:pPr>
        <w:pStyle w:val="BodyCopy"/>
      </w:pPr>
      <w:r w:rsidRPr="003150CA">
        <w:t>Vitamin supplementation is divided into two categories:</w:t>
      </w:r>
    </w:p>
    <w:p w14:paraId="43ADE462" w14:textId="77777777" w:rsidR="003150CA" w:rsidRPr="003150CA" w:rsidRDefault="003150CA" w:rsidP="003150CA">
      <w:pPr>
        <w:pStyle w:val="Heading5"/>
        <w:rPr>
          <w:vertAlign w:val="superscript"/>
        </w:rPr>
      </w:pPr>
      <w:r w:rsidRPr="003150CA">
        <w:t>A) Prophylactic supplementation</w:t>
      </w:r>
    </w:p>
    <w:p w14:paraId="20026A32" w14:textId="77777777" w:rsidR="003150CA" w:rsidRPr="003150CA" w:rsidRDefault="003150CA" w:rsidP="003150CA">
      <w:pPr>
        <w:pStyle w:val="BodyCopy"/>
      </w:pPr>
      <w:r w:rsidRPr="003150CA">
        <w:t xml:space="preserve">Baseline supplementation of fat-soluble vitamins is necessary in all patients who are pancreatic insufficient (PI) and may also be necessary in those who are pancreatic sufficient </w:t>
      </w:r>
      <w:r w:rsidRPr="003150CA">
        <w:lastRenderedPageBreak/>
        <w:t xml:space="preserve">(PS) as guided by blood results. Factors that may contribute to deficiencies include poor nutritional intake, malabsorption, increased utilisation </w:t>
      </w:r>
      <w:proofErr w:type="gramStart"/>
      <w:r w:rsidRPr="003150CA">
        <w:t>as a result of</w:t>
      </w:r>
      <w:proofErr w:type="gramEnd"/>
      <w:r w:rsidRPr="003150CA">
        <w:t xml:space="preserve"> increased oxidative stress, liver disease, late diagnosis and poor adherence to therapy.</w:t>
      </w:r>
    </w:p>
    <w:p w14:paraId="3B727DED" w14:textId="77777777" w:rsidR="003150CA" w:rsidRPr="003150CA" w:rsidRDefault="003150CA" w:rsidP="003150CA">
      <w:pPr>
        <w:pStyle w:val="BodyCopy"/>
        <w:rPr>
          <w:b/>
          <w:bCs w:val="0"/>
        </w:rPr>
      </w:pPr>
      <w:r w:rsidRPr="003150CA">
        <w:rPr>
          <w:b/>
          <w:bCs w:val="0"/>
        </w:rPr>
        <w:t xml:space="preserve">Recommended starting doses for Vitamin Supplementation in individuals with pancreatic insufficiency CF (individual dosage to be prescribed by treating team/dietitian) </w:t>
      </w:r>
    </w:p>
    <w:tbl>
      <w:tblPr>
        <w:tblW w:w="10173"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2126"/>
        <w:gridCol w:w="2126"/>
        <w:gridCol w:w="2126"/>
        <w:gridCol w:w="2127"/>
      </w:tblGrid>
      <w:tr w:rsidR="00AB613F" w:rsidRPr="003150CA" w14:paraId="0401487A" w14:textId="77777777" w:rsidTr="00AB613F">
        <w:tc>
          <w:tcPr>
            <w:tcW w:w="1668" w:type="dxa"/>
            <w:tcBorders>
              <w:top w:val="single" w:sz="4" w:space="0" w:color="auto"/>
              <w:bottom w:val="single" w:sz="4" w:space="0" w:color="auto"/>
              <w:right w:val="single" w:sz="4" w:space="0" w:color="auto"/>
            </w:tcBorders>
            <w:shd w:val="clear" w:color="auto" w:fill="D9D9D9"/>
          </w:tcPr>
          <w:p w14:paraId="32223E95" w14:textId="77777777" w:rsidR="003150CA" w:rsidRPr="003150CA" w:rsidRDefault="003150CA" w:rsidP="003150CA">
            <w:pPr>
              <w:pStyle w:val="Tablebody"/>
            </w:pPr>
            <w:r w:rsidRPr="003150CA">
              <w:t>Age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66C7A534" w14:textId="77777777" w:rsidR="003150CA" w:rsidRPr="003150CA" w:rsidRDefault="003150CA" w:rsidP="003150CA">
            <w:pPr>
              <w:pStyle w:val="Tablebody"/>
            </w:pPr>
            <w:r w:rsidRPr="003150CA">
              <w:t xml:space="preserve">Vitamin A (Units) </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1419BC3F" w14:textId="77777777" w:rsidR="003150CA" w:rsidRPr="003150CA" w:rsidRDefault="003150CA" w:rsidP="003150CA">
            <w:pPr>
              <w:pStyle w:val="Tablebody"/>
            </w:pPr>
            <w:r w:rsidRPr="003150CA">
              <w:t xml:space="preserve">Vitamin D (Units) </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3A577622" w14:textId="77777777" w:rsidR="003150CA" w:rsidRPr="003150CA" w:rsidRDefault="003150CA" w:rsidP="003150CA">
            <w:pPr>
              <w:pStyle w:val="Tablebody"/>
            </w:pPr>
            <w:r w:rsidRPr="003150CA">
              <w:t xml:space="preserve">Vitamin E (Units) </w:t>
            </w:r>
          </w:p>
        </w:tc>
        <w:tc>
          <w:tcPr>
            <w:tcW w:w="2127" w:type="dxa"/>
            <w:tcBorders>
              <w:top w:val="single" w:sz="4" w:space="0" w:color="auto"/>
              <w:left w:val="single" w:sz="4" w:space="0" w:color="auto"/>
              <w:bottom w:val="single" w:sz="4" w:space="0" w:color="auto"/>
            </w:tcBorders>
            <w:shd w:val="clear" w:color="auto" w:fill="D9D9D9"/>
          </w:tcPr>
          <w:p w14:paraId="485BC780" w14:textId="77777777" w:rsidR="003150CA" w:rsidRPr="003150CA" w:rsidRDefault="003150CA" w:rsidP="003150CA">
            <w:pPr>
              <w:pStyle w:val="Tablebody"/>
            </w:pPr>
            <w:r w:rsidRPr="003150CA">
              <w:t xml:space="preserve">Vitamin K (Units)  </w:t>
            </w:r>
          </w:p>
        </w:tc>
      </w:tr>
      <w:tr w:rsidR="00AB613F" w:rsidRPr="003150CA" w14:paraId="0D1D056C" w14:textId="77777777" w:rsidTr="00AB613F">
        <w:tc>
          <w:tcPr>
            <w:tcW w:w="1668" w:type="dxa"/>
            <w:tcBorders>
              <w:top w:val="single" w:sz="4" w:space="0" w:color="auto"/>
              <w:bottom w:val="single" w:sz="4" w:space="0" w:color="auto"/>
              <w:right w:val="single" w:sz="4" w:space="0" w:color="auto"/>
            </w:tcBorders>
          </w:tcPr>
          <w:p w14:paraId="40463508" w14:textId="77777777" w:rsidR="003150CA" w:rsidRPr="003150CA" w:rsidRDefault="003150CA" w:rsidP="003150CA">
            <w:pPr>
              <w:pStyle w:val="Tablebody"/>
            </w:pPr>
            <w:r w:rsidRPr="003150CA">
              <w:t>infants</w:t>
            </w:r>
          </w:p>
        </w:tc>
        <w:tc>
          <w:tcPr>
            <w:tcW w:w="2126" w:type="dxa"/>
            <w:tcBorders>
              <w:top w:val="single" w:sz="4" w:space="0" w:color="auto"/>
              <w:left w:val="single" w:sz="4" w:space="0" w:color="auto"/>
              <w:bottom w:val="single" w:sz="4" w:space="0" w:color="auto"/>
              <w:right w:val="single" w:sz="4" w:space="0" w:color="auto"/>
            </w:tcBorders>
          </w:tcPr>
          <w:p w14:paraId="606D3D09" w14:textId="77777777" w:rsidR="003150CA" w:rsidRPr="003150CA" w:rsidRDefault="003150CA" w:rsidP="003150CA">
            <w:pPr>
              <w:pStyle w:val="Tablebody"/>
            </w:pPr>
            <w:r w:rsidRPr="003150CA">
              <w:t>1500-2000</w:t>
            </w:r>
          </w:p>
        </w:tc>
        <w:tc>
          <w:tcPr>
            <w:tcW w:w="2126" w:type="dxa"/>
            <w:tcBorders>
              <w:top w:val="single" w:sz="4" w:space="0" w:color="auto"/>
              <w:left w:val="single" w:sz="4" w:space="0" w:color="auto"/>
              <w:bottom w:val="single" w:sz="4" w:space="0" w:color="auto"/>
              <w:right w:val="single" w:sz="4" w:space="0" w:color="auto"/>
            </w:tcBorders>
          </w:tcPr>
          <w:p w14:paraId="59CB66E6" w14:textId="77777777" w:rsidR="003150CA" w:rsidRPr="003150CA" w:rsidRDefault="003150CA" w:rsidP="003150CA">
            <w:pPr>
              <w:pStyle w:val="Tablebody"/>
            </w:pPr>
            <w:r w:rsidRPr="003150CA">
              <w:t>400-1000</w:t>
            </w:r>
          </w:p>
        </w:tc>
        <w:tc>
          <w:tcPr>
            <w:tcW w:w="2126" w:type="dxa"/>
            <w:tcBorders>
              <w:top w:val="single" w:sz="4" w:space="0" w:color="auto"/>
              <w:left w:val="single" w:sz="4" w:space="0" w:color="auto"/>
              <w:bottom w:val="single" w:sz="4" w:space="0" w:color="auto"/>
              <w:right w:val="single" w:sz="4" w:space="0" w:color="auto"/>
            </w:tcBorders>
          </w:tcPr>
          <w:p w14:paraId="6B375D38" w14:textId="77777777" w:rsidR="003150CA" w:rsidRPr="003150CA" w:rsidRDefault="003150CA" w:rsidP="003150CA">
            <w:pPr>
              <w:pStyle w:val="Tablebody"/>
            </w:pPr>
            <w:r w:rsidRPr="003150CA">
              <w:t>40-80</w:t>
            </w:r>
          </w:p>
        </w:tc>
        <w:tc>
          <w:tcPr>
            <w:tcW w:w="2127" w:type="dxa"/>
            <w:tcBorders>
              <w:top w:val="single" w:sz="4" w:space="0" w:color="auto"/>
              <w:left w:val="single" w:sz="4" w:space="0" w:color="auto"/>
              <w:bottom w:val="single" w:sz="4" w:space="0" w:color="auto"/>
            </w:tcBorders>
          </w:tcPr>
          <w:p w14:paraId="46001B1D" w14:textId="77777777" w:rsidR="003150CA" w:rsidRPr="003150CA" w:rsidRDefault="003150CA" w:rsidP="003150CA">
            <w:pPr>
              <w:pStyle w:val="Tablebody"/>
            </w:pPr>
            <w:r w:rsidRPr="003150CA">
              <w:t>300-1000</w:t>
            </w:r>
          </w:p>
        </w:tc>
      </w:tr>
      <w:tr w:rsidR="00AB613F" w:rsidRPr="003150CA" w14:paraId="3206B2F6" w14:textId="77777777" w:rsidTr="00AB613F">
        <w:tc>
          <w:tcPr>
            <w:tcW w:w="1668" w:type="dxa"/>
            <w:tcBorders>
              <w:top w:val="single" w:sz="4" w:space="0" w:color="auto"/>
              <w:bottom w:val="single" w:sz="4" w:space="0" w:color="auto"/>
              <w:right w:val="single" w:sz="4" w:space="0" w:color="auto"/>
            </w:tcBorders>
          </w:tcPr>
          <w:p w14:paraId="2D65CA91" w14:textId="77777777" w:rsidR="003150CA" w:rsidRPr="003150CA" w:rsidRDefault="003150CA" w:rsidP="003150CA">
            <w:pPr>
              <w:pStyle w:val="Tablebody"/>
            </w:pPr>
            <w:r w:rsidRPr="003150CA">
              <w:t>young children</w:t>
            </w:r>
          </w:p>
        </w:tc>
        <w:tc>
          <w:tcPr>
            <w:tcW w:w="2126" w:type="dxa"/>
            <w:tcBorders>
              <w:top w:val="single" w:sz="4" w:space="0" w:color="auto"/>
              <w:left w:val="single" w:sz="4" w:space="0" w:color="auto"/>
              <w:bottom w:val="single" w:sz="4" w:space="0" w:color="auto"/>
              <w:right w:val="single" w:sz="4" w:space="0" w:color="auto"/>
            </w:tcBorders>
          </w:tcPr>
          <w:p w14:paraId="3518D758" w14:textId="77777777" w:rsidR="003150CA" w:rsidRPr="003150CA" w:rsidRDefault="003150CA" w:rsidP="003150CA">
            <w:pPr>
              <w:pStyle w:val="Tablebody"/>
            </w:pPr>
            <w:r w:rsidRPr="003150CA">
              <w:t>1500-5000</w:t>
            </w:r>
          </w:p>
        </w:tc>
        <w:tc>
          <w:tcPr>
            <w:tcW w:w="2126" w:type="dxa"/>
            <w:tcBorders>
              <w:top w:val="single" w:sz="4" w:space="0" w:color="auto"/>
              <w:left w:val="single" w:sz="4" w:space="0" w:color="auto"/>
              <w:bottom w:val="single" w:sz="4" w:space="0" w:color="auto"/>
              <w:right w:val="single" w:sz="4" w:space="0" w:color="auto"/>
            </w:tcBorders>
          </w:tcPr>
          <w:p w14:paraId="150A2D6D" w14:textId="77777777" w:rsidR="003150CA" w:rsidRPr="003150CA" w:rsidRDefault="003150CA" w:rsidP="003150CA">
            <w:pPr>
              <w:pStyle w:val="Tablebody"/>
            </w:pPr>
            <w:r w:rsidRPr="003150CA">
              <w:t>800-2000</w:t>
            </w:r>
          </w:p>
        </w:tc>
        <w:tc>
          <w:tcPr>
            <w:tcW w:w="2126" w:type="dxa"/>
            <w:tcBorders>
              <w:top w:val="single" w:sz="4" w:space="0" w:color="auto"/>
              <w:left w:val="single" w:sz="4" w:space="0" w:color="auto"/>
              <w:bottom w:val="single" w:sz="4" w:space="0" w:color="auto"/>
              <w:right w:val="single" w:sz="4" w:space="0" w:color="auto"/>
            </w:tcBorders>
          </w:tcPr>
          <w:p w14:paraId="427D7C00" w14:textId="77777777" w:rsidR="003150CA" w:rsidRPr="003150CA" w:rsidRDefault="003150CA" w:rsidP="003150CA">
            <w:pPr>
              <w:pStyle w:val="Tablebody"/>
            </w:pPr>
            <w:r w:rsidRPr="003150CA">
              <w:t>50-150</w:t>
            </w:r>
          </w:p>
        </w:tc>
        <w:tc>
          <w:tcPr>
            <w:tcW w:w="2127" w:type="dxa"/>
            <w:tcBorders>
              <w:top w:val="single" w:sz="4" w:space="0" w:color="auto"/>
              <w:left w:val="single" w:sz="4" w:space="0" w:color="auto"/>
              <w:bottom w:val="single" w:sz="4" w:space="0" w:color="auto"/>
            </w:tcBorders>
          </w:tcPr>
          <w:p w14:paraId="630AD7D3" w14:textId="77777777" w:rsidR="003150CA" w:rsidRPr="003150CA" w:rsidRDefault="003150CA" w:rsidP="003150CA">
            <w:pPr>
              <w:pStyle w:val="Tablebody"/>
            </w:pPr>
            <w:r w:rsidRPr="003150CA">
              <w:t>1000-10,000</w:t>
            </w:r>
          </w:p>
        </w:tc>
      </w:tr>
      <w:tr w:rsidR="00AB613F" w:rsidRPr="003150CA" w14:paraId="5CCF1092" w14:textId="77777777" w:rsidTr="00AB613F">
        <w:tc>
          <w:tcPr>
            <w:tcW w:w="1668" w:type="dxa"/>
            <w:tcBorders>
              <w:top w:val="single" w:sz="4" w:space="0" w:color="auto"/>
              <w:bottom w:val="single" w:sz="4" w:space="0" w:color="auto"/>
              <w:right w:val="single" w:sz="4" w:space="0" w:color="auto"/>
            </w:tcBorders>
          </w:tcPr>
          <w:p w14:paraId="460C6421" w14:textId="77777777" w:rsidR="003150CA" w:rsidRPr="003150CA" w:rsidDel="00F47D93" w:rsidRDefault="003150CA" w:rsidP="003150CA">
            <w:pPr>
              <w:pStyle w:val="Tablebody"/>
            </w:pPr>
            <w:r w:rsidRPr="003150CA">
              <w:t>older children</w:t>
            </w:r>
          </w:p>
        </w:tc>
        <w:tc>
          <w:tcPr>
            <w:tcW w:w="2126" w:type="dxa"/>
            <w:tcBorders>
              <w:top w:val="single" w:sz="4" w:space="0" w:color="auto"/>
              <w:left w:val="single" w:sz="4" w:space="0" w:color="auto"/>
              <w:bottom w:val="single" w:sz="4" w:space="0" w:color="auto"/>
              <w:right w:val="single" w:sz="4" w:space="0" w:color="auto"/>
            </w:tcBorders>
          </w:tcPr>
          <w:p w14:paraId="646A1AE1" w14:textId="77777777" w:rsidR="003150CA" w:rsidRPr="003150CA" w:rsidRDefault="003150CA" w:rsidP="003150CA">
            <w:pPr>
              <w:pStyle w:val="Tablebody"/>
            </w:pPr>
            <w:r w:rsidRPr="003150CA">
              <w:t>2500-5000</w:t>
            </w:r>
          </w:p>
        </w:tc>
        <w:tc>
          <w:tcPr>
            <w:tcW w:w="2126" w:type="dxa"/>
            <w:tcBorders>
              <w:top w:val="single" w:sz="4" w:space="0" w:color="auto"/>
              <w:left w:val="single" w:sz="4" w:space="0" w:color="auto"/>
              <w:bottom w:val="single" w:sz="4" w:space="0" w:color="auto"/>
              <w:right w:val="single" w:sz="4" w:space="0" w:color="auto"/>
            </w:tcBorders>
          </w:tcPr>
          <w:p w14:paraId="55962239" w14:textId="77777777" w:rsidR="003150CA" w:rsidRPr="003150CA" w:rsidRDefault="003150CA" w:rsidP="003150CA">
            <w:pPr>
              <w:pStyle w:val="Tablebody"/>
            </w:pPr>
            <w:r w:rsidRPr="003150CA">
              <w:t>800-4000</w:t>
            </w:r>
          </w:p>
        </w:tc>
        <w:tc>
          <w:tcPr>
            <w:tcW w:w="2126" w:type="dxa"/>
            <w:tcBorders>
              <w:top w:val="single" w:sz="4" w:space="0" w:color="auto"/>
              <w:left w:val="single" w:sz="4" w:space="0" w:color="auto"/>
              <w:bottom w:val="single" w:sz="4" w:space="0" w:color="auto"/>
              <w:right w:val="single" w:sz="4" w:space="0" w:color="auto"/>
            </w:tcBorders>
          </w:tcPr>
          <w:p w14:paraId="7BABC18A" w14:textId="77777777" w:rsidR="003150CA" w:rsidRPr="003150CA" w:rsidRDefault="003150CA" w:rsidP="003150CA">
            <w:pPr>
              <w:pStyle w:val="Tablebody"/>
            </w:pPr>
            <w:r w:rsidRPr="003150CA">
              <w:t>150-300</w:t>
            </w:r>
          </w:p>
        </w:tc>
        <w:tc>
          <w:tcPr>
            <w:tcW w:w="2127" w:type="dxa"/>
            <w:tcBorders>
              <w:top w:val="single" w:sz="4" w:space="0" w:color="auto"/>
              <w:left w:val="single" w:sz="4" w:space="0" w:color="auto"/>
              <w:bottom w:val="single" w:sz="4" w:space="0" w:color="auto"/>
            </w:tcBorders>
          </w:tcPr>
          <w:p w14:paraId="072CCD5D" w14:textId="77777777" w:rsidR="003150CA" w:rsidRPr="003150CA" w:rsidRDefault="003150CA" w:rsidP="003150CA">
            <w:pPr>
              <w:pStyle w:val="Tablebody"/>
            </w:pPr>
            <w:r w:rsidRPr="003150CA">
              <w:t>1000-10,000</w:t>
            </w:r>
          </w:p>
        </w:tc>
      </w:tr>
      <w:tr w:rsidR="00AB613F" w:rsidRPr="003150CA" w14:paraId="152D22B2" w14:textId="77777777" w:rsidTr="00AB613F">
        <w:tc>
          <w:tcPr>
            <w:tcW w:w="1668" w:type="dxa"/>
            <w:tcBorders>
              <w:top w:val="single" w:sz="4" w:space="0" w:color="auto"/>
              <w:bottom w:val="single" w:sz="4" w:space="0" w:color="auto"/>
              <w:right w:val="single" w:sz="4" w:space="0" w:color="auto"/>
            </w:tcBorders>
          </w:tcPr>
          <w:p w14:paraId="0EBB9C31" w14:textId="77777777" w:rsidR="003150CA" w:rsidRPr="003150CA" w:rsidRDefault="003150CA" w:rsidP="003150CA">
            <w:pPr>
              <w:pStyle w:val="Tablebody"/>
            </w:pPr>
            <w:r w:rsidRPr="003150CA">
              <w:t>adolescents and adults</w:t>
            </w:r>
          </w:p>
        </w:tc>
        <w:tc>
          <w:tcPr>
            <w:tcW w:w="2126" w:type="dxa"/>
            <w:tcBorders>
              <w:top w:val="single" w:sz="4" w:space="0" w:color="auto"/>
              <w:left w:val="single" w:sz="4" w:space="0" w:color="auto"/>
              <w:bottom w:val="single" w:sz="4" w:space="0" w:color="auto"/>
              <w:right w:val="single" w:sz="4" w:space="0" w:color="auto"/>
            </w:tcBorders>
          </w:tcPr>
          <w:p w14:paraId="4E63AD89" w14:textId="77777777" w:rsidR="003150CA" w:rsidRPr="003150CA" w:rsidRDefault="003150CA" w:rsidP="003150CA">
            <w:pPr>
              <w:pStyle w:val="Tablebody"/>
            </w:pPr>
            <w:r w:rsidRPr="003150CA">
              <w:t>2500-5000</w:t>
            </w:r>
          </w:p>
        </w:tc>
        <w:tc>
          <w:tcPr>
            <w:tcW w:w="2126" w:type="dxa"/>
            <w:tcBorders>
              <w:top w:val="single" w:sz="4" w:space="0" w:color="auto"/>
              <w:left w:val="single" w:sz="4" w:space="0" w:color="auto"/>
              <w:bottom w:val="single" w:sz="4" w:space="0" w:color="auto"/>
              <w:right w:val="single" w:sz="4" w:space="0" w:color="auto"/>
            </w:tcBorders>
          </w:tcPr>
          <w:p w14:paraId="61054147" w14:textId="77777777" w:rsidR="003150CA" w:rsidRPr="003150CA" w:rsidRDefault="003150CA" w:rsidP="003150CA">
            <w:pPr>
              <w:pStyle w:val="Tablebody"/>
            </w:pPr>
            <w:r w:rsidRPr="003150CA">
              <w:t>800-4000</w:t>
            </w:r>
          </w:p>
        </w:tc>
        <w:tc>
          <w:tcPr>
            <w:tcW w:w="2126" w:type="dxa"/>
            <w:tcBorders>
              <w:top w:val="single" w:sz="4" w:space="0" w:color="auto"/>
              <w:left w:val="single" w:sz="4" w:space="0" w:color="auto"/>
              <w:bottom w:val="single" w:sz="4" w:space="0" w:color="auto"/>
              <w:right w:val="single" w:sz="4" w:space="0" w:color="auto"/>
            </w:tcBorders>
          </w:tcPr>
          <w:p w14:paraId="21A618D6" w14:textId="77777777" w:rsidR="003150CA" w:rsidRPr="003150CA" w:rsidRDefault="003150CA" w:rsidP="003150CA">
            <w:pPr>
              <w:pStyle w:val="Tablebody"/>
            </w:pPr>
            <w:r w:rsidRPr="003150CA">
              <w:t>150-500</w:t>
            </w:r>
          </w:p>
        </w:tc>
        <w:tc>
          <w:tcPr>
            <w:tcW w:w="2127" w:type="dxa"/>
            <w:tcBorders>
              <w:top w:val="single" w:sz="4" w:space="0" w:color="auto"/>
              <w:left w:val="single" w:sz="4" w:space="0" w:color="auto"/>
              <w:bottom w:val="single" w:sz="4" w:space="0" w:color="auto"/>
            </w:tcBorders>
          </w:tcPr>
          <w:p w14:paraId="7C138DA0" w14:textId="77777777" w:rsidR="003150CA" w:rsidRPr="003150CA" w:rsidRDefault="003150CA" w:rsidP="003150CA">
            <w:pPr>
              <w:pStyle w:val="Tablebody"/>
            </w:pPr>
            <w:r w:rsidRPr="003150CA">
              <w:t>1000-10,000</w:t>
            </w:r>
          </w:p>
        </w:tc>
      </w:tr>
    </w:tbl>
    <w:p w14:paraId="30F560CE" w14:textId="77777777" w:rsidR="003150CA" w:rsidRPr="00AE68AF" w:rsidRDefault="003150CA" w:rsidP="003150CA">
      <w:pPr>
        <w:pStyle w:val="BodyCopy"/>
      </w:pPr>
      <w:r w:rsidRPr="00AE68AF">
        <w:t xml:space="preserve">Data taken from </w:t>
      </w:r>
      <w:r w:rsidRPr="00AE68AF">
        <w:rPr>
          <w:i/>
          <w:iCs w:val="0"/>
        </w:rPr>
        <w:t>Nutrition guidelines for cystic fibrosis in Australia and New Zealand</w:t>
      </w:r>
      <w:r w:rsidRPr="00AE68AF">
        <w:t>, August 2017</w:t>
      </w:r>
    </w:p>
    <w:p w14:paraId="58A458AF" w14:textId="77777777" w:rsidR="003150CA" w:rsidRPr="003150CA" w:rsidRDefault="003150CA" w:rsidP="003150CA">
      <w:pPr>
        <w:pStyle w:val="BodyCopy"/>
      </w:pPr>
      <w:r w:rsidRPr="003150CA">
        <w:t>In newly diagnosed infants the following doses provide fat soluble vitamin supplementation in line with the recommendations above (except for vitamin K):</w:t>
      </w:r>
    </w:p>
    <w:p w14:paraId="75EB4196" w14:textId="77777777" w:rsidR="00AB613F" w:rsidRDefault="00AB613F" w:rsidP="00AB613F">
      <w:pPr>
        <w:pStyle w:val="Bullet"/>
      </w:pPr>
      <w:r w:rsidRPr="00AB613F">
        <w:t xml:space="preserve">0.45mL (for less than 12 months) or 0.9mL (for children 1 to 3 years) </w:t>
      </w:r>
      <w:proofErr w:type="spellStart"/>
      <w:r w:rsidRPr="00AB613F">
        <w:rPr>
          <w:b/>
        </w:rPr>
        <w:t>Pentavite</w:t>
      </w:r>
      <w:proofErr w:type="spellEnd"/>
      <w:r w:rsidRPr="00AB613F">
        <w:rPr>
          <w:b/>
          <w:vertAlign w:val="superscript"/>
        </w:rPr>
        <w:t>®</w:t>
      </w:r>
      <w:r w:rsidRPr="00AB613F">
        <w:rPr>
          <w:vertAlign w:val="superscript"/>
        </w:rPr>
        <w:t xml:space="preserve"> </w:t>
      </w:r>
      <w:r w:rsidRPr="00AB613F">
        <w:t xml:space="preserve">(contains vitamin A and D) + 0.5mL </w:t>
      </w:r>
      <w:proofErr w:type="spellStart"/>
      <w:r w:rsidRPr="00AB613F">
        <w:rPr>
          <w:b/>
        </w:rPr>
        <w:t>Micel</w:t>
      </w:r>
      <w:proofErr w:type="spellEnd"/>
      <w:r w:rsidRPr="00AB613F">
        <w:rPr>
          <w:b/>
        </w:rPr>
        <w:t xml:space="preserve"> E</w:t>
      </w:r>
      <w:r w:rsidRPr="00AB613F">
        <w:rPr>
          <w:b/>
          <w:vertAlign w:val="superscript"/>
        </w:rPr>
        <w:t>®</w:t>
      </w:r>
      <w:r w:rsidRPr="00AB613F">
        <w:rPr>
          <w:b/>
        </w:rPr>
        <w:t xml:space="preserve"> </w:t>
      </w:r>
      <w:r w:rsidRPr="00AB613F">
        <w:t xml:space="preserve">oral daily. This provides 1620 units of vitamin A, 405 units vitamin D and 78 units vitamin E. </w:t>
      </w:r>
    </w:p>
    <w:p w14:paraId="6B604398" w14:textId="65856F6C" w:rsidR="00AB613F" w:rsidRPr="00AB4FF1" w:rsidRDefault="00AB613F" w:rsidP="00AB613F">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AB4FF1">
        <w:rPr>
          <w:b/>
        </w:rPr>
        <w:t>Note</w:t>
      </w:r>
      <w:r w:rsidRPr="00AB4FF1">
        <w:t>: vitamin levels need to be checked to ensure adequacy of supplementation. This needs to take place during a period of clinical stability (vitamins A and E act as antioxidants and will be lower during periods of oxidative stress).</w:t>
      </w:r>
    </w:p>
    <w:p w14:paraId="0D23EA89" w14:textId="77777777" w:rsidR="00AB613F" w:rsidRPr="00AB613F" w:rsidRDefault="00AB613F" w:rsidP="00AB613F">
      <w:pPr>
        <w:pStyle w:val="BodyCopy"/>
      </w:pPr>
      <w:proofErr w:type="spellStart"/>
      <w:r w:rsidRPr="00AB613F">
        <w:rPr>
          <w:b/>
        </w:rPr>
        <w:t>VitABDECK</w:t>
      </w:r>
      <w:proofErr w:type="spellEnd"/>
      <w:r w:rsidRPr="00AB613F">
        <w:rPr>
          <w:b/>
          <w:vertAlign w:val="superscript"/>
        </w:rPr>
        <w:t>®</w:t>
      </w:r>
      <w:r w:rsidRPr="00AB613F">
        <w:t xml:space="preserve"> is a CF specific multivitamin which is commonly used with children, adolescents and adults. Infants can be given an opened capsule of </w:t>
      </w:r>
      <w:proofErr w:type="spellStart"/>
      <w:r w:rsidRPr="00AB613F">
        <w:t>VitABDECK</w:t>
      </w:r>
      <w:proofErr w:type="spellEnd"/>
      <w:r w:rsidRPr="00AB613F">
        <w:t xml:space="preserve">, or part thereof, or a combination of </w:t>
      </w:r>
      <w:proofErr w:type="spellStart"/>
      <w:r w:rsidRPr="00AB613F">
        <w:t>Pentavite</w:t>
      </w:r>
      <w:proofErr w:type="spellEnd"/>
      <w:r w:rsidRPr="00AB613F">
        <w:t xml:space="preserve"> and Micelle E can be used (as above).</w:t>
      </w:r>
    </w:p>
    <w:p w14:paraId="1B3B63BC" w14:textId="77777777" w:rsidR="00AB613F" w:rsidRPr="00AB613F" w:rsidRDefault="00AB613F" w:rsidP="00AB613F">
      <w:pPr>
        <w:pStyle w:val="Heading5"/>
      </w:pPr>
      <w:r w:rsidRPr="00AB613F">
        <w:t xml:space="preserve">B) Treatment of Vitamin Deficiency </w:t>
      </w:r>
    </w:p>
    <w:p w14:paraId="487B6F05" w14:textId="77777777" w:rsidR="00AB613F" w:rsidRPr="00AB613F" w:rsidRDefault="00AB613F" w:rsidP="00AB613F">
      <w:pPr>
        <w:pStyle w:val="BodyCopy"/>
      </w:pPr>
      <w:r w:rsidRPr="00AB613F">
        <w:t xml:space="preserve">If fat soluble vitamin deficiencies are detected on routine blood tests, additional quantities of these vitamins will be required. </w:t>
      </w:r>
    </w:p>
    <w:p w14:paraId="4ED4E43A" w14:textId="77777777" w:rsidR="00AB613F" w:rsidRPr="00AB613F" w:rsidRDefault="00AB613F" w:rsidP="00AB613F">
      <w:pPr>
        <w:pStyle w:val="BodyCopy"/>
      </w:pPr>
      <w:r w:rsidRPr="00AB613F">
        <w:t xml:space="preserve">Vitamin A and E can be given in liquid form using Micelle A+E® or Micelle E®. Vitamin D can also be provided separately in liquid form. It is important to check levels 3 months after commencing replacement therapy as a guide to adherence and/or therapeutic response. </w:t>
      </w:r>
    </w:p>
    <w:p w14:paraId="52F11732" w14:textId="31EA4826" w:rsidR="00AB613F" w:rsidRPr="00AB613F" w:rsidRDefault="00AB613F" w:rsidP="00AB613F">
      <w:pPr>
        <w:pStyle w:val="BodyCopy"/>
      </w:pPr>
      <w:r w:rsidRPr="00AB613F">
        <w:t>Excessive vitamin intake can be hazardous. There is insufficient evidence regarding the safe upper limits for vitamin supplementation in CF and therefore health professionals should be guided by recommendations for the general population. High dose vitamin supplementation for patients with CF may exceed general upper limits, this must only be considered with a</w:t>
      </w:r>
      <w:r>
        <w:t xml:space="preserve"> </w:t>
      </w:r>
      <w:r w:rsidRPr="00AB613F">
        <w:lastRenderedPageBreak/>
        <w:t>thorough multidisciplinary assessment, and caution must be used due to the increased risk of toxicity.</w:t>
      </w:r>
    </w:p>
    <w:p w14:paraId="0DB08D85" w14:textId="77777777" w:rsidR="00AB613F" w:rsidRDefault="00AB613F" w:rsidP="00AB613F">
      <w:pPr>
        <w:pStyle w:val="Heading4"/>
      </w:pPr>
      <w:bookmarkStart w:id="26" w:name="_Toc401927856"/>
      <w:bookmarkStart w:id="27" w:name="_Toc30582186"/>
      <w:bookmarkStart w:id="28" w:name="_Toc175924723"/>
      <w:r w:rsidRPr="00AB613F">
        <w:t>1.5 Involvement of the CF Team</w:t>
      </w:r>
      <w:bookmarkEnd w:id="26"/>
      <w:bookmarkEnd w:id="27"/>
      <w:bookmarkEnd w:id="28"/>
    </w:p>
    <w:p w14:paraId="46D1E929" w14:textId="2B594ED6" w:rsidR="00AB613F" w:rsidRPr="00AB613F" w:rsidRDefault="00AB613F" w:rsidP="00AB613F">
      <w:pPr>
        <w:pStyle w:val="Heading5"/>
      </w:pPr>
      <w:bookmarkStart w:id="29" w:name="_Toc175924724"/>
      <w:r w:rsidRPr="00AB613F">
        <w:t>Physiotherapy</w:t>
      </w:r>
      <w:bookmarkEnd w:id="29"/>
    </w:p>
    <w:p w14:paraId="15485D19" w14:textId="77777777" w:rsidR="00AB613F" w:rsidRPr="00AB613F" w:rsidRDefault="00AB613F" w:rsidP="00AB613F">
      <w:pPr>
        <w:pStyle w:val="BodyCopy"/>
      </w:pPr>
      <w:r w:rsidRPr="00AB613F">
        <w:t xml:space="preserve">Referral to physiotherapy (via DHR and by paging senior ward/CF physiotherapist) should be made when the patient initially presents to </w:t>
      </w:r>
      <w:proofErr w:type="gramStart"/>
      <w:r w:rsidRPr="00AB613F">
        <w:t>the  Emergency</w:t>
      </w:r>
      <w:proofErr w:type="gramEnd"/>
      <w:r w:rsidRPr="00AB613F">
        <w:t xml:space="preserve"> Department or on direct admission to the ward. </w:t>
      </w:r>
    </w:p>
    <w:p w14:paraId="68F7324C" w14:textId="77777777" w:rsidR="00AB613F" w:rsidRPr="00AB613F" w:rsidRDefault="00AB613F" w:rsidP="00AB613F">
      <w:pPr>
        <w:pStyle w:val="BodyCopy"/>
      </w:pPr>
      <w:r w:rsidRPr="00AB613F">
        <w:t>Following assessment, the physiotherapist will formulate an individualised treatment plan including airway clearance and exercise as well as determining the frequency of physiotherapy intervention.</w:t>
      </w:r>
    </w:p>
    <w:p w14:paraId="46A3B9CD" w14:textId="77777777" w:rsidR="00AB613F" w:rsidRPr="00AB613F" w:rsidRDefault="00AB613F" w:rsidP="00AB613F">
      <w:pPr>
        <w:pStyle w:val="BodyCopy"/>
      </w:pPr>
      <w:r w:rsidRPr="00AB613F">
        <w:t>Physiotherapy for people with CF incorporates physiotherapy techniques to assist with airway clearance, thoracic mobility, posture and exercise to maximise cardiorespiratory fitness, strength and bone density. It may also include a continence assessment and referral as appropriate. Exercise testing where feasible will be completed at admission and discharge. The goal of chest physiotherapy in CF is to enhance mucociliary clearance and impede the development of progressive suppurative lung disease.</w:t>
      </w:r>
      <w:r w:rsidRPr="00AB613F">
        <w:rPr>
          <w:vertAlign w:val="superscript"/>
        </w:rPr>
        <w:t>2</w:t>
      </w:r>
    </w:p>
    <w:p w14:paraId="648EA7E6" w14:textId="77777777" w:rsidR="00643BFA" w:rsidRPr="00643BFA" w:rsidRDefault="00643BFA" w:rsidP="00643BFA">
      <w:pPr>
        <w:pStyle w:val="Heading5"/>
      </w:pPr>
      <w:r w:rsidRPr="00643BFA">
        <w:t>Nutrition and Dietitian</w:t>
      </w:r>
    </w:p>
    <w:p w14:paraId="44373238" w14:textId="77777777" w:rsidR="00643BFA" w:rsidRPr="00643BFA" w:rsidRDefault="00643BFA" w:rsidP="00643BFA">
      <w:pPr>
        <w:pStyle w:val="BodyCopy"/>
        <w:rPr>
          <w:i/>
        </w:rPr>
      </w:pPr>
      <w:r w:rsidRPr="00643BFA">
        <w:t>Referring to the Nutrition Department (via DHR) when a patient with CF is admitted allows commencement of appropriate menus, mid-meal extras and salt supplementation. Assessment by a dietitian will then allow an individualised plan to be formulated</w:t>
      </w:r>
      <w:r w:rsidRPr="00643BFA">
        <w:rPr>
          <w:i/>
        </w:rPr>
        <w:t>.</w:t>
      </w:r>
    </w:p>
    <w:p w14:paraId="38508CF3" w14:textId="77777777" w:rsidR="00643BFA" w:rsidRPr="00643BFA" w:rsidRDefault="00643BFA" w:rsidP="00643BFA">
      <w:pPr>
        <w:pStyle w:val="BodyCopy"/>
      </w:pPr>
      <w:r w:rsidRPr="00643BFA">
        <w:t xml:space="preserve">Nutritional intervention is an important component of the multidisciplinary care recommended for CF patients. The goals of nutrition management for CF patients are: </w:t>
      </w:r>
    </w:p>
    <w:p w14:paraId="47F6E068" w14:textId="77777777" w:rsidR="00643BFA" w:rsidRPr="00643BFA" w:rsidRDefault="00643BFA" w:rsidP="00643BFA">
      <w:pPr>
        <w:pStyle w:val="Bullet"/>
      </w:pPr>
      <w:r w:rsidRPr="00643BFA">
        <w:t>to meet increased energy needs with the goal of normal growth in children and good nutritional status in adults</w:t>
      </w:r>
    </w:p>
    <w:p w14:paraId="650BE353" w14:textId="77777777" w:rsidR="00643BFA" w:rsidRPr="00643BFA" w:rsidRDefault="00643BFA" w:rsidP="00643BFA">
      <w:pPr>
        <w:pStyle w:val="Bullet"/>
      </w:pPr>
      <w:r w:rsidRPr="00643BFA">
        <w:t>to meet salt and vitamin needs</w:t>
      </w:r>
    </w:p>
    <w:p w14:paraId="141CD66D" w14:textId="77777777" w:rsidR="00643BFA" w:rsidRPr="00643BFA" w:rsidRDefault="00643BFA" w:rsidP="00643BFA">
      <w:pPr>
        <w:pStyle w:val="Bullet"/>
      </w:pPr>
      <w:r w:rsidRPr="00643BFA">
        <w:t>to promote patient understanding of CF related nutrition issues and support developing independent management in young people</w:t>
      </w:r>
    </w:p>
    <w:p w14:paraId="315ABCF6" w14:textId="77777777" w:rsidR="00643BFA" w:rsidRPr="00643BFA" w:rsidRDefault="00643BFA" w:rsidP="00643BFA">
      <w:pPr>
        <w:pStyle w:val="Bullet"/>
      </w:pPr>
      <w:r w:rsidRPr="00643BFA">
        <w:t>to promote positive attitudes to food and body image, and</w:t>
      </w:r>
    </w:p>
    <w:p w14:paraId="010FE70A" w14:textId="2562108D" w:rsidR="00643BFA" w:rsidRPr="00643BFA" w:rsidRDefault="00643BFA" w:rsidP="00643BFA">
      <w:pPr>
        <w:pStyle w:val="Bullet"/>
      </w:pPr>
      <w:r w:rsidRPr="00643BFA">
        <w:t>to assist management of complications affecting nutritional requirements or intake.</w:t>
      </w:r>
      <w:r w:rsidRPr="00643BFA">
        <w:rPr>
          <w:vertAlign w:val="superscript"/>
        </w:rPr>
        <w:t>2</w:t>
      </w:r>
    </w:p>
    <w:p w14:paraId="24A7CE2C" w14:textId="77777777" w:rsidR="00643BFA" w:rsidRPr="00643BFA" w:rsidRDefault="00643BFA" w:rsidP="00643BFA">
      <w:pPr>
        <w:pStyle w:val="BodyCopy"/>
      </w:pPr>
      <w:r w:rsidRPr="00643BFA">
        <w:t>Pancreatic Enzymes should be ordered according to the patient’s usual plan. Referral to the dietitian can be made if education is required regarding the matching of enzymes to dietary fat intake (this is also reviewed in CF clinic nutrition reviews).</w:t>
      </w:r>
    </w:p>
    <w:p w14:paraId="3853810E" w14:textId="77777777" w:rsidR="003C588D" w:rsidRDefault="003C588D" w:rsidP="003C588D">
      <w:pPr>
        <w:pStyle w:val="Heading5"/>
      </w:pPr>
      <w:r w:rsidRPr="003C588D">
        <w:t>Social Work</w:t>
      </w:r>
    </w:p>
    <w:p w14:paraId="600C4720" w14:textId="77777777" w:rsidR="003C588D" w:rsidRPr="003C588D" w:rsidRDefault="003C588D" w:rsidP="003C588D">
      <w:pPr>
        <w:pStyle w:val="BodyCopy"/>
      </w:pPr>
      <w:r w:rsidRPr="003C588D">
        <w:t xml:space="preserve">Social workers can assist with many of the practical and emotional issues that may be experienced </w:t>
      </w:r>
      <w:proofErr w:type="gramStart"/>
      <w:r w:rsidRPr="003C588D">
        <w:t>as a result of</w:t>
      </w:r>
      <w:proofErr w:type="gramEnd"/>
      <w:r w:rsidRPr="003C588D">
        <w:t xml:space="preserve"> hospitalisation and a chronic illness. Social work and psychology services work closely together. </w:t>
      </w:r>
    </w:p>
    <w:p w14:paraId="521183B8" w14:textId="77777777" w:rsidR="003C588D" w:rsidRPr="003C588D" w:rsidRDefault="003C588D" w:rsidP="003C588D">
      <w:pPr>
        <w:pStyle w:val="BodyCopy"/>
      </w:pPr>
      <w:r w:rsidRPr="003C588D">
        <w:lastRenderedPageBreak/>
        <w:t>Social work services include:</w:t>
      </w:r>
    </w:p>
    <w:p w14:paraId="2D2F3E76" w14:textId="77777777" w:rsidR="003C588D" w:rsidRPr="003C588D" w:rsidRDefault="003C588D" w:rsidP="003C588D">
      <w:pPr>
        <w:pStyle w:val="Bullet"/>
        <w:rPr>
          <w:lang w:eastAsia="en-US"/>
        </w:rPr>
      </w:pPr>
      <w:r w:rsidRPr="003C588D">
        <w:rPr>
          <w:lang w:eastAsia="en-US"/>
        </w:rPr>
        <w:t>Psychosocial assessment to identify and prioritise issues, concerns and needs</w:t>
      </w:r>
    </w:p>
    <w:p w14:paraId="087C0FD5" w14:textId="77777777" w:rsidR="003C588D" w:rsidRPr="003C588D" w:rsidRDefault="003C588D" w:rsidP="003C588D">
      <w:pPr>
        <w:pStyle w:val="Bullet"/>
        <w:rPr>
          <w:lang w:eastAsia="en-US"/>
        </w:rPr>
      </w:pPr>
      <w:r w:rsidRPr="003C588D">
        <w:rPr>
          <w:lang w:eastAsia="en-US"/>
        </w:rPr>
        <w:t>Counselling of a short-term nature. This may be in conjunction with psychology services</w:t>
      </w:r>
    </w:p>
    <w:p w14:paraId="1A78257D" w14:textId="77777777" w:rsidR="003C588D" w:rsidRPr="003C588D" w:rsidRDefault="003C588D" w:rsidP="003C588D">
      <w:pPr>
        <w:pStyle w:val="Bullet"/>
        <w:rPr>
          <w:lang w:eastAsia="en-US"/>
        </w:rPr>
      </w:pPr>
      <w:r w:rsidRPr="003C588D">
        <w:rPr>
          <w:lang w:eastAsia="en-US"/>
        </w:rPr>
        <w:t>Crisis intervention and support</w:t>
      </w:r>
    </w:p>
    <w:p w14:paraId="0E42EE5A" w14:textId="77777777" w:rsidR="003C588D" w:rsidRPr="003C588D" w:rsidRDefault="003C588D" w:rsidP="003C588D">
      <w:pPr>
        <w:pStyle w:val="Bullet"/>
        <w:rPr>
          <w:lang w:eastAsia="en-US"/>
        </w:rPr>
      </w:pPr>
      <w:r w:rsidRPr="003C588D">
        <w:rPr>
          <w:lang w:eastAsia="en-US"/>
        </w:rPr>
        <w:t>Advocacy support to assist patients/family members with social issues</w:t>
      </w:r>
    </w:p>
    <w:p w14:paraId="38BEA02D" w14:textId="77777777" w:rsidR="003C588D" w:rsidRPr="003C588D" w:rsidRDefault="003C588D" w:rsidP="003C588D">
      <w:pPr>
        <w:pStyle w:val="Bullet"/>
        <w:rPr>
          <w:lang w:eastAsia="en-US"/>
        </w:rPr>
      </w:pPr>
      <w:r w:rsidRPr="003C588D">
        <w:rPr>
          <w:lang w:eastAsia="en-US"/>
        </w:rPr>
        <w:t xml:space="preserve"> Information and service linkage.  </w:t>
      </w:r>
    </w:p>
    <w:p w14:paraId="2863FBDA" w14:textId="4A05E4C6" w:rsidR="003C588D" w:rsidRDefault="003C588D" w:rsidP="003C588D">
      <w:pPr>
        <w:pStyle w:val="BodyCopy"/>
      </w:pPr>
      <w:r w:rsidRPr="003C588D">
        <w:t xml:space="preserve">Social workers routinely attend the outpatient clinics to follow up patient/family and when patients are admitted for inpatient care. A referral can be made to social work during business hours via DHR or, for paediatrics, by email </w:t>
      </w:r>
      <w:hyperlink r:id="rId12" w:history="1">
        <w:r w:rsidRPr="006B7256">
          <w:rPr>
            <w:rStyle w:val="Hyperlink"/>
          </w:rPr>
          <w:t>TCHSocialWorkMATPAEDS.CHS@act.gov.au</w:t>
        </w:r>
      </w:hyperlink>
    </w:p>
    <w:p w14:paraId="39789AF5" w14:textId="77777777" w:rsidR="003C588D" w:rsidRPr="003C588D" w:rsidRDefault="003C588D" w:rsidP="003C588D">
      <w:pPr>
        <w:pStyle w:val="Heading4"/>
      </w:pPr>
      <w:bookmarkStart w:id="30" w:name="_Toc30582187"/>
      <w:bookmarkStart w:id="31" w:name="_Toc175924725"/>
      <w:r w:rsidRPr="003C588D">
        <w:t>1.6 At Discharge</w:t>
      </w:r>
      <w:bookmarkEnd w:id="30"/>
      <w:bookmarkEnd w:id="31"/>
    </w:p>
    <w:p w14:paraId="5FCFA294" w14:textId="77777777" w:rsidR="003C588D" w:rsidRPr="003C588D" w:rsidRDefault="003C588D" w:rsidP="003C588D">
      <w:pPr>
        <w:pStyle w:val="Bullet"/>
      </w:pPr>
      <w:r w:rsidRPr="003C588D">
        <w:t>Reconcile discharge medications with admission medications, pharmacy may provide medicine information and counselling.</w:t>
      </w:r>
    </w:p>
    <w:p w14:paraId="3B9CF5C3" w14:textId="77777777" w:rsidR="003C588D" w:rsidRPr="003C588D" w:rsidRDefault="003C588D" w:rsidP="003C588D">
      <w:pPr>
        <w:pStyle w:val="Bullet"/>
      </w:pPr>
      <w:r w:rsidRPr="003C588D">
        <w:t>Ensure adequate prescription of medications.</w:t>
      </w:r>
    </w:p>
    <w:p w14:paraId="0F8D0632" w14:textId="77777777" w:rsidR="003C588D" w:rsidRPr="003C588D" w:rsidRDefault="003C588D" w:rsidP="003C588D">
      <w:pPr>
        <w:pStyle w:val="Bullet"/>
      </w:pPr>
      <w:r w:rsidRPr="003C588D">
        <w:t>Ensure follow-up plan established including physiotherapy program and clinic appointment and communicated to family and/or patient.</w:t>
      </w:r>
    </w:p>
    <w:p w14:paraId="3033632A" w14:textId="77777777" w:rsidR="003C588D" w:rsidRPr="003C588D" w:rsidRDefault="003C588D" w:rsidP="003C588D">
      <w:pPr>
        <w:pStyle w:val="Bullet"/>
      </w:pPr>
      <w:r w:rsidRPr="003C588D">
        <w:t>Ensure appointment for pulmonary function tests made and communicated to family and/or patient.</w:t>
      </w:r>
    </w:p>
    <w:p w14:paraId="3E70022C" w14:textId="77777777" w:rsidR="003C588D" w:rsidRPr="003C588D" w:rsidRDefault="003C588D" w:rsidP="003C588D">
      <w:pPr>
        <w:pStyle w:val="Bullet"/>
      </w:pPr>
      <w:r w:rsidRPr="003C588D">
        <w:t>Discuss infection prevention and control considerations for the community.</w:t>
      </w:r>
    </w:p>
    <w:p w14:paraId="68072746" w14:textId="6029C97B" w:rsidR="003C588D" w:rsidRPr="003C588D" w:rsidRDefault="003C588D" w:rsidP="003C588D">
      <w:pPr>
        <w:pStyle w:val="Heading4"/>
      </w:pPr>
      <w:r w:rsidRPr="003C588D">
        <w:t xml:space="preserve">1.7 Transfer of CF patients to Hospital </w:t>
      </w:r>
      <w:proofErr w:type="gramStart"/>
      <w:r>
        <w:t>I</w:t>
      </w:r>
      <w:r w:rsidRPr="003C588D">
        <w:t>n</w:t>
      </w:r>
      <w:proofErr w:type="gramEnd"/>
      <w:r w:rsidRPr="003C588D">
        <w:t xml:space="preserve"> The Home (HITH)</w:t>
      </w:r>
    </w:p>
    <w:p w14:paraId="4DE9C622" w14:textId="0083660A" w:rsidR="003C588D" w:rsidRPr="003C588D" w:rsidRDefault="003C588D" w:rsidP="003C588D">
      <w:pPr>
        <w:pStyle w:val="BodyCopy"/>
      </w:pPr>
      <w:r w:rsidRPr="003C588D">
        <w:t xml:space="preserve">Hospital </w:t>
      </w:r>
      <w:r w:rsidR="00AE68AF">
        <w:t>I</w:t>
      </w:r>
      <w:r w:rsidRPr="003C588D">
        <w:t xml:space="preserve">n </w:t>
      </w:r>
      <w:proofErr w:type="gramStart"/>
      <w:r w:rsidR="00AE68AF">
        <w:t>T</w:t>
      </w:r>
      <w:r w:rsidRPr="003C588D">
        <w:t>he</w:t>
      </w:r>
      <w:proofErr w:type="gramEnd"/>
      <w:r w:rsidRPr="003C588D">
        <w:t xml:space="preserve"> </w:t>
      </w:r>
      <w:r w:rsidR="00AE68AF">
        <w:t>H</w:t>
      </w:r>
      <w:r w:rsidRPr="003C588D">
        <w:t xml:space="preserve">ome may accept all ages of CF patients who require treatment for tune-up or major exacerbation of their illness. </w:t>
      </w:r>
    </w:p>
    <w:p w14:paraId="18060C10" w14:textId="77777777" w:rsidR="003C588D" w:rsidRPr="003C588D" w:rsidRDefault="003C588D" w:rsidP="003C588D">
      <w:pPr>
        <w:pStyle w:val="BodyCopy"/>
      </w:pPr>
      <w:r w:rsidRPr="003C588D">
        <w:t>If a CF patient is deemed clinically stable by their treating team and is to be transferred to HITH for the remainder of their treatment, the following guidelines need to be followed:</w:t>
      </w:r>
    </w:p>
    <w:p w14:paraId="029E079F" w14:textId="77777777" w:rsidR="003C588D" w:rsidRPr="003C588D" w:rsidRDefault="003C588D" w:rsidP="003C588D">
      <w:pPr>
        <w:pStyle w:val="Bullet"/>
      </w:pPr>
      <w:r w:rsidRPr="003C588D">
        <w:t>The patient has been afebrile for the past 24 hours.</w:t>
      </w:r>
    </w:p>
    <w:p w14:paraId="03971AC9" w14:textId="77777777" w:rsidR="003C588D" w:rsidRPr="003C588D" w:rsidRDefault="003C588D" w:rsidP="003C588D">
      <w:pPr>
        <w:pStyle w:val="Bullet"/>
      </w:pPr>
      <w:r w:rsidRPr="003C588D">
        <w:t>The treating team has documented clearly in the clinical record, the plan of treatment for the patient. This includes:</w:t>
      </w:r>
    </w:p>
    <w:p w14:paraId="440982D1" w14:textId="28C93011" w:rsidR="003C588D" w:rsidRPr="003C588D" w:rsidRDefault="003C588D" w:rsidP="003C588D">
      <w:pPr>
        <w:pStyle w:val="Bullet"/>
        <w:numPr>
          <w:ilvl w:val="1"/>
          <w:numId w:val="1"/>
        </w:numPr>
      </w:pPr>
      <w:r w:rsidRPr="003C588D">
        <w:t>antibiotic regime and length of treatment</w:t>
      </w:r>
    </w:p>
    <w:p w14:paraId="3BEC5655" w14:textId="1250A141" w:rsidR="003C588D" w:rsidRPr="003C588D" w:rsidRDefault="003C588D" w:rsidP="003C588D">
      <w:pPr>
        <w:pStyle w:val="Bullet"/>
        <w:numPr>
          <w:ilvl w:val="1"/>
          <w:numId w:val="1"/>
        </w:numPr>
      </w:pPr>
      <w:r w:rsidRPr="003C588D">
        <w:t xml:space="preserve">weekly review date and time </w:t>
      </w:r>
    </w:p>
    <w:p w14:paraId="74B8BC83" w14:textId="51A991AD" w:rsidR="003C588D" w:rsidRPr="003C588D" w:rsidRDefault="003C588D" w:rsidP="003C588D">
      <w:pPr>
        <w:pStyle w:val="Bullet"/>
        <w:numPr>
          <w:ilvl w:val="1"/>
          <w:numId w:val="1"/>
        </w:numPr>
      </w:pPr>
      <w:r w:rsidRPr="003C588D">
        <w:t>pathology requests</w:t>
      </w:r>
    </w:p>
    <w:p w14:paraId="6E24F249" w14:textId="39889950" w:rsidR="003C588D" w:rsidRPr="003C588D" w:rsidRDefault="003C588D" w:rsidP="003C588D">
      <w:pPr>
        <w:pStyle w:val="Bullet"/>
        <w:numPr>
          <w:ilvl w:val="1"/>
          <w:numId w:val="1"/>
        </w:numPr>
      </w:pPr>
      <w:r w:rsidRPr="003C588D">
        <w:t>physiotherapy plan</w:t>
      </w:r>
    </w:p>
    <w:p w14:paraId="1A6FCEBC" w14:textId="4F22CF1B" w:rsidR="003C588D" w:rsidRPr="003C588D" w:rsidRDefault="003C588D" w:rsidP="003C588D">
      <w:pPr>
        <w:pStyle w:val="Bullet"/>
        <w:numPr>
          <w:ilvl w:val="1"/>
          <w:numId w:val="1"/>
        </w:numPr>
      </w:pPr>
      <w:r w:rsidRPr="003C588D">
        <w:t>endocrine follow-up if applicable</w:t>
      </w:r>
    </w:p>
    <w:p w14:paraId="4E5AD1A5" w14:textId="3AD58E4D" w:rsidR="003C588D" w:rsidRPr="003C588D" w:rsidRDefault="003C588D" w:rsidP="003C588D">
      <w:pPr>
        <w:pStyle w:val="Bullet"/>
        <w:numPr>
          <w:ilvl w:val="1"/>
          <w:numId w:val="1"/>
        </w:numPr>
      </w:pPr>
      <w:r w:rsidRPr="003C588D">
        <w:t>dietitian review, if required</w:t>
      </w:r>
    </w:p>
    <w:p w14:paraId="0D298E7F" w14:textId="5F3C723C" w:rsidR="003C588D" w:rsidRPr="003C588D" w:rsidRDefault="003C588D" w:rsidP="003C588D">
      <w:pPr>
        <w:pStyle w:val="Bullet"/>
        <w:numPr>
          <w:ilvl w:val="1"/>
          <w:numId w:val="1"/>
        </w:numPr>
      </w:pPr>
      <w:r w:rsidRPr="003C588D">
        <w:t>social worker or psychology review</w:t>
      </w:r>
    </w:p>
    <w:p w14:paraId="18647707" w14:textId="248C9CAA" w:rsidR="00AB613F" w:rsidRPr="003C588D" w:rsidRDefault="003C588D" w:rsidP="003C588D">
      <w:pPr>
        <w:pStyle w:val="Bullet"/>
        <w:numPr>
          <w:ilvl w:val="1"/>
          <w:numId w:val="1"/>
        </w:numPr>
      </w:pPr>
      <w:r w:rsidRPr="003C588D">
        <w:t>appointments for lung function tests/medical imaging as required.</w:t>
      </w:r>
    </w:p>
    <w:p w14:paraId="1E8D745D" w14:textId="0A6CBC01" w:rsidR="003C588D" w:rsidRDefault="003C588D" w:rsidP="003C588D">
      <w:pPr>
        <w:pStyle w:val="Bullet"/>
      </w:pPr>
      <w:r>
        <w:lastRenderedPageBreak/>
        <w:t>For paediatric patients with a Central Venous Access Device (CVAD), weekly appointments for CVAD care in paediatric outpatients should be made prior to transfer to HITH.</w:t>
      </w:r>
    </w:p>
    <w:p w14:paraId="33B5D413" w14:textId="137B57C8" w:rsidR="003C588D" w:rsidRDefault="003C588D" w:rsidP="003C588D">
      <w:pPr>
        <w:pStyle w:val="Bullet"/>
      </w:pPr>
      <w:r>
        <w:t>The patient will be assessed by the HITH Referral Nurse, and education provided to patient and/or family regarding the HITH service.</w:t>
      </w:r>
    </w:p>
    <w:p w14:paraId="6195B0E5" w14:textId="11CF18C4" w:rsidR="003C588D" w:rsidRDefault="003C588D" w:rsidP="003C588D">
      <w:pPr>
        <w:pStyle w:val="Bullet"/>
      </w:pPr>
      <w:r>
        <w:t>All medications are to be charted and dispensed prior to transfer. This includes intravenous medications.</w:t>
      </w:r>
    </w:p>
    <w:p w14:paraId="46B032C8" w14:textId="00E041B7" w:rsidR="003C588D" w:rsidRDefault="003C588D" w:rsidP="003C588D">
      <w:pPr>
        <w:pStyle w:val="Bullet"/>
      </w:pPr>
      <w:r>
        <w:t>Clear documentation in the patient’s clinical record if patient is known or suspected of having an MRO. However, all CF patients will be treated as if they are MRO positive.</w:t>
      </w:r>
    </w:p>
    <w:p w14:paraId="166F0332" w14:textId="2AA8A91D" w:rsidR="003150CA" w:rsidRPr="003150CA" w:rsidRDefault="003C588D" w:rsidP="003C588D">
      <w:pPr>
        <w:pStyle w:val="Bullet"/>
      </w:pPr>
      <w:r>
        <w:t>Follow referral process as per HITH guidelines. Advice can be sought from the HITH referral nurse.</w:t>
      </w:r>
    </w:p>
    <w:p w14:paraId="4629A1CD" w14:textId="7757A2B9" w:rsidR="003150CA" w:rsidRPr="003C588D" w:rsidRDefault="003C588D" w:rsidP="003C588D">
      <w:pPr>
        <w:pStyle w:val="BodyCopy"/>
      </w:pPr>
      <w:r w:rsidRPr="003C588D">
        <w:t>HITH patients are classified as inpatients, ensuring the process is more streamlined if the patient requires readmission to the hospital.</w:t>
      </w:r>
    </w:p>
    <w:p w14:paraId="3B2655B1" w14:textId="77777777" w:rsidR="003C588D" w:rsidRPr="003C588D" w:rsidRDefault="003C588D" w:rsidP="003C588D">
      <w:pPr>
        <w:pStyle w:val="Heading4"/>
        <w:rPr>
          <w:noProof/>
        </w:rPr>
      </w:pPr>
      <w:bookmarkStart w:id="32" w:name="_Toc175924727"/>
      <w:r w:rsidRPr="003C588D">
        <w:rPr>
          <w:noProof/>
        </w:rPr>
        <w:t>1.8 Care of the newborn with suspected or confirmed CF</w:t>
      </w:r>
      <w:bookmarkEnd w:id="32"/>
    </w:p>
    <w:p w14:paraId="5E7CA471" w14:textId="77777777" w:rsidR="003C588D" w:rsidRPr="003C588D" w:rsidRDefault="003C588D" w:rsidP="003C588D">
      <w:pPr>
        <w:pStyle w:val="BodyCopy"/>
      </w:pPr>
      <w:r w:rsidRPr="003C588D">
        <w:t xml:space="preserve">Newborns with suspected or confirmed CF are usually detected </w:t>
      </w:r>
      <w:proofErr w:type="gramStart"/>
      <w:r w:rsidRPr="003C588D">
        <w:t>as a result of</w:t>
      </w:r>
      <w:proofErr w:type="gramEnd"/>
      <w:r w:rsidRPr="003C588D">
        <w:t>:</w:t>
      </w:r>
    </w:p>
    <w:p w14:paraId="096B9600" w14:textId="77777777" w:rsidR="003C588D" w:rsidRPr="003C588D" w:rsidRDefault="003C588D" w:rsidP="003C588D">
      <w:pPr>
        <w:pStyle w:val="Bullet"/>
        <w:rPr>
          <w:noProof/>
        </w:rPr>
      </w:pPr>
      <w:r w:rsidRPr="003C588D">
        <w:rPr>
          <w:noProof/>
        </w:rPr>
        <w:t>A positive NewBorn Screening Test (NBST)</w:t>
      </w:r>
    </w:p>
    <w:p w14:paraId="7F662C14" w14:textId="77777777" w:rsidR="003C588D" w:rsidRPr="003C588D" w:rsidRDefault="003C588D" w:rsidP="003C588D">
      <w:pPr>
        <w:pStyle w:val="Bullet"/>
        <w:rPr>
          <w:noProof/>
        </w:rPr>
      </w:pPr>
      <w:r w:rsidRPr="003C588D">
        <w:rPr>
          <w:noProof/>
        </w:rPr>
        <w:t>Antenatal genetic screening in a family known to have CF or due to fetal hyperechoic bowel detected on antenatal ultrasound</w:t>
      </w:r>
    </w:p>
    <w:p w14:paraId="0DB5F04F" w14:textId="77777777" w:rsidR="003C588D" w:rsidRDefault="003C588D" w:rsidP="003C588D">
      <w:pPr>
        <w:pStyle w:val="Bullet"/>
        <w:rPr>
          <w:noProof/>
        </w:rPr>
      </w:pPr>
      <w:r w:rsidRPr="003C588D">
        <w:rPr>
          <w:noProof/>
        </w:rPr>
        <w:t>A diagnosis of meconium ileus</w:t>
      </w:r>
    </w:p>
    <w:p w14:paraId="0D307213" w14:textId="1694F3D5" w:rsidR="003C588D" w:rsidRDefault="003C588D">
      <w:pPr>
        <w:spacing w:before="0" w:after="0" w:line="240" w:lineRule="auto"/>
        <w:rPr>
          <w:rFonts w:eastAsia="Times New Roman"/>
          <w:noProof/>
        </w:rPr>
      </w:pPr>
      <w:r>
        <w:rPr>
          <w:noProof/>
        </w:rPr>
        <w:br w:type="page"/>
      </w:r>
    </w:p>
    <w:p w14:paraId="473AEDAB" w14:textId="48B6A6F6" w:rsidR="003150CA" w:rsidRPr="003C588D" w:rsidRDefault="003C588D" w:rsidP="003C588D">
      <w:pPr>
        <w:pStyle w:val="Heading5"/>
        <w:rPr>
          <w:noProof/>
        </w:rPr>
      </w:pPr>
      <w:r w:rsidRPr="003C588D">
        <w:rPr>
          <w:noProof/>
        </w:rPr>
        <w:lastRenderedPageBreak/>
        <w:t>Newborn screening</w:t>
      </w:r>
    </w:p>
    <w:p w14:paraId="1706E54D" w14:textId="28C52E71" w:rsidR="000523DD" w:rsidRPr="000523DD" w:rsidRDefault="003C588D" w:rsidP="000523DD">
      <w:pPr>
        <w:pStyle w:val="BodyCopy"/>
        <w:rPr>
          <w:lang w:eastAsia="en-US"/>
        </w:rPr>
      </w:pPr>
      <w:r w:rsidRPr="003C588D">
        <w:rPr>
          <w:rFonts w:ascii="Calibri" w:hAnsi="Calibri"/>
          <w:bCs w:val="0"/>
          <w:iCs w:val="0"/>
          <w:noProof/>
          <w:color w:val="auto"/>
          <w:u w:val="single"/>
          <w:lang w:eastAsia="en-US"/>
        </w:rPr>
        <w:drawing>
          <wp:inline distT="0" distB="0" distL="0" distR="0" wp14:anchorId="2F9378F9" wp14:editId="4794ACB7">
            <wp:extent cx="5534660" cy="449643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660" cy="4496435"/>
                    </a:xfrm>
                    <a:prstGeom prst="rect">
                      <a:avLst/>
                    </a:prstGeom>
                    <a:noFill/>
                  </pic:spPr>
                </pic:pic>
              </a:graphicData>
            </a:graphic>
          </wp:inline>
        </w:drawing>
      </w:r>
    </w:p>
    <w:p w14:paraId="700A151E" w14:textId="77777777" w:rsidR="003C588D" w:rsidRPr="003C588D" w:rsidRDefault="003C588D" w:rsidP="003C588D">
      <w:pPr>
        <w:pStyle w:val="BodyCopy"/>
      </w:pPr>
      <w:r w:rsidRPr="003C588D">
        <w:rPr>
          <w:b/>
          <w:bCs w:val="0"/>
        </w:rPr>
        <w:t>Figure 1:</w:t>
      </w:r>
      <w:r w:rsidRPr="003C588D">
        <w:t xml:space="preserve"> Newborn screening pathway – adapted from the NSW newborn screening pathway</w:t>
      </w:r>
    </w:p>
    <w:p w14:paraId="306E457D" w14:textId="77777777" w:rsidR="003C588D" w:rsidRPr="003C588D" w:rsidRDefault="003C588D" w:rsidP="003C588D">
      <w:pPr>
        <w:pStyle w:val="Bullet"/>
      </w:pPr>
      <w:r w:rsidRPr="003C588D">
        <w:t xml:space="preserve">If an NBST is identified as abnormal the family are referred to local CHS paediatric respiratory physician and paediatric CF nurse for further outpatient assessment and follow up. </w:t>
      </w:r>
    </w:p>
    <w:p w14:paraId="0C03B213" w14:textId="0FFEFA22" w:rsidR="000523DD" w:rsidRPr="003C588D" w:rsidRDefault="003C588D" w:rsidP="003C588D">
      <w:pPr>
        <w:pStyle w:val="BodyCopy"/>
      </w:pPr>
      <w:r w:rsidRPr="003C588D">
        <w:t>Following a diagnosis of confirmed or suspected CF in a newborn in the Neonatal Intensive Care Unit (NICU) and the Special Care Nursery (SCN):</w:t>
      </w:r>
    </w:p>
    <w:p w14:paraId="0818913E" w14:textId="77777777" w:rsidR="003C588D" w:rsidRPr="003C588D" w:rsidRDefault="003C588D" w:rsidP="003C588D">
      <w:pPr>
        <w:pStyle w:val="Bullet"/>
      </w:pPr>
      <w:r w:rsidRPr="003C588D">
        <w:t>Consult local paediatric respiratory physician and paediatric CF nurse coordinator for management advice.</w:t>
      </w:r>
    </w:p>
    <w:p w14:paraId="3188AD66" w14:textId="77777777" w:rsidR="003C588D" w:rsidRPr="003C588D" w:rsidRDefault="003C588D" w:rsidP="003C588D">
      <w:pPr>
        <w:pStyle w:val="Bullet"/>
      </w:pPr>
      <w:r w:rsidRPr="003C588D">
        <w:t>Discuss the need for:</w:t>
      </w:r>
    </w:p>
    <w:p w14:paraId="175BD9B8" w14:textId="77777777" w:rsidR="003C588D" w:rsidRPr="00AB4FF1" w:rsidRDefault="003C588D" w:rsidP="00EE7BD1">
      <w:pPr>
        <w:pStyle w:val="Bullet"/>
        <w:numPr>
          <w:ilvl w:val="1"/>
          <w:numId w:val="1"/>
        </w:numPr>
      </w:pPr>
      <w:r w:rsidRPr="00AB4FF1">
        <w:t>Starting vitamin supplementation (see doses in section 1.4)</w:t>
      </w:r>
    </w:p>
    <w:p w14:paraId="39BC2117" w14:textId="77777777" w:rsidR="003C588D" w:rsidRPr="00AB4FF1" w:rsidRDefault="003C588D" w:rsidP="00EE7BD1">
      <w:pPr>
        <w:pStyle w:val="Bullet"/>
        <w:numPr>
          <w:ilvl w:val="1"/>
          <w:numId w:val="1"/>
        </w:numPr>
      </w:pPr>
      <w:r w:rsidRPr="00AB4FF1">
        <w:t>Monitoring adequate nutrition</w:t>
      </w:r>
    </w:p>
    <w:p w14:paraId="014E4082" w14:textId="77777777" w:rsidR="003C588D" w:rsidRPr="00AB4FF1" w:rsidRDefault="003C588D" w:rsidP="00EE7BD1">
      <w:pPr>
        <w:pStyle w:val="Bullet"/>
        <w:numPr>
          <w:ilvl w:val="1"/>
          <w:numId w:val="1"/>
        </w:numPr>
      </w:pPr>
      <w:r w:rsidRPr="00AB4FF1">
        <w:t>Genetic counselling for the family</w:t>
      </w:r>
    </w:p>
    <w:p w14:paraId="320D63D7" w14:textId="77777777" w:rsidR="003C588D" w:rsidRPr="00AB4FF1" w:rsidRDefault="003C588D" w:rsidP="00EE7BD1">
      <w:pPr>
        <w:pStyle w:val="Bullet"/>
        <w:numPr>
          <w:ilvl w:val="1"/>
          <w:numId w:val="1"/>
        </w:numPr>
      </w:pPr>
      <w:r w:rsidRPr="00AB4FF1">
        <w:t>Follow up with the CF team</w:t>
      </w:r>
      <w:r w:rsidRPr="00AB4FF1">
        <w:rPr>
          <w:i/>
        </w:rPr>
        <w:t xml:space="preserve"> </w:t>
      </w:r>
    </w:p>
    <w:p w14:paraId="17B8112B" w14:textId="77777777" w:rsidR="00051E12" w:rsidRPr="00051E12" w:rsidRDefault="00051E12" w:rsidP="00EE7BD1">
      <w:pPr>
        <w:pStyle w:val="Bullet"/>
        <w:numPr>
          <w:ilvl w:val="0"/>
          <w:numId w:val="0"/>
        </w:numPr>
      </w:pPr>
    </w:p>
    <w:p w14:paraId="4B030B58" w14:textId="797CC3AB" w:rsidR="00481A6C" w:rsidRPr="00481A6C" w:rsidRDefault="00000000" w:rsidP="00051E12">
      <w:pPr>
        <w:pStyle w:val="Bullet"/>
        <w:numPr>
          <w:ilvl w:val="0"/>
          <w:numId w:val="0"/>
        </w:numPr>
        <w:spacing w:before="240"/>
      </w:pPr>
      <w:hyperlink w:anchor="_top" w:history="1">
        <w:r w:rsidR="00481A6C" w:rsidRPr="00051E12">
          <w:rPr>
            <w:rStyle w:val="Hyperlink"/>
          </w:rPr>
          <w:t>Back to Contents</w:t>
        </w:r>
      </w:hyperlink>
    </w:p>
    <w:p w14:paraId="4ED716AB" w14:textId="18157753" w:rsidR="0078367D" w:rsidRDefault="0078367D" w:rsidP="0078367D">
      <w:pPr>
        <w:pStyle w:val="Heading2"/>
      </w:pPr>
      <w:bookmarkStart w:id="33" w:name="_Toc176177619"/>
      <w:r>
        <w:t xml:space="preserve">Section 2 </w:t>
      </w:r>
      <w:r w:rsidR="00EE7BD1">
        <w:t>– Cystic Fibrosis Outpatients</w:t>
      </w:r>
      <w:bookmarkEnd w:id="33"/>
    </w:p>
    <w:p w14:paraId="603E071C" w14:textId="77777777" w:rsidR="00EE7BD1" w:rsidRPr="00EE7BD1" w:rsidRDefault="00EE7BD1" w:rsidP="00EE7BD1">
      <w:pPr>
        <w:pStyle w:val="Heading4"/>
      </w:pPr>
      <w:bookmarkStart w:id="34" w:name="_Toc175924729"/>
      <w:r w:rsidRPr="00EE7BD1">
        <w:lastRenderedPageBreak/>
        <w:t>2.1 Outpatient clinics</w:t>
      </w:r>
      <w:bookmarkEnd w:id="34"/>
    </w:p>
    <w:p w14:paraId="349C980C" w14:textId="77777777" w:rsidR="00EE7BD1" w:rsidRPr="00EE7BD1" w:rsidRDefault="00EE7BD1" w:rsidP="00EE7BD1">
      <w:pPr>
        <w:pStyle w:val="BodyCopy"/>
      </w:pPr>
      <w:r w:rsidRPr="00EE7BD1">
        <w:t>Paediatric patients with CF should be reviewed at 3 monthly intervals.1 Referral to the Paediatric Outpatient Department (POPD) should be made on discharge as guided by medical staff.</w:t>
      </w:r>
    </w:p>
    <w:p w14:paraId="6E4D46AC" w14:textId="77777777" w:rsidR="00EE7BD1" w:rsidRPr="00EE7BD1" w:rsidRDefault="00EE7BD1" w:rsidP="00EE7BD1">
      <w:pPr>
        <w:pStyle w:val="BodyCopy"/>
      </w:pPr>
      <w:r w:rsidRPr="00EE7BD1">
        <w:t>Adult patients with CF should be reviewed at 3 monthly intervals.1 Referral to the department of Respiratory and Sleep Medicine should be made on discharge as guided by medical staff.</w:t>
      </w:r>
    </w:p>
    <w:p w14:paraId="1934EA1F" w14:textId="77777777" w:rsidR="00EE7BD1" w:rsidRPr="00EE7BD1" w:rsidRDefault="00EE7BD1" w:rsidP="00EE7BD1">
      <w:pPr>
        <w:pStyle w:val="BodyCopy"/>
      </w:pPr>
      <w:r w:rsidRPr="00EE7BD1">
        <w:t>Both adult and paediatric patients also require an annual review with the appropriate multidisciplinary team.</w:t>
      </w:r>
      <w:r w:rsidRPr="00EE7BD1">
        <w:rPr>
          <w:vertAlign w:val="superscript"/>
        </w:rPr>
        <w:t>1</w:t>
      </w:r>
      <w:r w:rsidRPr="00EE7BD1">
        <w:t xml:space="preserve"> </w:t>
      </w:r>
    </w:p>
    <w:p w14:paraId="555CD061" w14:textId="77777777" w:rsidR="00F553FA" w:rsidRPr="00F553FA" w:rsidRDefault="00F553FA" w:rsidP="00F553FA">
      <w:pPr>
        <w:pStyle w:val="Heading4"/>
      </w:pPr>
      <w:bookmarkStart w:id="35" w:name="_Toc175924730"/>
      <w:r w:rsidRPr="00F553FA">
        <w:t>2.2 Process for review when unwell</w:t>
      </w:r>
      <w:bookmarkEnd w:id="35"/>
    </w:p>
    <w:p w14:paraId="2C8D86F3" w14:textId="48DECC6F" w:rsidR="00481A6C" w:rsidRPr="00F553FA" w:rsidRDefault="00F553FA" w:rsidP="00F553FA">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F553FA">
        <w:rPr>
          <w:b/>
          <w:bCs w:val="0"/>
        </w:rPr>
        <w:t>Alert:</w:t>
      </w:r>
      <w:r w:rsidRPr="00F553FA">
        <w:t xml:space="preserve"> If there is any concern that a patient is acutely unwell, the patient/parents or guardian will be instructed to call an Ambulance 000 and come directly to the Emergency Department.</w:t>
      </w:r>
    </w:p>
    <w:p w14:paraId="4F9CDBD7" w14:textId="77777777" w:rsidR="00F553FA" w:rsidRPr="00F553FA" w:rsidRDefault="00F553FA" w:rsidP="00F553FA">
      <w:pPr>
        <w:pStyle w:val="Heading5"/>
      </w:pPr>
      <w:bookmarkStart w:id="36" w:name="_Toc175924731"/>
      <w:r w:rsidRPr="00F553FA">
        <w:t>2.2.1 Paediatric patients</w:t>
      </w:r>
      <w:bookmarkEnd w:id="36"/>
    </w:p>
    <w:p w14:paraId="59768DA1" w14:textId="6EE4B76B" w:rsidR="0082027A" w:rsidRPr="0082027A" w:rsidRDefault="0082027A" w:rsidP="0082027A">
      <w:pPr>
        <w:pStyle w:val="BodyCopy"/>
      </w:pPr>
      <w:r w:rsidRPr="0082027A">
        <w:rPr>
          <w:b/>
          <w:bCs w:val="0"/>
        </w:rPr>
        <w:t>During business hours</w:t>
      </w:r>
      <w:r>
        <w:t xml:space="preserve"> </w:t>
      </w:r>
      <w:r w:rsidRPr="0082027A">
        <w:t>(Monday to Friday 0830 – 1700 hours)</w:t>
      </w:r>
    </w:p>
    <w:p w14:paraId="3424386C" w14:textId="77777777" w:rsidR="0082027A" w:rsidRPr="0082027A" w:rsidRDefault="0082027A" w:rsidP="0082027A">
      <w:pPr>
        <w:pStyle w:val="BodyCopy"/>
      </w:pPr>
      <w:r w:rsidRPr="0082027A">
        <w:t xml:space="preserve">If a child or adolescent with cystic fibrosis becomes unwell, the parent/guardian or adolescent will have been educated to contact the Paediatric CF nurse or the Paediatric Outpatient Clinic Nurse on 51247374, or to phone switchboard and ask to page the Paediatric CF nurse on Extension 54587.  </w:t>
      </w:r>
    </w:p>
    <w:p w14:paraId="5B4CC3EB" w14:textId="77777777" w:rsidR="0082027A" w:rsidRDefault="0082027A" w:rsidP="0082027A">
      <w:pPr>
        <w:pStyle w:val="BodyCopy"/>
      </w:pPr>
      <w:r w:rsidRPr="0082027A">
        <w:t xml:space="preserve">The immediate role of the nurse is to make an assessment over the phone according to set criteria, where applicable. </w:t>
      </w:r>
      <w:r w:rsidRPr="0082027A">
        <w:br/>
      </w:r>
    </w:p>
    <w:p w14:paraId="39084594" w14:textId="38F6489F" w:rsidR="0082027A" w:rsidRPr="0082027A" w:rsidRDefault="0082027A" w:rsidP="0082027A">
      <w:pPr>
        <w:pStyle w:val="BodyCopy"/>
      </w:pPr>
      <w:r w:rsidRPr="0082027A">
        <w:t>Respiratory symptoms, including:</w:t>
      </w:r>
    </w:p>
    <w:p w14:paraId="6BDBBAD8" w14:textId="77777777" w:rsidR="0082027A" w:rsidRPr="0082027A" w:rsidRDefault="0082027A" w:rsidP="0082027A">
      <w:pPr>
        <w:pStyle w:val="Bullet"/>
      </w:pPr>
      <w:r w:rsidRPr="0082027A">
        <w:t>cough</w:t>
      </w:r>
    </w:p>
    <w:p w14:paraId="679BDED6" w14:textId="77777777" w:rsidR="0082027A" w:rsidRPr="0082027A" w:rsidRDefault="0082027A" w:rsidP="0082027A">
      <w:pPr>
        <w:pStyle w:val="Bullet"/>
      </w:pPr>
      <w:r w:rsidRPr="0082027A">
        <w:t>increased work of breathing</w:t>
      </w:r>
    </w:p>
    <w:p w14:paraId="61C0A702" w14:textId="77777777" w:rsidR="0082027A" w:rsidRPr="0082027A" w:rsidRDefault="0082027A" w:rsidP="0082027A">
      <w:pPr>
        <w:pStyle w:val="Bullet"/>
      </w:pPr>
      <w:r w:rsidRPr="0082027A">
        <w:t>decreased exercise tolerance</w:t>
      </w:r>
    </w:p>
    <w:p w14:paraId="36D3EDD0" w14:textId="77777777" w:rsidR="0082027A" w:rsidRPr="0082027A" w:rsidRDefault="0082027A" w:rsidP="0082027A">
      <w:pPr>
        <w:pStyle w:val="Bullet"/>
      </w:pPr>
      <w:r w:rsidRPr="0082027A">
        <w:t>fever</w:t>
      </w:r>
    </w:p>
    <w:p w14:paraId="7B572897" w14:textId="77777777" w:rsidR="0082027A" w:rsidRPr="0082027A" w:rsidRDefault="0082027A" w:rsidP="0082027A">
      <w:pPr>
        <w:pStyle w:val="Bullet"/>
      </w:pPr>
      <w:r w:rsidRPr="0082027A">
        <w:t>change in colour and volume of sputum produced, and/or</w:t>
      </w:r>
    </w:p>
    <w:p w14:paraId="59BD1580" w14:textId="77777777" w:rsidR="0082027A" w:rsidRPr="0082027A" w:rsidRDefault="0082027A" w:rsidP="0082027A">
      <w:pPr>
        <w:pStyle w:val="Bullet"/>
      </w:pPr>
      <w:r w:rsidRPr="0082027A">
        <w:t>chest pain.</w:t>
      </w:r>
    </w:p>
    <w:p w14:paraId="3AAA6CBA" w14:textId="2A6ECDBA" w:rsidR="00F553FA" w:rsidRDefault="0082027A" w:rsidP="0091462B">
      <w:pPr>
        <w:pStyle w:val="BodyCopy"/>
      </w:pPr>
      <w:r w:rsidRPr="0082027A">
        <w:t>Gastroenterological symptoms, including:</w:t>
      </w:r>
    </w:p>
    <w:p w14:paraId="56064245" w14:textId="77777777" w:rsidR="0082027A" w:rsidRPr="0082027A" w:rsidRDefault="0082027A" w:rsidP="0082027A">
      <w:pPr>
        <w:pStyle w:val="Bullet"/>
      </w:pPr>
      <w:r w:rsidRPr="0082027A">
        <w:t>abdominal pain</w:t>
      </w:r>
    </w:p>
    <w:p w14:paraId="492942F5" w14:textId="77777777" w:rsidR="0082027A" w:rsidRPr="0082027A" w:rsidRDefault="0082027A" w:rsidP="0082027A">
      <w:pPr>
        <w:pStyle w:val="Bullet"/>
      </w:pPr>
      <w:proofErr w:type="spellStart"/>
      <w:r w:rsidRPr="0082027A">
        <w:t>steatorrhoea</w:t>
      </w:r>
      <w:proofErr w:type="spellEnd"/>
    </w:p>
    <w:p w14:paraId="4EFA8E70" w14:textId="77777777" w:rsidR="0082027A" w:rsidRPr="0082027A" w:rsidRDefault="0082027A" w:rsidP="0082027A">
      <w:pPr>
        <w:pStyle w:val="Bullet"/>
      </w:pPr>
      <w:r w:rsidRPr="0082027A">
        <w:t>gastrostomy/enteral tube button concerns, and/or</w:t>
      </w:r>
    </w:p>
    <w:p w14:paraId="7D374BEE" w14:textId="77777777" w:rsidR="0082027A" w:rsidRPr="0082027A" w:rsidRDefault="0082027A" w:rsidP="0082027A">
      <w:pPr>
        <w:pStyle w:val="Bullet"/>
      </w:pPr>
      <w:r w:rsidRPr="0082027A">
        <w:t xml:space="preserve">change in bowel habits e.g. bowels not opened for a longer period than usual. </w:t>
      </w:r>
    </w:p>
    <w:p w14:paraId="787E5F1C" w14:textId="77777777" w:rsidR="00F553FA" w:rsidRDefault="00F553FA" w:rsidP="0091462B">
      <w:pPr>
        <w:pStyle w:val="BodyCopy"/>
      </w:pPr>
    </w:p>
    <w:p w14:paraId="4364952D" w14:textId="77777777" w:rsidR="00F553FA" w:rsidRDefault="00F553FA" w:rsidP="0091462B">
      <w:pPr>
        <w:pStyle w:val="BodyCopy"/>
      </w:pPr>
    </w:p>
    <w:p w14:paraId="430D518C" w14:textId="77777777" w:rsidR="0082027A" w:rsidRPr="0082027A" w:rsidRDefault="0082027A" w:rsidP="0082027A">
      <w:pPr>
        <w:pStyle w:val="BodyCopy"/>
      </w:pPr>
    </w:p>
    <w:p w14:paraId="70FE3E53" w14:textId="77777777" w:rsidR="0082027A" w:rsidRPr="0082027A" w:rsidRDefault="0082027A" w:rsidP="0082027A">
      <w:pPr>
        <w:pStyle w:val="BodyCopy"/>
      </w:pPr>
      <w:bookmarkStart w:id="37" w:name="_Toc395796674"/>
      <w:bookmarkStart w:id="38" w:name="_Toc171333588"/>
      <w:r w:rsidRPr="0082027A">
        <w:t xml:space="preserve">Endocrine, </w:t>
      </w:r>
      <w:bookmarkEnd w:id="37"/>
      <w:r w:rsidRPr="0082027A">
        <w:t>including:</w:t>
      </w:r>
      <w:bookmarkEnd w:id="38"/>
    </w:p>
    <w:p w14:paraId="1079CB5A" w14:textId="77777777" w:rsidR="0082027A" w:rsidRPr="0082027A" w:rsidRDefault="0082027A" w:rsidP="0082027A">
      <w:pPr>
        <w:pStyle w:val="Bullet"/>
      </w:pPr>
      <w:r w:rsidRPr="0082027A">
        <w:t>unstable blood sugar levels – refer to paediatric Diabetes Educator or Paediatric Endocrinologist on call.</w:t>
      </w:r>
    </w:p>
    <w:p w14:paraId="1A0DF7BB" w14:textId="77777777" w:rsidR="0082027A" w:rsidRPr="0082027A" w:rsidRDefault="0082027A" w:rsidP="0082027A">
      <w:pPr>
        <w:pStyle w:val="BodyCopy"/>
      </w:pPr>
      <w:r w:rsidRPr="0082027A">
        <w:t xml:space="preserve">The clinic nurse should inform the paediatric registrar on duty of the patients concerns and reported symptoms.  The registrar will consult with the patient’s respiratory paediatrician if necessary, or if unavailable, the paediatrician on call.  </w:t>
      </w:r>
    </w:p>
    <w:p w14:paraId="32ECBEE4" w14:textId="11BE112C" w:rsidR="00F553FA" w:rsidRPr="0082027A" w:rsidRDefault="0082027A" w:rsidP="0082027A">
      <w:pPr>
        <w:pStyle w:val="BodyCopy"/>
      </w:pPr>
      <w:r w:rsidRPr="0082027A">
        <w:t>The clinic nurse will liaise with the medical team to arrange a suitable time for the child to present to the Paediatric Outpatient Clinic.</w:t>
      </w:r>
    </w:p>
    <w:p w14:paraId="4C16E4D8" w14:textId="77777777" w:rsidR="0082027A" w:rsidRPr="0082027A" w:rsidRDefault="0082027A" w:rsidP="0082027A">
      <w:pPr>
        <w:pStyle w:val="BodyCopy"/>
      </w:pPr>
      <w:bookmarkStart w:id="39" w:name="_Toc171333589"/>
      <w:r w:rsidRPr="0082027A">
        <w:t>On arrival the clinic nurse will:</w:t>
      </w:r>
      <w:bookmarkEnd w:id="39"/>
    </w:p>
    <w:p w14:paraId="6C70C6F7" w14:textId="77777777" w:rsidR="0082027A" w:rsidRPr="0082027A" w:rsidRDefault="0082027A" w:rsidP="0082027A">
      <w:pPr>
        <w:pStyle w:val="Bullet"/>
      </w:pPr>
      <w:r w:rsidRPr="0082027A">
        <w:t xml:space="preserve">obtain and document weight and vital signs (including oxygen saturations, respiratory and pulse rate and temperature) </w:t>
      </w:r>
    </w:p>
    <w:p w14:paraId="3D8DD6A9" w14:textId="77777777" w:rsidR="0082027A" w:rsidRPr="0082027A" w:rsidRDefault="0082027A" w:rsidP="0082027A">
      <w:pPr>
        <w:pStyle w:val="Bullet"/>
      </w:pPr>
      <w:r w:rsidRPr="0082027A">
        <w:t>obtain sputum sample if possible</w:t>
      </w:r>
    </w:p>
    <w:p w14:paraId="0570DEA6" w14:textId="77777777" w:rsidR="0082027A" w:rsidRPr="0082027A" w:rsidRDefault="0082027A" w:rsidP="0082027A">
      <w:pPr>
        <w:pStyle w:val="Bullet"/>
      </w:pPr>
      <w:r w:rsidRPr="0082027A">
        <w:t>place child in a safe and appropriate place for observation and isolation if required</w:t>
      </w:r>
    </w:p>
    <w:p w14:paraId="561A4432" w14:textId="77777777" w:rsidR="0082027A" w:rsidRPr="0082027A" w:rsidRDefault="0082027A" w:rsidP="0082027A">
      <w:pPr>
        <w:pStyle w:val="Bullet"/>
      </w:pPr>
      <w:r w:rsidRPr="0082027A">
        <w:t xml:space="preserve">negotiate with the Paediatric Day Stay Unit as necessary to determine the best area for the child to be assessed. </w:t>
      </w:r>
    </w:p>
    <w:p w14:paraId="0C434482" w14:textId="2C93EBF6" w:rsidR="0082027A" w:rsidRPr="0082027A" w:rsidRDefault="0082027A" w:rsidP="0082027A">
      <w:pPr>
        <w:pStyle w:val="BodyCopy"/>
      </w:pPr>
      <w:r w:rsidRPr="0082027A">
        <w:rPr>
          <w:b/>
          <w:bCs w:val="0"/>
        </w:rPr>
        <w:t>After hours</w:t>
      </w:r>
      <w:r>
        <w:t xml:space="preserve"> </w:t>
      </w:r>
      <w:r w:rsidRPr="0082027A">
        <w:t xml:space="preserve">(weekends, public holidays, from 1700 - 0830 hours on </w:t>
      </w:r>
      <w:proofErr w:type="gramStart"/>
      <w:r w:rsidRPr="0082027A">
        <w:t>week days</w:t>
      </w:r>
      <w:proofErr w:type="gramEnd"/>
      <w:r w:rsidRPr="0082027A">
        <w:t>)</w:t>
      </w:r>
    </w:p>
    <w:p w14:paraId="0BA7EB19" w14:textId="77777777" w:rsidR="0082027A" w:rsidRPr="0082027A" w:rsidRDefault="0082027A" w:rsidP="0082027A">
      <w:pPr>
        <w:pStyle w:val="BodyCopy"/>
      </w:pPr>
      <w:r w:rsidRPr="0082027A">
        <w:t>Parents will have been educated to contact the paediatric registrar on call via the Canberra Hospital switchboard on 51240000.</w:t>
      </w:r>
    </w:p>
    <w:p w14:paraId="561EC3F5" w14:textId="77777777" w:rsidR="0082027A" w:rsidRPr="0082027A" w:rsidRDefault="0082027A" w:rsidP="0082027A">
      <w:pPr>
        <w:pStyle w:val="BodyCopy"/>
      </w:pPr>
      <w:r w:rsidRPr="0082027A">
        <w:t xml:space="preserve">The registrar will make an assessment over the phone. If required, the registrar will notify the Emergency Department and arrange to meet the child and family in this department. </w:t>
      </w:r>
    </w:p>
    <w:p w14:paraId="277908FB" w14:textId="77777777" w:rsidR="0082027A" w:rsidRPr="0082027A" w:rsidRDefault="0082027A" w:rsidP="0082027A">
      <w:pPr>
        <w:pStyle w:val="BodyCopy"/>
      </w:pPr>
      <w:r w:rsidRPr="0082027A">
        <w:t>It may be determined as safe and appropriate for the child to present to the Outpatient Clinic the next day.  If so, the parent should be advised to telephone the clinic nurse after 0830 hours on 51247374 who should then arrange a suitable time for the patient to be reviewed in consultation with the paediatric registrar.</w:t>
      </w:r>
    </w:p>
    <w:p w14:paraId="1E4ACF1C" w14:textId="4686CA34" w:rsidR="0082027A" w:rsidRPr="0082027A" w:rsidRDefault="0082027A" w:rsidP="0082027A">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82027A">
        <w:rPr>
          <w:b/>
          <w:bCs w:val="0"/>
        </w:rPr>
        <w:t>Note:</w:t>
      </w:r>
      <w:r w:rsidRPr="0082027A">
        <w:t xml:space="preserve"> Some concerns may be safely and appropriately managed by the General Practitioner (GP).</w:t>
      </w:r>
      <w:r>
        <w:t xml:space="preserve"> </w:t>
      </w:r>
      <w:r w:rsidRPr="0082027A">
        <w:t>This is to be decided by the paediatric registrar. The paediatric registrar should liaise with the GP and with the patient’s respiratory paediatrician.</w:t>
      </w:r>
    </w:p>
    <w:p w14:paraId="119EE4B4" w14:textId="77777777" w:rsidR="0082027A" w:rsidRPr="0082027A" w:rsidRDefault="0082027A" w:rsidP="0082027A">
      <w:pPr>
        <w:pStyle w:val="Heading5"/>
      </w:pPr>
      <w:r w:rsidRPr="0082027A">
        <w:t>2.2.2 Adult patients:</w:t>
      </w:r>
    </w:p>
    <w:p w14:paraId="34A13219" w14:textId="77777777" w:rsidR="0082027A" w:rsidRDefault="0082027A" w:rsidP="0082027A">
      <w:pPr>
        <w:pStyle w:val="BodyCopy"/>
      </w:pPr>
      <w:r w:rsidRPr="0082027A">
        <w:rPr>
          <w:b/>
          <w:bCs w:val="0"/>
        </w:rPr>
        <w:t>During business hours</w:t>
      </w:r>
      <w:r w:rsidRPr="0082027A">
        <w:t xml:space="preserve"> (Monday to Friday 0830 – 1700 hours)</w:t>
      </w:r>
    </w:p>
    <w:p w14:paraId="654C1B94" w14:textId="6CC09F03" w:rsidR="0082027A" w:rsidRPr="0082027A" w:rsidRDefault="0082027A" w:rsidP="0082027A">
      <w:pPr>
        <w:pStyle w:val="BodyCopy"/>
      </w:pPr>
      <w:r w:rsidRPr="0082027A">
        <w:t>If an adult with CF becomes unwell, they will have been educated to contact the Adult CF nurse on extension 51242066 or mobile 0466809474.</w:t>
      </w:r>
    </w:p>
    <w:p w14:paraId="33CADB54" w14:textId="77777777" w:rsidR="0082027A" w:rsidRPr="0082027A" w:rsidRDefault="0082027A" w:rsidP="0082027A">
      <w:pPr>
        <w:pStyle w:val="BodyCopy"/>
      </w:pPr>
    </w:p>
    <w:p w14:paraId="084CE1D6" w14:textId="77777777" w:rsidR="0082027A" w:rsidRPr="0082027A" w:rsidRDefault="0082027A" w:rsidP="0082027A">
      <w:pPr>
        <w:pStyle w:val="BodyCopy"/>
      </w:pPr>
      <w:r w:rsidRPr="0082027A">
        <w:lastRenderedPageBreak/>
        <w:t>The immediate role of the nurse is to make an assessment over the phone according to set criteria where applicable.</w:t>
      </w:r>
    </w:p>
    <w:p w14:paraId="070E42C2" w14:textId="77777777" w:rsidR="0082027A" w:rsidRPr="0082027A" w:rsidRDefault="0082027A" w:rsidP="0082027A">
      <w:pPr>
        <w:pStyle w:val="BodyCopy"/>
      </w:pPr>
      <w:r w:rsidRPr="0082027A">
        <w:t>Respiratory, including:</w:t>
      </w:r>
    </w:p>
    <w:p w14:paraId="61DB493D" w14:textId="77777777" w:rsidR="0082027A" w:rsidRPr="0082027A" w:rsidRDefault="0082027A" w:rsidP="0082027A">
      <w:pPr>
        <w:pStyle w:val="Bullet"/>
      </w:pPr>
      <w:r w:rsidRPr="0082027A">
        <w:t>cough</w:t>
      </w:r>
    </w:p>
    <w:p w14:paraId="3495A1CC" w14:textId="77777777" w:rsidR="0082027A" w:rsidRPr="0082027A" w:rsidRDefault="0082027A" w:rsidP="0082027A">
      <w:pPr>
        <w:pStyle w:val="Bullet"/>
      </w:pPr>
      <w:r w:rsidRPr="0082027A">
        <w:t>increased work of breathing</w:t>
      </w:r>
    </w:p>
    <w:p w14:paraId="6B6CD384" w14:textId="77777777" w:rsidR="0082027A" w:rsidRPr="0082027A" w:rsidRDefault="0082027A" w:rsidP="0082027A">
      <w:pPr>
        <w:pStyle w:val="Bullet"/>
      </w:pPr>
      <w:r w:rsidRPr="0082027A">
        <w:t>decreased exercise tolerance</w:t>
      </w:r>
    </w:p>
    <w:p w14:paraId="48FB68F0" w14:textId="77777777" w:rsidR="0082027A" w:rsidRPr="0082027A" w:rsidRDefault="0082027A" w:rsidP="0082027A">
      <w:pPr>
        <w:pStyle w:val="Bullet"/>
      </w:pPr>
      <w:r w:rsidRPr="0082027A">
        <w:t>fever</w:t>
      </w:r>
    </w:p>
    <w:p w14:paraId="6FF58DEF" w14:textId="77777777" w:rsidR="0082027A" w:rsidRPr="0082027A" w:rsidRDefault="0082027A" w:rsidP="0082027A">
      <w:pPr>
        <w:pStyle w:val="Bullet"/>
      </w:pPr>
      <w:r w:rsidRPr="0082027A">
        <w:t>change in colour and volume of sputum produced, and/or</w:t>
      </w:r>
    </w:p>
    <w:p w14:paraId="3A53065B" w14:textId="77777777" w:rsidR="0082027A" w:rsidRPr="0082027A" w:rsidRDefault="0082027A" w:rsidP="0082027A">
      <w:pPr>
        <w:pStyle w:val="Bullet"/>
      </w:pPr>
      <w:r w:rsidRPr="0082027A">
        <w:t>chest pain.</w:t>
      </w:r>
    </w:p>
    <w:p w14:paraId="6B0E08D0" w14:textId="77777777" w:rsidR="0082027A" w:rsidRPr="00223071" w:rsidRDefault="0082027A" w:rsidP="0082027A">
      <w:pPr>
        <w:pStyle w:val="BodyCopy"/>
      </w:pPr>
      <w:bookmarkStart w:id="40" w:name="_Toc171333591"/>
      <w:r w:rsidRPr="00223071">
        <w:t>Gastroenterological symptoms, including:</w:t>
      </w:r>
      <w:bookmarkEnd w:id="40"/>
    </w:p>
    <w:p w14:paraId="48765459" w14:textId="77777777" w:rsidR="0082027A" w:rsidRPr="0082027A" w:rsidRDefault="0082027A" w:rsidP="0082027A">
      <w:pPr>
        <w:pStyle w:val="Bullet"/>
      </w:pPr>
      <w:r w:rsidRPr="0082027A">
        <w:t>abdominal pain</w:t>
      </w:r>
    </w:p>
    <w:p w14:paraId="7E8EA362" w14:textId="77777777" w:rsidR="0082027A" w:rsidRPr="0082027A" w:rsidRDefault="0082027A" w:rsidP="0082027A">
      <w:pPr>
        <w:pStyle w:val="Bullet"/>
      </w:pPr>
      <w:proofErr w:type="spellStart"/>
      <w:r w:rsidRPr="0082027A">
        <w:t>steatorrhoea</w:t>
      </w:r>
      <w:proofErr w:type="spellEnd"/>
    </w:p>
    <w:p w14:paraId="411EEAA0" w14:textId="77777777" w:rsidR="0082027A" w:rsidRPr="0082027A" w:rsidRDefault="0082027A" w:rsidP="0082027A">
      <w:pPr>
        <w:pStyle w:val="Bullet"/>
      </w:pPr>
      <w:r w:rsidRPr="0082027A">
        <w:t>gastrostomy/enteral tube button concerns, and/or</w:t>
      </w:r>
    </w:p>
    <w:p w14:paraId="6A2943B2" w14:textId="5A1BD810" w:rsidR="0082027A" w:rsidRDefault="0082027A" w:rsidP="0082027A">
      <w:pPr>
        <w:pStyle w:val="Bullet"/>
      </w:pPr>
      <w:r w:rsidRPr="0082027A">
        <w:t>change in bowel habits e.g. bowels not opened for a longer period than usual</w:t>
      </w:r>
    </w:p>
    <w:p w14:paraId="712FDB56" w14:textId="77777777" w:rsidR="0082027A" w:rsidRPr="00AB4FF1" w:rsidRDefault="0082027A" w:rsidP="0082027A">
      <w:pPr>
        <w:pStyle w:val="BodyCopy"/>
      </w:pPr>
      <w:bookmarkStart w:id="41" w:name="_Toc171333592"/>
      <w:r w:rsidRPr="00223071">
        <w:t>Endocrine, including</w:t>
      </w:r>
      <w:r w:rsidRPr="00AB4FF1">
        <w:t>:</w:t>
      </w:r>
      <w:bookmarkEnd w:id="41"/>
    </w:p>
    <w:p w14:paraId="21512B42" w14:textId="77777777" w:rsidR="0082027A" w:rsidRPr="0082027A" w:rsidRDefault="0082027A" w:rsidP="0082027A">
      <w:pPr>
        <w:pStyle w:val="Bullet"/>
      </w:pPr>
      <w:r w:rsidRPr="0082027A">
        <w:t>unstable blood sugar levels – refer to Endocrinologist on call.</w:t>
      </w:r>
    </w:p>
    <w:p w14:paraId="051046C3" w14:textId="77777777" w:rsidR="0082027A" w:rsidRPr="00AB4FF1" w:rsidRDefault="0082027A" w:rsidP="0082027A">
      <w:pPr>
        <w:pStyle w:val="BodyCopy"/>
      </w:pPr>
      <w:r w:rsidRPr="00AB4FF1">
        <w:t xml:space="preserve">The (clinic) CF nurse should inform the adult respiratory advanced trainee medical officer of the patients concerns and reported symptoms, or the respiratory consultant medical officer.   </w:t>
      </w:r>
    </w:p>
    <w:p w14:paraId="6B3AD6CD" w14:textId="77777777" w:rsidR="0082027A" w:rsidRPr="00AB4FF1" w:rsidRDefault="0082027A" w:rsidP="0082027A">
      <w:pPr>
        <w:pStyle w:val="BodyCopy"/>
      </w:pPr>
      <w:r w:rsidRPr="00AB4FF1">
        <w:t xml:space="preserve">The (clinic) CF nurse will then liaise with the medical team to arrange a suitable time for the patient to be seen at the Department of Respiratory and Sleep Medicine or inform the patient of advice provided by medical officer. </w:t>
      </w:r>
    </w:p>
    <w:p w14:paraId="04616887" w14:textId="77777777" w:rsidR="0082027A" w:rsidRPr="0082027A" w:rsidRDefault="0082027A" w:rsidP="0082027A">
      <w:pPr>
        <w:pStyle w:val="BodyCopy"/>
      </w:pPr>
      <w:bookmarkStart w:id="42" w:name="_Toc171333593"/>
      <w:r w:rsidRPr="0082027A">
        <w:t>On arrival the CF nurse will:</w:t>
      </w:r>
      <w:bookmarkEnd w:id="42"/>
    </w:p>
    <w:p w14:paraId="71FC95FD" w14:textId="77777777" w:rsidR="0082027A" w:rsidRPr="0082027A" w:rsidRDefault="0082027A" w:rsidP="0082027A">
      <w:pPr>
        <w:pStyle w:val="Bullet"/>
      </w:pPr>
      <w:r w:rsidRPr="0082027A">
        <w:t>place the patient in a safe and appropriate location for observation and isolation if required</w:t>
      </w:r>
    </w:p>
    <w:p w14:paraId="021303D9" w14:textId="77777777" w:rsidR="0082027A" w:rsidRPr="0082027A" w:rsidRDefault="0082027A" w:rsidP="0082027A">
      <w:pPr>
        <w:pStyle w:val="Bullet"/>
      </w:pPr>
      <w:r w:rsidRPr="0082027A">
        <w:t xml:space="preserve">obtain and document weight and vital signs (including oxygen saturations, respiratory and pulse rate and temperature) </w:t>
      </w:r>
    </w:p>
    <w:p w14:paraId="2E8755E7" w14:textId="77777777" w:rsidR="0082027A" w:rsidRPr="0082027A" w:rsidRDefault="0082027A" w:rsidP="0082027A">
      <w:pPr>
        <w:pStyle w:val="Bullet"/>
      </w:pPr>
      <w:r w:rsidRPr="0082027A">
        <w:t>obtain sputum sample if possible and send to pathology.</w:t>
      </w:r>
    </w:p>
    <w:p w14:paraId="55DF35CB" w14:textId="77777777" w:rsidR="0082027A" w:rsidRPr="00AB4FF1" w:rsidRDefault="0082027A" w:rsidP="0082027A">
      <w:pPr>
        <w:pStyle w:val="BodyCopy"/>
      </w:pPr>
      <w:bookmarkStart w:id="43" w:name="_Toc171333594"/>
      <w:r w:rsidRPr="00AB4FF1">
        <w:rPr>
          <w:b/>
        </w:rPr>
        <w:t xml:space="preserve">After hours </w:t>
      </w:r>
      <w:r w:rsidRPr="00AB4FF1">
        <w:t>(weekends, public holidays, from 1700 - 0830 hours on weekdays)</w:t>
      </w:r>
      <w:bookmarkEnd w:id="43"/>
    </w:p>
    <w:p w14:paraId="6F1F96D8" w14:textId="77777777" w:rsidR="0082027A" w:rsidRPr="00AB4FF1" w:rsidRDefault="0082027A" w:rsidP="0082027A">
      <w:pPr>
        <w:pStyle w:val="BodyCopy"/>
      </w:pPr>
      <w:r w:rsidRPr="00AB4FF1">
        <w:t>Adult patients with CF should present to the Emergency Department.</w:t>
      </w:r>
    </w:p>
    <w:p w14:paraId="4C7ED02C" w14:textId="082E8876" w:rsidR="00481A6C" w:rsidRDefault="00000000" w:rsidP="0091462B">
      <w:pPr>
        <w:pStyle w:val="BodyCopy"/>
      </w:pPr>
      <w:hyperlink w:anchor="_top" w:history="1">
        <w:r w:rsidR="00481A6C" w:rsidRPr="00481A6C">
          <w:rPr>
            <w:rStyle w:val="Hyperlink"/>
            <w:iCs w:val="0"/>
          </w:rPr>
          <w:t>Back to Contents</w:t>
        </w:r>
      </w:hyperlink>
    </w:p>
    <w:p w14:paraId="0F84F10A" w14:textId="22DDB574" w:rsidR="0078367D" w:rsidRDefault="0078367D" w:rsidP="0078367D">
      <w:pPr>
        <w:pStyle w:val="Heading2"/>
      </w:pPr>
      <w:bookmarkStart w:id="44" w:name="_Toc176177620"/>
      <w:bookmarkStart w:id="45" w:name="_Hlk43366294"/>
      <w:r>
        <w:t>Evaluation</w:t>
      </w:r>
      <w:bookmarkEnd w:id="44"/>
    </w:p>
    <w:p w14:paraId="301F8F07" w14:textId="2F8AC89B" w:rsidR="0082027A" w:rsidRPr="00666AF5" w:rsidRDefault="00481A6C" w:rsidP="00666AF5">
      <w:pPr>
        <w:pStyle w:val="Heading4"/>
      </w:pPr>
      <w:bookmarkStart w:id="46" w:name="_Hlk170467190"/>
      <w:bookmarkEnd w:id="45"/>
      <w:r w:rsidRPr="00666AF5">
        <w:rPr>
          <w:rStyle w:val="Heading4Char"/>
          <w:b/>
        </w:rPr>
        <w:t>Outcome</w:t>
      </w:r>
      <w:bookmarkEnd w:id="46"/>
    </w:p>
    <w:p w14:paraId="7248DF01" w14:textId="13AB5D1B" w:rsidR="0082027A" w:rsidRPr="0082027A" w:rsidRDefault="0082027A" w:rsidP="0082027A">
      <w:pPr>
        <w:pStyle w:val="Bullet"/>
      </w:pPr>
      <w:r w:rsidRPr="0082027A">
        <w:lastRenderedPageBreak/>
        <w:t>Care for people with CF meets the Standards of Care for Cystic Fibrosis</w:t>
      </w:r>
      <w:r w:rsidRPr="00666AF5">
        <w:rPr>
          <w:vertAlign w:val="superscript"/>
        </w:rPr>
        <w:t>2</w:t>
      </w:r>
    </w:p>
    <w:p w14:paraId="70A02943" w14:textId="77777777" w:rsidR="0082027A" w:rsidRPr="0082027A" w:rsidRDefault="0082027A" w:rsidP="0082027A">
      <w:pPr>
        <w:pStyle w:val="Bullet"/>
      </w:pPr>
      <w:r w:rsidRPr="0082027A">
        <w:t xml:space="preserve">Children with CF </w:t>
      </w:r>
      <w:proofErr w:type="gramStart"/>
      <w:r w:rsidRPr="0082027A">
        <w:t>have the ability to</w:t>
      </w:r>
      <w:proofErr w:type="gramEnd"/>
      <w:r w:rsidRPr="0082027A">
        <w:t xml:space="preserve"> lead a normal life, with normal activity and school attendance.</w:t>
      </w:r>
    </w:p>
    <w:p w14:paraId="153C03B4" w14:textId="567BAB2E" w:rsidR="00481A6C" w:rsidRPr="0082027A" w:rsidRDefault="0082027A" w:rsidP="00666AF5">
      <w:pPr>
        <w:pStyle w:val="Bullet"/>
      </w:pPr>
      <w:r w:rsidRPr="0082027A">
        <w:t>Children with CF have minimal morbidity, nil mortality and progress to the adult clinic in an optimally healthy as possible state, both physically and mentally, with the prospects of normal adult employment and family life</w:t>
      </w:r>
    </w:p>
    <w:p w14:paraId="0040F8E2" w14:textId="290130AB" w:rsidR="00666AF5" w:rsidRDefault="00481A6C" w:rsidP="00666AF5">
      <w:pPr>
        <w:pStyle w:val="BodyCopy"/>
      </w:pPr>
      <w:bookmarkStart w:id="47" w:name="_Hlk170467240"/>
      <w:r w:rsidRPr="00A66966">
        <w:rPr>
          <w:rStyle w:val="Heading4Char"/>
        </w:rPr>
        <w:t>Measures</w:t>
      </w:r>
      <w:bookmarkEnd w:id="47"/>
    </w:p>
    <w:p w14:paraId="2084819B" w14:textId="1BC218E0" w:rsidR="00666AF5" w:rsidRPr="00666AF5" w:rsidRDefault="00666AF5" w:rsidP="00666AF5">
      <w:pPr>
        <w:pStyle w:val="Bullet"/>
      </w:pPr>
      <w:r w:rsidRPr="00666AF5">
        <w:t>Ongoing monitoring and discussion among Paediatric and Adult CF teams (clinic attendance, exacerbations, microbiology, and data captured in the Australian Cystic Fibrosis Data Registry (ACFDR))</w:t>
      </w:r>
    </w:p>
    <w:p w14:paraId="166CCA30" w14:textId="77777777" w:rsidR="00666AF5" w:rsidRPr="00666AF5" w:rsidRDefault="00666AF5" w:rsidP="00666AF5">
      <w:pPr>
        <w:pStyle w:val="Bullet"/>
        <w:rPr>
          <w:i/>
        </w:rPr>
      </w:pPr>
      <w:r w:rsidRPr="00666AF5">
        <w:t>Regular assessment and monitoring of clinical incident reports in relation to people with CF</w:t>
      </w:r>
      <w:r w:rsidRPr="00666AF5">
        <w:rPr>
          <w:i/>
        </w:rPr>
        <w:t xml:space="preserve"> </w:t>
      </w:r>
    </w:p>
    <w:p w14:paraId="306CA02A" w14:textId="71F9D484" w:rsidR="00481A6C" w:rsidRPr="009A5010" w:rsidRDefault="00666AF5" w:rsidP="00666AF5">
      <w:pPr>
        <w:pStyle w:val="Bullet"/>
      </w:pPr>
      <w:r w:rsidRPr="00666AF5">
        <w:t>Monitoring of patient experience questionnaires and consumer feedback data.</w:t>
      </w:r>
    </w:p>
    <w:p w14:paraId="52492926" w14:textId="77777777" w:rsidR="00481A6C" w:rsidRDefault="00000000" w:rsidP="0091462B">
      <w:pPr>
        <w:pStyle w:val="BodyCopy"/>
      </w:pPr>
      <w:hyperlink w:anchor="_top" w:history="1">
        <w:r w:rsidR="00481A6C" w:rsidRPr="00481A6C">
          <w:rPr>
            <w:rStyle w:val="Hyperlink"/>
            <w:iCs w:val="0"/>
          </w:rPr>
          <w:t>Back to Contents</w:t>
        </w:r>
      </w:hyperlink>
    </w:p>
    <w:tbl>
      <w:tblPr>
        <w:tblStyle w:val="TableGrid"/>
        <w:tblW w:w="0" w:type="auto"/>
        <w:tblLook w:val="04A0" w:firstRow="1" w:lastRow="0" w:firstColumn="1" w:lastColumn="0" w:noHBand="0" w:noVBand="1"/>
      </w:tblPr>
      <w:tblGrid>
        <w:gridCol w:w="9911"/>
      </w:tblGrid>
      <w:tr w:rsidR="00481A6C" w14:paraId="676DF949" w14:textId="77777777" w:rsidTr="003B0E72">
        <w:tc>
          <w:tcPr>
            <w:tcW w:w="10194" w:type="dxa"/>
            <w:shd w:val="clear" w:color="auto" w:fill="3D2262" w:themeFill="accent1"/>
          </w:tcPr>
          <w:p w14:paraId="5BBC71FE" w14:textId="77777777" w:rsidR="00481A6C" w:rsidRDefault="00481A6C" w:rsidP="003B0E72">
            <w:pPr>
              <w:pStyle w:val="Heading2"/>
            </w:pPr>
            <w:bookmarkStart w:id="48" w:name="_Toc176177621"/>
            <w:r>
              <w:t>Related policies, procedures, guidelines and legislation</w:t>
            </w:r>
            <w:bookmarkEnd w:id="48"/>
            <w:r>
              <w:t xml:space="preserve"> </w:t>
            </w:r>
          </w:p>
        </w:tc>
      </w:tr>
    </w:tbl>
    <w:p w14:paraId="2838FA79" w14:textId="77777777" w:rsidR="00481A6C" w:rsidRDefault="00481A6C" w:rsidP="00A66966">
      <w:pPr>
        <w:pStyle w:val="Heading4"/>
      </w:pPr>
      <w:r w:rsidRPr="00A66966">
        <w:t>Policies</w:t>
      </w:r>
    </w:p>
    <w:p w14:paraId="69423DED" w14:textId="77777777" w:rsidR="00666AF5" w:rsidRPr="00666AF5" w:rsidRDefault="00666AF5" w:rsidP="00666AF5">
      <w:pPr>
        <w:pStyle w:val="Bullet"/>
        <w:rPr>
          <w:lang w:eastAsia="en-US"/>
        </w:rPr>
      </w:pPr>
      <w:r w:rsidRPr="00666AF5">
        <w:rPr>
          <w:lang w:eastAsia="en-US"/>
        </w:rPr>
        <w:t>Nursing and Midwifery Requirements for Practice</w:t>
      </w:r>
    </w:p>
    <w:p w14:paraId="6B4ECF32" w14:textId="49AB4450" w:rsidR="00666AF5" w:rsidRPr="00666AF5" w:rsidRDefault="00666AF5" w:rsidP="00666AF5">
      <w:pPr>
        <w:pStyle w:val="Bullet"/>
        <w:rPr>
          <w:lang w:eastAsia="en-US"/>
        </w:rPr>
      </w:pPr>
      <w:r w:rsidRPr="00666AF5">
        <w:rPr>
          <w:lang w:eastAsia="en-US"/>
        </w:rPr>
        <w:t>Medication Handling</w:t>
      </w:r>
    </w:p>
    <w:p w14:paraId="67A7D749" w14:textId="77777777" w:rsidR="00481A6C" w:rsidRDefault="00481A6C" w:rsidP="0078367D">
      <w:pPr>
        <w:pStyle w:val="Heading4"/>
      </w:pPr>
      <w:r>
        <w:t>Procedures</w:t>
      </w:r>
    </w:p>
    <w:p w14:paraId="16C89C8E" w14:textId="77777777" w:rsidR="00666AF5" w:rsidRPr="00666AF5" w:rsidRDefault="00666AF5" w:rsidP="00666AF5">
      <w:pPr>
        <w:pStyle w:val="Bullet"/>
        <w:rPr>
          <w:lang w:eastAsia="en-US"/>
        </w:rPr>
      </w:pPr>
      <w:r w:rsidRPr="00666AF5">
        <w:rPr>
          <w:lang w:eastAsia="en-US"/>
        </w:rPr>
        <w:t>Infection Prevention and Control Procedure</w:t>
      </w:r>
    </w:p>
    <w:p w14:paraId="292AA710" w14:textId="77777777" w:rsidR="00666AF5" w:rsidRPr="00666AF5" w:rsidRDefault="00666AF5" w:rsidP="00666AF5">
      <w:pPr>
        <w:pStyle w:val="Bullet"/>
        <w:rPr>
          <w:lang w:eastAsia="en-US"/>
        </w:rPr>
      </w:pPr>
      <w:r w:rsidRPr="00666AF5">
        <w:rPr>
          <w:lang w:eastAsia="en-US"/>
        </w:rPr>
        <w:t>Patient Identification and Procedure Matching</w:t>
      </w:r>
    </w:p>
    <w:p w14:paraId="6457E27C" w14:textId="77777777" w:rsidR="00666AF5" w:rsidRPr="00666AF5" w:rsidRDefault="00666AF5" w:rsidP="00666AF5">
      <w:pPr>
        <w:pStyle w:val="Bullet"/>
        <w:rPr>
          <w:lang w:eastAsia="en-US"/>
        </w:rPr>
      </w:pPr>
      <w:r w:rsidRPr="00666AF5">
        <w:rPr>
          <w:lang w:eastAsia="en-US"/>
        </w:rPr>
        <w:t xml:space="preserve">Antimicrobial Stewardship </w:t>
      </w:r>
    </w:p>
    <w:p w14:paraId="1A988870" w14:textId="77777777" w:rsidR="00666AF5" w:rsidRPr="00666AF5" w:rsidRDefault="00666AF5" w:rsidP="00666AF5">
      <w:pPr>
        <w:pStyle w:val="Bullet"/>
        <w:rPr>
          <w:lang w:eastAsia="en-US"/>
        </w:rPr>
      </w:pPr>
      <w:r w:rsidRPr="00666AF5">
        <w:rPr>
          <w:lang w:eastAsia="en-US"/>
        </w:rPr>
        <w:t>Vital Signs and Early Warning Scores</w:t>
      </w:r>
    </w:p>
    <w:p w14:paraId="4861D9ED" w14:textId="0C1F5181" w:rsidR="00666AF5" w:rsidRPr="00666AF5" w:rsidRDefault="00666AF5" w:rsidP="00666AF5">
      <w:pPr>
        <w:pStyle w:val="Bullet"/>
        <w:rPr>
          <w:lang w:eastAsia="en-US"/>
        </w:rPr>
      </w:pPr>
      <w:r w:rsidRPr="00666AF5">
        <w:rPr>
          <w:lang w:eastAsia="en-US"/>
        </w:rPr>
        <w:t>Acute Respiratory Infection (ARI): Infection control management in adults, paediatrics and neonates</w:t>
      </w:r>
    </w:p>
    <w:p w14:paraId="21E305E3" w14:textId="77777777" w:rsidR="00481A6C" w:rsidRDefault="00481A6C" w:rsidP="0078367D">
      <w:pPr>
        <w:pStyle w:val="Heading4"/>
      </w:pPr>
      <w:r>
        <w:t xml:space="preserve">Guidelines </w:t>
      </w:r>
    </w:p>
    <w:p w14:paraId="503AF3C6" w14:textId="77777777" w:rsidR="00666AF5" w:rsidRPr="00666AF5" w:rsidRDefault="00666AF5" w:rsidP="00666AF5">
      <w:pPr>
        <w:pStyle w:val="BodyCopy"/>
        <w:numPr>
          <w:ilvl w:val="0"/>
          <w:numId w:val="38"/>
        </w:numPr>
        <w:rPr>
          <w:lang w:eastAsia="en-US"/>
        </w:rPr>
      </w:pPr>
      <w:r w:rsidRPr="00666AF5">
        <w:rPr>
          <w:lang w:eastAsia="en-US"/>
        </w:rPr>
        <w:t>Consent for Healthcare Treatment</w:t>
      </w:r>
    </w:p>
    <w:p w14:paraId="07A1A8E5" w14:textId="77777777" w:rsidR="00481A6C" w:rsidRDefault="00481A6C" w:rsidP="00820942">
      <w:pPr>
        <w:pStyle w:val="Heading4"/>
      </w:pPr>
      <w:r>
        <w:t>Legislation</w:t>
      </w:r>
    </w:p>
    <w:p w14:paraId="5FD91E93" w14:textId="77777777" w:rsidR="00481A6C" w:rsidRPr="000E7683" w:rsidRDefault="00481A6C" w:rsidP="000E7683">
      <w:pPr>
        <w:pStyle w:val="Bullet"/>
      </w:pPr>
      <w:r w:rsidRPr="00FE46F1">
        <w:rPr>
          <w:i/>
          <w:iCs/>
        </w:rPr>
        <w:t>Health Records (Privacy and Access) Act</w:t>
      </w:r>
      <w:r w:rsidRPr="000E7683">
        <w:t xml:space="preserve"> 1997</w:t>
      </w:r>
    </w:p>
    <w:p w14:paraId="2776CEE3" w14:textId="77777777" w:rsidR="00481A6C" w:rsidRPr="000E7683" w:rsidRDefault="00481A6C" w:rsidP="000E7683">
      <w:pPr>
        <w:pStyle w:val="Bullet"/>
      </w:pPr>
      <w:r w:rsidRPr="00FE46F1">
        <w:rPr>
          <w:i/>
          <w:iCs/>
        </w:rPr>
        <w:t>Human Rights Act</w:t>
      </w:r>
      <w:r w:rsidRPr="000E7683">
        <w:t xml:space="preserve"> 2004</w:t>
      </w:r>
    </w:p>
    <w:p w14:paraId="13EB9A02" w14:textId="77777777" w:rsidR="00481A6C" w:rsidRPr="000E7683" w:rsidRDefault="00481A6C" w:rsidP="000E7683">
      <w:pPr>
        <w:pStyle w:val="Bullet"/>
      </w:pPr>
      <w:r w:rsidRPr="00FE46F1">
        <w:rPr>
          <w:i/>
          <w:iCs/>
        </w:rPr>
        <w:t>Work Health and Safety Act</w:t>
      </w:r>
      <w:r w:rsidRPr="000E7683">
        <w:t xml:space="preserve"> 2011</w:t>
      </w:r>
    </w:p>
    <w:p w14:paraId="57A9847E" w14:textId="77777777" w:rsidR="00481A6C" w:rsidRDefault="00481A6C" w:rsidP="0078367D">
      <w:pPr>
        <w:pStyle w:val="Heading4"/>
      </w:pPr>
      <w:r>
        <w:t>Other</w:t>
      </w:r>
    </w:p>
    <w:p w14:paraId="1D4CB9F4" w14:textId="77777777" w:rsidR="000E7683" w:rsidRDefault="00481A6C" w:rsidP="00A66966">
      <w:pPr>
        <w:pStyle w:val="Bullet"/>
      </w:pPr>
      <w:r w:rsidRPr="00A66966">
        <w:t>Australian</w:t>
      </w:r>
      <w:r w:rsidRPr="000E7683">
        <w:t xml:space="preserve"> Charter of Healthcare Right</w:t>
      </w:r>
      <w:r w:rsidR="00280C5D" w:rsidRPr="000E7683">
        <w:t>s</w:t>
      </w:r>
    </w:p>
    <w:p w14:paraId="4126B41F" w14:textId="77777777" w:rsidR="00666AF5" w:rsidRPr="00C14566" w:rsidRDefault="00666AF5" w:rsidP="00666AF5">
      <w:pPr>
        <w:pStyle w:val="Bullet"/>
        <w:rPr>
          <w:b/>
        </w:rPr>
      </w:pPr>
      <w:r w:rsidRPr="00C14566">
        <w:lastRenderedPageBreak/>
        <w:t>Standards of Care for Cystic Fibrosis</w:t>
      </w:r>
    </w:p>
    <w:p w14:paraId="238699DD" w14:textId="77777777" w:rsidR="000E7683" w:rsidRPr="000E7683" w:rsidRDefault="00000000" w:rsidP="008606A0">
      <w:pPr>
        <w:pStyle w:val="BodyCopy"/>
      </w:pPr>
      <w:hyperlink w:anchor="_top" w:history="1">
        <w:r w:rsidR="000E7683" w:rsidRPr="004A7A7F">
          <w:rPr>
            <w:rStyle w:val="Hyperlink"/>
          </w:rPr>
          <w:t>Back to Contents</w:t>
        </w:r>
      </w:hyperlink>
    </w:p>
    <w:p w14:paraId="2C61A902" w14:textId="52B497D7" w:rsidR="00666AF5" w:rsidRDefault="0078367D" w:rsidP="00666AF5">
      <w:pPr>
        <w:pStyle w:val="Heading2"/>
      </w:pPr>
      <w:bookmarkStart w:id="49" w:name="_Toc176177622"/>
      <w:r w:rsidRPr="0078367D">
        <w:t>References</w:t>
      </w:r>
      <w:bookmarkEnd w:id="49"/>
    </w:p>
    <w:p w14:paraId="1A34AA60" w14:textId="77777777" w:rsidR="00666AF5" w:rsidRPr="00666AF5" w:rsidRDefault="00666AF5" w:rsidP="00666AF5">
      <w:pPr>
        <w:pStyle w:val="Numberedlist"/>
        <w:rPr>
          <w:lang w:eastAsia="en-US"/>
        </w:rPr>
      </w:pPr>
      <w:r w:rsidRPr="00666AF5">
        <w:rPr>
          <w:lang w:eastAsia="en-US"/>
        </w:rPr>
        <w:t xml:space="preserve">The Children’s Hospital at Westmead, Sydney, Australia, Practice Guideline for Cystic Fibrosis Manual - CHW [Internet, last updated 17/02/2023 Available from: </w:t>
      </w:r>
      <w:hyperlink r:id="rId14" w:history="1">
        <w:r w:rsidRPr="00666AF5">
          <w:rPr>
            <w:rStyle w:val="Hyperlink"/>
            <w:bCs/>
            <w:lang w:eastAsia="en-US"/>
          </w:rPr>
          <w:t>http://www.schn.health.nsw.gov.a</w:t>
        </w:r>
        <w:bookmarkStart w:id="50" w:name="_Hlt153464217"/>
        <w:bookmarkStart w:id="51" w:name="_Hlt153464218"/>
        <w:r w:rsidRPr="00666AF5">
          <w:rPr>
            <w:rStyle w:val="Hyperlink"/>
            <w:bCs/>
            <w:lang w:eastAsia="en-US"/>
          </w:rPr>
          <w:t>u</w:t>
        </w:r>
        <w:bookmarkEnd w:id="50"/>
        <w:bookmarkEnd w:id="51"/>
        <w:r w:rsidRPr="00666AF5">
          <w:rPr>
            <w:rStyle w:val="Hyperlink"/>
            <w:bCs/>
            <w:lang w:eastAsia="en-US"/>
          </w:rPr>
          <w:t>/_policies/pdf/2015-8000.pdf</w:t>
        </w:r>
      </w:hyperlink>
      <w:r w:rsidRPr="00666AF5">
        <w:rPr>
          <w:lang w:eastAsia="en-US"/>
        </w:rPr>
        <w:t xml:space="preserve"> </w:t>
      </w:r>
    </w:p>
    <w:p w14:paraId="7178F678" w14:textId="77777777" w:rsidR="00666AF5" w:rsidRPr="00666AF5" w:rsidRDefault="00666AF5" w:rsidP="00666AF5">
      <w:pPr>
        <w:pStyle w:val="Numberedlist"/>
        <w:rPr>
          <w:lang w:eastAsia="en-US"/>
        </w:rPr>
      </w:pPr>
      <w:r w:rsidRPr="00666AF5">
        <w:rPr>
          <w:lang w:eastAsia="en-US"/>
        </w:rPr>
        <w:t xml:space="preserve">Douglas TA, </w:t>
      </w:r>
      <w:proofErr w:type="spellStart"/>
      <w:r w:rsidRPr="00666AF5">
        <w:rPr>
          <w:lang w:eastAsia="en-US"/>
        </w:rPr>
        <w:t>Mulrennan</w:t>
      </w:r>
      <w:proofErr w:type="spellEnd"/>
      <w:r w:rsidRPr="00666AF5">
        <w:rPr>
          <w:lang w:eastAsia="en-US"/>
        </w:rPr>
        <w:t xml:space="preserve"> S, Fitzgerald DA, Prentice B, </w:t>
      </w:r>
      <w:proofErr w:type="spellStart"/>
      <w:r w:rsidRPr="00666AF5">
        <w:rPr>
          <w:lang w:eastAsia="en-US"/>
        </w:rPr>
        <w:t>Frayman</w:t>
      </w:r>
      <w:proofErr w:type="spellEnd"/>
      <w:r w:rsidRPr="00666AF5">
        <w:rPr>
          <w:lang w:eastAsia="en-US"/>
        </w:rPr>
        <w:t xml:space="preserve"> K, Messer M, </w:t>
      </w:r>
      <w:proofErr w:type="spellStart"/>
      <w:r w:rsidRPr="00666AF5">
        <w:rPr>
          <w:lang w:eastAsia="en-US"/>
        </w:rPr>
        <w:t>Bearcroft</w:t>
      </w:r>
      <w:proofErr w:type="spellEnd"/>
      <w:r w:rsidRPr="00666AF5">
        <w:rPr>
          <w:lang w:eastAsia="en-US"/>
        </w:rPr>
        <w:t xml:space="preserve"> A, Boyd C, Middleton P, </w:t>
      </w:r>
      <w:proofErr w:type="spellStart"/>
      <w:r w:rsidRPr="00666AF5">
        <w:rPr>
          <w:lang w:eastAsia="en-US"/>
        </w:rPr>
        <w:t>Wark</w:t>
      </w:r>
      <w:proofErr w:type="spellEnd"/>
      <w:r w:rsidRPr="00666AF5">
        <w:rPr>
          <w:lang w:eastAsia="en-US"/>
        </w:rPr>
        <w:t xml:space="preserve"> P. Standards of Care for Cystic Fibrosis, Australia 2023. Cystic Fibrosis Australia, North Ryde, Sydney</w:t>
      </w:r>
    </w:p>
    <w:p w14:paraId="5AA04581" w14:textId="19F48B4D" w:rsidR="00666AF5" w:rsidRDefault="00666AF5" w:rsidP="00666AF5">
      <w:pPr>
        <w:pStyle w:val="Numberedlist"/>
        <w:rPr>
          <w:lang w:eastAsia="en-US"/>
        </w:rPr>
      </w:pPr>
      <w:r w:rsidRPr="00666AF5">
        <w:rPr>
          <w:lang w:eastAsia="en-US"/>
        </w:rPr>
        <w:t>Australian Medicines Handbook – Children’s Dosing Companion (AMH CDC) (2023), Adelaide, South Australia. Available at https://childrens.amh.net.au/</w:t>
      </w:r>
    </w:p>
    <w:p w14:paraId="5BFD9FD2" w14:textId="044B5FA1" w:rsidR="00280C5D" w:rsidRDefault="00000000" w:rsidP="00280C5D">
      <w:pPr>
        <w:pStyle w:val="Bullet"/>
        <w:numPr>
          <w:ilvl w:val="0"/>
          <w:numId w:val="0"/>
        </w:numPr>
        <w:tabs>
          <w:tab w:val="clear" w:pos="425"/>
        </w:tabs>
        <w:ind w:left="360" w:hanging="360"/>
        <w:rPr>
          <w:lang w:eastAsia="en-US"/>
        </w:rPr>
      </w:pPr>
      <w:hyperlink w:anchor="_top" w:history="1">
        <w:r w:rsidR="00280C5D" w:rsidRPr="004A7A7F">
          <w:rPr>
            <w:rStyle w:val="Hyperlink"/>
          </w:rPr>
          <w:t>Back to Contents</w:t>
        </w:r>
      </w:hyperlink>
    </w:p>
    <w:p w14:paraId="0125417D" w14:textId="77777777" w:rsidR="0078367D" w:rsidRDefault="0078367D" w:rsidP="0078367D">
      <w:pPr>
        <w:pStyle w:val="Heading2"/>
      </w:pPr>
      <w:bookmarkStart w:id="52" w:name="_Toc176177623"/>
      <w:r>
        <w:t>Search terms</w:t>
      </w:r>
      <w:bookmarkEnd w:id="52"/>
    </w:p>
    <w:p w14:paraId="0E417A3A" w14:textId="77777777" w:rsidR="00666AF5" w:rsidRPr="00666AF5" w:rsidRDefault="00666AF5" w:rsidP="00666AF5">
      <w:pPr>
        <w:pStyle w:val="BodyCopy"/>
      </w:pPr>
      <w:r w:rsidRPr="00666AF5">
        <w:t>Cystic Fibrosis, CF, sputum, mucus, mucous, Child, Infection, Infant, Respiratory, Adolescent, Paediatric, Lung, Pancreas, Enzymes</w:t>
      </w:r>
    </w:p>
    <w:p w14:paraId="05EB97FD" w14:textId="5590C4C4" w:rsidR="00280C5D" w:rsidRDefault="00000000" w:rsidP="00280C5D">
      <w:pPr>
        <w:pStyle w:val="Bullet"/>
        <w:numPr>
          <w:ilvl w:val="0"/>
          <w:numId w:val="0"/>
        </w:numPr>
        <w:rPr>
          <w:lang w:eastAsia="en-US"/>
        </w:rPr>
      </w:pPr>
      <w:hyperlink w:anchor="_top" w:history="1">
        <w:r w:rsidR="00280C5D" w:rsidRPr="00481A6C">
          <w:rPr>
            <w:rStyle w:val="Hyperlink"/>
          </w:rPr>
          <w:t>Back to Contents</w:t>
        </w:r>
      </w:hyperlink>
    </w:p>
    <w:p w14:paraId="38189168" w14:textId="77777777" w:rsidR="009A5010" w:rsidRPr="009A5010" w:rsidRDefault="00280C5D" w:rsidP="009A5010">
      <w:pPr>
        <w:pStyle w:val="Heading5"/>
      </w:pPr>
      <w: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3A7667C6"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218F0C37" w14:textId="77777777" w:rsidR="00280C5D" w:rsidRDefault="00280C5D" w:rsidP="003B0E72">
            <w:pPr>
              <w:pStyle w:val="Tableheader"/>
            </w:pPr>
            <w:r>
              <w:t>Date amended</w:t>
            </w:r>
          </w:p>
        </w:tc>
        <w:tc>
          <w:tcPr>
            <w:tcW w:w="2477" w:type="dxa"/>
          </w:tcPr>
          <w:p w14:paraId="07D44DC2" w14:textId="77777777" w:rsidR="00280C5D" w:rsidRDefault="00280C5D" w:rsidP="003B0E72">
            <w:pPr>
              <w:pStyle w:val="Tableheader"/>
            </w:pPr>
            <w:r>
              <w:t>Section amended</w:t>
            </w:r>
          </w:p>
        </w:tc>
        <w:tc>
          <w:tcPr>
            <w:tcW w:w="2555" w:type="dxa"/>
          </w:tcPr>
          <w:p w14:paraId="76B7D2A8" w14:textId="77777777" w:rsidR="00280C5D" w:rsidRDefault="00280C5D" w:rsidP="003B0E72">
            <w:pPr>
              <w:pStyle w:val="Tableheader"/>
            </w:pPr>
            <w:r>
              <w:t>Divisional approval</w:t>
            </w:r>
          </w:p>
        </w:tc>
        <w:tc>
          <w:tcPr>
            <w:tcW w:w="2403" w:type="dxa"/>
          </w:tcPr>
          <w:p w14:paraId="0519664E" w14:textId="77777777" w:rsidR="00280C5D" w:rsidRDefault="00280C5D" w:rsidP="003B0E72">
            <w:pPr>
              <w:pStyle w:val="Tableheader"/>
            </w:pPr>
            <w:r>
              <w:t>Final approval</w:t>
            </w:r>
          </w:p>
        </w:tc>
      </w:tr>
      <w:tr w:rsidR="00280C5D" w14:paraId="2CBA56DE" w14:textId="77777777" w:rsidTr="003B0E72">
        <w:tc>
          <w:tcPr>
            <w:tcW w:w="2476" w:type="dxa"/>
          </w:tcPr>
          <w:p w14:paraId="6B77DB90" w14:textId="276278D7" w:rsidR="00280C5D" w:rsidRDefault="00E55C78" w:rsidP="003B0E72">
            <w:pPr>
              <w:pStyle w:val="Tablebody"/>
              <w:rPr>
                <w:lang w:eastAsia="en-US"/>
              </w:rPr>
            </w:pPr>
            <w:r>
              <w:rPr>
                <w:lang w:eastAsia="en-US"/>
              </w:rPr>
              <w:t>09/09/2024</w:t>
            </w:r>
          </w:p>
        </w:tc>
        <w:tc>
          <w:tcPr>
            <w:tcW w:w="2477" w:type="dxa"/>
          </w:tcPr>
          <w:p w14:paraId="702F0BD6" w14:textId="31977C38" w:rsidR="00280C5D" w:rsidRDefault="00E55C78" w:rsidP="003B0E72">
            <w:pPr>
              <w:pStyle w:val="Tablebody"/>
              <w:rPr>
                <w:lang w:eastAsia="en-US"/>
              </w:rPr>
            </w:pPr>
            <w:r>
              <w:rPr>
                <w:lang w:eastAsia="en-US"/>
              </w:rPr>
              <w:t>Complete Review</w:t>
            </w:r>
          </w:p>
        </w:tc>
        <w:tc>
          <w:tcPr>
            <w:tcW w:w="2555" w:type="dxa"/>
          </w:tcPr>
          <w:p w14:paraId="57E5F991" w14:textId="3199195A" w:rsidR="00280C5D" w:rsidRDefault="00E55C78" w:rsidP="003B0E72">
            <w:pPr>
              <w:pStyle w:val="Tablebody"/>
              <w:rPr>
                <w:lang w:eastAsia="en-US"/>
              </w:rPr>
            </w:pPr>
            <w:r>
              <w:rPr>
                <w:lang w:eastAsia="en-US"/>
              </w:rPr>
              <w:t>Katherine Wakefield, ED WY&amp;C</w:t>
            </w:r>
          </w:p>
        </w:tc>
        <w:tc>
          <w:tcPr>
            <w:tcW w:w="2403" w:type="dxa"/>
          </w:tcPr>
          <w:p w14:paraId="2CA40E03" w14:textId="655B8020" w:rsidR="00280C5D" w:rsidRDefault="00E55C78" w:rsidP="003B0E72">
            <w:pPr>
              <w:pStyle w:val="Tablebody"/>
              <w:rPr>
                <w:lang w:eastAsia="en-US"/>
              </w:rPr>
            </w:pPr>
            <w:r>
              <w:rPr>
                <w:lang w:eastAsia="en-US"/>
              </w:rPr>
              <w:t>OOS - PDRP</w:t>
            </w:r>
          </w:p>
        </w:tc>
      </w:tr>
      <w:tr w:rsidR="00280C5D" w14:paraId="4A043F8E" w14:textId="77777777" w:rsidTr="003B0E72">
        <w:tc>
          <w:tcPr>
            <w:tcW w:w="2476" w:type="dxa"/>
          </w:tcPr>
          <w:p w14:paraId="03A34AF5" w14:textId="77777777" w:rsidR="00280C5D" w:rsidRDefault="00280C5D" w:rsidP="003B0E72">
            <w:pPr>
              <w:pStyle w:val="Tablebody"/>
              <w:rPr>
                <w:lang w:eastAsia="en-US"/>
              </w:rPr>
            </w:pPr>
          </w:p>
        </w:tc>
        <w:tc>
          <w:tcPr>
            <w:tcW w:w="2477" w:type="dxa"/>
          </w:tcPr>
          <w:p w14:paraId="2A7F5759" w14:textId="77777777" w:rsidR="00280C5D" w:rsidRDefault="00280C5D" w:rsidP="003B0E72">
            <w:pPr>
              <w:pStyle w:val="Tablebody"/>
              <w:rPr>
                <w:lang w:eastAsia="en-US"/>
              </w:rPr>
            </w:pPr>
          </w:p>
        </w:tc>
        <w:tc>
          <w:tcPr>
            <w:tcW w:w="2555" w:type="dxa"/>
          </w:tcPr>
          <w:p w14:paraId="7246A99A" w14:textId="77777777" w:rsidR="00280C5D" w:rsidRDefault="00280C5D" w:rsidP="003B0E72">
            <w:pPr>
              <w:pStyle w:val="Tablebody"/>
              <w:rPr>
                <w:lang w:eastAsia="en-US"/>
              </w:rPr>
            </w:pPr>
          </w:p>
        </w:tc>
        <w:tc>
          <w:tcPr>
            <w:tcW w:w="2403" w:type="dxa"/>
          </w:tcPr>
          <w:p w14:paraId="1BE56299" w14:textId="77777777" w:rsidR="00280C5D" w:rsidRDefault="00280C5D" w:rsidP="003B0E72">
            <w:pPr>
              <w:pStyle w:val="Tablebody"/>
              <w:rPr>
                <w:lang w:eastAsia="en-US"/>
              </w:rPr>
            </w:pPr>
          </w:p>
        </w:tc>
      </w:tr>
    </w:tbl>
    <w:p w14:paraId="2006F85D" w14:textId="77777777" w:rsidR="00280C5D" w:rsidRDefault="00280C5D" w:rsidP="00280C5D">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209E0916"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672D017" w14:textId="77777777" w:rsidR="00280C5D" w:rsidRDefault="00280C5D" w:rsidP="003B0E72">
            <w:pPr>
              <w:pStyle w:val="Tableheader"/>
            </w:pPr>
            <w:r>
              <w:t>Document number</w:t>
            </w:r>
          </w:p>
        </w:tc>
        <w:tc>
          <w:tcPr>
            <w:tcW w:w="7653" w:type="dxa"/>
          </w:tcPr>
          <w:p w14:paraId="3DA5E70F" w14:textId="77777777" w:rsidR="00280C5D" w:rsidRDefault="00280C5D" w:rsidP="003B0E72">
            <w:pPr>
              <w:pStyle w:val="Tableheader"/>
            </w:pPr>
            <w:r>
              <w:t>Document name</w:t>
            </w:r>
          </w:p>
        </w:tc>
      </w:tr>
      <w:tr w:rsidR="00280C5D" w14:paraId="40AF2E06" w14:textId="77777777" w:rsidTr="003B0E72">
        <w:tc>
          <w:tcPr>
            <w:tcW w:w="2548" w:type="dxa"/>
          </w:tcPr>
          <w:p w14:paraId="69CF5447" w14:textId="77EB1DA4" w:rsidR="00280C5D" w:rsidRDefault="00E55C78" w:rsidP="003B0E72">
            <w:pPr>
              <w:pStyle w:val="Tablebody"/>
              <w:rPr>
                <w:lang w:eastAsia="en-US"/>
              </w:rPr>
            </w:pPr>
            <w:r>
              <w:rPr>
                <w:lang w:eastAsia="en-US"/>
              </w:rPr>
              <w:t>CHS20/010</w:t>
            </w:r>
          </w:p>
        </w:tc>
        <w:tc>
          <w:tcPr>
            <w:tcW w:w="7653" w:type="dxa"/>
          </w:tcPr>
          <w:p w14:paraId="51E105FA" w14:textId="13670FEE" w:rsidR="00280C5D" w:rsidRDefault="00E55C78" w:rsidP="003B0E72">
            <w:pPr>
              <w:pStyle w:val="Tablebody"/>
              <w:rPr>
                <w:lang w:eastAsia="en-US"/>
              </w:rPr>
            </w:pPr>
            <w:r>
              <w:rPr>
                <w:lang w:eastAsia="en-US"/>
              </w:rPr>
              <w:t>Cystic Fibrosis – Management and Care of the Patient</w:t>
            </w:r>
          </w:p>
        </w:tc>
      </w:tr>
      <w:tr w:rsidR="00280C5D" w14:paraId="365F9D5C" w14:textId="77777777" w:rsidTr="003B0E72">
        <w:tc>
          <w:tcPr>
            <w:tcW w:w="2548" w:type="dxa"/>
          </w:tcPr>
          <w:p w14:paraId="1B856CBB" w14:textId="77777777" w:rsidR="00280C5D" w:rsidRDefault="00280C5D" w:rsidP="003B0E72">
            <w:pPr>
              <w:pStyle w:val="Tablebody"/>
              <w:rPr>
                <w:lang w:eastAsia="en-US"/>
              </w:rPr>
            </w:pPr>
          </w:p>
        </w:tc>
        <w:tc>
          <w:tcPr>
            <w:tcW w:w="7653" w:type="dxa"/>
          </w:tcPr>
          <w:p w14:paraId="68A8FF86" w14:textId="77777777" w:rsidR="00280C5D" w:rsidRDefault="00280C5D" w:rsidP="003B0E72">
            <w:pPr>
              <w:pStyle w:val="Tablebody"/>
              <w:rPr>
                <w:lang w:eastAsia="en-US"/>
              </w:rPr>
            </w:pPr>
          </w:p>
        </w:tc>
      </w:tr>
    </w:tbl>
    <w:p w14:paraId="0D24988F" w14:textId="77777777" w:rsidR="00280C5D" w:rsidRPr="0078367D" w:rsidRDefault="00280C5D" w:rsidP="009A5010">
      <w:pPr>
        <w:pStyle w:val="Heading5"/>
      </w:pPr>
      <w:r w:rsidRPr="0078367D">
        <w:t>Disclaimer</w:t>
      </w:r>
    </w:p>
    <w:p w14:paraId="4FFD5A06"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5737B3C" w14:textId="77777777" w:rsidR="00280C5D" w:rsidRDefault="00000000" w:rsidP="00280C5D">
      <w:pPr>
        <w:pStyle w:val="Bullet"/>
        <w:numPr>
          <w:ilvl w:val="0"/>
          <w:numId w:val="0"/>
        </w:numPr>
        <w:rPr>
          <w:rStyle w:val="Hyperlink"/>
        </w:rPr>
      </w:pPr>
      <w:hyperlink w:anchor="_top" w:history="1">
        <w:r w:rsidR="00280C5D" w:rsidRPr="00481A6C">
          <w:rPr>
            <w:rStyle w:val="Hyperlink"/>
          </w:rPr>
          <w:t>Back to Contents</w:t>
        </w:r>
      </w:hyperlink>
    </w:p>
    <w:p w14:paraId="7A4B8B94"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64C23797" w14:textId="77777777" w:rsidTr="003B0E72">
        <w:tc>
          <w:tcPr>
            <w:tcW w:w="5529" w:type="dxa"/>
            <w:shd w:val="clear" w:color="auto" w:fill="F4F3EE"/>
            <w:tcMar>
              <w:top w:w="142" w:type="dxa"/>
              <w:left w:w="170" w:type="dxa"/>
              <w:bottom w:w="142" w:type="dxa"/>
              <w:right w:w="170" w:type="dxa"/>
            </w:tcMar>
          </w:tcPr>
          <w:bookmarkStart w:id="53" w:name="_Hlk160027189" w:displacedByCustomXml="next"/>
          <w:sdt>
            <w:sdtPr>
              <w:rPr>
                <w:color w:val="auto"/>
                <w:u w:val="single"/>
              </w:rPr>
              <w:id w:val="643171884"/>
              <w:placeholder>
                <w:docPart w:val="B39C266DBB384B8E92AE9134E60DCA29"/>
              </w:placeholder>
            </w:sdtPr>
            <w:sdtEndPr>
              <w:rPr>
                <w:color w:val="000000" w:themeColor="text1"/>
                <w:u w:val="none"/>
              </w:rPr>
            </w:sdtEndPr>
            <w:sdtContent>
              <w:p w14:paraId="3F36A45A" w14:textId="77777777" w:rsidR="00280C5D" w:rsidRPr="00350211" w:rsidRDefault="00280C5D" w:rsidP="003B0E72">
                <w:pPr>
                  <w:pStyle w:val="Bottomblocktext"/>
                  <w:rPr>
                    <w:b/>
                    <w:bCs w:val="0"/>
                    <w:sz w:val="20"/>
                    <w:szCs w:val="20"/>
                  </w:rPr>
                </w:pPr>
                <w:r>
                  <w:rPr>
                    <w:noProof/>
                    <w:sz w:val="20"/>
                    <w:szCs w:val="20"/>
                  </w:rPr>
                  <w:drawing>
                    <wp:inline distT="0" distB="0" distL="0" distR="0" wp14:anchorId="47720EF8" wp14:editId="7DB512BC">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E4BE6A4"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30DBE22B"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9CB54E7D88984E09B8F152E839636A20"/>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C16BC4FC2D9548E6876BF71F9181FF59"/>
            </w:placeholder>
            <w:showingPlcHdr/>
          </w:sdtPr>
          <w:sdtContent>
            <w:tc>
              <w:tcPr>
                <w:tcW w:w="4665" w:type="dxa"/>
                <w:shd w:val="clear" w:color="auto" w:fill="F4F3EE"/>
                <w:tcMar>
                  <w:top w:w="142" w:type="dxa"/>
                  <w:left w:w="170" w:type="dxa"/>
                  <w:bottom w:w="142" w:type="dxa"/>
                  <w:right w:w="170" w:type="dxa"/>
                </w:tcMar>
              </w:tcPr>
              <w:p w14:paraId="7E80551F"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69CC3EA" wp14:editId="6714A72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E5E218C" wp14:editId="1C39B42E">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1C4E8DBC"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6CC204A7" wp14:editId="6A39607E">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637BC48" wp14:editId="133EEF53">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CA0285C" w14:textId="77777777" w:rsidR="00280C5D" w:rsidRDefault="00000000" w:rsidP="003B0E72">
                <w:pPr>
                  <w:pStyle w:val="Bottomblocktext"/>
                  <w:rPr>
                    <w:sz w:val="20"/>
                    <w:szCs w:val="20"/>
                  </w:rPr>
                </w:pPr>
                <w:hyperlink r:id="rId19" w:history="1">
                  <w:r w:rsidR="00280C5D" w:rsidRPr="00350211">
                    <w:rPr>
                      <w:rStyle w:val="Hyperlink"/>
                      <w:sz w:val="20"/>
                      <w:szCs w:val="20"/>
                    </w:rPr>
                    <w:t>canberrahealthservices.act.gov.au/accessibility</w:t>
                  </w:r>
                </w:hyperlink>
              </w:p>
              <w:p w14:paraId="77391AB3" w14:textId="77777777" w:rsidR="00280C5D" w:rsidRDefault="00280C5D" w:rsidP="003B0E72">
                <w:pPr>
                  <w:pStyle w:val="Bottomblocktext"/>
                </w:pPr>
                <w:r>
                  <w:rPr>
                    <w:b/>
                    <w:bCs w:val="0"/>
                    <w:noProof/>
                  </w:rPr>
                  <w:drawing>
                    <wp:inline distT="0" distB="0" distL="0" distR="0" wp14:anchorId="706FFC78" wp14:editId="13358613">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53"/>
    </w:tbl>
    <w:p w14:paraId="09DB91B9" w14:textId="77777777" w:rsidR="004A7A7F" w:rsidRPr="00481A6C" w:rsidRDefault="004A7A7F" w:rsidP="000E7683">
      <w:pPr>
        <w:rPr>
          <w:lang w:eastAsia="en-US"/>
        </w:rPr>
      </w:pPr>
    </w:p>
    <w:sectPr w:rsidR="004A7A7F" w:rsidRPr="00481A6C" w:rsidSect="00E3733D">
      <w:footerReference w:type="default" r:id="rId21"/>
      <w:headerReference w:type="first" r:id="rId22"/>
      <w:footerReference w:type="first" r:id="rId23"/>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ECE3" w14:textId="77777777" w:rsidR="006B611E" w:rsidRDefault="006B611E" w:rsidP="00225769">
      <w:pPr>
        <w:spacing w:after="0" w:line="240" w:lineRule="auto"/>
      </w:pPr>
      <w:r>
        <w:separator/>
      </w:r>
    </w:p>
    <w:p w14:paraId="6EF29F2C" w14:textId="77777777" w:rsidR="006B611E" w:rsidRDefault="006B611E"/>
    <w:p w14:paraId="6CD14B99" w14:textId="77777777" w:rsidR="006B611E" w:rsidRDefault="006B611E"/>
    <w:p w14:paraId="344E2D16" w14:textId="77777777" w:rsidR="006B611E" w:rsidRDefault="006B611E"/>
    <w:p w14:paraId="36246C40" w14:textId="77777777" w:rsidR="006B611E" w:rsidRDefault="006B611E"/>
    <w:p w14:paraId="2E59A320" w14:textId="77777777" w:rsidR="006B611E" w:rsidRDefault="006B611E"/>
    <w:p w14:paraId="3FD3CE3A" w14:textId="77777777" w:rsidR="006B611E" w:rsidRDefault="006B611E"/>
  </w:endnote>
  <w:endnote w:type="continuationSeparator" w:id="0">
    <w:p w14:paraId="5476EA15" w14:textId="77777777" w:rsidR="006B611E" w:rsidRDefault="006B611E" w:rsidP="00225769">
      <w:pPr>
        <w:spacing w:after="0" w:line="240" w:lineRule="auto"/>
      </w:pPr>
      <w:r>
        <w:continuationSeparator/>
      </w:r>
    </w:p>
    <w:p w14:paraId="70FEFB65" w14:textId="77777777" w:rsidR="006B611E" w:rsidRDefault="006B611E"/>
    <w:p w14:paraId="00FF54BF" w14:textId="77777777" w:rsidR="006B611E" w:rsidRDefault="006B611E"/>
    <w:p w14:paraId="5E62CB06" w14:textId="77777777" w:rsidR="006B611E" w:rsidRDefault="006B611E"/>
    <w:p w14:paraId="0F138265" w14:textId="77777777" w:rsidR="006B611E" w:rsidRDefault="006B611E"/>
    <w:p w14:paraId="7A7E1A21" w14:textId="77777777" w:rsidR="006B611E" w:rsidRDefault="006B611E"/>
    <w:p w14:paraId="52BD6217" w14:textId="77777777" w:rsidR="006B611E" w:rsidRDefault="006B6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524667E5" w14:textId="77777777" w:rsidTr="003B0E72">
      <w:trPr>
        <w:jc w:val="center"/>
      </w:trPr>
      <w:tc>
        <w:tcPr>
          <w:tcW w:w="1515" w:type="dxa"/>
        </w:tcPr>
        <w:p w14:paraId="0C0BBDC8"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97C464C"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6FA1A4A1"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27359838"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4E1D6D31"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59F2CA44"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E55C78" w:rsidRPr="006B62B4" w14:paraId="39D74026" w14:textId="77777777" w:rsidTr="003B0E72">
      <w:trPr>
        <w:jc w:val="center"/>
      </w:trPr>
      <w:tc>
        <w:tcPr>
          <w:tcW w:w="1515" w:type="dxa"/>
        </w:tcPr>
        <w:p w14:paraId="720CAA2F" w14:textId="005A8443" w:rsidR="00E55C78" w:rsidRPr="00954F7B" w:rsidRDefault="00E55C78" w:rsidP="00E55C78">
          <w:pPr>
            <w:pStyle w:val="Footer"/>
            <w:jc w:val="center"/>
            <w:rPr>
              <w:bCs/>
              <w:iCs/>
              <w:sz w:val="20"/>
              <w:szCs w:val="20"/>
            </w:rPr>
          </w:pPr>
          <w:r>
            <w:rPr>
              <w:bCs/>
              <w:iCs/>
              <w:sz w:val="20"/>
              <w:szCs w:val="20"/>
            </w:rPr>
            <w:t>CHS24/403</w:t>
          </w:r>
        </w:p>
      </w:tc>
      <w:tc>
        <w:tcPr>
          <w:tcW w:w="965" w:type="dxa"/>
        </w:tcPr>
        <w:p w14:paraId="6AE9BFCA" w14:textId="67FFBC3C" w:rsidR="00E55C78" w:rsidRPr="00954F7B" w:rsidRDefault="00E55C78" w:rsidP="00E55C78">
          <w:pPr>
            <w:pStyle w:val="Footer"/>
            <w:jc w:val="center"/>
            <w:rPr>
              <w:bCs/>
              <w:iCs/>
              <w:sz w:val="20"/>
              <w:szCs w:val="20"/>
            </w:rPr>
          </w:pPr>
          <w:r>
            <w:rPr>
              <w:bCs/>
              <w:iCs/>
              <w:sz w:val="20"/>
              <w:szCs w:val="20"/>
            </w:rPr>
            <w:t>2.0</w:t>
          </w:r>
        </w:p>
      </w:tc>
      <w:tc>
        <w:tcPr>
          <w:tcW w:w="1552" w:type="dxa"/>
        </w:tcPr>
        <w:p w14:paraId="246F85D2" w14:textId="6F82B19A" w:rsidR="00E55C78" w:rsidRPr="00954F7B" w:rsidRDefault="00E55C78" w:rsidP="00E55C78">
          <w:pPr>
            <w:pStyle w:val="Footer"/>
            <w:jc w:val="center"/>
            <w:rPr>
              <w:bCs/>
              <w:iCs/>
              <w:sz w:val="20"/>
              <w:szCs w:val="20"/>
            </w:rPr>
          </w:pPr>
          <w:r>
            <w:rPr>
              <w:bCs/>
              <w:iCs/>
              <w:sz w:val="20"/>
              <w:szCs w:val="20"/>
            </w:rPr>
            <w:t>09/09/2024</w:t>
          </w:r>
        </w:p>
      </w:tc>
      <w:tc>
        <w:tcPr>
          <w:tcW w:w="1456" w:type="dxa"/>
        </w:tcPr>
        <w:p w14:paraId="656D903F" w14:textId="673CB0EB" w:rsidR="00E55C78" w:rsidRPr="00954F7B" w:rsidRDefault="00E55C78" w:rsidP="00E55C78">
          <w:pPr>
            <w:pStyle w:val="Footer"/>
            <w:jc w:val="center"/>
            <w:rPr>
              <w:bCs/>
              <w:iCs/>
              <w:sz w:val="20"/>
              <w:szCs w:val="20"/>
            </w:rPr>
          </w:pPr>
          <w:r>
            <w:rPr>
              <w:bCs/>
              <w:iCs/>
              <w:sz w:val="20"/>
              <w:szCs w:val="20"/>
            </w:rPr>
            <w:t>01/08/2027</w:t>
          </w:r>
        </w:p>
      </w:tc>
      <w:tc>
        <w:tcPr>
          <w:tcW w:w="1746" w:type="dxa"/>
        </w:tcPr>
        <w:p w14:paraId="37439B40" w14:textId="4CA40F66" w:rsidR="00E55C78" w:rsidRPr="00954F7B" w:rsidRDefault="00E55C78" w:rsidP="00E55C78">
          <w:pPr>
            <w:pStyle w:val="Footer"/>
            <w:jc w:val="center"/>
            <w:rPr>
              <w:bCs/>
              <w:iCs/>
              <w:sz w:val="20"/>
              <w:szCs w:val="20"/>
            </w:rPr>
          </w:pPr>
          <w:r>
            <w:rPr>
              <w:bCs/>
              <w:iCs/>
              <w:sz w:val="20"/>
              <w:szCs w:val="20"/>
            </w:rPr>
            <w:t>WY&amp;C</w:t>
          </w:r>
        </w:p>
      </w:tc>
      <w:tc>
        <w:tcPr>
          <w:tcW w:w="1836" w:type="dxa"/>
        </w:tcPr>
        <w:p w14:paraId="37A7C256" w14:textId="77777777" w:rsidR="00E55C78" w:rsidRPr="00954F7B" w:rsidRDefault="00E55C78" w:rsidP="00E55C7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11C4C2A8"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3F95D20D" w14:textId="77777777" w:rsidTr="008E1ED9">
      <w:trPr>
        <w:jc w:val="center"/>
      </w:trPr>
      <w:tc>
        <w:tcPr>
          <w:tcW w:w="1515" w:type="dxa"/>
        </w:tcPr>
        <w:p w14:paraId="73A8FF1F"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5504C10"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6482C8C5"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085D07E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7406118C"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27DC0AC4"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6F9B530D" w14:textId="77777777" w:rsidTr="008E1ED9">
      <w:trPr>
        <w:jc w:val="center"/>
      </w:trPr>
      <w:tc>
        <w:tcPr>
          <w:tcW w:w="1515" w:type="dxa"/>
        </w:tcPr>
        <w:p w14:paraId="71A8162F" w14:textId="21001804" w:rsidR="008A3DD8" w:rsidRPr="00954F7B" w:rsidRDefault="00E55C78" w:rsidP="008A3DD8">
          <w:pPr>
            <w:pStyle w:val="Footer"/>
            <w:jc w:val="center"/>
            <w:rPr>
              <w:bCs/>
              <w:iCs/>
              <w:sz w:val="20"/>
              <w:szCs w:val="20"/>
            </w:rPr>
          </w:pPr>
          <w:r>
            <w:rPr>
              <w:bCs/>
              <w:iCs/>
              <w:sz w:val="20"/>
              <w:szCs w:val="20"/>
            </w:rPr>
            <w:t>CHS24/403</w:t>
          </w:r>
        </w:p>
      </w:tc>
      <w:tc>
        <w:tcPr>
          <w:tcW w:w="965" w:type="dxa"/>
        </w:tcPr>
        <w:p w14:paraId="586804A1" w14:textId="43745221" w:rsidR="008A3DD8" w:rsidRPr="00954F7B" w:rsidRDefault="00E55C78" w:rsidP="008A3DD8">
          <w:pPr>
            <w:pStyle w:val="Footer"/>
            <w:jc w:val="center"/>
            <w:rPr>
              <w:bCs/>
              <w:iCs/>
              <w:sz w:val="20"/>
              <w:szCs w:val="20"/>
            </w:rPr>
          </w:pPr>
          <w:r>
            <w:rPr>
              <w:bCs/>
              <w:iCs/>
              <w:sz w:val="20"/>
              <w:szCs w:val="20"/>
            </w:rPr>
            <w:t>2.0</w:t>
          </w:r>
        </w:p>
      </w:tc>
      <w:tc>
        <w:tcPr>
          <w:tcW w:w="1552" w:type="dxa"/>
        </w:tcPr>
        <w:p w14:paraId="2986828F" w14:textId="15921A02" w:rsidR="008A3DD8" w:rsidRPr="00954F7B" w:rsidRDefault="00E55C78" w:rsidP="008A3DD8">
          <w:pPr>
            <w:pStyle w:val="Footer"/>
            <w:jc w:val="center"/>
            <w:rPr>
              <w:bCs/>
              <w:iCs/>
              <w:sz w:val="20"/>
              <w:szCs w:val="20"/>
            </w:rPr>
          </w:pPr>
          <w:r>
            <w:rPr>
              <w:bCs/>
              <w:iCs/>
              <w:sz w:val="20"/>
              <w:szCs w:val="20"/>
            </w:rPr>
            <w:t>09/09/2024</w:t>
          </w:r>
        </w:p>
      </w:tc>
      <w:tc>
        <w:tcPr>
          <w:tcW w:w="1456" w:type="dxa"/>
        </w:tcPr>
        <w:p w14:paraId="284B7B45" w14:textId="7E654222" w:rsidR="008A3DD8" w:rsidRPr="00954F7B" w:rsidRDefault="00E55C78" w:rsidP="008A3DD8">
          <w:pPr>
            <w:pStyle w:val="Footer"/>
            <w:jc w:val="center"/>
            <w:rPr>
              <w:bCs/>
              <w:iCs/>
              <w:sz w:val="20"/>
              <w:szCs w:val="20"/>
            </w:rPr>
          </w:pPr>
          <w:r>
            <w:rPr>
              <w:bCs/>
              <w:iCs/>
              <w:sz w:val="20"/>
              <w:szCs w:val="20"/>
            </w:rPr>
            <w:t>01/08/2027</w:t>
          </w:r>
        </w:p>
      </w:tc>
      <w:tc>
        <w:tcPr>
          <w:tcW w:w="1746" w:type="dxa"/>
        </w:tcPr>
        <w:p w14:paraId="72C4DF4E" w14:textId="3FDA5B83" w:rsidR="008A3DD8" w:rsidRPr="00954F7B" w:rsidRDefault="00E55C78" w:rsidP="008A3DD8">
          <w:pPr>
            <w:pStyle w:val="Footer"/>
            <w:jc w:val="center"/>
            <w:rPr>
              <w:bCs/>
              <w:iCs/>
              <w:sz w:val="20"/>
              <w:szCs w:val="20"/>
            </w:rPr>
          </w:pPr>
          <w:r>
            <w:rPr>
              <w:bCs/>
              <w:iCs/>
              <w:sz w:val="20"/>
              <w:szCs w:val="20"/>
            </w:rPr>
            <w:t>WY&amp;C</w:t>
          </w:r>
        </w:p>
      </w:tc>
      <w:tc>
        <w:tcPr>
          <w:tcW w:w="1836" w:type="dxa"/>
        </w:tcPr>
        <w:p w14:paraId="05B799FE"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34CE1940"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C1BB" w14:textId="77777777" w:rsidR="006B611E" w:rsidRDefault="006B611E" w:rsidP="009D493B">
      <w:pPr>
        <w:spacing w:after="0" w:line="240" w:lineRule="auto"/>
      </w:pPr>
      <w:r>
        <w:separator/>
      </w:r>
    </w:p>
  </w:footnote>
  <w:footnote w:type="continuationSeparator" w:id="0">
    <w:p w14:paraId="731033F6" w14:textId="77777777" w:rsidR="006B611E" w:rsidRDefault="006B611E" w:rsidP="00A9080B">
      <w:pPr>
        <w:spacing w:after="0" w:line="240" w:lineRule="auto"/>
      </w:pPr>
      <w:r>
        <w:continuationSeparator/>
      </w:r>
    </w:p>
    <w:p w14:paraId="4FA65B34" w14:textId="77777777" w:rsidR="006B611E" w:rsidRDefault="006B611E"/>
    <w:p w14:paraId="3C05B707" w14:textId="77777777" w:rsidR="006B611E" w:rsidRDefault="006B6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9F8C" w14:textId="77777777" w:rsidR="008A3DD8" w:rsidRDefault="008A3DD8">
    <w:pPr>
      <w:pStyle w:val="Header"/>
    </w:pPr>
    <w:r w:rsidRPr="00324CF9">
      <w:rPr>
        <w:noProof/>
      </w:rPr>
      <w:drawing>
        <wp:inline distT="0" distB="0" distL="0" distR="0" wp14:anchorId="1BA9E730" wp14:editId="6016E245">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01"/>
    <w:lvl w:ilvl="0">
      <w:start w:val="1"/>
      <w:numFmt w:val="bullet"/>
      <w:lvlText w:val=""/>
      <w:lvlJc w:val="left"/>
      <w:pPr>
        <w:ind w:left="1080" w:hanging="360"/>
      </w:pPr>
      <w:rPr>
        <w:rFonts w:ascii="Symbol" w:hAnsi="Symbol" w:hint="default"/>
        <w:color w:val="auto"/>
      </w:rPr>
    </w:lvl>
  </w:abstractNum>
  <w:abstractNum w:abstractNumId="1" w15:restartNumberingAfterBreak="0">
    <w:nsid w:val="010E21E9"/>
    <w:multiLevelType w:val="hybridMultilevel"/>
    <w:tmpl w:val="5FA82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111535"/>
    <w:multiLevelType w:val="hybridMultilevel"/>
    <w:tmpl w:val="AF4EB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FE52AA"/>
    <w:multiLevelType w:val="hybridMultilevel"/>
    <w:tmpl w:val="26DAD4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91EF7"/>
    <w:multiLevelType w:val="hybridMultilevel"/>
    <w:tmpl w:val="21983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6846BDD"/>
    <w:multiLevelType w:val="hybridMultilevel"/>
    <w:tmpl w:val="F56E4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0"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32AC1F93"/>
    <w:multiLevelType w:val="hybridMultilevel"/>
    <w:tmpl w:val="D48A3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9" w15:restartNumberingAfterBreak="0">
    <w:nsid w:val="496742DE"/>
    <w:multiLevelType w:val="hybridMultilevel"/>
    <w:tmpl w:val="6ACCB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0A6FB4"/>
    <w:multiLevelType w:val="hybridMultilevel"/>
    <w:tmpl w:val="5A887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75CDD"/>
    <w:multiLevelType w:val="hybridMultilevel"/>
    <w:tmpl w:val="762E4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2D36E0"/>
    <w:multiLevelType w:val="hybridMultilevel"/>
    <w:tmpl w:val="004A7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7C702F4E"/>
    <w:multiLevelType w:val="hybridMultilevel"/>
    <w:tmpl w:val="0E343FFA"/>
    <w:lvl w:ilvl="0" w:tplc="88DA7F64">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E060BE5"/>
    <w:multiLevelType w:val="hybridMultilevel"/>
    <w:tmpl w:val="0DFE09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735EE2"/>
    <w:multiLevelType w:val="hybridMultilevel"/>
    <w:tmpl w:val="2B0844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EB4A58"/>
    <w:multiLevelType w:val="hybridMultilevel"/>
    <w:tmpl w:val="BE6A9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7F7D1C"/>
    <w:multiLevelType w:val="hybridMultilevel"/>
    <w:tmpl w:val="BF3AC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10"/>
  </w:num>
  <w:num w:numId="2" w16cid:durableId="842209657">
    <w:abstractNumId w:val="9"/>
  </w:num>
  <w:num w:numId="3" w16cid:durableId="660542573">
    <w:abstractNumId w:val="23"/>
  </w:num>
  <w:num w:numId="4" w16cid:durableId="1971085616">
    <w:abstractNumId w:val="14"/>
  </w:num>
  <w:num w:numId="5" w16cid:durableId="252517802">
    <w:abstractNumId w:val="15"/>
  </w:num>
  <w:num w:numId="6" w16cid:durableId="420297118">
    <w:abstractNumId w:val="18"/>
  </w:num>
  <w:num w:numId="7" w16cid:durableId="353388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4"/>
    <w:lvlOverride w:ilvl="0">
      <w:startOverride w:val="1"/>
    </w:lvlOverride>
  </w:num>
  <w:num w:numId="9" w16cid:durableId="1747920389">
    <w:abstractNumId w:val="15"/>
    <w:lvlOverride w:ilvl="0">
      <w:startOverride w:val="1"/>
    </w:lvlOverride>
  </w:num>
  <w:num w:numId="10" w16cid:durableId="1001813381">
    <w:abstractNumId w:val="14"/>
    <w:lvlOverride w:ilvl="0">
      <w:startOverride w:val="1"/>
    </w:lvlOverride>
  </w:num>
  <w:num w:numId="11" w16cid:durableId="1103450744">
    <w:abstractNumId w:val="15"/>
    <w:lvlOverride w:ilvl="0">
      <w:startOverride w:val="1"/>
    </w:lvlOverride>
  </w:num>
  <w:num w:numId="12" w16cid:durableId="1549294228">
    <w:abstractNumId w:val="14"/>
    <w:lvlOverride w:ilvl="0">
      <w:startOverride w:val="1"/>
    </w:lvlOverride>
  </w:num>
  <w:num w:numId="13" w16cid:durableId="875854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5"/>
    <w:lvlOverride w:ilvl="0">
      <w:startOverride w:val="1"/>
    </w:lvlOverride>
  </w:num>
  <w:num w:numId="15" w16cid:durableId="1246453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3"/>
  </w:num>
  <w:num w:numId="17" w16cid:durableId="43412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2"/>
  </w:num>
  <w:num w:numId="19" w16cid:durableId="836698820">
    <w:abstractNumId w:val="16"/>
  </w:num>
  <w:num w:numId="20" w16cid:durableId="40280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7"/>
  </w:num>
  <w:num w:numId="22" w16cid:durableId="200242115">
    <w:abstractNumId w:val="2"/>
  </w:num>
  <w:num w:numId="23" w16cid:durableId="585068731">
    <w:abstractNumId w:val="7"/>
  </w:num>
  <w:num w:numId="24" w16cid:durableId="1431437445">
    <w:abstractNumId w:val="6"/>
  </w:num>
  <w:num w:numId="25" w16cid:durableId="507214046">
    <w:abstractNumId w:val="13"/>
  </w:num>
  <w:num w:numId="26" w16cid:durableId="1087653895">
    <w:abstractNumId w:val="27"/>
  </w:num>
  <w:num w:numId="27" w16cid:durableId="2004236285">
    <w:abstractNumId w:val="0"/>
  </w:num>
  <w:num w:numId="28" w16cid:durableId="215432410">
    <w:abstractNumId w:val="1"/>
  </w:num>
  <w:num w:numId="29" w16cid:durableId="1792362305">
    <w:abstractNumId w:val="3"/>
  </w:num>
  <w:num w:numId="30" w16cid:durableId="1068570937">
    <w:abstractNumId w:val="8"/>
  </w:num>
  <w:num w:numId="31" w16cid:durableId="1730575075">
    <w:abstractNumId w:val="11"/>
  </w:num>
  <w:num w:numId="32" w16cid:durableId="809977155">
    <w:abstractNumId w:val="19"/>
  </w:num>
  <w:num w:numId="33" w16cid:durableId="400911313">
    <w:abstractNumId w:val="25"/>
  </w:num>
  <w:num w:numId="34" w16cid:durableId="1580359484">
    <w:abstractNumId w:val="26"/>
  </w:num>
  <w:num w:numId="35" w16cid:durableId="2022049803">
    <w:abstractNumId w:val="4"/>
  </w:num>
  <w:num w:numId="36" w16cid:durableId="1810975998">
    <w:abstractNumId w:val="28"/>
  </w:num>
  <w:num w:numId="37" w16cid:durableId="1571425797">
    <w:abstractNumId w:val="5"/>
  </w:num>
  <w:num w:numId="38" w16cid:durableId="1233344870">
    <w:abstractNumId w:val="21"/>
  </w:num>
  <w:num w:numId="39" w16cid:durableId="1452287233">
    <w:abstractNumId w:val="20"/>
  </w:num>
  <w:num w:numId="40" w16cid:durableId="1173761700">
    <w:abstractNumId w:val="24"/>
  </w:num>
  <w:num w:numId="41" w16cid:durableId="121126703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89"/>
    <w:rsid w:val="00000822"/>
    <w:rsid w:val="00003728"/>
    <w:rsid w:val="00004B91"/>
    <w:rsid w:val="00004C08"/>
    <w:rsid w:val="00006344"/>
    <w:rsid w:val="000068B9"/>
    <w:rsid w:val="000115AB"/>
    <w:rsid w:val="00012DA7"/>
    <w:rsid w:val="00014646"/>
    <w:rsid w:val="0001473F"/>
    <w:rsid w:val="00014D0A"/>
    <w:rsid w:val="00015018"/>
    <w:rsid w:val="000246D6"/>
    <w:rsid w:val="00025C12"/>
    <w:rsid w:val="000347FB"/>
    <w:rsid w:val="00035A11"/>
    <w:rsid w:val="00041D05"/>
    <w:rsid w:val="00042268"/>
    <w:rsid w:val="00043534"/>
    <w:rsid w:val="00046D4C"/>
    <w:rsid w:val="00047707"/>
    <w:rsid w:val="00050A6B"/>
    <w:rsid w:val="000513FD"/>
    <w:rsid w:val="00051E12"/>
    <w:rsid w:val="000523DD"/>
    <w:rsid w:val="00052D11"/>
    <w:rsid w:val="00053BD7"/>
    <w:rsid w:val="00053CC3"/>
    <w:rsid w:val="00053D2F"/>
    <w:rsid w:val="0005461D"/>
    <w:rsid w:val="0005626F"/>
    <w:rsid w:val="0005685E"/>
    <w:rsid w:val="000570A6"/>
    <w:rsid w:val="00061582"/>
    <w:rsid w:val="000707E9"/>
    <w:rsid w:val="00070945"/>
    <w:rsid w:val="000717BA"/>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4346"/>
    <w:rsid w:val="000B4DF9"/>
    <w:rsid w:val="000B6A88"/>
    <w:rsid w:val="000C2789"/>
    <w:rsid w:val="000C36A3"/>
    <w:rsid w:val="000C3973"/>
    <w:rsid w:val="000C48B1"/>
    <w:rsid w:val="000C57C6"/>
    <w:rsid w:val="000C76AA"/>
    <w:rsid w:val="000D0A42"/>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1CA3"/>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A0124"/>
    <w:rsid w:val="001A1DD6"/>
    <w:rsid w:val="001A2273"/>
    <w:rsid w:val="001A716A"/>
    <w:rsid w:val="001B0DC3"/>
    <w:rsid w:val="001B1A6A"/>
    <w:rsid w:val="001B3430"/>
    <w:rsid w:val="001C0F5C"/>
    <w:rsid w:val="001C108E"/>
    <w:rsid w:val="001C223C"/>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4369"/>
    <w:rsid w:val="001F49DF"/>
    <w:rsid w:val="001F5AE3"/>
    <w:rsid w:val="001F656A"/>
    <w:rsid w:val="001F68D1"/>
    <w:rsid w:val="001F6D1A"/>
    <w:rsid w:val="001F6E03"/>
    <w:rsid w:val="002012D2"/>
    <w:rsid w:val="0020360D"/>
    <w:rsid w:val="0020612C"/>
    <w:rsid w:val="00211BFA"/>
    <w:rsid w:val="00212F1D"/>
    <w:rsid w:val="0022138F"/>
    <w:rsid w:val="00225769"/>
    <w:rsid w:val="00225E3B"/>
    <w:rsid w:val="00227104"/>
    <w:rsid w:val="00230054"/>
    <w:rsid w:val="0023668B"/>
    <w:rsid w:val="00240DC9"/>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50CA"/>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A7625"/>
    <w:rsid w:val="003B28A5"/>
    <w:rsid w:val="003B3F9A"/>
    <w:rsid w:val="003B57A1"/>
    <w:rsid w:val="003B661D"/>
    <w:rsid w:val="003B720D"/>
    <w:rsid w:val="003B760C"/>
    <w:rsid w:val="003C218A"/>
    <w:rsid w:val="003C406F"/>
    <w:rsid w:val="003C4430"/>
    <w:rsid w:val="003C588D"/>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5B1D"/>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61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A07"/>
    <w:rsid w:val="0064271E"/>
    <w:rsid w:val="006431FF"/>
    <w:rsid w:val="0064333A"/>
    <w:rsid w:val="00643BFA"/>
    <w:rsid w:val="00644F89"/>
    <w:rsid w:val="006553EC"/>
    <w:rsid w:val="00655674"/>
    <w:rsid w:val="00656027"/>
    <w:rsid w:val="00656746"/>
    <w:rsid w:val="006623D2"/>
    <w:rsid w:val="00666AF5"/>
    <w:rsid w:val="0067005A"/>
    <w:rsid w:val="00680130"/>
    <w:rsid w:val="006824E0"/>
    <w:rsid w:val="00684A68"/>
    <w:rsid w:val="00685883"/>
    <w:rsid w:val="00691C90"/>
    <w:rsid w:val="00692458"/>
    <w:rsid w:val="0069388D"/>
    <w:rsid w:val="006A0160"/>
    <w:rsid w:val="006A31AB"/>
    <w:rsid w:val="006A5215"/>
    <w:rsid w:val="006B18B2"/>
    <w:rsid w:val="006B3640"/>
    <w:rsid w:val="006B611E"/>
    <w:rsid w:val="006B61AC"/>
    <w:rsid w:val="006B6C90"/>
    <w:rsid w:val="006B7CA7"/>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17C0F"/>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D38"/>
    <w:rsid w:val="00785234"/>
    <w:rsid w:val="00794435"/>
    <w:rsid w:val="00794ACF"/>
    <w:rsid w:val="007A1603"/>
    <w:rsid w:val="007A682A"/>
    <w:rsid w:val="007A7F29"/>
    <w:rsid w:val="007B03DA"/>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27A"/>
    <w:rsid w:val="00820942"/>
    <w:rsid w:val="008248D1"/>
    <w:rsid w:val="0082586A"/>
    <w:rsid w:val="008261B4"/>
    <w:rsid w:val="00827EDE"/>
    <w:rsid w:val="008358B4"/>
    <w:rsid w:val="00842EF4"/>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42D4"/>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AED"/>
    <w:rsid w:val="009C3490"/>
    <w:rsid w:val="009C3BB0"/>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60EED"/>
    <w:rsid w:val="00A6232E"/>
    <w:rsid w:val="00A64430"/>
    <w:rsid w:val="00A65C0A"/>
    <w:rsid w:val="00A66966"/>
    <w:rsid w:val="00A721C0"/>
    <w:rsid w:val="00A7294C"/>
    <w:rsid w:val="00A731B8"/>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B613F"/>
    <w:rsid w:val="00AC0797"/>
    <w:rsid w:val="00AC2EDE"/>
    <w:rsid w:val="00AC53AF"/>
    <w:rsid w:val="00AD4F9D"/>
    <w:rsid w:val="00AD628A"/>
    <w:rsid w:val="00AE05E1"/>
    <w:rsid w:val="00AE0AC0"/>
    <w:rsid w:val="00AE2123"/>
    <w:rsid w:val="00AE486F"/>
    <w:rsid w:val="00AE59E5"/>
    <w:rsid w:val="00AE629D"/>
    <w:rsid w:val="00AE68AF"/>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657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3EFE"/>
    <w:rsid w:val="00E02685"/>
    <w:rsid w:val="00E0642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5C78"/>
    <w:rsid w:val="00E563D9"/>
    <w:rsid w:val="00E56F2D"/>
    <w:rsid w:val="00E5710E"/>
    <w:rsid w:val="00E63F4F"/>
    <w:rsid w:val="00E64DA3"/>
    <w:rsid w:val="00E679F9"/>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285A"/>
    <w:rsid w:val="00EE3372"/>
    <w:rsid w:val="00EE5549"/>
    <w:rsid w:val="00EE5A45"/>
    <w:rsid w:val="00EE6F7A"/>
    <w:rsid w:val="00EE7BD1"/>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1D0E"/>
    <w:rsid w:val="00F4308C"/>
    <w:rsid w:val="00F43818"/>
    <w:rsid w:val="00F43B50"/>
    <w:rsid w:val="00F44AAE"/>
    <w:rsid w:val="00F4545C"/>
    <w:rsid w:val="00F53EE8"/>
    <w:rsid w:val="00F545A8"/>
    <w:rsid w:val="00F5475F"/>
    <w:rsid w:val="00F54857"/>
    <w:rsid w:val="00F553FA"/>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A36E4D0"/>
  <w15:docId w15:val="{EACB49A1-F2AD-4564-BCEF-BCE4EAE1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C36B93"/>
    <w:pPr>
      <w:spacing w:before="120" w:after="240" w:line="276" w:lineRule="auto"/>
    </w:pPr>
  </w:style>
  <w:style w:type="paragraph" w:styleId="Heading1">
    <w:name w:val="heading 1"/>
    <w:aliases w:val="Heading 1 (Title)"/>
    <w:next w:val="Normal"/>
    <w:link w:val="Heading1Char"/>
    <w:uiPriority w:val="9"/>
    <w:rsid w:val="00A435C8"/>
    <w:pPr>
      <w:widowControl w:val="0"/>
      <w:spacing w:before="840" w:after="320" w:line="640" w:lineRule="atLeast"/>
      <w:ind w:right="2835"/>
      <w:outlineLvl w:val="0"/>
    </w:pPr>
    <w:rPr>
      <w:rFonts w:eastAsia="Times New Roman"/>
      <w:b/>
      <w:sz w:val="60"/>
      <w:szCs w:val="60"/>
      <w:lang w:eastAsia="en-US"/>
    </w:rPr>
  </w:style>
  <w:style w:type="paragraph" w:styleId="Heading2">
    <w:name w:val="heading 2"/>
    <w:aliases w:val="Section Heading"/>
    <w:next w:val="BodyCopy"/>
    <w:link w:val="Heading2Char"/>
    <w:unhideWhenUsed/>
    <w:qFormat/>
    <w:rsid w:val="0078367D"/>
    <w:pPr>
      <w:widowControl w:val="0"/>
      <w:shd w:val="clear" w:color="auto" w:fill="3D2262" w:themeFill="accent1"/>
      <w:spacing w:before="100" w:beforeAutospacing="1" w:line="460" w:lineRule="exact"/>
      <w:outlineLvl w:val="1"/>
    </w:pPr>
    <w:rPr>
      <w:rFonts w:eastAsia="Times New Roman"/>
      <w:b/>
      <w:color w:val="FFFFFF" w:themeColor="background1"/>
      <w:szCs w:val="80"/>
      <w:lang w:eastAsia="en-US"/>
    </w:rPr>
  </w:style>
  <w:style w:type="paragraph" w:styleId="Heading3">
    <w:name w:val="heading 3"/>
    <w:basedOn w:val="Heading2"/>
    <w:next w:val="BodyCopy"/>
    <w:link w:val="Heading3Char"/>
    <w:unhideWhenUsed/>
    <w:qFormat/>
    <w:rsid w:val="0078367D"/>
    <w:pPr>
      <w:shd w:val="clear" w:color="auto" w:fill="auto"/>
      <w:spacing w:after="160" w:line="360" w:lineRule="exact"/>
      <w:outlineLvl w:val="2"/>
    </w:pPr>
    <w:rPr>
      <w:bCs/>
      <w:iCs/>
      <w:color w:val="000000" w:themeColor="text1"/>
      <w:sz w:val="28"/>
      <w:szCs w:val="36"/>
    </w:rPr>
  </w:style>
  <w:style w:type="paragraph" w:styleId="Heading4">
    <w:name w:val="heading 4"/>
    <w:basedOn w:val="Heading3"/>
    <w:next w:val="BodyCopy"/>
    <w:link w:val="Heading4Char"/>
    <w:unhideWhenUsed/>
    <w:qFormat/>
    <w:locked/>
    <w:rsid w:val="007E6EE6"/>
    <w:pPr>
      <w:spacing w:after="120" w:line="300" w:lineRule="exact"/>
      <w:outlineLvl w:val="3"/>
    </w:pPr>
    <w:rPr>
      <w:bCs w:val="0"/>
      <w:iCs w:val="0"/>
      <w:color w:val="3D2262" w:themeColor="accent1"/>
      <w:sz w:val="24"/>
      <w:szCs w:val="32"/>
    </w:rPr>
  </w:style>
  <w:style w:type="paragraph" w:styleId="Heading5">
    <w:name w:val="heading 5"/>
    <w:basedOn w:val="Heading3"/>
    <w:next w:val="BodyCopy"/>
    <w:link w:val="Heading5Char"/>
    <w:unhideWhenUsed/>
    <w:qFormat/>
    <w:locked/>
    <w:rsid w:val="00AC2EDE"/>
    <w:pPr>
      <w:spacing w:after="120" w:line="300" w:lineRule="exact"/>
      <w:outlineLvl w:val="4"/>
    </w:pPr>
    <w:rPr>
      <w:b w:val="0"/>
      <w:color w:val="6E3894" w:themeColor="accent2"/>
      <w:sz w:val="24"/>
    </w:rPr>
  </w:style>
  <w:style w:type="paragraph" w:styleId="Heading6">
    <w:name w:val="heading 6"/>
    <w:basedOn w:val="BodyText"/>
    <w:next w:val="BodyCopy"/>
    <w:link w:val="Heading6Char"/>
    <w:unhideWhenUsed/>
    <w:locked/>
    <w:rsid w:val="009A5010"/>
    <w:pPr>
      <w:keepNext/>
      <w:keepLines/>
      <w:outlineLvl w:val="5"/>
    </w:pPr>
    <w:rPr>
      <w:rFonts w:eastAsiaTheme="majorEastAsia" w:cstheme="majorBidi"/>
      <w:color w:val="6E3894" w:themeColor="accent2"/>
    </w:rPr>
  </w:style>
  <w:style w:type="paragraph" w:styleId="Heading7">
    <w:name w:val="heading 7"/>
    <w:basedOn w:val="Normal"/>
    <w:next w:val="Normal"/>
    <w:link w:val="Heading7Char"/>
    <w:semiHidden/>
    <w:unhideWhenUsed/>
    <w:locked/>
    <w:rsid w:val="00E0642F"/>
    <w:pPr>
      <w:keepNext/>
      <w:keepLines/>
      <w:spacing w:before="40" w:after="0"/>
      <w:outlineLvl w:val="6"/>
    </w:pPr>
    <w:rPr>
      <w:rFonts w:asciiTheme="majorHAnsi" w:eastAsiaTheme="majorEastAsia" w:hAnsiTheme="majorHAnsi" w:cstheme="majorBidi"/>
      <w:i/>
      <w:iCs/>
      <w:color w:val="1E1130" w:themeColor="accent1" w:themeShade="7F"/>
    </w:rPr>
  </w:style>
  <w:style w:type="paragraph" w:styleId="Heading8">
    <w:name w:val="heading 8"/>
    <w:basedOn w:val="Normal"/>
    <w:next w:val="Normal"/>
    <w:link w:val="Heading8Char"/>
    <w:semiHidden/>
    <w:unhideWhenUsed/>
    <w:qFormat/>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aliases w:val="Heading 1 (Title) Char"/>
    <w:basedOn w:val="DefaultParagraphFont"/>
    <w:link w:val="Heading1"/>
    <w:uiPriority w:val="9"/>
    <w:rsid w:val="00A435C8"/>
    <w:rPr>
      <w:rFonts w:eastAsia="Times New Roman"/>
      <w:b/>
      <w:sz w:val="60"/>
      <w:szCs w:val="60"/>
      <w:lang w:eastAsia="en-US"/>
    </w:rPr>
  </w:style>
  <w:style w:type="character" w:customStyle="1" w:styleId="Heading2Char">
    <w:name w:val="Heading 2 Char"/>
    <w:aliases w:val="Section Heading Char"/>
    <w:basedOn w:val="DefaultParagraphFont"/>
    <w:link w:val="Heading2"/>
    <w:rsid w:val="0078367D"/>
    <w:rPr>
      <w:rFonts w:eastAsia="Times New Roman"/>
      <w:b/>
      <w:color w:val="FFFFFF" w:themeColor="background1"/>
      <w:szCs w:val="80"/>
      <w:shd w:val="clear" w:color="auto" w:fill="3D2262" w:themeFill="accent1"/>
      <w:lang w:eastAsia="en-US"/>
    </w:rPr>
  </w:style>
  <w:style w:type="character" w:customStyle="1" w:styleId="Heading3Char">
    <w:name w:val="Heading 3 Char"/>
    <w:basedOn w:val="DefaultParagraphFont"/>
    <w:link w:val="Heading3"/>
    <w:rsid w:val="0078367D"/>
    <w:rPr>
      <w:rFonts w:eastAsia="Times New Roman"/>
      <w:b/>
      <w:bCs/>
      <w:iCs/>
      <w:sz w:val="28"/>
      <w:szCs w:val="36"/>
      <w:lang w:eastAsia="en-U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qFormat/>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7E6EE6"/>
    <w:rPr>
      <w:rFonts w:eastAsia="Times New Roman"/>
      <w:b/>
      <w:color w:val="3D2262" w:themeColor="accent1"/>
      <w:szCs w:val="32"/>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91462B"/>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AC2EDE"/>
    <w:rPr>
      <w:rFonts w:eastAsia="Times New Roman"/>
      <w:bCs/>
      <w:iCs/>
      <w:color w:val="6E3894" w:themeColor="accent2"/>
      <w:szCs w:val="36"/>
      <w:lang w:eastAsia="en-US"/>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qFormat/>
    <w:rsid w:val="009C72D3"/>
    <w:pPr>
      <w:numPr>
        <w:numId w:val="19"/>
      </w:numPr>
      <w:ind w:left="1134" w:hanging="1134"/>
    </w:pPr>
  </w:style>
  <w:style w:type="character" w:customStyle="1" w:styleId="Heading7Char">
    <w:name w:val="Heading 7 Char"/>
    <w:basedOn w:val="DefaultParagraphFont"/>
    <w:link w:val="Heading7"/>
    <w:semiHidden/>
    <w:rsid w:val="00C36B93"/>
    <w:rPr>
      <w:rFonts w:asciiTheme="majorHAnsi" w:eastAsiaTheme="majorEastAsia" w:hAnsiTheme="majorHAnsi" w:cstheme="majorBidi"/>
      <w:i/>
      <w:iCs/>
      <w:color w:val="1E1130" w:themeColor="accent1" w:themeShade="7F"/>
    </w:rPr>
  </w:style>
  <w:style w:type="character" w:customStyle="1" w:styleId="Heading8Char">
    <w:name w:val="Heading 8 Char"/>
    <w:basedOn w:val="DefaultParagraphFont"/>
    <w:link w:val="Heading8"/>
    <w:semiHidden/>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BA3E7C"/>
    <w:pPr>
      <w:spacing w:after="100"/>
      <w:ind w:left="240"/>
    </w:pPr>
  </w:style>
  <w:style w:type="paragraph" w:styleId="TOC3">
    <w:name w:val="toc 3"/>
    <w:aliases w:val="TOC 3 - Tables and Figures"/>
    <w:basedOn w:val="Normal"/>
    <w:next w:val="Normal"/>
    <w:autoRedefine/>
    <w:uiPriority w:val="39"/>
    <w:unhideWhenUsed/>
    <w:rsid w:val="00B94117"/>
    <w:pPr>
      <w:tabs>
        <w:tab w:val="left" w:pos="1134"/>
        <w:tab w:val="right" w:leader="dot" w:pos="10206"/>
      </w:tabs>
      <w:spacing w:after="100"/>
      <w:ind w:left="1134" w:hanging="1134"/>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ListParagraph">
    <w:name w:val="List Paragraph"/>
    <w:aliases w:val="List number"/>
    <w:basedOn w:val="Normal"/>
    <w:uiPriority w:val="34"/>
    <w:qFormat/>
    <w:locked/>
    <w:rsid w:val="00666AF5"/>
    <w:pPr>
      <w:numPr>
        <w:numId w:val="40"/>
      </w:numPr>
      <w:spacing w:before="0" w:after="0" w:line="240" w:lineRule="auto"/>
      <w:contextualSpacing/>
    </w:pPr>
    <w:rPr>
      <w:rFonts w:ascii="Calibri" w:eastAsia="Times New Roman" w:hAnsi="Calibri" w:cs="Times New Roman"/>
      <w:b/>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CHSocialWorkMATPAEDS.CHS@act.gov.au" TargetMode="Externa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gldcdp.tg.org.au/topicTeaser?guidelinePage=Antibiotic&amp;etgAccess=tru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n.health.nsw.gov.au/_policies/pdf/2015-8000.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9C266DBB384B8E92AE9134E60DCA29"/>
        <w:category>
          <w:name w:val="General"/>
          <w:gallery w:val="placeholder"/>
        </w:category>
        <w:types>
          <w:type w:val="bbPlcHdr"/>
        </w:types>
        <w:behaviors>
          <w:behavior w:val="content"/>
        </w:behaviors>
        <w:guid w:val="{23763717-4E20-418A-AE0B-EE6DD7E1D830}"/>
      </w:docPartPr>
      <w:docPartBody>
        <w:p w:rsidR="000E137E" w:rsidRDefault="000E137E">
          <w:pPr>
            <w:pStyle w:val="B39C266DBB384B8E92AE9134E60DCA29"/>
          </w:pPr>
          <w:r>
            <w:rPr>
              <w:noProof/>
              <w:sz w:val="20"/>
              <w:szCs w:val="20"/>
            </w:rPr>
            <w:drawing>
              <wp:inline distT="0" distB="0" distL="0" distR="0" wp14:anchorId="7BCA7AA6" wp14:editId="21D03D73">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9CB54E7D88984E09B8F152E839636A20"/>
        <w:category>
          <w:name w:val="General"/>
          <w:gallery w:val="placeholder"/>
        </w:category>
        <w:types>
          <w:type w:val="bbPlcHdr"/>
        </w:types>
        <w:behaviors>
          <w:behavior w:val="content"/>
        </w:behaviors>
        <w:guid w:val="{8D8F6705-FB5E-490C-8AF3-1DDC7EE0D118}"/>
      </w:docPartPr>
      <w:docPartBody>
        <w:p w:rsidR="000E137E" w:rsidRDefault="000E137E">
          <w:pPr>
            <w:pStyle w:val="9CB54E7D88984E09B8F152E839636A20"/>
          </w:pPr>
          <w:r w:rsidRPr="00EE29F8">
            <w:rPr>
              <w:rStyle w:val="PlaceholderText"/>
            </w:rPr>
            <w:t>Choose an item.</w:t>
          </w:r>
        </w:p>
      </w:docPartBody>
    </w:docPart>
    <w:docPart>
      <w:docPartPr>
        <w:name w:val="C16BC4FC2D9548E6876BF71F9181FF59"/>
        <w:category>
          <w:name w:val="General"/>
          <w:gallery w:val="placeholder"/>
        </w:category>
        <w:types>
          <w:type w:val="bbPlcHdr"/>
        </w:types>
        <w:behaviors>
          <w:behavior w:val="content"/>
        </w:behaviors>
        <w:guid w:val="{128D5F7B-731A-4F3C-93F3-848C04C6E56A}"/>
      </w:docPartPr>
      <w:docPartBody>
        <w:p w:rsidR="000E137E" w:rsidRPr="00F26C97" w:rsidRDefault="000E137E" w:rsidP="00185FE8">
          <w:pPr>
            <w:pStyle w:val="Bottomblocktext"/>
            <w:rPr>
              <w:b/>
              <w:bCs w:val="0"/>
              <w:sz w:val="20"/>
              <w:szCs w:val="20"/>
            </w:rPr>
          </w:pPr>
          <w:r>
            <w:rPr>
              <w:b/>
              <w:bCs w:val="0"/>
              <w:noProof/>
              <w:sz w:val="20"/>
              <w:szCs w:val="20"/>
            </w:rPr>
            <w:drawing>
              <wp:inline distT="0" distB="0" distL="0" distR="0" wp14:anchorId="3394616C" wp14:editId="5E6A2FAB">
                <wp:extent cx="338275" cy="331065"/>
                <wp:effectExtent l="0" t="0" r="5080" b="0"/>
                <wp:docPr id="8"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AB39F3F" wp14:editId="47F0EB7C">
                <wp:extent cx="143919" cy="139700"/>
                <wp:effectExtent l="0" t="0" r="8890" b="0"/>
                <wp:docPr id="9"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0E137E" w:rsidRPr="00F26C97" w:rsidRDefault="000E137E" w:rsidP="00185FE8">
          <w:pPr>
            <w:pStyle w:val="Bottomblocktext"/>
            <w:rPr>
              <w:b/>
              <w:bCs w:val="0"/>
              <w:sz w:val="20"/>
              <w:szCs w:val="20"/>
            </w:rPr>
          </w:pPr>
          <w:r>
            <w:rPr>
              <w:b/>
              <w:bCs w:val="0"/>
              <w:noProof/>
              <w:sz w:val="20"/>
              <w:szCs w:val="20"/>
            </w:rPr>
            <w:drawing>
              <wp:inline distT="0" distB="0" distL="0" distR="0" wp14:anchorId="0086C559" wp14:editId="4D4D9DE1">
                <wp:extent cx="326104" cy="323850"/>
                <wp:effectExtent l="0" t="0" r="0" b="0"/>
                <wp:docPr id="10"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5AEA392" wp14:editId="07C5ED63">
                <wp:extent cx="143919" cy="139700"/>
                <wp:effectExtent l="0" t="0" r="8890" b="0"/>
                <wp:docPr id="11"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0E137E" w:rsidRDefault="00000000" w:rsidP="00185FE8">
          <w:pPr>
            <w:pStyle w:val="Bottomblocktext"/>
            <w:rPr>
              <w:sz w:val="20"/>
              <w:szCs w:val="20"/>
            </w:rPr>
          </w:pPr>
          <w:hyperlink r:id="rId8" w:history="1">
            <w:r w:rsidR="000E137E" w:rsidRPr="00350211">
              <w:rPr>
                <w:rStyle w:val="Hyperlink"/>
                <w:sz w:val="20"/>
                <w:szCs w:val="20"/>
              </w:rPr>
              <w:t>canberrahealthservices.act.gov.au/accessibility</w:t>
            </w:r>
          </w:hyperlink>
        </w:p>
        <w:p w:rsidR="000E137E" w:rsidRDefault="000E137E">
          <w:pPr>
            <w:pStyle w:val="C16BC4FC2D9548E6876BF71F9181FF59"/>
          </w:pPr>
          <w:r>
            <w:rPr>
              <w:b/>
              <w:bCs/>
              <w:noProof/>
            </w:rPr>
            <w:drawing>
              <wp:inline distT="0" distB="0" distL="0" distR="0" wp14:anchorId="4F309E2B" wp14:editId="1730C219">
                <wp:extent cx="1323833" cy="309418"/>
                <wp:effectExtent l="0" t="0" r="0" b="0"/>
                <wp:docPr id="12"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7E"/>
    <w:rsid w:val="000E137E"/>
    <w:rsid w:val="003A7625"/>
    <w:rsid w:val="005E5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C266DBB384B8E92AE9134E60DCA29">
    <w:name w:val="B39C266DBB384B8E92AE9134E60DCA29"/>
  </w:style>
  <w:style w:type="character" w:styleId="PlaceholderText">
    <w:name w:val="Placeholder Text"/>
    <w:basedOn w:val="DefaultParagraphFont"/>
    <w:uiPriority w:val="99"/>
    <w:semiHidden/>
    <w:rPr>
      <w:color w:val="808080"/>
    </w:rPr>
  </w:style>
  <w:style w:type="paragraph" w:customStyle="1" w:styleId="9CB54E7D88984E09B8F152E839636A20">
    <w:name w:val="9CB54E7D88984E09B8F152E839636A20"/>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C16BC4FC2D9548E6876BF71F9181FF59">
    <w:name w:val="C16BC4FC2D9548E6876BF71F9181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6" ma:contentTypeDescription="Create a new document." ma:contentTypeScope="" ma:versionID="6c1f6630e9d5200b423bf7951539b890">
  <xsd:schema xmlns:xsd="http://www.w3.org/2001/XMLSchema" xmlns:xs="http://www.w3.org/2001/XMLSchema" xmlns:p="http://schemas.microsoft.com/office/2006/metadata/properties" xmlns:ns2="4504225e-b2d9-4497-b505-38d38bf039d6" targetNamespace="http://schemas.microsoft.com/office/2006/metadata/properties" ma:root="true" ma:fieldsID="e61aec217de10b78daa7cc8e55cca587"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3BD61DBC-2304-46B7-BF21-5D9FF9AB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5994</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40086</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Snodin, Anna (Health)</dc:creator>
  <cp:lastModifiedBy>Mathew, Jerrin</cp:lastModifiedBy>
  <cp:revision>2</cp:revision>
  <cp:lastPrinted>2017-05-22T07:29:00Z</cp:lastPrinted>
  <dcterms:created xsi:type="dcterms:W3CDTF">2024-11-04T03:41:00Z</dcterms:created>
  <dcterms:modified xsi:type="dcterms:W3CDTF">2024-11-04T03:41:00Z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0x010100E8E4E67227A39440A0156BC63E383DB0</vt:lpwstr>
  </property>
</Properties>
</file>