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4EEF"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04335233" w14:textId="77777777" w:rsidR="007F0BF7" w:rsidRDefault="007F0BF7" w:rsidP="00C34A10">
      <w:pPr>
        <w:pStyle w:val="BodyCopy"/>
        <w:spacing w:before="0" w:line="240" w:lineRule="auto"/>
        <w:rPr>
          <w:rFonts w:eastAsia="Calibri"/>
          <w:bCs w:val="0"/>
          <w:iCs w:val="0"/>
          <w:sz w:val="32"/>
        </w:rPr>
      </w:pPr>
      <w:r w:rsidRPr="007F0BF7">
        <w:rPr>
          <w:rFonts w:eastAsia="Calibri"/>
          <w:bCs w:val="0"/>
          <w:iCs w:val="0"/>
          <w:sz w:val="32"/>
        </w:rPr>
        <w:t xml:space="preserve">Acute Severe Ulcerative Colitis (ASUC) in Adults </w:t>
      </w:r>
    </w:p>
    <w:p w14:paraId="39DAFFFB" w14:textId="47D43E75" w:rsidR="00CA4FDE" w:rsidRPr="00C34A10" w:rsidRDefault="00E31596" w:rsidP="00C34A10">
      <w:pPr>
        <w:pStyle w:val="BodyCopy"/>
        <w:spacing w:before="0" w:line="240" w:lineRule="auto"/>
        <w:rPr>
          <w:color w:val="575757" w:themeColor="text2"/>
        </w:rPr>
      </w:pPr>
      <w:r w:rsidRPr="00197F2E">
        <w:t>CHS</w:t>
      </w:r>
      <w:r w:rsidR="00F134E5">
        <w:t>26</w:t>
      </w:r>
      <w:r w:rsidRPr="00197F2E">
        <w:t>/</w:t>
      </w:r>
      <w:bookmarkStart w:id="0" w:name="_Hlk157074578"/>
      <w:r w:rsidR="00F134E5">
        <w:t>085</w:t>
      </w:r>
    </w:p>
    <w:sdt>
      <w:sdtPr>
        <w:rPr>
          <w:sz w:val="32"/>
          <w:szCs w:val="32"/>
        </w:rPr>
        <w:id w:val="-1206019646"/>
        <w:docPartObj>
          <w:docPartGallery w:val="Table of Contents"/>
          <w:docPartUnique/>
        </w:docPartObj>
      </w:sdtPr>
      <w:sdtEndPr>
        <w:rPr>
          <w:noProof/>
        </w:rPr>
      </w:sdtEndPr>
      <w:sdtContent>
        <w:p w14:paraId="219B045F" w14:textId="77777777" w:rsidR="00A731B8" w:rsidRPr="000E7683" w:rsidRDefault="00A731B8">
          <w:pPr>
            <w:pStyle w:val="TOCHeading"/>
            <w:rPr>
              <w:rStyle w:val="Heading3Char"/>
              <w:b/>
              <w:bCs w:val="0"/>
            </w:rPr>
          </w:pPr>
          <w:r w:rsidRPr="007B1A7B">
            <w:rPr>
              <w:rStyle w:val="Heading3Char"/>
              <w:b/>
              <w:bCs w:val="0"/>
            </w:rPr>
            <w:t>Contents</w:t>
          </w:r>
        </w:p>
        <w:p w14:paraId="418351D1" w14:textId="4479D131" w:rsidR="007801FE"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225770617" w:history="1">
            <w:r w:rsidR="007801FE" w:rsidRPr="00663A94">
              <w:rPr>
                <w:rStyle w:val="Hyperlink"/>
              </w:rPr>
              <w:t>Purpose</w:t>
            </w:r>
            <w:r w:rsidR="007801FE">
              <w:rPr>
                <w:webHidden/>
              </w:rPr>
              <w:tab/>
            </w:r>
            <w:r w:rsidR="007801FE">
              <w:rPr>
                <w:webHidden/>
              </w:rPr>
              <w:fldChar w:fldCharType="begin"/>
            </w:r>
            <w:r w:rsidR="007801FE">
              <w:rPr>
                <w:webHidden/>
              </w:rPr>
              <w:instrText xml:space="preserve"> PAGEREF _Toc225770617 \h </w:instrText>
            </w:r>
            <w:r w:rsidR="007801FE">
              <w:rPr>
                <w:webHidden/>
              </w:rPr>
            </w:r>
            <w:r w:rsidR="007801FE">
              <w:rPr>
                <w:webHidden/>
              </w:rPr>
              <w:fldChar w:fldCharType="separate"/>
            </w:r>
            <w:r w:rsidR="007801FE">
              <w:rPr>
                <w:webHidden/>
              </w:rPr>
              <w:t>2</w:t>
            </w:r>
            <w:r w:rsidR="007801FE">
              <w:rPr>
                <w:webHidden/>
              </w:rPr>
              <w:fldChar w:fldCharType="end"/>
            </w:r>
          </w:hyperlink>
        </w:p>
        <w:p w14:paraId="65E690AC" w14:textId="101E2900" w:rsidR="007801FE" w:rsidRDefault="007801FE">
          <w:pPr>
            <w:pStyle w:val="TOC1"/>
            <w:rPr>
              <w:rFonts w:asciiTheme="minorHAnsi" w:eastAsiaTheme="minorEastAsia" w:hAnsiTheme="minorHAnsi" w:cstheme="minorBidi"/>
              <w:color w:val="auto"/>
              <w:kern w:val="2"/>
              <w14:ligatures w14:val="standardContextual"/>
            </w:rPr>
          </w:pPr>
          <w:hyperlink w:anchor="_Toc225770618" w:history="1">
            <w:r w:rsidRPr="00663A94">
              <w:rPr>
                <w:rStyle w:val="Hyperlink"/>
              </w:rPr>
              <w:t>Scope</w:t>
            </w:r>
            <w:r>
              <w:rPr>
                <w:webHidden/>
              </w:rPr>
              <w:tab/>
            </w:r>
            <w:r>
              <w:rPr>
                <w:webHidden/>
              </w:rPr>
              <w:fldChar w:fldCharType="begin"/>
            </w:r>
            <w:r>
              <w:rPr>
                <w:webHidden/>
              </w:rPr>
              <w:instrText xml:space="preserve"> PAGEREF _Toc225770618 \h </w:instrText>
            </w:r>
            <w:r>
              <w:rPr>
                <w:webHidden/>
              </w:rPr>
            </w:r>
            <w:r>
              <w:rPr>
                <w:webHidden/>
              </w:rPr>
              <w:fldChar w:fldCharType="separate"/>
            </w:r>
            <w:r>
              <w:rPr>
                <w:webHidden/>
              </w:rPr>
              <w:t>2</w:t>
            </w:r>
            <w:r>
              <w:rPr>
                <w:webHidden/>
              </w:rPr>
              <w:fldChar w:fldCharType="end"/>
            </w:r>
          </w:hyperlink>
        </w:p>
        <w:p w14:paraId="5948F6D7" w14:textId="5280E62B" w:rsidR="007801FE" w:rsidRDefault="007801FE">
          <w:pPr>
            <w:pStyle w:val="TOC1"/>
            <w:rPr>
              <w:rFonts w:asciiTheme="minorHAnsi" w:eastAsiaTheme="minorEastAsia" w:hAnsiTheme="minorHAnsi" w:cstheme="minorBidi"/>
              <w:color w:val="auto"/>
              <w:kern w:val="2"/>
              <w14:ligatures w14:val="standardContextual"/>
            </w:rPr>
          </w:pPr>
          <w:hyperlink w:anchor="_Toc225770619" w:history="1">
            <w:r w:rsidRPr="00663A94">
              <w:rPr>
                <w:rStyle w:val="Hyperlink"/>
              </w:rPr>
              <w:t>Section 1 - Background and Definition</w:t>
            </w:r>
            <w:r>
              <w:rPr>
                <w:webHidden/>
              </w:rPr>
              <w:tab/>
            </w:r>
            <w:r>
              <w:rPr>
                <w:webHidden/>
              </w:rPr>
              <w:fldChar w:fldCharType="begin"/>
            </w:r>
            <w:r>
              <w:rPr>
                <w:webHidden/>
              </w:rPr>
              <w:instrText xml:space="preserve"> PAGEREF _Toc225770619 \h </w:instrText>
            </w:r>
            <w:r>
              <w:rPr>
                <w:webHidden/>
              </w:rPr>
            </w:r>
            <w:r>
              <w:rPr>
                <w:webHidden/>
              </w:rPr>
              <w:fldChar w:fldCharType="separate"/>
            </w:r>
            <w:r>
              <w:rPr>
                <w:webHidden/>
              </w:rPr>
              <w:t>2</w:t>
            </w:r>
            <w:r>
              <w:rPr>
                <w:webHidden/>
              </w:rPr>
              <w:fldChar w:fldCharType="end"/>
            </w:r>
          </w:hyperlink>
        </w:p>
        <w:p w14:paraId="5F328692" w14:textId="57D56617" w:rsidR="007801FE" w:rsidRDefault="007801FE">
          <w:pPr>
            <w:pStyle w:val="TOC1"/>
            <w:rPr>
              <w:rFonts w:asciiTheme="minorHAnsi" w:eastAsiaTheme="minorEastAsia" w:hAnsiTheme="minorHAnsi" w:cstheme="minorBidi"/>
              <w:color w:val="auto"/>
              <w:kern w:val="2"/>
              <w14:ligatures w14:val="standardContextual"/>
            </w:rPr>
          </w:pPr>
          <w:hyperlink w:anchor="_Toc225770620" w:history="1">
            <w:r w:rsidRPr="00663A94">
              <w:rPr>
                <w:rStyle w:val="Hyperlink"/>
              </w:rPr>
              <w:t>Section 2 - Initial Patient Assessment (Emergency Department)</w:t>
            </w:r>
            <w:r>
              <w:rPr>
                <w:webHidden/>
              </w:rPr>
              <w:tab/>
            </w:r>
            <w:r>
              <w:rPr>
                <w:webHidden/>
              </w:rPr>
              <w:fldChar w:fldCharType="begin"/>
            </w:r>
            <w:r>
              <w:rPr>
                <w:webHidden/>
              </w:rPr>
              <w:instrText xml:space="preserve"> PAGEREF _Toc225770620 \h </w:instrText>
            </w:r>
            <w:r>
              <w:rPr>
                <w:webHidden/>
              </w:rPr>
            </w:r>
            <w:r>
              <w:rPr>
                <w:webHidden/>
              </w:rPr>
              <w:fldChar w:fldCharType="separate"/>
            </w:r>
            <w:r>
              <w:rPr>
                <w:webHidden/>
              </w:rPr>
              <w:t>3</w:t>
            </w:r>
            <w:r>
              <w:rPr>
                <w:webHidden/>
              </w:rPr>
              <w:fldChar w:fldCharType="end"/>
            </w:r>
          </w:hyperlink>
        </w:p>
        <w:p w14:paraId="30618188" w14:textId="7C6190F3" w:rsidR="007801FE" w:rsidRDefault="007801FE">
          <w:pPr>
            <w:pStyle w:val="TOC1"/>
            <w:rPr>
              <w:rFonts w:asciiTheme="minorHAnsi" w:eastAsiaTheme="minorEastAsia" w:hAnsiTheme="minorHAnsi" w:cstheme="minorBidi"/>
              <w:color w:val="auto"/>
              <w:kern w:val="2"/>
              <w14:ligatures w14:val="standardContextual"/>
            </w:rPr>
          </w:pPr>
          <w:hyperlink w:anchor="_Toc225770621" w:history="1">
            <w:r w:rsidRPr="00663A94">
              <w:rPr>
                <w:rStyle w:val="Hyperlink"/>
              </w:rPr>
              <w:t>Section 3 - Initial Management of ASUC (Admitting registrar)</w:t>
            </w:r>
            <w:r>
              <w:rPr>
                <w:webHidden/>
              </w:rPr>
              <w:tab/>
            </w:r>
            <w:r>
              <w:rPr>
                <w:webHidden/>
              </w:rPr>
              <w:fldChar w:fldCharType="begin"/>
            </w:r>
            <w:r>
              <w:rPr>
                <w:webHidden/>
              </w:rPr>
              <w:instrText xml:space="preserve"> PAGEREF _Toc225770621 \h </w:instrText>
            </w:r>
            <w:r>
              <w:rPr>
                <w:webHidden/>
              </w:rPr>
            </w:r>
            <w:r>
              <w:rPr>
                <w:webHidden/>
              </w:rPr>
              <w:fldChar w:fldCharType="separate"/>
            </w:r>
            <w:r>
              <w:rPr>
                <w:webHidden/>
              </w:rPr>
              <w:t>4</w:t>
            </w:r>
            <w:r>
              <w:rPr>
                <w:webHidden/>
              </w:rPr>
              <w:fldChar w:fldCharType="end"/>
            </w:r>
          </w:hyperlink>
        </w:p>
        <w:p w14:paraId="27B306DD" w14:textId="6E2C7B4B" w:rsidR="007801FE" w:rsidRDefault="007801FE">
          <w:pPr>
            <w:pStyle w:val="TOC1"/>
            <w:rPr>
              <w:rFonts w:asciiTheme="minorHAnsi" w:eastAsiaTheme="minorEastAsia" w:hAnsiTheme="minorHAnsi" w:cstheme="minorBidi"/>
              <w:color w:val="auto"/>
              <w:kern w:val="2"/>
              <w14:ligatures w14:val="standardContextual"/>
            </w:rPr>
          </w:pPr>
          <w:hyperlink w:anchor="_Toc225770622" w:history="1">
            <w:r w:rsidRPr="00663A94">
              <w:rPr>
                <w:rStyle w:val="Hyperlink"/>
              </w:rPr>
              <w:t>Section 4 - Daily Review and Maintenance Therapy (Gastroenterology home team)</w:t>
            </w:r>
            <w:r>
              <w:rPr>
                <w:webHidden/>
              </w:rPr>
              <w:tab/>
            </w:r>
            <w:r>
              <w:rPr>
                <w:webHidden/>
              </w:rPr>
              <w:fldChar w:fldCharType="begin"/>
            </w:r>
            <w:r>
              <w:rPr>
                <w:webHidden/>
              </w:rPr>
              <w:instrText xml:space="preserve"> PAGEREF _Toc225770622 \h </w:instrText>
            </w:r>
            <w:r>
              <w:rPr>
                <w:webHidden/>
              </w:rPr>
            </w:r>
            <w:r>
              <w:rPr>
                <w:webHidden/>
              </w:rPr>
              <w:fldChar w:fldCharType="separate"/>
            </w:r>
            <w:r>
              <w:rPr>
                <w:webHidden/>
              </w:rPr>
              <w:t>6</w:t>
            </w:r>
            <w:r>
              <w:rPr>
                <w:webHidden/>
              </w:rPr>
              <w:fldChar w:fldCharType="end"/>
            </w:r>
          </w:hyperlink>
        </w:p>
        <w:p w14:paraId="1A1B1891" w14:textId="295F61F8" w:rsidR="007801FE" w:rsidRDefault="007801FE">
          <w:pPr>
            <w:pStyle w:val="TOC1"/>
            <w:rPr>
              <w:rFonts w:asciiTheme="minorHAnsi" w:eastAsiaTheme="minorEastAsia" w:hAnsiTheme="minorHAnsi" w:cstheme="minorBidi"/>
              <w:color w:val="auto"/>
              <w:kern w:val="2"/>
              <w14:ligatures w14:val="standardContextual"/>
            </w:rPr>
          </w:pPr>
          <w:hyperlink w:anchor="_Toc225770623" w:history="1">
            <w:r w:rsidRPr="00663A94">
              <w:rPr>
                <w:rStyle w:val="Hyperlink"/>
              </w:rPr>
              <w:t>Section 5 - Salvage Therapy Assessment</w:t>
            </w:r>
            <w:r>
              <w:rPr>
                <w:webHidden/>
              </w:rPr>
              <w:tab/>
            </w:r>
            <w:r>
              <w:rPr>
                <w:webHidden/>
              </w:rPr>
              <w:fldChar w:fldCharType="begin"/>
            </w:r>
            <w:r>
              <w:rPr>
                <w:webHidden/>
              </w:rPr>
              <w:instrText xml:space="preserve"> PAGEREF _Toc225770623 \h </w:instrText>
            </w:r>
            <w:r>
              <w:rPr>
                <w:webHidden/>
              </w:rPr>
            </w:r>
            <w:r>
              <w:rPr>
                <w:webHidden/>
              </w:rPr>
              <w:fldChar w:fldCharType="separate"/>
            </w:r>
            <w:r>
              <w:rPr>
                <w:webHidden/>
              </w:rPr>
              <w:t>7</w:t>
            </w:r>
            <w:r>
              <w:rPr>
                <w:webHidden/>
              </w:rPr>
              <w:fldChar w:fldCharType="end"/>
            </w:r>
          </w:hyperlink>
        </w:p>
        <w:p w14:paraId="1C8A22B5" w14:textId="2E620198" w:rsidR="007801FE" w:rsidRDefault="007801FE">
          <w:pPr>
            <w:pStyle w:val="TOC1"/>
            <w:rPr>
              <w:rFonts w:asciiTheme="minorHAnsi" w:eastAsiaTheme="minorEastAsia" w:hAnsiTheme="minorHAnsi" w:cstheme="minorBidi"/>
              <w:color w:val="auto"/>
              <w:kern w:val="2"/>
              <w14:ligatures w14:val="standardContextual"/>
            </w:rPr>
          </w:pPr>
          <w:hyperlink w:anchor="_Toc225770624" w:history="1">
            <w:r w:rsidRPr="00663A94">
              <w:rPr>
                <w:rStyle w:val="Hyperlink"/>
              </w:rPr>
              <w:t>Section 6 - Follow-Up</w:t>
            </w:r>
            <w:r>
              <w:rPr>
                <w:webHidden/>
              </w:rPr>
              <w:tab/>
            </w:r>
            <w:r>
              <w:rPr>
                <w:webHidden/>
              </w:rPr>
              <w:fldChar w:fldCharType="begin"/>
            </w:r>
            <w:r>
              <w:rPr>
                <w:webHidden/>
              </w:rPr>
              <w:instrText xml:space="preserve"> PAGEREF _Toc225770624 \h </w:instrText>
            </w:r>
            <w:r>
              <w:rPr>
                <w:webHidden/>
              </w:rPr>
            </w:r>
            <w:r>
              <w:rPr>
                <w:webHidden/>
              </w:rPr>
              <w:fldChar w:fldCharType="separate"/>
            </w:r>
            <w:r>
              <w:rPr>
                <w:webHidden/>
              </w:rPr>
              <w:t>8</w:t>
            </w:r>
            <w:r>
              <w:rPr>
                <w:webHidden/>
              </w:rPr>
              <w:fldChar w:fldCharType="end"/>
            </w:r>
          </w:hyperlink>
        </w:p>
        <w:p w14:paraId="7A623DC9" w14:textId="413269B0" w:rsidR="007801FE" w:rsidRDefault="007801FE">
          <w:pPr>
            <w:pStyle w:val="TOC1"/>
            <w:rPr>
              <w:rFonts w:asciiTheme="minorHAnsi" w:eastAsiaTheme="minorEastAsia" w:hAnsiTheme="minorHAnsi" w:cstheme="minorBidi"/>
              <w:color w:val="auto"/>
              <w:kern w:val="2"/>
              <w14:ligatures w14:val="standardContextual"/>
            </w:rPr>
          </w:pPr>
          <w:hyperlink w:anchor="_Toc225770625" w:history="1">
            <w:r w:rsidRPr="00663A94">
              <w:rPr>
                <w:rStyle w:val="Hyperlink"/>
              </w:rPr>
              <w:t>Evaluation</w:t>
            </w:r>
            <w:r>
              <w:rPr>
                <w:webHidden/>
              </w:rPr>
              <w:tab/>
            </w:r>
            <w:r>
              <w:rPr>
                <w:webHidden/>
              </w:rPr>
              <w:fldChar w:fldCharType="begin"/>
            </w:r>
            <w:r>
              <w:rPr>
                <w:webHidden/>
              </w:rPr>
              <w:instrText xml:space="preserve"> PAGEREF _Toc225770625 \h </w:instrText>
            </w:r>
            <w:r>
              <w:rPr>
                <w:webHidden/>
              </w:rPr>
            </w:r>
            <w:r>
              <w:rPr>
                <w:webHidden/>
              </w:rPr>
              <w:fldChar w:fldCharType="separate"/>
            </w:r>
            <w:r>
              <w:rPr>
                <w:webHidden/>
              </w:rPr>
              <w:t>9</w:t>
            </w:r>
            <w:r>
              <w:rPr>
                <w:webHidden/>
              </w:rPr>
              <w:fldChar w:fldCharType="end"/>
            </w:r>
          </w:hyperlink>
        </w:p>
        <w:p w14:paraId="25E94587" w14:textId="09EB7614" w:rsidR="007801FE" w:rsidRDefault="007801FE">
          <w:pPr>
            <w:pStyle w:val="TOC1"/>
            <w:rPr>
              <w:rFonts w:asciiTheme="minorHAnsi" w:eastAsiaTheme="minorEastAsia" w:hAnsiTheme="minorHAnsi" w:cstheme="minorBidi"/>
              <w:color w:val="auto"/>
              <w:kern w:val="2"/>
              <w14:ligatures w14:val="standardContextual"/>
            </w:rPr>
          </w:pPr>
          <w:hyperlink w:anchor="_Toc225770626" w:history="1">
            <w:r w:rsidRPr="00663A94">
              <w:rPr>
                <w:rStyle w:val="Hyperlink"/>
              </w:rPr>
              <w:t>Related policies, procedures, guidelines and legislation</w:t>
            </w:r>
            <w:r>
              <w:rPr>
                <w:webHidden/>
              </w:rPr>
              <w:tab/>
            </w:r>
            <w:r>
              <w:rPr>
                <w:webHidden/>
              </w:rPr>
              <w:fldChar w:fldCharType="begin"/>
            </w:r>
            <w:r>
              <w:rPr>
                <w:webHidden/>
              </w:rPr>
              <w:instrText xml:space="preserve"> PAGEREF _Toc225770626 \h </w:instrText>
            </w:r>
            <w:r>
              <w:rPr>
                <w:webHidden/>
              </w:rPr>
            </w:r>
            <w:r>
              <w:rPr>
                <w:webHidden/>
              </w:rPr>
              <w:fldChar w:fldCharType="separate"/>
            </w:r>
            <w:r>
              <w:rPr>
                <w:webHidden/>
              </w:rPr>
              <w:t>9</w:t>
            </w:r>
            <w:r>
              <w:rPr>
                <w:webHidden/>
              </w:rPr>
              <w:fldChar w:fldCharType="end"/>
            </w:r>
          </w:hyperlink>
        </w:p>
        <w:p w14:paraId="011D091D" w14:textId="701845BE" w:rsidR="007801FE" w:rsidRDefault="007801FE">
          <w:pPr>
            <w:pStyle w:val="TOC1"/>
            <w:rPr>
              <w:rFonts w:asciiTheme="minorHAnsi" w:eastAsiaTheme="minorEastAsia" w:hAnsiTheme="minorHAnsi" w:cstheme="minorBidi"/>
              <w:color w:val="auto"/>
              <w:kern w:val="2"/>
              <w14:ligatures w14:val="standardContextual"/>
            </w:rPr>
          </w:pPr>
          <w:hyperlink w:anchor="_Toc225770627" w:history="1">
            <w:r w:rsidRPr="00663A94">
              <w:rPr>
                <w:rStyle w:val="Hyperlink"/>
              </w:rPr>
              <w:t>References</w:t>
            </w:r>
            <w:r>
              <w:rPr>
                <w:webHidden/>
              </w:rPr>
              <w:tab/>
            </w:r>
            <w:r>
              <w:rPr>
                <w:webHidden/>
              </w:rPr>
              <w:fldChar w:fldCharType="begin"/>
            </w:r>
            <w:r>
              <w:rPr>
                <w:webHidden/>
              </w:rPr>
              <w:instrText xml:space="preserve"> PAGEREF _Toc225770627 \h </w:instrText>
            </w:r>
            <w:r>
              <w:rPr>
                <w:webHidden/>
              </w:rPr>
            </w:r>
            <w:r>
              <w:rPr>
                <w:webHidden/>
              </w:rPr>
              <w:fldChar w:fldCharType="separate"/>
            </w:r>
            <w:r>
              <w:rPr>
                <w:webHidden/>
              </w:rPr>
              <w:t>10</w:t>
            </w:r>
            <w:r>
              <w:rPr>
                <w:webHidden/>
              </w:rPr>
              <w:fldChar w:fldCharType="end"/>
            </w:r>
          </w:hyperlink>
        </w:p>
        <w:p w14:paraId="51F3526F" w14:textId="07BA403D" w:rsidR="007801FE" w:rsidRDefault="007801FE">
          <w:pPr>
            <w:pStyle w:val="TOC1"/>
            <w:rPr>
              <w:rFonts w:asciiTheme="minorHAnsi" w:eastAsiaTheme="minorEastAsia" w:hAnsiTheme="minorHAnsi" w:cstheme="minorBidi"/>
              <w:color w:val="auto"/>
              <w:kern w:val="2"/>
              <w14:ligatures w14:val="standardContextual"/>
            </w:rPr>
          </w:pPr>
          <w:hyperlink w:anchor="_Toc225770628" w:history="1">
            <w:r w:rsidRPr="00663A94">
              <w:rPr>
                <w:rStyle w:val="Hyperlink"/>
              </w:rPr>
              <w:t>Definition of terms</w:t>
            </w:r>
            <w:r>
              <w:rPr>
                <w:webHidden/>
              </w:rPr>
              <w:tab/>
            </w:r>
            <w:r>
              <w:rPr>
                <w:webHidden/>
              </w:rPr>
              <w:fldChar w:fldCharType="begin"/>
            </w:r>
            <w:r>
              <w:rPr>
                <w:webHidden/>
              </w:rPr>
              <w:instrText xml:space="preserve"> PAGEREF _Toc225770628 \h </w:instrText>
            </w:r>
            <w:r>
              <w:rPr>
                <w:webHidden/>
              </w:rPr>
            </w:r>
            <w:r>
              <w:rPr>
                <w:webHidden/>
              </w:rPr>
              <w:fldChar w:fldCharType="separate"/>
            </w:r>
            <w:r>
              <w:rPr>
                <w:webHidden/>
              </w:rPr>
              <w:t>11</w:t>
            </w:r>
            <w:r>
              <w:rPr>
                <w:webHidden/>
              </w:rPr>
              <w:fldChar w:fldCharType="end"/>
            </w:r>
          </w:hyperlink>
        </w:p>
        <w:p w14:paraId="7EAE4F4D" w14:textId="022A1D83" w:rsidR="007801FE" w:rsidRDefault="007801FE">
          <w:pPr>
            <w:pStyle w:val="TOC1"/>
            <w:rPr>
              <w:rFonts w:asciiTheme="minorHAnsi" w:eastAsiaTheme="minorEastAsia" w:hAnsiTheme="minorHAnsi" w:cstheme="minorBidi"/>
              <w:color w:val="auto"/>
              <w:kern w:val="2"/>
              <w14:ligatures w14:val="standardContextual"/>
            </w:rPr>
          </w:pPr>
          <w:hyperlink w:anchor="_Toc225770629" w:history="1">
            <w:r w:rsidRPr="00663A94">
              <w:rPr>
                <w:rStyle w:val="Hyperlink"/>
              </w:rPr>
              <w:t>Search terms</w:t>
            </w:r>
            <w:r>
              <w:rPr>
                <w:webHidden/>
              </w:rPr>
              <w:tab/>
            </w:r>
            <w:r>
              <w:rPr>
                <w:webHidden/>
              </w:rPr>
              <w:fldChar w:fldCharType="begin"/>
            </w:r>
            <w:r>
              <w:rPr>
                <w:webHidden/>
              </w:rPr>
              <w:instrText xml:space="preserve"> PAGEREF _Toc225770629 \h </w:instrText>
            </w:r>
            <w:r>
              <w:rPr>
                <w:webHidden/>
              </w:rPr>
            </w:r>
            <w:r>
              <w:rPr>
                <w:webHidden/>
              </w:rPr>
              <w:fldChar w:fldCharType="separate"/>
            </w:r>
            <w:r>
              <w:rPr>
                <w:webHidden/>
              </w:rPr>
              <w:t>12</w:t>
            </w:r>
            <w:r>
              <w:rPr>
                <w:webHidden/>
              </w:rPr>
              <w:fldChar w:fldCharType="end"/>
            </w:r>
          </w:hyperlink>
        </w:p>
        <w:p w14:paraId="0025469F" w14:textId="2FE0441C" w:rsidR="007801FE" w:rsidRDefault="007801FE">
          <w:pPr>
            <w:pStyle w:val="TOC1"/>
            <w:rPr>
              <w:rFonts w:asciiTheme="minorHAnsi" w:eastAsiaTheme="minorEastAsia" w:hAnsiTheme="minorHAnsi" w:cstheme="minorBidi"/>
              <w:color w:val="auto"/>
              <w:kern w:val="2"/>
              <w14:ligatures w14:val="standardContextual"/>
            </w:rPr>
          </w:pPr>
          <w:hyperlink w:anchor="_Toc225770630" w:history="1">
            <w:r w:rsidRPr="00663A94">
              <w:rPr>
                <w:rStyle w:val="Hyperlink"/>
              </w:rPr>
              <w:t>Attachments</w:t>
            </w:r>
            <w:r>
              <w:rPr>
                <w:webHidden/>
              </w:rPr>
              <w:tab/>
            </w:r>
            <w:r>
              <w:rPr>
                <w:webHidden/>
              </w:rPr>
              <w:fldChar w:fldCharType="begin"/>
            </w:r>
            <w:r>
              <w:rPr>
                <w:webHidden/>
              </w:rPr>
              <w:instrText xml:space="preserve"> PAGEREF _Toc225770630 \h </w:instrText>
            </w:r>
            <w:r>
              <w:rPr>
                <w:webHidden/>
              </w:rPr>
            </w:r>
            <w:r>
              <w:rPr>
                <w:webHidden/>
              </w:rPr>
              <w:fldChar w:fldCharType="separate"/>
            </w:r>
            <w:r>
              <w:rPr>
                <w:webHidden/>
              </w:rPr>
              <w:t>12</w:t>
            </w:r>
            <w:r>
              <w:rPr>
                <w:webHidden/>
              </w:rPr>
              <w:fldChar w:fldCharType="end"/>
            </w:r>
          </w:hyperlink>
        </w:p>
        <w:p w14:paraId="3112E8CD" w14:textId="5C2DB1D2" w:rsidR="007801FE" w:rsidRDefault="007801FE">
          <w:pPr>
            <w:pStyle w:val="TOC1"/>
            <w:rPr>
              <w:rFonts w:asciiTheme="minorHAnsi" w:eastAsiaTheme="minorEastAsia" w:hAnsiTheme="minorHAnsi" w:cstheme="minorBidi"/>
              <w:color w:val="auto"/>
              <w:kern w:val="2"/>
              <w14:ligatures w14:val="standardContextual"/>
            </w:rPr>
          </w:pPr>
          <w:hyperlink w:anchor="_Toc225770631" w:history="1">
            <w:r w:rsidRPr="00663A94">
              <w:rPr>
                <w:rStyle w:val="Hyperlink"/>
              </w:rPr>
              <w:t>Attachment 1 - Management of Acute Severe Ulcerative Colitis (ASUC)</w:t>
            </w:r>
            <w:r>
              <w:rPr>
                <w:webHidden/>
              </w:rPr>
              <w:tab/>
            </w:r>
            <w:r>
              <w:rPr>
                <w:webHidden/>
              </w:rPr>
              <w:fldChar w:fldCharType="begin"/>
            </w:r>
            <w:r>
              <w:rPr>
                <w:webHidden/>
              </w:rPr>
              <w:instrText xml:space="preserve"> PAGEREF _Toc225770631 \h </w:instrText>
            </w:r>
            <w:r>
              <w:rPr>
                <w:webHidden/>
              </w:rPr>
            </w:r>
            <w:r>
              <w:rPr>
                <w:webHidden/>
              </w:rPr>
              <w:fldChar w:fldCharType="separate"/>
            </w:r>
            <w:r>
              <w:rPr>
                <w:webHidden/>
              </w:rPr>
              <w:t>14</w:t>
            </w:r>
            <w:r>
              <w:rPr>
                <w:webHidden/>
              </w:rPr>
              <w:fldChar w:fldCharType="end"/>
            </w:r>
          </w:hyperlink>
        </w:p>
        <w:p w14:paraId="2BC7C1DE" w14:textId="3D79CC4D"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76BA19AD" w14:textId="77777777" w:rsidR="00EF7A55" w:rsidRDefault="00EF7A55">
      <w:pPr>
        <w:spacing w:before="0" w:after="0" w:line="240" w:lineRule="auto"/>
        <w:rPr>
          <w:rFonts w:eastAsia="Times New Roman"/>
          <w:b/>
          <w:bCs/>
          <w:iCs/>
          <w:color w:val="FFFFFF" w:themeColor="background1"/>
          <w:lang w:eastAsia="en-US"/>
        </w:rPr>
      </w:pPr>
      <w:r>
        <w:br w:type="page"/>
      </w:r>
    </w:p>
    <w:p w14:paraId="5CFC16B3" w14:textId="03372CB0" w:rsidR="0078367D" w:rsidRPr="00036249" w:rsidRDefault="003254E1" w:rsidP="00036249">
      <w:pPr>
        <w:pStyle w:val="Heading4"/>
      </w:pPr>
      <w:bookmarkStart w:id="1" w:name="_Toc225770617"/>
      <w:r>
        <w:lastRenderedPageBreak/>
        <w:t>Purpose</w:t>
      </w:r>
      <w:bookmarkEnd w:id="1"/>
    </w:p>
    <w:p w14:paraId="03BC330B" w14:textId="156DFC41" w:rsidR="007F0BF7" w:rsidRDefault="007F0BF7" w:rsidP="009C4BB7">
      <w:pPr>
        <w:pStyle w:val="BodyCopy"/>
      </w:pPr>
      <w:r>
        <w:t>This pro</w:t>
      </w:r>
      <w:r w:rsidR="00076E76">
        <w:t>cedure</w:t>
      </w:r>
      <w:r>
        <w:t xml:space="preserve"> </w:t>
      </w:r>
      <w:r w:rsidR="00F40493">
        <w:t>provides advice</w:t>
      </w:r>
      <w:r>
        <w:t xml:space="preserve"> to medical officers to assist in managing acute severe </w:t>
      </w:r>
      <w:r>
        <w:br/>
        <w:t xml:space="preserve">ulcerative colitis (ASUC) patients in the emergency department and as inpatients. </w:t>
      </w:r>
    </w:p>
    <w:p w14:paraId="110A126E" w14:textId="5171544F" w:rsidR="00481A6C" w:rsidRDefault="00481A6C" w:rsidP="009C4BB7">
      <w:pPr>
        <w:pStyle w:val="BodyCopy"/>
        <w:rPr>
          <w:rStyle w:val="Hyperlink"/>
          <w:iCs w:val="0"/>
        </w:rPr>
      </w:pPr>
      <w:hyperlink w:anchor="_top" w:history="1">
        <w:r w:rsidRPr="00481A6C">
          <w:rPr>
            <w:rStyle w:val="Hyperlink"/>
            <w:iCs w:val="0"/>
          </w:rPr>
          <w:t>Back to Contents</w:t>
        </w:r>
      </w:hyperlink>
    </w:p>
    <w:p w14:paraId="105CC983" w14:textId="77777777" w:rsidR="003254E1" w:rsidRDefault="003254E1" w:rsidP="003254E1">
      <w:pPr>
        <w:pStyle w:val="Heading4"/>
      </w:pPr>
      <w:bookmarkStart w:id="2" w:name="_Toc225770618"/>
      <w:r>
        <w:t>Scope</w:t>
      </w:r>
      <w:bookmarkEnd w:id="2"/>
    </w:p>
    <w:p w14:paraId="7A84CF90" w14:textId="150D304F" w:rsidR="00EF7A55" w:rsidRDefault="00EF7A55" w:rsidP="009C4BB7">
      <w:pPr>
        <w:pStyle w:val="Bullet"/>
        <w:numPr>
          <w:ilvl w:val="0"/>
          <w:numId w:val="0"/>
        </w:numPr>
        <w:tabs>
          <w:tab w:val="clear" w:pos="425"/>
          <w:tab w:val="left" w:pos="0"/>
        </w:tabs>
        <w:spacing w:line="276" w:lineRule="auto"/>
        <w:rPr>
          <w:bCs/>
          <w:iCs/>
        </w:rPr>
      </w:pPr>
      <w:r>
        <w:rPr>
          <w:bCs/>
          <w:iCs/>
        </w:rPr>
        <w:t>This procedure applies to medical officers working within their scope of practice in the following areas of the Canberra Hospital</w:t>
      </w:r>
      <w:r w:rsidR="004D4D74">
        <w:rPr>
          <w:bCs/>
          <w:iCs/>
        </w:rPr>
        <w:t xml:space="preserve"> and North Canberra Hospital</w:t>
      </w:r>
      <w:r w:rsidR="00F40493">
        <w:rPr>
          <w:bCs/>
          <w:iCs/>
        </w:rPr>
        <w:t xml:space="preserve"> (NCH)</w:t>
      </w:r>
      <w:r>
        <w:rPr>
          <w:bCs/>
          <w:iCs/>
        </w:rPr>
        <w:t>:</w:t>
      </w:r>
    </w:p>
    <w:p w14:paraId="7DEDA6F4" w14:textId="6390E9A1" w:rsidR="00EF7A55" w:rsidRDefault="00EF7A55" w:rsidP="009C4BB7">
      <w:pPr>
        <w:pStyle w:val="Bullet"/>
        <w:numPr>
          <w:ilvl w:val="0"/>
          <w:numId w:val="0"/>
        </w:numPr>
        <w:tabs>
          <w:tab w:val="clear" w:pos="425"/>
          <w:tab w:val="left" w:pos="0"/>
        </w:tabs>
        <w:spacing w:line="276" w:lineRule="auto"/>
        <w:rPr>
          <w:bCs/>
          <w:iCs/>
        </w:rPr>
      </w:pPr>
    </w:p>
    <w:p w14:paraId="5ED938EB" w14:textId="495FAE9D" w:rsidR="00EF7A55" w:rsidRPr="00EF7A55" w:rsidRDefault="007F0BF7" w:rsidP="00067770">
      <w:pPr>
        <w:pStyle w:val="Bullet"/>
      </w:pPr>
      <w:r w:rsidRPr="00EF7A55">
        <w:t>Emergency Department</w:t>
      </w:r>
      <w:r w:rsidR="004D4D74">
        <w:t>s</w:t>
      </w:r>
      <w:r w:rsidRPr="00EF7A55">
        <w:t xml:space="preserve"> </w:t>
      </w:r>
    </w:p>
    <w:p w14:paraId="75F2246C" w14:textId="76BA90CD" w:rsidR="00EF7A55" w:rsidRPr="00EF7A55" w:rsidRDefault="007F0BF7" w:rsidP="004D4D74">
      <w:pPr>
        <w:pStyle w:val="Bullet"/>
      </w:pPr>
      <w:r w:rsidRPr="00EF7A55">
        <w:t xml:space="preserve">Gastroenterology </w:t>
      </w:r>
    </w:p>
    <w:p w14:paraId="4C524773" w14:textId="4F2AE31C" w:rsidR="00EF7A55" w:rsidRPr="00EF7A55" w:rsidRDefault="007F0BF7" w:rsidP="004D4D74">
      <w:pPr>
        <w:pStyle w:val="Bullet"/>
      </w:pPr>
      <w:r w:rsidRPr="00EF7A55">
        <w:t>General Medicine</w:t>
      </w:r>
    </w:p>
    <w:p w14:paraId="75EBA2AB" w14:textId="1E8E1898" w:rsidR="003254E1" w:rsidRPr="00BA236B" w:rsidRDefault="007F0BF7" w:rsidP="00067770">
      <w:pPr>
        <w:pStyle w:val="Bullet"/>
      </w:pPr>
      <w:r w:rsidRPr="00EF7A55">
        <w:t>Surgical teams managing ASUC</w:t>
      </w:r>
      <w:r w:rsidRPr="007F0BF7">
        <w:t>.</w:t>
      </w:r>
    </w:p>
    <w:p w14:paraId="6BCC686A" w14:textId="030557C1" w:rsidR="00CE669A" w:rsidRDefault="003254E1" w:rsidP="009C4BB7">
      <w:pPr>
        <w:pStyle w:val="BodyCopy"/>
        <w:spacing w:before="240"/>
      </w:pPr>
      <w:hyperlink w:anchor="_top" w:history="1">
        <w:r w:rsidRPr="00481A6C">
          <w:rPr>
            <w:rStyle w:val="Hyperlink"/>
            <w:iCs w:val="0"/>
          </w:rPr>
          <w:t>Back to Contents</w:t>
        </w:r>
      </w:hyperlink>
    </w:p>
    <w:p w14:paraId="1BCE9E46" w14:textId="6EA23C82" w:rsidR="0078367D" w:rsidRDefault="00883F42" w:rsidP="00197F2E">
      <w:pPr>
        <w:pStyle w:val="Heading4"/>
      </w:pPr>
      <w:bookmarkStart w:id="3" w:name="_Toc225770619"/>
      <w:r>
        <w:t xml:space="preserve">Section 1 - </w:t>
      </w:r>
      <w:r w:rsidR="007F0BF7">
        <w:t>Background and Definition</w:t>
      </w:r>
      <w:bookmarkEnd w:id="3"/>
    </w:p>
    <w:p w14:paraId="3563A4D2" w14:textId="5EF042AD" w:rsidR="007F0BF7" w:rsidRDefault="007F0BF7" w:rsidP="007F0BF7">
      <w:pPr>
        <w:pStyle w:val="BodyCopy"/>
      </w:pPr>
      <w:r>
        <w:t>Ulcerative colitis</w:t>
      </w:r>
      <w:r w:rsidR="00E53765">
        <w:t xml:space="preserve"> (UC)</w:t>
      </w:r>
      <w:r>
        <w:t xml:space="preserve"> is an inflammatory bowel disease (IBD) characterised by chronic inflammation of the large intestine</w:t>
      </w:r>
      <w:r w:rsidR="00E53765">
        <w:t>.</w:t>
      </w:r>
      <w:r>
        <w:rPr>
          <w:vertAlign w:val="superscript"/>
        </w:rPr>
        <w:t>1</w:t>
      </w:r>
      <w:r>
        <w:t xml:space="preserve"> Its pathophysiology is poorly understood, but it is thought to be a result of a dysregulated immune response to environmental, microbiota and immune factors. Australia has a high incidence of IBD with 30 per 100,000 people affected and a prevalence of 334 per 100,000 as per data from 2017 to 2019</w:t>
      </w:r>
      <w:r w:rsidR="00E53765">
        <w:t>.</w:t>
      </w:r>
      <w:r>
        <w:rPr>
          <w:vertAlign w:val="superscript"/>
        </w:rPr>
        <w:t>2</w:t>
      </w:r>
      <w:r>
        <w:t xml:space="preserve"> Patients with </w:t>
      </w:r>
      <w:r w:rsidR="00E53765">
        <w:t xml:space="preserve">UC </w:t>
      </w:r>
      <w:r>
        <w:t xml:space="preserve">have a 20% lifetime risk of presenting with </w:t>
      </w:r>
      <w:r w:rsidR="007C2773">
        <w:t>ASUC</w:t>
      </w:r>
      <w:r>
        <w:t>. ASUC is defined as per the modified Truelove and Witts criteria which includes the patient’s stool frequency, presence of blood in stool, their heart rate, temperature and</w:t>
      </w:r>
      <w:r w:rsidR="007C2773">
        <w:t xml:space="preserve"> </w:t>
      </w:r>
      <w:r w:rsidR="007C2773" w:rsidRPr="007C2773">
        <w:t>Erythrocyte Sedimentation Rate</w:t>
      </w:r>
      <w:r>
        <w:t xml:space="preserve"> </w:t>
      </w:r>
      <w:r w:rsidR="007C2773">
        <w:t>(</w:t>
      </w:r>
      <w:r>
        <w:t>ESR</w:t>
      </w:r>
      <w:r w:rsidR="007C2773">
        <w:t>)</w:t>
      </w:r>
      <w:r>
        <w:t xml:space="preserve"> value</w:t>
      </w:r>
      <w:r w:rsidR="00E53765">
        <w:t>.</w:t>
      </w:r>
      <w:r>
        <w:rPr>
          <w:vertAlign w:val="superscript"/>
        </w:rPr>
        <w:t>3</w:t>
      </w:r>
      <w:r w:rsidR="00E53765">
        <w:t xml:space="preserve"> </w:t>
      </w:r>
      <w:r>
        <w:t xml:space="preserve">ASUC is the first presentation in up to 15% of newly diagnosed </w:t>
      </w:r>
      <w:r w:rsidR="00E53765">
        <w:t>UC</w:t>
      </w:r>
      <w:r>
        <w:t xml:space="preserve"> patients.</w:t>
      </w:r>
      <w:r w:rsidR="007D4D8A">
        <w:t xml:space="preserve"> T</w:t>
      </w:r>
      <w:r>
        <w:t>his diagnosis should be considered in patients presenting to the emergency department with protracted bloody diarrhoea</w:t>
      </w:r>
      <w:r>
        <w:rPr>
          <w:vertAlign w:val="superscript"/>
        </w:rPr>
        <w:t>3</w:t>
      </w:r>
      <w:r>
        <w:t>. Even in an age of ever-increasing therapies for IBD, ASUC carries a significant risk of colectomy and mortality</w:t>
      </w:r>
      <w:r w:rsidR="00E53765">
        <w:t>.</w:t>
      </w:r>
      <w:r>
        <w:rPr>
          <w:vertAlign w:val="superscript"/>
        </w:rPr>
        <w:t>4</w:t>
      </w:r>
      <w:r w:rsidR="00E53765">
        <w:t xml:space="preserve"> </w:t>
      </w:r>
      <w:r>
        <w:t>The diagnosis of ASUC can be made if the patient does not have an infectious cause and has six or more bloody stools per day with systemic symptoms as in Table 1.</w:t>
      </w:r>
    </w:p>
    <w:p w14:paraId="6B1FD008" w14:textId="35AE86D6" w:rsidR="007C1851" w:rsidRPr="002156B1" w:rsidRDefault="007C1851" w:rsidP="00EF7A55">
      <w:pPr>
        <w:pStyle w:val="Tabletitle-numbered"/>
      </w:pPr>
      <w:r w:rsidRPr="002156B1">
        <w:rPr>
          <w:rStyle w:val="Bold"/>
          <w:b/>
          <w:bCs/>
        </w:rPr>
        <w:t xml:space="preserve"> M</w:t>
      </w:r>
      <w:r w:rsidRPr="002156B1">
        <w:t>odified Truelove and Witts Index</w:t>
      </w:r>
    </w:p>
    <w:tbl>
      <w:tblPr>
        <w:tblStyle w:val="TableGrid"/>
        <w:tblW w:w="9781" w:type="dxa"/>
        <w:tblInd w:w="-5" w:type="dxa"/>
        <w:tblLook w:val="04A0" w:firstRow="1" w:lastRow="0" w:firstColumn="1" w:lastColumn="0" w:noHBand="0" w:noVBand="1"/>
      </w:tblPr>
      <w:tblGrid>
        <w:gridCol w:w="4395"/>
        <w:gridCol w:w="1984"/>
        <w:gridCol w:w="1843"/>
        <w:gridCol w:w="1559"/>
      </w:tblGrid>
      <w:tr w:rsidR="00B70D11" w14:paraId="5F317E44" w14:textId="77777777" w:rsidTr="007C1851">
        <w:tc>
          <w:tcPr>
            <w:tcW w:w="4395" w:type="dxa"/>
          </w:tcPr>
          <w:p w14:paraId="3CBD42B4" w14:textId="5896DFD6" w:rsidR="008C0684" w:rsidRPr="008C0684" w:rsidRDefault="008C0684" w:rsidP="00B70D11">
            <w:pPr>
              <w:pStyle w:val="BodyCopy"/>
            </w:pPr>
          </w:p>
        </w:tc>
        <w:tc>
          <w:tcPr>
            <w:tcW w:w="1984" w:type="dxa"/>
          </w:tcPr>
          <w:p w14:paraId="43B4D060" w14:textId="77777777" w:rsidR="008C0684" w:rsidRPr="00B70D11" w:rsidRDefault="008C0684" w:rsidP="00B70D11">
            <w:pPr>
              <w:pStyle w:val="BodyCopy"/>
              <w:rPr>
                <w:b/>
                <w:bCs w:val="0"/>
              </w:rPr>
            </w:pPr>
            <w:r w:rsidRPr="00B70D11">
              <w:rPr>
                <w:b/>
                <w:bCs w:val="0"/>
              </w:rPr>
              <w:t>Mild</w:t>
            </w:r>
          </w:p>
        </w:tc>
        <w:tc>
          <w:tcPr>
            <w:tcW w:w="1843" w:type="dxa"/>
          </w:tcPr>
          <w:p w14:paraId="0AAADCAD" w14:textId="77777777" w:rsidR="008C0684" w:rsidRPr="00B70D11" w:rsidRDefault="008C0684" w:rsidP="00B70D11">
            <w:pPr>
              <w:pStyle w:val="BodyCopy"/>
              <w:rPr>
                <w:b/>
                <w:bCs w:val="0"/>
              </w:rPr>
            </w:pPr>
            <w:r w:rsidRPr="00B70D11">
              <w:rPr>
                <w:b/>
                <w:bCs w:val="0"/>
              </w:rPr>
              <w:t>Moderate</w:t>
            </w:r>
          </w:p>
        </w:tc>
        <w:tc>
          <w:tcPr>
            <w:tcW w:w="1559" w:type="dxa"/>
          </w:tcPr>
          <w:p w14:paraId="57E09E9B" w14:textId="77777777" w:rsidR="008C0684" w:rsidRPr="00B70D11" w:rsidRDefault="008C0684" w:rsidP="00B70D11">
            <w:pPr>
              <w:pStyle w:val="BodyCopy"/>
              <w:rPr>
                <w:b/>
                <w:bCs w:val="0"/>
              </w:rPr>
            </w:pPr>
            <w:r w:rsidRPr="00B70D11">
              <w:rPr>
                <w:b/>
                <w:bCs w:val="0"/>
              </w:rPr>
              <w:t>Severe</w:t>
            </w:r>
          </w:p>
        </w:tc>
      </w:tr>
      <w:tr w:rsidR="00B70D11" w14:paraId="0DAA520B" w14:textId="77777777" w:rsidTr="00B70D11">
        <w:trPr>
          <w:trHeight w:val="485"/>
        </w:trPr>
        <w:tc>
          <w:tcPr>
            <w:tcW w:w="4395" w:type="dxa"/>
          </w:tcPr>
          <w:p w14:paraId="08C5EE5E" w14:textId="77777777" w:rsidR="008C0684" w:rsidRPr="00B70D11" w:rsidRDefault="008C0684" w:rsidP="00B70D11">
            <w:pPr>
              <w:pStyle w:val="BodyCopy"/>
              <w:spacing w:line="240" w:lineRule="auto"/>
              <w:rPr>
                <w:b/>
                <w:bCs w:val="0"/>
              </w:rPr>
            </w:pPr>
            <w:r w:rsidRPr="00B70D11">
              <w:rPr>
                <w:b/>
                <w:bCs w:val="0"/>
              </w:rPr>
              <w:t>Stool frequency</w:t>
            </w:r>
          </w:p>
        </w:tc>
        <w:tc>
          <w:tcPr>
            <w:tcW w:w="1984" w:type="dxa"/>
          </w:tcPr>
          <w:p w14:paraId="2C5642B3" w14:textId="77777777" w:rsidR="008C0684" w:rsidRDefault="008C0684" w:rsidP="00B70D11">
            <w:pPr>
              <w:pStyle w:val="BodyCopy"/>
              <w:spacing w:line="240" w:lineRule="auto"/>
            </w:pPr>
            <w:r>
              <w:t>&lt;4</w:t>
            </w:r>
          </w:p>
        </w:tc>
        <w:tc>
          <w:tcPr>
            <w:tcW w:w="1843" w:type="dxa"/>
          </w:tcPr>
          <w:p w14:paraId="04498980" w14:textId="77777777" w:rsidR="008C0684" w:rsidRDefault="008C0684" w:rsidP="00B70D11">
            <w:pPr>
              <w:pStyle w:val="BodyCopy"/>
              <w:spacing w:line="240" w:lineRule="auto"/>
            </w:pPr>
            <w:r>
              <w:t>4-6</w:t>
            </w:r>
          </w:p>
        </w:tc>
        <w:tc>
          <w:tcPr>
            <w:tcW w:w="1559" w:type="dxa"/>
          </w:tcPr>
          <w:p w14:paraId="142C9705" w14:textId="77777777" w:rsidR="008C0684" w:rsidRPr="00660E58" w:rsidRDefault="008C0684" w:rsidP="00B70D11">
            <w:pPr>
              <w:pStyle w:val="BodyCopy"/>
              <w:spacing w:line="240" w:lineRule="auto"/>
            </w:pPr>
            <w:r>
              <w:rPr>
                <w:u w:val="single"/>
              </w:rPr>
              <w:t>&gt;</w:t>
            </w:r>
            <w:r>
              <w:t>6</w:t>
            </w:r>
          </w:p>
        </w:tc>
      </w:tr>
      <w:tr w:rsidR="00B70D11" w14:paraId="7B7895C2" w14:textId="77777777" w:rsidTr="007C1851">
        <w:tc>
          <w:tcPr>
            <w:tcW w:w="4395" w:type="dxa"/>
          </w:tcPr>
          <w:p w14:paraId="5A1A1E73" w14:textId="77777777" w:rsidR="008C0684" w:rsidRPr="00B70D11" w:rsidRDefault="008C0684" w:rsidP="00B70D11">
            <w:pPr>
              <w:pStyle w:val="BodyCopy"/>
              <w:spacing w:line="240" w:lineRule="auto"/>
              <w:rPr>
                <w:b/>
                <w:bCs w:val="0"/>
              </w:rPr>
            </w:pPr>
            <w:r w:rsidRPr="00B70D11">
              <w:rPr>
                <w:b/>
                <w:bCs w:val="0"/>
              </w:rPr>
              <w:t>Blood in stool</w:t>
            </w:r>
          </w:p>
        </w:tc>
        <w:tc>
          <w:tcPr>
            <w:tcW w:w="1984" w:type="dxa"/>
          </w:tcPr>
          <w:p w14:paraId="370F134B" w14:textId="77777777" w:rsidR="008C0684" w:rsidRDefault="008C0684" w:rsidP="00B70D11">
            <w:pPr>
              <w:pStyle w:val="BodyCopy"/>
              <w:spacing w:line="240" w:lineRule="auto"/>
            </w:pPr>
            <w:r>
              <w:t>Nil or minimal</w:t>
            </w:r>
          </w:p>
        </w:tc>
        <w:tc>
          <w:tcPr>
            <w:tcW w:w="1843" w:type="dxa"/>
          </w:tcPr>
          <w:p w14:paraId="58640534" w14:textId="77777777" w:rsidR="008C0684" w:rsidRDefault="008C0684" w:rsidP="00B70D11">
            <w:pPr>
              <w:pStyle w:val="BodyCopy"/>
              <w:spacing w:line="240" w:lineRule="auto"/>
            </w:pPr>
            <w:r>
              <w:t>Moderate</w:t>
            </w:r>
          </w:p>
        </w:tc>
        <w:tc>
          <w:tcPr>
            <w:tcW w:w="1559" w:type="dxa"/>
          </w:tcPr>
          <w:p w14:paraId="10287762" w14:textId="77777777" w:rsidR="008C0684" w:rsidRDefault="008C0684" w:rsidP="00B70D11">
            <w:pPr>
              <w:pStyle w:val="BodyCopy"/>
              <w:spacing w:line="240" w:lineRule="auto"/>
            </w:pPr>
            <w:r>
              <w:t>Large</w:t>
            </w:r>
          </w:p>
        </w:tc>
      </w:tr>
      <w:tr w:rsidR="00B70D11" w14:paraId="64AA4B1B" w14:textId="77777777" w:rsidTr="007C1851">
        <w:tc>
          <w:tcPr>
            <w:tcW w:w="4395" w:type="dxa"/>
          </w:tcPr>
          <w:p w14:paraId="5C16254B" w14:textId="77777777" w:rsidR="008C0684" w:rsidRPr="00B70D11" w:rsidRDefault="008C0684" w:rsidP="00B70D11">
            <w:pPr>
              <w:pStyle w:val="BodyCopy"/>
              <w:spacing w:line="240" w:lineRule="auto"/>
              <w:rPr>
                <w:b/>
                <w:bCs w:val="0"/>
              </w:rPr>
            </w:pPr>
            <w:r w:rsidRPr="00B70D11">
              <w:rPr>
                <w:b/>
                <w:bCs w:val="0"/>
              </w:rPr>
              <w:t>Heart rate &gt;90 beats per minute</w:t>
            </w:r>
          </w:p>
        </w:tc>
        <w:tc>
          <w:tcPr>
            <w:tcW w:w="1984" w:type="dxa"/>
          </w:tcPr>
          <w:p w14:paraId="58A184C9" w14:textId="77777777" w:rsidR="008C0684" w:rsidRDefault="008C0684" w:rsidP="00B70D11">
            <w:pPr>
              <w:pStyle w:val="BodyCopy"/>
              <w:spacing w:line="240" w:lineRule="auto"/>
            </w:pPr>
            <w:r>
              <w:t>No</w:t>
            </w:r>
          </w:p>
        </w:tc>
        <w:tc>
          <w:tcPr>
            <w:tcW w:w="1843" w:type="dxa"/>
          </w:tcPr>
          <w:p w14:paraId="47700B5B" w14:textId="77777777" w:rsidR="008C0684" w:rsidRDefault="008C0684" w:rsidP="00B70D11">
            <w:pPr>
              <w:pStyle w:val="BodyCopy"/>
              <w:spacing w:line="240" w:lineRule="auto"/>
            </w:pPr>
            <w:r>
              <w:t>No</w:t>
            </w:r>
          </w:p>
        </w:tc>
        <w:tc>
          <w:tcPr>
            <w:tcW w:w="1559" w:type="dxa"/>
          </w:tcPr>
          <w:p w14:paraId="307070F6" w14:textId="77777777" w:rsidR="008C0684" w:rsidRDefault="008C0684" w:rsidP="00B70D11">
            <w:pPr>
              <w:pStyle w:val="BodyCopy"/>
              <w:spacing w:line="240" w:lineRule="auto"/>
            </w:pPr>
            <w:r>
              <w:t>Yes</w:t>
            </w:r>
          </w:p>
        </w:tc>
      </w:tr>
      <w:tr w:rsidR="00B70D11" w14:paraId="1CAF3EF1" w14:textId="77777777" w:rsidTr="007C1851">
        <w:tc>
          <w:tcPr>
            <w:tcW w:w="4395" w:type="dxa"/>
          </w:tcPr>
          <w:p w14:paraId="74103E6C" w14:textId="208AB4AE" w:rsidR="008C0684" w:rsidRPr="00B70D11" w:rsidRDefault="008C0684" w:rsidP="00B70D11">
            <w:pPr>
              <w:pStyle w:val="BodyCopy"/>
              <w:spacing w:line="240" w:lineRule="auto"/>
              <w:rPr>
                <w:b/>
                <w:bCs w:val="0"/>
              </w:rPr>
            </w:pPr>
            <w:r w:rsidRPr="00B70D11">
              <w:rPr>
                <w:b/>
                <w:bCs w:val="0"/>
              </w:rPr>
              <w:lastRenderedPageBreak/>
              <w:t xml:space="preserve">Temperature </w:t>
            </w:r>
            <w:r w:rsidRPr="00B70D11">
              <w:rPr>
                <w:b/>
                <w:bCs w:val="0"/>
                <w:u w:val="single"/>
              </w:rPr>
              <w:t>&gt;</w:t>
            </w:r>
            <w:r w:rsidRPr="00B70D11">
              <w:rPr>
                <w:b/>
                <w:bCs w:val="0"/>
              </w:rPr>
              <w:t xml:space="preserve">37.8 degrees </w:t>
            </w:r>
            <w:r w:rsidR="00D100C5" w:rsidRPr="00B70D11">
              <w:rPr>
                <w:b/>
                <w:bCs w:val="0"/>
              </w:rPr>
              <w:t>Celsius</w:t>
            </w:r>
          </w:p>
        </w:tc>
        <w:tc>
          <w:tcPr>
            <w:tcW w:w="1984" w:type="dxa"/>
          </w:tcPr>
          <w:p w14:paraId="2E37997D" w14:textId="77777777" w:rsidR="008C0684" w:rsidRDefault="008C0684" w:rsidP="00B70D11">
            <w:pPr>
              <w:pStyle w:val="BodyCopy"/>
              <w:spacing w:line="240" w:lineRule="auto"/>
            </w:pPr>
            <w:r>
              <w:t>No</w:t>
            </w:r>
          </w:p>
        </w:tc>
        <w:tc>
          <w:tcPr>
            <w:tcW w:w="1843" w:type="dxa"/>
          </w:tcPr>
          <w:p w14:paraId="26082BC0" w14:textId="77777777" w:rsidR="008C0684" w:rsidRDefault="008C0684" w:rsidP="00B70D11">
            <w:pPr>
              <w:pStyle w:val="BodyCopy"/>
              <w:spacing w:line="240" w:lineRule="auto"/>
            </w:pPr>
            <w:r>
              <w:t>No</w:t>
            </w:r>
          </w:p>
        </w:tc>
        <w:tc>
          <w:tcPr>
            <w:tcW w:w="1559" w:type="dxa"/>
          </w:tcPr>
          <w:p w14:paraId="22832856" w14:textId="77777777" w:rsidR="008C0684" w:rsidRDefault="008C0684" w:rsidP="00B70D11">
            <w:pPr>
              <w:pStyle w:val="BodyCopy"/>
              <w:spacing w:line="240" w:lineRule="auto"/>
            </w:pPr>
            <w:r>
              <w:t>Yes</w:t>
            </w:r>
          </w:p>
        </w:tc>
      </w:tr>
      <w:tr w:rsidR="00B70D11" w14:paraId="3ADEE71E" w14:textId="77777777" w:rsidTr="007C1851">
        <w:tc>
          <w:tcPr>
            <w:tcW w:w="4395" w:type="dxa"/>
          </w:tcPr>
          <w:p w14:paraId="0A0E52E9" w14:textId="77777777" w:rsidR="008C0684" w:rsidRPr="00B70D11" w:rsidRDefault="008C0684" w:rsidP="00B70D11">
            <w:pPr>
              <w:pStyle w:val="BodyCopy"/>
              <w:spacing w:line="240" w:lineRule="auto"/>
              <w:rPr>
                <w:b/>
                <w:bCs w:val="0"/>
              </w:rPr>
            </w:pPr>
            <w:proofErr w:type="spellStart"/>
            <w:r w:rsidRPr="00B70D11">
              <w:rPr>
                <w:b/>
                <w:bCs w:val="0"/>
              </w:rPr>
              <w:t>Haemoglobin</w:t>
            </w:r>
            <w:proofErr w:type="spellEnd"/>
            <w:r w:rsidRPr="00B70D11">
              <w:rPr>
                <w:b/>
                <w:bCs w:val="0"/>
              </w:rPr>
              <w:t xml:space="preserve"> &lt;105g/L</w:t>
            </w:r>
          </w:p>
        </w:tc>
        <w:tc>
          <w:tcPr>
            <w:tcW w:w="1984" w:type="dxa"/>
          </w:tcPr>
          <w:p w14:paraId="628F6053" w14:textId="77777777" w:rsidR="008C0684" w:rsidRDefault="008C0684" w:rsidP="00B70D11">
            <w:pPr>
              <w:pStyle w:val="BodyCopy"/>
              <w:spacing w:line="240" w:lineRule="auto"/>
            </w:pPr>
            <w:r>
              <w:t>No</w:t>
            </w:r>
          </w:p>
        </w:tc>
        <w:tc>
          <w:tcPr>
            <w:tcW w:w="1843" w:type="dxa"/>
          </w:tcPr>
          <w:p w14:paraId="316F4C62" w14:textId="77777777" w:rsidR="008C0684" w:rsidRDefault="008C0684" w:rsidP="00B70D11">
            <w:pPr>
              <w:pStyle w:val="BodyCopy"/>
              <w:spacing w:line="240" w:lineRule="auto"/>
            </w:pPr>
            <w:r>
              <w:t>No</w:t>
            </w:r>
          </w:p>
        </w:tc>
        <w:tc>
          <w:tcPr>
            <w:tcW w:w="1559" w:type="dxa"/>
          </w:tcPr>
          <w:p w14:paraId="15D22B96" w14:textId="77777777" w:rsidR="008C0684" w:rsidRDefault="008C0684" w:rsidP="00B70D11">
            <w:pPr>
              <w:pStyle w:val="BodyCopy"/>
              <w:spacing w:line="240" w:lineRule="auto"/>
            </w:pPr>
            <w:r>
              <w:t>Yes</w:t>
            </w:r>
          </w:p>
        </w:tc>
      </w:tr>
      <w:tr w:rsidR="00B70D11" w14:paraId="781F0CF1" w14:textId="77777777" w:rsidTr="007C1851">
        <w:tc>
          <w:tcPr>
            <w:tcW w:w="4395" w:type="dxa"/>
          </w:tcPr>
          <w:p w14:paraId="14554AA2" w14:textId="4FBC9E0E" w:rsidR="008C0684" w:rsidRPr="00B70D11" w:rsidRDefault="008C0684" w:rsidP="00B70D11">
            <w:pPr>
              <w:pStyle w:val="BodyCopy"/>
              <w:spacing w:line="240" w:lineRule="auto"/>
              <w:rPr>
                <w:b/>
                <w:bCs w:val="0"/>
              </w:rPr>
            </w:pPr>
            <w:r w:rsidRPr="00B70D11">
              <w:rPr>
                <w:b/>
                <w:bCs w:val="0"/>
              </w:rPr>
              <w:t>ESR &gt;30mm/</w:t>
            </w:r>
            <w:proofErr w:type="spellStart"/>
            <w:r w:rsidRPr="00B70D11">
              <w:rPr>
                <w:b/>
                <w:bCs w:val="0"/>
              </w:rPr>
              <w:t>hr</w:t>
            </w:r>
            <w:proofErr w:type="spellEnd"/>
            <w:r w:rsidR="00715E2F">
              <w:rPr>
                <w:b/>
                <w:bCs w:val="0"/>
              </w:rPr>
              <w:t xml:space="preserve"> or </w:t>
            </w:r>
            <w:r w:rsidR="007C2773" w:rsidRPr="007C2773">
              <w:rPr>
                <w:b/>
                <w:bCs w:val="0"/>
              </w:rPr>
              <w:t xml:space="preserve">C-Reactive Protein </w:t>
            </w:r>
            <w:r w:rsidR="007C2773">
              <w:rPr>
                <w:b/>
                <w:bCs w:val="0"/>
              </w:rPr>
              <w:t>(</w:t>
            </w:r>
            <w:r w:rsidR="00715E2F">
              <w:rPr>
                <w:b/>
                <w:bCs w:val="0"/>
              </w:rPr>
              <w:t>CRP</w:t>
            </w:r>
            <w:r w:rsidR="007C2773">
              <w:rPr>
                <w:b/>
                <w:bCs w:val="0"/>
              </w:rPr>
              <w:t>)</w:t>
            </w:r>
            <w:r w:rsidR="00715E2F">
              <w:rPr>
                <w:b/>
                <w:bCs w:val="0"/>
              </w:rPr>
              <w:t xml:space="preserve"> &gt;30mg/L</w:t>
            </w:r>
          </w:p>
        </w:tc>
        <w:tc>
          <w:tcPr>
            <w:tcW w:w="1984" w:type="dxa"/>
          </w:tcPr>
          <w:p w14:paraId="271CEF70" w14:textId="77777777" w:rsidR="008C0684" w:rsidRDefault="008C0684" w:rsidP="00B70D11">
            <w:pPr>
              <w:pStyle w:val="BodyCopy"/>
              <w:spacing w:line="240" w:lineRule="auto"/>
            </w:pPr>
            <w:r>
              <w:t>No</w:t>
            </w:r>
          </w:p>
        </w:tc>
        <w:tc>
          <w:tcPr>
            <w:tcW w:w="1843" w:type="dxa"/>
          </w:tcPr>
          <w:p w14:paraId="1C1A5336" w14:textId="77777777" w:rsidR="008C0684" w:rsidRDefault="008C0684" w:rsidP="00B70D11">
            <w:pPr>
              <w:pStyle w:val="BodyCopy"/>
              <w:spacing w:line="240" w:lineRule="auto"/>
            </w:pPr>
            <w:r>
              <w:t>No</w:t>
            </w:r>
          </w:p>
        </w:tc>
        <w:tc>
          <w:tcPr>
            <w:tcW w:w="1559" w:type="dxa"/>
          </w:tcPr>
          <w:p w14:paraId="38F708F2" w14:textId="77777777" w:rsidR="008C0684" w:rsidRDefault="008C0684" w:rsidP="00B70D11">
            <w:pPr>
              <w:pStyle w:val="BodyCopy"/>
              <w:spacing w:line="240" w:lineRule="auto"/>
            </w:pPr>
            <w:r>
              <w:t>Yes</w:t>
            </w:r>
          </w:p>
        </w:tc>
      </w:tr>
    </w:tbl>
    <w:p w14:paraId="7EF06ABD" w14:textId="77777777" w:rsidR="00AB5677" w:rsidRPr="000B45BF" w:rsidRDefault="00AB5677" w:rsidP="00AB5677">
      <w:pPr>
        <w:pStyle w:val="Bullet"/>
        <w:pBdr>
          <w:top w:val="single" w:sz="4" w:space="1" w:color="auto"/>
          <w:left w:val="single" w:sz="4" w:space="4" w:color="auto"/>
          <w:bottom w:val="single" w:sz="4" w:space="1" w:color="auto"/>
          <w:right w:val="single" w:sz="4" w:space="0" w:color="auto"/>
        </w:pBdr>
      </w:pPr>
      <w:r w:rsidRPr="000B45BF">
        <w:t xml:space="preserve">Diagnosis is mild </w:t>
      </w:r>
      <w:r>
        <w:t xml:space="preserve">if </w:t>
      </w:r>
      <w:r w:rsidRPr="000B45BF">
        <w:t xml:space="preserve">all six </w:t>
      </w:r>
      <w:r>
        <w:t xml:space="preserve">mild </w:t>
      </w:r>
      <w:r w:rsidRPr="000B45BF">
        <w:t>criteria are satisfied.</w:t>
      </w:r>
    </w:p>
    <w:p w14:paraId="683BE3EC" w14:textId="77777777" w:rsidR="00AB5677" w:rsidRPr="000B45BF" w:rsidRDefault="00AB5677" w:rsidP="00AB5677">
      <w:pPr>
        <w:pStyle w:val="Bullet"/>
        <w:pBdr>
          <w:top w:val="single" w:sz="4" w:space="1" w:color="auto"/>
          <w:left w:val="single" w:sz="4" w:space="4" w:color="auto"/>
          <w:bottom w:val="single" w:sz="4" w:space="1" w:color="auto"/>
          <w:right w:val="single" w:sz="4" w:space="0" w:color="auto"/>
        </w:pBdr>
      </w:pPr>
      <w:r w:rsidRPr="000B45BF">
        <w:t xml:space="preserve">Diagnosis is severe </w:t>
      </w:r>
      <w:r>
        <w:t xml:space="preserve">if </w:t>
      </w:r>
      <w:r w:rsidRPr="000B45BF">
        <w:t xml:space="preserve">criteria for frequency of bowel movement and </w:t>
      </w:r>
      <w:r>
        <w:t>one or more other</w:t>
      </w:r>
      <w:r w:rsidRPr="000B45BF">
        <w:t xml:space="preserve"> </w:t>
      </w:r>
      <w:r>
        <w:t xml:space="preserve">severe </w:t>
      </w:r>
      <w:r w:rsidRPr="000B45BF">
        <w:t>feature</w:t>
      </w:r>
      <w:r>
        <w:t>(s) are present</w:t>
      </w:r>
    </w:p>
    <w:p w14:paraId="576047D9" w14:textId="5CA3B9F6" w:rsidR="00AB5677" w:rsidRDefault="00AB5677" w:rsidP="00AB5677">
      <w:pPr>
        <w:pStyle w:val="Bullet"/>
        <w:pBdr>
          <w:top w:val="single" w:sz="4" w:space="1" w:color="auto"/>
          <w:left w:val="single" w:sz="4" w:space="4" w:color="auto"/>
          <w:bottom w:val="single" w:sz="4" w:space="1" w:color="auto"/>
          <w:right w:val="single" w:sz="4" w:space="0" w:color="auto"/>
        </w:pBdr>
      </w:pPr>
      <w:r w:rsidRPr="000B45BF">
        <w:t>Diagnosis is moderate when variables fall between these criteria.</w:t>
      </w:r>
    </w:p>
    <w:p w14:paraId="730046CA" w14:textId="23B13E5A" w:rsidR="000065FA" w:rsidRDefault="000065FA" w:rsidP="005C5F49">
      <w:pPr>
        <w:pStyle w:val="BodyCopy"/>
        <w:spacing w:before="240"/>
      </w:pPr>
      <w:r w:rsidRPr="000065FA">
        <w:t>Hospital admission is essential for all patients meeting ASUC criteria, and they should be under the care of a gastroenterology team</w:t>
      </w:r>
      <w:r w:rsidR="00F75AA5">
        <w:t>, they should not be admitted to AMU</w:t>
      </w:r>
      <w:r w:rsidRPr="000065FA">
        <w:t>. At North Canberra Hospital these patients can be admitted under a General Medical team with daily Gastroenterology consultation. Optimal management of ASUC patients includes a multidisciplinary team approach involving a gastroenterologist specialising in IBD, a colorectal surgeon, dietitians and pharmacist.</w:t>
      </w:r>
    </w:p>
    <w:p w14:paraId="4CD58DC0" w14:textId="75B67054" w:rsidR="00481A6C" w:rsidRPr="00481A6C" w:rsidRDefault="00481A6C" w:rsidP="005C5F49">
      <w:pPr>
        <w:pStyle w:val="BodyCopy"/>
        <w:spacing w:before="240"/>
      </w:pPr>
      <w:hyperlink w:anchor="_top" w:history="1">
        <w:r w:rsidRPr="00481A6C">
          <w:rPr>
            <w:rStyle w:val="Hyperlink"/>
            <w:iCs w:val="0"/>
          </w:rPr>
          <w:t>Back to Contents</w:t>
        </w:r>
      </w:hyperlink>
    </w:p>
    <w:p w14:paraId="37ABEB3F" w14:textId="4E044805" w:rsidR="0078367D" w:rsidRPr="00B307E1" w:rsidRDefault="00883F42" w:rsidP="00A6051F">
      <w:pPr>
        <w:pStyle w:val="Heading4"/>
        <w:rPr>
          <w:vertAlign w:val="superscript"/>
        </w:rPr>
      </w:pPr>
      <w:bookmarkStart w:id="4" w:name="_Toc225770620"/>
      <w:r>
        <w:t>Section 2</w:t>
      </w:r>
      <w:r w:rsidR="00E10712">
        <w:t xml:space="preserve"> </w:t>
      </w:r>
      <w:r>
        <w:t xml:space="preserve">- </w:t>
      </w:r>
      <w:r w:rsidR="00B307E1">
        <w:t>Initial Patient Assessment (Emergency Department)</w:t>
      </w:r>
      <w:bookmarkEnd w:id="4"/>
      <w:r w:rsidR="00067770" w:rsidRPr="00B307E1">
        <w:rPr>
          <w:vertAlign w:val="superscript"/>
        </w:rPr>
        <w:t xml:space="preserve"> </w:t>
      </w:r>
    </w:p>
    <w:p w14:paraId="2090410A" w14:textId="154BCB06" w:rsidR="00367B10" w:rsidRDefault="00367B10" w:rsidP="002156B1">
      <w:pPr>
        <w:pStyle w:val="Heading5"/>
        <w:rPr>
          <w:vertAlign w:val="superscript"/>
        </w:rPr>
      </w:pPr>
      <w:r w:rsidRPr="002156B1">
        <w:t>History</w:t>
      </w:r>
      <w:r w:rsidR="00067770">
        <w:rPr>
          <w:vertAlign w:val="superscript"/>
        </w:rPr>
        <w:t>5</w:t>
      </w:r>
    </w:p>
    <w:p w14:paraId="5414402D" w14:textId="03161273" w:rsidR="00F75AA5" w:rsidRPr="00F75AA5" w:rsidRDefault="00F75AA5" w:rsidP="00F75AA5">
      <w:pPr>
        <w:pStyle w:val="BodyCopy"/>
      </w:pPr>
      <w:r w:rsidRPr="00F75AA5">
        <w:t>Key features to illicit on history include:</w:t>
      </w:r>
    </w:p>
    <w:p w14:paraId="5CA80F05" w14:textId="4B90D1CB" w:rsidR="00367B10" w:rsidRDefault="45B7C16E" w:rsidP="00E10712">
      <w:pPr>
        <w:pStyle w:val="Bullet"/>
      </w:pPr>
      <w:r>
        <w:t>A</w:t>
      </w:r>
      <w:r w:rsidR="00A64D28">
        <w:t xml:space="preserve"> history</w:t>
      </w:r>
      <w:r w:rsidR="00367B10">
        <w:t xml:space="preserve"> of </w:t>
      </w:r>
      <w:r w:rsidR="00E53765">
        <w:t>UC</w:t>
      </w:r>
      <w:r w:rsidR="00A64D28">
        <w:t xml:space="preserve"> </w:t>
      </w:r>
      <w:r w:rsidR="00367B10">
        <w:t xml:space="preserve">- </w:t>
      </w:r>
      <w:r w:rsidR="00E10712">
        <w:t>i</w:t>
      </w:r>
      <w:r w:rsidR="00367B10">
        <w:t>f not present, consider this to be a first presentation</w:t>
      </w:r>
    </w:p>
    <w:p w14:paraId="36552D06" w14:textId="56A5036A" w:rsidR="00367B10" w:rsidRDefault="39C3D07B" w:rsidP="00E10712">
      <w:pPr>
        <w:pStyle w:val="Bullet"/>
      </w:pPr>
      <w:r>
        <w:t>C</w:t>
      </w:r>
      <w:r w:rsidR="00367B10">
        <w:t xml:space="preserve">urrent management regimen </w:t>
      </w:r>
      <w:r w:rsidR="00A64D28">
        <w:t>-</w:t>
      </w:r>
      <w:r w:rsidR="00367B10">
        <w:t xml:space="preserve"> medications and adherence</w:t>
      </w:r>
    </w:p>
    <w:p w14:paraId="7CAD22D5" w14:textId="2DA287E4" w:rsidR="00367B10" w:rsidRDefault="7AEBF166" w:rsidP="00E10712">
      <w:pPr>
        <w:pStyle w:val="Bullet"/>
      </w:pPr>
      <w:r>
        <w:t>N</w:t>
      </w:r>
      <w:r w:rsidR="00367B10">
        <w:t>umber of bowel actions per day at presentation and at baseline</w:t>
      </w:r>
    </w:p>
    <w:p w14:paraId="191E358D" w14:textId="1E32C3A3" w:rsidR="00367B10" w:rsidRDefault="4225919A" w:rsidP="00E10712">
      <w:pPr>
        <w:pStyle w:val="Bullet"/>
      </w:pPr>
      <w:r>
        <w:t>H</w:t>
      </w:r>
      <w:r w:rsidR="00367B10">
        <w:t xml:space="preserve">ow many of the bowel actions have blood in it </w:t>
      </w:r>
    </w:p>
    <w:p w14:paraId="36F9128D" w14:textId="55E614EA" w:rsidR="00367B10" w:rsidRDefault="79A134A6" w:rsidP="00E10712">
      <w:pPr>
        <w:pStyle w:val="Bullet"/>
      </w:pPr>
      <w:r>
        <w:t>P</w:t>
      </w:r>
      <w:r w:rsidR="00367B10">
        <w:t>resence of nocturnal diarrhoea</w:t>
      </w:r>
    </w:p>
    <w:p w14:paraId="0C498B22" w14:textId="6CC4836A" w:rsidR="00367B10" w:rsidRDefault="00367B10" w:rsidP="00E10712">
      <w:pPr>
        <w:pStyle w:val="Bullet"/>
      </w:pPr>
      <w:r>
        <w:t xml:space="preserve"> </w:t>
      </w:r>
      <w:r w:rsidR="602020E9">
        <w:t xml:space="preserve">Presence of </w:t>
      </w:r>
      <w:r>
        <w:t>abdominal pain, and consideration of possible toxic megacolon</w:t>
      </w:r>
    </w:p>
    <w:p w14:paraId="7C6B5E01" w14:textId="254701B5" w:rsidR="00367B10" w:rsidRDefault="44AE6EF6" w:rsidP="00E10712">
      <w:pPr>
        <w:pStyle w:val="Bullet"/>
      </w:pPr>
      <w:r>
        <w:t>Is</w:t>
      </w:r>
      <w:r w:rsidR="00367B10">
        <w:t xml:space="preserve"> the patient </w:t>
      </w:r>
      <w:r w:rsidR="7E5F8447">
        <w:t>experiencing</w:t>
      </w:r>
      <w:r w:rsidR="00367B10">
        <w:t xml:space="preserve"> nausea suggestive of potential bowel obstruction </w:t>
      </w:r>
    </w:p>
    <w:p w14:paraId="3E025795" w14:textId="4D7E856E" w:rsidR="00367B10" w:rsidRDefault="17080592" w:rsidP="00E10712">
      <w:pPr>
        <w:pStyle w:val="Bullet"/>
      </w:pPr>
      <w:r>
        <w:t xml:space="preserve">History of patient </w:t>
      </w:r>
      <w:r w:rsidR="00E53765">
        <w:t>c</w:t>
      </w:r>
      <w:r w:rsidR="00367B10">
        <w:t xml:space="preserve">ontacts and </w:t>
      </w:r>
      <w:r w:rsidR="18868441">
        <w:t xml:space="preserve">recent </w:t>
      </w:r>
      <w:r w:rsidR="00367B10">
        <w:t>travel</w:t>
      </w:r>
      <w:r w:rsidR="36259083">
        <w:t xml:space="preserve"> exposures.</w:t>
      </w:r>
    </w:p>
    <w:p w14:paraId="7AE6B57C" w14:textId="6928511E" w:rsidR="00367B10" w:rsidRDefault="36259083" w:rsidP="00E10712">
      <w:pPr>
        <w:pStyle w:val="Bullet"/>
      </w:pPr>
      <w:r>
        <w:t>R</w:t>
      </w:r>
      <w:r w:rsidR="00367B10">
        <w:t>ecent use of antibiotics</w:t>
      </w:r>
      <w:r w:rsidR="007C2773">
        <w:t>.</w:t>
      </w:r>
    </w:p>
    <w:p w14:paraId="7FCD4563" w14:textId="77777777" w:rsidR="00367B10" w:rsidRDefault="00367B10" w:rsidP="002156B1">
      <w:pPr>
        <w:pStyle w:val="Heading5"/>
      </w:pPr>
      <w:r>
        <w:t>Examination</w:t>
      </w:r>
    </w:p>
    <w:p w14:paraId="00EBE42D" w14:textId="00CE870B" w:rsidR="00367B10" w:rsidRDefault="00367B10" w:rsidP="00E10712">
      <w:pPr>
        <w:pStyle w:val="Bullet"/>
      </w:pPr>
      <w:r>
        <w:t xml:space="preserve">Vital signs </w:t>
      </w:r>
    </w:p>
    <w:p w14:paraId="4DCF20E1" w14:textId="08AB2CBD" w:rsidR="00367B10" w:rsidRDefault="00367B10" w:rsidP="00E10712">
      <w:pPr>
        <w:pStyle w:val="Bullet"/>
      </w:pPr>
      <w:r>
        <w:t xml:space="preserve">Abdominal exam: presence of abdominal distension, guarding, peritonism, bowel sounds </w:t>
      </w:r>
    </w:p>
    <w:p w14:paraId="1E2D44C3" w14:textId="29E00C2E" w:rsidR="00367B10" w:rsidRDefault="00367B10" w:rsidP="00E10712">
      <w:pPr>
        <w:pStyle w:val="Bullet"/>
      </w:pPr>
      <w:r>
        <w:t>Per rectal examination: blood on examining glove</w:t>
      </w:r>
    </w:p>
    <w:p w14:paraId="49B3AB54" w14:textId="20D9636F" w:rsidR="00367B10" w:rsidRDefault="00367B10" w:rsidP="00E10712">
      <w:pPr>
        <w:pStyle w:val="Bullet"/>
      </w:pPr>
      <w:r>
        <w:t>A weight is essential as sequential therapies are weight based</w:t>
      </w:r>
      <w:r w:rsidR="007C2773">
        <w:t>.</w:t>
      </w:r>
    </w:p>
    <w:p w14:paraId="0CC0A217" w14:textId="77777777" w:rsidR="00367B10" w:rsidRDefault="00367B10" w:rsidP="002156B1">
      <w:pPr>
        <w:pStyle w:val="Heading5"/>
      </w:pPr>
      <w:r>
        <w:lastRenderedPageBreak/>
        <w:t>Blood tests</w:t>
      </w:r>
    </w:p>
    <w:p w14:paraId="55170766" w14:textId="08FF31A8" w:rsidR="00367B10" w:rsidRDefault="00367B10" w:rsidP="00E10712">
      <w:pPr>
        <w:pStyle w:val="Bullet"/>
      </w:pPr>
      <w:r>
        <w:t xml:space="preserve">Full blood count </w:t>
      </w:r>
      <w:r w:rsidR="005B329A">
        <w:t>(FBC)</w:t>
      </w:r>
    </w:p>
    <w:p w14:paraId="6F83B2FC" w14:textId="6CC90A46" w:rsidR="00367B10" w:rsidRDefault="005B329A" w:rsidP="00E10712">
      <w:pPr>
        <w:pStyle w:val="Bullet"/>
      </w:pPr>
      <w:r>
        <w:t>Urea, electrolytes and creatinine (</w:t>
      </w:r>
      <w:r w:rsidR="00367B10">
        <w:t>UEC</w:t>
      </w:r>
      <w:r>
        <w:t>)</w:t>
      </w:r>
    </w:p>
    <w:p w14:paraId="2A767312" w14:textId="16CE2EDD" w:rsidR="00367B10" w:rsidRDefault="00367B10" w:rsidP="00E10712">
      <w:pPr>
        <w:pStyle w:val="Bullet"/>
      </w:pPr>
      <w:r>
        <w:t>CRP</w:t>
      </w:r>
    </w:p>
    <w:p w14:paraId="1D294764" w14:textId="4DF19C9C" w:rsidR="00367B10" w:rsidRDefault="00367B10" w:rsidP="00E10712">
      <w:pPr>
        <w:pStyle w:val="Bullet"/>
      </w:pPr>
      <w:r>
        <w:t>Liver function test</w:t>
      </w:r>
      <w:r w:rsidR="005B329A">
        <w:t xml:space="preserve"> (LFT)</w:t>
      </w:r>
    </w:p>
    <w:p w14:paraId="53A4969A" w14:textId="39FAB205" w:rsidR="00367B10" w:rsidRDefault="00367B10" w:rsidP="00E10712">
      <w:pPr>
        <w:pStyle w:val="Bullet"/>
      </w:pPr>
      <w:r>
        <w:t>Calcium, magnesium, phosphate</w:t>
      </w:r>
    </w:p>
    <w:p w14:paraId="6C327287" w14:textId="62F0F395" w:rsidR="00367B10" w:rsidRDefault="00367B10" w:rsidP="00E10712">
      <w:pPr>
        <w:pStyle w:val="Bullet"/>
      </w:pPr>
      <w:r>
        <w:t>Group and hold</w:t>
      </w:r>
      <w:r w:rsidR="007C2773">
        <w:t>.</w:t>
      </w:r>
    </w:p>
    <w:p w14:paraId="6660840D" w14:textId="77777777" w:rsidR="00367B10" w:rsidRDefault="00367B10" w:rsidP="002156B1">
      <w:pPr>
        <w:pStyle w:val="Heading5"/>
      </w:pPr>
      <w:r>
        <w:t>Stool tests</w:t>
      </w:r>
    </w:p>
    <w:p w14:paraId="1FB6CCDA" w14:textId="5A88AD22" w:rsidR="00367B10" w:rsidRDefault="00367B10" w:rsidP="00E10712">
      <w:pPr>
        <w:pStyle w:val="Bullet"/>
      </w:pPr>
      <w:r>
        <w:t>Stool microscopy, culture and sensitivity</w:t>
      </w:r>
    </w:p>
    <w:p w14:paraId="42DD90C6" w14:textId="4866E737" w:rsidR="00367B10" w:rsidRDefault="00367B10" w:rsidP="00E10712">
      <w:pPr>
        <w:pStyle w:val="Bullet"/>
      </w:pPr>
      <w:r>
        <w:t>Faecal bacterial and viral PCR multiplex</w:t>
      </w:r>
    </w:p>
    <w:p w14:paraId="4907E401" w14:textId="20EB5635" w:rsidR="00367B10" w:rsidRDefault="00367B10" w:rsidP="00E10712">
      <w:pPr>
        <w:pStyle w:val="Bullet"/>
      </w:pPr>
      <w:proofErr w:type="spellStart"/>
      <w:r w:rsidRPr="00067770">
        <w:rPr>
          <w:i/>
        </w:rPr>
        <w:t>Clostridiodes</w:t>
      </w:r>
      <w:proofErr w:type="spellEnd"/>
      <w:r w:rsidRPr="00067770">
        <w:rPr>
          <w:i/>
        </w:rPr>
        <w:t xml:space="preserve"> difficile</w:t>
      </w:r>
      <w:r w:rsidR="00CE04A5">
        <w:t xml:space="preserve"> (C. Diff)</w:t>
      </w:r>
      <w:r>
        <w:t xml:space="preserve"> toxin </w:t>
      </w:r>
    </w:p>
    <w:p w14:paraId="4EC2DFAA" w14:textId="66BD5A2D" w:rsidR="00367B10" w:rsidRDefault="00367B10" w:rsidP="00E10712">
      <w:pPr>
        <w:pStyle w:val="Bullet"/>
      </w:pPr>
      <w:r>
        <w:t>Faecal calprotectin</w:t>
      </w:r>
      <w:r w:rsidR="007C2773">
        <w:t>.</w:t>
      </w:r>
      <w:r>
        <w:t xml:space="preserve"> </w:t>
      </w:r>
    </w:p>
    <w:p w14:paraId="250B6CC7" w14:textId="77777777" w:rsidR="00367B10" w:rsidRDefault="00367B10" w:rsidP="002156B1">
      <w:pPr>
        <w:pStyle w:val="Heading5"/>
      </w:pPr>
      <w:r>
        <w:t>Imaging</w:t>
      </w:r>
    </w:p>
    <w:p w14:paraId="4258D6F9" w14:textId="1D15E646" w:rsidR="00367B10" w:rsidRDefault="00367B10" w:rsidP="00E10712">
      <w:pPr>
        <w:pStyle w:val="Bullet"/>
      </w:pPr>
      <w:r>
        <w:t xml:space="preserve">Abdominal x-ray: to look for toxic megacolon </w:t>
      </w:r>
    </w:p>
    <w:p w14:paraId="4765309B" w14:textId="0062B78D" w:rsidR="00367B10" w:rsidRDefault="00367B10" w:rsidP="00E10712">
      <w:pPr>
        <w:pStyle w:val="Bullet"/>
      </w:pPr>
      <w:r>
        <w:t>CT abdomen/pelvis: consider this in patients with moderate abdominal pain/peritonism and concerns of bowel perforation or obstruction</w:t>
      </w:r>
      <w:r w:rsidR="007C2773">
        <w:t>.</w:t>
      </w:r>
    </w:p>
    <w:p w14:paraId="100695D5" w14:textId="77777777" w:rsidR="00367B10" w:rsidRDefault="00367B10" w:rsidP="00B04CC1">
      <w:pPr>
        <w:pStyle w:val="Heading5"/>
        <w:spacing w:before="0" w:beforeAutospacing="0" w:after="0" w:line="276" w:lineRule="auto"/>
      </w:pPr>
      <w:r>
        <w:t>Referral</w:t>
      </w:r>
    </w:p>
    <w:p w14:paraId="39C5FAE8" w14:textId="4CC82AF0" w:rsidR="00367B10" w:rsidRPr="003310DA" w:rsidRDefault="00367B10" w:rsidP="00E10712">
      <w:pPr>
        <w:pStyle w:val="Bullet"/>
      </w:pPr>
      <w:r w:rsidRPr="003310DA">
        <w:t>Phone call to the on-call gastroenterologist or gastroenterology registrar to discuss</w:t>
      </w:r>
      <w:r w:rsidR="002156B1">
        <w:t xml:space="preserve"> </w:t>
      </w:r>
      <w:r w:rsidRPr="003310DA">
        <w:t xml:space="preserve">admission. </w:t>
      </w:r>
    </w:p>
    <w:p w14:paraId="18D806CF" w14:textId="51410A96" w:rsidR="00367B10" w:rsidRPr="003310DA" w:rsidRDefault="00367B10" w:rsidP="00E10712">
      <w:pPr>
        <w:pStyle w:val="Bullet"/>
      </w:pPr>
      <w:r w:rsidRPr="003310DA">
        <w:t>If there are significant delays between the emergency department and ward,</w:t>
      </w:r>
      <w:r w:rsidR="002156B1">
        <w:t xml:space="preserve"> </w:t>
      </w:r>
      <w:r w:rsidRPr="003310DA">
        <w:t>treatment should be commenced in the emergency department</w:t>
      </w:r>
      <w:r w:rsidR="00D25C7B">
        <w:t>.</w:t>
      </w:r>
    </w:p>
    <w:p w14:paraId="7A01ECBC" w14:textId="7A05D83B" w:rsidR="00B307E1" w:rsidRPr="003310DA" w:rsidRDefault="00367B10" w:rsidP="00E10712">
      <w:pPr>
        <w:pStyle w:val="Bullet"/>
      </w:pPr>
      <w:r w:rsidRPr="003310DA">
        <w:t>I</w:t>
      </w:r>
      <w:r w:rsidR="00D25C7B">
        <w:t xml:space="preserve">n case of </w:t>
      </w:r>
      <w:r w:rsidR="00067770">
        <w:t xml:space="preserve">shock, complications, or other </w:t>
      </w:r>
      <w:r w:rsidRPr="003310DA">
        <w:t xml:space="preserve">concerning </w:t>
      </w:r>
      <w:r w:rsidR="00067770">
        <w:t xml:space="preserve">other </w:t>
      </w:r>
      <w:r w:rsidRPr="003310DA">
        <w:t>features</w:t>
      </w:r>
      <w:r w:rsidR="00D25C7B">
        <w:t>,</w:t>
      </w:r>
      <w:r w:rsidRPr="003310DA">
        <w:t xml:space="preserve"> refer to the colorectal team during</w:t>
      </w:r>
      <w:r w:rsidR="00261699">
        <w:t xml:space="preserve"> normal business</w:t>
      </w:r>
      <w:r w:rsidR="00261699" w:rsidRPr="003310DA">
        <w:t xml:space="preserve"> </w:t>
      </w:r>
      <w:r w:rsidRPr="003310DA">
        <w:t>hours or acute surgical registrar afterhours.</w:t>
      </w:r>
    </w:p>
    <w:p w14:paraId="139B7081" w14:textId="3272D27E" w:rsidR="00481A6C" w:rsidRDefault="00481A6C" w:rsidP="0091462B">
      <w:pPr>
        <w:pStyle w:val="BodyCopy"/>
      </w:pPr>
      <w:hyperlink w:anchor="_top" w:history="1">
        <w:r w:rsidRPr="00481A6C">
          <w:rPr>
            <w:rStyle w:val="Hyperlink"/>
            <w:iCs w:val="0"/>
          </w:rPr>
          <w:t>Back to Contents</w:t>
        </w:r>
      </w:hyperlink>
    </w:p>
    <w:p w14:paraId="00227018" w14:textId="14C63751" w:rsidR="00F37086" w:rsidRDefault="00883F42" w:rsidP="00F37086">
      <w:pPr>
        <w:pStyle w:val="Heading4"/>
      </w:pPr>
      <w:bookmarkStart w:id="5" w:name="_Toc225770621"/>
      <w:r>
        <w:t xml:space="preserve">Section 3 - </w:t>
      </w:r>
      <w:r w:rsidR="00F65FBB" w:rsidRPr="00F65FBB">
        <w:t>Initial Management of ASUC (Admitting registrar)</w:t>
      </w:r>
      <w:bookmarkEnd w:id="5"/>
    </w:p>
    <w:p w14:paraId="72236350" w14:textId="67867311" w:rsidR="00F15441" w:rsidRDefault="00F15441" w:rsidP="003310DA">
      <w:pPr>
        <w:pStyle w:val="BodyCopy"/>
      </w:pPr>
      <w:r>
        <w:t>For a summary of the management of ASUC, refer to Attachment 1.</w:t>
      </w:r>
    </w:p>
    <w:p w14:paraId="31D1CAF8" w14:textId="692AEBB3" w:rsidR="001F1D0A" w:rsidRDefault="001F1D0A" w:rsidP="003310DA">
      <w:pPr>
        <w:pStyle w:val="BodyCopy"/>
      </w:pPr>
      <w:r w:rsidRPr="001F1D0A">
        <w:t>All ASUC patients need rapid initial therapy to treat their inflammation. The following therapy is recommended as per Table 2 which can be started by either the admitting medical registrar or emergency registrar. This should be done once the diagnosis has been confirmed by discussing with the gastroenterologist or gastroenterology registrar on call.</w:t>
      </w:r>
    </w:p>
    <w:p w14:paraId="0BDA5F27" w14:textId="216F67F6" w:rsidR="007C2773" w:rsidRDefault="00F242EA" w:rsidP="007C2773">
      <w:pPr>
        <w:pStyle w:val="Tabletitle-numbered"/>
        <w:spacing w:after="0" w:line="240" w:lineRule="auto"/>
      </w:pPr>
      <w:r w:rsidRPr="00F242EA">
        <w:t>Initial Management of ASUC Patients</w:t>
      </w:r>
    </w:p>
    <w:tbl>
      <w:tblPr>
        <w:tblStyle w:val="TableGrid1"/>
        <w:tblpPr w:leftFromText="180" w:rightFromText="180" w:vertAnchor="text" w:horzAnchor="margin" w:tblpXSpec="center" w:tblpY="478"/>
        <w:tblW w:w="10065" w:type="dxa"/>
        <w:jc w:val="center"/>
        <w:tblLook w:val="04A0" w:firstRow="1" w:lastRow="0" w:firstColumn="1" w:lastColumn="0" w:noHBand="0" w:noVBand="1"/>
      </w:tblPr>
      <w:tblGrid>
        <w:gridCol w:w="2689"/>
        <w:gridCol w:w="3685"/>
        <w:gridCol w:w="3691"/>
      </w:tblGrid>
      <w:tr w:rsidR="00E9693A" w:rsidRPr="007B01D2" w14:paraId="3229F888" w14:textId="77777777" w:rsidTr="0B7FA61F">
        <w:trPr>
          <w:jc w:val="center"/>
        </w:trPr>
        <w:tc>
          <w:tcPr>
            <w:tcW w:w="2689" w:type="dxa"/>
            <w:tcBorders>
              <w:top w:val="single" w:sz="4" w:space="0" w:color="auto"/>
            </w:tcBorders>
          </w:tcPr>
          <w:p w14:paraId="6E231318" w14:textId="77777777" w:rsidR="007C1851" w:rsidRPr="007B01D2" w:rsidRDefault="007C1851" w:rsidP="00E9693A">
            <w:pPr>
              <w:pStyle w:val="BodyCopy"/>
              <w:jc w:val="center"/>
              <w:rPr>
                <w:b/>
              </w:rPr>
            </w:pPr>
            <w:r w:rsidRPr="007B01D2">
              <w:rPr>
                <w:b/>
              </w:rPr>
              <w:t>Therapy</w:t>
            </w:r>
          </w:p>
        </w:tc>
        <w:tc>
          <w:tcPr>
            <w:tcW w:w="3685" w:type="dxa"/>
            <w:tcBorders>
              <w:top w:val="single" w:sz="4" w:space="0" w:color="auto"/>
            </w:tcBorders>
          </w:tcPr>
          <w:p w14:paraId="52A06A57" w14:textId="77777777" w:rsidR="007C1851" w:rsidRPr="007B01D2" w:rsidRDefault="007C1851" w:rsidP="00E9693A">
            <w:pPr>
              <w:pStyle w:val="BodyCopy"/>
              <w:jc w:val="center"/>
              <w:rPr>
                <w:b/>
              </w:rPr>
            </w:pPr>
            <w:r w:rsidRPr="007B01D2">
              <w:rPr>
                <w:b/>
              </w:rPr>
              <w:t>Details of therapy</w:t>
            </w:r>
          </w:p>
        </w:tc>
        <w:tc>
          <w:tcPr>
            <w:tcW w:w="3691" w:type="dxa"/>
            <w:tcBorders>
              <w:top w:val="single" w:sz="4" w:space="0" w:color="auto"/>
            </w:tcBorders>
          </w:tcPr>
          <w:p w14:paraId="6F1C77B9" w14:textId="77777777" w:rsidR="007C1851" w:rsidRPr="007B01D2" w:rsidRDefault="007C1851" w:rsidP="00E9693A">
            <w:pPr>
              <w:pStyle w:val="BodyCopy"/>
              <w:jc w:val="center"/>
              <w:rPr>
                <w:b/>
              </w:rPr>
            </w:pPr>
            <w:r w:rsidRPr="007B01D2">
              <w:rPr>
                <w:b/>
              </w:rPr>
              <w:t>Comments</w:t>
            </w:r>
          </w:p>
        </w:tc>
      </w:tr>
      <w:tr w:rsidR="007C1851" w:rsidRPr="007B01D2" w14:paraId="4AB4780B" w14:textId="77777777" w:rsidTr="0B7FA61F">
        <w:trPr>
          <w:jc w:val="center"/>
        </w:trPr>
        <w:tc>
          <w:tcPr>
            <w:tcW w:w="10065" w:type="dxa"/>
            <w:gridSpan w:val="3"/>
          </w:tcPr>
          <w:p w14:paraId="0F304ADB" w14:textId="77777777" w:rsidR="007C1851" w:rsidRPr="007B01D2" w:rsidRDefault="007C1851" w:rsidP="007C2773">
            <w:pPr>
              <w:pStyle w:val="Tableheader-black"/>
            </w:pPr>
            <w:r w:rsidRPr="007B01D2">
              <w:t>Commence</w:t>
            </w:r>
          </w:p>
        </w:tc>
      </w:tr>
      <w:tr w:rsidR="007C1851" w:rsidRPr="007B01D2" w14:paraId="601D22AA" w14:textId="77777777" w:rsidTr="0B7FA61F">
        <w:trPr>
          <w:trHeight w:val="2687"/>
          <w:jc w:val="center"/>
        </w:trPr>
        <w:tc>
          <w:tcPr>
            <w:tcW w:w="2689" w:type="dxa"/>
          </w:tcPr>
          <w:p w14:paraId="05D55F1A" w14:textId="4D994438" w:rsidR="007C1851" w:rsidRPr="007B01D2" w:rsidRDefault="00000D99" w:rsidP="007C2773">
            <w:pPr>
              <w:pStyle w:val="Tablebody"/>
            </w:pPr>
            <w:r>
              <w:lastRenderedPageBreak/>
              <w:t>I</w:t>
            </w:r>
            <w:r w:rsidR="007C1851" w:rsidRPr="007B01D2">
              <w:t>V steroids</w:t>
            </w:r>
          </w:p>
        </w:tc>
        <w:tc>
          <w:tcPr>
            <w:tcW w:w="3685" w:type="dxa"/>
          </w:tcPr>
          <w:p w14:paraId="337CD94E" w14:textId="28514A04" w:rsidR="007C1851" w:rsidRPr="007B01D2" w:rsidRDefault="007C1851" w:rsidP="007C2773">
            <w:pPr>
              <w:pStyle w:val="Tablebody"/>
            </w:pPr>
            <w:r w:rsidRPr="007B01D2">
              <w:t xml:space="preserve">IV </w:t>
            </w:r>
            <w:r w:rsidR="004E026A">
              <w:t>methylprednisolone</w:t>
            </w:r>
            <w:r w:rsidRPr="007B01D2">
              <w:t xml:space="preserve"> 40</w:t>
            </w:r>
            <w:r w:rsidR="004F0468">
              <w:t>-60</w:t>
            </w:r>
            <w:r w:rsidRPr="007B01D2">
              <w:t>mg daily (preferred)</w:t>
            </w:r>
          </w:p>
          <w:p w14:paraId="140BFD2F" w14:textId="77777777" w:rsidR="007C1851" w:rsidRPr="007B01D2" w:rsidRDefault="007C1851" w:rsidP="007C2773">
            <w:pPr>
              <w:pStyle w:val="Tablebody"/>
            </w:pPr>
            <w:r w:rsidRPr="007B01D2">
              <w:t xml:space="preserve">OR </w:t>
            </w:r>
          </w:p>
          <w:p w14:paraId="1A33DB25" w14:textId="14B4578E" w:rsidR="007C1851" w:rsidRPr="007B01D2" w:rsidRDefault="007C1851" w:rsidP="007C2773">
            <w:pPr>
              <w:pStyle w:val="Tablebody"/>
            </w:pPr>
            <w:r w:rsidRPr="007B01D2">
              <w:t>IV hydrocortisone 100mg QID</w:t>
            </w:r>
          </w:p>
        </w:tc>
        <w:tc>
          <w:tcPr>
            <w:tcW w:w="3691" w:type="dxa"/>
          </w:tcPr>
          <w:p w14:paraId="6AA63149" w14:textId="7C4F5E36" w:rsidR="007C1851" w:rsidRPr="007B01D2" w:rsidRDefault="004E026A" w:rsidP="007C2773">
            <w:pPr>
              <w:pStyle w:val="Tablebody"/>
            </w:pPr>
            <w:r>
              <w:t>Note</w:t>
            </w:r>
            <w:r w:rsidR="007C1851" w:rsidRPr="007B01D2">
              <w:t>: this can be given even whilst infectious stool screen is pending.</w:t>
            </w:r>
          </w:p>
          <w:p w14:paraId="7B35F5A1" w14:textId="03CBBDAB" w:rsidR="007C1851" w:rsidRPr="007B01D2" w:rsidRDefault="007C1851" w:rsidP="007C2773">
            <w:pPr>
              <w:pStyle w:val="Tablebody"/>
            </w:pPr>
            <w:r w:rsidRPr="007B01D2">
              <w:t>After 3 days patients should be stepped down to oral prednisolone 40mg daily</w:t>
            </w:r>
            <w:r w:rsidR="007D6B0E">
              <w:t xml:space="preserve">. Aim to </w:t>
            </w:r>
            <w:r w:rsidRPr="007B01D2">
              <w:t>wean by 5mg per week</w:t>
            </w:r>
            <w:r w:rsidR="007D6B0E">
              <w:t xml:space="preserve"> or as per treating gastroenterologist.</w:t>
            </w:r>
          </w:p>
        </w:tc>
      </w:tr>
      <w:tr w:rsidR="007C1851" w:rsidRPr="007B01D2" w14:paraId="4191960A" w14:textId="77777777" w:rsidTr="0B7FA61F">
        <w:trPr>
          <w:jc w:val="center"/>
        </w:trPr>
        <w:tc>
          <w:tcPr>
            <w:tcW w:w="2689" w:type="dxa"/>
          </w:tcPr>
          <w:p w14:paraId="00360E6E" w14:textId="77777777" w:rsidR="007C1851" w:rsidRPr="007B01D2" w:rsidRDefault="007C1851" w:rsidP="007C2773">
            <w:pPr>
              <w:pStyle w:val="Tablebody"/>
            </w:pPr>
            <w:r w:rsidRPr="007B01D2">
              <w:t>IV hydration</w:t>
            </w:r>
          </w:p>
        </w:tc>
        <w:tc>
          <w:tcPr>
            <w:tcW w:w="3685" w:type="dxa"/>
          </w:tcPr>
          <w:p w14:paraId="34D43EB2" w14:textId="77777777" w:rsidR="007C1851" w:rsidRPr="007B01D2" w:rsidRDefault="007C1851" w:rsidP="007C2773">
            <w:pPr>
              <w:pStyle w:val="Tablebody"/>
            </w:pPr>
            <w:r w:rsidRPr="007B01D2">
              <w:t>IV crystalloids and electrolyte replacement at an appropriate rate based on clinical signs of dehydration</w:t>
            </w:r>
          </w:p>
        </w:tc>
        <w:tc>
          <w:tcPr>
            <w:tcW w:w="3691" w:type="dxa"/>
          </w:tcPr>
          <w:p w14:paraId="4D75F700" w14:textId="77777777" w:rsidR="007C1851" w:rsidRPr="007B01D2" w:rsidRDefault="007C1851" w:rsidP="007C2773">
            <w:pPr>
              <w:pStyle w:val="Tablebody"/>
            </w:pPr>
          </w:p>
        </w:tc>
      </w:tr>
      <w:tr w:rsidR="007C1851" w:rsidRPr="007B01D2" w14:paraId="334A8AD0" w14:textId="77777777" w:rsidTr="0B7FA61F">
        <w:trPr>
          <w:jc w:val="center"/>
        </w:trPr>
        <w:tc>
          <w:tcPr>
            <w:tcW w:w="2689" w:type="dxa"/>
          </w:tcPr>
          <w:p w14:paraId="50471F0B" w14:textId="56C5D655" w:rsidR="007C1851" w:rsidRPr="007B01D2" w:rsidRDefault="00E53765" w:rsidP="007C2773">
            <w:pPr>
              <w:pStyle w:val="Tablebody"/>
            </w:pPr>
            <w:r>
              <w:t>Venous thromboembolism (</w:t>
            </w:r>
            <w:r w:rsidR="007C1851" w:rsidRPr="007B01D2">
              <w:t>VTE</w:t>
            </w:r>
            <w:r>
              <w:t>)</w:t>
            </w:r>
            <w:r w:rsidR="007C1851" w:rsidRPr="007B01D2">
              <w:t xml:space="preserve"> prophylaxis</w:t>
            </w:r>
          </w:p>
        </w:tc>
        <w:tc>
          <w:tcPr>
            <w:tcW w:w="3685" w:type="dxa"/>
          </w:tcPr>
          <w:p w14:paraId="786CD587" w14:textId="77777777" w:rsidR="007C1851" w:rsidRDefault="004F0468" w:rsidP="007C2773">
            <w:pPr>
              <w:pStyle w:val="Tablebody"/>
            </w:pPr>
            <w:r>
              <w:t>Chemical VTE prophylaxis</w:t>
            </w:r>
          </w:p>
          <w:p w14:paraId="1141BBB3" w14:textId="77777777" w:rsidR="004F0468" w:rsidRDefault="004F0468" w:rsidP="007C2773">
            <w:pPr>
              <w:pStyle w:val="Tablebody"/>
            </w:pPr>
            <w:r>
              <w:t>Enoxaparin 40mg once daily</w:t>
            </w:r>
          </w:p>
          <w:p w14:paraId="41F6D28D" w14:textId="3582F6EA" w:rsidR="004F0468" w:rsidRPr="007B01D2" w:rsidRDefault="004F0468" w:rsidP="007C2773">
            <w:pPr>
              <w:pStyle w:val="Tablebody"/>
            </w:pPr>
            <w:proofErr w:type="gramStart"/>
            <w:r>
              <w:t>Should</w:t>
            </w:r>
            <w:proofErr w:type="gramEnd"/>
            <w:r>
              <w:t xml:space="preserve"> be adjusted based on weight and renal function. </w:t>
            </w:r>
          </w:p>
        </w:tc>
        <w:tc>
          <w:tcPr>
            <w:tcW w:w="3691" w:type="dxa"/>
          </w:tcPr>
          <w:p w14:paraId="34F843B7" w14:textId="3A02AAF1" w:rsidR="007C1851" w:rsidRPr="007B01D2" w:rsidRDefault="004E026A" w:rsidP="007C2773">
            <w:pPr>
              <w:pStyle w:val="Tablebody"/>
            </w:pPr>
            <w:r>
              <w:t>Note</w:t>
            </w:r>
            <w:r w:rsidR="007C1851" w:rsidRPr="007B01D2">
              <w:t xml:space="preserve">: given ASUC is </w:t>
            </w:r>
            <w:proofErr w:type="gramStart"/>
            <w:r w:rsidR="007C1851" w:rsidRPr="007B01D2">
              <w:t>an inflammatory</w:t>
            </w:r>
            <w:proofErr w:type="gramEnd"/>
            <w:r w:rsidR="007C1851" w:rsidRPr="007B01D2">
              <w:t xml:space="preserve"> state and patients are hypercoagulable, VTE prophylaxis must not be forgotten</w:t>
            </w:r>
          </w:p>
        </w:tc>
      </w:tr>
      <w:tr w:rsidR="007C1851" w:rsidRPr="007B01D2" w14:paraId="0A094408" w14:textId="77777777" w:rsidTr="0B7FA61F">
        <w:trPr>
          <w:jc w:val="center"/>
        </w:trPr>
        <w:tc>
          <w:tcPr>
            <w:tcW w:w="2689" w:type="dxa"/>
          </w:tcPr>
          <w:p w14:paraId="45CD7143" w14:textId="20831E59" w:rsidR="007C1851" w:rsidRPr="007B01D2" w:rsidRDefault="007C1851" w:rsidP="007C2773">
            <w:pPr>
              <w:pStyle w:val="Tablebody"/>
            </w:pPr>
            <w:r w:rsidRPr="007B01D2">
              <w:t>Strict stool char</w:t>
            </w:r>
            <w:r w:rsidR="00E9693A">
              <w:t>t</w:t>
            </w:r>
          </w:p>
        </w:tc>
        <w:tc>
          <w:tcPr>
            <w:tcW w:w="3685" w:type="dxa"/>
          </w:tcPr>
          <w:p w14:paraId="757EFC1E" w14:textId="295F0F70" w:rsidR="007C1851" w:rsidRPr="007B01D2" w:rsidRDefault="004F0468" w:rsidP="007C2773">
            <w:pPr>
              <w:pStyle w:val="Tablebody"/>
            </w:pPr>
            <w:r>
              <w:t>Nursing staff to keep detailed bowel history</w:t>
            </w:r>
          </w:p>
        </w:tc>
        <w:tc>
          <w:tcPr>
            <w:tcW w:w="3691" w:type="dxa"/>
          </w:tcPr>
          <w:p w14:paraId="239AF081" w14:textId="30C249FA" w:rsidR="007C1851" w:rsidRPr="007B01D2" w:rsidRDefault="004F0468" w:rsidP="007C2773">
            <w:pPr>
              <w:pStyle w:val="Tablebody"/>
            </w:pPr>
            <w:r w:rsidRPr="007B01D2">
              <w:t>Please give the patients a pen and paper to document timings of bowel actions and presence of blood</w:t>
            </w:r>
          </w:p>
        </w:tc>
      </w:tr>
      <w:tr w:rsidR="007C1851" w:rsidRPr="007B01D2" w14:paraId="6FE98C49" w14:textId="77777777" w:rsidTr="0B7FA61F">
        <w:trPr>
          <w:jc w:val="center"/>
        </w:trPr>
        <w:tc>
          <w:tcPr>
            <w:tcW w:w="2689" w:type="dxa"/>
          </w:tcPr>
          <w:p w14:paraId="20839F1B" w14:textId="06BC4DA0" w:rsidR="007C1851" w:rsidRPr="007B01D2" w:rsidRDefault="007C1851" w:rsidP="007C2773">
            <w:pPr>
              <w:pStyle w:val="Tablebody"/>
            </w:pPr>
            <w:r w:rsidRPr="007B01D2">
              <w:t>Immunomodulato</w:t>
            </w:r>
            <w:r w:rsidR="00E9693A">
              <w:t>r</w:t>
            </w:r>
          </w:p>
        </w:tc>
        <w:tc>
          <w:tcPr>
            <w:tcW w:w="3685" w:type="dxa"/>
          </w:tcPr>
          <w:p w14:paraId="747B8B1F" w14:textId="50EF41C1" w:rsidR="007C1851" w:rsidRPr="007B01D2" w:rsidRDefault="007C1851" w:rsidP="007C2773">
            <w:pPr>
              <w:pStyle w:val="Tablebody"/>
            </w:pPr>
            <w:r w:rsidRPr="007B01D2">
              <w:t>Azathioprine</w:t>
            </w:r>
            <w:r w:rsidR="004F0468">
              <w:t xml:space="preserve">, 6-mercaptopurine (6MP), or thioguanine. </w:t>
            </w:r>
          </w:p>
        </w:tc>
        <w:tc>
          <w:tcPr>
            <w:tcW w:w="3691" w:type="dxa"/>
          </w:tcPr>
          <w:p w14:paraId="42952CEE" w14:textId="05BA6DD2" w:rsidR="007C1851" w:rsidRPr="007B01D2" w:rsidRDefault="004F0468" w:rsidP="007C2773">
            <w:pPr>
              <w:pStyle w:val="Tablebody"/>
            </w:pPr>
            <w:r>
              <w:t>Need to check thiopurine</w:t>
            </w:r>
            <w:r w:rsidRPr="005B329A">
              <w:t xml:space="preserve"> </w:t>
            </w:r>
            <w:r>
              <w:t>m</w:t>
            </w:r>
            <w:r w:rsidRPr="005B329A">
              <w:t xml:space="preserve">ethyltransferase </w:t>
            </w:r>
            <w:r>
              <w:t>(</w:t>
            </w:r>
            <w:r w:rsidRPr="007B01D2">
              <w:t>TPMT</w:t>
            </w:r>
            <w:r>
              <w:t xml:space="preserve">) and </w:t>
            </w:r>
            <w:proofErr w:type="spellStart"/>
            <w:r w:rsidRPr="004F0468">
              <w:t>Nudix</w:t>
            </w:r>
            <w:proofErr w:type="spellEnd"/>
            <w:r w:rsidRPr="004F0468">
              <w:t xml:space="preserve"> hydrolase 15</w:t>
            </w:r>
            <w:r>
              <w:t xml:space="preserve"> (NUDT15) prior to escalating therapy.</w:t>
            </w:r>
          </w:p>
        </w:tc>
      </w:tr>
      <w:tr w:rsidR="002171D1" w:rsidRPr="007B01D2" w14:paraId="2B330D61" w14:textId="77777777" w:rsidTr="0B7FA61F">
        <w:trPr>
          <w:jc w:val="center"/>
        </w:trPr>
        <w:tc>
          <w:tcPr>
            <w:tcW w:w="2689" w:type="dxa"/>
          </w:tcPr>
          <w:p w14:paraId="157208D6" w14:textId="6D1785A8" w:rsidR="002171D1" w:rsidRPr="007B01D2" w:rsidRDefault="002171D1" w:rsidP="007C2773">
            <w:pPr>
              <w:pStyle w:val="Tablebody"/>
            </w:pPr>
            <w:r>
              <w:t>Entire Enteral Nutrition (EEN)</w:t>
            </w:r>
          </w:p>
        </w:tc>
        <w:tc>
          <w:tcPr>
            <w:tcW w:w="3685" w:type="dxa"/>
          </w:tcPr>
          <w:p w14:paraId="52C9B5C2" w14:textId="6883AB1C" w:rsidR="002171D1" w:rsidRPr="007B01D2" w:rsidRDefault="002171D1" w:rsidP="007C2773">
            <w:pPr>
              <w:pStyle w:val="Tablebody"/>
            </w:pPr>
            <w:r>
              <w:t xml:space="preserve">Consider use of EEN in select patients. Given orally or via </w:t>
            </w:r>
            <w:r w:rsidR="0068435D">
              <w:t>nasogastric tube</w:t>
            </w:r>
            <w:r>
              <w:t xml:space="preserve"> in consultation with dietitian. </w:t>
            </w:r>
          </w:p>
        </w:tc>
        <w:tc>
          <w:tcPr>
            <w:tcW w:w="3691" w:type="dxa"/>
          </w:tcPr>
          <w:p w14:paraId="1F4EC046" w14:textId="13152C6C" w:rsidR="002171D1" w:rsidRDefault="002171D1" w:rsidP="007C2773">
            <w:pPr>
              <w:pStyle w:val="Tablebody"/>
            </w:pPr>
          </w:p>
        </w:tc>
      </w:tr>
      <w:tr w:rsidR="007C1851" w:rsidRPr="007B01D2" w14:paraId="59CB5740" w14:textId="77777777" w:rsidTr="0B7FA61F">
        <w:trPr>
          <w:jc w:val="center"/>
        </w:trPr>
        <w:tc>
          <w:tcPr>
            <w:tcW w:w="2689" w:type="dxa"/>
          </w:tcPr>
          <w:p w14:paraId="6DB7C6F3" w14:textId="77777777" w:rsidR="007C1851" w:rsidRPr="007B01D2" w:rsidRDefault="007C1851" w:rsidP="007C2773">
            <w:pPr>
              <w:pStyle w:val="Tablebody"/>
            </w:pPr>
            <w:r w:rsidRPr="007B01D2">
              <w:t>Blood transfusion</w:t>
            </w:r>
          </w:p>
        </w:tc>
        <w:tc>
          <w:tcPr>
            <w:tcW w:w="3685" w:type="dxa"/>
          </w:tcPr>
          <w:p w14:paraId="3E5850FD" w14:textId="04E44048" w:rsidR="007C1851" w:rsidRPr="007B01D2" w:rsidRDefault="007C1851" w:rsidP="007C2773">
            <w:pPr>
              <w:pStyle w:val="Tablebody"/>
            </w:pPr>
            <w:r w:rsidRPr="007B01D2">
              <w:t>Not generally required unless Hb &lt;70 and judicious transfusion protocol, 1 unit rather than 2</w:t>
            </w:r>
            <w:r w:rsidR="004F0468">
              <w:t xml:space="preserve">. </w:t>
            </w:r>
          </w:p>
        </w:tc>
        <w:tc>
          <w:tcPr>
            <w:tcW w:w="3691" w:type="dxa"/>
          </w:tcPr>
          <w:p w14:paraId="5D27C55D" w14:textId="3280BAD9" w:rsidR="007C1851" w:rsidRPr="007B01D2" w:rsidRDefault="004F0468" w:rsidP="007C2773">
            <w:pPr>
              <w:pStyle w:val="Tablebody"/>
            </w:pPr>
            <w:r>
              <w:t>Consider iron infusion prior to packed cell transfusion</w:t>
            </w:r>
          </w:p>
        </w:tc>
      </w:tr>
      <w:tr w:rsidR="007C1851" w:rsidRPr="007B01D2" w14:paraId="5366376B" w14:textId="77777777" w:rsidTr="0B7FA61F">
        <w:trPr>
          <w:jc w:val="center"/>
        </w:trPr>
        <w:tc>
          <w:tcPr>
            <w:tcW w:w="10065" w:type="dxa"/>
            <w:gridSpan w:val="3"/>
          </w:tcPr>
          <w:p w14:paraId="68DF239D" w14:textId="77777777" w:rsidR="007C1851" w:rsidRPr="007B01D2" w:rsidRDefault="007C1851" w:rsidP="007C2773">
            <w:pPr>
              <w:pStyle w:val="Tableheader-black"/>
            </w:pPr>
            <w:r w:rsidRPr="007B01D2">
              <w:t>Discontinue</w:t>
            </w:r>
          </w:p>
        </w:tc>
      </w:tr>
      <w:tr w:rsidR="007C1851" w:rsidRPr="007B01D2" w14:paraId="1CCB1AEC" w14:textId="77777777" w:rsidTr="0B7FA61F">
        <w:trPr>
          <w:jc w:val="center"/>
        </w:trPr>
        <w:tc>
          <w:tcPr>
            <w:tcW w:w="2689" w:type="dxa"/>
          </w:tcPr>
          <w:p w14:paraId="1368E79B" w14:textId="4EC28E19" w:rsidR="007C1851" w:rsidRPr="007B01D2" w:rsidRDefault="007C1851" w:rsidP="007C2773">
            <w:pPr>
              <w:pStyle w:val="Tablebody"/>
            </w:pPr>
            <w:r>
              <w:t>Oral and rectal 5-aminosalicylates</w:t>
            </w:r>
            <w:r w:rsidR="00910EC5">
              <w:t xml:space="preserve"> (e.g. sulfasalazine, mesalazine)</w:t>
            </w:r>
          </w:p>
        </w:tc>
        <w:tc>
          <w:tcPr>
            <w:tcW w:w="3685" w:type="dxa"/>
          </w:tcPr>
          <w:p w14:paraId="3A89CFB8" w14:textId="77777777" w:rsidR="007C1851" w:rsidRPr="007B01D2" w:rsidRDefault="007C1851" w:rsidP="007C2773">
            <w:pPr>
              <w:pStyle w:val="Tablebody"/>
              <w:rPr>
                <w:vertAlign w:val="superscript"/>
              </w:rPr>
            </w:pPr>
            <w:r w:rsidRPr="007B01D2">
              <w:t>Withhold this in the acute setting</w:t>
            </w:r>
            <w:r w:rsidRPr="007B01D2">
              <w:rPr>
                <w:vertAlign w:val="superscript"/>
              </w:rPr>
              <w:t>6</w:t>
            </w:r>
          </w:p>
        </w:tc>
        <w:tc>
          <w:tcPr>
            <w:tcW w:w="3691" w:type="dxa"/>
          </w:tcPr>
          <w:p w14:paraId="53F29857" w14:textId="77777777" w:rsidR="007C1851" w:rsidRPr="007B01D2" w:rsidRDefault="007C1851" w:rsidP="007C2773">
            <w:pPr>
              <w:pStyle w:val="Tablebody"/>
            </w:pPr>
          </w:p>
        </w:tc>
      </w:tr>
      <w:tr w:rsidR="007C1851" w:rsidRPr="007B01D2" w14:paraId="1A7966D6" w14:textId="77777777" w:rsidTr="0B7FA61F">
        <w:trPr>
          <w:jc w:val="center"/>
        </w:trPr>
        <w:tc>
          <w:tcPr>
            <w:tcW w:w="2689" w:type="dxa"/>
          </w:tcPr>
          <w:p w14:paraId="14B15E26" w14:textId="77777777" w:rsidR="007C1851" w:rsidRPr="007B01D2" w:rsidRDefault="007C1851" w:rsidP="007C2773">
            <w:pPr>
              <w:pStyle w:val="Tablebody"/>
            </w:pPr>
            <w:r w:rsidRPr="007B01D2">
              <w:t>Aggravating medications</w:t>
            </w:r>
          </w:p>
        </w:tc>
        <w:tc>
          <w:tcPr>
            <w:tcW w:w="3685" w:type="dxa"/>
          </w:tcPr>
          <w:p w14:paraId="7375A368" w14:textId="55533D15" w:rsidR="007C1851" w:rsidRPr="00DB7680" w:rsidRDefault="007C1851" w:rsidP="007C2773">
            <w:pPr>
              <w:pStyle w:val="Tablebody"/>
              <w:rPr>
                <w:lang w:val="it-IT"/>
              </w:rPr>
            </w:pPr>
            <w:r w:rsidRPr="00DB7680">
              <w:rPr>
                <w:lang w:val="it-IT"/>
              </w:rPr>
              <w:t xml:space="preserve">Cease </w:t>
            </w:r>
            <w:r w:rsidR="005B329A" w:rsidRPr="00DB7680">
              <w:rPr>
                <w:lang w:val="it-IT"/>
              </w:rPr>
              <w:t>non-steroidal anti-inflammatory drugs (</w:t>
            </w:r>
            <w:r w:rsidRPr="00DB7680">
              <w:rPr>
                <w:lang w:val="it-IT"/>
              </w:rPr>
              <w:t>NSAIDs</w:t>
            </w:r>
            <w:r w:rsidR="005B329A" w:rsidRPr="00DB7680">
              <w:rPr>
                <w:lang w:val="it-IT"/>
              </w:rPr>
              <w:t>)</w:t>
            </w:r>
          </w:p>
          <w:p w14:paraId="030AB130" w14:textId="77777777" w:rsidR="007C1851" w:rsidRPr="007B01D2" w:rsidRDefault="007C1851" w:rsidP="007C2773">
            <w:pPr>
              <w:pStyle w:val="Tablebody"/>
            </w:pPr>
            <w:r w:rsidRPr="007B01D2">
              <w:t xml:space="preserve">Cease anti-diarrheal </w:t>
            </w:r>
          </w:p>
          <w:p w14:paraId="4C3C4133" w14:textId="77777777" w:rsidR="007C1851" w:rsidRPr="007B01D2" w:rsidRDefault="007C1851" w:rsidP="007C2773">
            <w:pPr>
              <w:pStyle w:val="Tablebody"/>
            </w:pPr>
            <w:r w:rsidRPr="007B01D2">
              <w:t>Cease anticholinergics</w:t>
            </w:r>
          </w:p>
          <w:p w14:paraId="3E9E154D" w14:textId="77777777" w:rsidR="007C1851" w:rsidRPr="007B01D2" w:rsidRDefault="007C1851" w:rsidP="007C2773">
            <w:pPr>
              <w:pStyle w:val="Tablebody"/>
            </w:pPr>
            <w:r w:rsidRPr="007B01D2">
              <w:t xml:space="preserve">Limit opioids </w:t>
            </w:r>
          </w:p>
        </w:tc>
        <w:tc>
          <w:tcPr>
            <w:tcW w:w="3691" w:type="dxa"/>
          </w:tcPr>
          <w:p w14:paraId="51A3F84C" w14:textId="43CDB6FA" w:rsidR="007C1851" w:rsidRPr="007B01D2" w:rsidRDefault="007C1851" w:rsidP="007C2773">
            <w:pPr>
              <w:pStyle w:val="Tablebody"/>
            </w:pPr>
            <w:r>
              <w:t>In cases of severe pain consider tramadol in the absence</w:t>
            </w:r>
            <w:r w:rsidR="00DB7680">
              <w:t xml:space="preserve"> </w:t>
            </w:r>
            <w:r>
              <w:t xml:space="preserve">of </w:t>
            </w:r>
            <w:r w:rsidR="000C3620">
              <w:t>contraindications</w:t>
            </w:r>
          </w:p>
        </w:tc>
      </w:tr>
      <w:tr w:rsidR="007C1851" w:rsidRPr="007B01D2" w14:paraId="22CB81CE" w14:textId="77777777" w:rsidTr="0B7FA61F">
        <w:trPr>
          <w:jc w:val="center"/>
        </w:trPr>
        <w:tc>
          <w:tcPr>
            <w:tcW w:w="10065" w:type="dxa"/>
            <w:gridSpan w:val="3"/>
          </w:tcPr>
          <w:p w14:paraId="3E6AD072" w14:textId="77777777" w:rsidR="007C1851" w:rsidRPr="007B01D2" w:rsidRDefault="007C1851" w:rsidP="007C2773">
            <w:pPr>
              <w:pStyle w:val="Tableheader-black"/>
            </w:pPr>
            <w:r w:rsidRPr="007B01D2">
              <w:t>Other team input</w:t>
            </w:r>
          </w:p>
        </w:tc>
      </w:tr>
      <w:tr w:rsidR="007C1851" w:rsidRPr="007B01D2" w14:paraId="103DCCE5" w14:textId="77777777" w:rsidTr="0B7FA61F">
        <w:trPr>
          <w:jc w:val="center"/>
        </w:trPr>
        <w:tc>
          <w:tcPr>
            <w:tcW w:w="2689" w:type="dxa"/>
          </w:tcPr>
          <w:p w14:paraId="40678431" w14:textId="77777777" w:rsidR="007C1851" w:rsidRPr="007B01D2" w:rsidRDefault="007C1851" w:rsidP="007C2773">
            <w:pPr>
              <w:pStyle w:val="Tablebody"/>
            </w:pPr>
            <w:r w:rsidRPr="007B01D2">
              <w:t>Colorectal team</w:t>
            </w:r>
          </w:p>
        </w:tc>
        <w:tc>
          <w:tcPr>
            <w:tcW w:w="3685" w:type="dxa"/>
          </w:tcPr>
          <w:p w14:paraId="5E4726D6" w14:textId="77777777" w:rsidR="007C1851" w:rsidRPr="007B01D2" w:rsidRDefault="007C1851" w:rsidP="007C2773">
            <w:pPr>
              <w:pStyle w:val="Tablebody"/>
            </w:pPr>
            <w:r w:rsidRPr="007B01D2">
              <w:t>The colorectal team should be consulted within the first 24 hours</w:t>
            </w:r>
          </w:p>
        </w:tc>
        <w:tc>
          <w:tcPr>
            <w:tcW w:w="3691" w:type="dxa"/>
          </w:tcPr>
          <w:p w14:paraId="6AA9D42E" w14:textId="77777777" w:rsidR="007C1851" w:rsidRPr="007B01D2" w:rsidRDefault="007C1851" w:rsidP="007C2773">
            <w:pPr>
              <w:pStyle w:val="Tablebody"/>
            </w:pPr>
            <w:r w:rsidRPr="007B01D2">
              <w:t xml:space="preserve">This is to facilitate early review for any disease complications (toxic megacolon or acute surgical </w:t>
            </w:r>
            <w:r w:rsidRPr="007B01D2">
              <w:lastRenderedPageBreak/>
              <w:t>abdomen) and determine the need for possible bowel resection</w:t>
            </w:r>
          </w:p>
        </w:tc>
      </w:tr>
      <w:tr w:rsidR="007C1851" w:rsidRPr="007B01D2" w14:paraId="1EDAF7BC" w14:textId="77777777" w:rsidTr="0B7FA61F">
        <w:trPr>
          <w:jc w:val="center"/>
        </w:trPr>
        <w:tc>
          <w:tcPr>
            <w:tcW w:w="2689" w:type="dxa"/>
          </w:tcPr>
          <w:p w14:paraId="2DEA1B0D" w14:textId="77777777" w:rsidR="007C1851" w:rsidRPr="007B01D2" w:rsidRDefault="007C1851" w:rsidP="007C2773">
            <w:pPr>
              <w:pStyle w:val="Tablebody"/>
            </w:pPr>
            <w:r w:rsidRPr="007B01D2">
              <w:lastRenderedPageBreak/>
              <w:t>Dietitian</w:t>
            </w:r>
          </w:p>
        </w:tc>
        <w:tc>
          <w:tcPr>
            <w:tcW w:w="3685" w:type="dxa"/>
          </w:tcPr>
          <w:p w14:paraId="091C7B7F" w14:textId="77777777" w:rsidR="007C1851" w:rsidRPr="007B01D2" w:rsidRDefault="007C1851" w:rsidP="007C2773">
            <w:pPr>
              <w:pStyle w:val="Tablebody"/>
              <w:rPr>
                <w:vertAlign w:val="superscript"/>
              </w:rPr>
            </w:pPr>
            <w:r w:rsidRPr="007B01D2">
              <w:t>High protein supplementation</w:t>
            </w:r>
            <w:r w:rsidRPr="007B01D2">
              <w:rPr>
                <w:vertAlign w:val="superscript"/>
              </w:rPr>
              <w:t>7</w:t>
            </w:r>
          </w:p>
        </w:tc>
        <w:tc>
          <w:tcPr>
            <w:tcW w:w="3691" w:type="dxa"/>
          </w:tcPr>
          <w:p w14:paraId="24BA6C56" w14:textId="77777777" w:rsidR="007C1851" w:rsidRPr="007B01D2" w:rsidRDefault="007C1851" w:rsidP="007C2773">
            <w:pPr>
              <w:pStyle w:val="Tablebody"/>
            </w:pPr>
          </w:p>
        </w:tc>
      </w:tr>
      <w:tr w:rsidR="007C1851" w:rsidRPr="007B01D2" w14:paraId="1921F734" w14:textId="77777777" w:rsidTr="0B7FA61F">
        <w:trPr>
          <w:jc w:val="center"/>
        </w:trPr>
        <w:tc>
          <w:tcPr>
            <w:tcW w:w="2689" w:type="dxa"/>
          </w:tcPr>
          <w:p w14:paraId="515EAEA1" w14:textId="77777777" w:rsidR="007C1851" w:rsidRPr="007B01D2" w:rsidRDefault="007C1851" w:rsidP="007C2773">
            <w:pPr>
              <w:pStyle w:val="Tablebody"/>
            </w:pPr>
            <w:r w:rsidRPr="007B01D2">
              <w:t xml:space="preserve">IBD CNC </w:t>
            </w:r>
          </w:p>
        </w:tc>
        <w:tc>
          <w:tcPr>
            <w:tcW w:w="3685" w:type="dxa"/>
          </w:tcPr>
          <w:p w14:paraId="385E2D55" w14:textId="77777777" w:rsidR="007C1851" w:rsidRPr="007B01D2" w:rsidRDefault="007C1851" w:rsidP="007C2773">
            <w:pPr>
              <w:pStyle w:val="Tablebody"/>
            </w:pPr>
            <w:r w:rsidRPr="007B01D2">
              <w:t>Review with information and helpline details</w:t>
            </w:r>
          </w:p>
        </w:tc>
        <w:tc>
          <w:tcPr>
            <w:tcW w:w="3691" w:type="dxa"/>
          </w:tcPr>
          <w:p w14:paraId="0FFDDD5D" w14:textId="77777777" w:rsidR="007C1851" w:rsidRPr="007B01D2" w:rsidRDefault="007C1851" w:rsidP="007C2773">
            <w:pPr>
              <w:pStyle w:val="Tablebody"/>
            </w:pPr>
          </w:p>
        </w:tc>
      </w:tr>
      <w:tr w:rsidR="007C1851" w:rsidRPr="007B01D2" w14:paraId="04AFFA46" w14:textId="77777777" w:rsidTr="0B7FA61F">
        <w:trPr>
          <w:jc w:val="center"/>
        </w:trPr>
        <w:tc>
          <w:tcPr>
            <w:tcW w:w="2689" w:type="dxa"/>
          </w:tcPr>
          <w:p w14:paraId="47154521" w14:textId="77777777" w:rsidR="007C1851" w:rsidRPr="007B01D2" w:rsidRDefault="007C1851" w:rsidP="007C2773">
            <w:pPr>
              <w:pStyle w:val="Tablebody"/>
            </w:pPr>
            <w:r w:rsidRPr="007B01D2">
              <w:t>Pharmacy</w:t>
            </w:r>
          </w:p>
        </w:tc>
        <w:tc>
          <w:tcPr>
            <w:tcW w:w="3685" w:type="dxa"/>
          </w:tcPr>
          <w:p w14:paraId="1609E885" w14:textId="77777777" w:rsidR="007C1851" w:rsidRPr="007B01D2" w:rsidRDefault="007C1851" w:rsidP="007C2773">
            <w:pPr>
              <w:pStyle w:val="Tablebody"/>
            </w:pPr>
            <w:r w:rsidRPr="007B01D2">
              <w:t>Inform early if likely to require biologic therapy</w:t>
            </w:r>
          </w:p>
        </w:tc>
        <w:tc>
          <w:tcPr>
            <w:tcW w:w="3691" w:type="dxa"/>
          </w:tcPr>
          <w:p w14:paraId="1529EE84" w14:textId="77777777" w:rsidR="007C1851" w:rsidRPr="007B01D2" w:rsidRDefault="007C1851" w:rsidP="007C2773">
            <w:pPr>
              <w:pStyle w:val="Tablebody"/>
            </w:pPr>
          </w:p>
        </w:tc>
      </w:tr>
      <w:tr w:rsidR="007C1851" w:rsidRPr="007B01D2" w14:paraId="0101D0EB" w14:textId="77777777" w:rsidTr="0B7FA61F">
        <w:trPr>
          <w:jc w:val="center"/>
        </w:trPr>
        <w:tc>
          <w:tcPr>
            <w:tcW w:w="2689" w:type="dxa"/>
          </w:tcPr>
          <w:p w14:paraId="6E210B5F" w14:textId="77777777" w:rsidR="007C1851" w:rsidRPr="007B01D2" w:rsidRDefault="007C1851" w:rsidP="007C2773">
            <w:pPr>
              <w:pStyle w:val="Tablebody"/>
            </w:pPr>
            <w:r w:rsidRPr="007B01D2">
              <w:t>Stoma therapist</w:t>
            </w:r>
          </w:p>
        </w:tc>
        <w:tc>
          <w:tcPr>
            <w:tcW w:w="3685" w:type="dxa"/>
          </w:tcPr>
          <w:p w14:paraId="04BE2158" w14:textId="77777777" w:rsidR="007C1851" w:rsidRPr="007B01D2" w:rsidRDefault="007C1851" w:rsidP="007C2773">
            <w:pPr>
              <w:pStyle w:val="Tablebody"/>
            </w:pPr>
            <w:r w:rsidRPr="007B01D2">
              <w:t>Inform early if requiring surgery</w:t>
            </w:r>
          </w:p>
        </w:tc>
        <w:tc>
          <w:tcPr>
            <w:tcW w:w="3691" w:type="dxa"/>
          </w:tcPr>
          <w:p w14:paraId="0D11DAC1" w14:textId="77777777" w:rsidR="007C1851" w:rsidRPr="007B01D2" w:rsidRDefault="007C1851" w:rsidP="007C2773">
            <w:pPr>
              <w:pStyle w:val="Tablebody"/>
            </w:pPr>
          </w:p>
        </w:tc>
      </w:tr>
    </w:tbl>
    <w:p w14:paraId="6045D6EF" w14:textId="428C92DD" w:rsidR="00043409" w:rsidRDefault="00043409" w:rsidP="003310DA">
      <w:pPr>
        <w:pStyle w:val="BodyCopy"/>
      </w:pPr>
      <w:r>
        <w:t xml:space="preserve">It is recommended that patients get </w:t>
      </w:r>
      <w:r w:rsidRPr="00832900">
        <w:t>flexible sigmoidoscopy within 24 hours</w:t>
      </w:r>
      <w:r>
        <w:t xml:space="preserve"> of presentation, without any bowel prep, consider one fleet enema 30 mins prior to flexible sigmoidoscopy which should be performed with limited </w:t>
      </w:r>
      <w:r w:rsidR="005B329A">
        <w:t xml:space="preserve">carbon dioxide </w:t>
      </w:r>
      <w:r>
        <w:t>insufflation. Biopsies for histology and cytomegalovirus should be taken.</w:t>
      </w:r>
    </w:p>
    <w:p w14:paraId="410A93A6" w14:textId="4DCF2FD4" w:rsidR="00F15441" w:rsidRDefault="00043409" w:rsidP="003310DA">
      <w:pPr>
        <w:pStyle w:val="BodyCopy"/>
      </w:pPr>
      <w:r>
        <w:t xml:space="preserve">Antibiotics are not routinely recommended unless the patient is suspected to have an abdominal perforation or toxic megacolon. </w:t>
      </w:r>
    </w:p>
    <w:p w14:paraId="2635FC72" w14:textId="3BD1C7AC" w:rsidR="007D6B0E" w:rsidRDefault="00F37086" w:rsidP="0091462B">
      <w:pPr>
        <w:pStyle w:val="BodyCopy"/>
      </w:pPr>
      <w:hyperlink w:anchor="_top" w:history="1">
        <w:r w:rsidRPr="00481A6C">
          <w:rPr>
            <w:rStyle w:val="Hyperlink"/>
            <w:iCs w:val="0"/>
          </w:rPr>
          <w:t>Back to Contents</w:t>
        </w:r>
      </w:hyperlink>
    </w:p>
    <w:p w14:paraId="4D37C573" w14:textId="57972418" w:rsidR="0078367D" w:rsidRDefault="00883F42" w:rsidP="00A6051F">
      <w:pPr>
        <w:pStyle w:val="Heading4"/>
      </w:pPr>
      <w:bookmarkStart w:id="6" w:name="_Toc225770622"/>
      <w:r>
        <w:t xml:space="preserve">Section 4 - </w:t>
      </w:r>
      <w:r w:rsidR="00262870" w:rsidRPr="00262870">
        <w:t>Daily Review and Maintenance Therapy (Gastroenterology home team)</w:t>
      </w:r>
      <w:bookmarkEnd w:id="6"/>
    </w:p>
    <w:p w14:paraId="1D970430" w14:textId="77777777" w:rsidR="003310DA" w:rsidRDefault="003310DA" w:rsidP="003310DA">
      <w:pPr>
        <w:pStyle w:val="BodyCopy"/>
      </w:pPr>
      <w:r>
        <w:t>Patients should be reviewed daily by a gastroenterology team. The following parameters should be noted:</w:t>
      </w:r>
    </w:p>
    <w:p w14:paraId="4588583D" w14:textId="5F8301AB" w:rsidR="003310DA" w:rsidRDefault="003310DA" w:rsidP="00E10712">
      <w:pPr>
        <w:pStyle w:val="Bullet"/>
      </w:pPr>
      <w:r>
        <w:t>Vital signs: tachycardia should be monitored</w:t>
      </w:r>
      <w:r w:rsidR="00F75AA5">
        <w:t xml:space="preserve"> as may be early sign of deterioration. </w:t>
      </w:r>
    </w:p>
    <w:p w14:paraId="1AADFBD9" w14:textId="6F8BA2CE" w:rsidR="003310DA" w:rsidRDefault="003310DA" w:rsidP="00E10712">
      <w:pPr>
        <w:pStyle w:val="Bullet"/>
      </w:pPr>
      <w:r>
        <w:t>Abdominal exam: monitor for distension or peritonism</w:t>
      </w:r>
    </w:p>
    <w:p w14:paraId="1FA36596" w14:textId="5AF19E96" w:rsidR="003310DA" w:rsidRDefault="003310DA" w:rsidP="00E10712">
      <w:pPr>
        <w:pStyle w:val="Bullet"/>
      </w:pPr>
      <w:r>
        <w:t xml:space="preserve">Daily review of stool chart: number of bowel actions in 24 hours, presence of blood </w:t>
      </w:r>
    </w:p>
    <w:p w14:paraId="5A7CF658" w14:textId="025DD41C" w:rsidR="003310DA" w:rsidRDefault="003310DA" w:rsidP="00E10712">
      <w:pPr>
        <w:pStyle w:val="Bullet"/>
      </w:pPr>
      <w:r>
        <w:t xml:space="preserve">Daily blood tests: FBE, UEC, CMP, CRP, LFTs </w:t>
      </w:r>
    </w:p>
    <w:p w14:paraId="0703796B" w14:textId="649EF410" w:rsidR="003310DA" w:rsidRDefault="003310DA" w:rsidP="00E10712">
      <w:pPr>
        <w:pStyle w:val="Bullet"/>
      </w:pPr>
      <w:r>
        <w:t xml:space="preserve">Daily abdominal x-ray if the patient is febrile, tachycardic or abdominal pain is worsening </w:t>
      </w:r>
    </w:p>
    <w:p w14:paraId="143915B6" w14:textId="4026C03E" w:rsidR="003310DA" w:rsidRDefault="003310DA" w:rsidP="00E10712">
      <w:pPr>
        <w:pStyle w:val="Bullet"/>
      </w:pPr>
      <w:r>
        <w:t>Colorectal review</w:t>
      </w:r>
      <w:r w:rsidR="005B329A">
        <w:t>.</w:t>
      </w:r>
      <w:r>
        <w:t xml:space="preserve"> </w:t>
      </w:r>
    </w:p>
    <w:p w14:paraId="6D029A4A" w14:textId="020EFD58" w:rsidR="003310DA" w:rsidRDefault="003310DA" w:rsidP="003310DA">
      <w:pPr>
        <w:pStyle w:val="BodyCopy"/>
      </w:pPr>
      <w:r>
        <w:t>As an inpatient consider performing work-up for biologic initiation</w:t>
      </w:r>
      <w:r w:rsidR="005B329A">
        <w:t>:</w:t>
      </w:r>
      <w:r w:rsidR="00910EC5">
        <w:t xml:space="preserve"> (</w:t>
      </w:r>
      <w:r w:rsidR="00910EC5" w:rsidRPr="00910EC5">
        <w:t>"Biologic Workup", Attachment 1, page 14)</w:t>
      </w:r>
    </w:p>
    <w:p w14:paraId="17E60B69" w14:textId="76E04A80" w:rsidR="003310DA" w:rsidRDefault="00910EC5" w:rsidP="00E10712">
      <w:pPr>
        <w:pStyle w:val="Bullet"/>
      </w:pPr>
      <w:r w:rsidRPr="00910EC5">
        <w:t>Thiopurine Methyltransferas</w:t>
      </w:r>
      <w:r>
        <w:t>e (</w:t>
      </w:r>
      <w:r w:rsidR="003310DA">
        <w:t>TPMT</w:t>
      </w:r>
      <w:r>
        <w:t>)</w:t>
      </w:r>
      <w:r w:rsidR="003310DA">
        <w:t xml:space="preserve"> level</w:t>
      </w:r>
    </w:p>
    <w:p w14:paraId="6F507ECD" w14:textId="65D494B3" w:rsidR="003310DA" w:rsidRDefault="003310DA" w:rsidP="00E10712">
      <w:pPr>
        <w:pStyle w:val="Bullet"/>
      </w:pPr>
      <w:r>
        <w:t xml:space="preserve">Tuberculosis (TB) risk test using </w:t>
      </w:r>
      <w:proofErr w:type="spellStart"/>
      <w:r>
        <w:t>Quantiferon</w:t>
      </w:r>
      <w:proofErr w:type="spellEnd"/>
      <w:r>
        <w:t xml:space="preserve"> Gold and a chest x-ray</w:t>
      </w:r>
    </w:p>
    <w:p w14:paraId="7E1D7F7F" w14:textId="27598819" w:rsidR="003310DA" w:rsidRDefault="003310DA" w:rsidP="00E10712">
      <w:pPr>
        <w:pStyle w:val="Bullet"/>
      </w:pPr>
      <w:r>
        <w:t xml:space="preserve">Hepatitis B serology (HBsAg, </w:t>
      </w:r>
      <w:proofErr w:type="spellStart"/>
      <w:r>
        <w:t>HBsAb</w:t>
      </w:r>
      <w:proofErr w:type="spellEnd"/>
      <w:r>
        <w:t xml:space="preserve"> and </w:t>
      </w:r>
      <w:proofErr w:type="spellStart"/>
      <w:r>
        <w:t>HBcAb</w:t>
      </w:r>
      <w:proofErr w:type="spellEnd"/>
      <w:r>
        <w:t>), hepatitis C Ab</w:t>
      </w:r>
    </w:p>
    <w:p w14:paraId="4CB1233F" w14:textId="30C6DE3B" w:rsidR="003310DA" w:rsidRDefault="003310DA" w:rsidP="00E10712">
      <w:pPr>
        <w:pStyle w:val="Bullet"/>
      </w:pPr>
      <w:r>
        <w:t xml:space="preserve">Human Immunodeficiency Virus (HIV) serology </w:t>
      </w:r>
    </w:p>
    <w:p w14:paraId="42A20852" w14:textId="58484B48" w:rsidR="003310DA" w:rsidRDefault="003310DA" w:rsidP="00E10712">
      <w:pPr>
        <w:pStyle w:val="Bullet"/>
      </w:pPr>
      <w:r>
        <w:t>Measles, Mumps, Rubella (MMR) serology</w:t>
      </w:r>
    </w:p>
    <w:p w14:paraId="5D2602DC" w14:textId="687CFECB" w:rsidR="003310DA" w:rsidRDefault="003310DA" w:rsidP="00E10712">
      <w:pPr>
        <w:pStyle w:val="Bullet"/>
      </w:pPr>
      <w:r>
        <w:t>Cytomegalovirus (CMV) serology</w:t>
      </w:r>
    </w:p>
    <w:p w14:paraId="1648A04B" w14:textId="1E479255" w:rsidR="003310DA" w:rsidRDefault="003310DA" w:rsidP="00E10712">
      <w:pPr>
        <w:pStyle w:val="Bullet"/>
      </w:pPr>
      <w:r>
        <w:t>Epstein-Barr virus (EBV) serology</w:t>
      </w:r>
    </w:p>
    <w:p w14:paraId="7B3A2613" w14:textId="3AC57F86" w:rsidR="003310DA" w:rsidRDefault="003310DA" w:rsidP="00E10712">
      <w:pPr>
        <w:pStyle w:val="Bullet"/>
      </w:pPr>
      <w:r>
        <w:t>Varicella-zoster virus (VZV) serology</w:t>
      </w:r>
    </w:p>
    <w:p w14:paraId="6F9EBCA5" w14:textId="45BA1DCF" w:rsidR="00481A6C" w:rsidRPr="00481A6C" w:rsidRDefault="003310DA" w:rsidP="00E10712">
      <w:pPr>
        <w:pStyle w:val="Bullet"/>
      </w:pPr>
      <w:r>
        <w:t>Fasting lipids (for patients being consider for JAK inhibitor therapy)</w:t>
      </w:r>
      <w:r w:rsidR="00481A6C" w:rsidRPr="00481A6C">
        <w:t>.</w:t>
      </w:r>
    </w:p>
    <w:p w14:paraId="37B7E70D" w14:textId="77777777" w:rsidR="00481A6C" w:rsidRDefault="00481A6C" w:rsidP="0091462B">
      <w:pPr>
        <w:pStyle w:val="BodyCopy"/>
      </w:pPr>
      <w:hyperlink w:anchor="_top" w:history="1">
        <w:r w:rsidRPr="00481A6C">
          <w:rPr>
            <w:rStyle w:val="Hyperlink"/>
            <w:iCs w:val="0"/>
          </w:rPr>
          <w:t>Back to Contents</w:t>
        </w:r>
      </w:hyperlink>
    </w:p>
    <w:p w14:paraId="31880A30" w14:textId="517AF444" w:rsidR="00515187" w:rsidRDefault="00E10712" w:rsidP="00515187">
      <w:pPr>
        <w:pStyle w:val="Heading4"/>
      </w:pPr>
      <w:bookmarkStart w:id="7" w:name="_Toc225770623"/>
      <w:r>
        <w:lastRenderedPageBreak/>
        <w:t xml:space="preserve">Section 5 - </w:t>
      </w:r>
      <w:r w:rsidR="00852CC9" w:rsidRPr="00852CC9">
        <w:t>Salvage Therapy Assessment</w:t>
      </w:r>
      <w:bookmarkEnd w:id="7"/>
    </w:p>
    <w:p w14:paraId="208EA01C" w14:textId="77777777" w:rsidR="00F545E5" w:rsidRPr="00F545E5" w:rsidRDefault="00F545E5" w:rsidP="00F545E5">
      <w:pPr>
        <w:pStyle w:val="BodyCopy"/>
        <w:rPr>
          <w:lang w:eastAsia="en-US"/>
        </w:rPr>
      </w:pPr>
      <w:r w:rsidRPr="00F545E5">
        <w:rPr>
          <w:lang w:eastAsia="en-US"/>
        </w:rPr>
        <w:t>Patients failing to respond to systemic corticosteroid therapy undergo assessment at day 3 to determine requirement for salvage therapy or colectomy.</w:t>
      </w:r>
    </w:p>
    <w:p w14:paraId="1AA124D2" w14:textId="77777777" w:rsidR="00F545E5" w:rsidRPr="00F545E5" w:rsidRDefault="00F545E5" w:rsidP="00F545E5">
      <w:pPr>
        <w:pStyle w:val="BodyCopy"/>
        <w:rPr>
          <w:lang w:eastAsia="en-US"/>
        </w:rPr>
      </w:pPr>
      <w:r w:rsidRPr="00F545E5">
        <w:rPr>
          <w:lang w:eastAsia="en-US"/>
        </w:rPr>
        <w:t>Failure of systemic corticosteroids is determined by the Oxford criteria:</w:t>
      </w:r>
    </w:p>
    <w:p w14:paraId="330E4D2E" w14:textId="6D903A24" w:rsidR="00F545E5" w:rsidRPr="00F545E5" w:rsidRDefault="0068435D" w:rsidP="00E10712">
      <w:pPr>
        <w:pStyle w:val="Bullet"/>
        <w:rPr>
          <w:lang w:eastAsia="en-US"/>
        </w:rPr>
      </w:pPr>
      <w:r>
        <w:rPr>
          <w:lang w:eastAsia="en-US"/>
        </w:rPr>
        <w:t>m</w:t>
      </w:r>
      <w:r w:rsidR="00F545E5" w:rsidRPr="00F545E5">
        <w:rPr>
          <w:lang w:eastAsia="en-US"/>
        </w:rPr>
        <w:t>ore than eight stools per day</w:t>
      </w:r>
    </w:p>
    <w:p w14:paraId="46B39CBA" w14:textId="2F3F519E" w:rsidR="00F545E5" w:rsidRPr="00F545E5" w:rsidRDefault="0068435D" w:rsidP="00E10712">
      <w:pPr>
        <w:pStyle w:val="Bullet"/>
        <w:rPr>
          <w:lang w:eastAsia="en-US"/>
        </w:rPr>
      </w:pPr>
      <w:r>
        <w:rPr>
          <w:lang w:eastAsia="en-US"/>
        </w:rPr>
        <w:t>m</w:t>
      </w:r>
      <w:r w:rsidR="00F545E5" w:rsidRPr="00F545E5">
        <w:rPr>
          <w:lang w:eastAsia="en-US"/>
        </w:rPr>
        <w:t xml:space="preserve">ore than three stools per day with a CRP </w:t>
      </w:r>
      <w:r>
        <w:rPr>
          <w:lang w:eastAsia="en-US"/>
        </w:rPr>
        <w:t xml:space="preserve">greater than </w:t>
      </w:r>
      <w:r w:rsidR="00F545E5" w:rsidRPr="00F545E5">
        <w:rPr>
          <w:lang w:eastAsia="en-US"/>
        </w:rPr>
        <w:t>45 mg/L.</w:t>
      </w:r>
    </w:p>
    <w:p w14:paraId="042DAEBA" w14:textId="56E8273C" w:rsidR="00F545E5" w:rsidRPr="00F545E5" w:rsidRDefault="00F545E5" w:rsidP="00F545E5">
      <w:pPr>
        <w:pStyle w:val="BodyCopy"/>
        <w:rPr>
          <w:lang w:eastAsia="en-US"/>
        </w:rPr>
      </w:pPr>
      <w:r w:rsidRPr="00F545E5">
        <w:rPr>
          <w:lang w:eastAsia="en-US"/>
        </w:rPr>
        <w:t>Colectomy is predicted in 85% of the patients that meet one of these criteria</w:t>
      </w:r>
      <w:r w:rsidR="0068435D">
        <w:rPr>
          <w:lang w:eastAsia="en-US"/>
        </w:rPr>
        <w:t>.</w:t>
      </w:r>
      <w:r w:rsidRPr="00F545E5">
        <w:rPr>
          <w:vertAlign w:val="superscript"/>
          <w:lang w:eastAsia="en-US"/>
        </w:rPr>
        <w:t>8</w:t>
      </w:r>
    </w:p>
    <w:p w14:paraId="6794D0D6" w14:textId="77777777" w:rsidR="00F545E5" w:rsidRPr="00F545E5" w:rsidRDefault="00F545E5" w:rsidP="00F545E5">
      <w:pPr>
        <w:pStyle w:val="Heading5"/>
        <w:rPr>
          <w:lang w:eastAsia="en-US"/>
        </w:rPr>
      </w:pPr>
      <w:r w:rsidRPr="00F545E5">
        <w:rPr>
          <w:lang w:eastAsia="en-US"/>
        </w:rPr>
        <w:t>Salvage Therapies</w:t>
      </w:r>
    </w:p>
    <w:p w14:paraId="0AA347EE" w14:textId="77777777" w:rsidR="00F545E5" w:rsidRPr="00F545E5" w:rsidRDefault="00F545E5" w:rsidP="00F545E5">
      <w:pPr>
        <w:pStyle w:val="Heading6"/>
        <w:rPr>
          <w:lang w:eastAsia="en-US"/>
        </w:rPr>
      </w:pPr>
      <w:r w:rsidRPr="00F545E5">
        <w:rPr>
          <w:lang w:eastAsia="en-US"/>
        </w:rPr>
        <w:t>Infliximab</w:t>
      </w:r>
    </w:p>
    <w:p w14:paraId="0687C3E0" w14:textId="08A784E1" w:rsidR="00F545E5" w:rsidRPr="00F545E5" w:rsidRDefault="00F545E5" w:rsidP="005F1654">
      <w:pPr>
        <w:pStyle w:val="BodyCopy"/>
        <w:rPr>
          <w:lang w:eastAsia="en-US"/>
        </w:rPr>
      </w:pPr>
      <w:r w:rsidRPr="00F545E5">
        <w:rPr>
          <w:lang w:eastAsia="en-US"/>
        </w:rPr>
        <w:t xml:space="preserve">Infliximab is the main salvage therapy used in ASUC at </w:t>
      </w:r>
      <w:r w:rsidR="005B329A">
        <w:rPr>
          <w:lang w:eastAsia="en-US"/>
        </w:rPr>
        <w:t>t</w:t>
      </w:r>
      <w:r w:rsidRPr="00F545E5">
        <w:rPr>
          <w:lang w:eastAsia="en-US"/>
        </w:rPr>
        <w:t>he Canberra Hospital for patients with ASUC unresponsive to IV steroids. Newer agents such as tofacitinib and upadacitinib have also been shown to be effective in achieving remission in patients with ASUC. However, Infliximab remains currently the preferred salvage therapy. This remains in keeping with evidence based local and international guidelines. Infliximab is ordered through the digital health record as a weight-based medication. A phone call should be made to the pharmacy as early as possible to prepare for administration.</w:t>
      </w:r>
      <w:r w:rsidR="00DB5EDD">
        <w:rPr>
          <w:lang w:eastAsia="en-US"/>
        </w:rPr>
        <w:t xml:space="preserve"> For </w:t>
      </w:r>
      <w:r w:rsidR="008C4690">
        <w:rPr>
          <w:lang w:eastAsia="en-US"/>
        </w:rPr>
        <w:t xml:space="preserve">further </w:t>
      </w:r>
      <w:r w:rsidR="00DB5EDD">
        <w:rPr>
          <w:lang w:eastAsia="en-US"/>
        </w:rPr>
        <w:t xml:space="preserve">information on administering infliximab, refer to the </w:t>
      </w:r>
      <w:r w:rsidR="00DB5EDD" w:rsidRPr="00DB5EDD">
        <w:rPr>
          <w:i/>
          <w:iCs w:val="0"/>
          <w:lang w:eastAsia="en-US"/>
        </w:rPr>
        <w:t>Infliximab Administration Guidelines - Adults Only</w:t>
      </w:r>
      <w:r w:rsidR="00DB5EDD">
        <w:rPr>
          <w:lang w:eastAsia="en-US"/>
        </w:rPr>
        <w:t>, available on the Policy and Guidance Documents Register.</w:t>
      </w:r>
    </w:p>
    <w:p w14:paraId="305E7A7B" w14:textId="022383D4" w:rsidR="00F545E5" w:rsidRPr="00F545E5" w:rsidRDefault="00F545E5" w:rsidP="005F1654">
      <w:pPr>
        <w:pStyle w:val="BodyCopy"/>
        <w:rPr>
          <w:lang w:eastAsia="en-US"/>
        </w:rPr>
      </w:pPr>
      <w:r w:rsidRPr="00F545E5">
        <w:rPr>
          <w:lang w:eastAsia="en-US"/>
        </w:rPr>
        <w:t>The regimen for infliximab is an intravenous dose of 5mg/kg on day three if the patient has not responded to systemic corticosteroids. At day 3, IV corticosteroids should be stepped down to oral prednisolone 40mg daily. If responding to initial infliximab salvage therapy the standard induction should be completed with a following 5mg/kg dose at week 2 and 6 – IBD CNC to arrange these appointments as an outpatient.</w:t>
      </w:r>
    </w:p>
    <w:p w14:paraId="338D9F65" w14:textId="2A671425" w:rsidR="00F545E5" w:rsidRPr="00F545E5" w:rsidRDefault="00F545E5" w:rsidP="005F1654">
      <w:pPr>
        <w:pStyle w:val="BodyCopy"/>
        <w:rPr>
          <w:lang w:eastAsia="en-US"/>
        </w:rPr>
      </w:pPr>
      <w:r w:rsidRPr="00F545E5">
        <w:rPr>
          <w:lang w:eastAsia="en-US"/>
        </w:rPr>
        <w:t>Initial dose escalation of infliximab 10mg/kg should be considered in patients with severe disease – low serum albumin (</w:t>
      </w:r>
      <w:r w:rsidR="00170C9C">
        <w:rPr>
          <w:lang w:eastAsia="en-US"/>
        </w:rPr>
        <w:t xml:space="preserve">less than </w:t>
      </w:r>
      <w:r w:rsidRPr="00F545E5">
        <w:rPr>
          <w:lang w:eastAsia="en-US"/>
        </w:rPr>
        <w:t>35g/L), high CRP (</w:t>
      </w:r>
      <w:r w:rsidR="00170C9C">
        <w:rPr>
          <w:lang w:eastAsia="en-US"/>
        </w:rPr>
        <w:t>more than</w:t>
      </w:r>
      <w:r w:rsidRPr="00F545E5">
        <w:rPr>
          <w:lang w:eastAsia="en-US"/>
        </w:rPr>
        <w:t xml:space="preserve"> 50mg/L), Mayo 3 disease on endoscopic examination. The decision for initial dose escalation should be made in consultation with an IBD specialist gastroenterologist.</w:t>
      </w:r>
    </w:p>
    <w:p w14:paraId="02B20F16" w14:textId="31F7203A" w:rsidR="00F545E5" w:rsidRPr="00F545E5" w:rsidRDefault="00F545E5" w:rsidP="005F1654">
      <w:pPr>
        <w:pStyle w:val="BodyCopy"/>
        <w:rPr>
          <w:lang w:eastAsia="en-US"/>
        </w:rPr>
      </w:pPr>
      <w:r w:rsidRPr="0B7FA61F">
        <w:rPr>
          <w:lang w:eastAsia="en-US"/>
        </w:rPr>
        <w:t>Assessment of the efficacy of the salvage therapy should occur daily. If the patient’s condition deteriorates or fails to improve, consider either repeating salvage therapy with an escalated infliximab dose (10mg/kg) after a further three days (day 6) or discuss with surgeons</w:t>
      </w:r>
      <w:r w:rsidR="002D14D3" w:rsidRPr="0B7FA61F">
        <w:rPr>
          <w:lang w:eastAsia="en-US"/>
        </w:rPr>
        <w:t>.</w:t>
      </w:r>
      <w:r w:rsidR="00443DF9" w:rsidRPr="0B7FA61F">
        <w:rPr>
          <w:lang w:eastAsia="en-US"/>
        </w:rPr>
        <w:t xml:space="preserve"> Note that currently the 10mg/kg dose is not currently on the formulary and will require an </w:t>
      </w:r>
      <w:r w:rsidR="008325CD" w:rsidRPr="0B7FA61F">
        <w:rPr>
          <w:lang w:eastAsia="en-US"/>
        </w:rPr>
        <w:t>Independent Patient Use (</w:t>
      </w:r>
      <w:r w:rsidR="00443DF9" w:rsidRPr="0B7FA61F">
        <w:rPr>
          <w:lang w:eastAsia="en-US"/>
        </w:rPr>
        <w:t>IPU</w:t>
      </w:r>
      <w:r w:rsidR="008325CD" w:rsidRPr="0B7FA61F">
        <w:rPr>
          <w:lang w:eastAsia="en-US"/>
        </w:rPr>
        <w:t>)</w:t>
      </w:r>
      <w:r w:rsidR="00443DF9" w:rsidRPr="0B7FA61F">
        <w:rPr>
          <w:lang w:eastAsia="en-US"/>
        </w:rPr>
        <w:t xml:space="preserve"> form </w:t>
      </w:r>
      <w:r w:rsidR="008325CD" w:rsidRPr="0B7FA61F">
        <w:rPr>
          <w:lang w:eastAsia="en-US"/>
        </w:rPr>
        <w:t>(available on the Heal</w:t>
      </w:r>
      <w:r w:rsidR="000E6CC6" w:rsidRPr="0B7FA61F">
        <w:rPr>
          <w:lang w:eastAsia="en-US"/>
        </w:rPr>
        <w:t>t</w:t>
      </w:r>
      <w:r w:rsidR="008325CD" w:rsidRPr="0B7FA61F">
        <w:rPr>
          <w:lang w:eastAsia="en-US"/>
        </w:rPr>
        <w:t>hHub</w:t>
      </w:r>
      <w:r w:rsidR="00910EC5">
        <w:rPr>
          <w:lang w:eastAsia="en-US"/>
        </w:rPr>
        <w:t xml:space="preserve"> at </w:t>
      </w:r>
      <w:hyperlink r:id="rId11" w:history="1">
        <w:r w:rsidR="00910EC5" w:rsidRPr="00910EC5">
          <w:rPr>
            <w:rStyle w:val="Hyperlink"/>
            <w:lang w:eastAsia="en-US"/>
          </w:rPr>
          <w:t>Individual Patient Use (IPU) Application Form 2021.docx</w:t>
        </w:r>
      </w:hyperlink>
      <w:r w:rsidR="008325CD" w:rsidRPr="0B7FA61F">
        <w:rPr>
          <w:lang w:eastAsia="en-US"/>
        </w:rPr>
        <w:t xml:space="preserve">) </w:t>
      </w:r>
      <w:r w:rsidR="004751AF" w:rsidRPr="0B7FA61F">
        <w:rPr>
          <w:lang w:eastAsia="en-US"/>
        </w:rPr>
        <w:t>to be</w:t>
      </w:r>
      <w:r w:rsidR="00443DF9" w:rsidRPr="0B7FA61F">
        <w:rPr>
          <w:lang w:eastAsia="en-US"/>
        </w:rPr>
        <w:t xml:space="preserve"> submitted</w:t>
      </w:r>
      <w:r w:rsidR="008325CD" w:rsidRPr="0B7FA61F">
        <w:rPr>
          <w:lang w:eastAsia="en-US"/>
        </w:rPr>
        <w:t xml:space="preserve"> to the Drugs and Therapeutics Committee</w:t>
      </w:r>
      <w:r w:rsidR="00910EC5">
        <w:rPr>
          <w:lang w:eastAsia="en-US"/>
        </w:rPr>
        <w:t xml:space="preserve"> (DTC)</w:t>
      </w:r>
      <w:r w:rsidR="00443DF9" w:rsidRPr="0B7FA61F">
        <w:rPr>
          <w:lang w:eastAsia="en-US"/>
        </w:rPr>
        <w:t>.</w:t>
      </w:r>
    </w:p>
    <w:p w14:paraId="629E0FA8" w14:textId="3285D68F" w:rsidR="008545B5" w:rsidRDefault="00F545E5" w:rsidP="005F1654">
      <w:pPr>
        <w:pStyle w:val="BodyCopy"/>
        <w:rPr>
          <w:lang w:eastAsia="en-US"/>
        </w:rPr>
      </w:pPr>
      <w:r w:rsidRPr="00F545E5">
        <w:rPr>
          <w:lang w:eastAsia="en-US"/>
        </w:rPr>
        <w:t xml:space="preserve">When treating patients with ASUC who </w:t>
      </w:r>
      <w:r w:rsidR="004751AF" w:rsidRPr="00F545E5">
        <w:rPr>
          <w:lang w:eastAsia="en-US"/>
        </w:rPr>
        <w:t>previously failed infliximab</w:t>
      </w:r>
      <w:r w:rsidRPr="00F545E5">
        <w:rPr>
          <w:lang w:eastAsia="en-US"/>
        </w:rPr>
        <w:t xml:space="preserve">, consider Upadacitinib or Tofacitinib or discussion with specialist IBD gastroenterologist. At this stage any strategy should be </w:t>
      </w:r>
      <w:r w:rsidR="006B4337" w:rsidRPr="00F545E5">
        <w:rPr>
          <w:lang w:eastAsia="en-US"/>
        </w:rPr>
        <w:t>individualised and</w:t>
      </w:r>
      <w:r w:rsidRPr="00F545E5">
        <w:rPr>
          <w:lang w:eastAsia="en-US"/>
        </w:rPr>
        <w:t xml:space="preserve"> should be reviewed by an IBD specialist gastroenterologist.</w:t>
      </w:r>
      <w:r w:rsidR="008545B5">
        <w:rPr>
          <w:lang w:eastAsia="en-US"/>
        </w:rPr>
        <w:t xml:space="preserve"> </w:t>
      </w:r>
    </w:p>
    <w:p w14:paraId="0F383366" w14:textId="774DB464" w:rsidR="00F545E5" w:rsidRDefault="008545B5" w:rsidP="005F1654">
      <w:pPr>
        <w:pStyle w:val="BodyCopy"/>
        <w:rPr>
          <w:lang w:eastAsia="en-US"/>
        </w:rPr>
      </w:pPr>
      <w:r w:rsidRPr="008545B5">
        <w:rPr>
          <w:lang w:eastAsia="en-US"/>
        </w:rPr>
        <w:lastRenderedPageBreak/>
        <w:t>Recent data from the PREDICT-UC trial (NCT02770040) demonstrate that early infliximab levels and pharmacokinetic clearance are predictive of treatment outcomes in ASUC.</w:t>
      </w:r>
      <w:r w:rsidR="00883F42">
        <w:rPr>
          <w:vertAlign w:val="superscript"/>
          <w:lang w:eastAsia="en-US"/>
        </w:rPr>
        <w:t>9</w:t>
      </w:r>
      <w:r w:rsidRPr="008545B5">
        <w:rPr>
          <w:lang w:eastAsia="en-US"/>
        </w:rPr>
        <w:t xml:space="preserve"> Lower day 3 serum infliximab levels and high drug clearance were associated with increased risk of colectomy and reduced response to standard dosing. While clearance measurement is currently unavailable in our setting, point-of-care infliximab trough levels may assist in early risk stratification and guide dosing decisions.</w:t>
      </w:r>
    </w:p>
    <w:p w14:paraId="7A1877E0" w14:textId="77777777" w:rsidR="00F545E5" w:rsidRPr="00F545E5" w:rsidRDefault="00F545E5" w:rsidP="00F545E5">
      <w:pPr>
        <w:pStyle w:val="Heading6"/>
        <w:rPr>
          <w:lang w:eastAsia="en-US"/>
        </w:rPr>
      </w:pPr>
      <w:r w:rsidRPr="00F545E5">
        <w:rPr>
          <w:lang w:eastAsia="en-US"/>
        </w:rPr>
        <w:t>Janus kinase (JAK) inhibitors</w:t>
      </w:r>
    </w:p>
    <w:p w14:paraId="1AE1E8C6" w14:textId="03E33AD9" w:rsidR="00F545E5" w:rsidRPr="00F545E5" w:rsidRDefault="00F545E5" w:rsidP="005F1654">
      <w:pPr>
        <w:pStyle w:val="BodyCopy"/>
        <w:rPr>
          <w:lang w:eastAsia="en-US"/>
        </w:rPr>
      </w:pPr>
      <w:r w:rsidRPr="0B7FA61F">
        <w:rPr>
          <w:lang w:eastAsia="en-US"/>
        </w:rPr>
        <w:t>Tofacitinib and upadacitinib are oral Janus kinase (JAK) inhibitors that are highly effective for induction and maintenance of remission in patients with UC</w:t>
      </w:r>
      <w:r w:rsidR="00E53765" w:rsidRPr="0B7FA61F">
        <w:rPr>
          <w:lang w:eastAsia="en-US"/>
        </w:rPr>
        <w:t>.</w:t>
      </w:r>
      <w:r w:rsidRPr="0B7FA61F">
        <w:rPr>
          <w:vertAlign w:val="superscript"/>
          <w:lang w:eastAsia="en-US"/>
        </w:rPr>
        <w:t>10</w:t>
      </w:r>
      <w:r w:rsidRPr="0B7FA61F">
        <w:rPr>
          <w:lang w:eastAsia="en-US"/>
        </w:rPr>
        <w:t xml:space="preserve"> Like infliximab their onset of effect is </w:t>
      </w:r>
      <w:r w:rsidR="004751AF" w:rsidRPr="0B7FA61F">
        <w:rPr>
          <w:lang w:eastAsia="en-US"/>
        </w:rPr>
        <w:t>rapid and</w:t>
      </w:r>
      <w:r w:rsidRPr="0B7FA61F">
        <w:rPr>
          <w:lang w:eastAsia="en-US"/>
        </w:rPr>
        <w:t xml:space="preserve"> are playing an emerging role in the treatment of ASUC especially in patients with previous exposure to infliximab. They can also be considered if the patient has failed infliximab therapy. </w:t>
      </w:r>
      <w:r w:rsidR="00A27DFD" w:rsidRPr="0B7FA61F">
        <w:rPr>
          <w:lang w:eastAsia="en-US"/>
        </w:rPr>
        <w:t>Note that currently JAK in</w:t>
      </w:r>
      <w:r w:rsidR="004751AF" w:rsidRPr="0B7FA61F">
        <w:rPr>
          <w:lang w:eastAsia="en-US"/>
        </w:rPr>
        <w:t>hibitors are</w:t>
      </w:r>
      <w:r w:rsidR="00A27DFD" w:rsidRPr="0B7FA61F">
        <w:rPr>
          <w:lang w:eastAsia="en-US"/>
        </w:rPr>
        <w:t xml:space="preserve"> not currently on the formulary and will require an IPU form </w:t>
      </w:r>
      <w:r w:rsidR="004751AF" w:rsidRPr="0B7FA61F">
        <w:rPr>
          <w:lang w:eastAsia="en-US"/>
        </w:rPr>
        <w:t>to be</w:t>
      </w:r>
      <w:r w:rsidR="00A27DFD" w:rsidRPr="0B7FA61F">
        <w:rPr>
          <w:lang w:eastAsia="en-US"/>
        </w:rPr>
        <w:t xml:space="preserve"> submitted</w:t>
      </w:r>
      <w:r w:rsidR="00910EC5">
        <w:rPr>
          <w:lang w:eastAsia="en-US"/>
        </w:rPr>
        <w:t xml:space="preserve"> to the DTC</w:t>
      </w:r>
      <w:r w:rsidR="00A27DFD" w:rsidRPr="0B7FA61F">
        <w:rPr>
          <w:lang w:eastAsia="en-US"/>
        </w:rPr>
        <w:t>.</w:t>
      </w:r>
    </w:p>
    <w:p w14:paraId="1FEA6E44" w14:textId="09235315" w:rsidR="00F545E5" w:rsidRPr="00F545E5" w:rsidRDefault="004751AF" w:rsidP="005F1654">
      <w:pPr>
        <w:pStyle w:val="BodyCopy"/>
        <w:rPr>
          <w:lang w:eastAsia="en-US"/>
        </w:rPr>
      </w:pPr>
      <w:r w:rsidRPr="00F545E5">
        <w:rPr>
          <w:lang w:eastAsia="en-US"/>
        </w:rPr>
        <w:t>High dose</w:t>
      </w:r>
      <w:r w:rsidR="00F545E5" w:rsidRPr="00F545E5">
        <w:rPr>
          <w:lang w:eastAsia="en-US"/>
        </w:rPr>
        <w:t xml:space="preserve"> tofacitinib (10mg three times a day) has been shown to be effective</w:t>
      </w:r>
      <w:r w:rsidR="005F1654">
        <w:rPr>
          <w:lang w:eastAsia="en-US"/>
        </w:rPr>
        <w:t xml:space="preserve"> </w:t>
      </w:r>
      <w:r w:rsidR="00F545E5" w:rsidRPr="00F545E5">
        <w:rPr>
          <w:lang w:eastAsia="en-US"/>
        </w:rPr>
        <w:t>and safe in the treatment of ASUC</w:t>
      </w:r>
      <w:r w:rsidR="00E53765">
        <w:rPr>
          <w:lang w:eastAsia="en-US"/>
        </w:rPr>
        <w:t>.</w:t>
      </w:r>
      <w:r w:rsidR="00F545E5" w:rsidRPr="00F545E5">
        <w:rPr>
          <w:vertAlign w:val="superscript"/>
          <w:lang w:eastAsia="en-US"/>
        </w:rPr>
        <w:t>11</w:t>
      </w:r>
    </w:p>
    <w:p w14:paraId="04E9C7C7" w14:textId="64421500" w:rsidR="00F545E5" w:rsidRDefault="00F545E5" w:rsidP="005F1654">
      <w:pPr>
        <w:pStyle w:val="BodyCopy"/>
        <w:rPr>
          <w:vertAlign w:val="superscript"/>
          <w:lang w:eastAsia="en-US"/>
        </w:rPr>
      </w:pPr>
      <w:r w:rsidRPr="00F545E5">
        <w:rPr>
          <w:lang w:eastAsia="en-US"/>
        </w:rPr>
        <w:t>Upadacitinib at 45mg daily (standard induction dose) has emerging evidence for efficacy in</w:t>
      </w:r>
      <w:r w:rsidR="005F1654">
        <w:rPr>
          <w:lang w:eastAsia="en-US"/>
        </w:rPr>
        <w:t xml:space="preserve"> </w:t>
      </w:r>
      <w:r w:rsidRPr="00F545E5">
        <w:rPr>
          <w:lang w:eastAsia="en-US"/>
        </w:rPr>
        <w:t>patients with ASUC</w:t>
      </w:r>
      <w:r w:rsidR="00E53765">
        <w:rPr>
          <w:lang w:eastAsia="en-US"/>
        </w:rPr>
        <w:t>.</w:t>
      </w:r>
      <w:r w:rsidRPr="00F545E5">
        <w:rPr>
          <w:vertAlign w:val="superscript"/>
          <w:lang w:eastAsia="en-US"/>
        </w:rPr>
        <w:t>12</w:t>
      </w:r>
    </w:p>
    <w:p w14:paraId="5F4E864A" w14:textId="7F689DA1" w:rsidR="00DB7680" w:rsidRPr="00DB7680" w:rsidRDefault="00DB7680" w:rsidP="00DB7680">
      <w:pPr>
        <w:pStyle w:val="BodyCopy"/>
        <w:pBdr>
          <w:top w:val="single" w:sz="4" w:space="1" w:color="auto"/>
          <w:left w:val="single" w:sz="4" w:space="4" w:color="auto"/>
          <w:bottom w:val="single" w:sz="4" w:space="1" w:color="auto"/>
          <w:right w:val="single" w:sz="4" w:space="4" w:color="auto"/>
        </w:pBdr>
        <w:spacing w:after="0"/>
        <w:rPr>
          <w:rStyle w:val="Bold"/>
        </w:rPr>
      </w:pPr>
      <w:r w:rsidRPr="00DB7680">
        <w:rPr>
          <w:rStyle w:val="Bold"/>
        </w:rPr>
        <w:t>Alert:</w:t>
      </w:r>
    </w:p>
    <w:p w14:paraId="750FB31D" w14:textId="3B73AA06" w:rsidR="00DB7680" w:rsidRPr="00F545E5" w:rsidRDefault="00DB7680" w:rsidP="00DB7680">
      <w:pPr>
        <w:pStyle w:val="BodyCopy"/>
        <w:pBdr>
          <w:top w:val="single" w:sz="4" w:space="1" w:color="auto"/>
          <w:left w:val="single" w:sz="4" w:space="4" w:color="auto"/>
          <w:bottom w:val="single" w:sz="4" w:space="1" w:color="auto"/>
          <w:right w:val="single" w:sz="4" w:space="4" w:color="auto"/>
        </w:pBdr>
        <w:spacing w:after="0"/>
      </w:pPr>
      <w:r w:rsidRPr="0B7FA61F">
        <w:t>Tofacitinib and Upadacitinib come with a black box warning with their use in patients</w:t>
      </w:r>
      <w:r w:rsidRPr="0B7FA61F">
        <w:rPr>
          <w:vertAlign w:val="superscript"/>
        </w:rPr>
        <w:t>13</w:t>
      </w:r>
      <w:r w:rsidRPr="0B7FA61F">
        <w:t>:</w:t>
      </w:r>
    </w:p>
    <w:p w14:paraId="76574FED" w14:textId="77777777" w:rsidR="00DB7680" w:rsidRPr="00F545E5" w:rsidRDefault="00DB7680" w:rsidP="00DB7680">
      <w:pPr>
        <w:pStyle w:val="Bullet"/>
        <w:pBdr>
          <w:top w:val="single" w:sz="4" w:space="1" w:color="auto"/>
          <w:left w:val="single" w:sz="4" w:space="4" w:color="auto"/>
          <w:bottom w:val="single" w:sz="4" w:space="1" w:color="auto"/>
          <w:right w:val="single" w:sz="4" w:space="4" w:color="auto"/>
        </w:pBdr>
        <w:spacing w:after="0"/>
      </w:pPr>
      <w:r>
        <w:t>w</w:t>
      </w:r>
      <w:r w:rsidRPr="00F545E5">
        <w:t>ith history of atherosclerotic cardiovascular disease or other cardiovascular risk factors (such as current or past smokers).</w:t>
      </w:r>
    </w:p>
    <w:p w14:paraId="0EA222A0" w14:textId="77777777" w:rsidR="00DB7680" w:rsidRPr="00F545E5" w:rsidRDefault="00DB7680" w:rsidP="00DB7680">
      <w:pPr>
        <w:pStyle w:val="Bullet"/>
        <w:pBdr>
          <w:top w:val="single" w:sz="4" w:space="1" w:color="auto"/>
          <w:left w:val="single" w:sz="4" w:space="4" w:color="auto"/>
          <w:bottom w:val="single" w:sz="4" w:space="1" w:color="auto"/>
          <w:right w:val="single" w:sz="4" w:space="4" w:color="auto"/>
        </w:pBdr>
        <w:spacing w:after="0"/>
      </w:pPr>
      <w:r>
        <w:t>w</w:t>
      </w:r>
      <w:r w:rsidRPr="00F545E5">
        <w:t>ith current or history of cancer.</w:t>
      </w:r>
    </w:p>
    <w:p w14:paraId="7D16FA69" w14:textId="77777777" w:rsidR="00DB7680" w:rsidRPr="00F545E5" w:rsidRDefault="00DB7680" w:rsidP="00DB7680">
      <w:pPr>
        <w:pStyle w:val="Bullet"/>
        <w:pBdr>
          <w:top w:val="single" w:sz="4" w:space="1" w:color="auto"/>
          <w:left w:val="single" w:sz="4" w:space="4" w:color="auto"/>
          <w:bottom w:val="single" w:sz="4" w:space="1" w:color="auto"/>
          <w:right w:val="single" w:sz="4" w:space="4" w:color="auto"/>
        </w:pBdr>
        <w:spacing w:after="0"/>
      </w:pPr>
      <w:r>
        <w:t>w</w:t>
      </w:r>
      <w:r w:rsidRPr="00F545E5">
        <w:t>ho are 65 years of age and older.</w:t>
      </w:r>
    </w:p>
    <w:p w14:paraId="1F03555F" w14:textId="56D8F642" w:rsidR="00910EC5" w:rsidRPr="00910EC5" w:rsidRDefault="00DB7680" w:rsidP="00910EC5">
      <w:pPr>
        <w:pStyle w:val="BodyCopy"/>
        <w:rPr>
          <w:lang w:eastAsia="en-US"/>
        </w:rPr>
      </w:pPr>
      <w:r w:rsidRPr="0B7FA61F">
        <w:t>If any of these are present, advice should be sought from IBD specialist.</w:t>
      </w:r>
      <w:r w:rsidR="00A42D8E">
        <w:t xml:space="preserve"> </w:t>
      </w:r>
      <w:r w:rsidR="00F545E5" w:rsidRPr="0B7FA61F">
        <w:rPr>
          <w:lang w:eastAsia="en-US"/>
        </w:rPr>
        <w:t xml:space="preserve">Once started on JAK inhibitors, patient should receive a dose of varicella vaccination – this can be obtained in </w:t>
      </w:r>
      <w:r w:rsidR="00DB5EDD" w:rsidRPr="0B7FA61F">
        <w:rPr>
          <w:lang w:eastAsia="en-US"/>
        </w:rPr>
        <w:t>t</w:t>
      </w:r>
      <w:r w:rsidR="00F545E5" w:rsidRPr="0B7FA61F">
        <w:rPr>
          <w:lang w:eastAsia="en-US"/>
        </w:rPr>
        <w:t xml:space="preserve">he Canberra Hospital through </w:t>
      </w:r>
      <w:r w:rsidR="00910EC5" w:rsidRPr="00910EC5">
        <w:rPr>
          <w:lang w:eastAsia="en-US"/>
        </w:rPr>
        <w:t xml:space="preserve">completion of an IPU form and submission to the DTC. </w:t>
      </w:r>
    </w:p>
    <w:p w14:paraId="19AFA043" w14:textId="77777777" w:rsidR="00F545E5" w:rsidRPr="00F545E5" w:rsidRDefault="00F545E5" w:rsidP="00F545E5">
      <w:pPr>
        <w:pStyle w:val="Heading6"/>
        <w:rPr>
          <w:lang w:eastAsia="en-US"/>
        </w:rPr>
      </w:pPr>
      <w:r w:rsidRPr="00F545E5">
        <w:rPr>
          <w:lang w:eastAsia="en-US"/>
        </w:rPr>
        <w:t>Surgery</w:t>
      </w:r>
    </w:p>
    <w:p w14:paraId="45ADB182" w14:textId="5ED56776" w:rsidR="00F545E5" w:rsidRPr="00F545E5" w:rsidRDefault="00F545E5" w:rsidP="00547CF6">
      <w:pPr>
        <w:pStyle w:val="BodyCopy"/>
        <w:rPr>
          <w:lang w:eastAsia="en-US"/>
        </w:rPr>
      </w:pPr>
      <w:r w:rsidRPr="677F780F">
        <w:rPr>
          <w:lang w:eastAsia="en-US"/>
        </w:rPr>
        <w:t>If medical salvage therapy fails, or there are life-threatening complications of ASUC such as toxic megacolon or intra-abdominal perforation, then surgery is indicated. The operation of choice is a subtotal colectomy and end-</w:t>
      </w:r>
      <w:r w:rsidR="00A42D8E" w:rsidRPr="677F780F">
        <w:rPr>
          <w:lang w:eastAsia="en-US"/>
        </w:rPr>
        <w:t>ileostomy, but</w:t>
      </w:r>
      <w:r w:rsidRPr="677F780F">
        <w:rPr>
          <w:lang w:eastAsia="en-US"/>
        </w:rPr>
        <w:t xml:space="preserve"> is at the discretion of the operating consultant surgeon.</w:t>
      </w:r>
      <w:r w:rsidR="00E53765" w:rsidRPr="677F780F">
        <w:rPr>
          <w:vertAlign w:val="superscript"/>
          <w:lang w:eastAsia="en-US"/>
        </w:rPr>
        <w:t>14</w:t>
      </w:r>
      <w:r w:rsidRPr="677F780F">
        <w:rPr>
          <w:lang w:eastAsia="en-US"/>
        </w:rPr>
        <w:t xml:space="preserve"> This surgeon ideally should have experience in performing colectomies for ASUC. A stoma therapist should review the patient in preparation. Infliximab does not increase postoperative complications of colectomy, and surgery should not be deferred based on exposure to these medications.</w:t>
      </w:r>
    </w:p>
    <w:p w14:paraId="360F097A" w14:textId="3F9DC7DE" w:rsidR="00515187" w:rsidRDefault="00515187" w:rsidP="0091462B">
      <w:pPr>
        <w:pStyle w:val="BodyCopy"/>
      </w:pPr>
      <w:hyperlink w:anchor="_top" w:history="1">
        <w:r w:rsidRPr="00481A6C">
          <w:rPr>
            <w:rStyle w:val="Hyperlink"/>
            <w:iCs w:val="0"/>
          </w:rPr>
          <w:t>Back to Contents</w:t>
        </w:r>
      </w:hyperlink>
    </w:p>
    <w:p w14:paraId="306260DC" w14:textId="456E4D2B" w:rsidR="00E02086" w:rsidRPr="009B09CB" w:rsidRDefault="00E53765" w:rsidP="00E02086">
      <w:pPr>
        <w:pStyle w:val="Heading4"/>
      </w:pPr>
      <w:bookmarkStart w:id="8" w:name="_Toc225770624"/>
      <w:r>
        <w:t xml:space="preserve">Section 6 - </w:t>
      </w:r>
      <w:r w:rsidR="00E02086">
        <w:t>Follow-Up</w:t>
      </w:r>
      <w:bookmarkEnd w:id="8"/>
    </w:p>
    <w:p w14:paraId="2BC8A978" w14:textId="5790A031" w:rsidR="00E02086" w:rsidRPr="00E02086" w:rsidRDefault="00E02086" w:rsidP="00E02086">
      <w:pPr>
        <w:pStyle w:val="BodyCopy"/>
      </w:pPr>
      <w:r w:rsidRPr="00E02086">
        <w:lastRenderedPageBreak/>
        <w:t xml:space="preserve">Given the high risk of relapse after an episode of </w:t>
      </w:r>
      <w:r w:rsidR="00E53765">
        <w:t>ASUC</w:t>
      </w:r>
      <w:r w:rsidRPr="00E02086">
        <w:t>, short-term follow-up must be arranged prior to discharge</w:t>
      </w:r>
      <w:r w:rsidR="00E53765">
        <w:t>:</w:t>
      </w:r>
    </w:p>
    <w:p w14:paraId="4C1A27DA" w14:textId="23B2CCB4" w:rsidR="00E02086" w:rsidRPr="00E02086" w:rsidRDefault="00E02086" w:rsidP="00E53765">
      <w:pPr>
        <w:pStyle w:val="Bullet"/>
      </w:pPr>
      <w:r w:rsidRPr="00E02086">
        <w:t>Follow-up should occur within 2-4 weeks of discharge.</w:t>
      </w:r>
    </w:p>
    <w:p w14:paraId="2277A612" w14:textId="649C9623" w:rsidR="00E02086" w:rsidRPr="00E02086" w:rsidRDefault="00E02086" w:rsidP="00E53765">
      <w:pPr>
        <w:pStyle w:val="Bullet"/>
      </w:pPr>
      <w:r w:rsidRPr="00E02086">
        <w:t>Ideally, this review should be with a gastroenterologist experienced in IBD management, either in the public outpatient clinic or through a private specialist</w:t>
      </w:r>
      <w:r>
        <w:t xml:space="preserve"> clinic.</w:t>
      </w:r>
    </w:p>
    <w:p w14:paraId="632ACC24" w14:textId="77777777" w:rsidR="00E02086" w:rsidRPr="00E02086" w:rsidRDefault="00E02086" w:rsidP="00E53765">
      <w:pPr>
        <w:pStyle w:val="Bullet"/>
      </w:pPr>
      <w:r w:rsidRPr="00E02086">
        <w:t xml:space="preserve">The follow-up visit should include: </w:t>
      </w:r>
    </w:p>
    <w:p w14:paraId="7BE6657B" w14:textId="6FC49EF0" w:rsidR="00E02086" w:rsidRPr="00E02086" w:rsidRDefault="00E53765" w:rsidP="00E53765">
      <w:pPr>
        <w:pStyle w:val="Bullet"/>
        <w:numPr>
          <w:ilvl w:val="1"/>
          <w:numId w:val="1"/>
        </w:numPr>
      </w:pPr>
      <w:r>
        <w:t>c</w:t>
      </w:r>
      <w:r w:rsidR="00E02086" w:rsidRPr="00E02086">
        <w:t>linical assessment of symptoms and recovery</w:t>
      </w:r>
    </w:p>
    <w:p w14:paraId="50D008CF" w14:textId="09071531" w:rsidR="00E02086" w:rsidRPr="00E02086" w:rsidRDefault="00E53765" w:rsidP="00E53765">
      <w:pPr>
        <w:pStyle w:val="Bullet"/>
        <w:numPr>
          <w:ilvl w:val="1"/>
          <w:numId w:val="1"/>
        </w:numPr>
      </w:pPr>
      <w:r>
        <w:t>r</w:t>
      </w:r>
      <w:r w:rsidR="00E02086" w:rsidRPr="00E02086">
        <w:t>eview of maintenance therapy and adherence</w:t>
      </w:r>
    </w:p>
    <w:p w14:paraId="3D9C4DD3" w14:textId="4FA1B0C3" w:rsidR="00E02086" w:rsidRDefault="00E53765" w:rsidP="00E53765">
      <w:pPr>
        <w:pStyle w:val="Bullet"/>
        <w:numPr>
          <w:ilvl w:val="1"/>
          <w:numId w:val="1"/>
        </w:numPr>
      </w:pPr>
      <w:r>
        <w:t>m</w:t>
      </w:r>
      <w:r w:rsidR="00E02086" w:rsidRPr="00E02086">
        <w:t>onitoring for complications or need for treatment escalation</w:t>
      </w:r>
      <w:r w:rsidR="00E02086">
        <w:t>.</w:t>
      </w:r>
    </w:p>
    <w:p w14:paraId="5E6792B4" w14:textId="1B9AB811" w:rsidR="00E53765" w:rsidRPr="00E02086" w:rsidRDefault="00E53765" w:rsidP="00E53765">
      <w:pPr>
        <w:pStyle w:val="BodyCopy"/>
      </w:pPr>
      <w:hyperlink w:anchor="_top" w:history="1">
        <w:r w:rsidRPr="00481A6C">
          <w:rPr>
            <w:rStyle w:val="Hyperlink"/>
            <w:iCs w:val="0"/>
          </w:rPr>
          <w:t>Back to Contents</w:t>
        </w:r>
      </w:hyperlink>
    </w:p>
    <w:p w14:paraId="2527A0C9" w14:textId="449113C7" w:rsidR="0078367D" w:rsidRPr="009B09CB" w:rsidRDefault="0078367D" w:rsidP="00A6051F">
      <w:pPr>
        <w:pStyle w:val="Heading4"/>
      </w:pPr>
      <w:bookmarkStart w:id="9" w:name="_Toc176348490"/>
      <w:bookmarkStart w:id="10" w:name="_Toc225770625"/>
      <w:r w:rsidRPr="009B09CB">
        <w:t>Evaluation</w:t>
      </w:r>
      <w:bookmarkStart w:id="11" w:name="_Hlk43366294"/>
      <w:bookmarkEnd w:id="9"/>
      <w:bookmarkEnd w:id="10"/>
    </w:p>
    <w:p w14:paraId="36A59BA7" w14:textId="77777777" w:rsidR="00481A6C" w:rsidRDefault="00481A6C" w:rsidP="00C34A10">
      <w:pPr>
        <w:pStyle w:val="Heading5"/>
      </w:pPr>
      <w:bookmarkStart w:id="12" w:name="_Hlk170467190"/>
      <w:bookmarkEnd w:id="11"/>
      <w:r w:rsidRPr="009B09CB">
        <w:t>Outcome</w:t>
      </w:r>
    </w:p>
    <w:p w14:paraId="7AE11F69" w14:textId="77777777" w:rsidR="008D0CE5" w:rsidRDefault="008D0CE5" w:rsidP="0068435D">
      <w:pPr>
        <w:pStyle w:val="Bullet"/>
      </w:pPr>
      <w:r>
        <w:t>ASUC patients will be managed according to this procedure across CHS facilities.</w:t>
      </w:r>
    </w:p>
    <w:p w14:paraId="7BCD56F9" w14:textId="3279849C" w:rsidR="008D0CE5" w:rsidRDefault="008D0CE5" w:rsidP="0068435D">
      <w:pPr>
        <w:pStyle w:val="Bullet"/>
      </w:pPr>
      <w:r>
        <w:t>Timely diagnosis and initiation of evidence-based therapy will be achieved.</w:t>
      </w:r>
    </w:p>
    <w:p w14:paraId="0F8E7902" w14:textId="77777777" w:rsidR="008D0CE5" w:rsidRDefault="008D0CE5" w:rsidP="0068435D">
      <w:pPr>
        <w:pStyle w:val="Bullet"/>
      </w:pPr>
      <w:r>
        <w:t>Day 3 assessment for steroid response and salvage therapy will be consistently performed.</w:t>
      </w:r>
    </w:p>
    <w:p w14:paraId="67C50097" w14:textId="77777777" w:rsidR="008D0CE5" w:rsidRDefault="008D0CE5" w:rsidP="0068435D">
      <w:pPr>
        <w:pStyle w:val="Bullet"/>
      </w:pPr>
      <w:r>
        <w:t>Appropriate infliximab dosing and monitoring will be implemented as per protocol.</w:t>
      </w:r>
    </w:p>
    <w:p w14:paraId="0BB489E9" w14:textId="77777777" w:rsidR="008D0CE5" w:rsidRDefault="008D0CE5" w:rsidP="0068435D">
      <w:pPr>
        <w:pStyle w:val="Bullet"/>
      </w:pPr>
      <w:r>
        <w:t>Multidisciplinary involvement (gastroenterology, colorectal surgery, dietetics, pharmacy) will occur for all ASUC admissions.</w:t>
      </w:r>
    </w:p>
    <w:p w14:paraId="79E79C37" w14:textId="281B5616" w:rsidR="008D0CE5" w:rsidRPr="008D0CE5" w:rsidRDefault="008D0CE5" w:rsidP="0068435D">
      <w:pPr>
        <w:pStyle w:val="Bullet"/>
      </w:pPr>
      <w:r>
        <w:t xml:space="preserve">Reduction in variability of care </w:t>
      </w:r>
      <w:r w:rsidRPr="008D0CE5">
        <w:t>and</w:t>
      </w:r>
      <w:r>
        <w:t xml:space="preserve"> improvement in clinical outcomes, including decreased colectomy rates and complications.</w:t>
      </w:r>
    </w:p>
    <w:p w14:paraId="78C13FF4" w14:textId="77777777" w:rsidR="00481A6C" w:rsidRDefault="00C34A10" w:rsidP="00C34A10">
      <w:pPr>
        <w:pStyle w:val="Heading5"/>
      </w:pPr>
      <w:bookmarkStart w:id="13" w:name="_Hlk170467240"/>
      <w:bookmarkEnd w:id="12"/>
      <w:r w:rsidRPr="009B09CB">
        <w:t>Measures</w:t>
      </w:r>
    </w:p>
    <w:p w14:paraId="1910986A" w14:textId="7DE7D771" w:rsidR="008D0CE5" w:rsidRDefault="008D0CE5" w:rsidP="0068435D">
      <w:pPr>
        <w:pStyle w:val="Bullet"/>
      </w:pPr>
      <w:r>
        <w:t xml:space="preserve">Audit of inpatient records </w:t>
      </w:r>
      <w:r w:rsidR="00910EC5">
        <w:t>after 12</w:t>
      </w:r>
      <w:r w:rsidR="000A495B">
        <w:t xml:space="preserve"> to </w:t>
      </w:r>
      <w:r w:rsidR="00910EC5">
        <w:t xml:space="preserve">24 months </w:t>
      </w:r>
      <w:r>
        <w:t>to confirm adherence to key steps:</w:t>
      </w:r>
    </w:p>
    <w:p w14:paraId="2CB3D301" w14:textId="77777777" w:rsidR="008D0CE5" w:rsidRDefault="008D0CE5" w:rsidP="0068435D">
      <w:pPr>
        <w:pStyle w:val="Bullet"/>
        <w:numPr>
          <w:ilvl w:val="1"/>
          <w:numId w:val="1"/>
        </w:numPr>
      </w:pPr>
      <w:r>
        <w:t>Documentation of Truelove and Witts criteria on admission.</w:t>
      </w:r>
    </w:p>
    <w:p w14:paraId="09B2A58F" w14:textId="77777777" w:rsidR="008D0CE5" w:rsidRDefault="008D0CE5" w:rsidP="0068435D">
      <w:pPr>
        <w:pStyle w:val="Bullet"/>
        <w:numPr>
          <w:ilvl w:val="1"/>
          <w:numId w:val="1"/>
        </w:numPr>
      </w:pPr>
      <w:r>
        <w:t>Initiation of IV corticosteroids within recommended timeframe.</w:t>
      </w:r>
    </w:p>
    <w:p w14:paraId="4004E42D" w14:textId="77777777" w:rsidR="00DB7680" w:rsidRDefault="008D0CE5" w:rsidP="00DB7680">
      <w:pPr>
        <w:pStyle w:val="Bullet"/>
        <w:numPr>
          <w:ilvl w:val="1"/>
          <w:numId w:val="1"/>
        </w:numPr>
      </w:pPr>
      <w:r>
        <w:t>Day 3 assessment for salvage therapy documentation</w:t>
      </w:r>
      <w:r w:rsidR="00910EC5">
        <w:t>.</w:t>
      </w:r>
    </w:p>
    <w:p w14:paraId="713D348C" w14:textId="18E5B95D" w:rsidR="00910EC5" w:rsidRPr="00910EC5" w:rsidRDefault="00910EC5" w:rsidP="00DB7680">
      <w:pPr>
        <w:pStyle w:val="Bullet"/>
        <w:numPr>
          <w:ilvl w:val="1"/>
          <w:numId w:val="1"/>
        </w:numPr>
      </w:pPr>
      <w:r w:rsidRPr="00DB7680">
        <w:t>Review of colectomy rates and length of stay for ASUC patients.</w:t>
      </w:r>
    </w:p>
    <w:p w14:paraId="3B223A09" w14:textId="37267B8F" w:rsidR="008D0CE5" w:rsidRDefault="008D0CE5" w:rsidP="0B7FA61F">
      <w:pPr>
        <w:pStyle w:val="Bullet"/>
      </w:pPr>
      <w:r>
        <w:t>Appropriate infliximab dosing and monitoring as per protocol.</w:t>
      </w:r>
    </w:p>
    <w:p w14:paraId="441AB440" w14:textId="41D8145D" w:rsidR="008D0CE5" w:rsidRPr="008D0CE5" w:rsidRDefault="008D0CE5" w:rsidP="0068435D">
      <w:pPr>
        <w:pStyle w:val="Bullet"/>
      </w:pPr>
      <w:r>
        <w:t>Feedback from gastroenterology team and multidisciplinary reviews.</w:t>
      </w:r>
    </w:p>
    <w:bookmarkEnd w:id="13"/>
    <w:p w14:paraId="716974CC" w14:textId="77777777" w:rsidR="00481A6C" w:rsidRDefault="00481A6C" w:rsidP="002D7682">
      <w:pPr>
        <w:pStyle w:val="BodyCopy"/>
        <w:spacing w:after="120"/>
      </w:pPr>
      <w:r>
        <w:fldChar w:fldCharType="begin"/>
      </w:r>
      <w:r>
        <w:instrText>HYPERLINK \l "_top"</w:instrText>
      </w:r>
      <w:r>
        <w:fldChar w:fldCharType="separate"/>
      </w:r>
      <w:r w:rsidRPr="009B09CB">
        <w:rPr>
          <w:rStyle w:val="Hyperlink"/>
          <w:iCs w:val="0"/>
        </w:rPr>
        <w:t>Back to Contents</w:t>
      </w:r>
      <w:r>
        <w:fldChar w:fldCharType="end"/>
      </w:r>
    </w:p>
    <w:p w14:paraId="75B2BBC7" w14:textId="77777777" w:rsidR="00A6051F" w:rsidRPr="009B09CB" w:rsidRDefault="00A6051F" w:rsidP="00A6051F">
      <w:pPr>
        <w:pStyle w:val="Heading4"/>
      </w:pPr>
      <w:bookmarkStart w:id="14" w:name="_Toc225770626"/>
      <w:r w:rsidRPr="009B09CB">
        <w:t>Related policies, procedures, guidelines and legislation</w:t>
      </w:r>
      <w:bookmarkEnd w:id="14"/>
    </w:p>
    <w:p w14:paraId="3782F3C8" w14:textId="77777777" w:rsidR="00481A6C" w:rsidRPr="009B09CB" w:rsidRDefault="00481A6C" w:rsidP="00A6051F">
      <w:pPr>
        <w:pStyle w:val="Heading5"/>
      </w:pPr>
      <w:r w:rsidRPr="009B09CB">
        <w:t>Policies</w:t>
      </w:r>
    </w:p>
    <w:p w14:paraId="35CF09D6" w14:textId="143CC637" w:rsidR="00A86197" w:rsidRPr="009B09CB" w:rsidRDefault="000E6CC6" w:rsidP="00A86197">
      <w:pPr>
        <w:pStyle w:val="Bullet"/>
        <w:numPr>
          <w:ilvl w:val="0"/>
          <w:numId w:val="26"/>
        </w:numPr>
      </w:pPr>
      <w:r>
        <w:t>Medication Handling</w:t>
      </w:r>
    </w:p>
    <w:p w14:paraId="62B929D6" w14:textId="77777777" w:rsidR="00481A6C" w:rsidRPr="009B09CB" w:rsidRDefault="00481A6C" w:rsidP="00A6051F">
      <w:pPr>
        <w:pStyle w:val="Heading5"/>
      </w:pPr>
      <w:r w:rsidRPr="009B09CB">
        <w:lastRenderedPageBreak/>
        <w:t>Procedures</w:t>
      </w:r>
    </w:p>
    <w:p w14:paraId="7486E170" w14:textId="21013BF2" w:rsidR="00481A6C" w:rsidRPr="009B09CB" w:rsidRDefault="00635114" w:rsidP="000E7683">
      <w:pPr>
        <w:pStyle w:val="Bullet"/>
      </w:pPr>
      <w:r w:rsidRPr="009B09CB">
        <w:t>Infection Prevention and Control</w:t>
      </w:r>
    </w:p>
    <w:p w14:paraId="758378B3" w14:textId="3DF44041" w:rsidR="00481A6C" w:rsidRDefault="00481A6C" w:rsidP="000E7683">
      <w:pPr>
        <w:pStyle w:val="Bullet"/>
      </w:pPr>
      <w:r w:rsidRPr="009B09CB">
        <w:t xml:space="preserve">Patient Identification and </w:t>
      </w:r>
      <w:r w:rsidR="000E6CC6">
        <w:t>Health Care Activity</w:t>
      </w:r>
      <w:r w:rsidR="000E6CC6" w:rsidRPr="009B09CB">
        <w:t xml:space="preserve"> </w:t>
      </w:r>
      <w:r w:rsidRPr="009B09CB">
        <w:t xml:space="preserve">Matching </w:t>
      </w:r>
    </w:p>
    <w:p w14:paraId="6817C82C" w14:textId="3577BBDB" w:rsidR="000E6CC6" w:rsidRDefault="000E6CC6" w:rsidP="000E7683">
      <w:pPr>
        <w:pStyle w:val="Bullet"/>
      </w:pPr>
      <w:r>
        <w:t>Vital Signs and Early Warning Scores – the Canberra Hospital Inpatients</w:t>
      </w:r>
    </w:p>
    <w:p w14:paraId="71CBCED4" w14:textId="2F7BC2F7" w:rsidR="000E6CC6" w:rsidRPr="009B09CB" w:rsidRDefault="000E6CC6" w:rsidP="008D0CE5">
      <w:pPr>
        <w:pStyle w:val="Bullet"/>
      </w:pPr>
      <w:r>
        <w:t>Vital Signs and Early Warning Scores – North Canberra Hospital</w:t>
      </w:r>
    </w:p>
    <w:p w14:paraId="4FBA6456" w14:textId="77777777" w:rsidR="00481A6C" w:rsidRPr="009B09CB" w:rsidRDefault="00481A6C" w:rsidP="00A6051F">
      <w:pPr>
        <w:pStyle w:val="Heading5"/>
      </w:pPr>
      <w:r w:rsidRPr="009B09CB">
        <w:t xml:space="preserve">Guidelines </w:t>
      </w:r>
    </w:p>
    <w:p w14:paraId="3CA81414" w14:textId="77777777" w:rsidR="009746B1" w:rsidRDefault="009746B1" w:rsidP="009746B1">
      <w:pPr>
        <w:pStyle w:val="Bullet"/>
      </w:pPr>
      <w:r w:rsidRPr="009B09CB">
        <w:t>Consent for Healthcare Treatment</w:t>
      </w:r>
    </w:p>
    <w:p w14:paraId="15F89BB1" w14:textId="07D4F59A" w:rsidR="00E10712" w:rsidRPr="000E6CC6" w:rsidRDefault="00E10712" w:rsidP="000E6CC6">
      <w:pPr>
        <w:pStyle w:val="Bullet"/>
        <w:rPr>
          <w:i/>
        </w:rPr>
      </w:pPr>
      <w:r w:rsidRPr="00060FB8">
        <w:t xml:space="preserve">Infliximab </w:t>
      </w:r>
      <w:r>
        <w:t>Administration</w:t>
      </w:r>
      <w:r w:rsidRPr="00060FB8">
        <w:t xml:space="preserve"> Guideline</w:t>
      </w:r>
      <w:r>
        <w:t>s</w:t>
      </w:r>
      <w:r w:rsidRPr="00060FB8">
        <w:t xml:space="preserve"> - </w:t>
      </w:r>
      <w:r w:rsidRPr="00E10712">
        <w:t>Adults Only</w:t>
      </w:r>
    </w:p>
    <w:p w14:paraId="17171F21" w14:textId="77777777" w:rsidR="00481A6C" w:rsidRPr="009B09CB" w:rsidRDefault="00481A6C" w:rsidP="00A6051F">
      <w:pPr>
        <w:pStyle w:val="Heading5"/>
      </w:pPr>
      <w:r w:rsidRPr="009B09CB">
        <w:t>Legislation</w:t>
      </w:r>
    </w:p>
    <w:p w14:paraId="6D1202FC" w14:textId="77777777" w:rsidR="00481A6C" w:rsidRPr="009B09CB" w:rsidRDefault="00481A6C" w:rsidP="000E7683">
      <w:pPr>
        <w:pStyle w:val="Bullet"/>
      </w:pPr>
      <w:r w:rsidRPr="009B09CB">
        <w:rPr>
          <w:i/>
          <w:iCs/>
        </w:rPr>
        <w:t>Health Records (Privacy and Access) Act</w:t>
      </w:r>
      <w:r w:rsidRPr="009B09CB">
        <w:t xml:space="preserve"> 1997</w:t>
      </w:r>
    </w:p>
    <w:p w14:paraId="6709811E" w14:textId="77777777" w:rsidR="00481A6C" w:rsidRPr="009B09CB" w:rsidRDefault="00481A6C" w:rsidP="000E7683">
      <w:pPr>
        <w:pStyle w:val="Bullet"/>
      </w:pPr>
      <w:r w:rsidRPr="009B09CB">
        <w:rPr>
          <w:i/>
          <w:iCs/>
        </w:rPr>
        <w:t>Human Rights Act</w:t>
      </w:r>
      <w:r w:rsidRPr="009B09CB">
        <w:t xml:space="preserve"> 2004</w:t>
      </w:r>
    </w:p>
    <w:p w14:paraId="72AB5A99" w14:textId="77777777" w:rsidR="00481A6C" w:rsidRPr="009B09CB" w:rsidRDefault="00481A6C" w:rsidP="000E7683">
      <w:pPr>
        <w:pStyle w:val="Bullet"/>
      </w:pPr>
      <w:r w:rsidRPr="009B09CB">
        <w:rPr>
          <w:i/>
          <w:iCs/>
        </w:rPr>
        <w:t>Work Health and Safety Act</w:t>
      </w:r>
      <w:r w:rsidRPr="009B09CB">
        <w:t xml:space="preserve"> 2011</w:t>
      </w:r>
    </w:p>
    <w:p w14:paraId="32BFA5B4" w14:textId="77777777" w:rsidR="00481A6C" w:rsidRPr="009B09CB" w:rsidRDefault="00481A6C" w:rsidP="000E7683">
      <w:pPr>
        <w:pStyle w:val="Bullet"/>
      </w:pPr>
      <w:r w:rsidRPr="009B09CB">
        <w:rPr>
          <w:i/>
          <w:iCs/>
        </w:rPr>
        <w:t>Carers Recognition Act</w:t>
      </w:r>
      <w:r w:rsidRPr="009B09CB">
        <w:t xml:space="preserve"> 2021</w:t>
      </w:r>
    </w:p>
    <w:p w14:paraId="7D44C99F" w14:textId="77777777" w:rsidR="00481A6C" w:rsidRPr="009B09CB" w:rsidRDefault="00481A6C" w:rsidP="00A6051F">
      <w:pPr>
        <w:pStyle w:val="Heading5"/>
      </w:pPr>
      <w:r w:rsidRPr="009B09CB">
        <w:t>Other</w:t>
      </w:r>
    </w:p>
    <w:p w14:paraId="52F7D3CB" w14:textId="77777777" w:rsidR="000E7683" w:rsidRPr="009B09CB" w:rsidRDefault="00481A6C" w:rsidP="00A66966">
      <w:pPr>
        <w:pStyle w:val="Bullet"/>
      </w:pPr>
      <w:r w:rsidRPr="009B09CB">
        <w:t>Australian Charter of Healthcare Right</w:t>
      </w:r>
      <w:r w:rsidR="00280C5D" w:rsidRPr="009B09CB">
        <w:t>s</w:t>
      </w:r>
    </w:p>
    <w:p w14:paraId="0884F67B" w14:textId="77777777" w:rsidR="000E7683" w:rsidRPr="000E7683" w:rsidRDefault="000E7683" w:rsidP="002D7682">
      <w:pPr>
        <w:pStyle w:val="BodyCopy"/>
      </w:pPr>
      <w:hyperlink w:anchor="_top" w:history="1">
        <w:r w:rsidRPr="004A7A7F">
          <w:rPr>
            <w:rStyle w:val="Hyperlink"/>
          </w:rPr>
          <w:t>Back to Contents</w:t>
        </w:r>
      </w:hyperlink>
    </w:p>
    <w:p w14:paraId="6FF07717" w14:textId="77777777" w:rsidR="0078367D" w:rsidRPr="0078367D" w:rsidRDefault="0078367D" w:rsidP="00A6051F">
      <w:pPr>
        <w:pStyle w:val="Heading4"/>
      </w:pPr>
      <w:bookmarkStart w:id="15" w:name="_Toc225770627"/>
      <w:r w:rsidRPr="0078367D">
        <w:t>References</w:t>
      </w:r>
      <w:bookmarkEnd w:id="15"/>
    </w:p>
    <w:p w14:paraId="585B6CCA" w14:textId="311040FF" w:rsidR="00715B55" w:rsidRPr="00832900" w:rsidRDefault="00715B55" w:rsidP="0068435D">
      <w:pPr>
        <w:pStyle w:val="Numberedlist"/>
        <w:rPr>
          <w:noProof/>
        </w:rPr>
      </w:pPr>
      <w:r w:rsidRPr="00832900">
        <w:rPr>
          <w:rFonts w:eastAsiaTheme="minorHAnsi"/>
          <w:color w:val="auto"/>
          <w:kern w:val="2"/>
          <w:lang w:val="en-US" w:eastAsia="en-US"/>
          <w14:ligatures w14:val="standardContextual"/>
        </w:rPr>
        <w:fldChar w:fldCharType="begin"/>
      </w:r>
      <w:r w:rsidRPr="00832900">
        <w:instrText xml:space="preserve"> ADDIN EN.REFLIST </w:instrText>
      </w:r>
      <w:r w:rsidRPr="00832900">
        <w:rPr>
          <w:rFonts w:eastAsiaTheme="minorHAnsi"/>
          <w:color w:val="auto"/>
          <w:kern w:val="2"/>
          <w:lang w:val="en-US" w:eastAsia="en-US"/>
          <w14:ligatures w14:val="standardContextual"/>
        </w:rPr>
        <w:fldChar w:fldCharType="separate"/>
      </w:r>
      <w:r w:rsidRPr="00832900">
        <w:rPr>
          <w:noProof/>
        </w:rPr>
        <w:t>Sandborn WJ, Ghosh S, Panes J, Schreiber S, D’Haens G, Tanida S, et al. Efficacy of upadacitinib in a randomized trial of patients with active ulcerative colitis. Gastroenterology. 2020;158(8):2139-49. e14.</w:t>
      </w:r>
    </w:p>
    <w:p w14:paraId="5760F764" w14:textId="5E9E3B5C" w:rsidR="00715B55" w:rsidRPr="00832900" w:rsidRDefault="00715B55" w:rsidP="0068435D">
      <w:pPr>
        <w:pStyle w:val="Numberedlist"/>
        <w:rPr>
          <w:noProof/>
        </w:rPr>
      </w:pPr>
      <w:r w:rsidRPr="00832900">
        <w:rPr>
          <w:noProof/>
        </w:rPr>
        <w:t>Truelove S, Witts L. Cortisone in ulcerative colitis. British medical journal. 1954;2(4884):375.</w:t>
      </w:r>
    </w:p>
    <w:p w14:paraId="0F517D3B" w14:textId="7E352043" w:rsidR="00715B55" w:rsidRPr="0068435D" w:rsidRDefault="00715B55" w:rsidP="0068435D">
      <w:pPr>
        <w:pStyle w:val="Numberedlist"/>
        <w:rPr>
          <w:shd w:val="clear" w:color="auto" w:fill="FFFFFF"/>
        </w:rPr>
      </w:pPr>
      <w:r w:rsidRPr="00832900">
        <w:rPr>
          <w:shd w:val="clear" w:color="auto" w:fill="FFFFFF"/>
        </w:rPr>
        <w:t>Solberg IC, Lygren I, Jahnsen J, Aadland E, Høie O, Cvancarova M, Bernklev T, Henriksen M, Sauar J, Vatn MH, Moum B; IBSEN Study Group. Clinical course during the first 10 years of ulcerative colitis: results from a population-based inception cohort (IBSEN Study). Scand J Gastroenterol. 2009;44(4):431-40. doi: 10.1080/00365520802600961</w:t>
      </w:r>
    </w:p>
    <w:p w14:paraId="443DE992" w14:textId="37CBCA9D" w:rsidR="00715B55" w:rsidRPr="00832900" w:rsidRDefault="00715B55" w:rsidP="0068435D">
      <w:pPr>
        <w:pStyle w:val="Numberedlist"/>
        <w:rPr>
          <w:noProof/>
        </w:rPr>
      </w:pPr>
      <w:r w:rsidRPr="00832900">
        <w:rPr>
          <w:shd w:val="clear" w:color="auto" w:fill="FFFFFF"/>
        </w:rPr>
        <w:t xml:space="preserve">Turner D, Walsh CM, Steinhart AH, Griffiths AM. Response to corticosteroids in severe ulcerative colitis: a systematic review of the literature and a meta-regression. Clin Gastroenterol Hepatol. 2007 Jan;5(1):103-10. doi: 10.1016/j.cgh.2006.09.033. Epub 2006 Dec 4. </w:t>
      </w:r>
    </w:p>
    <w:p w14:paraId="3FD8CB2B" w14:textId="2E902905" w:rsidR="00715B55" w:rsidRPr="00832900" w:rsidRDefault="00715B55" w:rsidP="0068435D">
      <w:pPr>
        <w:pStyle w:val="Numberedlist"/>
      </w:pPr>
      <w:r w:rsidRPr="00832900">
        <w:fldChar w:fldCharType="end"/>
      </w:r>
      <w:proofErr w:type="spellStart"/>
      <w:r w:rsidRPr="00832900">
        <w:rPr>
          <w:shd w:val="clear" w:color="auto" w:fill="FFFFFF"/>
        </w:rPr>
        <w:t>Rosiou</w:t>
      </w:r>
      <w:proofErr w:type="spellEnd"/>
      <w:r w:rsidRPr="00832900">
        <w:rPr>
          <w:shd w:val="clear" w:color="auto" w:fill="FFFFFF"/>
        </w:rPr>
        <w:t xml:space="preserve"> K, Selinger CP. Acute severe ulcerative colitis: management advice for internal medicine and emergency physicians. Intern Emerg Med. 2021 Sep;16(6):1433-1442. </w:t>
      </w:r>
      <w:proofErr w:type="spellStart"/>
      <w:r w:rsidRPr="00832900">
        <w:rPr>
          <w:shd w:val="clear" w:color="auto" w:fill="FFFFFF"/>
        </w:rPr>
        <w:t>doi</w:t>
      </w:r>
      <w:proofErr w:type="spellEnd"/>
      <w:r w:rsidRPr="00832900">
        <w:rPr>
          <w:shd w:val="clear" w:color="auto" w:fill="FFFFFF"/>
        </w:rPr>
        <w:t xml:space="preserve">: 10.1007/s11739-021-02704-0. </w:t>
      </w:r>
      <w:proofErr w:type="spellStart"/>
      <w:r w:rsidRPr="00832900">
        <w:rPr>
          <w:shd w:val="clear" w:color="auto" w:fill="FFFFFF"/>
        </w:rPr>
        <w:t>Epub</w:t>
      </w:r>
      <w:proofErr w:type="spellEnd"/>
      <w:r w:rsidRPr="00832900">
        <w:rPr>
          <w:shd w:val="clear" w:color="auto" w:fill="FFFFFF"/>
        </w:rPr>
        <w:t xml:space="preserve"> 2021 Mar 22. </w:t>
      </w:r>
    </w:p>
    <w:p w14:paraId="7413CE9F" w14:textId="6AA56533" w:rsidR="00715B55" w:rsidRPr="00832900" w:rsidRDefault="00715B55" w:rsidP="0068435D">
      <w:pPr>
        <w:pStyle w:val="Numberedlist"/>
      </w:pPr>
      <w:r w:rsidRPr="00832900">
        <w:rPr>
          <w:shd w:val="clear" w:color="auto" w:fill="FFFFFF"/>
        </w:rPr>
        <w:t xml:space="preserve">Ben-Horin S, Har-Noy O, Katsanos KH, Roblin X, Chen M, Gao X, Schwartz D, Cheon JH, Cesarini M, Bojic D, Protic M. Corticosteroids and mesalamine versus corticosteroids </w:t>
      </w:r>
      <w:r w:rsidRPr="00832900">
        <w:rPr>
          <w:shd w:val="clear" w:color="auto" w:fill="FFFFFF"/>
        </w:rPr>
        <w:lastRenderedPageBreak/>
        <w:t>for acute severe ulcerative colitis: a randomized controlled trial. Clinical Gastroenterology and Hepatology. 2022 Dec 1;20(12):2868-75</w:t>
      </w:r>
    </w:p>
    <w:p w14:paraId="6056DF34" w14:textId="20447644" w:rsidR="00715B55" w:rsidRPr="00832900" w:rsidRDefault="00715B55" w:rsidP="0068435D">
      <w:pPr>
        <w:pStyle w:val="Numberedlist"/>
        <w:rPr>
          <w:shd w:val="clear" w:color="auto" w:fill="FFFFFF"/>
        </w:rPr>
      </w:pPr>
      <w:r w:rsidRPr="00832900">
        <w:rPr>
          <w:shd w:val="clear" w:color="auto" w:fill="FFFFFF"/>
        </w:rPr>
        <w:t xml:space="preserve">Adamina M, </w:t>
      </w:r>
      <w:proofErr w:type="spellStart"/>
      <w:r w:rsidRPr="00832900">
        <w:rPr>
          <w:shd w:val="clear" w:color="auto" w:fill="FFFFFF"/>
        </w:rPr>
        <w:t>Gerasimidis</w:t>
      </w:r>
      <w:proofErr w:type="spellEnd"/>
      <w:r w:rsidRPr="00832900">
        <w:rPr>
          <w:shd w:val="clear" w:color="auto" w:fill="FFFFFF"/>
        </w:rPr>
        <w:t xml:space="preserve"> K, Sigall-</w:t>
      </w:r>
      <w:proofErr w:type="spellStart"/>
      <w:r w:rsidRPr="00832900">
        <w:rPr>
          <w:shd w:val="clear" w:color="auto" w:fill="FFFFFF"/>
        </w:rPr>
        <w:t>Boneh</w:t>
      </w:r>
      <w:proofErr w:type="spellEnd"/>
      <w:r w:rsidRPr="00832900">
        <w:rPr>
          <w:shd w:val="clear" w:color="auto" w:fill="FFFFFF"/>
        </w:rPr>
        <w:t xml:space="preserve"> R, </w:t>
      </w:r>
      <w:proofErr w:type="spellStart"/>
      <w:r w:rsidRPr="00832900">
        <w:rPr>
          <w:shd w:val="clear" w:color="auto" w:fill="FFFFFF"/>
        </w:rPr>
        <w:t>Zmora</w:t>
      </w:r>
      <w:proofErr w:type="spellEnd"/>
      <w:r w:rsidRPr="00832900">
        <w:rPr>
          <w:shd w:val="clear" w:color="auto" w:fill="FFFFFF"/>
        </w:rPr>
        <w:t xml:space="preserve"> O, de Buck van </w:t>
      </w:r>
      <w:proofErr w:type="spellStart"/>
      <w:r w:rsidRPr="00832900">
        <w:rPr>
          <w:shd w:val="clear" w:color="auto" w:fill="FFFFFF"/>
        </w:rPr>
        <w:t>Overstraeten</w:t>
      </w:r>
      <w:proofErr w:type="spellEnd"/>
      <w:r w:rsidRPr="00832900">
        <w:rPr>
          <w:shd w:val="clear" w:color="auto" w:fill="FFFFFF"/>
        </w:rPr>
        <w:t xml:space="preserve"> A, </w:t>
      </w:r>
      <w:proofErr w:type="spellStart"/>
      <w:r w:rsidRPr="00832900">
        <w:rPr>
          <w:shd w:val="clear" w:color="auto" w:fill="FFFFFF"/>
        </w:rPr>
        <w:t>Campmans</w:t>
      </w:r>
      <w:proofErr w:type="spellEnd"/>
      <w:r w:rsidRPr="00832900">
        <w:rPr>
          <w:shd w:val="clear" w:color="auto" w:fill="FFFFFF"/>
        </w:rPr>
        <w:t xml:space="preserve">-Kuijpers M, Ellul P, Katsanos K, Kotze PG, Noor N, </w:t>
      </w:r>
      <w:proofErr w:type="spellStart"/>
      <w:r w:rsidRPr="00832900">
        <w:rPr>
          <w:shd w:val="clear" w:color="auto" w:fill="FFFFFF"/>
        </w:rPr>
        <w:t>Schäfli-Thurnherr</w:t>
      </w:r>
      <w:proofErr w:type="spellEnd"/>
      <w:r w:rsidRPr="00832900">
        <w:rPr>
          <w:shd w:val="clear" w:color="auto" w:fill="FFFFFF"/>
        </w:rPr>
        <w:t xml:space="preserve"> J, Vavricka S, Wall C, </w:t>
      </w:r>
      <w:proofErr w:type="spellStart"/>
      <w:r w:rsidRPr="00832900">
        <w:rPr>
          <w:shd w:val="clear" w:color="auto" w:fill="FFFFFF"/>
        </w:rPr>
        <w:t>Wierdsma</w:t>
      </w:r>
      <w:proofErr w:type="spellEnd"/>
      <w:r w:rsidRPr="00832900">
        <w:rPr>
          <w:shd w:val="clear" w:color="auto" w:fill="FFFFFF"/>
        </w:rPr>
        <w:t xml:space="preserve"> N, Yassin N, </w:t>
      </w:r>
      <w:proofErr w:type="spellStart"/>
      <w:r w:rsidRPr="00832900">
        <w:rPr>
          <w:shd w:val="clear" w:color="auto" w:fill="FFFFFF"/>
        </w:rPr>
        <w:t>Lomer</w:t>
      </w:r>
      <w:proofErr w:type="spellEnd"/>
      <w:r w:rsidRPr="00832900">
        <w:rPr>
          <w:shd w:val="clear" w:color="auto" w:fill="FFFFFF"/>
        </w:rPr>
        <w:t xml:space="preserve"> M, Perioperative Dietary Therapy in Inflammatory Bowel Disease, </w:t>
      </w:r>
      <w:r w:rsidRPr="00832900">
        <w:rPr>
          <w:rStyle w:val="Emphasis"/>
          <w:rFonts w:cstheme="minorHAnsi"/>
          <w:bdr w:val="none" w:sz="0" w:space="0" w:color="auto" w:frame="1"/>
          <w:shd w:val="clear" w:color="auto" w:fill="FFFFFF"/>
        </w:rPr>
        <w:t>Journal of Crohn's and Colitis</w:t>
      </w:r>
      <w:r w:rsidRPr="00832900">
        <w:rPr>
          <w:shd w:val="clear" w:color="auto" w:fill="FFFFFF"/>
        </w:rPr>
        <w:t>, Volume 14, Issue 4, April 2020, Pages 431–444.</w:t>
      </w:r>
    </w:p>
    <w:p w14:paraId="2DBDF5BB" w14:textId="638FB0D6" w:rsidR="00715B55" w:rsidRPr="00715B55" w:rsidRDefault="00715B55" w:rsidP="0068435D">
      <w:pPr>
        <w:pStyle w:val="Numberedlist"/>
        <w:rPr>
          <w:shd w:val="clear" w:color="auto" w:fill="FFFFFF"/>
        </w:rPr>
      </w:pPr>
      <w:r w:rsidRPr="00832900">
        <w:rPr>
          <w:shd w:val="clear" w:color="auto" w:fill="FFFFFF"/>
        </w:rPr>
        <w:t>Travis SP, Farrant JM, Ricketts C, Nolan DJ, Mortensen NM, Kettlewell MG, Jewell DP. Predicting outcome in severe ulcerative colitis. Gut. 1996 Jun;38(6):905-10.</w:t>
      </w:r>
    </w:p>
    <w:p w14:paraId="7B80307B" w14:textId="5A207009" w:rsidR="00715B55" w:rsidRPr="00832900" w:rsidRDefault="00715B55" w:rsidP="0068435D">
      <w:pPr>
        <w:pStyle w:val="Numberedlist"/>
        <w:rPr>
          <w:shd w:val="clear" w:color="auto" w:fill="FFFFFF"/>
        </w:rPr>
      </w:pPr>
      <w:r w:rsidRPr="00832900">
        <w:rPr>
          <w:shd w:val="clear" w:color="auto" w:fill="FFFFFF"/>
        </w:rPr>
        <w:t xml:space="preserve">M Choy, C F D Li Wai Suen, D Con, K Boyd, R Pena, K Burrell, O Rosella, D Proud, R Brouwer, A Gorelik, D Liew, W Connell, E Wright, K Taylor, A </w:t>
      </w:r>
      <w:proofErr w:type="spellStart"/>
      <w:r w:rsidRPr="00832900">
        <w:rPr>
          <w:shd w:val="clear" w:color="auto" w:fill="FFFFFF"/>
        </w:rPr>
        <w:t>Pudipeddi</w:t>
      </w:r>
      <w:proofErr w:type="spellEnd"/>
      <w:r w:rsidRPr="00832900">
        <w:rPr>
          <w:shd w:val="clear" w:color="auto" w:fill="FFFFFF"/>
        </w:rPr>
        <w:t>, M Sawers, B Christensen, W Ng, J Begun, G Radford-Smith, M Garg, N Martin, D R Van Langenberg, N S Ding, L Beswick, R W Leong, M P Sparrow, P De Cruz, P872 PREDICT UC: Optimising Infliximab Induction therapy for Acute Severe Ulcerative Colitis – A Randomised Controlled Trial, </w:t>
      </w:r>
      <w:r w:rsidRPr="00832900">
        <w:rPr>
          <w:rStyle w:val="Emphasis"/>
          <w:rFonts w:cstheme="minorHAnsi"/>
          <w:bdr w:val="none" w:sz="0" w:space="0" w:color="auto" w:frame="1"/>
          <w:shd w:val="clear" w:color="auto" w:fill="FFFFFF"/>
        </w:rPr>
        <w:t>Journal of Crohn's and Colitis</w:t>
      </w:r>
      <w:r w:rsidRPr="00832900">
        <w:rPr>
          <w:shd w:val="clear" w:color="auto" w:fill="FFFFFF"/>
        </w:rPr>
        <w:t>, Volume 18, Issue Supplement_1, January 2024, Page i1611</w:t>
      </w:r>
    </w:p>
    <w:p w14:paraId="092091F1" w14:textId="303A000E" w:rsidR="00715B55" w:rsidRPr="00832900" w:rsidRDefault="00A42D8E" w:rsidP="0068435D">
      <w:pPr>
        <w:pStyle w:val="Numberedlist"/>
        <w:rPr>
          <w:shd w:val="clear" w:color="auto" w:fill="FFFFFF"/>
        </w:rPr>
      </w:pPr>
      <w:r>
        <w:rPr>
          <w:shd w:val="clear" w:color="auto" w:fill="FFFFFF"/>
        </w:rPr>
        <w:t>J</w:t>
      </w:r>
      <w:r w:rsidR="00715B55" w:rsidRPr="00832900">
        <w:rPr>
          <w:shd w:val="clear" w:color="auto" w:fill="FFFFFF"/>
        </w:rPr>
        <w:t xml:space="preserve">ena A, Mishra S, Sachan A, Singh H, Singh AK, Sharma V. Tofacitinib in Acute Severe Ulcerative Colitis: Case Series and a Systematic Review. </w:t>
      </w:r>
      <w:proofErr w:type="spellStart"/>
      <w:r w:rsidR="00715B55" w:rsidRPr="00832900">
        <w:rPr>
          <w:shd w:val="clear" w:color="auto" w:fill="FFFFFF"/>
        </w:rPr>
        <w:t>Inflamm</w:t>
      </w:r>
      <w:proofErr w:type="spellEnd"/>
      <w:r w:rsidR="00715B55" w:rsidRPr="00832900">
        <w:rPr>
          <w:shd w:val="clear" w:color="auto" w:fill="FFFFFF"/>
        </w:rPr>
        <w:t xml:space="preserve"> Bowel Dis. 2021 Aug 19;27(9):e101-e103. </w:t>
      </w:r>
      <w:proofErr w:type="spellStart"/>
      <w:r w:rsidR="00715B55" w:rsidRPr="00832900">
        <w:rPr>
          <w:shd w:val="clear" w:color="auto" w:fill="FFFFFF"/>
        </w:rPr>
        <w:t>doi</w:t>
      </w:r>
      <w:proofErr w:type="spellEnd"/>
      <w:r w:rsidR="00715B55" w:rsidRPr="00832900">
        <w:rPr>
          <w:shd w:val="clear" w:color="auto" w:fill="FFFFFF"/>
        </w:rPr>
        <w:t>: 10.1093/</w:t>
      </w:r>
      <w:proofErr w:type="spellStart"/>
      <w:r w:rsidR="00715B55" w:rsidRPr="00832900">
        <w:rPr>
          <w:shd w:val="clear" w:color="auto" w:fill="FFFFFF"/>
        </w:rPr>
        <w:t>ibd</w:t>
      </w:r>
      <w:proofErr w:type="spellEnd"/>
      <w:r w:rsidR="00715B55" w:rsidRPr="00832900">
        <w:rPr>
          <w:shd w:val="clear" w:color="auto" w:fill="FFFFFF"/>
        </w:rPr>
        <w:t>/izab087.</w:t>
      </w:r>
    </w:p>
    <w:p w14:paraId="20B095BC" w14:textId="2463D2DC" w:rsidR="00715B55" w:rsidRPr="00832900" w:rsidRDefault="00715B55" w:rsidP="0068435D">
      <w:pPr>
        <w:pStyle w:val="Numberedlist"/>
        <w:rPr>
          <w:shd w:val="clear" w:color="auto" w:fill="FFFFFF"/>
        </w:rPr>
      </w:pPr>
      <w:r w:rsidRPr="00832900">
        <w:rPr>
          <w:shd w:val="clear" w:color="auto" w:fill="FFFFFF"/>
        </w:rPr>
        <w:t xml:space="preserve">Steenholdt C, Dige Ovesen P, Brynskov J, Benedict Seidelin J. Tofacitinib for Acute Severe Ulcerative Colitis: A Systematic Review. J </w:t>
      </w:r>
      <w:proofErr w:type="spellStart"/>
      <w:r w:rsidRPr="00832900">
        <w:rPr>
          <w:shd w:val="clear" w:color="auto" w:fill="FFFFFF"/>
        </w:rPr>
        <w:t>Crohns</w:t>
      </w:r>
      <w:proofErr w:type="spellEnd"/>
      <w:r w:rsidRPr="00832900">
        <w:rPr>
          <w:shd w:val="clear" w:color="auto" w:fill="FFFFFF"/>
        </w:rPr>
        <w:t xml:space="preserve"> Colitis. 2023 Aug 21;17(8):1354-1363. </w:t>
      </w:r>
      <w:proofErr w:type="spellStart"/>
      <w:r w:rsidRPr="00832900">
        <w:rPr>
          <w:shd w:val="clear" w:color="auto" w:fill="FFFFFF"/>
        </w:rPr>
        <w:t>doi</w:t>
      </w:r>
      <w:proofErr w:type="spellEnd"/>
      <w:r w:rsidRPr="00832900">
        <w:rPr>
          <w:shd w:val="clear" w:color="auto" w:fill="FFFFFF"/>
        </w:rPr>
        <w:t>: 10.1093/</w:t>
      </w:r>
      <w:proofErr w:type="spellStart"/>
      <w:r w:rsidRPr="00832900">
        <w:rPr>
          <w:shd w:val="clear" w:color="auto" w:fill="FFFFFF"/>
        </w:rPr>
        <w:t>ecco-jcc</w:t>
      </w:r>
      <w:proofErr w:type="spellEnd"/>
      <w:r w:rsidRPr="00832900">
        <w:rPr>
          <w:shd w:val="clear" w:color="auto" w:fill="FFFFFF"/>
        </w:rPr>
        <w:t>/jjad036.</w:t>
      </w:r>
    </w:p>
    <w:p w14:paraId="3D844072" w14:textId="6A20A18A" w:rsidR="00715B55" w:rsidRPr="00832900" w:rsidRDefault="00715B55" w:rsidP="0068435D">
      <w:pPr>
        <w:pStyle w:val="Numberedlist"/>
        <w:rPr>
          <w:shd w:val="clear" w:color="auto" w:fill="FFFFFF"/>
        </w:rPr>
      </w:pPr>
      <w:r w:rsidRPr="00832900">
        <w:rPr>
          <w:shd w:val="clear" w:color="auto" w:fill="FFFFFF"/>
        </w:rPr>
        <w:t xml:space="preserve">Gilmore R, Tan WL, Fernandes R, An YK, Begun J. Upadacitinib Salvage Therapy for Infliximab-Experienced Patients with Acute Severe Ulcerative Colitis. J </w:t>
      </w:r>
      <w:proofErr w:type="spellStart"/>
      <w:r w:rsidRPr="00832900">
        <w:rPr>
          <w:shd w:val="clear" w:color="auto" w:fill="FFFFFF"/>
        </w:rPr>
        <w:t>Crohns</w:t>
      </w:r>
      <w:proofErr w:type="spellEnd"/>
      <w:r w:rsidRPr="00832900">
        <w:rPr>
          <w:shd w:val="clear" w:color="auto" w:fill="FFFFFF"/>
        </w:rPr>
        <w:t xml:space="preserve"> Colitis. 2023 Dec 30;17(12):2033-2036. </w:t>
      </w:r>
      <w:proofErr w:type="spellStart"/>
      <w:r w:rsidRPr="00832900">
        <w:rPr>
          <w:shd w:val="clear" w:color="auto" w:fill="FFFFFF"/>
        </w:rPr>
        <w:t>doi</w:t>
      </w:r>
      <w:proofErr w:type="spellEnd"/>
      <w:r w:rsidRPr="00832900">
        <w:rPr>
          <w:shd w:val="clear" w:color="auto" w:fill="FFFFFF"/>
        </w:rPr>
        <w:t>: 10.1093/</w:t>
      </w:r>
      <w:proofErr w:type="spellStart"/>
      <w:r w:rsidRPr="00832900">
        <w:rPr>
          <w:shd w:val="clear" w:color="auto" w:fill="FFFFFF"/>
        </w:rPr>
        <w:t>ecco-jcc</w:t>
      </w:r>
      <w:proofErr w:type="spellEnd"/>
      <w:r w:rsidRPr="00832900">
        <w:rPr>
          <w:shd w:val="clear" w:color="auto" w:fill="FFFFFF"/>
        </w:rPr>
        <w:t>/jjad115</w:t>
      </w:r>
    </w:p>
    <w:p w14:paraId="188C0B02" w14:textId="28D94E3C" w:rsidR="00715B55" w:rsidRPr="00832900" w:rsidRDefault="00715B55" w:rsidP="0068435D">
      <w:pPr>
        <w:pStyle w:val="Numberedlist"/>
        <w:rPr>
          <w:shd w:val="clear" w:color="auto" w:fill="FFFFFF"/>
        </w:rPr>
      </w:pPr>
      <w:r w:rsidRPr="00832900">
        <w:rPr>
          <w:shd w:val="clear" w:color="auto" w:fill="FFFFFF"/>
        </w:rPr>
        <w:t xml:space="preserve">Agrawal M, Kim ES, Colombel JF. JAK Inhibitors Safety in Ulcerative Colitis: Practical Implications. J </w:t>
      </w:r>
      <w:proofErr w:type="spellStart"/>
      <w:r w:rsidRPr="00832900">
        <w:rPr>
          <w:shd w:val="clear" w:color="auto" w:fill="FFFFFF"/>
        </w:rPr>
        <w:t>Crohns</w:t>
      </w:r>
      <w:proofErr w:type="spellEnd"/>
      <w:r w:rsidRPr="00832900">
        <w:rPr>
          <w:shd w:val="clear" w:color="auto" w:fill="FFFFFF"/>
        </w:rPr>
        <w:t xml:space="preserve"> Colitis. 2020 Aug 1;14(Supplement_2):S755-S760. </w:t>
      </w:r>
      <w:proofErr w:type="spellStart"/>
      <w:r w:rsidRPr="00832900">
        <w:rPr>
          <w:shd w:val="clear" w:color="auto" w:fill="FFFFFF"/>
        </w:rPr>
        <w:t>doi</w:t>
      </w:r>
      <w:proofErr w:type="spellEnd"/>
      <w:r w:rsidRPr="00832900">
        <w:rPr>
          <w:shd w:val="clear" w:color="auto" w:fill="FFFFFF"/>
        </w:rPr>
        <w:t>: 10.1093/</w:t>
      </w:r>
      <w:proofErr w:type="spellStart"/>
      <w:r w:rsidRPr="00832900">
        <w:rPr>
          <w:shd w:val="clear" w:color="auto" w:fill="FFFFFF"/>
        </w:rPr>
        <w:t>ecco-jcc</w:t>
      </w:r>
      <w:proofErr w:type="spellEnd"/>
      <w:r w:rsidRPr="00832900">
        <w:rPr>
          <w:shd w:val="clear" w:color="auto" w:fill="FFFFFF"/>
        </w:rPr>
        <w:t>/jjaa017.</w:t>
      </w:r>
    </w:p>
    <w:p w14:paraId="4F8F183A" w14:textId="3E8686DB" w:rsidR="00715B55" w:rsidRPr="00832900" w:rsidRDefault="00715B55" w:rsidP="0068435D">
      <w:pPr>
        <w:pStyle w:val="Numberedlist"/>
      </w:pPr>
      <w:r w:rsidRPr="00832900">
        <w:rPr>
          <w:shd w:val="clear" w:color="auto" w:fill="FFFFFF"/>
        </w:rPr>
        <w:t>Rubin DT, Ananthakrishnan AN, Siegel, CA, Sauer BG, Long, MD. ACG Clinical Guideline: Ulcerative Colitis in Adults. The American Journal of Gastroenterology 114(3):p 384-413, March 2019</w:t>
      </w:r>
    </w:p>
    <w:p w14:paraId="20DC3122" w14:textId="77777777" w:rsidR="00280C5D" w:rsidRDefault="00280C5D" w:rsidP="00715B55">
      <w:pPr>
        <w:pStyle w:val="BodyCopy"/>
        <w:rPr>
          <w:lang w:eastAsia="en-US"/>
        </w:rPr>
      </w:pPr>
      <w:hyperlink w:anchor="_top" w:history="1">
        <w:r w:rsidRPr="004A7A7F">
          <w:rPr>
            <w:rStyle w:val="Hyperlink"/>
          </w:rPr>
          <w:t>Back to Contents</w:t>
        </w:r>
      </w:hyperlink>
    </w:p>
    <w:p w14:paraId="3A55B65A" w14:textId="55CF002E" w:rsidR="0078367D" w:rsidRDefault="0078367D" w:rsidP="00A6051F">
      <w:pPr>
        <w:pStyle w:val="Heading4"/>
      </w:pPr>
      <w:bookmarkStart w:id="16" w:name="_Toc225770628"/>
      <w:r>
        <w:t>Definition of terms</w:t>
      </w:r>
      <w:bookmarkEnd w:id="16"/>
    </w:p>
    <w:p w14:paraId="5B134CEA" w14:textId="77777777" w:rsidR="0034452A" w:rsidRPr="0034452A" w:rsidRDefault="0034452A" w:rsidP="00E10712">
      <w:pPr>
        <w:pStyle w:val="Bullet"/>
      </w:pPr>
      <w:r w:rsidRPr="0034452A">
        <w:rPr>
          <w:b/>
        </w:rPr>
        <w:t>ASUC</w:t>
      </w:r>
      <w:r w:rsidRPr="0034452A">
        <w:t> – </w:t>
      </w:r>
      <w:r w:rsidRPr="0034452A">
        <w:rPr>
          <w:i/>
        </w:rPr>
        <w:t>Acute Severe Ulcerative Colitis</w:t>
      </w:r>
      <w:r w:rsidRPr="0034452A">
        <w:t>: A severe flare of ulcerative colitis requiring hospital admission and intensive medical therapy.</w:t>
      </w:r>
    </w:p>
    <w:p w14:paraId="11319ADD" w14:textId="77777777" w:rsidR="0034452A" w:rsidRPr="0034452A" w:rsidRDefault="0034452A" w:rsidP="00E10712">
      <w:pPr>
        <w:pStyle w:val="Bullet"/>
      </w:pPr>
      <w:r w:rsidRPr="0034452A">
        <w:rPr>
          <w:b/>
        </w:rPr>
        <w:t>CMV</w:t>
      </w:r>
      <w:r w:rsidRPr="0034452A">
        <w:t> – </w:t>
      </w:r>
      <w:r w:rsidRPr="0034452A">
        <w:rPr>
          <w:i/>
        </w:rPr>
        <w:t>Cytomegalovirus</w:t>
      </w:r>
      <w:r w:rsidRPr="0034452A">
        <w:t>: A virus that can complicate ulcerative colitis, especially in immunosuppressed patients.</w:t>
      </w:r>
    </w:p>
    <w:p w14:paraId="370ED30C" w14:textId="77777777" w:rsidR="0034452A" w:rsidRPr="0034452A" w:rsidRDefault="0034452A" w:rsidP="00E10712">
      <w:pPr>
        <w:pStyle w:val="Bullet"/>
      </w:pPr>
      <w:r w:rsidRPr="0034452A">
        <w:rPr>
          <w:b/>
        </w:rPr>
        <w:t>CNC</w:t>
      </w:r>
      <w:r w:rsidRPr="0034452A">
        <w:t> – </w:t>
      </w:r>
      <w:r w:rsidRPr="0034452A">
        <w:rPr>
          <w:i/>
        </w:rPr>
        <w:t>Clinical Nurse Consultant</w:t>
      </w:r>
      <w:r w:rsidRPr="0034452A">
        <w:t>: A senior nurse providing expert clinical advice and support.</w:t>
      </w:r>
    </w:p>
    <w:p w14:paraId="4EC34721" w14:textId="77777777" w:rsidR="0034452A" w:rsidRPr="0034452A" w:rsidRDefault="0034452A" w:rsidP="00E10712">
      <w:pPr>
        <w:pStyle w:val="Bullet"/>
      </w:pPr>
      <w:r w:rsidRPr="0034452A">
        <w:rPr>
          <w:b/>
        </w:rPr>
        <w:lastRenderedPageBreak/>
        <w:t>CMP</w:t>
      </w:r>
      <w:r w:rsidRPr="0034452A">
        <w:t> – </w:t>
      </w:r>
      <w:r w:rsidRPr="0034452A">
        <w:rPr>
          <w:i/>
        </w:rPr>
        <w:t>Calcium, Magnesium, and Phosphate</w:t>
      </w:r>
      <w:r w:rsidRPr="0034452A">
        <w:t>: Electrolyte panel important in ASUC management.</w:t>
      </w:r>
    </w:p>
    <w:p w14:paraId="348C99AD" w14:textId="77777777" w:rsidR="0034452A" w:rsidRPr="0034452A" w:rsidRDefault="0034452A" w:rsidP="00E10712">
      <w:pPr>
        <w:pStyle w:val="Bullet"/>
      </w:pPr>
      <w:r w:rsidRPr="0034452A">
        <w:rPr>
          <w:b/>
        </w:rPr>
        <w:t>CRP</w:t>
      </w:r>
      <w:r w:rsidRPr="0034452A">
        <w:t> – </w:t>
      </w:r>
      <w:r w:rsidRPr="0034452A">
        <w:rPr>
          <w:i/>
        </w:rPr>
        <w:t>C-Reactive Protein</w:t>
      </w:r>
      <w:r w:rsidRPr="0034452A">
        <w:t>: A blood marker of inflammation.</w:t>
      </w:r>
    </w:p>
    <w:p w14:paraId="10F04FC7" w14:textId="77777777" w:rsidR="0034452A" w:rsidRPr="0034452A" w:rsidRDefault="0034452A" w:rsidP="00E10712">
      <w:pPr>
        <w:pStyle w:val="Bullet"/>
      </w:pPr>
      <w:r w:rsidRPr="0034452A">
        <w:rPr>
          <w:b/>
        </w:rPr>
        <w:t>EBV</w:t>
      </w:r>
      <w:r w:rsidRPr="0034452A">
        <w:t> – </w:t>
      </w:r>
      <w:r w:rsidRPr="0034452A">
        <w:rPr>
          <w:i/>
        </w:rPr>
        <w:t>Epstein–Barr Virus</w:t>
      </w:r>
      <w:r w:rsidRPr="0034452A">
        <w:t>: A virus relevant in immunosuppressed patients.</w:t>
      </w:r>
    </w:p>
    <w:p w14:paraId="6E31352B" w14:textId="77777777" w:rsidR="0034452A" w:rsidRPr="0034452A" w:rsidRDefault="0034452A" w:rsidP="00E10712">
      <w:pPr>
        <w:pStyle w:val="Bullet"/>
      </w:pPr>
      <w:r w:rsidRPr="0034452A">
        <w:rPr>
          <w:b/>
        </w:rPr>
        <w:t>ED</w:t>
      </w:r>
      <w:r w:rsidRPr="0034452A">
        <w:t> – </w:t>
      </w:r>
      <w:r w:rsidRPr="0034452A">
        <w:rPr>
          <w:i/>
        </w:rPr>
        <w:t>Emergency Department</w:t>
      </w:r>
      <w:r w:rsidRPr="0034452A">
        <w:t>: The hospital department providing immediate care for acute illnesses and injuries.</w:t>
      </w:r>
    </w:p>
    <w:p w14:paraId="70D1B571" w14:textId="77777777" w:rsidR="0034452A" w:rsidRPr="0034452A" w:rsidRDefault="0034452A" w:rsidP="00E10712">
      <w:pPr>
        <w:pStyle w:val="Bullet"/>
      </w:pPr>
      <w:r w:rsidRPr="0034452A">
        <w:rPr>
          <w:b/>
        </w:rPr>
        <w:t>ESR</w:t>
      </w:r>
      <w:r w:rsidRPr="0034452A">
        <w:t> – </w:t>
      </w:r>
      <w:r w:rsidRPr="0034452A">
        <w:rPr>
          <w:i/>
        </w:rPr>
        <w:t>Erythrocyte Sedimentation Rate</w:t>
      </w:r>
      <w:r w:rsidRPr="0034452A">
        <w:t>: Another marker of systemic inflammation.</w:t>
      </w:r>
    </w:p>
    <w:p w14:paraId="382AB5F3" w14:textId="77777777" w:rsidR="0034452A" w:rsidRPr="0034452A" w:rsidRDefault="0034452A" w:rsidP="00E10712">
      <w:pPr>
        <w:pStyle w:val="Bullet"/>
      </w:pPr>
      <w:r w:rsidRPr="0034452A">
        <w:rPr>
          <w:b/>
        </w:rPr>
        <w:t>FBE</w:t>
      </w:r>
      <w:r w:rsidRPr="0034452A">
        <w:t> – </w:t>
      </w:r>
      <w:r w:rsidRPr="0034452A">
        <w:rPr>
          <w:i/>
        </w:rPr>
        <w:t>Full Blood Examination</w:t>
      </w:r>
      <w:r w:rsidRPr="0034452A">
        <w:t xml:space="preserve">: A blood test measuring </w:t>
      </w:r>
      <w:proofErr w:type="spellStart"/>
      <w:r w:rsidRPr="0034452A">
        <w:t>hemoglobin</w:t>
      </w:r>
      <w:proofErr w:type="spellEnd"/>
      <w:r w:rsidRPr="0034452A">
        <w:t>, white cells, and platelets.</w:t>
      </w:r>
    </w:p>
    <w:p w14:paraId="5992F588" w14:textId="77777777" w:rsidR="0034452A" w:rsidRPr="0034452A" w:rsidRDefault="0034452A" w:rsidP="00E10712">
      <w:pPr>
        <w:pStyle w:val="Bullet"/>
      </w:pPr>
      <w:r w:rsidRPr="0034452A">
        <w:rPr>
          <w:b/>
        </w:rPr>
        <w:t>IBD</w:t>
      </w:r>
      <w:r w:rsidRPr="0034452A">
        <w:t> – </w:t>
      </w:r>
      <w:r w:rsidRPr="0034452A">
        <w:rPr>
          <w:i/>
        </w:rPr>
        <w:t>Inflammatory Bowel Disease</w:t>
      </w:r>
      <w:r w:rsidRPr="0034452A">
        <w:t>: A group of disorders including ulcerative colitis and Crohn’s disease.</w:t>
      </w:r>
    </w:p>
    <w:p w14:paraId="75E23C78" w14:textId="77777777" w:rsidR="0034452A" w:rsidRPr="0034452A" w:rsidRDefault="0034452A" w:rsidP="00E10712">
      <w:pPr>
        <w:pStyle w:val="Bullet"/>
      </w:pPr>
      <w:r w:rsidRPr="0034452A">
        <w:rPr>
          <w:b/>
        </w:rPr>
        <w:t>IFX</w:t>
      </w:r>
      <w:r w:rsidRPr="0034452A">
        <w:t> – </w:t>
      </w:r>
      <w:r w:rsidRPr="0034452A">
        <w:rPr>
          <w:i/>
        </w:rPr>
        <w:t>Infliximab</w:t>
      </w:r>
      <w:r w:rsidRPr="0034452A">
        <w:t>: A biologic medication (anti-TNF agent) used as salvage therapy in ASUC.</w:t>
      </w:r>
    </w:p>
    <w:p w14:paraId="0336AE2D" w14:textId="77777777" w:rsidR="0034452A" w:rsidRPr="0034452A" w:rsidRDefault="0034452A" w:rsidP="00E10712">
      <w:pPr>
        <w:pStyle w:val="Bullet"/>
      </w:pPr>
      <w:r w:rsidRPr="0034452A">
        <w:rPr>
          <w:b/>
        </w:rPr>
        <w:t>IHC</w:t>
      </w:r>
      <w:r w:rsidRPr="0034452A">
        <w:t> – </w:t>
      </w:r>
      <w:r w:rsidRPr="0034452A">
        <w:rPr>
          <w:i/>
        </w:rPr>
        <w:t>Immunohistochemistry</w:t>
      </w:r>
      <w:r w:rsidRPr="0034452A">
        <w:t>: A laboratory technique used to detect specific antigens in tissue samples.</w:t>
      </w:r>
    </w:p>
    <w:p w14:paraId="63C49B15" w14:textId="77777777" w:rsidR="0034452A" w:rsidRPr="0034452A" w:rsidRDefault="0034452A" w:rsidP="00E10712">
      <w:pPr>
        <w:pStyle w:val="Bullet"/>
      </w:pPr>
      <w:r w:rsidRPr="0034452A">
        <w:rPr>
          <w:b/>
        </w:rPr>
        <w:t>JAK</w:t>
      </w:r>
      <w:r w:rsidRPr="0034452A">
        <w:t> – </w:t>
      </w:r>
      <w:r w:rsidRPr="0034452A">
        <w:rPr>
          <w:i/>
        </w:rPr>
        <w:t>Janus Kinase</w:t>
      </w:r>
      <w:r w:rsidRPr="0034452A">
        <w:t>: A family of enzymes targeted by certain oral immunomodulatory drugs (e.g., tofacitinib, upadacitinib).</w:t>
      </w:r>
    </w:p>
    <w:p w14:paraId="087E7151" w14:textId="77777777" w:rsidR="0034452A" w:rsidRPr="0034452A" w:rsidRDefault="0034452A" w:rsidP="00E10712">
      <w:pPr>
        <w:pStyle w:val="Bullet"/>
      </w:pPr>
      <w:r w:rsidRPr="0034452A">
        <w:rPr>
          <w:b/>
        </w:rPr>
        <w:t>LFTs</w:t>
      </w:r>
      <w:r w:rsidRPr="0034452A">
        <w:t> – </w:t>
      </w:r>
      <w:r w:rsidRPr="0034452A">
        <w:rPr>
          <w:i/>
        </w:rPr>
        <w:t>Liver Function Tests</w:t>
      </w:r>
      <w:r w:rsidRPr="0034452A">
        <w:t>: Blood tests assessing liver health.</w:t>
      </w:r>
    </w:p>
    <w:p w14:paraId="75CF908C" w14:textId="77777777" w:rsidR="0034452A" w:rsidRPr="0034452A" w:rsidRDefault="0034452A" w:rsidP="00E10712">
      <w:pPr>
        <w:pStyle w:val="Bullet"/>
      </w:pPr>
      <w:r w:rsidRPr="0034452A">
        <w:rPr>
          <w:b/>
        </w:rPr>
        <w:t>TPMT</w:t>
      </w:r>
      <w:r w:rsidRPr="0034452A">
        <w:t> – </w:t>
      </w:r>
      <w:r w:rsidRPr="0034452A">
        <w:rPr>
          <w:i/>
        </w:rPr>
        <w:t>Thiopurine Methyltransferase</w:t>
      </w:r>
      <w:r w:rsidRPr="0034452A">
        <w:t>: An enzyme tested before starting thiopurine drugs to avoid toxicity.</w:t>
      </w:r>
    </w:p>
    <w:p w14:paraId="36E92EBD" w14:textId="77777777" w:rsidR="0034452A" w:rsidRPr="0034452A" w:rsidRDefault="0034452A" w:rsidP="00E10712">
      <w:pPr>
        <w:pStyle w:val="Bullet"/>
      </w:pPr>
      <w:r w:rsidRPr="0034452A">
        <w:rPr>
          <w:b/>
        </w:rPr>
        <w:t>UC</w:t>
      </w:r>
      <w:r w:rsidRPr="0034452A">
        <w:t> – </w:t>
      </w:r>
      <w:r w:rsidRPr="0034452A">
        <w:rPr>
          <w:i/>
        </w:rPr>
        <w:t>Ulcerative Colitis</w:t>
      </w:r>
      <w:r w:rsidRPr="0034452A">
        <w:t>: A chronic inflammatory bowel disease affecting the colon.</w:t>
      </w:r>
    </w:p>
    <w:p w14:paraId="2AB2E772" w14:textId="77777777" w:rsidR="0034452A" w:rsidRPr="0034452A" w:rsidRDefault="0034452A" w:rsidP="00E10712">
      <w:pPr>
        <w:pStyle w:val="Bullet"/>
      </w:pPr>
      <w:r w:rsidRPr="0034452A">
        <w:rPr>
          <w:b/>
        </w:rPr>
        <w:t>UEC</w:t>
      </w:r>
      <w:r w:rsidRPr="0034452A">
        <w:t> – </w:t>
      </w:r>
      <w:r w:rsidRPr="0034452A">
        <w:rPr>
          <w:i/>
        </w:rPr>
        <w:t>Urea, Electrolytes, and Creatinine</w:t>
      </w:r>
      <w:r w:rsidRPr="0034452A">
        <w:t>: Blood tests assessing kidney function.</w:t>
      </w:r>
    </w:p>
    <w:p w14:paraId="2C65D1A3" w14:textId="77777777" w:rsidR="0034452A" w:rsidRPr="0034452A" w:rsidRDefault="0034452A" w:rsidP="00E10712">
      <w:pPr>
        <w:pStyle w:val="Bullet"/>
      </w:pPr>
      <w:r w:rsidRPr="0034452A">
        <w:rPr>
          <w:b/>
        </w:rPr>
        <w:t>VTE</w:t>
      </w:r>
      <w:r w:rsidRPr="0034452A">
        <w:t> – </w:t>
      </w:r>
      <w:r w:rsidRPr="0034452A">
        <w:rPr>
          <w:i/>
        </w:rPr>
        <w:t>Venous Thromboembolism</w:t>
      </w:r>
      <w:r w:rsidRPr="0034452A">
        <w:t>: A condition involving blood clots in veins; ASUC patients are at increased risk.</w:t>
      </w:r>
    </w:p>
    <w:p w14:paraId="5D128A21" w14:textId="4C4F9BD5" w:rsidR="00F55D73" w:rsidRDefault="0034452A" w:rsidP="00E10712">
      <w:pPr>
        <w:pStyle w:val="Bullet"/>
      </w:pPr>
      <w:r w:rsidRPr="0034452A">
        <w:rPr>
          <w:b/>
        </w:rPr>
        <w:t>VZV</w:t>
      </w:r>
      <w:r w:rsidRPr="0034452A">
        <w:t> – </w:t>
      </w:r>
      <w:r w:rsidRPr="0034452A">
        <w:rPr>
          <w:i/>
        </w:rPr>
        <w:t>Varicella–Zoster Virus</w:t>
      </w:r>
      <w:r w:rsidRPr="0034452A">
        <w:t>: The virus causing chickenpox and shingles; relevant for immunosuppression risk assessment.</w:t>
      </w:r>
    </w:p>
    <w:p w14:paraId="37690840" w14:textId="77777777" w:rsidR="00280C5D" w:rsidRDefault="00280C5D" w:rsidP="002D7682">
      <w:pPr>
        <w:pStyle w:val="BodyCopy"/>
      </w:pPr>
      <w:hyperlink w:anchor="_top" w:history="1">
        <w:r w:rsidRPr="00481A6C">
          <w:rPr>
            <w:rStyle w:val="Hyperlink"/>
            <w:iCs w:val="0"/>
          </w:rPr>
          <w:t>Back to Contents</w:t>
        </w:r>
      </w:hyperlink>
    </w:p>
    <w:p w14:paraId="536E47A1" w14:textId="77777777" w:rsidR="0078367D" w:rsidRDefault="0078367D" w:rsidP="00A6051F">
      <w:pPr>
        <w:pStyle w:val="Heading4"/>
      </w:pPr>
      <w:bookmarkStart w:id="17" w:name="_Toc225770629"/>
      <w:r>
        <w:t>Search terms</w:t>
      </w:r>
      <w:bookmarkEnd w:id="17"/>
    </w:p>
    <w:p w14:paraId="48BED729" w14:textId="4222DA1C" w:rsidR="00280C5D" w:rsidRDefault="000E6CC6" w:rsidP="0078367D">
      <w:pPr>
        <w:pStyle w:val="BodyCopy"/>
        <w:rPr>
          <w:lang w:eastAsia="en-US"/>
        </w:rPr>
      </w:pPr>
      <w:r>
        <w:rPr>
          <w:lang w:eastAsia="en-US"/>
        </w:rPr>
        <w:t>ASUC, ulcerative colitis, uc, acute severe ulcerative colitis, IBD, inflammatory bowel disease, diarrhoea, infliximab, upadacitinib, tofacitinib, gastroenterology, emergency</w:t>
      </w:r>
      <w:r w:rsidR="0068435D">
        <w:rPr>
          <w:lang w:eastAsia="en-US"/>
        </w:rPr>
        <w:t>, north.</w:t>
      </w:r>
    </w:p>
    <w:p w14:paraId="5C511A68" w14:textId="77777777" w:rsidR="00280C5D" w:rsidRDefault="00280C5D" w:rsidP="002D7682">
      <w:pPr>
        <w:pStyle w:val="Bullet"/>
        <w:numPr>
          <w:ilvl w:val="0"/>
          <w:numId w:val="0"/>
        </w:numPr>
        <w:spacing w:after="240"/>
        <w:rPr>
          <w:lang w:eastAsia="en-US"/>
        </w:rPr>
      </w:pPr>
      <w:hyperlink w:anchor="_top" w:history="1">
        <w:r w:rsidRPr="00481A6C">
          <w:rPr>
            <w:rStyle w:val="Hyperlink"/>
          </w:rPr>
          <w:t>Back to Contents</w:t>
        </w:r>
      </w:hyperlink>
    </w:p>
    <w:p w14:paraId="2E6EF1CE" w14:textId="7A8CD770" w:rsidR="0078367D" w:rsidRPr="009A5010" w:rsidRDefault="0078367D" w:rsidP="00A6051F">
      <w:pPr>
        <w:pStyle w:val="Heading4"/>
      </w:pPr>
      <w:bookmarkStart w:id="18" w:name="_Toc225770630"/>
      <w:r>
        <w:t>Attachments</w:t>
      </w:r>
      <w:bookmarkEnd w:id="18"/>
      <w:r w:rsidR="009746B1">
        <w:t xml:space="preserve"> </w:t>
      </w:r>
    </w:p>
    <w:p w14:paraId="28BA1215" w14:textId="1B677F78" w:rsidR="0007270D" w:rsidRDefault="001F3ED6" w:rsidP="0031115C">
      <w:pPr>
        <w:pStyle w:val="Heading7"/>
      </w:pPr>
      <w:r>
        <w:rPr>
          <w:lang w:eastAsia="en-US"/>
        </w:rPr>
        <w:t>Attachment 1</w:t>
      </w:r>
      <w:r w:rsidR="004D4D74">
        <w:rPr>
          <w:lang w:eastAsia="en-US"/>
        </w:rPr>
        <w:t xml:space="preserve"> -</w:t>
      </w:r>
      <w:r w:rsidR="0031115C">
        <w:rPr>
          <w:lang w:eastAsia="en-US"/>
        </w:rPr>
        <w:t xml:space="preserve"> </w:t>
      </w:r>
      <w:r w:rsidR="0031115C" w:rsidRPr="0031115C">
        <w:rPr>
          <w:lang w:eastAsia="en-US"/>
        </w:rPr>
        <w:t xml:space="preserve">Management </w:t>
      </w:r>
      <w:r w:rsidR="0031115C">
        <w:rPr>
          <w:lang w:eastAsia="en-US"/>
        </w:rPr>
        <w:t>o</w:t>
      </w:r>
      <w:r w:rsidR="0031115C" w:rsidRPr="0031115C">
        <w:rPr>
          <w:lang w:eastAsia="en-US"/>
        </w:rPr>
        <w:t>f Acute Severe Ulcerative Colitis (</w:t>
      </w:r>
      <w:r w:rsidR="0031115C">
        <w:rPr>
          <w:lang w:eastAsia="en-US"/>
        </w:rPr>
        <w:t>ASUC</w:t>
      </w:r>
      <w:r w:rsidR="0031115C" w:rsidRPr="0031115C">
        <w:rPr>
          <w:lang w:eastAsia="en-US"/>
        </w:rPr>
        <w:t>)</w:t>
      </w:r>
    </w:p>
    <w:p w14:paraId="055476E4" w14:textId="77777777" w:rsidR="007B1A7B" w:rsidRDefault="002D7682" w:rsidP="002D7682">
      <w:pPr>
        <w:pStyle w:val="Bullet"/>
        <w:numPr>
          <w:ilvl w:val="0"/>
          <w:numId w:val="0"/>
        </w:numPr>
        <w:spacing w:after="240"/>
        <w:rPr>
          <w:rStyle w:val="Hyperlink"/>
        </w:rPr>
      </w:pPr>
      <w:hyperlink w:anchor="_top" w:history="1">
        <w:r w:rsidRPr="00481A6C">
          <w:rPr>
            <w:rStyle w:val="Hyperlink"/>
          </w:rPr>
          <w:t>Back to Contents</w:t>
        </w:r>
      </w:hyperlink>
    </w:p>
    <w:p w14:paraId="1461B257" w14:textId="77777777" w:rsidR="007B1A7B" w:rsidRDefault="007B1A7B">
      <w:pPr>
        <w:spacing w:before="0" w:after="0" w:line="240" w:lineRule="auto"/>
        <w:rPr>
          <w:rStyle w:val="Hyperlink"/>
          <w:rFonts w:eastAsia="Times New Roman"/>
        </w:rPr>
      </w:pPr>
      <w:r>
        <w:rPr>
          <w:rStyle w:val="Hyperlink"/>
        </w:rPr>
        <w:br w:type="page"/>
      </w:r>
    </w:p>
    <w:p w14:paraId="03037F36" w14:textId="77777777" w:rsidR="009A5010" w:rsidRPr="001F3ED6" w:rsidRDefault="00280C5D" w:rsidP="001F3ED6">
      <w:pPr>
        <w:pStyle w:val="BodyCopy"/>
        <w:rPr>
          <w:rStyle w:val="Bold"/>
        </w:rPr>
      </w:pPr>
      <w:r w:rsidRPr="001F3ED6">
        <w:rPr>
          <w:rStyle w:val="Bold"/>
        </w:rPr>
        <w:lastRenderedPageBreak/>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9774F8" w14:paraId="5B8CF3C1"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3833F8A9" w14:textId="77777777" w:rsidR="00280C5D" w:rsidRDefault="00280C5D" w:rsidP="003B0E72">
            <w:pPr>
              <w:pStyle w:val="Tableheader"/>
            </w:pPr>
            <w:r>
              <w:t>Date amended</w:t>
            </w:r>
          </w:p>
        </w:tc>
        <w:tc>
          <w:tcPr>
            <w:tcW w:w="2477" w:type="dxa"/>
          </w:tcPr>
          <w:p w14:paraId="3CD72E29" w14:textId="77777777" w:rsidR="00280C5D" w:rsidRDefault="00280C5D" w:rsidP="003B0E72">
            <w:pPr>
              <w:pStyle w:val="Tableheader"/>
            </w:pPr>
            <w:r>
              <w:t>Section amended</w:t>
            </w:r>
          </w:p>
        </w:tc>
        <w:tc>
          <w:tcPr>
            <w:tcW w:w="2555" w:type="dxa"/>
          </w:tcPr>
          <w:p w14:paraId="26129F4E" w14:textId="77777777" w:rsidR="00280C5D" w:rsidRDefault="00280C5D" w:rsidP="003B0E72">
            <w:pPr>
              <w:pStyle w:val="Tableheader"/>
            </w:pPr>
            <w:r>
              <w:t>Divisional approval</w:t>
            </w:r>
          </w:p>
        </w:tc>
        <w:tc>
          <w:tcPr>
            <w:tcW w:w="2403" w:type="dxa"/>
          </w:tcPr>
          <w:p w14:paraId="337646F5" w14:textId="77777777" w:rsidR="00280C5D" w:rsidRDefault="00280C5D" w:rsidP="003B0E72">
            <w:pPr>
              <w:pStyle w:val="Tableheader"/>
            </w:pPr>
            <w:r>
              <w:t>Final approval</w:t>
            </w:r>
          </w:p>
        </w:tc>
      </w:tr>
      <w:tr w:rsidR="00280C5D" w14:paraId="5DBBD4D2" w14:textId="77777777" w:rsidTr="003B0E72">
        <w:tc>
          <w:tcPr>
            <w:tcW w:w="2476" w:type="dxa"/>
          </w:tcPr>
          <w:p w14:paraId="49700948" w14:textId="5F99C190" w:rsidR="00280C5D" w:rsidRDefault="00F134E5" w:rsidP="003B0E72">
            <w:pPr>
              <w:pStyle w:val="Tablebody"/>
              <w:rPr>
                <w:lang w:eastAsia="en-US"/>
              </w:rPr>
            </w:pPr>
            <w:r>
              <w:rPr>
                <w:lang w:eastAsia="en-US"/>
              </w:rPr>
              <w:t>30/03/2026</w:t>
            </w:r>
          </w:p>
        </w:tc>
        <w:tc>
          <w:tcPr>
            <w:tcW w:w="2477" w:type="dxa"/>
          </w:tcPr>
          <w:p w14:paraId="6A20E4A6" w14:textId="6DF8D471" w:rsidR="00280C5D" w:rsidRDefault="00F134E5" w:rsidP="003B0E72">
            <w:pPr>
              <w:pStyle w:val="Tablebody"/>
              <w:rPr>
                <w:lang w:eastAsia="en-US"/>
              </w:rPr>
            </w:pPr>
            <w:r>
              <w:rPr>
                <w:lang w:eastAsia="en-US"/>
              </w:rPr>
              <w:t>New Document</w:t>
            </w:r>
          </w:p>
        </w:tc>
        <w:tc>
          <w:tcPr>
            <w:tcW w:w="2555" w:type="dxa"/>
          </w:tcPr>
          <w:p w14:paraId="0AF097D0" w14:textId="0A390E3C" w:rsidR="00280C5D" w:rsidRDefault="00F134E5" w:rsidP="003B0E72">
            <w:pPr>
              <w:pStyle w:val="Tablebody"/>
              <w:rPr>
                <w:lang w:eastAsia="en-US"/>
              </w:rPr>
            </w:pPr>
            <w:r w:rsidRPr="00F134E5">
              <w:rPr>
                <w:lang w:val="en-AU" w:eastAsia="en-US"/>
              </w:rPr>
              <w:t>Rebekah Ogilvie</w:t>
            </w:r>
            <w:r>
              <w:rPr>
                <w:lang w:val="en-AU" w:eastAsia="en-US"/>
              </w:rPr>
              <w:t>, Executive Director</w:t>
            </w:r>
          </w:p>
        </w:tc>
        <w:tc>
          <w:tcPr>
            <w:tcW w:w="2403" w:type="dxa"/>
          </w:tcPr>
          <w:p w14:paraId="4AFCC26E" w14:textId="36D1CEBA" w:rsidR="00280C5D" w:rsidRDefault="00F134E5" w:rsidP="003B0E72">
            <w:pPr>
              <w:pStyle w:val="Tablebody"/>
              <w:rPr>
                <w:lang w:eastAsia="en-US"/>
              </w:rPr>
            </w:pPr>
            <w:r>
              <w:rPr>
                <w:lang w:eastAsia="en-US"/>
              </w:rPr>
              <w:t>CHS Policy and Consumer Handouts</w:t>
            </w:r>
          </w:p>
        </w:tc>
      </w:tr>
      <w:tr w:rsidR="00280C5D" w14:paraId="4DF24464" w14:textId="77777777" w:rsidTr="003B0E72">
        <w:tc>
          <w:tcPr>
            <w:tcW w:w="2476" w:type="dxa"/>
          </w:tcPr>
          <w:p w14:paraId="09E0547C" w14:textId="77777777" w:rsidR="00280C5D" w:rsidRDefault="00280C5D" w:rsidP="003B0E72">
            <w:pPr>
              <w:pStyle w:val="Tablebody"/>
              <w:rPr>
                <w:lang w:eastAsia="en-US"/>
              </w:rPr>
            </w:pPr>
          </w:p>
        </w:tc>
        <w:tc>
          <w:tcPr>
            <w:tcW w:w="2477" w:type="dxa"/>
          </w:tcPr>
          <w:p w14:paraId="7E15C480" w14:textId="77777777" w:rsidR="00280C5D" w:rsidRDefault="00280C5D" w:rsidP="003B0E72">
            <w:pPr>
              <w:pStyle w:val="Tablebody"/>
              <w:rPr>
                <w:lang w:eastAsia="en-US"/>
              </w:rPr>
            </w:pPr>
          </w:p>
        </w:tc>
        <w:tc>
          <w:tcPr>
            <w:tcW w:w="2555" w:type="dxa"/>
          </w:tcPr>
          <w:p w14:paraId="24207031" w14:textId="77777777" w:rsidR="00280C5D" w:rsidRDefault="00280C5D" w:rsidP="003B0E72">
            <w:pPr>
              <w:pStyle w:val="Tablebody"/>
              <w:rPr>
                <w:lang w:eastAsia="en-US"/>
              </w:rPr>
            </w:pPr>
          </w:p>
        </w:tc>
        <w:tc>
          <w:tcPr>
            <w:tcW w:w="2403" w:type="dxa"/>
          </w:tcPr>
          <w:p w14:paraId="0B7CCDDD" w14:textId="77777777" w:rsidR="00280C5D" w:rsidRDefault="00280C5D" w:rsidP="003B0E72">
            <w:pPr>
              <w:pStyle w:val="Tablebody"/>
              <w:rPr>
                <w:lang w:eastAsia="en-US"/>
              </w:rPr>
            </w:pPr>
          </w:p>
        </w:tc>
      </w:tr>
    </w:tbl>
    <w:p w14:paraId="62369781"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0DB04A89"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635F0E45" w14:textId="77777777" w:rsidR="00280C5D" w:rsidRDefault="00280C5D" w:rsidP="003B0E72">
            <w:pPr>
              <w:pStyle w:val="Tableheader"/>
            </w:pPr>
            <w:r>
              <w:t>Document number</w:t>
            </w:r>
          </w:p>
        </w:tc>
        <w:tc>
          <w:tcPr>
            <w:tcW w:w="7653" w:type="dxa"/>
          </w:tcPr>
          <w:p w14:paraId="50B3682C" w14:textId="77777777" w:rsidR="00280C5D" w:rsidRDefault="00280C5D" w:rsidP="003B0E72">
            <w:pPr>
              <w:pStyle w:val="Tableheader"/>
            </w:pPr>
            <w:r>
              <w:t>Document name</w:t>
            </w:r>
          </w:p>
        </w:tc>
      </w:tr>
      <w:tr w:rsidR="00280C5D" w14:paraId="342E11F0" w14:textId="77777777" w:rsidTr="003B0E72">
        <w:tc>
          <w:tcPr>
            <w:tcW w:w="2548" w:type="dxa"/>
          </w:tcPr>
          <w:p w14:paraId="3F28287C" w14:textId="77777777" w:rsidR="00280C5D" w:rsidRDefault="00280C5D" w:rsidP="003B0E72">
            <w:pPr>
              <w:pStyle w:val="Tablebody"/>
              <w:rPr>
                <w:lang w:eastAsia="en-US"/>
              </w:rPr>
            </w:pPr>
          </w:p>
        </w:tc>
        <w:tc>
          <w:tcPr>
            <w:tcW w:w="7653" w:type="dxa"/>
          </w:tcPr>
          <w:p w14:paraId="02A5F82A" w14:textId="77777777" w:rsidR="00280C5D" w:rsidRDefault="00280C5D" w:rsidP="003B0E72">
            <w:pPr>
              <w:pStyle w:val="Tablebody"/>
              <w:rPr>
                <w:lang w:eastAsia="en-US"/>
              </w:rPr>
            </w:pPr>
          </w:p>
        </w:tc>
      </w:tr>
      <w:tr w:rsidR="00280C5D" w14:paraId="1A28F898" w14:textId="77777777" w:rsidTr="003B0E72">
        <w:tc>
          <w:tcPr>
            <w:tcW w:w="2548" w:type="dxa"/>
          </w:tcPr>
          <w:p w14:paraId="6673043F" w14:textId="77777777" w:rsidR="00280C5D" w:rsidRDefault="00280C5D" w:rsidP="003B0E72">
            <w:pPr>
              <w:pStyle w:val="Tablebody"/>
              <w:rPr>
                <w:lang w:eastAsia="en-US"/>
              </w:rPr>
            </w:pPr>
          </w:p>
        </w:tc>
        <w:tc>
          <w:tcPr>
            <w:tcW w:w="7653" w:type="dxa"/>
          </w:tcPr>
          <w:p w14:paraId="6576D07B" w14:textId="77777777" w:rsidR="00280C5D" w:rsidRDefault="00280C5D" w:rsidP="003B0E72">
            <w:pPr>
              <w:pStyle w:val="Tablebody"/>
              <w:rPr>
                <w:lang w:eastAsia="en-US"/>
              </w:rPr>
            </w:pPr>
          </w:p>
        </w:tc>
      </w:tr>
    </w:tbl>
    <w:p w14:paraId="30D5A700" w14:textId="77777777" w:rsidR="00280C5D" w:rsidRPr="001F3ED6" w:rsidRDefault="00280C5D" w:rsidP="001F3ED6">
      <w:pPr>
        <w:pStyle w:val="BodyCopy"/>
        <w:rPr>
          <w:rStyle w:val="Bold"/>
        </w:rPr>
      </w:pPr>
      <w:r w:rsidRPr="001F3ED6">
        <w:rPr>
          <w:rStyle w:val="Bold"/>
        </w:rPr>
        <w:t>Disclaimer</w:t>
      </w:r>
    </w:p>
    <w:p w14:paraId="0F74854B"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042A3D01"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63731006"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4961F20F" w14:textId="77777777" w:rsidTr="003B0E72">
        <w:tc>
          <w:tcPr>
            <w:tcW w:w="5529" w:type="dxa"/>
            <w:shd w:val="clear" w:color="auto" w:fill="F4F3EE"/>
            <w:tcMar>
              <w:top w:w="142" w:type="dxa"/>
              <w:left w:w="170" w:type="dxa"/>
              <w:bottom w:w="142" w:type="dxa"/>
              <w:right w:w="170" w:type="dxa"/>
            </w:tcMar>
          </w:tcPr>
          <w:bookmarkStart w:id="19" w:name="_Hlk160027189" w:displacedByCustomXml="next"/>
          <w:sdt>
            <w:sdtPr>
              <w:rPr>
                <w:color w:val="auto"/>
                <w:u w:val="single"/>
              </w:rPr>
              <w:id w:val="643171884"/>
              <w:placeholder>
                <w:docPart w:val="88EBD2C98F7F44FD96D933BA0136C3C5"/>
              </w:placeholder>
            </w:sdtPr>
            <w:sdtEndPr>
              <w:rPr>
                <w:color w:val="000000" w:themeColor="text1"/>
                <w:u w:val="none"/>
              </w:rPr>
            </w:sdtEndPr>
            <w:sdtContent>
              <w:p w14:paraId="503AAD04" w14:textId="77777777" w:rsidR="00280C5D" w:rsidRPr="00350211" w:rsidRDefault="00280C5D" w:rsidP="003B0E72">
                <w:pPr>
                  <w:pStyle w:val="Bottomblocktext"/>
                  <w:rPr>
                    <w:b/>
                    <w:bCs w:val="0"/>
                    <w:sz w:val="20"/>
                    <w:szCs w:val="20"/>
                  </w:rPr>
                </w:pPr>
                <w:r>
                  <w:rPr>
                    <w:noProof/>
                    <w:sz w:val="20"/>
                    <w:szCs w:val="20"/>
                  </w:rPr>
                  <w:drawing>
                    <wp:inline distT="0" distB="0" distL="0" distR="0" wp14:anchorId="2631D8B3" wp14:editId="61530BFD">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2"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760C4F70"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5150657C"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65ABBBA6F17741BA8B54963B6F9C8433"/>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3F6C0E">
                      <w:t>24</w:t>
                    </w:r>
                  </w:sdtContent>
                </w:sdt>
              </w:p>
            </w:sdtContent>
          </w:sdt>
        </w:tc>
        <w:sdt>
          <w:sdtPr>
            <w:id w:val="637692764"/>
            <w:placeholder>
              <w:docPart w:val="DBA2EE964310403DBA48AC8B2C528C78"/>
            </w:placeholder>
            <w:showingPlcHdr/>
          </w:sdtPr>
          <w:sdtContent>
            <w:tc>
              <w:tcPr>
                <w:tcW w:w="4665" w:type="dxa"/>
                <w:shd w:val="clear" w:color="auto" w:fill="F4F3EE"/>
                <w:tcMar>
                  <w:top w:w="142" w:type="dxa"/>
                  <w:left w:w="170" w:type="dxa"/>
                  <w:bottom w:w="142" w:type="dxa"/>
                  <w:right w:w="170" w:type="dxa"/>
                </w:tcMar>
              </w:tcPr>
              <w:p w14:paraId="1452322C"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49FFD542" wp14:editId="76A5117A">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3"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59C609E" wp14:editId="4B336B6F">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305B7995"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0EAD5998" wp14:editId="2B52CEA6">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5"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2CE7326" wp14:editId="65243F29">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40541A6D" w14:textId="77777777" w:rsidR="00280C5D" w:rsidRDefault="00280C5D" w:rsidP="003B0E72">
                <w:pPr>
                  <w:pStyle w:val="Bottomblocktext"/>
                  <w:rPr>
                    <w:sz w:val="20"/>
                    <w:szCs w:val="20"/>
                  </w:rPr>
                </w:pPr>
                <w:hyperlink r:id="rId16" w:history="1">
                  <w:r w:rsidRPr="00350211">
                    <w:rPr>
                      <w:rStyle w:val="Hyperlink"/>
                      <w:sz w:val="20"/>
                      <w:szCs w:val="20"/>
                    </w:rPr>
                    <w:t>canberrahealthservices.act.gov.au/accessibility</w:t>
                  </w:r>
                </w:hyperlink>
              </w:p>
              <w:p w14:paraId="7586A481" w14:textId="77777777" w:rsidR="00280C5D" w:rsidRDefault="00280C5D" w:rsidP="003B0E72">
                <w:pPr>
                  <w:pStyle w:val="Bottomblocktext"/>
                </w:pPr>
                <w:r>
                  <w:rPr>
                    <w:b/>
                    <w:bCs w:val="0"/>
                    <w:noProof/>
                  </w:rPr>
                  <w:drawing>
                    <wp:inline distT="0" distB="0" distL="0" distR="0" wp14:anchorId="3A97F73D" wp14:editId="72F4B5D9">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7"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19"/>
    </w:tbl>
    <w:p w14:paraId="4D8FF367" w14:textId="77777777" w:rsidR="00201AF6" w:rsidRDefault="00201AF6" w:rsidP="000E7683">
      <w:pPr>
        <w:rPr>
          <w:lang w:eastAsia="en-US"/>
        </w:rPr>
      </w:pPr>
    </w:p>
    <w:p w14:paraId="18D36226" w14:textId="2ECFF51E" w:rsidR="009774F8" w:rsidRDefault="00201AF6" w:rsidP="00524FC3">
      <w:pPr>
        <w:spacing w:before="0" w:after="0" w:line="240" w:lineRule="auto"/>
        <w:rPr>
          <w:lang w:eastAsia="en-US"/>
        </w:rPr>
        <w:sectPr w:rsidR="009774F8" w:rsidSect="00910EC5">
          <w:footerReference w:type="default" r:id="rId18"/>
          <w:headerReference w:type="first" r:id="rId19"/>
          <w:footerReference w:type="first" r:id="rId20"/>
          <w:pgSz w:w="11906" w:h="16838" w:code="9"/>
          <w:pgMar w:top="970" w:right="1134" w:bottom="1134" w:left="851" w:header="284" w:footer="53" w:gutter="0"/>
          <w:cols w:space="708"/>
          <w:titlePg/>
          <w:docGrid w:linePitch="360"/>
        </w:sectPr>
      </w:pPr>
      <w:r>
        <w:rPr>
          <w:lang w:eastAsia="en-US"/>
        </w:rPr>
        <w:br w:type="page"/>
      </w:r>
    </w:p>
    <w:p w14:paraId="2198A6E3" w14:textId="77777777" w:rsidR="008327DC" w:rsidRDefault="008327DC" w:rsidP="00A513AA">
      <w:pPr>
        <w:pStyle w:val="Bullet"/>
        <w:numPr>
          <w:ilvl w:val="0"/>
          <w:numId w:val="0"/>
        </w:numPr>
      </w:pPr>
    </w:p>
    <w:p w14:paraId="688BED7C" w14:textId="2764DCAC" w:rsidR="00AB5592" w:rsidRDefault="00AB5592" w:rsidP="00AB5592">
      <w:pPr>
        <w:pStyle w:val="Heading4"/>
      </w:pPr>
      <w:bookmarkStart w:id="20" w:name="_Toc225770631"/>
      <w:r>
        <w:t>Attachment 1</w:t>
      </w:r>
      <w:r w:rsidR="000E6CC6">
        <w:t xml:space="preserve"> -</w:t>
      </w:r>
      <w:r>
        <w:t xml:space="preserve"> </w:t>
      </w:r>
      <w:r w:rsidRPr="007570B3">
        <w:t xml:space="preserve">Management </w:t>
      </w:r>
      <w:r>
        <w:t>o</w:t>
      </w:r>
      <w:r w:rsidRPr="007570B3">
        <w:t>f Acute Severe Ulcerative Colitis (</w:t>
      </w:r>
      <w:r>
        <w:t>ASUC</w:t>
      </w:r>
      <w:r w:rsidRPr="007570B3">
        <w:t>)</w:t>
      </w:r>
      <w:bookmarkEnd w:id="20"/>
      <w:r w:rsidRPr="007570B3">
        <w:t xml:space="preserve"> </w:t>
      </w:r>
    </w:p>
    <w:p w14:paraId="59A46A3C" w14:textId="57F33E01" w:rsidR="008327DC" w:rsidRDefault="00524FC3" w:rsidP="00524FC3">
      <w:pPr>
        <w:pStyle w:val="Bullet"/>
        <w:numPr>
          <w:ilvl w:val="0"/>
          <w:numId w:val="0"/>
        </w:numPr>
        <w:jc w:val="center"/>
      </w:pPr>
      <w:r>
        <w:rPr>
          <w:noProof/>
        </w:rPr>
        <w:drawing>
          <wp:inline distT="0" distB="0" distL="0" distR="0" wp14:anchorId="299E8B73" wp14:editId="47401FF4">
            <wp:extent cx="6718852" cy="4436977"/>
            <wp:effectExtent l="0" t="0" r="6350" b="1905"/>
            <wp:docPr id="470063516" name="Picture 1" descr="Flowchart diagram outlining emergency department, admitting registrar, and gastroenterology team protocols for managing acute severe ulcerative colitis (AS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63516" name="Picture 1" descr="Flowchart diagram outlining emergency department, admitting registrar, and gastroenterology team protocols for managing acute severe ulcerative colitis (ASUC)."/>
                    <pic:cNvPicPr/>
                  </pic:nvPicPr>
                  <pic:blipFill>
                    <a:blip r:embed="rId21"/>
                    <a:stretch>
                      <a:fillRect/>
                    </a:stretch>
                  </pic:blipFill>
                  <pic:spPr>
                    <a:xfrm>
                      <a:off x="0" y="0"/>
                      <a:ext cx="6718852" cy="4436977"/>
                    </a:xfrm>
                    <a:prstGeom prst="rect">
                      <a:avLst/>
                    </a:prstGeom>
                  </pic:spPr>
                </pic:pic>
              </a:graphicData>
            </a:graphic>
          </wp:inline>
        </w:drawing>
      </w:r>
    </w:p>
    <w:p w14:paraId="7DC914DA" w14:textId="0DDFEBBA" w:rsidR="00A513AA" w:rsidRPr="00524FC3" w:rsidRDefault="00A513AA" w:rsidP="00524FC3">
      <w:pPr>
        <w:pStyle w:val="Bullet"/>
        <w:numPr>
          <w:ilvl w:val="0"/>
          <w:numId w:val="0"/>
        </w:numPr>
        <w:rPr>
          <w:color w:val="auto"/>
          <w:u w:val="single"/>
        </w:rPr>
      </w:pPr>
      <w:hyperlink w:anchor="_top" w:history="1">
        <w:r w:rsidRPr="00481A6C">
          <w:rPr>
            <w:rStyle w:val="Hyperlink"/>
          </w:rPr>
          <w:t>Back to Contents</w:t>
        </w:r>
      </w:hyperlink>
    </w:p>
    <w:sectPr w:rsidR="00A513AA" w:rsidRPr="00524FC3" w:rsidSect="00DB7680">
      <w:pgSz w:w="16838" w:h="11906" w:orient="landscape" w:code="9"/>
      <w:pgMar w:top="851" w:right="970" w:bottom="1134" w:left="1134"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01502" w14:textId="77777777" w:rsidR="00A56C2B" w:rsidRDefault="00A56C2B" w:rsidP="00225769">
      <w:pPr>
        <w:spacing w:after="0" w:line="240" w:lineRule="auto"/>
      </w:pPr>
      <w:r>
        <w:separator/>
      </w:r>
    </w:p>
    <w:p w14:paraId="00D2A5DA" w14:textId="77777777" w:rsidR="00A56C2B" w:rsidRDefault="00A56C2B"/>
    <w:p w14:paraId="2C31518C" w14:textId="77777777" w:rsidR="00A56C2B" w:rsidRDefault="00A56C2B"/>
    <w:p w14:paraId="7B123EEB" w14:textId="77777777" w:rsidR="00A56C2B" w:rsidRDefault="00A56C2B"/>
    <w:p w14:paraId="0604ACFB" w14:textId="77777777" w:rsidR="00A56C2B" w:rsidRDefault="00A56C2B"/>
    <w:p w14:paraId="7C6CCEC1" w14:textId="77777777" w:rsidR="00A56C2B" w:rsidRDefault="00A56C2B"/>
    <w:p w14:paraId="7544BD71" w14:textId="77777777" w:rsidR="00A56C2B" w:rsidRDefault="00A56C2B"/>
  </w:endnote>
  <w:endnote w:type="continuationSeparator" w:id="0">
    <w:p w14:paraId="3BDAC865" w14:textId="77777777" w:rsidR="00A56C2B" w:rsidRDefault="00A56C2B" w:rsidP="00225769">
      <w:pPr>
        <w:spacing w:after="0" w:line="240" w:lineRule="auto"/>
      </w:pPr>
      <w:r>
        <w:continuationSeparator/>
      </w:r>
    </w:p>
    <w:p w14:paraId="5346A5A7" w14:textId="77777777" w:rsidR="00A56C2B" w:rsidRDefault="00A56C2B"/>
    <w:p w14:paraId="584DE523" w14:textId="77777777" w:rsidR="00A56C2B" w:rsidRDefault="00A56C2B"/>
    <w:p w14:paraId="3F5C5804" w14:textId="77777777" w:rsidR="00A56C2B" w:rsidRDefault="00A56C2B"/>
    <w:p w14:paraId="54A9654C" w14:textId="77777777" w:rsidR="00A56C2B" w:rsidRDefault="00A56C2B"/>
    <w:p w14:paraId="019FF845" w14:textId="77777777" w:rsidR="00A56C2B" w:rsidRDefault="00A56C2B"/>
    <w:p w14:paraId="71041281" w14:textId="77777777" w:rsidR="00A56C2B" w:rsidRDefault="00A56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1A102E88" w14:textId="77777777" w:rsidTr="003B0E72">
      <w:trPr>
        <w:jc w:val="center"/>
      </w:trPr>
      <w:tc>
        <w:tcPr>
          <w:tcW w:w="1515" w:type="dxa"/>
        </w:tcPr>
        <w:p w14:paraId="74D97D66"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56ACAE36"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39A426B5"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696DC678"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3363C5D5"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15A946DC"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33FE1075" w14:textId="77777777" w:rsidTr="003B0E72">
      <w:trPr>
        <w:jc w:val="center"/>
      </w:trPr>
      <w:tc>
        <w:tcPr>
          <w:tcW w:w="1515" w:type="dxa"/>
        </w:tcPr>
        <w:p w14:paraId="79D5CB41" w14:textId="17014BAB" w:rsidR="00481A6C" w:rsidRPr="00954F7B" w:rsidRDefault="00F134E5" w:rsidP="00481A6C">
          <w:pPr>
            <w:pStyle w:val="Footer"/>
            <w:jc w:val="center"/>
            <w:rPr>
              <w:bCs/>
              <w:iCs/>
              <w:sz w:val="20"/>
              <w:szCs w:val="20"/>
            </w:rPr>
          </w:pPr>
          <w:r>
            <w:rPr>
              <w:bCs/>
              <w:iCs/>
              <w:sz w:val="20"/>
              <w:szCs w:val="20"/>
            </w:rPr>
            <w:t>CHS26/085</w:t>
          </w:r>
        </w:p>
      </w:tc>
      <w:tc>
        <w:tcPr>
          <w:tcW w:w="965" w:type="dxa"/>
        </w:tcPr>
        <w:p w14:paraId="19E37121" w14:textId="23BEB27F" w:rsidR="00481A6C" w:rsidRPr="00954F7B" w:rsidRDefault="00F134E5" w:rsidP="00481A6C">
          <w:pPr>
            <w:pStyle w:val="Footer"/>
            <w:jc w:val="center"/>
            <w:rPr>
              <w:bCs/>
              <w:iCs/>
              <w:sz w:val="20"/>
              <w:szCs w:val="20"/>
            </w:rPr>
          </w:pPr>
          <w:r>
            <w:rPr>
              <w:bCs/>
              <w:iCs/>
              <w:sz w:val="20"/>
              <w:szCs w:val="20"/>
            </w:rPr>
            <w:t>1</w:t>
          </w:r>
        </w:p>
      </w:tc>
      <w:tc>
        <w:tcPr>
          <w:tcW w:w="1552" w:type="dxa"/>
        </w:tcPr>
        <w:p w14:paraId="4577C3D9" w14:textId="5853E9B1" w:rsidR="00481A6C" w:rsidRPr="00954F7B" w:rsidRDefault="00F134E5" w:rsidP="00481A6C">
          <w:pPr>
            <w:pStyle w:val="Footer"/>
            <w:jc w:val="center"/>
            <w:rPr>
              <w:bCs/>
              <w:iCs/>
              <w:sz w:val="20"/>
              <w:szCs w:val="20"/>
            </w:rPr>
          </w:pPr>
          <w:r>
            <w:rPr>
              <w:bCs/>
              <w:iCs/>
              <w:sz w:val="20"/>
              <w:szCs w:val="20"/>
            </w:rPr>
            <w:t>30/03/2026</w:t>
          </w:r>
        </w:p>
      </w:tc>
      <w:tc>
        <w:tcPr>
          <w:tcW w:w="1456" w:type="dxa"/>
        </w:tcPr>
        <w:p w14:paraId="1EA132E7" w14:textId="17F7EFD3" w:rsidR="00481A6C" w:rsidRPr="00954F7B" w:rsidRDefault="00F134E5" w:rsidP="00481A6C">
          <w:pPr>
            <w:pStyle w:val="Footer"/>
            <w:jc w:val="center"/>
            <w:rPr>
              <w:bCs/>
              <w:iCs/>
              <w:sz w:val="20"/>
              <w:szCs w:val="20"/>
            </w:rPr>
          </w:pPr>
          <w:r>
            <w:rPr>
              <w:bCs/>
              <w:iCs/>
              <w:sz w:val="20"/>
              <w:szCs w:val="20"/>
            </w:rPr>
            <w:t>01/02/2029</w:t>
          </w:r>
        </w:p>
      </w:tc>
      <w:tc>
        <w:tcPr>
          <w:tcW w:w="1746" w:type="dxa"/>
        </w:tcPr>
        <w:p w14:paraId="292A7DF1" w14:textId="3697106E" w:rsidR="00481A6C" w:rsidRPr="00954F7B" w:rsidRDefault="00F134E5" w:rsidP="00481A6C">
          <w:pPr>
            <w:pStyle w:val="Footer"/>
            <w:jc w:val="center"/>
            <w:rPr>
              <w:bCs/>
              <w:iCs/>
              <w:sz w:val="20"/>
              <w:szCs w:val="20"/>
            </w:rPr>
          </w:pPr>
          <w:r>
            <w:rPr>
              <w:bCs/>
              <w:iCs/>
              <w:sz w:val="20"/>
              <w:szCs w:val="20"/>
            </w:rPr>
            <w:t>Medicine</w:t>
          </w:r>
        </w:p>
      </w:tc>
      <w:tc>
        <w:tcPr>
          <w:tcW w:w="1836" w:type="dxa"/>
        </w:tcPr>
        <w:p w14:paraId="5E2E5EF7"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34CA3378"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099DB007" w14:textId="77777777" w:rsidTr="008E1ED9">
      <w:trPr>
        <w:jc w:val="center"/>
      </w:trPr>
      <w:tc>
        <w:tcPr>
          <w:tcW w:w="1515" w:type="dxa"/>
        </w:tcPr>
        <w:p w14:paraId="2E156F14"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07531C13"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1A68B529"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3DFA9879"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51B824BC"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206624C7"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31E38CA5" w14:textId="77777777" w:rsidTr="008E1ED9">
      <w:trPr>
        <w:jc w:val="center"/>
      </w:trPr>
      <w:tc>
        <w:tcPr>
          <w:tcW w:w="1515" w:type="dxa"/>
        </w:tcPr>
        <w:p w14:paraId="0176A5D5" w14:textId="573380EF" w:rsidR="008A3DD8" w:rsidRPr="00954F7B" w:rsidRDefault="00F134E5" w:rsidP="008A3DD8">
          <w:pPr>
            <w:pStyle w:val="Footer"/>
            <w:jc w:val="center"/>
            <w:rPr>
              <w:bCs/>
              <w:iCs/>
              <w:sz w:val="20"/>
              <w:szCs w:val="20"/>
            </w:rPr>
          </w:pPr>
          <w:r>
            <w:rPr>
              <w:bCs/>
              <w:iCs/>
              <w:sz w:val="20"/>
              <w:szCs w:val="20"/>
            </w:rPr>
            <w:t>CHS26/085</w:t>
          </w:r>
        </w:p>
      </w:tc>
      <w:tc>
        <w:tcPr>
          <w:tcW w:w="965" w:type="dxa"/>
        </w:tcPr>
        <w:p w14:paraId="3FC49314" w14:textId="34F66B4A" w:rsidR="008A3DD8" w:rsidRPr="00954F7B" w:rsidRDefault="00F134E5" w:rsidP="008A3DD8">
          <w:pPr>
            <w:pStyle w:val="Footer"/>
            <w:jc w:val="center"/>
            <w:rPr>
              <w:bCs/>
              <w:iCs/>
              <w:sz w:val="20"/>
              <w:szCs w:val="20"/>
            </w:rPr>
          </w:pPr>
          <w:r>
            <w:rPr>
              <w:bCs/>
              <w:iCs/>
              <w:sz w:val="20"/>
              <w:szCs w:val="20"/>
            </w:rPr>
            <w:t>1</w:t>
          </w:r>
        </w:p>
      </w:tc>
      <w:tc>
        <w:tcPr>
          <w:tcW w:w="1552" w:type="dxa"/>
        </w:tcPr>
        <w:p w14:paraId="734B30AB" w14:textId="0015CA11" w:rsidR="008A3DD8" w:rsidRPr="00954F7B" w:rsidRDefault="00F134E5" w:rsidP="008A3DD8">
          <w:pPr>
            <w:pStyle w:val="Footer"/>
            <w:jc w:val="center"/>
            <w:rPr>
              <w:bCs/>
              <w:iCs/>
              <w:sz w:val="20"/>
              <w:szCs w:val="20"/>
            </w:rPr>
          </w:pPr>
          <w:r>
            <w:rPr>
              <w:bCs/>
              <w:iCs/>
              <w:sz w:val="20"/>
              <w:szCs w:val="20"/>
            </w:rPr>
            <w:t>30/03/2026</w:t>
          </w:r>
        </w:p>
      </w:tc>
      <w:tc>
        <w:tcPr>
          <w:tcW w:w="1456" w:type="dxa"/>
        </w:tcPr>
        <w:p w14:paraId="26970396" w14:textId="75B62D47" w:rsidR="008A3DD8" w:rsidRPr="00954F7B" w:rsidRDefault="00F134E5" w:rsidP="008A3DD8">
          <w:pPr>
            <w:pStyle w:val="Footer"/>
            <w:jc w:val="center"/>
            <w:rPr>
              <w:bCs/>
              <w:iCs/>
              <w:sz w:val="20"/>
              <w:szCs w:val="20"/>
            </w:rPr>
          </w:pPr>
          <w:r>
            <w:rPr>
              <w:bCs/>
              <w:iCs/>
              <w:sz w:val="20"/>
              <w:szCs w:val="20"/>
            </w:rPr>
            <w:t>01/02/2029</w:t>
          </w:r>
        </w:p>
      </w:tc>
      <w:tc>
        <w:tcPr>
          <w:tcW w:w="1746" w:type="dxa"/>
        </w:tcPr>
        <w:p w14:paraId="0A7167E3" w14:textId="14F0E50D" w:rsidR="008A3DD8" w:rsidRPr="00954F7B" w:rsidRDefault="00F134E5" w:rsidP="008A3DD8">
          <w:pPr>
            <w:pStyle w:val="Footer"/>
            <w:jc w:val="center"/>
            <w:rPr>
              <w:bCs/>
              <w:iCs/>
              <w:sz w:val="20"/>
              <w:szCs w:val="20"/>
            </w:rPr>
          </w:pPr>
          <w:r>
            <w:rPr>
              <w:bCs/>
              <w:iCs/>
              <w:sz w:val="20"/>
              <w:szCs w:val="20"/>
            </w:rPr>
            <w:t>Medicine</w:t>
          </w:r>
        </w:p>
      </w:tc>
      <w:tc>
        <w:tcPr>
          <w:tcW w:w="1836" w:type="dxa"/>
        </w:tcPr>
        <w:p w14:paraId="3BAB3380"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019752F0"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C17A" w14:textId="77777777" w:rsidR="00A56C2B" w:rsidRDefault="00A56C2B" w:rsidP="009D493B">
      <w:pPr>
        <w:spacing w:after="0" w:line="240" w:lineRule="auto"/>
      </w:pPr>
      <w:r>
        <w:separator/>
      </w:r>
    </w:p>
  </w:footnote>
  <w:footnote w:type="continuationSeparator" w:id="0">
    <w:p w14:paraId="33A6BC99" w14:textId="77777777" w:rsidR="00A56C2B" w:rsidRDefault="00A56C2B" w:rsidP="00A9080B">
      <w:pPr>
        <w:spacing w:after="0" w:line="240" w:lineRule="auto"/>
      </w:pPr>
      <w:r>
        <w:continuationSeparator/>
      </w:r>
    </w:p>
    <w:p w14:paraId="1E9E1093" w14:textId="77777777" w:rsidR="00A56C2B" w:rsidRDefault="00A56C2B"/>
    <w:p w14:paraId="30EEACD2" w14:textId="77777777" w:rsidR="00A56C2B" w:rsidRDefault="00A56C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4054" w14:textId="77777777" w:rsidR="008A3DD8" w:rsidRDefault="008A3DD8">
    <w:pPr>
      <w:pStyle w:val="Header"/>
    </w:pPr>
    <w:r w:rsidRPr="00324CF9">
      <w:rPr>
        <w:noProof/>
      </w:rPr>
      <w:drawing>
        <wp:inline distT="0" distB="0" distL="0" distR="0" wp14:anchorId="398A17F2" wp14:editId="01C5601B">
          <wp:extent cx="3360385" cy="972000"/>
          <wp:effectExtent l="0" t="0" r="0" b="0"/>
          <wp:docPr id="1021292013" name="Picture 10212920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6B851CC"/>
    <w:multiLevelType w:val="hybridMultilevel"/>
    <w:tmpl w:val="87EE43BE"/>
    <w:lvl w:ilvl="0" w:tplc="3CB6737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5" w15:restartNumberingAfterBreak="0">
    <w:nsid w:val="21BD0112"/>
    <w:multiLevelType w:val="hybridMultilevel"/>
    <w:tmpl w:val="96BA0050"/>
    <w:lvl w:ilvl="0" w:tplc="3CB6737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7" w15:restartNumberingAfterBreak="0">
    <w:nsid w:val="22251963"/>
    <w:multiLevelType w:val="hybridMultilevel"/>
    <w:tmpl w:val="1D6647C0"/>
    <w:lvl w:ilvl="0" w:tplc="3CB6737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BF3396"/>
    <w:multiLevelType w:val="multilevel"/>
    <w:tmpl w:val="6D70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B6AA8"/>
    <w:multiLevelType w:val="hybridMultilevel"/>
    <w:tmpl w:val="04CA031C"/>
    <w:lvl w:ilvl="0" w:tplc="3CB6737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012697"/>
    <w:multiLevelType w:val="hybridMultilevel"/>
    <w:tmpl w:val="46047942"/>
    <w:lvl w:ilvl="0" w:tplc="3CB6737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472403"/>
    <w:multiLevelType w:val="multilevel"/>
    <w:tmpl w:val="76A03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162D9"/>
    <w:multiLevelType w:val="hybridMultilevel"/>
    <w:tmpl w:val="D66A2F7E"/>
    <w:lvl w:ilvl="0" w:tplc="3CB6737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6D6342"/>
    <w:multiLevelType w:val="hybridMultilevel"/>
    <w:tmpl w:val="6DA4BD3C"/>
    <w:lvl w:ilvl="0" w:tplc="556A22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744CA3"/>
    <w:multiLevelType w:val="hybridMultilevel"/>
    <w:tmpl w:val="951CC3E6"/>
    <w:lvl w:ilvl="0" w:tplc="3CB6737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151190"/>
    <w:multiLevelType w:val="hybridMultilevel"/>
    <w:tmpl w:val="D3C81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0576B"/>
    <w:multiLevelType w:val="hybridMultilevel"/>
    <w:tmpl w:val="D6309176"/>
    <w:lvl w:ilvl="0" w:tplc="3CB6737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3F01E3"/>
    <w:multiLevelType w:val="multilevel"/>
    <w:tmpl w:val="20A8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23"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5" w15:restartNumberingAfterBreak="0">
    <w:nsid w:val="4CD3026D"/>
    <w:multiLevelType w:val="hybridMultilevel"/>
    <w:tmpl w:val="66F8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E014AB"/>
    <w:multiLevelType w:val="hybridMultilevel"/>
    <w:tmpl w:val="1D04A7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ED590B"/>
    <w:multiLevelType w:val="hybridMultilevel"/>
    <w:tmpl w:val="A6B60110"/>
    <w:lvl w:ilvl="0" w:tplc="4072C67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BC74FA"/>
    <w:multiLevelType w:val="hybridMultilevel"/>
    <w:tmpl w:val="D0FA978A"/>
    <w:lvl w:ilvl="0" w:tplc="3CB6737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714741"/>
    <w:multiLevelType w:val="hybridMultilevel"/>
    <w:tmpl w:val="2C10ADA4"/>
    <w:lvl w:ilvl="0" w:tplc="3CB6737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1C6788"/>
    <w:multiLevelType w:val="hybridMultilevel"/>
    <w:tmpl w:val="4CB2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5562F"/>
    <w:multiLevelType w:val="hybridMultilevel"/>
    <w:tmpl w:val="03FAD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3" w15:restartNumberingAfterBreak="0">
    <w:nsid w:val="73A252CC"/>
    <w:multiLevelType w:val="hybridMultilevel"/>
    <w:tmpl w:val="67EA0E6C"/>
    <w:lvl w:ilvl="0" w:tplc="3CB6737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6D3D12"/>
    <w:multiLevelType w:val="hybridMultilevel"/>
    <w:tmpl w:val="299EEC60"/>
    <w:lvl w:ilvl="0" w:tplc="3CB6737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8431774">
    <w:abstractNumId w:val="6"/>
  </w:num>
  <w:num w:numId="2" w16cid:durableId="842209657">
    <w:abstractNumId w:val="4"/>
  </w:num>
  <w:num w:numId="3" w16cid:durableId="660542573">
    <w:abstractNumId w:val="32"/>
  </w:num>
  <w:num w:numId="4" w16cid:durableId="1971085616">
    <w:abstractNumId w:val="20"/>
  </w:num>
  <w:num w:numId="5" w16cid:durableId="252517802">
    <w:abstractNumId w:val="21"/>
  </w:num>
  <w:num w:numId="6" w16cid:durableId="420297118">
    <w:abstractNumId w:val="24"/>
  </w:num>
  <w:num w:numId="7" w16cid:durableId="3533880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20"/>
    <w:lvlOverride w:ilvl="0">
      <w:startOverride w:val="1"/>
    </w:lvlOverride>
  </w:num>
  <w:num w:numId="9" w16cid:durableId="1747920389">
    <w:abstractNumId w:val="21"/>
    <w:lvlOverride w:ilvl="0">
      <w:startOverride w:val="1"/>
    </w:lvlOverride>
  </w:num>
  <w:num w:numId="10" w16cid:durableId="1001813381">
    <w:abstractNumId w:val="20"/>
    <w:lvlOverride w:ilvl="0">
      <w:startOverride w:val="1"/>
    </w:lvlOverride>
  </w:num>
  <w:num w:numId="11" w16cid:durableId="1103450744">
    <w:abstractNumId w:val="21"/>
    <w:lvlOverride w:ilvl="0">
      <w:startOverride w:val="1"/>
    </w:lvlOverride>
  </w:num>
  <w:num w:numId="12" w16cid:durableId="1549294228">
    <w:abstractNumId w:val="20"/>
    <w:lvlOverride w:ilvl="0">
      <w:startOverride w:val="1"/>
    </w:lvlOverride>
  </w:num>
  <w:num w:numId="13" w16cid:durableId="8758549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21"/>
    <w:lvlOverride w:ilvl="0">
      <w:startOverride w:val="1"/>
    </w:lvlOverride>
  </w:num>
  <w:num w:numId="15" w16cid:durableId="12464539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32"/>
  </w:num>
  <w:num w:numId="17" w16cid:durableId="434129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17"/>
  </w:num>
  <w:num w:numId="19" w16cid:durableId="836698820">
    <w:abstractNumId w:val="22"/>
  </w:num>
  <w:num w:numId="20" w16cid:durableId="4028038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23"/>
  </w:num>
  <w:num w:numId="22" w16cid:durableId="200242115">
    <w:abstractNumId w:val="0"/>
  </w:num>
  <w:num w:numId="23" w16cid:durableId="585068731">
    <w:abstractNumId w:val="2"/>
  </w:num>
  <w:num w:numId="24" w16cid:durableId="1431437445">
    <w:abstractNumId w:val="1"/>
  </w:num>
  <w:num w:numId="25" w16cid:durableId="507214046">
    <w:abstractNumId w:val="19"/>
  </w:num>
  <w:num w:numId="26" w16cid:durableId="913591473">
    <w:abstractNumId w:val="6"/>
  </w:num>
  <w:num w:numId="27" w16cid:durableId="163324344">
    <w:abstractNumId w:val="25"/>
  </w:num>
  <w:num w:numId="28" w16cid:durableId="523517597">
    <w:abstractNumId w:val="30"/>
  </w:num>
  <w:num w:numId="29" w16cid:durableId="791441129">
    <w:abstractNumId w:val="15"/>
  </w:num>
  <w:num w:numId="30" w16cid:durableId="1102342061">
    <w:abstractNumId w:val="29"/>
  </w:num>
  <w:num w:numId="31" w16cid:durableId="730737537">
    <w:abstractNumId w:val="12"/>
  </w:num>
  <w:num w:numId="32" w16cid:durableId="1375881836">
    <w:abstractNumId w:val="28"/>
  </w:num>
  <w:num w:numId="33" w16cid:durableId="710229620">
    <w:abstractNumId w:val="13"/>
  </w:num>
  <w:num w:numId="34" w16cid:durableId="1962875938">
    <w:abstractNumId w:val="34"/>
  </w:num>
  <w:num w:numId="35" w16cid:durableId="1370842129">
    <w:abstractNumId w:val="27"/>
  </w:num>
  <w:num w:numId="36" w16cid:durableId="866793192">
    <w:abstractNumId w:val="9"/>
  </w:num>
  <w:num w:numId="37" w16cid:durableId="1527057496">
    <w:abstractNumId w:val="16"/>
  </w:num>
  <w:num w:numId="38" w16cid:durableId="273753157">
    <w:abstractNumId w:val="7"/>
  </w:num>
  <w:num w:numId="39" w16cid:durableId="1314869120">
    <w:abstractNumId w:val="3"/>
  </w:num>
  <w:num w:numId="40" w16cid:durableId="1397626411">
    <w:abstractNumId w:val="5"/>
  </w:num>
  <w:num w:numId="41" w16cid:durableId="2145659170">
    <w:abstractNumId w:val="10"/>
  </w:num>
  <w:num w:numId="42" w16cid:durableId="1406104030">
    <w:abstractNumId w:val="14"/>
  </w:num>
  <w:num w:numId="43" w16cid:durableId="1192035994">
    <w:abstractNumId w:val="33"/>
  </w:num>
  <w:num w:numId="44" w16cid:durableId="1903759949">
    <w:abstractNumId w:val="18"/>
  </w:num>
  <w:num w:numId="45" w16cid:durableId="1419908236">
    <w:abstractNumId w:val="8"/>
  </w:num>
  <w:num w:numId="46" w16cid:durableId="23992690">
    <w:abstractNumId w:val="31"/>
  </w:num>
  <w:num w:numId="47" w16cid:durableId="990985208">
    <w:abstractNumId w:val="26"/>
  </w:num>
  <w:num w:numId="48" w16cid:durableId="33974351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F6"/>
    <w:rsid w:val="00000822"/>
    <w:rsid w:val="00000D99"/>
    <w:rsid w:val="00003728"/>
    <w:rsid w:val="00004428"/>
    <w:rsid w:val="00004B91"/>
    <w:rsid w:val="00006344"/>
    <w:rsid w:val="000065FA"/>
    <w:rsid w:val="000068B9"/>
    <w:rsid w:val="000115AB"/>
    <w:rsid w:val="00012DA7"/>
    <w:rsid w:val="00014646"/>
    <w:rsid w:val="0001473F"/>
    <w:rsid w:val="00014D0A"/>
    <w:rsid w:val="00015018"/>
    <w:rsid w:val="000246D6"/>
    <w:rsid w:val="00025C12"/>
    <w:rsid w:val="0003011D"/>
    <w:rsid w:val="000347FB"/>
    <w:rsid w:val="00035A11"/>
    <w:rsid w:val="00036249"/>
    <w:rsid w:val="00041D05"/>
    <w:rsid w:val="00042268"/>
    <w:rsid w:val="00043409"/>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62F7F"/>
    <w:rsid w:val="00067770"/>
    <w:rsid w:val="000707E9"/>
    <w:rsid w:val="00070945"/>
    <w:rsid w:val="000717BA"/>
    <w:rsid w:val="0007270D"/>
    <w:rsid w:val="00075506"/>
    <w:rsid w:val="00076E76"/>
    <w:rsid w:val="000806FA"/>
    <w:rsid w:val="00080F06"/>
    <w:rsid w:val="00080FC2"/>
    <w:rsid w:val="000825CF"/>
    <w:rsid w:val="00082C60"/>
    <w:rsid w:val="00082EB1"/>
    <w:rsid w:val="00083D66"/>
    <w:rsid w:val="000848B6"/>
    <w:rsid w:val="000858DB"/>
    <w:rsid w:val="000905E4"/>
    <w:rsid w:val="0009157D"/>
    <w:rsid w:val="00096D01"/>
    <w:rsid w:val="00097F70"/>
    <w:rsid w:val="000A08C4"/>
    <w:rsid w:val="000A0C18"/>
    <w:rsid w:val="000A3AA0"/>
    <w:rsid w:val="000A3F9B"/>
    <w:rsid w:val="000A495B"/>
    <w:rsid w:val="000A4C7E"/>
    <w:rsid w:val="000A6268"/>
    <w:rsid w:val="000B04DE"/>
    <w:rsid w:val="000B4346"/>
    <w:rsid w:val="000B47B6"/>
    <w:rsid w:val="000B4DF9"/>
    <w:rsid w:val="000B6A88"/>
    <w:rsid w:val="000C3620"/>
    <w:rsid w:val="000C36A3"/>
    <w:rsid w:val="000C3973"/>
    <w:rsid w:val="000C48B1"/>
    <w:rsid w:val="000C57C6"/>
    <w:rsid w:val="000C76AA"/>
    <w:rsid w:val="000D0A42"/>
    <w:rsid w:val="000D1F50"/>
    <w:rsid w:val="000D38FF"/>
    <w:rsid w:val="000D713F"/>
    <w:rsid w:val="000D742A"/>
    <w:rsid w:val="000E058F"/>
    <w:rsid w:val="000E07C3"/>
    <w:rsid w:val="000E1D08"/>
    <w:rsid w:val="000E5739"/>
    <w:rsid w:val="000E6CC6"/>
    <w:rsid w:val="000E7683"/>
    <w:rsid w:val="000E77F0"/>
    <w:rsid w:val="000F1EB3"/>
    <w:rsid w:val="000F288B"/>
    <w:rsid w:val="000F300A"/>
    <w:rsid w:val="000F3A4B"/>
    <w:rsid w:val="000F5C20"/>
    <w:rsid w:val="000F79EA"/>
    <w:rsid w:val="0010164B"/>
    <w:rsid w:val="00107118"/>
    <w:rsid w:val="00110D97"/>
    <w:rsid w:val="00112DAD"/>
    <w:rsid w:val="001171E4"/>
    <w:rsid w:val="0012007C"/>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C66"/>
    <w:rsid w:val="00144A90"/>
    <w:rsid w:val="00154D8C"/>
    <w:rsid w:val="001575C5"/>
    <w:rsid w:val="001600FA"/>
    <w:rsid w:val="001616DD"/>
    <w:rsid w:val="00161AE4"/>
    <w:rsid w:val="00161FDC"/>
    <w:rsid w:val="00164AA5"/>
    <w:rsid w:val="00166052"/>
    <w:rsid w:val="001660FE"/>
    <w:rsid w:val="00167808"/>
    <w:rsid w:val="00167C17"/>
    <w:rsid w:val="0017051B"/>
    <w:rsid w:val="00170C9C"/>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DD6"/>
    <w:rsid w:val="001A2273"/>
    <w:rsid w:val="001B0DC3"/>
    <w:rsid w:val="001B1A6A"/>
    <w:rsid w:val="001B3430"/>
    <w:rsid w:val="001C0F5C"/>
    <w:rsid w:val="001C108E"/>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1D0A"/>
    <w:rsid w:val="001F26B1"/>
    <w:rsid w:val="001F29F4"/>
    <w:rsid w:val="001F3ED6"/>
    <w:rsid w:val="001F4369"/>
    <w:rsid w:val="001F49DF"/>
    <w:rsid w:val="001F5AE3"/>
    <w:rsid w:val="001F656A"/>
    <w:rsid w:val="001F68D1"/>
    <w:rsid w:val="001F6D1A"/>
    <w:rsid w:val="001F6E03"/>
    <w:rsid w:val="002012D2"/>
    <w:rsid w:val="00201AF6"/>
    <w:rsid w:val="0020360D"/>
    <w:rsid w:val="002054BC"/>
    <w:rsid w:val="0020612C"/>
    <w:rsid w:val="00211BFA"/>
    <w:rsid w:val="00212F1D"/>
    <w:rsid w:val="002140AE"/>
    <w:rsid w:val="002156B1"/>
    <w:rsid w:val="002171D1"/>
    <w:rsid w:val="0022138F"/>
    <w:rsid w:val="00225769"/>
    <w:rsid w:val="00225E3B"/>
    <w:rsid w:val="00227104"/>
    <w:rsid w:val="00230054"/>
    <w:rsid w:val="0023398D"/>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61699"/>
    <w:rsid w:val="00262870"/>
    <w:rsid w:val="00266800"/>
    <w:rsid w:val="002700D3"/>
    <w:rsid w:val="0027262B"/>
    <w:rsid w:val="00274308"/>
    <w:rsid w:val="00280051"/>
    <w:rsid w:val="00280C5D"/>
    <w:rsid w:val="00281798"/>
    <w:rsid w:val="00281830"/>
    <w:rsid w:val="002827C4"/>
    <w:rsid w:val="00284D13"/>
    <w:rsid w:val="00292A6B"/>
    <w:rsid w:val="00293B6B"/>
    <w:rsid w:val="00294B76"/>
    <w:rsid w:val="00294F1A"/>
    <w:rsid w:val="00295D79"/>
    <w:rsid w:val="0029655B"/>
    <w:rsid w:val="00297FB6"/>
    <w:rsid w:val="002A0163"/>
    <w:rsid w:val="002A295E"/>
    <w:rsid w:val="002B2713"/>
    <w:rsid w:val="002B3511"/>
    <w:rsid w:val="002B3D19"/>
    <w:rsid w:val="002B3F13"/>
    <w:rsid w:val="002B434C"/>
    <w:rsid w:val="002B5D29"/>
    <w:rsid w:val="002C39F9"/>
    <w:rsid w:val="002C58B8"/>
    <w:rsid w:val="002C7500"/>
    <w:rsid w:val="002C75BC"/>
    <w:rsid w:val="002D14D3"/>
    <w:rsid w:val="002D1CA0"/>
    <w:rsid w:val="002D22CF"/>
    <w:rsid w:val="002D4BB3"/>
    <w:rsid w:val="002D56A1"/>
    <w:rsid w:val="002D59A9"/>
    <w:rsid w:val="002D5A00"/>
    <w:rsid w:val="002D7682"/>
    <w:rsid w:val="002E1E63"/>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115C"/>
    <w:rsid w:val="0031196F"/>
    <w:rsid w:val="00312B51"/>
    <w:rsid w:val="00312C39"/>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0DA"/>
    <w:rsid w:val="00331E2B"/>
    <w:rsid w:val="003321DE"/>
    <w:rsid w:val="00333A73"/>
    <w:rsid w:val="00334700"/>
    <w:rsid w:val="003352BA"/>
    <w:rsid w:val="003366C8"/>
    <w:rsid w:val="0033690A"/>
    <w:rsid w:val="0033770B"/>
    <w:rsid w:val="0034072B"/>
    <w:rsid w:val="003412E9"/>
    <w:rsid w:val="00342839"/>
    <w:rsid w:val="00343A44"/>
    <w:rsid w:val="003444DC"/>
    <w:rsid w:val="0034452A"/>
    <w:rsid w:val="003449BE"/>
    <w:rsid w:val="00350211"/>
    <w:rsid w:val="003518BF"/>
    <w:rsid w:val="00352DA1"/>
    <w:rsid w:val="0035392C"/>
    <w:rsid w:val="00354558"/>
    <w:rsid w:val="00363564"/>
    <w:rsid w:val="0036465D"/>
    <w:rsid w:val="00367B10"/>
    <w:rsid w:val="00372477"/>
    <w:rsid w:val="00372544"/>
    <w:rsid w:val="0037341B"/>
    <w:rsid w:val="00376B5F"/>
    <w:rsid w:val="00377AD9"/>
    <w:rsid w:val="00380288"/>
    <w:rsid w:val="003817A2"/>
    <w:rsid w:val="00385359"/>
    <w:rsid w:val="00385468"/>
    <w:rsid w:val="00390CE7"/>
    <w:rsid w:val="00390DAE"/>
    <w:rsid w:val="00393C61"/>
    <w:rsid w:val="00393FF3"/>
    <w:rsid w:val="0039616E"/>
    <w:rsid w:val="0039618C"/>
    <w:rsid w:val="0039633A"/>
    <w:rsid w:val="00396B90"/>
    <w:rsid w:val="003A0BC9"/>
    <w:rsid w:val="003A0D26"/>
    <w:rsid w:val="003A21CD"/>
    <w:rsid w:val="003A268D"/>
    <w:rsid w:val="003A2A9E"/>
    <w:rsid w:val="003A40A7"/>
    <w:rsid w:val="003A55FF"/>
    <w:rsid w:val="003A5ADA"/>
    <w:rsid w:val="003A6511"/>
    <w:rsid w:val="003B28A5"/>
    <w:rsid w:val="003B3F9A"/>
    <w:rsid w:val="003B57A1"/>
    <w:rsid w:val="003B661D"/>
    <w:rsid w:val="003B720D"/>
    <w:rsid w:val="003B760C"/>
    <w:rsid w:val="003C218A"/>
    <w:rsid w:val="003C4430"/>
    <w:rsid w:val="003C5F3E"/>
    <w:rsid w:val="003C7810"/>
    <w:rsid w:val="003D10DD"/>
    <w:rsid w:val="003D1C0C"/>
    <w:rsid w:val="003D3B16"/>
    <w:rsid w:val="003D60E0"/>
    <w:rsid w:val="003D709B"/>
    <w:rsid w:val="003D7463"/>
    <w:rsid w:val="003E0103"/>
    <w:rsid w:val="003E0A22"/>
    <w:rsid w:val="003E727F"/>
    <w:rsid w:val="003E7D3D"/>
    <w:rsid w:val="003F01DF"/>
    <w:rsid w:val="003F2C18"/>
    <w:rsid w:val="003F6C0E"/>
    <w:rsid w:val="00407C75"/>
    <w:rsid w:val="00411B14"/>
    <w:rsid w:val="00412C91"/>
    <w:rsid w:val="004132C5"/>
    <w:rsid w:val="00414064"/>
    <w:rsid w:val="00415820"/>
    <w:rsid w:val="00415DFF"/>
    <w:rsid w:val="00417745"/>
    <w:rsid w:val="00423CA6"/>
    <w:rsid w:val="00430454"/>
    <w:rsid w:val="004326A8"/>
    <w:rsid w:val="004328A4"/>
    <w:rsid w:val="00436B86"/>
    <w:rsid w:val="0043706A"/>
    <w:rsid w:val="004401B0"/>
    <w:rsid w:val="00441154"/>
    <w:rsid w:val="00441D90"/>
    <w:rsid w:val="00442224"/>
    <w:rsid w:val="00443DF9"/>
    <w:rsid w:val="004444EE"/>
    <w:rsid w:val="0044611A"/>
    <w:rsid w:val="004524CF"/>
    <w:rsid w:val="00452582"/>
    <w:rsid w:val="00454812"/>
    <w:rsid w:val="004549FE"/>
    <w:rsid w:val="00454D38"/>
    <w:rsid w:val="00455C81"/>
    <w:rsid w:val="00457272"/>
    <w:rsid w:val="00457D10"/>
    <w:rsid w:val="00457DCC"/>
    <w:rsid w:val="00461A18"/>
    <w:rsid w:val="00462060"/>
    <w:rsid w:val="00463C1A"/>
    <w:rsid w:val="00463EEC"/>
    <w:rsid w:val="004640FF"/>
    <w:rsid w:val="00465490"/>
    <w:rsid w:val="00473FD3"/>
    <w:rsid w:val="00474746"/>
    <w:rsid w:val="00474A6A"/>
    <w:rsid w:val="004751AF"/>
    <w:rsid w:val="00475AAB"/>
    <w:rsid w:val="00477432"/>
    <w:rsid w:val="00480537"/>
    <w:rsid w:val="00480DA2"/>
    <w:rsid w:val="00481A6C"/>
    <w:rsid w:val="0048389D"/>
    <w:rsid w:val="00486165"/>
    <w:rsid w:val="0049014C"/>
    <w:rsid w:val="00492356"/>
    <w:rsid w:val="004957A2"/>
    <w:rsid w:val="004A0201"/>
    <w:rsid w:val="004A178D"/>
    <w:rsid w:val="004A1C33"/>
    <w:rsid w:val="004A7A7F"/>
    <w:rsid w:val="004B031B"/>
    <w:rsid w:val="004B0694"/>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4D74"/>
    <w:rsid w:val="004D6C3E"/>
    <w:rsid w:val="004D7B29"/>
    <w:rsid w:val="004E026A"/>
    <w:rsid w:val="004E14DE"/>
    <w:rsid w:val="004E2562"/>
    <w:rsid w:val="004E2E2F"/>
    <w:rsid w:val="004E7CE8"/>
    <w:rsid w:val="004F0468"/>
    <w:rsid w:val="004F1BEF"/>
    <w:rsid w:val="004F2430"/>
    <w:rsid w:val="004F2B91"/>
    <w:rsid w:val="004F3034"/>
    <w:rsid w:val="004F435E"/>
    <w:rsid w:val="00506D24"/>
    <w:rsid w:val="005077D2"/>
    <w:rsid w:val="005118F0"/>
    <w:rsid w:val="005118F6"/>
    <w:rsid w:val="0051350A"/>
    <w:rsid w:val="00515187"/>
    <w:rsid w:val="00517604"/>
    <w:rsid w:val="00517DA5"/>
    <w:rsid w:val="00517FA4"/>
    <w:rsid w:val="005216E4"/>
    <w:rsid w:val="00524FC3"/>
    <w:rsid w:val="00525801"/>
    <w:rsid w:val="00530642"/>
    <w:rsid w:val="00530F88"/>
    <w:rsid w:val="00532B1C"/>
    <w:rsid w:val="00532EB9"/>
    <w:rsid w:val="00533388"/>
    <w:rsid w:val="00534E1F"/>
    <w:rsid w:val="00537269"/>
    <w:rsid w:val="00540201"/>
    <w:rsid w:val="005412CE"/>
    <w:rsid w:val="005443C8"/>
    <w:rsid w:val="0054683B"/>
    <w:rsid w:val="00547CF6"/>
    <w:rsid w:val="00552527"/>
    <w:rsid w:val="005558E1"/>
    <w:rsid w:val="005564A4"/>
    <w:rsid w:val="0055674C"/>
    <w:rsid w:val="005606CB"/>
    <w:rsid w:val="00563265"/>
    <w:rsid w:val="00563FD8"/>
    <w:rsid w:val="00564817"/>
    <w:rsid w:val="0056512E"/>
    <w:rsid w:val="0056561D"/>
    <w:rsid w:val="005706E9"/>
    <w:rsid w:val="00570849"/>
    <w:rsid w:val="0057158C"/>
    <w:rsid w:val="00576416"/>
    <w:rsid w:val="005778BD"/>
    <w:rsid w:val="00577A46"/>
    <w:rsid w:val="00577C65"/>
    <w:rsid w:val="00581121"/>
    <w:rsid w:val="005840B8"/>
    <w:rsid w:val="005867DF"/>
    <w:rsid w:val="005900D8"/>
    <w:rsid w:val="005916F1"/>
    <w:rsid w:val="00592081"/>
    <w:rsid w:val="005A0348"/>
    <w:rsid w:val="005A1FA3"/>
    <w:rsid w:val="005A27C0"/>
    <w:rsid w:val="005A4691"/>
    <w:rsid w:val="005A74FF"/>
    <w:rsid w:val="005A7C67"/>
    <w:rsid w:val="005B194A"/>
    <w:rsid w:val="005B234E"/>
    <w:rsid w:val="005B329A"/>
    <w:rsid w:val="005B3D8A"/>
    <w:rsid w:val="005B3EC2"/>
    <w:rsid w:val="005C1D68"/>
    <w:rsid w:val="005C58FA"/>
    <w:rsid w:val="005C5F49"/>
    <w:rsid w:val="005C71BC"/>
    <w:rsid w:val="005D2629"/>
    <w:rsid w:val="005D4A78"/>
    <w:rsid w:val="005D54F1"/>
    <w:rsid w:val="005D5820"/>
    <w:rsid w:val="005E03EB"/>
    <w:rsid w:val="005E3D07"/>
    <w:rsid w:val="005E66D3"/>
    <w:rsid w:val="005E6B49"/>
    <w:rsid w:val="005E7252"/>
    <w:rsid w:val="005E7AA8"/>
    <w:rsid w:val="005F02C2"/>
    <w:rsid w:val="005F1654"/>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57000"/>
    <w:rsid w:val="006623D2"/>
    <w:rsid w:val="0067005A"/>
    <w:rsid w:val="00680130"/>
    <w:rsid w:val="006824E0"/>
    <w:rsid w:val="0068435D"/>
    <w:rsid w:val="00684A68"/>
    <w:rsid w:val="00685883"/>
    <w:rsid w:val="00691C90"/>
    <w:rsid w:val="00692458"/>
    <w:rsid w:val="0069388D"/>
    <w:rsid w:val="00695732"/>
    <w:rsid w:val="006A0160"/>
    <w:rsid w:val="006A31AB"/>
    <w:rsid w:val="006A5215"/>
    <w:rsid w:val="006B18B2"/>
    <w:rsid w:val="006B3640"/>
    <w:rsid w:val="006B4337"/>
    <w:rsid w:val="006B61AC"/>
    <w:rsid w:val="006B6C90"/>
    <w:rsid w:val="006B7CA7"/>
    <w:rsid w:val="006C0039"/>
    <w:rsid w:val="006C1521"/>
    <w:rsid w:val="006C39B7"/>
    <w:rsid w:val="006C3C89"/>
    <w:rsid w:val="006C4E7E"/>
    <w:rsid w:val="006C7001"/>
    <w:rsid w:val="006C7362"/>
    <w:rsid w:val="006D11DF"/>
    <w:rsid w:val="006D2547"/>
    <w:rsid w:val="006D3EF5"/>
    <w:rsid w:val="006D47A7"/>
    <w:rsid w:val="006E0951"/>
    <w:rsid w:val="006E10A6"/>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12F00"/>
    <w:rsid w:val="00715B55"/>
    <w:rsid w:val="00715E2F"/>
    <w:rsid w:val="00716FAB"/>
    <w:rsid w:val="00721B04"/>
    <w:rsid w:val="00721E2A"/>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555F5"/>
    <w:rsid w:val="007570B3"/>
    <w:rsid w:val="00760169"/>
    <w:rsid w:val="007606B4"/>
    <w:rsid w:val="00760845"/>
    <w:rsid w:val="007640E0"/>
    <w:rsid w:val="00766E67"/>
    <w:rsid w:val="00766EB3"/>
    <w:rsid w:val="007678AC"/>
    <w:rsid w:val="00770769"/>
    <w:rsid w:val="0077225F"/>
    <w:rsid w:val="00774042"/>
    <w:rsid w:val="007741B9"/>
    <w:rsid w:val="00774FDE"/>
    <w:rsid w:val="00775D89"/>
    <w:rsid w:val="00777EE3"/>
    <w:rsid w:val="007801FE"/>
    <w:rsid w:val="007812CF"/>
    <w:rsid w:val="0078367D"/>
    <w:rsid w:val="00784CA8"/>
    <w:rsid w:val="00784D38"/>
    <w:rsid w:val="00785234"/>
    <w:rsid w:val="00794435"/>
    <w:rsid w:val="00794ACF"/>
    <w:rsid w:val="007A1603"/>
    <w:rsid w:val="007A682A"/>
    <w:rsid w:val="007A7F29"/>
    <w:rsid w:val="007B01D2"/>
    <w:rsid w:val="007B03DA"/>
    <w:rsid w:val="007B1A7B"/>
    <w:rsid w:val="007B3138"/>
    <w:rsid w:val="007B40DC"/>
    <w:rsid w:val="007B6F78"/>
    <w:rsid w:val="007B75F4"/>
    <w:rsid w:val="007C10BA"/>
    <w:rsid w:val="007C1851"/>
    <w:rsid w:val="007C2324"/>
    <w:rsid w:val="007C2773"/>
    <w:rsid w:val="007C2806"/>
    <w:rsid w:val="007C5C1B"/>
    <w:rsid w:val="007D3448"/>
    <w:rsid w:val="007D4D8A"/>
    <w:rsid w:val="007D6B0E"/>
    <w:rsid w:val="007E04CD"/>
    <w:rsid w:val="007E4E9A"/>
    <w:rsid w:val="007E6EE6"/>
    <w:rsid w:val="007F0BF7"/>
    <w:rsid w:val="007F29F8"/>
    <w:rsid w:val="007F2D82"/>
    <w:rsid w:val="007F43F2"/>
    <w:rsid w:val="007F48B2"/>
    <w:rsid w:val="007F4EF0"/>
    <w:rsid w:val="007F5CFF"/>
    <w:rsid w:val="00801D63"/>
    <w:rsid w:val="00804E8A"/>
    <w:rsid w:val="0081013E"/>
    <w:rsid w:val="00810C0D"/>
    <w:rsid w:val="008113B4"/>
    <w:rsid w:val="008114F0"/>
    <w:rsid w:val="00814D74"/>
    <w:rsid w:val="00814DE5"/>
    <w:rsid w:val="00820942"/>
    <w:rsid w:val="008248D1"/>
    <w:rsid w:val="0082586A"/>
    <w:rsid w:val="008261B4"/>
    <w:rsid w:val="00827EDE"/>
    <w:rsid w:val="008325CD"/>
    <w:rsid w:val="008327DC"/>
    <w:rsid w:val="00832EAB"/>
    <w:rsid w:val="008358B4"/>
    <w:rsid w:val="00842EF4"/>
    <w:rsid w:val="00843D15"/>
    <w:rsid w:val="00845AA0"/>
    <w:rsid w:val="008510FF"/>
    <w:rsid w:val="00852CC9"/>
    <w:rsid w:val="008530BE"/>
    <w:rsid w:val="008540FA"/>
    <w:rsid w:val="008545B5"/>
    <w:rsid w:val="008606A0"/>
    <w:rsid w:val="00861E1B"/>
    <w:rsid w:val="00863446"/>
    <w:rsid w:val="00863E4E"/>
    <w:rsid w:val="00867895"/>
    <w:rsid w:val="00875BC9"/>
    <w:rsid w:val="00875FE9"/>
    <w:rsid w:val="0087684F"/>
    <w:rsid w:val="00876CAC"/>
    <w:rsid w:val="00883F42"/>
    <w:rsid w:val="00885A76"/>
    <w:rsid w:val="00886079"/>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0684"/>
    <w:rsid w:val="008C1C7C"/>
    <w:rsid w:val="008C208A"/>
    <w:rsid w:val="008C4690"/>
    <w:rsid w:val="008D0538"/>
    <w:rsid w:val="008D0CE5"/>
    <w:rsid w:val="008D0D9A"/>
    <w:rsid w:val="008D2CA8"/>
    <w:rsid w:val="008D4AA6"/>
    <w:rsid w:val="008E0CD4"/>
    <w:rsid w:val="008E2267"/>
    <w:rsid w:val="008E6827"/>
    <w:rsid w:val="008E7631"/>
    <w:rsid w:val="008F0F03"/>
    <w:rsid w:val="008F1341"/>
    <w:rsid w:val="008F2CF5"/>
    <w:rsid w:val="008F3034"/>
    <w:rsid w:val="008F3194"/>
    <w:rsid w:val="008F5E84"/>
    <w:rsid w:val="008F65FF"/>
    <w:rsid w:val="00901E01"/>
    <w:rsid w:val="00904BC8"/>
    <w:rsid w:val="00904DC2"/>
    <w:rsid w:val="00906D5B"/>
    <w:rsid w:val="00907133"/>
    <w:rsid w:val="009071E8"/>
    <w:rsid w:val="00910EC5"/>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527"/>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4F8"/>
    <w:rsid w:val="00977BFB"/>
    <w:rsid w:val="00981E23"/>
    <w:rsid w:val="00982385"/>
    <w:rsid w:val="00982810"/>
    <w:rsid w:val="009903CC"/>
    <w:rsid w:val="0099514D"/>
    <w:rsid w:val="00995B1B"/>
    <w:rsid w:val="009A1396"/>
    <w:rsid w:val="009A2981"/>
    <w:rsid w:val="009A336D"/>
    <w:rsid w:val="009A5010"/>
    <w:rsid w:val="009A63B5"/>
    <w:rsid w:val="009A7037"/>
    <w:rsid w:val="009B09CB"/>
    <w:rsid w:val="009C11CF"/>
    <w:rsid w:val="009C13FA"/>
    <w:rsid w:val="009C2AED"/>
    <w:rsid w:val="009C3490"/>
    <w:rsid w:val="009C3BB0"/>
    <w:rsid w:val="009C4BB7"/>
    <w:rsid w:val="009C575D"/>
    <w:rsid w:val="009C72D3"/>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72C8"/>
    <w:rsid w:val="00A006D5"/>
    <w:rsid w:val="00A01509"/>
    <w:rsid w:val="00A01FEF"/>
    <w:rsid w:val="00A02651"/>
    <w:rsid w:val="00A0337B"/>
    <w:rsid w:val="00A035E4"/>
    <w:rsid w:val="00A03809"/>
    <w:rsid w:val="00A0459A"/>
    <w:rsid w:val="00A07C43"/>
    <w:rsid w:val="00A101C3"/>
    <w:rsid w:val="00A116EA"/>
    <w:rsid w:val="00A11739"/>
    <w:rsid w:val="00A14311"/>
    <w:rsid w:val="00A1579B"/>
    <w:rsid w:val="00A20CEA"/>
    <w:rsid w:val="00A24C42"/>
    <w:rsid w:val="00A2629A"/>
    <w:rsid w:val="00A26F1E"/>
    <w:rsid w:val="00A272D4"/>
    <w:rsid w:val="00A2737A"/>
    <w:rsid w:val="00A27DFD"/>
    <w:rsid w:val="00A303C6"/>
    <w:rsid w:val="00A31E06"/>
    <w:rsid w:val="00A32873"/>
    <w:rsid w:val="00A32B6F"/>
    <w:rsid w:val="00A333F2"/>
    <w:rsid w:val="00A34EAB"/>
    <w:rsid w:val="00A41E01"/>
    <w:rsid w:val="00A42D8E"/>
    <w:rsid w:val="00A435C8"/>
    <w:rsid w:val="00A45D6C"/>
    <w:rsid w:val="00A470E3"/>
    <w:rsid w:val="00A513AA"/>
    <w:rsid w:val="00A56C2B"/>
    <w:rsid w:val="00A6051F"/>
    <w:rsid w:val="00A60EED"/>
    <w:rsid w:val="00A619F0"/>
    <w:rsid w:val="00A621FE"/>
    <w:rsid w:val="00A6232E"/>
    <w:rsid w:val="00A64430"/>
    <w:rsid w:val="00A64D28"/>
    <w:rsid w:val="00A65C0A"/>
    <w:rsid w:val="00A66966"/>
    <w:rsid w:val="00A721C0"/>
    <w:rsid w:val="00A7294C"/>
    <w:rsid w:val="00A731B8"/>
    <w:rsid w:val="00A7517C"/>
    <w:rsid w:val="00A774B1"/>
    <w:rsid w:val="00A84013"/>
    <w:rsid w:val="00A84E3E"/>
    <w:rsid w:val="00A856B1"/>
    <w:rsid w:val="00A86197"/>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B5592"/>
    <w:rsid w:val="00AB5677"/>
    <w:rsid w:val="00AC0797"/>
    <w:rsid w:val="00AC2EDE"/>
    <w:rsid w:val="00AC53AF"/>
    <w:rsid w:val="00AD4F9D"/>
    <w:rsid w:val="00AD628A"/>
    <w:rsid w:val="00AE05E1"/>
    <w:rsid w:val="00AE0AC0"/>
    <w:rsid w:val="00AE179C"/>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4CC1"/>
    <w:rsid w:val="00B0502D"/>
    <w:rsid w:val="00B058EF"/>
    <w:rsid w:val="00B07F75"/>
    <w:rsid w:val="00B10AB7"/>
    <w:rsid w:val="00B1151B"/>
    <w:rsid w:val="00B170A2"/>
    <w:rsid w:val="00B17F72"/>
    <w:rsid w:val="00B203FF"/>
    <w:rsid w:val="00B22277"/>
    <w:rsid w:val="00B22944"/>
    <w:rsid w:val="00B2758D"/>
    <w:rsid w:val="00B30482"/>
    <w:rsid w:val="00B307E1"/>
    <w:rsid w:val="00B31526"/>
    <w:rsid w:val="00B3226B"/>
    <w:rsid w:val="00B326A7"/>
    <w:rsid w:val="00B33322"/>
    <w:rsid w:val="00B33F30"/>
    <w:rsid w:val="00B33FA0"/>
    <w:rsid w:val="00B34124"/>
    <w:rsid w:val="00B3418C"/>
    <w:rsid w:val="00B34980"/>
    <w:rsid w:val="00B36C89"/>
    <w:rsid w:val="00B40930"/>
    <w:rsid w:val="00B41CEE"/>
    <w:rsid w:val="00B420B6"/>
    <w:rsid w:val="00B450AD"/>
    <w:rsid w:val="00B47F44"/>
    <w:rsid w:val="00B500E8"/>
    <w:rsid w:val="00B506B5"/>
    <w:rsid w:val="00B52163"/>
    <w:rsid w:val="00B55EF6"/>
    <w:rsid w:val="00B61582"/>
    <w:rsid w:val="00B6217E"/>
    <w:rsid w:val="00B625F2"/>
    <w:rsid w:val="00B627C5"/>
    <w:rsid w:val="00B64367"/>
    <w:rsid w:val="00B64C8C"/>
    <w:rsid w:val="00B65F91"/>
    <w:rsid w:val="00B6769D"/>
    <w:rsid w:val="00B6772A"/>
    <w:rsid w:val="00B70D11"/>
    <w:rsid w:val="00B83559"/>
    <w:rsid w:val="00B853F1"/>
    <w:rsid w:val="00B86A43"/>
    <w:rsid w:val="00B91976"/>
    <w:rsid w:val="00B9290E"/>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861E4"/>
    <w:rsid w:val="00C8692E"/>
    <w:rsid w:val="00C90647"/>
    <w:rsid w:val="00C91310"/>
    <w:rsid w:val="00CA0192"/>
    <w:rsid w:val="00CA43F1"/>
    <w:rsid w:val="00CA4FDE"/>
    <w:rsid w:val="00CA70E7"/>
    <w:rsid w:val="00CB228A"/>
    <w:rsid w:val="00CB2E17"/>
    <w:rsid w:val="00CB3056"/>
    <w:rsid w:val="00CB3987"/>
    <w:rsid w:val="00CB3A2D"/>
    <w:rsid w:val="00CB59A3"/>
    <w:rsid w:val="00CB7E08"/>
    <w:rsid w:val="00CC4F4F"/>
    <w:rsid w:val="00CC5AD8"/>
    <w:rsid w:val="00CD434F"/>
    <w:rsid w:val="00CE04A5"/>
    <w:rsid w:val="00CE1D90"/>
    <w:rsid w:val="00CE2446"/>
    <w:rsid w:val="00CE5F47"/>
    <w:rsid w:val="00CE669A"/>
    <w:rsid w:val="00CE6986"/>
    <w:rsid w:val="00CE78F5"/>
    <w:rsid w:val="00CF24D4"/>
    <w:rsid w:val="00CF3925"/>
    <w:rsid w:val="00D01536"/>
    <w:rsid w:val="00D027B9"/>
    <w:rsid w:val="00D0489B"/>
    <w:rsid w:val="00D052B4"/>
    <w:rsid w:val="00D07A8B"/>
    <w:rsid w:val="00D100C5"/>
    <w:rsid w:val="00D10F72"/>
    <w:rsid w:val="00D17891"/>
    <w:rsid w:val="00D206E0"/>
    <w:rsid w:val="00D223CA"/>
    <w:rsid w:val="00D228B8"/>
    <w:rsid w:val="00D25C7B"/>
    <w:rsid w:val="00D25E0F"/>
    <w:rsid w:val="00D27637"/>
    <w:rsid w:val="00D30343"/>
    <w:rsid w:val="00D3635A"/>
    <w:rsid w:val="00D36920"/>
    <w:rsid w:val="00D36B09"/>
    <w:rsid w:val="00D434D3"/>
    <w:rsid w:val="00D4358F"/>
    <w:rsid w:val="00D443D7"/>
    <w:rsid w:val="00D5188B"/>
    <w:rsid w:val="00D520E7"/>
    <w:rsid w:val="00D53C66"/>
    <w:rsid w:val="00D56DA0"/>
    <w:rsid w:val="00D609A1"/>
    <w:rsid w:val="00D62793"/>
    <w:rsid w:val="00D627BE"/>
    <w:rsid w:val="00D6578B"/>
    <w:rsid w:val="00D65905"/>
    <w:rsid w:val="00D67E6B"/>
    <w:rsid w:val="00D701C3"/>
    <w:rsid w:val="00D71B35"/>
    <w:rsid w:val="00D74DFD"/>
    <w:rsid w:val="00D770C8"/>
    <w:rsid w:val="00D80302"/>
    <w:rsid w:val="00D81A2D"/>
    <w:rsid w:val="00D81CB0"/>
    <w:rsid w:val="00D82211"/>
    <w:rsid w:val="00D8365B"/>
    <w:rsid w:val="00D8559E"/>
    <w:rsid w:val="00D863DB"/>
    <w:rsid w:val="00D87671"/>
    <w:rsid w:val="00D90346"/>
    <w:rsid w:val="00D906D8"/>
    <w:rsid w:val="00D92132"/>
    <w:rsid w:val="00D92CE7"/>
    <w:rsid w:val="00D931B6"/>
    <w:rsid w:val="00D95849"/>
    <w:rsid w:val="00D9595A"/>
    <w:rsid w:val="00D967DA"/>
    <w:rsid w:val="00D96A05"/>
    <w:rsid w:val="00D96ACC"/>
    <w:rsid w:val="00D974FB"/>
    <w:rsid w:val="00DA031B"/>
    <w:rsid w:val="00DA48F8"/>
    <w:rsid w:val="00DA5524"/>
    <w:rsid w:val="00DA60A4"/>
    <w:rsid w:val="00DB0295"/>
    <w:rsid w:val="00DB207B"/>
    <w:rsid w:val="00DB3285"/>
    <w:rsid w:val="00DB3E70"/>
    <w:rsid w:val="00DB5138"/>
    <w:rsid w:val="00DB5EDD"/>
    <w:rsid w:val="00DB6108"/>
    <w:rsid w:val="00DB7680"/>
    <w:rsid w:val="00DC008F"/>
    <w:rsid w:val="00DD4464"/>
    <w:rsid w:val="00DD6074"/>
    <w:rsid w:val="00DD693A"/>
    <w:rsid w:val="00DE125D"/>
    <w:rsid w:val="00DE5620"/>
    <w:rsid w:val="00DE5C6B"/>
    <w:rsid w:val="00DE6056"/>
    <w:rsid w:val="00DE6090"/>
    <w:rsid w:val="00DF1CBC"/>
    <w:rsid w:val="00DF3EFE"/>
    <w:rsid w:val="00E02086"/>
    <w:rsid w:val="00E02685"/>
    <w:rsid w:val="00E0642F"/>
    <w:rsid w:val="00E104DF"/>
    <w:rsid w:val="00E10712"/>
    <w:rsid w:val="00E17DC5"/>
    <w:rsid w:val="00E2163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3765"/>
    <w:rsid w:val="00E538F6"/>
    <w:rsid w:val="00E55664"/>
    <w:rsid w:val="00E563D9"/>
    <w:rsid w:val="00E56F2D"/>
    <w:rsid w:val="00E5710E"/>
    <w:rsid w:val="00E63F4F"/>
    <w:rsid w:val="00E64DA3"/>
    <w:rsid w:val="00E679F9"/>
    <w:rsid w:val="00E7101C"/>
    <w:rsid w:val="00E710F2"/>
    <w:rsid w:val="00E72731"/>
    <w:rsid w:val="00E73A87"/>
    <w:rsid w:val="00E76C52"/>
    <w:rsid w:val="00E80B1C"/>
    <w:rsid w:val="00E870E4"/>
    <w:rsid w:val="00E8796B"/>
    <w:rsid w:val="00E90C07"/>
    <w:rsid w:val="00E93F27"/>
    <w:rsid w:val="00E94350"/>
    <w:rsid w:val="00E9693A"/>
    <w:rsid w:val="00E97B77"/>
    <w:rsid w:val="00EA060C"/>
    <w:rsid w:val="00EA4041"/>
    <w:rsid w:val="00EA4C6B"/>
    <w:rsid w:val="00EA7109"/>
    <w:rsid w:val="00EB103A"/>
    <w:rsid w:val="00EB256E"/>
    <w:rsid w:val="00EB26B6"/>
    <w:rsid w:val="00EB44CD"/>
    <w:rsid w:val="00EB70EE"/>
    <w:rsid w:val="00EC0190"/>
    <w:rsid w:val="00EC3146"/>
    <w:rsid w:val="00EC4BB0"/>
    <w:rsid w:val="00EC4C64"/>
    <w:rsid w:val="00EC7202"/>
    <w:rsid w:val="00ED2843"/>
    <w:rsid w:val="00ED2DE6"/>
    <w:rsid w:val="00ED4AAB"/>
    <w:rsid w:val="00EE0C5F"/>
    <w:rsid w:val="00EE285A"/>
    <w:rsid w:val="00EE3372"/>
    <w:rsid w:val="00EE5549"/>
    <w:rsid w:val="00EE5A45"/>
    <w:rsid w:val="00EE6F7A"/>
    <w:rsid w:val="00EF1F94"/>
    <w:rsid w:val="00EF273A"/>
    <w:rsid w:val="00EF46D9"/>
    <w:rsid w:val="00EF6148"/>
    <w:rsid w:val="00EF7A55"/>
    <w:rsid w:val="00EF7E3E"/>
    <w:rsid w:val="00F00E78"/>
    <w:rsid w:val="00F03A6B"/>
    <w:rsid w:val="00F04F4D"/>
    <w:rsid w:val="00F071B9"/>
    <w:rsid w:val="00F07604"/>
    <w:rsid w:val="00F109DA"/>
    <w:rsid w:val="00F122F6"/>
    <w:rsid w:val="00F134E5"/>
    <w:rsid w:val="00F14625"/>
    <w:rsid w:val="00F15189"/>
    <w:rsid w:val="00F15441"/>
    <w:rsid w:val="00F1598A"/>
    <w:rsid w:val="00F20F66"/>
    <w:rsid w:val="00F21E51"/>
    <w:rsid w:val="00F242EA"/>
    <w:rsid w:val="00F25056"/>
    <w:rsid w:val="00F26716"/>
    <w:rsid w:val="00F26C97"/>
    <w:rsid w:val="00F30050"/>
    <w:rsid w:val="00F30FA6"/>
    <w:rsid w:val="00F3287A"/>
    <w:rsid w:val="00F3411D"/>
    <w:rsid w:val="00F34BCF"/>
    <w:rsid w:val="00F351DC"/>
    <w:rsid w:val="00F3576A"/>
    <w:rsid w:val="00F35EB0"/>
    <w:rsid w:val="00F37086"/>
    <w:rsid w:val="00F373D8"/>
    <w:rsid w:val="00F40493"/>
    <w:rsid w:val="00F41308"/>
    <w:rsid w:val="00F41387"/>
    <w:rsid w:val="00F4308C"/>
    <w:rsid w:val="00F43818"/>
    <w:rsid w:val="00F43B50"/>
    <w:rsid w:val="00F44AAE"/>
    <w:rsid w:val="00F4545C"/>
    <w:rsid w:val="00F53EE8"/>
    <w:rsid w:val="00F545A8"/>
    <w:rsid w:val="00F545E5"/>
    <w:rsid w:val="00F5475F"/>
    <w:rsid w:val="00F54857"/>
    <w:rsid w:val="00F55D73"/>
    <w:rsid w:val="00F5666F"/>
    <w:rsid w:val="00F56E41"/>
    <w:rsid w:val="00F571EC"/>
    <w:rsid w:val="00F57ABE"/>
    <w:rsid w:val="00F622D7"/>
    <w:rsid w:val="00F658A9"/>
    <w:rsid w:val="00F65FBB"/>
    <w:rsid w:val="00F71652"/>
    <w:rsid w:val="00F7246E"/>
    <w:rsid w:val="00F74407"/>
    <w:rsid w:val="00F75AA5"/>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2E50"/>
    <w:rsid w:val="00FB3E04"/>
    <w:rsid w:val="00FB4F23"/>
    <w:rsid w:val="00FB66BF"/>
    <w:rsid w:val="00FB7092"/>
    <w:rsid w:val="00FC1860"/>
    <w:rsid w:val="00FC1B7F"/>
    <w:rsid w:val="00FC1F3B"/>
    <w:rsid w:val="00FC4A8E"/>
    <w:rsid w:val="00FC5688"/>
    <w:rsid w:val="00FD13BC"/>
    <w:rsid w:val="00FD3169"/>
    <w:rsid w:val="00FD4961"/>
    <w:rsid w:val="00FD7976"/>
    <w:rsid w:val="00FE0686"/>
    <w:rsid w:val="00FE46F1"/>
    <w:rsid w:val="00FE5081"/>
    <w:rsid w:val="00FE70A6"/>
    <w:rsid w:val="00FE7FF1"/>
    <w:rsid w:val="00FF0FE9"/>
    <w:rsid w:val="00FF248A"/>
    <w:rsid w:val="00FF3F96"/>
    <w:rsid w:val="00FF55B2"/>
    <w:rsid w:val="00FF674A"/>
    <w:rsid w:val="00FF680D"/>
    <w:rsid w:val="017801E7"/>
    <w:rsid w:val="035C993B"/>
    <w:rsid w:val="06AFBD8E"/>
    <w:rsid w:val="0B7FA61F"/>
    <w:rsid w:val="12FAC051"/>
    <w:rsid w:val="1374269A"/>
    <w:rsid w:val="17080592"/>
    <w:rsid w:val="18868441"/>
    <w:rsid w:val="18C0A6A8"/>
    <w:rsid w:val="2D66B614"/>
    <w:rsid w:val="36259083"/>
    <w:rsid w:val="39C3D07B"/>
    <w:rsid w:val="3C41FA62"/>
    <w:rsid w:val="4225919A"/>
    <w:rsid w:val="44AE6EF6"/>
    <w:rsid w:val="45B7C16E"/>
    <w:rsid w:val="48E483E1"/>
    <w:rsid w:val="4E63EC20"/>
    <w:rsid w:val="54902812"/>
    <w:rsid w:val="55985C25"/>
    <w:rsid w:val="561670C8"/>
    <w:rsid w:val="5704D392"/>
    <w:rsid w:val="5ACD61A1"/>
    <w:rsid w:val="602020E9"/>
    <w:rsid w:val="677F780F"/>
    <w:rsid w:val="71FB1BD1"/>
    <w:rsid w:val="79A134A6"/>
    <w:rsid w:val="7AEBF166"/>
    <w:rsid w:val="7E5F844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2887C363"/>
  <w15:docId w15:val="{6DE3060D-3EAA-43D7-8C07-E2C1F50B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3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table" w:customStyle="1" w:styleId="TableGrid1">
    <w:name w:val="Table Grid1"/>
    <w:basedOn w:val="TableNormal"/>
    <w:next w:val="TableGrid"/>
    <w:uiPriority w:val="39"/>
    <w:rsid w:val="007B01D2"/>
    <w:rPr>
      <w:rFonts w:ascii="Calibri" w:hAnsi="Calibri" w:cs="Times New Roman"/>
      <w:color w:val="auto"/>
      <w:kern w:val="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715B55"/>
    <w:pPr>
      <w:spacing w:before="0" w:after="0" w:line="240" w:lineRule="auto"/>
    </w:pPr>
    <w:rPr>
      <w:rFonts w:ascii="Calibri" w:eastAsiaTheme="minorHAnsi" w:hAnsi="Calibri" w:cs="Calibri"/>
      <w:color w:val="auto"/>
      <w:kern w:val="2"/>
      <w:lang w:val="en-US" w:eastAsia="en-US"/>
      <w14:ligatures w14:val="standardContextual"/>
    </w:rPr>
  </w:style>
  <w:style w:type="character" w:customStyle="1" w:styleId="EndNoteBibliographyChar">
    <w:name w:val="EndNote Bibliography Char"/>
    <w:basedOn w:val="DefaultParagraphFont"/>
    <w:link w:val="EndNoteBibliography"/>
    <w:rsid w:val="00715B55"/>
    <w:rPr>
      <w:rFonts w:ascii="Calibri" w:eastAsiaTheme="minorHAnsi" w:hAnsi="Calibri" w:cs="Calibri"/>
      <w:color w:val="auto"/>
      <w:kern w:val="2"/>
      <w:lang w:val="en-US" w:eastAsia="en-US"/>
      <w14:ligatures w14:val="standardContextual"/>
    </w:rPr>
  </w:style>
  <w:style w:type="character" w:styleId="Emphasis">
    <w:name w:val="Emphasis"/>
    <w:basedOn w:val="DefaultParagraphFont"/>
    <w:uiPriority w:val="20"/>
    <w:qFormat/>
    <w:locked/>
    <w:rsid w:val="00715B55"/>
    <w:rPr>
      <w:i/>
      <w:iCs/>
    </w:rPr>
  </w:style>
  <w:style w:type="paragraph" w:styleId="ListParagraph">
    <w:name w:val="List Paragraph"/>
    <w:basedOn w:val="Normal"/>
    <w:uiPriority w:val="34"/>
    <w:locked/>
    <w:rsid w:val="00910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4639">
      <w:bodyDiv w:val="1"/>
      <w:marLeft w:val="0"/>
      <w:marRight w:val="0"/>
      <w:marTop w:val="0"/>
      <w:marBottom w:val="0"/>
      <w:divBdr>
        <w:top w:val="none" w:sz="0" w:space="0" w:color="auto"/>
        <w:left w:val="none" w:sz="0" w:space="0" w:color="auto"/>
        <w:bottom w:val="none" w:sz="0" w:space="0" w:color="auto"/>
        <w:right w:val="none" w:sz="0" w:space="0" w:color="auto"/>
      </w:divBdr>
    </w:div>
    <w:div w:id="558594029">
      <w:bodyDiv w:val="1"/>
      <w:marLeft w:val="0"/>
      <w:marRight w:val="0"/>
      <w:marTop w:val="0"/>
      <w:marBottom w:val="0"/>
      <w:divBdr>
        <w:top w:val="none" w:sz="0" w:space="0" w:color="auto"/>
        <w:left w:val="none" w:sz="0" w:space="0" w:color="auto"/>
        <w:bottom w:val="none" w:sz="0" w:space="0" w:color="auto"/>
        <w:right w:val="none" w:sz="0" w:space="0" w:color="auto"/>
      </w:divBdr>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911507383">
      <w:bodyDiv w:val="1"/>
      <w:marLeft w:val="0"/>
      <w:marRight w:val="0"/>
      <w:marTop w:val="0"/>
      <w:marBottom w:val="0"/>
      <w:divBdr>
        <w:top w:val="none" w:sz="0" w:space="0" w:color="auto"/>
        <w:left w:val="none" w:sz="0" w:space="0" w:color="auto"/>
        <w:bottom w:val="none" w:sz="0" w:space="0" w:color="auto"/>
        <w:right w:val="none" w:sz="0" w:space="0" w:color="auto"/>
      </w:divBdr>
    </w:div>
    <w:div w:id="978808362">
      <w:bodyDiv w:val="1"/>
      <w:marLeft w:val="0"/>
      <w:marRight w:val="0"/>
      <w:marTop w:val="0"/>
      <w:marBottom w:val="0"/>
      <w:divBdr>
        <w:top w:val="none" w:sz="0" w:space="0" w:color="auto"/>
        <w:left w:val="none" w:sz="0" w:space="0" w:color="auto"/>
        <w:bottom w:val="none" w:sz="0" w:space="0" w:color="auto"/>
        <w:right w:val="none" w:sz="0" w:space="0" w:color="auto"/>
      </w:divBdr>
      <w:divsChild>
        <w:div w:id="525606385">
          <w:marLeft w:val="0"/>
          <w:marRight w:val="0"/>
          <w:marTop w:val="0"/>
          <w:marBottom w:val="0"/>
          <w:divBdr>
            <w:top w:val="none" w:sz="0" w:space="0" w:color="auto"/>
            <w:left w:val="none" w:sz="0" w:space="0" w:color="auto"/>
            <w:bottom w:val="none" w:sz="0" w:space="0" w:color="auto"/>
            <w:right w:val="none" w:sz="0" w:space="0" w:color="auto"/>
          </w:divBdr>
        </w:div>
      </w:divsChild>
    </w:div>
    <w:div w:id="995962602">
      <w:bodyDiv w:val="1"/>
      <w:marLeft w:val="0"/>
      <w:marRight w:val="0"/>
      <w:marTop w:val="0"/>
      <w:marBottom w:val="0"/>
      <w:divBdr>
        <w:top w:val="none" w:sz="0" w:space="0" w:color="auto"/>
        <w:left w:val="none" w:sz="0" w:space="0" w:color="auto"/>
        <w:bottom w:val="none" w:sz="0" w:space="0" w:color="auto"/>
        <w:right w:val="none" w:sz="0" w:space="0" w:color="auto"/>
      </w:divBdr>
      <w:divsChild>
        <w:div w:id="1663118541">
          <w:marLeft w:val="0"/>
          <w:marRight w:val="0"/>
          <w:marTop w:val="0"/>
          <w:marBottom w:val="0"/>
          <w:divBdr>
            <w:top w:val="none" w:sz="0" w:space="0" w:color="auto"/>
            <w:left w:val="none" w:sz="0" w:space="0" w:color="auto"/>
            <w:bottom w:val="none" w:sz="0" w:space="0" w:color="auto"/>
            <w:right w:val="none" w:sz="0" w:space="0" w:color="auto"/>
          </w:divBdr>
        </w:div>
      </w:divsChild>
    </w:div>
    <w:div w:id="1130242854">
      <w:bodyDiv w:val="1"/>
      <w:marLeft w:val="0"/>
      <w:marRight w:val="0"/>
      <w:marTop w:val="0"/>
      <w:marBottom w:val="0"/>
      <w:divBdr>
        <w:top w:val="none" w:sz="0" w:space="0" w:color="auto"/>
        <w:left w:val="none" w:sz="0" w:space="0" w:color="auto"/>
        <w:bottom w:val="none" w:sz="0" w:space="0" w:color="auto"/>
        <w:right w:val="none" w:sz="0" w:space="0" w:color="auto"/>
      </w:divBdr>
    </w:div>
    <w:div w:id="1346857128">
      <w:bodyDiv w:val="1"/>
      <w:marLeft w:val="0"/>
      <w:marRight w:val="0"/>
      <w:marTop w:val="0"/>
      <w:marBottom w:val="0"/>
      <w:divBdr>
        <w:top w:val="none" w:sz="0" w:space="0" w:color="auto"/>
        <w:left w:val="none" w:sz="0" w:space="0" w:color="auto"/>
        <w:bottom w:val="none" w:sz="0" w:space="0" w:color="auto"/>
        <w:right w:val="none" w:sz="0" w:space="0" w:color="auto"/>
      </w:divBdr>
      <w:divsChild>
        <w:div w:id="509829289">
          <w:marLeft w:val="0"/>
          <w:marRight w:val="0"/>
          <w:marTop w:val="0"/>
          <w:marBottom w:val="0"/>
          <w:divBdr>
            <w:top w:val="none" w:sz="0" w:space="0" w:color="auto"/>
            <w:left w:val="none" w:sz="0" w:space="0" w:color="auto"/>
            <w:bottom w:val="none" w:sz="0" w:space="0" w:color="auto"/>
            <w:right w:val="none" w:sz="0" w:space="0" w:color="auto"/>
          </w:divBdr>
        </w:div>
      </w:divsChild>
    </w:div>
    <w:div w:id="1403672930">
      <w:bodyDiv w:val="1"/>
      <w:marLeft w:val="0"/>
      <w:marRight w:val="0"/>
      <w:marTop w:val="0"/>
      <w:marBottom w:val="0"/>
      <w:divBdr>
        <w:top w:val="none" w:sz="0" w:space="0" w:color="auto"/>
        <w:left w:val="none" w:sz="0" w:space="0" w:color="auto"/>
        <w:bottom w:val="none" w:sz="0" w:space="0" w:color="auto"/>
        <w:right w:val="none" w:sz="0" w:space="0" w:color="auto"/>
      </w:divBdr>
      <w:divsChild>
        <w:div w:id="1967003335">
          <w:marLeft w:val="0"/>
          <w:marRight w:val="0"/>
          <w:marTop w:val="0"/>
          <w:marBottom w:val="0"/>
          <w:divBdr>
            <w:top w:val="none" w:sz="0" w:space="0" w:color="auto"/>
            <w:left w:val="none" w:sz="0" w:space="0" w:color="auto"/>
            <w:bottom w:val="none" w:sz="0" w:space="0" w:color="auto"/>
            <w:right w:val="none" w:sz="0" w:space="0" w:color="auto"/>
          </w:divBdr>
        </w:div>
      </w:divsChild>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36042205">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778790665">
      <w:bodyDiv w:val="1"/>
      <w:marLeft w:val="0"/>
      <w:marRight w:val="0"/>
      <w:marTop w:val="0"/>
      <w:marBottom w:val="0"/>
      <w:divBdr>
        <w:top w:val="none" w:sz="0" w:space="0" w:color="auto"/>
        <w:left w:val="none" w:sz="0" w:space="0" w:color="auto"/>
        <w:bottom w:val="none" w:sz="0" w:space="0" w:color="auto"/>
        <w:right w:val="none" w:sz="0" w:space="0" w:color="auto"/>
      </w:divBdr>
    </w:div>
    <w:div w:id="1790273479">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1975599996">
      <w:bodyDiv w:val="1"/>
      <w:marLeft w:val="0"/>
      <w:marRight w:val="0"/>
      <w:marTop w:val="0"/>
      <w:marBottom w:val="0"/>
      <w:divBdr>
        <w:top w:val="none" w:sz="0" w:space="0" w:color="auto"/>
        <w:left w:val="none" w:sz="0" w:space="0" w:color="auto"/>
        <w:bottom w:val="none" w:sz="0" w:space="0" w:color="auto"/>
        <w:right w:val="none" w:sz="0" w:space="0" w:color="auto"/>
      </w:divBdr>
    </w:div>
    <w:div w:id="2064599299">
      <w:bodyDiv w:val="1"/>
      <w:marLeft w:val="0"/>
      <w:marRight w:val="0"/>
      <w:marTop w:val="0"/>
      <w:marBottom w:val="0"/>
      <w:divBdr>
        <w:top w:val="none" w:sz="0" w:space="0" w:color="auto"/>
        <w:left w:val="none" w:sz="0" w:space="0" w:color="auto"/>
        <w:bottom w:val="none" w:sz="0" w:space="0" w:color="auto"/>
        <w:right w:val="none" w:sz="0" w:space="0" w:color="auto"/>
      </w:divBdr>
      <w:divsChild>
        <w:div w:id="1648393661">
          <w:marLeft w:val="0"/>
          <w:marRight w:val="0"/>
          <w:marTop w:val="0"/>
          <w:marBottom w:val="0"/>
          <w:divBdr>
            <w:top w:val="none" w:sz="0" w:space="0" w:color="auto"/>
            <w:left w:val="none" w:sz="0" w:space="0" w:color="auto"/>
            <w:bottom w:val="none" w:sz="0" w:space="0" w:color="auto"/>
            <w:right w:val="none" w:sz="0" w:space="0" w:color="auto"/>
          </w:divBdr>
        </w:div>
      </w:divsChild>
    </w:div>
    <w:div w:id="2095740096">
      <w:bodyDiv w:val="1"/>
      <w:marLeft w:val="0"/>
      <w:marRight w:val="0"/>
      <w:marTop w:val="0"/>
      <w:marBottom w:val="0"/>
      <w:divBdr>
        <w:top w:val="none" w:sz="0" w:space="0" w:color="auto"/>
        <w:left w:val="none" w:sz="0" w:space="0" w:color="auto"/>
        <w:bottom w:val="none" w:sz="0" w:space="0" w:color="auto"/>
        <w:right w:val="none" w:sz="0" w:space="0" w:color="auto"/>
      </w:divBdr>
      <w:divsChild>
        <w:div w:id="1619752508">
          <w:marLeft w:val="0"/>
          <w:marRight w:val="0"/>
          <w:marTop w:val="0"/>
          <w:marBottom w:val="0"/>
          <w:divBdr>
            <w:top w:val="none" w:sz="0" w:space="0" w:color="auto"/>
            <w:left w:val="none" w:sz="0" w:space="0" w:color="auto"/>
            <w:bottom w:val="none" w:sz="0" w:space="0" w:color="auto"/>
            <w:right w:val="none" w:sz="0" w:space="0" w:color="auto"/>
          </w:divBdr>
        </w:div>
      </w:divsChild>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nberrahealthservices.act.gov.au/accessibil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government.sharepoint.com/:w:/r/sites/Intranet-CHS/_layouts/15/Doc.aspx?sourcedoc=%7BDB00388F-CC28-458A-B130-325D25C882A5%7D&amp;file=Individual%20Patient%20Use%20(IPU)%20Application%20Form%202021.docx&amp;action=default&amp;mobileredirect=true&amp;DefaultItemOpen=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it\Downloads\CHS%20Procedure%20Template%20(3).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EBD2C98F7F44FD96D933BA0136C3C5"/>
        <w:category>
          <w:name w:val="General"/>
          <w:gallery w:val="placeholder"/>
        </w:category>
        <w:types>
          <w:type w:val="bbPlcHdr"/>
        </w:types>
        <w:behaviors>
          <w:behavior w:val="content"/>
        </w:behaviors>
        <w:guid w:val="{6CDB6F7A-F136-446B-8534-DD2580B360C8}"/>
      </w:docPartPr>
      <w:docPartBody>
        <w:p w:rsidR="00CD2B59" w:rsidRDefault="00CD2B59">
          <w:pPr>
            <w:pStyle w:val="88EBD2C98F7F44FD96D933BA0136C3C5"/>
          </w:pPr>
          <w:r>
            <w:rPr>
              <w:noProof/>
              <w:sz w:val="20"/>
              <w:szCs w:val="20"/>
            </w:rPr>
            <w:drawing>
              <wp:inline distT="0" distB="0" distL="0" distR="0" wp14:anchorId="63D455C5" wp14:editId="63D455C6">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65ABBBA6F17741BA8B54963B6F9C8433"/>
        <w:category>
          <w:name w:val="General"/>
          <w:gallery w:val="placeholder"/>
        </w:category>
        <w:types>
          <w:type w:val="bbPlcHdr"/>
        </w:types>
        <w:behaviors>
          <w:behavior w:val="content"/>
        </w:behaviors>
        <w:guid w:val="{AB652A8D-2041-46DC-83CD-BF7D1FCED88F}"/>
      </w:docPartPr>
      <w:docPartBody>
        <w:p w:rsidR="00CD2B59" w:rsidRDefault="00CD2B59">
          <w:pPr>
            <w:pStyle w:val="65ABBBA6F17741BA8B54963B6F9C8433"/>
          </w:pPr>
          <w:r w:rsidRPr="00EE29F8">
            <w:rPr>
              <w:rStyle w:val="PlaceholderText"/>
            </w:rPr>
            <w:t>Choose an item.</w:t>
          </w:r>
        </w:p>
      </w:docPartBody>
    </w:docPart>
    <w:docPart>
      <w:docPartPr>
        <w:name w:val="DBA2EE964310403DBA48AC8B2C528C78"/>
        <w:category>
          <w:name w:val="General"/>
          <w:gallery w:val="placeholder"/>
        </w:category>
        <w:types>
          <w:type w:val="bbPlcHdr"/>
        </w:types>
        <w:behaviors>
          <w:behavior w:val="content"/>
        </w:behaviors>
        <w:guid w:val="{66DDBE29-59B9-4FE2-8C60-0D6197789D33}"/>
      </w:docPartPr>
      <w:docPartBody>
        <w:p w:rsidR="00CD2B59" w:rsidRPr="00F26C97" w:rsidRDefault="00CD2B59" w:rsidP="003B0E72">
          <w:pPr>
            <w:pStyle w:val="Bottomblocktext"/>
            <w:rPr>
              <w:b/>
              <w:bCs w:val="0"/>
              <w:sz w:val="20"/>
              <w:szCs w:val="20"/>
            </w:rPr>
          </w:pPr>
          <w:r>
            <w:rPr>
              <w:b/>
              <w:bCs w:val="0"/>
              <w:noProof/>
              <w:sz w:val="20"/>
              <w:szCs w:val="20"/>
            </w:rPr>
            <w:drawing>
              <wp:inline distT="0" distB="0" distL="0" distR="0" wp14:anchorId="63D455C7" wp14:editId="63D455C8">
                <wp:extent cx="338275" cy="331065"/>
                <wp:effectExtent l="0" t="0" r="5080" b="0"/>
                <wp:docPr id="178639267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3D455C9" wp14:editId="63D455CA">
                <wp:extent cx="143919" cy="139700"/>
                <wp:effectExtent l="0" t="0" r="8890" b="0"/>
                <wp:docPr id="1919495966"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CD2B59" w:rsidRPr="00F26C97" w:rsidRDefault="00CD2B59" w:rsidP="003B0E72">
          <w:pPr>
            <w:pStyle w:val="Bottomblocktext"/>
            <w:rPr>
              <w:b/>
              <w:bCs w:val="0"/>
              <w:sz w:val="20"/>
              <w:szCs w:val="20"/>
            </w:rPr>
          </w:pPr>
          <w:r>
            <w:rPr>
              <w:b/>
              <w:bCs w:val="0"/>
              <w:noProof/>
              <w:sz w:val="20"/>
              <w:szCs w:val="20"/>
            </w:rPr>
            <w:drawing>
              <wp:inline distT="0" distB="0" distL="0" distR="0" wp14:anchorId="63D455CB" wp14:editId="63D455CC">
                <wp:extent cx="326104" cy="323850"/>
                <wp:effectExtent l="0" t="0" r="0" b="0"/>
                <wp:docPr id="1275954513"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63D455CD" wp14:editId="63D455CE">
                <wp:extent cx="143919" cy="139700"/>
                <wp:effectExtent l="0" t="0" r="8890" b="0"/>
                <wp:docPr id="831938077"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CD2B59" w:rsidRDefault="00CD2B59" w:rsidP="003B0E72">
          <w:pPr>
            <w:pStyle w:val="Bottomblocktext"/>
            <w:rPr>
              <w:sz w:val="20"/>
              <w:szCs w:val="20"/>
            </w:rPr>
          </w:pPr>
          <w:hyperlink r:id="rId8" w:history="1">
            <w:r w:rsidRPr="00350211">
              <w:rPr>
                <w:rStyle w:val="Hyperlink"/>
                <w:sz w:val="20"/>
                <w:szCs w:val="20"/>
              </w:rPr>
              <w:t>canberrahealthservices.act.gov.au/accessibility</w:t>
            </w:r>
          </w:hyperlink>
        </w:p>
        <w:p w:rsidR="00CD2B59" w:rsidRDefault="00CD2B59">
          <w:pPr>
            <w:pStyle w:val="DBA2EE964310403DBA48AC8B2C528C78"/>
          </w:pPr>
          <w:r>
            <w:rPr>
              <w:b/>
              <w:bCs/>
              <w:noProof/>
            </w:rPr>
            <w:drawing>
              <wp:inline distT="0" distB="0" distL="0" distR="0" wp14:anchorId="63D455CF" wp14:editId="63D455D0">
                <wp:extent cx="1323833" cy="309418"/>
                <wp:effectExtent l="0" t="0" r="0" b="0"/>
                <wp:docPr id="297839059"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E7"/>
    <w:rsid w:val="000D38FF"/>
    <w:rsid w:val="001D1AE7"/>
    <w:rsid w:val="0023398D"/>
    <w:rsid w:val="00297FB6"/>
    <w:rsid w:val="002A0F0C"/>
    <w:rsid w:val="00315CCD"/>
    <w:rsid w:val="003449BE"/>
    <w:rsid w:val="00451F40"/>
    <w:rsid w:val="004E1050"/>
    <w:rsid w:val="005200B0"/>
    <w:rsid w:val="00577A46"/>
    <w:rsid w:val="00601071"/>
    <w:rsid w:val="00614373"/>
    <w:rsid w:val="006A48D7"/>
    <w:rsid w:val="007555F5"/>
    <w:rsid w:val="00801D63"/>
    <w:rsid w:val="00875BC9"/>
    <w:rsid w:val="008E7631"/>
    <w:rsid w:val="00944527"/>
    <w:rsid w:val="00981E23"/>
    <w:rsid w:val="009F1E25"/>
    <w:rsid w:val="00A101C3"/>
    <w:rsid w:val="00AE179C"/>
    <w:rsid w:val="00B40930"/>
    <w:rsid w:val="00C861E4"/>
    <w:rsid w:val="00C8692E"/>
    <w:rsid w:val="00CB59A3"/>
    <w:rsid w:val="00CD2B59"/>
    <w:rsid w:val="00DB3E70"/>
    <w:rsid w:val="00E17042"/>
    <w:rsid w:val="00E37E72"/>
    <w:rsid w:val="00EF2B1A"/>
    <w:rsid w:val="00F7246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EBD2C98F7F44FD96D933BA0136C3C5">
    <w:name w:val="88EBD2C98F7F44FD96D933BA0136C3C5"/>
  </w:style>
  <w:style w:type="character" w:styleId="PlaceholderText">
    <w:name w:val="Placeholder Text"/>
    <w:basedOn w:val="DefaultParagraphFont"/>
    <w:uiPriority w:val="99"/>
    <w:semiHidden/>
    <w:rPr>
      <w:color w:val="808080"/>
    </w:rPr>
  </w:style>
  <w:style w:type="paragraph" w:customStyle="1" w:styleId="65ABBBA6F17741BA8B54963B6F9C8433">
    <w:name w:val="65ABBBA6F17741BA8B54963B6F9C8433"/>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eastAsia="en-AU"/>
      <w14:ligatures w14:val="none"/>
    </w:rPr>
  </w:style>
  <w:style w:type="paragraph" w:customStyle="1" w:styleId="DBA2EE964310403DBA48AC8B2C528C78">
    <w:name w:val="DBA2EE964310403DBA48AC8B2C528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2026-01-20T13:00:00+00:00</Approval_x0020_Date>
    <Review_x0020_Date xmlns="690b2128-8961-48af-a473-22c34a9accba">2029-01-31T13:00:00+00:00</Review_x0020_Date>
    <TaxCatchAll xmlns="c0239a80-7f07-4ed7-82c3-24ad7d76ada5">
      <Value>432</Value>
      <Value>417</Value>
      <Value>416</Value>
      <Value>415</Value>
    </TaxCatchAll>
    <Version_x0020_Number xmlns="690b2128-8961-48af-a473-22c34a9accba">1</Version_x0020_Number>
    <Notes0 xmlns="690b2128-8961-48af-a473-22c34a9accba" xsi:nil="true"/>
    <Key_x0020_Words xmlns="690b2128-8961-48af-a473-22c34a9accba">ASUC, ulcerative colitis, uc, acute severe ulcerative colitis, IBD, inflammatory bowel disease, diarrhoea, infliximab, upadacitinib, tofacitinib, gastroenterology, emergency, north.</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Yes</ISD_x0020_Submitted>
    <Risk_x0020_Rating xmlns="690b2128-8961-48af-a473-22c34a9accba">High</Risk_x0020_Rating>
    <Description0 xmlns="690b2128-8961-48af-a473-22c34a9accba">This procedure provides advice to medical officers to assist in managing acute severe 
ulcerative colitis (ASUC) patients in the emergency department and as inpatients. 
</Description0>
    <Display_x0020_on_x0020_Internet xmlns="690b2128-8961-48af-a473-22c34a9accba">true</Display_x0020_on_x0020_Internet>
    <Related_x0020_Documents xmlns="690b2128-8961-48af-a473-22c34a9accba" xsi:nil="true"/>
    <Decision_x0020_Number xmlns="690b2128-8961-48af-a473-22c34a9accba">CHS26/085</Decision_x0020_Number>
    <RelatedPolicies_x002c_ProceduresGuidelines xmlns="690b2128-8961-48af-a473-22c34a9accba">
      <Value>16471</Value>
      <Value>18119</Value>
      <Value>17628</Value>
      <Value>17674</Value>
      <Value>17056</Value>
      <Value>17246</Value>
      <Value>18223</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Medicine - Gastroenterology and Hepatology</New_x0020_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2.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0171B367-A041-4C6D-9125-9C18B186A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CHS Procedure Template (3)</Template>
  <TotalTime>19</TotalTime>
  <Pages>14</Pages>
  <Words>3815</Words>
  <Characters>21748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Severe Ulcerative Colitis (ASUC) in Adults Procedure</dc:title>
  <dc:creator>K S</dc:creator>
  <cp:lastModifiedBy>Rusanov, Zoia</cp:lastModifiedBy>
  <cp:revision>7</cp:revision>
  <cp:lastPrinted>2017-05-22T07:29:00Z</cp:lastPrinted>
  <dcterms:created xsi:type="dcterms:W3CDTF">2026-02-27T01:09:00Z</dcterms:created>
  <dcterms:modified xsi:type="dcterms:W3CDTF">2026-05-25T06:10:00Z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