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2DA37D7">
      <w:pPr>
        <w:outlineLvl w:val="0"/>
        <w:rPr>
          <w:rFonts w:cs="Arial"/>
          <w:b/>
          <w:bCs/>
          <w:sz w:val="44"/>
          <w:szCs w:val="44"/>
        </w:rPr>
      </w:pPr>
      <w:bookmarkStart w:id="0" w:name="_Toc389131241"/>
      <w:bookmarkStart w:id="1" w:name="_Toc389473036"/>
      <w:bookmarkStart w:id="2" w:name="_Toc389473185"/>
      <w:bookmarkStart w:id="3" w:name="_Toc389473272"/>
      <w:bookmarkStart w:id="4" w:name="_Toc392770343"/>
      <w:r w:rsidRPr="02DA37D7">
        <w:rPr>
          <w:rFonts w:cs="Arial"/>
          <w:b/>
          <w:bCs/>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51CCB75E" w:rsidR="007B6904" w:rsidRPr="006A3770" w:rsidRDefault="003434A9" w:rsidP="006A3770">
      <w:pPr>
        <w:rPr>
          <w:rFonts w:cs="Arial"/>
          <w:b/>
          <w:i/>
          <w:sz w:val="36"/>
          <w:szCs w:val="36"/>
        </w:rPr>
      </w:pPr>
      <w:r>
        <w:rPr>
          <w:rFonts w:cs="Arial"/>
          <w:b/>
          <w:sz w:val="36"/>
          <w:szCs w:val="36"/>
        </w:rPr>
        <w:t>North Canberra Hospital (NCH) – Insulin Infusion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1406374"/>
            <w:r w:rsidRPr="00CD1C0E">
              <w:t>Contents</w:t>
            </w:r>
            <w:bookmarkEnd w:id="5"/>
            <w:bookmarkEnd w:id="6"/>
            <w:bookmarkEnd w:id="7"/>
          </w:p>
        </w:tc>
      </w:tr>
    </w:tbl>
    <w:p w14:paraId="2F51A853" w14:textId="77777777" w:rsidR="007B6904" w:rsidRDefault="007B6904" w:rsidP="007B6904"/>
    <w:p w14:paraId="4D7355F5" w14:textId="64F26686" w:rsidR="00F87C68"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61406374" w:history="1">
        <w:r w:rsidR="00F87C68" w:rsidRPr="000571CC">
          <w:rPr>
            <w:rStyle w:val="Hyperlink"/>
            <w:noProof/>
          </w:rPr>
          <w:t>Contents</w:t>
        </w:r>
        <w:r w:rsidR="00F87C68">
          <w:rPr>
            <w:noProof/>
            <w:webHidden/>
          </w:rPr>
          <w:tab/>
        </w:r>
        <w:r w:rsidR="00F87C68">
          <w:rPr>
            <w:noProof/>
            <w:webHidden/>
          </w:rPr>
          <w:fldChar w:fldCharType="begin"/>
        </w:r>
        <w:r w:rsidR="00F87C68">
          <w:rPr>
            <w:noProof/>
            <w:webHidden/>
          </w:rPr>
          <w:instrText xml:space="preserve"> PAGEREF _Toc161406374 \h </w:instrText>
        </w:r>
        <w:r w:rsidR="00F87C68">
          <w:rPr>
            <w:noProof/>
            <w:webHidden/>
          </w:rPr>
        </w:r>
        <w:r w:rsidR="00F87C68">
          <w:rPr>
            <w:noProof/>
            <w:webHidden/>
          </w:rPr>
          <w:fldChar w:fldCharType="separate"/>
        </w:r>
        <w:r w:rsidR="00F87C68">
          <w:rPr>
            <w:noProof/>
            <w:webHidden/>
          </w:rPr>
          <w:t>1</w:t>
        </w:r>
        <w:r w:rsidR="00F87C68">
          <w:rPr>
            <w:noProof/>
            <w:webHidden/>
          </w:rPr>
          <w:fldChar w:fldCharType="end"/>
        </w:r>
      </w:hyperlink>
    </w:p>
    <w:p w14:paraId="5CB56CF9" w14:textId="14398364"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75" w:history="1">
        <w:r w:rsidR="00F87C68" w:rsidRPr="000571CC">
          <w:rPr>
            <w:rStyle w:val="Hyperlink"/>
            <w:noProof/>
          </w:rPr>
          <w:t>Purpose</w:t>
        </w:r>
        <w:r w:rsidR="00F87C68">
          <w:rPr>
            <w:noProof/>
            <w:webHidden/>
          </w:rPr>
          <w:tab/>
        </w:r>
        <w:r w:rsidR="00F87C68">
          <w:rPr>
            <w:noProof/>
            <w:webHidden/>
          </w:rPr>
          <w:fldChar w:fldCharType="begin"/>
        </w:r>
        <w:r w:rsidR="00F87C68">
          <w:rPr>
            <w:noProof/>
            <w:webHidden/>
          </w:rPr>
          <w:instrText xml:space="preserve"> PAGEREF _Toc161406375 \h </w:instrText>
        </w:r>
        <w:r w:rsidR="00F87C68">
          <w:rPr>
            <w:noProof/>
            <w:webHidden/>
          </w:rPr>
        </w:r>
        <w:r w:rsidR="00F87C68">
          <w:rPr>
            <w:noProof/>
            <w:webHidden/>
          </w:rPr>
          <w:fldChar w:fldCharType="separate"/>
        </w:r>
        <w:r w:rsidR="00F87C68">
          <w:rPr>
            <w:noProof/>
            <w:webHidden/>
          </w:rPr>
          <w:t>2</w:t>
        </w:r>
        <w:r w:rsidR="00F87C68">
          <w:rPr>
            <w:noProof/>
            <w:webHidden/>
          </w:rPr>
          <w:fldChar w:fldCharType="end"/>
        </w:r>
      </w:hyperlink>
    </w:p>
    <w:p w14:paraId="3722658C" w14:textId="7A3112F8"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76" w:history="1">
        <w:r w:rsidR="00F87C68" w:rsidRPr="000571CC">
          <w:rPr>
            <w:rStyle w:val="Hyperlink"/>
            <w:noProof/>
          </w:rPr>
          <w:t>Alerts</w:t>
        </w:r>
        <w:r w:rsidR="00F87C68">
          <w:rPr>
            <w:noProof/>
            <w:webHidden/>
          </w:rPr>
          <w:tab/>
        </w:r>
        <w:r w:rsidR="00F87C68">
          <w:rPr>
            <w:noProof/>
            <w:webHidden/>
          </w:rPr>
          <w:fldChar w:fldCharType="begin"/>
        </w:r>
        <w:r w:rsidR="00F87C68">
          <w:rPr>
            <w:noProof/>
            <w:webHidden/>
          </w:rPr>
          <w:instrText xml:space="preserve"> PAGEREF _Toc161406376 \h </w:instrText>
        </w:r>
        <w:r w:rsidR="00F87C68">
          <w:rPr>
            <w:noProof/>
            <w:webHidden/>
          </w:rPr>
        </w:r>
        <w:r w:rsidR="00F87C68">
          <w:rPr>
            <w:noProof/>
            <w:webHidden/>
          </w:rPr>
          <w:fldChar w:fldCharType="separate"/>
        </w:r>
        <w:r w:rsidR="00F87C68">
          <w:rPr>
            <w:noProof/>
            <w:webHidden/>
          </w:rPr>
          <w:t>2</w:t>
        </w:r>
        <w:r w:rsidR="00F87C68">
          <w:rPr>
            <w:noProof/>
            <w:webHidden/>
          </w:rPr>
          <w:fldChar w:fldCharType="end"/>
        </w:r>
      </w:hyperlink>
    </w:p>
    <w:p w14:paraId="3D9E8493" w14:textId="0C69BCF6"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77" w:history="1">
        <w:r w:rsidR="00F87C68" w:rsidRPr="000571CC">
          <w:rPr>
            <w:rStyle w:val="Hyperlink"/>
            <w:noProof/>
          </w:rPr>
          <w:t>Scope</w:t>
        </w:r>
        <w:r w:rsidR="00F87C68">
          <w:rPr>
            <w:noProof/>
            <w:webHidden/>
          </w:rPr>
          <w:tab/>
        </w:r>
        <w:r w:rsidR="00F87C68">
          <w:rPr>
            <w:noProof/>
            <w:webHidden/>
          </w:rPr>
          <w:fldChar w:fldCharType="begin"/>
        </w:r>
        <w:r w:rsidR="00F87C68">
          <w:rPr>
            <w:noProof/>
            <w:webHidden/>
          </w:rPr>
          <w:instrText xml:space="preserve"> PAGEREF _Toc161406377 \h </w:instrText>
        </w:r>
        <w:r w:rsidR="00F87C68">
          <w:rPr>
            <w:noProof/>
            <w:webHidden/>
          </w:rPr>
        </w:r>
        <w:r w:rsidR="00F87C68">
          <w:rPr>
            <w:noProof/>
            <w:webHidden/>
          </w:rPr>
          <w:fldChar w:fldCharType="separate"/>
        </w:r>
        <w:r w:rsidR="00F87C68">
          <w:rPr>
            <w:noProof/>
            <w:webHidden/>
          </w:rPr>
          <w:t>2</w:t>
        </w:r>
        <w:r w:rsidR="00F87C68">
          <w:rPr>
            <w:noProof/>
            <w:webHidden/>
          </w:rPr>
          <w:fldChar w:fldCharType="end"/>
        </w:r>
      </w:hyperlink>
    </w:p>
    <w:p w14:paraId="0550D7A5" w14:textId="61D36CCF"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78" w:history="1">
        <w:r w:rsidR="00F87C68" w:rsidRPr="000571CC">
          <w:rPr>
            <w:rStyle w:val="Hyperlink"/>
            <w:noProof/>
          </w:rPr>
          <w:t>Section 1 – Equipment</w:t>
        </w:r>
        <w:r w:rsidR="00F87C68">
          <w:rPr>
            <w:noProof/>
            <w:webHidden/>
          </w:rPr>
          <w:tab/>
        </w:r>
        <w:r w:rsidR="00F87C68">
          <w:rPr>
            <w:noProof/>
            <w:webHidden/>
          </w:rPr>
          <w:fldChar w:fldCharType="begin"/>
        </w:r>
        <w:r w:rsidR="00F87C68">
          <w:rPr>
            <w:noProof/>
            <w:webHidden/>
          </w:rPr>
          <w:instrText xml:space="preserve"> PAGEREF _Toc161406378 \h </w:instrText>
        </w:r>
        <w:r w:rsidR="00F87C68">
          <w:rPr>
            <w:noProof/>
            <w:webHidden/>
          </w:rPr>
        </w:r>
        <w:r w:rsidR="00F87C68">
          <w:rPr>
            <w:noProof/>
            <w:webHidden/>
          </w:rPr>
          <w:fldChar w:fldCharType="separate"/>
        </w:r>
        <w:r w:rsidR="00F87C68">
          <w:rPr>
            <w:noProof/>
            <w:webHidden/>
          </w:rPr>
          <w:t>2</w:t>
        </w:r>
        <w:r w:rsidR="00F87C68">
          <w:rPr>
            <w:noProof/>
            <w:webHidden/>
          </w:rPr>
          <w:fldChar w:fldCharType="end"/>
        </w:r>
      </w:hyperlink>
    </w:p>
    <w:p w14:paraId="096D790F" w14:textId="1F55E067"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79" w:history="1">
        <w:r w:rsidR="00F87C68" w:rsidRPr="000571CC">
          <w:rPr>
            <w:rStyle w:val="Hyperlink"/>
            <w:noProof/>
          </w:rPr>
          <w:t>Section 2 – Preparation and Prescription</w:t>
        </w:r>
        <w:r w:rsidR="00F87C68">
          <w:rPr>
            <w:noProof/>
            <w:webHidden/>
          </w:rPr>
          <w:tab/>
        </w:r>
        <w:r w:rsidR="00F87C68">
          <w:rPr>
            <w:noProof/>
            <w:webHidden/>
          </w:rPr>
          <w:fldChar w:fldCharType="begin"/>
        </w:r>
        <w:r w:rsidR="00F87C68">
          <w:rPr>
            <w:noProof/>
            <w:webHidden/>
          </w:rPr>
          <w:instrText xml:space="preserve"> PAGEREF _Toc161406379 \h </w:instrText>
        </w:r>
        <w:r w:rsidR="00F87C68">
          <w:rPr>
            <w:noProof/>
            <w:webHidden/>
          </w:rPr>
        </w:r>
        <w:r w:rsidR="00F87C68">
          <w:rPr>
            <w:noProof/>
            <w:webHidden/>
          </w:rPr>
          <w:fldChar w:fldCharType="separate"/>
        </w:r>
        <w:r w:rsidR="00F87C68">
          <w:rPr>
            <w:noProof/>
            <w:webHidden/>
          </w:rPr>
          <w:t>3</w:t>
        </w:r>
        <w:r w:rsidR="00F87C68">
          <w:rPr>
            <w:noProof/>
            <w:webHidden/>
          </w:rPr>
          <w:fldChar w:fldCharType="end"/>
        </w:r>
      </w:hyperlink>
    </w:p>
    <w:p w14:paraId="47C9FD0E" w14:textId="43B9D7FE"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0" w:history="1">
        <w:r w:rsidR="00F87C68" w:rsidRPr="000571CC">
          <w:rPr>
            <w:rStyle w:val="Hyperlink"/>
            <w:noProof/>
          </w:rPr>
          <w:t>Section 3 – Insulin Infusion management on general wards</w:t>
        </w:r>
        <w:r w:rsidR="00F87C68">
          <w:rPr>
            <w:noProof/>
            <w:webHidden/>
          </w:rPr>
          <w:tab/>
        </w:r>
        <w:r w:rsidR="00F87C68">
          <w:rPr>
            <w:noProof/>
            <w:webHidden/>
          </w:rPr>
          <w:fldChar w:fldCharType="begin"/>
        </w:r>
        <w:r w:rsidR="00F87C68">
          <w:rPr>
            <w:noProof/>
            <w:webHidden/>
          </w:rPr>
          <w:instrText xml:space="preserve"> PAGEREF _Toc161406380 \h </w:instrText>
        </w:r>
        <w:r w:rsidR="00F87C68">
          <w:rPr>
            <w:noProof/>
            <w:webHidden/>
          </w:rPr>
        </w:r>
        <w:r w:rsidR="00F87C68">
          <w:rPr>
            <w:noProof/>
            <w:webHidden/>
          </w:rPr>
          <w:fldChar w:fldCharType="separate"/>
        </w:r>
        <w:r w:rsidR="00F87C68">
          <w:rPr>
            <w:noProof/>
            <w:webHidden/>
          </w:rPr>
          <w:t>3</w:t>
        </w:r>
        <w:r w:rsidR="00F87C68">
          <w:rPr>
            <w:noProof/>
            <w:webHidden/>
          </w:rPr>
          <w:fldChar w:fldCharType="end"/>
        </w:r>
      </w:hyperlink>
    </w:p>
    <w:p w14:paraId="2AFDDC4D" w14:textId="19F85A2C"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1" w:history="1">
        <w:r w:rsidR="00F87C68" w:rsidRPr="000571CC">
          <w:rPr>
            <w:rStyle w:val="Hyperlink"/>
            <w:noProof/>
          </w:rPr>
          <w:t>Section 4 – Insulin infusion management in critical care areas (ICU/HDU/ED)</w:t>
        </w:r>
        <w:r w:rsidR="00F87C68">
          <w:rPr>
            <w:noProof/>
            <w:webHidden/>
          </w:rPr>
          <w:tab/>
        </w:r>
        <w:r w:rsidR="00F87C68">
          <w:rPr>
            <w:noProof/>
            <w:webHidden/>
          </w:rPr>
          <w:fldChar w:fldCharType="begin"/>
        </w:r>
        <w:r w:rsidR="00F87C68">
          <w:rPr>
            <w:noProof/>
            <w:webHidden/>
          </w:rPr>
          <w:instrText xml:space="preserve"> PAGEREF _Toc161406381 \h </w:instrText>
        </w:r>
        <w:r w:rsidR="00F87C68">
          <w:rPr>
            <w:noProof/>
            <w:webHidden/>
          </w:rPr>
        </w:r>
        <w:r w:rsidR="00F87C68">
          <w:rPr>
            <w:noProof/>
            <w:webHidden/>
          </w:rPr>
          <w:fldChar w:fldCharType="separate"/>
        </w:r>
        <w:r w:rsidR="00F87C68">
          <w:rPr>
            <w:noProof/>
            <w:webHidden/>
          </w:rPr>
          <w:t>8</w:t>
        </w:r>
        <w:r w:rsidR="00F87C68">
          <w:rPr>
            <w:noProof/>
            <w:webHidden/>
          </w:rPr>
          <w:fldChar w:fldCharType="end"/>
        </w:r>
      </w:hyperlink>
    </w:p>
    <w:p w14:paraId="67F9441F" w14:textId="200AE20E"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2" w:history="1">
        <w:r w:rsidR="00F87C68" w:rsidRPr="000571CC">
          <w:rPr>
            <w:rStyle w:val="Hyperlink"/>
            <w:noProof/>
          </w:rPr>
          <w:t>Section 5 –  Sending ICU/HDU/ED Patient to the Ward on an Insulin Infusion</w:t>
        </w:r>
        <w:r w:rsidR="00F87C68">
          <w:rPr>
            <w:noProof/>
            <w:webHidden/>
          </w:rPr>
          <w:tab/>
        </w:r>
        <w:r w:rsidR="00F87C68">
          <w:rPr>
            <w:noProof/>
            <w:webHidden/>
          </w:rPr>
          <w:fldChar w:fldCharType="begin"/>
        </w:r>
        <w:r w:rsidR="00F87C68">
          <w:rPr>
            <w:noProof/>
            <w:webHidden/>
          </w:rPr>
          <w:instrText xml:space="preserve"> PAGEREF _Toc161406382 \h </w:instrText>
        </w:r>
        <w:r w:rsidR="00F87C68">
          <w:rPr>
            <w:noProof/>
            <w:webHidden/>
          </w:rPr>
        </w:r>
        <w:r w:rsidR="00F87C68">
          <w:rPr>
            <w:noProof/>
            <w:webHidden/>
          </w:rPr>
          <w:fldChar w:fldCharType="separate"/>
        </w:r>
        <w:r w:rsidR="00F87C68">
          <w:rPr>
            <w:noProof/>
            <w:webHidden/>
          </w:rPr>
          <w:t>12</w:t>
        </w:r>
        <w:r w:rsidR="00F87C68">
          <w:rPr>
            <w:noProof/>
            <w:webHidden/>
          </w:rPr>
          <w:fldChar w:fldCharType="end"/>
        </w:r>
      </w:hyperlink>
    </w:p>
    <w:p w14:paraId="60B74468" w14:textId="78A09A8E"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3" w:history="1">
        <w:r w:rsidR="00F87C68" w:rsidRPr="000571CC">
          <w:rPr>
            <w:rStyle w:val="Hyperlink"/>
            <w:noProof/>
          </w:rPr>
          <w:t>Section 6 – Insulin Infusion Algorithms</w:t>
        </w:r>
        <w:r w:rsidR="00F87C68">
          <w:rPr>
            <w:noProof/>
            <w:webHidden/>
          </w:rPr>
          <w:tab/>
        </w:r>
        <w:r w:rsidR="00F87C68">
          <w:rPr>
            <w:noProof/>
            <w:webHidden/>
          </w:rPr>
          <w:fldChar w:fldCharType="begin"/>
        </w:r>
        <w:r w:rsidR="00F87C68">
          <w:rPr>
            <w:noProof/>
            <w:webHidden/>
          </w:rPr>
          <w:instrText xml:space="preserve"> PAGEREF _Toc161406383 \h </w:instrText>
        </w:r>
        <w:r w:rsidR="00F87C68">
          <w:rPr>
            <w:noProof/>
            <w:webHidden/>
          </w:rPr>
        </w:r>
        <w:r w:rsidR="00F87C68">
          <w:rPr>
            <w:noProof/>
            <w:webHidden/>
          </w:rPr>
          <w:fldChar w:fldCharType="separate"/>
        </w:r>
        <w:r w:rsidR="00F87C68">
          <w:rPr>
            <w:noProof/>
            <w:webHidden/>
          </w:rPr>
          <w:t>12</w:t>
        </w:r>
        <w:r w:rsidR="00F87C68">
          <w:rPr>
            <w:noProof/>
            <w:webHidden/>
          </w:rPr>
          <w:fldChar w:fldCharType="end"/>
        </w:r>
      </w:hyperlink>
    </w:p>
    <w:p w14:paraId="71C8403D" w14:textId="6F810A55"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4" w:history="1">
        <w:r w:rsidR="00F87C68" w:rsidRPr="000571CC">
          <w:rPr>
            <w:rStyle w:val="Hyperlink"/>
            <w:noProof/>
          </w:rPr>
          <w:t>Section 7 – Troubleshooting with Insulin Infusions</w:t>
        </w:r>
        <w:r w:rsidR="00F87C68">
          <w:rPr>
            <w:noProof/>
            <w:webHidden/>
          </w:rPr>
          <w:tab/>
        </w:r>
        <w:r w:rsidR="00F87C68">
          <w:rPr>
            <w:noProof/>
            <w:webHidden/>
          </w:rPr>
          <w:fldChar w:fldCharType="begin"/>
        </w:r>
        <w:r w:rsidR="00F87C68">
          <w:rPr>
            <w:noProof/>
            <w:webHidden/>
          </w:rPr>
          <w:instrText xml:space="preserve"> PAGEREF _Toc161406384 \h </w:instrText>
        </w:r>
        <w:r w:rsidR="00F87C68">
          <w:rPr>
            <w:noProof/>
            <w:webHidden/>
          </w:rPr>
        </w:r>
        <w:r w:rsidR="00F87C68">
          <w:rPr>
            <w:noProof/>
            <w:webHidden/>
          </w:rPr>
          <w:fldChar w:fldCharType="separate"/>
        </w:r>
        <w:r w:rsidR="00F87C68">
          <w:rPr>
            <w:noProof/>
            <w:webHidden/>
          </w:rPr>
          <w:t>13</w:t>
        </w:r>
        <w:r w:rsidR="00F87C68">
          <w:rPr>
            <w:noProof/>
            <w:webHidden/>
          </w:rPr>
          <w:fldChar w:fldCharType="end"/>
        </w:r>
      </w:hyperlink>
    </w:p>
    <w:p w14:paraId="2A556B08" w14:textId="254C9C35"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5" w:history="1">
        <w:r w:rsidR="00F87C68" w:rsidRPr="000571CC">
          <w:rPr>
            <w:rStyle w:val="Hyperlink"/>
            <w:noProof/>
          </w:rPr>
          <w:t>Related Policies, Procedures, Guidelines and Legislation</w:t>
        </w:r>
        <w:r w:rsidR="00F87C68">
          <w:rPr>
            <w:noProof/>
            <w:webHidden/>
          </w:rPr>
          <w:tab/>
        </w:r>
        <w:r w:rsidR="00F87C68">
          <w:rPr>
            <w:noProof/>
            <w:webHidden/>
          </w:rPr>
          <w:fldChar w:fldCharType="begin"/>
        </w:r>
        <w:r w:rsidR="00F87C68">
          <w:rPr>
            <w:noProof/>
            <w:webHidden/>
          </w:rPr>
          <w:instrText xml:space="preserve"> PAGEREF _Toc161406385 \h </w:instrText>
        </w:r>
        <w:r w:rsidR="00F87C68">
          <w:rPr>
            <w:noProof/>
            <w:webHidden/>
          </w:rPr>
        </w:r>
        <w:r w:rsidR="00F87C68">
          <w:rPr>
            <w:noProof/>
            <w:webHidden/>
          </w:rPr>
          <w:fldChar w:fldCharType="separate"/>
        </w:r>
        <w:r w:rsidR="00F87C68">
          <w:rPr>
            <w:noProof/>
            <w:webHidden/>
          </w:rPr>
          <w:t>15</w:t>
        </w:r>
        <w:r w:rsidR="00F87C68">
          <w:rPr>
            <w:noProof/>
            <w:webHidden/>
          </w:rPr>
          <w:fldChar w:fldCharType="end"/>
        </w:r>
      </w:hyperlink>
    </w:p>
    <w:p w14:paraId="29F7E9F3" w14:textId="2B0C4483"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6" w:history="1">
        <w:r w:rsidR="00F87C68" w:rsidRPr="000571CC">
          <w:rPr>
            <w:rStyle w:val="Hyperlink"/>
            <w:noProof/>
          </w:rPr>
          <w:t>References</w:t>
        </w:r>
        <w:r w:rsidR="00F87C68">
          <w:rPr>
            <w:noProof/>
            <w:webHidden/>
          </w:rPr>
          <w:tab/>
        </w:r>
        <w:r w:rsidR="00F87C68">
          <w:rPr>
            <w:noProof/>
            <w:webHidden/>
          </w:rPr>
          <w:fldChar w:fldCharType="begin"/>
        </w:r>
        <w:r w:rsidR="00F87C68">
          <w:rPr>
            <w:noProof/>
            <w:webHidden/>
          </w:rPr>
          <w:instrText xml:space="preserve"> PAGEREF _Toc161406386 \h </w:instrText>
        </w:r>
        <w:r w:rsidR="00F87C68">
          <w:rPr>
            <w:noProof/>
            <w:webHidden/>
          </w:rPr>
        </w:r>
        <w:r w:rsidR="00F87C68">
          <w:rPr>
            <w:noProof/>
            <w:webHidden/>
          </w:rPr>
          <w:fldChar w:fldCharType="separate"/>
        </w:r>
        <w:r w:rsidR="00F87C68">
          <w:rPr>
            <w:noProof/>
            <w:webHidden/>
          </w:rPr>
          <w:t>16</w:t>
        </w:r>
        <w:r w:rsidR="00F87C68">
          <w:rPr>
            <w:noProof/>
            <w:webHidden/>
          </w:rPr>
          <w:fldChar w:fldCharType="end"/>
        </w:r>
      </w:hyperlink>
    </w:p>
    <w:p w14:paraId="26D6D32A" w14:textId="21C44042"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7" w:history="1">
        <w:r w:rsidR="00F87C68" w:rsidRPr="000571CC">
          <w:rPr>
            <w:rStyle w:val="Hyperlink"/>
            <w:noProof/>
          </w:rPr>
          <w:t>Definition of Terms</w:t>
        </w:r>
        <w:r w:rsidR="00F87C68">
          <w:rPr>
            <w:noProof/>
            <w:webHidden/>
          </w:rPr>
          <w:tab/>
        </w:r>
        <w:r w:rsidR="00F87C68">
          <w:rPr>
            <w:noProof/>
            <w:webHidden/>
          </w:rPr>
          <w:fldChar w:fldCharType="begin"/>
        </w:r>
        <w:r w:rsidR="00F87C68">
          <w:rPr>
            <w:noProof/>
            <w:webHidden/>
          </w:rPr>
          <w:instrText xml:space="preserve"> PAGEREF _Toc161406387 \h </w:instrText>
        </w:r>
        <w:r w:rsidR="00F87C68">
          <w:rPr>
            <w:noProof/>
            <w:webHidden/>
          </w:rPr>
        </w:r>
        <w:r w:rsidR="00F87C68">
          <w:rPr>
            <w:noProof/>
            <w:webHidden/>
          </w:rPr>
          <w:fldChar w:fldCharType="separate"/>
        </w:r>
        <w:r w:rsidR="00F87C68">
          <w:rPr>
            <w:noProof/>
            <w:webHidden/>
          </w:rPr>
          <w:t>16</w:t>
        </w:r>
        <w:r w:rsidR="00F87C68">
          <w:rPr>
            <w:noProof/>
            <w:webHidden/>
          </w:rPr>
          <w:fldChar w:fldCharType="end"/>
        </w:r>
      </w:hyperlink>
    </w:p>
    <w:p w14:paraId="1A6FBB77" w14:textId="195145FD" w:rsidR="00F87C68" w:rsidRDefault="00131C38">
      <w:pPr>
        <w:pStyle w:val="TOC1"/>
        <w:tabs>
          <w:tab w:val="right" w:leader="dot" w:pos="9060"/>
        </w:tabs>
        <w:rPr>
          <w:rFonts w:eastAsiaTheme="minorEastAsia" w:cstheme="minorBidi"/>
          <w:noProof/>
          <w:kern w:val="2"/>
          <w:sz w:val="22"/>
          <w:szCs w:val="22"/>
          <w:lang w:eastAsia="en-AU"/>
          <w14:ligatures w14:val="standardContextual"/>
        </w:rPr>
      </w:pPr>
      <w:hyperlink w:anchor="_Toc161406388" w:history="1">
        <w:r w:rsidR="00F87C68" w:rsidRPr="000571CC">
          <w:rPr>
            <w:rStyle w:val="Hyperlink"/>
            <w:noProof/>
          </w:rPr>
          <w:t>Search Terms</w:t>
        </w:r>
        <w:r w:rsidR="00F87C68">
          <w:rPr>
            <w:noProof/>
            <w:webHidden/>
          </w:rPr>
          <w:tab/>
        </w:r>
        <w:r w:rsidR="00F87C68">
          <w:rPr>
            <w:noProof/>
            <w:webHidden/>
          </w:rPr>
          <w:fldChar w:fldCharType="begin"/>
        </w:r>
        <w:r w:rsidR="00F87C68">
          <w:rPr>
            <w:noProof/>
            <w:webHidden/>
          </w:rPr>
          <w:instrText xml:space="preserve"> PAGEREF _Toc161406388 \h </w:instrText>
        </w:r>
        <w:r w:rsidR="00F87C68">
          <w:rPr>
            <w:noProof/>
            <w:webHidden/>
          </w:rPr>
        </w:r>
        <w:r w:rsidR="00F87C68">
          <w:rPr>
            <w:noProof/>
            <w:webHidden/>
          </w:rPr>
          <w:fldChar w:fldCharType="separate"/>
        </w:r>
        <w:r w:rsidR="00F87C68">
          <w:rPr>
            <w:noProof/>
            <w:webHidden/>
          </w:rPr>
          <w:t>17</w:t>
        </w:r>
        <w:r w:rsidR="00F87C68">
          <w:rPr>
            <w:noProof/>
            <w:webHidden/>
          </w:rPr>
          <w:fldChar w:fldCharType="end"/>
        </w:r>
      </w:hyperlink>
    </w:p>
    <w:p w14:paraId="2F51A861" w14:textId="4B778977"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1406375"/>
            <w:r w:rsidRPr="00CD1C0E">
              <w:t>Purpose</w:t>
            </w:r>
            <w:bookmarkEnd w:id="8"/>
            <w:bookmarkEnd w:id="9"/>
          </w:p>
        </w:tc>
      </w:tr>
    </w:tbl>
    <w:p w14:paraId="2F51A866" w14:textId="77777777" w:rsidR="00931B93" w:rsidRDefault="00931B93" w:rsidP="00931B93">
      <w:pPr>
        <w:rPr>
          <w:rFonts w:cs="Arial"/>
          <w:i/>
          <w:szCs w:val="24"/>
        </w:rPr>
      </w:pPr>
    </w:p>
    <w:p w14:paraId="2F51A86E" w14:textId="3BD2610A" w:rsidR="00420F9E" w:rsidRPr="003434A9" w:rsidRDefault="00BF078E" w:rsidP="003434A9">
      <w:pPr>
        <w:rPr>
          <w:rFonts w:cs="Arial"/>
          <w:iCs/>
          <w:szCs w:val="24"/>
        </w:rPr>
      </w:pPr>
      <w:r w:rsidRPr="003434A9">
        <w:rPr>
          <w:iCs/>
        </w:rPr>
        <w:t xml:space="preserve">The purpose of this procedure is </w:t>
      </w:r>
      <w:r w:rsidR="003434A9" w:rsidRPr="003434A9">
        <w:rPr>
          <w:iCs/>
        </w:rPr>
        <w:t xml:space="preserve">to </w:t>
      </w:r>
      <w:r w:rsidRPr="003434A9">
        <w:rPr>
          <w:iCs/>
        </w:rPr>
        <w:t>provide</w:t>
      </w:r>
      <w:r w:rsidR="009270D5">
        <w:rPr>
          <w:iCs/>
        </w:rPr>
        <w:t xml:space="preserve"> North Canberra Hospital (NCH)</w:t>
      </w:r>
      <w:r w:rsidRPr="003434A9">
        <w:rPr>
          <w:iCs/>
        </w:rPr>
        <w:t xml:space="preserve"> clinicians with information on the safe and effective </w:t>
      </w:r>
      <w:r w:rsidR="003434A9" w:rsidRPr="003434A9">
        <w:rPr>
          <w:iCs/>
        </w:rPr>
        <w:t>management of patients receiving an insulin infusion.</w:t>
      </w:r>
      <w:r w:rsidR="00420F9E" w:rsidRPr="003434A9">
        <w:rPr>
          <w:rFonts w:cs="Arial"/>
          <w:iCs/>
          <w:szCs w:val="24"/>
        </w:rPr>
        <w:t xml:space="preserve"> </w:t>
      </w:r>
    </w:p>
    <w:p w14:paraId="2F51A86F" w14:textId="77777777" w:rsidR="007B6904" w:rsidRDefault="007B6904" w:rsidP="00931B93">
      <w:pPr>
        <w:rPr>
          <w:rFonts w:cs="Arial"/>
          <w:szCs w:val="24"/>
        </w:rPr>
      </w:pPr>
    </w:p>
    <w:p w14:paraId="2F51A870" w14:textId="77777777" w:rsidR="009E70F4" w:rsidRPr="00CD1C0E" w:rsidRDefault="00131C38"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AA03B6">
        <w:trPr>
          <w:cantSplit/>
          <w:trHeight w:val="285"/>
        </w:trPr>
        <w:tc>
          <w:tcPr>
            <w:tcW w:w="9158" w:type="dxa"/>
            <w:shd w:val="clear" w:color="auto" w:fill="A6A6A6" w:themeFill="background1" w:themeFillShade="A6"/>
          </w:tcPr>
          <w:p w14:paraId="2F51A871" w14:textId="528FB3A0" w:rsidR="0074223E" w:rsidRPr="00CD1C0E" w:rsidRDefault="0074223E" w:rsidP="00AA03B6">
            <w:pPr>
              <w:pStyle w:val="Heading1"/>
            </w:pPr>
            <w:bookmarkStart w:id="10" w:name="_Toc389473276"/>
            <w:bookmarkStart w:id="11" w:name="_Toc161406376"/>
            <w:r>
              <w:t>Alerts</w:t>
            </w:r>
            <w:bookmarkEnd w:id="10"/>
            <w:bookmarkEnd w:id="11"/>
            <w:r w:rsidR="00AB50DD">
              <w:t xml:space="preserve"> </w:t>
            </w:r>
          </w:p>
        </w:tc>
      </w:tr>
    </w:tbl>
    <w:p w14:paraId="2F51A873" w14:textId="77777777" w:rsidR="007B6904" w:rsidRDefault="007B6904" w:rsidP="007B6904">
      <w:pPr>
        <w:rPr>
          <w:rFonts w:cs="Arial"/>
          <w:b/>
          <w:szCs w:val="24"/>
        </w:rPr>
      </w:pPr>
    </w:p>
    <w:p w14:paraId="2F51A877" w14:textId="05FCCF19" w:rsidR="00285D38" w:rsidRPr="00B91064" w:rsidRDefault="00B91064" w:rsidP="007B6904">
      <w:pPr>
        <w:rPr>
          <w:iCs/>
        </w:rPr>
      </w:pPr>
      <w:r w:rsidRPr="00B91064">
        <w:rPr>
          <w:rFonts w:cs="Calibri"/>
          <w:iCs/>
          <w:szCs w:val="24"/>
        </w:rPr>
        <w:t xml:space="preserve">This document is </w:t>
      </w:r>
      <w:r w:rsidR="008C5035" w:rsidRPr="00495408">
        <w:rPr>
          <w:rFonts w:cs="Calibri"/>
          <w:b/>
          <w:iCs/>
          <w:szCs w:val="24"/>
        </w:rPr>
        <w:t>NOT</w:t>
      </w:r>
      <w:r w:rsidR="008C5035">
        <w:rPr>
          <w:rFonts w:cs="Calibri"/>
          <w:iCs/>
          <w:szCs w:val="24"/>
        </w:rPr>
        <w:t xml:space="preserve"> </w:t>
      </w:r>
      <w:r w:rsidRPr="00B91064">
        <w:rPr>
          <w:rFonts w:cs="Calibri"/>
          <w:iCs/>
          <w:szCs w:val="24"/>
        </w:rPr>
        <w:t xml:space="preserve">to be used in the management of Diabetic Ketoacidosis (DKA). </w:t>
      </w:r>
      <w:r w:rsidR="001956E4">
        <w:rPr>
          <w:rFonts w:cs="Calibri"/>
          <w:iCs/>
          <w:szCs w:val="24"/>
        </w:rPr>
        <w:t>Refer to the DKA Management in adults procedure</w:t>
      </w:r>
      <w:r w:rsidR="001A0D4D">
        <w:rPr>
          <w:rFonts w:cs="Calibri"/>
          <w:iCs/>
          <w:szCs w:val="24"/>
        </w:rPr>
        <w:t xml:space="preserve"> for guidance on DKA management.</w:t>
      </w:r>
    </w:p>
    <w:p w14:paraId="2F51A878" w14:textId="77777777" w:rsidR="00DE4E25" w:rsidRDefault="00DE4E25" w:rsidP="007B6904">
      <w:pPr>
        <w:rPr>
          <w:rFonts w:cs="Arial"/>
          <w:b/>
          <w:szCs w:val="24"/>
        </w:rPr>
      </w:pPr>
    </w:p>
    <w:p w14:paraId="55D72B5B" w14:textId="5BEB7EEA" w:rsidR="000D1C9E" w:rsidRDefault="000D1C9E" w:rsidP="007B6904">
      <w:r>
        <w:t xml:space="preserve">For ICU/HDU/ED only: </w:t>
      </w:r>
      <w:r w:rsidRPr="5DE29503">
        <w:rPr>
          <w:b/>
          <w:bCs/>
        </w:rPr>
        <w:t>The patient must go the ward with the insulin infusion attached to a maintenance line</w:t>
      </w:r>
      <w:r>
        <w:t xml:space="preserve"> either Sodium Chloride 0.9% or </w:t>
      </w:r>
      <w:r w:rsidR="742DF1E4">
        <w:t>Glucose 5%</w:t>
      </w:r>
      <w:r>
        <w:t>.</w:t>
      </w:r>
    </w:p>
    <w:p w14:paraId="071E3C9C" w14:textId="77777777" w:rsidR="000D1C9E" w:rsidRDefault="000D1C9E" w:rsidP="007B6904">
      <w:pPr>
        <w:rPr>
          <w:rFonts w:cs="Arial"/>
          <w:b/>
          <w:szCs w:val="24"/>
        </w:rPr>
      </w:pPr>
    </w:p>
    <w:p w14:paraId="2F51A879" w14:textId="77777777" w:rsidR="009E70F4" w:rsidRPr="009121F9" w:rsidRDefault="00131C38"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61406377"/>
            <w:r w:rsidRPr="003D2D06">
              <w:t>Scope</w:t>
            </w:r>
            <w:bookmarkEnd w:id="12"/>
            <w:bookmarkEnd w:id="13"/>
          </w:p>
        </w:tc>
      </w:tr>
    </w:tbl>
    <w:p w14:paraId="2F51A881" w14:textId="77777777" w:rsidR="00BF078E" w:rsidRPr="00BF078E" w:rsidRDefault="00BF078E" w:rsidP="00BF078E">
      <w:pPr>
        <w:outlineLvl w:val="0"/>
        <w:rPr>
          <w:rFonts w:cs="Arial"/>
          <w:i/>
          <w:szCs w:val="24"/>
        </w:rPr>
      </w:pPr>
    </w:p>
    <w:p w14:paraId="2F51A882" w14:textId="6490D861" w:rsidR="00BF078E" w:rsidRPr="008E537B" w:rsidRDefault="00BF078E" w:rsidP="00BF078E">
      <w:pPr>
        <w:outlineLvl w:val="0"/>
        <w:rPr>
          <w:rFonts w:cs="Arial"/>
          <w:iCs/>
          <w:szCs w:val="24"/>
        </w:rPr>
      </w:pPr>
      <w:r w:rsidRPr="008E537B">
        <w:rPr>
          <w:rFonts w:cs="Arial"/>
          <w:iCs/>
          <w:szCs w:val="24"/>
        </w:rPr>
        <w:t>This document applies to</w:t>
      </w:r>
      <w:r w:rsidR="00366924" w:rsidRPr="008E537B">
        <w:rPr>
          <w:rFonts w:cs="Arial"/>
          <w:iCs/>
          <w:szCs w:val="24"/>
        </w:rPr>
        <w:t xml:space="preserve"> the following </w:t>
      </w:r>
      <w:r w:rsidR="003434A9" w:rsidRPr="008E537B">
        <w:rPr>
          <w:rFonts w:cs="Arial"/>
          <w:iCs/>
          <w:szCs w:val="24"/>
        </w:rPr>
        <w:t>employees</w:t>
      </w:r>
      <w:r w:rsidR="00366924" w:rsidRPr="008E537B">
        <w:rPr>
          <w:rFonts w:cs="Arial"/>
          <w:iCs/>
          <w:szCs w:val="24"/>
        </w:rPr>
        <w:t xml:space="preserve"> working within their scope of practice</w:t>
      </w:r>
      <w:r w:rsidR="003434A9" w:rsidRPr="008E537B">
        <w:rPr>
          <w:rFonts w:cs="Arial"/>
          <w:iCs/>
          <w:szCs w:val="24"/>
        </w:rPr>
        <w:t xml:space="preserve"> at NCH</w:t>
      </w:r>
      <w:r w:rsidRPr="008E537B">
        <w:rPr>
          <w:rFonts w:cs="Arial"/>
          <w:iCs/>
          <w:szCs w:val="24"/>
        </w:rPr>
        <w:t>:</w:t>
      </w:r>
    </w:p>
    <w:p w14:paraId="2F51A883" w14:textId="77777777" w:rsidR="00BF078E" w:rsidRPr="00626241" w:rsidRDefault="00BF078E" w:rsidP="00626241">
      <w:pPr>
        <w:numPr>
          <w:ilvl w:val="0"/>
          <w:numId w:val="2"/>
        </w:numPr>
        <w:ind w:left="360"/>
        <w:rPr>
          <w:rFonts w:cs="Arial"/>
        </w:rPr>
      </w:pPr>
      <w:r w:rsidRPr="00626241">
        <w:rPr>
          <w:rFonts w:cs="Arial"/>
        </w:rPr>
        <w:t>Medical Officers</w:t>
      </w:r>
    </w:p>
    <w:p w14:paraId="2F51A884" w14:textId="22125D32" w:rsidR="00BF078E" w:rsidRPr="00626241" w:rsidRDefault="00BF078E" w:rsidP="00626241">
      <w:pPr>
        <w:numPr>
          <w:ilvl w:val="0"/>
          <w:numId w:val="2"/>
        </w:numPr>
        <w:ind w:left="360"/>
        <w:rPr>
          <w:rFonts w:cs="Arial"/>
        </w:rPr>
      </w:pPr>
      <w:r w:rsidRPr="00626241">
        <w:rPr>
          <w:rFonts w:cs="Arial"/>
        </w:rPr>
        <w:t xml:space="preserve">Nurses and Midwives  </w:t>
      </w:r>
    </w:p>
    <w:p w14:paraId="15C9B49A" w14:textId="0EE87A8D" w:rsidR="003434A9" w:rsidRPr="00626241" w:rsidRDefault="003434A9" w:rsidP="00626241">
      <w:pPr>
        <w:numPr>
          <w:ilvl w:val="0"/>
          <w:numId w:val="2"/>
        </w:numPr>
        <w:ind w:left="360"/>
        <w:rPr>
          <w:rFonts w:cs="Arial"/>
        </w:rPr>
      </w:pPr>
      <w:r w:rsidRPr="00626241">
        <w:rPr>
          <w:rFonts w:cs="Arial"/>
        </w:rPr>
        <w:t>Intensive Care Unit (ICU)</w:t>
      </w:r>
      <w:r w:rsidR="005D310E">
        <w:rPr>
          <w:rFonts w:cs="Arial"/>
        </w:rPr>
        <w:t xml:space="preserve"> staff</w:t>
      </w:r>
    </w:p>
    <w:p w14:paraId="11EFC18C" w14:textId="22B7A246" w:rsidR="003434A9" w:rsidRPr="00626241" w:rsidRDefault="003434A9" w:rsidP="00626241">
      <w:pPr>
        <w:numPr>
          <w:ilvl w:val="0"/>
          <w:numId w:val="2"/>
        </w:numPr>
        <w:ind w:left="360"/>
        <w:rPr>
          <w:rFonts w:cs="Arial"/>
        </w:rPr>
      </w:pPr>
      <w:r w:rsidRPr="00626241">
        <w:rPr>
          <w:rFonts w:cs="Arial"/>
        </w:rPr>
        <w:t>High Dependency Unit (HDU)</w:t>
      </w:r>
      <w:r w:rsidR="005D310E">
        <w:rPr>
          <w:rFonts w:cs="Arial"/>
        </w:rPr>
        <w:t xml:space="preserve"> staff</w:t>
      </w:r>
    </w:p>
    <w:p w14:paraId="1C393C80" w14:textId="596836DC" w:rsidR="003434A9" w:rsidRPr="00626241" w:rsidRDefault="003434A9" w:rsidP="00626241">
      <w:pPr>
        <w:numPr>
          <w:ilvl w:val="0"/>
          <w:numId w:val="2"/>
        </w:numPr>
        <w:ind w:left="360"/>
        <w:rPr>
          <w:rFonts w:cs="Arial"/>
        </w:rPr>
      </w:pPr>
      <w:r w:rsidRPr="00626241">
        <w:rPr>
          <w:rFonts w:cs="Arial"/>
        </w:rPr>
        <w:t>Emergency Department (ED)</w:t>
      </w:r>
      <w:r w:rsidR="005D310E">
        <w:rPr>
          <w:rFonts w:cs="Arial"/>
        </w:rPr>
        <w:t xml:space="preserve"> staff.</w:t>
      </w:r>
    </w:p>
    <w:p w14:paraId="2F51A886" w14:textId="77777777" w:rsidR="001F2A9B" w:rsidRDefault="001F2A9B" w:rsidP="00F14EC1"/>
    <w:p w14:paraId="2F51A887" w14:textId="77777777" w:rsidR="007B6904" w:rsidRPr="00CD1C0E" w:rsidRDefault="00131C38"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31FF44C3" w:rsidR="007B6904" w:rsidRPr="00C76688" w:rsidRDefault="007B6904" w:rsidP="00931B93">
            <w:pPr>
              <w:pStyle w:val="Heading1"/>
            </w:pPr>
            <w:bookmarkStart w:id="14" w:name="_Toc389473278"/>
            <w:bookmarkStart w:id="15" w:name="_Toc161406378"/>
            <w:r w:rsidRPr="00C76688">
              <w:t>Section 1 –</w:t>
            </w:r>
            <w:r>
              <w:t xml:space="preserve"> </w:t>
            </w:r>
            <w:bookmarkEnd w:id="14"/>
            <w:r w:rsidR="008E537B">
              <w:t>Equipment</w:t>
            </w:r>
            <w:bookmarkEnd w:id="15"/>
          </w:p>
        </w:tc>
      </w:tr>
    </w:tbl>
    <w:p w14:paraId="2F51A88A" w14:textId="77777777" w:rsidR="007B6904" w:rsidRDefault="007B6904" w:rsidP="007B6904">
      <w:pPr>
        <w:outlineLvl w:val="0"/>
        <w:rPr>
          <w:szCs w:val="24"/>
        </w:rPr>
      </w:pPr>
    </w:p>
    <w:p w14:paraId="31750344" w14:textId="77777777" w:rsidR="008E537B" w:rsidRDefault="00931B93" w:rsidP="008E537B">
      <w:pPr>
        <w:rPr>
          <w:b/>
        </w:rPr>
      </w:pPr>
      <w:r w:rsidRPr="001F2A9B">
        <w:rPr>
          <w:b/>
        </w:rPr>
        <w:t xml:space="preserve">Equipment </w:t>
      </w:r>
    </w:p>
    <w:p w14:paraId="5E8C2064" w14:textId="556226BD" w:rsidR="008E537B" w:rsidRPr="00626241" w:rsidRDefault="008E537B" w:rsidP="00626241">
      <w:pPr>
        <w:numPr>
          <w:ilvl w:val="0"/>
          <w:numId w:val="2"/>
        </w:numPr>
        <w:ind w:left="360"/>
        <w:rPr>
          <w:rFonts w:cs="Arial"/>
        </w:rPr>
      </w:pPr>
      <w:r w:rsidRPr="00626241">
        <w:rPr>
          <w:rFonts w:cs="Arial"/>
        </w:rPr>
        <w:t>Intravenous fluid (IV) – Sodium Chloride 0.9% 100mL</w:t>
      </w:r>
    </w:p>
    <w:p w14:paraId="40C37EEF" w14:textId="77777777" w:rsidR="008E537B" w:rsidRPr="00626241" w:rsidRDefault="008E537B" w:rsidP="00626241">
      <w:pPr>
        <w:numPr>
          <w:ilvl w:val="0"/>
          <w:numId w:val="2"/>
        </w:numPr>
        <w:ind w:left="360"/>
        <w:rPr>
          <w:rFonts w:cs="Arial"/>
        </w:rPr>
      </w:pPr>
      <w:r w:rsidRPr="00626241">
        <w:rPr>
          <w:rFonts w:cs="Arial"/>
        </w:rPr>
        <w:t xml:space="preserve">100 units of neutral (soluble) insulin e.g. </w:t>
      </w:r>
      <w:proofErr w:type="spellStart"/>
      <w:r w:rsidRPr="00626241">
        <w:rPr>
          <w:rFonts w:cs="Arial"/>
        </w:rPr>
        <w:t>Actrapid</w:t>
      </w:r>
      <w:proofErr w:type="spellEnd"/>
      <w:r w:rsidRPr="00626241">
        <w:rPr>
          <w:rFonts w:cs="Arial"/>
        </w:rPr>
        <w:t xml:space="preserve"> Insulin </w:t>
      </w:r>
      <w:proofErr w:type="gramStart"/>
      <w:r w:rsidRPr="00626241">
        <w:rPr>
          <w:rFonts w:cs="Arial"/>
        </w:rPr>
        <w:t>( stored</w:t>
      </w:r>
      <w:proofErr w:type="gramEnd"/>
      <w:r w:rsidRPr="00626241">
        <w:rPr>
          <w:rFonts w:cs="Arial"/>
        </w:rPr>
        <w:t xml:space="preserve"> in ward fridge) </w:t>
      </w:r>
    </w:p>
    <w:p w14:paraId="26E9722A" w14:textId="7470BE55" w:rsidR="008E537B" w:rsidRPr="00626241" w:rsidRDefault="008E537B" w:rsidP="00626241">
      <w:pPr>
        <w:numPr>
          <w:ilvl w:val="0"/>
          <w:numId w:val="2"/>
        </w:numPr>
        <w:ind w:left="360"/>
        <w:rPr>
          <w:rFonts w:cs="Arial"/>
        </w:rPr>
      </w:pPr>
      <w:r w:rsidRPr="00626241">
        <w:rPr>
          <w:rFonts w:cs="Arial"/>
        </w:rPr>
        <w:t>2 Infusion pump</w:t>
      </w:r>
      <w:r w:rsidR="001956E4">
        <w:rPr>
          <w:rFonts w:cs="Arial"/>
        </w:rPr>
        <w:t>s with dose limiting software</w:t>
      </w:r>
    </w:p>
    <w:p w14:paraId="64CD78D7" w14:textId="77777777" w:rsidR="008E537B" w:rsidRPr="00626241" w:rsidRDefault="008E537B" w:rsidP="00626241">
      <w:pPr>
        <w:numPr>
          <w:ilvl w:val="0"/>
          <w:numId w:val="2"/>
        </w:numPr>
        <w:ind w:left="360"/>
        <w:rPr>
          <w:rFonts w:cs="Arial"/>
        </w:rPr>
      </w:pPr>
      <w:r w:rsidRPr="00626241">
        <w:rPr>
          <w:rFonts w:cs="Arial"/>
        </w:rPr>
        <w:t>Patent IV cannula</w:t>
      </w:r>
    </w:p>
    <w:p w14:paraId="39A1CA2A" w14:textId="77777777" w:rsidR="008E537B" w:rsidRPr="00626241" w:rsidRDefault="008E537B" w:rsidP="00626241">
      <w:pPr>
        <w:numPr>
          <w:ilvl w:val="0"/>
          <w:numId w:val="2"/>
        </w:numPr>
        <w:ind w:left="360"/>
        <w:rPr>
          <w:rFonts w:cs="Arial"/>
        </w:rPr>
      </w:pPr>
      <w:r w:rsidRPr="00626241">
        <w:rPr>
          <w:rFonts w:cs="Arial"/>
        </w:rPr>
        <w:t>Low-Sorbing Infusion Set 2260-0006</w:t>
      </w:r>
    </w:p>
    <w:p w14:paraId="0ED582FB" w14:textId="77777777" w:rsidR="008E537B" w:rsidRPr="00626241" w:rsidRDefault="008E537B" w:rsidP="00626241">
      <w:pPr>
        <w:numPr>
          <w:ilvl w:val="0"/>
          <w:numId w:val="2"/>
        </w:numPr>
        <w:ind w:left="360"/>
        <w:rPr>
          <w:rFonts w:cs="Arial"/>
        </w:rPr>
      </w:pPr>
      <w:r w:rsidRPr="00626241">
        <w:rPr>
          <w:rFonts w:cs="Arial"/>
        </w:rPr>
        <w:t>Infusion Set 2420-0500</w:t>
      </w:r>
    </w:p>
    <w:p w14:paraId="300E82DE" w14:textId="77777777" w:rsidR="008E537B" w:rsidRPr="00626241" w:rsidRDefault="008E537B" w:rsidP="00626241">
      <w:pPr>
        <w:numPr>
          <w:ilvl w:val="0"/>
          <w:numId w:val="2"/>
        </w:numPr>
        <w:ind w:left="360"/>
        <w:rPr>
          <w:rFonts w:cs="Arial"/>
        </w:rPr>
      </w:pPr>
      <w:proofErr w:type="spellStart"/>
      <w:r w:rsidRPr="00626241">
        <w:rPr>
          <w:rFonts w:cs="Arial"/>
        </w:rPr>
        <w:t>SmartSite</w:t>
      </w:r>
      <w:proofErr w:type="spellEnd"/>
      <w:r w:rsidRPr="00626241">
        <w:rPr>
          <w:rFonts w:cs="Arial"/>
        </w:rPr>
        <w:t xml:space="preserve"> Extension Set 1.2mls 30842E</w:t>
      </w:r>
    </w:p>
    <w:p w14:paraId="37BF5484" w14:textId="77777777" w:rsidR="008E537B" w:rsidRPr="00626241" w:rsidRDefault="008E537B" w:rsidP="00626241">
      <w:pPr>
        <w:numPr>
          <w:ilvl w:val="0"/>
          <w:numId w:val="2"/>
        </w:numPr>
        <w:ind w:left="360"/>
        <w:rPr>
          <w:rFonts w:cs="Arial"/>
        </w:rPr>
      </w:pPr>
      <w:r w:rsidRPr="00626241">
        <w:rPr>
          <w:rFonts w:cs="Arial"/>
        </w:rPr>
        <w:t>Hospital capillary blood glucose/blood ketone meter</w:t>
      </w:r>
    </w:p>
    <w:p w14:paraId="011463D1" w14:textId="180D28F8" w:rsidR="008E537B" w:rsidRPr="00626241" w:rsidRDefault="007A7BA5" w:rsidP="007A7BA5">
      <w:pPr>
        <w:numPr>
          <w:ilvl w:val="0"/>
          <w:numId w:val="2"/>
        </w:numPr>
        <w:ind w:left="360"/>
        <w:rPr>
          <w:rFonts w:cs="Arial"/>
        </w:rPr>
      </w:pPr>
      <w:r>
        <w:rPr>
          <w:rFonts w:cs="Arial"/>
        </w:rPr>
        <w:t xml:space="preserve">Active insulin infusion and relevant fluid order in DHR using the ‘Adult Insulin Infusion (Non DKA Management) order set </w:t>
      </w:r>
    </w:p>
    <w:p w14:paraId="0646034C" w14:textId="77777777" w:rsidR="008E537B" w:rsidRPr="00626241" w:rsidRDefault="008E537B" w:rsidP="00626241">
      <w:pPr>
        <w:numPr>
          <w:ilvl w:val="0"/>
          <w:numId w:val="2"/>
        </w:numPr>
        <w:ind w:left="360"/>
        <w:rPr>
          <w:rFonts w:cs="Arial"/>
        </w:rPr>
      </w:pPr>
      <w:r w:rsidRPr="00626241">
        <w:rPr>
          <w:rFonts w:cs="Arial"/>
        </w:rPr>
        <w:lastRenderedPageBreak/>
        <w:t xml:space="preserve">Fluid Balance </w:t>
      </w:r>
    </w:p>
    <w:p w14:paraId="46F94131" w14:textId="77777777" w:rsidR="008E537B" w:rsidRPr="00626241" w:rsidRDefault="008E537B" w:rsidP="00626241">
      <w:pPr>
        <w:numPr>
          <w:ilvl w:val="0"/>
          <w:numId w:val="2"/>
        </w:numPr>
        <w:ind w:left="360"/>
        <w:rPr>
          <w:rFonts w:cs="Arial"/>
        </w:rPr>
      </w:pPr>
      <w:r w:rsidRPr="00626241">
        <w:rPr>
          <w:rFonts w:cs="Arial"/>
        </w:rPr>
        <w:t>Label to identify insulin infusion line.</w:t>
      </w:r>
    </w:p>
    <w:p w14:paraId="2F51A892" w14:textId="323678B9" w:rsidR="007B6904" w:rsidRDefault="007B6904" w:rsidP="007B6904">
      <w:pPr>
        <w:rPr>
          <w:rFonts w:cs="Arial"/>
          <w:i/>
          <w:szCs w:val="24"/>
        </w:rPr>
      </w:pPr>
    </w:p>
    <w:p w14:paraId="176F97B7" w14:textId="53D865FB" w:rsidR="005D310E" w:rsidRDefault="00131C38" w:rsidP="00DB7288">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D310E" w:rsidRPr="00CD1C0E" w14:paraId="6065EFF1" w14:textId="77777777" w:rsidTr="00AA03B6">
        <w:trPr>
          <w:cantSplit/>
          <w:trHeight w:val="285"/>
        </w:trPr>
        <w:tc>
          <w:tcPr>
            <w:tcW w:w="9158" w:type="dxa"/>
            <w:shd w:val="clear" w:color="auto" w:fill="A6A6A6" w:themeFill="background1" w:themeFillShade="A6"/>
          </w:tcPr>
          <w:p w14:paraId="2F1C012D" w14:textId="665A97EC" w:rsidR="005D310E" w:rsidRPr="003D2D06" w:rsidRDefault="005D310E" w:rsidP="00AA03B6">
            <w:pPr>
              <w:pStyle w:val="Heading1"/>
            </w:pPr>
            <w:bookmarkStart w:id="16" w:name="_Toc161406379"/>
            <w:r>
              <w:t>Section 2</w:t>
            </w:r>
            <w:r w:rsidRPr="003D2D06">
              <w:t xml:space="preserve"> – </w:t>
            </w:r>
            <w:r w:rsidRPr="00DE51F6">
              <w:t>Preparation and Prescription</w:t>
            </w:r>
            <w:bookmarkEnd w:id="16"/>
            <w:r>
              <w:t xml:space="preserve"> </w:t>
            </w:r>
          </w:p>
        </w:tc>
      </w:tr>
    </w:tbl>
    <w:p w14:paraId="41B2CD2A" w14:textId="33799528" w:rsidR="005D310E" w:rsidRDefault="005D310E" w:rsidP="005D310E">
      <w:pPr>
        <w:rPr>
          <w:rFonts w:cs="Arial"/>
          <w:i/>
          <w:szCs w:val="24"/>
        </w:rPr>
      </w:pPr>
    </w:p>
    <w:p w14:paraId="5A5BF1BA" w14:textId="291A520B" w:rsidR="007A7BA5" w:rsidRDefault="007A7BA5" w:rsidP="005D310E">
      <w:pPr>
        <w:rPr>
          <w:rFonts w:cs="Arial"/>
        </w:rPr>
      </w:pPr>
      <w:r>
        <w:rPr>
          <w:rFonts w:cs="Arial"/>
        </w:rPr>
        <w:t>Order in DHR using the ‘Adult Insulin Infusion (Non DKA Management)</w:t>
      </w:r>
      <w:r w:rsidR="007235F7">
        <w:rPr>
          <w:rFonts w:cs="Arial"/>
        </w:rPr>
        <w:t>’</w:t>
      </w:r>
      <w:r>
        <w:rPr>
          <w:rFonts w:cs="Arial"/>
        </w:rPr>
        <w:t xml:space="preserve"> order set</w:t>
      </w:r>
    </w:p>
    <w:p w14:paraId="1D2FC672" w14:textId="62EE2B0B" w:rsidR="007A7BA5" w:rsidRDefault="007A7BA5" w:rsidP="005D310E">
      <w:pPr>
        <w:rPr>
          <w:rFonts w:cs="Arial"/>
          <w:i/>
          <w:szCs w:val="24"/>
        </w:rPr>
      </w:pPr>
    </w:p>
    <w:tbl>
      <w:tblPr>
        <w:tblStyle w:val="TableGrid"/>
        <w:tblW w:w="0" w:type="auto"/>
        <w:tblLook w:val="04A0" w:firstRow="1" w:lastRow="0" w:firstColumn="1" w:lastColumn="0" w:noHBand="0" w:noVBand="1"/>
      </w:tblPr>
      <w:tblGrid>
        <w:gridCol w:w="4493"/>
        <w:gridCol w:w="4567"/>
      </w:tblGrid>
      <w:tr w:rsidR="005D310E" w14:paraId="473CE70E" w14:textId="77777777" w:rsidTr="00AA03B6">
        <w:tc>
          <w:tcPr>
            <w:tcW w:w="5040" w:type="dxa"/>
            <w:shd w:val="clear" w:color="auto" w:fill="F2F2F2" w:themeFill="background1" w:themeFillShade="F2"/>
            <w:vAlign w:val="center"/>
          </w:tcPr>
          <w:p w14:paraId="03758B38" w14:textId="77777777" w:rsidR="005D310E" w:rsidRPr="00E07F64" w:rsidRDefault="005D310E" w:rsidP="00AA03B6">
            <w:pPr>
              <w:jc w:val="center"/>
              <w:rPr>
                <w:b/>
              </w:rPr>
            </w:pPr>
            <w:r w:rsidRPr="00E07F64">
              <w:rPr>
                <w:b/>
              </w:rPr>
              <w:t>Insulin Infusion</w:t>
            </w:r>
          </w:p>
        </w:tc>
        <w:tc>
          <w:tcPr>
            <w:tcW w:w="5041" w:type="dxa"/>
            <w:shd w:val="clear" w:color="auto" w:fill="F2F2F2" w:themeFill="background1" w:themeFillShade="F2"/>
            <w:vAlign w:val="center"/>
          </w:tcPr>
          <w:p w14:paraId="4F6A9758" w14:textId="77777777" w:rsidR="005D310E" w:rsidRPr="00E07F64" w:rsidRDefault="005D310E" w:rsidP="00AA03B6">
            <w:pPr>
              <w:jc w:val="center"/>
              <w:rPr>
                <w:b/>
              </w:rPr>
            </w:pPr>
            <w:r w:rsidRPr="00E07F64">
              <w:rPr>
                <w:b/>
              </w:rPr>
              <w:t>Sideline Infusion</w:t>
            </w:r>
          </w:p>
        </w:tc>
      </w:tr>
      <w:tr w:rsidR="005D310E" w14:paraId="05D1FAA4" w14:textId="77777777" w:rsidTr="00AA03B6">
        <w:tc>
          <w:tcPr>
            <w:tcW w:w="5040" w:type="dxa"/>
          </w:tcPr>
          <w:p w14:paraId="0678E6FF" w14:textId="77777777" w:rsidR="005D310E" w:rsidRDefault="005D310E" w:rsidP="00AA03B6">
            <w:pPr>
              <w:pStyle w:val="ListParagraph"/>
              <w:numPr>
                <w:ilvl w:val="0"/>
                <w:numId w:val="7"/>
              </w:numPr>
              <w:autoSpaceDE w:val="0"/>
              <w:autoSpaceDN w:val="0"/>
              <w:adjustRightInd w:val="0"/>
              <w:spacing w:before="60" w:after="60"/>
              <w:contextualSpacing w:val="0"/>
              <w:jc w:val="both"/>
            </w:pPr>
            <w:proofErr w:type="spellStart"/>
            <w:r>
              <w:t>Actrapid</w:t>
            </w:r>
            <w:proofErr w:type="spellEnd"/>
            <w:r>
              <w:t xml:space="preserve"> (Neutral) Insulin 100units in Sodium Chloride 0.9% 100mL </w:t>
            </w:r>
          </w:p>
          <w:p w14:paraId="67426F1E" w14:textId="77777777" w:rsidR="005D310E" w:rsidRDefault="005D310E" w:rsidP="00AA03B6">
            <w:pPr>
              <w:pStyle w:val="ListParagraph"/>
              <w:numPr>
                <w:ilvl w:val="0"/>
                <w:numId w:val="7"/>
              </w:numPr>
              <w:autoSpaceDE w:val="0"/>
              <w:autoSpaceDN w:val="0"/>
              <w:adjustRightInd w:val="0"/>
              <w:spacing w:before="60" w:after="60"/>
              <w:contextualSpacing w:val="0"/>
              <w:jc w:val="both"/>
            </w:pPr>
            <w:r>
              <w:t>Add the 100units of insulin using an insulin syringe</w:t>
            </w:r>
          </w:p>
          <w:p w14:paraId="7AADD1B9" w14:textId="77777777" w:rsidR="005D310E" w:rsidRDefault="005D310E" w:rsidP="00AA03B6">
            <w:pPr>
              <w:pStyle w:val="ListParagraph"/>
              <w:numPr>
                <w:ilvl w:val="0"/>
                <w:numId w:val="7"/>
              </w:numPr>
              <w:autoSpaceDE w:val="0"/>
              <w:autoSpaceDN w:val="0"/>
              <w:adjustRightInd w:val="0"/>
              <w:spacing w:before="60" w:after="60"/>
              <w:contextualSpacing w:val="0"/>
              <w:jc w:val="both"/>
            </w:pPr>
            <w:r>
              <w:t>Final concentration is 1unit of Insulin per 1mL of solution</w:t>
            </w:r>
          </w:p>
        </w:tc>
        <w:tc>
          <w:tcPr>
            <w:tcW w:w="5041" w:type="dxa"/>
          </w:tcPr>
          <w:p w14:paraId="7953A1C3" w14:textId="77777777" w:rsidR="005D310E" w:rsidRDefault="005D310E" w:rsidP="00AA03B6">
            <w:pPr>
              <w:pStyle w:val="ListParagraph"/>
              <w:numPr>
                <w:ilvl w:val="0"/>
                <w:numId w:val="7"/>
              </w:numPr>
              <w:autoSpaceDE w:val="0"/>
              <w:autoSpaceDN w:val="0"/>
              <w:adjustRightInd w:val="0"/>
              <w:spacing w:before="60" w:after="60"/>
              <w:contextualSpacing w:val="0"/>
              <w:jc w:val="both"/>
            </w:pPr>
            <w:r>
              <w:t xml:space="preserve">If BGL </w:t>
            </w:r>
            <w:r w:rsidRPr="0089771A">
              <w:rPr>
                <w:u w:val="single"/>
              </w:rPr>
              <w:t>&gt;</w:t>
            </w:r>
            <w:r>
              <w:t xml:space="preserve"> </w:t>
            </w:r>
            <w:r w:rsidRPr="0089771A">
              <w:t>14mmol</w:t>
            </w:r>
            <w:r>
              <w:t xml:space="preserve"> run </w:t>
            </w:r>
            <w:proofErr w:type="gramStart"/>
            <w:r>
              <w:t>side line</w:t>
            </w:r>
            <w:proofErr w:type="gramEnd"/>
            <w:r>
              <w:t xml:space="preserve"> infusion using Crystalloid fluid at 125mL/hr</w:t>
            </w:r>
          </w:p>
          <w:p w14:paraId="1871A3EA" w14:textId="77777777" w:rsidR="005D310E" w:rsidRDefault="005D310E" w:rsidP="00AA03B6">
            <w:pPr>
              <w:pStyle w:val="ListParagraph"/>
              <w:numPr>
                <w:ilvl w:val="1"/>
                <w:numId w:val="7"/>
              </w:numPr>
              <w:autoSpaceDE w:val="0"/>
              <w:autoSpaceDN w:val="0"/>
              <w:adjustRightInd w:val="0"/>
              <w:spacing w:before="60" w:after="60"/>
              <w:contextualSpacing w:val="0"/>
              <w:jc w:val="both"/>
            </w:pPr>
            <w:r>
              <w:t xml:space="preserve">Sodium Chloride 0.9% </w:t>
            </w:r>
          </w:p>
          <w:p w14:paraId="5AA9F50A" w14:textId="77777777" w:rsidR="005D310E" w:rsidRDefault="005D310E" w:rsidP="00AA03B6">
            <w:pPr>
              <w:pStyle w:val="ListParagraph"/>
              <w:numPr>
                <w:ilvl w:val="1"/>
                <w:numId w:val="7"/>
              </w:numPr>
              <w:autoSpaceDE w:val="0"/>
              <w:autoSpaceDN w:val="0"/>
              <w:adjustRightInd w:val="0"/>
              <w:spacing w:before="60" w:after="60"/>
              <w:contextualSpacing w:val="0"/>
              <w:jc w:val="both"/>
            </w:pPr>
            <w:proofErr w:type="spellStart"/>
            <w:r>
              <w:t>Plasmalyte</w:t>
            </w:r>
            <w:proofErr w:type="spellEnd"/>
            <w:r>
              <w:t xml:space="preserve"> 148</w:t>
            </w:r>
          </w:p>
          <w:p w14:paraId="452A60D7" w14:textId="77777777" w:rsidR="005D310E" w:rsidRDefault="005D310E" w:rsidP="00AA03B6">
            <w:pPr>
              <w:pStyle w:val="ListParagraph"/>
              <w:numPr>
                <w:ilvl w:val="0"/>
                <w:numId w:val="7"/>
              </w:numPr>
              <w:autoSpaceDE w:val="0"/>
              <w:autoSpaceDN w:val="0"/>
              <w:adjustRightInd w:val="0"/>
              <w:spacing w:before="60" w:after="60"/>
              <w:contextualSpacing w:val="0"/>
              <w:jc w:val="both"/>
            </w:pPr>
            <w:r>
              <w:t>If BGL &lt; 14mmol run sideline infusion of Glucose 5% at 125mL/hr</w:t>
            </w:r>
          </w:p>
        </w:tc>
      </w:tr>
    </w:tbl>
    <w:p w14:paraId="55DCECA7" w14:textId="730BD6D2" w:rsidR="005D310E" w:rsidRDefault="005D310E" w:rsidP="007B6904">
      <w:pPr>
        <w:jc w:val="right"/>
        <w:rPr>
          <w:rFonts w:cs="Arial"/>
          <w:i/>
          <w:szCs w:val="24"/>
        </w:rPr>
      </w:pPr>
    </w:p>
    <w:p w14:paraId="3928FF96" w14:textId="206A43D1" w:rsidR="008C5035" w:rsidRDefault="008C5035" w:rsidP="008C5035">
      <w:pPr>
        <w:rPr>
          <w:rFonts w:cs="Arial"/>
        </w:rPr>
      </w:pPr>
      <w:r>
        <w:rPr>
          <w:rFonts w:cs="Arial"/>
        </w:rPr>
        <w:t>The insulin infusion rate can be prescribed using either</w:t>
      </w:r>
      <w:r w:rsidR="00F87C68">
        <w:rPr>
          <w:rFonts w:cs="Arial"/>
        </w:rPr>
        <w:t>:</w:t>
      </w:r>
    </w:p>
    <w:p w14:paraId="74E1EA71" w14:textId="77777777" w:rsidR="008C5035" w:rsidRDefault="008C5035" w:rsidP="008C5035">
      <w:pPr>
        <w:pStyle w:val="ListParagraph"/>
        <w:numPr>
          <w:ilvl w:val="0"/>
          <w:numId w:val="24"/>
        </w:numPr>
        <w:rPr>
          <w:rFonts w:cs="Arial"/>
        </w:rPr>
      </w:pPr>
      <w:r>
        <w:rPr>
          <w:rFonts w:cs="Arial"/>
        </w:rPr>
        <w:t xml:space="preserve">The standard </w:t>
      </w:r>
      <w:proofErr w:type="spellStart"/>
      <w:r>
        <w:rPr>
          <w:rFonts w:cs="Arial"/>
        </w:rPr>
        <w:t>alorithim</w:t>
      </w:r>
      <w:proofErr w:type="spellEnd"/>
      <w:r>
        <w:rPr>
          <w:rFonts w:cs="Arial"/>
        </w:rPr>
        <w:t>, or</w:t>
      </w:r>
    </w:p>
    <w:p w14:paraId="19EBDFCC" w14:textId="77777777" w:rsidR="008C5035" w:rsidRDefault="008C5035" w:rsidP="008C5035">
      <w:pPr>
        <w:pStyle w:val="ListParagraph"/>
        <w:numPr>
          <w:ilvl w:val="0"/>
          <w:numId w:val="24"/>
        </w:numPr>
        <w:rPr>
          <w:rFonts w:cs="Arial"/>
        </w:rPr>
      </w:pPr>
      <w:r>
        <w:rPr>
          <w:rFonts w:cs="Arial"/>
        </w:rPr>
        <w:t xml:space="preserve">The custom </w:t>
      </w:r>
      <w:proofErr w:type="spellStart"/>
      <w:r>
        <w:rPr>
          <w:rFonts w:cs="Arial"/>
        </w:rPr>
        <w:t>algorithim</w:t>
      </w:r>
      <w:proofErr w:type="spellEnd"/>
      <w:r>
        <w:rPr>
          <w:rFonts w:cs="Arial"/>
        </w:rPr>
        <w:t xml:space="preserve">, which can only be used in consultation with the endocrinology team </w:t>
      </w:r>
    </w:p>
    <w:p w14:paraId="08F55A92" w14:textId="77777777" w:rsidR="008C5035" w:rsidRDefault="008C5035" w:rsidP="008C5035">
      <w:pPr>
        <w:rPr>
          <w:rFonts w:cs="Arial"/>
        </w:rPr>
      </w:pPr>
    </w:p>
    <w:p w14:paraId="47A05520" w14:textId="207B6978" w:rsidR="008C5035" w:rsidRPr="008C5035" w:rsidRDefault="008C5035" w:rsidP="008C5035">
      <w:pPr>
        <w:rPr>
          <w:rFonts w:cs="Arial"/>
        </w:rPr>
      </w:pPr>
      <w:r>
        <w:rPr>
          <w:rFonts w:cs="Arial"/>
        </w:rPr>
        <w:t xml:space="preserve">See section </w:t>
      </w:r>
      <w:r w:rsidR="00DB7288">
        <w:rPr>
          <w:rFonts w:cs="Arial"/>
        </w:rPr>
        <w:t>6</w:t>
      </w:r>
      <w:r>
        <w:rPr>
          <w:rFonts w:cs="Arial"/>
        </w:rPr>
        <w:t xml:space="preserve"> for </w:t>
      </w:r>
      <w:r w:rsidR="00F87C68">
        <w:rPr>
          <w:rFonts w:cs="Arial"/>
        </w:rPr>
        <w:t xml:space="preserve">further </w:t>
      </w:r>
      <w:r>
        <w:rPr>
          <w:rFonts w:cs="Arial"/>
        </w:rPr>
        <w:t>details</w:t>
      </w:r>
      <w:r w:rsidR="00F87C68">
        <w:rPr>
          <w:rFonts w:cs="Arial"/>
        </w:rPr>
        <w:t xml:space="preserve"> on algorithms available</w:t>
      </w:r>
      <w:r w:rsidR="00DB7288">
        <w:rPr>
          <w:rFonts w:cs="Arial"/>
        </w:rPr>
        <w:t xml:space="preserve">. </w:t>
      </w:r>
    </w:p>
    <w:p w14:paraId="283D2615" w14:textId="77777777" w:rsidR="008C5035" w:rsidRDefault="008C5035" w:rsidP="007B6904">
      <w:pPr>
        <w:jc w:val="right"/>
        <w:rPr>
          <w:rFonts w:cs="Arial"/>
          <w:i/>
          <w:szCs w:val="24"/>
        </w:rPr>
      </w:pPr>
    </w:p>
    <w:p w14:paraId="32EBED04" w14:textId="77777777" w:rsidR="005D310E" w:rsidRDefault="00131C38" w:rsidP="005D310E">
      <w:pPr>
        <w:jc w:val="right"/>
        <w:rPr>
          <w:rFonts w:cs="Arial"/>
          <w:i/>
          <w:szCs w:val="24"/>
        </w:rPr>
      </w:pPr>
      <w:hyperlink w:anchor="Contents" w:history="1">
        <w:r w:rsidR="005D310E" w:rsidRPr="00590902">
          <w:rPr>
            <w:rStyle w:val="Hyperlink"/>
            <w:rFonts w:cs="Arial"/>
            <w:i/>
            <w:szCs w:val="24"/>
          </w:rPr>
          <w:t>Back to Table of Contents</w:t>
        </w:r>
      </w:hyperlink>
      <w:r w:rsidR="005D310E">
        <w:rPr>
          <w:rFonts w:cs="Arial"/>
          <w:i/>
          <w:szCs w:val="24"/>
        </w:rPr>
        <w:t xml:space="preserve"> </w:t>
      </w:r>
    </w:p>
    <w:p w14:paraId="097043F6" w14:textId="77777777" w:rsidR="005D310E" w:rsidRDefault="005D310E" w:rsidP="00DB7288">
      <w:pPr>
        <w:jc w:val="center"/>
        <w:rPr>
          <w:rFonts w:cs="Arial"/>
          <w:i/>
          <w:szCs w:val="24"/>
        </w:rPr>
      </w:pP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F74FDE2" w:rsidR="007B6904" w:rsidRPr="00C76688" w:rsidRDefault="007B6904" w:rsidP="004213C3">
            <w:pPr>
              <w:pStyle w:val="Heading1"/>
            </w:pPr>
            <w:bookmarkStart w:id="17" w:name="_Toc389473281"/>
            <w:bookmarkStart w:id="18" w:name="_Toc161406380"/>
            <w:r w:rsidRPr="00C76688">
              <w:t xml:space="preserve">Section </w:t>
            </w:r>
            <w:r w:rsidR="005D310E">
              <w:t>3</w:t>
            </w:r>
            <w:r w:rsidRPr="00C76688">
              <w:t xml:space="preserve"> – </w:t>
            </w:r>
            <w:bookmarkEnd w:id="17"/>
            <w:r w:rsidR="007A7BA5">
              <w:t xml:space="preserve">Insulin Infusion </w:t>
            </w:r>
            <w:r w:rsidR="001956E4">
              <w:t xml:space="preserve">management </w:t>
            </w:r>
            <w:r w:rsidR="007A7BA5">
              <w:t xml:space="preserve">on </w:t>
            </w:r>
            <w:r w:rsidR="001956E4">
              <w:t>general wards</w:t>
            </w:r>
            <w:bookmarkEnd w:id="18"/>
          </w:p>
        </w:tc>
      </w:tr>
    </w:tbl>
    <w:p w14:paraId="3F0E8755" w14:textId="17783120" w:rsidR="00006C8D" w:rsidRDefault="00006C8D" w:rsidP="00006C8D">
      <w:pPr>
        <w:pStyle w:val="Heading1"/>
      </w:pPr>
    </w:p>
    <w:p w14:paraId="61B74C62" w14:textId="77777777" w:rsidR="008E537B" w:rsidRPr="008E537B" w:rsidRDefault="008E537B" w:rsidP="008E537B">
      <w:pPr>
        <w:rPr>
          <w:b/>
          <w:szCs w:val="24"/>
        </w:rPr>
      </w:pPr>
      <w:r w:rsidRPr="008E537B">
        <w:rPr>
          <w:b/>
          <w:szCs w:val="24"/>
        </w:rPr>
        <w:t>Indications</w:t>
      </w:r>
    </w:p>
    <w:p w14:paraId="4FFA29DC" w14:textId="77777777" w:rsidR="008E537B" w:rsidRPr="00626241" w:rsidRDefault="008E537B" w:rsidP="00626241">
      <w:pPr>
        <w:numPr>
          <w:ilvl w:val="0"/>
          <w:numId w:val="2"/>
        </w:numPr>
        <w:ind w:left="360"/>
        <w:rPr>
          <w:rFonts w:cs="Arial"/>
        </w:rPr>
      </w:pPr>
      <w:r w:rsidRPr="00626241">
        <w:rPr>
          <w:rFonts w:cs="Arial"/>
        </w:rPr>
        <w:t>Type 1 and Type 2 Diabetes Mellitus</w:t>
      </w:r>
    </w:p>
    <w:p w14:paraId="4B24CA18" w14:textId="2D1194BD" w:rsidR="008E537B" w:rsidRPr="00626241" w:rsidRDefault="484F1C8A" w:rsidP="00626241">
      <w:pPr>
        <w:numPr>
          <w:ilvl w:val="0"/>
          <w:numId w:val="2"/>
        </w:numPr>
        <w:ind w:left="360"/>
        <w:rPr>
          <w:rFonts w:cs="Arial"/>
        </w:rPr>
      </w:pPr>
      <w:r w:rsidRPr="5DE29503">
        <w:rPr>
          <w:rFonts w:cs="Arial"/>
        </w:rPr>
        <w:t>H</w:t>
      </w:r>
      <w:r w:rsidR="008E537B" w:rsidRPr="5DE29503">
        <w:rPr>
          <w:rFonts w:cs="Arial"/>
        </w:rPr>
        <w:t xml:space="preserve">yperosmolar </w:t>
      </w:r>
      <w:r w:rsidR="66A863AE" w:rsidRPr="5DE29503">
        <w:rPr>
          <w:rFonts w:cs="Arial"/>
        </w:rPr>
        <w:t>H</w:t>
      </w:r>
      <w:r w:rsidR="008E537B" w:rsidRPr="5DE29503">
        <w:rPr>
          <w:rFonts w:cs="Arial"/>
        </w:rPr>
        <w:t xml:space="preserve">yperglycaemic </w:t>
      </w:r>
      <w:r w:rsidR="47EE66DE" w:rsidRPr="5DE29503">
        <w:rPr>
          <w:rFonts w:cs="Arial"/>
        </w:rPr>
        <w:t>S</w:t>
      </w:r>
      <w:r w:rsidR="008E537B" w:rsidRPr="5DE29503">
        <w:rPr>
          <w:rFonts w:cs="Arial"/>
        </w:rPr>
        <w:t>tate</w:t>
      </w:r>
      <w:r w:rsidR="1B756529" w:rsidRPr="5DE29503">
        <w:rPr>
          <w:rFonts w:cs="Arial"/>
        </w:rPr>
        <w:t xml:space="preserve"> (HHS)</w:t>
      </w:r>
    </w:p>
    <w:p w14:paraId="5D69C725" w14:textId="77777777" w:rsidR="008E537B" w:rsidRPr="00626241" w:rsidRDefault="008E537B" w:rsidP="00626241">
      <w:pPr>
        <w:numPr>
          <w:ilvl w:val="0"/>
          <w:numId w:val="2"/>
        </w:numPr>
        <w:ind w:left="360"/>
        <w:rPr>
          <w:rFonts w:cs="Arial"/>
        </w:rPr>
      </w:pPr>
      <w:r w:rsidRPr="00626241">
        <w:rPr>
          <w:rFonts w:cs="Arial"/>
        </w:rPr>
        <w:t>Patients fasting for procedures or operations</w:t>
      </w:r>
    </w:p>
    <w:p w14:paraId="3E09BAC5" w14:textId="77777777" w:rsidR="008E537B" w:rsidRPr="00626241" w:rsidRDefault="008E537B" w:rsidP="00626241">
      <w:pPr>
        <w:numPr>
          <w:ilvl w:val="0"/>
          <w:numId w:val="2"/>
        </w:numPr>
        <w:ind w:left="360"/>
        <w:rPr>
          <w:rFonts w:cs="Arial"/>
        </w:rPr>
      </w:pPr>
      <w:r w:rsidRPr="00626241">
        <w:rPr>
          <w:rFonts w:cs="Arial"/>
        </w:rPr>
        <w:t>Stress or critical illness induced Hyperglycaemia management</w:t>
      </w:r>
    </w:p>
    <w:p w14:paraId="164EF9BA" w14:textId="77777777" w:rsidR="008E537B" w:rsidRPr="00626241" w:rsidRDefault="008E537B" w:rsidP="00626241">
      <w:pPr>
        <w:numPr>
          <w:ilvl w:val="0"/>
          <w:numId w:val="2"/>
        </w:numPr>
        <w:ind w:left="360"/>
        <w:rPr>
          <w:rFonts w:cs="Arial"/>
        </w:rPr>
      </w:pPr>
      <w:r w:rsidRPr="00626241">
        <w:rPr>
          <w:rFonts w:cs="Arial"/>
        </w:rPr>
        <w:t>Drug-induced hyperglycaemia</w:t>
      </w:r>
    </w:p>
    <w:p w14:paraId="5ACA528F" w14:textId="77777777" w:rsidR="008E537B" w:rsidRPr="008E537B" w:rsidRDefault="008E537B" w:rsidP="008E537B">
      <w:pPr>
        <w:pStyle w:val="ListBullet"/>
        <w:numPr>
          <w:ilvl w:val="0"/>
          <w:numId w:val="0"/>
        </w:numPr>
        <w:rPr>
          <w:szCs w:val="24"/>
        </w:rPr>
      </w:pPr>
    </w:p>
    <w:p w14:paraId="6ECF0618" w14:textId="17F63134" w:rsidR="008E537B" w:rsidRPr="008E537B" w:rsidRDefault="008E537B" w:rsidP="008E537B">
      <w:pPr>
        <w:rPr>
          <w:b/>
          <w:szCs w:val="24"/>
        </w:rPr>
      </w:pPr>
      <w:r w:rsidRPr="008E537B">
        <w:rPr>
          <w:b/>
          <w:szCs w:val="24"/>
        </w:rPr>
        <w:t>Key points</w:t>
      </w:r>
    </w:p>
    <w:p w14:paraId="10067C22" w14:textId="77777777" w:rsidR="00C172D4" w:rsidRDefault="008E537B" w:rsidP="00626241">
      <w:pPr>
        <w:numPr>
          <w:ilvl w:val="0"/>
          <w:numId w:val="2"/>
        </w:numPr>
        <w:ind w:left="360"/>
        <w:rPr>
          <w:rFonts w:cs="Arial"/>
        </w:rPr>
      </w:pPr>
      <w:r w:rsidRPr="00626241">
        <w:rPr>
          <w:rFonts w:cs="Arial"/>
        </w:rPr>
        <w:t>A regular neutral soluble insulin (</w:t>
      </w:r>
      <w:proofErr w:type="spellStart"/>
      <w:r w:rsidRPr="00626241">
        <w:rPr>
          <w:rFonts w:cs="Arial"/>
        </w:rPr>
        <w:t>Actrapid</w:t>
      </w:r>
      <w:proofErr w:type="spellEnd"/>
      <w:r w:rsidRPr="00626241">
        <w:rPr>
          <w:rFonts w:cs="Arial"/>
        </w:rPr>
        <w:t xml:space="preserve"> or Humulin R) is the only insulin to be used in an insulin infusion. </w:t>
      </w:r>
    </w:p>
    <w:p w14:paraId="5C453A84" w14:textId="2D7509AA" w:rsidR="00C172D4" w:rsidRDefault="008E537B" w:rsidP="00626241">
      <w:pPr>
        <w:numPr>
          <w:ilvl w:val="0"/>
          <w:numId w:val="2"/>
        </w:numPr>
        <w:ind w:left="360"/>
        <w:rPr>
          <w:rFonts w:cs="Arial"/>
        </w:rPr>
      </w:pPr>
      <w:r w:rsidRPr="00626241">
        <w:rPr>
          <w:rFonts w:cs="Arial"/>
        </w:rPr>
        <w:t xml:space="preserve">The insulin is added to 0.9% Sodium Chloride as ordered by a Medical Officer (MO)/Nurse Practitioner (NP) and must be infused via the main line using an Infusion pump with </w:t>
      </w:r>
      <w:r w:rsidR="00C172D4">
        <w:rPr>
          <w:rFonts w:cs="Arial"/>
        </w:rPr>
        <w:t>dose limiting software</w:t>
      </w:r>
      <w:r w:rsidRPr="00626241">
        <w:rPr>
          <w:rFonts w:cs="Arial"/>
        </w:rPr>
        <w:t xml:space="preserve">. </w:t>
      </w:r>
    </w:p>
    <w:p w14:paraId="1729C966" w14:textId="3F3716D8" w:rsidR="008E537B" w:rsidRPr="00626241" w:rsidRDefault="008E537B" w:rsidP="00626241">
      <w:pPr>
        <w:numPr>
          <w:ilvl w:val="0"/>
          <w:numId w:val="2"/>
        </w:numPr>
        <w:ind w:left="360"/>
        <w:rPr>
          <w:rFonts w:cs="Arial"/>
        </w:rPr>
      </w:pPr>
      <w:r w:rsidRPr="63542FD7">
        <w:rPr>
          <w:rFonts w:cs="Arial"/>
        </w:rPr>
        <w:lastRenderedPageBreak/>
        <w:t xml:space="preserve">Two lines are to be maintained for the duration of the infusion: a MAINLINE (insulin) and a SIDELINE (e.g. </w:t>
      </w:r>
      <w:r w:rsidR="00B91A3B">
        <w:rPr>
          <w:rFonts w:cs="Arial"/>
        </w:rPr>
        <w:t>0.9% sodium chloride</w:t>
      </w:r>
      <w:r w:rsidRPr="63542FD7">
        <w:rPr>
          <w:rFonts w:cs="Arial"/>
        </w:rPr>
        <w:t xml:space="preserve"> or glucose).</w:t>
      </w:r>
    </w:p>
    <w:p w14:paraId="391FF924" w14:textId="77777777" w:rsidR="008E537B" w:rsidRPr="00626241" w:rsidRDefault="008E537B" w:rsidP="00626241">
      <w:pPr>
        <w:numPr>
          <w:ilvl w:val="0"/>
          <w:numId w:val="2"/>
        </w:numPr>
        <w:ind w:left="360"/>
        <w:rPr>
          <w:rFonts w:cs="Arial"/>
        </w:rPr>
      </w:pPr>
      <w:r w:rsidRPr="63542FD7">
        <w:rPr>
          <w:rFonts w:cs="Arial"/>
        </w:rPr>
        <w:t>An intravenous insulin infusion must be prescribed as is set up as the mainline.</w:t>
      </w:r>
    </w:p>
    <w:p w14:paraId="74B636F0" w14:textId="77777777" w:rsidR="00C172D4" w:rsidRDefault="00C172D4" w:rsidP="00626241">
      <w:pPr>
        <w:numPr>
          <w:ilvl w:val="0"/>
          <w:numId w:val="2"/>
        </w:numPr>
        <w:ind w:left="360"/>
        <w:rPr>
          <w:rFonts w:cs="Arial"/>
        </w:rPr>
      </w:pPr>
      <w:r>
        <w:rPr>
          <w:rFonts w:cs="Arial"/>
        </w:rPr>
        <w:t>Sideline infusion</w:t>
      </w:r>
    </w:p>
    <w:p w14:paraId="46B9A118" w14:textId="33B5DA01" w:rsidR="00C172D4" w:rsidRDefault="008E537B" w:rsidP="00F87C68">
      <w:pPr>
        <w:numPr>
          <w:ilvl w:val="0"/>
          <w:numId w:val="26"/>
        </w:numPr>
        <w:rPr>
          <w:rFonts w:cs="Arial"/>
        </w:rPr>
      </w:pPr>
      <w:r w:rsidRPr="63542FD7">
        <w:rPr>
          <w:rFonts w:cs="Arial"/>
        </w:rPr>
        <w:t>If BGL is &gt;1</w:t>
      </w:r>
      <w:r w:rsidR="0CD665FE" w:rsidRPr="63542FD7">
        <w:rPr>
          <w:rFonts w:cs="Arial"/>
        </w:rPr>
        <w:t>4</w:t>
      </w:r>
      <w:r w:rsidRPr="63542FD7">
        <w:rPr>
          <w:rFonts w:cs="Arial"/>
        </w:rPr>
        <w:t xml:space="preserve"> a </w:t>
      </w:r>
      <w:r w:rsidR="00B91A3B">
        <w:rPr>
          <w:rFonts w:cs="Arial"/>
        </w:rPr>
        <w:t>0.9% sodium chloride</w:t>
      </w:r>
      <w:r w:rsidRPr="63542FD7">
        <w:rPr>
          <w:rFonts w:cs="Arial"/>
        </w:rPr>
        <w:t xml:space="preserve"> (sideline) needs to be prescribed. </w:t>
      </w:r>
    </w:p>
    <w:p w14:paraId="1AA59E91" w14:textId="2515F21C" w:rsidR="008E537B" w:rsidRPr="00626241" w:rsidRDefault="008E537B" w:rsidP="00F87C68">
      <w:pPr>
        <w:numPr>
          <w:ilvl w:val="0"/>
          <w:numId w:val="26"/>
        </w:numPr>
        <w:rPr>
          <w:rFonts w:cs="Arial"/>
        </w:rPr>
      </w:pPr>
      <w:r w:rsidRPr="63542FD7">
        <w:rPr>
          <w:rFonts w:cs="Arial"/>
        </w:rPr>
        <w:t>If BGL &lt;1</w:t>
      </w:r>
      <w:r w:rsidR="1647E052" w:rsidRPr="63542FD7">
        <w:rPr>
          <w:rFonts w:cs="Arial"/>
        </w:rPr>
        <w:t>4</w:t>
      </w:r>
      <w:r w:rsidRPr="63542FD7">
        <w:rPr>
          <w:rFonts w:cs="Arial"/>
        </w:rPr>
        <w:t xml:space="preserve"> a glucose intravenous infusion, including a constant glucose infusion rate (usual 125 mL per hour of 5% </w:t>
      </w:r>
      <w:proofErr w:type="gramStart"/>
      <w:r w:rsidRPr="63542FD7">
        <w:rPr>
          <w:rFonts w:cs="Arial"/>
        </w:rPr>
        <w:t>glucose ,</w:t>
      </w:r>
      <w:proofErr w:type="gramEnd"/>
      <w:r w:rsidRPr="63542FD7">
        <w:rPr>
          <w:rFonts w:cs="Arial"/>
        </w:rPr>
        <w:t xml:space="preserve"> must be prescribed (sideline).</w:t>
      </w:r>
    </w:p>
    <w:p w14:paraId="4B25658B" w14:textId="77777777" w:rsidR="008E537B" w:rsidRPr="008E537B" w:rsidRDefault="008E537B" w:rsidP="008E537B">
      <w:pPr>
        <w:spacing w:line="276" w:lineRule="auto"/>
        <w:rPr>
          <w:rFonts w:asciiTheme="minorHAnsi" w:hAnsiTheme="minorHAnsi"/>
          <w:b/>
          <w:bCs/>
          <w:iCs/>
          <w:szCs w:val="24"/>
        </w:rPr>
      </w:pPr>
    </w:p>
    <w:p w14:paraId="72B50D66" w14:textId="43AF5229" w:rsidR="008E537B" w:rsidRPr="008E537B" w:rsidRDefault="008E537B" w:rsidP="008E537B">
      <w:pPr>
        <w:rPr>
          <w:b/>
          <w:szCs w:val="24"/>
        </w:rPr>
      </w:pPr>
      <w:r w:rsidRPr="008E537B">
        <w:rPr>
          <w:b/>
          <w:szCs w:val="24"/>
        </w:rPr>
        <w:t>Standard Glucose Prescription</w:t>
      </w:r>
    </w:p>
    <w:p w14:paraId="26CFFA64" w14:textId="59549431" w:rsidR="008E537B" w:rsidRPr="00626241" w:rsidRDefault="008E537B" w:rsidP="00626241">
      <w:pPr>
        <w:numPr>
          <w:ilvl w:val="0"/>
          <w:numId w:val="2"/>
        </w:numPr>
        <w:ind w:left="360"/>
        <w:rPr>
          <w:rFonts w:cs="Arial"/>
        </w:rPr>
      </w:pPr>
      <w:r w:rsidRPr="63542FD7">
        <w:rPr>
          <w:rFonts w:cs="Arial"/>
        </w:rPr>
        <w:t xml:space="preserve">5% </w:t>
      </w:r>
      <w:proofErr w:type="gramStart"/>
      <w:r w:rsidRPr="63542FD7">
        <w:rPr>
          <w:rFonts w:cs="Arial"/>
        </w:rPr>
        <w:t>Glucose  with</w:t>
      </w:r>
      <w:proofErr w:type="gramEnd"/>
      <w:r w:rsidRPr="63542FD7">
        <w:rPr>
          <w:rFonts w:cs="Arial"/>
        </w:rPr>
        <w:t xml:space="preserve"> appropriate potassium.  </w:t>
      </w:r>
    </w:p>
    <w:p w14:paraId="13C59D61" w14:textId="77777777" w:rsidR="008E537B" w:rsidRPr="00626241" w:rsidRDefault="008E537B" w:rsidP="00626241">
      <w:pPr>
        <w:numPr>
          <w:ilvl w:val="0"/>
          <w:numId w:val="2"/>
        </w:numPr>
        <w:ind w:left="360"/>
        <w:rPr>
          <w:rFonts w:cs="Arial"/>
        </w:rPr>
      </w:pPr>
      <w:r w:rsidRPr="63542FD7">
        <w:rPr>
          <w:rFonts w:cs="Arial"/>
        </w:rPr>
        <w:t>This can only be altered following expert medical advice (consider endocrine consult).</w:t>
      </w:r>
    </w:p>
    <w:p w14:paraId="1F335DEB" w14:textId="77777777" w:rsidR="008E537B" w:rsidRPr="00626241" w:rsidRDefault="008E537B" w:rsidP="00626241">
      <w:pPr>
        <w:numPr>
          <w:ilvl w:val="0"/>
          <w:numId w:val="2"/>
        </w:numPr>
        <w:ind w:left="360"/>
        <w:rPr>
          <w:rFonts w:cs="Arial"/>
        </w:rPr>
      </w:pPr>
      <w:r w:rsidRPr="63542FD7">
        <w:rPr>
          <w:rFonts w:cs="Arial"/>
        </w:rPr>
        <w:t>The glucose infusion must be prescribed as a pre-ordered constant infusion.</w:t>
      </w:r>
    </w:p>
    <w:p w14:paraId="10A6C562" w14:textId="77777777" w:rsidR="008E537B" w:rsidRPr="00626241" w:rsidRDefault="008E537B" w:rsidP="00626241">
      <w:pPr>
        <w:numPr>
          <w:ilvl w:val="0"/>
          <w:numId w:val="2"/>
        </w:numPr>
        <w:ind w:left="360"/>
        <w:rPr>
          <w:rFonts w:cs="Arial"/>
        </w:rPr>
      </w:pPr>
      <w:r w:rsidRPr="63542FD7">
        <w:rPr>
          <w:rFonts w:cs="Arial"/>
        </w:rPr>
        <w:t>It is important that the glucose infusion remains stable to achieve constant rate of glucose delivery.</w:t>
      </w:r>
    </w:p>
    <w:p w14:paraId="68EEFF3D" w14:textId="77777777" w:rsidR="008E537B" w:rsidRPr="00626241" w:rsidRDefault="008E537B" w:rsidP="00626241">
      <w:pPr>
        <w:numPr>
          <w:ilvl w:val="0"/>
          <w:numId w:val="2"/>
        </w:numPr>
        <w:ind w:left="360"/>
        <w:rPr>
          <w:rFonts w:cs="Arial"/>
        </w:rPr>
      </w:pPr>
      <w:r w:rsidRPr="63542FD7">
        <w:rPr>
          <w:rFonts w:cs="Arial"/>
        </w:rPr>
        <w:t xml:space="preserve">The glucose infusion prescription may need to be altered (e.g. use of 10% glucose infused more slowly) for patients with renal or cardiac disease according to expert medical advice. </w:t>
      </w:r>
    </w:p>
    <w:p w14:paraId="1B6DEAB7" w14:textId="77777777" w:rsidR="00956D0E" w:rsidRDefault="00956D0E" w:rsidP="00201FB6"/>
    <w:p w14:paraId="061BD9FA" w14:textId="2C7EA6B9" w:rsidR="001A0D4D" w:rsidRPr="001A0D4D" w:rsidRDefault="001A0D4D" w:rsidP="00201FB6">
      <w:pPr>
        <w:rPr>
          <w:b/>
          <w:bCs/>
        </w:rPr>
      </w:pPr>
      <w:r w:rsidRPr="001A0D4D">
        <w:rPr>
          <w:b/>
          <w:bCs/>
        </w:rPr>
        <w:t xml:space="preserve">Setting up </w:t>
      </w:r>
      <w:r w:rsidR="00F87C68">
        <w:rPr>
          <w:b/>
          <w:bCs/>
        </w:rPr>
        <w:t>I</w:t>
      </w:r>
      <w:r w:rsidRPr="001A0D4D">
        <w:rPr>
          <w:b/>
          <w:bCs/>
        </w:rPr>
        <w:t xml:space="preserve">nsulin </w:t>
      </w:r>
      <w:r w:rsidR="00F87C68">
        <w:rPr>
          <w:b/>
          <w:bCs/>
        </w:rPr>
        <w:t>I</w:t>
      </w:r>
      <w:r w:rsidRPr="001A0D4D">
        <w:rPr>
          <w:b/>
          <w:bCs/>
        </w:rPr>
        <w:t xml:space="preserve">nfusion </w:t>
      </w:r>
    </w:p>
    <w:p w14:paraId="7ED8A9C7" w14:textId="77777777" w:rsidR="00956D0E" w:rsidRPr="00626241" w:rsidRDefault="00956D0E" w:rsidP="00626241">
      <w:pPr>
        <w:numPr>
          <w:ilvl w:val="0"/>
          <w:numId w:val="2"/>
        </w:numPr>
        <w:ind w:left="360"/>
        <w:rPr>
          <w:rFonts w:cs="Arial"/>
        </w:rPr>
      </w:pPr>
      <w:r w:rsidRPr="63542FD7">
        <w:rPr>
          <w:rFonts w:cs="Arial"/>
        </w:rPr>
        <w:t xml:space="preserve">Insulin infusions should be prepared immediately prior to administration. </w:t>
      </w:r>
    </w:p>
    <w:p w14:paraId="76ED09C7" w14:textId="365CD874" w:rsidR="00956D0E" w:rsidRPr="00626241" w:rsidRDefault="00956D0E" w:rsidP="00626241">
      <w:pPr>
        <w:numPr>
          <w:ilvl w:val="0"/>
          <w:numId w:val="2"/>
        </w:numPr>
        <w:ind w:left="360"/>
        <w:rPr>
          <w:rFonts w:cs="Arial"/>
        </w:rPr>
      </w:pPr>
      <w:r w:rsidRPr="5DE29503">
        <w:rPr>
          <w:rFonts w:cs="Arial"/>
        </w:rPr>
        <w:t>A MO/NP or two Registered Nurses/Midwives (RN/RM) or one RN/RM and one Endorsed Enrolled Nurse (EEN) can prepare and check the infusion.</w:t>
      </w:r>
    </w:p>
    <w:p w14:paraId="7E9D09EE" w14:textId="22E89FD3" w:rsidR="00956D0E" w:rsidRPr="00626241" w:rsidRDefault="00956D0E" w:rsidP="00626241">
      <w:pPr>
        <w:numPr>
          <w:ilvl w:val="0"/>
          <w:numId w:val="2"/>
        </w:numPr>
        <w:ind w:left="360"/>
        <w:rPr>
          <w:rFonts w:cs="Arial"/>
        </w:rPr>
      </w:pPr>
      <w:r w:rsidRPr="63542FD7">
        <w:rPr>
          <w:rFonts w:cs="Arial"/>
        </w:rPr>
        <w:t xml:space="preserve">The insulin is added to Sodium Chloride 0.9% 100mL and must be infused via the main line using an infusion pump with </w:t>
      </w:r>
      <w:r w:rsidR="00C172D4" w:rsidRPr="63542FD7">
        <w:rPr>
          <w:rFonts w:cs="Arial"/>
        </w:rPr>
        <w:t>dose limiting software</w:t>
      </w:r>
      <w:r w:rsidRPr="63542FD7">
        <w:rPr>
          <w:rFonts w:cs="Arial"/>
        </w:rPr>
        <w:t xml:space="preserve">. The insulin infusion is to be a dedicated line with no other drugs administered through it and not stopped to deliver antibiotics etc. </w:t>
      </w:r>
    </w:p>
    <w:p w14:paraId="6992EC5D" w14:textId="77777777" w:rsidR="00956D0E" w:rsidRPr="00626241" w:rsidRDefault="00956D0E" w:rsidP="00626241">
      <w:pPr>
        <w:numPr>
          <w:ilvl w:val="0"/>
          <w:numId w:val="2"/>
        </w:numPr>
        <w:ind w:left="360"/>
        <w:rPr>
          <w:rFonts w:cs="Arial"/>
        </w:rPr>
      </w:pPr>
      <w:r w:rsidRPr="63542FD7">
        <w:rPr>
          <w:rFonts w:cs="Arial"/>
        </w:rPr>
        <w:t xml:space="preserve">A Low-Sorbing line is used for the insulin fluid and is connected to a </w:t>
      </w:r>
      <w:proofErr w:type="spellStart"/>
      <w:r w:rsidRPr="63542FD7">
        <w:rPr>
          <w:rFonts w:cs="Arial"/>
        </w:rPr>
        <w:t>SmartSite</w:t>
      </w:r>
      <w:proofErr w:type="spellEnd"/>
      <w:r w:rsidRPr="63542FD7">
        <w:rPr>
          <w:rFonts w:cs="Arial"/>
        </w:rPr>
        <w:t xml:space="preserve"> Extension Set line with check valve (back flow valve). The maintenance fluid line is then attached above the check valve and the line primed. The insulin line is then connected and primed ensuring that enough insulin fluid (1mL) is flushed through the extension, and then connected to </w:t>
      </w:r>
      <w:proofErr w:type="gramStart"/>
      <w:r w:rsidRPr="63542FD7">
        <w:rPr>
          <w:rFonts w:cs="Arial"/>
        </w:rPr>
        <w:t>the  PVAD</w:t>
      </w:r>
      <w:proofErr w:type="gramEnd"/>
      <w:r w:rsidRPr="63542FD7">
        <w:rPr>
          <w:rFonts w:cs="Arial"/>
        </w:rPr>
        <w:t>/CVAD</w:t>
      </w:r>
    </w:p>
    <w:p w14:paraId="4482A432" w14:textId="77777777" w:rsidR="00956D0E" w:rsidRPr="00626241" w:rsidRDefault="00956D0E" w:rsidP="00626241">
      <w:pPr>
        <w:numPr>
          <w:ilvl w:val="0"/>
          <w:numId w:val="2"/>
        </w:numPr>
        <w:ind w:left="360"/>
        <w:rPr>
          <w:rFonts w:cs="Arial"/>
        </w:rPr>
      </w:pPr>
      <w:r w:rsidRPr="63542FD7">
        <w:rPr>
          <w:rFonts w:cs="Arial"/>
        </w:rPr>
        <w:t xml:space="preserve">If a Low-Sorbing line is not available then </w:t>
      </w:r>
      <w:proofErr w:type="gramStart"/>
      <w:r w:rsidRPr="63542FD7">
        <w:rPr>
          <w:rFonts w:cs="Arial"/>
        </w:rPr>
        <w:t>a</w:t>
      </w:r>
      <w:proofErr w:type="gramEnd"/>
      <w:r w:rsidRPr="63542FD7">
        <w:rPr>
          <w:rFonts w:cs="Arial"/>
        </w:rPr>
        <w:t xml:space="preserve"> IV administration set line may be used however before connecting to the patient, the line must be flushed with 10mL of the insulin solution. The insulin is the main line with maintenance fluid connected. </w:t>
      </w:r>
    </w:p>
    <w:p w14:paraId="62E1E808" w14:textId="514838A5" w:rsidR="00956D0E" w:rsidRPr="00626241" w:rsidRDefault="00956D0E" w:rsidP="00626241">
      <w:pPr>
        <w:numPr>
          <w:ilvl w:val="0"/>
          <w:numId w:val="2"/>
        </w:numPr>
        <w:ind w:left="360"/>
        <w:rPr>
          <w:rFonts w:cs="Arial"/>
        </w:rPr>
      </w:pPr>
      <w:proofErr w:type="gramStart"/>
      <w:r w:rsidRPr="63542FD7">
        <w:rPr>
          <w:rFonts w:cs="Arial"/>
        </w:rPr>
        <w:t>A maintenance fluid line,</w:t>
      </w:r>
      <w:proofErr w:type="gramEnd"/>
      <w:r w:rsidRPr="63542FD7">
        <w:rPr>
          <w:rFonts w:cs="Arial"/>
        </w:rPr>
        <w:t xml:space="preserve"> must be infused simultaneously through a long line using a </w:t>
      </w:r>
      <w:r w:rsidR="00C172D4" w:rsidRPr="63542FD7">
        <w:rPr>
          <w:rFonts w:cs="Arial"/>
        </w:rPr>
        <w:t>infusion pump with dose limiting software.</w:t>
      </w:r>
      <w:r w:rsidRPr="63542FD7">
        <w:rPr>
          <w:rFonts w:cs="Arial"/>
        </w:rPr>
        <w:t xml:space="preserve"> </w:t>
      </w:r>
    </w:p>
    <w:p w14:paraId="16BD46EA" w14:textId="77777777" w:rsidR="00956D0E" w:rsidRPr="00626241" w:rsidRDefault="00956D0E" w:rsidP="00626241">
      <w:pPr>
        <w:numPr>
          <w:ilvl w:val="0"/>
          <w:numId w:val="2"/>
        </w:numPr>
        <w:ind w:left="360"/>
        <w:rPr>
          <w:rFonts w:cs="Arial"/>
        </w:rPr>
      </w:pPr>
      <w:r w:rsidRPr="63542FD7">
        <w:rPr>
          <w:rFonts w:cs="Arial"/>
        </w:rPr>
        <w:t>Place a line label medication sticker on the insulin line close to the patient.</w:t>
      </w:r>
    </w:p>
    <w:p w14:paraId="3E944246" w14:textId="77777777" w:rsidR="00956D0E" w:rsidRDefault="00956D0E" w:rsidP="00956D0E">
      <w:pPr>
        <w:pStyle w:val="ListBullet"/>
        <w:numPr>
          <w:ilvl w:val="0"/>
          <w:numId w:val="0"/>
        </w:numPr>
        <w:ind w:left="426"/>
        <w:rPr>
          <w:rFonts w:asciiTheme="minorHAnsi" w:hAnsiTheme="minorHAnsi"/>
          <w:szCs w:val="24"/>
        </w:rPr>
      </w:pPr>
    </w:p>
    <w:p w14:paraId="6C4B62FC" w14:textId="37620DF5" w:rsidR="001A0D4D" w:rsidRPr="001A0D4D" w:rsidRDefault="001A0D4D" w:rsidP="001A0D4D">
      <w:pPr>
        <w:pStyle w:val="ListBullet"/>
        <w:numPr>
          <w:ilvl w:val="0"/>
          <w:numId w:val="0"/>
        </w:numPr>
        <w:ind w:left="142" w:hanging="142"/>
        <w:rPr>
          <w:rFonts w:asciiTheme="minorHAnsi" w:hAnsiTheme="minorHAnsi"/>
          <w:b/>
          <w:bCs/>
          <w:szCs w:val="24"/>
        </w:rPr>
      </w:pPr>
      <w:r w:rsidRPr="001A0D4D">
        <w:rPr>
          <w:rFonts w:asciiTheme="minorHAnsi" w:hAnsiTheme="minorHAnsi"/>
          <w:b/>
          <w:bCs/>
          <w:szCs w:val="24"/>
        </w:rPr>
        <w:t xml:space="preserve">Commencing Insulin Infusion </w:t>
      </w:r>
    </w:p>
    <w:p w14:paraId="20CAD53E" w14:textId="18C3C21A" w:rsidR="00956D0E" w:rsidRPr="00626241" w:rsidRDefault="00956D0E" w:rsidP="00626241">
      <w:pPr>
        <w:numPr>
          <w:ilvl w:val="0"/>
          <w:numId w:val="2"/>
        </w:numPr>
        <w:ind w:left="360"/>
        <w:rPr>
          <w:rFonts w:cs="Arial"/>
        </w:rPr>
      </w:pPr>
      <w:r w:rsidRPr="63542FD7">
        <w:rPr>
          <w:rFonts w:cs="Arial"/>
        </w:rPr>
        <w:t xml:space="preserve">Attend hand hygiene </w:t>
      </w:r>
    </w:p>
    <w:p w14:paraId="2063751B" w14:textId="77777777" w:rsidR="00956D0E" w:rsidRPr="00626241" w:rsidRDefault="00956D0E" w:rsidP="00626241">
      <w:pPr>
        <w:numPr>
          <w:ilvl w:val="0"/>
          <w:numId w:val="2"/>
        </w:numPr>
        <w:ind w:left="360"/>
        <w:rPr>
          <w:rFonts w:cs="Arial"/>
        </w:rPr>
      </w:pPr>
      <w:r w:rsidRPr="63542FD7">
        <w:rPr>
          <w:rFonts w:cs="Arial"/>
        </w:rPr>
        <w:t>Follow standard procedures for medication administration in identifying patient:</w:t>
      </w:r>
    </w:p>
    <w:p w14:paraId="22904E86" w14:textId="77777777" w:rsidR="00956D0E" w:rsidRPr="00956D0E" w:rsidRDefault="00956D0E" w:rsidP="005D310E">
      <w:pPr>
        <w:pStyle w:val="ListParagraph"/>
        <w:numPr>
          <w:ilvl w:val="0"/>
          <w:numId w:val="18"/>
        </w:numPr>
        <w:rPr>
          <w:rFonts w:asciiTheme="minorHAnsi" w:hAnsiTheme="minorHAnsi"/>
          <w:szCs w:val="24"/>
        </w:rPr>
      </w:pPr>
      <w:r w:rsidRPr="00956D0E">
        <w:rPr>
          <w:rFonts w:asciiTheme="minorHAnsi" w:hAnsiTheme="minorHAnsi"/>
          <w:szCs w:val="24"/>
        </w:rPr>
        <w:t xml:space="preserve">Identify patient by UR number, ID label and stated name </w:t>
      </w:r>
    </w:p>
    <w:p w14:paraId="1521299F" w14:textId="77777777" w:rsidR="00956D0E" w:rsidRPr="00956D0E" w:rsidRDefault="00956D0E" w:rsidP="005D310E">
      <w:pPr>
        <w:pStyle w:val="ListParagraph"/>
        <w:numPr>
          <w:ilvl w:val="0"/>
          <w:numId w:val="18"/>
        </w:numPr>
        <w:rPr>
          <w:rFonts w:asciiTheme="minorHAnsi" w:hAnsiTheme="minorHAnsi"/>
          <w:szCs w:val="24"/>
        </w:rPr>
      </w:pPr>
      <w:r w:rsidRPr="00956D0E">
        <w:rPr>
          <w:rFonts w:asciiTheme="minorHAnsi" w:hAnsiTheme="minorHAnsi"/>
          <w:szCs w:val="24"/>
        </w:rPr>
        <w:t xml:space="preserve">Explain process to patient </w:t>
      </w:r>
    </w:p>
    <w:p w14:paraId="3446826B" w14:textId="77777777" w:rsidR="00956D0E" w:rsidRPr="00956D0E" w:rsidRDefault="00956D0E" w:rsidP="005D310E">
      <w:pPr>
        <w:pStyle w:val="ListParagraph"/>
        <w:numPr>
          <w:ilvl w:val="0"/>
          <w:numId w:val="18"/>
        </w:numPr>
        <w:rPr>
          <w:rFonts w:asciiTheme="minorHAnsi" w:hAnsiTheme="minorHAnsi"/>
          <w:szCs w:val="24"/>
        </w:rPr>
      </w:pPr>
      <w:r w:rsidRPr="00956D0E">
        <w:rPr>
          <w:rFonts w:asciiTheme="minorHAnsi" w:hAnsiTheme="minorHAnsi"/>
          <w:szCs w:val="24"/>
        </w:rPr>
        <w:t xml:space="preserve">Ensure patient’s privacy </w:t>
      </w:r>
    </w:p>
    <w:p w14:paraId="0714A19E" w14:textId="7675AE59" w:rsidR="008C5035" w:rsidRDefault="00956D0E" w:rsidP="005D310E">
      <w:pPr>
        <w:numPr>
          <w:ilvl w:val="0"/>
          <w:numId w:val="18"/>
        </w:numPr>
        <w:rPr>
          <w:rFonts w:cs="Arial"/>
        </w:rPr>
      </w:pPr>
      <w:r w:rsidRPr="5DE29503">
        <w:rPr>
          <w:rFonts w:cs="Arial"/>
        </w:rPr>
        <w:lastRenderedPageBreak/>
        <w:t>Attend capillary blood glucose level (</w:t>
      </w:r>
      <w:proofErr w:type="spellStart"/>
      <w:r w:rsidRPr="5DE29503">
        <w:rPr>
          <w:rFonts w:cs="Arial"/>
        </w:rPr>
        <w:t>cBGL</w:t>
      </w:r>
      <w:proofErr w:type="spellEnd"/>
      <w:r w:rsidRPr="5DE29503">
        <w:rPr>
          <w:rFonts w:cs="Arial"/>
        </w:rPr>
        <w:t>) and capillary blood ketone level (</w:t>
      </w:r>
      <w:proofErr w:type="spellStart"/>
      <w:r w:rsidRPr="5DE29503">
        <w:rPr>
          <w:rFonts w:cs="Arial"/>
        </w:rPr>
        <w:t>cBKL</w:t>
      </w:r>
      <w:proofErr w:type="spellEnd"/>
      <w:r w:rsidRPr="5DE29503">
        <w:rPr>
          <w:rFonts w:cs="Arial"/>
        </w:rPr>
        <w:t xml:space="preserve">) and refer </w:t>
      </w:r>
      <w:proofErr w:type="gramStart"/>
      <w:r w:rsidRPr="5DE29503">
        <w:rPr>
          <w:rFonts w:cs="Arial"/>
        </w:rPr>
        <w:t xml:space="preserve">to </w:t>
      </w:r>
      <w:r w:rsidR="7191695B" w:rsidRPr="5DE29503">
        <w:rPr>
          <w:rFonts w:cs="Arial"/>
        </w:rPr>
        <w:t xml:space="preserve"> MAR</w:t>
      </w:r>
      <w:proofErr w:type="gramEnd"/>
      <w:r w:rsidR="7191695B" w:rsidRPr="5DE29503">
        <w:rPr>
          <w:rFonts w:cs="Arial"/>
        </w:rPr>
        <w:t xml:space="preserve"> dosing </w:t>
      </w:r>
      <w:proofErr w:type="spellStart"/>
      <w:r w:rsidR="7191695B" w:rsidRPr="5DE29503">
        <w:rPr>
          <w:rFonts w:cs="Arial"/>
        </w:rPr>
        <w:t>algorithim</w:t>
      </w:r>
      <w:proofErr w:type="spellEnd"/>
      <w:r w:rsidR="7191695B" w:rsidRPr="5DE29503">
        <w:rPr>
          <w:rFonts w:cs="Arial"/>
        </w:rPr>
        <w:t xml:space="preserve"> in DHR</w:t>
      </w:r>
      <w:r w:rsidR="008C5035" w:rsidRPr="5DE29503">
        <w:rPr>
          <w:rFonts w:cs="Arial"/>
        </w:rPr>
        <w:t xml:space="preserve"> for suggested infusion rate</w:t>
      </w:r>
    </w:p>
    <w:p w14:paraId="10060B8E" w14:textId="14F149AB" w:rsidR="00956D0E" w:rsidRPr="00087C67" w:rsidRDefault="008C5035" w:rsidP="008C5035">
      <w:pPr>
        <w:numPr>
          <w:ilvl w:val="0"/>
          <w:numId w:val="18"/>
        </w:numPr>
        <w:rPr>
          <w:rFonts w:cs="Arial"/>
        </w:rPr>
      </w:pPr>
      <w:r w:rsidRPr="63542FD7">
        <w:rPr>
          <w:rFonts w:cs="Arial"/>
        </w:rPr>
        <w:t>Barcode scan the insulin infusion and the patient</w:t>
      </w:r>
      <w:r w:rsidR="00956D0E" w:rsidRPr="63542FD7">
        <w:rPr>
          <w:rFonts w:cs="Arial"/>
        </w:rPr>
        <w:t xml:space="preserve"> </w:t>
      </w:r>
    </w:p>
    <w:p w14:paraId="52F60167" w14:textId="77777777" w:rsidR="00956D0E" w:rsidRPr="008D36EE" w:rsidRDefault="00956D0E" w:rsidP="00087C67">
      <w:pPr>
        <w:numPr>
          <w:ilvl w:val="0"/>
          <w:numId w:val="2"/>
        </w:numPr>
        <w:ind w:left="360"/>
        <w:rPr>
          <w:rFonts w:cs="Arial"/>
        </w:rPr>
      </w:pPr>
      <w:r w:rsidRPr="63542FD7">
        <w:rPr>
          <w:rFonts w:cs="Arial"/>
        </w:rPr>
        <w:t>Connect the insulin infusion line to the patient</w:t>
      </w:r>
    </w:p>
    <w:p w14:paraId="42A0BCD0" w14:textId="690F386F" w:rsidR="00956D0E" w:rsidRPr="00495408" w:rsidRDefault="00956D0E" w:rsidP="00087C67">
      <w:pPr>
        <w:numPr>
          <w:ilvl w:val="0"/>
          <w:numId w:val="2"/>
        </w:numPr>
        <w:ind w:left="360"/>
        <w:rPr>
          <w:rFonts w:cs="Arial"/>
        </w:rPr>
      </w:pPr>
      <w:r w:rsidRPr="63542FD7">
        <w:rPr>
          <w:rFonts w:cs="Arial"/>
        </w:rPr>
        <w:t xml:space="preserve">Attach and program the infusion </w:t>
      </w:r>
      <w:proofErr w:type="gramStart"/>
      <w:r w:rsidRPr="63542FD7">
        <w:rPr>
          <w:rFonts w:cs="Arial"/>
        </w:rPr>
        <w:t>pump  to</w:t>
      </w:r>
      <w:proofErr w:type="gramEnd"/>
      <w:r w:rsidRPr="63542FD7">
        <w:rPr>
          <w:rFonts w:cs="Arial"/>
        </w:rPr>
        <w:t xml:space="preserve"> starting dose as </w:t>
      </w:r>
      <w:r w:rsidR="008D36EE" w:rsidRPr="63542FD7">
        <w:rPr>
          <w:rFonts w:cs="Arial"/>
        </w:rPr>
        <w:t>suggested in section 5</w:t>
      </w:r>
    </w:p>
    <w:p w14:paraId="2B783CB9" w14:textId="77777777" w:rsidR="00956D0E" w:rsidRPr="00F802B2" w:rsidRDefault="00956D0E" w:rsidP="00087C67">
      <w:pPr>
        <w:numPr>
          <w:ilvl w:val="0"/>
          <w:numId w:val="2"/>
        </w:numPr>
        <w:ind w:left="360"/>
        <w:rPr>
          <w:rFonts w:cs="Arial"/>
        </w:rPr>
      </w:pPr>
      <w:r w:rsidRPr="63542FD7">
        <w:rPr>
          <w:rFonts w:cs="Arial"/>
        </w:rPr>
        <w:t xml:space="preserve">A second RN or EEN must check all IV fluids, IV fluid orders, IV lines and connection ports. </w:t>
      </w:r>
    </w:p>
    <w:p w14:paraId="3EBE51C9" w14:textId="45199A75" w:rsidR="00956D0E" w:rsidRPr="00D9124D" w:rsidRDefault="00956D0E" w:rsidP="00087C67">
      <w:pPr>
        <w:numPr>
          <w:ilvl w:val="0"/>
          <w:numId w:val="2"/>
        </w:numPr>
        <w:ind w:left="360"/>
        <w:rPr>
          <w:rFonts w:cs="Arial"/>
        </w:rPr>
      </w:pPr>
      <w:r w:rsidRPr="63542FD7">
        <w:rPr>
          <w:rFonts w:cs="Arial"/>
        </w:rPr>
        <w:t>Commence infusion at the rate prescribed on the</w:t>
      </w:r>
      <w:r w:rsidR="6B19241E" w:rsidRPr="63542FD7">
        <w:rPr>
          <w:rFonts w:cs="Arial"/>
        </w:rPr>
        <w:t xml:space="preserve"> MAR dosing </w:t>
      </w:r>
      <w:proofErr w:type="spellStart"/>
      <w:r w:rsidR="6B19241E" w:rsidRPr="63542FD7">
        <w:rPr>
          <w:rFonts w:cs="Arial"/>
        </w:rPr>
        <w:t>algorithim</w:t>
      </w:r>
      <w:proofErr w:type="spellEnd"/>
      <w:r w:rsidR="6B19241E" w:rsidRPr="63542FD7">
        <w:rPr>
          <w:rFonts w:cs="Arial"/>
        </w:rPr>
        <w:t xml:space="preserve"> in DHR</w:t>
      </w:r>
      <w:r w:rsidRPr="63542FD7">
        <w:rPr>
          <w:rFonts w:cs="Arial"/>
        </w:rPr>
        <w:t xml:space="preserve"> </w:t>
      </w:r>
    </w:p>
    <w:p w14:paraId="265457EC" w14:textId="024755C5" w:rsidR="00956D0E" w:rsidRPr="00D9124D" w:rsidRDefault="00956D0E" w:rsidP="00087C67">
      <w:pPr>
        <w:numPr>
          <w:ilvl w:val="0"/>
          <w:numId w:val="2"/>
        </w:numPr>
        <w:ind w:left="360"/>
        <w:rPr>
          <w:rFonts w:cs="Arial"/>
        </w:rPr>
      </w:pPr>
      <w:r w:rsidRPr="63542FD7">
        <w:rPr>
          <w:rFonts w:cs="Arial"/>
        </w:rPr>
        <w:t xml:space="preserve">Document commencement time of the IV insulin infusion on the </w:t>
      </w:r>
      <w:r w:rsidR="693B1DA8" w:rsidRPr="63542FD7">
        <w:rPr>
          <w:rFonts w:cs="Arial"/>
        </w:rPr>
        <w:t>DHR fluid flow sheet</w:t>
      </w:r>
      <w:r w:rsidRPr="63542FD7">
        <w:rPr>
          <w:rFonts w:cs="Arial"/>
        </w:rPr>
        <w:t xml:space="preserve"> and the clinical record. </w:t>
      </w:r>
    </w:p>
    <w:p w14:paraId="0CBDD2A7" w14:textId="77777777" w:rsidR="00956D0E" w:rsidRDefault="00956D0E" w:rsidP="00087C67">
      <w:pPr>
        <w:numPr>
          <w:ilvl w:val="0"/>
          <w:numId w:val="2"/>
        </w:numPr>
        <w:ind w:left="360"/>
        <w:rPr>
          <w:rFonts w:cs="Arial"/>
        </w:rPr>
      </w:pPr>
      <w:r w:rsidRPr="63542FD7">
        <w:rPr>
          <w:rFonts w:cs="Arial"/>
        </w:rPr>
        <w:t xml:space="preserve">Commence patient monitoring. </w:t>
      </w:r>
    </w:p>
    <w:p w14:paraId="6194F0B0" w14:textId="77777777" w:rsidR="00956D0E" w:rsidRDefault="00956D0E" w:rsidP="00956D0E">
      <w:pPr>
        <w:rPr>
          <w:rFonts w:cs="Arial"/>
          <w:b/>
          <w:szCs w:val="24"/>
        </w:rPr>
      </w:pPr>
    </w:p>
    <w:p w14:paraId="69AAFA92" w14:textId="01A3DA39" w:rsidR="001A0D4D" w:rsidRDefault="001A0D4D" w:rsidP="001A0D4D">
      <w:pPr>
        <w:rPr>
          <w:b/>
          <w:bCs/>
        </w:rPr>
      </w:pPr>
      <w:r w:rsidRPr="001A0D4D">
        <w:rPr>
          <w:b/>
          <w:bCs/>
        </w:rPr>
        <w:t xml:space="preserve">Monitoring Insulin Infusions </w:t>
      </w:r>
    </w:p>
    <w:p w14:paraId="5DE1BD54" w14:textId="77777777" w:rsidR="001A0D4D" w:rsidRDefault="001A0D4D" w:rsidP="00D9124D">
      <w:pPr>
        <w:pStyle w:val="ListBullet"/>
        <w:numPr>
          <w:ilvl w:val="0"/>
          <w:numId w:val="0"/>
        </w:numPr>
        <w:ind w:left="360" w:hanging="360"/>
        <w:rPr>
          <w:b/>
          <w:bCs/>
        </w:rPr>
      </w:pPr>
    </w:p>
    <w:p w14:paraId="4F3A4AD4" w14:textId="4DAC1656" w:rsidR="00956D0E" w:rsidRPr="00D9124D" w:rsidRDefault="00956D0E" w:rsidP="00D9124D">
      <w:pPr>
        <w:pStyle w:val="ListBullet"/>
        <w:numPr>
          <w:ilvl w:val="0"/>
          <w:numId w:val="0"/>
        </w:numPr>
        <w:ind w:left="360" w:hanging="360"/>
        <w:rPr>
          <w:b/>
          <w:bCs/>
        </w:rPr>
      </w:pPr>
      <w:r w:rsidRPr="00D9124D">
        <w:rPr>
          <w:b/>
          <w:bCs/>
        </w:rPr>
        <w:t>Capillary Blood Glucose Levels (</w:t>
      </w:r>
      <w:proofErr w:type="spellStart"/>
      <w:r w:rsidRPr="00D9124D">
        <w:rPr>
          <w:b/>
          <w:bCs/>
        </w:rPr>
        <w:t>cBGL</w:t>
      </w:r>
      <w:proofErr w:type="spellEnd"/>
      <w:r w:rsidRPr="00D9124D">
        <w:rPr>
          <w:b/>
          <w:bCs/>
        </w:rPr>
        <w:t>)</w:t>
      </w:r>
    </w:p>
    <w:p w14:paraId="0A55837B" w14:textId="27E1AAE0" w:rsidR="00956D0E" w:rsidRPr="00087C67" w:rsidRDefault="00956D0E" w:rsidP="00087C67">
      <w:pPr>
        <w:numPr>
          <w:ilvl w:val="0"/>
          <w:numId w:val="2"/>
        </w:numPr>
        <w:ind w:left="360"/>
        <w:rPr>
          <w:rFonts w:cs="Arial"/>
        </w:rPr>
      </w:pPr>
      <w:r w:rsidRPr="63542FD7">
        <w:rPr>
          <w:rFonts w:cs="Arial"/>
        </w:rPr>
        <w:t xml:space="preserve">Aim for a glycaemic target range of 5.1 to 9.0mmol/L or as specified by MO/NP </w:t>
      </w:r>
      <w:r w:rsidR="4B0177B2" w:rsidRPr="63542FD7">
        <w:rPr>
          <w:rFonts w:cs="Arial"/>
        </w:rPr>
        <w:t>i</w:t>
      </w:r>
      <w:r w:rsidRPr="63542FD7">
        <w:rPr>
          <w:rFonts w:cs="Arial"/>
        </w:rPr>
        <w:t>n the</w:t>
      </w:r>
      <w:r w:rsidR="03024A62" w:rsidRPr="63542FD7">
        <w:rPr>
          <w:rFonts w:cs="Arial"/>
        </w:rPr>
        <w:t xml:space="preserve"> DHR</w:t>
      </w:r>
      <w:r w:rsidRPr="63542FD7">
        <w:rPr>
          <w:rFonts w:cs="Arial"/>
        </w:rPr>
        <w:t xml:space="preserve"> </w:t>
      </w:r>
    </w:p>
    <w:p w14:paraId="0DA1BEB5" w14:textId="77777777" w:rsidR="00956D0E" w:rsidRPr="00087C67" w:rsidRDefault="00956D0E" w:rsidP="00087C67">
      <w:pPr>
        <w:numPr>
          <w:ilvl w:val="0"/>
          <w:numId w:val="2"/>
        </w:numPr>
        <w:ind w:left="360"/>
        <w:rPr>
          <w:rFonts w:cs="Arial"/>
        </w:rPr>
      </w:pPr>
      <w:r w:rsidRPr="63542FD7">
        <w:rPr>
          <w:rFonts w:cs="Arial"/>
        </w:rPr>
        <w:t xml:space="preserve">Attend </w:t>
      </w:r>
      <w:proofErr w:type="spellStart"/>
      <w:r w:rsidRPr="63542FD7">
        <w:rPr>
          <w:rFonts w:cs="Arial"/>
        </w:rPr>
        <w:t>cBGL’s</w:t>
      </w:r>
      <w:proofErr w:type="spellEnd"/>
      <w:r w:rsidRPr="63542FD7">
        <w:rPr>
          <w:rFonts w:cs="Arial"/>
        </w:rPr>
        <w:t xml:space="preserve"> hourly or more frequently if clinically indicated. If </w:t>
      </w:r>
      <w:proofErr w:type="spellStart"/>
      <w:r w:rsidRPr="63542FD7">
        <w:rPr>
          <w:rFonts w:cs="Arial"/>
        </w:rPr>
        <w:t>cBGL</w:t>
      </w:r>
      <w:proofErr w:type="spellEnd"/>
      <w:r w:rsidRPr="63542FD7">
        <w:rPr>
          <w:rFonts w:cs="Arial"/>
        </w:rPr>
        <w:t xml:space="preserve"> varies more than 4mmol/L in one hour contact MO/NP for advice on adjusting the insulin infusion rate. Test </w:t>
      </w:r>
      <w:proofErr w:type="spellStart"/>
      <w:r w:rsidRPr="63542FD7">
        <w:rPr>
          <w:rFonts w:cs="Arial"/>
        </w:rPr>
        <w:t>cBGL</w:t>
      </w:r>
      <w:proofErr w:type="spellEnd"/>
      <w:r w:rsidRPr="63542FD7">
        <w:rPr>
          <w:rFonts w:cs="Arial"/>
        </w:rPr>
        <w:t xml:space="preserve"> again in 15 minutes. </w:t>
      </w:r>
    </w:p>
    <w:p w14:paraId="111DE200" w14:textId="77777777" w:rsidR="00956D0E" w:rsidRPr="00087C67" w:rsidRDefault="00956D0E" w:rsidP="00087C67">
      <w:pPr>
        <w:numPr>
          <w:ilvl w:val="0"/>
          <w:numId w:val="2"/>
        </w:numPr>
        <w:ind w:left="360"/>
        <w:rPr>
          <w:rFonts w:cs="Arial"/>
        </w:rPr>
      </w:pPr>
      <w:r w:rsidRPr="63542FD7">
        <w:rPr>
          <w:rFonts w:cs="Arial"/>
        </w:rPr>
        <w:t xml:space="preserve">If </w:t>
      </w:r>
      <w:proofErr w:type="spellStart"/>
      <w:r w:rsidRPr="63542FD7">
        <w:rPr>
          <w:rFonts w:cs="Arial"/>
        </w:rPr>
        <w:t>cBGL</w:t>
      </w:r>
      <w:proofErr w:type="spellEnd"/>
      <w:r w:rsidRPr="63542FD7">
        <w:rPr>
          <w:rFonts w:cs="Arial"/>
        </w:rPr>
        <w:t xml:space="preserve"> &lt;3.5 or &gt;15.0mmol/L notify the MO/NP immediately. </w:t>
      </w:r>
    </w:p>
    <w:p w14:paraId="4273CEF9" w14:textId="77777777" w:rsidR="00956D0E" w:rsidRPr="00087C67" w:rsidRDefault="00956D0E" w:rsidP="00087C67">
      <w:pPr>
        <w:numPr>
          <w:ilvl w:val="0"/>
          <w:numId w:val="2"/>
        </w:numPr>
        <w:ind w:left="360"/>
        <w:rPr>
          <w:rFonts w:cs="Arial"/>
        </w:rPr>
      </w:pPr>
      <w:r w:rsidRPr="63542FD7">
        <w:rPr>
          <w:rFonts w:cs="Arial"/>
        </w:rPr>
        <w:t xml:space="preserve">Once </w:t>
      </w:r>
      <w:proofErr w:type="spellStart"/>
      <w:r w:rsidRPr="63542FD7">
        <w:rPr>
          <w:rFonts w:cs="Arial"/>
        </w:rPr>
        <w:t>cBGL’s</w:t>
      </w:r>
      <w:proofErr w:type="spellEnd"/>
      <w:r w:rsidRPr="63542FD7">
        <w:rPr>
          <w:rFonts w:cs="Arial"/>
        </w:rPr>
        <w:t xml:space="preserve"> are stable review monitoring frequency with the MO/NP.</w:t>
      </w:r>
    </w:p>
    <w:p w14:paraId="6FD81067" w14:textId="17652CEB" w:rsidR="00956D0E" w:rsidRPr="00087C67" w:rsidRDefault="00956D0E" w:rsidP="00087C67">
      <w:pPr>
        <w:numPr>
          <w:ilvl w:val="0"/>
          <w:numId w:val="2"/>
        </w:numPr>
        <w:ind w:left="360"/>
        <w:rPr>
          <w:rFonts w:cs="Arial"/>
        </w:rPr>
      </w:pPr>
      <w:r w:rsidRPr="63542FD7">
        <w:rPr>
          <w:rFonts w:cs="Arial"/>
        </w:rPr>
        <w:t xml:space="preserve">Document all </w:t>
      </w:r>
      <w:proofErr w:type="spellStart"/>
      <w:r w:rsidRPr="63542FD7">
        <w:rPr>
          <w:rFonts w:cs="Arial"/>
        </w:rPr>
        <w:t>cBGL’s</w:t>
      </w:r>
      <w:proofErr w:type="spellEnd"/>
      <w:r w:rsidRPr="63542FD7">
        <w:rPr>
          <w:rFonts w:cs="Arial"/>
        </w:rPr>
        <w:t xml:space="preserve"> </w:t>
      </w:r>
      <w:r w:rsidR="00006C8D" w:rsidRPr="63542FD7">
        <w:rPr>
          <w:rFonts w:cs="Arial"/>
        </w:rPr>
        <w:t>in DHR Flowsheets.</w:t>
      </w:r>
    </w:p>
    <w:p w14:paraId="4EFA397A" w14:textId="264133EC" w:rsidR="00956D0E" w:rsidRPr="00087C67" w:rsidRDefault="00956D0E" w:rsidP="00087C67">
      <w:pPr>
        <w:numPr>
          <w:ilvl w:val="0"/>
          <w:numId w:val="2"/>
        </w:numPr>
        <w:ind w:left="360"/>
        <w:rPr>
          <w:rFonts w:cs="Arial"/>
        </w:rPr>
      </w:pPr>
      <w:r w:rsidRPr="63542FD7">
        <w:rPr>
          <w:rFonts w:cs="Arial"/>
        </w:rPr>
        <w:t xml:space="preserve">Adjust the insulin infusion rate according to </w:t>
      </w:r>
      <w:proofErr w:type="spellStart"/>
      <w:r w:rsidRPr="63542FD7">
        <w:rPr>
          <w:rFonts w:cs="Arial"/>
        </w:rPr>
        <w:t>cBGL’s</w:t>
      </w:r>
      <w:proofErr w:type="spellEnd"/>
      <w:r w:rsidRPr="63542FD7">
        <w:rPr>
          <w:rFonts w:cs="Arial"/>
        </w:rPr>
        <w:t xml:space="preserve"> and </w:t>
      </w:r>
      <w:r w:rsidR="00006C8D" w:rsidRPr="63542FD7">
        <w:rPr>
          <w:rFonts w:cs="Arial"/>
        </w:rPr>
        <w:t xml:space="preserve">dosing </w:t>
      </w:r>
      <w:proofErr w:type="spellStart"/>
      <w:r w:rsidR="00006C8D" w:rsidRPr="63542FD7">
        <w:rPr>
          <w:rFonts w:cs="Arial"/>
        </w:rPr>
        <w:t>algorithim</w:t>
      </w:r>
      <w:proofErr w:type="spellEnd"/>
      <w:r w:rsidR="00006C8D" w:rsidRPr="63542FD7">
        <w:rPr>
          <w:rFonts w:cs="Arial"/>
        </w:rPr>
        <w:t xml:space="preserve"> in DHR</w:t>
      </w:r>
    </w:p>
    <w:p w14:paraId="201A5BAC" w14:textId="77777777" w:rsidR="00D9124D" w:rsidRDefault="00D9124D" w:rsidP="00D9124D">
      <w:pPr>
        <w:pStyle w:val="ListBullet"/>
        <w:numPr>
          <w:ilvl w:val="0"/>
          <w:numId w:val="0"/>
        </w:numPr>
      </w:pPr>
    </w:p>
    <w:p w14:paraId="707BD31C" w14:textId="3FBBBBA4" w:rsidR="00956D0E" w:rsidRPr="00D9124D" w:rsidRDefault="00956D0E" w:rsidP="00D9124D">
      <w:pPr>
        <w:pStyle w:val="ListBullet"/>
        <w:numPr>
          <w:ilvl w:val="0"/>
          <w:numId w:val="0"/>
        </w:numPr>
        <w:rPr>
          <w:b/>
          <w:bCs/>
        </w:rPr>
      </w:pPr>
      <w:r w:rsidRPr="00D9124D">
        <w:rPr>
          <w:b/>
          <w:bCs/>
        </w:rPr>
        <w:t xml:space="preserve">Fluids  </w:t>
      </w:r>
    </w:p>
    <w:p w14:paraId="595ED88C" w14:textId="77777777" w:rsidR="00956D0E" w:rsidRPr="00087C67" w:rsidRDefault="00956D0E" w:rsidP="00087C67">
      <w:pPr>
        <w:numPr>
          <w:ilvl w:val="0"/>
          <w:numId w:val="2"/>
        </w:numPr>
        <w:ind w:left="360"/>
        <w:rPr>
          <w:rFonts w:cs="Arial"/>
        </w:rPr>
      </w:pPr>
      <w:r w:rsidRPr="63542FD7">
        <w:rPr>
          <w:rFonts w:cs="Arial"/>
        </w:rPr>
        <w:t xml:space="preserve">Review fluids hourly. </w:t>
      </w:r>
    </w:p>
    <w:p w14:paraId="26A66AF9" w14:textId="219DD4DE" w:rsidR="00956D0E" w:rsidRPr="00087C67" w:rsidRDefault="00956D0E" w:rsidP="00087C67">
      <w:pPr>
        <w:numPr>
          <w:ilvl w:val="0"/>
          <w:numId w:val="2"/>
        </w:numPr>
        <w:ind w:left="360"/>
        <w:rPr>
          <w:rFonts w:cs="Arial"/>
        </w:rPr>
      </w:pPr>
      <w:r w:rsidRPr="63542FD7">
        <w:rPr>
          <w:rFonts w:cs="Arial"/>
        </w:rPr>
        <w:t xml:space="preserve">Maintain </w:t>
      </w:r>
      <w:r w:rsidR="42AB2BFF" w:rsidRPr="63542FD7">
        <w:rPr>
          <w:rFonts w:cs="Arial"/>
        </w:rPr>
        <w:t xml:space="preserve">DHR </w:t>
      </w:r>
      <w:r w:rsidRPr="63542FD7">
        <w:rPr>
          <w:rFonts w:cs="Arial"/>
        </w:rPr>
        <w:t xml:space="preserve">fluid </w:t>
      </w:r>
      <w:r w:rsidR="44FCE6DE" w:rsidRPr="63542FD7">
        <w:rPr>
          <w:rFonts w:cs="Arial"/>
        </w:rPr>
        <w:t>flowsheet</w:t>
      </w:r>
      <w:r w:rsidRPr="63542FD7">
        <w:rPr>
          <w:rFonts w:cs="Arial"/>
        </w:rPr>
        <w:t>.</w:t>
      </w:r>
    </w:p>
    <w:p w14:paraId="59628C73" w14:textId="77777777" w:rsidR="00956D0E" w:rsidRPr="00087C67" w:rsidRDefault="00956D0E" w:rsidP="00087C67">
      <w:pPr>
        <w:numPr>
          <w:ilvl w:val="0"/>
          <w:numId w:val="2"/>
        </w:numPr>
        <w:ind w:left="360"/>
        <w:rPr>
          <w:rFonts w:cs="Arial"/>
        </w:rPr>
      </w:pPr>
      <w:r w:rsidRPr="63542FD7">
        <w:rPr>
          <w:rFonts w:cs="Arial"/>
        </w:rPr>
        <w:t>The rate of maintenance line fluid depends on the patient’s hydration status, renal and cardiac function. Also consider the patient’s ability to tolerate oral fluids.</w:t>
      </w:r>
    </w:p>
    <w:p w14:paraId="195D7B00" w14:textId="77777777" w:rsidR="00D9124D" w:rsidRDefault="00D9124D" w:rsidP="00D9124D">
      <w:pPr>
        <w:pStyle w:val="ListBullet"/>
        <w:numPr>
          <w:ilvl w:val="0"/>
          <w:numId w:val="0"/>
        </w:numPr>
      </w:pPr>
    </w:p>
    <w:p w14:paraId="34B3083F" w14:textId="79A0655C" w:rsidR="00956D0E" w:rsidRPr="00087C67" w:rsidRDefault="00956D0E" w:rsidP="00087C67">
      <w:pPr>
        <w:rPr>
          <w:rFonts w:cs="Arial"/>
          <w:b/>
          <w:bCs/>
        </w:rPr>
      </w:pPr>
      <w:r w:rsidRPr="00087C67">
        <w:rPr>
          <w:rFonts w:cs="Arial"/>
          <w:b/>
          <w:bCs/>
        </w:rPr>
        <w:t xml:space="preserve">Potassium Levels </w:t>
      </w:r>
    </w:p>
    <w:p w14:paraId="53502503" w14:textId="77777777" w:rsidR="00956D0E" w:rsidRPr="00F931C3" w:rsidRDefault="00956D0E" w:rsidP="00087C67">
      <w:pPr>
        <w:numPr>
          <w:ilvl w:val="0"/>
          <w:numId w:val="2"/>
        </w:numPr>
        <w:ind w:left="360"/>
        <w:rPr>
          <w:rFonts w:cs="Arial"/>
        </w:rPr>
      </w:pPr>
      <w:r w:rsidRPr="63542FD7">
        <w:rPr>
          <w:rFonts w:cs="Arial"/>
        </w:rPr>
        <w:t xml:space="preserve">Monitor potassium level daily or as ordered by MO/NP, communicate abnormalities and document. </w:t>
      </w:r>
    </w:p>
    <w:p w14:paraId="61BDC4EE" w14:textId="77777777" w:rsidR="00D9124D" w:rsidRDefault="00D9124D" w:rsidP="00D9124D">
      <w:pPr>
        <w:pStyle w:val="ListBullet"/>
        <w:numPr>
          <w:ilvl w:val="0"/>
          <w:numId w:val="0"/>
        </w:numPr>
      </w:pPr>
    </w:p>
    <w:p w14:paraId="44A8D2E9" w14:textId="70B16D5F" w:rsidR="00956D0E" w:rsidRPr="00D9124D" w:rsidRDefault="00956D0E" w:rsidP="00D9124D">
      <w:pPr>
        <w:pStyle w:val="ListBullet"/>
        <w:numPr>
          <w:ilvl w:val="0"/>
          <w:numId w:val="0"/>
        </w:numPr>
        <w:rPr>
          <w:b/>
          <w:bCs/>
        </w:rPr>
      </w:pPr>
      <w:r w:rsidRPr="00D9124D">
        <w:rPr>
          <w:b/>
          <w:bCs/>
        </w:rPr>
        <w:t>Capillary Blood Ketone Levels (</w:t>
      </w:r>
      <w:proofErr w:type="spellStart"/>
      <w:r w:rsidRPr="00D9124D">
        <w:rPr>
          <w:b/>
          <w:bCs/>
        </w:rPr>
        <w:t>cBKL</w:t>
      </w:r>
      <w:proofErr w:type="spellEnd"/>
      <w:r w:rsidRPr="00D9124D">
        <w:rPr>
          <w:b/>
          <w:bCs/>
        </w:rPr>
        <w:t xml:space="preserve">) </w:t>
      </w:r>
    </w:p>
    <w:p w14:paraId="1BB000ED" w14:textId="3EFBFC20" w:rsidR="00956D0E" w:rsidRPr="00087C67" w:rsidRDefault="00956D0E" w:rsidP="00087C67">
      <w:pPr>
        <w:numPr>
          <w:ilvl w:val="0"/>
          <w:numId w:val="2"/>
        </w:numPr>
        <w:ind w:left="360"/>
        <w:rPr>
          <w:rFonts w:cs="Arial"/>
        </w:rPr>
      </w:pPr>
      <w:r w:rsidRPr="63542FD7">
        <w:rPr>
          <w:rFonts w:cs="Arial"/>
        </w:rPr>
        <w:t xml:space="preserve">Test blood ketones at the commencement of the insulin infusion, then four hourly and document </w:t>
      </w:r>
      <w:r w:rsidR="00006C8D" w:rsidRPr="63542FD7">
        <w:rPr>
          <w:rFonts w:cs="Arial"/>
        </w:rPr>
        <w:t>In DHR Flowsheet</w:t>
      </w:r>
    </w:p>
    <w:p w14:paraId="4A203420" w14:textId="77777777" w:rsidR="00956D0E" w:rsidRPr="00087C67" w:rsidRDefault="00956D0E" w:rsidP="00087C67">
      <w:pPr>
        <w:numPr>
          <w:ilvl w:val="0"/>
          <w:numId w:val="2"/>
        </w:numPr>
        <w:ind w:left="360"/>
        <w:rPr>
          <w:rFonts w:cs="Arial"/>
        </w:rPr>
      </w:pPr>
      <w:r w:rsidRPr="63542FD7">
        <w:rPr>
          <w:rFonts w:cs="Arial"/>
        </w:rPr>
        <w:t xml:space="preserve">If </w:t>
      </w:r>
      <w:proofErr w:type="spellStart"/>
      <w:r w:rsidRPr="63542FD7">
        <w:rPr>
          <w:rFonts w:cs="Arial"/>
        </w:rPr>
        <w:t>cBGL</w:t>
      </w:r>
      <w:proofErr w:type="spellEnd"/>
      <w:r w:rsidRPr="63542FD7">
        <w:rPr>
          <w:rFonts w:cs="Arial"/>
        </w:rPr>
        <w:t xml:space="preserve"> is &gt;15, test for blood ketones and advise the MO/NP.</w:t>
      </w:r>
    </w:p>
    <w:p w14:paraId="6B539FCB" w14:textId="77777777" w:rsidR="00D9124D" w:rsidRDefault="00D9124D" w:rsidP="00D9124D">
      <w:pPr>
        <w:pStyle w:val="ListBullet"/>
        <w:numPr>
          <w:ilvl w:val="0"/>
          <w:numId w:val="0"/>
        </w:numPr>
      </w:pPr>
    </w:p>
    <w:p w14:paraId="507C9A06" w14:textId="6752B76C" w:rsidR="00956D0E" w:rsidRPr="00D9124D" w:rsidRDefault="00956D0E" w:rsidP="00D9124D">
      <w:pPr>
        <w:pStyle w:val="ListBullet"/>
        <w:numPr>
          <w:ilvl w:val="0"/>
          <w:numId w:val="0"/>
        </w:numPr>
        <w:rPr>
          <w:b/>
          <w:bCs/>
        </w:rPr>
      </w:pPr>
      <w:r w:rsidRPr="00D9124D">
        <w:rPr>
          <w:b/>
          <w:bCs/>
        </w:rPr>
        <w:t xml:space="preserve">General Observations </w:t>
      </w:r>
    </w:p>
    <w:p w14:paraId="572DAF52" w14:textId="77777777" w:rsidR="00956D0E" w:rsidRPr="00087C67" w:rsidRDefault="00956D0E" w:rsidP="00087C67">
      <w:pPr>
        <w:numPr>
          <w:ilvl w:val="0"/>
          <w:numId w:val="2"/>
        </w:numPr>
        <w:ind w:left="360"/>
        <w:rPr>
          <w:rFonts w:cs="Arial"/>
        </w:rPr>
      </w:pPr>
      <w:r w:rsidRPr="63542FD7">
        <w:rPr>
          <w:rFonts w:cs="Arial"/>
        </w:rPr>
        <w:t xml:space="preserve">Observe the patient closely for signs and symptoms of hypoglycaemia i.e. </w:t>
      </w:r>
      <w:proofErr w:type="spellStart"/>
      <w:r w:rsidRPr="63542FD7">
        <w:rPr>
          <w:rFonts w:cs="Arial"/>
        </w:rPr>
        <w:t>cBGL</w:t>
      </w:r>
      <w:proofErr w:type="spellEnd"/>
      <w:r w:rsidRPr="63542FD7">
        <w:rPr>
          <w:rFonts w:cs="Arial"/>
        </w:rPr>
        <w:t xml:space="preserve"> &lt;4.0 mmol/L, confusion, drowsiness, sweating, chest pain, increased or decreased respiration and report all changes in clinical observations immediately to the MO/NP.  </w:t>
      </w:r>
    </w:p>
    <w:p w14:paraId="0EABC026" w14:textId="6404294C" w:rsidR="00956D0E" w:rsidRDefault="00956D0E" w:rsidP="00087C67">
      <w:pPr>
        <w:numPr>
          <w:ilvl w:val="0"/>
          <w:numId w:val="2"/>
        </w:numPr>
        <w:ind w:left="360"/>
        <w:rPr>
          <w:rFonts w:cs="Arial"/>
        </w:rPr>
      </w:pPr>
      <w:r w:rsidRPr="63542FD7">
        <w:rPr>
          <w:rFonts w:cs="Arial"/>
        </w:rPr>
        <w:t xml:space="preserve">Document changes </w:t>
      </w:r>
      <w:r w:rsidR="00006C8D" w:rsidRPr="63542FD7">
        <w:rPr>
          <w:rFonts w:cs="Arial"/>
        </w:rPr>
        <w:t>in DHR</w:t>
      </w:r>
      <w:r w:rsidRPr="63542FD7">
        <w:rPr>
          <w:rFonts w:cs="Arial"/>
        </w:rPr>
        <w:t>.</w:t>
      </w:r>
    </w:p>
    <w:p w14:paraId="1EB5A3A7" w14:textId="77777777" w:rsidR="005D310E" w:rsidRPr="00087C67" w:rsidRDefault="005D310E" w:rsidP="005D310E">
      <w:pPr>
        <w:ind w:left="360"/>
        <w:rPr>
          <w:rFonts w:cs="Arial"/>
        </w:rPr>
      </w:pPr>
    </w:p>
    <w:p w14:paraId="6DF71FBC" w14:textId="53D2F3DA" w:rsidR="00956D0E" w:rsidRPr="005D310E" w:rsidRDefault="00006C8D" w:rsidP="005D310E">
      <w:pPr>
        <w:rPr>
          <w:rFonts w:cs="Arial"/>
          <w:b/>
          <w:bCs/>
        </w:rPr>
      </w:pPr>
      <w:r>
        <w:rPr>
          <w:rFonts w:cs="Arial"/>
          <w:b/>
          <w:bCs/>
        </w:rPr>
        <w:t xml:space="preserve">Vascular access devices used for </w:t>
      </w:r>
      <w:r w:rsidR="00956D0E" w:rsidRPr="005D310E">
        <w:rPr>
          <w:rFonts w:cs="Arial"/>
          <w:b/>
          <w:bCs/>
        </w:rPr>
        <w:t>Intravenous Insulin Infusion PVAD/CVAD</w:t>
      </w:r>
    </w:p>
    <w:p w14:paraId="3C895666" w14:textId="77777777" w:rsidR="00956D0E" w:rsidRDefault="00956D0E" w:rsidP="00087C67">
      <w:pPr>
        <w:numPr>
          <w:ilvl w:val="0"/>
          <w:numId w:val="2"/>
        </w:numPr>
        <w:ind w:left="360"/>
        <w:rPr>
          <w:rFonts w:cs="Arial"/>
        </w:rPr>
      </w:pPr>
      <w:r w:rsidRPr="63542FD7">
        <w:rPr>
          <w:rFonts w:cs="Arial"/>
        </w:rPr>
        <w:t>Insulin infusion and low-sorbing line must be changed every 24 hours.</w:t>
      </w:r>
    </w:p>
    <w:p w14:paraId="7BC45E7E" w14:textId="2945339C" w:rsidR="00956D0E" w:rsidRPr="00F802B2" w:rsidRDefault="00956D0E" w:rsidP="00087C67">
      <w:pPr>
        <w:numPr>
          <w:ilvl w:val="0"/>
          <w:numId w:val="2"/>
        </w:numPr>
        <w:ind w:left="360"/>
        <w:rPr>
          <w:rFonts w:cs="Arial"/>
        </w:rPr>
      </w:pPr>
      <w:r w:rsidRPr="5DE29503">
        <w:rPr>
          <w:rFonts w:cs="Arial"/>
        </w:rPr>
        <w:t xml:space="preserve">Refer to </w:t>
      </w:r>
      <w:r w:rsidRPr="001A0D4D">
        <w:rPr>
          <w:rFonts w:eastAsiaTheme="majorEastAsia" w:cs="Arial"/>
        </w:rPr>
        <w:t xml:space="preserve">Central Venous Access Devices (CVAD) </w:t>
      </w:r>
      <w:r w:rsidR="00D038F6">
        <w:rPr>
          <w:rFonts w:eastAsiaTheme="majorEastAsia" w:cs="Arial"/>
        </w:rPr>
        <w:t xml:space="preserve">Management Procedure </w:t>
      </w:r>
      <w:r w:rsidRPr="5DE29503">
        <w:rPr>
          <w:rFonts w:cs="Arial"/>
        </w:rPr>
        <w:t xml:space="preserve">and </w:t>
      </w:r>
      <w:r w:rsidR="00D038F6">
        <w:rPr>
          <w:rFonts w:cs="Arial"/>
        </w:rPr>
        <w:t xml:space="preserve">NCH </w:t>
      </w:r>
      <w:r w:rsidR="2B50CEBF" w:rsidRPr="5DE29503">
        <w:rPr>
          <w:rFonts w:cs="Arial"/>
        </w:rPr>
        <w:t xml:space="preserve">Medication </w:t>
      </w:r>
      <w:r w:rsidR="001A0D4D">
        <w:rPr>
          <w:rFonts w:cs="Arial"/>
        </w:rPr>
        <w:t>Handling Procedures</w:t>
      </w:r>
      <w:r w:rsidR="2B50CEBF" w:rsidRPr="5DE29503">
        <w:rPr>
          <w:rFonts w:cs="Arial"/>
        </w:rPr>
        <w:t xml:space="preserve"> </w:t>
      </w:r>
      <w:r w:rsidRPr="5DE29503">
        <w:rPr>
          <w:rFonts w:cs="Arial"/>
        </w:rPr>
        <w:t xml:space="preserve">for all other line changes. </w:t>
      </w:r>
    </w:p>
    <w:p w14:paraId="376A0701" w14:textId="77777777" w:rsidR="00956D0E" w:rsidRPr="00087C67" w:rsidRDefault="00956D0E" w:rsidP="00087C67">
      <w:pPr>
        <w:numPr>
          <w:ilvl w:val="0"/>
          <w:numId w:val="2"/>
        </w:numPr>
        <w:ind w:left="360"/>
        <w:rPr>
          <w:rFonts w:cs="Arial"/>
        </w:rPr>
      </w:pPr>
      <w:r w:rsidRPr="63542FD7">
        <w:rPr>
          <w:rFonts w:cs="Arial"/>
        </w:rPr>
        <w:t xml:space="preserve">All lines must be labelled. </w:t>
      </w:r>
    </w:p>
    <w:p w14:paraId="799B7552" w14:textId="77777777" w:rsidR="00956D0E" w:rsidRPr="00087C67" w:rsidRDefault="00956D0E" w:rsidP="00087C67">
      <w:pPr>
        <w:numPr>
          <w:ilvl w:val="0"/>
          <w:numId w:val="2"/>
        </w:numPr>
        <w:ind w:left="360"/>
        <w:rPr>
          <w:rFonts w:cs="Arial"/>
        </w:rPr>
      </w:pPr>
      <w:r w:rsidRPr="63542FD7">
        <w:rPr>
          <w:rFonts w:cs="Arial"/>
        </w:rPr>
        <w:t xml:space="preserve">The cannula site should be monitored every shift and changed every 48 hours unless removal is expected before 72 hours or as otherwise directed by medical team. </w:t>
      </w:r>
    </w:p>
    <w:p w14:paraId="5BF0C153" w14:textId="77777777" w:rsidR="00956D0E" w:rsidRPr="00087C67" w:rsidRDefault="00956D0E" w:rsidP="00087C67">
      <w:pPr>
        <w:numPr>
          <w:ilvl w:val="0"/>
          <w:numId w:val="2"/>
        </w:numPr>
        <w:ind w:left="360"/>
        <w:rPr>
          <w:rFonts w:cs="Arial"/>
        </w:rPr>
      </w:pPr>
      <w:r w:rsidRPr="63542FD7">
        <w:rPr>
          <w:rFonts w:cs="Arial"/>
        </w:rPr>
        <w:t xml:space="preserve">If the IV cannula </w:t>
      </w:r>
      <w:proofErr w:type="gramStart"/>
      <w:r w:rsidRPr="63542FD7">
        <w:rPr>
          <w:rFonts w:cs="Arial"/>
        </w:rPr>
        <w:t>tissues</w:t>
      </w:r>
      <w:proofErr w:type="gramEnd"/>
      <w:r w:rsidRPr="63542FD7">
        <w:rPr>
          <w:rFonts w:cs="Arial"/>
        </w:rPr>
        <w:t xml:space="preserve"> it should be replaced as a matter of urgency.</w:t>
      </w:r>
    </w:p>
    <w:p w14:paraId="3E3574C7" w14:textId="77777777" w:rsidR="00956D0E" w:rsidRPr="00F931C3" w:rsidRDefault="00956D0E" w:rsidP="00956D0E">
      <w:pPr>
        <w:spacing w:line="276" w:lineRule="auto"/>
        <w:rPr>
          <w:rFonts w:cs="Arial"/>
        </w:rPr>
      </w:pPr>
    </w:p>
    <w:p w14:paraId="23CDD827" w14:textId="2632B4DE" w:rsidR="00956D0E" w:rsidRPr="00F802B2" w:rsidRDefault="00956D0E" w:rsidP="00956D0E">
      <w:pPr>
        <w:spacing w:line="276" w:lineRule="auto"/>
        <w:jc w:val="both"/>
        <w:rPr>
          <w:rFonts w:cs="Arial"/>
          <w:b/>
        </w:rPr>
      </w:pPr>
      <w:r>
        <w:rPr>
          <w:rFonts w:cs="Arial"/>
          <w:b/>
        </w:rPr>
        <w:t>Practice P</w:t>
      </w:r>
      <w:r w:rsidRPr="00F802B2">
        <w:rPr>
          <w:rFonts w:cs="Arial"/>
          <w:b/>
        </w:rPr>
        <w:t>oints</w:t>
      </w:r>
    </w:p>
    <w:p w14:paraId="2AEA0C30" w14:textId="77777777" w:rsidR="00956D0E" w:rsidRPr="00087C67" w:rsidRDefault="00956D0E" w:rsidP="00087C67">
      <w:pPr>
        <w:numPr>
          <w:ilvl w:val="0"/>
          <w:numId w:val="2"/>
        </w:numPr>
        <w:ind w:left="360"/>
        <w:rPr>
          <w:rFonts w:cs="Arial"/>
        </w:rPr>
      </w:pPr>
      <w:r w:rsidRPr="63542FD7">
        <w:rPr>
          <w:rFonts w:cs="Arial"/>
        </w:rPr>
        <w:t>A patient’s insulin sensitivity will increase as normal hydration is achieved. Patient requirements may vary with their body temperature.</w:t>
      </w:r>
    </w:p>
    <w:p w14:paraId="6FE253DE" w14:textId="77777777" w:rsidR="00956D0E" w:rsidRPr="00087C67" w:rsidRDefault="00956D0E" w:rsidP="00087C67">
      <w:pPr>
        <w:numPr>
          <w:ilvl w:val="0"/>
          <w:numId w:val="2"/>
        </w:numPr>
        <w:ind w:left="360"/>
        <w:rPr>
          <w:rFonts w:cs="Arial"/>
        </w:rPr>
      </w:pPr>
      <w:r w:rsidRPr="63542FD7">
        <w:rPr>
          <w:rFonts w:cs="Arial"/>
        </w:rPr>
        <w:t>If enteral feeds stop suddenly, insulin requirements will vary. Contact MO/NP.</w:t>
      </w:r>
    </w:p>
    <w:p w14:paraId="1BBFEA3B" w14:textId="3A5D0C4D" w:rsidR="00956D0E" w:rsidRPr="00087C67" w:rsidRDefault="00956D0E" w:rsidP="00087C67">
      <w:pPr>
        <w:numPr>
          <w:ilvl w:val="0"/>
          <w:numId w:val="2"/>
        </w:numPr>
        <w:ind w:left="360"/>
        <w:rPr>
          <w:rFonts w:cs="Arial"/>
        </w:rPr>
      </w:pPr>
      <w:r w:rsidRPr="63542FD7">
        <w:rPr>
          <w:rFonts w:cs="Arial"/>
        </w:rPr>
        <w:t xml:space="preserve">Patients receiving </w:t>
      </w:r>
      <w:proofErr w:type="spellStart"/>
      <w:r w:rsidRPr="63542FD7">
        <w:rPr>
          <w:rFonts w:cs="Arial"/>
        </w:rPr>
        <w:t>glucocorticosteroids</w:t>
      </w:r>
      <w:proofErr w:type="spellEnd"/>
      <w:r w:rsidRPr="63542FD7">
        <w:rPr>
          <w:rFonts w:cs="Arial"/>
        </w:rPr>
        <w:t xml:space="preserve"> (e.g. prednisolone, hydrocortisone) may have altered insulin requirements. This issue needs to be considered when prescribing insulin.</w:t>
      </w:r>
    </w:p>
    <w:p w14:paraId="31EC0FD5" w14:textId="77777777" w:rsidR="001A0D4D" w:rsidRPr="001A0D4D" w:rsidRDefault="001A0D4D" w:rsidP="001A0D4D"/>
    <w:p w14:paraId="59F11969" w14:textId="7EC03EB1" w:rsidR="00D9124D" w:rsidRPr="00F87C68" w:rsidRDefault="00F87C68" w:rsidP="00F87C68">
      <w:pPr>
        <w:rPr>
          <w:b/>
          <w:bCs/>
        </w:rPr>
      </w:pPr>
      <w:r w:rsidRPr="001A0D4D">
        <w:rPr>
          <w:b/>
          <w:bCs/>
        </w:rPr>
        <w:t>Ceasing Insulin Infusion</w:t>
      </w:r>
      <w:r>
        <w:rPr>
          <w:b/>
          <w:bCs/>
        </w:rPr>
        <w:t xml:space="preserve"> – </w:t>
      </w:r>
      <w:r w:rsidR="00D9124D" w:rsidRPr="00F802B2">
        <w:rPr>
          <w:rFonts w:cs="Arial"/>
          <w:b/>
        </w:rPr>
        <w:t>For Patients</w:t>
      </w:r>
      <w:r w:rsidR="00D9124D">
        <w:rPr>
          <w:rFonts w:cs="Arial"/>
          <w:b/>
        </w:rPr>
        <w:t xml:space="preserve"> T</w:t>
      </w:r>
      <w:r w:rsidR="00D9124D" w:rsidRPr="00F802B2">
        <w:rPr>
          <w:rFonts w:cs="Arial"/>
          <w:b/>
        </w:rPr>
        <w:t xml:space="preserve">reated with Oral Hypoglycaemic </w:t>
      </w:r>
      <w:r w:rsidR="00D9124D">
        <w:rPr>
          <w:rFonts w:cs="Arial"/>
          <w:b/>
        </w:rPr>
        <w:t xml:space="preserve">Agents </w:t>
      </w:r>
      <w:r w:rsidR="00D9124D" w:rsidRPr="00F802B2">
        <w:rPr>
          <w:rFonts w:cs="Arial"/>
          <w:b/>
        </w:rPr>
        <w:t>(OHA):</w:t>
      </w:r>
    </w:p>
    <w:p w14:paraId="1168A9CA" w14:textId="28FA0FED" w:rsidR="00D9124D" w:rsidRPr="001A0D4D" w:rsidRDefault="00D9124D" w:rsidP="00087C67">
      <w:pPr>
        <w:numPr>
          <w:ilvl w:val="0"/>
          <w:numId w:val="2"/>
        </w:numPr>
        <w:ind w:left="360"/>
        <w:rPr>
          <w:rFonts w:cs="Arial"/>
        </w:rPr>
      </w:pPr>
      <w:r w:rsidRPr="63542FD7">
        <w:rPr>
          <w:rFonts w:cs="Arial"/>
        </w:rPr>
        <w:t xml:space="preserve">Attend hand hygiene </w:t>
      </w:r>
    </w:p>
    <w:p w14:paraId="77465949" w14:textId="77777777" w:rsidR="00D9124D" w:rsidRPr="001A0D4D" w:rsidRDefault="00D9124D" w:rsidP="00087C67">
      <w:pPr>
        <w:numPr>
          <w:ilvl w:val="0"/>
          <w:numId w:val="2"/>
        </w:numPr>
        <w:ind w:left="360"/>
        <w:rPr>
          <w:rFonts w:cs="Arial"/>
        </w:rPr>
      </w:pPr>
      <w:r w:rsidRPr="001A0D4D">
        <w:rPr>
          <w:rFonts w:cs="Arial"/>
        </w:rPr>
        <w:t>The patient must be tolerating an adequate oral intake prior to the cessation of the insulin infusion.</w:t>
      </w:r>
    </w:p>
    <w:p w14:paraId="60DC3A7B" w14:textId="77777777" w:rsidR="00D9124D" w:rsidRPr="001A0D4D" w:rsidRDefault="00D9124D" w:rsidP="00087C67">
      <w:pPr>
        <w:numPr>
          <w:ilvl w:val="0"/>
          <w:numId w:val="2"/>
        </w:numPr>
        <w:ind w:left="360"/>
        <w:rPr>
          <w:rFonts w:cs="Arial"/>
        </w:rPr>
      </w:pPr>
      <w:r w:rsidRPr="001A0D4D">
        <w:rPr>
          <w:rFonts w:cs="Arial"/>
        </w:rPr>
        <w:t xml:space="preserve">Monitored </w:t>
      </w:r>
      <w:proofErr w:type="spellStart"/>
      <w:r w:rsidRPr="001A0D4D">
        <w:rPr>
          <w:rFonts w:cs="Arial"/>
        </w:rPr>
        <w:t>cBGLs</w:t>
      </w:r>
      <w:proofErr w:type="spellEnd"/>
      <w:r w:rsidRPr="001A0D4D">
        <w:rPr>
          <w:rFonts w:cs="Arial"/>
        </w:rPr>
        <w:t xml:space="preserve"> should be within target as per MO/NP and no blood ketones present.</w:t>
      </w:r>
    </w:p>
    <w:p w14:paraId="7BBC6F59" w14:textId="027E04D4" w:rsidR="00D9124D" w:rsidRPr="001A0D4D" w:rsidRDefault="00D9124D" w:rsidP="00087C67">
      <w:pPr>
        <w:numPr>
          <w:ilvl w:val="0"/>
          <w:numId w:val="2"/>
        </w:numPr>
        <w:ind w:left="360"/>
        <w:rPr>
          <w:rFonts w:cs="Arial"/>
        </w:rPr>
      </w:pPr>
      <w:r w:rsidRPr="001A0D4D">
        <w:rPr>
          <w:rFonts w:cs="Arial"/>
        </w:rPr>
        <w:t xml:space="preserve">The treating MO/NP must ensure OHA’s are prescribed on the patient’s </w:t>
      </w:r>
      <w:r w:rsidR="0CFD5E8B" w:rsidRPr="001A0D4D">
        <w:rPr>
          <w:rFonts w:cs="Arial"/>
        </w:rPr>
        <w:t>MAR in DHR</w:t>
      </w:r>
      <w:r w:rsidRPr="001A0D4D">
        <w:rPr>
          <w:rFonts w:cs="Arial"/>
        </w:rPr>
        <w:t>.</w:t>
      </w:r>
    </w:p>
    <w:p w14:paraId="0708B467" w14:textId="77777777" w:rsidR="00D9124D" w:rsidRPr="001A0D4D" w:rsidRDefault="00D9124D" w:rsidP="00087C67">
      <w:pPr>
        <w:numPr>
          <w:ilvl w:val="0"/>
          <w:numId w:val="2"/>
        </w:numPr>
        <w:ind w:left="360"/>
        <w:rPr>
          <w:rFonts w:cs="Arial"/>
        </w:rPr>
      </w:pPr>
      <w:r w:rsidRPr="001A0D4D">
        <w:rPr>
          <w:rFonts w:cs="Arial"/>
        </w:rPr>
        <w:t>The treating MO/NP will order the cessation of the insulin.</w:t>
      </w:r>
    </w:p>
    <w:p w14:paraId="73FD8BB0" w14:textId="77777777" w:rsidR="00D9124D" w:rsidRPr="001A0D4D" w:rsidRDefault="00D9124D" w:rsidP="00087C67">
      <w:pPr>
        <w:numPr>
          <w:ilvl w:val="0"/>
          <w:numId w:val="2"/>
        </w:numPr>
        <w:ind w:left="360"/>
        <w:rPr>
          <w:rFonts w:cs="Arial"/>
        </w:rPr>
      </w:pPr>
      <w:r w:rsidRPr="001A0D4D">
        <w:rPr>
          <w:rFonts w:cs="Arial"/>
        </w:rPr>
        <w:t>Cessation of the insulin infusion should be planned for early in the day.</w:t>
      </w:r>
    </w:p>
    <w:p w14:paraId="60E4C896" w14:textId="77777777" w:rsidR="00D9124D" w:rsidRPr="001A0D4D" w:rsidRDefault="00D9124D" w:rsidP="00087C67">
      <w:pPr>
        <w:numPr>
          <w:ilvl w:val="0"/>
          <w:numId w:val="2"/>
        </w:numPr>
        <w:ind w:left="360"/>
        <w:rPr>
          <w:rFonts w:cs="Arial"/>
        </w:rPr>
      </w:pPr>
      <w:r w:rsidRPr="001A0D4D">
        <w:rPr>
          <w:rFonts w:cs="Arial"/>
        </w:rPr>
        <w:t>Explain the procedure to the patient.</w:t>
      </w:r>
    </w:p>
    <w:p w14:paraId="43F000D4" w14:textId="77777777" w:rsidR="00D9124D" w:rsidRPr="001A0D4D" w:rsidRDefault="00D9124D" w:rsidP="00087C67">
      <w:pPr>
        <w:numPr>
          <w:ilvl w:val="0"/>
          <w:numId w:val="2"/>
        </w:numPr>
        <w:ind w:left="360"/>
        <w:rPr>
          <w:rFonts w:cs="Arial"/>
        </w:rPr>
      </w:pPr>
      <w:r w:rsidRPr="001A0D4D">
        <w:rPr>
          <w:rFonts w:cs="Arial"/>
        </w:rPr>
        <w:t xml:space="preserve">Patients normally treated with an OHA should recommence their OHA as ordered by MO/NP. </w:t>
      </w:r>
    </w:p>
    <w:p w14:paraId="695C92CA" w14:textId="77777777" w:rsidR="00D9124D" w:rsidRPr="001A0D4D" w:rsidRDefault="00D9124D" w:rsidP="00087C67">
      <w:pPr>
        <w:numPr>
          <w:ilvl w:val="0"/>
          <w:numId w:val="2"/>
        </w:numPr>
        <w:ind w:left="360"/>
        <w:rPr>
          <w:rFonts w:cs="Arial"/>
        </w:rPr>
      </w:pPr>
      <w:r w:rsidRPr="001A0D4D">
        <w:rPr>
          <w:rFonts w:cs="Arial"/>
        </w:rPr>
        <w:t xml:space="preserve">Both the IV insulin infusion and </w:t>
      </w:r>
      <w:proofErr w:type="gramStart"/>
      <w:r w:rsidRPr="001A0D4D">
        <w:rPr>
          <w:rFonts w:cs="Arial"/>
        </w:rPr>
        <w:t>side line</w:t>
      </w:r>
      <w:proofErr w:type="gramEnd"/>
      <w:r w:rsidRPr="001A0D4D">
        <w:rPr>
          <w:rFonts w:cs="Arial"/>
        </w:rPr>
        <w:t xml:space="preserve"> fluid are ceased at the time of giving oral hypoglycaemic medication.</w:t>
      </w:r>
    </w:p>
    <w:p w14:paraId="1F783E0E" w14:textId="77777777" w:rsidR="00D9124D" w:rsidRPr="001A0D4D" w:rsidRDefault="00D9124D" w:rsidP="00087C67">
      <w:pPr>
        <w:numPr>
          <w:ilvl w:val="0"/>
          <w:numId w:val="2"/>
        </w:numPr>
        <w:ind w:left="360"/>
        <w:rPr>
          <w:rFonts w:cs="Arial"/>
        </w:rPr>
      </w:pPr>
      <w:r w:rsidRPr="001A0D4D">
        <w:rPr>
          <w:rFonts w:cs="Arial"/>
        </w:rPr>
        <w:t>Leave the IV cannula capped and in situ for 6 hours.</w:t>
      </w:r>
    </w:p>
    <w:p w14:paraId="62F15D6D" w14:textId="77777777" w:rsidR="00D9124D" w:rsidRPr="001A0D4D" w:rsidRDefault="00D9124D" w:rsidP="00087C67">
      <w:pPr>
        <w:numPr>
          <w:ilvl w:val="0"/>
          <w:numId w:val="2"/>
        </w:numPr>
        <w:ind w:left="360"/>
        <w:rPr>
          <w:rFonts w:cs="Arial"/>
        </w:rPr>
      </w:pPr>
      <w:r w:rsidRPr="001A0D4D">
        <w:rPr>
          <w:rFonts w:cs="Arial"/>
        </w:rPr>
        <w:t xml:space="preserve">Continue hourly </w:t>
      </w:r>
      <w:proofErr w:type="spellStart"/>
      <w:r w:rsidRPr="001A0D4D">
        <w:rPr>
          <w:rFonts w:cs="Arial"/>
        </w:rPr>
        <w:t>cBGL’s</w:t>
      </w:r>
      <w:proofErr w:type="spellEnd"/>
      <w:r w:rsidRPr="001A0D4D">
        <w:rPr>
          <w:rFonts w:cs="Arial"/>
        </w:rPr>
        <w:t xml:space="preserve"> for 2 hours after removing the IV insulin infusion, then at standard ward times or as ordered by MO/NP.</w:t>
      </w:r>
    </w:p>
    <w:p w14:paraId="125657DD" w14:textId="77777777" w:rsidR="00956D0E" w:rsidRPr="001A0D4D" w:rsidRDefault="00956D0E" w:rsidP="00956D0E">
      <w:pPr>
        <w:rPr>
          <w:rFonts w:cs="Arial"/>
          <w:b/>
          <w:szCs w:val="24"/>
        </w:rPr>
      </w:pPr>
    </w:p>
    <w:p w14:paraId="4782B938" w14:textId="0A924890" w:rsidR="00D9124D" w:rsidRPr="001A0D4D" w:rsidRDefault="00F87C68" w:rsidP="00D9124D">
      <w:pPr>
        <w:spacing w:line="276" w:lineRule="auto"/>
        <w:rPr>
          <w:b/>
        </w:rPr>
      </w:pPr>
      <w:r w:rsidRPr="001A0D4D">
        <w:rPr>
          <w:b/>
          <w:bCs/>
        </w:rPr>
        <w:t>Ceasing Insulin Infusion</w:t>
      </w:r>
      <w:r>
        <w:rPr>
          <w:b/>
          <w:bCs/>
        </w:rPr>
        <w:t xml:space="preserve"> – </w:t>
      </w:r>
      <w:r w:rsidR="00D9124D" w:rsidRPr="001A0D4D">
        <w:rPr>
          <w:b/>
        </w:rPr>
        <w:t>For Patients Treated with Subcutaneous Insulin:</w:t>
      </w:r>
    </w:p>
    <w:p w14:paraId="7D0878CD" w14:textId="1C41BE95" w:rsidR="00D9124D" w:rsidRPr="001A0D4D" w:rsidRDefault="00D9124D" w:rsidP="00087C67">
      <w:pPr>
        <w:numPr>
          <w:ilvl w:val="0"/>
          <w:numId w:val="2"/>
        </w:numPr>
        <w:ind w:left="360"/>
        <w:rPr>
          <w:rFonts w:cs="Arial"/>
        </w:rPr>
      </w:pPr>
      <w:r w:rsidRPr="001A0D4D">
        <w:rPr>
          <w:rFonts w:cs="Arial"/>
        </w:rPr>
        <w:t xml:space="preserve">Attend hand hygiene </w:t>
      </w:r>
    </w:p>
    <w:p w14:paraId="490F3A0C" w14:textId="77777777" w:rsidR="00D9124D" w:rsidRPr="00087C67" w:rsidRDefault="00D9124D" w:rsidP="00087C67">
      <w:pPr>
        <w:numPr>
          <w:ilvl w:val="0"/>
          <w:numId w:val="2"/>
        </w:numPr>
        <w:ind w:left="360"/>
        <w:rPr>
          <w:rFonts w:cs="Arial"/>
        </w:rPr>
      </w:pPr>
      <w:r w:rsidRPr="63542FD7">
        <w:rPr>
          <w:rFonts w:cs="Arial"/>
        </w:rPr>
        <w:t>The patient must be tolerating an adequate oral intake prior to the cessation of the insulin infusion.</w:t>
      </w:r>
    </w:p>
    <w:p w14:paraId="6832B5A6" w14:textId="77777777" w:rsidR="00D9124D" w:rsidRPr="00B91064" w:rsidRDefault="00D9124D" w:rsidP="00087C67">
      <w:pPr>
        <w:numPr>
          <w:ilvl w:val="0"/>
          <w:numId w:val="2"/>
        </w:numPr>
        <w:ind w:left="360"/>
        <w:rPr>
          <w:rFonts w:cs="Arial"/>
        </w:rPr>
      </w:pPr>
      <w:r w:rsidRPr="63542FD7">
        <w:rPr>
          <w:rFonts w:cs="Arial"/>
        </w:rPr>
        <w:t xml:space="preserve">Monitored </w:t>
      </w:r>
      <w:proofErr w:type="spellStart"/>
      <w:r w:rsidRPr="63542FD7">
        <w:rPr>
          <w:rFonts w:cs="Arial"/>
        </w:rPr>
        <w:t>cBGLs</w:t>
      </w:r>
      <w:proofErr w:type="spellEnd"/>
      <w:r w:rsidRPr="63542FD7">
        <w:rPr>
          <w:rFonts w:cs="Arial"/>
        </w:rPr>
        <w:t xml:space="preserve"> should be within target as per MO/NP and no blood ketones present.</w:t>
      </w:r>
    </w:p>
    <w:p w14:paraId="7C6F9298" w14:textId="77777777" w:rsidR="00D9124D" w:rsidRPr="00B91064" w:rsidRDefault="00D9124D" w:rsidP="00087C67">
      <w:pPr>
        <w:numPr>
          <w:ilvl w:val="0"/>
          <w:numId w:val="2"/>
        </w:numPr>
        <w:ind w:left="360"/>
        <w:rPr>
          <w:rFonts w:cs="Arial"/>
        </w:rPr>
      </w:pPr>
      <w:r w:rsidRPr="63542FD7">
        <w:rPr>
          <w:rFonts w:cs="Arial"/>
        </w:rPr>
        <w:t>The treating MO/NP will order the cessation of the insulin infusion.</w:t>
      </w:r>
    </w:p>
    <w:p w14:paraId="5F57C3A2" w14:textId="77777777" w:rsidR="00D9124D" w:rsidRPr="00B91064" w:rsidRDefault="00D9124D" w:rsidP="00087C67">
      <w:pPr>
        <w:numPr>
          <w:ilvl w:val="0"/>
          <w:numId w:val="2"/>
        </w:numPr>
        <w:ind w:left="360"/>
        <w:rPr>
          <w:rFonts w:cs="Arial"/>
        </w:rPr>
      </w:pPr>
      <w:r w:rsidRPr="63542FD7">
        <w:rPr>
          <w:rFonts w:cs="Arial"/>
        </w:rPr>
        <w:t>Explain the procedure to the patient.</w:t>
      </w:r>
    </w:p>
    <w:p w14:paraId="44F905C7" w14:textId="77777777" w:rsidR="00D9124D" w:rsidRPr="00B91064" w:rsidRDefault="00D9124D" w:rsidP="00087C67">
      <w:pPr>
        <w:numPr>
          <w:ilvl w:val="0"/>
          <w:numId w:val="2"/>
        </w:numPr>
        <w:ind w:left="360"/>
        <w:rPr>
          <w:rFonts w:cs="Arial"/>
        </w:rPr>
      </w:pPr>
      <w:r w:rsidRPr="63542FD7">
        <w:rPr>
          <w:rFonts w:cs="Arial"/>
        </w:rPr>
        <w:t>Cessation of the insulin infusion should be planned for early in the day.</w:t>
      </w:r>
    </w:p>
    <w:p w14:paraId="205F7AA9" w14:textId="378BDEA1" w:rsidR="00D9124D" w:rsidRPr="00B91064" w:rsidRDefault="00D9124D" w:rsidP="00087C67">
      <w:pPr>
        <w:numPr>
          <w:ilvl w:val="0"/>
          <w:numId w:val="2"/>
        </w:numPr>
        <w:ind w:left="360"/>
        <w:rPr>
          <w:rFonts w:cs="Arial"/>
        </w:rPr>
      </w:pPr>
      <w:r w:rsidRPr="63542FD7">
        <w:rPr>
          <w:rFonts w:cs="Arial"/>
        </w:rPr>
        <w:t xml:space="preserve">The treating MO/NP must ensure that sub-cutaneous insulin is prescribed </w:t>
      </w:r>
      <w:r w:rsidR="00006C8D" w:rsidRPr="63542FD7">
        <w:rPr>
          <w:rFonts w:cs="Arial"/>
        </w:rPr>
        <w:t>in DHR.</w:t>
      </w:r>
    </w:p>
    <w:p w14:paraId="09F1774B" w14:textId="77777777" w:rsidR="00D9124D" w:rsidRPr="00B91064" w:rsidRDefault="00D9124D" w:rsidP="00087C67">
      <w:pPr>
        <w:numPr>
          <w:ilvl w:val="0"/>
          <w:numId w:val="2"/>
        </w:numPr>
        <w:ind w:left="360"/>
        <w:rPr>
          <w:rFonts w:cs="Arial"/>
        </w:rPr>
      </w:pPr>
      <w:r w:rsidRPr="63542FD7">
        <w:rPr>
          <w:rFonts w:cs="Arial"/>
        </w:rPr>
        <w:lastRenderedPageBreak/>
        <w:t xml:space="preserve">The patient’s normal subcutaneous insulin regime is recommenced prior to ceasing the IV insulin infusion.   </w:t>
      </w:r>
    </w:p>
    <w:p w14:paraId="0F7A402E" w14:textId="77777777" w:rsidR="00D9124D" w:rsidRPr="00B91064" w:rsidRDefault="00D9124D" w:rsidP="00087C67">
      <w:pPr>
        <w:numPr>
          <w:ilvl w:val="0"/>
          <w:numId w:val="2"/>
        </w:numPr>
        <w:ind w:left="360"/>
        <w:rPr>
          <w:rFonts w:cs="Arial"/>
        </w:rPr>
      </w:pPr>
      <w:r w:rsidRPr="63542FD7">
        <w:rPr>
          <w:rFonts w:cs="Arial"/>
        </w:rPr>
        <w:t xml:space="preserve">Patients treated with subcutaneous insulin must have an initial subcutaneous insulin dose administered prior to the insulin infusion being ceased. </w:t>
      </w:r>
    </w:p>
    <w:p w14:paraId="195EEE6B" w14:textId="77777777" w:rsidR="005D310E" w:rsidRDefault="005D310E" w:rsidP="005D310E">
      <w:pPr>
        <w:rPr>
          <w:rFonts w:cs="Arial"/>
        </w:rPr>
      </w:pPr>
    </w:p>
    <w:p w14:paraId="5FFCE692" w14:textId="02949684" w:rsidR="00D9124D" w:rsidRPr="00087C67" w:rsidRDefault="00D9124D" w:rsidP="005D310E">
      <w:pPr>
        <w:rPr>
          <w:rFonts w:cs="Arial"/>
        </w:rPr>
      </w:pPr>
      <w:r w:rsidRPr="2680D800">
        <w:rPr>
          <w:rFonts w:cs="Arial"/>
        </w:rPr>
        <w:t xml:space="preserve">This is ordered by a MO/NP. The timing of the injection is dependent on the type of insulin ordered.  </w:t>
      </w:r>
    </w:p>
    <w:p w14:paraId="6FF25F02" w14:textId="61671D4C" w:rsidR="2680D800" w:rsidRDefault="2680D800" w:rsidP="2680D800">
      <w:pPr>
        <w:rPr>
          <w:rFonts w:cs="Arial"/>
        </w:rPr>
      </w:pPr>
    </w:p>
    <w:p w14:paraId="51DB9326" w14:textId="0DEF7A90" w:rsidR="31594EE9" w:rsidRPr="00C33DBD" w:rsidRDefault="31594EE9" w:rsidP="2680D800">
      <w:pPr>
        <w:rPr>
          <w:rFonts w:cs="Arial"/>
          <w:b/>
          <w:bCs/>
        </w:rPr>
      </w:pPr>
      <w:r w:rsidRPr="00C33DBD">
        <w:rPr>
          <w:rFonts w:cs="Arial"/>
          <w:b/>
          <w:bCs/>
        </w:rPr>
        <w:t xml:space="preserve">People with type 1 diabetes MUST have a </w:t>
      </w:r>
      <w:r w:rsidR="22AEE5A8" w:rsidRPr="5DE29503">
        <w:rPr>
          <w:rFonts w:cs="Arial"/>
          <w:b/>
          <w:bCs/>
        </w:rPr>
        <w:t>long-acting</w:t>
      </w:r>
      <w:r w:rsidRPr="00C33DBD">
        <w:rPr>
          <w:rFonts w:cs="Arial"/>
          <w:b/>
          <w:bCs/>
        </w:rPr>
        <w:t xml:space="preserve"> insulin dose </w:t>
      </w:r>
      <w:r w:rsidRPr="5DE29503">
        <w:rPr>
          <w:rFonts w:cs="Arial"/>
          <w:b/>
          <w:bCs/>
        </w:rPr>
        <w:t>adm</w:t>
      </w:r>
      <w:r w:rsidR="0F5A3C24" w:rsidRPr="5DE29503">
        <w:rPr>
          <w:rFonts w:cs="Arial"/>
          <w:b/>
          <w:bCs/>
        </w:rPr>
        <w:t xml:space="preserve">inistered PRIOR </w:t>
      </w:r>
      <w:r w:rsidRPr="00C33DBD">
        <w:rPr>
          <w:rFonts w:cs="Arial"/>
          <w:b/>
          <w:bCs/>
        </w:rPr>
        <w:t>to the infusion being ceased</w:t>
      </w:r>
    </w:p>
    <w:p w14:paraId="6666EDE5" w14:textId="0FD9BEB8" w:rsidR="2680D800" w:rsidRPr="00C33DBD" w:rsidRDefault="2680D800" w:rsidP="2680D800">
      <w:pP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880"/>
        <w:gridCol w:w="3260"/>
      </w:tblGrid>
      <w:tr w:rsidR="00D9124D" w:rsidRPr="005D310E" w14:paraId="4F5DA4BB" w14:textId="77777777" w:rsidTr="00C33DBD">
        <w:trPr>
          <w:jc w:val="center"/>
        </w:trPr>
        <w:tc>
          <w:tcPr>
            <w:tcW w:w="2791" w:type="dxa"/>
            <w:shd w:val="clear" w:color="auto" w:fill="D9D9D9" w:themeFill="background1" w:themeFillShade="D9"/>
            <w:vAlign w:val="center"/>
          </w:tcPr>
          <w:p w14:paraId="04266248" w14:textId="77777777" w:rsidR="00D9124D" w:rsidRPr="005D310E" w:rsidRDefault="00D9124D" w:rsidP="00C33DBD">
            <w:pPr>
              <w:jc w:val="center"/>
              <w:rPr>
                <w:b/>
                <w:bCs/>
                <w:sz w:val="22"/>
                <w:szCs w:val="22"/>
              </w:rPr>
            </w:pPr>
            <w:r w:rsidRPr="5DE29503">
              <w:rPr>
                <w:b/>
                <w:bCs/>
                <w:sz w:val="22"/>
                <w:szCs w:val="22"/>
              </w:rPr>
              <w:t>Insulin</w:t>
            </w:r>
          </w:p>
        </w:tc>
        <w:tc>
          <w:tcPr>
            <w:tcW w:w="2880" w:type="dxa"/>
            <w:shd w:val="clear" w:color="auto" w:fill="D9D9D9" w:themeFill="background1" w:themeFillShade="D9"/>
            <w:vAlign w:val="center"/>
          </w:tcPr>
          <w:p w14:paraId="4F952591" w14:textId="77777777" w:rsidR="00D9124D" w:rsidRPr="005D310E" w:rsidRDefault="00D9124D" w:rsidP="00C33DBD">
            <w:pPr>
              <w:jc w:val="center"/>
              <w:rPr>
                <w:b/>
                <w:sz w:val="22"/>
                <w:szCs w:val="18"/>
              </w:rPr>
            </w:pPr>
            <w:r w:rsidRPr="005D310E">
              <w:rPr>
                <w:b/>
                <w:sz w:val="22"/>
                <w:szCs w:val="18"/>
              </w:rPr>
              <w:t>Peak action after subcutaneous injection</w:t>
            </w:r>
          </w:p>
        </w:tc>
        <w:tc>
          <w:tcPr>
            <w:tcW w:w="3260" w:type="dxa"/>
            <w:shd w:val="clear" w:color="auto" w:fill="D9D9D9" w:themeFill="background1" w:themeFillShade="D9"/>
            <w:vAlign w:val="center"/>
          </w:tcPr>
          <w:p w14:paraId="27CF1B78" w14:textId="77777777" w:rsidR="00D9124D" w:rsidRPr="005D310E" w:rsidRDefault="00D9124D" w:rsidP="00C33DBD">
            <w:pPr>
              <w:jc w:val="center"/>
              <w:rPr>
                <w:b/>
                <w:sz w:val="22"/>
                <w:szCs w:val="18"/>
              </w:rPr>
            </w:pPr>
            <w:r w:rsidRPr="005D310E">
              <w:rPr>
                <w:b/>
                <w:sz w:val="22"/>
                <w:szCs w:val="18"/>
              </w:rPr>
              <w:t>When to cease insulin infusion</w:t>
            </w:r>
          </w:p>
        </w:tc>
      </w:tr>
      <w:tr w:rsidR="00D9124D" w:rsidRPr="005D310E" w14:paraId="4F9047B4" w14:textId="77777777" w:rsidTr="5DE29503">
        <w:trPr>
          <w:jc w:val="center"/>
        </w:trPr>
        <w:tc>
          <w:tcPr>
            <w:tcW w:w="2791" w:type="dxa"/>
          </w:tcPr>
          <w:p w14:paraId="5685877A" w14:textId="6EAF062D" w:rsidR="00D9124D" w:rsidRPr="005D310E" w:rsidRDefault="00D9124D" w:rsidP="00AA03B6">
            <w:pPr>
              <w:rPr>
                <w:sz w:val="22"/>
                <w:szCs w:val="22"/>
              </w:rPr>
            </w:pPr>
            <w:r w:rsidRPr="63542FD7">
              <w:rPr>
                <w:sz w:val="22"/>
                <w:szCs w:val="22"/>
              </w:rPr>
              <w:t xml:space="preserve">Rapid Acting e.g. </w:t>
            </w:r>
            <w:proofErr w:type="spellStart"/>
            <w:proofErr w:type="gramStart"/>
            <w:r w:rsidRPr="63542FD7">
              <w:rPr>
                <w:sz w:val="22"/>
                <w:szCs w:val="22"/>
              </w:rPr>
              <w:t>Novorapid</w:t>
            </w:r>
            <w:proofErr w:type="spellEnd"/>
            <w:r w:rsidRPr="63542FD7">
              <w:rPr>
                <w:sz w:val="22"/>
                <w:szCs w:val="22"/>
              </w:rPr>
              <w:t xml:space="preserve">,  </w:t>
            </w:r>
            <w:proofErr w:type="spellStart"/>
            <w:r w:rsidRPr="63542FD7">
              <w:rPr>
                <w:sz w:val="22"/>
                <w:szCs w:val="22"/>
              </w:rPr>
              <w:t>Novomix</w:t>
            </w:r>
            <w:proofErr w:type="spellEnd"/>
            <w:proofErr w:type="gramEnd"/>
            <w:r w:rsidRPr="63542FD7">
              <w:rPr>
                <w:sz w:val="22"/>
                <w:szCs w:val="22"/>
              </w:rPr>
              <w:t xml:space="preserve"> 30, Humalog, Humalog mix, </w:t>
            </w:r>
            <w:proofErr w:type="spellStart"/>
            <w:r w:rsidRPr="63542FD7">
              <w:rPr>
                <w:sz w:val="22"/>
                <w:szCs w:val="22"/>
              </w:rPr>
              <w:t>Apidra</w:t>
            </w:r>
            <w:proofErr w:type="spellEnd"/>
            <w:r w:rsidRPr="63542FD7">
              <w:rPr>
                <w:sz w:val="22"/>
                <w:szCs w:val="22"/>
              </w:rPr>
              <w:t>,</w:t>
            </w:r>
            <w:r w:rsidR="4BF9DA19" w:rsidRPr="63542FD7">
              <w:rPr>
                <w:sz w:val="22"/>
                <w:szCs w:val="22"/>
              </w:rPr>
              <w:t xml:space="preserve"> </w:t>
            </w:r>
            <w:proofErr w:type="spellStart"/>
            <w:r w:rsidR="4BF9DA19" w:rsidRPr="63542FD7">
              <w:rPr>
                <w:sz w:val="22"/>
                <w:szCs w:val="22"/>
              </w:rPr>
              <w:t>Ryzodeg</w:t>
            </w:r>
            <w:proofErr w:type="spellEnd"/>
          </w:p>
        </w:tc>
        <w:tc>
          <w:tcPr>
            <w:tcW w:w="2880" w:type="dxa"/>
          </w:tcPr>
          <w:p w14:paraId="5BAB4296" w14:textId="77777777" w:rsidR="00D9124D" w:rsidRPr="005D310E" w:rsidRDefault="00D9124D" w:rsidP="00AA03B6">
            <w:pPr>
              <w:jc w:val="center"/>
              <w:rPr>
                <w:sz w:val="22"/>
                <w:szCs w:val="18"/>
              </w:rPr>
            </w:pPr>
          </w:p>
          <w:p w14:paraId="54266A94" w14:textId="77777777" w:rsidR="00D9124D" w:rsidRPr="005D310E" w:rsidRDefault="00D9124D" w:rsidP="00AA03B6">
            <w:pPr>
              <w:jc w:val="center"/>
              <w:rPr>
                <w:sz w:val="22"/>
                <w:szCs w:val="18"/>
              </w:rPr>
            </w:pPr>
            <w:r w:rsidRPr="005D310E">
              <w:rPr>
                <w:sz w:val="22"/>
                <w:szCs w:val="18"/>
              </w:rPr>
              <w:t>Less than 1 hour</w:t>
            </w:r>
          </w:p>
        </w:tc>
        <w:tc>
          <w:tcPr>
            <w:tcW w:w="3260" w:type="dxa"/>
          </w:tcPr>
          <w:p w14:paraId="60D393CB" w14:textId="77777777" w:rsidR="00D9124D" w:rsidRPr="005D310E" w:rsidRDefault="00D9124D" w:rsidP="00AA03B6">
            <w:pPr>
              <w:jc w:val="center"/>
              <w:rPr>
                <w:sz w:val="22"/>
                <w:szCs w:val="18"/>
              </w:rPr>
            </w:pPr>
          </w:p>
          <w:p w14:paraId="2FD9BF65" w14:textId="77777777" w:rsidR="00D9124D" w:rsidRPr="005D310E" w:rsidRDefault="00D9124D" w:rsidP="00AA03B6">
            <w:pPr>
              <w:jc w:val="center"/>
              <w:rPr>
                <w:sz w:val="22"/>
                <w:szCs w:val="18"/>
              </w:rPr>
            </w:pPr>
            <w:r w:rsidRPr="005D310E">
              <w:rPr>
                <w:sz w:val="22"/>
                <w:szCs w:val="18"/>
              </w:rPr>
              <w:t>1 hour after the subcutaneous injection</w:t>
            </w:r>
          </w:p>
        </w:tc>
      </w:tr>
      <w:tr w:rsidR="00D9124D" w:rsidRPr="005D310E" w14:paraId="5FB87B9C" w14:textId="77777777" w:rsidTr="5DE29503">
        <w:trPr>
          <w:jc w:val="center"/>
        </w:trPr>
        <w:tc>
          <w:tcPr>
            <w:tcW w:w="2791" w:type="dxa"/>
          </w:tcPr>
          <w:p w14:paraId="6D1B9F34" w14:textId="77777777" w:rsidR="00D9124D" w:rsidRPr="005D310E" w:rsidRDefault="00D9124D" w:rsidP="00AA03B6">
            <w:pPr>
              <w:rPr>
                <w:sz w:val="22"/>
                <w:szCs w:val="18"/>
              </w:rPr>
            </w:pPr>
            <w:r w:rsidRPr="005D310E">
              <w:rPr>
                <w:sz w:val="22"/>
                <w:szCs w:val="18"/>
              </w:rPr>
              <w:t xml:space="preserve">Short Acting e.g. </w:t>
            </w:r>
            <w:proofErr w:type="spellStart"/>
            <w:r w:rsidRPr="005D310E">
              <w:rPr>
                <w:sz w:val="22"/>
                <w:szCs w:val="18"/>
              </w:rPr>
              <w:t>Actrapid</w:t>
            </w:r>
            <w:proofErr w:type="spellEnd"/>
            <w:r w:rsidRPr="005D310E">
              <w:rPr>
                <w:sz w:val="22"/>
                <w:szCs w:val="18"/>
              </w:rPr>
              <w:t xml:space="preserve">, Humulin R, </w:t>
            </w:r>
            <w:proofErr w:type="spellStart"/>
            <w:r w:rsidRPr="005D310E">
              <w:rPr>
                <w:sz w:val="22"/>
                <w:szCs w:val="18"/>
              </w:rPr>
              <w:t>Mixtard</w:t>
            </w:r>
            <w:proofErr w:type="spellEnd"/>
            <w:r w:rsidRPr="005D310E">
              <w:rPr>
                <w:sz w:val="22"/>
                <w:szCs w:val="18"/>
              </w:rPr>
              <w:t xml:space="preserve"> </w:t>
            </w:r>
          </w:p>
        </w:tc>
        <w:tc>
          <w:tcPr>
            <w:tcW w:w="2880" w:type="dxa"/>
          </w:tcPr>
          <w:p w14:paraId="57B76D6C" w14:textId="77777777" w:rsidR="00D9124D" w:rsidRPr="005D310E" w:rsidRDefault="00D9124D" w:rsidP="00AA03B6">
            <w:pPr>
              <w:jc w:val="center"/>
              <w:rPr>
                <w:sz w:val="22"/>
                <w:szCs w:val="18"/>
              </w:rPr>
            </w:pPr>
          </w:p>
          <w:p w14:paraId="32EDB8DA" w14:textId="77777777" w:rsidR="00D9124D" w:rsidRPr="005D310E" w:rsidRDefault="00D9124D" w:rsidP="00AA03B6">
            <w:pPr>
              <w:jc w:val="center"/>
              <w:rPr>
                <w:sz w:val="22"/>
                <w:szCs w:val="18"/>
              </w:rPr>
            </w:pPr>
            <w:r w:rsidRPr="005D310E">
              <w:rPr>
                <w:sz w:val="22"/>
                <w:szCs w:val="18"/>
              </w:rPr>
              <w:t>2-4 hours</w:t>
            </w:r>
          </w:p>
        </w:tc>
        <w:tc>
          <w:tcPr>
            <w:tcW w:w="3260" w:type="dxa"/>
          </w:tcPr>
          <w:p w14:paraId="64D95D42" w14:textId="77777777" w:rsidR="00D9124D" w:rsidRPr="005D310E" w:rsidRDefault="00D9124D" w:rsidP="00AA03B6">
            <w:pPr>
              <w:jc w:val="center"/>
              <w:rPr>
                <w:sz w:val="22"/>
                <w:szCs w:val="18"/>
              </w:rPr>
            </w:pPr>
          </w:p>
          <w:p w14:paraId="01DB938F" w14:textId="77777777" w:rsidR="00D9124D" w:rsidRPr="005D310E" w:rsidRDefault="00D9124D" w:rsidP="00AA03B6">
            <w:pPr>
              <w:jc w:val="center"/>
              <w:rPr>
                <w:sz w:val="22"/>
                <w:szCs w:val="18"/>
              </w:rPr>
            </w:pPr>
            <w:r w:rsidRPr="005D310E">
              <w:rPr>
                <w:sz w:val="22"/>
                <w:szCs w:val="18"/>
              </w:rPr>
              <w:t>2 hours after subcutaneous injection</w:t>
            </w:r>
          </w:p>
        </w:tc>
      </w:tr>
      <w:tr w:rsidR="00D9124D" w:rsidRPr="005D310E" w14:paraId="6C57D6C2" w14:textId="77777777" w:rsidTr="5DE29503">
        <w:trPr>
          <w:jc w:val="center"/>
        </w:trPr>
        <w:tc>
          <w:tcPr>
            <w:tcW w:w="2791" w:type="dxa"/>
          </w:tcPr>
          <w:p w14:paraId="436B0563" w14:textId="77777777" w:rsidR="00D9124D" w:rsidRPr="005D310E" w:rsidRDefault="00D9124D" w:rsidP="00AA03B6">
            <w:pPr>
              <w:rPr>
                <w:sz w:val="22"/>
                <w:szCs w:val="18"/>
              </w:rPr>
            </w:pPr>
            <w:r w:rsidRPr="005D310E">
              <w:rPr>
                <w:sz w:val="22"/>
                <w:szCs w:val="18"/>
              </w:rPr>
              <w:t xml:space="preserve">Intermediate Acting e.g. </w:t>
            </w:r>
            <w:proofErr w:type="spellStart"/>
            <w:r w:rsidRPr="005D310E">
              <w:rPr>
                <w:sz w:val="22"/>
                <w:szCs w:val="18"/>
              </w:rPr>
              <w:t>Protophane</w:t>
            </w:r>
            <w:proofErr w:type="spellEnd"/>
            <w:r w:rsidRPr="005D310E">
              <w:rPr>
                <w:sz w:val="22"/>
                <w:szCs w:val="18"/>
              </w:rPr>
              <w:t xml:space="preserve">, Humulin NPH, </w:t>
            </w:r>
          </w:p>
        </w:tc>
        <w:tc>
          <w:tcPr>
            <w:tcW w:w="2880" w:type="dxa"/>
          </w:tcPr>
          <w:p w14:paraId="7BBA7F27" w14:textId="77777777" w:rsidR="00D9124D" w:rsidRPr="005D310E" w:rsidRDefault="00D9124D" w:rsidP="00AA03B6">
            <w:pPr>
              <w:jc w:val="center"/>
              <w:rPr>
                <w:sz w:val="22"/>
                <w:szCs w:val="18"/>
              </w:rPr>
            </w:pPr>
          </w:p>
          <w:p w14:paraId="3CACF35A" w14:textId="77777777" w:rsidR="00D9124D" w:rsidRPr="005D310E" w:rsidRDefault="00D9124D" w:rsidP="00AA03B6">
            <w:pPr>
              <w:jc w:val="center"/>
              <w:rPr>
                <w:sz w:val="22"/>
                <w:szCs w:val="18"/>
              </w:rPr>
            </w:pPr>
            <w:r w:rsidRPr="005D310E">
              <w:rPr>
                <w:sz w:val="22"/>
                <w:szCs w:val="18"/>
              </w:rPr>
              <w:t>4-6 hours</w:t>
            </w:r>
          </w:p>
        </w:tc>
        <w:tc>
          <w:tcPr>
            <w:tcW w:w="3260" w:type="dxa"/>
          </w:tcPr>
          <w:p w14:paraId="5200AB05" w14:textId="77777777" w:rsidR="00D9124D" w:rsidRPr="005D310E" w:rsidRDefault="00D9124D" w:rsidP="00AA03B6">
            <w:pPr>
              <w:jc w:val="center"/>
              <w:rPr>
                <w:sz w:val="22"/>
                <w:szCs w:val="18"/>
              </w:rPr>
            </w:pPr>
          </w:p>
          <w:p w14:paraId="7EADCB29" w14:textId="77777777" w:rsidR="00D9124D" w:rsidRPr="005D310E" w:rsidRDefault="00D9124D" w:rsidP="00AA03B6">
            <w:pPr>
              <w:jc w:val="center"/>
              <w:rPr>
                <w:sz w:val="22"/>
                <w:szCs w:val="18"/>
              </w:rPr>
            </w:pPr>
            <w:r w:rsidRPr="005D310E">
              <w:rPr>
                <w:sz w:val="22"/>
                <w:szCs w:val="18"/>
              </w:rPr>
              <w:t>4 hours after subcutaneous injection</w:t>
            </w:r>
          </w:p>
        </w:tc>
      </w:tr>
      <w:tr w:rsidR="00D9124D" w:rsidRPr="005D310E" w14:paraId="4CC4EA96" w14:textId="77777777" w:rsidTr="5DE29503">
        <w:trPr>
          <w:jc w:val="center"/>
        </w:trPr>
        <w:tc>
          <w:tcPr>
            <w:tcW w:w="2791" w:type="dxa"/>
          </w:tcPr>
          <w:p w14:paraId="00D6BBDA" w14:textId="0BE8A760" w:rsidR="00D9124D" w:rsidRPr="005D310E" w:rsidRDefault="00D9124D" w:rsidP="00AA03B6">
            <w:pPr>
              <w:rPr>
                <w:sz w:val="22"/>
                <w:szCs w:val="22"/>
              </w:rPr>
            </w:pPr>
            <w:r w:rsidRPr="02DA37D7">
              <w:rPr>
                <w:sz w:val="22"/>
                <w:szCs w:val="22"/>
              </w:rPr>
              <w:t xml:space="preserve">Long Acting e.g.  </w:t>
            </w:r>
            <w:proofErr w:type="spellStart"/>
            <w:r w:rsidR="0696C827" w:rsidRPr="02DA37D7">
              <w:rPr>
                <w:sz w:val="22"/>
                <w:szCs w:val="22"/>
              </w:rPr>
              <w:t>Optisulin</w:t>
            </w:r>
            <w:proofErr w:type="spellEnd"/>
            <w:r w:rsidR="0696C827" w:rsidRPr="02DA37D7">
              <w:rPr>
                <w:sz w:val="22"/>
                <w:szCs w:val="22"/>
              </w:rPr>
              <w:t xml:space="preserve">, </w:t>
            </w:r>
            <w:proofErr w:type="spellStart"/>
            <w:r w:rsidR="0696C827" w:rsidRPr="02DA37D7">
              <w:rPr>
                <w:sz w:val="22"/>
                <w:szCs w:val="22"/>
              </w:rPr>
              <w:t>Toujeo</w:t>
            </w:r>
            <w:proofErr w:type="spellEnd"/>
            <w:r w:rsidRPr="02DA37D7">
              <w:rPr>
                <w:sz w:val="22"/>
                <w:szCs w:val="22"/>
              </w:rPr>
              <w:t>, Levemir</w:t>
            </w:r>
          </w:p>
        </w:tc>
        <w:tc>
          <w:tcPr>
            <w:tcW w:w="2880" w:type="dxa"/>
          </w:tcPr>
          <w:p w14:paraId="48F158E9" w14:textId="77777777" w:rsidR="00D9124D" w:rsidRPr="005D310E" w:rsidRDefault="00D9124D" w:rsidP="00AA03B6">
            <w:pPr>
              <w:jc w:val="center"/>
              <w:rPr>
                <w:sz w:val="22"/>
                <w:szCs w:val="18"/>
              </w:rPr>
            </w:pPr>
          </w:p>
          <w:p w14:paraId="6DECBDC2" w14:textId="77777777" w:rsidR="00D9124D" w:rsidRPr="005D310E" w:rsidRDefault="00D9124D" w:rsidP="00AA03B6">
            <w:pPr>
              <w:jc w:val="center"/>
              <w:rPr>
                <w:sz w:val="22"/>
                <w:szCs w:val="18"/>
              </w:rPr>
            </w:pPr>
            <w:r w:rsidRPr="005D310E">
              <w:rPr>
                <w:sz w:val="22"/>
                <w:szCs w:val="18"/>
              </w:rPr>
              <w:t>N/A</w:t>
            </w:r>
          </w:p>
        </w:tc>
        <w:tc>
          <w:tcPr>
            <w:tcW w:w="3260" w:type="dxa"/>
          </w:tcPr>
          <w:p w14:paraId="2E389BFC" w14:textId="77777777" w:rsidR="00D9124D" w:rsidRPr="005D310E" w:rsidRDefault="00D9124D" w:rsidP="00AA03B6">
            <w:pPr>
              <w:jc w:val="center"/>
              <w:rPr>
                <w:sz w:val="22"/>
                <w:szCs w:val="18"/>
              </w:rPr>
            </w:pPr>
            <w:r w:rsidRPr="005D310E">
              <w:rPr>
                <w:sz w:val="22"/>
                <w:szCs w:val="18"/>
              </w:rPr>
              <w:t>2 hours after subcutaneous injection</w:t>
            </w:r>
          </w:p>
        </w:tc>
      </w:tr>
    </w:tbl>
    <w:p w14:paraId="396866BE" w14:textId="77777777" w:rsidR="00D9124D" w:rsidRPr="00110D0C" w:rsidRDefault="00D9124D" w:rsidP="00D9124D">
      <w:pPr>
        <w:spacing w:line="276" w:lineRule="auto"/>
        <w:ind w:left="720"/>
        <w:jc w:val="both"/>
        <w:rPr>
          <w:rFonts w:cs="Arial"/>
          <w:b/>
        </w:rPr>
      </w:pPr>
    </w:p>
    <w:p w14:paraId="753A503A" w14:textId="77777777" w:rsidR="00D9124D" w:rsidRPr="00B91064" w:rsidRDefault="00D9124D" w:rsidP="00087C67">
      <w:pPr>
        <w:numPr>
          <w:ilvl w:val="0"/>
          <w:numId w:val="2"/>
        </w:numPr>
        <w:ind w:left="360"/>
        <w:rPr>
          <w:rFonts w:cs="Arial"/>
        </w:rPr>
      </w:pPr>
      <w:r w:rsidRPr="63542FD7">
        <w:rPr>
          <w:rFonts w:cs="Arial"/>
        </w:rPr>
        <w:t xml:space="preserve">The insulin infusion administered through the main line and </w:t>
      </w:r>
      <w:proofErr w:type="gramStart"/>
      <w:r w:rsidRPr="63542FD7">
        <w:rPr>
          <w:rFonts w:cs="Arial"/>
        </w:rPr>
        <w:t>side line</w:t>
      </w:r>
      <w:proofErr w:type="gramEnd"/>
      <w:r w:rsidRPr="63542FD7">
        <w:rPr>
          <w:rFonts w:cs="Arial"/>
        </w:rPr>
        <w:t xml:space="preserve"> continue until the peak action of subcutaneous insulin is reached or as ordered by the MO/ NP.</w:t>
      </w:r>
    </w:p>
    <w:p w14:paraId="5924ACAB" w14:textId="77777777" w:rsidR="00D9124D" w:rsidRPr="00F802B2" w:rsidRDefault="00D9124D" w:rsidP="00087C67">
      <w:pPr>
        <w:numPr>
          <w:ilvl w:val="0"/>
          <w:numId w:val="2"/>
        </w:numPr>
        <w:ind w:left="360"/>
        <w:rPr>
          <w:rFonts w:cs="Arial"/>
        </w:rPr>
      </w:pPr>
      <w:r w:rsidRPr="63542FD7">
        <w:rPr>
          <w:rFonts w:cs="Arial"/>
        </w:rPr>
        <w:t>The IV cannula is left capped and in situ for 6 hours, as the insulin infusion may need to be recommenced.</w:t>
      </w:r>
    </w:p>
    <w:p w14:paraId="6F00EFAA" w14:textId="77777777" w:rsidR="00D9124D" w:rsidRPr="00F802B2" w:rsidRDefault="00D9124D" w:rsidP="00087C67">
      <w:pPr>
        <w:numPr>
          <w:ilvl w:val="0"/>
          <w:numId w:val="2"/>
        </w:numPr>
        <w:ind w:left="360"/>
        <w:rPr>
          <w:rFonts w:cs="Arial"/>
        </w:rPr>
      </w:pPr>
      <w:r w:rsidRPr="63542FD7">
        <w:rPr>
          <w:rFonts w:cs="Arial"/>
        </w:rPr>
        <w:t xml:space="preserve">Hourly </w:t>
      </w:r>
      <w:proofErr w:type="spellStart"/>
      <w:r w:rsidRPr="63542FD7">
        <w:rPr>
          <w:rFonts w:cs="Arial"/>
        </w:rPr>
        <w:t>cBGL’s</w:t>
      </w:r>
      <w:proofErr w:type="spellEnd"/>
      <w:r w:rsidRPr="63542FD7">
        <w:rPr>
          <w:rFonts w:cs="Arial"/>
        </w:rPr>
        <w:t xml:space="preserve"> are continued for 2 hours after removing the insulin infusion, then at standard ward times or as ordered by MO/NP.</w:t>
      </w:r>
    </w:p>
    <w:p w14:paraId="11F73AE8" w14:textId="77777777" w:rsidR="00D9124D" w:rsidRPr="00F802B2" w:rsidRDefault="00D9124D" w:rsidP="00087C67">
      <w:pPr>
        <w:numPr>
          <w:ilvl w:val="0"/>
          <w:numId w:val="2"/>
        </w:numPr>
        <w:ind w:left="360"/>
        <w:rPr>
          <w:rFonts w:cs="Arial"/>
        </w:rPr>
      </w:pPr>
      <w:r w:rsidRPr="63542FD7">
        <w:rPr>
          <w:rFonts w:cs="Arial"/>
        </w:rPr>
        <w:t xml:space="preserve">The </w:t>
      </w:r>
      <w:proofErr w:type="spellStart"/>
      <w:r w:rsidRPr="63542FD7">
        <w:rPr>
          <w:rFonts w:cs="Arial"/>
        </w:rPr>
        <w:t>cBKL</w:t>
      </w:r>
      <w:proofErr w:type="spellEnd"/>
      <w:r w:rsidRPr="63542FD7">
        <w:rPr>
          <w:rFonts w:cs="Arial"/>
        </w:rPr>
        <w:t xml:space="preserve"> is checked 2 hours after removing the insulin infusion. If blood ketones are present continue to monitor 2nd hourly, otherwise at standard times and contact MO/NP.</w:t>
      </w:r>
    </w:p>
    <w:p w14:paraId="549B8A5B" w14:textId="31D1CCD9" w:rsidR="00D9124D" w:rsidRPr="00F802B2" w:rsidRDefault="00D9124D" w:rsidP="00087C67">
      <w:pPr>
        <w:numPr>
          <w:ilvl w:val="0"/>
          <w:numId w:val="2"/>
        </w:numPr>
        <w:ind w:left="360"/>
        <w:rPr>
          <w:rFonts w:cs="Arial"/>
        </w:rPr>
      </w:pPr>
      <w:r w:rsidRPr="63542FD7">
        <w:rPr>
          <w:rFonts w:cs="Arial"/>
        </w:rPr>
        <w:t xml:space="preserve">Document all </w:t>
      </w:r>
      <w:proofErr w:type="spellStart"/>
      <w:r w:rsidRPr="63542FD7">
        <w:rPr>
          <w:rFonts w:cs="Arial"/>
        </w:rPr>
        <w:t>cBGL’s</w:t>
      </w:r>
      <w:proofErr w:type="spellEnd"/>
      <w:r w:rsidRPr="63542FD7">
        <w:rPr>
          <w:rFonts w:cs="Arial"/>
        </w:rPr>
        <w:t xml:space="preserve"> and </w:t>
      </w:r>
      <w:proofErr w:type="spellStart"/>
      <w:proofErr w:type="gramStart"/>
      <w:r w:rsidRPr="63542FD7">
        <w:rPr>
          <w:rFonts w:cs="Arial"/>
        </w:rPr>
        <w:t>cBKL’s</w:t>
      </w:r>
      <w:proofErr w:type="spellEnd"/>
      <w:r w:rsidRPr="63542FD7">
        <w:rPr>
          <w:rFonts w:cs="Arial"/>
        </w:rPr>
        <w:t xml:space="preserve"> </w:t>
      </w:r>
      <w:r w:rsidR="43E9E1C6" w:rsidRPr="63542FD7">
        <w:rPr>
          <w:rFonts w:cs="Arial"/>
        </w:rPr>
        <w:t xml:space="preserve"> in</w:t>
      </w:r>
      <w:proofErr w:type="gramEnd"/>
      <w:r w:rsidR="43E9E1C6" w:rsidRPr="63542FD7">
        <w:rPr>
          <w:rFonts w:cs="Arial"/>
        </w:rPr>
        <w:t xml:space="preserve"> the </w:t>
      </w:r>
      <w:r w:rsidR="4B8CDA44" w:rsidRPr="63542FD7">
        <w:rPr>
          <w:rFonts w:cs="Arial"/>
        </w:rPr>
        <w:t>DHR flowsheet</w:t>
      </w:r>
      <w:r w:rsidRPr="63542FD7">
        <w:rPr>
          <w:rFonts w:cs="Arial"/>
        </w:rPr>
        <w:t>.</w:t>
      </w:r>
    </w:p>
    <w:p w14:paraId="6E17A81C" w14:textId="77777777" w:rsidR="00D9124D" w:rsidRDefault="00D9124D" w:rsidP="00087C67">
      <w:pPr>
        <w:numPr>
          <w:ilvl w:val="0"/>
          <w:numId w:val="2"/>
        </w:numPr>
        <w:ind w:left="360"/>
        <w:rPr>
          <w:rFonts w:cs="Arial"/>
        </w:rPr>
      </w:pPr>
      <w:r w:rsidRPr="63542FD7">
        <w:rPr>
          <w:rFonts w:cs="Arial"/>
        </w:rPr>
        <w:t>Refer the patient to the Diabetes Educator for assessment and planning of diabetes care and support.</w:t>
      </w:r>
    </w:p>
    <w:p w14:paraId="652CCF6B" w14:textId="77777777" w:rsidR="00B91064" w:rsidRDefault="00B91064" w:rsidP="00B91064">
      <w:pPr>
        <w:pStyle w:val="ListBullet"/>
        <w:numPr>
          <w:ilvl w:val="0"/>
          <w:numId w:val="0"/>
        </w:numPr>
        <w:ind w:left="426"/>
        <w:rPr>
          <w:rFonts w:cs="Arial"/>
        </w:rPr>
      </w:pPr>
    </w:p>
    <w:p w14:paraId="6E3FA6A8" w14:textId="28F67410" w:rsidR="00B91064" w:rsidRPr="00F802B2" w:rsidRDefault="00F87C68" w:rsidP="00B91064">
      <w:pPr>
        <w:spacing w:line="276" w:lineRule="auto"/>
        <w:rPr>
          <w:b/>
        </w:rPr>
      </w:pPr>
      <w:r w:rsidRPr="001A0D4D">
        <w:rPr>
          <w:b/>
          <w:bCs/>
        </w:rPr>
        <w:t>Ceasing Insulin Infusion</w:t>
      </w:r>
      <w:r>
        <w:rPr>
          <w:b/>
          <w:bCs/>
        </w:rPr>
        <w:t xml:space="preserve"> – </w:t>
      </w:r>
      <w:r w:rsidR="00B91064" w:rsidRPr="00F802B2">
        <w:rPr>
          <w:b/>
        </w:rPr>
        <w:t xml:space="preserve">For </w:t>
      </w:r>
      <w:r w:rsidR="00B91064">
        <w:rPr>
          <w:b/>
        </w:rPr>
        <w:t>p</w:t>
      </w:r>
      <w:r w:rsidR="00B91064" w:rsidRPr="00F802B2">
        <w:rPr>
          <w:b/>
        </w:rPr>
        <w:t>atients treated with</w:t>
      </w:r>
      <w:r w:rsidR="00B91064">
        <w:rPr>
          <w:b/>
        </w:rPr>
        <w:t xml:space="preserve"> continuous</w:t>
      </w:r>
      <w:r w:rsidR="00B91064" w:rsidRPr="00F802B2">
        <w:rPr>
          <w:b/>
        </w:rPr>
        <w:t xml:space="preserve"> subcutaneous insulin</w:t>
      </w:r>
      <w:r w:rsidR="00B91064">
        <w:rPr>
          <w:b/>
        </w:rPr>
        <w:t xml:space="preserve"> infusion</w:t>
      </w:r>
      <w:r w:rsidR="00006C8D">
        <w:rPr>
          <w:b/>
        </w:rPr>
        <w:t xml:space="preserve"> (CSII)</w:t>
      </w:r>
    </w:p>
    <w:p w14:paraId="1AE96A61" w14:textId="2139188C" w:rsidR="00B91064" w:rsidRDefault="00B91064" w:rsidP="00087C67">
      <w:pPr>
        <w:numPr>
          <w:ilvl w:val="0"/>
          <w:numId w:val="2"/>
        </w:numPr>
        <w:ind w:left="360"/>
        <w:rPr>
          <w:rFonts w:cs="Arial"/>
        </w:rPr>
      </w:pPr>
      <w:r w:rsidRPr="63542FD7">
        <w:rPr>
          <w:rFonts w:cs="Arial"/>
        </w:rPr>
        <w:t xml:space="preserve">Attend hand hygiene </w:t>
      </w:r>
    </w:p>
    <w:p w14:paraId="07A2BBB8" w14:textId="77777777" w:rsidR="00B91064" w:rsidRPr="00B91064" w:rsidRDefault="00B91064" w:rsidP="00087C67">
      <w:pPr>
        <w:numPr>
          <w:ilvl w:val="0"/>
          <w:numId w:val="2"/>
        </w:numPr>
        <w:ind w:left="360"/>
        <w:rPr>
          <w:rFonts w:cs="Arial"/>
        </w:rPr>
      </w:pPr>
      <w:r w:rsidRPr="63542FD7">
        <w:rPr>
          <w:rFonts w:cs="Arial"/>
        </w:rPr>
        <w:t>The patient must be tolerating an adequate oral intake prior to the cessation of the insulin infusion.</w:t>
      </w:r>
    </w:p>
    <w:p w14:paraId="09084954" w14:textId="77777777" w:rsidR="00B91064" w:rsidRPr="00B91064" w:rsidRDefault="00B91064" w:rsidP="00087C67">
      <w:pPr>
        <w:numPr>
          <w:ilvl w:val="0"/>
          <w:numId w:val="2"/>
        </w:numPr>
        <w:ind w:left="360"/>
        <w:rPr>
          <w:rFonts w:cs="Arial"/>
        </w:rPr>
      </w:pPr>
      <w:r w:rsidRPr="63542FD7">
        <w:rPr>
          <w:rFonts w:cs="Arial"/>
        </w:rPr>
        <w:t xml:space="preserve">Monitored </w:t>
      </w:r>
      <w:proofErr w:type="spellStart"/>
      <w:r w:rsidRPr="63542FD7">
        <w:rPr>
          <w:rFonts w:cs="Arial"/>
        </w:rPr>
        <w:t>cBGLs</w:t>
      </w:r>
      <w:proofErr w:type="spellEnd"/>
      <w:r w:rsidRPr="63542FD7">
        <w:rPr>
          <w:rFonts w:cs="Arial"/>
        </w:rPr>
        <w:t xml:space="preserve"> should be within target as per MO/NP and no blood ketones present.</w:t>
      </w:r>
    </w:p>
    <w:p w14:paraId="5B53EC21" w14:textId="4BF30BF8" w:rsidR="00006C8D" w:rsidRDefault="00006C8D" w:rsidP="00087C67">
      <w:pPr>
        <w:numPr>
          <w:ilvl w:val="0"/>
          <w:numId w:val="2"/>
        </w:numPr>
        <w:ind w:left="360"/>
        <w:rPr>
          <w:rFonts w:cs="Arial"/>
        </w:rPr>
      </w:pPr>
      <w:r w:rsidRPr="5DE29503">
        <w:rPr>
          <w:rFonts w:cs="Arial"/>
        </w:rPr>
        <w:lastRenderedPageBreak/>
        <w:t>Refer to the</w:t>
      </w:r>
      <w:r w:rsidR="00C33DBD">
        <w:rPr>
          <w:rFonts w:cs="Arial"/>
        </w:rPr>
        <w:t xml:space="preserve"> </w:t>
      </w:r>
      <w:r w:rsidR="00F87C68">
        <w:rPr>
          <w:rFonts w:cs="Arial"/>
        </w:rPr>
        <w:t xml:space="preserve">NCH </w:t>
      </w:r>
      <w:r w:rsidR="00C33DBD" w:rsidRPr="00F87C68">
        <w:rPr>
          <w:rStyle w:val="normaltextrun"/>
          <w:rFonts w:asciiTheme="minorHAnsi" w:hAnsiTheme="minorHAnsi" w:cstheme="minorHAnsi"/>
          <w:szCs w:val="24"/>
          <w:shd w:val="clear" w:color="auto" w:fill="FFFFFF"/>
        </w:rPr>
        <w:t xml:space="preserve">Subcutaneous Insulin </w:t>
      </w:r>
      <w:r w:rsidR="00F87C68" w:rsidRPr="00F87C68">
        <w:rPr>
          <w:rStyle w:val="normaltextrun"/>
          <w:rFonts w:asciiTheme="minorHAnsi" w:hAnsiTheme="minorHAnsi" w:cstheme="minorHAnsi"/>
          <w:szCs w:val="24"/>
          <w:shd w:val="clear" w:color="auto" w:fill="FFFFFF"/>
        </w:rPr>
        <w:t>Management</w:t>
      </w:r>
      <w:r w:rsidR="00C33DBD" w:rsidRPr="00C33DBD">
        <w:rPr>
          <w:rStyle w:val="eop"/>
          <w:rFonts w:asciiTheme="minorHAnsi" w:hAnsiTheme="minorHAnsi" w:cstheme="minorHAnsi"/>
          <w:szCs w:val="24"/>
          <w:shd w:val="clear" w:color="auto" w:fill="FFFFFF"/>
        </w:rPr>
        <w:t> Procedure</w:t>
      </w:r>
      <w:r w:rsidRPr="00C33DBD">
        <w:rPr>
          <w:rFonts w:cs="Arial"/>
        </w:rPr>
        <w:t xml:space="preserve"> </w:t>
      </w:r>
    </w:p>
    <w:p w14:paraId="1684B0BA" w14:textId="12EAF8B5" w:rsidR="00006C8D" w:rsidRDefault="00B91064" w:rsidP="00F87C68">
      <w:pPr>
        <w:numPr>
          <w:ilvl w:val="0"/>
          <w:numId w:val="27"/>
        </w:numPr>
        <w:rPr>
          <w:rFonts w:cs="Arial"/>
        </w:rPr>
      </w:pPr>
      <w:r w:rsidRPr="63542FD7">
        <w:rPr>
          <w:rFonts w:cs="Arial"/>
        </w:rPr>
        <w:t xml:space="preserve">The treating MO/NP will order the cessation of the insulin infusion and </w:t>
      </w:r>
      <w:r w:rsidR="00006C8D" w:rsidRPr="63542FD7">
        <w:rPr>
          <w:rFonts w:cs="Arial"/>
        </w:rPr>
        <w:t>ordering of the CSII in the DHR</w:t>
      </w:r>
    </w:p>
    <w:p w14:paraId="4E1CBF14" w14:textId="19B624EC" w:rsidR="001956E4" w:rsidRPr="00495408" w:rsidRDefault="00006C8D" w:rsidP="00087C67">
      <w:pPr>
        <w:numPr>
          <w:ilvl w:val="0"/>
          <w:numId w:val="2"/>
        </w:numPr>
        <w:ind w:left="360"/>
        <w:rPr>
          <w:rFonts w:cs="Arial"/>
        </w:rPr>
      </w:pPr>
      <w:r w:rsidRPr="5DE29503">
        <w:rPr>
          <w:rFonts w:cs="Arial"/>
        </w:rPr>
        <w:t>The patient must be capa</w:t>
      </w:r>
      <w:r w:rsidR="001956E4" w:rsidRPr="5DE29503">
        <w:rPr>
          <w:rFonts w:cs="Arial"/>
        </w:rPr>
        <w:t>ble of managing their infusion whilst in</w:t>
      </w:r>
      <w:r w:rsidR="76B99180" w:rsidRPr="5DE29503">
        <w:rPr>
          <w:rFonts w:cs="Arial"/>
        </w:rPr>
        <w:t xml:space="preserve"> </w:t>
      </w:r>
      <w:r w:rsidR="001956E4" w:rsidRPr="5DE29503">
        <w:rPr>
          <w:rFonts w:cs="Arial"/>
        </w:rPr>
        <w:t xml:space="preserve">hospital and the </w:t>
      </w:r>
      <w:r w:rsidR="001956E4" w:rsidRPr="5DE29503">
        <w:rPr>
          <w:color w:val="000000" w:themeColor="text1"/>
          <w:sz w:val="27"/>
          <w:szCs w:val="27"/>
        </w:rPr>
        <w:t xml:space="preserve">Adults </w:t>
      </w:r>
      <w:r w:rsidR="001956E4" w:rsidRPr="5DE29503">
        <w:rPr>
          <w:color w:val="000000" w:themeColor="text1"/>
        </w:rPr>
        <w:t>Continuous Subcutaneous Insulin Infusion (CSII) Pump in the Hospital Setting Patient Agreement form must be completed and scanned into the DHR.</w:t>
      </w:r>
    </w:p>
    <w:p w14:paraId="62426510" w14:textId="77777777" w:rsidR="00B91064" w:rsidRPr="00B91064" w:rsidRDefault="00B91064" w:rsidP="00087C67">
      <w:pPr>
        <w:numPr>
          <w:ilvl w:val="0"/>
          <w:numId w:val="2"/>
        </w:numPr>
        <w:ind w:left="360"/>
        <w:rPr>
          <w:rFonts w:cs="Arial"/>
        </w:rPr>
      </w:pPr>
      <w:r w:rsidRPr="63542FD7">
        <w:rPr>
          <w:rFonts w:cs="Arial"/>
        </w:rPr>
        <w:t>Explain the procedure to the patient.</w:t>
      </w:r>
    </w:p>
    <w:p w14:paraId="282BFC58" w14:textId="77777777" w:rsidR="00B91064" w:rsidRPr="00B91064" w:rsidRDefault="00B91064" w:rsidP="00087C67">
      <w:pPr>
        <w:numPr>
          <w:ilvl w:val="0"/>
          <w:numId w:val="2"/>
        </w:numPr>
        <w:ind w:left="360"/>
        <w:rPr>
          <w:rFonts w:cs="Arial"/>
        </w:rPr>
      </w:pPr>
      <w:r w:rsidRPr="63542FD7">
        <w:rPr>
          <w:rFonts w:cs="Arial"/>
        </w:rPr>
        <w:t>Cessation of the insulin infusion should be planned for early in the day.</w:t>
      </w:r>
    </w:p>
    <w:p w14:paraId="3A7C742A" w14:textId="77777777" w:rsidR="00B91064" w:rsidRPr="00B91064" w:rsidRDefault="00B91064" w:rsidP="00087C67">
      <w:pPr>
        <w:numPr>
          <w:ilvl w:val="0"/>
          <w:numId w:val="2"/>
        </w:numPr>
        <w:ind w:left="360"/>
        <w:rPr>
          <w:rFonts w:cs="Arial"/>
        </w:rPr>
      </w:pPr>
      <w:r w:rsidRPr="63542FD7">
        <w:rPr>
          <w:rFonts w:cs="Arial"/>
        </w:rPr>
        <w:t>The treating MO/NP must ensure that subcutaneous insulin is prescribed on the patient’s medication chart.</w:t>
      </w:r>
    </w:p>
    <w:p w14:paraId="538151F0" w14:textId="320E84B2" w:rsidR="00B91064" w:rsidRPr="00B91064" w:rsidRDefault="00B91064" w:rsidP="00087C67">
      <w:pPr>
        <w:numPr>
          <w:ilvl w:val="0"/>
          <w:numId w:val="2"/>
        </w:numPr>
        <w:ind w:left="360"/>
        <w:rPr>
          <w:rFonts w:cs="Arial"/>
        </w:rPr>
      </w:pPr>
      <w:r w:rsidRPr="63542FD7">
        <w:rPr>
          <w:rFonts w:cs="Arial"/>
        </w:rPr>
        <w:t>The patient’s continuous subcutaneous insulin infusion is connected and run for 1 h</w:t>
      </w:r>
      <w:r w:rsidR="005D310E" w:rsidRPr="63542FD7">
        <w:rPr>
          <w:rFonts w:cs="Arial"/>
        </w:rPr>
        <w:t>ou</w:t>
      </w:r>
      <w:r w:rsidRPr="63542FD7">
        <w:rPr>
          <w:rFonts w:cs="Arial"/>
        </w:rPr>
        <w:t>r prior to ceasing the IV insulin infusion.</w:t>
      </w:r>
    </w:p>
    <w:p w14:paraId="2331467F" w14:textId="54E0B390" w:rsidR="00B91064" w:rsidRPr="00B91064" w:rsidRDefault="00B91064" w:rsidP="00087C67">
      <w:pPr>
        <w:numPr>
          <w:ilvl w:val="0"/>
          <w:numId w:val="2"/>
        </w:numPr>
        <w:ind w:left="360"/>
        <w:rPr>
          <w:rFonts w:cs="Arial"/>
        </w:rPr>
      </w:pPr>
      <w:r w:rsidRPr="63542FD7">
        <w:rPr>
          <w:rFonts w:cs="Arial"/>
        </w:rPr>
        <w:t xml:space="preserve">The insulin infusion administered through the main line and </w:t>
      </w:r>
      <w:proofErr w:type="gramStart"/>
      <w:r w:rsidRPr="63542FD7">
        <w:rPr>
          <w:rFonts w:cs="Arial"/>
        </w:rPr>
        <w:t>side line</w:t>
      </w:r>
      <w:proofErr w:type="gramEnd"/>
      <w:r w:rsidRPr="63542FD7">
        <w:rPr>
          <w:rFonts w:cs="Arial"/>
        </w:rPr>
        <w:t xml:space="preserve"> continue for 1 h</w:t>
      </w:r>
      <w:r w:rsidR="005D310E" w:rsidRPr="63542FD7">
        <w:rPr>
          <w:rFonts w:cs="Arial"/>
        </w:rPr>
        <w:t>ou</w:t>
      </w:r>
      <w:r w:rsidRPr="63542FD7">
        <w:rPr>
          <w:rFonts w:cs="Arial"/>
        </w:rPr>
        <w:t>r or as ordered by the MO/ NP.</w:t>
      </w:r>
    </w:p>
    <w:p w14:paraId="346A359A" w14:textId="77777777" w:rsidR="00B91064" w:rsidRPr="00F802B2" w:rsidRDefault="00B91064" w:rsidP="00087C67">
      <w:pPr>
        <w:numPr>
          <w:ilvl w:val="0"/>
          <w:numId w:val="2"/>
        </w:numPr>
        <w:ind w:left="360"/>
        <w:rPr>
          <w:rFonts w:cs="Arial"/>
        </w:rPr>
      </w:pPr>
      <w:r w:rsidRPr="63542FD7">
        <w:rPr>
          <w:rFonts w:cs="Arial"/>
        </w:rPr>
        <w:t>The IV cannula is left capped and in situ for 6 hours, as the insulin infusion may need to be recommenced.</w:t>
      </w:r>
    </w:p>
    <w:p w14:paraId="69972903" w14:textId="77777777" w:rsidR="00B91064" w:rsidRPr="00F802B2" w:rsidRDefault="00B91064" w:rsidP="00087C67">
      <w:pPr>
        <w:numPr>
          <w:ilvl w:val="0"/>
          <w:numId w:val="2"/>
        </w:numPr>
        <w:ind w:left="360"/>
        <w:rPr>
          <w:rFonts w:cs="Arial"/>
        </w:rPr>
      </w:pPr>
      <w:r w:rsidRPr="63542FD7">
        <w:rPr>
          <w:rFonts w:cs="Arial"/>
        </w:rPr>
        <w:t xml:space="preserve">Hourly </w:t>
      </w:r>
      <w:proofErr w:type="spellStart"/>
      <w:r w:rsidRPr="63542FD7">
        <w:rPr>
          <w:rFonts w:cs="Arial"/>
        </w:rPr>
        <w:t>cBGL’s</w:t>
      </w:r>
      <w:proofErr w:type="spellEnd"/>
      <w:r w:rsidRPr="63542FD7">
        <w:rPr>
          <w:rFonts w:cs="Arial"/>
        </w:rPr>
        <w:t xml:space="preserve"> are continued for 2 hours after removing the insulin infusion, then at standard ward times or as ordered by MO/NP.</w:t>
      </w:r>
    </w:p>
    <w:p w14:paraId="670D50A6" w14:textId="77777777" w:rsidR="00B91064" w:rsidRPr="00F802B2" w:rsidRDefault="00B91064" w:rsidP="00087C67">
      <w:pPr>
        <w:numPr>
          <w:ilvl w:val="0"/>
          <w:numId w:val="2"/>
        </w:numPr>
        <w:ind w:left="360"/>
        <w:rPr>
          <w:rFonts w:cs="Arial"/>
        </w:rPr>
      </w:pPr>
      <w:r w:rsidRPr="63542FD7">
        <w:rPr>
          <w:rFonts w:cs="Arial"/>
        </w:rPr>
        <w:t xml:space="preserve">The </w:t>
      </w:r>
      <w:proofErr w:type="spellStart"/>
      <w:r w:rsidRPr="63542FD7">
        <w:rPr>
          <w:rFonts w:cs="Arial"/>
        </w:rPr>
        <w:t>cBKL</w:t>
      </w:r>
      <w:proofErr w:type="spellEnd"/>
      <w:r w:rsidRPr="63542FD7">
        <w:rPr>
          <w:rFonts w:cs="Arial"/>
        </w:rPr>
        <w:t xml:space="preserve"> is checked 2 hours after removing the insulin infusion. If blood ketones are present continue to monitor 2nd hourly, otherwise at standard times and contact MO/NP.</w:t>
      </w:r>
    </w:p>
    <w:p w14:paraId="04DBD41D" w14:textId="4CC8A6C6" w:rsidR="00B91064" w:rsidRDefault="00B91064" w:rsidP="00087C67">
      <w:pPr>
        <w:numPr>
          <w:ilvl w:val="0"/>
          <w:numId w:val="2"/>
        </w:numPr>
        <w:ind w:left="360"/>
        <w:rPr>
          <w:rFonts w:cs="Arial"/>
        </w:rPr>
      </w:pPr>
      <w:r w:rsidRPr="63542FD7">
        <w:rPr>
          <w:rFonts w:cs="Arial"/>
        </w:rPr>
        <w:t xml:space="preserve">Document all </w:t>
      </w:r>
      <w:proofErr w:type="spellStart"/>
      <w:r w:rsidRPr="63542FD7">
        <w:rPr>
          <w:rFonts w:cs="Arial"/>
        </w:rPr>
        <w:t>cBGL’s</w:t>
      </w:r>
      <w:proofErr w:type="spellEnd"/>
      <w:r w:rsidRPr="63542FD7">
        <w:rPr>
          <w:rFonts w:cs="Arial"/>
        </w:rPr>
        <w:t xml:space="preserve"> and </w:t>
      </w:r>
      <w:proofErr w:type="spellStart"/>
      <w:r w:rsidRPr="63542FD7">
        <w:rPr>
          <w:rFonts w:cs="Arial"/>
        </w:rPr>
        <w:t>cBKL’s</w:t>
      </w:r>
      <w:proofErr w:type="spellEnd"/>
      <w:r w:rsidRPr="63542FD7">
        <w:rPr>
          <w:rFonts w:cs="Arial"/>
        </w:rPr>
        <w:t xml:space="preserve"> </w:t>
      </w:r>
      <w:r w:rsidR="001956E4" w:rsidRPr="63542FD7">
        <w:rPr>
          <w:rFonts w:cs="Arial"/>
        </w:rPr>
        <w:t xml:space="preserve">in the DHR Flowsheet. </w:t>
      </w:r>
    </w:p>
    <w:p w14:paraId="00650DEB" w14:textId="77777777" w:rsidR="00B91064" w:rsidRPr="00014B36" w:rsidRDefault="00B91064" w:rsidP="00087C67">
      <w:pPr>
        <w:numPr>
          <w:ilvl w:val="0"/>
          <w:numId w:val="2"/>
        </w:numPr>
        <w:ind w:left="360"/>
        <w:rPr>
          <w:rFonts w:cs="Arial"/>
        </w:rPr>
      </w:pPr>
      <w:r w:rsidRPr="63542FD7">
        <w:rPr>
          <w:rFonts w:cs="Arial"/>
        </w:rPr>
        <w:t>Refer the patient to the Diabetes Educator for assessment and planning of diabetes care and support.</w:t>
      </w:r>
    </w:p>
    <w:p w14:paraId="5C0BB099" w14:textId="77777777" w:rsidR="00D9124D" w:rsidRDefault="00D9124D" w:rsidP="00956D0E">
      <w:pPr>
        <w:rPr>
          <w:rFonts w:cs="Arial"/>
          <w:b/>
          <w:szCs w:val="24"/>
        </w:rPr>
      </w:pPr>
    </w:p>
    <w:p w14:paraId="6FE19A05" w14:textId="08251493" w:rsidR="00956D0E" w:rsidRDefault="00131C38" w:rsidP="00B91064">
      <w:pPr>
        <w:jc w:val="right"/>
        <w:rPr>
          <w:rFonts w:cs="Arial"/>
          <w:b/>
          <w:szCs w:val="24"/>
        </w:rPr>
      </w:pPr>
      <w:hyperlink w:anchor="Contents" w:history="1">
        <w:r w:rsidR="00956D0E" w:rsidRPr="00590902">
          <w:rPr>
            <w:rStyle w:val="Hyperlink"/>
            <w:rFonts w:cs="Arial"/>
            <w:i/>
            <w:szCs w:val="24"/>
          </w:rPr>
          <w:t>Back to Table of Contents</w:t>
        </w:r>
      </w:hyperlink>
      <w:r w:rsidR="00956D0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56D0E" w:rsidRPr="00CD1C0E" w14:paraId="3736459D" w14:textId="77777777" w:rsidTr="00AA03B6">
        <w:trPr>
          <w:cantSplit/>
          <w:trHeight w:val="285"/>
        </w:trPr>
        <w:tc>
          <w:tcPr>
            <w:tcW w:w="9158" w:type="dxa"/>
            <w:shd w:val="clear" w:color="auto" w:fill="A6A6A6" w:themeFill="background1" w:themeFillShade="A6"/>
          </w:tcPr>
          <w:p w14:paraId="506E6C1C" w14:textId="0D98B395" w:rsidR="00956D0E" w:rsidRPr="003D2D06" w:rsidRDefault="00956D0E" w:rsidP="001956E4">
            <w:pPr>
              <w:pStyle w:val="Heading1"/>
            </w:pPr>
            <w:bookmarkStart w:id="19" w:name="_Toc161406381"/>
            <w:r>
              <w:t xml:space="preserve">Section </w:t>
            </w:r>
            <w:r w:rsidR="001956E4">
              <w:t>4</w:t>
            </w:r>
            <w:r w:rsidRPr="003D2D06">
              <w:t xml:space="preserve"> –</w:t>
            </w:r>
            <w:r w:rsidR="005D310E">
              <w:t xml:space="preserve"> </w:t>
            </w:r>
            <w:r w:rsidR="001956E4">
              <w:t xml:space="preserve">Insulin infusion management in critical care areas </w:t>
            </w:r>
            <w:r w:rsidR="005D310E">
              <w:t>(ICU/HDU/ED)</w:t>
            </w:r>
            <w:bookmarkEnd w:id="19"/>
          </w:p>
        </w:tc>
      </w:tr>
    </w:tbl>
    <w:p w14:paraId="00636258" w14:textId="12D543E6" w:rsidR="00956D0E" w:rsidRDefault="00956D0E" w:rsidP="00956D0E"/>
    <w:p w14:paraId="3BE4DF5E" w14:textId="59B3C355" w:rsidR="001A0D4D" w:rsidRPr="001A0D4D" w:rsidRDefault="001A0D4D" w:rsidP="00956D0E">
      <w:pPr>
        <w:rPr>
          <w:b/>
          <w:bCs/>
        </w:rPr>
      </w:pPr>
      <w:r w:rsidRPr="001A0D4D">
        <w:rPr>
          <w:b/>
          <w:bCs/>
        </w:rPr>
        <w:t xml:space="preserve">Background </w:t>
      </w:r>
    </w:p>
    <w:p w14:paraId="1933E6D3" w14:textId="24670779" w:rsidR="00CD1283" w:rsidRPr="00FB1601" w:rsidRDefault="00CD1283" w:rsidP="00CD1283">
      <w:pPr>
        <w:spacing w:line="276" w:lineRule="auto"/>
      </w:pPr>
      <w:r w:rsidRPr="00FB1601">
        <w:t>Critical Illness can make standard management of hyperglycaemia challenging and careful and individualised titration of insulin to avoid both hypoglycaemia and hyperglycaemia</w:t>
      </w:r>
      <w:r>
        <w:t xml:space="preserve"> (and associated impact on morbidity and mortality)</w:t>
      </w:r>
      <w:r w:rsidRPr="00FB1601">
        <w:t xml:space="preserve"> is required.</w:t>
      </w:r>
    </w:p>
    <w:p w14:paraId="0CC85949" w14:textId="77777777" w:rsidR="00CD1283" w:rsidRDefault="00CD1283" w:rsidP="00CD1283">
      <w:pPr>
        <w:rPr>
          <w:b/>
        </w:rPr>
      </w:pPr>
    </w:p>
    <w:p w14:paraId="772AE79E" w14:textId="3E639142" w:rsidR="00CD1283" w:rsidRPr="00D613DF" w:rsidRDefault="00CD1283" w:rsidP="00CD1283">
      <w:pPr>
        <w:rPr>
          <w:b/>
        </w:rPr>
      </w:pPr>
      <w:r w:rsidRPr="00D613DF">
        <w:rPr>
          <w:b/>
        </w:rPr>
        <w:t xml:space="preserve">Indications </w:t>
      </w:r>
    </w:p>
    <w:p w14:paraId="440496BA" w14:textId="77777777" w:rsidR="00CD1283" w:rsidRPr="00CD1283" w:rsidRDefault="00CD1283" w:rsidP="00087C67">
      <w:pPr>
        <w:numPr>
          <w:ilvl w:val="0"/>
          <w:numId w:val="2"/>
        </w:numPr>
        <w:ind w:left="360"/>
        <w:rPr>
          <w:rFonts w:cs="Arial"/>
        </w:rPr>
      </w:pPr>
      <w:r w:rsidRPr="63542FD7">
        <w:rPr>
          <w:rFonts w:cs="Arial"/>
        </w:rPr>
        <w:t xml:space="preserve">Diabetes Mellitus </w:t>
      </w:r>
    </w:p>
    <w:p w14:paraId="7F1740FF" w14:textId="110BF700" w:rsidR="00CD1283" w:rsidRPr="00CD1283" w:rsidRDefault="00CD1283" w:rsidP="00087C67">
      <w:pPr>
        <w:numPr>
          <w:ilvl w:val="0"/>
          <w:numId w:val="2"/>
        </w:numPr>
        <w:ind w:left="360"/>
        <w:rPr>
          <w:rFonts w:cs="Arial"/>
        </w:rPr>
      </w:pPr>
      <w:r w:rsidRPr="63542FD7">
        <w:rPr>
          <w:rFonts w:cs="Arial"/>
        </w:rPr>
        <w:t>Stress (or critical illness) induced hyperglycaemia i</w:t>
      </w:r>
      <w:r w:rsidR="005D310E" w:rsidRPr="63542FD7">
        <w:rPr>
          <w:rFonts w:cs="Arial"/>
        </w:rPr>
        <w:t>.</w:t>
      </w:r>
      <w:r w:rsidRPr="63542FD7">
        <w:rPr>
          <w:rFonts w:cs="Arial"/>
        </w:rPr>
        <w:t>e</w:t>
      </w:r>
      <w:r w:rsidR="005D310E" w:rsidRPr="63542FD7">
        <w:rPr>
          <w:rFonts w:cs="Arial"/>
        </w:rPr>
        <w:t>.</w:t>
      </w:r>
      <w:r w:rsidRPr="63542FD7">
        <w:rPr>
          <w:rFonts w:cs="Arial"/>
        </w:rPr>
        <w:t xml:space="preserve"> sepsis</w:t>
      </w:r>
    </w:p>
    <w:p w14:paraId="3A257843" w14:textId="77777777" w:rsidR="00CD1283" w:rsidRPr="00CD1283" w:rsidRDefault="00CD1283" w:rsidP="00087C67">
      <w:pPr>
        <w:numPr>
          <w:ilvl w:val="0"/>
          <w:numId w:val="2"/>
        </w:numPr>
        <w:ind w:left="360"/>
        <w:rPr>
          <w:rFonts w:cs="Arial"/>
        </w:rPr>
      </w:pPr>
      <w:r w:rsidRPr="63542FD7">
        <w:rPr>
          <w:rFonts w:cs="Arial"/>
        </w:rPr>
        <w:t>Drug-induced hyperglycaemia</w:t>
      </w:r>
    </w:p>
    <w:p w14:paraId="68E543B6" w14:textId="77777777" w:rsidR="00CD1283" w:rsidRDefault="00CD1283" w:rsidP="00CD1283">
      <w:pPr>
        <w:rPr>
          <w:b/>
        </w:rPr>
      </w:pPr>
    </w:p>
    <w:p w14:paraId="4A838578" w14:textId="5CDEC2D5" w:rsidR="00CD1283" w:rsidRPr="00D613DF" w:rsidRDefault="00CD1283" w:rsidP="00CD1283">
      <w:pPr>
        <w:rPr>
          <w:b/>
        </w:rPr>
      </w:pPr>
      <w:r w:rsidRPr="00D613DF">
        <w:rPr>
          <w:b/>
        </w:rPr>
        <w:t>Exclusion</w:t>
      </w:r>
    </w:p>
    <w:p w14:paraId="32A43259" w14:textId="33221B41" w:rsidR="00CD1283" w:rsidRPr="00D613DF" w:rsidRDefault="00CD1283" w:rsidP="00CD1283">
      <w:pPr>
        <w:spacing w:line="276" w:lineRule="auto"/>
      </w:pPr>
      <w:r>
        <w:t xml:space="preserve">This procedure is NOT indicated in the management of DKA </w:t>
      </w:r>
      <w:r w:rsidR="00F87C68">
        <w:t xml:space="preserve">– </w:t>
      </w:r>
      <w:r w:rsidRPr="001A0D4D">
        <w:t xml:space="preserve">please refer to the Management of Diabetic Ketoacidosis </w:t>
      </w:r>
      <w:r w:rsidR="001956E4" w:rsidRPr="001A0D4D">
        <w:t>in</w:t>
      </w:r>
      <w:r w:rsidR="6CD48D3A" w:rsidRPr="001A0D4D">
        <w:t xml:space="preserve"> </w:t>
      </w:r>
      <w:r w:rsidR="001956E4" w:rsidRPr="001A0D4D">
        <w:t>Adults Procedure</w:t>
      </w:r>
      <w:r w:rsidR="00F87C68">
        <w:t>.</w:t>
      </w:r>
    </w:p>
    <w:p w14:paraId="0BF54EDA" w14:textId="77777777" w:rsidR="00CD1283" w:rsidRDefault="00CD1283" w:rsidP="00CD1283">
      <w:pPr>
        <w:rPr>
          <w:b/>
        </w:rPr>
      </w:pPr>
    </w:p>
    <w:p w14:paraId="602C4D6E" w14:textId="270F2B1A" w:rsidR="00CD1283" w:rsidRPr="00D613DF" w:rsidRDefault="00CD1283" w:rsidP="00CD1283">
      <w:pPr>
        <w:rPr>
          <w:b/>
        </w:rPr>
      </w:pPr>
      <w:r w:rsidRPr="00D613DF">
        <w:rPr>
          <w:b/>
        </w:rPr>
        <w:lastRenderedPageBreak/>
        <w:t>Equipment</w:t>
      </w:r>
    </w:p>
    <w:p w14:paraId="1EA371A5" w14:textId="77777777" w:rsidR="00CD1283" w:rsidRPr="00CD1283" w:rsidRDefault="00CD1283" w:rsidP="00087C67">
      <w:pPr>
        <w:numPr>
          <w:ilvl w:val="0"/>
          <w:numId w:val="2"/>
        </w:numPr>
        <w:ind w:left="360"/>
        <w:rPr>
          <w:rFonts w:cs="Arial"/>
        </w:rPr>
      </w:pPr>
      <w:r w:rsidRPr="63542FD7">
        <w:rPr>
          <w:rFonts w:cs="Arial"/>
        </w:rPr>
        <w:t xml:space="preserve">Intravenous fluid (IV) – Sodium Chloride 0.9% 100mL </w:t>
      </w:r>
    </w:p>
    <w:p w14:paraId="7F4B8401" w14:textId="77777777" w:rsidR="00CD1283" w:rsidRPr="00CD1283" w:rsidRDefault="00CD1283" w:rsidP="00087C67">
      <w:pPr>
        <w:numPr>
          <w:ilvl w:val="0"/>
          <w:numId w:val="2"/>
        </w:numPr>
        <w:ind w:left="360"/>
        <w:rPr>
          <w:rFonts w:cs="Arial"/>
        </w:rPr>
      </w:pPr>
      <w:r w:rsidRPr="63542FD7">
        <w:rPr>
          <w:rFonts w:cs="Arial"/>
        </w:rPr>
        <w:t xml:space="preserve">100 units of neutral (soluble) insulin e.g. </w:t>
      </w:r>
      <w:proofErr w:type="spellStart"/>
      <w:r w:rsidRPr="63542FD7">
        <w:rPr>
          <w:rFonts w:cs="Arial"/>
        </w:rPr>
        <w:t>Actrapid</w:t>
      </w:r>
      <w:proofErr w:type="spellEnd"/>
      <w:r w:rsidRPr="63542FD7">
        <w:rPr>
          <w:rFonts w:cs="Arial"/>
        </w:rPr>
        <w:t xml:space="preserve"> Insulin </w:t>
      </w:r>
      <w:proofErr w:type="gramStart"/>
      <w:r w:rsidRPr="63542FD7">
        <w:rPr>
          <w:rFonts w:cs="Arial"/>
        </w:rPr>
        <w:t>( stored</w:t>
      </w:r>
      <w:proofErr w:type="gramEnd"/>
      <w:r w:rsidRPr="63542FD7">
        <w:rPr>
          <w:rFonts w:cs="Arial"/>
        </w:rPr>
        <w:t xml:space="preserve"> in fridge)  </w:t>
      </w:r>
    </w:p>
    <w:p w14:paraId="0F141BFE" w14:textId="77777777" w:rsidR="00CD1283" w:rsidRPr="00CD1283" w:rsidRDefault="00CD1283" w:rsidP="00087C67">
      <w:pPr>
        <w:numPr>
          <w:ilvl w:val="0"/>
          <w:numId w:val="2"/>
        </w:numPr>
        <w:ind w:left="360"/>
        <w:rPr>
          <w:rFonts w:cs="Arial"/>
        </w:rPr>
      </w:pPr>
      <w:r w:rsidRPr="63542FD7">
        <w:rPr>
          <w:rFonts w:cs="Arial"/>
        </w:rPr>
        <w:t xml:space="preserve">Low-Sorbing Infusion Set 2260-0006 </w:t>
      </w:r>
    </w:p>
    <w:p w14:paraId="11829C0B" w14:textId="77777777" w:rsidR="00CD1283" w:rsidRPr="00CD1283" w:rsidRDefault="00CD1283" w:rsidP="00087C67">
      <w:pPr>
        <w:numPr>
          <w:ilvl w:val="0"/>
          <w:numId w:val="2"/>
        </w:numPr>
        <w:ind w:left="360"/>
        <w:rPr>
          <w:rFonts w:cs="Arial"/>
        </w:rPr>
      </w:pPr>
      <w:r w:rsidRPr="63542FD7">
        <w:rPr>
          <w:rFonts w:cs="Arial"/>
        </w:rPr>
        <w:t xml:space="preserve">Label to identify insulin infusion line </w:t>
      </w:r>
    </w:p>
    <w:p w14:paraId="505D5192" w14:textId="77777777" w:rsidR="00CD1283" w:rsidRDefault="00CD1283" w:rsidP="00CD1283">
      <w:pPr>
        <w:rPr>
          <w:b/>
        </w:rPr>
      </w:pPr>
    </w:p>
    <w:p w14:paraId="5AA91162" w14:textId="3AA112DC" w:rsidR="00CD1283" w:rsidRPr="00D613DF" w:rsidRDefault="00CD1283" w:rsidP="00CD1283">
      <w:pPr>
        <w:rPr>
          <w:b/>
        </w:rPr>
      </w:pPr>
      <w:r w:rsidRPr="00D613DF">
        <w:rPr>
          <w:b/>
        </w:rPr>
        <w:t>When patient ready for discharge to the ward, you will also require:</w:t>
      </w:r>
    </w:p>
    <w:p w14:paraId="230CD011" w14:textId="77777777" w:rsidR="00CD1283" w:rsidRPr="00CD1283" w:rsidRDefault="00CD1283" w:rsidP="00087C67">
      <w:pPr>
        <w:numPr>
          <w:ilvl w:val="0"/>
          <w:numId w:val="2"/>
        </w:numPr>
        <w:ind w:left="360"/>
        <w:rPr>
          <w:rFonts w:cs="Arial"/>
        </w:rPr>
      </w:pPr>
      <w:r w:rsidRPr="63542FD7">
        <w:rPr>
          <w:rFonts w:cs="Arial"/>
        </w:rPr>
        <w:t xml:space="preserve">Infusion Set 2420-0500 </w:t>
      </w:r>
    </w:p>
    <w:p w14:paraId="3D96F27E" w14:textId="77777777" w:rsidR="00CD1283" w:rsidRPr="00CD1283" w:rsidRDefault="00CD1283" w:rsidP="00087C67">
      <w:pPr>
        <w:numPr>
          <w:ilvl w:val="0"/>
          <w:numId w:val="2"/>
        </w:numPr>
        <w:ind w:left="360"/>
        <w:rPr>
          <w:rFonts w:cs="Arial"/>
        </w:rPr>
      </w:pPr>
      <w:proofErr w:type="spellStart"/>
      <w:r w:rsidRPr="63542FD7">
        <w:rPr>
          <w:rFonts w:cs="Arial"/>
        </w:rPr>
        <w:t>SmartSite</w:t>
      </w:r>
      <w:proofErr w:type="spellEnd"/>
      <w:r w:rsidRPr="63542FD7">
        <w:rPr>
          <w:rFonts w:cs="Arial"/>
        </w:rPr>
        <w:t xml:space="preserve"> Extension Set 1.2mls 30842E </w:t>
      </w:r>
    </w:p>
    <w:p w14:paraId="62E1AF34" w14:textId="77777777" w:rsidR="00CD1283" w:rsidRPr="00CD1283" w:rsidRDefault="00CD1283" w:rsidP="00087C67">
      <w:pPr>
        <w:numPr>
          <w:ilvl w:val="0"/>
          <w:numId w:val="2"/>
        </w:numPr>
        <w:ind w:left="360"/>
        <w:rPr>
          <w:rFonts w:cs="Arial"/>
        </w:rPr>
      </w:pPr>
      <w:r w:rsidRPr="63542FD7">
        <w:rPr>
          <w:rFonts w:cs="Arial"/>
        </w:rPr>
        <w:t xml:space="preserve">A maintenance fluid line of 4% Dextrose and 0.18% Sodium Chloride or Sodium Chloride 0.9%, as per the MO. </w:t>
      </w:r>
    </w:p>
    <w:p w14:paraId="6EB897B6" w14:textId="77777777" w:rsidR="00CD1283" w:rsidRDefault="00CD1283" w:rsidP="00CD1283">
      <w:pPr>
        <w:spacing w:line="276" w:lineRule="auto"/>
        <w:rPr>
          <w:b/>
        </w:rPr>
      </w:pPr>
    </w:p>
    <w:p w14:paraId="070B3928" w14:textId="4E6408F6" w:rsidR="00CD1283" w:rsidRPr="00D613DF" w:rsidRDefault="00CD1283" w:rsidP="00CD1283">
      <w:pPr>
        <w:spacing w:line="276" w:lineRule="auto"/>
        <w:rPr>
          <w:b/>
        </w:rPr>
      </w:pPr>
      <w:r w:rsidRPr="00D613DF">
        <w:rPr>
          <w:b/>
        </w:rPr>
        <w:t>Key Points</w:t>
      </w:r>
    </w:p>
    <w:p w14:paraId="549C7026" w14:textId="77777777" w:rsidR="00CD1283" w:rsidRPr="00CD1283" w:rsidRDefault="00CD1283" w:rsidP="00087C67">
      <w:pPr>
        <w:numPr>
          <w:ilvl w:val="0"/>
          <w:numId w:val="2"/>
        </w:numPr>
        <w:ind w:left="360"/>
        <w:rPr>
          <w:rFonts w:cs="Arial"/>
        </w:rPr>
      </w:pPr>
      <w:r w:rsidRPr="63542FD7">
        <w:rPr>
          <w:rFonts w:cs="Arial"/>
        </w:rPr>
        <w:t>A regular neutral soluble insulin (</w:t>
      </w:r>
      <w:proofErr w:type="spellStart"/>
      <w:r w:rsidRPr="63542FD7">
        <w:rPr>
          <w:rFonts w:cs="Arial"/>
        </w:rPr>
        <w:t>Actrapid</w:t>
      </w:r>
      <w:proofErr w:type="spellEnd"/>
      <w:r w:rsidRPr="63542FD7">
        <w:rPr>
          <w:rFonts w:cs="Arial"/>
        </w:rPr>
        <w:t xml:space="preserve"> or Humulin R) is the only insulin to be used in an insulin infusion </w:t>
      </w:r>
    </w:p>
    <w:p w14:paraId="108739A0" w14:textId="64AC995F" w:rsidR="00CD1283" w:rsidRPr="00CD1283" w:rsidRDefault="00CD1283" w:rsidP="00087C67">
      <w:pPr>
        <w:numPr>
          <w:ilvl w:val="0"/>
          <w:numId w:val="2"/>
        </w:numPr>
        <w:ind w:left="360"/>
        <w:rPr>
          <w:rFonts w:cs="Arial"/>
        </w:rPr>
      </w:pPr>
      <w:r w:rsidRPr="63542FD7">
        <w:rPr>
          <w:rFonts w:cs="Arial"/>
        </w:rPr>
        <w:t xml:space="preserve">The insulin is added to 0.9% Sodium </w:t>
      </w:r>
      <w:proofErr w:type="gramStart"/>
      <w:r w:rsidRPr="63542FD7">
        <w:rPr>
          <w:rFonts w:cs="Arial"/>
        </w:rPr>
        <w:t>Chloride  as</w:t>
      </w:r>
      <w:proofErr w:type="gramEnd"/>
      <w:r w:rsidRPr="63542FD7">
        <w:rPr>
          <w:rFonts w:cs="Arial"/>
        </w:rPr>
        <w:t xml:space="preserve"> ordered by a MO</w:t>
      </w:r>
    </w:p>
    <w:p w14:paraId="2EBA5E1B" w14:textId="44605761" w:rsidR="00CD1283" w:rsidRPr="00CD1283" w:rsidRDefault="00CD1283" w:rsidP="00087C67">
      <w:pPr>
        <w:numPr>
          <w:ilvl w:val="0"/>
          <w:numId w:val="2"/>
        </w:numPr>
        <w:ind w:left="360"/>
        <w:rPr>
          <w:rFonts w:cs="Arial"/>
        </w:rPr>
      </w:pPr>
      <w:r w:rsidRPr="63542FD7">
        <w:rPr>
          <w:rFonts w:cs="Arial"/>
        </w:rPr>
        <w:t xml:space="preserve">Infusion must be infused using an Infusion pump with </w:t>
      </w:r>
      <w:r w:rsidR="007235F7" w:rsidRPr="63542FD7">
        <w:rPr>
          <w:rFonts w:cs="Arial"/>
        </w:rPr>
        <w:t>dose limiting software</w:t>
      </w:r>
    </w:p>
    <w:p w14:paraId="13002500" w14:textId="77777777" w:rsidR="00F87C68" w:rsidRDefault="00CD1283" w:rsidP="00F87C68">
      <w:pPr>
        <w:numPr>
          <w:ilvl w:val="0"/>
          <w:numId w:val="2"/>
        </w:numPr>
        <w:ind w:left="360"/>
        <w:rPr>
          <w:rFonts w:cs="Arial"/>
        </w:rPr>
      </w:pPr>
      <w:r w:rsidRPr="63542FD7">
        <w:rPr>
          <w:rFonts w:cs="Arial"/>
        </w:rPr>
        <w:t>Check with medical officer whether sideline infusion is required for individual patient</w:t>
      </w:r>
    </w:p>
    <w:p w14:paraId="3EB90761" w14:textId="17863732" w:rsidR="00CD1283" w:rsidRPr="00F87C68" w:rsidRDefault="00C33DBD" w:rsidP="00F87C68">
      <w:pPr>
        <w:numPr>
          <w:ilvl w:val="0"/>
          <w:numId w:val="2"/>
        </w:numPr>
        <w:ind w:left="360"/>
        <w:rPr>
          <w:rFonts w:cs="Arial"/>
        </w:rPr>
      </w:pPr>
      <w:r w:rsidRPr="00F87C68">
        <w:rPr>
          <w:rFonts w:cs="Arial"/>
        </w:rPr>
        <w:t xml:space="preserve">If the patient is being sent to the ward see section </w:t>
      </w:r>
      <w:r w:rsidR="00F87C68" w:rsidRPr="00F87C68">
        <w:rPr>
          <w:rFonts w:cs="Arial"/>
        </w:rPr>
        <w:t xml:space="preserve">5 </w:t>
      </w:r>
      <w:r w:rsidR="00CD1283" w:rsidRPr="00F87C68">
        <w:rPr>
          <w:rFonts w:cs="Arial"/>
        </w:rPr>
        <w:t>for set up details.</w:t>
      </w:r>
    </w:p>
    <w:p w14:paraId="3BBB5562" w14:textId="77777777" w:rsidR="000E7F75" w:rsidRDefault="000E7F75" w:rsidP="000E7F75">
      <w:pPr>
        <w:rPr>
          <w:rFonts w:cs="Arial"/>
        </w:rPr>
      </w:pPr>
    </w:p>
    <w:p w14:paraId="2A50D6F5" w14:textId="3DB7DE70" w:rsidR="000E7F75" w:rsidRPr="000E7F75" w:rsidRDefault="000E7F75" w:rsidP="000E7F75">
      <w:pPr>
        <w:rPr>
          <w:rFonts w:cs="Arial"/>
          <w:b/>
          <w:bCs/>
        </w:rPr>
      </w:pPr>
      <w:r w:rsidRPr="000E7F75">
        <w:rPr>
          <w:rFonts w:cs="Arial"/>
          <w:b/>
          <w:bCs/>
        </w:rPr>
        <w:t xml:space="preserve">Setting up insulin infusion </w:t>
      </w:r>
    </w:p>
    <w:p w14:paraId="78556C94" w14:textId="77777777" w:rsidR="00240BA7" w:rsidRPr="001A0D4D" w:rsidRDefault="00240BA7" w:rsidP="00087C67">
      <w:pPr>
        <w:numPr>
          <w:ilvl w:val="0"/>
          <w:numId w:val="2"/>
        </w:numPr>
        <w:ind w:left="360"/>
        <w:rPr>
          <w:rFonts w:cs="Arial"/>
        </w:rPr>
      </w:pPr>
      <w:r w:rsidRPr="63542FD7">
        <w:rPr>
          <w:rFonts w:cs="Arial"/>
        </w:rPr>
        <w:t xml:space="preserve">Attend standard procedures for </w:t>
      </w:r>
      <w:hyperlink r:id="rId11">
        <w:r w:rsidRPr="001A0D4D">
          <w:rPr>
            <w:rFonts w:cs="Arial"/>
          </w:rPr>
          <w:t xml:space="preserve">hand hygiene </w:t>
        </w:r>
      </w:hyperlink>
    </w:p>
    <w:p w14:paraId="003360D5" w14:textId="77777777" w:rsidR="00240BA7" w:rsidRPr="001A0D4D" w:rsidRDefault="00240BA7" w:rsidP="00087C67">
      <w:pPr>
        <w:numPr>
          <w:ilvl w:val="0"/>
          <w:numId w:val="2"/>
        </w:numPr>
        <w:ind w:left="360"/>
        <w:rPr>
          <w:rFonts w:cs="Arial"/>
        </w:rPr>
      </w:pPr>
      <w:r w:rsidRPr="001A0D4D">
        <w:rPr>
          <w:rFonts w:cs="Arial"/>
        </w:rPr>
        <w:t>Draw up 100 units of insulin and have checked by second RN against order</w:t>
      </w:r>
    </w:p>
    <w:p w14:paraId="4E16709E" w14:textId="77777777" w:rsidR="00240BA7" w:rsidRPr="001A0D4D" w:rsidRDefault="00240BA7" w:rsidP="00087C67">
      <w:pPr>
        <w:numPr>
          <w:ilvl w:val="0"/>
          <w:numId w:val="2"/>
        </w:numPr>
        <w:ind w:left="360"/>
        <w:rPr>
          <w:rFonts w:cs="Arial"/>
        </w:rPr>
      </w:pPr>
      <w:r w:rsidRPr="001A0D4D">
        <w:rPr>
          <w:rFonts w:cs="Arial"/>
        </w:rPr>
        <w:t>Add 100 units of insulin to 100mls 0.9% Sodium Chloride (final concentration 1 unit per ml)</w:t>
      </w:r>
    </w:p>
    <w:p w14:paraId="4DEB41CE" w14:textId="77777777" w:rsidR="00240BA7" w:rsidRPr="001A0D4D" w:rsidRDefault="00240BA7" w:rsidP="00087C67">
      <w:pPr>
        <w:numPr>
          <w:ilvl w:val="0"/>
          <w:numId w:val="2"/>
        </w:numPr>
        <w:ind w:left="360"/>
        <w:rPr>
          <w:rFonts w:cs="Arial"/>
        </w:rPr>
      </w:pPr>
      <w:r w:rsidRPr="001A0D4D">
        <w:rPr>
          <w:rFonts w:cs="Arial"/>
        </w:rPr>
        <w:t>Connect Low-Sorbing line to infusion bag and prime the line</w:t>
      </w:r>
    </w:p>
    <w:p w14:paraId="55484CFB" w14:textId="77777777" w:rsidR="00240BA7" w:rsidRPr="001A0D4D" w:rsidRDefault="00240BA7" w:rsidP="00087C67">
      <w:pPr>
        <w:numPr>
          <w:ilvl w:val="0"/>
          <w:numId w:val="2"/>
        </w:numPr>
        <w:ind w:left="360"/>
        <w:rPr>
          <w:rFonts w:cs="Arial"/>
        </w:rPr>
      </w:pPr>
      <w:r w:rsidRPr="001A0D4D">
        <w:rPr>
          <w:rFonts w:cs="Arial"/>
        </w:rPr>
        <w:t>If a Low-Sorbing line is not available then a PVC line may be used however before connecting to the patient, the line must be flushed with 10mL of the insulin solution (10mls in addition to what is used to prime the line)</w:t>
      </w:r>
    </w:p>
    <w:p w14:paraId="51BE2E85" w14:textId="0D4269E2" w:rsidR="00240BA7" w:rsidRPr="001A0D4D" w:rsidRDefault="00240BA7" w:rsidP="00087C67">
      <w:pPr>
        <w:numPr>
          <w:ilvl w:val="0"/>
          <w:numId w:val="2"/>
        </w:numPr>
        <w:ind w:left="360"/>
        <w:rPr>
          <w:rFonts w:cs="Arial"/>
        </w:rPr>
      </w:pPr>
      <w:r w:rsidRPr="001A0D4D">
        <w:rPr>
          <w:rFonts w:cs="Arial"/>
        </w:rPr>
        <w:t xml:space="preserve">Label line as per the </w:t>
      </w:r>
      <w:r w:rsidR="001A0D4D">
        <w:rPr>
          <w:rFonts w:cs="Arial"/>
        </w:rPr>
        <w:t xml:space="preserve">NCH </w:t>
      </w:r>
      <w:hyperlink r:id="rId12" w:history="1">
        <w:r w:rsidR="007235F7" w:rsidRPr="001A0D4D">
          <w:rPr>
            <w:rFonts w:cs="Arial"/>
          </w:rPr>
          <w:t>Medication</w:t>
        </w:r>
      </w:hyperlink>
      <w:r w:rsidR="007235F7" w:rsidRPr="001A0D4D">
        <w:rPr>
          <w:rFonts w:cs="Arial"/>
        </w:rPr>
        <w:t xml:space="preserve"> Handling procedure</w:t>
      </w:r>
    </w:p>
    <w:p w14:paraId="6883A2AF" w14:textId="77777777" w:rsidR="00CD1283" w:rsidRDefault="00CD1283" w:rsidP="00CD1283"/>
    <w:p w14:paraId="3215DA87" w14:textId="56E41EB0" w:rsidR="000E7F75" w:rsidRPr="000E7F75" w:rsidRDefault="000E7F75" w:rsidP="00CD1283">
      <w:pPr>
        <w:rPr>
          <w:b/>
          <w:bCs/>
        </w:rPr>
      </w:pPr>
      <w:r w:rsidRPr="000E7F75">
        <w:rPr>
          <w:b/>
          <w:bCs/>
        </w:rPr>
        <w:t xml:space="preserve">Commencing an Insulin Infusion </w:t>
      </w:r>
    </w:p>
    <w:p w14:paraId="477A76C0" w14:textId="77777777" w:rsidR="00DB7288" w:rsidRDefault="00240BA7" w:rsidP="003104FC">
      <w:pPr>
        <w:pStyle w:val="ListBullet"/>
        <w:numPr>
          <w:ilvl w:val="0"/>
          <w:numId w:val="2"/>
        </w:numPr>
        <w:ind w:left="360"/>
        <w:rPr>
          <w:rFonts w:cs="Arial"/>
        </w:rPr>
      </w:pPr>
      <w:r w:rsidRPr="00DB7288">
        <w:rPr>
          <w:rFonts w:cs="Arial"/>
        </w:rPr>
        <w:t xml:space="preserve">Attend hand hygiene  </w:t>
      </w:r>
    </w:p>
    <w:p w14:paraId="77408493" w14:textId="06856B85" w:rsidR="00240BA7" w:rsidRPr="00DB7288" w:rsidRDefault="00240BA7" w:rsidP="003104FC">
      <w:pPr>
        <w:pStyle w:val="ListBullet"/>
        <w:numPr>
          <w:ilvl w:val="0"/>
          <w:numId w:val="2"/>
        </w:numPr>
        <w:ind w:left="360"/>
        <w:rPr>
          <w:rFonts w:cs="Arial"/>
        </w:rPr>
      </w:pPr>
      <w:r w:rsidRPr="00DB7288">
        <w:rPr>
          <w:rFonts w:cs="Arial"/>
        </w:rPr>
        <w:t xml:space="preserve">Follow standard procedures for medication administration in identifying patient </w:t>
      </w:r>
    </w:p>
    <w:p w14:paraId="012AEFD8" w14:textId="77777777" w:rsidR="00240BA7" w:rsidRPr="00240BA7" w:rsidRDefault="00240BA7" w:rsidP="00087C67">
      <w:pPr>
        <w:numPr>
          <w:ilvl w:val="0"/>
          <w:numId w:val="2"/>
        </w:numPr>
        <w:ind w:left="360"/>
        <w:rPr>
          <w:rFonts w:cs="Arial"/>
        </w:rPr>
      </w:pPr>
      <w:r w:rsidRPr="63542FD7">
        <w:rPr>
          <w:rFonts w:cs="Arial"/>
        </w:rPr>
        <w:t>Attend capillary blood glucose level (</w:t>
      </w:r>
      <w:proofErr w:type="spellStart"/>
      <w:r w:rsidRPr="63542FD7">
        <w:rPr>
          <w:rFonts w:cs="Arial"/>
        </w:rPr>
        <w:t>cBGL</w:t>
      </w:r>
      <w:proofErr w:type="spellEnd"/>
      <w:r w:rsidRPr="63542FD7">
        <w:rPr>
          <w:rFonts w:cs="Arial"/>
        </w:rPr>
        <w:t xml:space="preserve">) or blood glucose level (BGL) from an arterial/venous blood gas and blood ketone level (BKL) </w:t>
      </w:r>
    </w:p>
    <w:p w14:paraId="673FEF6F" w14:textId="77777777" w:rsidR="00240BA7" w:rsidRPr="00240BA7" w:rsidRDefault="00240BA7" w:rsidP="00087C67">
      <w:pPr>
        <w:numPr>
          <w:ilvl w:val="0"/>
          <w:numId w:val="2"/>
        </w:numPr>
        <w:ind w:left="360"/>
        <w:rPr>
          <w:rFonts w:cs="Arial"/>
        </w:rPr>
      </w:pPr>
      <w:r w:rsidRPr="63542FD7">
        <w:rPr>
          <w:rFonts w:cs="Arial"/>
        </w:rPr>
        <w:t>Commence starting rate as per order from MO</w:t>
      </w:r>
    </w:p>
    <w:p w14:paraId="1AD1577C" w14:textId="77777777" w:rsidR="00240BA7" w:rsidRPr="00240BA7" w:rsidRDefault="00240BA7" w:rsidP="00087C67">
      <w:pPr>
        <w:numPr>
          <w:ilvl w:val="0"/>
          <w:numId w:val="2"/>
        </w:numPr>
        <w:ind w:left="360"/>
        <w:rPr>
          <w:rFonts w:cs="Arial"/>
        </w:rPr>
      </w:pPr>
      <w:r w:rsidRPr="63542FD7">
        <w:rPr>
          <w:rFonts w:cs="Arial"/>
        </w:rPr>
        <w:t>Connect the insulin infusion line to the patient</w:t>
      </w:r>
    </w:p>
    <w:p w14:paraId="6C15ED09" w14:textId="4CA5984C" w:rsidR="00240BA7" w:rsidRPr="00240BA7" w:rsidRDefault="00240BA7" w:rsidP="00087C67">
      <w:pPr>
        <w:numPr>
          <w:ilvl w:val="0"/>
          <w:numId w:val="2"/>
        </w:numPr>
        <w:ind w:left="360"/>
        <w:rPr>
          <w:rFonts w:cs="Arial"/>
        </w:rPr>
      </w:pPr>
      <w:r w:rsidRPr="63542FD7">
        <w:rPr>
          <w:rFonts w:cs="Arial"/>
        </w:rPr>
        <w:t xml:space="preserve">Attach and program the infusion pump using </w:t>
      </w:r>
      <w:r w:rsidR="007235F7" w:rsidRPr="63542FD7">
        <w:rPr>
          <w:rFonts w:cs="Arial"/>
        </w:rPr>
        <w:t xml:space="preserve">dose limiting software </w:t>
      </w:r>
      <w:r w:rsidRPr="63542FD7">
        <w:rPr>
          <w:rFonts w:cs="Arial"/>
        </w:rPr>
        <w:t xml:space="preserve">to identified starting rate </w:t>
      </w:r>
    </w:p>
    <w:p w14:paraId="5DFE78ED" w14:textId="77777777" w:rsidR="00240BA7" w:rsidRDefault="00240BA7" w:rsidP="00240BA7">
      <w:pPr>
        <w:pStyle w:val="ListBullet"/>
        <w:numPr>
          <w:ilvl w:val="0"/>
          <w:numId w:val="0"/>
        </w:numPr>
        <w:rPr>
          <w:rFonts w:cs="Arial"/>
        </w:rPr>
      </w:pPr>
    </w:p>
    <w:p w14:paraId="538E9F85" w14:textId="3FA976E4" w:rsidR="000E7F75" w:rsidRPr="000E7F75" w:rsidRDefault="000E7F75" w:rsidP="00240BA7">
      <w:pPr>
        <w:pStyle w:val="ListBullet"/>
        <w:numPr>
          <w:ilvl w:val="0"/>
          <w:numId w:val="0"/>
        </w:numPr>
        <w:rPr>
          <w:rFonts w:cs="Arial"/>
          <w:b/>
          <w:bCs/>
        </w:rPr>
      </w:pPr>
      <w:r w:rsidRPr="000E7F75">
        <w:rPr>
          <w:rFonts w:cs="Arial"/>
          <w:b/>
          <w:bCs/>
        </w:rPr>
        <w:t xml:space="preserve">Titrating Insulin Therapy </w:t>
      </w:r>
    </w:p>
    <w:p w14:paraId="06720AFF" w14:textId="77777777" w:rsidR="00240BA7" w:rsidRPr="006D176B" w:rsidRDefault="00240BA7" w:rsidP="006D176B">
      <w:pPr>
        <w:numPr>
          <w:ilvl w:val="0"/>
          <w:numId w:val="2"/>
        </w:numPr>
        <w:ind w:left="360"/>
        <w:rPr>
          <w:rFonts w:cs="Arial"/>
          <w:szCs w:val="24"/>
        </w:rPr>
      </w:pPr>
      <w:r w:rsidRPr="63542FD7">
        <w:rPr>
          <w:rFonts w:cs="Arial"/>
        </w:rPr>
        <w:t>Aim for BGL between 6-10 mmol</w:t>
      </w:r>
    </w:p>
    <w:p w14:paraId="601C8584" w14:textId="77777777" w:rsidR="00240BA7" w:rsidRPr="006D176B" w:rsidRDefault="00240BA7" w:rsidP="006D176B">
      <w:pPr>
        <w:numPr>
          <w:ilvl w:val="0"/>
          <w:numId w:val="2"/>
        </w:numPr>
        <w:ind w:left="360"/>
        <w:rPr>
          <w:rFonts w:cs="Arial"/>
          <w:szCs w:val="24"/>
        </w:rPr>
      </w:pPr>
      <w:r w:rsidRPr="63542FD7">
        <w:rPr>
          <w:rFonts w:cs="Arial"/>
        </w:rPr>
        <w:t>Avoid rapid reduction in blood glucose level (&gt;5mmol/hr)</w:t>
      </w:r>
    </w:p>
    <w:p w14:paraId="413B1197" w14:textId="77777777" w:rsidR="00240BA7" w:rsidRPr="006D176B" w:rsidRDefault="00240BA7" w:rsidP="006D176B">
      <w:pPr>
        <w:numPr>
          <w:ilvl w:val="0"/>
          <w:numId w:val="2"/>
        </w:numPr>
        <w:ind w:left="360"/>
        <w:rPr>
          <w:rFonts w:cs="Arial"/>
          <w:szCs w:val="24"/>
        </w:rPr>
      </w:pPr>
      <w:r w:rsidRPr="63542FD7">
        <w:rPr>
          <w:rFonts w:cs="Arial"/>
        </w:rPr>
        <w:lastRenderedPageBreak/>
        <w:t xml:space="preserve">Attend BGLs hourly (or more frequently if indicated) </w:t>
      </w:r>
    </w:p>
    <w:p w14:paraId="121E9245" w14:textId="06FFFFBC" w:rsidR="00240BA7" w:rsidRPr="006D176B" w:rsidRDefault="00240BA7" w:rsidP="006D176B">
      <w:pPr>
        <w:numPr>
          <w:ilvl w:val="0"/>
          <w:numId w:val="2"/>
        </w:numPr>
        <w:ind w:left="360"/>
        <w:rPr>
          <w:rFonts w:cs="Arial"/>
          <w:szCs w:val="24"/>
        </w:rPr>
      </w:pPr>
      <w:r w:rsidRPr="63542FD7">
        <w:rPr>
          <w:rFonts w:cs="Arial"/>
        </w:rPr>
        <w:t xml:space="preserve">Titrate infusion up or down in line with BGL and MO recommendation according to </w:t>
      </w:r>
      <w:proofErr w:type="spellStart"/>
      <w:r w:rsidR="007235F7" w:rsidRPr="63542FD7">
        <w:rPr>
          <w:rFonts w:cs="Arial"/>
        </w:rPr>
        <w:t>algorithim</w:t>
      </w:r>
      <w:proofErr w:type="spellEnd"/>
      <w:r w:rsidR="007235F7" w:rsidRPr="63542FD7">
        <w:rPr>
          <w:rFonts w:cs="Arial"/>
        </w:rPr>
        <w:t xml:space="preserve"> in DHR. See section </w:t>
      </w:r>
      <w:r w:rsidR="00F87C68">
        <w:rPr>
          <w:rFonts w:cs="Arial"/>
        </w:rPr>
        <w:t>6</w:t>
      </w:r>
      <w:r w:rsidR="007235F7" w:rsidRPr="63542FD7">
        <w:rPr>
          <w:rFonts w:cs="Arial"/>
        </w:rPr>
        <w:t xml:space="preserve"> for</w:t>
      </w:r>
      <w:r w:rsidR="00F87C68">
        <w:rPr>
          <w:rFonts w:cs="Arial"/>
        </w:rPr>
        <w:t xml:space="preserve"> algorithm</w:t>
      </w:r>
      <w:r w:rsidR="007235F7" w:rsidRPr="63542FD7">
        <w:rPr>
          <w:rFonts w:cs="Arial"/>
        </w:rPr>
        <w:t xml:space="preserve"> details</w:t>
      </w:r>
    </w:p>
    <w:p w14:paraId="39DE0E53" w14:textId="77777777" w:rsidR="00240BA7" w:rsidRPr="006D176B" w:rsidRDefault="00240BA7" w:rsidP="006D176B">
      <w:pPr>
        <w:numPr>
          <w:ilvl w:val="0"/>
          <w:numId w:val="2"/>
        </w:numPr>
        <w:ind w:left="360"/>
        <w:rPr>
          <w:rFonts w:cs="Arial"/>
          <w:szCs w:val="24"/>
        </w:rPr>
      </w:pPr>
      <w:r w:rsidRPr="63542FD7">
        <w:rPr>
          <w:rFonts w:cs="Arial"/>
        </w:rPr>
        <w:t>Junior nursing staff should seek guidance from either a MO/CNE/CDN/team leader or MET nurse to do this while learning</w:t>
      </w:r>
    </w:p>
    <w:p w14:paraId="16D854E8" w14:textId="77777777" w:rsidR="00240BA7" w:rsidRPr="006D176B" w:rsidRDefault="00240BA7" w:rsidP="006D176B">
      <w:pPr>
        <w:numPr>
          <w:ilvl w:val="0"/>
          <w:numId w:val="2"/>
        </w:numPr>
        <w:ind w:left="360"/>
        <w:rPr>
          <w:rFonts w:cs="Arial"/>
          <w:szCs w:val="24"/>
        </w:rPr>
      </w:pPr>
      <w:r w:rsidRPr="63542FD7">
        <w:rPr>
          <w:rFonts w:cs="Arial"/>
        </w:rPr>
        <w:t>If BGL goes up/down more than 5mmol/L in one hour seek guidance from the MO for infusion rate and recheck BGL in 15 mins</w:t>
      </w:r>
    </w:p>
    <w:p w14:paraId="043DF817" w14:textId="77777777" w:rsidR="00240BA7" w:rsidRPr="006D176B" w:rsidRDefault="00240BA7" w:rsidP="006D176B">
      <w:pPr>
        <w:numPr>
          <w:ilvl w:val="0"/>
          <w:numId w:val="2"/>
        </w:numPr>
        <w:ind w:left="360"/>
        <w:rPr>
          <w:rFonts w:cs="Arial"/>
          <w:szCs w:val="24"/>
        </w:rPr>
      </w:pPr>
      <w:r w:rsidRPr="63542FD7">
        <w:rPr>
          <w:rFonts w:cs="Arial"/>
        </w:rPr>
        <w:t>If BGL has been stable for &gt; 6hrs 2nd hourly BGLs are acceptable</w:t>
      </w:r>
    </w:p>
    <w:p w14:paraId="5863397C" w14:textId="77777777" w:rsidR="00240BA7" w:rsidRPr="006D176B" w:rsidRDefault="00240BA7" w:rsidP="006D176B">
      <w:pPr>
        <w:numPr>
          <w:ilvl w:val="0"/>
          <w:numId w:val="2"/>
        </w:numPr>
        <w:ind w:left="360"/>
        <w:rPr>
          <w:rFonts w:cs="Arial"/>
          <w:szCs w:val="24"/>
        </w:rPr>
      </w:pPr>
      <w:r w:rsidRPr="63542FD7">
        <w:rPr>
          <w:rFonts w:cs="Arial"/>
        </w:rPr>
        <w:t>If BGL &lt; 4mmol seek medical advice ASAP</w:t>
      </w:r>
    </w:p>
    <w:p w14:paraId="0430A288" w14:textId="0FE92880" w:rsidR="00CD1283" w:rsidRPr="00C33DBD" w:rsidRDefault="00240BA7" w:rsidP="00C33DBD">
      <w:pPr>
        <w:numPr>
          <w:ilvl w:val="0"/>
          <w:numId w:val="2"/>
        </w:numPr>
        <w:ind w:left="360"/>
        <w:rPr>
          <w:rFonts w:cs="Arial"/>
          <w:b/>
          <w:szCs w:val="24"/>
        </w:rPr>
      </w:pPr>
      <w:r>
        <w:t xml:space="preserve">If insulin infusion is turned off review BGLs hourly for 4 hrs, then as </w:t>
      </w:r>
      <w:r w:rsidRPr="00C33DBD">
        <w:rPr>
          <w:szCs w:val="24"/>
        </w:rPr>
        <w:t xml:space="preserve">per </w:t>
      </w:r>
      <w:r w:rsidR="000E7F75">
        <w:rPr>
          <w:szCs w:val="24"/>
        </w:rPr>
        <w:t xml:space="preserve">NCH </w:t>
      </w:r>
      <w:r w:rsidR="00C33DBD" w:rsidRPr="00C33DBD">
        <w:rPr>
          <w:szCs w:val="24"/>
        </w:rPr>
        <w:t xml:space="preserve">Minimum requirements for Physiological </w:t>
      </w:r>
      <w:r w:rsidR="00C33DBD" w:rsidRPr="00C33DBD">
        <w:rPr>
          <w:color w:val="000000"/>
          <w:szCs w:val="24"/>
        </w:rPr>
        <w:t>observations for ICU &amp; HDU patients procedure</w:t>
      </w:r>
    </w:p>
    <w:p w14:paraId="7DAA8FB9" w14:textId="77777777" w:rsidR="000E7F75" w:rsidRDefault="000E7F75" w:rsidP="000E7F75">
      <w:pPr>
        <w:rPr>
          <w:rFonts w:cs="Arial"/>
          <w:b/>
          <w:szCs w:val="24"/>
        </w:rPr>
      </w:pPr>
    </w:p>
    <w:p w14:paraId="6F4E7F4A" w14:textId="093CF4B5" w:rsidR="007E0FD7" w:rsidRPr="000E7F75" w:rsidRDefault="000E7F75" w:rsidP="007E0FD7">
      <w:pPr>
        <w:pStyle w:val="ListBullet"/>
        <w:numPr>
          <w:ilvl w:val="0"/>
          <w:numId w:val="0"/>
        </w:numPr>
        <w:rPr>
          <w:rFonts w:cs="Arial"/>
          <w:b/>
          <w:bCs/>
        </w:rPr>
      </w:pPr>
      <w:r w:rsidRPr="000E7F75">
        <w:rPr>
          <w:b/>
          <w:bCs/>
        </w:rPr>
        <w:t>Monitoring Blood Ketone Levels</w:t>
      </w:r>
    </w:p>
    <w:p w14:paraId="31762F5F" w14:textId="77777777" w:rsidR="007E0FD7" w:rsidRPr="006D176B" w:rsidRDefault="007E0FD7" w:rsidP="006D176B">
      <w:pPr>
        <w:numPr>
          <w:ilvl w:val="0"/>
          <w:numId w:val="2"/>
        </w:numPr>
        <w:ind w:left="360"/>
        <w:rPr>
          <w:szCs w:val="24"/>
        </w:rPr>
      </w:pPr>
      <w:r>
        <w:t xml:space="preserve">Test blood ketones at commencement of insulin infusion, then fourth hourly </w:t>
      </w:r>
    </w:p>
    <w:p w14:paraId="1E042229" w14:textId="77777777" w:rsidR="007E0FD7" w:rsidRPr="006D176B" w:rsidRDefault="007E0FD7" w:rsidP="006D176B">
      <w:pPr>
        <w:numPr>
          <w:ilvl w:val="0"/>
          <w:numId w:val="2"/>
        </w:numPr>
        <w:ind w:left="360"/>
        <w:rPr>
          <w:szCs w:val="24"/>
        </w:rPr>
      </w:pPr>
      <w:r>
        <w:t>If BGL &gt; 15mmol, take and document blood ketone level</w:t>
      </w:r>
    </w:p>
    <w:p w14:paraId="57A85374" w14:textId="77777777" w:rsidR="007E0FD7" w:rsidRDefault="007E0FD7" w:rsidP="006D176B">
      <w:pPr>
        <w:rPr>
          <w:szCs w:val="24"/>
        </w:rPr>
      </w:pPr>
    </w:p>
    <w:p w14:paraId="0D791344" w14:textId="22888CD5" w:rsidR="000E7F75" w:rsidRPr="000E7F75" w:rsidRDefault="000E7F75" w:rsidP="006D176B">
      <w:pPr>
        <w:rPr>
          <w:b/>
          <w:bCs/>
          <w:szCs w:val="24"/>
        </w:rPr>
      </w:pPr>
      <w:r w:rsidRPr="000E7F75">
        <w:rPr>
          <w:b/>
          <w:bCs/>
          <w:szCs w:val="24"/>
        </w:rPr>
        <w:t xml:space="preserve">Other nursing considerations </w:t>
      </w:r>
    </w:p>
    <w:p w14:paraId="6F966D18" w14:textId="77777777" w:rsidR="007E0FD7" w:rsidRPr="006D176B" w:rsidRDefault="007E0FD7" w:rsidP="006D176B">
      <w:pPr>
        <w:numPr>
          <w:ilvl w:val="0"/>
          <w:numId w:val="2"/>
        </w:numPr>
        <w:ind w:left="360"/>
        <w:rPr>
          <w:szCs w:val="24"/>
        </w:rPr>
      </w:pPr>
      <w:r>
        <w:t>Observe patient closely for signs and symptoms of hypoglycaemia i.e. BGL &lt;4.0 mmol/L, confusion, drowsiness, sweating, chest pain, increased or decreased respiration and report all changes in clinical observations immediately to MO</w:t>
      </w:r>
    </w:p>
    <w:p w14:paraId="78E41765" w14:textId="77777777" w:rsidR="007E0FD7" w:rsidRPr="006D176B" w:rsidRDefault="007E0FD7" w:rsidP="006D176B">
      <w:pPr>
        <w:numPr>
          <w:ilvl w:val="0"/>
          <w:numId w:val="2"/>
        </w:numPr>
        <w:ind w:left="360"/>
        <w:rPr>
          <w:szCs w:val="24"/>
        </w:rPr>
      </w:pPr>
      <w:r>
        <w:t xml:space="preserve">Insulin infusion and low-sorbing line must be changed every 24 hours </w:t>
      </w:r>
    </w:p>
    <w:p w14:paraId="61626A43" w14:textId="77777777" w:rsidR="007E0FD7" w:rsidRPr="006D176B" w:rsidRDefault="007E0FD7" w:rsidP="006D176B">
      <w:pPr>
        <w:numPr>
          <w:ilvl w:val="0"/>
          <w:numId w:val="2"/>
        </w:numPr>
        <w:ind w:left="360"/>
        <w:rPr>
          <w:szCs w:val="24"/>
        </w:rPr>
      </w:pPr>
      <w:r>
        <w:t>Maintain FBC and monitor fluid requirements strictly</w:t>
      </w:r>
    </w:p>
    <w:p w14:paraId="17936DD3" w14:textId="77777777" w:rsidR="007E0FD7" w:rsidRPr="006D176B" w:rsidRDefault="007E0FD7" w:rsidP="006D176B">
      <w:pPr>
        <w:numPr>
          <w:ilvl w:val="0"/>
          <w:numId w:val="2"/>
        </w:numPr>
        <w:ind w:left="360"/>
        <w:rPr>
          <w:szCs w:val="24"/>
        </w:rPr>
      </w:pPr>
      <w:r>
        <w:t>Monitor potassium level at frequency determined by MO</w:t>
      </w:r>
    </w:p>
    <w:p w14:paraId="0DE8F732" w14:textId="77777777" w:rsidR="007E0FD7" w:rsidRPr="000D1C9E" w:rsidRDefault="007E0FD7" w:rsidP="006D176B">
      <w:pPr>
        <w:numPr>
          <w:ilvl w:val="0"/>
          <w:numId w:val="2"/>
        </w:numPr>
        <w:ind w:left="360"/>
        <w:rPr>
          <w:b/>
          <w:bCs/>
          <w:szCs w:val="24"/>
        </w:rPr>
      </w:pPr>
      <w:r w:rsidRPr="63542FD7">
        <w:rPr>
          <w:b/>
          <w:bCs/>
        </w:rPr>
        <w:t xml:space="preserve">If an IV cannula tissues with insulin attached to it, it should be replaced as a matter of urgency </w:t>
      </w:r>
    </w:p>
    <w:p w14:paraId="3D5FEDD7" w14:textId="0B9DFD59" w:rsidR="007E0FD7" w:rsidRPr="006D176B" w:rsidRDefault="007E0FD7" w:rsidP="006D176B">
      <w:pPr>
        <w:numPr>
          <w:ilvl w:val="0"/>
          <w:numId w:val="2"/>
        </w:numPr>
        <w:ind w:left="360"/>
        <w:rPr>
          <w:szCs w:val="24"/>
        </w:rPr>
      </w:pPr>
      <w:r>
        <w:t xml:space="preserve">Be aware that hydration status, body temperature, </w:t>
      </w:r>
      <w:proofErr w:type="spellStart"/>
      <w:r>
        <w:t>glucocorticosteroids</w:t>
      </w:r>
      <w:proofErr w:type="spellEnd"/>
      <w:r>
        <w:t xml:space="preserve"> (e.g. prednisolone, hydrocortisone) and TPN may all impact on insulin requirements</w:t>
      </w:r>
      <w:r w:rsidR="006D176B">
        <w:t>.</w:t>
      </w:r>
    </w:p>
    <w:p w14:paraId="31935A07" w14:textId="77777777" w:rsidR="00CD1283" w:rsidRDefault="00CD1283" w:rsidP="00CD1283">
      <w:pPr>
        <w:rPr>
          <w:rFonts w:cs="Arial"/>
          <w:b/>
          <w:szCs w:val="24"/>
        </w:rPr>
      </w:pPr>
    </w:p>
    <w:p w14:paraId="27F4BDF5" w14:textId="1AC07DE4" w:rsidR="007E0FD7" w:rsidRPr="006D176B" w:rsidRDefault="000E7F75" w:rsidP="00F87C68">
      <w:pPr>
        <w:pStyle w:val="ListBullet"/>
        <w:numPr>
          <w:ilvl w:val="0"/>
          <w:numId w:val="0"/>
        </w:numPr>
        <w:rPr>
          <w:b/>
          <w:szCs w:val="24"/>
        </w:rPr>
      </w:pPr>
      <w:r w:rsidRPr="000E7F75">
        <w:rPr>
          <w:rFonts w:cs="Arial"/>
          <w:b/>
          <w:bCs/>
        </w:rPr>
        <w:t>Ceasing Insulin I</w:t>
      </w:r>
      <w:r>
        <w:rPr>
          <w:rFonts w:cs="Arial"/>
          <w:b/>
          <w:bCs/>
        </w:rPr>
        <w:t>n</w:t>
      </w:r>
      <w:r w:rsidRPr="000E7F75">
        <w:rPr>
          <w:rFonts w:cs="Arial"/>
          <w:b/>
          <w:bCs/>
        </w:rPr>
        <w:t xml:space="preserve">fusions </w:t>
      </w:r>
      <w:r w:rsidR="00F87C68">
        <w:rPr>
          <w:rFonts w:cs="Arial"/>
          <w:b/>
          <w:bCs/>
        </w:rPr>
        <w:t xml:space="preserve">– </w:t>
      </w:r>
      <w:r w:rsidR="007E0FD7" w:rsidRPr="006D176B">
        <w:rPr>
          <w:b/>
          <w:szCs w:val="24"/>
        </w:rPr>
        <w:t xml:space="preserve">For patients treated with Oral Hypoglycaemic (OHA) medication: </w:t>
      </w:r>
    </w:p>
    <w:p w14:paraId="7328247C" w14:textId="402A8EBF" w:rsidR="007E0FD7" w:rsidRPr="006D176B" w:rsidRDefault="007E0FD7" w:rsidP="006D176B">
      <w:pPr>
        <w:numPr>
          <w:ilvl w:val="0"/>
          <w:numId w:val="2"/>
        </w:numPr>
        <w:ind w:left="360"/>
        <w:rPr>
          <w:rFonts w:cs="Arial"/>
          <w:szCs w:val="24"/>
        </w:rPr>
      </w:pPr>
      <w:r>
        <w:t>Attend</w:t>
      </w:r>
      <w:r w:rsidRPr="63542FD7">
        <w:rPr>
          <w:rFonts w:cs="Arial"/>
        </w:rPr>
        <w:t xml:space="preserve"> hand hygien</w:t>
      </w:r>
      <w:r w:rsidR="000D1C9E" w:rsidRPr="63542FD7">
        <w:rPr>
          <w:rFonts w:cs="Arial"/>
        </w:rPr>
        <w:t>e</w:t>
      </w:r>
      <w:r w:rsidRPr="63542FD7">
        <w:rPr>
          <w:rFonts w:cs="Arial"/>
        </w:rPr>
        <w:t xml:space="preserve"> </w:t>
      </w:r>
    </w:p>
    <w:p w14:paraId="660CA9FF" w14:textId="77777777" w:rsidR="007E0FD7" w:rsidRPr="006D176B" w:rsidRDefault="007E0FD7" w:rsidP="006D176B">
      <w:pPr>
        <w:numPr>
          <w:ilvl w:val="0"/>
          <w:numId w:val="2"/>
        </w:numPr>
        <w:ind w:left="360"/>
        <w:rPr>
          <w:szCs w:val="24"/>
        </w:rPr>
      </w:pPr>
      <w:r>
        <w:t xml:space="preserve">The patient must be tolerating an adequate oral intake prior to the cessation of the insulin infusion </w:t>
      </w:r>
    </w:p>
    <w:p w14:paraId="0EE28CB5" w14:textId="77777777" w:rsidR="007E0FD7" w:rsidRPr="006D176B" w:rsidRDefault="007E0FD7" w:rsidP="006D176B">
      <w:pPr>
        <w:numPr>
          <w:ilvl w:val="0"/>
          <w:numId w:val="2"/>
        </w:numPr>
        <w:ind w:left="360"/>
        <w:rPr>
          <w:szCs w:val="24"/>
        </w:rPr>
      </w:pPr>
      <w:r>
        <w:t xml:space="preserve">Monitored BGLs should be within target as per MO and no blood ketones present </w:t>
      </w:r>
    </w:p>
    <w:p w14:paraId="243CB2E7" w14:textId="77777777" w:rsidR="007E0FD7" w:rsidRPr="006D176B" w:rsidRDefault="007E0FD7" w:rsidP="006D176B">
      <w:pPr>
        <w:numPr>
          <w:ilvl w:val="0"/>
          <w:numId w:val="2"/>
        </w:numPr>
        <w:ind w:left="360"/>
        <w:rPr>
          <w:szCs w:val="24"/>
        </w:rPr>
      </w:pPr>
      <w:r>
        <w:t xml:space="preserve">The treating MO must ensure OHA’s are prescribed appropriately </w:t>
      </w:r>
    </w:p>
    <w:p w14:paraId="47A815C5" w14:textId="77777777" w:rsidR="007E0FD7" w:rsidRPr="006D176B" w:rsidRDefault="007E0FD7" w:rsidP="006D176B">
      <w:pPr>
        <w:numPr>
          <w:ilvl w:val="0"/>
          <w:numId w:val="2"/>
        </w:numPr>
        <w:ind w:left="360"/>
        <w:rPr>
          <w:szCs w:val="24"/>
        </w:rPr>
      </w:pPr>
      <w:r>
        <w:t xml:space="preserve">The treating MO will order the cessation of the insulin </w:t>
      </w:r>
    </w:p>
    <w:p w14:paraId="1657F5D8" w14:textId="77777777" w:rsidR="007E0FD7" w:rsidRPr="006D176B" w:rsidRDefault="007E0FD7" w:rsidP="006D176B">
      <w:pPr>
        <w:numPr>
          <w:ilvl w:val="0"/>
          <w:numId w:val="2"/>
        </w:numPr>
        <w:ind w:left="360"/>
        <w:rPr>
          <w:szCs w:val="24"/>
        </w:rPr>
      </w:pPr>
      <w:r>
        <w:t xml:space="preserve">Cessation of the insulin infusion should be planned for early in the day </w:t>
      </w:r>
    </w:p>
    <w:p w14:paraId="477F19B0" w14:textId="77777777" w:rsidR="007E0FD7" w:rsidRPr="006D176B" w:rsidRDefault="007E0FD7" w:rsidP="006D176B">
      <w:pPr>
        <w:numPr>
          <w:ilvl w:val="0"/>
          <w:numId w:val="2"/>
        </w:numPr>
        <w:ind w:left="360"/>
        <w:rPr>
          <w:szCs w:val="24"/>
        </w:rPr>
      </w:pPr>
      <w:r>
        <w:t xml:space="preserve">Explain the procedure to the patient </w:t>
      </w:r>
    </w:p>
    <w:p w14:paraId="720953F2" w14:textId="77777777" w:rsidR="007E0FD7" w:rsidRPr="006D176B" w:rsidRDefault="007E0FD7" w:rsidP="006D176B">
      <w:pPr>
        <w:numPr>
          <w:ilvl w:val="0"/>
          <w:numId w:val="2"/>
        </w:numPr>
        <w:ind w:left="360"/>
        <w:rPr>
          <w:szCs w:val="24"/>
        </w:rPr>
      </w:pPr>
      <w:r>
        <w:t xml:space="preserve">The insulin infusion is ceased at the time of giving oral hypoglycaemic medication </w:t>
      </w:r>
    </w:p>
    <w:p w14:paraId="6AE6510A" w14:textId="77777777" w:rsidR="007E0FD7" w:rsidRPr="006D176B" w:rsidRDefault="007E0FD7" w:rsidP="006D176B">
      <w:pPr>
        <w:numPr>
          <w:ilvl w:val="0"/>
          <w:numId w:val="2"/>
        </w:numPr>
        <w:ind w:left="360"/>
        <w:rPr>
          <w:szCs w:val="24"/>
        </w:rPr>
      </w:pPr>
      <w:r>
        <w:t xml:space="preserve">Monitor BGLs hourly for 4 hrs post cessation, then as per ICU HDU minimum observation procedure or </w:t>
      </w:r>
      <w:proofErr w:type="gramStart"/>
      <w:r>
        <w:t>in  ED</w:t>
      </w:r>
      <w:proofErr w:type="gramEnd"/>
      <w:r>
        <w:t xml:space="preserve"> as clinically required</w:t>
      </w:r>
    </w:p>
    <w:p w14:paraId="20BFDCA7" w14:textId="77777777" w:rsidR="007E0FD7" w:rsidRPr="006D176B" w:rsidRDefault="007E0FD7" w:rsidP="006D176B">
      <w:pPr>
        <w:numPr>
          <w:ilvl w:val="0"/>
          <w:numId w:val="2"/>
        </w:numPr>
        <w:ind w:left="360"/>
        <w:rPr>
          <w:szCs w:val="24"/>
        </w:rPr>
      </w:pPr>
      <w:r>
        <w:t>Refer the patient to the Diabetes Educator for assessment and planning of diabetes care and support</w:t>
      </w:r>
    </w:p>
    <w:p w14:paraId="7B80BB6C" w14:textId="77777777" w:rsidR="007E0FD7" w:rsidRPr="006D176B" w:rsidRDefault="007E0FD7" w:rsidP="006D176B">
      <w:pPr>
        <w:numPr>
          <w:ilvl w:val="0"/>
          <w:numId w:val="2"/>
        </w:numPr>
        <w:ind w:left="360"/>
        <w:rPr>
          <w:szCs w:val="24"/>
        </w:rPr>
      </w:pPr>
      <w:r>
        <w:t>Document actions in patient’s clinical records</w:t>
      </w:r>
    </w:p>
    <w:p w14:paraId="37DCA4BA" w14:textId="77777777" w:rsidR="007E0FD7" w:rsidRPr="006D176B" w:rsidRDefault="007E0FD7" w:rsidP="007E0FD7">
      <w:pPr>
        <w:pStyle w:val="ListBullet"/>
        <w:numPr>
          <w:ilvl w:val="0"/>
          <w:numId w:val="0"/>
        </w:numPr>
        <w:ind w:left="360" w:hanging="360"/>
        <w:rPr>
          <w:szCs w:val="24"/>
        </w:rPr>
      </w:pPr>
    </w:p>
    <w:p w14:paraId="516EA9A3" w14:textId="540D8403" w:rsidR="007E0FD7" w:rsidRPr="006D176B" w:rsidRDefault="00F87C68" w:rsidP="007E0FD7">
      <w:pPr>
        <w:spacing w:line="276" w:lineRule="auto"/>
        <w:rPr>
          <w:b/>
          <w:szCs w:val="24"/>
        </w:rPr>
      </w:pPr>
      <w:r w:rsidRPr="000E7F75">
        <w:rPr>
          <w:rFonts w:cs="Arial"/>
          <w:b/>
          <w:bCs/>
        </w:rPr>
        <w:t>Ceasing Insulin I</w:t>
      </w:r>
      <w:r>
        <w:rPr>
          <w:rFonts w:cs="Arial"/>
          <w:b/>
          <w:bCs/>
        </w:rPr>
        <w:t>n</w:t>
      </w:r>
      <w:r w:rsidRPr="000E7F75">
        <w:rPr>
          <w:rFonts w:cs="Arial"/>
          <w:b/>
          <w:bCs/>
        </w:rPr>
        <w:t xml:space="preserve">fusions </w:t>
      </w:r>
      <w:r>
        <w:rPr>
          <w:rFonts w:cs="Arial"/>
          <w:b/>
          <w:bCs/>
        </w:rPr>
        <w:t xml:space="preserve">– </w:t>
      </w:r>
      <w:r w:rsidR="007E0FD7" w:rsidRPr="006D176B">
        <w:rPr>
          <w:b/>
          <w:szCs w:val="24"/>
        </w:rPr>
        <w:t>For patients treated with subcutaneous insulin</w:t>
      </w:r>
      <w:r w:rsidR="000E7F75">
        <w:rPr>
          <w:b/>
          <w:szCs w:val="24"/>
        </w:rPr>
        <w:t xml:space="preserve"> </w:t>
      </w:r>
      <w:r w:rsidR="007235F7">
        <w:rPr>
          <w:b/>
          <w:szCs w:val="24"/>
        </w:rPr>
        <w:t>regimen</w:t>
      </w:r>
      <w:r w:rsidR="007E0FD7" w:rsidRPr="006D176B">
        <w:rPr>
          <w:b/>
          <w:szCs w:val="24"/>
        </w:rPr>
        <w:t xml:space="preserve">: </w:t>
      </w:r>
    </w:p>
    <w:p w14:paraId="1D6EBC17" w14:textId="3BB31DEA" w:rsidR="007E0FD7" w:rsidRPr="006D176B" w:rsidRDefault="007E0FD7" w:rsidP="006D176B">
      <w:pPr>
        <w:numPr>
          <w:ilvl w:val="0"/>
          <w:numId w:val="2"/>
        </w:numPr>
        <w:ind w:left="360"/>
        <w:rPr>
          <w:rFonts w:cs="Arial"/>
          <w:szCs w:val="24"/>
        </w:rPr>
      </w:pPr>
      <w:r w:rsidRPr="63542FD7">
        <w:rPr>
          <w:rFonts w:cs="Arial"/>
        </w:rPr>
        <w:t xml:space="preserve">Attend hand hygiene  </w:t>
      </w:r>
    </w:p>
    <w:p w14:paraId="3C328B15" w14:textId="77777777" w:rsidR="007E0FD7" w:rsidRPr="006D176B" w:rsidRDefault="007E0FD7" w:rsidP="006D176B">
      <w:pPr>
        <w:numPr>
          <w:ilvl w:val="0"/>
          <w:numId w:val="2"/>
        </w:numPr>
        <w:ind w:left="360"/>
        <w:rPr>
          <w:szCs w:val="24"/>
        </w:rPr>
      </w:pPr>
      <w:r>
        <w:t xml:space="preserve">The patient must be tolerating an adequate oral intake prior to the cessation of the insulin infusion </w:t>
      </w:r>
    </w:p>
    <w:p w14:paraId="7A0E7E77" w14:textId="77777777" w:rsidR="007E0FD7" w:rsidRPr="006D176B" w:rsidRDefault="007E0FD7" w:rsidP="006D176B">
      <w:pPr>
        <w:numPr>
          <w:ilvl w:val="0"/>
          <w:numId w:val="2"/>
        </w:numPr>
        <w:ind w:left="360"/>
        <w:rPr>
          <w:szCs w:val="24"/>
        </w:rPr>
      </w:pPr>
      <w:r>
        <w:t xml:space="preserve">Monitored BGLs should be within target as per MO and no blood ketones present </w:t>
      </w:r>
    </w:p>
    <w:p w14:paraId="19169345" w14:textId="77777777" w:rsidR="007E0FD7" w:rsidRPr="006D176B" w:rsidRDefault="007E0FD7" w:rsidP="006D176B">
      <w:pPr>
        <w:numPr>
          <w:ilvl w:val="0"/>
          <w:numId w:val="2"/>
        </w:numPr>
        <w:ind w:left="360"/>
        <w:rPr>
          <w:szCs w:val="24"/>
        </w:rPr>
      </w:pPr>
      <w:r>
        <w:t xml:space="preserve">The treating MO will order the cessation of the insulin infusion </w:t>
      </w:r>
    </w:p>
    <w:p w14:paraId="121C713F" w14:textId="77777777" w:rsidR="007E0FD7" w:rsidRPr="006D176B" w:rsidRDefault="007E0FD7" w:rsidP="006D176B">
      <w:pPr>
        <w:numPr>
          <w:ilvl w:val="0"/>
          <w:numId w:val="2"/>
        </w:numPr>
        <w:ind w:left="360"/>
        <w:rPr>
          <w:szCs w:val="24"/>
        </w:rPr>
      </w:pPr>
      <w:r>
        <w:t xml:space="preserve">Explain the procedure to the patient </w:t>
      </w:r>
    </w:p>
    <w:p w14:paraId="683133AF" w14:textId="77777777" w:rsidR="007E0FD7" w:rsidRPr="006D176B" w:rsidRDefault="007E0FD7" w:rsidP="006D176B">
      <w:pPr>
        <w:numPr>
          <w:ilvl w:val="0"/>
          <w:numId w:val="2"/>
        </w:numPr>
        <w:ind w:left="360"/>
        <w:rPr>
          <w:szCs w:val="24"/>
        </w:rPr>
      </w:pPr>
      <w:r>
        <w:t xml:space="preserve">Cessation of the insulin infusion should be planned for early in the day </w:t>
      </w:r>
    </w:p>
    <w:p w14:paraId="4298AA73" w14:textId="77777777" w:rsidR="007E0FD7" w:rsidRPr="006D176B" w:rsidRDefault="007E0FD7" w:rsidP="006D176B">
      <w:pPr>
        <w:numPr>
          <w:ilvl w:val="0"/>
          <w:numId w:val="2"/>
        </w:numPr>
        <w:ind w:left="360"/>
        <w:rPr>
          <w:szCs w:val="24"/>
        </w:rPr>
      </w:pPr>
      <w:r>
        <w:t xml:space="preserve">The treating MO must ensure that subcutaneous insulin is prescribed appropriately </w:t>
      </w:r>
    </w:p>
    <w:p w14:paraId="75CFCA80" w14:textId="77777777" w:rsidR="007E0FD7" w:rsidRPr="006D176B" w:rsidRDefault="007E0FD7" w:rsidP="000D1C9E">
      <w:pPr>
        <w:pStyle w:val="ListParagraph"/>
        <w:numPr>
          <w:ilvl w:val="0"/>
          <w:numId w:val="19"/>
        </w:numPr>
        <w:rPr>
          <w:rFonts w:asciiTheme="minorHAnsi" w:hAnsiTheme="minorHAnsi"/>
          <w:szCs w:val="24"/>
        </w:rPr>
      </w:pPr>
      <w:r w:rsidRPr="006D176B">
        <w:rPr>
          <w:rFonts w:asciiTheme="minorHAnsi" w:hAnsiTheme="minorHAnsi"/>
          <w:szCs w:val="24"/>
        </w:rPr>
        <w:t xml:space="preserve">The patient’s normal subcutaneous insulin regimen is recommenced prior to ceasing the IV insulin infusion    </w:t>
      </w:r>
    </w:p>
    <w:p w14:paraId="3F9890B4" w14:textId="77777777" w:rsidR="007E0FD7" w:rsidRPr="006D176B" w:rsidRDefault="007E0FD7" w:rsidP="000D1C9E">
      <w:pPr>
        <w:pStyle w:val="ListParagraph"/>
        <w:numPr>
          <w:ilvl w:val="0"/>
          <w:numId w:val="19"/>
        </w:numPr>
        <w:rPr>
          <w:rFonts w:asciiTheme="minorHAnsi" w:hAnsiTheme="minorHAnsi"/>
          <w:szCs w:val="24"/>
        </w:rPr>
      </w:pPr>
      <w:r w:rsidRPr="006D176B">
        <w:rPr>
          <w:rFonts w:asciiTheme="minorHAnsi" w:hAnsiTheme="minorHAnsi"/>
          <w:szCs w:val="24"/>
        </w:rPr>
        <w:t xml:space="preserve">Patients treated with subcutaneous insulin must have an initial subcutaneous insulin dose administered prior to the insulin infusion being ceased  </w:t>
      </w:r>
    </w:p>
    <w:p w14:paraId="5AF41B23" w14:textId="77777777" w:rsidR="007E0FD7" w:rsidRPr="006D176B" w:rsidRDefault="007E0FD7" w:rsidP="006D176B">
      <w:pPr>
        <w:numPr>
          <w:ilvl w:val="0"/>
          <w:numId w:val="2"/>
        </w:numPr>
        <w:ind w:left="360"/>
        <w:rPr>
          <w:rFonts w:asciiTheme="minorHAnsi" w:hAnsiTheme="minorHAnsi"/>
          <w:szCs w:val="24"/>
        </w:rPr>
      </w:pPr>
      <w:r>
        <w:t>This</w:t>
      </w:r>
      <w:r w:rsidRPr="63542FD7">
        <w:rPr>
          <w:rFonts w:asciiTheme="minorHAnsi" w:hAnsiTheme="minorHAnsi"/>
        </w:rPr>
        <w:t xml:space="preserve"> is ordered by a MO. The timing of the injection is dependent on the type of insulin ordered:   </w:t>
      </w:r>
    </w:p>
    <w:tbl>
      <w:tblPr>
        <w:tblStyle w:val="TableGrid"/>
        <w:tblpPr w:leftFromText="180" w:rightFromText="180" w:vertAnchor="text" w:horzAnchor="margin" w:tblpY="294"/>
        <w:tblW w:w="0" w:type="auto"/>
        <w:tblLook w:val="04A0" w:firstRow="1" w:lastRow="0" w:firstColumn="1" w:lastColumn="0" w:noHBand="0" w:noVBand="1"/>
      </w:tblPr>
      <w:tblGrid>
        <w:gridCol w:w="3681"/>
        <w:gridCol w:w="1984"/>
        <w:gridCol w:w="3261"/>
      </w:tblGrid>
      <w:tr w:rsidR="007E0FD7" w:rsidRPr="000D1C9E" w14:paraId="47B68560" w14:textId="77777777" w:rsidTr="00495408">
        <w:trPr>
          <w:trHeight w:val="827"/>
        </w:trPr>
        <w:tc>
          <w:tcPr>
            <w:tcW w:w="3681" w:type="dxa"/>
            <w:shd w:val="clear" w:color="auto" w:fill="D9D9D9" w:themeFill="background1" w:themeFillShade="D9"/>
            <w:vAlign w:val="center"/>
          </w:tcPr>
          <w:p w14:paraId="4F0AF90F" w14:textId="571AF63B" w:rsidR="007E0FD7" w:rsidRPr="000D1C9E" w:rsidRDefault="007E0FD7" w:rsidP="00495408">
            <w:pPr>
              <w:spacing w:line="276" w:lineRule="auto"/>
              <w:jc w:val="center"/>
              <w:rPr>
                <w:b/>
                <w:sz w:val="22"/>
                <w:szCs w:val="18"/>
              </w:rPr>
            </w:pPr>
            <w:r w:rsidRPr="000D1C9E">
              <w:rPr>
                <w:b/>
                <w:sz w:val="22"/>
                <w:szCs w:val="18"/>
              </w:rPr>
              <w:t>Insulin</w:t>
            </w:r>
          </w:p>
        </w:tc>
        <w:tc>
          <w:tcPr>
            <w:tcW w:w="1984" w:type="dxa"/>
            <w:shd w:val="clear" w:color="auto" w:fill="D9D9D9" w:themeFill="background1" w:themeFillShade="D9"/>
            <w:vAlign w:val="center"/>
          </w:tcPr>
          <w:p w14:paraId="73018F7C" w14:textId="40650A41" w:rsidR="007E0FD7" w:rsidRPr="000D1C9E" w:rsidRDefault="007E0FD7" w:rsidP="00495408">
            <w:pPr>
              <w:spacing w:line="276" w:lineRule="auto"/>
              <w:jc w:val="center"/>
              <w:rPr>
                <w:b/>
                <w:sz w:val="22"/>
                <w:szCs w:val="18"/>
              </w:rPr>
            </w:pPr>
            <w:r w:rsidRPr="000D1C9E">
              <w:rPr>
                <w:b/>
                <w:sz w:val="22"/>
                <w:szCs w:val="18"/>
              </w:rPr>
              <w:t>Peak action after subcutaneous injection</w:t>
            </w:r>
          </w:p>
        </w:tc>
        <w:tc>
          <w:tcPr>
            <w:tcW w:w="3261" w:type="dxa"/>
            <w:shd w:val="clear" w:color="auto" w:fill="D9D9D9" w:themeFill="background1" w:themeFillShade="D9"/>
            <w:vAlign w:val="center"/>
          </w:tcPr>
          <w:p w14:paraId="1DEA7C7D" w14:textId="7F472AC3" w:rsidR="007E0FD7" w:rsidRPr="000D1C9E" w:rsidRDefault="007E0FD7" w:rsidP="00495408">
            <w:pPr>
              <w:spacing w:line="276" w:lineRule="auto"/>
              <w:jc w:val="center"/>
              <w:rPr>
                <w:b/>
                <w:sz w:val="22"/>
                <w:szCs w:val="18"/>
              </w:rPr>
            </w:pPr>
            <w:r w:rsidRPr="000D1C9E">
              <w:rPr>
                <w:b/>
                <w:sz w:val="22"/>
                <w:szCs w:val="18"/>
              </w:rPr>
              <w:t>When to cease insulin infusion</w:t>
            </w:r>
          </w:p>
        </w:tc>
      </w:tr>
      <w:tr w:rsidR="007E0FD7" w:rsidRPr="000D1C9E" w14:paraId="64E6E042" w14:textId="77777777" w:rsidTr="00495408">
        <w:tc>
          <w:tcPr>
            <w:tcW w:w="3681" w:type="dxa"/>
          </w:tcPr>
          <w:p w14:paraId="40279608" w14:textId="77777777" w:rsidR="007E0FD7" w:rsidRPr="000D1C9E" w:rsidRDefault="007E0FD7" w:rsidP="007E0FD7">
            <w:pPr>
              <w:spacing w:line="276" w:lineRule="auto"/>
              <w:rPr>
                <w:i/>
                <w:sz w:val="22"/>
                <w:szCs w:val="18"/>
              </w:rPr>
            </w:pPr>
            <w:r w:rsidRPr="000D1C9E">
              <w:rPr>
                <w:i/>
                <w:sz w:val="22"/>
                <w:szCs w:val="18"/>
              </w:rPr>
              <w:t>Rapid Acting </w:t>
            </w:r>
          </w:p>
          <w:p w14:paraId="49B388CC" w14:textId="22007338" w:rsidR="007E0FD7" w:rsidRPr="000D1C9E" w:rsidRDefault="007E0FD7" w:rsidP="007E0FD7">
            <w:pPr>
              <w:spacing w:line="276" w:lineRule="auto"/>
              <w:rPr>
                <w:sz w:val="22"/>
                <w:szCs w:val="22"/>
              </w:rPr>
            </w:pPr>
            <w:r w:rsidRPr="02DA37D7">
              <w:rPr>
                <w:sz w:val="22"/>
                <w:szCs w:val="22"/>
              </w:rPr>
              <w:t xml:space="preserve"> e.g. </w:t>
            </w:r>
            <w:proofErr w:type="spellStart"/>
            <w:proofErr w:type="gramStart"/>
            <w:r w:rsidRPr="02DA37D7">
              <w:rPr>
                <w:sz w:val="22"/>
                <w:szCs w:val="22"/>
              </w:rPr>
              <w:t>Novorapid</w:t>
            </w:r>
            <w:proofErr w:type="spellEnd"/>
            <w:r w:rsidRPr="02DA37D7">
              <w:rPr>
                <w:sz w:val="22"/>
                <w:szCs w:val="22"/>
              </w:rPr>
              <w:t xml:space="preserve">,  </w:t>
            </w:r>
            <w:proofErr w:type="spellStart"/>
            <w:r w:rsidRPr="02DA37D7">
              <w:rPr>
                <w:sz w:val="22"/>
                <w:szCs w:val="22"/>
              </w:rPr>
              <w:t>Novomix</w:t>
            </w:r>
            <w:proofErr w:type="spellEnd"/>
            <w:proofErr w:type="gramEnd"/>
            <w:r w:rsidRPr="02DA37D7">
              <w:rPr>
                <w:sz w:val="22"/>
                <w:szCs w:val="22"/>
              </w:rPr>
              <w:t xml:space="preserve"> 30, Humalog, Humalog mix, </w:t>
            </w:r>
            <w:proofErr w:type="spellStart"/>
            <w:r w:rsidRPr="02DA37D7">
              <w:rPr>
                <w:sz w:val="22"/>
                <w:szCs w:val="22"/>
              </w:rPr>
              <w:t>Apidra</w:t>
            </w:r>
            <w:proofErr w:type="spellEnd"/>
            <w:r w:rsidRPr="02DA37D7">
              <w:rPr>
                <w:sz w:val="22"/>
                <w:szCs w:val="22"/>
              </w:rPr>
              <w:t xml:space="preserve">, </w:t>
            </w:r>
            <w:proofErr w:type="spellStart"/>
            <w:r w:rsidR="79119308" w:rsidRPr="02DA37D7">
              <w:rPr>
                <w:sz w:val="22"/>
                <w:szCs w:val="22"/>
              </w:rPr>
              <w:t>Ryzodeg</w:t>
            </w:r>
            <w:proofErr w:type="spellEnd"/>
          </w:p>
        </w:tc>
        <w:tc>
          <w:tcPr>
            <w:tcW w:w="1984" w:type="dxa"/>
          </w:tcPr>
          <w:p w14:paraId="0793D66D" w14:textId="77777777" w:rsidR="007E0FD7" w:rsidRPr="000D1C9E" w:rsidRDefault="007E0FD7" w:rsidP="007E0FD7">
            <w:pPr>
              <w:spacing w:line="276" w:lineRule="auto"/>
              <w:rPr>
                <w:sz w:val="22"/>
                <w:szCs w:val="18"/>
              </w:rPr>
            </w:pPr>
            <w:r w:rsidRPr="000D1C9E">
              <w:rPr>
                <w:sz w:val="22"/>
                <w:szCs w:val="18"/>
              </w:rPr>
              <w:t xml:space="preserve">Less than 1 hour </w:t>
            </w:r>
          </w:p>
          <w:p w14:paraId="4D95BEAE" w14:textId="77777777" w:rsidR="007E0FD7" w:rsidRPr="000D1C9E" w:rsidRDefault="007E0FD7" w:rsidP="007E0FD7">
            <w:pPr>
              <w:spacing w:line="276" w:lineRule="auto"/>
              <w:rPr>
                <w:sz w:val="22"/>
                <w:szCs w:val="18"/>
              </w:rPr>
            </w:pPr>
          </w:p>
        </w:tc>
        <w:tc>
          <w:tcPr>
            <w:tcW w:w="3261" w:type="dxa"/>
          </w:tcPr>
          <w:p w14:paraId="7BC58E09" w14:textId="11268F64" w:rsidR="007E0FD7" w:rsidRPr="000D1C9E" w:rsidRDefault="007E0FD7" w:rsidP="007E0FD7">
            <w:pPr>
              <w:spacing w:line="276" w:lineRule="auto"/>
              <w:rPr>
                <w:sz w:val="22"/>
                <w:szCs w:val="18"/>
              </w:rPr>
            </w:pPr>
            <w:r w:rsidRPr="000D1C9E">
              <w:rPr>
                <w:sz w:val="22"/>
                <w:szCs w:val="18"/>
              </w:rPr>
              <w:t xml:space="preserve">1 hour after the subcutaneous injection </w:t>
            </w:r>
          </w:p>
        </w:tc>
      </w:tr>
      <w:tr w:rsidR="007E0FD7" w:rsidRPr="000D1C9E" w14:paraId="53C1FE4E" w14:textId="77777777" w:rsidTr="00495408">
        <w:tc>
          <w:tcPr>
            <w:tcW w:w="3681" w:type="dxa"/>
          </w:tcPr>
          <w:p w14:paraId="083640E3" w14:textId="77777777" w:rsidR="007E0FD7" w:rsidRPr="000D1C9E" w:rsidRDefault="007E0FD7" w:rsidP="007E0FD7">
            <w:pPr>
              <w:spacing w:line="276" w:lineRule="auto"/>
              <w:rPr>
                <w:i/>
                <w:sz w:val="22"/>
                <w:szCs w:val="18"/>
              </w:rPr>
            </w:pPr>
            <w:r w:rsidRPr="000D1C9E">
              <w:rPr>
                <w:i/>
                <w:sz w:val="22"/>
                <w:szCs w:val="18"/>
              </w:rPr>
              <w:t>Short Acting</w:t>
            </w:r>
          </w:p>
          <w:p w14:paraId="28FDD7CE" w14:textId="05C9E58D" w:rsidR="007E0FD7" w:rsidRPr="000D1C9E" w:rsidRDefault="007E0FD7" w:rsidP="007E0FD7">
            <w:pPr>
              <w:spacing w:line="276" w:lineRule="auto"/>
              <w:rPr>
                <w:sz w:val="22"/>
                <w:szCs w:val="18"/>
              </w:rPr>
            </w:pPr>
            <w:r w:rsidRPr="000D1C9E">
              <w:rPr>
                <w:sz w:val="22"/>
                <w:szCs w:val="18"/>
              </w:rPr>
              <w:t xml:space="preserve"> e.g. </w:t>
            </w:r>
            <w:proofErr w:type="spellStart"/>
            <w:r w:rsidRPr="000D1C9E">
              <w:rPr>
                <w:sz w:val="22"/>
                <w:szCs w:val="18"/>
              </w:rPr>
              <w:t>Actrapid</w:t>
            </w:r>
            <w:proofErr w:type="spellEnd"/>
            <w:r w:rsidRPr="000D1C9E">
              <w:rPr>
                <w:sz w:val="22"/>
                <w:szCs w:val="18"/>
              </w:rPr>
              <w:t xml:space="preserve">, Humulin R, </w:t>
            </w:r>
            <w:proofErr w:type="spellStart"/>
            <w:r w:rsidRPr="000D1C9E">
              <w:rPr>
                <w:sz w:val="22"/>
                <w:szCs w:val="18"/>
              </w:rPr>
              <w:t>Mixtard</w:t>
            </w:r>
            <w:proofErr w:type="spellEnd"/>
            <w:r w:rsidRPr="000D1C9E">
              <w:rPr>
                <w:sz w:val="22"/>
                <w:szCs w:val="18"/>
              </w:rPr>
              <w:t xml:space="preserve">  </w:t>
            </w:r>
          </w:p>
        </w:tc>
        <w:tc>
          <w:tcPr>
            <w:tcW w:w="1984" w:type="dxa"/>
          </w:tcPr>
          <w:p w14:paraId="2D4CB794" w14:textId="77777777" w:rsidR="007E0FD7" w:rsidRPr="000D1C9E" w:rsidRDefault="007E0FD7" w:rsidP="007E0FD7">
            <w:pPr>
              <w:spacing w:line="276" w:lineRule="auto"/>
              <w:rPr>
                <w:sz w:val="22"/>
                <w:szCs w:val="18"/>
              </w:rPr>
            </w:pPr>
            <w:r w:rsidRPr="000D1C9E">
              <w:rPr>
                <w:sz w:val="22"/>
                <w:szCs w:val="18"/>
              </w:rPr>
              <w:t xml:space="preserve">2-4 hours </w:t>
            </w:r>
          </w:p>
          <w:p w14:paraId="732B7604" w14:textId="77777777" w:rsidR="007E0FD7" w:rsidRPr="000D1C9E" w:rsidRDefault="007E0FD7" w:rsidP="007E0FD7">
            <w:pPr>
              <w:spacing w:line="276" w:lineRule="auto"/>
              <w:rPr>
                <w:sz w:val="22"/>
                <w:szCs w:val="18"/>
              </w:rPr>
            </w:pPr>
          </w:p>
        </w:tc>
        <w:tc>
          <w:tcPr>
            <w:tcW w:w="3261" w:type="dxa"/>
          </w:tcPr>
          <w:p w14:paraId="7CDA0A17" w14:textId="729FDE4A" w:rsidR="007E0FD7" w:rsidRPr="000D1C9E" w:rsidRDefault="007E0FD7" w:rsidP="007E0FD7">
            <w:pPr>
              <w:spacing w:line="276" w:lineRule="auto"/>
              <w:rPr>
                <w:sz w:val="22"/>
                <w:szCs w:val="18"/>
              </w:rPr>
            </w:pPr>
            <w:r w:rsidRPr="000D1C9E">
              <w:rPr>
                <w:sz w:val="22"/>
                <w:szCs w:val="18"/>
              </w:rPr>
              <w:t xml:space="preserve">2 hours after subcutaneous injection </w:t>
            </w:r>
          </w:p>
        </w:tc>
      </w:tr>
      <w:tr w:rsidR="007E0FD7" w:rsidRPr="000D1C9E" w14:paraId="2CADE049" w14:textId="77777777" w:rsidTr="00495408">
        <w:tc>
          <w:tcPr>
            <w:tcW w:w="3681" w:type="dxa"/>
          </w:tcPr>
          <w:p w14:paraId="5445CA2E" w14:textId="77777777" w:rsidR="007E0FD7" w:rsidRPr="000D1C9E" w:rsidRDefault="007E0FD7" w:rsidP="007E0FD7">
            <w:pPr>
              <w:spacing w:line="276" w:lineRule="auto"/>
              <w:rPr>
                <w:i/>
                <w:sz w:val="22"/>
                <w:szCs w:val="18"/>
              </w:rPr>
            </w:pPr>
            <w:r w:rsidRPr="000D1C9E">
              <w:rPr>
                <w:i/>
                <w:sz w:val="22"/>
                <w:szCs w:val="18"/>
              </w:rPr>
              <w:t xml:space="preserve">Intermediate Acting </w:t>
            </w:r>
          </w:p>
          <w:p w14:paraId="146A2A5E" w14:textId="77777777" w:rsidR="007E0FD7" w:rsidRPr="000D1C9E" w:rsidRDefault="007E0FD7" w:rsidP="007E0FD7">
            <w:pPr>
              <w:spacing w:line="276" w:lineRule="auto"/>
              <w:rPr>
                <w:sz w:val="22"/>
                <w:szCs w:val="18"/>
              </w:rPr>
            </w:pPr>
            <w:r w:rsidRPr="000D1C9E">
              <w:rPr>
                <w:sz w:val="22"/>
                <w:szCs w:val="18"/>
              </w:rPr>
              <w:t xml:space="preserve">e.g. </w:t>
            </w:r>
            <w:proofErr w:type="spellStart"/>
            <w:r w:rsidRPr="000D1C9E">
              <w:rPr>
                <w:sz w:val="22"/>
                <w:szCs w:val="18"/>
              </w:rPr>
              <w:t>Protophane</w:t>
            </w:r>
            <w:proofErr w:type="spellEnd"/>
            <w:r w:rsidRPr="000D1C9E">
              <w:rPr>
                <w:sz w:val="22"/>
                <w:szCs w:val="18"/>
              </w:rPr>
              <w:t xml:space="preserve">, Humulin NPH,  </w:t>
            </w:r>
          </w:p>
        </w:tc>
        <w:tc>
          <w:tcPr>
            <w:tcW w:w="1984" w:type="dxa"/>
          </w:tcPr>
          <w:p w14:paraId="47E821F4" w14:textId="77777777" w:rsidR="007E0FD7" w:rsidRPr="000D1C9E" w:rsidRDefault="007E0FD7" w:rsidP="007E0FD7">
            <w:pPr>
              <w:spacing w:line="276" w:lineRule="auto"/>
              <w:rPr>
                <w:sz w:val="22"/>
                <w:szCs w:val="18"/>
              </w:rPr>
            </w:pPr>
            <w:r w:rsidRPr="000D1C9E">
              <w:rPr>
                <w:sz w:val="22"/>
                <w:szCs w:val="18"/>
              </w:rPr>
              <w:t xml:space="preserve">4-6 hours </w:t>
            </w:r>
          </w:p>
          <w:p w14:paraId="2F6B6442" w14:textId="77777777" w:rsidR="007E0FD7" w:rsidRPr="000D1C9E" w:rsidRDefault="007E0FD7" w:rsidP="007E0FD7">
            <w:pPr>
              <w:spacing w:line="276" w:lineRule="auto"/>
              <w:rPr>
                <w:sz w:val="22"/>
                <w:szCs w:val="18"/>
              </w:rPr>
            </w:pPr>
          </w:p>
        </w:tc>
        <w:tc>
          <w:tcPr>
            <w:tcW w:w="3261" w:type="dxa"/>
          </w:tcPr>
          <w:p w14:paraId="727FD226" w14:textId="1769E24F" w:rsidR="007E0FD7" w:rsidRPr="000D1C9E" w:rsidRDefault="007E0FD7" w:rsidP="007E0FD7">
            <w:pPr>
              <w:spacing w:line="276" w:lineRule="auto"/>
              <w:rPr>
                <w:sz w:val="22"/>
                <w:szCs w:val="18"/>
              </w:rPr>
            </w:pPr>
            <w:r w:rsidRPr="000D1C9E">
              <w:rPr>
                <w:sz w:val="22"/>
                <w:szCs w:val="18"/>
              </w:rPr>
              <w:t xml:space="preserve">4 hours after subcutaneous injection </w:t>
            </w:r>
          </w:p>
        </w:tc>
      </w:tr>
      <w:tr w:rsidR="007E0FD7" w:rsidRPr="000D1C9E" w14:paraId="06674A2E" w14:textId="77777777" w:rsidTr="002A038D">
        <w:trPr>
          <w:trHeight w:val="675"/>
        </w:trPr>
        <w:tc>
          <w:tcPr>
            <w:tcW w:w="3681" w:type="dxa"/>
          </w:tcPr>
          <w:p w14:paraId="25821A53" w14:textId="77777777" w:rsidR="007E0FD7" w:rsidRPr="000D1C9E" w:rsidRDefault="007E0FD7" w:rsidP="007E0FD7">
            <w:pPr>
              <w:spacing w:line="276" w:lineRule="auto"/>
              <w:rPr>
                <w:i/>
                <w:sz w:val="22"/>
                <w:szCs w:val="18"/>
              </w:rPr>
            </w:pPr>
            <w:r w:rsidRPr="000D1C9E">
              <w:rPr>
                <w:i/>
                <w:sz w:val="22"/>
                <w:szCs w:val="18"/>
              </w:rPr>
              <w:t xml:space="preserve">Long Acting  </w:t>
            </w:r>
          </w:p>
          <w:p w14:paraId="0B38B8C6" w14:textId="541B9F74" w:rsidR="007E0FD7" w:rsidRPr="000D1C9E" w:rsidRDefault="007E0FD7" w:rsidP="007E0FD7">
            <w:pPr>
              <w:spacing w:line="276" w:lineRule="auto"/>
              <w:rPr>
                <w:sz w:val="22"/>
                <w:szCs w:val="22"/>
              </w:rPr>
            </w:pPr>
            <w:r w:rsidRPr="02DA37D7">
              <w:rPr>
                <w:sz w:val="22"/>
                <w:szCs w:val="22"/>
              </w:rPr>
              <w:t>e.g. </w:t>
            </w:r>
            <w:proofErr w:type="spellStart"/>
            <w:r w:rsidR="49D9ED6E" w:rsidRPr="02DA37D7">
              <w:rPr>
                <w:sz w:val="22"/>
                <w:szCs w:val="22"/>
              </w:rPr>
              <w:t>Optisulin</w:t>
            </w:r>
            <w:proofErr w:type="spellEnd"/>
            <w:r w:rsidR="49D9ED6E" w:rsidRPr="02DA37D7">
              <w:rPr>
                <w:sz w:val="22"/>
                <w:szCs w:val="22"/>
              </w:rPr>
              <w:t xml:space="preserve">, </w:t>
            </w:r>
            <w:proofErr w:type="spellStart"/>
            <w:r w:rsidR="49D9ED6E" w:rsidRPr="02DA37D7">
              <w:rPr>
                <w:sz w:val="22"/>
                <w:szCs w:val="22"/>
              </w:rPr>
              <w:t>Toujeo</w:t>
            </w:r>
            <w:proofErr w:type="spellEnd"/>
            <w:r w:rsidRPr="02DA37D7">
              <w:rPr>
                <w:sz w:val="22"/>
                <w:szCs w:val="22"/>
              </w:rPr>
              <w:t xml:space="preserve">, Levemir </w:t>
            </w:r>
          </w:p>
        </w:tc>
        <w:tc>
          <w:tcPr>
            <w:tcW w:w="1984" w:type="dxa"/>
          </w:tcPr>
          <w:p w14:paraId="1A153682" w14:textId="77777777" w:rsidR="007E0FD7" w:rsidRPr="000D1C9E" w:rsidRDefault="007E0FD7" w:rsidP="007E0FD7">
            <w:pPr>
              <w:spacing w:line="276" w:lineRule="auto"/>
              <w:rPr>
                <w:sz w:val="22"/>
                <w:szCs w:val="18"/>
              </w:rPr>
            </w:pPr>
            <w:r w:rsidRPr="000D1C9E">
              <w:rPr>
                <w:sz w:val="22"/>
                <w:szCs w:val="18"/>
              </w:rPr>
              <w:t xml:space="preserve">N/A </w:t>
            </w:r>
          </w:p>
          <w:p w14:paraId="3AD8E401" w14:textId="77777777" w:rsidR="007E0FD7" w:rsidRPr="000D1C9E" w:rsidRDefault="007E0FD7" w:rsidP="007E0FD7">
            <w:pPr>
              <w:spacing w:line="276" w:lineRule="auto"/>
              <w:rPr>
                <w:sz w:val="22"/>
                <w:szCs w:val="18"/>
              </w:rPr>
            </w:pPr>
          </w:p>
        </w:tc>
        <w:tc>
          <w:tcPr>
            <w:tcW w:w="3261" w:type="dxa"/>
          </w:tcPr>
          <w:p w14:paraId="4F04CE33" w14:textId="3049DBB5" w:rsidR="007E0FD7" w:rsidRPr="000D1C9E" w:rsidRDefault="007E0FD7" w:rsidP="007E0FD7">
            <w:pPr>
              <w:spacing w:line="276" w:lineRule="auto"/>
              <w:rPr>
                <w:sz w:val="22"/>
                <w:szCs w:val="18"/>
              </w:rPr>
            </w:pPr>
            <w:r w:rsidRPr="000D1C9E">
              <w:rPr>
                <w:sz w:val="22"/>
                <w:szCs w:val="18"/>
              </w:rPr>
              <w:t xml:space="preserve">2 hours after subcutaneous injection </w:t>
            </w:r>
          </w:p>
        </w:tc>
      </w:tr>
    </w:tbl>
    <w:p w14:paraId="5100EF7C" w14:textId="77777777" w:rsidR="007E0FD7" w:rsidRPr="007E0FD7" w:rsidRDefault="007E0FD7" w:rsidP="007E0FD7">
      <w:pPr>
        <w:pStyle w:val="ListBullet"/>
        <w:numPr>
          <w:ilvl w:val="0"/>
          <w:numId w:val="0"/>
        </w:numPr>
      </w:pPr>
    </w:p>
    <w:p w14:paraId="3A6FFAE6" w14:textId="77777777" w:rsidR="007E0FD7" w:rsidRPr="007E0FD7" w:rsidRDefault="007E0FD7" w:rsidP="007E0FD7"/>
    <w:p w14:paraId="0E11A716" w14:textId="77777777" w:rsidR="007E0FD7" w:rsidRPr="006D176B" w:rsidRDefault="007E0FD7" w:rsidP="006D176B">
      <w:pPr>
        <w:numPr>
          <w:ilvl w:val="0"/>
          <w:numId w:val="2"/>
        </w:numPr>
        <w:ind w:left="360"/>
        <w:rPr>
          <w:szCs w:val="24"/>
        </w:rPr>
      </w:pPr>
      <w:r>
        <w:t>The insulin infusion should continue until the peak action of subcutaneous insulin is reached or as ordered by the MO</w:t>
      </w:r>
    </w:p>
    <w:p w14:paraId="5643AEF6" w14:textId="564A098A" w:rsidR="007E0FD7" w:rsidRPr="002A038D" w:rsidRDefault="007E0FD7" w:rsidP="002A038D">
      <w:pPr>
        <w:numPr>
          <w:ilvl w:val="0"/>
          <w:numId w:val="2"/>
        </w:numPr>
        <w:ind w:left="360"/>
        <w:rPr>
          <w:rFonts w:cs="Arial"/>
          <w:b/>
          <w:szCs w:val="24"/>
        </w:rPr>
      </w:pPr>
      <w:r>
        <w:t xml:space="preserve">Monitor BGLs hourly for 4 hrs post cessation, then as </w:t>
      </w:r>
      <w:r w:rsidR="000E7F75">
        <w:t xml:space="preserve">per </w:t>
      </w:r>
      <w:r w:rsidR="000E7F75">
        <w:rPr>
          <w:szCs w:val="24"/>
        </w:rPr>
        <w:t xml:space="preserve">NCH </w:t>
      </w:r>
      <w:r w:rsidR="002A038D" w:rsidRPr="00C33DBD">
        <w:rPr>
          <w:szCs w:val="24"/>
        </w:rPr>
        <w:t xml:space="preserve">Minimum requirements for Physiological </w:t>
      </w:r>
      <w:r w:rsidR="002A038D" w:rsidRPr="00C33DBD">
        <w:rPr>
          <w:color w:val="000000"/>
          <w:szCs w:val="24"/>
        </w:rPr>
        <w:t>observations for ICU &amp; HDU patients procedure</w:t>
      </w:r>
      <w:r w:rsidR="002A038D">
        <w:rPr>
          <w:color w:val="000000"/>
          <w:szCs w:val="24"/>
        </w:rPr>
        <w:t xml:space="preserve"> or in </w:t>
      </w:r>
      <w:r>
        <w:t>ED as clinically required</w:t>
      </w:r>
    </w:p>
    <w:p w14:paraId="7D9C0781" w14:textId="77777777" w:rsidR="007E0FD7" w:rsidRPr="007E0FD7" w:rsidRDefault="007E0FD7" w:rsidP="006D176B">
      <w:pPr>
        <w:numPr>
          <w:ilvl w:val="0"/>
          <w:numId w:val="2"/>
        </w:numPr>
        <w:ind w:left="360"/>
        <w:rPr>
          <w:szCs w:val="24"/>
        </w:rPr>
      </w:pPr>
      <w:r>
        <w:t xml:space="preserve">The BKL is checked 2 hours after removing the insulin infusion. If blood ketones are present continue to monitor 2nd hourly and contact MO. </w:t>
      </w:r>
    </w:p>
    <w:p w14:paraId="65D8CE88" w14:textId="77777777" w:rsidR="007E0FD7" w:rsidRPr="007E0FD7" w:rsidRDefault="007E0FD7" w:rsidP="006D176B">
      <w:pPr>
        <w:numPr>
          <w:ilvl w:val="0"/>
          <w:numId w:val="2"/>
        </w:numPr>
        <w:ind w:left="360"/>
        <w:rPr>
          <w:szCs w:val="24"/>
        </w:rPr>
      </w:pPr>
      <w:r>
        <w:t>Refer the patient to the Diabetes Educator for assessment and planning of diabetes care and support</w:t>
      </w:r>
    </w:p>
    <w:p w14:paraId="6CF50019" w14:textId="22F96301" w:rsidR="007E0FD7" w:rsidRPr="007E0FD7" w:rsidRDefault="007E0FD7" w:rsidP="006D176B">
      <w:pPr>
        <w:numPr>
          <w:ilvl w:val="0"/>
          <w:numId w:val="2"/>
        </w:numPr>
        <w:ind w:left="360"/>
        <w:rPr>
          <w:szCs w:val="24"/>
        </w:rPr>
      </w:pPr>
      <w:r>
        <w:t>Document actions in patient’s clinical records</w:t>
      </w:r>
      <w:r w:rsidR="000D1C9E">
        <w:t>.</w:t>
      </w:r>
    </w:p>
    <w:p w14:paraId="7F4BC5EB" w14:textId="77777777" w:rsidR="007E0FD7" w:rsidRDefault="007E0FD7" w:rsidP="007E0FD7">
      <w:pPr>
        <w:pStyle w:val="ListBullet"/>
        <w:numPr>
          <w:ilvl w:val="0"/>
          <w:numId w:val="0"/>
        </w:numPr>
        <w:ind w:left="360" w:hanging="360"/>
      </w:pPr>
    </w:p>
    <w:p w14:paraId="0ECA74F9" w14:textId="77777777" w:rsidR="00D038F6" w:rsidRDefault="00D038F6" w:rsidP="007E0FD7">
      <w:pPr>
        <w:pStyle w:val="ListBullet"/>
        <w:numPr>
          <w:ilvl w:val="0"/>
          <w:numId w:val="0"/>
        </w:numPr>
        <w:ind w:left="360" w:hanging="360"/>
      </w:pPr>
    </w:p>
    <w:p w14:paraId="4E60C804" w14:textId="258E3E75" w:rsidR="007E0FD7" w:rsidRPr="006D176B" w:rsidRDefault="00F87C68" w:rsidP="006D176B">
      <w:pPr>
        <w:pStyle w:val="ListBullet"/>
        <w:numPr>
          <w:ilvl w:val="0"/>
          <w:numId w:val="0"/>
        </w:numPr>
        <w:ind w:left="142" w:hanging="142"/>
        <w:rPr>
          <w:szCs w:val="24"/>
        </w:rPr>
      </w:pPr>
      <w:r w:rsidRPr="000E7F75">
        <w:rPr>
          <w:rFonts w:cs="Arial"/>
          <w:b/>
          <w:bCs/>
        </w:rPr>
        <w:lastRenderedPageBreak/>
        <w:t>Ceasing Insulin I</w:t>
      </w:r>
      <w:r>
        <w:rPr>
          <w:rFonts w:cs="Arial"/>
          <w:b/>
          <w:bCs/>
        </w:rPr>
        <w:t>n</w:t>
      </w:r>
      <w:r w:rsidRPr="000E7F75">
        <w:rPr>
          <w:rFonts w:cs="Arial"/>
          <w:b/>
          <w:bCs/>
        </w:rPr>
        <w:t xml:space="preserve">fusions </w:t>
      </w:r>
      <w:r>
        <w:rPr>
          <w:rFonts w:cs="Arial"/>
          <w:b/>
          <w:bCs/>
        </w:rPr>
        <w:t xml:space="preserve">– </w:t>
      </w:r>
      <w:r w:rsidR="007E0FD7" w:rsidRPr="006D176B">
        <w:rPr>
          <w:rFonts w:asciiTheme="minorHAnsi" w:hAnsiTheme="minorHAnsi"/>
          <w:b/>
          <w:szCs w:val="24"/>
        </w:rPr>
        <w:t>For patients who do NOT require ongoing insulin</w:t>
      </w:r>
    </w:p>
    <w:p w14:paraId="71E60E1A" w14:textId="618F5C64" w:rsidR="007E0FD7" w:rsidRPr="000E7F75" w:rsidRDefault="007E0FD7" w:rsidP="006D176B">
      <w:pPr>
        <w:numPr>
          <w:ilvl w:val="0"/>
          <w:numId w:val="2"/>
        </w:numPr>
        <w:ind w:left="360"/>
        <w:rPr>
          <w:szCs w:val="24"/>
        </w:rPr>
      </w:pPr>
      <w:r w:rsidRPr="000E7F75">
        <w:t xml:space="preserve">Attend hand hygiene  </w:t>
      </w:r>
    </w:p>
    <w:p w14:paraId="21B7F4AE" w14:textId="77777777" w:rsidR="007E0FD7" w:rsidRPr="006D176B" w:rsidRDefault="007E0FD7" w:rsidP="006D176B">
      <w:pPr>
        <w:numPr>
          <w:ilvl w:val="0"/>
          <w:numId w:val="2"/>
        </w:numPr>
        <w:ind w:left="360"/>
        <w:rPr>
          <w:szCs w:val="24"/>
        </w:rPr>
      </w:pPr>
      <w:r>
        <w:t xml:space="preserve">Monitored BGLs should be within target as per MO and no blood ketones present </w:t>
      </w:r>
    </w:p>
    <w:p w14:paraId="29328D28" w14:textId="77777777" w:rsidR="007E0FD7" w:rsidRPr="006D176B" w:rsidRDefault="007E0FD7" w:rsidP="006D176B">
      <w:pPr>
        <w:numPr>
          <w:ilvl w:val="0"/>
          <w:numId w:val="2"/>
        </w:numPr>
        <w:ind w:left="360"/>
        <w:rPr>
          <w:szCs w:val="24"/>
        </w:rPr>
      </w:pPr>
      <w:r>
        <w:t xml:space="preserve">The treating MO will order the cessation of the insulin infusion </w:t>
      </w:r>
    </w:p>
    <w:p w14:paraId="135DF81F" w14:textId="77777777" w:rsidR="007E0FD7" w:rsidRPr="006D176B" w:rsidRDefault="007E0FD7" w:rsidP="006D176B">
      <w:pPr>
        <w:numPr>
          <w:ilvl w:val="0"/>
          <w:numId w:val="2"/>
        </w:numPr>
        <w:ind w:left="360"/>
        <w:rPr>
          <w:szCs w:val="24"/>
        </w:rPr>
      </w:pPr>
      <w:r>
        <w:t xml:space="preserve">Explain the procedure to the patient </w:t>
      </w:r>
    </w:p>
    <w:p w14:paraId="170486C5" w14:textId="77777777" w:rsidR="007E0FD7" w:rsidRPr="006D176B" w:rsidRDefault="007E0FD7" w:rsidP="006D176B">
      <w:pPr>
        <w:numPr>
          <w:ilvl w:val="0"/>
          <w:numId w:val="2"/>
        </w:numPr>
        <w:ind w:left="360"/>
        <w:rPr>
          <w:szCs w:val="24"/>
        </w:rPr>
      </w:pPr>
      <w:r>
        <w:t>Cease infusion and document actions</w:t>
      </w:r>
    </w:p>
    <w:p w14:paraId="23B2EE50" w14:textId="0F59EC48" w:rsidR="007E0FD7" w:rsidRPr="002A038D" w:rsidRDefault="007E0FD7" w:rsidP="002A038D">
      <w:pPr>
        <w:numPr>
          <w:ilvl w:val="0"/>
          <w:numId w:val="2"/>
        </w:numPr>
        <w:ind w:left="360"/>
        <w:rPr>
          <w:rFonts w:cs="Arial"/>
          <w:b/>
          <w:szCs w:val="24"/>
        </w:rPr>
      </w:pPr>
      <w:r>
        <w:t xml:space="preserve">Monitor BGLs hourly for 4 hrs post cessation, then as </w:t>
      </w:r>
      <w:r w:rsidR="000E7F75">
        <w:t xml:space="preserve">per </w:t>
      </w:r>
      <w:r w:rsidR="000E7F75">
        <w:rPr>
          <w:szCs w:val="24"/>
        </w:rPr>
        <w:t xml:space="preserve">NCH </w:t>
      </w:r>
      <w:r w:rsidR="000E7F75" w:rsidRPr="00C33DBD">
        <w:rPr>
          <w:szCs w:val="24"/>
        </w:rPr>
        <w:t xml:space="preserve">Minimum requirements for Physiological </w:t>
      </w:r>
      <w:r w:rsidR="000E7F75" w:rsidRPr="00C33DBD">
        <w:rPr>
          <w:color w:val="000000"/>
          <w:szCs w:val="24"/>
        </w:rPr>
        <w:t>observations for ICU &amp; HDU patients procedure</w:t>
      </w:r>
      <w:r w:rsidR="000E7F75">
        <w:rPr>
          <w:color w:val="000000"/>
          <w:szCs w:val="24"/>
        </w:rPr>
        <w:t xml:space="preserve"> </w:t>
      </w:r>
      <w:r>
        <w:t>or as clinically required</w:t>
      </w:r>
    </w:p>
    <w:p w14:paraId="226D3620" w14:textId="77777777" w:rsidR="007E0FD7" w:rsidRPr="006D176B" w:rsidRDefault="007E0FD7" w:rsidP="006D176B">
      <w:pPr>
        <w:numPr>
          <w:ilvl w:val="0"/>
          <w:numId w:val="2"/>
        </w:numPr>
        <w:ind w:left="360"/>
        <w:rPr>
          <w:szCs w:val="24"/>
        </w:rPr>
      </w:pPr>
      <w:r>
        <w:t>The BKL is checked 2 hours after removing the insulin infusion. If blood ketones are present continue to monitor 2nd hourly and inform MO</w:t>
      </w:r>
    </w:p>
    <w:p w14:paraId="2035F7C3" w14:textId="027D389E" w:rsidR="007E0FD7" w:rsidRPr="006D176B" w:rsidRDefault="007E0FD7" w:rsidP="006D176B">
      <w:pPr>
        <w:numPr>
          <w:ilvl w:val="0"/>
          <w:numId w:val="2"/>
        </w:numPr>
        <w:ind w:left="360"/>
        <w:rPr>
          <w:szCs w:val="24"/>
        </w:rPr>
      </w:pPr>
      <w:r>
        <w:t>Document actions in patient’s clinical records.</w:t>
      </w:r>
    </w:p>
    <w:p w14:paraId="1CA16E1A" w14:textId="77777777" w:rsidR="007E0FD7" w:rsidRDefault="007E0FD7" w:rsidP="007E0FD7">
      <w:pPr>
        <w:rPr>
          <w:rFonts w:cs="Arial"/>
          <w:b/>
          <w:szCs w:val="24"/>
        </w:rPr>
      </w:pPr>
    </w:p>
    <w:p w14:paraId="7177BA21" w14:textId="122F14CB" w:rsidR="00F87C68" w:rsidRDefault="00131C38" w:rsidP="00F87C68">
      <w:pPr>
        <w:jc w:val="right"/>
        <w:rPr>
          <w:rFonts w:cs="Arial"/>
          <w:b/>
          <w:szCs w:val="24"/>
        </w:rPr>
      </w:pPr>
      <w:hyperlink w:anchor="Contents" w:history="1">
        <w:r w:rsidR="00F87C68" w:rsidRPr="00590902">
          <w:rPr>
            <w:rStyle w:val="Hyperlink"/>
            <w:rFonts w:cs="Arial"/>
            <w:i/>
            <w:szCs w:val="24"/>
          </w:rPr>
          <w:t>Back to Table of Contents</w:t>
        </w:r>
      </w:hyperlink>
      <w:r w:rsidR="00F87C6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B7288" w:rsidRPr="00CD1C0E" w14:paraId="17500410" w14:textId="77777777" w:rsidTr="00024496">
        <w:trPr>
          <w:cantSplit/>
          <w:trHeight w:val="285"/>
        </w:trPr>
        <w:tc>
          <w:tcPr>
            <w:tcW w:w="9158" w:type="dxa"/>
            <w:shd w:val="clear" w:color="auto" w:fill="A6A6A6" w:themeFill="background1" w:themeFillShade="A6"/>
          </w:tcPr>
          <w:p w14:paraId="65CA273C" w14:textId="6509584C" w:rsidR="00DB7288" w:rsidRPr="003D2D06" w:rsidRDefault="00DB7288" w:rsidP="00024496">
            <w:pPr>
              <w:pStyle w:val="Heading1"/>
            </w:pPr>
            <w:bookmarkStart w:id="20" w:name="_Toc161406382"/>
            <w:r>
              <w:t>Section 5</w:t>
            </w:r>
            <w:r w:rsidRPr="003D2D06">
              <w:t xml:space="preserve"> </w:t>
            </w:r>
            <w:proofErr w:type="gramStart"/>
            <w:r w:rsidRPr="003D2D06">
              <w:t xml:space="preserve">– </w:t>
            </w:r>
            <w:r>
              <w:t xml:space="preserve"> Sending</w:t>
            </w:r>
            <w:proofErr w:type="gramEnd"/>
            <w:r>
              <w:t xml:space="preserve"> ICU/HDU/ED Patient to the Ward on an Insulin Infusion</w:t>
            </w:r>
            <w:bookmarkEnd w:id="20"/>
            <w:r>
              <w:t xml:space="preserve"> </w:t>
            </w:r>
          </w:p>
        </w:tc>
      </w:tr>
    </w:tbl>
    <w:p w14:paraId="35AC29A5" w14:textId="5FF89208" w:rsidR="007E0FD7" w:rsidRPr="007E0FD7" w:rsidRDefault="000D1C9E" w:rsidP="63542FD7">
      <w:pPr>
        <w:pBdr>
          <w:top w:val="single" w:sz="4" w:space="1" w:color="auto"/>
          <w:left w:val="single" w:sz="4" w:space="0" w:color="auto"/>
          <w:bottom w:val="single" w:sz="4" w:space="1" w:color="auto"/>
          <w:right w:val="single" w:sz="4" w:space="0" w:color="auto"/>
        </w:pBdr>
        <w:autoSpaceDE w:val="0"/>
        <w:autoSpaceDN w:val="0"/>
        <w:adjustRightInd w:val="0"/>
        <w:spacing w:before="240" w:line="276" w:lineRule="auto"/>
      </w:pPr>
      <w:r w:rsidRPr="63542FD7">
        <w:rPr>
          <w:b/>
          <w:bCs/>
        </w:rPr>
        <w:t>Alert</w:t>
      </w:r>
      <w:r w:rsidR="007E0FD7" w:rsidRPr="63542FD7">
        <w:rPr>
          <w:b/>
          <w:bCs/>
        </w:rPr>
        <w:t>: The patient must go the ward with the insulin infusion attached to a maintenance line</w:t>
      </w:r>
      <w:r w:rsidR="007E0FD7">
        <w:t xml:space="preserve"> either Sodium Chloride 0.9% or </w:t>
      </w:r>
      <w:r w:rsidR="7B7B18A5">
        <w:t>5</w:t>
      </w:r>
      <w:r w:rsidR="007E0FD7">
        <w:t xml:space="preserve">% </w:t>
      </w:r>
      <w:r w:rsidR="62F879C6">
        <w:t>Glucose</w:t>
      </w:r>
      <w:r w:rsidR="007E0FD7">
        <w:t xml:space="preserve">. </w:t>
      </w:r>
    </w:p>
    <w:p w14:paraId="10A9B9A5" w14:textId="77777777" w:rsidR="00286EB2" w:rsidRDefault="00286EB2" w:rsidP="00286EB2"/>
    <w:p w14:paraId="7154F2DB" w14:textId="539E30ED" w:rsidR="007E0FD7" w:rsidRDefault="007E0FD7" w:rsidP="000D1C9E">
      <w:pPr>
        <w:pStyle w:val="ListParagraph"/>
        <w:numPr>
          <w:ilvl w:val="0"/>
          <w:numId w:val="21"/>
        </w:numPr>
        <w:ind w:left="360"/>
      </w:pPr>
      <w:r>
        <w:t xml:space="preserve">It must be infused simultaneously through a long line using </w:t>
      </w:r>
      <w:r w:rsidR="007235F7">
        <w:t>2 infusion pumps with dose limiting software</w:t>
      </w:r>
    </w:p>
    <w:p w14:paraId="60459908" w14:textId="20312C50" w:rsidR="007E0FD7" w:rsidRDefault="007E0FD7" w:rsidP="000D1C9E">
      <w:pPr>
        <w:pStyle w:val="ListParagraph"/>
        <w:numPr>
          <w:ilvl w:val="0"/>
          <w:numId w:val="21"/>
        </w:numPr>
        <w:ind w:left="360"/>
      </w:pPr>
      <w:r w:rsidRPr="007E0FD7">
        <w:t xml:space="preserve">A Low-Sorbing line is used for the insulin fluid and is connected to a </w:t>
      </w:r>
      <w:proofErr w:type="spellStart"/>
      <w:r w:rsidRPr="007E0FD7">
        <w:t>SmartSite</w:t>
      </w:r>
      <w:proofErr w:type="spellEnd"/>
      <w:r w:rsidRPr="007E0FD7">
        <w:t xml:space="preserve"> Extension Set line with check valve (back flow valve). The maintenance fluid line is then attached above the check valve and the line primed. The insulin line is then connected and primed ensuring that enough insulin fluid (1mL) is flushed through the extension, and then connected to the PVAD/CVAD</w:t>
      </w:r>
      <w:r>
        <w:t>.</w:t>
      </w:r>
    </w:p>
    <w:p w14:paraId="6636002C" w14:textId="77777777" w:rsidR="00286EB2" w:rsidRDefault="00286EB2" w:rsidP="00286EB2"/>
    <w:p w14:paraId="44B5940B" w14:textId="78880CE6" w:rsidR="007E0FD7" w:rsidRPr="00D613DF" w:rsidRDefault="007E0FD7" w:rsidP="00495408">
      <w:pPr>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pPr>
      <w:r w:rsidRPr="63542FD7">
        <w:rPr>
          <w:b/>
          <w:bCs/>
        </w:rPr>
        <w:t>Note:</w:t>
      </w:r>
      <w:r>
        <w:t xml:space="preserve"> If the maintenance fluid of Sodium Chloride 0.9% or </w:t>
      </w:r>
      <w:r w:rsidR="15980B5F">
        <w:t>5</w:t>
      </w:r>
      <w:r>
        <w:t>%</w:t>
      </w:r>
      <w:r w:rsidR="54FFCCBC">
        <w:t xml:space="preserve"> Glucose</w:t>
      </w:r>
      <w:r>
        <w:t xml:space="preserve"> contains potassium, then the infusion pump channel will need to be run through </w:t>
      </w:r>
      <w:proofErr w:type="gramStart"/>
      <w:r>
        <w:t xml:space="preserve">the </w:t>
      </w:r>
      <w:r w:rsidR="01E1AF0A">
        <w:t xml:space="preserve"> infusion</w:t>
      </w:r>
      <w:proofErr w:type="gramEnd"/>
      <w:r w:rsidR="01E1AF0A">
        <w:t xml:space="preserve"> pumps with dose limiting software</w:t>
      </w:r>
      <w:r>
        <w:t xml:space="preserve">.   </w:t>
      </w:r>
    </w:p>
    <w:p w14:paraId="3E2D3CE7" w14:textId="77777777" w:rsidR="007E0FD7" w:rsidRDefault="007E0FD7" w:rsidP="007E0FD7">
      <w:pPr>
        <w:rPr>
          <w:rFonts w:cs="Arial"/>
          <w:b/>
          <w:szCs w:val="24"/>
        </w:rPr>
      </w:pPr>
    </w:p>
    <w:p w14:paraId="033608EE" w14:textId="0F9B4FD4" w:rsidR="00FA54F1" w:rsidRPr="00F87C68" w:rsidRDefault="00131C38" w:rsidP="00F87C68">
      <w:pPr>
        <w:jc w:val="right"/>
        <w:rPr>
          <w:rFonts w:cs="Arial"/>
          <w:b/>
          <w:szCs w:val="24"/>
        </w:rPr>
      </w:pPr>
      <w:hyperlink w:anchor="Contents" w:history="1">
        <w:r w:rsidR="007E0FD7" w:rsidRPr="00590902">
          <w:rPr>
            <w:rStyle w:val="Hyperlink"/>
            <w:rFonts w:cs="Arial"/>
            <w:i/>
            <w:szCs w:val="24"/>
          </w:rPr>
          <w:t>Back to Table of Contents</w:t>
        </w:r>
      </w:hyperlink>
      <w:r w:rsidR="007E0FD7">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E0FD7" w:rsidRPr="00CD1C0E" w14:paraId="1CC2D075" w14:textId="77777777" w:rsidTr="00AA03B6">
        <w:trPr>
          <w:cantSplit/>
          <w:trHeight w:val="285"/>
        </w:trPr>
        <w:tc>
          <w:tcPr>
            <w:tcW w:w="9158" w:type="dxa"/>
            <w:shd w:val="clear" w:color="auto" w:fill="A6A6A6" w:themeFill="background1" w:themeFillShade="A6"/>
          </w:tcPr>
          <w:p w14:paraId="5063B926" w14:textId="456C9426" w:rsidR="007E0FD7" w:rsidRPr="003D2D06" w:rsidRDefault="007E0FD7" w:rsidP="007235F7">
            <w:pPr>
              <w:pStyle w:val="Heading1"/>
            </w:pPr>
            <w:bookmarkStart w:id="21" w:name="_Toc161406383"/>
            <w:r>
              <w:t xml:space="preserve">Section </w:t>
            </w:r>
            <w:r w:rsidR="00DB7288">
              <w:t>6</w:t>
            </w:r>
            <w:r w:rsidR="007235F7" w:rsidRPr="003D2D06">
              <w:t xml:space="preserve"> </w:t>
            </w:r>
            <w:r w:rsidRPr="003D2D06">
              <w:t xml:space="preserve">– </w:t>
            </w:r>
            <w:r>
              <w:t>Insulin Infusion Algorithms</w:t>
            </w:r>
            <w:bookmarkEnd w:id="21"/>
          </w:p>
        </w:tc>
      </w:tr>
    </w:tbl>
    <w:p w14:paraId="263B8425" w14:textId="4351D6BC" w:rsidR="00D35178" w:rsidRDefault="00D35178" w:rsidP="00D35178">
      <w:pPr>
        <w:rPr>
          <w:rFonts w:cs="Arial"/>
        </w:rPr>
      </w:pPr>
      <w:r w:rsidRPr="63542FD7">
        <w:rPr>
          <w:rFonts w:cs="Arial"/>
        </w:rPr>
        <w:t xml:space="preserve">All insulin infusions should be ordered using the </w:t>
      </w:r>
      <w:proofErr w:type="spellStart"/>
      <w:r w:rsidRPr="63542FD7">
        <w:rPr>
          <w:rFonts w:cs="Arial"/>
        </w:rPr>
        <w:t>the</w:t>
      </w:r>
      <w:proofErr w:type="spellEnd"/>
      <w:r w:rsidRPr="63542FD7">
        <w:rPr>
          <w:rFonts w:cs="Arial"/>
        </w:rPr>
        <w:t xml:space="preserve"> ‘Adult Insulin Infusion (Non DKA</w:t>
      </w:r>
      <w:r w:rsidR="0DF456BD" w:rsidRPr="63542FD7">
        <w:rPr>
          <w:rFonts w:cs="Arial"/>
        </w:rPr>
        <w:t xml:space="preserve"> or labour</w:t>
      </w:r>
      <w:r w:rsidRPr="63542FD7">
        <w:rPr>
          <w:rFonts w:cs="Arial"/>
        </w:rPr>
        <w:t xml:space="preserve"> Management)’ order set</w:t>
      </w:r>
      <w:r w:rsidR="00DB7288">
        <w:rPr>
          <w:rFonts w:cs="Arial"/>
        </w:rPr>
        <w:t>.</w:t>
      </w:r>
    </w:p>
    <w:p w14:paraId="0FAEE347" w14:textId="77777777" w:rsidR="00DB7288" w:rsidRDefault="00DB7288" w:rsidP="00D35178">
      <w:pPr>
        <w:rPr>
          <w:rFonts w:cs="Arial"/>
        </w:rPr>
      </w:pPr>
    </w:p>
    <w:p w14:paraId="54494E31" w14:textId="386CF5FD" w:rsidR="00D35178" w:rsidRDefault="00DB7288" w:rsidP="00D35178">
      <w:pPr>
        <w:pStyle w:val="ListBullet"/>
        <w:numPr>
          <w:ilvl w:val="0"/>
          <w:numId w:val="0"/>
        </w:numPr>
        <w:rPr>
          <w:rFonts w:cs="Arial"/>
        </w:rPr>
      </w:pPr>
      <w:r w:rsidRPr="00495408">
        <w:rPr>
          <w:rFonts w:cs="Arial"/>
          <w:b/>
          <w:bCs/>
        </w:rPr>
        <w:t xml:space="preserve">Standard Insulin Infusion </w:t>
      </w:r>
      <w:proofErr w:type="spellStart"/>
      <w:r w:rsidRPr="00495408">
        <w:rPr>
          <w:rFonts w:cs="Arial"/>
          <w:b/>
          <w:bCs/>
        </w:rPr>
        <w:t>Algorithim</w:t>
      </w:r>
      <w:proofErr w:type="spellEnd"/>
    </w:p>
    <w:p w14:paraId="2C501EAF" w14:textId="77777777" w:rsidR="00FA54F1" w:rsidRDefault="00FA54F1" w:rsidP="00495408">
      <w:pPr>
        <w:pStyle w:val="ListParagraph"/>
        <w:numPr>
          <w:ilvl w:val="0"/>
          <w:numId w:val="25"/>
        </w:numPr>
        <w:rPr>
          <w:rFonts w:cs="Segoe UI"/>
          <w:lang w:eastAsia="en-AU"/>
        </w:rPr>
      </w:pPr>
      <w:r w:rsidRPr="63542FD7">
        <w:rPr>
          <w:rFonts w:cs="Segoe UI"/>
          <w:lang w:eastAsia="en-AU"/>
        </w:rPr>
        <w:t xml:space="preserve">Order </w:t>
      </w:r>
      <w:proofErr w:type="spellStart"/>
      <w:r w:rsidR="00D35178" w:rsidRPr="63542FD7">
        <w:rPr>
          <w:rFonts w:cs="Segoe UI"/>
          <w:lang w:eastAsia="en-AU"/>
        </w:rPr>
        <w:t>Actrapid</w:t>
      </w:r>
      <w:proofErr w:type="spellEnd"/>
      <w:r w:rsidR="00D35178" w:rsidRPr="63542FD7">
        <w:rPr>
          <w:rFonts w:cs="Segoe UI"/>
          <w:lang w:eastAsia="en-AU"/>
        </w:rPr>
        <w:t xml:space="preserve"> (Neutral) Insulin 100units in Sodium Chloride 0.9% 100mL</w:t>
      </w:r>
      <w:r w:rsidRPr="63542FD7">
        <w:rPr>
          <w:rFonts w:cs="Segoe UI"/>
          <w:lang w:eastAsia="en-AU"/>
        </w:rPr>
        <w:t xml:space="preserve"> with an infusion rate of 0 – 6 Units/hr </w:t>
      </w:r>
    </w:p>
    <w:p w14:paraId="19F0296B" w14:textId="4B2DD8FD" w:rsidR="00D35178" w:rsidRDefault="00D35178" w:rsidP="00495408">
      <w:pPr>
        <w:pStyle w:val="ListParagraph"/>
        <w:numPr>
          <w:ilvl w:val="0"/>
          <w:numId w:val="25"/>
        </w:numPr>
        <w:rPr>
          <w:rFonts w:cs="Segoe UI"/>
          <w:lang w:eastAsia="en-AU"/>
        </w:rPr>
      </w:pPr>
      <w:r w:rsidRPr="63542FD7">
        <w:rPr>
          <w:rFonts w:cs="Segoe UI"/>
          <w:lang w:eastAsia="en-AU"/>
        </w:rPr>
        <w:t xml:space="preserve">Select the </w:t>
      </w:r>
      <w:r w:rsidRPr="63542FD7">
        <w:rPr>
          <w:rFonts w:cs="Segoe UI"/>
          <w:b/>
          <w:bCs/>
          <w:caps/>
          <w:lang w:eastAsia="en-AU"/>
        </w:rPr>
        <w:t>standard</w:t>
      </w:r>
      <w:r w:rsidRPr="63542FD7">
        <w:rPr>
          <w:rFonts w:cs="Segoe UI"/>
          <w:caps/>
          <w:lang w:eastAsia="en-AU"/>
        </w:rPr>
        <w:t xml:space="preserve"> </w:t>
      </w:r>
      <w:r w:rsidRPr="63542FD7">
        <w:rPr>
          <w:rFonts w:cs="Segoe UI"/>
          <w:lang w:eastAsia="en-AU"/>
        </w:rPr>
        <w:t>algorithm administration instructions from the order set, these will be visible to nursing staff when administering the infusion</w:t>
      </w:r>
    </w:p>
    <w:p w14:paraId="38EA5108" w14:textId="1B9DF8B2" w:rsidR="00FA54F1" w:rsidRDefault="00FA54F1" w:rsidP="00495408">
      <w:pPr>
        <w:rPr>
          <w:rFonts w:cs="Segoe UI"/>
          <w:lang w:eastAsia="en-AU"/>
        </w:rPr>
      </w:pPr>
    </w:p>
    <w:tbl>
      <w:tblPr>
        <w:tblStyle w:val="TableGrid"/>
        <w:tblpPr w:leftFromText="180" w:rightFromText="180" w:vertAnchor="text" w:horzAnchor="page" w:tblpX="1895" w:tblpY="-33"/>
        <w:tblW w:w="0" w:type="auto"/>
        <w:tblLook w:val="04A0" w:firstRow="1" w:lastRow="0" w:firstColumn="1" w:lastColumn="0" w:noHBand="0" w:noVBand="1"/>
      </w:tblPr>
      <w:tblGrid>
        <w:gridCol w:w="2689"/>
        <w:gridCol w:w="3402"/>
        <w:gridCol w:w="2409"/>
      </w:tblGrid>
      <w:tr w:rsidR="00FA54F1" w14:paraId="0EB8481E" w14:textId="77777777" w:rsidTr="00495408">
        <w:trPr>
          <w:trHeight w:val="423"/>
        </w:trPr>
        <w:tc>
          <w:tcPr>
            <w:tcW w:w="8500" w:type="dxa"/>
            <w:gridSpan w:val="3"/>
            <w:vAlign w:val="center"/>
          </w:tcPr>
          <w:p w14:paraId="1D277B77" w14:textId="77777777" w:rsidR="00FA54F1" w:rsidRPr="00495408" w:rsidRDefault="00FA54F1" w:rsidP="00FA54F1">
            <w:pPr>
              <w:jc w:val="center"/>
              <w:rPr>
                <w:rFonts w:cs="Segoe UI"/>
                <w:sz w:val="22"/>
              </w:rPr>
            </w:pPr>
            <w:r w:rsidRPr="00495408">
              <w:rPr>
                <w:rFonts w:cs="Calibri"/>
                <w:b/>
                <w:color w:val="000000"/>
                <w:sz w:val="22"/>
                <w:szCs w:val="22"/>
              </w:rPr>
              <w:lastRenderedPageBreak/>
              <w:t xml:space="preserve">Titration instructions for standard insulin infusion </w:t>
            </w:r>
            <w:proofErr w:type="spellStart"/>
            <w:r w:rsidRPr="00495408">
              <w:rPr>
                <w:rFonts w:cs="Calibri"/>
                <w:b/>
                <w:color w:val="000000"/>
                <w:sz w:val="22"/>
                <w:szCs w:val="22"/>
              </w:rPr>
              <w:t>algorithim</w:t>
            </w:r>
            <w:proofErr w:type="spellEnd"/>
          </w:p>
        </w:tc>
      </w:tr>
      <w:tr w:rsidR="00FA54F1" w14:paraId="37DBDA47" w14:textId="77777777" w:rsidTr="00495408">
        <w:tc>
          <w:tcPr>
            <w:tcW w:w="2689" w:type="dxa"/>
            <w:shd w:val="clear" w:color="auto" w:fill="BFBFBF" w:themeFill="background1" w:themeFillShade="BF"/>
            <w:vAlign w:val="center"/>
          </w:tcPr>
          <w:p w14:paraId="4EB3701A" w14:textId="77777777" w:rsidR="00FA54F1" w:rsidRPr="00495408" w:rsidRDefault="00FA54F1" w:rsidP="00FA54F1">
            <w:pPr>
              <w:jc w:val="center"/>
              <w:rPr>
                <w:rFonts w:cs="Segoe UI"/>
                <w:sz w:val="22"/>
              </w:rPr>
            </w:pPr>
            <w:proofErr w:type="spellStart"/>
            <w:r w:rsidRPr="00495408">
              <w:rPr>
                <w:rFonts w:cs="Calibri"/>
                <w:b/>
                <w:color w:val="000000"/>
                <w:sz w:val="22"/>
                <w:szCs w:val="22"/>
              </w:rPr>
              <w:t>cBGL</w:t>
            </w:r>
            <w:proofErr w:type="spellEnd"/>
            <w:r w:rsidRPr="00495408">
              <w:rPr>
                <w:rFonts w:cs="Calibri"/>
                <w:b/>
                <w:color w:val="000000"/>
                <w:sz w:val="22"/>
                <w:szCs w:val="22"/>
              </w:rPr>
              <w:t xml:space="preserve"> Result (mmol/L)</w:t>
            </w:r>
          </w:p>
        </w:tc>
        <w:tc>
          <w:tcPr>
            <w:tcW w:w="3402" w:type="dxa"/>
            <w:shd w:val="clear" w:color="auto" w:fill="BFBFBF" w:themeFill="background1" w:themeFillShade="BF"/>
            <w:vAlign w:val="center"/>
          </w:tcPr>
          <w:p w14:paraId="54E0810B" w14:textId="77777777" w:rsidR="00FA54F1" w:rsidRPr="00495408" w:rsidRDefault="00FA54F1" w:rsidP="00FA54F1">
            <w:pPr>
              <w:jc w:val="center"/>
              <w:rPr>
                <w:rFonts w:cs="Segoe UI"/>
                <w:sz w:val="22"/>
              </w:rPr>
            </w:pPr>
            <w:r w:rsidRPr="00495408">
              <w:rPr>
                <w:rFonts w:cs="Calibri"/>
                <w:b/>
                <w:color w:val="000000"/>
                <w:sz w:val="22"/>
                <w:szCs w:val="22"/>
              </w:rPr>
              <w:t>Dose/Rate (Units/hr = mL/hr)</w:t>
            </w:r>
          </w:p>
        </w:tc>
        <w:tc>
          <w:tcPr>
            <w:tcW w:w="2409" w:type="dxa"/>
            <w:shd w:val="clear" w:color="auto" w:fill="BFBFBF" w:themeFill="background1" w:themeFillShade="BF"/>
            <w:vAlign w:val="center"/>
          </w:tcPr>
          <w:p w14:paraId="43C3568B" w14:textId="77777777" w:rsidR="00FA54F1" w:rsidRPr="00495408" w:rsidRDefault="00FA54F1" w:rsidP="00FA54F1">
            <w:pPr>
              <w:jc w:val="center"/>
              <w:rPr>
                <w:rFonts w:cs="Segoe UI"/>
                <w:sz w:val="22"/>
              </w:rPr>
            </w:pPr>
            <w:r w:rsidRPr="00495408">
              <w:rPr>
                <w:rFonts w:cs="Calibri"/>
                <w:b/>
                <w:color w:val="000000"/>
                <w:sz w:val="22"/>
                <w:szCs w:val="22"/>
              </w:rPr>
              <w:t>Comments</w:t>
            </w:r>
          </w:p>
        </w:tc>
      </w:tr>
      <w:tr w:rsidR="00FA54F1" w14:paraId="3F4C1AFB" w14:textId="77777777" w:rsidTr="00495408">
        <w:tc>
          <w:tcPr>
            <w:tcW w:w="2689" w:type="dxa"/>
            <w:vAlign w:val="center"/>
          </w:tcPr>
          <w:p w14:paraId="0851B016" w14:textId="77777777" w:rsidR="00FA54F1" w:rsidRPr="00495408" w:rsidRDefault="00FA54F1" w:rsidP="00FA54F1">
            <w:pPr>
              <w:jc w:val="center"/>
              <w:rPr>
                <w:rFonts w:cs="Segoe UI"/>
                <w:sz w:val="22"/>
              </w:rPr>
            </w:pPr>
            <w:r w:rsidRPr="00495408">
              <w:rPr>
                <w:rFonts w:cs="Calibri"/>
                <w:color w:val="000000"/>
                <w:sz w:val="22"/>
                <w:szCs w:val="22"/>
              </w:rPr>
              <w:t>&lt; 4</w:t>
            </w:r>
          </w:p>
        </w:tc>
        <w:tc>
          <w:tcPr>
            <w:tcW w:w="3402" w:type="dxa"/>
            <w:vAlign w:val="center"/>
          </w:tcPr>
          <w:p w14:paraId="40DCEABF" w14:textId="77777777" w:rsidR="00FA54F1" w:rsidRPr="00495408" w:rsidRDefault="00FA54F1" w:rsidP="00FA54F1">
            <w:pPr>
              <w:jc w:val="center"/>
              <w:rPr>
                <w:rFonts w:cs="Segoe UI"/>
                <w:sz w:val="22"/>
              </w:rPr>
            </w:pPr>
            <w:r w:rsidRPr="00495408">
              <w:rPr>
                <w:rFonts w:cs="Calibri"/>
                <w:color w:val="000000"/>
                <w:sz w:val="22"/>
                <w:szCs w:val="22"/>
              </w:rPr>
              <w:t>0</w:t>
            </w:r>
          </w:p>
        </w:tc>
        <w:tc>
          <w:tcPr>
            <w:tcW w:w="2409" w:type="dxa"/>
            <w:vAlign w:val="center"/>
          </w:tcPr>
          <w:p w14:paraId="76268869" w14:textId="77777777" w:rsidR="00FA54F1" w:rsidRPr="00495408" w:rsidRDefault="00FA54F1" w:rsidP="00FA54F1">
            <w:pPr>
              <w:jc w:val="center"/>
              <w:rPr>
                <w:rFonts w:cs="Segoe UI"/>
                <w:sz w:val="22"/>
              </w:rPr>
            </w:pPr>
            <w:r w:rsidRPr="00495408">
              <w:rPr>
                <w:rFonts w:cs="Calibri"/>
                <w:color w:val="000000"/>
                <w:sz w:val="22"/>
                <w:szCs w:val="22"/>
              </w:rPr>
              <w:t>Alert 1</w:t>
            </w:r>
          </w:p>
        </w:tc>
      </w:tr>
      <w:tr w:rsidR="00FA54F1" w14:paraId="49CD41A4" w14:textId="77777777" w:rsidTr="00495408">
        <w:tc>
          <w:tcPr>
            <w:tcW w:w="2689" w:type="dxa"/>
            <w:vAlign w:val="center"/>
          </w:tcPr>
          <w:p w14:paraId="65B3EC51" w14:textId="77777777" w:rsidR="00FA54F1" w:rsidRPr="00495408" w:rsidRDefault="00FA54F1" w:rsidP="00FA54F1">
            <w:pPr>
              <w:jc w:val="center"/>
              <w:rPr>
                <w:rFonts w:cs="Segoe UI"/>
                <w:sz w:val="22"/>
              </w:rPr>
            </w:pPr>
            <w:r w:rsidRPr="00495408">
              <w:rPr>
                <w:rFonts w:cs="Calibri"/>
                <w:color w:val="000000"/>
                <w:sz w:val="22"/>
                <w:szCs w:val="22"/>
              </w:rPr>
              <w:t>4 – 5</w:t>
            </w:r>
          </w:p>
        </w:tc>
        <w:tc>
          <w:tcPr>
            <w:tcW w:w="3402" w:type="dxa"/>
            <w:vAlign w:val="center"/>
          </w:tcPr>
          <w:p w14:paraId="427DD729" w14:textId="77777777" w:rsidR="00FA54F1" w:rsidRPr="00495408" w:rsidRDefault="00FA54F1" w:rsidP="00FA54F1">
            <w:pPr>
              <w:jc w:val="center"/>
              <w:rPr>
                <w:rFonts w:cs="Segoe UI"/>
                <w:sz w:val="22"/>
              </w:rPr>
            </w:pPr>
            <w:r w:rsidRPr="00495408">
              <w:rPr>
                <w:rFonts w:cs="Calibri"/>
                <w:color w:val="000000"/>
                <w:sz w:val="22"/>
                <w:szCs w:val="22"/>
              </w:rPr>
              <w:t>0.5</w:t>
            </w:r>
          </w:p>
        </w:tc>
        <w:tc>
          <w:tcPr>
            <w:tcW w:w="2409" w:type="dxa"/>
            <w:vAlign w:val="center"/>
          </w:tcPr>
          <w:p w14:paraId="70B423C5" w14:textId="77777777" w:rsidR="00FA54F1" w:rsidRPr="00495408" w:rsidRDefault="00FA54F1" w:rsidP="00FA54F1">
            <w:pPr>
              <w:jc w:val="center"/>
              <w:rPr>
                <w:rFonts w:cs="Segoe UI"/>
                <w:sz w:val="22"/>
              </w:rPr>
            </w:pPr>
          </w:p>
        </w:tc>
      </w:tr>
      <w:tr w:rsidR="00FA54F1" w14:paraId="164CDD98" w14:textId="77777777" w:rsidTr="00495408">
        <w:trPr>
          <w:trHeight w:val="353"/>
        </w:trPr>
        <w:tc>
          <w:tcPr>
            <w:tcW w:w="2689" w:type="dxa"/>
            <w:shd w:val="clear" w:color="auto" w:fill="F2F2F2" w:themeFill="background1" w:themeFillShade="F2"/>
            <w:vAlign w:val="center"/>
          </w:tcPr>
          <w:p w14:paraId="625BFAD5" w14:textId="77777777" w:rsidR="00FA54F1" w:rsidRPr="00495408" w:rsidRDefault="00FA54F1" w:rsidP="00FA54F1">
            <w:pPr>
              <w:jc w:val="center"/>
              <w:rPr>
                <w:rFonts w:cs="Segoe UI"/>
                <w:sz w:val="22"/>
              </w:rPr>
            </w:pPr>
            <w:r w:rsidRPr="00495408">
              <w:rPr>
                <w:rFonts w:cs="Calibri"/>
                <w:color w:val="000000"/>
                <w:sz w:val="22"/>
                <w:szCs w:val="22"/>
              </w:rPr>
              <w:t>5.1 – 7</w:t>
            </w:r>
          </w:p>
        </w:tc>
        <w:tc>
          <w:tcPr>
            <w:tcW w:w="3402" w:type="dxa"/>
            <w:shd w:val="clear" w:color="auto" w:fill="F2F2F2" w:themeFill="background1" w:themeFillShade="F2"/>
            <w:vAlign w:val="center"/>
          </w:tcPr>
          <w:p w14:paraId="7DB29770" w14:textId="77777777" w:rsidR="00FA54F1" w:rsidRPr="00495408" w:rsidRDefault="00FA54F1" w:rsidP="00FA54F1">
            <w:pPr>
              <w:jc w:val="center"/>
              <w:rPr>
                <w:rFonts w:cs="Segoe UI"/>
                <w:sz w:val="22"/>
              </w:rPr>
            </w:pPr>
            <w:r w:rsidRPr="00495408">
              <w:rPr>
                <w:rFonts w:cs="Calibri"/>
                <w:color w:val="000000"/>
                <w:sz w:val="22"/>
                <w:szCs w:val="22"/>
              </w:rPr>
              <w:t>1</w:t>
            </w:r>
          </w:p>
        </w:tc>
        <w:tc>
          <w:tcPr>
            <w:tcW w:w="2409" w:type="dxa"/>
            <w:vMerge w:val="restart"/>
            <w:shd w:val="clear" w:color="auto" w:fill="F2F2F2" w:themeFill="background1" w:themeFillShade="F2"/>
            <w:vAlign w:val="center"/>
          </w:tcPr>
          <w:p w14:paraId="4768B0A1" w14:textId="77777777" w:rsidR="00FA54F1" w:rsidRPr="00495408" w:rsidRDefault="00FA54F1" w:rsidP="00FA54F1">
            <w:pPr>
              <w:jc w:val="center"/>
              <w:rPr>
                <w:rFonts w:cs="Segoe UI"/>
                <w:sz w:val="22"/>
              </w:rPr>
            </w:pPr>
            <w:r w:rsidRPr="00495408">
              <w:rPr>
                <w:rFonts w:cs="Calibri"/>
                <w:color w:val="000000"/>
                <w:sz w:val="22"/>
                <w:szCs w:val="22"/>
                <w:shd w:val="clear" w:color="auto" w:fill="F2F2F2" w:themeFill="background1" w:themeFillShade="F2"/>
              </w:rPr>
              <w:t>Tar</w:t>
            </w:r>
            <w:r w:rsidRPr="00495408">
              <w:rPr>
                <w:rFonts w:cs="Calibri"/>
                <w:color w:val="000000"/>
                <w:sz w:val="22"/>
                <w:szCs w:val="22"/>
              </w:rPr>
              <w:t>get Range</w:t>
            </w:r>
          </w:p>
        </w:tc>
      </w:tr>
      <w:tr w:rsidR="00FA54F1" w14:paraId="3518648C" w14:textId="77777777" w:rsidTr="00495408">
        <w:tc>
          <w:tcPr>
            <w:tcW w:w="2689" w:type="dxa"/>
            <w:shd w:val="clear" w:color="auto" w:fill="F2F2F2" w:themeFill="background1" w:themeFillShade="F2"/>
            <w:vAlign w:val="center"/>
          </w:tcPr>
          <w:p w14:paraId="1DDDC02D" w14:textId="77777777" w:rsidR="00FA54F1" w:rsidRPr="00495408" w:rsidRDefault="00FA54F1" w:rsidP="00FA54F1">
            <w:pPr>
              <w:jc w:val="center"/>
              <w:rPr>
                <w:rFonts w:cs="Segoe UI"/>
                <w:sz w:val="22"/>
              </w:rPr>
            </w:pPr>
            <w:r w:rsidRPr="00495408">
              <w:rPr>
                <w:rFonts w:cs="Calibri"/>
                <w:color w:val="000000"/>
                <w:sz w:val="22"/>
                <w:szCs w:val="22"/>
              </w:rPr>
              <w:t>7.1 – 9</w:t>
            </w:r>
          </w:p>
        </w:tc>
        <w:tc>
          <w:tcPr>
            <w:tcW w:w="3402" w:type="dxa"/>
            <w:shd w:val="clear" w:color="auto" w:fill="F2F2F2" w:themeFill="background1" w:themeFillShade="F2"/>
            <w:vAlign w:val="center"/>
          </w:tcPr>
          <w:p w14:paraId="5F223B6A" w14:textId="77777777" w:rsidR="00FA54F1" w:rsidRPr="00495408" w:rsidRDefault="00FA54F1" w:rsidP="00FA54F1">
            <w:pPr>
              <w:jc w:val="center"/>
              <w:rPr>
                <w:rFonts w:cs="Segoe UI"/>
                <w:sz w:val="22"/>
              </w:rPr>
            </w:pPr>
            <w:r w:rsidRPr="00495408">
              <w:rPr>
                <w:rFonts w:cs="Calibri"/>
                <w:color w:val="000000"/>
                <w:sz w:val="22"/>
                <w:szCs w:val="22"/>
              </w:rPr>
              <w:t>2</w:t>
            </w:r>
          </w:p>
        </w:tc>
        <w:tc>
          <w:tcPr>
            <w:tcW w:w="2409" w:type="dxa"/>
            <w:vMerge/>
            <w:shd w:val="clear" w:color="auto" w:fill="D9D9D9" w:themeFill="background1" w:themeFillShade="D9"/>
            <w:vAlign w:val="center"/>
          </w:tcPr>
          <w:p w14:paraId="3F4E2CC5" w14:textId="77777777" w:rsidR="00FA54F1" w:rsidRPr="00495408" w:rsidRDefault="00FA54F1" w:rsidP="00FA54F1">
            <w:pPr>
              <w:jc w:val="center"/>
              <w:rPr>
                <w:rFonts w:cs="Segoe UI"/>
                <w:sz w:val="22"/>
              </w:rPr>
            </w:pPr>
          </w:p>
        </w:tc>
      </w:tr>
      <w:tr w:rsidR="00FA54F1" w14:paraId="4FA4699F" w14:textId="77777777" w:rsidTr="00495408">
        <w:tc>
          <w:tcPr>
            <w:tcW w:w="2689" w:type="dxa"/>
            <w:vAlign w:val="center"/>
          </w:tcPr>
          <w:p w14:paraId="03D626AE" w14:textId="77777777" w:rsidR="00FA54F1" w:rsidRPr="00495408" w:rsidRDefault="00FA54F1" w:rsidP="00FA54F1">
            <w:pPr>
              <w:jc w:val="center"/>
              <w:rPr>
                <w:rFonts w:cs="Segoe UI"/>
                <w:sz w:val="22"/>
              </w:rPr>
            </w:pPr>
            <w:r w:rsidRPr="00495408">
              <w:rPr>
                <w:rFonts w:cs="Calibri"/>
                <w:color w:val="000000"/>
                <w:sz w:val="22"/>
                <w:szCs w:val="22"/>
              </w:rPr>
              <w:t>9.1 – 11</w:t>
            </w:r>
          </w:p>
        </w:tc>
        <w:tc>
          <w:tcPr>
            <w:tcW w:w="3402" w:type="dxa"/>
            <w:vAlign w:val="center"/>
          </w:tcPr>
          <w:p w14:paraId="49969031" w14:textId="77777777" w:rsidR="00FA54F1" w:rsidRPr="00495408" w:rsidRDefault="00FA54F1" w:rsidP="00FA54F1">
            <w:pPr>
              <w:jc w:val="center"/>
              <w:rPr>
                <w:rFonts w:cs="Segoe UI"/>
                <w:sz w:val="22"/>
              </w:rPr>
            </w:pPr>
            <w:r w:rsidRPr="00495408">
              <w:rPr>
                <w:rFonts w:cs="Calibri"/>
                <w:color w:val="000000"/>
                <w:sz w:val="22"/>
                <w:szCs w:val="22"/>
              </w:rPr>
              <w:t>3</w:t>
            </w:r>
          </w:p>
        </w:tc>
        <w:tc>
          <w:tcPr>
            <w:tcW w:w="2409" w:type="dxa"/>
            <w:vAlign w:val="center"/>
          </w:tcPr>
          <w:p w14:paraId="30267D5F" w14:textId="77777777" w:rsidR="00FA54F1" w:rsidRPr="00495408" w:rsidRDefault="00FA54F1" w:rsidP="00FA54F1">
            <w:pPr>
              <w:jc w:val="center"/>
              <w:rPr>
                <w:rFonts w:cs="Segoe UI"/>
                <w:sz w:val="22"/>
              </w:rPr>
            </w:pPr>
          </w:p>
        </w:tc>
      </w:tr>
      <w:tr w:rsidR="00FA54F1" w14:paraId="5AEC6409" w14:textId="77777777" w:rsidTr="00495408">
        <w:tc>
          <w:tcPr>
            <w:tcW w:w="2689" w:type="dxa"/>
            <w:vAlign w:val="center"/>
          </w:tcPr>
          <w:p w14:paraId="7174D6DE" w14:textId="77777777" w:rsidR="00FA54F1" w:rsidRPr="00495408" w:rsidRDefault="00FA54F1" w:rsidP="00FA54F1">
            <w:pPr>
              <w:jc w:val="center"/>
              <w:rPr>
                <w:rFonts w:cs="Segoe UI"/>
                <w:sz w:val="22"/>
              </w:rPr>
            </w:pPr>
            <w:r w:rsidRPr="00495408">
              <w:rPr>
                <w:rFonts w:cs="Calibri"/>
                <w:color w:val="000000"/>
                <w:sz w:val="22"/>
                <w:szCs w:val="22"/>
              </w:rPr>
              <w:t>11.1 – 13</w:t>
            </w:r>
          </w:p>
        </w:tc>
        <w:tc>
          <w:tcPr>
            <w:tcW w:w="3402" w:type="dxa"/>
            <w:vAlign w:val="center"/>
          </w:tcPr>
          <w:p w14:paraId="2A64083F" w14:textId="77777777" w:rsidR="00FA54F1" w:rsidRPr="00495408" w:rsidRDefault="00FA54F1" w:rsidP="00FA54F1">
            <w:pPr>
              <w:jc w:val="center"/>
              <w:rPr>
                <w:rFonts w:cs="Segoe UI"/>
                <w:sz w:val="22"/>
              </w:rPr>
            </w:pPr>
            <w:r w:rsidRPr="00495408">
              <w:rPr>
                <w:rFonts w:cs="Calibri"/>
                <w:color w:val="000000"/>
                <w:sz w:val="22"/>
                <w:szCs w:val="22"/>
              </w:rPr>
              <w:t>4</w:t>
            </w:r>
          </w:p>
        </w:tc>
        <w:tc>
          <w:tcPr>
            <w:tcW w:w="2409" w:type="dxa"/>
            <w:vAlign w:val="center"/>
          </w:tcPr>
          <w:p w14:paraId="5A9D2DA1" w14:textId="77777777" w:rsidR="00FA54F1" w:rsidRPr="00495408" w:rsidRDefault="00FA54F1" w:rsidP="00FA54F1">
            <w:pPr>
              <w:jc w:val="center"/>
              <w:rPr>
                <w:rFonts w:cs="Segoe UI"/>
                <w:sz w:val="22"/>
              </w:rPr>
            </w:pPr>
            <w:r w:rsidRPr="00495408">
              <w:rPr>
                <w:rFonts w:cs="Calibri"/>
                <w:color w:val="000000"/>
                <w:sz w:val="22"/>
                <w:szCs w:val="22"/>
              </w:rPr>
              <w:t>Alert 2</w:t>
            </w:r>
          </w:p>
        </w:tc>
      </w:tr>
      <w:tr w:rsidR="00FA54F1" w14:paraId="2B66BD90" w14:textId="77777777" w:rsidTr="00495408">
        <w:tc>
          <w:tcPr>
            <w:tcW w:w="2689" w:type="dxa"/>
            <w:vAlign w:val="center"/>
          </w:tcPr>
          <w:p w14:paraId="39C69259" w14:textId="77777777" w:rsidR="00FA54F1" w:rsidRPr="00495408" w:rsidRDefault="00FA54F1" w:rsidP="00FA54F1">
            <w:pPr>
              <w:jc w:val="center"/>
              <w:rPr>
                <w:rFonts w:cs="Segoe UI"/>
                <w:sz w:val="22"/>
              </w:rPr>
            </w:pPr>
            <w:r w:rsidRPr="00495408">
              <w:rPr>
                <w:rFonts w:cs="Calibri"/>
                <w:color w:val="000000"/>
                <w:sz w:val="22"/>
                <w:szCs w:val="22"/>
              </w:rPr>
              <w:t>13.1 – 15</w:t>
            </w:r>
          </w:p>
        </w:tc>
        <w:tc>
          <w:tcPr>
            <w:tcW w:w="3402" w:type="dxa"/>
            <w:vAlign w:val="center"/>
          </w:tcPr>
          <w:p w14:paraId="11E93B73" w14:textId="77777777" w:rsidR="00FA54F1" w:rsidRPr="00495408" w:rsidRDefault="00FA54F1" w:rsidP="00FA54F1">
            <w:pPr>
              <w:jc w:val="center"/>
              <w:rPr>
                <w:rFonts w:cs="Segoe UI"/>
                <w:sz w:val="22"/>
              </w:rPr>
            </w:pPr>
            <w:r w:rsidRPr="00495408">
              <w:rPr>
                <w:rFonts w:cs="Calibri"/>
                <w:color w:val="000000"/>
                <w:sz w:val="22"/>
                <w:szCs w:val="22"/>
              </w:rPr>
              <w:t>5</w:t>
            </w:r>
          </w:p>
        </w:tc>
        <w:tc>
          <w:tcPr>
            <w:tcW w:w="2409" w:type="dxa"/>
            <w:vAlign w:val="center"/>
          </w:tcPr>
          <w:p w14:paraId="3B9A5975" w14:textId="77777777" w:rsidR="00FA54F1" w:rsidRPr="00495408" w:rsidRDefault="00FA54F1" w:rsidP="00FA54F1">
            <w:pPr>
              <w:jc w:val="center"/>
              <w:rPr>
                <w:rFonts w:cs="Segoe UI"/>
                <w:sz w:val="22"/>
              </w:rPr>
            </w:pPr>
          </w:p>
        </w:tc>
      </w:tr>
      <w:tr w:rsidR="00FA54F1" w14:paraId="601A392B" w14:textId="77777777" w:rsidTr="00495408">
        <w:tc>
          <w:tcPr>
            <w:tcW w:w="2689" w:type="dxa"/>
            <w:vAlign w:val="center"/>
          </w:tcPr>
          <w:p w14:paraId="1F8311E9" w14:textId="77777777" w:rsidR="00FA54F1" w:rsidRPr="00495408" w:rsidRDefault="00FA54F1" w:rsidP="00FA54F1">
            <w:pPr>
              <w:jc w:val="center"/>
              <w:rPr>
                <w:rFonts w:cs="Calibri"/>
                <w:color w:val="000000"/>
                <w:sz w:val="22"/>
                <w:szCs w:val="22"/>
              </w:rPr>
            </w:pPr>
            <w:r w:rsidRPr="00495408">
              <w:rPr>
                <w:rFonts w:cs="Calibri"/>
                <w:color w:val="000000"/>
                <w:sz w:val="22"/>
                <w:szCs w:val="22"/>
              </w:rPr>
              <w:t>15.1 – 20</w:t>
            </w:r>
          </w:p>
        </w:tc>
        <w:tc>
          <w:tcPr>
            <w:tcW w:w="3402" w:type="dxa"/>
            <w:vAlign w:val="center"/>
          </w:tcPr>
          <w:p w14:paraId="0252CDE6" w14:textId="77777777" w:rsidR="00FA54F1" w:rsidRPr="00495408" w:rsidRDefault="00FA54F1" w:rsidP="00FA54F1">
            <w:pPr>
              <w:jc w:val="center"/>
              <w:rPr>
                <w:rFonts w:cs="Calibri"/>
                <w:color w:val="000000"/>
                <w:sz w:val="22"/>
                <w:szCs w:val="22"/>
              </w:rPr>
            </w:pPr>
            <w:r w:rsidRPr="00495408">
              <w:rPr>
                <w:rFonts w:cs="Calibri"/>
                <w:color w:val="000000"/>
                <w:sz w:val="22"/>
                <w:szCs w:val="22"/>
              </w:rPr>
              <w:t>5.5</w:t>
            </w:r>
          </w:p>
        </w:tc>
        <w:tc>
          <w:tcPr>
            <w:tcW w:w="2409" w:type="dxa"/>
            <w:vAlign w:val="center"/>
          </w:tcPr>
          <w:p w14:paraId="3DB19126" w14:textId="77777777" w:rsidR="00FA54F1" w:rsidRPr="00495408" w:rsidRDefault="00FA54F1" w:rsidP="00FA54F1">
            <w:pPr>
              <w:jc w:val="center"/>
              <w:rPr>
                <w:rFonts w:cs="Segoe UI"/>
                <w:sz w:val="22"/>
              </w:rPr>
            </w:pPr>
            <w:r w:rsidRPr="00495408">
              <w:rPr>
                <w:rFonts w:cs="Calibri"/>
                <w:color w:val="000000"/>
                <w:sz w:val="22"/>
                <w:szCs w:val="22"/>
              </w:rPr>
              <w:t xml:space="preserve">Check </w:t>
            </w:r>
            <w:proofErr w:type="spellStart"/>
            <w:r w:rsidRPr="00495408">
              <w:rPr>
                <w:rFonts w:cs="Calibri"/>
                <w:color w:val="000000"/>
                <w:sz w:val="22"/>
                <w:szCs w:val="22"/>
              </w:rPr>
              <w:t>cBKL</w:t>
            </w:r>
            <w:proofErr w:type="spellEnd"/>
          </w:p>
        </w:tc>
      </w:tr>
      <w:tr w:rsidR="00FA54F1" w14:paraId="2491023D" w14:textId="77777777" w:rsidTr="00495408">
        <w:tc>
          <w:tcPr>
            <w:tcW w:w="2689" w:type="dxa"/>
            <w:vAlign w:val="center"/>
          </w:tcPr>
          <w:p w14:paraId="691019B5" w14:textId="77777777" w:rsidR="00FA54F1" w:rsidRPr="00495408" w:rsidRDefault="00FA54F1" w:rsidP="00FA54F1">
            <w:pPr>
              <w:jc w:val="center"/>
              <w:rPr>
                <w:rFonts w:cs="Calibri"/>
                <w:color w:val="000000"/>
                <w:sz w:val="22"/>
                <w:szCs w:val="22"/>
              </w:rPr>
            </w:pPr>
            <w:r w:rsidRPr="00495408">
              <w:rPr>
                <w:rFonts w:cs="Calibri"/>
                <w:color w:val="000000"/>
                <w:sz w:val="22"/>
                <w:szCs w:val="22"/>
              </w:rPr>
              <w:t>&gt; 20</w:t>
            </w:r>
          </w:p>
        </w:tc>
        <w:tc>
          <w:tcPr>
            <w:tcW w:w="3402" w:type="dxa"/>
            <w:vAlign w:val="center"/>
          </w:tcPr>
          <w:p w14:paraId="29B734F5" w14:textId="77777777" w:rsidR="00FA54F1" w:rsidRPr="00495408" w:rsidRDefault="00FA54F1" w:rsidP="00FA54F1">
            <w:pPr>
              <w:jc w:val="center"/>
              <w:rPr>
                <w:rFonts w:cs="Calibri"/>
                <w:color w:val="000000"/>
                <w:sz w:val="22"/>
                <w:szCs w:val="22"/>
              </w:rPr>
            </w:pPr>
            <w:r w:rsidRPr="00495408">
              <w:rPr>
                <w:rFonts w:cs="Calibri"/>
                <w:color w:val="000000"/>
                <w:sz w:val="22"/>
                <w:szCs w:val="22"/>
              </w:rPr>
              <w:t>6</w:t>
            </w:r>
          </w:p>
        </w:tc>
        <w:tc>
          <w:tcPr>
            <w:tcW w:w="2409" w:type="dxa"/>
            <w:vAlign w:val="center"/>
          </w:tcPr>
          <w:p w14:paraId="74776CAC" w14:textId="77777777" w:rsidR="00FA54F1" w:rsidRPr="00495408" w:rsidRDefault="00FA54F1" w:rsidP="00FA54F1">
            <w:pPr>
              <w:jc w:val="center"/>
              <w:rPr>
                <w:rFonts w:cs="Calibri"/>
                <w:color w:val="000000"/>
                <w:sz w:val="22"/>
                <w:szCs w:val="22"/>
              </w:rPr>
            </w:pPr>
            <w:r w:rsidRPr="00495408">
              <w:rPr>
                <w:rFonts w:cs="Calibri"/>
                <w:color w:val="000000"/>
                <w:sz w:val="22"/>
                <w:szCs w:val="22"/>
              </w:rPr>
              <w:t xml:space="preserve">Check </w:t>
            </w:r>
            <w:proofErr w:type="spellStart"/>
            <w:r w:rsidRPr="00495408">
              <w:rPr>
                <w:rFonts w:cs="Calibri"/>
                <w:color w:val="000000"/>
                <w:sz w:val="22"/>
                <w:szCs w:val="22"/>
              </w:rPr>
              <w:t>cBKL</w:t>
            </w:r>
            <w:proofErr w:type="spellEnd"/>
            <w:r w:rsidRPr="00495408">
              <w:rPr>
                <w:rFonts w:cs="Calibri"/>
                <w:color w:val="000000"/>
                <w:sz w:val="22"/>
                <w:szCs w:val="22"/>
              </w:rPr>
              <w:t xml:space="preserve"> Alert 3</w:t>
            </w:r>
          </w:p>
        </w:tc>
      </w:tr>
    </w:tbl>
    <w:p w14:paraId="02D24620" w14:textId="77777777" w:rsidR="00F87C68" w:rsidRDefault="00F87C68">
      <w:pPr>
        <w:rPr>
          <w:b/>
          <w:bCs/>
        </w:rPr>
      </w:pPr>
    </w:p>
    <w:p w14:paraId="6E05CB52" w14:textId="743A7CCA" w:rsidR="00FA54F1" w:rsidRPr="00DB7288" w:rsidRDefault="00DB7288">
      <w:pPr>
        <w:rPr>
          <w:b/>
          <w:bCs/>
        </w:rPr>
      </w:pPr>
      <w:r w:rsidRPr="00DB7288">
        <w:rPr>
          <w:b/>
          <w:bCs/>
        </w:rPr>
        <w:t xml:space="preserve">Custom Insulin Infusion </w:t>
      </w:r>
      <w:proofErr w:type="spellStart"/>
      <w:r w:rsidRPr="00DB7288">
        <w:rPr>
          <w:b/>
          <w:bCs/>
        </w:rPr>
        <w:t>Algorithim</w:t>
      </w:r>
      <w:proofErr w:type="spellEnd"/>
      <w:r w:rsidRPr="00DB7288">
        <w:rPr>
          <w:b/>
          <w:bCs/>
        </w:rPr>
        <w:t xml:space="preserve"> – Only use in consultation with Endocrinology</w:t>
      </w:r>
    </w:p>
    <w:p w14:paraId="4D4AECDB" w14:textId="2CA8E80C" w:rsidR="008D36EE" w:rsidRDefault="008D36EE" w:rsidP="008D36EE">
      <w:pPr>
        <w:pStyle w:val="ListParagraph"/>
        <w:numPr>
          <w:ilvl w:val="0"/>
          <w:numId w:val="25"/>
        </w:numPr>
        <w:rPr>
          <w:rFonts w:cs="Segoe UI"/>
          <w:lang w:eastAsia="en-AU"/>
        </w:rPr>
      </w:pPr>
      <w:r w:rsidRPr="00FA54F1">
        <w:rPr>
          <w:rFonts w:cs="Segoe UI"/>
          <w:lang w:eastAsia="en-AU"/>
        </w:rPr>
        <w:t xml:space="preserve">Order </w:t>
      </w:r>
      <w:proofErr w:type="spellStart"/>
      <w:r w:rsidRPr="00FA54F1">
        <w:rPr>
          <w:rFonts w:cs="Segoe UI"/>
          <w:lang w:eastAsia="en-AU"/>
        </w:rPr>
        <w:t>Actrapid</w:t>
      </w:r>
      <w:proofErr w:type="spellEnd"/>
      <w:r w:rsidRPr="00FA54F1">
        <w:rPr>
          <w:rFonts w:cs="Segoe UI"/>
          <w:lang w:eastAsia="en-AU"/>
        </w:rPr>
        <w:t xml:space="preserve"> (Neutral) Insulin 100units in Sodium Chloride 0.9% 100mL </w:t>
      </w:r>
    </w:p>
    <w:p w14:paraId="4E6D66DF" w14:textId="3C29582F" w:rsidR="008D36EE" w:rsidRDefault="008D36EE" w:rsidP="00DB7288">
      <w:pPr>
        <w:pStyle w:val="ListParagraph"/>
        <w:numPr>
          <w:ilvl w:val="0"/>
          <w:numId w:val="25"/>
        </w:numPr>
        <w:rPr>
          <w:rFonts w:cs="Segoe UI"/>
          <w:lang w:eastAsia="en-AU"/>
        </w:rPr>
      </w:pPr>
      <w:r w:rsidRPr="00FA54F1">
        <w:rPr>
          <w:rFonts w:cs="Segoe UI"/>
          <w:lang w:eastAsia="en-AU"/>
        </w:rPr>
        <w:t xml:space="preserve">Select the </w:t>
      </w:r>
      <w:r w:rsidRPr="00495408">
        <w:rPr>
          <w:rFonts w:cs="Segoe UI"/>
          <w:b/>
          <w:lang w:eastAsia="en-AU"/>
        </w:rPr>
        <w:t>CUSTOM</w:t>
      </w:r>
      <w:r w:rsidRPr="00FA54F1">
        <w:rPr>
          <w:rFonts w:cs="Segoe UI"/>
          <w:caps/>
          <w:lang w:eastAsia="en-AU"/>
        </w:rPr>
        <w:t xml:space="preserve"> </w:t>
      </w:r>
      <w:r w:rsidRPr="00FA54F1">
        <w:rPr>
          <w:rFonts w:cs="Segoe UI"/>
          <w:lang w:eastAsia="en-AU"/>
        </w:rPr>
        <w:t>algorithm administration instructions from the order set, these will be visible to nursing staff when administering the infusion</w:t>
      </w:r>
    </w:p>
    <w:p w14:paraId="777CAF3B" w14:textId="77777777" w:rsidR="008D36EE" w:rsidRPr="007E0FD7" w:rsidRDefault="008D36EE" w:rsidP="00DB7288">
      <w:pPr>
        <w:pStyle w:val="ListParagraph"/>
        <w:numPr>
          <w:ilvl w:val="0"/>
          <w:numId w:val="25"/>
        </w:numPr>
        <w:rPr>
          <w:rFonts w:cs="Segoe UI"/>
          <w:lang w:eastAsia="en-AU"/>
        </w:rPr>
      </w:pPr>
      <w:r w:rsidRPr="007E0FD7">
        <w:rPr>
          <w:rFonts w:cs="Segoe UI"/>
          <w:lang w:eastAsia="en-AU"/>
        </w:rPr>
        <w:t xml:space="preserve">You will need to add the dose/rate of insulin to be administered at each of the different </w:t>
      </w:r>
      <w:proofErr w:type="spellStart"/>
      <w:r w:rsidRPr="007E0FD7">
        <w:rPr>
          <w:rFonts w:cs="Segoe UI"/>
          <w:lang w:eastAsia="en-AU"/>
        </w:rPr>
        <w:t>cBGL</w:t>
      </w:r>
      <w:proofErr w:type="spellEnd"/>
      <w:r w:rsidRPr="007E0FD7">
        <w:rPr>
          <w:rFonts w:cs="Segoe UI"/>
          <w:lang w:eastAsia="en-AU"/>
        </w:rPr>
        <w:t xml:space="preserve"> levels in the sections marked ***</w:t>
      </w:r>
    </w:p>
    <w:p w14:paraId="1928C6D0" w14:textId="77777777" w:rsidR="008D36EE" w:rsidRDefault="008D36EE" w:rsidP="00DB7288">
      <w:pPr>
        <w:rPr>
          <w:rFonts w:cs="Segoe UI"/>
          <w:lang w:eastAsia="en-AU"/>
        </w:rPr>
      </w:pPr>
    </w:p>
    <w:p w14:paraId="26332B42" w14:textId="77777777" w:rsidR="00DB7288" w:rsidRPr="00DB7288" w:rsidRDefault="00DB7288" w:rsidP="00DB7288">
      <w:pPr>
        <w:rPr>
          <w:rFonts w:cs="Segoe UI"/>
          <w:lang w:eastAsia="en-AU"/>
        </w:rPr>
      </w:pPr>
    </w:p>
    <w:tbl>
      <w:tblPr>
        <w:tblStyle w:val="TableGrid"/>
        <w:tblpPr w:leftFromText="180" w:rightFromText="180" w:vertAnchor="text" w:horzAnchor="page" w:tblpX="1895" w:tblpY="-33"/>
        <w:tblW w:w="0" w:type="auto"/>
        <w:tblLook w:val="04A0" w:firstRow="1" w:lastRow="0" w:firstColumn="1" w:lastColumn="0" w:noHBand="0" w:noVBand="1"/>
      </w:tblPr>
      <w:tblGrid>
        <w:gridCol w:w="2689"/>
        <w:gridCol w:w="3402"/>
        <w:gridCol w:w="2409"/>
      </w:tblGrid>
      <w:tr w:rsidR="008D36EE" w14:paraId="066C9A6D" w14:textId="77777777" w:rsidTr="008D36EE">
        <w:trPr>
          <w:trHeight w:val="423"/>
        </w:trPr>
        <w:tc>
          <w:tcPr>
            <w:tcW w:w="8500" w:type="dxa"/>
            <w:gridSpan w:val="3"/>
            <w:vAlign w:val="center"/>
          </w:tcPr>
          <w:p w14:paraId="2559F083" w14:textId="77777777" w:rsidR="008D36EE" w:rsidRPr="00DA11FF" w:rsidRDefault="008D36EE" w:rsidP="008D36EE">
            <w:pPr>
              <w:jc w:val="center"/>
              <w:rPr>
                <w:rFonts w:cs="Segoe UI"/>
                <w:sz w:val="22"/>
              </w:rPr>
            </w:pPr>
            <w:r w:rsidRPr="00DA11FF">
              <w:rPr>
                <w:rFonts w:cs="Calibri"/>
                <w:b/>
                <w:color w:val="000000"/>
                <w:sz w:val="22"/>
                <w:szCs w:val="22"/>
              </w:rPr>
              <w:t xml:space="preserve">Titration instructions for standard insulin infusion </w:t>
            </w:r>
            <w:proofErr w:type="spellStart"/>
            <w:r w:rsidRPr="00DA11FF">
              <w:rPr>
                <w:rFonts w:cs="Calibri"/>
                <w:b/>
                <w:color w:val="000000"/>
                <w:sz w:val="22"/>
                <w:szCs w:val="22"/>
              </w:rPr>
              <w:t>algorithim</w:t>
            </w:r>
            <w:proofErr w:type="spellEnd"/>
          </w:p>
        </w:tc>
      </w:tr>
      <w:tr w:rsidR="008D36EE" w14:paraId="2C268CBE" w14:textId="77777777" w:rsidTr="008D36EE">
        <w:tc>
          <w:tcPr>
            <w:tcW w:w="2689" w:type="dxa"/>
            <w:shd w:val="clear" w:color="auto" w:fill="BFBFBF" w:themeFill="background1" w:themeFillShade="BF"/>
            <w:vAlign w:val="center"/>
          </w:tcPr>
          <w:p w14:paraId="0F6CE9FE" w14:textId="77777777" w:rsidR="008D36EE" w:rsidRPr="00DA11FF" w:rsidRDefault="008D36EE" w:rsidP="008D36EE">
            <w:pPr>
              <w:jc w:val="center"/>
              <w:rPr>
                <w:rFonts w:cs="Segoe UI"/>
                <w:sz w:val="22"/>
              </w:rPr>
            </w:pPr>
            <w:proofErr w:type="spellStart"/>
            <w:r w:rsidRPr="00DA11FF">
              <w:rPr>
                <w:rFonts w:cs="Calibri"/>
                <w:b/>
                <w:color w:val="000000"/>
                <w:sz w:val="22"/>
                <w:szCs w:val="22"/>
              </w:rPr>
              <w:t>cBGL</w:t>
            </w:r>
            <w:proofErr w:type="spellEnd"/>
            <w:r w:rsidRPr="00DA11FF">
              <w:rPr>
                <w:rFonts w:cs="Calibri"/>
                <w:b/>
                <w:color w:val="000000"/>
                <w:sz w:val="22"/>
                <w:szCs w:val="22"/>
              </w:rPr>
              <w:t xml:space="preserve"> Result (mmol/L)</w:t>
            </w:r>
          </w:p>
        </w:tc>
        <w:tc>
          <w:tcPr>
            <w:tcW w:w="3402" w:type="dxa"/>
            <w:shd w:val="clear" w:color="auto" w:fill="BFBFBF" w:themeFill="background1" w:themeFillShade="BF"/>
            <w:vAlign w:val="center"/>
          </w:tcPr>
          <w:p w14:paraId="6059770F" w14:textId="77777777" w:rsidR="008D36EE" w:rsidRPr="00DA11FF" w:rsidRDefault="008D36EE" w:rsidP="008D36EE">
            <w:pPr>
              <w:jc w:val="center"/>
              <w:rPr>
                <w:rFonts w:cs="Segoe UI"/>
                <w:sz w:val="22"/>
              </w:rPr>
            </w:pPr>
            <w:r w:rsidRPr="00DA11FF">
              <w:rPr>
                <w:rFonts w:cs="Calibri"/>
                <w:b/>
                <w:color w:val="000000"/>
                <w:sz w:val="22"/>
                <w:szCs w:val="22"/>
              </w:rPr>
              <w:t>Dose/Rate (Units/hr = mL/hr)</w:t>
            </w:r>
          </w:p>
        </w:tc>
        <w:tc>
          <w:tcPr>
            <w:tcW w:w="2409" w:type="dxa"/>
            <w:shd w:val="clear" w:color="auto" w:fill="BFBFBF" w:themeFill="background1" w:themeFillShade="BF"/>
            <w:vAlign w:val="center"/>
          </w:tcPr>
          <w:p w14:paraId="633966B8" w14:textId="77777777" w:rsidR="008D36EE" w:rsidRPr="00DA11FF" w:rsidRDefault="008D36EE" w:rsidP="008D36EE">
            <w:pPr>
              <w:jc w:val="center"/>
              <w:rPr>
                <w:rFonts w:cs="Segoe UI"/>
                <w:sz w:val="22"/>
              </w:rPr>
            </w:pPr>
            <w:r w:rsidRPr="00DA11FF">
              <w:rPr>
                <w:rFonts w:cs="Calibri"/>
                <w:b/>
                <w:color w:val="000000"/>
                <w:sz w:val="22"/>
                <w:szCs w:val="22"/>
              </w:rPr>
              <w:t>Comments</w:t>
            </w:r>
          </w:p>
        </w:tc>
      </w:tr>
      <w:tr w:rsidR="008D36EE" w14:paraId="79E5A07E" w14:textId="77777777" w:rsidTr="008D36EE">
        <w:tc>
          <w:tcPr>
            <w:tcW w:w="2689" w:type="dxa"/>
            <w:vAlign w:val="center"/>
          </w:tcPr>
          <w:p w14:paraId="5DF21E14" w14:textId="77777777" w:rsidR="008D36EE" w:rsidRPr="00DA11FF" w:rsidRDefault="008D36EE" w:rsidP="008D36EE">
            <w:pPr>
              <w:jc w:val="center"/>
              <w:rPr>
                <w:rFonts w:cs="Segoe UI"/>
                <w:sz w:val="22"/>
              </w:rPr>
            </w:pPr>
            <w:r w:rsidRPr="00DA11FF">
              <w:rPr>
                <w:rFonts w:cs="Calibri"/>
                <w:color w:val="000000"/>
                <w:sz w:val="22"/>
                <w:szCs w:val="22"/>
              </w:rPr>
              <w:t>&lt; 4</w:t>
            </w:r>
          </w:p>
        </w:tc>
        <w:tc>
          <w:tcPr>
            <w:tcW w:w="3402" w:type="dxa"/>
            <w:vAlign w:val="center"/>
          </w:tcPr>
          <w:p w14:paraId="2C78C2ED" w14:textId="13E6A0DD" w:rsidR="008D36EE" w:rsidRPr="00DA11FF" w:rsidRDefault="00193AF0" w:rsidP="008D36EE">
            <w:pPr>
              <w:jc w:val="center"/>
              <w:rPr>
                <w:rFonts w:cs="Segoe UI"/>
                <w:sz w:val="22"/>
              </w:rPr>
            </w:pPr>
            <w:r>
              <w:rPr>
                <w:rFonts w:cs="Segoe UI"/>
                <w:sz w:val="22"/>
              </w:rPr>
              <w:t>***</w:t>
            </w:r>
          </w:p>
        </w:tc>
        <w:tc>
          <w:tcPr>
            <w:tcW w:w="2409" w:type="dxa"/>
            <w:vAlign w:val="center"/>
          </w:tcPr>
          <w:p w14:paraId="2FDAD9E3" w14:textId="77777777" w:rsidR="008D36EE" w:rsidRPr="00DA11FF" w:rsidRDefault="008D36EE" w:rsidP="008D36EE">
            <w:pPr>
              <w:jc w:val="center"/>
              <w:rPr>
                <w:rFonts w:cs="Segoe UI"/>
                <w:sz w:val="22"/>
              </w:rPr>
            </w:pPr>
            <w:r w:rsidRPr="00DA11FF">
              <w:rPr>
                <w:rFonts w:cs="Calibri"/>
                <w:color w:val="000000"/>
                <w:sz w:val="22"/>
                <w:szCs w:val="22"/>
              </w:rPr>
              <w:t>Alert 1</w:t>
            </w:r>
          </w:p>
        </w:tc>
      </w:tr>
      <w:tr w:rsidR="008D36EE" w14:paraId="5F563385" w14:textId="77777777" w:rsidTr="008D36EE">
        <w:tc>
          <w:tcPr>
            <w:tcW w:w="2689" w:type="dxa"/>
            <w:vAlign w:val="center"/>
          </w:tcPr>
          <w:p w14:paraId="794B0977" w14:textId="77777777" w:rsidR="008D36EE" w:rsidRPr="00DA11FF" w:rsidRDefault="008D36EE" w:rsidP="008D36EE">
            <w:pPr>
              <w:jc w:val="center"/>
              <w:rPr>
                <w:rFonts w:cs="Segoe UI"/>
                <w:sz w:val="22"/>
              </w:rPr>
            </w:pPr>
            <w:r w:rsidRPr="00DA11FF">
              <w:rPr>
                <w:rFonts w:cs="Calibri"/>
                <w:color w:val="000000"/>
                <w:sz w:val="22"/>
                <w:szCs w:val="22"/>
              </w:rPr>
              <w:t>4 – 5</w:t>
            </w:r>
          </w:p>
        </w:tc>
        <w:tc>
          <w:tcPr>
            <w:tcW w:w="3402" w:type="dxa"/>
            <w:vAlign w:val="center"/>
          </w:tcPr>
          <w:p w14:paraId="4EB718A2" w14:textId="750046BE" w:rsidR="008D36EE" w:rsidRPr="00DA11FF" w:rsidRDefault="00193AF0" w:rsidP="008D36EE">
            <w:pPr>
              <w:jc w:val="center"/>
              <w:rPr>
                <w:rFonts w:cs="Segoe UI"/>
                <w:sz w:val="22"/>
              </w:rPr>
            </w:pPr>
            <w:r>
              <w:rPr>
                <w:rFonts w:cs="Segoe UI"/>
                <w:sz w:val="22"/>
              </w:rPr>
              <w:t>***</w:t>
            </w:r>
          </w:p>
        </w:tc>
        <w:tc>
          <w:tcPr>
            <w:tcW w:w="2409" w:type="dxa"/>
            <w:vAlign w:val="center"/>
          </w:tcPr>
          <w:p w14:paraId="6138E92C" w14:textId="77777777" w:rsidR="008D36EE" w:rsidRPr="00DA11FF" w:rsidRDefault="008D36EE" w:rsidP="008D36EE">
            <w:pPr>
              <w:jc w:val="center"/>
              <w:rPr>
                <w:rFonts w:cs="Segoe UI"/>
                <w:sz w:val="22"/>
              </w:rPr>
            </w:pPr>
          </w:p>
        </w:tc>
      </w:tr>
      <w:tr w:rsidR="008D36EE" w14:paraId="0F4E0C4A" w14:textId="77777777" w:rsidTr="008D36EE">
        <w:trPr>
          <w:trHeight w:val="353"/>
        </w:trPr>
        <w:tc>
          <w:tcPr>
            <w:tcW w:w="2689" w:type="dxa"/>
            <w:shd w:val="clear" w:color="auto" w:fill="F2F2F2" w:themeFill="background1" w:themeFillShade="F2"/>
            <w:vAlign w:val="center"/>
          </w:tcPr>
          <w:p w14:paraId="09035CCC" w14:textId="77777777" w:rsidR="008D36EE" w:rsidRPr="00DA11FF" w:rsidRDefault="008D36EE" w:rsidP="008D36EE">
            <w:pPr>
              <w:jc w:val="center"/>
              <w:rPr>
                <w:rFonts w:cs="Segoe UI"/>
                <w:sz w:val="22"/>
              </w:rPr>
            </w:pPr>
            <w:r w:rsidRPr="00DA11FF">
              <w:rPr>
                <w:rFonts w:cs="Calibri"/>
                <w:color w:val="000000"/>
                <w:sz w:val="22"/>
                <w:szCs w:val="22"/>
              </w:rPr>
              <w:t>5.1 – 7</w:t>
            </w:r>
          </w:p>
        </w:tc>
        <w:tc>
          <w:tcPr>
            <w:tcW w:w="3402" w:type="dxa"/>
            <w:shd w:val="clear" w:color="auto" w:fill="F2F2F2" w:themeFill="background1" w:themeFillShade="F2"/>
            <w:vAlign w:val="center"/>
          </w:tcPr>
          <w:p w14:paraId="610BABAA" w14:textId="7351F1EA" w:rsidR="008D36EE" w:rsidRPr="00DA11FF" w:rsidRDefault="00193AF0" w:rsidP="008D36EE">
            <w:pPr>
              <w:jc w:val="center"/>
              <w:rPr>
                <w:rFonts w:cs="Segoe UI"/>
                <w:sz w:val="22"/>
              </w:rPr>
            </w:pPr>
            <w:r>
              <w:rPr>
                <w:rFonts w:cs="Segoe UI"/>
                <w:sz w:val="22"/>
              </w:rPr>
              <w:t>***</w:t>
            </w:r>
          </w:p>
        </w:tc>
        <w:tc>
          <w:tcPr>
            <w:tcW w:w="2409" w:type="dxa"/>
            <w:vMerge w:val="restart"/>
            <w:shd w:val="clear" w:color="auto" w:fill="F2F2F2" w:themeFill="background1" w:themeFillShade="F2"/>
            <w:vAlign w:val="center"/>
          </w:tcPr>
          <w:p w14:paraId="17C58362" w14:textId="77777777" w:rsidR="008D36EE" w:rsidRPr="00DA11FF" w:rsidRDefault="008D36EE" w:rsidP="008D36EE">
            <w:pPr>
              <w:jc w:val="center"/>
              <w:rPr>
                <w:rFonts w:cs="Segoe UI"/>
                <w:sz w:val="22"/>
              </w:rPr>
            </w:pPr>
            <w:r w:rsidRPr="00DA11FF">
              <w:rPr>
                <w:rFonts w:cs="Calibri"/>
                <w:color w:val="000000"/>
                <w:sz w:val="22"/>
                <w:szCs w:val="22"/>
                <w:shd w:val="clear" w:color="auto" w:fill="F2F2F2" w:themeFill="background1" w:themeFillShade="F2"/>
              </w:rPr>
              <w:t>Tar</w:t>
            </w:r>
            <w:r w:rsidRPr="00DA11FF">
              <w:rPr>
                <w:rFonts w:cs="Calibri"/>
                <w:color w:val="000000"/>
                <w:sz w:val="22"/>
                <w:szCs w:val="22"/>
              </w:rPr>
              <w:t>get Range</w:t>
            </w:r>
          </w:p>
        </w:tc>
      </w:tr>
      <w:tr w:rsidR="008D36EE" w14:paraId="75C7F3B0" w14:textId="77777777" w:rsidTr="008D36EE">
        <w:tc>
          <w:tcPr>
            <w:tcW w:w="2689" w:type="dxa"/>
            <w:shd w:val="clear" w:color="auto" w:fill="F2F2F2" w:themeFill="background1" w:themeFillShade="F2"/>
            <w:vAlign w:val="center"/>
          </w:tcPr>
          <w:p w14:paraId="403A2383" w14:textId="77777777" w:rsidR="008D36EE" w:rsidRPr="00DA11FF" w:rsidRDefault="008D36EE" w:rsidP="008D36EE">
            <w:pPr>
              <w:jc w:val="center"/>
              <w:rPr>
                <w:rFonts w:cs="Segoe UI"/>
                <w:sz w:val="22"/>
              </w:rPr>
            </w:pPr>
            <w:r w:rsidRPr="00DA11FF">
              <w:rPr>
                <w:rFonts w:cs="Calibri"/>
                <w:color w:val="000000"/>
                <w:sz w:val="22"/>
                <w:szCs w:val="22"/>
              </w:rPr>
              <w:t>7.1 – 9</w:t>
            </w:r>
          </w:p>
        </w:tc>
        <w:tc>
          <w:tcPr>
            <w:tcW w:w="3402" w:type="dxa"/>
            <w:shd w:val="clear" w:color="auto" w:fill="F2F2F2" w:themeFill="background1" w:themeFillShade="F2"/>
            <w:vAlign w:val="center"/>
          </w:tcPr>
          <w:p w14:paraId="11712E03" w14:textId="446CE83B" w:rsidR="008D36EE" w:rsidRPr="00DA11FF" w:rsidRDefault="00193AF0" w:rsidP="008D36EE">
            <w:pPr>
              <w:jc w:val="center"/>
              <w:rPr>
                <w:rFonts w:cs="Segoe UI"/>
                <w:sz w:val="22"/>
              </w:rPr>
            </w:pPr>
            <w:r>
              <w:rPr>
                <w:rFonts w:cs="Segoe UI"/>
                <w:sz w:val="22"/>
              </w:rPr>
              <w:t>***</w:t>
            </w:r>
          </w:p>
        </w:tc>
        <w:tc>
          <w:tcPr>
            <w:tcW w:w="2409" w:type="dxa"/>
            <w:vMerge/>
            <w:shd w:val="clear" w:color="auto" w:fill="D9D9D9" w:themeFill="background1" w:themeFillShade="D9"/>
            <w:vAlign w:val="center"/>
          </w:tcPr>
          <w:p w14:paraId="3DFEDF43" w14:textId="77777777" w:rsidR="008D36EE" w:rsidRPr="00DA11FF" w:rsidRDefault="008D36EE" w:rsidP="008D36EE">
            <w:pPr>
              <w:jc w:val="center"/>
              <w:rPr>
                <w:rFonts w:cs="Segoe UI"/>
                <w:sz w:val="22"/>
              </w:rPr>
            </w:pPr>
          </w:p>
        </w:tc>
      </w:tr>
      <w:tr w:rsidR="008D36EE" w14:paraId="447E75C4" w14:textId="77777777" w:rsidTr="008D36EE">
        <w:tc>
          <w:tcPr>
            <w:tcW w:w="2689" w:type="dxa"/>
            <w:vAlign w:val="center"/>
          </w:tcPr>
          <w:p w14:paraId="12DCABCA" w14:textId="77777777" w:rsidR="008D36EE" w:rsidRPr="00DA11FF" w:rsidRDefault="008D36EE" w:rsidP="008D36EE">
            <w:pPr>
              <w:jc w:val="center"/>
              <w:rPr>
                <w:rFonts w:cs="Segoe UI"/>
                <w:sz w:val="22"/>
              </w:rPr>
            </w:pPr>
            <w:r w:rsidRPr="00DA11FF">
              <w:rPr>
                <w:rFonts w:cs="Calibri"/>
                <w:color w:val="000000"/>
                <w:sz w:val="22"/>
                <w:szCs w:val="22"/>
              </w:rPr>
              <w:t>9.1 – 11</w:t>
            </w:r>
          </w:p>
        </w:tc>
        <w:tc>
          <w:tcPr>
            <w:tcW w:w="3402" w:type="dxa"/>
            <w:vAlign w:val="center"/>
          </w:tcPr>
          <w:p w14:paraId="36B719CF" w14:textId="7237B4F8" w:rsidR="008D36EE" w:rsidRPr="00DA11FF" w:rsidRDefault="00193AF0" w:rsidP="008D36EE">
            <w:pPr>
              <w:jc w:val="center"/>
              <w:rPr>
                <w:rFonts w:cs="Segoe UI"/>
                <w:sz w:val="22"/>
              </w:rPr>
            </w:pPr>
            <w:r>
              <w:rPr>
                <w:rFonts w:cs="Segoe UI"/>
                <w:sz w:val="22"/>
              </w:rPr>
              <w:t>***</w:t>
            </w:r>
          </w:p>
        </w:tc>
        <w:tc>
          <w:tcPr>
            <w:tcW w:w="2409" w:type="dxa"/>
            <w:vAlign w:val="center"/>
          </w:tcPr>
          <w:p w14:paraId="2965E13C" w14:textId="77777777" w:rsidR="008D36EE" w:rsidRPr="00DA11FF" w:rsidRDefault="008D36EE" w:rsidP="008D36EE">
            <w:pPr>
              <w:jc w:val="center"/>
              <w:rPr>
                <w:rFonts w:cs="Segoe UI"/>
                <w:sz w:val="22"/>
              </w:rPr>
            </w:pPr>
          </w:p>
        </w:tc>
      </w:tr>
      <w:tr w:rsidR="008D36EE" w14:paraId="7C7EA0BE" w14:textId="77777777" w:rsidTr="008D36EE">
        <w:tc>
          <w:tcPr>
            <w:tcW w:w="2689" w:type="dxa"/>
            <w:vAlign w:val="center"/>
          </w:tcPr>
          <w:p w14:paraId="4278B82B" w14:textId="77777777" w:rsidR="008D36EE" w:rsidRPr="00DA11FF" w:rsidRDefault="008D36EE" w:rsidP="008D36EE">
            <w:pPr>
              <w:jc w:val="center"/>
              <w:rPr>
                <w:rFonts w:cs="Segoe UI"/>
                <w:sz w:val="22"/>
              </w:rPr>
            </w:pPr>
            <w:r w:rsidRPr="00DA11FF">
              <w:rPr>
                <w:rFonts w:cs="Calibri"/>
                <w:color w:val="000000"/>
                <w:sz w:val="22"/>
                <w:szCs w:val="22"/>
              </w:rPr>
              <w:t>11.1 – 13</w:t>
            </w:r>
          </w:p>
        </w:tc>
        <w:tc>
          <w:tcPr>
            <w:tcW w:w="3402" w:type="dxa"/>
            <w:vAlign w:val="center"/>
          </w:tcPr>
          <w:p w14:paraId="2C3E2CE7" w14:textId="7164764F" w:rsidR="008D36EE" w:rsidRPr="00DA11FF" w:rsidRDefault="00193AF0" w:rsidP="008D36EE">
            <w:pPr>
              <w:jc w:val="center"/>
              <w:rPr>
                <w:rFonts w:cs="Segoe UI"/>
                <w:sz w:val="22"/>
              </w:rPr>
            </w:pPr>
            <w:r>
              <w:rPr>
                <w:rFonts w:cs="Segoe UI"/>
                <w:sz w:val="22"/>
              </w:rPr>
              <w:t>***</w:t>
            </w:r>
          </w:p>
        </w:tc>
        <w:tc>
          <w:tcPr>
            <w:tcW w:w="2409" w:type="dxa"/>
            <w:vAlign w:val="center"/>
          </w:tcPr>
          <w:p w14:paraId="684D673E" w14:textId="77777777" w:rsidR="008D36EE" w:rsidRPr="00DA11FF" w:rsidRDefault="008D36EE" w:rsidP="008D36EE">
            <w:pPr>
              <w:jc w:val="center"/>
              <w:rPr>
                <w:rFonts w:cs="Segoe UI"/>
                <w:sz w:val="22"/>
              </w:rPr>
            </w:pPr>
            <w:r w:rsidRPr="00DA11FF">
              <w:rPr>
                <w:rFonts w:cs="Calibri"/>
                <w:color w:val="000000"/>
                <w:sz w:val="22"/>
                <w:szCs w:val="22"/>
              </w:rPr>
              <w:t>Alert 2</w:t>
            </w:r>
          </w:p>
        </w:tc>
      </w:tr>
      <w:tr w:rsidR="008D36EE" w14:paraId="5FC5C603" w14:textId="77777777" w:rsidTr="008D36EE">
        <w:tc>
          <w:tcPr>
            <w:tcW w:w="2689" w:type="dxa"/>
            <w:vAlign w:val="center"/>
          </w:tcPr>
          <w:p w14:paraId="20E99675" w14:textId="77777777" w:rsidR="008D36EE" w:rsidRPr="00DA11FF" w:rsidRDefault="008D36EE" w:rsidP="008D36EE">
            <w:pPr>
              <w:jc w:val="center"/>
              <w:rPr>
                <w:rFonts w:cs="Segoe UI"/>
                <w:sz w:val="22"/>
              </w:rPr>
            </w:pPr>
            <w:r w:rsidRPr="00DA11FF">
              <w:rPr>
                <w:rFonts w:cs="Calibri"/>
                <w:color w:val="000000"/>
                <w:sz w:val="22"/>
                <w:szCs w:val="22"/>
              </w:rPr>
              <w:t>13.1 – 15</w:t>
            </w:r>
          </w:p>
        </w:tc>
        <w:tc>
          <w:tcPr>
            <w:tcW w:w="3402" w:type="dxa"/>
            <w:vAlign w:val="center"/>
          </w:tcPr>
          <w:p w14:paraId="3C3DBCAD" w14:textId="3C44B428" w:rsidR="008D36EE" w:rsidRPr="00DA11FF" w:rsidRDefault="00193AF0" w:rsidP="008D36EE">
            <w:pPr>
              <w:jc w:val="center"/>
              <w:rPr>
                <w:rFonts w:cs="Segoe UI"/>
                <w:sz w:val="22"/>
              </w:rPr>
            </w:pPr>
            <w:r>
              <w:rPr>
                <w:rFonts w:cs="Segoe UI"/>
                <w:sz w:val="22"/>
              </w:rPr>
              <w:t>***</w:t>
            </w:r>
          </w:p>
        </w:tc>
        <w:tc>
          <w:tcPr>
            <w:tcW w:w="2409" w:type="dxa"/>
            <w:vAlign w:val="center"/>
          </w:tcPr>
          <w:p w14:paraId="277C1F34" w14:textId="77777777" w:rsidR="008D36EE" w:rsidRPr="00DA11FF" w:rsidRDefault="008D36EE" w:rsidP="008D36EE">
            <w:pPr>
              <w:jc w:val="center"/>
              <w:rPr>
                <w:rFonts w:cs="Segoe UI"/>
                <w:sz w:val="22"/>
              </w:rPr>
            </w:pPr>
          </w:p>
        </w:tc>
      </w:tr>
      <w:tr w:rsidR="008D36EE" w14:paraId="27482752" w14:textId="77777777" w:rsidTr="008D36EE">
        <w:tc>
          <w:tcPr>
            <w:tcW w:w="2689" w:type="dxa"/>
            <w:vAlign w:val="center"/>
          </w:tcPr>
          <w:p w14:paraId="414A3CCD" w14:textId="77777777" w:rsidR="008D36EE" w:rsidRPr="00DA11FF" w:rsidRDefault="008D36EE" w:rsidP="008D36EE">
            <w:pPr>
              <w:jc w:val="center"/>
              <w:rPr>
                <w:rFonts w:cs="Calibri"/>
                <w:color w:val="000000"/>
                <w:sz w:val="22"/>
                <w:szCs w:val="22"/>
              </w:rPr>
            </w:pPr>
            <w:r w:rsidRPr="00DA11FF">
              <w:rPr>
                <w:rFonts w:cs="Calibri"/>
                <w:color w:val="000000"/>
                <w:sz w:val="22"/>
                <w:szCs w:val="22"/>
              </w:rPr>
              <w:t>15.1 – 20</w:t>
            </w:r>
          </w:p>
        </w:tc>
        <w:tc>
          <w:tcPr>
            <w:tcW w:w="3402" w:type="dxa"/>
            <w:vAlign w:val="center"/>
          </w:tcPr>
          <w:p w14:paraId="580B6AE6" w14:textId="24D37B2F" w:rsidR="008D36EE" w:rsidRPr="00DA11FF" w:rsidRDefault="00193AF0" w:rsidP="008D36EE">
            <w:pPr>
              <w:jc w:val="center"/>
              <w:rPr>
                <w:rFonts w:cs="Calibri"/>
                <w:color w:val="000000"/>
                <w:sz w:val="22"/>
                <w:szCs w:val="22"/>
              </w:rPr>
            </w:pPr>
            <w:r>
              <w:rPr>
                <w:rFonts w:cs="Calibri"/>
                <w:color w:val="000000"/>
                <w:sz w:val="22"/>
                <w:szCs w:val="22"/>
              </w:rPr>
              <w:t>***</w:t>
            </w:r>
          </w:p>
        </w:tc>
        <w:tc>
          <w:tcPr>
            <w:tcW w:w="2409" w:type="dxa"/>
            <w:vAlign w:val="center"/>
          </w:tcPr>
          <w:p w14:paraId="4910DF02" w14:textId="77777777" w:rsidR="008D36EE" w:rsidRPr="00DA11FF" w:rsidRDefault="008D36EE" w:rsidP="008D36EE">
            <w:pPr>
              <w:jc w:val="center"/>
              <w:rPr>
                <w:rFonts w:cs="Segoe UI"/>
                <w:sz w:val="22"/>
              </w:rPr>
            </w:pPr>
            <w:r w:rsidRPr="00DA11FF">
              <w:rPr>
                <w:rFonts w:cs="Calibri"/>
                <w:color w:val="000000"/>
                <w:sz w:val="22"/>
                <w:szCs w:val="22"/>
              </w:rPr>
              <w:t xml:space="preserve">Check </w:t>
            </w:r>
            <w:proofErr w:type="spellStart"/>
            <w:r w:rsidRPr="00DA11FF">
              <w:rPr>
                <w:rFonts w:cs="Calibri"/>
                <w:color w:val="000000"/>
                <w:sz w:val="22"/>
                <w:szCs w:val="22"/>
              </w:rPr>
              <w:t>cBKL</w:t>
            </w:r>
            <w:proofErr w:type="spellEnd"/>
          </w:p>
        </w:tc>
      </w:tr>
      <w:tr w:rsidR="008D36EE" w14:paraId="06BE5803" w14:textId="77777777" w:rsidTr="008D36EE">
        <w:tc>
          <w:tcPr>
            <w:tcW w:w="2689" w:type="dxa"/>
            <w:vAlign w:val="center"/>
          </w:tcPr>
          <w:p w14:paraId="1619353B" w14:textId="77777777" w:rsidR="008D36EE" w:rsidRPr="00DA11FF" w:rsidRDefault="008D36EE" w:rsidP="008D36EE">
            <w:pPr>
              <w:jc w:val="center"/>
              <w:rPr>
                <w:rFonts w:cs="Calibri"/>
                <w:color w:val="000000"/>
                <w:sz w:val="22"/>
                <w:szCs w:val="22"/>
              </w:rPr>
            </w:pPr>
            <w:r w:rsidRPr="00DA11FF">
              <w:rPr>
                <w:rFonts w:cs="Calibri"/>
                <w:color w:val="000000"/>
                <w:sz w:val="22"/>
                <w:szCs w:val="22"/>
              </w:rPr>
              <w:t>&gt; 20</w:t>
            </w:r>
          </w:p>
        </w:tc>
        <w:tc>
          <w:tcPr>
            <w:tcW w:w="3402" w:type="dxa"/>
            <w:vAlign w:val="center"/>
          </w:tcPr>
          <w:p w14:paraId="601BD400" w14:textId="6AD93F39" w:rsidR="008D36EE" w:rsidRPr="00DA11FF" w:rsidRDefault="00193AF0" w:rsidP="008D36EE">
            <w:pPr>
              <w:jc w:val="center"/>
              <w:rPr>
                <w:rFonts w:cs="Calibri"/>
                <w:color w:val="000000"/>
                <w:sz w:val="22"/>
                <w:szCs w:val="22"/>
              </w:rPr>
            </w:pPr>
            <w:r>
              <w:rPr>
                <w:rFonts w:cs="Calibri"/>
                <w:color w:val="000000"/>
                <w:sz w:val="22"/>
                <w:szCs w:val="22"/>
              </w:rPr>
              <w:t>***</w:t>
            </w:r>
          </w:p>
        </w:tc>
        <w:tc>
          <w:tcPr>
            <w:tcW w:w="2409" w:type="dxa"/>
            <w:vAlign w:val="center"/>
          </w:tcPr>
          <w:p w14:paraId="26A0ED5A" w14:textId="77777777" w:rsidR="008D36EE" w:rsidRPr="00DA11FF" w:rsidRDefault="008D36EE" w:rsidP="008D36EE">
            <w:pPr>
              <w:jc w:val="center"/>
              <w:rPr>
                <w:rFonts w:cs="Calibri"/>
                <w:color w:val="000000"/>
                <w:sz w:val="22"/>
                <w:szCs w:val="22"/>
              </w:rPr>
            </w:pPr>
            <w:r w:rsidRPr="00DA11FF">
              <w:rPr>
                <w:rFonts w:cs="Calibri"/>
                <w:color w:val="000000"/>
                <w:sz w:val="22"/>
                <w:szCs w:val="22"/>
              </w:rPr>
              <w:t xml:space="preserve">Check </w:t>
            </w:r>
            <w:proofErr w:type="spellStart"/>
            <w:r w:rsidRPr="00DA11FF">
              <w:rPr>
                <w:rFonts w:cs="Calibri"/>
                <w:color w:val="000000"/>
                <w:sz w:val="22"/>
                <w:szCs w:val="22"/>
              </w:rPr>
              <w:t>cBKL</w:t>
            </w:r>
            <w:proofErr w:type="spellEnd"/>
            <w:r w:rsidRPr="00DA11FF">
              <w:rPr>
                <w:rFonts w:cs="Calibri"/>
                <w:color w:val="000000"/>
                <w:sz w:val="22"/>
                <w:szCs w:val="22"/>
              </w:rPr>
              <w:t xml:space="preserve"> Alert 3</w:t>
            </w:r>
          </w:p>
        </w:tc>
      </w:tr>
    </w:tbl>
    <w:p w14:paraId="4C877B43" w14:textId="60D440E2" w:rsidR="007E0FD7" w:rsidRDefault="007E0FD7" w:rsidP="007E0FD7">
      <w:pPr>
        <w:rPr>
          <w:rFonts w:cs="Arial"/>
          <w:b/>
          <w:szCs w:val="24"/>
        </w:rPr>
      </w:pPr>
    </w:p>
    <w:p w14:paraId="37C3FC7B" w14:textId="35BA4297" w:rsidR="001726AA" w:rsidRDefault="00131C38" w:rsidP="00286EB2">
      <w:pPr>
        <w:jc w:val="right"/>
        <w:rPr>
          <w:rFonts w:cs="Arial"/>
          <w:i/>
          <w:szCs w:val="24"/>
        </w:rPr>
      </w:pPr>
      <w:hyperlink w:anchor="Contents" w:history="1">
        <w:r w:rsidR="007E0FD7" w:rsidRPr="00590902">
          <w:rPr>
            <w:rStyle w:val="Hyperlink"/>
            <w:rFonts w:cs="Arial"/>
            <w:i/>
            <w:szCs w:val="24"/>
          </w:rPr>
          <w:t>Back to Table of Contents</w:t>
        </w:r>
      </w:hyperlink>
      <w:r w:rsidR="007E0FD7">
        <w:rPr>
          <w:rFonts w:cs="Arial"/>
          <w:i/>
          <w:szCs w:val="24"/>
        </w:rPr>
        <w:t xml:space="preserve"> </w:t>
      </w:r>
    </w:p>
    <w:p w14:paraId="5161F329" w14:textId="20A4F3F8" w:rsidR="00286EB2" w:rsidRPr="00286EB2" w:rsidRDefault="001726AA" w:rsidP="001726AA">
      <w:pPr>
        <w:spacing w:after="200" w:line="276" w:lineRule="auto"/>
        <w:rPr>
          <w:rFonts w:cs="Arial"/>
          <w:i/>
          <w:szCs w:val="24"/>
        </w:rPr>
      </w:pPr>
      <w:r>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86EB2" w:rsidRPr="00CD1C0E" w14:paraId="41C37AF4" w14:textId="77777777" w:rsidTr="00AA03B6">
        <w:trPr>
          <w:cantSplit/>
          <w:trHeight w:val="285"/>
        </w:trPr>
        <w:tc>
          <w:tcPr>
            <w:tcW w:w="9158" w:type="dxa"/>
            <w:shd w:val="clear" w:color="auto" w:fill="A6A6A6" w:themeFill="background1" w:themeFillShade="A6"/>
          </w:tcPr>
          <w:p w14:paraId="38878343" w14:textId="6A219735" w:rsidR="00286EB2" w:rsidRPr="003D2D06" w:rsidRDefault="00286EB2" w:rsidP="00AA03B6">
            <w:pPr>
              <w:pStyle w:val="Heading1"/>
            </w:pPr>
            <w:bookmarkStart w:id="22" w:name="_Toc161406384"/>
            <w:r>
              <w:lastRenderedPageBreak/>
              <w:t xml:space="preserve">Section </w:t>
            </w:r>
            <w:r w:rsidR="00DB7288">
              <w:t>7</w:t>
            </w:r>
            <w:r w:rsidRPr="003D2D06">
              <w:t xml:space="preserve"> – </w:t>
            </w:r>
            <w:r>
              <w:t>Troubleshooting with Insulin Infusions</w:t>
            </w:r>
            <w:bookmarkEnd w:id="22"/>
          </w:p>
        </w:tc>
      </w:tr>
    </w:tbl>
    <w:p w14:paraId="0350C5C6" w14:textId="77777777" w:rsidR="00286EB2" w:rsidRDefault="00286EB2" w:rsidP="00286EB2">
      <w:pPr>
        <w:pStyle w:val="ListBullet"/>
        <w:numPr>
          <w:ilvl w:val="0"/>
          <w:numId w:val="0"/>
        </w:numPr>
      </w:pPr>
    </w:p>
    <w:p w14:paraId="3935EBF2" w14:textId="77777777" w:rsidR="00F87C68" w:rsidRPr="00DB7288" w:rsidRDefault="00F87C68" w:rsidP="00F87C68">
      <w:pPr>
        <w:rPr>
          <w:b/>
          <w:bCs/>
        </w:rPr>
      </w:pPr>
      <w:r w:rsidRPr="00DB7288">
        <w:rPr>
          <w:b/>
          <w:bCs/>
        </w:rPr>
        <w:t>Alert Management instructions</w:t>
      </w:r>
    </w:p>
    <w:tbl>
      <w:tblPr>
        <w:tblStyle w:val="TableGrid1"/>
        <w:tblW w:w="0" w:type="auto"/>
        <w:tblLook w:val="04A0" w:firstRow="1" w:lastRow="0" w:firstColumn="1" w:lastColumn="0" w:noHBand="0" w:noVBand="1"/>
      </w:tblPr>
      <w:tblGrid>
        <w:gridCol w:w="1012"/>
        <w:gridCol w:w="1110"/>
        <w:gridCol w:w="6938"/>
      </w:tblGrid>
      <w:tr w:rsidR="00F87C68" w:rsidRPr="007E0FD7" w14:paraId="06F48AD7" w14:textId="77777777" w:rsidTr="00024496">
        <w:trPr>
          <w:trHeight w:val="320"/>
        </w:trPr>
        <w:tc>
          <w:tcPr>
            <w:tcW w:w="1012" w:type="dxa"/>
            <w:shd w:val="clear" w:color="auto" w:fill="F2F2F2"/>
            <w:vAlign w:val="center"/>
          </w:tcPr>
          <w:p w14:paraId="64A973AF" w14:textId="77777777" w:rsidR="00F87C68" w:rsidRPr="007E0FD7" w:rsidRDefault="00F87C68" w:rsidP="00024496">
            <w:pPr>
              <w:autoSpaceDE w:val="0"/>
              <w:autoSpaceDN w:val="0"/>
              <w:adjustRightInd w:val="0"/>
              <w:spacing w:after="200"/>
              <w:jc w:val="center"/>
              <w:rPr>
                <w:rFonts w:cs="Calibri"/>
                <w:b/>
                <w:color w:val="FF0000"/>
                <w:sz w:val="22"/>
                <w:szCs w:val="22"/>
                <w:lang w:eastAsia="en-AU"/>
              </w:rPr>
            </w:pPr>
            <w:r w:rsidRPr="007E0FD7">
              <w:rPr>
                <w:rFonts w:cs="Calibri"/>
                <w:b/>
                <w:sz w:val="22"/>
                <w:szCs w:val="22"/>
                <w:lang w:eastAsia="en-AU"/>
              </w:rPr>
              <w:t>Alerts</w:t>
            </w:r>
          </w:p>
        </w:tc>
        <w:tc>
          <w:tcPr>
            <w:tcW w:w="1110" w:type="dxa"/>
            <w:shd w:val="clear" w:color="auto" w:fill="F2F2F2"/>
            <w:vAlign w:val="center"/>
          </w:tcPr>
          <w:p w14:paraId="53C7F96F" w14:textId="77777777" w:rsidR="00F87C68" w:rsidRPr="007E0FD7" w:rsidRDefault="00F87C68" w:rsidP="00024496">
            <w:pPr>
              <w:autoSpaceDE w:val="0"/>
              <w:autoSpaceDN w:val="0"/>
              <w:adjustRightInd w:val="0"/>
              <w:spacing w:after="200" w:line="241" w:lineRule="atLeast"/>
              <w:jc w:val="center"/>
              <w:rPr>
                <w:rFonts w:eastAsia="Calibri" w:cs="Calibri"/>
                <w:b/>
                <w:color w:val="000000"/>
                <w:sz w:val="22"/>
                <w:szCs w:val="22"/>
              </w:rPr>
            </w:pPr>
            <w:proofErr w:type="spellStart"/>
            <w:r w:rsidRPr="007E0FD7">
              <w:rPr>
                <w:rFonts w:eastAsia="Calibri" w:cs="Calibri"/>
                <w:b/>
                <w:color w:val="000000"/>
                <w:sz w:val="22"/>
                <w:szCs w:val="22"/>
              </w:rPr>
              <w:t>cBGL</w:t>
            </w:r>
            <w:proofErr w:type="spellEnd"/>
            <w:r w:rsidRPr="007E0FD7">
              <w:rPr>
                <w:rFonts w:eastAsia="Calibri" w:cs="Calibri"/>
                <w:b/>
                <w:color w:val="000000"/>
                <w:sz w:val="22"/>
                <w:szCs w:val="22"/>
              </w:rPr>
              <w:t xml:space="preserve"> (mmol/L)</w:t>
            </w:r>
          </w:p>
        </w:tc>
        <w:tc>
          <w:tcPr>
            <w:tcW w:w="6938" w:type="dxa"/>
            <w:shd w:val="clear" w:color="auto" w:fill="F2F2F2"/>
            <w:vAlign w:val="center"/>
          </w:tcPr>
          <w:p w14:paraId="39B8F0A4" w14:textId="77777777" w:rsidR="00F87C68" w:rsidRPr="007E0FD7" w:rsidRDefault="00F87C68" w:rsidP="00024496">
            <w:pPr>
              <w:autoSpaceDE w:val="0"/>
              <w:autoSpaceDN w:val="0"/>
              <w:adjustRightInd w:val="0"/>
              <w:spacing w:after="200" w:line="241" w:lineRule="atLeast"/>
              <w:jc w:val="center"/>
              <w:rPr>
                <w:rFonts w:eastAsia="Calibri" w:cs="Calibri"/>
                <w:b/>
                <w:color w:val="000000"/>
                <w:sz w:val="22"/>
                <w:szCs w:val="22"/>
              </w:rPr>
            </w:pPr>
            <w:r w:rsidRPr="007E0FD7">
              <w:rPr>
                <w:rFonts w:eastAsia="Calibri" w:cs="Calibri"/>
                <w:b/>
                <w:color w:val="000000"/>
                <w:sz w:val="22"/>
                <w:szCs w:val="22"/>
              </w:rPr>
              <w:t>Management Instructions</w:t>
            </w:r>
          </w:p>
        </w:tc>
      </w:tr>
      <w:tr w:rsidR="00F87C68" w:rsidRPr="007E0FD7" w14:paraId="1C844A04" w14:textId="77777777" w:rsidTr="00024496">
        <w:trPr>
          <w:trHeight w:val="2270"/>
        </w:trPr>
        <w:tc>
          <w:tcPr>
            <w:tcW w:w="1012" w:type="dxa"/>
            <w:vAlign w:val="center"/>
          </w:tcPr>
          <w:p w14:paraId="6E7F039D" w14:textId="77777777" w:rsidR="00F87C68" w:rsidRPr="007E0FD7" w:rsidRDefault="00F87C68" w:rsidP="00024496">
            <w:pPr>
              <w:autoSpaceDE w:val="0"/>
              <w:autoSpaceDN w:val="0"/>
              <w:adjustRightInd w:val="0"/>
              <w:spacing w:after="200"/>
              <w:jc w:val="center"/>
              <w:rPr>
                <w:rFonts w:cs="Calibri"/>
                <w:b/>
                <w:color w:val="FF0000"/>
                <w:sz w:val="22"/>
                <w:szCs w:val="22"/>
                <w:lang w:eastAsia="en-AU"/>
              </w:rPr>
            </w:pPr>
            <w:r w:rsidRPr="007E0FD7">
              <w:rPr>
                <w:rFonts w:cs="Calibri"/>
                <w:b/>
                <w:color w:val="FF0000"/>
                <w:sz w:val="22"/>
                <w:szCs w:val="22"/>
                <w:lang w:eastAsia="en-AU"/>
              </w:rPr>
              <w:t>Alert 1</w:t>
            </w:r>
          </w:p>
        </w:tc>
        <w:tc>
          <w:tcPr>
            <w:tcW w:w="1110" w:type="dxa"/>
            <w:vAlign w:val="center"/>
          </w:tcPr>
          <w:p w14:paraId="19BA9001" w14:textId="77777777" w:rsidR="00F87C68" w:rsidRPr="007E0FD7" w:rsidRDefault="00F87C68" w:rsidP="00024496">
            <w:pPr>
              <w:autoSpaceDE w:val="0"/>
              <w:autoSpaceDN w:val="0"/>
              <w:adjustRightInd w:val="0"/>
              <w:spacing w:after="200" w:line="241" w:lineRule="atLeast"/>
              <w:jc w:val="center"/>
              <w:rPr>
                <w:rFonts w:eastAsia="Calibri" w:cs="Calibri"/>
                <w:color w:val="000000"/>
                <w:sz w:val="22"/>
                <w:szCs w:val="22"/>
              </w:rPr>
            </w:pPr>
            <w:r w:rsidRPr="007E0FD7">
              <w:rPr>
                <w:rFonts w:eastAsia="Calibri" w:cs="Calibri"/>
                <w:color w:val="000000"/>
                <w:sz w:val="22"/>
                <w:szCs w:val="22"/>
                <w:u w:val="single"/>
              </w:rPr>
              <w:t>&lt;</w:t>
            </w:r>
            <w:r w:rsidRPr="007E0FD7">
              <w:rPr>
                <w:rFonts w:eastAsia="Calibri" w:cs="Calibri"/>
                <w:color w:val="000000"/>
                <w:sz w:val="22"/>
                <w:szCs w:val="22"/>
              </w:rPr>
              <w:t xml:space="preserve"> 4</w:t>
            </w:r>
          </w:p>
        </w:tc>
        <w:tc>
          <w:tcPr>
            <w:tcW w:w="6938" w:type="dxa"/>
          </w:tcPr>
          <w:p w14:paraId="2533347B" w14:textId="77777777" w:rsidR="00F87C68" w:rsidRPr="007E0FD7" w:rsidRDefault="00F87C68" w:rsidP="00024496">
            <w:pPr>
              <w:numPr>
                <w:ilvl w:val="0"/>
                <w:numId w:val="11"/>
              </w:numPr>
              <w:autoSpaceDE w:val="0"/>
              <w:autoSpaceDN w:val="0"/>
              <w:adjustRightInd w:val="0"/>
              <w:spacing w:before="120" w:after="200" w:line="241" w:lineRule="atLeast"/>
              <w:jc w:val="both"/>
              <w:rPr>
                <w:rFonts w:eastAsia="Calibri" w:cs="Segoe UI"/>
                <w:color w:val="000000"/>
                <w:sz w:val="22"/>
                <w:szCs w:val="22"/>
              </w:rPr>
            </w:pPr>
            <w:r w:rsidRPr="007E0FD7">
              <w:rPr>
                <w:rFonts w:eastAsia="Calibri" w:cs="Segoe UI"/>
                <w:color w:val="000000"/>
                <w:sz w:val="22"/>
                <w:szCs w:val="22"/>
              </w:rPr>
              <w:t>Stop the insulin infusion, contact treating MO/NP.</w:t>
            </w:r>
          </w:p>
          <w:p w14:paraId="38711C6A" w14:textId="77777777" w:rsidR="00F87C68" w:rsidRPr="007E0FD7" w:rsidRDefault="00F87C68" w:rsidP="00024496">
            <w:pPr>
              <w:numPr>
                <w:ilvl w:val="0"/>
                <w:numId w:val="11"/>
              </w:numPr>
              <w:autoSpaceDE w:val="0"/>
              <w:autoSpaceDN w:val="0"/>
              <w:adjustRightInd w:val="0"/>
              <w:spacing w:before="120" w:after="200" w:line="241" w:lineRule="atLeast"/>
              <w:jc w:val="both"/>
              <w:rPr>
                <w:rFonts w:eastAsia="Calibri" w:cs="Calibri"/>
                <w:color w:val="000000"/>
                <w:sz w:val="22"/>
                <w:szCs w:val="22"/>
              </w:rPr>
            </w:pPr>
            <w:r w:rsidRPr="007E0FD7">
              <w:rPr>
                <w:rFonts w:eastAsia="Calibri" w:cs="Segoe UI"/>
                <w:color w:val="000000"/>
                <w:sz w:val="22"/>
                <w:szCs w:val="22"/>
              </w:rPr>
              <w:t xml:space="preserve">RN/RM/NP/MO to administer </w:t>
            </w:r>
          </w:p>
          <w:p w14:paraId="665BDE28" w14:textId="77777777" w:rsidR="00F87C68" w:rsidRPr="007E0FD7" w:rsidRDefault="00F87C68" w:rsidP="00024496">
            <w:pPr>
              <w:numPr>
                <w:ilvl w:val="1"/>
                <w:numId w:val="11"/>
              </w:numPr>
              <w:autoSpaceDE w:val="0"/>
              <w:autoSpaceDN w:val="0"/>
              <w:adjustRightInd w:val="0"/>
              <w:spacing w:before="120" w:after="200" w:line="241" w:lineRule="atLeast"/>
              <w:jc w:val="both"/>
              <w:rPr>
                <w:rFonts w:eastAsia="Calibri" w:cs="Calibri"/>
                <w:color w:val="000000"/>
                <w:sz w:val="22"/>
                <w:szCs w:val="22"/>
              </w:rPr>
            </w:pPr>
            <w:r w:rsidRPr="007E0FD7">
              <w:rPr>
                <w:rFonts w:eastAsia="Calibri" w:cs="Calibri"/>
                <w:color w:val="000000"/>
                <w:sz w:val="22"/>
                <w:szCs w:val="22"/>
              </w:rPr>
              <w:t xml:space="preserve">Glucose 50% </w:t>
            </w:r>
            <w:r w:rsidRPr="007E0FD7">
              <w:rPr>
                <w:rFonts w:eastAsia="Calibri" w:cs="Segoe UI"/>
                <w:color w:val="000000"/>
                <w:sz w:val="22"/>
                <w:szCs w:val="22"/>
              </w:rPr>
              <w:t xml:space="preserve">20mL IV stat or </w:t>
            </w:r>
          </w:p>
          <w:p w14:paraId="6D668197" w14:textId="77777777" w:rsidR="00F87C68" w:rsidRPr="007E0FD7" w:rsidRDefault="00F87C68" w:rsidP="00024496">
            <w:pPr>
              <w:numPr>
                <w:ilvl w:val="1"/>
                <w:numId w:val="11"/>
              </w:numPr>
              <w:autoSpaceDE w:val="0"/>
              <w:autoSpaceDN w:val="0"/>
              <w:adjustRightInd w:val="0"/>
              <w:spacing w:before="120" w:after="200" w:line="241" w:lineRule="atLeast"/>
              <w:jc w:val="both"/>
              <w:rPr>
                <w:rFonts w:eastAsia="Calibri" w:cs="Calibri"/>
                <w:color w:val="000000"/>
                <w:sz w:val="22"/>
                <w:szCs w:val="22"/>
              </w:rPr>
            </w:pPr>
            <w:r w:rsidRPr="007E0FD7">
              <w:rPr>
                <w:rFonts w:eastAsia="Calibri" w:cs="Segoe UI"/>
                <w:color w:val="000000"/>
                <w:sz w:val="22"/>
                <w:szCs w:val="22"/>
              </w:rPr>
              <w:t xml:space="preserve">Glucose </w:t>
            </w:r>
            <w:r w:rsidRPr="007E0FD7">
              <w:rPr>
                <w:rFonts w:eastAsia="Calibri" w:cs="Calibri"/>
                <w:color w:val="000000"/>
                <w:sz w:val="22"/>
                <w:szCs w:val="22"/>
              </w:rPr>
              <w:t xml:space="preserve">5% 200mL as IV infusion. </w:t>
            </w:r>
          </w:p>
          <w:p w14:paraId="10866EA0" w14:textId="77777777" w:rsidR="00F87C68" w:rsidRPr="007E0FD7" w:rsidRDefault="00F87C68" w:rsidP="00024496">
            <w:pPr>
              <w:numPr>
                <w:ilvl w:val="0"/>
                <w:numId w:val="11"/>
              </w:numPr>
              <w:autoSpaceDE w:val="0"/>
              <w:autoSpaceDN w:val="0"/>
              <w:adjustRightInd w:val="0"/>
              <w:spacing w:before="120" w:after="200" w:line="241" w:lineRule="atLeast"/>
              <w:jc w:val="both"/>
              <w:rPr>
                <w:rFonts w:eastAsia="Calibri" w:cs="Calibri"/>
                <w:color w:val="000000"/>
                <w:sz w:val="22"/>
                <w:szCs w:val="22"/>
              </w:rPr>
            </w:pPr>
            <w:r w:rsidRPr="007E0FD7">
              <w:rPr>
                <w:rFonts w:eastAsia="Calibri" w:cs="Calibri"/>
                <w:color w:val="000000"/>
                <w:sz w:val="22"/>
                <w:szCs w:val="22"/>
              </w:rPr>
              <w:t xml:space="preserve">Repeat </w:t>
            </w:r>
            <w:proofErr w:type="spellStart"/>
            <w:r w:rsidRPr="007E0FD7">
              <w:rPr>
                <w:rFonts w:eastAsia="Calibri" w:cs="Calibri"/>
                <w:color w:val="000000"/>
                <w:sz w:val="22"/>
                <w:szCs w:val="22"/>
              </w:rPr>
              <w:t>cBGL</w:t>
            </w:r>
            <w:proofErr w:type="spellEnd"/>
            <w:r w:rsidRPr="007E0FD7">
              <w:rPr>
                <w:rFonts w:eastAsia="Calibri" w:cs="Calibri"/>
                <w:color w:val="000000"/>
                <w:sz w:val="22"/>
                <w:szCs w:val="22"/>
              </w:rPr>
              <w:t xml:space="preserve"> in 15 minutes. </w:t>
            </w:r>
          </w:p>
          <w:p w14:paraId="104EB1D7" w14:textId="77777777" w:rsidR="00F87C68" w:rsidRPr="007E0FD7" w:rsidRDefault="00F87C68" w:rsidP="00024496">
            <w:pPr>
              <w:autoSpaceDE w:val="0"/>
              <w:autoSpaceDN w:val="0"/>
              <w:adjustRightInd w:val="0"/>
              <w:spacing w:after="200" w:line="241" w:lineRule="atLeast"/>
              <w:rPr>
                <w:rFonts w:eastAsia="Calibri" w:cs="Calibri"/>
                <w:color w:val="000000"/>
                <w:sz w:val="22"/>
                <w:szCs w:val="22"/>
              </w:rPr>
            </w:pPr>
            <w:r w:rsidRPr="007E0FD7">
              <w:rPr>
                <w:rFonts w:eastAsia="Calibri" w:cs="Calibri"/>
                <w:b/>
                <w:bCs/>
                <w:color w:val="000000"/>
                <w:sz w:val="22"/>
                <w:szCs w:val="22"/>
              </w:rPr>
              <w:t xml:space="preserve">Call MET (Dial 2222) the patient has a sudden fall in level of consciousness or seizures. </w:t>
            </w:r>
          </w:p>
          <w:p w14:paraId="3609440C" w14:textId="77777777" w:rsidR="00F87C68" w:rsidRPr="007E0FD7" w:rsidRDefault="00F87C68" w:rsidP="00024496">
            <w:pPr>
              <w:autoSpaceDE w:val="0"/>
              <w:autoSpaceDN w:val="0"/>
              <w:adjustRightInd w:val="0"/>
              <w:spacing w:after="200"/>
              <w:rPr>
                <w:rFonts w:cs="Calibri"/>
                <w:color w:val="FF0000"/>
                <w:sz w:val="22"/>
                <w:szCs w:val="22"/>
                <w:lang w:eastAsia="en-AU"/>
              </w:rPr>
            </w:pPr>
            <w:r w:rsidRPr="007E0FD7">
              <w:rPr>
                <w:rFonts w:eastAsia="Calibri" w:cs="Calibri"/>
                <w:color w:val="000000"/>
                <w:sz w:val="22"/>
                <w:szCs w:val="22"/>
              </w:rPr>
              <w:t>If recurrent or severe hypoglycaemia, the insulin infusion orders may need downward adjustment by the treating MO/NP</w:t>
            </w:r>
            <w:r w:rsidRPr="007E0FD7">
              <w:rPr>
                <w:rFonts w:ascii="HelveticaNeueLT Std" w:eastAsia="Calibri" w:hAnsi="HelveticaNeueLT Std" w:cs="HelveticaNeueLT Std"/>
                <w:color w:val="000000"/>
                <w:sz w:val="18"/>
                <w:szCs w:val="18"/>
              </w:rPr>
              <w:t xml:space="preserve"> </w:t>
            </w:r>
          </w:p>
        </w:tc>
      </w:tr>
      <w:tr w:rsidR="00F87C68" w:rsidRPr="007E0FD7" w14:paraId="250625DE" w14:textId="77777777" w:rsidTr="00024496">
        <w:trPr>
          <w:trHeight w:val="320"/>
        </w:trPr>
        <w:tc>
          <w:tcPr>
            <w:tcW w:w="1012" w:type="dxa"/>
            <w:vAlign w:val="center"/>
          </w:tcPr>
          <w:p w14:paraId="1A184423" w14:textId="77777777" w:rsidR="00F87C68" w:rsidRPr="007E0FD7" w:rsidRDefault="00F87C68" w:rsidP="00024496">
            <w:pPr>
              <w:autoSpaceDE w:val="0"/>
              <w:autoSpaceDN w:val="0"/>
              <w:adjustRightInd w:val="0"/>
              <w:spacing w:after="200"/>
              <w:jc w:val="center"/>
              <w:rPr>
                <w:rFonts w:cs="Calibri"/>
                <w:b/>
                <w:color w:val="FF0000"/>
                <w:sz w:val="22"/>
                <w:szCs w:val="22"/>
                <w:lang w:eastAsia="en-AU"/>
              </w:rPr>
            </w:pPr>
            <w:r w:rsidRPr="007E0FD7">
              <w:rPr>
                <w:rFonts w:cs="Calibri"/>
                <w:b/>
                <w:color w:val="FF0000"/>
                <w:sz w:val="22"/>
                <w:szCs w:val="22"/>
                <w:lang w:eastAsia="en-AU"/>
              </w:rPr>
              <w:t>Alert2</w:t>
            </w:r>
          </w:p>
        </w:tc>
        <w:tc>
          <w:tcPr>
            <w:tcW w:w="1110" w:type="dxa"/>
            <w:vAlign w:val="center"/>
          </w:tcPr>
          <w:p w14:paraId="2FFAAD89" w14:textId="77777777" w:rsidR="00F87C68" w:rsidRPr="007E0FD7" w:rsidRDefault="00F87C68" w:rsidP="00024496">
            <w:pPr>
              <w:autoSpaceDE w:val="0"/>
              <w:autoSpaceDN w:val="0"/>
              <w:adjustRightInd w:val="0"/>
              <w:spacing w:after="200"/>
              <w:jc w:val="center"/>
              <w:rPr>
                <w:rFonts w:cs="Calibri"/>
                <w:sz w:val="22"/>
                <w:szCs w:val="22"/>
                <w:lang w:eastAsia="en-AU"/>
              </w:rPr>
            </w:pPr>
            <w:r w:rsidRPr="007E0FD7">
              <w:rPr>
                <w:rFonts w:cs="Calibri"/>
                <w:sz w:val="22"/>
                <w:szCs w:val="22"/>
                <w:lang w:eastAsia="en-AU"/>
              </w:rPr>
              <w:t>&gt;11</w:t>
            </w:r>
          </w:p>
        </w:tc>
        <w:tc>
          <w:tcPr>
            <w:tcW w:w="6938" w:type="dxa"/>
          </w:tcPr>
          <w:p w14:paraId="3EE02ACD" w14:textId="77777777" w:rsidR="00F87C68" w:rsidRPr="007E0FD7" w:rsidRDefault="00F87C68" w:rsidP="00024496">
            <w:pPr>
              <w:autoSpaceDE w:val="0"/>
              <w:autoSpaceDN w:val="0"/>
              <w:adjustRightInd w:val="0"/>
              <w:spacing w:after="200"/>
              <w:rPr>
                <w:rFonts w:eastAsia="Calibri" w:cs="Calibri"/>
                <w:sz w:val="22"/>
              </w:rPr>
            </w:pPr>
            <w:r w:rsidRPr="007E0FD7">
              <w:rPr>
                <w:rFonts w:eastAsia="Calibri" w:cs="Calibri"/>
                <w:sz w:val="22"/>
              </w:rPr>
              <w:t xml:space="preserve">If </w:t>
            </w:r>
            <w:proofErr w:type="spellStart"/>
            <w:proofErr w:type="gramStart"/>
            <w:r w:rsidRPr="007E0FD7">
              <w:rPr>
                <w:rFonts w:eastAsia="Calibri" w:cs="Calibri"/>
                <w:sz w:val="22"/>
              </w:rPr>
              <w:t>cBGL</w:t>
            </w:r>
            <w:proofErr w:type="spellEnd"/>
            <w:r w:rsidRPr="007E0FD7">
              <w:rPr>
                <w:rFonts w:eastAsia="Calibri" w:cs="Calibri"/>
                <w:sz w:val="22"/>
              </w:rPr>
              <w:t xml:space="preserve">  is</w:t>
            </w:r>
            <w:proofErr w:type="gramEnd"/>
            <w:r w:rsidRPr="007E0FD7">
              <w:rPr>
                <w:rFonts w:eastAsia="Calibri" w:cs="Calibri"/>
                <w:sz w:val="22"/>
              </w:rPr>
              <w:t xml:space="preserve"> &gt; 11mmol/L and not progressively decreasing by 10% per hour:</w:t>
            </w:r>
          </w:p>
          <w:p w14:paraId="38D6BFA2" w14:textId="77777777" w:rsidR="00F87C68" w:rsidRPr="007E0FD7" w:rsidRDefault="00F87C68" w:rsidP="00024496">
            <w:pPr>
              <w:numPr>
                <w:ilvl w:val="0"/>
                <w:numId w:val="12"/>
              </w:numPr>
              <w:autoSpaceDE w:val="0"/>
              <w:autoSpaceDN w:val="0"/>
              <w:adjustRightInd w:val="0"/>
              <w:spacing w:before="120" w:after="200"/>
              <w:jc w:val="both"/>
              <w:rPr>
                <w:rFonts w:cs="Segoe UI"/>
                <w:b/>
                <w:sz w:val="20"/>
                <w:lang w:eastAsia="en-AU"/>
              </w:rPr>
            </w:pPr>
            <w:r w:rsidRPr="007E0FD7">
              <w:rPr>
                <w:rFonts w:eastAsia="Calibri" w:cs="Segoe UI"/>
                <w:sz w:val="22"/>
              </w:rPr>
              <w:t>titrate accordingly</w:t>
            </w:r>
          </w:p>
          <w:p w14:paraId="2182766E" w14:textId="77777777" w:rsidR="00F87C68" w:rsidRPr="007E0FD7" w:rsidRDefault="00F87C68" w:rsidP="00024496">
            <w:pPr>
              <w:numPr>
                <w:ilvl w:val="0"/>
                <w:numId w:val="12"/>
              </w:numPr>
              <w:autoSpaceDE w:val="0"/>
              <w:autoSpaceDN w:val="0"/>
              <w:adjustRightInd w:val="0"/>
              <w:spacing w:before="120" w:after="200"/>
              <w:jc w:val="both"/>
              <w:rPr>
                <w:rFonts w:cs="Segoe UI"/>
                <w:b/>
                <w:sz w:val="20"/>
                <w:lang w:eastAsia="en-AU"/>
              </w:rPr>
            </w:pPr>
            <w:r w:rsidRPr="007E0FD7">
              <w:rPr>
                <w:rFonts w:eastAsia="Calibri" w:cs="Segoe UI"/>
                <w:sz w:val="22"/>
              </w:rPr>
              <w:t xml:space="preserve">Notify MO/NP </w:t>
            </w:r>
          </w:p>
        </w:tc>
      </w:tr>
      <w:tr w:rsidR="00F87C68" w:rsidRPr="007E0FD7" w14:paraId="2082794D" w14:textId="77777777" w:rsidTr="00024496">
        <w:trPr>
          <w:trHeight w:val="297"/>
        </w:trPr>
        <w:tc>
          <w:tcPr>
            <w:tcW w:w="1012" w:type="dxa"/>
            <w:vAlign w:val="center"/>
          </w:tcPr>
          <w:p w14:paraId="77E76932" w14:textId="77777777" w:rsidR="00F87C68" w:rsidRPr="007E0FD7" w:rsidRDefault="00F87C68" w:rsidP="00024496">
            <w:pPr>
              <w:autoSpaceDE w:val="0"/>
              <w:autoSpaceDN w:val="0"/>
              <w:adjustRightInd w:val="0"/>
              <w:spacing w:after="200"/>
              <w:jc w:val="center"/>
              <w:rPr>
                <w:rFonts w:cs="Calibri"/>
                <w:b/>
                <w:color w:val="FF0000"/>
                <w:sz w:val="22"/>
                <w:szCs w:val="22"/>
                <w:lang w:eastAsia="en-AU"/>
              </w:rPr>
            </w:pPr>
            <w:r w:rsidRPr="007E0FD7">
              <w:rPr>
                <w:rFonts w:cs="Calibri"/>
                <w:b/>
                <w:color w:val="FF0000"/>
                <w:sz w:val="22"/>
                <w:szCs w:val="22"/>
                <w:lang w:eastAsia="en-AU"/>
              </w:rPr>
              <w:t>Alert 3</w:t>
            </w:r>
          </w:p>
        </w:tc>
        <w:tc>
          <w:tcPr>
            <w:tcW w:w="1110" w:type="dxa"/>
            <w:vAlign w:val="center"/>
          </w:tcPr>
          <w:p w14:paraId="03BBA22C" w14:textId="77777777" w:rsidR="00F87C68" w:rsidRPr="007E0FD7" w:rsidRDefault="00F87C68" w:rsidP="00024496">
            <w:pPr>
              <w:autoSpaceDE w:val="0"/>
              <w:autoSpaceDN w:val="0"/>
              <w:adjustRightInd w:val="0"/>
              <w:spacing w:after="200"/>
              <w:jc w:val="center"/>
              <w:rPr>
                <w:rFonts w:cs="Calibri"/>
                <w:sz w:val="22"/>
                <w:szCs w:val="22"/>
                <w:lang w:eastAsia="en-AU"/>
              </w:rPr>
            </w:pPr>
            <w:r w:rsidRPr="007E0FD7">
              <w:rPr>
                <w:rFonts w:cs="Calibri"/>
                <w:sz w:val="22"/>
                <w:szCs w:val="22"/>
                <w:lang w:eastAsia="en-AU"/>
              </w:rPr>
              <w:t>&gt;20</w:t>
            </w:r>
          </w:p>
        </w:tc>
        <w:tc>
          <w:tcPr>
            <w:tcW w:w="6938" w:type="dxa"/>
          </w:tcPr>
          <w:p w14:paraId="504920F7" w14:textId="77777777" w:rsidR="00F87C68" w:rsidRPr="007E0FD7" w:rsidRDefault="00F87C68" w:rsidP="00024496">
            <w:pPr>
              <w:autoSpaceDE w:val="0"/>
              <w:autoSpaceDN w:val="0"/>
              <w:adjustRightInd w:val="0"/>
              <w:spacing w:before="40" w:after="200" w:line="241" w:lineRule="atLeast"/>
              <w:rPr>
                <w:rFonts w:cs="Calibri"/>
                <w:b/>
                <w:sz w:val="22"/>
                <w:szCs w:val="22"/>
                <w:lang w:eastAsia="en-AU"/>
              </w:rPr>
            </w:pPr>
            <w:r w:rsidRPr="007E0FD7">
              <w:rPr>
                <w:rFonts w:eastAsia="Calibri" w:cs="Calibri"/>
                <w:sz w:val="22"/>
                <w:szCs w:val="22"/>
              </w:rPr>
              <w:t xml:space="preserve">If </w:t>
            </w:r>
            <w:proofErr w:type="spellStart"/>
            <w:r w:rsidRPr="007E0FD7">
              <w:rPr>
                <w:rFonts w:eastAsia="Calibri" w:cs="Calibri"/>
                <w:sz w:val="22"/>
                <w:szCs w:val="22"/>
              </w:rPr>
              <w:t>cBGL</w:t>
            </w:r>
            <w:proofErr w:type="spellEnd"/>
            <w:r w:rsidRPr="007E0FD7">
              <w:rPr>
                <w:rFonts w:eastAsia="Calibri" w:cs="Calibri"/>
                <w:sz w:val="22"/>
                <w:szCs w:val="22"/>
              </w:rPr>
              <w:t xml:space="preserve"> is&gt; 20.0 mmol/L and not progressively decreasing, treating MO/NP must be notified for authorisation to adjust Insulin prescription</w:t>
            </w:r>
          </w:p>
        </w:tc>
      </w:tr>
    </w:tbl>
    <w:p w14:paraId="56B357A3" w14:textId="77777777" w:rsidR="00F87C68" w:rsidRDefault="00F87C68" w:rsidP="00286EB2">
      <w:pPr>
        <w:pStyle w:val="ListBullet"/>
        <w:numPr>
          <w:ilvl w:val="0"/>
          <w:numId w:val="0"/>
        </w:numPr>
      </w:pPr>
    </w:p>
    <w:p w14:paraId="4CBFFC52" w14:textId="77777777" w:rsidR="00286EB2" w:rsidRPr="0074287E" w:rsidRDefault="00286EB2" w:rsidP="00286EB2">
      <w:pPr>
        <w:rPr>
          <w:b/>
        </w:rPr>
      </w:pPr>
      <w:r w:rsidRPr="0074287E">
        <w:rPr>
          <w:b/>
        </w:rPr>
        <w:t>Commencing an insulin infusion</w:t>
      </w:r>
    </w:p>
    <w:p w14:paraId="7C3FA2E4" w14:textId="77777777" w:rsidR="00286EB2" w:rsidRPr="0074287E" w:rsidRDefault="00286EB2" w:rsidP="00286EB2">
      <w:pPr>
        <w:pStyle w:val="ListParagraph"/>
        <w:numPr>
          <w:ilvl w:val="0"/>
          <w:numId w:val="8"/>
        </w:numPr>
        <w:autoSpaceDE w:val="0"/>
        <w:autoSpaceDN w:val="0"/>
        <w:adjustRightInd w:val="0"/>
        <w:spacing w:line="241" w:lineRule="atLeast"/>
        <w:contextualSpacing w:val="0"/>
        <w:jc w:val="both"/>
        <w:rPr>
          <w:rFonts w:eastAsiaTheme="minorHAnsi"/>
        </w:rPr>
      </w:pPr>
      <w:r w:rsidRPr="0074287E">
        <w:rPr>
          <w:rFonts w:eastAsiaTheme="minorHAnsi"/>
        </w:rPr>
        <w:t xml:space="preserve">Neutral (soluble) insulin is the only insulin to be used in an IV insulin infusion. </w:t>
      </w:r>
    </w:p>
    <w:p w14:paraId="3058F226" w14:textId="77777777" w:rsidR="00286EB2" w:rsidRPr="0074287E" w:rsidRDefault="00286EB2" w:rsidP="00286EB2">
      <w:pPr>
        <w:pStyle w:val="ListParagraph"/>
        <w:numPr>
          <w:ilvl w:val="0"/>
          <w:numId w:val="8"/>
        </w:numPr>
        <w:autoSpaceDE w:val="0"/>
        <w:autoSpaceDN w:val="0"/>
        <w:adjustRightInd w:val="0"/>
        <w:spacing w:line="241" w:lineRule="atLeast"/>
        <w:contextualSpacing w:val="0"/>
        <w:jc w:val="both"/>
        <w:rPr>
          <w:rFonts w:eastAsiaTheme="minorHAnsi"/>
        </w:rPr>
      </w:pPr>
      <w:r w:rsidRPr="0074287E">
        <w:rPr>
          <w:rFonts w:eastAsiaTheme="minorHAnsi"/>
        </w:rPr>
        <w:t>Baseline capillary blood glucose (</w:t>
      </w:r>
      <w:proofErr w:type="spellStart"/>
      <w:r w:rsidRPr="0074287E">
        <w:rPr>
          <w:rFonts w:eastAsiaTheme="minorHAnsi"/>
        </w:rPr>
        <w:t>cBGL</w:t>
      </w:r>
      <w:proofErr w:type="spellEnd"/>
      <w:r w:rsidRPr="0074287E">
        <w:rPr>
          <w:rFonts w:eastAsiaTheme="minorHAnsi"/>
        </w:rPr>
        <w:t>) and capillary blood ketone levels (</w:t>
      </w:r>
      <w:proofErr w:type="spellStart"/>
      <w:r w:rsidRPr="0074287E">
        <w:rPr>
          <w:rFonts w:eastAsiaTheme="minorHAnsi"/>
        </w:rPr>
        <w:t>cBKL</w:t>
      </w:r>
      <w:proofErr w:type="spellEnd"/>
      <w:r w:rsidRPr="0074287E">
        <w:rPr>
          <w:rFonts w:eastAsiaTheme="minorHAnsi"/>
        </w:rPr>
        <w:t xml:space="preserve">) are checked prior to commencement of infusion. </w:t>
      </w:r>
    </w:p>
    <w:p w14:paraId="5F4E763E" w14:textId="77777777" w:rsidR="00286EB2" w:rsidRPr="0074287E" w:rsidRDefault="00286EB2" w:rsidP="00286EB2">
      <w:pPr>
        <w:pStyle w:val="ListParagraph"/>
        <w:numPr>
          <w:ilvl w:val="0"/>
          <w:numId w:val="8"/>
        </w:numPr>
        <w:autoSpaceDE w:val="0"/>
        <w:autoSpaceDN w:val="0"/>
        <w:adjustRightInd w:val="0"/>
        <w:spacing w:line="241" w:lineRule="atLeast"/>
        <w:contextualSpacing w:val="0"/>
        <w:jc w:val="both"/>
        <w:rPr>
          <w:rFonts w:eastAsiaTheme="minorHAnsi"/>
        </w:rPr>
      </w:pPr>
      <w:r w:rsidRPr="0074287E">
        <w:rPr>
          <w:rFonts w:eastAsiaTheme="minorHAnsi"/>
        </w:rPr>
        <w:t xml:space="preserve">Low sorbing line is to be primed with the insulin infusion; this is to be the Main intravenous line. The insulin infusion and </w:t>
      </w:r>
      <w:proofErr w:type="gramStart"/>
      <w:r w:rsidRPr="0074287E">
        <w:rPr>
          <w:rFonts w:eastAsiaTheme="minorHAnsi"/>
        </w:rPr>
        <w:t>side line</w:t>
      </w:r>
      <w:proofErr w:type="gramEnd"/>
      <w:r w:rsidRPr="0074287E">
        <w:rPr>
          <w:rFonts w:eastAsiaTheme="minorHAnsi"/>
        </w:rPr>
        <w:t xml:space="preserve"> are to be dedicated lines. </w:t>
      </w:r>
    </w:p>
    <w:p w14:paraId="601B0B94" w14:textId="6463A2FA" w:rsidR="00286EB2" w:rsidRPr="0074287E" w:rsidRDefault="00286EB2" w:rsidP="63542FD7">
      <w:pPr>
        <w:pStyle w:val="ListParagraph"/>
        <w:numPr>
          <w:ilvl w:val="0"/>
          <w:numId w:val="8"/>
        </w:numPr>
        <w:autoSpaceDE w:val="0"/>
        <w:autoSpaceDN w:val="0"/>
        <w:adjustRightInd w:val="0"/>
        <w:spacing w:line="241" w:lineRule="atLeast"/>
        <w:jc w:val="both"/>
        <w:rPr>
          <w:rFonts w:eastAsiaTheme="minorEastAsia"/>
          <w:szCs w:val="24"/>
        </w:rPr>
      </w:pPr>
      <w:r w:rsidRPr="63542FD7">
        <w:rPr>
          <w:rFonts w:eastAsiaTheme="minorEastAsia"/>
        </w:rPr>
        <w:t>Insulin infusion must be administered by an</w:t>
      </w:r>
      <w:r w:rsidR="06203D59">
        <w:t xml:space="preserve"> </w:t>
      </w:r>
      <w:proofErr w:type="gramStart"/>
      <w:r w:rsidR="06203D59">
        <w:t>infusion pumps</w:t>
      </w:r>
      <w:proofErr w:type="gramEnd"/>
      <w:r w:rsidR="06203D59">
        <w:t xml:space="preserve"> with dose limiting software</w:t>
      </w:r>
      <w:r w:rsidRPr="63542FD7">
        <w:rPr>
          <w:rFonts w:eastAsiaTheme="minorEastAsia"/>
        </w:rPr>
        <w:t xml:space="preserve"> and the line clearly marked as an Insulin infusion (as per</w:t>
      </w:r>
      <w:r w:rsidR="002A038D">
        <w:rPr>
          <w:rFonts w:eastAsiaTheme="minorEastAsia"/>
        </w:rPr>
        <w:t xml:space="preserve"> NCH Medication Handling Procedure)</w:t>
      </w:r>
    </w:p>
    <w:p w14:paraId="08980B8E" w14:textId="77777777" w:rsidR="00286EB2" w:rsidRPr="0074287E" w:rsidRDefault="00286EB2" w:rsidP="00286EB2">
      <w:pPr>
        <w:pStyle w:val="ListParagraph"/>
        <w:numPr>
          <w:ilvl w:val="0"/>
          <w:numId w:val="8"/>
        </w:numPr>
        <w:autoSpaceDE w:val="0"/>
        <w:autoSpaceDN w:val="0"/>
        <w:adjustRightInd w:val="0"/>
        <w:spacing w:line="241" w:lineRule="atLeast"/>
        <w:contextualSpacing w:val="0"/>
        <w:jc w:val="both"/>
        <w:rPr>
          <w:rFonts w:ascii="HelveticaNeueLT Std" w:eastAsiaTheme="minorHAnsi" w:hAnsi="HelveticaNeueLT Std" w:cs="HelveticaNeueLT Std"/>
          <w:sz w:val="18"/>
          <w:szCs w:val="18"/>
        </w:rPr>
      </w:pPr>
      <w:proofErr w:type="spellStart"/>
      <w:r w:rsidRPr="0074287E">
        <w:rPr>
          <w:rFonts w:eastAsiaTheme="minorHAnsi"/>
        </w:rPr>
        <w:t>cBGL</w:t>
      </w:r>
      <w:proofErr w:type="spellEnd"/>
      <w:r w:rsidRPr="0074287E">
        <w:rPr>
          <w:rFonts w:eastAsiaTheme="minorHAnsi"/>
        </w:rPr>
        <w:t>/</w:t>
      </w:r>
      <w:proofErr w:type="spellStart"/>
      <w:r w:rsidRPr="0074287E">
        <w:rPr>
          <w:rFonts w:eastAsiaTheme="minorHAnsi"/>
        </w:rPr>
        <w:t>cBKL</w:t>
      </w:r>
      <w:proofErr w:type="spellEnd"/>
      <w:r w:rsidRPr="0074287E">
        <w:rPr>
          <w:rFonts w:eastAsiaTheme="minorHAnsi"/>
        </w:rPr>
        <w:t xml:space="preserve"> to be taken from the hand opposite the infusion</w:t>
      </w:r>
      <w:r w:rsidRPr="0074287E">
        <w:rPr>
          <w:rFonts w:ascii="HelveticaNeueLT Std" w:eastAsiaTheme="minorHAnsi" w:hAnsi="HelveticaNeueLT Std" w:cs="HelveticaNeueLT Std"/>
          <w:sz w:val="18"/>
          <w:szCs w:val="18"/>
        </w:rPr>
        <w:t xml:space="preserve">. </w:t>
      </w:r>
    </w:p>
    <w:p w14:paraId="4BFFF172" w14:textId="77777777" w:rsidR="00286EB2" w:rsidRDefault="00286EB2" w:rsidP="00286EB2">
      <w:pPr>
        <w:rPr>
          <w:b/>
        </w:rPr>
      </w:pPr>
    </w:p>
    <w:p w14:paraId="34DE785C" w14:textId="77777777" w:rsidR="00286EB2" w:rsidRPr="0074287E" w:rsidRDefault="00286EB2" w:rsidP="00286EB2">
      <w:pPr>
        <w:rPr>
          <w:b/>
        </w:rPr>
      </w:pPr>
      <w:r w:rsidRPr="0074287E">
        <w:rPr>
          <w:b/>
        </w:rPr>
        <w:t>Monitoring an insulin Infusion</w:t>
      </w:r>
    </w:p>
    <w:p w14:paraId="55BC2202" w14:textId="547B788C"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Aim for a glycaemic target range of 5.1-9 mmol/L or as prescribed by the treating MO/NP on the intravenous insulin Infusion </w:t>
      </w:r>
      <w:r>
        <w:rPr>
          <w:rFonts w:eastAsiaTheme="minorHAnsi" w:cstheme="minorHAnsi"/>
        </w:rPr>
        <w:t>order</w:t>
      </w:r>
      <w:r w:rsidRPr="0074287E">
        <w:rPr>
          <w:rFonts w:eastAsiaTheme="minorHAnsi" w:cstheme="minorHAnsi"/>
        </w:rPr>
        <w:t xml:space="preserve">. </w:t>
      </w:r>
    </w:p>
    <w:p w14:paraId="2D719699" w14:textId="77777777"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proofErr w:type="spellStart"/>
      <w:r w:rsidRPr="0074287E">
        <w:rPr>
          <w:rFonts w:eastAsiaTheme="minorHAnsi" w:cstheme="minorHAnsi"/>
        </w:rPr>
        <w:t>cBGL</w:t>
      </w:r>
      <w:proofErr w:type="spellEnd"/>
      <w:r w:rsidRPr="0074287E">
        <w:rPr>
          <w:rFonts w:eastAsiaTheme="minorHAnsi" w:cstheme="minorHAnsi"/>
        </w:rPr>
        <w:t xml:space="preserve"> levels to be tested 1 hourly until stable, then 2 </w:t>
      </w:r>
      <w:proofErr w:type="gramStart"/>
      <w:r w:rsidRPr="0074287E">
        <w:rPr>
          <w:rFonts w:eastAsiaTheme="minorHAnsi" w:cstheme="minorHAnsi"/>
        </w:rPr>
        <w:t>hourly</w:t>
      </w:r>
      <w:proofErr w:type="gramEnd"/>
      <w:r w:rsidRPr="0074287E">
        <w:rPr>
          <w:rFonts w:eastAsiaTheme="minorHAnsi" w:cstheme="minorHAnsi"/>
        </w:rPr>
        <w:t xml:space="preserve"> unless instructed by the treating MO/NP and clearly documented in progress notes. </w:t>
      </w:r>
    </w:p>
    <w:p w14:paraId="79AB2653" w14:textId="77777777"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lastRenderedPageBreak/>
        <w:t xml:space="preserve">Titrate dose/rate based on </w:t>
      </w:r>
      <w:proofErr w:type="spellStart"/>
      <w:r w:rsidRPr="0074287E">
        <w:rPr>
          <w:rFonts w:eastAsiaTheme="minorHAnsi" w:cstheme="minorHAnsi"/>
        </w:rPr>
        <w:t>cBGL</w:t>
      </w:r>
      <w:proofErr w:type="spellEnd"/>
      <w:r w:rsidRPr="0074287E">
        <w:rPr>
          <w:rFonts w:eastAsiaTheme="minorHAnsi" w:cstheme="minorHAnsi"/>
        </w:rPr>
        <w:t xml:space="preserve"> result. </w:t>
      </w:r>
    </w:p>
    <w:p w14:paraId="35EA2794" w14:textId="1FCC75BB"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proofErr w:type="spellStart"/>
      <w:r w:rsidRPr="0074287E">
        <w:rPr>
          <w:rFonts w:eastAsiaTheme="minorHAnsi" w:cstheme="minorHAnsi"/>
        </w:rPr>
        <w:t>cBKL</w:t>
      </w:r>
      <w:proofErr w:type="spellEnd"/>
      <w:r w:rsidRPr="0074287E">
        <w:rPr>
          <w:rFonts w:eastAsiaTheme="minorHAnsi" w:cstheme="minorHAnsi"/>
        </w:rPr>
        <w:t xml:space="preserve"> are attended if </w:t>
      </w:r>
      <w:proofErr w:type="spellStart"/>
      <w:r w:rsidRPr="0074287E">
        <w:rPr>
          <w:rFonts w:eastAsiaTheme="minorHAnsi" w:cstheme="minorHAnsi"/>
        </w:rPr>
        <w:t>cBGL</w:t>
      </w:r>
      <w:proofErr w:type="spellEnd"/>
      <w:r w:rsidRPr="0074287E">
        <w:rPr>
          <w:rFonts w:eastAsiaTheme="minorHAnsi" w:cstheme="minorHAnsi"/>
        </w:rPr>
        <w:t xml:space="preserve"> is &gt;15 mmol/L </w:t>
      </w:r>
      <w:proofErr w:type="gramStart"/>
      <w:r w:rsidRPr="0074287E">
        <w:rPr>
          <w:rFonts w:eastAsiaTheme="minorHAnsi" w:cstheme="minorHAnsi"/>
        </w:rPr>
        <w:t>and also</w:t>
      </w:r>
      <w:proofErr w:type="gramEnd"/>
      <w:r w:rsidRPr="0074287E">
        <w:rPr>
          <w:rFonts w:eastAsiaTheme="minorHAnsi" w:cstheme="minorHAnsi"/>
        </w:rPr>
        <w:t xml:space="preserve"> 4 hourly. </w:t>
      </w:r>
    </w:p>
    <w:p w14:paraId="72FD221E" w14:textId="77777777"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proofErr w:type="spellStart"/>
      <w:r w:rsidRPr="0074287E">
        <w:rPr>
          <w:rFonts w:eastAsiaTheme="minorHAnsi" w:cstheme="minorHAnsi"/>
        </w:rPr>
        <w:t>cBGL</w:t>
      </w:r>
      <w:proofErr w:type="spellEnd"/>
      <w:r w:rsidRPr="0074287E">
        <w:rPr>
          <w:rFonts w:eastAsiaTheme="minorHAnsi" w:cstheme="minorHAnsi"/>
        </w:rPr>
        <w:t>/</w:t>
      </w:r>
      <w:proofErr w:type="spellStart"/>
      <w:r w:rsidRPr="0074287E">
        <w:rPr>
          <w:rFonts w:eastAsiaTheme="minorHAnsi" w:cstheme="minorHAnsi"/>
        </w:rPr>
        <w:t>cBKL</w:t>
      </w:r>
      <w:proofErr w:type="spellEnd"/>
      <w:r w:rsidRPr="0074287E">
        <w:rPr>
          <w:rFonts w:eastAsiaTheme="minorHAnsi" w:cstheme="minorHAnsi"/>
        </w:rPr>
        <w:t xml:space="preserve"> to be taken from the hand opposite the infusion. </w:t>
      </w:r>
    </w:p>
    <w:p w14:paraId="7412D26E" w14:textId="77777777"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Review fluids hourly. </w:t>
      </w:r>
    </w:p>
    <w:p w14:paraId="111FB7C8" w14:textId="01CD4115"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If </w:t>
      </w:r>
      <w:proofErr w:type="spellStart"/>
      <w:r w:rsidRPr="0074287E">
        <w:rPr>
          <w:rFonts w:eastAsiaTheme="minorHAnsi" w:cstheme="minorHAnsi"/>
        </w:rPr>
        <w:t>cBGL</w:t>
      </w:r>
      <w:proofErr w:type="spellEnd"/>
      <w:r w:rsidRPr="0074287E">
        <w:rPr>
          <w:rFonts w:eastAsiaTheme="minorHAnsi" w:cstheme="minorHAnsi"/>
        </w:rPr>
        <w:t xml:space="preserve"> varies more than</w:t>
      </w:r>
      <w:r w:rsidR="00193AF0">
        <w:rPr>
          <w:rFonts w:eastAsiaTheme="minorHAnsi" w:cstheme="minorHAnsi"/>
        </w:rPr>
        <w:t xml:space="preserve"> 4</w:t>
      </w:r>
      <w:r w:rsidRPr="0074287E">
        <w:rPr>
          <w:rFonts w:eastAsiaTheme="minorHAnsi" w:cstheme="minorHAnsi"/>
        </w:rPr>
        <w:t xml:space="preserve"> mmol/L in one hour, titrate accordingly and contact the treating MO/NP for advice on future adjustment of the infusion rate and test </w:t>
      </w:r>
      <w:proofErr w:type="spellStart"/>
      <w:r w:rsidRPr="0074287E">
        <w:rPr>
          <w:rFonts w:eastAsiaTheme="minorHAnsi" w:cstheme="minorHAnsi"/>
        </w:rPr>
        <w:t>cBGL</w:t>
      </w:r>
      <w:proofErr w:type="spellEnd"/>
      <w:r w:rsidRPr="0074287E">
        <w:rPr>
          <w:rFonts w:eastAsiaTheme="minorHAnsi" w:cstheme="minorHAnsi"/>
        </w:rPr>
        <w:t xml:space="preserve"> again after 15 minutes. </w:t>
      </w:r>
    </w:p>
    <w:p w14:paraId="08DA23D7" w14:textId="3BE8BE96"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If </w:t>
      </w:r>
      <w:proofErr w:type="spellStart"/>
      <w:r w:rsidRPr="0074287E">
        <w:rPr>
          <w:rFonts w:eastAsiaTheme="minorHAnsi" w:cstheme="minorHAnsi"/>
        </w:rPr>
        <w:t>cBGL</w:t>
      </w:r>
      <w:proofErr w:type="spellEnd"/>
      <w:r w:rsidRPr="0074287E">
        <w:rPr>
          <w:rFonts w:eastAsiaTheme="minorHAnsi" w:cstheme="minorHAnsi"/>
        </w:rPr>
        <w:t xml:space="preserve"> &lt;4</w:t>
      </w:r>
      <w:r w:rsidR="00193AF0">
        <w:rPr>
          <w:rFonts w:eastAsiaTheme="minorHAnsi" w:cstheme="minorHAnsi"/>
        </w:rPr>
        <w:t xml:space="preserve"> </w:t>
      </w:r>
      <w:r w:rsidRPr="0074287E">
        <w:rPr>
          <w:rFonts w:eastAsiaTheme="minorHAnsi" w:cstheme="minorHAnsi"/>
        </w:rPr>
        <w:t>mmol/L or</w:t>
      </w:r>
      <w:r w:rsidR="00193AF0">
        <w:rPr>
          <w:rFonts w:eastAsiaTheme="minorHAnsi" w:cstheme="minorHAnsi"/>
        </w:rPr>
        <w:t xml:space="preserve"> </w:t>
      </w:r>
      <w:r w:rsidRPr="0074287E">
        <w:rPr>
          <w:rFonts w:eastAsiaTheme="minorHAnsi" w:cstheme="minorHAnsi"/>
        </w:rPr>
        <w:t xml:space="preserve">&gt; 15 mmol/L notify treating MO/NP immediately </w:t>
      </w:r>
    </w:p>
    <w:p w14:paraId="339D9AB7" w14:textId="77777777"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Check blood potassium levels at least daily and inform the treating MO/NP of abnormal levels. </w:t>
      </w:r>
    </w:p>
    <w:p w14:paraId="40452D61" w14:textId="02279F6B" w:rsidR="00286EB2" w:rsidRPr="0074287E" w:rsidRDefault="00286EB2" w:rsidP="00286EB2">
      <w:pPr>
        <w:pStyle w:val="ListParagraph"/>
        <w:numPr>
          <w:ilvl w:val="0"/>
          <w:numId w:val="9"/>
        </w:numPr>
        <w:autoSpaceDE w:val="0"/>
        <w:autoSpaceDN w:val="0"/>
        <w:adjustRightInd w:val="0"/>
        <w:spacing w:line="241" w:lineRule="atLeast"/>
        <w:contextualSpacing w:val="0"/>
        <w:jc w:val="both"/>
        <w:rPr>
          <w:rFonts w:eastAsiaTheme="minorHAnsi" w:cstheme="minorHAnsi"/>
        </w:rPr>
      </w:pPr>
      <w:r w:rsidRPr="0074287E">
        <w:rPr>
          <w:rFonts w:eastAsiaTheme="minorHAnsi" w:cstheme="minorHAnsi"/>
        </w:rPr>
        <w:t xml:space="preserve">Observe patient closely for signs and symptoms of hypoglycaemia, high </w:t>
      </w:r>
      <w:proofErr w:type="spellStart"/>
      <w:r w:rsidRPr="0074287E">
        <w:rPr>
          <w:rFonts w:eastAsiaTheme="minorHAnsi" w:cstheme="minorHAnsi"/>
        </w:rPr>
        <w:t>cBGL</w:t>
      </w:r>
      <w:proofErr w:type="spellEnd"/>
      <w:r w:rsidRPr="0074287E">
        <w:rPr>
          <w:rFonts w:eastAsiaTheme="minorHAnsi" w:cstheme="minorHAnsi"/>
        </w:rPr>
        <w:t>/</w:t>
      </w:r>
      <w:proofErr w:type="spellStart"/>
      <w:r w:rsidRPr="0074287E">
        <w:rPr>
          <w:rFonts w:eastAsiaTheme="minorHAnsi" w:cstheme="minorHAnsi"/>
        </w:rPr>
        <w:t>cBKL</w:t>
      </w:r>
      <w:proofErr w:type="spellEnd"/>
      <w:r w:rsidRPr="0074287E">
        <w:rPr>
          <w:rFonts w:eastAsiaTheme="minorHAnsi" w:cstheme="minorHAnsi"/>
        </w:rPr>
        <w:t>, increasing confusion, drowsiness, chest pain, increased or decreased respiration and report all changes to treating MO/NP</w:t>
      </w:r>
      <w:r w:rsidR="00DE51F6">
        <w:rPr>
          <w:rFonts w:eastAsiaTheme="minorHAnsi" w:cstheme="minorHAnsi"/>
        </w:rPr>
        <w:t>.</w:t>
      </w:r>
    </w:p>
    <w:p w14:paraId="38EAC658" w14:textId="77777777" w:rsidR="00286EB2" w:rsidRDefault="00286EB2" w:rsidP="00286EB2">
      <w:pPr>
        <w:rPr>
          <w:rFonts w:eastAsiaTheme="minorHAnsi"/>
          <w:b/>
        </w:rPr>
      </w:pPr>
    </w:p>
    <w:p w14:paraId="21C7EB39" w14:textId="77777777" w:rsidR="00286EB2" w:rsidRPr="0074287E" w:rsidRDefault="00286EB2" w:rsidP="00286EB2">
      <w:pPr>
        <w:rPr>
          <w:rFonts w:eastAsiaTheme="minorHAnsi"/>
          <w:b/>
        </w:rPr>
      </w:pPr>
      <w:r w:rsidRPr="0074287E">
        <w:rPr>
          <w:rFonts w:eastAsiaTheme="minorHAnsi"/>
          <w:b/>
        </w:rPr>
        <w:t>Ceasing an insulin infusion</w:t>
      </w:r>
    </w:p>
    <w:p w14:paraId="0D97A79A" w14:textId="77777777" w:rsidR="00286EB2" w:rsidRPr="0074287E" w:rsidRDefault="00286EB2" w:rsidP="00286EB2">
      <w:pPr>
        <w:pStyle w:val="ListParagraph"/>
        <w:numPr>
          <w:ilvl w:val="0"/>
          <w:numId w:val="10"/>
        </w:numPr>
        <w:autoSpaceDE w:val="0"/>
        <w:autoSpaceDN w:val="0"/>
        <w:adjustRightInd w:val="0"/>
        <w:spacing w:line="241" w:lineRule="atLeast"/>
        <w:contextualSpacing w:val="0"/>
        <w:jc w:val="both"/>
        <w:rPr>
          <w:rFonts w:eastAsiaTheme="minorHAnsi"/>
        </w:rPr>
      </w:pPr>
      <w:r w:rsidRPr="0074287E">
        <w:rPr>
          <w:rFonts w:eastAsiaTheme="minorHAnsi"/>
        </w:rPr>
        <w:t xml:space="preserve">The patient must be tolerating an appropriate diet before the insulin infusion is ceased. </w:t>
      </w:r>
    </w:p>
    <w:p w14:paraId="0E0573C6" w14:textId="77777777" w:rsidR="00286EB2" w:rsidRPr="0074287E" w:rsidRDefault="00286EB2" w:rsidP="00286EB2">
      <w:pPr>
        <w:pStyle w:val="ListParagraph"/>
        <w:numPr>
          <w:ilvl w:val="0"/>
          <w:numId w:val="10"/>
        </w:numPr>
        <w:autoSpaceDE w:val="0"/>
        <w:autoSpaceDN w:val="0"/>
        <w:adjustRightInd w:val="0"/>
        <w:spacing w:line="241" w:lineRule="atLeast"/>
        <w:contextualSpacing w:val="0"/>
        <w:jc w:val="both"/>
        <w:rPr>
          <w:rFonts w:eastAsiaTheme="minorHAnsi"/>
        </w:rPr>
      </w:pPr>
      <w:r w:rsidRPr="0074287E">
        <w:rPr>
          <w:rFonts w:eastAsiaTheme="minorHAnsi"/>
        </w:rPr>
        <w:t xml:space="preserve">The treating MO/NP must order the cessation of the insulin infusion. </w:t>
      </w:r>
    </w:p>
    <w:p w14:paraId="02372895" w14:textId="77777777" w:rsidR="00286EB2" w:rsidRPr="0074287E" w:rsidRDefault="00286EB2" w:rsidP="00286EB2">
      <w:pPr>
        <w:pStyle w:val="ListParagraph"/>
        <w:numPr>
          <w:ilvl w:val="0"/>
          <w:numId w:val="10"/>
        </w:numPr>
        <w:autoSpaceDE w:val="0"/>
        <w:autoSpaceDN w:val="0"/>
        <w:adjustRightInd w:val="0"/>
        <w:spacing w:line="241" w:lineRule="atLeast"/>
        <w:contextualSpacing w:val="0"/>
        <w:jc w:val="both"/>
        <w:rPr>
          <w:rFonts w:eastAsiaTheme="minorHAnsi"/>
        </w:rPr>
      </w:pPr>
      <w:r w:rsidRPr="0074287E">
        <w:rPr>
          <w:rFonts w:eastAsiaTheme="minorHAnsi"/>
        </w:rPr>
        <w:t xml:space="preserve">Ceasing the infusion must be planned for early in the day. </w:t>
      </w:r>
    </w:p>
    <w:p w14:paraId="191C91B5" w14:textId="77777777" w:rsidR="00286EB2" w:rsidRPr="0074287E" w:rsidRDefault="00286EB2" w:rsidP="00286EB2">
      <w:pPr>
        <w:pStyle w:val="ListParagraph"/>
        <w:numPr>
          <w:ilvl w:val="0"/>
          <w:numId w:val="10"/>
        </w:numPr>
        <w:autoSpaceDE w:val="0"/>
        <w:autoSpaceDN w:val="0"/>
        <w:adjustRightInd w:val="0"/>
        <w:spacing w:line="241" w:lineRule="atLeast"/>
        <w:contextualSpacing w:val="0"/>
        <w:jc w:val="both"/>
        <w:rPr>
          <w:rFonts w:eastAsiaTheme="minorHAnsi"/>
        </w:rPr>
      </w:pPr>
      <w:r w:rsidRPr="0074287E">
        <w:rPr>
          <w:rFonts w:eastAsiaTheme="minorHAnsi"/>
        </w:rPr>
        <w:t xml:space="preserve">Patient treated with oral hypoglycaemic medications must have their medication ordered by the treating MO/ NP and given prior to ceasing the insulin infusion. </w:t>
      </w:r>
    </w:p>
    <w:p w14:paraId="780E7B5C" w14:textId="77777777" w:rsidR="00286EB2" w:rsidRPr="00286EB2" w:rsidRDefault="00286EB2" w:rsidP="00DE51F6">
      <w:pPr>
        <w:pStyle w:val="ListParagraph"/>
        <w:numPr>
          <w:ilvl w:val="0"/>
          <w:numId w:val="22"/>
        </w:numPr>
        <w:rPr>
          <w:rFonts w:asciiTheme="minorHAnsi" w:hAnsiTheme="minorHAnsi"/>
          <w:szCs w:val="24"/>
        </w:rPr>
      </w:pPr>
      <w:r w:rsidRPr="00286EB2">
        <w:rPr>
          <w:rFonts w:asciiTheme="minorHAnsi" w:hAnsiTheme="minorHAnsi"/>
          <w:szCs w:val="24"/>
        </w:rPr>
        <w:t xml:space="preserve">Both the IV insulin infusion and the </w:t>
      </w:r>
      <w:proofErr w:type="gramStart"/>
      <w:r w:rsidRPr="00286EB2">
        <w:rPr>
          <w:rFonts w:asciiTheme="minorHAnsi" w:hAnsiTheme="minorHAnsi"/>
          <w:szCs w:val="24"/>
        </w:rPr>
        <w:t>side line</w:t>
      </w:r>
      <w:proofErr w:type="gramEnd"/>
      <w:r w:rsidRPr="00286EB2">
        <w:rPr>
          <w:rFonts w:asciiTheme="minorHAnsi" w:hAnsiTheme="minorHAnsi"/>
          <w:szCs w:val="24"/>
        </w:rPr>
        <w:t xml:space="preserve"> fluid are ceased at the time of giving oral hypoglycaemic medications. </w:t>
      </w:r>
    </w:p>
    <w:p w14:paraId="5E9F6883" w14:textId="77777777" w:rsidR="00286EB2" w:rsidRPr="00286EB2" w:rsidRDefault="00286EB2" w:rsidP="00DE51F6">
      <w:pPr>
        <w:pStyle w:val="ListParagraph"/>
        <w:numPr>
          <w:ilvl w:val="0"/>
          <w:numId w:val="22"/>
        </w:numPr>
        <w:rPr>
          <w:rFonts w:asciiTheme="minorHAnsi" w:hAnsiTheme="minorHAnsi"/>
          <w:szCs w:val="24"/>
        </w:rPr>
      </w:pPr>
      <w:r w:rsidRPr="00286EB2">
        <w:rPr>
          <w:rFonts w:asciiTheme="minorHAnsi" w:hAnsiTheme="minorHAnsi"/>
          <w:szCs w:val="24"/>
        </w:rPr>
        <w:t xml:space="preserve">Leave IV cannula in situ for 6 hours and continue </w:t>
      </w:r>
      <w:proofErr w:type="spellStart"/>
      <w:r w:rsidRPr="00286EB2">
        <w:rPr>
          <w:rFonts w:asciiTheme="minorHAnsi" w:hAnsiTheme="minorHAnsi"/>
          <w:szCs w:val="24"/>
        </w:rPr>
        <w:t>cBGL</w:t>
      </w:r>
      <w:proofErr w:type="spellEnd"/>
      <w:r w:rsidRPr="00286EB2">
        <w:rPr>
          <w:rFonts w:asciiTheme="minorHAnsi" w:hAnsiTheme="minorHAnsi"/>
          <w:szCs w:val="24"/>
        </w:rPr>
        <w:t xml:space="preserve"> 1 hourly for 2 hours, and </w:t>
      </w:r>
      <w:proofErr w:type="spellStart"/>
      <w:r w:rsidRPr="00286EB2">
        <w:rPr>
          <w:rFonts w:asciiTheme="minorHAnsi" w:hAnsiTheme="minorHAnsi"/>
          <w:szCs w:val="24"/>
        </w:rPr>
        <w:t>cBKL</w:t>
      </w:r>
      <w:proofErr w:type="spellEnd"/>
      <w:r w:rsidRPr="00286EB2">
        <w:rPr>
          <w:rFonts w:asciiTheme="minorHAnsi" w:hAnsiTheme="minorHAnsi"/>
          <w:szCs w:val="24"/>
        </w:rPr>
        <w:t xml:space="preserve"> at 2 hours after removing the insulin infusion. </w:t>
      </w:r>
    </w:p>
    <w:p w14:paraId="24795F9B" w14:textId="77777777" w:rsidR="00286EB2" w:rsidRPr="0074287E" w:rsidRDefault="00286EB2" w:rsidP="00286EB2">
      <w:pPr>
        <w:pStyle w:val="ListParagraph"/>
        <w:numPr>
          <w:ilvl w:val="0"/>
          <w:numId w:val="10"/>
        </w:numPr>
        <w:autoSpaceDE w:val="0"/>
        <w:autoSpaceDN w:val="0"/>
        <w:adjustRightInd w:val="0"/>
        <w:contextualSpacing w:val="0"/>
        <w:jc w:val="both"/>
        <w:rPr>
          <w:rFonts w:eastAsiaTheme="minorHAnsi"/>
        </w:rPr>
      </w:pPr>
      <w:r w:rsidRPr="0074287E">
        <w:rPr>
          <w:rFonts w:eastAsiaTheme="minorHAnsi"/>
        </w:rPr>
        <w:t>Patient treated with subcutaneous insulin must have their insulin ordered by the treating MO/NP and given prior to ceasing the insulin infusion</w:t>
      </w:r>
    </w:p>
    <w:p w14:paraId="5F557401" w14:textId="77777777" w:rsidR="00286EB2" w:rsidRPr="00286EB2" w:rsidRDefault="00286EB2" w:rsidP="00DE51F6">
      <w:pPr>
        <w:pStyle w:val="ListParagraph"/>
        <w:numPr>
          <w:ilvl w:val="0"/>
          <w:numId w:val="23"/>
        </w:numPr>
        <w:rPr>
          <w:rFonts w:asciiTheme="minorHAnsi" w:hAnsiTheme="minorHAnsi"/>
          <w:szCs w:val="24"/>
        </w:rPr>
      </w:pPr>
      <w:r w:rsidRPr="00286EB2">
        <w:rPr>
          <w:rFonts w:asciiTheme="minorHAnsi" w:hAnsiTheme="minorHAnsi"/>
          <w:szCs w:val="24"/>
        </w:rPr>
        <w:t xml:space="preserve">The insulin infusion and </w:t>
      </w:r>
      <w:proofErr w:type="gramStart"/>
      <w:r w:rsidRPr="00286EB2">
        <w:rPr>
          <w:rFonts w:asciiTheme="minorHAnsi" w:hAnsiTheme="minorHAnsi"/>
          <w:szCs w:val="24"/>
        </w:rPr>
        <w:t>side line</w:t>
      </w:r>
      <w:proofErr w:type="gramEnd"/>
      <w:r w:rsidRPr="00286EB2">
        <w:rPr>
          <w:rFonts w:asciiTheme="minorHAnsi" w:hAnsiTheme="minorHAnsi"/>
          <w:szCs w:val="24"/>
        </w:rPr>
        <w:t xml:space="preserve"> fluids line are administered until peak action of the subcutaneous insulin is reached or as ordered by the treating MO/NP (see Insulin Infusion procedure for timing schedule). </w:t>
      </w:r>
    </w:p>
    <w:p w14:paraId="6C503B21" w14:textId="77777777" w:rsidR="00286EB2" w:rsidRPr="00286EB2" w:rsidRDefault="00286EB2" w:rsidP="00DE51F6">
      <w:pPr>
        <w:pStyle w:val="ListParagraph"/>
        <w:numPr>
          <w:ilvl w:val="0"/>
          <w:numId w:val="23"/>
        </w:numPr>
        <w:rPr>
          <w:rFonts w:asciiTheme="minorHAnsi" w:hAnsiTheme="minorHAnsi"/>
          <w:szCs w:val="24"/>
        </w:rPr>
      </w:pPr>
      <w:r w:rsidRPr="00286EB2">
        <w:rPr>
          <w:rFonts w:asciiTheme="minorHAnsi" w:hAnsiTheme="minorHAnsi"/>
          <w:szCs w:val="24"/>
        </w:rPr>
        <w:t xml:space="preserve">Leave IV cannula in situ for 6 hours and continue </w:t>
      </w:r>
      <w:proofErr w:type="spellStart"/>
      <w:r w:rsidRPr="00286EB2">
        <w:rPr>
          <w:rFonts w:asciiTheme="minorHAnsi" w:hAnsiTheme="minorHAnsi"/>
          <w:szCs w:val="24"/>
        </w:rPr>
        <w:t>cBGL</w:t>
      </w:r>
      <w:proofErr w:type="spellEnd"/>
      <w:r w:rsidRPr="00286EB2">
        <w:rPr>
          <w:rFonts w:asciiTheme="minorHAnsi" w:hAnsiTheme="minorHAnsi"/>
          <w:szCs w:val="24"/>
        </w:rPr>
        <w:t xml:space="preserve"> 1 hourly for 2 hours, and </w:t>
      </w:r>
      <w:proofErr w:type="spellStart"/>
      <w:r w:rsidRPr="00286EB2">
        <w:rPr>
          <w:rFonts w:asciiTheme="minorHAnsi" w:hAnsiTheme="minorHAnsi"/>
          <w:szCs w:val="24"/>
        </w:rPr>
        <w:t>cBKL</w:t>
      </w:r>
      <w:proofErr w:type="spellEnd"/>
      <w:r w:rsidRPr="00286EB2">
        <w:rPr>
          <w:rFonts w:asciiTheme="minorHAnsi" w:hAnsiTheme="minorHAnsi"/>
          <w:szCs w:val="24"/>
        </w:rPr>
        <w:t xml:space="preserve"> at 2hours after removing the insulin infusion</w:t>
      </w:r>
    </w:p>
    <w:p w14:paraId="481A6EAA" w14:textId="77777777" w:rsidR="00286EB2" w:rsidRDefault="00286EB2" w:rsidP="00286EB2">
      <w:pPr>
        <w:rPr>
          <w:rFonts w:cs="Arial"/>
          <w:b/>
          <w:szCs w:val="24"/>
        </w:rPr>
      </w:pPr>
    </w:p>
    <w:p w14:paraId="119BA4AD" w14:textId="12C57DF9" w:rsidR="00F9158A" w:rsidRPr="00253F5A" w:rsidRDefault="00131C38" w:rsidP="00286EB2">
      <w:pPr>
        <w:jc w:val="right"/>
      </w:pPr>
      <w:hyperlink w:anchor="Contents" w:history="1">
        <w:r w:rsidR="00286EB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3" w:name="_Toc389473287"/>
            <w:bookmarkStart w:id="24" w:name="_Toc161406385"/>
            <w:r>
              <w:t xml:space="preserve">Related Policies, </w:t>
            </w:r>
            <w:r w:rsidR="007B6904">
              <w:t>Procedures</w:t>
            </w:r>
            <w:bookmarkEnd w:id="23"/>
            <w:r>
              <w:t>, Guidelines and Legislation</w:t>
            </w:r>
            <w:bookmarkEnd w:id="24"/>
          </w:p>
        </w:tc>
      </w:tr>
    </w:tbl>
    <w:p w14:paraId="2F51A8B9" w14:textId="77777777" w:rsidR="001926F4" w:rsidRDefault="001926F4" w:rsidP="001926F4">
      <w:pPr>
        <w:pStyle w:val="Heading2"/>
      </w:pPr>
    </w:p>
    <w:p w14:paraId="3BE7C640" w14:textId="134B9F3A" w:rsidR="000D1C9E" w:rsidRPr="00CD2078" w:rsidRDefault="00CD2078" w:rsidP="000A7335">
      <w:pPr>
        <w:rPr>
          <w:rFonts w:cs="Arial"/>
          <w:b/>
          <w:bCs/>
          <w:szCs w:val="24"/>
        </w:rPr>
      </w:pPr>
      <w:r w:rsidRPr="00CD2078">
        <w:rPr>
          <w:rFonts w:cs="Arial"/>
          <w:b/>
          <w:bCs/>
          <w:szCs w:val="24"/>
        </w:rPr>
        <w:t xml:space="preserve">Policy </w:t>
      </w:r>
    </w:p>
    <w:p w14:paraId="39D57F4B" w14:textId="2F907320" w:rsidR="00CD2078" w:rsidRPr="00CD2078" w:rsidRDefault="00CD2078" w:rsidP="00CD2078">
      <w:pPr>
        <w:pStyle w:val="ListParagraph"/>
        <w:numPr>
          <w:ilvl w:val="0"/>
          <w:numId w:val="10"/>
        </w:numPr>
        <w:rPr>
          <w:rFonts w:cs="Arial"/>
          <w:szCs w:val="24"/>
        </w:rPr>
      </w:pPr>
      <w:r w:rsidRPr="00CD2078">
        <w:rPr>
          <w:rFonts w:cs="Arial"/>
          <w:szCs w:val="24"/>
        </w:rPr>
        <w:t>Preventing and Controlling Healthcare Associated Infections</w:t>
      </w:r>
    </w:p>
    <w:p w14:paraId="566E6466" w14:textId="77777777" w:rsidR="00CD2078" w:rsidRPr="000A7335" w:rsidRDefault="00CD2078" w:rsidP="000A7335">
      <w:pPr>
        <w:rPr>
          <w:rFonts w:cs="Arial"/>
          <w:szCs w:val="24"/>
        </w:rPr>
      </w:pPr>
    </w:p>
    <w:p w14:paraId="2F51A8BE" w14:textId="77777777" w:rsidR="00931B93" w:rsidRPr="00201FB6" w:rsidRDefault="00931B93" w:rsidP="00201FB6">
      <w:pPr>
        <w:rPr>
          <w:b/>
        </w:rPr>
      </w:pPr>
      <w:r w:rsidRPr="00201FB6">
        <w:rPr>
          <w:b/>
        </w:rPr>
        <w:t>Procedures</w:t>
      </w:r>
    </w:p>
    <w:p w14:paraId="2F51A8C0" w14:textId="721093BB" w:rsidR="000A7335" w:rsidRPr="00CD2078" w:rsidRDefault="000E7F75" w:rsidP="00C25086">
      <w:pPr>
        <w:pStyle w:val="ListParagraph"/>
        <w:numPr>
          <w:ilvl w:val="0"/>
          <w:numId w:val="2"/>
        </w:numPr>
        <w:ind w:left="360"/>
        <w:rPr>
          <w:rFonts w:cs="Arial"/>
        </w:rPr>
      </w:pPr>
      <w:r w:rsidRPr="00CD2078">
        <w:rPr>
          <w:rFonts w:cs="Arial"/>
        </w:rPr>
        <w:t xml:space="preserve">NCH </w:t>
      </w:r>
      <w:r w:rsidR="000D1C9E" w:rsidRPr="00CD2078">
        <w:rPr>
          <w:rFonts w:cs="Arial"/>
        </w:rPr>
        <w:t xml:space="preserve">Medication Handling </w:t>
      </w:r>
    </w:p>
    <w:p w14:paraId="09FF2D72" w14:textId="30ECD68F" w:rsidR="002A038D" w:rsidRPr="00CD2078" w:rsidRDefault="000E7F75" w:rsidP="002A038D">
      <w:pPr>
        <w:numPr>
          <w:ilvl w:val="0"/>
          <w:numId w:val="2"/>
        </w:numPr>
        <w:ind w:left="360"/>
        <w:rPr>
          <w:rFonts w:cs="Arial"/>
          <w:b/>
          <w:szCs w:val="24"/>
        </w:rPr>
      </w:pPr>
      <w:r w:rsidRPr="00CD2078">
        <w:rPr>
          <w:szCs w:val="24"/>
        </w:rPr>
        <w:t xml:space="preserve">NCH </w:t>
      </w:r>
      <w:r w:rsidR="002A038D" w:rsidRPr="00CD2078">
        <w:rPr>
          <w:szCs w:val="24"/>
        </w:rPr>
        <w:t xml:space="preserve">Minimum requirements for Physiological </w:t>
      </w:r>
      <w:r w:rsidR="002A038D" w:rsidRPr="00CD2078">
        <w:rPr>
          <w:color w:val="000000"/>
          <w:szCs w:val="24"/>
        </w:rPr>
        <w:t>observations for ICU &amp; HDU patients</w:t>
      </w:r>
    </w:p>
    <w:p w14:paraId="2F51A8C1" w14:textId="7041F14B" w:rsidR="000A7335" w:rsidRPr="00D038F6" w:rsidRDefault="00193AF0" w:rsidP="002A038D">
      <w:pPr>
        <w:pStyle w:val="ListParagraph"/>
        <w:numPr>
          <w:ilvl w:val="0"/>
          <w:numId w:val="2"/>
        </w:numPr>
        <w:ind w:left="360"/>
        <w:rPr>
          <w:rFonts w:cs="Arial"/>
          <w:szCs w:val="24"/>
        </w:rPr>
      </w:pPr>
      <w:r w:rsidRPr="00CD2078">
        <w:t>Management of Diabetic Ketoacidosis in</w:t>
      </w:r>
      <w:r w:rsidR="00CD2078">
        <w:t xml:space="preserve"> </w:t>
      </w:r>
      <w:r w:rsidRPr="00CD2078">
        <w:t xml:space="preserve">Adults </w:t>
      </w:r>
    </w:p>
    <w:p w14:paraId="07D73F7A" w14:textId="653A7B09" w:rsidR="00D038F6" w:rsidRPr="00CD2078" w:rsidRDefault="00D038F6" w:rsidP="002A038D">
      <w:pPr>
        <w:pStyle w:val="ListParagraph"/>
        <w:numPr>
          <w:ilvl w:val="0"/>
          <w:numId w:val="2"/>
        </w:numPr>
        <w:ind w:left="360"/>
        <w:rPr>
          <w:rFonts w:cs="Arial"/>
          <w:szCs w:val="24"/>
        </w:rPr>
      </w:pPr>
      <w:r w:rsidRPr="001A0D4D">
        <w:rPr>
          <w:rFonts w:eastAsiaTheme="majorEastAsia" w:cs="Arial"/>
        </w:rPr>
        <w:lastRenderedPageBreak/>
        <w:t xml:space="preserve">Central Venous Access Devices (CVAD) </w:t>
      </w:r>
      <w:r>
        <w:rPr>
          <w:rFonts w:eastAsiaTheme="majorEastAsia" w:cs="Arial"/>
        </w:rPr>
        <w:t>Management – Children, Adolescents and Adults (NOT Neonates)</w:t>
      </w:r>
    </w:p>
    <w:p w14:paraId="4F1CDC70" w14:textId="071CA065" w:rsidR="002A038D" w:rsidRPr="002A038D" w:rsidRDefault="00CD2078" w:rsidP="002A038D">
      <w:pPr>
        <w:pStyle w:val="ListParagraph"/>
        <w:numPr>
          <w:ilvl w:val="0"/>
          <w:numId w:val="2"/>
        </w:numPr>
        <w:ind w:left="360"/>
        <w:rPr>
          <w:rFonts w:cs="Arial"/>
          <w:szCs w:val="24"/>
        </w:rPr>
      </w:pPr>
      <w:r>
        <w:rPr>
          <w:rStyle w:val="normaltextrun"/>
          <w:rFonts w:cs="Calibri"/>
          <w:bCs/>
          <w:color w:val="000000"/>
          <w:szCs w:val="24"/>
          <w:shd w:val="clear" w:color="auto" w:fill="FFFFFF"/>
        </w:rPr>
        <w:t xml:space="preserve">NCH </w:t>
      </w:r>
      <w:r w:rsidR="002A038D" w:rsidRPr="002A038D">
        <w:rPr>
          <w:rStyle w:val="normaltextrun"/>
          <w:rFonts w:cs="Calibri"/>
          <w:bCs/>
          <w:color w:val="000000"/>
          <w:szCs w:val="24"/>
          <w:shd w:val="clear" w:color="auto" w:fill="FFFFFF"/>
        </w:rPr>
        <w:t xml:space="preserve">Subcutaneous </w:t>
      </w:r>
      <w:r>
        <w:rPr>
          <w:rStyle w:val="normaltextrun"/>
          <w:rFonts w:cs="Calibri"/>
          <w:bCs/>
          <w:color w:val="000000"/>
          <w:szCs w:val="24"/>
          <w:shd w:val="clear" w:color="auto" w:fill="FFFFFF"/>
        </w:rPr>
        <w:t xml:space="preserve">Insulin Management </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C25086">
      <w:pPr>
        <w:numPr>
          <w:ilvl w:val="0"/>
          <w:numId w:val="2"/>
        </w:numPr>
        <w:ind w:left="360"/>
        <w:rPr>
          <w:rFonts w:cs="Arial"/>
          <w:szCs w:val="24"/>
        </w:rPr>
      </w:pPr>
      <w:r w:rsidRPr="63542FD7">
        <w:rPr>
          <w:rFonts w:cs="Arial"/>
          <w:i/>
          <w:iCs/>
        </w:rPr>
        <w:t>Health Records (Privacy and Access) Act</w:t>
      </w:r>
      <w:r w:rsidRPr="63542FD7">
        <w:rPr>
          <w:rFonts w:cs="Arial"/>
        </w:rPr>
        <w:t xml:space="preserve"> 1997</w:t>
      </w:r>
    </w:p>
    <w:p w14:paraId="2F51A8C7" w14:textId="77777777" w:rsidR="000A7335" w:rsidRPr="000A7335" w:rsidRDefault="000A7335" w:rsidP="00C25086">
      <w:pPr>
        <w:numPr>
          <w:ilvl w:val="0"/>
          <w:numId w:val="2"/>
        </w:numPr>
        <w:ind w:left="360"/>
        <w:rPr>
          <w:rFonts w:cs="Arial"/>
          <w:szCs w:val="24"/>
        </w:rPr>
      </w:pPr>
      <w:r w:rsidRPr="63542FD7">
        <w:rPr>
          <w:rFonts w:cs="Arial"/>
          <w:i/>
          <w:iCs/>
        </w:rPr>
        <w:t>Human Rights Act</w:t>
      </w:r>
      <w:r w:rsidRPr="63542FD7">
        <w:rPr>
          <w:rFonts w:cs="Arial"/>
        </w:rPr>
        <w:t xml:space="preserve"> 2004</w:t>
      </w:r>
    </w:p>
    <w:p w14:paraId="2F51A8C8" w14:textId="18E77DAD" w:rsidR="000A7335" w:rsidRDefault="000A7335" w:rsidP="00C25086">
      <w:pPr>
        <w:numPr>
          <w:ilvl w:val="0"/>
          <w:numId w:val="2"/>
        </w:numPr>
        <w:ind w:left="360"/>
        <w:rPr>
          <w:rFonts w:cs="Arial"/>
          <w:szCs w:val="24"/>
        </w:rPr>
      </w:pPr>
      <w:r w:rsidRPr="63542FD7">
        <w:rPr>
          <w:rFonts w:cs="Arial"/>
          <w:i/>
          <w:iCs/>
        </w:rPr>
        <w:t>Work Health and Safety Act</w:t>
      </w:r>
      <w:r w:rsidRPr="63542FD7">
        <w:rPr>
          <w:rFonts w:cs="Arial"/>
        </w:rPr>
        <w:t xml:space="preserve"> 2011</w:t>
      </w:r>
    </w:p>
    <w:p w14:paraId="22493825" w14:textId="77777777" w:rsidR="00286EB2" w:rsidRPr="00286EB2" w:rsidRDefault="00286EB2" w:rsidP="00286EB2">
      <w:pPr>
        <w:rPr>
          <w:rFonts w:cs="Arial"/>
          <w:highlight w:val="yellow"/>
        </w:rPr>
      </w:pPr>
    </w:p>
    <w:p w14:paraId="2F51A8CA" w14:textId="77777777" w:rsidR="007B6904" w:rsidRDefault="00131C38"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5" w:name="_Toc389473288"/>
            <w:bookmarkStart w:id="26" w:name="_Toc161406386"/>
            <w:r>
              <w:t>References</w:t>
            </w:r>
            <w:bookmarkEnd w:id="25"/>
            <w:bookmarkEnd w:id="26"/>
          </w:p>
        </w:tc>
      </w:tr>
    </w:tbl>
    <w:p w14:paraId="596EE53A" w14:textId="77777777" w:rsidR="00380280" w:rsidRPr="00380280" w:rsidRDefault="00380280" w:rsidP="00380280">
      <w:pPr>
        <w:jc w:val="both"/>
        <w:rPr>
          <w:i/>
          <w:szCs w:val="24"/>
        </w:rPr>
      </w:pPr>
    </w:p>
    <w:p w14:paraId="0E5CCB20" w14:textId="77777777" w:rsidR="00380280" w:rsidRPr="000D1C9E" w:rsidRDefault="00380280" w:rsidP="00DB7288">
      <w:pPr>
        <w:numPr>
          <w:ilvl w:val="0"/>
          <w:numId w:val="3"/>
        </w:numPr>
        <w:ind w:left="357" w:hanging="357"/>
        <w:rPr>
          <w:rFonts w:cs="Arial"/>
        </w:rPr>
      </w:pPr>
      <w:r w:rsidRPr="000D1C9E">
        <w:rPr>
          <w:rFonts w:cs="Arial"/>
        </w:rPr>
        <w:t xml:space="preserve">Goldberg, P., Siegel, M., Sherwin, R., </w:t>
      </w:r>
      <w:proofErr w:type="spellStart"/>
      <w:r w:rsidRPr="000D1C9E">
        <w:rPr>
          <w:rFonts w:cs="Arial"/>
        </w:rPr>
        <w:t>Halikman</w:t>
      </w:r>
      <w:proofErr w:type="spellEnd"/>
      <w:r w:rsidRPr="000D1C9E">
        <w:rPr>
          <w:rFonts w:cs="Arial"/>
        </w:rPr>
        <w:t xml:space="preserve">, J., Lee, M., Bailey, V., Lee, S., </w:t>
      </w:r>
      <w:proofErr w:type="spellStart"/>
      <w:r w:rsidRPr="000D1C9E">
        <w:rPr>
          <w:rFonts w:cs="Arial"/>
        </w:rPr>
        <w:t>Dziura</w:t>
      </w:r>
      <w:proofErr w:type="spellEnd"/>
      <w:r w:rsidRPr="000D1C9E">
        <w:rPr>
          <w:rFonts w:cs="Arial"/>
        </w:rPr>
        <w:t xml:space="preserve">, J., &amp; </w:t>
      </w:r>
      <w:proofErr w:type="spellStart"/>
      <w:r w:rsidRPr="000D1C9E">
        <w:rPr>
          <w:rFonts w:cs="Arial"/>
        </w:rPr>
        <w:t>Inzucchi</w:t>
      </w:r>
      <w:proofErr w:type="spellEnd"/>
      <w:r w:rsidRPr="000D1C9E">
        <w:rPr>
          <w:rFonts w:cs="Arial"/>
        </w:rPr>
        <w:t>, S. (2004). Implementation of a safe and effective insulin infusion protocol in a medical intensive care unit. Diabetes Care. 27(2) 461-468.</w:t>
      </w:r>
    </w:p>
    <w:p w14:paraId="18E93111" w14:textId="77777777" w:rsidR="00380280" w:rsidRPr="000D1C9E" w:rsidRDefault="00380280" w:rsidP="00DB7288">
      <w:pPr>
        <w:numPr>
          <w:ilvl w:val="0"/>
          <w:numId w:val="3"/>
        </w:numPr>
        <w:ind w:left="357" w:hanging="357"/>
        <w:rPr>
          <w:rFonts w:cs="Arial"/>
        </w:rPr>
      </w:pPr>
      <w:proofErr w:type="spellStart"/>
      <w:r w:rsidRPr="000D1C9E">
        <w:rPr>
          <w:rFonts w:cs="Arial"/>
        </w:rPr>
        <w:t>Inzucchi</w:t>
      </w:r>
      <w:proofErr w:type="spellEnd"/>
      <w:r w:rsidRPr="000D1C9E">
        <w:rPr>
          <w:rFonts w:cs="Arial"/>
        </w:rPr>
        <w:t>, S. (2006). Management of Hyperglycaemia in the Hospital Setting. The New England Journal of Medicine. 355(18) 1903-1911. Accessed November 2017,</w:t>
      </w:r>
      <w:r w:rsidRPr="000D1C9E">
        <w:t xml:space="preserve"> </w:t>
      </w:r>
      <w:hyperlink r:id="rId13" w:history="1">
        <w:r w:rsidRPr="000D1C9E">
          <w:rPr>
            <w:rStyle w:val="Hyperlink"/>
            <w:rFonts w:eastAsiaTheme="majorEastAsia" w:cs="Arial"/>
            <w:u w:val="none"/>
          </w:rPr>
          <w:t>http://www.nejm.org/doi/pdf/10.1056/NEJMcp060094</w:t>
        </w:r>
      </w:hyperlink>
    </w:p>
    <w:p w14:paraId="450C139F" w14:textId="77777777" w:rsidR="00380280" w:rsidRPr="000D1C9E" w:rsidRDefault="00380280" w:rsidP="00DB7288">
      <w:pPr>
        <w:numPr>
          <w:ilvl w:val="0"/>
          <w:numId w:val="3"/>
        </w:numPr>
        <w:ind w:left="357" w:hanging="357"/>
      </w:pPr>
      <w:r w:rsidRPr="000D1C9E">
        <w:t>NHMRC (2011) National Evidence Based Clinical Care Guidelines for Type 1 Diabetes for Children, Adolescents and Adults, Chapter 17 Acute Complications – diabetic ketoacidosis and sick day management, Commonwealth of Australia.</w:t>
      </w:r>
    </w:p>
    <w:p w14:paraId="7B59884F" w14:textId="77777777" w:rsidR="00380280" w:rsidRPr="000D1C9E" w:rsidRDefault="00380280" w:rsidP="00DB7288">
      <w:pPr>
        <w:numPr>
          <w:ilvl w:val="0"/>
          <w:numId w:val="3"/>
        </w:numPr>
        <w:ind w:left="357" w:hanging="357"/>
      </w:pPr>
      <w:r w:rsidRPr="000D1C9E">
        <w:t xml:space="preserve">NSW Health, Insulin Prescribing &amp; Administration via Intravenous Administration in the ICU, ICU2 and CICU St George Hospital, revised 2017, accessed November 2017, </w:t>
      </w:r>
      <w:hyperlink r:id="rId14" w:history="1">
        <w:r w:rsidRPr="000D1C9E">
          <w:rPr>
            <w:rStyle w:val="Hyperlink"/>
            <w:rFonts w:eastAsiaTheme="majorEastAsia"/>
            <w:u w:val="none"/>
          </w:rPr>
          <w:t>https://www.aci.health.nsw.gov.au/__data/assets/pdf_file/0006/306375/stgeorgeInsulin_Prescribing_Administration_Via_Insulin_Infusion_CLINICU_SGH.pdf</w:t>
        </w:r>
      </w:hyperlink>
    </w:p>
    <w:p w14:paraId="34CF3ED4" w14:textId="77777777" w:rsidR="00380280" w:rsidRPr="000D1C9E" w:rsidRDefault="00380280" w:rsidP="00DB7288">
      <w:pPr>
        <w:numPr>
          <w:ilvl w:val="0"/>
          <w:numId w:val="3"/>
        </w:numPr>
        <w:ind w:left="357" w:hanging="357"/>
      </w:pPr>
      <w:r w:rsidRPr="000D1C9E">
        <w:rPr>
          <w:rFonts w:asciiTheme="minorHAnsi" w:hAnsiTheme="minorHAnsi" w:cs="Helvetica"/>
          <w:color w:val="0A0905"/>
        </w:rPr>
        <w:t xml:space="preserve">Jacobi, Judith PharmD, </w:t>
      </w:r>
      <w:proofErr w:type="gramStart"/>
      <w:r w:rsidRPr="000D1C9E">
        <w:rPr>
          <w:rFonts w:asciiTheme="minorHAnsi" w:hAnsiTheme="minorHAnsi" w:cs="Helvetica"/>
          <w:color w:val="0A0905"/>
        </w:rPr>
        <w:t>FCCM;</w:t>
      </w:r>
      <w:r w:rsidRPr="000D1C9E">
        <w:rPr>
          <w:rFonts w:asciiTheme="minorHAnsi" w:hAnsiTheme="minorHAnsi"/>
        </w:rPr>
        <w:t xml:space="preserve">  et</w:t>
      </w:r>
      <w:proofErr w:type="gramEnd"/>
      <w:r w:rsidRPr="000D1C9E">
        <w:rPr>
          <w:rFonts w:asciiTheme="minorHAnsi" w:hAnsiTheme="minorHAnsi"/>
        </w:rPr>
        <w:t xml:space="preserve"> al, ‘</w:t>
      </w:r>
      <w:r w:rsidRPr="000D1C9E">
        <w:rPr>
          <w:rFonts w:asciiTheme="minorHAnsi" w:hAnsiTheme="minorHAnsi" w:cs="Helvetica"/>
          <w:color w:val="0A0905"/>
        </w:rPr>
        <w:t xml:space="preserve">Guidelines for the use of an insulin infusion for the management of </w:t>
      </w:r>
      <w:proofErr w:type="spellStart"/>
      <w:r w:rsidRPr="000D1C9E">
        <w:rPr>
          <w:rFonts w:asciiTheme="minorHAnsi" w:hAnsiTheme="minorHAnsi" w:cs="Helvetica"/>
          <w:color w:val="0A0905"/>
        </w:rPr>
        <w:t>hyperglycemia</w:t>
      </w:r>
      <w:proofErr w:type="spellEnd"/>
      <w:r w:rsidRPr="000D1C9E">
        <w:rPr>
          <w:rFonts w:asciiTheme="minorHAnsi" w:hAnsiTheme="minorHAnsi" w:cs="Helvetica"/>
          <w:color w:val="0A0905"/>
        </w:rPr>
        <w:t xml:space="preserve"> in critically ill patients’ , accessed November 2017, </w:t>
      </w:r>
      <w:r w:rsidRPr="000D1C9E">
        <w:rPr>
          <w:rFonts w:asciiTheme="minorHAnsi" w:hAnsiTheme="minorHAnsi"/>
        </w:rPr>
        <w:t>https://www.ncbi.nlm.nih.gov/pubmed/23164767</w:t>
      </w:r>
    </w:p>
    <w:p w14:paraId="0DAA15DF" w14:textId="77777777" w:rsidR="00380280" w:rsidRPr="000D1C9E" w:rsidRDefault="00380280" w:rsidP="00DB7288">
      <w:pPr>
        <w:numPr>
          <w:ilvl w:val="0"/>
          <w:numId w:val="3"/>
        </w:numPr>
        <w:ind w:left="357" w:hanging="357"/>
      </w:pPr>
      <w:r w:rsidRPr="000D1C9E">
        <w:t>Parsons. P., &amp; Watkinson. P. (2007). Blood glucose control in the critical care patient. British Association of Critical Care Nurses, 12 (4), 202-210</w:t>
      </w:r>
    </w:p>
    <w:bookmarkStart w:id="27" w:name="citation"/>
    <w:p w14:paraId="5115D118" w14:textId="77777777" w:rsidR="00380280" w:rsidRPr="000D1C9E" w:rsidRDefault="00380280" w:rsidP="00DB7288">
      <w:pPr>
        <w:pStyle w:val="ListParagraph"/>
        <w:numPr>
          <w:ilvl w:val="0"/>
          <w:numId w:val="3"/>
        </w:numPr>
        <w:autoSpaceDE w:val="0"/>
        <w:autoSpaceDN w:val="0"/>
        <w:adjustRightInd w:val="0"/>
        <w:ind w:left="357" w:hanging="357"/>
        <w:contextualSpacing w:val="0"/>
        <w:rPr>
          <w:rFonts w:asciiTheme="minorHAnsi" w:hAnsiTheme="minorHAnsi"/>
        </w:rPr>
      </w:pPr>
      <w:r w:rsidRPr="000D1C9E">
        <w:rPr>
          <w:rFonts w:asciiTheme="minorHAnsi" w:hAnsiTheme="minorHAnsi"/>
          <w:lang w:val="en"/>
        </w:rPr>
        <w:fldChar w:fldCharType="begin"/>
      </w:r>
      <w:r w:rsidRPr="000D1C9E">
        <w:rPr>
          <w:rFonts w:asciiTheme="minorHAnsi" w:hAnsiTheme="minorHAnsi"/>
          <w:lang w:val="en"/>
        </w:rPr>
        <w:instrText xml:space="preserve"> HYPERLINK "javascript:__doLinkPostBack('','ss~~AR%20%22Nyquist%2C%20Sharon%20K.%22%7C%7Csl~~rl','');" \o "Search for Nyquist, Sharon K." </w:instrText>
      </w:r>
      <w:r w:rsidRPr="000D1C9E">
        <w:rPr>
          <w:rFonts w:asciiTheme="minorHAnsi" w:hAnsiTheme="minorHAnsi"/>
          <w:lang w:val="en"/>
        </w:rPr>
      </w:r>
      <w:r w:rsidRPr="000D1C9E">
        <w:rPr>
          <w:rFonts w:asciiTheme="minorHAnsi" w:hAnsiTheme="minorHAnsi"/>
          <w:lang w:val="en"/>
        </w:rPr>
        <w:fldChar w:fldCharType="separate"/>
      </w:r>
      <w:r w:rsidRPr="000D1C9E">
        <w:rPr>
          <w:rStyle w:val="Hyperlink"/>
          <w:rFonts w:asciiTheme="minorHAnsi" w:eastAsiaTheme="majorEastAsia" w:hAnsiTheme="minorHAnsi" w:cs="Helvetica"/>
          <w:color w:val="auto"/>
          <w:u w:val="none"/>
          <w:lang w:val="en"/>
        </w:rPr>
        <w:t>Nyquist, Sharon K.</w:t>
      </w:r>
      <w:r w:rsidRPr="000D1C9E">
        <w:rPr>
          <w:rFonts w:asciiTheme="minorHAnsi" w:hAnsiTheme="minorHAnsi"/>
          <w:lang w:val="en"/>
        </w:rPr>
        <w:fldChar w:fldCharType="end"/>
      </w:r>
      <w:r w:rsidRPr="000D1C9E">
        <w:rPr>
          <w:rFonts w:asciiTheme="minorHAnsi" w:hAnsiTheme="minorHAnsi"/>
          <w:lang w:val="en"/>
        </w:rPr>
        <w:t xml:space="preserve">; </w:t>
      </w:r>
      <w:hyperlink r:id="rId15" w:tooltip="Search for Anderson, JoAnn L." w:history="1">
        <w:r w:rsidRPr="000D1C9E">
          <w:rPr>
            <w:rStyle w:val="Hyperlink"/>
            <w:rFonts w:asciiTheme="minorHAnsi" w:eastAsiaTheme="majorEastAsia" w:hAnsiTheme="minorHAnsi" w:cs="Helvetica"/>
            <w:color w:val="auto"/>
            <w:u w:val="none"/>
            <w:lang w:val="en"/>
          </w:rPr>
          <w:t>Anderson, JoAnn L.</w:t>
        </w:r>
      </w:hyperlink>
      <w:r w:rsidRPr="000D1C9E">
        <w:rPr>
          <w:rFonts w:asciiTheme="minorHAnsi" w:hAnsiTheme="minorHAnsi"/>
          <w:lang w:val="en"/>
        </w:rPr>
        <w:t xml:space="preserve">; </w:t>
      </w:r>
      <w:hyperlink r:id="rId16" w:tooltip="Search for Donahue, Rachel H." w:history="1">
        <w:r w:rsidRPr="000D1C9E">
          <w:rPr>
            <w:rStyle w:val="Hyperlink"/>
            <w:rFonts w:asciiTheme="minorHAnsi" w:eastAsiaTheme="majorEastAsia" w:hAnsiTheme="minorHAnsi" w:cs="Helvetica"/>
            <w:color w:val="auto"/>
            <w:u w:val="none"/>
            <w:lang w:val="en"/>
          </w:rPr>
          <w:t>Donahue, Rachel H.</w:t>
        </w:r>
      </w:hyperlink>
      <w:r w:rsidRPr="000D1C9E">
        <w:rPr>
          <w:rFonts w:asciiTheme="minorHAnsi" w:hAnsiTheme="minorHAnsi"/>
          <w:lang w:val="en"/>
        </w:rPr>
        <w:t xml:space="preserve">; </w:t>
      </w:r>
      <w:hyperlink r:id="rId17" w:tooltip="Search for Caruso, Eva" w:history="1">
        <w:r w:rsidRPr="000D1C9E">
          <w:rPr>
            <w:rStyle w:val="Hyperlink"/>
            <w:rFonts w:asciiTheme="minorHAnsi" w:eastAsiaTheme="majorEastAsia" w:hAnsiTheme="minorHAnsi" w:cs="Helvetica"/>
            <w:color w:val="auto"/>
            <w:u w:val="none"/>
            <w:lang w:val="en"/>
          </w:rPr>
          <w:t>Caruso, Eva</w:t>
        </w:r>
      </w:hyperlink>
      <w:r w:rsidRPr="000D1C9E">
        <w:rPr>
          <w:rFonts w:asciiTheme="minorHAnsi" w:hAnsiTheme="minorHAnsi"/>
          <w:lang w:val="en"/>
        </w:rPr>
        <w:t xml:space="preserve">; </w:t>
      </w:r>
      <w:hyperlink r:id="rId18" w:tooltip="Search for Alore, Michelle L." w:history="1">
        <w:proofErr w:type="spellStart"/>
        <w:r w:rsidRPr="000D1C9E">
          <w:rPr>
            <w:rStyle w:val="Hyperlink"/>
            <w:rFonts w:asciiTheme="minorHAnsi" w:eastAsiaTheme="majorEastAsia" w:hAnsiTheme="minorHAnsi" w:cs="Helvetica"/>
            <w:color w:val="auto"/>
            <w:u w:val="none"/>
            <w:lang w:val="en"/>
          </w:rPr>
          <w:t>Alore</w:t>
        </w:r>
        <w:proofErr w:type="spellEnd"/>
        <w:r w:rsidRPr="000D1C9E">
          <w:rPr>
            <w:rStyle w:val="Hyperlink"/>
            <w:rFonts w:asciiTheme="minorHAnsi" w:eastAsiaTheme="majorEastAsia" w:hAnsiTheme="minorHAnsi" w:cs="Helvetica"/>
            <w:color w:val="auto"/>
            <w:u w:val="none"/>
            <w:lang w:val="en"/>
          </w:rPr>
          <w:t>, Michelle L.</w:t>
        </w:r>
      </w:hyperlink>
      <w:r w:rsidRPr="000D1C9E">
        <w:rPr>
          <w:rFonts w:asciiTheme="minorHAnsi" w:hAnsiTheme="minorHAnsi"/>
          <w:lang w:val="en"/>
        </w:rPr>
        <w:t xml:space="preserve">; </w:t>
      </w:r>
      <w:hyperlink r:id="rId19" w:tooltip="Search for Larson, Joel S." w:history="1">
        <w:r w:rsidRPr="000D1C9E">
          <w:rPr>
            <w:rStyle w:val="Hyperlink"/>
            <w:rFonts w:asciiTheme="minorHAnsi" w:eastAsiaTheme="majorEastAsia" w:hAnsiTheme="minorHAnsi" w:cs="Helvetica"/>
            <w:color w:val="auto"/>
            <w:u w:val="none"/>
            <w:lang w:val="en"/>
          </w:rPr>
          <w:t>Larson, Joel S.</w:t>
        </w:r>
      </w:hyperlink>
      <w:r w:rsidRPr="000D1C9E">
        <w:rPr>
          <w:rFonts w:asciiTheme="minorHAnsi" w:hAnsiTheme="minorHAnsi"/>
          <w:lang w:val="en"/>
        </w:rPr>
        <w:t xml:space="preserve"> (2012). </w:t>
      </w:r>
      <w:r w:rsidRPr="000D1C9E">
        <w:rPr>
          <w:rFonts w:asciiTheme="minorHAnsi" w:hAnsiTheme="minorHAnsi"/>
          <w:bCs/>
          <w:lang w:val="en"/>
        </w:rPr>
        <w:t>Nurse</w:t>
      </w:r>
      <w:r w:rsidRPr="000D1C9E">
        <w:rPr>
          <w:rFonts w:asciiTheme="minorHAnsi" w:hAnsiTheme="minorHAnsi"/>
          <w:lang w:val="en"/>
        </w:rPr>
        <w:t xml:space="preserve">-Driven </w:t>
      </w:r>
      <w:r w:rsidRPr="000D1C9E">
        <w:rPr>
          <w:rFonts w:asciiTheme="minorHAnsi" w:hAnsiTheme="minorHAnsi"/>
          <w:bCs/>
          <w:lang w:val="en"/>
        </w:rPr>
        <w:t>Titration</w:t>
      </w:r>
      <w:r w:rsidRPr="000D1C9E">
        <w:rPr>
          <w:rFonts w:asciiTheme="minorHAnsi" w:hAnsiTheme="minorHAnsi"/>
          <w:lang w:val="en"/>
        </w:rPr>
        <w:t xml:space="preserve"> of Continuous </w:t>
      </w:r>
      <w:r w:rsidRPr="000D1C9E">
        <w:rPr>
          <w:rFonts w:asciiTheme="minorHAnsi" w:hAnsiTheme="minorHAnsi"/>
          <w:bCs/>
          <w:lang w:val="en"/>
        </w:rPr>
        <w:t>Insulin</w:t>
      </w:r>
      <w:r w:rsidRPr="000D1C9E">
        <w:rPr>
          <w:rFonts w:asciiTheme="minorHAnsi" w:hAnsiTheme="minorHAnsi"/>
          <w:lang w:val="en"/>
        </w:rPr>
        <w:t xml:space="preserve"> Infusion in Post-Cardiac Surgery Patients</w:t>
      </w:r>
      <w:bookmarkEnd w:id="27"/>
      <w:r w:rsidRPr="000D1C9E">
        <w:rPr>
          <w:rFonts w:asciiTheme="minorHAnsi" w:hAnsiTheme="minorHAnsi"/>
          <w:lang w:val="en"/>
        </w:rPr>
        <w:t xml:space="preserve">; </w:t>
      </w:r>
      <w:hyperlink r:id="rId20" w:tooltip="Search for Dimensions of Critical Care Nursing" w:history="1">
        <w:r w:rsidRPr="000D1C9E">
          <w:rPr>
            <w:rStyle w:val="Hyperlink"/>
            <w:rFonts w:asciiTheme="minorHAnsi" w:eastAsiaTheme="majorEastAsia" w:hAnsiTheme="minorHAnsi" w:cs="Helvetica"/>
            <w:color w:val="auto"/>
            <w:u w:val="none"/>
            <w:lang w:val="en"/>
          </w:rPr>
          <w:t>Dimensions of Critical Care Nursing</w:t>
        </w:r>
      </w:hyperlink>
      <w:r w:rsidRPr="000D1C9E">
        <w:rPr>
          <w:rFonts w:asciiTheme="minorHAnsi" w:hAnsiTheme="minorHAnsi"/>
          <w:lang w:val="en"/>
        </w:rPr>
        <w:t xml:space="preserve"> (DCCN), 31(3): 188-192.</w:t>
      </w:r>
    </w:p>
    <w:p w14:paraId="2F51A8D4" w14:textId="77777777" w:rsidR="007B6904" w:rsidRPr="00DE4E25" w:rsidRDefault="007B6904" w:rsidP="007B6904">
      <w:pPr>
        <w:jc w:val="right"/>
        <w:rPr>
          <w:szCs w:val="24"/>
        </w:rPr>
      </w:pPr>
    </w:p>
    <w:p w14:paraId="2F51A8D5" w14:textId="77777777" w:rsidR="00FF56DD" w:rsidRDefault="00131C38"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22E7C98F" w:rsidR="00FF56DD" w:rsidRPr="000F1F60" w:rsidRDefault="00FF56DD" w:rsidP="004213C3">
            <w:pPr>
              <w:pStyle w:val="Heading1"/>
            </w:pPr>
            <w:bookmarkStart w:id="28" w:name="_Toc161406387"/>
            <w:r>
              <w:t>Definition of Terms</w:t>
            </w:r>
            <w:bookmarkEnd w:id="28"/>
            <w:r>
              <w:t xml:space="preserve"> </w:t>
            </w:r>
          </w:p>
        </w:tc>
      </w:tr>
    </w:tbl>
    <w:p w14:paraId="2F51A8D8" w14:textId="77777777" w:rsidR="00FF56DD" w:rsidRDefault="00FF56DD" w:rsidP="00FF56DD">
      <w:pPr>
        <w:rPr>
          <w:rFonts w:cs="Arial"/>
          <w:szCs w:val="24"/>
        </w:rPr>
      </w:pPr>
    </w:p>
    <w:p w14:paraId="022FCD14" w14:textId="77777777" w:rsidR="000D1C9E" w:rsidRDefault="000D1C9E" w:rsidP="000D1C9E">
      <w:pPr>
        <w:autoSpaceDE w:val="0"/>
        <w:autoSpaceDN w:val="0"/>
        <w:adjustRightInd w:val="0"/>
        <w:spacing w:line="276" w:lineRule="auto"/>
      </w:pPr>
      <w:r w:rsidRPr="00286EB2">
        <w:rPr>
          <w:b/>
        </w:rPr>
        <w:t>ASAP:</w:t>
      </w:r>
      <w:r>
        <w:t xml:space="preserve"> As Soon As Possible</w:t>
      </w:r>
    </w:p>
    <w:p w14:paraId="6CE885A8" w14:textId="77777777" w:rsidR="000D1C9E" w:rsidRDefault="000D1C9E" w:rsidP="000D1C9E">
      <w:pPr>
        <w:autoSpaceDE w:val="0"/>
        <w:autoSpaceDN w:val="0"/>
        <w:adjustRightInd w:val="0"/>
        <w:spacing w:line="276" w:lineRule="auto"/>
      </w:pPr>
      <w:r w:rsidRPr="00286EB2">
        <w:rPr>
          <w:b/>
        </w:rPr>
        <w:t>BGL:</w:t>
      </w:r>
      <w:r>
        <w:t xml:space="preserve"> Blood Glucose Level</w:t>
      </w:r>
    </w:p>
    <w:p w14:paraId="2F5C61B0" w14:textId="77777777" w:rsidR="000D1C9E" w:rsidRDefault="000D1C9E" w:rsidP="000D1C9E">
      <w:pPr>
        <w:autoSpaceDE w:val="0"/>
        <w:autoSpaceDN w:val="0"/>
        <w:adjustRightInd w:val="0"/>
        <w:spacing w:line="276" w:lineRule="auto"/>
      </w:pPr>
      <w:r w:rsidRPr="00286EB2">
        <w:rPr>
          <w:b/>
        </w:rPr>
        <w:t>BKL:</w:t>
      </w:r>
      <w:r>
        <w:t xml:space="preserve"> Blood Ketone Level</w:t>
      </w:r>
    </w:p>
    <w:p w14:paraId="2311C3AA" w14:textId="281097BF" w:rsidR="00286EB2" w:rsidRPr="001E4AD0" w:rsidRDefault="00286EB2" w:rsidP="00286EB2">
      <w:pPr>
        <w:autoSpaceDE w:val="0"/>
        <w:autoSpaceDN w:val="0"/>
        <w:adjustRightInd w:val="0"/>
        <w:spacing w:line="276" w:lineRule="auto"/>
      </w:pPr>
      <w:proofErr w:type="spellStart"/>
      <w:r w:rsidRPr="00286EB2">
        <w:rPr>
          <w:b/>
        </w:rPr>
        <w:t>cBG</w:t>
      </w:r>
      <w:r w:rsidR="006D540E">
        <w:rPr>
          <w:b/>
        </w:rPr>
        <w:t>L</w:t>
      </w:r>
      <w:proofErr w:type="spellEnd"/>
      <w:r w:rsidR="006D540E">
        <w:rPr>
          <w:b/>
        </w:rPr>
        <w:t xml:space="preserve">: </w:t>
      </w:r>
      <w:r w:rsidRPr="001E4AD0">
        <w:t>Capillary Blood Glucose Level</w:t>
      </w:r>
      <w:r w:rsidRPr="001E4AD0">
        <w:tab/>
      </w:r>
    </w:p>
    <w:p w14:paraId="7B8C1504" w14:textId="386C35C1" w:rsidR="00286EB2" w:rsidRDefault="00286EB2" w:rsidP="00286EB2">
      <w:pPr>
        <w:autoSpaceDE w:val="0"/>
        <w:autoSpaceDN w:val="0"/>
        <w:adjustRightInd w:val="0"/>
        <w:spacing w:line="276" w:lineRule="auto"/>
      </w:pPr>
      <w:proofErr w:type="spellStart"/>
      <w:r w:rsidRPr="00286EB2">
        <w:rPr>
          <w:b/>
        </w:rPr>
        <w:t>cBKL</w:t>
      </w:r>
      <w:proofErr w:type="spellEnd"/>
      <w:r w:rsidR="006D540E">
        <w:rPr>
          <w:b/>
        </w:rPr>
        <w:t xml:space="preserve">: </w:t>
      </w:r>
      <w:r w:rsidRPr="001E4AD0">
        <w:t>Capillary Blood</w:t>
      </w:r>
      <w:r w:rsidRPr="00F802B2">
        <w:t xml:space="preserve"> Ketone Levels</w:t>
      </w:r>
    </w:p>
    <w:p w14:paraId="3A82A712" w14:textId="77777777" w:rsidR="000D1C9E" w:rsidRDefault="000D1C9E" w:rsidP="000D1C9E">
      <w:pPr>
        <w:autoSpaceDE w:val="0"/>
        <w:autoSpaceDN w:val="0"/>
        <w:adjustRightInd w:val="0"/>
        <w:spacing w:line="276" w:lineRule="auto"/>
      </w:pPr>
      <w:r w:rsidRPr="00286EB2">
        <w:rPr>
          <w:b/>
        </w:rPr>
        <w:lastRenderedPageBreak/>
        <w:t xml:space="preserve">CDN: </w:t>
      </w:r>
      <w:r>
        <w:t>Clinical Development Nurse</w:t>
      </w:r>
    </w:p>
    <w:p w14:paraId="41503116" w14:textId="77777777" w:rsidR="000D1C9E" w:rsidRDefault="000D1C9E" w:rsidP="000D1C9E">
      <w:pPr>
        <w:autoSpaceDE w:val="0"/>
        <w:autoSpaceDN w:val="0"/>
        <w:adjustRightInd w:val="0"/>
        <w:spacing w:line="276" w:lineRule="auto"/>
      </w:pPr>
      <w:r w:rsidRPr="00286EB2">
        <w:rPr>
          <w:b/>
        </w:rPr>
        <w:t>CNC</w:t>
      </w:r>
      <w:r>
        <w:t>: Clinical Nurse Consultant</w:t>
      </w:r>
    </w:p>
    <w:p w14:paraId="3C77E0C6" w14:textId="77777777" w:rsidR="000D1C9E" w:rsidRDefault="000D1C9E" w:rsidP="000D1C9E">
      <w:pPr>
        <w:autoSpaceDE w:val="0"/>
        <w:autoSpaceDN w:val="0"/>
        <w:adjustRightInd w:val="0"/>
        <w:spacing w:line="276" w:lineRule="auto"/>
      </w:pPr>
      <w:r w:rsidRPr="00286EB2">
        <w:rPr>
          <w:b/>
        </w:rPr>
        <w:t>CNE:</w:t>
      </w:r>
      <w:r>
        <w:t xml:space="preserve"> Clinical Nurse Educator</w:t>
      </w:r>
    </w:p>
    <w:p w14:paraId="63EAC776" w14:textId="77777777" w:rsidR="000D1C9E" w:rsidRDefault="000D1C9E" w:rsidP="000D1C9E">
      <w:pPr>
        <w:autoSpaceDE w:val="0"/>
        <w:autoSpaceDN w:val="0"/>
        <w:adjustRightInd w:val="0"/>
        <w:spacing w:line="276" w:lineRule="auto"/>
      </w:pPr>
      <w:r w:rsidRPr="00286EB2">
        <w:rPr>
          <w:b/>
        </w:rPr>
        <w:t>CVAD</w:t>
      </w:r>
      <w:r>
        <w:rPr>
          <w:b/>
        </w:rPr>
        <w:t>:</w:t>
      </w:r>
      <w:r>
        <w:t xml:space="preserve"> Central Venous Access Device</w:t>
      </w:r>
    </w:p>
    <w:p w14:paraId="4AA62E64" w14:textId="4FA952B1" w:rsidR="00193AF0" w:rsidRDefault="00193AF0" w:rsidP="000D1C9E">
      <w:pPr>
        <w:autoSpaceDE w:val="0"/>
        <w:autoSpaceDN w:val="0"/>
        <w:adjustRightInd w:val="0"/>
        <w:spacing w:line="276" w:lineRule="auto"/>
        <w:rPr>
          <w:b/>
        </w:rPr>
      </w:pPr>
      <w:r>
        <w:rPr>
          <w:b/>
        </w:rPr>
        <w:t xml:space="preserve">DHR: </w:t>
      </w:r>
      <w:r>
        <w:t>Digital Health Record</w:t>
      </w:r>
    </w:p>
    <w:p w14:paraId="71F6DF1A" w14:textId="3B83CEED" w:rsidR="000D1C9E" w:rsidRDefault="000D1C9E" w:rsidP="000D1C9E">
      <w:pPr>
        <w:autoSpaceDE w:val="0"/>
        <w:autoSpaceDN w:val="0"/>
        <w:adjustRightInd w:val="0"/>
        <w:spacing w:line="276" w:lineRule="auto"/>
      </w:pPr>
      <w:r w:rsidRPr="00286EB2">
        <w:rPr>
          <w:b/>
        </w:rPr>
        <w:t>EEN</w:t>
      </w:r>
      <w:r>
        <w:rPr>
          <w:b/>
        </w:rPr>
        <w:t xml:space="preserve">: </w:t>
      </w:r>
      <w:r>
        <w:t>Endorsed Enrolled Nurse</w:t>
      </w:r>
    </w:p>
    <w:p w14:paraId="0EF6E9D3" w14:textId="77777777" w:rsidR="000D1C9E" w:rsidRDefault="000D1C9E" w:rsidP="000D1C9E">
      <w:pPr>
        <w:autoSpaceDE w:val="0"/>
        <w:autoSpaceDN w:val="0"/>
        <w:adjustRightInd w:val="0"/>
        <w:spacing w:line="276" w:lineRule="auto"/>
      </w:pPr>
      <w:r w:rsidRPr="00286EB2">
        <w:rPr>
          <w:b/>
        </w:rPr>
        <w:t xml:space="preserve">FBC: </w:t>
      </w:r>
      <w:r>
        <w:t>Fluid Balance Chart</w:t>
      </w:r>
    </w:p>
    <w:p w14:paraId="43018C39" w14:textId="77777777" w:rsidR="000D1C9E" w:rsidRDefault="000D1C9E" w:rsidP="000D1C9E">
      <w:pPr>
        <w:autoSpaceDE w:val="0"/>
        <w:autoSpaceDN w:val="0"/>
        <w:adjustRightInd w:val="0"/>
        <w:spacing w:line="276" w:lineRule="auto"/>
      </w:pPr>
      <w:r w:rsidRPr="00286EB2">
        <w:rPr>
          <w:b/>
        </w:rPr>
        <w:t>HDU:</w:t>
      </w:r>
      <w:r>
        <w:t xml:space="preserve"> High Dependency Unit</w:t>
      </w:r>
    </w:p>
    <w:p w14:paraId="6E307D8B" w14:textId="77777777" w:rsidR="000D1C9E" w:rsidRDefault="000D1C9E" w:rsidP="000D1C9E">
      <w:pPr>
        <w:autoSpaceDE w:val="0"/>
        <w:autoSpaceDN w:val="0"/>
        <w:adjustRightInd w:val="0"/>
        <w:spacing w:line="276" w:lineRule="auto"/>
      </w:pPr>
      <w:r w:rsidRPr="00286EB2">
        <w:rPr>
          <w:b/>
        </w:rPr>
        <w:t>ICU:</w:t>
      </w:r>
      <w:r>
        <w:t xml:space="preserve"> Intensive Care Unit</w:t>
      </w:r>
    </w:p>
    <w:p w14:paraId="554D299E" w14:textId="77777777" w:rsidR="000D1C9E" w:rsidRDefault="000D1C9E" w:rsidP="000D1C9E">
      <w:pPr>
        <w:autoSpaceDE w:val="0"/>
        <w:autoSpaceDN w:val="0"/>
        <w:adjustRightInd w:val="0"/>
        <w:spacing w:line="276" w:lineRule="auto"/>
      </w:pPr>
      <w:r w:rsidRPr="00286EB2">
        <w:rPr>
          <w:b/>
        </w:rPr>
        <w:t>IV:</w:t>
      </w:r>
      <w:r>
        <w:t xml:space="preserve"> Intravenous</w:t>
      </w:r>
    </w:p>
    <w:p w14:paraId="44D1DC21" w14:textId="16AAE0F3" w:rsidR="00286EB2" w:rsidRDefault="39A4E18D" w:rsidP="00286EB2">
      <w:pPr>
        <w:autoSpaceDE w:val="0"/>
        <w:autoSpaceDN w:val="0"/>
        <w:adjustRightInd w:val="0"/>
        <w:spacing w:line="276" w:lineRule="auto"/>
      </w:pPr>
      <w:r w:rsidRPr="5DE29503">
        <w:rPr>
          <w:b/>
          <w:bCs/>
        </w:rPr>
        <w:t xml:space="preserve">MAR: </w:t>
      </w:r>
      <w:r w:rsidRPr="002A038D">
        <w:rPr>
          <w:bCs/>
        </w:rPr>
        <w:t>Medication Administration record in DHR</w:t>
      </w:r>
    </w:p>
    <w:p w14:paraId="0844D3A5" w14:textId="03A99F24" w:rsidR="00286EB2" w:rsidRDefault="00286EB2" w:rsidP="00286EB2">
      <w:pPr>
        <w:autoSpaceDE w:val="0"/>
        <w:autoSpaceDN w:val="0"/>
        <w:adjustRightInd w:val="0"/>
        <w:spacing w:line="276" w:lineRule="auto"/>
      </w:pPr>
      <w:r w:rsidRPr="5DE29503">
        <w:rPr>
          <w:b/>
          <w:bCs/>
        </w:rPr>
        <w:t>MO</w:t>
      </w:r>
      <w:r w:rsidR="006D540E" w:rsidRPr="5DE29503">
        <w:rPr>
          <w:b/>
          <w:bCs/>
        </w:rPr>
        <w:t xml:space="preserve">: </w:t>
      </w:r>
      <w:r>
        <w:t>Medical Officer</w:t>
      </w:r>
    </w:p>
    <w:p w14:paraId="53781DEF" w14:textId="79B5E36D" w:rsidR="00286EB2" w:rsidRDefault="00286EB2" w:rsidP="00286EB2">
      <w:pPr>
        <w:autoSpaceDE w:val="0"/>
        <w:autoSpaceDN w:val="0"/>
        <w:adjustRightInd w:val="0"/>
        <w:spacing w:line="276" w:lineRule="auto"/>
      </w:pPr>
      <w:r w:rsidRPr="00286EB2">
        <w:rPr>
          <w:b/>
        </w:rPr>
        <w:t>NP</w:t>
      </w:r>
      <w:r w:rsidR="006D540E">
        <w:rPr>
          <w:b/>
        </w:rPr>
        <w:t xml:space="preserve">: </w:t>
      </w:r>
      <w:r>
        <w:t>Nurse Practitioner</w:t>
      </w:r>
    </w:p>
    <w:p w14:paraId="24787A2E" w14:textId="77777777" w:rsidR="00286EB2" w:rsidRDefault="00286EB2" w:rsidP="00286EB2">
      <w:pPr>
        <w:autoSpaceDE w:val="0"/>
        <w:autoSpaceDN w:val="0"/>
        <w:adjustRightInd w:val="0"/>
        <w:spacing w:line="276" w:lineRule="auto"/>
      </w:pPr>
      <w:r w:rsidRPr="00286EB2">
        <w:rPr>
          <w:b/>
        </w:rPr>
        <w:t xml:space="preserve">NUM: </w:t>
      </w:r>
      <w:r>
        <w:t>Nurse Unit Manager</w:t>
      </w:r>
    </w:p>
    <w:p w14:paraId="2E48943C" w14:textId="77777777" w:rsidR="000D1C9E" w:rsidRDefault="000D1C9E" w:rsidP="000D1C9E">
      <w:pPr>
        <w:autoSpaceDE w:val="0"/>
        <w:autoSpaceDN w:val="0"/>
        <w:adjustRightInd w:val="0"/>
        <w:spacing w:line="276" w:lineRule="auto"/>
      </w:pPr>
      <w:r w:rsidRPr="00286EB2">
        <w:rPr>
          <w:b/>
        </w:rPr>
        <w:t>OHA</w:t>
      </w:r>
      <w:r>
        <w:rPr>
          <w:b/>
        </w:rPr>
        <w:t xml:space="preserve">: </w:t>
      </w:r>
      <w:r>
        <w:t>Oral Hypoglycaemic Agents</w:t>
      </w:r>
    </w:p>
    <w:p w14:paraId="2E22BC20" w14:textId="77777777" w:rsidR="000D1C9E" w:rsidRDefault="000D1C9E" w:rsidP="000D1C9E">
      <w:pPr>
        <w:autoSpaceDE w:val="0"/>
        <w:autoSpaceDN w:val="0"/>
        <w:adjustRightInd w:val="0"/>
        <w:spacing w:line="276" w:lineRule="auto"/>
      </w:pPr>
      <w:r w:rsidRPr="00286EB2">
        <w:rPr>
          <w:b/>
        </w:rPr>
        <w:t>PVAD</w:t>
      </w:r>
      <w:r>
        <w:rPr>
          <w:b/>
        </w:rPr>
        <w:t xml:space="preserve">: </w:t>
      </w:r>
      <w:r>
        <w:t>Peripheral Venous Access Device</w:t>
      </w:r>
    </w:p>
    <w:p w14:paraId="3CF40CE1" w14:textId="77777777" w:rsidR="00286EB2" w:rsidRDefault="00286EB2" w:rsidP="00286EB2">
      <w:pPr>
        <w:autoSpaceDE w:val="0"/>
        <w:autoSpaceDN w:val="0"/>
        <w:adjustRightInd w:val="0"/>
        <w:spacing w:line="276" w:lineRule="auto"/>
      </w:pPr>
      <w:r w:rsidRPr="00286EB2">
        <w:rPr>
          <w:b/>
        </w:rPr>
        <w:t>PVAD/CVAD:</w:t>
      </w:r>
      <w:r>
        <w:t xml:space="preserve"> refers to the type of vascular access in place – either peripheral vascular access device or central venous access device</w:t>
      </w:r>
    </w:p>
    <w:p w14:paraId="51720221" w14:textId="77777777" w:rsidR="000D1C9E" w:rsidRDefault="000D1C9E" w:rsidP="000D1C9E">
      <w:pPr>
        <w:autoSpaceDE w:val="0"/>
        <w:autoSpaceDN w:val="0"/>
        <w:adjustRightInd w:val="0"/>
        <w:spacing w:line="276" w:lineRule="auto"/>
      </w:pPr>
      <w:r w:rsidRPr="00286EB2">
        <w:rPr>
          <w:b/>
        </w:rPr>
        <w:t>RN/RM</w:t>
      </w:r>
      <w:r>
        <w:rPr>
          <w:b/>
        </w:rPr>
        <w:t xml:space="preserve">: </w:t>
      </w:r>
      <w:r>
        <w:t>Registered Nurse/Registered Midwife</w:t>
      </w:r>
    </w:p>
    <w:p w14:paraId="799EE93A" w14:textId="77777777" w:rsidR="00286EB2" w:rsidRDefault="00286EB2" w:rsidP="00286EB2">
      <w:pPr>
        <w:autoSpaceDE w:val="0"/>
        <w:autoSpaceDN w:val="0"/>
        <w:adjustRightInd w:val="0"/>
        <w:spacing w:line="276" w:lineRule="auto"/>
      </w:pPr>
      <w:r w:rsidRPr="00286EB2">
        <w:rPr>
          <w:b/>
        </w:rPr>
        <w:t>TL</w:t>
      </w:r>
      <w:r>
        <w:t>: Team Leader</w:t>
      </w:r>
    </w:p>
    <w:p w14:paraId="60665FF0" w14:textId="77777777" w:rsidR="00286EB2" w:rsidRPr="001E4AD0" w:rsidRDefault="00286EB2" w:rsidP="00286EB2">
      <w:pPr>
        <w:autoSpaceDE w:val="0"/>
        <w:autoSpaceDN w:val="0"/>
        <w:adjustRightInd w:val="0"/>
        <w:spacing w:line="276" w:lineRule="auto"/>
      </w:pPr>
      <w:r w:rsidRPr="00286EB2">
        <w:rPr>
          <w:b/>
        </w:rPr>
        <w:t>TPN:</w:t>
      </w:r>
      <w:r>
        <w:t xml:space="preserve"> Total Parenteral Nutrition</w:t>
      </w:r>
    </w:p>
    <w:p w14:paraId="2F51A8DA" w14:textId="77777777" w:rsidR="00FF56DD" w:rsidRDefault="00FF56DD" w:rsidP="00FF56DD">
      <w:pPr>
        <w:rPr>
          <w:rFonts w:cs="Arial"/>
          <w:szCs w:val="24"/>
        </w:rPr>
      </w:pPr>
    </w:p>
    <w:p w14:paraId="2F51A8DB" w14:textId="77777777" w:rsidR="00FF56DD" w:rsidRDefault="00131C38"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9" w:name="_Toc389473290"/>
            <w:bookmarkStart w:id="30" w:name="_Toc161406388"/>
            <w:r>
              <w:t>Search Terms</w:t>
            </w:r>
            <w:bookmarkEnd w:id="29"/>
            <w:bookmarkEnd w:id="30"/>
            <w:r>
              <w:t xml:space="preserve"> </w:t>
            </w:r>
          </w:p>
        </w:tc>
      </w:tr>
    </w:tbl>
    <w:p w14:paraId="2F51A8DE" w14:textId="77777777" w:rsidR="007B6904" w:rsidRDefault="007B6904" w:rsidP="007B6904">
      <w:pPr>
        <w:rPr>
          <w:rFonts w:cs="Calibri,Bold"/>
          <w:bCs/>
          <w:i/>
          <w:szCs w:val="24"/>
          <w:lang w:eastAsia="en-AU"/>
        </w:rPr>
      </w:pPr>
    </w:p>
    <w:p w14:paraId="2F51A8DF" w14:textId="13649D3C" w:rsidR="005067CA" w:rsidRPr="00876DCC" w:rsidRDefault="00286EB2" w:rsidP="005067CA">
      <w:pPr>
        <w:rPr>
          <w:rFonts w:cs="Calibri,Bold"/>
          <w:bCs/>
          <w:iCs/>
          <w:szCs w:val="24"/>
          <w:lang w:eastAsia="en-AU"/>
        </w:rPr>
      </w:pPr>
      <w:r w:rsidRPr="00876DCC">
        <w:rPr>
          <w:rFonts w:cs="Calibri,Bold"/>
          <w:bCs/>
          <w:iCs/>
          <w:szCs w:val="24"/>
          <w:lang w:eastAsia="en-AU"/>
        </w:rPr>
        <w:t>Insulin Infusion, In</w:t>
      </w:r>
      <w:r w:rsidR="00817E33" w:rsidRPr="00876DCC">
        <w:rPr>
          <w:rFonts w:cs="Calibri,Bold"/>
          <w:bCs/>
          <w:iCs/>
          <w:szCs w:val="24"/>
          <w:lang w:eastAsia="en-AU"/>
        </w:rPr>
        <w:t>sulin</w:t>
      </w:r>
      <w:r w:rsidR="00DB7288">
        <w:rPr>
          <w:rFonts w:cs="Calibri,Bold"/>
          <w:bCs/>
          <w:iCs/>
          <w:szCs w:val="24"/>
          <w:lang w:eastAsia="en-AU"/>
        </w:rPr>
        <w:t xml:space="preserve">, infusion, </w:t>
      </w:r>
      <w:r w:rsidR="00D038F6">
        <w:rPr>
          <w:rFonts w:cs="Calibri,Bold"/>
          <w:bCs/>
          <w:iCs/>
          <w:szCs w:val="24"/>
          <w:lang w:eastAsia="en-AU"/>
        </w:rPr>
        <w:t>insulin infusion management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131C38"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1" w:name="_Toc396995664"/>
    </w:p>
    <w:bookmarkEnd w:id="31"/>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AA03B6">
        <w:tc>
          <w:tcPr>
            <w:tcW w:w="2265" w:type="dxa"/>
          </w:tcPr>
          <w:p w14:paraId="4CC3BE7E" w14:textId="77777777" w:rsidR="00ED46C3" w:rsidRPr="008202D3" w:rsidRDefault="00ED46C3" w:rsidP="00AA03B6">
            <w:pPr>
              <w:rPr>
                <w:i/>
                <w:sz w:val="20"/>
              </w:rPr>
            </w:pPr>
            <w:r w:rsidRPr="008202D3">
              <w:rPr>
                <w:i/>
                <w:sz w:val="20"/>
              </w:rPr>
              <w:t>Date Amended</w:t>
            </w:r>
          </w:p>
        </w:tc>
        <w:tc>
          <w:tcPr>
            <w:tcW w:w="2265" w:type="dxa"/>
          </w:tcPr>
          <w:p w14:paraId="0C6FC403" w14:textId="77777777" w:rsidR="00ED46C3" w:rsidRPr="008202D3" w:rsidRDefault="00ED46C3" w:rsidP="00AA03B6">
            <w:pPr>
              <w:rPr>
                <w:i/>
                <w:sz w:val="20"/>
              </w:rPr>
            </w:pPr>
            <w:r w:rsidRPr="008202D3">
              <w:rPr>
                <w:i/>
                <w:sz w:val="20"/>
              </w:rPr>
              <w:t>Section Amended</w:t>
            </w:r>
          </w:p>
        </w:tc>
        <w:tc>
          <w:tcPr>
            <w:tcW w:w="2265" w:type="dxa"/>
          </w:tcPr>
          <w:p w14:paraId="36BF7192" w14:textId="77777777" w:rsidR="00ED46C3" w:rsidRPr="008202D3" w:rsidRDefault="00ED46C3" w:rsidP="00AA03B6">
            <w:pPr>
              <w:rPr>
                <w:i/>
                <w:sz w:val="20"/>
              </w:rPr>
            </w:pPr>
            <w:r w:rsidRPr="008202D3">
              <w:rPr>
                <w:i/>
                <w:sz w:val="20"/>
              </w:rPr>
              <w:t>Divisional Approval</w:t>
            </w:r>
          </w:p>
        </w:tc>
        <w:tc>
          <w:tcPr>
            <w:tcW w:w="2265" w:type="dxa"/>
          </w:tcPr>
          <w:p w14:paraId="6974B6A4" w14:textId="77777777" w:rsidR="00ED46C3" w:rsidRPr="008202D3" w:rsidRDefault="00ED46C3" w:rsidP="00AA03B6">
            <w:pPr>
              <w:rPr>
                <w:i/>
                <w:sz w:val="20"/>
              </w:rPr>
            </w:pPr>
            <w:r w:rsidRPr="008202D3">
              <w:rPr>
                <w:i/>
                <w:sz w:val="20"/>
              </w:rPr>
              <w:t xml:space="preserve">Final Approval </w:t>
            </w:r>
          </w:p>
        </w:tc>
      </w:tr>
      <w:tr w:rsidR="00ED46C3" w:rsidRPr="008202D3" w14:paraId="69E49990" w14:textId="77777777" w:rsidTr="00AA03B6">
        <w:tc>
          <w:tcPr>
            <w:tcW w:w="2265" w:type="dxa"/>
          </w:tcPr>
          <w:p w14:paraId="4CB276AE" w14:textId="35E2D6DD" w:rsidR="00ED46C3" w:rsidRPr="008202D3" w:rsidRDefault="00D46EE1" w:rsidP="00AA03B6">
            <w:pPr>
              <w:rPr>
                <w:i/>
                <w:sz w:val="20"/>
              </w:rPr>
            </w:pPr>
            <w:r>
              <w:rPr>
                <w:i/>
                <w:sz w:val="20"/>
              </w:rPr>
              <w:t>27</w:t>
            </w:r>
            <w:r w:rsidR="008E7253">
              <w:rPr>
                <w:i/>
                <w:sz w:val="20"/>
              </w:rPr>
              <w:t>/02/2024</w:t>
            </w:r>
          </w:p>
        </w:tc>
        <w:tc>
          <w:tcPr>
            <w:tcW w:w="2265" w:type="dxa"/>
          </w:tcPr>
          <w:p w14:paraId="757FDC5B" w14:textId="4AE6F78E" w:rsidR="00ED46C3" w:rsidRPr="008202D3" w:rsidRDefault="008E7253" w:rsidP="00AA03B6">
            <w:pPr>
              <w:rPr>
                <w:i/>
                <w:sz w:val="20"/>
              </w:rPr>
            </w:pPr>
            <w:r>
              <w:rPr>
                <w:i/>
                <w:sz w:val="20"/>
              </w:rPr>
              <w:t>NCH Transition</w:t>
            </w:r>
          </w:p>
        </w:tc>
        <w:tc>
          <w:tcPr>
            <w:tcW w:w="2265" w:type="dxa"/>
          </w:tcPr>
          <w:p w14:paraId="45358585" w14:textId="1CCD5467" w:rsidR="00ED46C3" w:rsidRPr="008202D3" w:rsidRDefault="008E7253" w:rsidP="00AA03B6">
            <w:pPr>
              <w:rPr>
                <w:i/>
                <w:sz w:val="20"/>
              </w:rPr>
            </w:pPr>
            <w:r>
              <w:rPr>
                <w:i/>
                <w:sz w:val="20"/>
              </w:rPr>
              <w:t>CHS Policy Team</w:t>
            </w:r>
          </w:p>
        </w:tc>
        <w:tc>
          <w:tcPr>
            <w:tcW w:w="2265" w:type="dxa"/>
          </w:tcPr>
          <w:p w14:paraId="31501FE6" w14:textId="63159A06" w:rsidR="00ED46C3" w:rsidRPr="008202D3" w:rsidRDefault="008E7253" w:rsidP="00AA03B6">
            <w:pPr>
              <w:rPr>
                <w:i/>
                <w:sz w:val="20"/>
              </w:rPr>
            </w:pPr>
            <w:r>
              <w:rPr>
                <w:i/>
                <w:sz w:val="20"/>
              </w:rPr>
              <w:t>CHS Policy Team</w:t>
            </w:r>
          </w:p>
        </w:tc>
      </w:tr>
      <w:tr w:rsidR="00ED46C3" w:rsidRPr="008202D3" w14:paraId="4B9C0359" w14:textId="77777777" w:rsidTr="00AA03B6">
        <w:tc>
          <w:tcPr>
            <w:tcW w:w="2265" w:type="dxa"/>
          </w:tcPr>
          <w:p w14:paraId="01E40F72" w14:textId="77777777" w:rsidR="00ED46C3" w:rsidRPr="008202D3" w:rsidRDefault="00ED46C3" w:rsidP="00AA03B6">
            <w:pPr>
              <w:rPr>
                <w:i/>
                <w:sz w:val="20"/>
              </w:rPr>
            </w:pPr>
          </w:p>
        </w:tc>
        <w:tc>
          <w:tcPr>
            <w:tcW w:w="2265" w:type="dxa"/>
          </w:tcPr>
          <w:p w14:paraId="25312BA2" w14:textId="77777777" w:rsidR="00ED46C3" w:rsidRPr="008202D3" w:rsidRDefault="00ED46C3" w:rsidP="00AA03B6">
            <w:pPr>
              <w:rPr>
                <w:i/>
                <w:sz w:val="20"/>
              </w:rPr>
            </w:pPr>
          </w:p>
        </w:tc>
        <w:tc>
          <w:tcPr>
            <w:tcW w:w="2265" w:type="dxa"/>
          </w:tcPr>
          <w:p w14:paraId="6A63A790" w14:textId="77777777" w:rsidR="00ED46C3" w:rsidRPr="008202D3" w:rsidRDefault="00ED46C3" w:rsidP="00AA03B6">
            <w:pPr>
              <w:rPr>
                <w:i/>
                <w:sz w:val="20"/>
              </w:rPr>
            </w:pPr>
          </w:p>
        </w:tc>
        <w:tc>
          <w:tcPr>
            <w:tcW w:w="2265" w:type="dxa"/>
          </w:tcPr>
          <w:p w14:paraId="0C203B9F" w14:textId="77777777" w:rsidR="00ED46C3" w:rsidRPr="008202D3" w:rsidRDefault="00ED46C3" w:rsidP="00AA03B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AA03B6">
        <w:tc>
          <w:tcPr>
            <w:tcW w:w="2122" w:type="dxa"/>
          </w:tcPr>
          <w:p w14:paraId="3A0A8647" w14:textId="77777777" w:rsidR="00ED46C3" w:rsidRPr="008202D3" w:rsidRDefault="00ED46C3" w:rsidP="00AA03B6">
            <w:pPr>
              <w:rPr>
                <w:i/>
                <w:sz w:val="20"/>
              </w:rPr>
            </w:pPr>
            <w:r w:rsidRPr="008202D3">
              <w:rPr>
                <w:i/>
                <w:sz w:val="20"/>
              </w:rPr>
              <w:t>Document Number</w:t>
            </w:r>
          </w:p>
        </w:tc>
        <w:tc>
          <w:tcPr>
            <w:tcW w:w="6938" w:type="dxa"/>
          </w:tcPr>
          <w:p w14:paraId="40CE1B13" w14:textId="77777777" w:rsidR="00ED46C3" w:rsidRPr="008202D3" w:rsidRDefault="00ED46C3" w:rsidP="00AA03B6">
            <w:pPr>
              <w:rPr>
                <w:i/>
                <w:sz w:val="20"/>
              </w:rPr>
            </w:pPr>
            <w:r w:rsidRPr="008202D3">
              <w:rPr>
                <w:i/>
                <w:sz w:val="20"/>
              </w:rPr>
              <w:t>Document Name</w:t>
            </w:r>
          </w:p>
        </w:tc>
      </w:tr>
      <w:tr w:rsidR="00ED46C3" w:rsidRPr="008202D3" w14:paraId="389A2F7C" w14:textId="77777777" w:rsidTr="00AA03B6">
        <w:tc>
          <w:tcPr>
            <w:tcW w:w="2122" w:type="dxa"/>
          </w:tcPr>
          <w:p w14:paraId="72FFFF3B" w14:textId="77777777" w:rsidR="00ED46C3" w:rsidRPr="008202D3" w:rsidRDefault="00ED46C3" w:rsidP="00AA03B6">
            <w:pPr>
              <w:rPr>
                <w:i/>
                <w:sz w:val="20"/>
              </w:rPr>
            </w:pPr>
          </w:p>
        </w:tc>
        <w:tc>
          <w:tcPr>
            <w:tcW w:w="6938" w:type="dxa"/>
          </w:tcPr>
          <w:p w14:paraId="61EF68F3" w14:textId="57C7CAA1" w:rsidR="00ED46C3" w:rsidRPr="008202D3" w:rsidRDefault="008E7253" w:rsidP="00AA03B6">
            <w:pPr>
              <w:rPr>
                <w:i/>
                <w:sz w:val="20"/>
              </w:rPr>
            </w:pPr>
            <w:r>
              <w:rPr>
                <w:i/>
                <w:sz w:val="20"/>
              </w:rPr>
              <w:t>Insulin Infusion – Adults &amp; Insulin Guidelines</w:t>
            </w:r>
          </w:p>
        </w:tc>
      </w:tr>
      <w:tr w:rsidR="00ED46C3" w:rsidRPr="008202D3" w14:paraId="4414C7E4" w14:textId="77777777" w:rsidTr="00AA03B6">
        <w:tc>
          <w:tcPr>
            <w:tcW w:w="2122" w:type="dxa"/>
          </w:tcPr>
          <w:p w14:paraId="0E1C6F88" w14:textId="77777777" w:rsidR="00ED46C3" w:rsidRPr="008202D3" w:rsidRDefault="00ED46C3" w:rsidP="00AA03B6">
            <w:pPr>
              <w:rPr>
                <w:i/>
                <w:sz w:val="20"/>
              </w:rPr>
            </w:pPr>
          </w:p>
        </w:tc>
        <w:tc>
          <w:tcPr>
            <w:tcW w:w="6938" w:type="dxa"/>
          </w:tcPr>
          <w:p w14:paraId="73EF72D2" w14:textId="77777777" w:rsidR="00ED46C3" w:rsidRPr="008202D3" w:rsidRDefault="00ED46C3" w:rsidP="00AA03B6">
            <w:pPr>
              <w:rPr>
                <w:i/>
                <w:sz w:val="20"/>
              </w:rPr>
            </w:pPr>
          </w:p>
        </w:tc>
      </w:tr>
    </w:tbl>
    <w:p w14:paraId="05738E3F" w14:textId="667990C9" w:rsidR="00D46EE1" w:rsidRPr="00D46EE1" w:rsidRDefault="00D46EE1" w:rsidP="00D46EE1">
      <w:pPr>
        <w:tabs>
          <w:tab w:val="left" w:pos="5890"/>
        </w:tabs>
        <w:rPr>
          <w:rFonts w:cs="Arial"/>
          <w:szCs w:val="24"/>
        </w:rPr>
      </w:pPr>
    </w:p>
    <w:sectPr w:rsidR="00D46EE1" w:rsidRPr="00D46EE1" w:rsidSect="004213C3">
      <w:headerReference w:type="default" r:id="rId21"/>
      <w:footerReference w:type="default" r:id="rId2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A908" w14:textId="77777777" w:rsidR="00C33DBD" w:rsidRDefault="00C33DBD" w:rsidP="00F66CB0">
      <w:r>
        <w:separator/>
      </w:r>
    </w:p>
  </w:endnote>
  <w:endnote w:type="continuationSeparator" w:id="0">
    <w:p w14:paraId="2F51A909" w14:textId="77777777" w:rsidR="00C33DBD" w:rsidRDefault="00C33DBD"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33DBD" w:rsidRPr="00AE7C5C" w14:paraId="2F51A914" w14:textId="77777777" w:rsidTr="005E1140">
      <w:tc>
        <w:tcPr>
          <w:tcW w:w="1515" w:type="dxa"/>
        </w:tcPr>
        <w:p w14:paraId="2F51A90E" w14:textId="77777777" w:rsidR="00C33DBD" w:rsidRPr="00B3752F" w:rsidRDefault="00C33DBD" w:rsidP="004213C3">
          <w:pPr>
            <w:pStyle w:val="Footer"/>
            <w:rPr>
              <w:rFonts w:cs="Arial"/>
              <w:b/>
              <w:bCs/>
              <w:i/>
              <w:sz w:val="20"/>
            </w:rPr>
          </w:pPr>
          <w:r w:rsidRPr="00B3752F">
            <w:rPr>
              <w:rFonts w:cs="Arial"/>
              <w:b/>
              <w:bCs/>
              <w:i/>
              <w:sz w:val="20"/>
            </w:rPr>
            <w:t>Doc Number</w:t>
          </w:r>
        </w:p>
      </w:tc>
      <w:tc>
        <w:tcPr>
          <w:tcW w:w="965" w:type="dxa"/>
        </w:tcPr>
        <w:p w14:paraId="2F51A90F" w14:textId="77777777" w:rsidR="00C33DBD" w:rsidRPr="00B3752F" w:rsidRDefault="00C33DBD" w:rsidP="004213C3">
          <w:pPr>
            <w:pStyle w:val="Footer"/>
            <w:rPr>
              <w:rFonts w:cs="Arial"/>
              <w:b/>
              <w:bCs/>
              <w:i/>
              <w:sz w:val="20"/>
            </w:rPr>
          </w:pPr>
          <w:r w:rsidRPr="00B3752F">
            <w:rPr>
              <w:rFonts w:cs="Arial"/>
              <w:b/>
              <w:bCs/>
              <w:i/>
              <w:sz w:val="20"/>
            </w:rPr>
            <w:t>Version</w:t>
          </w:r>
        </w:p>
      </w:tc>
      <w:tc>
        <w:tcPr>
          <w:tcW w:w="1552" w:type="dxa"/>
        </w:tcPr>
        <w:p w14:paraId="2F51A910" w14:textId="77777777" w:rsidR="00C33DBD" w:rsidRPr="00B3752F" w:rsidRDefault="00C33DBD" w:rsidP="004213C3">
          <w:pPr>
            <w:pStyle w:val="Footer"/>
            <w:rPr>
              <w:rFonts w:cs="Arial"/>
              <w:b/>
              <w:bCs/>
              <w:i/>
              <w:sz w:val="20"/>
            </w:rPr>
          </w:pPr>
          <w:r w:rsidRPr="00B3752F">
            <w:rPr>
              <w:rFonts w:cs="Arial"/>
              <w:b/>
              <w:bCs/>
              <w:i/>
              <w:sz w:val="20"/>
            </w:rPr>
            <w:t>Issued</w:t>
          </w:r>
        </w:p>
      </w:tc>
      <w:tc>
        <w:tcPr>
          <w:tcW w:w="1456" w:type="dxa"/>
        </w:tcPr>
        <w:p w14:paraId="2F51A911" w14:textId="77777777" w:rsidR="00C33DBD" w:rsidRPr="00B3752F" w:rsidRDefault="00C33DBD" w:rsidP="004213C3">
          <w:pPr>
            <w:pStyle w:val="Footer"/>
            <w:rPr>
              <w:rFonts w:cs="Arial"/>
              <w:b/>
              <w:bCs/>
              <w:i/>
              <w:sz w:val="20"/>
            </w:rPr>
          </w:pPr>
          <w:r w:rsidRPr="00B3752F">
            <w:rPr>
              <w:rFonts w:cs="Arial"/>
              <w:b/>
              <w:bCs/>
              <w:i/>
              <w:sz w:val="20"/>
            </w:rPr>
            <w:t>Review Date</w:t>
          </w:r>
        </w:p>
      </w:tc>
      <w:tc>
        <w:tcPr>
          <w:tcW w:w="1746" w:type="dxa"/>
        </w:tcPr>
        <w:p w14:paraId="2F51A912" w14:textId="77777777" w:rsidR="00C33DBD" w:rsidRPr="00B3752F" w:rsidRDefault="00C33DBD" w:rsidP="004213C3">
          <w:pPr>
            <w:pStyle w:val="Footer"/>
            <w:rPr>
              <w:rFonts w:cs="Arial"/>
              <w:b/>
              <w:bCs/>
              <w:i/>
              <w:sz w:val="20"/>
            </w:rPr>
          </w:pPr>
          <w:r w:rsidRPr="00B3752F">
            <w:rPr>
              <w:rFonts w:cs="Arial"/>
              <w:b/>
              <w:bCs/>
              <w:i/>
              <w:sz w:val="20"/>
            </w:rPr>
            <w:t>Area Responsible</w:t>
          </w:r>
        </w:p>
      </w:tc>
      <w:tc>
        <w:tcPr>
          <w:tcW w:w="1836" w:type="dxa"/>
        </w:tcPr>
        <w:p w14:paraId="2F51A913" w14:textId="77777777" w:rsidR="00C33DBD" w:rsidRPr="00B3752F" w:rsidRDefault="00C33DBD" w:rsidP="004213C3">
          <w:pPr>
            <w:pStyle w:val="Footer"/>
            <w:rPr>
              <w:rFonts w:cs="Arial"/>
              <w:b/>
              <w:bCs/>
              <w:i/>
              <w:sz w:val="20"/>
            </w:rPr>
          </w:pPr>
          <w:r w:rsidRPr="00B3752F">
            <w:rPr>
              <w:rFonts w:cs="Arial"/>
              <w:b/>
              <w:bCs/>
              <w:i/>
              <w:sz w:val="20"/>
            </w:rPr>
            <w:t>Page</w:t>
          </w:r>
        </w:p>
      </w:tc>
    </w:tr>
    <w:tr w:rsidR="00C33DBD" w14:paraId="2F51A91B" w14:textId="77777777" w:rsidTr="005E1140">
      <w:tc>
        <w:tcPr>
          <w:tcW w:w="1515" w:type="dxa"/>
        </w:tcPr>
        <w:p w14:paraId="2F51A915" w14:textId="3C8D7A49" w:rsidR="00C33DBD" w:rsidRPr="00542EE6" w:rsidRDefault="00D46EE1" w:rsidP="004213C3">
          <w:pPr>
            <w:pStyle w:val="Footer"/>
            <w:rPr>
              <w:rFonts w:cs="Arial"/>
              <w:b/>
              <w:bCs/>
              <w:sz w:val="20"/>
            </w:rPr>
          </w:pPr>
          <w:r>
            <w:rPr>
              <w:b/>
              <w:sz w:val="20"/>
            </w:rPr>
            <w:t>CHS24/142</w:t>
          </w:r>
        </w:p>
      </w:tc>
      <w:tc>
        <w:tcPr>
          <w:tcW w:w="965" w:type="dxa"/>
        </w:tcPr>
        <w:p w14:paraId="2F51A916" w14:textId="003D9773" w:rsidR="00C33DBD" w:rsidRPr="00B3752F" w:rsidRDefault="00D46EE1" w:rsidP="004213C3">
          <w:pPr>
            <w:pStyle w:val="Footer"/>
            <w:rPr>
              <w:rFonts w:cs="Arial"/>
              <w:b/>
              <w:bCs/>
              <w:sz w:val="20"/>
            </w:rPr>
          </w:pPr>
          <w:r>
            <w:rPr>
              <w:rFonts w:cs="Arial"/>
              <w:b/>
              <w:bCs/>
              <w:sz w:val="20"/>
            </w:rPr>
            <w:t>1</w:t>
          </w:r>
        </w:p>
      </w:tc>
      <w:tc>
        <w:tcPr>
          <w:tcW w:w="1552" w:type="dxa"/>
        </w:tcPr>
        <w:p w14:paraId="2F51A917" w14:textId="28094ECE" w:rsidR="00C33DBD" w:rsidRPr="00B3752F" w:rsidRDefault="00D46EE1" w:rsidP="004213C3">
          <w:pPr>
            <w:pStyle w:val="Footer"/>
            <w:rPr>
              <w:rFonts w:cs="Arial"/>
              <w:b/>
              <w:bCs/>
              <w:sz w:val="20"/>
            </w:rPr>
          </w:pPr>
          <w:r>
            <w:rPr>
              <w:rFonts w:cs="Arial"/>
              <w:b/>
              <w:bCs/>
              <w:sz w:val="20"/>
            </w:rPr>
            <w:t>27/03/2024</w:t>
          </w:r>
        </w:p>
      </w:tc>
      <w:tc>
        <w:tcPr>
          <w:tcW w:w="1456" w:type="dxa"/>
        </w:tcPr>
        <w:p w14:paraId="2F51A918" w14:textId="47D20CDF" w:rsidR="00C33DBD" w:rsidRPr="00B3752F" w:rsidRDefault="00D46EE1" w:rsidP="004213C3">
          <w:pPr>
            <w:pStyle w:val="Footer"/>
            <w:rPr>
              <w:rFonts w:cs="Arial"/>
              <w:b/>
              <w:bCs/>
              <w:sz w:val="20"/>
            </w:rPr>
          </w:pPr>
          <w:r w:rsidRPr="00D46EE1">
            <w:rPr>
              <w:rFonts w:cs="Arial"/>
              <w:b/>
              <w:bCs/>
              <w:sz w:val="20"/>
            </w:rPr>
            <w:t>1/12/2024</w:t>
          </w:r>
        </w:p>
      </w:tc>
      <w:tc>
        <w:tcPr>
          <w:tcW w:w="1746" w:type="dxa"/>
        </w:tcPr>
        <w:p w14:paraId="2F51A919" w14:textId="5D2E3E84" w:rsidR="00C33DBD" w:rsidRPr="00B3752F" w:rsidRDefault="007D2037" w:rsidP="004213C3">
          <w:pPr>
            <w:pStyle w:val="Footer"/>
            <w:rPr>
              <w:rFonts w:cs="Arial"/>
              <w:b/>
              <w:bCs/>
              <w:sz w:val="20"/>
            </w:rPr>
          </w:pPr>
          <w:r w:rsidRPr="007D2037">
            <w:rPr>
              <w:rFonts w:cs="Arial"/>
              <w:b/>
              <w:bCs/>
              <w:sz w:val="20"/>
            </w:rPr>
            <w:t xml:space="preserve">Allied Health </w:t>
          </w:r>
        </w:p>
      </w:tc>
      <w:tc>
        <w:tcPr>
          <w:tcW w:w="1836" w:type="dxa"/>
        </w:tcPr>
        <w:p w14:paraId="2F51A91A" w14:textId="6D397302" w:rsidR="00C33DBD" w:rsidRPr="00B3752F" w:rsidRDefault="00C33DBD"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2A038D">
            <w:rPr>
              <w:rStyle w:val="PageNumber"/>
              <w:noProof/>
              <w:sz w:val="20"/>
            </w:rPr>
            <w:t>18</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2A038D">
            <w:rPr>
              <w:rStyle w:val="PageNumber"/>
              <w:noProof/>
              <w:sz w:val="20"/>
            </w:rPr>
            <w:t>19</w:t>
          </w:r>
          <w:r w:rsidRPr="00B3752F">
            <w:rPr>
              <w:rStyle w:val="PageNumber"/>
              <w:sz w:val="20"/>
            </w:rPr>
            <w:fldChar w:fldCharType="end"/>
          </w:r>
        </w:p>
      </w:tc>
    </w:tr>
    <w:tr w:rsidR="00C33DBD" w14:paraId="668DA41F" w14:textId="77777777" w:rsidTr="00AA03B6">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C33DBD" w:rsidRPr="002C1428" w:rsidRDefault="00C33DBD"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C33DBD" w:rsidRPr="00AE7C5C" w:rsidRDefault="00C33DBD"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A906" w14:textId="77777777" w:rsidR="00C33DBD" w:rsidRDefault="00C33DBD" w:rsidP="00F66CB0">
      <w:r>
        <w:separator/>
      </w:r>
    </w:p>
  </w:footnote>
  <w:footnote w:type="continuationSeparator" w:id="0">
    <w:p w14:paraId="2F51A907" w14:textId="77777777" w:rsidR="00C33DBD" w:rsidRDefault="00C33DBD"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C33DBD" w14:paraId="2F51A90C" w14:textId="77777777" w:rsidTr="0074223E">
      <w:trPr>
        <w:trHeight w:val="1418"/>
      </w:trPr>
      <w:tc>
        <w:tcPr>
          <w:tcW w:w="5556" w:type="dxa"/>
          <w:vAlign w:val="center"/>
          <w:hideMark/>
        </w:tcPr>
        <w:p w14:paraId="2F51A90A" w14:textId="5F72D3B6" w:rsidR="00C33DBD" w:rsidRDefault="00C33DBD"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7717738" w:rsidR="00C33DBD" w:rsidRDefault="00C33DBD">
          <w:pPr>
            <w:pStyle w:val="Header"/>
            <w:tabs>
              <w:tab w:val="left" w:pos="720"/>
            </w:tabs>
            <w:jc w:val="right"/>
            <w:rPr>
              <w:sz w:val="20"/>
            </w:rPr>
          </w:pPr>
          <w:bookmarkStart w:id="32" w:name="_top"/>
          <w:bookmarkEnd w:id="32"/>
          <w:r>
            <w:rPr>
              <w:sz w:val="20"/>
            </w:rPr>
            <w:t>CHS</w:t>
          </w:r>
          <w:r w:rsidR="00D46EE1">
            <w:rPr>
              <w:sz w:val="20"/>
            </w:rPr>
            <w:t>24/142</w:t>
          </w:r>
        </w:p>
      </w:tc>
    </w:tr>
  </w:tbl>
  <w:p w14:paraId="2F51A90D" w14:textId="77777777" w:rsidR="00C33DBD" w:rsidRPr="00FC3538" w:rsidRDefault="00C33DB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F4B2BE"/>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87C38D1"/>
    <w:multiLevelType w:val="hybridMultilevel"/>
    <w:tmpl w:val="C1487B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2182F"/>
    <w:multiLevelType w:val="hybridMultilevel"/>
    <w:tmpl w:val="E7BA8250"/>
    <w:lvl w:ilvl="0" w:tplc="0C090003">
      <w:start w:val="1"/>
      <w:numFmt w:val="bullet"/>
      <w:lvlText w:val="o"/>
      <w:lvlJc w:val="left"/>
      <w:pPr>
        <w:ind w:left="720" w:hanging="360"/>
      </w:pPr>
      <w:rPr>
        <w:rFonts w:ascii="Courier New" w:hAnsi="Courier New" w:cs="Courier New" w:hint="default"/>
        <w:b w:val="0"/>
        <w:b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C97923"/>
    <w:multiLevelType w:val="hybridMultilevel"/>
    <w:tmpl w:val="0526BD0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762471F"/>
    <w:multiLevelType w:val="hybridMultilevel"/>
    <w:tmpl w:val="8348F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70806E3"/>
    <w:multiLevelType w:val="hybridMultilevel"/>
    <w:tmpl w:val="B7222F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62908"/>
    <w:multiLevelType w:val="hybridMultilevel"/>
    <w:tmpl w:val="FDE014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5278D7"/>
    <w:multiLevelType w:val="hybridMultilevel"/>
    <w:tmpl w:val="24CC2D0C"/>
    <w:lvl w:ilvl="0" w:tplc="FFFFFFFF">
      <w:numFmt w:val="bullet"/>
      <w:lvlText w:val=""/>
      <w:legacy w:legacy="1" w:legacySpace="0" w:legacyIndent="360"/>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B4254"/>
    <w:multiLevelType w:val="hybridMultilevel"/>
    <w:tmpl w:val="BF72EB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B47A04"/>
    <w:multiLevelType w:val="hybridMultilevel"/>
    <w:tmpl w:val="B7909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1F50BD"/>
    <w:multiLevelType w:val="hybridMultilevel"/>
    <w:tmpl w:val="5F9407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87512"/>
    <w:multiLevelType w:val="hybridMultilevel"/>
    <w:tmpl w:val="0DBE79D8"/>
    <w:lvl w:ilvl="0" w:tplc="0C090003">
      <w:start w:val="1"/>
      <w:numFmt w:val="bullet"/>
      <w:lvlText w:val="o"/>
      <w:lvlJc w:val="left"/>
      <w:pPr>
        <w:ind w:left="720" w:hanging="360"/>
      </w:pPr>
      <w:rPr>
        <w:rFonts w:ascii="Courier New" w:hAnsi="Courier New" w:cs="Courier New" w:hint="default"/>
        <w:b w:val="0"/>
        <w:b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006C8D"/>
    <w:multiLevelType w:val="hybridMultilevel"/>
    <w:tmpl w:val="3A6EEA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480FDE"/>
    <w:multiLevelType w:val="hybridMultilevel"/>
    <w:tmpl w:val="07CC5A94"/>
    <w:lvl w:ilvl="0" w:tplc="4EF68D22">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986991"/>
    <w:multiLevelType w:val="hybridMultilevel"/>
    <w:tmpl w:val="4412E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A6784C"/>
    <w:multiLevelType w:val="hybridMultilevel"/>
    <w:tmpl w:val="8FD20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4D2AE6"/>
    <w:multiLevelType w:val="hybridMultilevel"/>
    <w:tmpl w:val="FABCA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1203915"/>
    <w:multiLevelType w:val="hybridMultilevel"/>
    <w:tmpl w:val="1BC4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37006"/>
    <w:multiLevelType w:val="hybridMultilevel"/>
    <w:tmpl w:val="CDF6D378"/>
    <w:lvl w:ilvl="0" w:tplc="56266E6C">
      <w:start w:val="1"/>
      <w:numFmt w:val="bullet"/>
      <w:lvlText w:val=""/>
      <w:lvlJc w:val="left"/>
      <w:pPr>
        <w:ind w:left="720" w:hanging="360"/>
      </w:pPr>
      <w:rPr>
        <w:rFonts w:ascii="Symbol" w:hAnsi="Symbol" w:hint="default"/>
        <w:b w:val="0"/>
        <w:bCs w:val="0"/>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EC51EFC"/>
    <w:multiLevelType w:val="hybridMultilevel"/>
    <w:tmpl w:val="C562E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0407AD"/>
    <w:multiLevelType w:val="hybridMultilevel"/>
    <w:tmpl w:val="49D61F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8E2FD3"/>
    <w:multiLevelType w:val="hybridMultilevel"/>
    <w:tmpl w:val="E264AC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5455656">
    <w:abstractNumId w:val="0"/>
  </w:num>
  <w:num w:numId="2" w16cid:durableId="229385049">
    <w:abstractNumId w:val="22"/>
  </w:num>
  <w:num w:numId="3" w16cid:durableId="1035036161">
    <w:abstractNumId w:val="23"/>
  </w:num>
  <w:num w:numId="4" w16cid:durableId="2050177588">
    <w:abstractNumId w:val="14"/>
  </w:num>
  <w:num w:numId="5" w16cid:durableId="1821461796">
    <w:abstractNumId w:val="1"/>
  </w:num>
  <w:num w:numId="6" w16cid:durableId="1052998380">
    <w:abstractNumId w:val="5"/>
  </w:num>
  <w:num w:numId="7" w16cid:durableId="199325154">
    <w:abstractNumId w:val="11"/>
  </w:num>
  <w:num w:numId="8" w16cid:durableId="893279334">
    <w:abstractNumId w:val="17"/>
  </w:num>
  <w:num w:numId="9" w16cid:durableId="1492910692">
    <w:abstractNumId w:val="19"/>
  </w:num>
  <w:num w:numId="10" w16cid:durableId="704331991">
    <w:abstractNumId w:val="8"/>
  </w:num>
  <w:num w:numId="11" w16cid:durableId="48237634">
    <w:abstractNumId w:val="25"/>
  </w:num>
  <w:num w:numId="12" w16cid:durableId="452286408">
    <w:abstractNumId w:val="12"/>
  </w:num>
  <w:num w:numId="13" w16cid:durableId="1777215009">
    <w:abstractNumId w:val="21"/>
  </w:num>
  <w:num w:numId="14" w16cid:durableId="1473252321">
    <w:abstractNumId w:val="10"/>
  </w:num>
  <w:num w:numId="15" w16cid:durableId="1413043251">
    <w:abstractNumId w:val="9"/>
  </w:num>
  <w:num w:numId="16" w16cid:durableId="1802578243">
    <w:abstractNumId w:val="6"/>
  </w:num>
  <w:num w:numId="17" w16cid:durableId="1937900048">
    <w:abstractNumId w:val="24"/>
  </w:num>
  <w:num w:numId="18" w16cid:durableId="1136410524">
    <w:abstractNumId w:val="2"/>
  </w:num>
  <w:num w:numId="19" w16cid:durableId="1428382681">
    <w:abstractNumId w:val="4"/>
  </w:num>
  <w:num w:numId="20" w16cid:durableId="20673336">
    <w:abstractNumId w:val="7"/>
  </w:num>
  <w:num w:numId="21" w16cid:durableId="282884428">
    <w:abstractNumId w:val="26"/>
  </w:num>
  <w:num w:numId="22" w16cid:durableId="898595288">
    <w:abstractNumId w:val="16"/>
  </w:num>
  <w:num w:numId="23" w16cid:durableId="1851869326">
    <w:abstractNumId w:val="13"/>
  </w:num>
  <w:num w:numId="24" w16cid:durableId="1360400374">
    <w:abstractNumId w:val="18"/>
  </w:num>
  <w:num w:numId="25" w16cid:durableId="1485389543">
    <w:abstractNumId w:val="20"/>
  </w:num>
  <w:num w:numId="26" w16cid:durableId="1996378801">
    <w:abstractNumId w:val="15"/>
  </w:num>
  <w:num w:numId="27" w16cid:durableId="12107470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6C8D"/>
    <w:rsid w:val="000121C3"/>
    <w:rsid w:val="00015B90"/>
    <w:rsid w:val="00015D88"/>
    <w:rsid w:val="0001607A"/>
    <w:rsid w:val="00021A4E"/>
    <w:rsid w:val="000327B4"/>
    <w:rsid w:val="00087C67"/>
    <w:rsid w:val="00091AC9"/>
    <w:rsid w:val="00095ECD"/>
    <w:rsid w:val="000A7335"/>
    <w:rsid w:val="000B1620"/>
    <w:rsid w:val="000B5C8C"/>
    <w:rsid w:val="000B71ED"/>
    <w:rsid w:val="000C59E2"/>
    <w:rsid w:val="000C7B2D"/>
    <w:rsid w:val="000D1C9E"/>
    <w:rsid w:val="000E7F75"/>
    <w:rsid w:val="000F7B7E"/>
    <w:rsid w:val="00103EEA"/>
    <w:rsid w:val="001115D7"/>
    <w:rsid w:val="00126EDC"/>
    <w:rsid w:val="00131C38"/>
    <w:rsid w:val="001726AA"/>
    <w:rsid w:val="00191109"/>
    <w:rsid w:val="00191235"/>
    <w:rsid w:val="001926F4"/>
    <w:rsid w:val="00193AF0"/>
    <w:rsid w:val="001956E4"/>
    <w:rsid w:val="001A0053"/>
    <w:rsid w:val="001A0D4D"/>
    <w:rsid w:val="001B2465"/>
    <w:rsid w:val="001B3435"/>
    <w:rsid w:val="001F2A9B"/>
    <w:rsid w:val="001F6D2D"/>
    <w:rsid w:val="00200D04"/>
    <w:rsid w:val="00201FB6"/>
    <w:rsid w:val="002405CF"/>
    <w:rsid w:val="00240B97"/>
    <w:rsid w:val="00240BA7"/>
    <w:rsid w:val="0025382D"/>
    <w:rsid w:val="00263BA6"/>
    <w:rsid w:val="0027264D"/>
    <w:rsid w:val="00285D38"/>
    <w:rsid w:val="00286EB2"/>
    <w:rsid w:val="00293E43"/>
    <w:rsid w:val="002A038D"/>
    <w:rsid w:val="002B5F43"/>
    <w:rsid w:val="00313707"/>
    <w:rsid w:val="0032270B"/>
    <w:rsid w:val="00337E7C"/>
    <w:rsid w:val="003434A9"/>
    <w:rsid w:val="00351CD9"/>
    <w:rsid w:val="00353CBB"/>
    <w:rsid w:val="00366924"/>
    <w:rsid w:val="00376A6D"/>
    <w:rsid w:val="00380280"/>
    <w:rsid w:val="00380B98"/>
    <w:rsid w:val="00381B2C"/>
    <w:rsid w:val="00395E36"/>
    <w:rsid w:val="00396023"/>
    <w:rsid w:val="003B22F6"/>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95408"/>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D310E"/>
    <w:rsid w:val="005E1140"/>
    <w:rsid w:val="005F3214"/>
    <w:rsid w:val="00612231"/>
    <w:rsid w:val="00626241"/>
    <w:rsid w:val="00635EB1"/>
    <w:rsid w:val="006473BB"/>
    <w:rsid w:val="0066495D"/>
    <w:rsid w:val="00695EB6"/>
    <w:rsid w:val="006A3770"/>
    <w:rsid w:val="006A4D46"/>
    <w:rsid w:val="006A6024"/>
    <w:rsid w:val="006C31FF"/>
    <w:rsid w:val="006C6256"/>
    <w:rsid w:val="006C6B6C"/>
    <w:rsid w:val="006C704D"/>
    <w:rsid w:val="006D176B"/>
    <w:rsid w:val="006D31A2"/>
    <w:rsid w:val="006D540E"/>
    <w:rsid w:val="0070331D"/>
    <w:rsid w:val="00704ACB"/>
    <w:rsid w:val="007052B1"/>
    <w:rsid w:val="00711BF4"/>
    <w:rsid w:val="007235F7"/>
    <w:rsid w:val="00741B43"/>
    <w:rsid w:val="0074223E"/>
    <w:rsid w:val="007543AC"/>
    <w:rsid w:val="00756537"/>
    <w:rsid w:val="00756A2B"/>
    <w:rsid w:val="007A0EBC"/>
    <w:rsid w:val="007A7BA5"/>
    <w:rsid w:val="007B27F1"/>
    <w:rsid w:val="007B4ABB"/>
    <w:rsid w:val="007B6904"/>
    <w:rsid w:val="007B7628"/>
    <w:rsid w:val="007C36E4"/>
    <w:rsid w:val="007D2037"/>
    <w:rsid w:val="007E0FD7"/>
    <w:rsid w:val="00816782"/>
    <w:rsid w:val="00817E33"/>
    <w:rsid w:val="0082141D"/>
    <w:rsid w:val="00827F24"/>
    <w:rsid w:val="00845445"/>
    <w:rsid w:val="00855DA8"/>
    <w:rsid w:val="0086354A"/>
    <w:rsid w:val="00876DCC"/>
    <w:rsid w:val="00886399"/>
    <w:rsid w:val="008974CA"/>
    <w:rsid w:val="008C5035"/>
    <w:rsid w:val="008D36EE"/>
    <w:rsid w:val="008E1F7F"/>
    <w:rsid w:val="008E537B"/>
    <w:rsid w:val="008E7253"/>
    <w:rsid w:val="008F00E8"/>
    <w:rsid w:val="00906142"/>
    <w:rsid w:val="009270D5"/>
    <w:rsid w:val="00931B93"/>
    <w:rsid w:val="00933EED"/>
    <w:rsid w:val="00940CDE"/>
    <w:rsid w:val="00956D0E"/>
    <w:rsid w:val="00962C46"/>
    <w:rsid w:val="0097742A"/>
    <w:rsid w:val="0097744F"/>
    <w:rsid w:val="00980EED"/>
    <w:rsid w:val="00991670"/>
    <w:rsid w:val="009B6C8C"/>
    <w:rsid w:val="009C0FCA"/>
    <w:rsid w:val="009C3963"/>
    <w:rsid w:val="009D323C"/>
    <w:rsid w:val="009E39B9"/>
    <w:rsid w:val="009E70F4"/>
    <w:rsid w:val="00A35E2D"/>
    <w:rsid w:val="00A54CB3"/>
    <w:rsid w:val="00A74B8A"/>
    <w:rsid w:val="00A85F61"/>
    <w:rsid w:val="00A86DB3"/>
    <w:rsid w:val="00A92E4F"/>
    <w:rsid w:val="00AA03B6"/>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1064"/>
    <w:rsid w:val="00B91A3B"/>
    <w:rsid w:val="00B9627F"/>
    <w:rsid w:val="00BA2415"/>
    <w:rsid w:val="00BA4DB2"/>
    <w:rsid w:val="00BA4F95"/>
    <w:rsid w:val="00BB33F9"/>
    <w:rsid w:val="00BC3CE6"/>
    <w:rsid w:val="00BE5E41"/>
    <w:rsid w:val="00BF078E"/>
    <w:rsid w:val="00C172D4"/>
    <w:rsid w:val="00C24EDC"/>
    <w:rsid w:val="00C25086"/>
    <w:rsid w:val="00C25A76"/>
    <w:rsid w:val="00C31EB3"/>
    <w:rsid w:val="00C32206"/>
    <w:rsid w:val="00C33DBD"/>
    <w:rsid w:val="00C3559A"/>
    <w:rsid w:val="00C422C8"/>
    <w:rsid w:val="00C45C67"/>
    <w:rsid w:val="00C47091"/>
    <w:rsid w:val="00C523FF"/>
    <w:rsid w:val="00C71C3C"/>
    <w:rsid w:val="00C76998"/>
    <w:rsid w:val="00C93E83"/>
    <w:rsid w:val="00CA593D"/>
    <w:rsid w:val="00CC5D11"/>
    <w:rsid w:val="00CD1283"/>
    <w:rsid w:val="00CD1505"/>
    <w:rsid w:val="00CD2078"/>
    <w:rsid w:val="00CF2DD1"/>
    <w:rsid w:val="00D038F6"/>
    <w:rsid w:val="00D21780"/>
    <w:rsid w:val="00D23346"/>
    <w:rsid w:val="00D243B8"/>
    <w:rsid w:val="00D34794"/>
    <w:rsid w:val="00D35178"/>
    <w:rsid w:val="00D4502D"/>
    <w:rsid w:val="00D46EE1"/>
    <w:rsid w:val="00D530CE"/>
    <w:rsid w:val="00D53E3C"/>
    <w:rsid w:val="00D77950"/>
    <w:rsid w:val="00D9124D"/>
    <w:rsid w:val="00DB7288"/>
    <w:rsid w:val="00DC3762"/>
    <w:rsid w:val="00DC5C47"/>
    <w:rsid w:val="00DD616A"/>
    <w:rsid w:val="00DE0465"/>
    <w:rsid w:val="00DE292D"/>
    <w:rsid w:val="00DE4E25"/>
    <w:rsid w:val="00DE51F6"/>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87C68"/>
    <w:rsid w:val="00F9158A"/>
    <w:rsid w:val="00FA29B8"/>
    <w:rsid w:val="00FA54F1"/>
    <w:rsid w:val="00FC7CBC"/>
    <w:rsid w:val="00FD3D92"/>
    <w:rsid w:val="00FF56DD"/>
    <w:rsid w:val="01E1AF0A"/>
    <w:rsid w:val="01E4732E"/>
    <w:rsid w:val="02DA37D7"/>
    <w:rsid w:val="03024A62"/>
    <w:rsid w:val="039C0841"/>
    <w:rsid w:val="06203D59"/>
    <w:rsid w:val="0696C827"/>
    <w:rsid w:val="0CD665FE"/>
    <w:rsid w:val="0CFD5E8B"/>
    <w:rsid w:val="0DF456BD"/>
    <w:rsid w:val="0E43B2CC"/>
    <w:rsid w:val="0F5A3C24"/>
    <w:rsid w:val="15980B5F"/>
    <w:rsid w:val="1647E052"/>
    <w:rsid w:val="17239979"/>
    <w:rsid w:val="1879248D"/>
    <w:rsid w:val="1B756529"/>
    <w:rsid w:val="1C09A53E"/>
    <w:rsid w:val="1CCCED57"/>
    <w:rsid w:val="1E40AE39"/>
    <w:rsid w:val="1F21778D"/>
    <w:rsid w:val="20575CB0"/>
    <w:rsid w:val="22AEE5A8"/>
    <w:rsid w:val="242EF2F2"/>
    <w:rsid w:val="2680D800"/>
    <w:rsid w:val="27136115"/>
    <w:rsid w:val="299A0898"/>
    <w:rsid w:val="2B3228C4"/>
    <w:rsid w:val="2B50CEBF"/>
    <w:rsid w:val="31594EE9"/>
    <w:rsid w:val="33958B39"/>
    <w:rsid w:val="3411FCE6"/>
    <w:rsid w:val="35C27596"/>
    <w:rsid w:val="37648DFD"/>
    <w:rsid w:val="37F8CC4C"/>
    <w:rsid w:val="39943A0D"/>
    <w:rsid w:val="39A4E18D"/>
    <w:rsid w:val="416DB349"/>
    <w:rsid w:val="42AB2BFF"/>
    <w:rsid w:val="43E9E1C6"/>
    <w:rsid w:val="44FCE6DE"/>
    <w:rsid w:val="4684332B"/>
    <w:rsid w:val="47EE66DE"/>
    <w:rsid w:val="484F1C8A"/>
    <w:rsid w:val="49D9ED6E"/>
    <w:rsid w:val="4B0177B2"/>
    <w:rsid w:val="4B3EADC5"/>
    <w:rsid w:val="4B8CDA44"/>
    <w:rsid w:val="4BF9DA19"/>
    <w:rsid w:val="4C3E1356"/>
    <w:rsid w:val="4F23AF52"/>
    <w:rsid w:val="538AC692"/>
    <w:rsid w:val="5447F9F8"/>
    <w:rsid w:val="54FFCCBC"/>
    <w:rsid w:val="55918A0A"/>
    <w:rsid w:val="5DE29503"/>
    <w:rsid w:val="5E6CEEB6"/>
    <w:rsid w:val="60637F3D"/>
    <w:rsid w:val="61F23074"/>
    <w:rsid w:val="62F879C6"/>
    <w:rsid w:val="63542FD7"/>
    <w:rsid w:val="64C060C8"/>
    <w:rsid w:val="65B10226"/>
    <w:rsid w:val="66A863AE"/>
    <w:rsid w:val="693B1DA8"/>
    <w:rsid w:val="69D21C7C"/>
    <w:rsid w:val="6A2ED638"/>
    <w:rsid w:val="6B19241E"/>
    <w:rsid w:val="6C80559B"/>
    <w:rsid w:val="6CD48D3A"/>
    <w:rsid w:val="6DBF35A0"/>
    <w:rsid w:val="6F985473"/>
    <w:rsid w:val="7191695B"/>
    <w:rsid w:val="742DF1E4"/>
    <w:rsid w:val="76B99180"/>
    <w:rsid w:val="77470D74"/>
    <w:rsid w:val="79119308"/>
    <w:rsid w:val="7B7B18A5"/>
    <w:rsid w:val="7C610716"/>
    <w:rsid w:val="7C89D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locked/>
    <w:rsid w:val="008E537B"/>
    <w:rPr>
      <w:rFonts w:ascii="Calibri" w:eastAsia="Times New Roman" w:hAnsi="Calibri" w:cs="Times New Roman"/>
      <w:sz w:val="24"/>
      <w:szCs w:val="20"/>
    </w:rPr>
  </w:style>
  <w:style w:type="paragraph" w:styleId="NormalWeb">
    <w:name w:val="Normal (Web)"/>
    <w:basedOn w:val="Normal"/>
    <w:uiPriority w:val="99"/>
    <w:unhideWhenUsed/>
    <w:rsid w:val="008E537B"/>
    <w:pPr>
      <w:spacing w:before="100" w:beforeAutospacing="1" w:after="100" w:afterAutospacing="1"/>
    </w:pPr>
    <w:rPr>
      <w:rFonts w:ascii="Times New Roman" w:hAnsi="Times New Roman"/>
      <w:szCs w:val="24"/>
      <w:lang w:eastAsia="en-AU"/>
    </w:rPr>
  </w:style>
  <w:style w:type="table" w:customStyle="1" w:styleId="TableGrid1">
    <w:name w:val="Table Grid1"/>
    <w:basedOn w:val="TableNormal"/>
    <w:next w:val="TableGrid"/>
    <w:uiPriority w:val="59"/>
    <w:rsid w:val="007E0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3DBD"/>
  </w:style>
  <w:style w:type="character" w:customStyle="1" w:styleId="eop">
    <w:name w:val="eop"/>
    <w:basedOn w:val="DefaultParagraphFont"/>
    <w:rsid w:val="00C3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jm.org/doi/pdf/10.1056/NEJMcp060094" TargetMode="External"/><Relationship Id="rId18" Type="http://schemas.openxmlformats.org/officeDocument/2006/relationships/hyperlink" Target="javascript:__doLinkPostBack('','ss~~AR%20%22Alore%2C%20Michelle%20L.%22%7C%7Csl~~r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onnect.calvarycare.org.au/ID=CCID371476" TargetMode="External"/><Relationship Id="rId17" Type="http://schemas.openxmlformats.org/officeDocument/2006/relationships/hyperlink" Target="javascript:__doLinkPostBack('','mdb~~rzh%7C%7Cjdb~~rzhjnh%7C%7Css~~JN%20%22Dimensions%20of%20Critical%20Care%20Nursing%22%7C%7Csl~~jh','');" TargetMode="External"/><Relationship Id="rId2" Type="http://schemas.openxmlformats.org/officeDocument/2006/relationships/customXml" Target="../customXml/item2.xml"/><Relationship Id="rId16" Type="http://schemas.openxmlformats.org/officeDocument/2006/relationships/hyperlink" Target="javascript:__doLinkPostBack('','ss~~AR%20%22Anderson%2C%20JoAnn%20L.%22%7C%7Csl~~rl','');" TargetMode="External"/><Relationship Id="rId20" Type="http://schemas.openxmlformats.org/officeDocument/2006/relationships/hyperlink" Target="http://connect.calvarycare.org.au/ID=CCID6835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calvarycare.org.au/ID=CCID37147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nnect.calvarycare.org.au/ID=CCID37147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onnect.calvarycare.org.au/ID=CCID4495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nect.calvarycare.org.au/ID=CCID37147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2024-03-19T13:00:00+00:00</Approval_x0020_Date>
    <Review_x0020_Date xmlns="690b2128-8961-48af-a473-22c34a9accba">2024-11-30T13:00:00+00:00</Review_x0020_Date>
    <TaxCatchAll xmlns="c0239a80-7f07-4ed7-82c3-24ad7d76ada5">
      <Value>417</Value>
      <Value>416</Value>
      <Value>415</Value>
    </TaxCatchAll>
    <Version_x0020_Number xmlns="690b2128-8961-48af-a473-22c34a9accba">1</Version_x0020_Number>
    <Notes0 xmlns="690b2128-8961-48af-a473-22c34a9accba" xsi:nil="true"/>
    <Key_x0020_Words xmlns="690b2128-8961-48af-a473-22c34a9accba">North, Insulin Infusion, Insulin, infusion, insulin infusion management</Key_x0020_Words>
    <Type_x0020_of_x0020_Document xmlns="690b2128-8961-48af-a473-22c34a9accba">Procedure</Type_x0020_of_x0020_Document>
    <Approval_x0020_Name_x007c_Committee xmlns="690b2128-8961-48af-a473-22c34a9accba" xsi:nil="tru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Provide North Canberra Hospital (NCH) clinicians with information on the safe and effective management of patients receiving an insulin infusion</Description0>
    <Display_x0020_on_x0020_Internet xmlns="690b2128-8961-48af-a473-22c34a9accba">true</Display_x0020_on_x0020_Internet>
    <Related_x0020_Documents xmlns="690b2128-8961-48af-a473-22c34a9accba" xsi:nil="true"/>
    <Decision_x0020_Number xmlns="690b2128-8961-48af-a473-22c34a9accba">CHS24/142</Decision_x0020_Number>
    <RelatedPolicies_x002c_ProceduresGuidelines xmlns="690b2128-8961-48af-a473-22c34a9accba">
      <Value>15920</Value>
      <Value>16471</Value>
      <Value>16356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New_x0020_Owner>
  </documentManagement>
</p:properties>
</file>

<file path=customXml/itemProps1.xml><?xml version="1.0" encoding="utf-8"?>
<ds:datastoreItem xmlns:ds="http://schemas.openxmlformats.org/officeDocument/2006/customXml" ds:itemID="{7B4A779C-56DE-4AC0-9C51-EB0544FAE5A4}">
  <ds:schemaRefs>
    <ds:schemaRef ds:uri="http://schemas.openxmlformats.org/officeDocument/2006/bibliography"/>
  </ds:schemaRefs>
</ds:datastoreItem>
</file>

<file path=customXml/itemProps2.xml><?xml version="1.0" encoding="utf-8"?>
<ds:datastoreItem xmlns:ds="http://schemas.openxmlformats.org/officeDocument/2006/customXml" ds:itemID="{A47DF615-E92E-4F62-8550-087CEFE5B6B7}"/>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690b2128-8961-48af-a473-22c34a9accba"/>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c0239a80-7f07-4ed7-82c3-24ad7d76ada5"/>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Insulin Infusion - North Canberra Hospital (NCH)</dc:title>
  <dc:creator>Kerryn Hunter</dc:creator>
  <cp:lastModifiedBy>Clissold, Jacqui</cp:lastModifiedBy>
  <cp:revision>46</cp:revision>
  <cp:lastPrinted>2015-01-20T22:40:00Z</cp:lastPrinted>
  <dcterms:created xsi:type="dcterms:W3CDTF">2019-09-27T05:28:00Z</dcterms:created>
  <dcterms:modified xsi:type="dcterms:W3CDTF">2024-07-17T04:05:00Z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vt:lpwstr>
  </property>
  <property fmtid="{D5CDD505-2E9C-101B-9397-08002B2CF9AE}" pid="6" name="MSIP_Label_69af8531-eb46-4968-8cb3-105d2f5ea87e_Enabled">
    <vt:lpwstr>true</vt:lpwstr>
  </property>
  <property fmtid="{D5CDD505-2E9C-101B-9397-08002B2CF9AE}" pid="7" name="MSIP_Label_69af8531-eb46-4968-8cb3-105d2f5ea87e_SetDate">
    <vt:lpwstr>2024-07-17T04:02:59Z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921ad36c-527d-4304-8fa3-fa9d32983889</vt:lpwstr>
  </property>
  <property fmtid="{D5CDD505-2E9C-101B-9397-08002B2CF9AE}" pid="12" name="MSIP_Label_69af8531-eb46-4968-8cb3-105d2f5ea87e_ContentBits">
    <vt:lpwstr>0</vt:lpwstr>
  </property>
</Properties>
</file>