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2508E" w14:textId="6BC1F06B"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77B2508F" w14:textId="0A311F87" w:rsidR="00EF02B0" w:rsidRPr="00EF02B0" w:rsidRDefault="00EF02B0" w:rsidP="00EF02B0">
      <w:pPr>
        <w:rPr>
          <w:rFonts w:cs="Arial"/>
          <w:b/>
          <w:i/>
          <w:sz w:val="44"/>
          <w:szCs w:val="44"/>
        </w:rPr>
      </w:pPr>
      <w:r w:rsidRPr="00EF02B0">
        <w:rPr>
          <w:rFonts w:cs="Arial"/>
          <w:b/>
          <w:sz w:val="44"/>
          <w:szCs w:val="44"/>
        </w:rPr>
        <w:t>Procedure</w:t>
      </w:r>
    </w:p>
    <w:p w14:paraId="77B25090" w14:textId="77777777" w:rsidR="007B6904" w:rsidRPr="00B4007F" w:rsidRDefault="00B4007F" w:rsidP="006A3770">
      <w:pPr>
        <w:rPr>
          <w:rFonts w:cs="Arial"/>
          <w:b/>
          <w:sz w:val="36"/>
          <w:szCs w:val="36"/>
        </w:rPr>
      </w:pPr>
      <w:r>
        <w:rPr>
          <w:rFonts w:cs="Calibri"/>
          <w:b/>
          <w:sz w:val="36"/>
          <w:szCs w:val="36"/>
        </w:rPr>
        <w:t>Second Opinion Reviews in Mental Health Services</w:t>
      </w:r>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77B25092" w14:textId="77777777" w:rsidTr="00B21043">
        <w:trPr>
          <w:cantSplit/>
          <w:trHeight w:val="285"/>
        </w:trPr>
        <w:tc>
          <w:tcPr>
            <w:tcW w:w="9158" w:type="dxa"/>
            <w:shd w:val="clear" w:color="auto" w:fill="A6A6A6"/>
          </w:tcPr>
          <w:p w14:paraId="77B25091" w14:textId="77777777" w:rsidR="007B6904" w:rsidRPr="00CD1C0E" w:rsidRDefault="007B6904" w:rsidP="004213C3">
            <w:pPr>
              <w:pStyle w:val="Heading1"/>
            </w:pPr>
            <w:bookmarkStart w:id="5" w:name="_Toc389473273"/>
            <w:bookmarkStart w:id="6" w:name="Contents"/>
            <w:bookmarkStart w:id="7" w:name="_Toc106894176"/>
            <w:r w:rsidRPr="00CD1C0E">
              <w:t>Contents</w:t>
            </w:r>
            <w:bookmarkEnd w:id="5"/>
            <w:bookmarkEnd w:id="6"/>
            <w:bookmarkEnd w:id="7"/>
          </w:p>
        </w:tc>
      </w:tr>
    </w:tbl>
    <w:p w14:paraId="77B25093" w14:textId="77777777" w:rsidR="007B6904" w:rsidRDefault="007B6904" w:rsidP="007B6904"/>
    <w:p w14:paraId="10E580E0" w14:textId="759CF06C" w:rsidR="00A87186" w:rsidRDefault="00A44B97">
      <w:pPr>
        <w:pStyle w:val="TOC1"/>
        <w:tabs>
          <w:tab w:val="right" w:leader="dot" w:pos="9060"/>
        </w:tabs>
        <w:rPr>
          <w:rFonts w:asciiTheme="minorHAnsi" w:eastAsiaTheme="minorEastAsia" w:hAnsiTheme="minorHAnsi" w:cstheme="minorBidi"/>
          <w:noProof/>
          <w:sz w:val="22"/>
          <w:szCs w:val="22"/>
          <w:lang w:eastAsia="en-AU"/>
        </w:rPr>
      </w:pPr>
      <w:r>
        <w:fldChar w:fldCharType="begin"/>
      </w:r>
      <w:r w:rsidR="007052B1">
        <w:instrText xml:space="preserve"> TOC \h \z \t "Heading 1,1" </w:instrText>
      </w:r>
      <w:r>
        <w:fldChar w:fldCharType="separate"/>
      </w:r>
      <w:hyperlink w:anchor="_Toc106894176" w:history="1">
        <w:r w:rsidR="00A87186" w:rsidRPr="00700A3D">
          <w:rPr>
            <w:rStyle w:val="Hyperlink"/>
            <w:noProof/>
          </w:rPr>
          <w:t>Contents</w:t>
        </w:r>
        <w:r w:rsidR="00A87186">
          <w:rPr>
            <w:noProof/>
            <w:webHidden/>
          </w:rPr>
          <w:tab/>
        </w:r>
        <w:r w:rsidR="00A87186">
          <w:rPr>
            <w:noProof/>
            <w:webHidden/>
          </w:rPr>
          <w:fldChar w:fldCharType="begin"/>
        </w:r>
        <w:r w:rsidR="00A87186">
          <w:rPr>
            <w:noProof/>
            <w:webHidden/>
          </w:rPr>
          <w:instrText xml:space="preserve"> PAGEREF _Toc106894176 \h </w:instrText>
        </w:r>
        <w:r w:rsidR="00A87186">
          <w:rPr>
            <w:noProof/>
            <w:webHidden/>
          </w:rPr>
        </w:r>
        <w:r w:rsidR="00A87186">
          <w:rPr>
            <w:noProof/>
            <w:webHidden/>
          </w:rPr>
          <w:fldChar w:fldCharType="separate"/>
        </w:r>
        <w:r w:rsidR="00A87186">
          <w:rPr>
            <w:noProof/>
            <w:webHidden/>
          </w:rPr>
          <w:t>1</w:t>
        </w:r>
        <w:r w:rsidR="00A87186">
          <w:rPr>
            <w:noProof/>
            <w:webHidden/>
          </w:rPr>
          <w:fldChar w:fldCharType="end"/>
        </w:r>
      </w:hyperlink>
    </w:p>
    <w:p w14:paraId="4F8DBDF5" w14:textId="54EE164F" w:rsidR="00A87186" w:rsidRDefault="00A87186">
      <w:pPr>
        <w:pStyle w:val="TOC1"/>
        <w:tabs>
          <w:tab w:val="right" w:leader="dot" w:pos="9060"/>
        </w:tabs>
        <w:rPr>
          <w:rFonts w:asciiTheme="minorHAnsi" w:eastAsiaTheme="minorEastAsia" w:hAnsiTheme="minorHAnsi" w:cstheme="minorBidi"/>
          <w:noProof/>
          <w:sz w:val="22"/>
          <w:szCs w:val="22"/>
          <w:lang w:eastAsia="en-AU"/>
        </w:rPr>
      </w:pPr>
      <w:hyperlink w:anchor="_Toc106894177" w:history="1">
        <w:r w:rsidRPr="00700A3D">
          <w:rPr>
            <w:rStyle w:val="Hyperlink"/>
            <w:noProof/>
          </w:rPr>
          <w:t>Purpose</w:t>
        </w:r>
        <w:r>
          <w:rPr>
            <w:noProof/>
            <w:webHidden/>
          </w:rPr>
          <w:tab/>
        </w:r>
        <w:r>
          <w:rPr>
            <w:noProof/>
            <w:webHidden/>
          </w:rPr>
          <w:fldChar w:fldCharType="begin"/>
        </w:r>
        <w:r>
          <w:rPr>
            <w:noProof/>
            <w:webHidden/>
          </w:rPr>
          <w:instrText xml:space="preserve"> PAGEREF _Toc106894177 \h </w:instrText>
        </w:r>
        <w:r>
          <w:rPr>
            <w:noProof/>
            <w:webHidden/>
          </w:rPr>
        </w:r>
        <w:r>
          <w:rPr>
            <w:noProof/>
            <w:webHidden/>
          </w:rPr>
          <w:fldChar w:fldCharType="separate"/>
        </w:r>
        <w:r>
          <w:rPr>
            <w:noProof/>
            <w:webHidden/>
          </w:rPr>
          <w:t>2</w:t>
        </w:r>
        <w:r>
          <w:rPr>
            <w:noProof/>
            <w:webHidden/>
          </w:rPr>
          <w:fldChar w:fldCharType="end"/>
        </w:r>
      </w:hyperlink>
    </w:p>
    <w:p w14:paraId="0BBD3CC5" w14:textId="0209BCCF" w:rsidR="00A87186" w:rsidRDefault="00A87186">
      <w:pPr>
        <w:pStyle w:val="TOC1"/>
        <w:tabs>
          <w:tab w:val="right" w:leader="dot" w:pos="9060"/>
        </w:tabs>
        <w:rPr>
          <w:rFonts w:asciiTheme="minorHAnsi" w:eastAsiaTheme="minorEastAsia" w:hAnsiTheme="minorHAnsi" w:cstheme="minorBidi"/>
          <w:noProof/>
          <w:sz w:val="22"/>
          <w:szCs w:val="22"/>
          <w:lang w:eastAsia="en-AU"/>
        </w:rPr>
      </w:pPr>
      <w:hyperlink w:anchor="_Toc106894178" w:history="1">
        <w:r w:rsidRPr="00700A3D">
          <w:rPr>
            <w:rStyle w:val="Hyperlink"/>
            <w:noProof/>
          </w:rPr>
          <w:t>Scope</w:t>
        </w:r>
        <w:r>
          <w:rPr>
            <w:noProof/>
            <w:webHidden/>
          </w:rPr>
          <w:tab/>
        </w:r>
        <w:r>
          <w:rPr>
            <w:noProof/>
            <w:webHidden/>
          </w:rPr>
          <w:fldChar w:fldCharType="begin"/>
        </w:r>
        <w:r>
          <w:rPr>
            <w:noProof/>
            <w:webHidden/>
          </w:rPr>
          <w:instrText xml:space="preserve"> PAGEREF _Toc106894178 \h </w:instrText>
        </w:r>
        <w:r>
          <w:rPr>
            <w:noProof/>
            <w:webHidden/>
          </w:rPr>
        </w:r>
        <w:r>
          <w:rPr>
            <w:noProof/>
            <w:webHidden/>
          </w:rPr>
          <w:fldChar w:fldCharType="separate"/>
        </w:r>
        <w:r>
          <w:rPr>
            <w:noProof/>
            <w:webHidden/>
          </w:rPr>
          <w:t>2</w:t>
        </w:r>
        <w:r>
          <w:rPr>
            <w:noProof/>
            <w:webHidden/>
          </w:rPr>
          <w:fldChar w:fldCharType="end"/>
        </w:r>
      </w:hyperlink>
    </w:p>
    <w:p w14:paraId="75D10018" w14:textId="7FE5255E" w:rsidR="00A87186" w:rsidRDefault="00A87186">
      <w:pPr>
        <w:pStyle w:val="TOC1"/>
        <w:tabs>
          <w:tab w:val="right" w:leader="dot" w:pos="9060"/>
        </w:tabs>
        <w:rPr>
          <w:rFonts w:asciiTheme="minorHAnsi" w:eastAsiaTheme="minorEastAsia" w:hAnsiTheme="minorHAnsi" w:cstheme="minorBidi"/>
          <w:noProof/>
          <w:sz w:val="22"/>
          <w:szCs w:val="22"/>
          <w:lang w:eastAsia="en-AU"/>
        </w:rPr>
      </w:pPr>
      <w:hyperlink w:anchor="_Toc106894179" w:history="1">
        <w:r w:rsidRPr="00700A3D">
          <w:rPr>
            <w:rStyle w:val="Hyperlink"/>
            <w:noProof/>
          </w:rPr>
          <w:t>Section 1 – Situations where a second opinion may be requested</w:t>
        </w:r>
        <w:r>
          <w:rPr>
            <w:noProof/>
            <w:webHidden/>
          </w:rPr>
          <w:tab/>
        </w:r>
        <w:r>
          <w:rPr>
            <w:noProof/>
            <w:webHidden/>
          </w:rPr>
          <w:fldChar w:fldCharType="begin"/>
        </w:r>
        <w:r>
          <w:rPr>
            <w:noProof/>
            <w:webHidden/>
          </w:rPr>
          <w:instrText xml:space="preserve"> PAGEREF _Toc106894179 \h </w:instrText>
        </w:r>
        <w:r>
          <w:rPr>
            <w:noProof/>
            <w:webHidden/>
          </w:rPr>
        </w:r>
        <w:r>
          <w:rPr>
            <w:noProof/>
            <w:webHidden/>
          </w:rPr>
          <w:fldChar w:fldCharType="separate"/>
        </w:r>
        <w:r>
          <w:rPr>
            <w:noProof/>
            <w:webHidden/>
          </w:rPr>
          <w:t>2</w:t>
        </w:r>
        <w:r>
          <w:rPr>
            <w:noProof/>
            <w:webHidden/>
          </w:rPr>
          <w:fldChar w:fldCharType="end"/>
        </w:r>
      </w:hyperlink>
    </w:p>
    <w:p w14:paraId="6DFD9133" w14:textId="6E4F191E" w:rsidR="00A87186" w:rsidRDefault="00A87186">
      <w:pPr>
        <w:pStyle w:val="TOC1"/>
        <w:tabs>
          <w:tab w:val="right" w:leader="dot" w:pos="9060"/>
        </w:tabs>
        <w:rPr>
          <w:rFonts w:asciiTheme="minorHAnsi" w:eastAsiaTheme="minorEastAsia" w:hAnsiTheme="minorHAnsi" w:cstheme="minorBidi"/>
          <w:noProof/>
          <w:sz w:val="22"/>
          <w:szCs w:val="22"/>
          <w:lang w:eastAsia="en-AU"/>
        </w:rPr>
      </w:pPr>
      <w:hyperlink w:anchor="_Toc106894180" w:history="1">
        <w:r w:rsidRPr="00700A3D">
          <w:rPr>
            <w:rStyle w:val="Hyperlink"/>
            <w:noProof/>
          </w:rPr>
          <w:t>Section 2 – Process of obtaining a second opinion</w:t>
        </w:r>
        <w:r>
          <w:rPr>
            <w:noProof/>
            <w:webHidden/>
          </w:rPr>
          <w:tab/>
        </w:r>
        <w:r>
          <w:rPr>
            <w:noProof/>
            <w:webHidden/>
          </w:rPr>
          <w:fldChar w:fldCharType="begin"/>
        </w:r>
        <w:r>
          <w:rPr>
            <w:noProof/>
            <w:webHidden/>
          </w:rPr>
          <w:instrText xml:space="preserve"> PAGEREF _Toc106894180 \h </w:instrText>
        </w:r>
        <w:r>
          <w:rPr>
            <w:noProof/>
            <w:webHidden/>
          </w:rPr>
        </w:r>
        <w:r>
          <w:rPr>
            <w:noProof/>
            <w:webHidden/>
          </w:rPr>
          <w:fldChar w:fldCharType="separate"/>
        </w:r>
        <w:r>
          <w:rPr>
            <w:noProof/>
            <w:webHidden/>
          </w:rPr>
          <w:t>3</w:t>
        </w:r>
        <w:r>
          <w:rPr>
            <w:noProof/>
            <w:webHidden/>
          </w:rPr>
          <w:fldChar w:fldCharType="end"/>
        </w:r>
      </w:hyperlink>
    </w:p>
    <w:p w14:paraId="33B854BA" w14:textId="5518B48D" w:rsidR="00A87186" w:rsidRDefault="00A87186">
      <w:pPr>
        <w:pStyle w:val="TOC1"/>
        <w:tabs>
          <w:tab w:val="right" w:leader="dot" w:pos="9060"/>
        </w:tabs>
        <w:rPr>
          <w:rFonts w:asciiTheme="minorHAnsi" w:eastAsiaTheme="minorEastAsia" w:hAnsiTheme="minorHAnsi" w:cstheme="minorBidi"/>
          <w:noProof/>
          <w:sz w:val="22"/>
          <w:szCs w:val="22"/>
          <w:lang w:eastAsia="en-AU"/>
        </w:rPr>
      </w:pPr>
      <w:hyperlink w:anchor="_Toc106894181" w:history="1">
        <w:r w:rsidRPr="00700A3D">
          <w:rPr>
            <w:rStyle w:val="Hyperlink"/>
            <w:noProof/>
          </w:rPr>
          <w:t>Evaluation</w:t>
        </w:r>
        <w:r>
          <w:rPr>
            <w:noProof/>
            <w:webHidden/>
          </w:rPr>
          <w:tab/>
        </w:r>
        <w:r>
          <w:rPr>
            <w:noProof/>
            <w:webHidden/>
          </w:rPr>
          <w:fldChar w:fldCharType="begin"/>
        </w:r>
        <w:r>
          <w:rPr>
            <w:noProof/>
            <w:webHidden/>
          </w:rPr>
          <w:instrText xml:space="preserve"> PAGEREF _Toc106894181 \h </w:instrText>
        </w:r>
        <w:r>
          <w:rPr>
            <w:noProof/>
            <w:webHidden/>
          </w:rPr>
        </w:r>
        <w:r>
          <w:rPr>
            <w:noProof/>
            <w:webHidden/>
          </w:rPr>
          <w:fldChar w:fldCharType="separate"/>
        </w:r>
        <w:r>
          <w:rPr>
            <w:noProof/>
            <w:webHidden/>
          </w:rPr>
          <w:t>4</w:t>
        </w:r>
        <w:r>
          <w:rPr>
            <w:noProof/>
            <w:webHidden/>
          </w:rPr>
          <w:fldChar w:fldCharType="end"/>
        </w:r>
      </w:hyperlink>
    </w:p>
    <w:p w14:paraId="41973F82" w14:textId="53AA4652" w:rsidR="00A87186" w:rsidRDefault="00A87186">
      <w:pPr>
        <w:pStyle w:val="TOC1"/>
        <w:tabs>
          <w:tab w:val="right" w:leader="dot" w:pos="9060"/>
        </w:tabs>
        <w:rPr>
          <w:rFonts w:asciiTheme="minorHAnsi" w:eastAsiaTheme="minorEastAsia" w:hAnsiTheme="minorHAnsi" w:cstheme="minorBidi"/>
          <w:noProof/>
          <w:sz w:val="22"/>
          <w:szCs w:val="22"/>
          <w:lang w:eastAsia="en-AU"/>
        </w:rPr>
      </w:pPr>
      <w:hyperlink w:anchor="_Toc106894182" w:history="1">
        <w:r w:rsidRPr="00700A3D">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_Toc106894182 \h </w:instrText>
        </w:r>
        <w:r>
          <w:rPr>
            <w:noProof/>
            <w:webHidden/>
          </w:rPr>
        </w:r>
        <w:r>
          <w:rPr>
            <w:noProof/>
            <w:webHidden/>
          </w:rPr>
          <w:fldChar w:fldCharType="separate"/>
        </w:r>
        <w:r>
          <w:rPr>
            <w:noProof/>
            <w:webHidden/>
          </w:rPr>
          <w:t>4</w:t>
        </w:r>
        <w:r>
          <w:rPr>
            <w:noProof/>
            <w:webHidden/>
          </w:rPr>
          <w:fldChar w:fldCharType="end"/>
        </w:r>
      </w:hyperlink>
    </w:p>
    <w:p w14:paraId="626C3332" w14:textId="22D77CC1" w:rsidR="00A87186" w:rsidRDefault="00A87186">
      <w:pPr>
        <w:pStyle w:val="TOC1"/>
        <w:tabs>
          <w:tab w:val="right" w:leader="dot" w:pos="9060"/>
        </w:tabs>
        <w:rPr>
          <w:rFonts w:asciiTheme="minorHAnsi" w:eastAsiaTheme="minorEastAsia" w:hAnsiTheme="minorHAnsi" w:cstheme="minorBidi"/>
          <w:noProof/>
          <w:sz w:val="22"/>
          <w:szCs w:val="22"/>
          <w:lang w:eastAsia="en-AU"/>
        </w:rPr>
      </w:pPr>
      <w:hyperlink w:anchor="_Toc106894183" w:history="1">
        <w:r w:rsidRPr="00700A3D">
          <w:rPr>
            <w:rStyle w:val="Hyperlink"/>
            <w:noProof/>
          </w:rPr>
          <w:t>References</w:t>
        </w:r>
        <w:r>
          <w:rPr>
            <w:noProof/>
            <w:webHidden/>
          </w:rPr>
          <w:tab/>
        </w:r>
        <w:r>
          <w:rPr>
            <w:noProof/>
            <w:webHidden/>
          </w:rPr>
          <w:fldChar w:fldCharType="begin"/>
        </w:r>
        <w:r>
          <w:rPr>
            <w:noProof/>
            <w:webHidden/>
          </w:rPr>
          <w:instrText xml:space="preserve"> PAGEREF _Toc106894183 \h </w:instrText>
        </w:r>
        <w:r>
          <w:rPr>
            <w:noProof/>
            <w:webHidden/>
          </w:rPr>
        </w:r>
        <w:r>
          <w:rPr>
            <w:noProof/>
            <w:webHidden/>
          </w:rPr>
          <w:fldChar w:fldCharType="separate"/>
        </w:r>
        <w:r>
          <w:rPr>
            <w:noProof/>
            <w:webHidden/>
          </w:rPr>
          <w:t>5</w:t>
        </w:r>
        <w:r>
          <w:rPr>
            <w:noProof/>
            <w:webHidden/>
          </w:rPr>
          <w:fldChar w:fldCharType="end"/>
        </w:r>
      </w:hyperlink>
    </w:p>
    <w:p w14:paraId="6BF4DE40" w14:textId="1F7484EF" w:rsidR="00A87186" w:rsidRDefault="00A87186">
      <w:pPr>
        <w:pStyle w:val="TOC1"/>
        <w:tabs>
          <w:tab w:val="right" w:leader="dot" w:pos="9060"/>
        </w:tabs>
        <w:rPr>
          <w:rFonts w:asciiTheme="minorHAnsi" w:eastAsiaTheme="minorEastAsia" w:hAnsiTheme="minorHAnsi" w:cstheme="minorBidi"/>
          <w:noProof/>
          <w:sz w:val="22"/>
          <w:szCs w:val="22"/>
          <w:lang w:eastAsia="en-AU"/>
        </w:rPr>
      </w:pPr>
      <w:hyperlink w:anchor="_Toc106894184" w:history="1">
        <w:r w:rsidRPr="00700A3D">
          <w:rPr>
            <w:rStyle w:val="Hyperlink"/>
            <w:noProof/>
          </w:rPr>
          <w:t>Definitions</w:t>
        </w:r>
        <w:r>
          <w:rPr>
            <w:noProof/>
            <w:webHidden/>
          </w:rPr>
          <w:tab/>
        </w:r>
        <w:r>
          <w:rPr>
            <w:noProof/>
            <w:webHidden/>
          </w:rPr>
          <w:fldChar w:fldCharType="begin"/>
        </w:r>
        <w:r>
          <w:rPr>
            <w:noProof/>
            <w:webHidden/>
          </w:rPr>
          <w:instrText xml:space="preserve"> PAGEREF _Toc106894184 \h </w:instrText>
        </w:r>
        <w:r>
          <w:rPr>
            <w:noProof/>
            <w:webHidden/>
          </w:rPr>
        </w:r>
        <w:r>
          <w:rPr>
            <w:noProof/>
            <w:webHidden/>
          </w:rPr>
          <w:fldChar w:fldCharType="separate"/>
        </w:r>
        <w:r>
          <w:rPr>
            <w:noProof/>
            <w:webHidden/>
          </w:rPr>
          <w:t>5</w:t>
        </w:r>
        <w:r>
          <w:rPr>
            <w:noProof/>
            <w:webHidden/>
          </w:rPr>
          <w:fldChar w:fldCharType="end"/>
        </w:r>
      </w:hyperlink>
    </w:p>
    <w:p w14:paraId="2BFF3C54" w14:textId="4B00E303" w:rsidR="00A87186" w:rsidRDefault="00A87186">
      <w:pPr>
        <w:pStyle w:val="TOC1"/>
        <w:tabs>
          <w:tab w:val="right" w:leader="dot" w:pos="9060"/>
        </w:tabs>
        <w:rPr>
          <w:rFonts w:asciiTheme="minorHAnsi" w:eastAsiaTheme="minorEastAsia" w:hAnsiTheme="minorHAnsi" w:cstheme="minorBidi"/>
          <w:noProof/>
          <w:sz w:val="22"/>
          <w:szCs w:val="22"/>
          <w:lang w:eastAsia="en-AU"/>
        </w:rPr>
      </w:pPr>
      <w:hyperlink w:anchor="_Toc106894185" w:history="1">
        <w:r w:rsidRPr="00700A3D">
          <w:rPr>
            <w:rStyle w:val="Hyperlink"/>
            <w:noProof/>
          </w:rPr>
          <w:t>Search Terms</w:t>
        </w:r>
        <w:r>
          <w:rPr>
            <w:noProof/>
            <w:webHidden/>
          </w:rPr>
          <w:tab/>
        </w:r>
        <w:r>
          <w:rPr>
            <w:noProof/>
            <w:webHidden/>
          </w:rPr>
          <w:fldChar w:fldCharType="begin"/>
        </w:r>
        <w:r>
          <w:rPr>
            <w:noProof/>
            <w:webHidden/>
          </w:rPr>
          <w:instrText xml:space="preserve"> PAGEREF _Toc106894185 \h </w:instrText>
        </w:r>
        <w:r>
          <w:rPr>
            <w:noProof/>
            <w:webHidden/>
          </w:rPr>
        </w:r>
        <w:r>
          <w:rPr>
            <w:noProof/>
            <w:webHidden/>
          </w:rPr>
          <w:fldChar w:fldCharType="separate"/>
        </w:r>
        <w:r>
          <w:rPr>
            <w:noProof/>
            <w:webHidden/>
          </w:rPr>
          <w:t>5</w:t>
        </w:r>
        <w:r>
          <w:rPr>
            <w:noProof/>
            <w:webHidden/>
          </w:rPr>
          <w:fldChar w:fldCharType="end"/>
        </w:r>
      </w:hyperlink>
    </w:p>
    <w:p w14:paraId="77B2509E" w14:textId="79BA3EC0" w:rsidR="007052B1" w:rsidRDefault="00A44B97" w:rsidP="007B6904">
      <w:r>
        <w:fldChar w:fldCharType="end"/>
      </w:r>
    </w:p>
    <w:p w14:paraId="77B2509F" w14:textId="77777777" w:rsidR="007B6904" w:rsidRPr="00763141" w:rsidRDefault="007052B1" w:rsidP="009A7EB1">
      <w:pPr>
        <w:spacing w:after="200" w:line="276" w:lineRule="auto"/>
      </w:pPr>
      <w:r>
        <w:br w:type="page"/>
      </w:r>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77B250A1" w14:textId="77777777" w:rsidTr="00B21043">
        <w:trPr>
          <w:cantSplit/>
          <w:trHeight w:val="285"/>
        </w:trPr>
        <w:tc>
          <w:tcPr>
            <w:tcW w:w="9158" w:type="dxa"/>
            <w:shd w:val="clear" w:color="auto" w:fill="A6A6A6"/>
          </w:tcPr>
          <w:p w14:paraId="77B250A0" w14:textId="77777777" w:rsidR="007B6904" w:rsidRPr="00CD1C0E" w:rsidRDefault="007B6904" w:rsidP="004213C3">
            <w:pPr>
              <w:pStyle w:val="Heading1"/>
            </w:pPr>
            <w:bookmarkStart w:id="8" w:name="_Toc389473274"/>
            <w:bookmarkStart w:id="9" w:name="_Toc106894177"/>
            <w:r w:rsidRPr="00CD1C0E">
              <w:lastRenderedPageBreak/>
              <w:t>Purpose</w:t>
            </w:r>
            <w:bookmarkEnd w:id="8"/>
            <w:bookmarkEnd w:id="9"/>
          </w:p>
        </w:tc>
      </w:tr>
    </w:tbl>
    <w:p w14:paraId="77B250A2" w14:textId="77777777" w:rsidR="007A5EDB" w:rsidRDefault="007A5EDB" w:rsidP="007A5EDB">
      <w:pPr>
        <w:autoSpaceDE w:val="0"/>
        <w:autoSpaceDN w:val="0"/>
        <w:adjustRightInd w:val="0"/>
        <w:rPr>
          <w:rFonts w:cs="Calibri"/>
          <w:szCs w:val="24"/>
        </w:rPr>
      </w:pPr>
    </w:p>
    <w:p w14:paraId="564EB6E9" w14:textId="0FC25FFA" w:rsidR="00AA374A" w:rsidRDefault="009B2067" w:rsidP="004050A9">
      <w:pPr>
        <w:autoSpaceDE w:val="0"/>
        <w:autoSpaceDN w:val="0"/>
        <w:adjustRightInd w:val="0"/>
        <w:ind w:left="142"/>
        <w:rPr>
          <w:rFonts w:cs="Calibri"/>
          <w:szCs w:val="24"/>
        </w:rPr>
      </w:pPr>
      <w:r w:rsidRPr="0023527A">
        <w:rPr>
          <w:rFonts w:cs="Calibri"/>
          <w:szCs w:val="24"/>
        </w:rPr>
        <w:t xml:space="preserve">To provide </w:t>
      </w:r>
      <w:r w:rsidR="00AA374A">
        <w:rPr>
          <w:rFonts w:cs="Calibri"/>
          <w:szCs w:val="24"/>
        </w:rPr>
        <w:t xml:space="preserve">a process </w:t>
      </w:r>
      <w:r>
        <w:rPr>
          <w:rFonts w:cs="Calibri"/>
          <w:szCs w:val="24"/>
        </w:rPr>
        <w:t xml:space="preserve">for the provision of Second Opinion psychiatric reviews and consultations when requested by a </w:t>
      </w:r>
      <w:r w:rsidR="00606747">
        <w:rPr>
          <w:rFonts w:cs="Calibri"/>
          <w:szCs w:val="24"/>
        </w:rPr>
        <w:t xml:space="preserve">person with mental illness or </w:t>
      </w:r>
      <w:r w:rsidR="004E36A1">
        <w:rPr>
          <w:rFonts w:cs="Calibri"/>
          <w:szCs w:val="24"/>
        </w:rPr>
        <w:t xml:space="preserve">mental </w:t>
      </w:r>
      <w:r w:rsidR="00606747">
        <w:rPr>
          <w:rFonts w:cs="Calibri"/>
          <w:szCs w:val="24"/>
        </w:rPr>
        <w:t>disorder</w:t>
      </w:r>
      <w:r>
        <w:rPr>
          <w:rFonts w:cs="Calibri"/>
          <w:szCs w:val="24"/>
        </w:rPr>
        <w:t xml:space="preserve"> and/or where the relevant service determines it is necessary. </w:t>
      </w:r>
    </w:p>
    <w:p w14:paraId="62A131E5" w14:textId="77777777" w:rsidR="00F95547" w:rsidRDefault="00F95547" w:rsidP="004050A9">
      <w:pPr>
        <w:autoSpaceDE w:val="0"/>
        <w:autoSpaceDN w:val="0"/>
        <w:adjustRightInd w:val="0"/>
        <w:ind w:left="142"/>
        <w:rPr>
          <w:rFonts w:cs="Calibri"/>
          <w:szCs w:val="24"/>
        </w:rPr>
      </w:pPr>
    </w:p>
    <w:p w14:paraId="77B250A3" w14:textId="738527A4" w:rsidR="007B6904" w:rsidRDefault="009B2067" w:rsidP="004050A9">
      <w:pPr>
        <w:autoSpaceDE w:val="0"/>
        <w:autoSpaceDN w:val="0"/>
        <w:adjustRightInd w:val="0"/>
        <w:ind w:left="142"/>
        <w:rPr>
          <w:rFonts w:cs="Calibri"/>
          <w:szCs w:val="24"/>
          <w:lang w:eastAsia="en-AU"/>
        </w:rPr>
      </w:pPr>
      <w:r w:rsidRPr="004B7E4F">
        <w:rPr>
          <w:rFonts w:cs="Calibri"/>
          <w:szCs w:val="24"/>
        </w:rPr>
        <w:t xml:space="preserve">This </w:t>
      </w:r>
      <w:r w:rsidR="00606747">
        <w:rPr>
          <w:rFonts w:cs="Calibri"/>
          <w:szCs w:val="24"/>
        </w:rPr>
        <w:t>procedure</w:t>
      </w:r>
      <w:r w:rsidR="00606747" w:rsidRPr="004B7E4F">
        <w:rPr>
          <w:rFonts w:cs="Calibri"/>
          <w:szCs w:val="24"/>
        </w:rPr>
        <w:t xml:space="preserve"> </w:t>
      </w:r>
      <w:r w:rsidRPr="004B7E4F">
        <w:rPr>
          <w:rFonts w:cs="Calibri"/>
          <w:szCs w:val="24"/>
        </w:rPr>
        <w:t xml:space="preserve">also </w:t>
      </w:r>
      <w:r>
        <w:rPr>
          <w:rFonts w:cs="Calibri"/>
          <w:color w:val="000000"/>
          <w:szCs w:val="24"/>
          <w:lang w:eastAsia="en-AU"/>
        </w:rPr>
        <w:t>covers</w:t>
      </w:r>
      <w:r w:rsidRPr="004B7E4F">
        <w:rPr>
          <w:rFonts w:cs="Calibri"/>
          <w:color w:val="000000"/>
          <w:szCs w:val="24"/>
          <w:lang w:eastAsia="en-AU"/>
        </w:rPr>
        <w:t xml:space="preserve"> situations </w:t>
      </w:r>
      <w:r>
        <w:rPr>
          <w:rFonts w:cs="Calibri"/>
          <w:color w:val="000000"/>
          <w:szCs w:val="24"/>
          <w:lang w:eastAsia="en-AU"/>
        </w:rPr>
        <w:t xml:space="preserve">which </w:t>
      </w:r>
      <w:r w:rsidRPr="004B7E4F">
        <w:rPr>
          <w:rFonts w:cs="Calibri"/>
          <w:color w:val="000000"/>
          <w:szCs w:val="24"/>
          <w:lang w:eastAsia="en-AU"/>
        </w:rPr>
        <w:t>should automatically t</w:t>
      </w:r>
      <w:r>
        <w:rPr>
          <w:rFonts w:cs="Calibri"/>
          <w:color w:val="000000"/>
          <w:szCs w:val="24"/>
          <w:lang w:eastAsia="en-AU"/>
        </w:rPr>
        <w:t>rigger a second opinion from a Consultant P</w:t>
      </w:r>
      <w:r w:rsidRPr="004B7E4F">
        <w:rPr>
          <w:rFonts w:cs="Calibri"/>
          <w:color w:val="000000"/>
          <w:szCs w:val="24"/>
          <w:lang w:eastAsia="en-AU"/>
        </w:rPr>
        <w:t>sychiatrist</w:t>
      </w:r>
      <w:r>
        <w:rPr>
          <w:rFonts w:cs="Calibri"/>
          <w:color w:val="000000"/>
          <w:szCs w:val="24"/>
          <w:lang w:eastAsia="en-AU"/>
        </w:rPr>
        <w:t>/Psychiatry Registrar</w:t>
      </w:r>
      <w:r w:rsidRPr="004B7E4F">
        <w:rPr>
          <w:rFonts w:cs="Calibri"/>
          <w:color w:val="000000"/>
          <w:szCs w:val="24"/>
          <w:lang w:eastAsia="en-AU"/>
        </w:rPr>
        <w:t xml:space="preserve">, and </w:t>
      </w:r>
      <w:r>
        <w:rPr>
          <w:rFonts w:cs="Calibri"/>
          <w:color w:val="000000"/>
          <w:szCs w:val="24"/>
          <w:lang w:eastAsia="en-AU"/>
        </w:rPr>
        <w:t xml:space="preserve">those situations </w:t>
      </w:r>
      <w:r w:rsidRPr="004B7E4F">
        <w:rPr>
          <w:rFonts w:cs="Calibri"/>
          <w:color w:val="000000"/>
          <w:szCs w:val="24"/>
          <w:lang w:eastAsia="en-AU"/>
        </w:rPr>
        <w:t>where it is recommended but remains at the discretion of the requesting</w:t>
      </w:r>
      <w:r>
        <w:rPr>
          <w:rFonts w:cs="Calibri"/>
          <w:color w:val="000000"/>
          <w:szCs w:val="24"/>
          <w:lang w:eastAsia="en-AU"/>
        </w:rPr>
        <w:t xml:space="preserve"> C</w:t>
      </w:r>
      <w:r w:rsidRPr="004B7E4F">
        <w:rPr>
          <w:rFonts w:cs="Calibri"/>
          <w:color w:val="000000"/>
          <w:szCs w:val="24"/>
          <w:lang w:eastAsia="en-AU"/>
        </w:rPr>
        <w:t>onsultant</w:t>
      </w:r>
      <w:r>
        <w:rPr>
          <w:rFonts w:cs="Calibri"/>
          <w:color w:val="000000"/>
          <w:szCs w:val="24"/>
          <w:lang w:eastAsia="en-AU"/>
        </w:rPr>
        <w:t>/Registrar</w:t>
      </w:r>
      <w:r w:rsidRPr="004B7E4F">
        <w:rPr>
          <w:rFonts w:cs="Calibri"/>
          <w:color w:val="000000"/>
          <w:szCs w:val="24"/>
          <w:lang w:eastAsia="en-AU"/>
        </w:rPr>
        <w:t>.</w:t>
      </w:r>
      <w:r w:rsidR="007A5EDB">
        <w:rPr>
          <w:rFonts w:cs="Calibri"/>
          <w:szCs w:val="24"/>
          <w:lang w:eastAsia="en-AU"/>
        </w:rPr>
        <w:t xml:space="preserve"> </w:t>
      </w:r>
    </w:p>
    <w:p w14:paraId="77B250A4" w14:textId="77777777" w:rsidR="001247D6" w:rsidRDefault="001247D6" w:rsidP="004050A9">
      <w:pPr>
        <w:autoSpaceDE w:val="0"/>
        <w:autoSpaceDN w:val="0"/>
        <w:adjustRightInd w:val="0"/>
        <w:ind w:left="426"/>
        <w:rPr>
          <w:rFonts w:cs="Calibri"/>
          <w:szCs w:val="24"/>
          <w:lang w:eastAsia="en-AU"/>
        </w:rPr>
      </w:pPr>
    </w:p>
    <w:p w14:paraId="77B250A5" w14:textId="77777777" w:rsidR="001247D6" w:rsidRPr="001247D6" w:rsidRDefault="00026017" w:rsidP="001247D6">
      <w:pPr>
        <w:pStyle w:val="ListParagraph"/>
        <w:jc w:val="right"/>
        <w:rPr>
          <w:szCs w:val="24"/>
        </w:rPr>
      </w:pPr>
      <w:hyperlink w:anchor="Contents" w:history="1">
        <w:r w:rsidR="001247D6" w:rsidRPr="00590902">
          <w:rPr>
            <w:rStyle w:val="Hyperlink"/>
            <w:rFonts w:cs="Arial"/>
            <w:i/>
            <w:szCs w:val="24"/>
          </w:rPr>
          <w:t>Back to Table of Contents</w:t>
        </w:r>
      </w:hyperlink>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77B250A7" w14:textId="77777777" w:rsidTr="00B21043">
        <w:trPr>
          <w:cantSplit/>
          <w:trHeight w:val="285"/>
        </w:trPr>
        <w:tc>
          <w:tcPr>
            <w:tcW w:w="9158" w:type="dxa"/>
            <w:shd w:val="clear" w:color="auto" w:fill="A6A6A6"/>
          </w:tcPr>
          <w:p w14:paraId="77B250A6" w14:textId="77777777" w:rsidR="007B6904" w:rsidRPr="003D2D06" w:rsidRDefault="007B6904" w:rsidP="004213C3">
            <w:pPr>
              <w:pStyle w:val="Heading1"/>
            </w:pPr>
            <w:bookmarkStart w:id="10" w:name="_Toc389473277"/>
            <w:bookmarkStart w:id="11" w:name="_Toc106894178"/>
            <w:r w:rsidRPr="003D2D06">
              <w:t>Scope</w:t>
            </w:r>
            <w:bookmarkEnd w:id="10"/>
            <w:bookmarkEnd w:id="11"/>
          </w:p>
        </w:tc>
      </w:tr>
    </w:tbl>
    <w:p w14:paraId="77B250A8" w14:textId="77777777" w:rsidR="007B6904" w:rsidRPr="00CD1C0E" w:rsidRDefault="007B6904" w:rsidP="007B6904">
      <w:pPr>
        <w:rPr>
          <w:szCs w:val="24"/>
        </w:rPr>
      </w:pPr>
    </w:p>
    <w:p w14:paraId="77B250A9" w14:textId="77611841" w:rsidR="00CC48B1" w:rsidRPr="00321CA4" w:rsidRDefault="009B2067" w:rsidP="004050A9">
      <w:pPr>
        <w:ind w:left="142"/>
        <w:rPr>
          <w:rFonts w:cs="Calibri"/>
          <w:szCs w:val="24"/>
        </w:rPr>
      </w:pPr>
      <w:r w:rsidRPr="007E1DF9">
        <w:rPr>
          <w:rFonts w:cs="Calibri"/>
          <w:szCs w:val="24"/>
        </w:rPr>
        <w:t xml:space="preserve">This </w:t>
      </w:r>
      <w:r w:rsidR="008F5CBD">
        <w:rPr>
          <w:rFonts w:cs="Calibri"/>
          <w:szCs w:val="24"/>
        </w:rPr>
        <w:t>p</w:t>
      </w:r>
      <w:r w:rsidRPr="007E1DF9">
        <w:rPr>
          <w:rFonts w:cs="Calibri"/>
          <w:szCs w:val="24"/>
        </w:rPr>
        <w:t xml:space="preserve">rocedure </w:t>
      </w:r>
      <w:r w:rsidRPr="00807278">
        <w:rPr>
          <w:rFonts w:cs="Calibri"/>
          <w:szCs w:val="24"/>
        </w:rPr>
        <w:t xml:space="preserve">applies to all </w:t>
      </w:r>
      <w:bookmarkStart w:id="12" w:name="_Hlk105753559"/>
      <w:r w:rsidR="00C71813">
        <w:rPr>
          <w:rFonts w:cs="Calibri"/>
          <w:szCs w:val="24"/>
        </w:rPr>
        <w:t>C</w:t>
      </w:r>
      <w:r w:rsidR="004050A9">
        <w:rPr>
          <w:rFonts w:cs="Calibri"/>
          <w:szCs w:val="24"/>
        </w:rPr>
        <w:t>anberra Health Services (C</w:t>
      </w:r>
      <w:r w:rsidR="00C71813">
        <w:rPr>
          <w:rFonts w:cs="Calibri"/>
          <w:szCs w:val="24"/>
        </w:rPr>
        <w:t>HS</w:t>
      </w:r>
      <w:r w:rsidR="004050A9">
        <w:rPr>
          <w:rFonts w:cs="Calibri"/>
          <w:szCs w:val="24"/>
        </w:rPr>
        <w:t>)</w:t>
      </w:r>
      <w:r w:rsidR="00C71813">
        <w:rPr>
          <w:rFonts w:cs="Calibri"/>
          <w:szCs w:val="24"/>
        </w:rPr>
        <w:t xml:space="preserve"> </w:t>
      </w:r>
      <w:bookmarkEnd w:id="12"/>
      <w:r>
        <w:rPr>
          <w:rFonts w:cs="Calibri"/>
          <w:szCs w:val="24"/>
        </w:rPr>
        <w:t>clinica</w:t>
      </w:r>
      <w:r w:rsidR="00C71813">
        <w:rPr>
          <w:rFonts w:cs="Calibri"/>
          <w:szCs w:val="24"/>
        </w:rPr>
        <w:t xml:space="preserve">l staff who are </w:t>
      </w:r>
      <w:r w:rsidR="00CC48B1">
        <w:rPr>
          <w:rFonts w:cs="Calibri"/>
          <w:szCs w:val="24"/>
        </w:rPr>
        <w:t xml:space="preserve">involved in the facilitation of </w:t>
      </w:r>
      <w:r w:rsidR="00C71813">
        <w:rPr>
          <w:rFonts w:cs="Calibri"/>
          <w:szCs w:val="24"/>
        </w:rPr>
        <w:t xml:space="preserve">a </w:t>
      </w:r>
      <w:bookmarkStart w:id="13" w:name="_Hlk105761800"/>
      <w:r w:rsidR="00C71813">
        <w:rPr>
          <w:rFonts w:cs="Calibri"/>
          <w:szCs w:val="24"/>
        </w:rPr>
        <w:t>Second Opinion for people with mental illness or mental disorder</w:t>
      </w:r>
      <w:bookmarkEnd w:id="13"/>
      <w:r w:rsidR="00CC48B1">
        <w:rPr>
          <w:rFonts w:cs="Calibri"/>
          <w:szCs w:val="24"/>
        </w:rPr>
        <w:t xml:space="preserve">, where it is either clinically indicated, for the purposes of compliance with the </w:t>
      </w:r>
      <w:bookmarkStart w:id="14" w:name="_Hlk105753574"/>
      <w:r w:rsidR="00CC48B1" w:rsidRPr="004050A9">
        <w:rPr>
          <w:rFonts w:cs="Calibri"/>
          <w:i/>
          <w:iCs/>
          <w:szCs w:val="24"/>
        </w:rPr>
        <w:t>Mental Health Act 2015</w:t>
      </w:r>
      <w:r w:rsidR="00CC48B1">
        <w:rPr>
          <w:rFonts w:cs="Calibri"/>
          <w:szCs w:val="24"/>
        </w:rPr>
        <w:t xml:space="preserve"> </w:t>
      </w:r>
      <w:bookmarkEnd w:id="14"/>
      <w:r w:rsidR="00CC48B1">
        <w:rPr>
          <w:rFonts w:cs="Calibri"/>
          <w:szCs w:val="24"/>
        </w:rPr>
        <w:t>or where it is requested by a person with a mental illness or mental disorder</w:t>
      </w:r>
      <w:r w:rsidR="00CC48B1">
        <w:t xml:space="preserve">. </w:t>
      </w:r>
    </w:p>
    <w:p w14:paraId="77B250AA" w14:textId="2BDB2400" w:rsidR="00BB76E3" w:rsidRDefault="00BB76E3" w:rsidP="00BB76E3"/>
    <w:p w14:paraId="77B250AB" w14:textId="77777777" w:rsidR="001247D6" w:rsidRPr="001247D6" w:rsidRDefault="00026017" w:rsidP="001247D6">
      <w:pPr>
        <w:pStyle w:val="ListParagraph"/>
        <w:jc w:val="right"/>
        <w:rPr>
          <w:szCs w:val="24"/>
        </w:rPr>
      </w:pPr>
      <w:hyperlink w:anchor="Contents" w:history="1">
        <w:r w:rsidR="001247D6" w:rsidRPr="00590902">
          <w:rPr>
            <w:rStyle w:val="Hyperlink"/>
            <w:rFonts w:cs="Arial"/>
            <w:i/>
            <w:szCs w:val="24"/>
          </w:rPr>
          <w:t>Back to Table of Contents</w:t>
        </w:r>
      </w:hyperlink>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77B250AD" w14:textId="77777777" w:rsidTr="00B21043">
        <w:trPr>
          <w:cantSplit/>
          <w:trHeight w:val="285"/>
        </w:trPr>
        <w:tc>
          <w:tcPr>
            <w:tcW w:w="9158" w:type="dxa"/>
            <w:shd w:val="clear" w:color="auto" w:fill="A6A6A6"/>
          </w:tcPr>
          <w:p w14:paraId="77B250AC" w14:textId="1AAD3D11" w:rsidR="007B6904" w:rsidRPr="00C76688" w:rsidRDefault="007B6904" w:rsidP="00FD6CF5">
            <w:pPr>
              <w:pStyle w:val="Heading1"/>
            </w:pPr>
            <w:bookmarkStart w:id="15" w:name="_Toc389473278"/>
            <w:bookmarkStart w:id="16" w:name="_Toc106894179"/>
            <w:r w:rsidRPr="00C76688">
              <w:t>Section 1 –</w:t>
            </w:r>
            <w:r w:rsidR="009B2067">
              <w:t xml:space="preserve"> </w:t>
            </w:r>
            <w:bookmarkEnd w:id="15"/>
            <w:r w:rsidR="00FD6CF5">
              <w:t>Situations w</w:t>
            </w:r>
            <w:r w:rsidR="004050A9">
              <w:t>h</w:t>
            </w:r>
            <w:r w:rsidR="00FD6CF5">
              <w:t>ere a second opinion may be requested</w:t>
            </w:r>
            <w:bookmarkEnd w:id="16"/>
          </w:p>
        </w:tc>
      </w:tr>
    </w:tbl>
    <w:p w14:paraId="77B250AE" w14:textId="77777777" w:rsidR="009B2067" w:rsidRDefault="009B2067" w:rsidP="009B2067">
      <w:pPr>
        <w:rPr>
          <w:rFonts w:cs="Calibri"/>
          <w:szCs w:val="24"/>
        </w:rPr>
      </w:pPr>
    </w:p>
    <w:p w14:paraId="77B250AF" w14:textId="57D416FC" w:rsidR="009B2067" w:rsidRDefault="009B2067" w:rsidP="004050A9">
      <w:pPr>
        <w:ind w:left="142"/>
        <w:rPr>
          <w:rFonts w:cs="Calibri"/>
          <w:szCs w:val="24"/>
        </w:rPr>
      </w:pPr>
      <w:r>
        <w:rPr>
          <w:rFonts w:cs="Calibri"/>
          <w:szCs w:val="24"/>
        </w:rPr>
        <w:t>Th</w:t>
      </w:r>
      <w:r w:rsidR="00BB4A00">
        <w:rPr>
          <w:rFonts w:cs="Calibri"/>
          <w:szCs w:val="24"/>
        </w:rPr>
        <w:t xml:space="preserve">e </w:t>
      </w:r>
      <w:r>
        <w:rPr>
          <w:rFonts w:cs="Calibri"/>
          <w:szCs w:val="24"/>
        </w:rPr>
        <w:t xml:space="preserve">option of </w:t>
      </w:r>
      <w:r w:rsidR="00BC0DF2">
        <w:rPr>
          <w:rFonts w:cs="Calibri"/>
          <w:szCs w:val="24"/>
        </w:rPr>
        <w:t xml:space="preserve">obtaining </w:t>
      </w:r>
      <w:r>
        <w:rPr>
          <w:rFonts w:cs="Calibri"/>
          <w:szCs w:val="24"/>
        </w:rPr>
        <w:t>a second opinion for psychiatric review</w:t>
      </w:r>
      <w:r w:rsidR="00BB4A00">
        <w:rPr>
          <w:rFonts w:cs="Calibri"/>
          <w:szCs w:val="24"/>
        </w:rPr>
        <w:t xml:space="preserve"> is consistent with </w:t>
      </w:r>
      <w:r w:rsidR="004050A9">
        <w:rPr>
          <w:rFonts w:cs="Calibri"/>
          <w:szCs w:val="24"/>
        </w:rPr>
        <w:t>the</w:t>
      </w:r>
      <w:r w:rsidR="00BB4A00">
        <w:rPr>
          <w:rFonts w:cs="Calibri"/>
          <w:szCs w:val="24"/>
        </w:rPr>
        <w:t xml:space="preserve"> </w:t>
      </w:r>
      <w:bookmarkStart w:id="17" w:name="_Hlk105753591"/>
      <w:r w:rsidR="00BB4A00" w:rsidRPr="004050A9">
        <w:rPr>
          <w:rFonts w:cs="Calibri"/>
          <w:i/>
          <w:iCs/>
          <w:szCs w:val="24"/>
        </w:rPr>
        <w:t>National Standards for Mental Health Services 201</w:t>
      </w:r>
      <w:r w:rsidR="00BC0DF2">
        <w:rPr>
          <w:rFonts w:cs="Calibri"/>
          <w:i/>
          <w:iCs/>
          <w:szCs w:val="24"/>
        </w:rPr>
        <w:t>7</w:t>
      </w:r>
      <w:r w:rsidR="00BB4A00" w:rsidRPr="004050A9">
        <w:rPr>
          <w:rFonts w:cs="Calibri"/>
          <w:i/>
          <w:iCs/>
          <w:szCs w:val="24"/>
        </w:rPr>
        <w:t xml:space="preserve"> (NSMHS</w:t>
      </w:r>
      <w:r w:rsidR="00EB5454" w:rsidRPr="004050A9">
        <w:rPr>
          <w:rFonts w:cs="Calibri"/>
          <w:i/>
          <w:iCs/>
          <w:szCs w:val="24"/>
        </w:rPr>
        <w:t>)</w:t>
      </w:r>
      <w:bookmarkEnd w:id="17"/>
      <w:r w:rsidR="00BB4A00">
        <w:rPr>
          <w:rFonts w:cs="Calibri"/>
          <w:szCs w:val="24"/>
        </w:rPr>
        <w:t xml:space="preserve">. A person with mental illness or disorder has the right to choose from the available range of treatments offered by </w:t>
      </w:r>
      <w:bookmarkStart w:id="18" w:name="_Hlk105753619"/>
      <w:r w:rsidR="00BB4A00">
        <w:rPr>
          <w:rFonts w:cs="Calibri"/>
          <w:szCs w:val="24"/>
        </w:rPr>
        <w:t>M</w:t>
      </w:r>
      <w:r w:rsidR="004050A9">
        <w:rPr>
          <w:rFonts w:cs="Calibri"/>
          <w:szCs w:val="24"/>
        </w:rPr>
        <w:t>ental Health, Justice Health and Alcohol &amp; Drug Services (M</w:t>
      </w:r>
      <w:r w:rsidR="00BB4A00">
        <w:rPr>
          <w:rFonts w:cs="Calibri"/>
          <w:szCs w:val="24"/>
        </w:rPr>
        <w:t>HJHADS</w:t>
      </w:r>
      <w:r w:rsidR="004050A9">
        <w:rPr>
          <w:rFonts w:cs="Calibri"/>
          <w:szCs w:val="24"/>
        </w:rPr>
        <w:t>)</w:t>
      </w:r>
      <w:r>
        <w:rPr>
          <w:rFonts w:cs="Calibri"/>
          <w:szCs w:val="24"/>
        </w:rPr>
        <w:t xml:space="preserve">. </w:t>
      </w:r>
      <w:bookmarkEnd w:id="18"/>
    </w:p>
    <w:p w14:paraId="77B250B0" w14:textId="77777777" w:rsidR="009B2067" w:rsidRPr="004B7E4F" w:rsidRDefault="009B2067" w:rsidP="009B2067">
      <w:pPr>
        <w:rPr>
          <w:rFonts w:cs="Calibri"/>
          <w:szCs w:val="24"/>
        </w:rPr>
      </w:pPr>
    </w:p>
    <w:p w14:paraId="77B250B1" w14:textId="7FB77E6F" w:rsidR="009B2067" w:rsidRDefault="009B2067" w:rsidP="004050A9">
      <w:pPr>
        <w:ind w:left="142"/>
        <w:rPr>
          <w:rFonts w:cs="Calibri"/>
          <w:szCs w:val="24"/>
        </w:rPr>
      </w:pPr>
      <w:r>
        <w:rPr>
          <w:rFonts w:cs="Calibri"/>
          <w:szCs w:val="24"/>
        </w:rPr>
        <w:t>It is recognised that there is</w:t>
      </w:r>
      <w:r w:rsidRPr="004B7E4F">
        <w:rPr>
          <w:rFonts w:cs="Calibri"/>
          <w:szCs w:val="24"/>
        </w:rPr>
        <w:t xml:space="preserve"> a range of clinical scenarios where a Consultant Psychiatrist</w:t>
      </w:r>
      <w:r>
        <w:rPr>
          <w:rFonts w:cs="Calibri"/>
          <w:szCs w:val="24"/>
        </w:rPr>
        <w:t>/Psychiatry Registrar</w:t>
      </w:r>
      <w:r w:rsidRPr="004B7E4F">
        <w:rPr>
          <w:rFonts w:cs="Calibri"/>
          <w:szCs w:val="24"/>
        </w:rPr>
        <w:t xml:space="preserve"> may seek an opinion from a </w:t>
      </w:r>
      <w:r w:rsidR="007C5AB2">
        <w:rPr>
          <w:rFonts w:cs="Calibri"/>
          <w:szCs w:val="24"/>
        </w:rPr>
        <w:t xml:space="preserve">psychiatry or other medical </w:t>
      </w:r>
      <w:r w:rsidR="00BD673C">
        <w:rPr>
          <w:rFonts w:cs="Calibri"/>
          <w:szCs w:val="24"/>
        </w:rPr>
        <w:t xml:space="preserve">practitioner </w:t>
      </w:r>
      <w:r w:rsidRPr="004B7E4F">
        <w:rPr>
          <w:rFonts w:cs="Calibri"/>
          <w:szCs w:val="24"/>
        </w:rPr>
        <w:t>col</w:t>
      </w:r>
      <w:r>
        <w:rPr>
          <w:rFonts w:cs="Calibri"/>
          <w:szCs w:val="24"/>
        </w:rPr>
        <w:t>league. These include, but are not limited to:</w:t>
      </w:r>
    </w:p>
    <w:p w14:paraId="77B250B2" w14:textId="77777777" w:rsidR="009B2067" w:rsidRPr="00A30662" w:rsidRDefault="009B2067" w:rsidP="00A2733F">
      <w:pPr>
        <w:pStyle w:val="ListBullet"/>
        <w:tabs>
          <w:tab w:val="clear" w:pos="1080"/>
        </w:tabs>
        <w:ind w:left="568"/>
      </w:pPr>
      <w:r w:rsidRPr="00A30662">
        <w:t xml:space="preserve">diagnostic clarification, particularly where </w:t>
      </w:r>
      <w:r w:rsidR="00EB5454" w:rsidRPr="00A30662">
        <w:t xml:space="preserve">particular </w:t>
      </w:r>
      <w:r w:rsidRPr="00A30662">
        <w:t xml:space="preserve">clinical expertise is </w:t>
      </w:r>
      <w:r w:rsidR="00EB5454" w:rsidRPr="00A30662">
        <w:t>required</w:t>
      </w:r>
    </w:p>
    <w:p w14:paraId="77B250B3" w14:textId="77777777" w:rsidR="009B2067" w:rsidRPr="00A30662" w:rsidRDefault="009B2067" w:rsidP="00A2733F">
      <w:pPr>
        <w:pStyle w:val="ListBullet"/>
        <w:tabs>
          <w:tab w:val="clear" w:pos="1080"/>
        </w:tabs>
        <w:ind w:left="568"/>
      </w:pPr>
      <w:r w:rsidRPr="00A30662">
        <w:t xml:space="preserve">advice regarding </w:t>
      </w:r>
      <w:r w:rsidR="00BB4A00" w:rsidRPr="00A30662">
        <w:t xml:space="preserve">clinical </w:t>
      </w:r>
      <w:r w:rsidRPr="00A30662">
        <w:t xml:space="preserve">management both in the community or an inpatient setting </w:t>
      </w:r>
    </w:p>
    <w:p w14:paraId="77B250B4" w14:textId="77777777" w:rsidR="009B2067" w:rsidRPr="00A30662" w:rsidRDefault="009B2067" w:rsidP="00A2733F">
      <w:pPr>
        <w:pStyle w:val="ListBullet"/>
        <w:tabs>
          <w:tab w:val="clear" w:pos="1080"/>
        </w:tabs>
        <w:ind w:left="568"/>
      </w:pPr>
      <w:r w:rsidRPr="00A30662">
        <w:t xml:space="preserve">statutory requirements under the Mental Health Act </w:t>
      </w:r>
      <w:r w:rsidR="00266304" w:rsidRPr="00A30662">
        <w:t>2015</w:t>
      </w:r>
    </w:p>
    <w:p w14:paraId="77B250B5" w14:textId="5D740E27" w:rsidR="009B2067" w:rsidRDefault="009B2067" w:rsidP="00A2733F">
      <w:pPr>
        <w:pStyle w:val="ListBullet"/>
        <w:tabs>
          <w:tab w:val="clear" w:pos="1080"/>
        </w:tabs>
        <w:ind w:left="568"/>
      </w:pPr>
      <w:r w:rsidRPr="00A30662">
        <w:t xml:space="preserve">verification of the appropriateness of a proposed treatment (e.g. </w:t>
      </w:r>
      <w:bookmarkStart w:id="19" w:name="_Hlk105753636"/>
      <w:r w:rsidRPr="00A30662">
        <w:t>Electroconvulsive Therapy</w:t>
      </w:r>
      <w:r>
        <w:t xml:space="preserve"> [ECT]</w:t>
      </w:r>
      <w:bookmarkEnd w:id="19"/>
      <w:r w:rsidR="00C57139">
        <w:t>)</w:t>
      </w:r>
    </w:p>
    <w:p w14:paraId="77B250B6" w14:textId="0A12A9F5" w:rsidR="009B2067" w:rsidRDefault="001E255A" w:rsidP="00A2733F">
      <w:pPr>
        <w:pStyle w:val="ListBullet"/>
        <w:tabs>
          <w:tab w:val="clear" w:pos="1080"/>
        </w:tabs>
        <w:ind w:left="568"/>
      </w:pPr>
      <w:r>
        <w:t>a</w:t>
      </w:r>
      <w:r w:rsidR="009B2067">
        <w:t xml:space="preserve">ssessment and treatment of disorders such as </w:t>
      </w:r>
      <w:bookmarkStart w:id="20" w:name="_Hlk105753643"/>
      <w:r w:rsidR="009B2067">
        <w:t xml:space="preserve">Attention Deficit Hyperactivity Disorder </w:t>
      </w:r>
      <w:r w:rsidR="004050A9">
        <w:t xml:space="preserve">(ADHD) </w:t>
      </w:r>
      <w:r w:rsidR="009B2067">
        <w:t xml:space="preserve">which </w:t>
      </w:r>
      <w:bookmarkEnd w:id="20"/>
      <w:r w:rsidR="009B2067">
        <w:t xml:space="preserve">involve the prescription of </w:t>
      </w:r>
      <w:r w:rsidR="009B2067" w:rsidRPr="00061823">
        <w:rPr>
          <w:i/>
        </w:rPr>
        <w:t>controlled medications</w:t>
      </w:r>
      <w:r w:rsidR="009B2067">
        <w:t xml:space="preserve">.  </w:t>
      </w:r>
    </w:p>
    <w:p w14:paraId="77B250B7" w14:textId="77777777" w:rsidR="00266304" w:rsidRDefault="00266304" w:rsidP="00FD6CF5">
      <w:pPr>
        <w:pStyle w:val="ListParagraph"/>
        <w:ind w:left="0"/>
        <w:rPr>
          <w:rFonts w:cs="Calibri"/>
          <w:szCs w:val="24"/>
        </w:rPr>
      </w:pPr>
    </w:p>
    <w:p w14:paraId="717F46F6" w14:textId="77777777" w:rsidR="00D77107" w:rsidRDefault="00D77107">
      <w:pPr>
        <w:rPr>
          <w:rFonts w:cs="Calibri"/>
          <w:b/>
          <w:bCs/>
          <w:color w:val="000000"/>
          <w:szCs w:val="24"/>
          <w:lang w:eastAsia="en-AU"/>
        </w:rPr>
      </w:pPr>
      <w:r>
        <w:rPr>
          <w:rFonts w:cs="Calibri"/>
          <w:b/>
          <w:bCs/>
          <w:color w:val="000000"/>
          <w:szCs w:val="24"/>
          <w:lang w:eastAsia="en-AU"/>
        </w:rPr>
        <w:br w:type="page"/>
      </w:r>
    </w:p>
    <w:p w14:paraId="77B250B8" w14:textId="7A0A201F" w:rsidR="009B2067" w:rsidRPr="00E00FB7" w:rsidRDefault="009B2067" w:rsidP="004050A9">
      <w:pPr>
        <w:pStyle w:val="ListParagraph"/>
        <w:autoSpaceDE w:val="0"/>
        <w:autoSpaceDN w:val="0"/>
        <w:adjustRightInd w:val="0"/>
        <w:ind w:left="142"/>
        <w:rPr>
          <w:rFonts w:cs="Calibri"/>
          <w:color w:val="000000"/>
          <w:szCs w:val="24"/>
          <w:lang w:eastAsia="en-AU"/>
        </w:rPr>
      </w:pPr>
      <w:r w:rsidRPr="00E00FB7">
        <w:rPr>
          <w:rFonts w:cs="Calibri"/>
          <w:b/>
          <w:bCs/>
          <w:color w:val="000000"/>
          <w:szCs w:val="24"/>
          <w:lang w:eastAsia="en-AU"/>
        </w:rPr>
        <w:lastRenderedPageBreak/>
        <w:t xml:space="preserve">The following are situations that should trigger a routine request for a second consultant Psychiatrist opinion or review: </w:t>
      </w:r>
    </w:p>
    <w:p w14:paraId="77B250B9" w14:textId="77777777" w:rsidR="009B2067" w:rsidRDefault="009B2067" w:rsidP="00A2733F">
      <w:pPr>
        <w:pStyle w:val="ListBullet"/>
        <w:tabs>
          <w:tab w:val="clear" w:pos="1080"/>
        </w:tabs>
        <w:ind w:left="568"/>
        <w:rPr>
          <w:lang w:eastAsia="en-AU"/>
        </w:rPr>
      </w:pPr>
      <w:r w:rsidRPr="008F6B5A">
        <w:rPr>
          <w:lang w:eastAsia="en-AU"/>
        </w:rPr>
        <w:t xml:space="preserve">Where the </w:t>
      </w:r>
      <w:r w:rsidR="00122B60">
        <w:rPr>
          <w:lang w:eastAsia="en-AU"/>
        </w:rPr>
        <w:t xml:space="preserve">person </w:t>
      </w:r>
      <w:r w:rsidRPr="008F6B5A">
        <w:rPr>
          <w:lang w:eastAsia="en-AU"/>
        </w:rPr>
        <w:t xml:space="preserve">or </w:t>
      </w:r>
      <w:r w:rsidR="00122B60">
        <w:rPr>
          <w:lang w:eastAsia="en-AU"/>
        </w:rPr>
        <w:t>their</w:t>
      </w:r>
      <w:r w:rsidRPr="008F6B5A">
        <w:rPr>
          <w:lang w:eastAsia="en-AU"/>
        </w:rPr>
        <w:t xml:space="preserve"> family/carer initiates a request for a second opinion regarding the </w:t>
      </w:r>
      <w:r w:rsidR="00266304">
        <w:rPr>
          <w:lang w:eastAsia="en-AU"/>
        </w:rPr>
        <w:t>person</w:t>
      </w:r>
      <w:r w:rsidR="00266304" w:rsidRPr="008F6B5A">
        <w:rPr>
          <w:lang w:eastAsia="en-AU"/>
        </w:rPr>
        <w:t xml:space="preserve">’s </w:t>
      </w:r>
      <w:r w:rsidRPr="008F6B5A">
        <w:rPr>
          <w:lang w:eastAsia="en-AU"/>
        </w:rPr>
        <w:t>diagnosis or treatment.</w:t>
      </w:r>
    </w:p>
    <w:p w14:paraId="77B250BA" w14:textId="77777777" w:rsidR="009B2067" w:rsidRPr="008F6B5A" w:rsidRDefault="009B2067" w:rsidP="00A2733F">
      <w:pPr>
        <w:pStyle w:val="ListBullet"/>
        <w:tabs>
          <w:tab w:val="clear" w:pos="1080"/>
        </w:tabs>
        <w:ind w:left="568"/>
        <w:rPr>
          <w:lang w:eastAsia="en-AU"/>
        </w:rPr>
      </w:pPr>
      <w:r w:rsidRPr="008F6B5A">
        <w:rPr>
          <w:lang w:eastAsia="en-AU"/>
        </w:rPr>
        <w:t xml:space="preserve">Where it is mandated under the Mental Health Act </w:t>
      </w:r>
      <w:r w:rsidR="00266304">
        <w:rPr>
          <w:lang w:eastAsia="en-AU"/>
        </w:rPr>
        <w:t>2015</w:t>
      </w:r>
      <w:r w:rsidR="00266304" w:rsidRPr="008F6B5A">
        <w:rPr>
          <w:lang w:eastAsia="en-AU"/>
        </w:rPr>
        <w:t xml:space="preserve"> </w:t>
      </w:r>
      <w:r w:rsidRPr="008F6B5A">
        <w:rPr>
          <w:lang w:eastAsia="en-AU"/>
        </w:rPr>
        <w:t>(e.g. an application for ECT must be supported by a Consultant Psychiatrist other than the applicant).</w:t>
      </w:r>
    </w:p>
    <w:p w14:paraId="77B250BB" w14:textId="77777777" w:rsidR="009B2067" w:rsidRPr="008F6B5A" w:rsidRDefault="009B2067" w:rsidP="009B2067">
      <w:pPr>
        <w:autoSpaceDE w:val="0"/>
        <w:autoSpaceDN w:val="0"/>
        <w:adjustRightInd w:val="0"/>
        <w:ind w:left="1080"/>
        <w:rPr>
          <w:rFonts w:cs="Calibri"/>
          <w:color w:val="000000"/>
          <w:szCs w:val="24"/>
          <w:lang w:eastAsia="en-AU"/>
        </w:rPr>
      </w:pPr>
    </w:p>
    <w:p w14:paraId="77B250BC" w14:textId="77777777" w:rsidR="009B2067" w:rsidRPr="00E00FB7" w:rsidRDefault="009B2067" w:rsidP="00A2733F">
      <w:pPr>
        <w:pStyle w:val="ListParagraph"/>
        <w:ind w:left="142"/>
        <w:rPr>
          <w:rFonts w:cs="Calibri"/>
          <w:b/>
          <w:bCs/>
          <w:szCs w:val="24"/>
        </w:rPr>
      </w:pPr>
      <w:r w:rsidRPr="00E00FB7">
        <w:rPr>
          <w:rFonts w:cs="Calibri"/>
          <w:b/>
          <w:bCs/>
          <w:szCs w:val="24"/>
        </w:rPr>
        <w:t>The following are situations where a second opinion is recommended but remains at the discretion of the treating Consultant Psychiatrist/Psychiatry Registrar:</w:t>
      </w:r>
    </w:p>
    <w:p w14:paraId="77B250BD" w14:textId="77777777" w:rsidR="009B2067" w:rsidRDefault="009B2067" w:rsidP="00A2733F">
      <w:pPr>
        <w:pStyle w:val="ListBullet"/>
        <w:tabs>
          <w:tab w:val="clear" w:pos="1080"/>
        </w:tabs>
        <w:ind w:left="568"/>
        <w:rPr>
          <w:lang w:eastAsia="en-AU"/>
        </w:rPr>
      </w:pPr>
      <w:r w:rsidRPr="00CA7A73">
        <w:rPr>
          <w:i/>
          <w:lang w:eastAsia="en-AU"/>
        </w:rPr>
        <w:t>Diagnostic clarification</w:t>
      </w:r>
      <w:r w:rsidRPr="00CA7A73">
        <w:rPr>
          <w:lang w:eastAsia="en-AU"/>
        </w:rPr>
        <w:t xml:space="preserve"> – this is usually best sought from another Consultant Psychiatrist. NOTE: In the instance of considering a diagnosis of Malingering, it is recommended to obtain an opinion from another senior psychiatrist and for the diagnosis to be provisional. </w:t>
      </w:r>
    </w:p>
    <w:p w14:paraId="77B250BE" w14:textId="046AFF55" w:rsidR="009B2067" w:rsidRDefault="009B2067" w:rsidP="00A2733F">
      <w:pPr>
        <w:pStyle w:val="ListBullet"/>
        <w:tabs>
          <w:tab w:val="clear" w:pos="1080"/>
        </w:tabs>
        <w:ind w:left="568"/>
        <w:rPr>
          <w:lang w:eastAsia="en-AU"/>
        </w:rPr>
      </w:pPr>
      <w:r w:rsidRPr="00CA7A73">
        <w:rPr>
          <w:i/>
          <w:lang w:eastAsia="en-AU"/>
        </w:rPr>
        <w:t xml:space="preserve">Management of acute or </w:t>
      </w:r>
      <w:r>
        <w:rPr>
          <w:i/>
          <w:lang w:eastAsia="en-AU"/>
        </w:rPr>
        <w:t>chronic</w:t>
      </w:r>
      <w:r w:rsidRPr="00CA7A73">
        <w:rPr>
          <w:i/>
          <w:lang w:eastAsia="en-AU"/>
        </w:rPr>
        <w:t xml:space="preserve"> high risk</w:t>
      </w:r>
      <w:r>
        <w:rPr>
          <w:lang w:eastAsia="en-AU"/>
        </w:rPr>
        <w:t xml:space="preserve"> </w:t>
      </w:r>
      <w:r w:rsidRPr="00CA7A73">
        <w:rPr>
          <w:i/>
          <w:lang w:eastAsia="en-AU"/>
        </w:rPr>
        <w:t>issues</w:t>
      </w:r>
      <w:r w:rsidRPr="00CA7A73">
        <w:rPr>
          <w:lang w:eastAsia="en-AU"/>
        </w:rPr>
        <w:t xml:space="preserve">– </w:t>
      </w:r>
      <w:r w:rsidR="00BC0DF2">
        <w:rPr>
          <w:lang w:eastAsia="en-AU"/>
        </w:rPr>
        <w:t xml:space="preserve">a </w:t>
      </w:r>
      <w:r>
        <w:rPr>
          <w:lang w:eastAsia="en-AU"/>
        </w:rPr>
        <w:t xml:space="preserve">second opinion </w:t>
      </w:r>
      <w:r w:rsidRPr="00CA7A73">
        <w:rPr>
          <w:lang w:eastAsia="en-AU"/>
        </w:rPr>
        <w:t xml:space="preserve">may be sought through a case conference or </w:t>
      </w:r>
      <w:bookmarkStart w:id="21" w:name="_Hlk105753683"/>
      <w:r w:rsidRPr="00CA7A73">
        <w:rPr>
          <w:lang w:eastAsia="en-AU"/>
        </w:rPr>
        <w:t xml:space="preserve">Multi-agency Response Plan (MARP) </w:t>
      </w:r>
      <w:bookmarkEnd w:id="21"/>
      <w:r w:rsidRPr="00CA7A73">
        <w:rPr>
          <w:lang w:eastAsia="en-AU"/>
        </w:rPr>
        <w:t xml:space="preserve">process. However, </w:t>
      </w:r>
      <w:r w:rsidR="00BB4A00">
        <w:rPr>
          <w:lang w:eastAsia="en-AU"/>
        </w:rPr>
        <w:t>a</w:t>
      </w:r>
      <w:r w:rsidR="00BB4A00" w:rsidRPr="00CA7A73">
        <w:rPr>
          <w:lang w:eastAsia="en-AU"/>
        </w:rPr>
        <w:t xml:space="preserve"> </w:t>
      </w:r>
      <w:r w:rsidRPr="00CA7A73">
        <w:rPr>
          <w:lang w:eastAsia="en-AU"/>
        </w:rPr>
        <w:t>second opinion</w:t>
      </w:r>
      <w:r>
        <w:rPr>
          <w:lang w:eastAsia="en-AU"/>
        </w:rPr>
        <w:t xml:space="preserve"> from a Consultant Psychiatrist </w:t>
      </w:r>
      <w:r w:rsidRPr="00CA7A73">
        <w:rPr>
          <w:lang w:eastAsia="en-AU"/>
        </w:rPr>
        <w:t>may also be appropriate</w:t>
      </w:r>
      <w:r>
        <w:rPr>
          <w:lang w:eastAsia="en-AU"/>
        </w:rPr>
        <w:t xml:space="preserve"> in the first instance</w:t>
      </w:r>
      <w:r w:rsidRPr="00CA7A73">
        <w:rPr>
          <w:lang w:eastAsia="en-AU"/>
        </w:rPr>
        <w:t xml:space="preserve">. </w:t>
      </w:r>
    </w:p>
    <w:p w14:paraId="77B250BF" w14:textId="77777777" w:rsidR="009B2067" w:rsidRDefault="009B2067" w:rsidP="00A2733F">
      <w:pPr>
        <w:pStyle w:val="ListBullet"/>
        <w:tabs>
          <w:tab w:val="clear" w:pos="1080"/>
        </w:tabs>
        <w:ind w:left="568"/>
        <w:rPr>
          <w:lang w:eastAsia="en-AU"/>
        </w:rPr>
      </w:pPr>
      <w:r w:rsidRPr="00CA7A73">
        <w:rPr>
          <w:i/>
          <w:lang w:eastAsia="en-AU"/>
        </w:rPr>
        <w:t>Treatment resistance</w:t>
      </w:r>
      <w:r w:rsidRPr="00CA7A73">
        <w:rPr>
          <w:lang w:eastAsia="en-AU"/>
        </w:rPr>
        <w:t xml:space="preserve"> – </w:t>
      </w:r>
      <w:r>
        <w:rPr>
          <w:lang w:eastAsia="en-AU"/>
        </w:rPr>
        <w:t xml:space="preserve">includes the review of complex pharmacological management plans (e.g. use of clozapine in </w:t>
      </w:r>
      <w:r w:rsidR="00BB4A00">
        <w:rPr>
          <w:lang w:eastAsia="en-AU"/>
        </w:rPr>
        <w:t xml:space="preserve">the </w:t>
      </w:r>
      <w:r>
        <w:rPr>
          <w:lang w:eastAsia="en-AU"/>
        </w:rPr>
        <w:t>presence of relative contraindications)</w:t>
      </w:r>
      <w:r w:rsidR="00BB4A00">
        <w:rPr>
          <w:lang w:eastAsia="en-AU"/>
        </w:rPr>
        <w:t xml:space="preserve"> </w:t>
      </w:r>
      <w:r w:rsidR="00E7200B">
        <w:rPr>
          <w:lang w:eastAsia="en-AU"/>
        </w:rPr>
        <w:t>or</w:t>
      </w:r>
      <w:r>
        <w:rPr>
          <w:lang w:eastAsia="en-AU"/>
        </w:rPr>
        <w:t xml:space="preserve"> the development of recovery plans with</w:t>
      </w:r>
      <w:r w:rsidRPr="00CA7A73">
        <w:rPr>
          <w:lang w:eastAsia="en-AU"/>
        </w:rPr>
        <w:t xml:space="preserve"> </w:t>
      </w:r>
      <w:r>
        <w:rPr>
          <w:lang w:eastAsia="en-AU"/>
        </w:rPr>
        <w:t>various co</w:t>
      </w:r>
      <w:r w:rsidR="00BB4A00">
        <w:rPr>
          <w:lang w:eastAsia="en-AU"/>
        </w:rPr>
        <w:t>-</w:t>
      </w:r>
      <w:r w:rsidRPr="00CA7A73">
        <w:rPr>
          <w:lang w:eastAsia="en-AU"/>
        </w:rPr>
        <w:t xml:space="preserve">morbidities and/or complex </w:t>
      </w:r>
      <w:r>
        <w:rPr>
          <w:lang w:eastAsia="en-AU"/>
        </w:rPr>
        <w:t>needs.</w:t>
      </w:r>
    </w:p>
    <w:p w14:paraId="77B250C0" w14:textId="77777777" w:rsidR="00FD6CF5" w:rsidRDefault="00FD6CF5" w:rsidP="00A2733F">
      <w:pPr>
        <w:pStyle w:val="ListBullet"/>
        <w:numPr>
          <w:ilvl w:val="0"/>
          <w:numId w:val="0"/>
        </w:numPr>
      </w:pPr>
    </w:p>
    <w:p w14:paraId="77B250C1" w14:textId="77777777" w:rsidR="001247D6" w:rsidRPr="001247D6" w:rsidRDefault="00026017" w:rsidP="001247D6">
      <w:pPr>
        <w:pStyle w:val="ListParagraph"/>
        <w:jc w:val="right"/>
        <w:rPr>
          <w:szCs w:val="24"/>
        </w:rPr>
      </w:pPr>
      <w:hyperlink w:anchor="Contents" w:history="1">
        <w:r w:rsidR="001247D6" w:rsidRPr="00590902">
          <w:rPr>
            <w:rStyle w:val="Hyperlink"/>
            <w:rFonts w:cs="Arial"/>
            <w:i/>
            <w:szCs w:val="24"/>
          </w:rPr>
          <w:t>Back to Table of Contents</w:t>
        </w:r>
      </w:hyperlink>
    </w:p>
    <w:tbl>
      <w:tblPr>
        <w:tblpPr w:leftFromText="180" w:rightFromText="180" w:vertAnchor="text" w:horzAnchor="margin" w:tblpX="108" w:tblpY="181"/>
        <w:tblW w:w="9158" w:type="dxa"/>
        <w:tblLook w:val="0000" w:firstRow="0" w:lastRow="0" w:firstColumn="0" w:lastColumn="0" w:noHBand="0" w:noVBand="0"/>
      </w:tblPr>
      <w:tblGrid>
        <w:gridCol w:w="9158"/>
      </w:tblGrid>
      <w:tr w:rsidR="00FD6CF5" w:rsidRPr="00CD1C0E" w14:paraId="77B250C3" w14:textId="77777777" w:rsidTr="00EE0E9F">
        <w:trPr>
          <w:cantSplit/>
          <w:trHeight w:val="285"/>
        </w:trPr>
        <w:tc>
          <w:tcPr>
            <w:tcW w:w="9158" w:type="dxa"/>
            <w:shd w:val="clear" w:color="auto" w:fill="A6A6A6"/>
          </w:tcPr>
          <w:p w14:paraId="77B250C2" w14:textId="77777777" w:rsidR="00FD6CF5" w:rsidRPr="00C76688" w:rsidRDefault="00FD6CF5" w:rsidP="00361748">
            <w:pPr>
              <w:pStyle w:val="Heading1"/>
            </w:pPr>
            <w:bookmarkStart w:id="22" w:name="_Toc106894180"/>
            <w:r w:rsidRPr="00C76688">
              <w:t xml:space="preserve">Section </w:t>
            </w:r>
            <w:r w:rsidR="00361748">
              <w:t>2</w:t>
            </w:r>
            <w:r w:rsidRPr="00C76688">
              <w:t xml:space="preserve"> –</w:t>
            </w:r>
            <w:r>
              <w:t xml:space="preserve"> Process of obtaining a second opinion</w:t>
            </w:r>
            <w:bookmarkEnd w:id="22"/>
          </w:p>
        </w:tc>
      </w:tr>
    </w:tbl>
    <w:p w14:paraId="77B250C4" w14:textId="77777777" w:rsidR="009B2067" w:rsidRPr="00CA7A73" w:rsidRDefault="009B2067" w:rsidP="009B2067">
      <w:pPr>
        <w:rPr>
          <w:rFonts w:cs="Calibri"/>
          <w:color w:val="000000"/>
          <w:szCs w:val="24"/>
          <w:lang w:eastAsia="en-AU"/>
        </w:rPr>
      </w:pPr>
    </w:p>
    <w:p w14:paraId="77B250C5" w14:textId="77777777" w:rsidR="009B2067" w:rsidRPr="006B5E2B" w:rsidRDefault="009B2067" w:rsidP="004050A9">
      <w:pPr>
        <w:pStyle w:val="ListParagraph"/>
        <w:autoSpaceDE w:val="0"/>
        <w:autoSpaceDN w:val="0"/>
        <w:adjustRightInd w:val="0"/>
        <w:ind w:left="142"/>
        <w:rPr>
          <w:rFonts w:cs="Calibri"/>
          <w:color w:val="000000"/>
          <w:szCs w:val="24"/>
          <w:lang w:eastAsia="en-AU"/>
        </w:rPr>
      </w:pPr>
      <w:r w:rsidRPr="006B5E2B">
        <w:rPr>
          <w:rFonts w:cs="Calibri"/>
          <w:color w:val="000000"/>
          <w:szCs w:val="24"/>
          <w:lang w:eastAsia="en-AU"/>
        </w:rPr>
        <w:t xml:space="preserve">A second opinion can be sought from the following sources: </w:t>
      </w:r>
    </w:p>
    <w:p w14:paraId="77B250C6" w14:textId="77777777" w:rsidR="009B2067" w:rsidRDefault="00FD6CF5" w:rsidP="00A2733F">
      <w:pPr>
        <w:pStyle w:val="ListBullet"/>
        <w:tabs>
          <w:tab w:val="clear" w:pos="1080"/>
        </w:tabs>
        <w:ind w:left="568"/>
        <w:rPr>
          <w:lang w:eastAsia="en-AU"/>
        </w:rPr>
      </w:pPr>
      <w:r>
        <w:rPr>
          <w:lang w:eastAsia="en-AU"/>
        </w:rPr>
        <w:t>a</w:t>
      </w:r>
      <w:r w:rsidR="009B2067" w:rsidRPr="006B5E2B">
        <w:rPr>
          <w:lang w:eastAsia="en-AU"/>
        </w:rPr>
        <w:t xml:space="preserve">nother </w:t>
      </w:r>
      <w:r w:rsidR="009B2067">
        <w:rPr>
          <w:lang w:eastAsia="en-AU"/>
        </w:rPr>
        <w:t xml:space="preserve">Consultant </w:t>
      </w:r>
      <w:r w:rsidR="009B2067" w:rsidRPr="006B5E2B">
        <w:rPr>
          <w:lang w:eastAsia="en-AU"/>
        </w:rPr>
        <w:t xml:space="preserve">within </w:t>
      </w:r>
      <w:r w:rsidR="009B2067">
        <w:rPr>
          <w:lang w:eastAsia="en-AU"/>
        </w:rPr>
        <w:t>a Psychiatric</w:t>
      </w:r>
      <w:r w:rsidR="009B2067" w:rsidRPr="006B5E2B">
        <w:rPr>
          <w:lang w:eastAsia="en-AU"/>
        </w:rPr>
        <w:t xml:space="preserve"> Inpatient Unit (e.g. Adult Mental Health Unit</w:t>
      </w:r>
      <w:r w:rsidR="00266304">
        <w:rPr>
          <w:lang w:eastAsia="en-AU"/>
        </w:rPr>
        <w:t xml:space="preserve"> (AMHU</w:t>
      </w:r>
      <w:r w:rsidR="009B2067" w:rsidRPr="006B5E2B">
        <w:rPr>
          <w:lang w:eastAsia="en-AU"/>
        </w:rPr>
        <w:t>)</w:t>
      </w:r>
    </w:p>
    <w:p w14:paraId="77B250C7" w14:textId="61F944F1" w:rsidR="009B2067" w:rsidRDefault="00FD6CF5" w:rsidP="00A2733F">
      <w:pPr>
        <w:pStyle w:val="ListBullet"/>
        <w:tabs>
          <w:tab w:val="clear" w:pos="1080"/>
        </w:tabs>
        <w:ind w:left="568"/>
        <w:rPr>
          <w:lang w:eastAsia="en-AU"/>
        </w:rPr>
      </w:pPr>
      <w:r>
        <w:rPr>
          <w:lang w:eastAsia="en-AU"/>
        </w:rPr>
        <w:t>a</w:t>
      </w:r>
      <w:r w:rsidR="009B2067" w:rsidRPr="006B5E2B">
        <w:rPr>
          <w:lang w:eastAsia="en-AU"/>
        </w:rPr>
        <w:t xml:space="preserve">nother </w:t>
      </w:r>
      <w:r w:rsidR="009B2067">
        <w:rPr>
          <w:lang w:eastAsia="en-AU"/>
        </w:rPr>
        <w:t xml:space="preserve">Consultant </w:t>
      </w:r>
      <w:r w:rsidR="009B2067" w:rsidRPr="006B5E2B">
        <w:rPr>
          <w:lang w:eastAsia="en-AU"/>
        </w:rPr>
        <w:t>within the same community mental health team (e.g. City Mental Health Team) or program (e.g. Adult Mental Health services)</w:t>
      </w:r>
    </w:p>
    <w:p w14:paraId="77B250C8" w14:textId="77777777" w:rsidR="009B2067" w:rsidRDefault="00FD6CF5" w:rsidP="00A2733F">
      <w:pPr>
        <w:pStyle w:val="ListBullet"/>
        <w:tabs>
          <w:tab w:val="clear" w:pos="1080"/>
        </w:tabs>
        <w:ind w:left="568"/>
        <w:rPr>
          <w:lang w:eastAsia="en-AU"/>
        </w:rPr>
      </w:pPr>
      <w:r>
        <w:rPr>
          <w:lang w:eastAsia="en-AU"/>
        </w:rPr>
        <w:t>a</w:t>
      </w:r>
      <w:r w:rsidR="009B2067" w:rsidRPr="006B5E2B">
        <w:rPr>
          <w:lang w:eastAsia="en-AU"/>
        </w:rPr>
        <w:t xml:space="preserve"> sub</w:t>
      </w:r>
      <w:r w:rsidR="009B2067">
        <w:rPr>
          <w:lang w:eastAsia="en-AU"/>
        </w:rPr>
        <w:t>-</w:t>
      </w:r>
      <w:r w:rsidR="009B2067" w:rsidRPr="006B5E2B">
        <w:rPr>
          <w:lang w:eastAsia="en-AU"/>
        </w:rPr>
        <w:t xml:space="preserve">specialty </w:t>
      </w:r>
      <w:r w:rsidR="009B2067">
        <w:rPr>
          <w:lang w:eastAsia="en-AU"/>
        </w:rPr>
        <w:t>Consultant</w:t>
      </w:r>
      <w:r w:rsidR="009B2067" w:rsidRPr="006B5E2B">
        <w:rPr>
          <w:lang w:eastAsia="en-AU"/>
        </w:rPr>
        <w:t xml:space="preserve"> from within the service (e.g. Forensic Mental Health Service)</w:t>
      </w:r>
    </w:p>
    <w:p w14:paraId="77B250C9" w14:textId="77777777" w:rsidR="009B2067" w:rsidRDefault="00FD6CF5" w:rsidP="00A2733F">
      <w:pPr>
        <w:pStyle w:val="ListBullet"/>
        <w:tabs>
          <w:tab w:val="clear" w:pos="1080"/>
        </w:tabs>
        <w:ind w:left="568"/>
        <w:rPr>
          <w:lang w:eastAsia="en-AU"/>
        </w:rPr>
      </w:pPr>
      <w:r>
        <w:rPr>
          <w:lang w:eastAsia="en-AU"/>
        </w:rPr>
        <w:t>i</w:t>
      </w:r>
      <w:r w:rsidR="009B2067" w:rsidRPr="006B5E2B">
        <w:rPr>
          <w:lang w:eastAsia="en-AU"/>
        </w:rPr>
        <w:t>n specific clinical circumstances, a non-Psychiatrist physician (</w:t>
      </w:r>
      <w:r w:rsidR="009B2067">
        <w:rPr>
          <w:lang w:eastAsia="en-AU"/>
        </w:rPr>
        <w:t xml:space="preserve">e.g. </w:t>
      </w:r>
      <w:r w:rsidR="009B2067" w:rsidRPr="006B5E2B">
        <w:rPr>
          <w:lang w:eastAsia="en-AU"/>
        </w:rPr>
        <w:t>Geriatrician, Paediatrician, Neurologist)</w:t>
      </w:r>
    </w:p>
    <w:p w14:paraId="77B250CA" w14:textId="77777777" w:rsidR="009B2067" w:rsidRPr="0030571D" w:rsidRDefault="00FD6CF5" w:rsidP="00A2733F">
      <w:pPr>
        <w:pStyle w:val="ListBullet"/>
        <w:tabs>
          <w:tab w:val="clear" w:pos="1080"/>
        </w:tabs>
        <w:ind w:left="568"/>
        <w:rPr>
          <w:lang w:eastAsia="en-AU"/>
        </w:rPr>
      </w:pPr>
      <w:r>
        <w:rPr>
          <w:lang w:eastAsia="en-AU"/>
        </w:rPr>
        <w:t>a</w:t>
      </w:r>
      <w:r w:rsidR="009B2067">
        <w:rPr>
          <w:lang w:eastAsia="en-AU"/>
        </w:rPr>
        <w:t>n external Consultant/Private Psychiatrist.</w:t>
      </w:r>
    </w:p>
    <w:p w14:paraId="77B250CB" w14:textId="77777777" w:rsidR="009B2067" w:rsidRDefault="009B2067" w:rsidP="009B2067">
      <w:pPr>
        <w:pStyle w:val="ListParagraph"/>
        <w:autoSpaceDE w:val="0"/>
        <w:autoSpaceDN w:val="0"/>
        <w:adjustRightInd w:val="0"/>
        <w:ind w:left="1800"/>
        <w:rPr>
          <w:rFonts w:cs="Calibri"/>
          <w:color w:val="000000"/>
          <w:szCs w:val="24"/>
          <w:lang w:eastAsia="en-AU"/>
        </w:rPr>
      </w:pPr>
    </w:p>
    <w:p w14:paraId="77B250CC" w14:textId="01431CBF" w:rsidR="009B2067" w:rsidRPr="00FD6CF5" w:rsidRDefault="00776530" w:rsidP="004050A9">
      <w:pPr>
        <w:autoSpaceDE w:val="0"/>
        <w:autoSpaceDN w:val="0"/>
        <w:adjustRightInd w:val="0"/>
        <w:ind w:left="142"/>
        <w:rPr>
          <w:rFonts w:cs="Calibri"/>
          <w:color w:val="000000"/>
          <w:szCs w:val="24"/>
          <w:lang w:eastAsia="en-AU"/>
        </w:rPr>
      </w:pPr>
      <w:r>
        <w:rPr>
          <w:rFonts w:cs="Calibri"/>
          <w:lang w:eastAsia="en-AU"/>
        </w:rPr>
        <w:t xml:space="preserve">In most cases </w:t>
      </w:r>
      <w:r w:rsidR="009B2067">
        <w:rPr>
          <w:rFonts w:cs="Calibri"/>
          <w:lang w:eastAsia="en-AU"/>
        </w:rPr>
        <w:t>a second opinion</w:t>
      </w:r>
      <w:r w:rsidR="009B2067">
        <w:rPr>
          <w:rFonts w:cs="Calibri"/>
          <w:color w:val="000000"/>
          <w:szCs w:val="24"/>
          <w:lang w:eastAsia="en-AU"/>
        </w:rPr>
        <w:t xml:space="preserve"> sho</w:t>
      </w:r>
      <w:r w:rsidR="009A7EB1">
        <w:rPr>
          <w:rFonts w:cs="Calibri"/>
          <w:color w:val="000000"/>
          <w:szCs w:val="24"/>
          <w:lang w:eastAsia="en-AU"/>
        </w:rPr>
        <w:t xml:space="preserve">uld be sought from a </w:t>
      </w:r>
      <w:r w:rsidR="008A5654">
        <w:rPr>
          <w:rFonts w:cs="Calibri"/>
          <w:color w:val="000000"/>
          <w:szCs w:val="24"/>
          <w:lang w:eastAsia="en-AU"/>
        </w:rPr>
        <w:t xml:space="preserve">Psychiatric </w:t>
      </w:r>
      <w:r w:rsidR="009A7EB1">
        <w:rPr>
          <w:rFonts w:cs="Calibri"/>
          <w:color w:val="000000"/>
          <w:szCs w:val="24"/>
          <w:lang w:eastAsia="en-AU"/>
        </w:rPr>
        <w:t xml:space="preserve">Consultant </w:t>
      </w:r>
      <w:r w:rsidR="009B2067">
        <w:rPr>
          <w:rFonts w:cs="Calibri"/>
          <w:color w:val="000000"/>
          <w:szCs w:val="24"/>
          <w:lang w:eastAsia="en-AU"/>
        </w:rPr>
        <w:t xml:space="preserve">within the same unit or program. </w:t>
      </w:r>
      <w:r w:rsidR="00D77107">
        <w:rPr>
          <w:rFonts w:cs="Calibri"/>
          <w:color w:val="000000"/>
          <w:szCs w:val="24"/>
          <w:lang w:eastAsia="en-AU"/>
        </w:rPr>
        <w:t>However,</w:t>
      </w:r>
      <w:r w:rsidR="004F4982">
        <w:rPr>
          <w:rFonts w:cs="Calibri"/>
          <w:color w:val="000000"/>
          <w:szCs w:val="24"/>
          <w:lang w:eastAsia="en-AU"/>
        </w:rPr>
        <w:t xml:space="preserve"> wher</w:t>
      </w:r>
      <w:r w:rsidR="009B2067" w:rsidRPr="00FD6CF5">
        <w:rPr>
          <w:rFonts w:cs="Calibri"/>
          <w:color w:val="000000"/>
          <w:szCs w:val="24"/>
          <w:lang w:eastAsia="en-AU"/>
        </w:rPr>
        <w:t xml:space="preserve">e a Consultant is seeking a second opinion about a </w:t>
      </w:r>
      <w:r w:rsidR="00122B60" w:rsidRPr="00FD6CF5">
        <w:rPr>
          <w:rFonts w:cs="Calibri"/>
          <w:color w:val="000000"/>
          <w:szCs w:val="24"/>
          <w:lang w:eastAsia="en-AU"/>
        </w:rPr>
        <w:t xml:space="preserve">person </w:t>
      </w:r>
      <w:r w:rsidR="009B2067" w:rsidRPr="00FD6CF5">
        <w:rPr>
          <w:rFonts w:cs="Calibri"/>
          <w:color w:val="000000"/>
          <w:szCs w:val="24"/>
          <w:lang w:eastAsia="en-AU"/>
        </w:rPr>
        <w:t xml:space="preserve">who falls within the child and adolescent age group (&lt;18 years) or older person (&gt; 65 years) age group, consideration should be given to seeking that opinion from the </w:t>
      </w:r>
      <w:bookmarkStart w:id="23" w:name="_Hlk105753737"/>
      <w:r w:rsidR="009B2067" w:rsidRPr="00FD6CF5">
        <w:rPr>
          <w:rFonts w:cs="Calibri"/>
          <w:color w:val="000000"/>
          <w:szCs w:val="24"/>
          <w:lang w:eastAsia="en-AU"/>
        </w:rPr>
        <w:t>Child</w:t>
      </w:r>
      <w:r w:rsidR="00266304" w:rsidRPr="00FD6CF5">
        <w:rPr>
          <w:rFonts w:cs="Calibri"/>
          <w:color w:val="000000"/>
          <w:szCs w:val="24"/>
          <w:lang w:eastAsia="en-AU"/>
        </w:rPr>
        <w:t xml:space="preserve"> </w:t>
      </w:r>
      <w:r>
        <w:rPr>
          <w:rFonts w:cs="Calibri"/>
          <w:color w:val="000000"/>
          <w:szCs w:val="24"/>
          <w:lang w:eastAsia="en-AU"/>
        </w:rPr>
        <w:t xml:space="preserve">and </w:t>
      </w:r>
      <w:r w:rsidR="009B2067" w:rsidRPr="00FD6CF5">
        <w:rPr>
          <w:rFonts w:cs="Calibri"/>
          <w:color w:val="000000"/>
          <w:szCs w:val="24"/>
          <w:lang w:eastAsia="en-AU"/>
        </w:rPr>
        <w:t>Adolescent Mental Health Service</w:t>
      </w:r>
      <w:r w:rsidR="004050A9">
        <w:rPr>
          <w:rFonts w:cs="Calibri"/>
          <w:color w:val="000000"/>
          <w:szCs w:val="24"/>
          <w:lang w:eastAsia="en-AU"/>
        </w:rPr>
        <w:t>s</w:t>
      </w:r>
      <w:r w:rsidR="009B2067" w:rsidRPr="00FD6CF5">
        <w:rPr>
          <w:rFonts w:cs="Calibri"/>
          <w:color w:val="000000"/>
          <w:szCs w:val="24"/>
          <w:lang w:eastAsia="en-AU"/>
        </w:rPr>
        <w:t xml:space="preserve"> (CAMHS) </w:t>
      </w:r>
      <w:bookmarkEnd w:id="23"/>
      <w:r w:rsidR="009B2067" w:rsidRPr="00FD6CF5">
        <w:rPr>
          <w:rFonts w:cs="Calibri"/>
          <w:color w:val="000000"/>
          <w:szCs w:val="24"/>
          <w:lang w:eastAsia="en-AU"/>
        </w:rPr>
        <w:t xml:space="preserve">Consultant or the </w:t>
      </w:r>
      <w:bookmarkStart w:id="24" w:name="_Hlk105753743"/>
      <w:r w:rsidR="009B2067" w:rsidRPr="00FD6CF5">
        <w:rPr>
          <w:rFonts w:cs="Calibri"/>
          <w:color w:val="000000"/>
          <w:szCs w:val="24"/>
          <w:lang w:eastAsia="en-AU"/>
        </w:rPr>
        <w:t xml:space="preserve">Older Persons Mental Health </w:t>
      </w:r>
      <w:r w:rsidR="00266304" w:rsidRPr="00FD6CF5">
        <w:rPr>
          <w:rFonts w:cs="Calibri"/>
          <w:color w:val="000000"/>
          <w:szCs w:val="24"/>
          <w:lang w:eastAsia="en-AU"/>
        </w:rPr>
        <w:t>Unit</w:t>
      </w:r>
      <w:r>
        <w:rPr>
          <w:rFonts w:cs="Calibri"/>
          <w:color w:val="000000"/>
          <w:szCs w:val="24"/>
          <w:lang w:eastAsia="en-AU"/>
        </w:rPr>
        <w:t xml:space="preserve"> </w:t>
      </w:r>
      <w:r w:rsidR="009B2067" w:rsidRPr="00FD6CF5">
        <w:rPr>
          <w:rFonts w:cs="Calibri"/>
          <w:color w:val="000000"/>
          <w:szCs w:val="24"/>
          <w:lang w:eastAsia="en-AU"/>
        </w:rPr>
        <w:t>(OPMH</w:t>
      </w:r>
      <w:r w:rsidR="00266304" w:rsidRPr="00FD6CF5">
        <w:rPr>
          <w:rFonts w:cs="Calibri"/>
          <w:color w:val="000000"/>
          <w:szCs w:val="24"/>
          <w:lang w:eastAsia="en-AU"/>
        </w:rPr>
        <w:t>U</w:t>
      </w:r>
      <w:r w:rsidR="009B2067" w:rsidRPr="00FD6CF5">
        <w:rPr>
          <w:rFonts w:cs="Calibri"/>
          <w:color w:val="000000"/>
          <w:szCs w:val="24"/>
          <w:lang w:eastAsia="en-AU"/>
        </w:rPr>
        <w:t xml:space="preserve">) </w:t>
      </w:r>
      <w:bookmarkEnd w:id="24"/>
      <w:r w:rsidR="009B2067" w:rsidRPr="00FD6CF5">
        <w:rPr>
          <w:rFonts w:cs="Calibri"/>
          <w:color w:val="000000"/>
          <w:szCs w:val="24"/>
          <w:lang w:eastAsia="en-AU"/>
        </w:rPr>
        <w:t>Consultant, respectively.</w:t>
      </w:r>
    </w:p>
    <w:p w14:paraId="77B250CD" w14:textId="77777777" w:rsidR="00776530" w:rsidRDefault="00776530" w:rsidP="00776530">
      <w:pPr>
        <w:pStyle w:val="ListParagraph"/>
        <w:autoSpaceDE w:val="0"/>
        <w:autoSpaceDN w:val="0"/>
        <w:adjustRightInd w:val="0"/>
        <w:rPr>
          <w:rFonts w:cs="Calibri"/>
          <w:szCs w:val="24"/>
        </w:rPr>
      </w:pPr>
    </w:p>
    <w:p w14:paraId="77B250CE" w14:textId="47F1EC7E" w:rsidR="009B2067" w:rsidRPr="00DB5AA0" w:rsidRDefault="004F4982" w:rsidP="004050A9">
      <w:pPr>
        <w:pStyle w:val="ListParagraph"/>
        <w:autoSpaceDE w:val="0"/>
        <w:autoSpaceDN w:val="0"/>
        <w:adjustRightInd w:val="0"/>
        <w:ind w:left="142"/>
        <w:rPr>
          <w:rFonts w:cs="Calibri"/>
          <w:color w:val="000000"/>
          <w:szCs w:val="24"/>
          <w:lang w:eastAsia="en-AU"/>
        </w:rPr>
      </w:pPr>
      <w:r>
        <w:rPr>
          <w:rFonts w:cs="Calibri"/>
          <w:szCs w:val="24"/>
        </w:rPr>
        <w:t>In</w:t>
      </w:r>
      <w:r w:rsidR="009B2067">
        <w:rPr>
          <w:rFonts w:cs="Calibri"/>
          <w:szCs w:val="24"/>
        </w:rPr>
        <w:t xml:space="preserve"> some cases</w:t>
      </w:r>
      <w:r w:rsidR="00CB6ED9">
        <w:rPr>
          <w:rFonts w:cs="Calibri"/>
          <w:szCs w:val="24"/>
        </w:rPr>
        <w:t>,</w:t>
      </w:r>
      <w:r w:rsidR="009B2067">
        <w:rPr>
          <w:rFonts w:cs="Calibri"/>
          <w:szCs w:val="24"/>
        </w:rPr>
        <w:t xml:space="preserve"> it may be acceptable to obtain</w:t>
      </w:r>
      <w:r w:rsidR="00F8291C">
        <w:rPr>
          <w:rFonts w:cs="Calibri"/>
          <w:szCs w:val="24"/>
        </w:rPr>
        <w:t xml:space="preserve"> a second</w:t>
      </w:r>
      <w:r w:rsidR="009B2067">
        <w:rPr>
          <w:rFonts w:cs="Calibri"/>
          <w:szCs w:val="24"/>
        </w:rPr>
        <w:t xml:space="preserve"> </w:t>
      </w:r>
      <w:r w:rsidR="00F8291C">
        <w:rPr>
          <w:rFonts w:cs="Calibri"/>
          <w:szCs w:val="24"/>
        </w:rPr>
        <w:t xml:space="preserve">opinion </w:t>
      </w:r>
      <w:r w:rsidR="009B2067">
        <w:rPr>
          <w:rFonts w:cs="Calibri"/>
          <w:szCs w:val="24"/>
        </w:rPr>
        <w:t xml:space="preserve">from another unit or program Consultant, </w:t>
      </w:r>
      <w:r w:rsidR="009B2067" w:rsidRPr="006101EE">
        <w:rPr>
          <w:rFonts w:cs="Calibri"/>
          <w:szCs w:val="24"/>
        </w:rPr>
        <w:t>depend</w:t>
      </w:r>
      <w:r w:rsidR="00EB5454">
        <w:rPr>
          <w:rFonts w:cs="Calibri"/>
          <w:szCs w:val="24"/>
        </w:rPr>
        <w:t>ing</w:t>
      </w:r>
      <w:r w:rsidR="009B2067" w:rsidRPr="006101EE">
        <w:rPr>
          <w:rFonts w:cs="Calibri"/>
          <w:szCs w:val="24"/>
        </w:rPr>
        <w:t xml:space="preserve"> on the reason for the </w:t>
      </w:r>
      <w:r w:rsidR="00EB5454">
        <w:rPr>
          <w:rFonts w:cs="Calibri"/>
          <w:szCs w:val="24"/>
        </w:rPr>
        <w:t xml:space="preserve">second </w:t>
      </w:r>
      <w:r w:rsidR="009B2067" w:rsidRPr="006101EE">
        <w:rPr>
          <w:rFonts w:cs="Calibri"/>
          <w:szCs w:val="24"/>
        </w:rPr>
        <w:t>opin</w:t>
      </w:r>
      <w:r w:rsidR="009B2067">
        <w:rPr>
          <w:rFonts w:cs="Calibri"/>
          <w:szCs w:val="24"/>
        </w:rPr>
        <w:t xml:space="preserve">ion (e.g. referral for </w:t>
      </w:r>
      <w:r w:rsidR="009B2067">
        <w:rPr>
          <w:rFonts w:cs="Calibri"/>
          <w:szCs w:val="24"/>
        </w:rPr>
        <w:lastRenderedPageBreak/>
        <w:t xml:space="preserve">Alcohol </w:t>
      </w:r>
      <w:r w:rsidR="00776530">
        <w:rPr>
          <w:rFonts w:cs="Calibri"/>
          <w:szCs w:val="24"/>
        </w:rPr>
        <w:t>and</w:t>
      </w:r>
      <w:r w:rsidR="009B2067">
        <w:rPr>
          <w:rFonts w:cs="Calibri"/>
          <w:szCs w:val="24"/>
        </w:rPr>
        <w:t xml:space="preserve"> Drug service consultation) and the availability of sub-</w:t>
      </w:r>
      <w:r w:rsidR="009B2067" w:rsidRPr="006101EE">
        <w:rPr>
          <w:rFonts w:cs="Calibri"/>
          <w:szCs w:val="24"/>
        </w:rPr>
        <w:t xml:space="preserve">speciality </w:t>
      </w:r>
      <w:r w:rsidR="009B2067">
        <w:rPr>
          <w:rFonts w:cs="Calibri"/>
          <w:szCs w:val="24"/>
        </w:rPr>
        <w:t>Consultants (e.g</w:t>
      </w:r>
      <w:r w:rsidR="009B2067" w:rsidRPr="006101EE">
        <w:rPr>
          <w:rFonts w:cs="Calibri"/>
          <w:szCs w:val="24"/>
        </w:rPr>
        <w:t>.</w:t>
      </w:r>
      <w:r w:rsidR="009B2067">
        <w:rPr>
          <w:rFonts w:cs="Calibri"/>
          <w:szCs w:val="24"/>
        </w:rPr>
        <w:t xml:space="preserve"> where there is only </w:t>
      </w:r>
      <w:r w:rsidR="003960E8">
        <w:rPr>
          <w:rFonts w:cs="Calibri"/>
          <w:szCs w:val="24"/>
        </w:rPr>
        <w:t>one (</w:t>
      </w:r>
      <w:r w:rsidR="009B2067">
        <w:rPr>
          <w:rFonts w:cs="Calibri"/>
          <w:szCs w:val="24"/>
        </w:rPr>
        <w:t>1</w:t>
      </w:r>
      <w:r w:rsidR="003960E8">
        <w:rPr>
          <w:rFonts w:cs="Calibri"/>
          <w:szCs w:val="24"/>
        </w:rPr>
        <w:t>)</w:t>
      </w:r>
      <w:r w:rsidR="009B2067">
        <w:rPr>
          <w:rFonts w:cs="Calibri"/>
          <w:szCs w:val="24"/>
        </w:rPr>
        <w:t xml:space="preserve"> Consultant for that service). </w:t>
      </w:r>
    </w:p>
    <w:p w14:paraId="77B250CF" w14:textId="64D6470E" w:rsidR="00F8291C" w:rsidRDefault="00F8291C" w:rsidP="00776530">
      <w:pPr>
        <w:pStyle w:val="ListParagraph"/>
        <w:autoSpaceDE w:val="0"/>
        <w:autoSpaceDN w:val="0"/>
        <w:adjustRightInd w:val="0"/>
        <w:ind w:left="0"/>
        <w:rPr>
          <w:rFonts w:cs="Calibri"/>
          <w:color w:val="000000"/>
          <w:szCs w:val="24"/>
          <w:lang w:eastAsia="en-AU"/>
        </w:rPr>
      </w:pPr>
    </w:p>
    <w:p w14:paraId="77B250D0" w14:textId="77777777" w:rsidR="009B2067" w:rsidRPr="0030571D" w:rsidRDefault="00776530" w:rsidP="004050A9">
      <w:pPr>
        <w:pStyle w:val="ListParagraph"/>
        <w:autoSpaceDE w:val="0"/>
        <w:autoSpaceDN w:val="0"/>
        <w:adjustRightInd w:val="0"/>
        <w:ind w:left="142"/>
        <w:rPr>
          <w:rFonts w:cs="Calibri"/>
          <w:color w:val="000000"/>
          <w:szCs w:val="24"/>
          <w:lang w:eastAsia="en-AU"/>
        </w:rPr>
      </w:pPr>
      <w:r>
        <w:rPr>
          <w:rFonts w:cs="Calibri"/>
          <w:color w:val="000000"/>
          <w:szCs w:val="24"/>
          <w:lang w:eastAsia="en-AU"/>
        </w:rPr>
        <w:t>Process for a</w:t>
      </w:r>
      <w:r w:rsidR="009B2067" w:rsidRPr="0030571D">
        <w:rPr>
          <w:rFonts w:cs="Calibri"/>
          <w:color w:val="000000"/>
          <w:szCs w:val="24"/>
          <w:lang w:eastAsia="en-AU"/>
        </w:rPr>
        <w:t>rranging a second opinion consultation</w:t>
      </w:r>
      <w:r w:rsidR="00087C7A">
        <w:rPr>
          <w:rFonts w:cs="Calibri"/>
          <w:color w:val="000000"/>
          <w:szCs w:val="24"/>
          <w:lang w:eastAsia="en-AU"/>
        </w:rPr>
        <w:t>:</w:t>
      </w:r>
      <w:r w:rsidR="009B2067" w:rsidRPr="0030571D">
        <w:rPr>
          <w:rFonts w:cs="Calibri"/>
          <w:color w:val="000000"/>
          <w:szCs w:val="24"/>
          <w:lang w:eastAsia="en-AU"/>
        </w:rPr>
        <w:t xml:space="preserve"> </w:t>
      </w:r>
    </w:p>
    <w:p w14:paraId="62B13F90" w14:textId="77777777" w:rsidR="00BC0DF2" w:rsidRPr="00BC0DF2" w:rsidRDefault="00BC0DF2" w:rsidP="00A2733F">
      <w:pPr>
        <w:pStyle w:val="ListBullet"/>
        <w:tabs>
          <w:tab w:val="clear" w:pos="1080"/>
        </w:tabs>
        <w:ind w:left="568"/>
        <w:rPr>
          <w:color w:val="000000"/>
          <w:lang w:eastAsia="en-AU"/>
        </w:rPr>
      </w:pPr>
      <w:r>
        <w:rPr>
          <w:rFonts w:cs="Calibri"/>
          <w:szCs w:val="24"/>
        </w:rPr>
        <w:t xml:space="preserve">Ideally, the second opinion should be </w:t>
      </w:r>
      <w:r w:rsidRPr="00BA2DF6">
        <w:rPr>
          <w:rFonts w:cs="Calibri"/>
          <w:szCs w:val="24"/>
        </w:rPr>
        <w:t xml:space="preserve">obtained with the </w:t>
      </w:r>
      <w:r>
        <w:rPr>
          <w:rFonts w:cs="Calibri"/>
          <w:szCs w:val="24"/>
        </w:rPr>
        <w:t>person</w:t>
      </w:r>
      <w:r w:rsidRPr="00BA2DF6">
        <w:rPr>
          <w:rFonts w:cs="Calibri"/>
          <w:szCs w:val="24"/>
        </w:rPr>
        <w:t>’s consent.</w:t>
      </w:r>
    </w:p>
    <w:p w14:paraId="77B250D1" w14:textId="73B7868A" w:rsidR="009B2067" w:rsidRPr="00D672CD" w:rsidRDefault="009B2067" w:rsidP="00A2733F">
      <w:pPr>
        <w:pStyle w:val="ListBullet"/>
        <w:tabs>
          <w:tab w:val="clear" w:pos="1080"/>
        </w:tabs>
        <w:ind w:left="568"/>
        <w:rPr>
          <w:color w:val="000000"/>
          <w:lang w:eastAsia="en-AU"/>
        </w:rPr>
      </w:pPr>
      <w:r w:rsidRPr="00D672CD">
        <w:t xml:space="preserve">The preferred mode of requesting a second opinion is for the requesting </w:t>
      </w:r>
      <w:r>
        <w:t xml:space="preserve">Consultant/Registrar to liaise directly with the Consultant. </w:t>
      </w:r>
      <w:r w:rsidRPr="00D672CD">
        <w:t>For more complex second opinions, the requesting Consultant</w:t>
      </w:r>
      <w:r>
        <w:t>/Registrar</w:t>
      </w:r>
      <w:r w:rsidRPr="00D672CD">
        <w:t xml:space="preserve"> </w:t>
      </w:r>
      <w:r>
        <w:t>may also need</w:t>
      </w:r>
      <w:r w:rsidRPr="00D672CD">
        <w:t xml:space="preserve"> to provide a detailed written summary</w:t>
      </w:r>
      <w:r>
        <w:t xml:space="preserve"> in the electronic medical record </w:t>
      </w:r>
      <w:r w:rsidRPr="00D672CD">
        <w:t>to assist the receiving Consultant to formulate an opinion.</w:t>
      </w:r>
    </w:p>
    <w:p w14:paraId="77B250D2" w14:textId="34522688" w:rsidR="009B2067" w:rsidRPr="00D672CD" w:rsidRDefault="009B2067" w:rsidP="00A2733F">
      <w:pPr>
        <w:pStyle w:val="ListBullet"/>
        <w:tabs>
          <w:tab w:val="clear" w:pos="1080"/>
        </w:tabs>
        <w:ind w:left="568"/>
        <w:rPr>
          <w:color w:val="000000"/>
          <w:lang w:eastAsia="en-AU"/>
        </w:rPr>
      </w:pPr>
      <w:r w:rsidRPr="00D672CD">
        <w:rPr>
          <w:color w:val="000000"/>
          <w:lang w:eastAsia="en-AU"/>
        </w:rPr>
        <w:t xml:space="preserve">The receiving Consultant should clarify the timeframe during which the second opinion </w:t>
      </w:r>
      <w:r w:rsidR="00087C7A">
        <w:rPr>
          <w:color w:val="000000"/>
          <w:lang w:eastAsia="en-AU"/>
        </w:rPr>
        <w:t xml:space="preserve">will </w:t>
      </w:r>
      <w:r w:rsidRPr="00D672CD">
        <w:rPr>
          <w:color w:val="000000"/>
          <w:lang w:eastAsia="en-AU"/>
        </w:rPr>
        <w:t>be provided and inform the requesting Consultant</w:t>
      </w:r>
      <w:r w:rsidR="00EB5454">
        <w:rPr>
          <w:color w:val="000000"/>
          <w:lang w:eastAsia="en-AU"/>
        </w:rPr>
        <w:t>/Registrar</w:t>
      </w:r>
      <w:r w:rsidRPr="00D672CD">
        <w:rPr>
          <w:color w:val="000000"/>
          <w:lang w:eastAsia="en-AU"/>
        </w:rPr>
        <w:t xml:space="preserve"> of their availability. </w:t>
      </w:r>
    </w:p>
    <w:p w14:paraId="77B250D3" w14:textId="77777777" w:rsidR="009B2067" w:rsidRPr="00D672CD" w:rsidRDefault="009B2067" w:rsidP="00A2733F">
      <w:pPr>
        <w:pStyle w:val="ListBullet"/>
        <w:tabs>
          <w:tab w:val="clear" w:pos="1080"/>
        </w:tabs>
        <w:ind w:left="568"/>
        <w:rPr>
          <w:color w:val="000000"/>
          <w:lang w:eastAsia="en-AU"/>
        </w:rPr>
      </w:pPr>
      <w:r>
        <w:rPr>
          <w:color w:val="000000"/>
          <w:lang w:eastAsia="en-AU"/>
        </w:rPr>
        <w:t>If the receiving Consultant</w:t>
      </w:r>
      <w:r w:rsidRPr="00D672CD">
        <w:rPr>
          <w:color w:val="000000"/>
          <w:lang w:eastAsia="en-AU"/>
        </w:rPr>
        <w:t xml:space="preserve"> is available and agreeable to provide a second opinion, a suitable time </w:t>
      </w:r>
      <w:r>
        <w:rPr>
          <w:color w:val="000000"/>
          <w:lang w:eastAsia="en-AU"/>
        </w:rPr>
        <w:t xml:space="preserve">(for both the </w:t>
      </w:r>
      <w:r w:rsidR="00122B60">
        <w:rPr>
          <w:color w:val="000000"/>
          <w:lang w:eastAsia="en-AU"/>
        </w:rPr>
        <w:t>person</w:t>
      </w:r>
      <w:r>
        <w:rPr>
          <w:color w:val="000000"/>
          <w:lang w:eastAsia="en-AU"/>
        </w:rPr>
        <w:t xml:space="preserve">/carer and the Consultant) </w:t>
      </w:r>
      <w:r w:rsidRPr="00D672CD">
        <w:rPr>
          <w:color w:val="000000"/>
          <w:lang w:eastAsia="en-AU"/>
        </w:rPr>
        <w:t>to perform the assessment</w:t>
      </w:r>
      <w:r>
        <w:rPr>
          <w:color w:val="000000"/>
          <w:lang w:eastAsia="en-AU"/>
        </w:rPr>
        <w:t xml:space="preserve"> should be arranged</w:t>
      </w:r>
      <w:r w:rsidRPr="00D672CD">
        <w:rPr>
          <w:color w:val="000000"/>
          <w:lang w:eastAsia="en-AU"/>
        </w:rPr>
        <w:t xml:space="preserve">, liaising with the </w:t>
      </w:r>
      <w:r>
        <w:rPr>
          <w:color w:val="000000"/>
          <w:lang w:eastAsia="en-AU"/>
        </w:rPr>
        <w:t>relevant team</w:t>
      </w:r>
      <w:r w:rsidRPr="00D672CD">
        <w:rPr>
          <w:color w:val="000000"/>
          <w:lang w:eastAsia="en-AU"/>
        </w:rPr>
        <w:t xml:space="preserve"> or </w:t>
      </w:r>
      <w:r>
        <w:rPr>
          <w:color w:val="000000"/>
          <w:lang w:eastAsia="en-AU"/>
        </w:rPr>
        <w:t>clinician</w:t>
      </w:r>
      <w:r w:rsidRPr="00D672CD">
        <w:rPr>
          <w:color w:val="000000"/>
          <w:lang w:eastAsia="en-AU"/>
        </w:rPr>
        <w:t xml:space="preserve"> as required. </w:t>
      </w:r>
    </w:p>
    <w:p w14:paraId="77B250D4" w14:textId="5054CC8D" w:rsidR="009B2067" w:rsidRPr="00D672CD" w:rsidRDefault="009B2067" w:rsidP="00A2733F">
      <w:pPr>
        <w:pStyle w:val="ListBullet"/>
        <w:tabs>
          <w:tab w:val="clear" w:pos="1080"/>
        </w:tabs>
        <w:ind w:left="568"/>
        <w:rPr>
          <w:color w:val="000000"/>
          <w:lang w:eastAsia="en-AU"/>
        </w:rPr>
      </w:pPr>
      <w:r>
        <w:rPr>
          <w:color w:val="000000"/>
          <w:lang w:eastAsia="en-AU"/>
        </w:rPr>
        <w:t>Following completion of</w:t>
      </w:r>
      <w:r w:rsidRPr="00D672CD">
        <w:rPr>
          <w:color w:val="000000"/>
          <w:lang w:eastAsia="en-AU"/>
        </w:rPr>
        <w:t xml:space="preserve"> the assessment, the receiving Consultant must document their opinion in the </w:t>
      </w:r>
      <w:r>
        <w:rPr>
          <w:color w:val="000000"/>
          <w:lang w:eastAsia="en-AU"/>
        </w:rPr>
        <w:t>medical record</w:t>
      </w:r>
      <w:r w:rsidRPr="00D672CD">
        <w:rPr>
          <w:color w:val="000000"/>
          <w:lang w:eastAsia="en-AU"/>
        </w:rPr>
        <w:t xml:space="preserve"> and where appropriate</w:t>
      </w:r>
      <w:r>
        <w:rPr>
          <w:color w:val="000000"/>
          <w:lang w:eastAsia="en-AU"/>
        </w:rPr>
        <w:t>,</w:t>
      </w:r>
      <w:r w:rsidRPr="00D672CD">
        <w:rPr>
          <w:color w:val="000000"/>
          <w:lang w:eastAsia="en-AU"/>
        </w:rPr>
        <w:t xml:space="preserve"> discuss the outcome of the </w:t>
      </w:r>
      <w:r>
        <w:rPr>
          <w:color w:val="000000"/>
          <w:lang w:eastAsia="en-AU"/>
        </w:rPr>
        <w:t>assessment with the requesting C</w:t>
      </w:r>
      <w:r w:rsidRPr="00D672CD">
        <w:rPr>
          <w:color w:val="000000"/>
          <w:lang w:eastAsia="en-AU"/>
        </w:rPr>
        <w:t>onsultant</w:t>
      </w:r>
      <w:r>
        <w:rPr>
          <w:color w:val="000000"/>
          <w:lang w:eastAsia="en-AU"/>
        </w:rPr>
        <w:t xml:space="preserve">/Registrar and the </w:t>
      </w:r>
      <w:r w:rsidR="00122B60">
        <w:rPr>
          <w:color w:val="000000"/>
          <w:lang w:eastAsia="en-AU"/>
        </w:rPr>
        <w:t>person/</w:t>
      </w:r>
      <w:r>
        <w:rPr>
          <w:color w:val="000000"/>
          <w:lang w:eastAsia="en-AU"/>
        </w:rPr>
        <w:t>carer</w:t>
      </w:r>
      <w:r w:rsidRPr="00D672CD">
        <w:rPr>
          <w:color w:val="000000"/>
          <w:lang w:eastAsia="en-AU"/>
        </w:rPr>
        <w:t xml:space="preserve">. The level and detail of the opinion provided will differ, depending on the reason for obtaining the opinion. </w:t>
      </w:r>
    </w:p>
    <w:p w14:paraId="77B250D6" w14:textId="02683E01" w:rsidR="00772B79" w:rsidRPr="00BC0DF2" w:rsidRDefault="009B2067" w:rsidP="00A2733F">
      <w:pPr>
        <w:pStyle w:val="ListBullet"/>
        <w:tabs>
          <w:tab w:val="clear" w:pos="1080"/>
        </w:tabs>
        <w:ind w:left="568"/>
        <w:rPr>
          <w:color w:val="000000"/>
          <w:lang w:eastAsia="en-AU"/>
        </w:rPr>
      </w:pPr>
      <w:r w:rsidRPr="00D672CD">
        <w:rPr>
          <w:color w:val="000000"/>
          <w:lang w:eastAsia="en-AU"/>
        </w:rPr>
        <w:t>If</w:t>
      </w:r>
      <w:r w:rsidR="00C97F5E">
        <w:rPr>
          <w:color w:val="000000"/>
          <w:lang w:eastAsia="en-AU"/>
        </w:rPr>
        <w:t xml:space="preserve"> there is disagreement</w:t>
      </w:r>
      <w:r>
        <w:rPr>
          <w:color w:val="000000"/>
          <w:lang w:eastAsia="en-AU"/>
        </w:rPr>
        <w:t xml:space="preserve"> </w:t>
      </w:r>
      <w:r w:rsidRPr="00D672CD">
        <w:rPr>
          <w:color w:val="000000"/>
          <w:lang w:eastAsia="en-AU"/>
        </w:rPr>
        <w:t>between the two Consultant</w:t>
      </w:r>
      <w:r>
        <w:rPr>
          <w:color w:val="000000"/>
          <w:lang w:eastAsia="en-AU"/>
        </w:rPr>
        <w:t>/</w:t>
      </w:r>
      <w:r w:rsidRPr="00D672CD">
        <w:rPr>
          <w:color w:val="000000"/>
          <w:lang w:eastAsia="en-AU"/>
        </w:rPr>
        <w:t>s</w:t>
      </w:r>
      <w:r>
        <w:rPr>
          <w:color w:val="000000"/>
          <w:lang w:eastAsia="en-AU"/>
        </w:rPr>
        <w:t>/Registrar</w:t>
      </w:r>
      <w:r w:rsidRPr="00D672CD">
        <w:rPr>
          <w:color w:val="000000"/>
          <w:lang w:eastAsia="en-AU"/>
        </w:rPr>
        <w:t xml:space="preserve"> with respect to </w:t>
      </w:r>
      <w:r w:rsidR="00C97F5E">
        <w:rPr>
          <w:color w:val="000000"/>
          <w:lang w:eastAsia="en-AU"/>
        </w:rPr>
        <w:t xml:space="preserve">the second opinion and </w:t>
      </w:r>
      <w:r w:rsidRPr="00D672CD">
        <w:rPr>
          <w:color w:val="000000"/>
          <w:lang w:eastAsia="en-AU"/>
        </w:rPr>
        <w:t>any s</w:t>
      </w:r>
      <w:r>
        <w:rPr>
          <w:color w:val="000000"/>
          <w:lang w:eastAsia="en-AU"/>
        </w:rPr>
        <w:t xml:space="preserve">ignificant aspect of management, </w:t>
      </w:r>
      <w:r w:rsidRPr="00D672CD">
        <w:rPr>
          <w:color w:val="000000"/>
          <w:lang w:eastAsia="en-AU"/>
        </w:rPr>
        <w:t xml:space="preserve">the matter </w:t>
      </w:r>
      <w:r w:rsidR="004F4982">
        <w:rPr>
          <w:color w:val="000000"/>
          <w:lang w:eastAsia="en-AU"/>
        </w:rPr>
        <w:t>should</w:t>
      </w:r>
      <w:r w:rsidRPr="00D672CD">
        <w:rPr>
          <w:color w:val="000000"/>
          <w:lang w:eastAsia="en-AU"/>
        </w:rPr>
        <w:t xml:space="preserve"> be referred to the </w:t>
      </w:r>
      <w:r>
        <w:rPr>
          <w:color w:val="000000"/>
          <w:lang w:eastAsia="en-AU"/>
        </w:rPr>
        <w:t>relevant Clinical Director/s for advice and, if necessary, the Chief Psychiatrist.</w:t>
      </w:r>
    </w:p>
    <w:p w14:paraId="77B250D7" w14:textId="741F623C" w:rsidR="007B6904" w:rsidRDefault="007B6904" w:rsidP="007B6904">
      <w:pPr>
        <w:rPr>
          <w:rFonts w:cs="Arial"/>
          <w:i/>
          <w:szCs w:val="24"/>
        </w:rPr>
      </w:pPr>
    </w:p>
    <w:p w14:paraId="77B250D8" w14:textId="77777777" w:rsidR="001247D6" w:rsidRDefault="00026017" w:rsidP="001247D6">
      <w:pPr>
        <w:pStyle w:val="ListParagraph"/>
        <w:jc w:val="right"/>
      </w:pPr>
      <w:hyperlink w:anchor="Contents" w:history="1">
        <w:r w:rsidR="001247D6" w:rsidRPr="00590902">
          <w:rPr>
            <w:rStyle w:val="Hyperlink"/>
            <w:rFonts w:cs="Arial"/>
            <w:i/>
            <w:szCs w:val="24"/>
          </w:rPr>
          <w:t>Back to Table of Contents</w:t>
        </w:r>
      </w:hyperlink>
    </w:p>
    <w:tbl>
      <w:tblPr>
        <w:tblpPr w:leftFromText="180" w:rightFromText="180" w:vertAnchor="text" w:horzAnchor="margin" w:tblpX="108" w:tblpY="181"/>
        <w:tblW w:w="9158" w:type="dxa"/>
        <w:tblLook w:val="0000" w:firstRow="0" w:lastRow="0" w:firstColumn="0" w:lastColumn="0" w:noHBand="0" w:noVBand="0"/>
      </w:tblPr>
      <w:tblGrid>
        <w:gridCol w:w="9158"/>
      </w:tblGrid>
      <w:tr w:rsidR="001247D6" w:rsidRPr="00CD1C0E" w14:paraId="77B250DA" w14:textId="77777777" w:rsidTr="004D7B51">
        <w:trPr>
          <w:cantSplit/>
          <w:trHeight w:val="285"/>
        </w:trPr>
        <w:tc>
          <w:tcPr>
            <w:tcW w:w="9158" w:type="dxa"/>
            <w:shd w:val="clear" w:color="auto" w:fill="A6A6A6"/>
          </w:tcPr>
          <w:p w14:paraId="77B250D9" w14:textId="27D61F85" w:rsidR="001247D6" w:rsidRPr="00CD1C0E" w:rsidRDefault="00A30662" w:rsidP="004D7B51">
            <w:pPr>
              <w:pStyle w:val="Heading1"/>
            </w:pPr>
            <w:bookmarkStart w:id="25" w:name="_Toc106894181"/>
            <w:r>
              <w:t>Evaluation</w:t>
            </w:r>
            <w:bookmarkEnd w:id="25"/>
          </w:p>
        </w:tc>
      </w:tr>
    </w:tbl>
    <w:p w14:paraId="2B5B9BE8" w14:textId="77777777" w:rsidR="00A2733F" w:rsidRDefault="00A2733F" w:rsidP="001247D6">
      <w:pPr>
        <w:rPr>
          <w:b/>
          <w:bCs/>
        </w:rPr>
      </w:pPr>
    </w:p>
    <w:p w14:paraId="77B250DB" w14:textId="75E3485A" w:rsidR="001247D6" w:rsidRDefault="00A30662" w:rsidP="00A2733F">
      <w:pPr>
        <w:ind w:left="142"/>
        <w:rPr>
          <w:b/>
          <w:bCs/>
        </w:rPr>
      </w:pPr>
      <w:r>
        <w:rPr>
          <w:b/>
          <w:bCs/>
        </w:rPr>
        <w:t xml:space="preserve">Outcome </w:t>
      </w:r>
    </w:p>
    <w:p w14:paraId="0CF0742A" w14:textId="7599BEC6" w:rsidR="00A30662" w:rsidRPr="00A2733F" w:rsidRDefault="00A30662" w:rsidP="00A2733F">
      <w:pPr>
        <w:pStyle w:val="ListParagraph"/>
        <w:numPr>
          <w:ilvl w:val="0"/>
          <w:numId w:val="18"/>
        </w:numPr>
        <w:ind w:left="567" w:hanging="425"/>
        <w:rPr>
          <w:rFonts w:cs="Calibri"/>
          <w:szCs w:val="24"/>
        </w:rPr>
      </w:pPr>
      <w:r w:rsidRPr="00A2733F">
        <w:rPr>
          <w:rFonts w:cs="Calibri"/>
          <w:szCs w:val="24"/>
        </w:rPr>
        <w:t>Second Opinions for people with mental illness or mental disorder being cared for at CHS are managed as per this procedure.</w:t>
      </w:r>
    </w:p>
    <w:p w14:paraId="2638B129" w14:textId="77777777" w:rsidR="00A30662" w:rsidRPr="00A30662" w:rsidRDefault="00A30662" w:rsidP="001247D6"/>
    <w:p w14:paraId="00B60F7E" w14:textId="1C5AAAFE" w:rsidR="00A30662" w:rsidRPr="00A30662" w:rsidRDefault="00A30662" w:rsidP="00A2733F">
      <w:pPr>
        <w:ind w:left="142"/>
        <w:rPr>
          <w:b/>
          <w:bCs/>
        </w:rPr>
      </w:pPr>
      <w:r>
        <w:rPr>
          <w:b/>
          <w:bCs/>
        </w:rPr>
        <w:t>Measure</w:t>
      </w:r>
    </w:p>
    <w:p w14:paraId="77B250DD" w14:textId="0EE42223" w:rsidR="001247D6" w:rsidRDefault="00A30662" w:rsidP="00A2733F">
      <w:pPr>
        <w:pStyle w:val="ListBullet"/>
        <w:tabs>
          <w:tab w:val="clear" w:pos="1080"/>
        </w:tabs>
        <w:ind w:left="568"/>
      </w:pPr>
      <w:r>
        <w:t>Review of consumer survey responses by consumers of mental health services</w:t>
      </w:r>
      <w:r w:rsidR="00C0059A">
        <w:t xml:space="preserve"> regarding second opinion process</w:t>
      </w:r>
      <w:r w:rsidR="00D32358">
        <w:t>.</w:t>
      </w:r>
    </w:p>
    <w:p w14:paraId="5CBE863C" w14:textId="2585A796" w:rsidR="00A30662" w:rsidRDefault="00A30662" w:rsidP="00D57773">
      <w:pPr>
        <w:pStyle w:val="ListBullet"/>
        <w:numPr>
          <w:ilvl w:val="0"/>
          <w:numId w:val="0"/>
        </w:numPr>
      </w:pPr>
    </w:p>
    <w:p w14:paraId="77B250DE" w14:textId="77777777" w:rsidR="001247D6" w:rsidRPr="001247D6" w:rsidRDefault="00026017" w:rsidP="001247D6">
      <w:pPr>
        <w:pStyle w:val="ListParagraph"/>
        <w:jc w:val="right"/>
      </w:pPr>
      <w:hyperlink w:anchor="Contents" w:history="1">
        <w:r w:rsidR="001247D6" w:rsidRPr="00590902">
          <w:rPr>
            <w:rStyle w:val="Hyperlink"/>
            <w:rFonts w:cs="Arial"/>
            <w:i/>
            <w:szCs w:val="24"/>
          </w:rPr>
          <w:t>Back to Table of Contents</w:t>
        </w:r>
      </w:hyperlink>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77B250E0" w14:textId="77777777" w:rsidTr="00B21043">
        <w:trPr>
          <w:cantSplit/>
          <w:trHeight w:val="285"/>
        </w:trPr>
        <w:tc>
          <w:tcPr>
            <w:tcW w:w="9158" w:type="dxa"/>
            <w:shd w:val="clear" w:color="auto" w:fill="A6A6A6"/>
          </w:tcPr>
          <w:p w14:paraId="77B250DF" w14:textId="77777777" w:rsidR="007B6904" w:rsidRPr="00CD1C0E" w:rsidRDefault="00FF56DD" w:rsidP="00FF56DD">
            <w:pPr>
              <w:pStyle w:val="Heading1"/>
            </w:pPr>
            <w:bookmarkStart w:id="26" w:name="_Toc389473287"/>
            <w:bookmarkStart w:id="27" w:name="_Toc106894182"/>
            <w:r>
              <w:t xml:space="preserve">Related Policies, </w:t>
            </w:r>
            <w:r w:rsidR="007B6904">
              <w:t>Procedures</w:t>
            </w:r>
            <w:bookmarkEnd w:id="26"/>
            <w:r>
              <w:t>, Guidelines and Legislation</w:t>
            </w:r>
            <w:bookmarkEnd w:id="27"/>
          </w:p>
        </w:tc>
      </w:tr>
    </w:tbl>
    <w:p w14:paraId="695ECBC1" w14:textId="77777777" w:rsidR="00A2733F" w:rsidRDefault="00A2733F" w:rsidP="009B2067">
      <w:pPr>
        <w:rPr>
          <w:rFonts w:cs="Calibri"/>
          <w:b/>
          <w:szCs w:val="24"/>
        </w:rPr>
      </w:pPr>
    </w:p>
    <w:p w14:paraId="77B250E6" w14:textId="0E04CDFB" w:rsidR="009B2067" w:rsidRDefault="00D57773" w:rsidP="00A2733F">
      <w:pPr>
        <w:ind w:left="142"/>
        <w:rPr>
          <w:rFonts w:cs="Calibri"/>
          <w:b/>
          <w:szCs w:val="24"/>
        </w:rPr>
      </w:pPr>
      <w:r>
        <w:rPr>
          <w:rFonts w:cs="Calibri"/>
          <w:b/>
          <w:szCs w:val="24"/>
        </w:rPr>
        <w:t>Policy</w:t>
      </w:r>
    </w:p>
    <w:p w14:paraId="4DCC9C50" w14:textId="2CAE1070" w:rsidR="00D57773" w:rsidRDefault="00D57773" w:rsidP="00A2733F">
      <w:pPr>
        <w:pStyle w:val="ListBullet"/>
        <w:tabs>
          <w:tab w:val="clear" w:pos="1080"/>
        </w:tabs>
        <w:ind w:left="568"/>
      </w:pPr>
      <w:r>
        <w:t>Informed Consent (Clinical)</w:t>
      </w:r>
    </w:p>
    <w:p w14:paraId="2CB96710" w14:textId="77777777" w:rsidR="00D57773" w:rsidRPr="00D57773" w:rsidRDefault="00D57773" w:rsidP="00D57773">
      <w:pPr>
        <w:pStyle w:val="ListBullet"/>
        <w:numPr>
          <w:ilvl w:val="0"/>
          <w:numId w:val="0"/>
        </w:numPr>
      </w:pPr>
    </w:p>
    <w:p w14:paraId="77B250E7" w14:textId="2CAD3358" w:rsidR="009B2067" w:rsidRPr="007E1DF9" w:rsidRDefault="009B2067" w:rsidP="004050A9">
      <w:pPr>
        <w:ind w:left="142"/>
        <w:rPr>
          <w:rFonts w:cs="Calibri"/>
          <w:b/>
          <w:szCs w:val="24"/>
        </w:rPr>
      </w:pPr>
      <w:r>
        <w:rPr>
          <w:rFonts w:cs="Calibri"/>
          <w:b/>
          <w:szCs w:val="24"/>
        </w:rPr>
        <w:lastRenderedPageBreak/>
        <w:t>Procedures</w:t>
      </w:r>
    </w:p>
    <w:p w14:paraId="77B250ED" w14:textId="094AF672" w:rsidR="009B2067" w:rsidRDefault="00D57773" w:rsidP="00A2733F">
      <w:pPr>
        <w:pStyle w:val="ListBullet"/>
        <w:tabs>
          <w:tab w:val="clear" w:pos="1080"/>
        </w:tabs>
        <w:ind w:left="568"/>
      </w:pPr>
      <w:r>
        <w:t>Mental Health Officer Procedure</w:t>
      </w:r>
    </w:p>
    <w:p w14:paraId="1BDD1789" w14:textId="6E4E7A19" w:rsidR="00D57773" w:rsidRDefault="00D57773" w:rsidP="00A2733F">
      <w:pPr>
        <w:pStyle w:val="ListBullet"/>
        <w:tabs>
          <w:tab w:val="clear" w:pos="1080"/>
        </w:tabs>
        <w:ind w:left="568"/>
      </w:pPr>
      <w:r>
        <w:t>Mental Health Officer Guideline</w:t>
      </w:r>
    </w:p>
    <w:p w14:paraId="58B02ED1" w14:textId="5FB3AA80" w:rsidR="00D57773" w:rsidRDefault="00D57773" w:rsidP="00A2733F">
      <w:pPr>
        <w:pStyle w:val="ListBullet"/>
        <w:tabs>
          <w:tab w:val="clear" w:pos="1080"/>
        </w:tabs>
        <w:ind w:left="568"/>
      </w:pPr>
      <w:r>
        <w:t>Adult Mental Health Unit (AHMU)</w:t>
      </w:r>
    </w:p>
    <w:p w14:paraId="5D791831" w14:textId="77777777" w:rsidR="00D57773" w:rsidRDefault="00D57773" w:rsidP="00A2733F">
      <w:pPr>
        <w:pStyle w:val="ListBullet"/>
        <w:tabs>
          <w:tab w:val="clear" w:pos="1080"/>
          <w:tab w:val="num" w:pos="1418"/>
        </w:tabs>
        <w:ind w:left="568"/>
      </w:pPr>
      <w:r>
        <w:t>Care of Persons subject to Forensic Mental Health Orders (FMHOs)</w:t>
      </w:r>
    </w:p>
    <w:p w14:paraId="09A20B23" w14:textId="77777777" w:rsidR="00D57773" w:rsidRDefault="00D57773" w:rsidP="00A2733F">
      <w:pPr>
        <w:pStyle w:val="ListBullet"/>
        <w:tabs>
          <w:tab w:val="clear" w:pos="1080"/>
          <w:tab w:val="num" w:pos="1418"/>
        </w:tabs>
        <w:ind w:left="568"/>
      </w:pPr>
      <w:r>
        <w:t>Care of Persons subject to Psychiatric Treatment Orders (PTO’s with or without a Restriction Order (RO)</w:t>
      </w:r>
    </w:p>
    <w:p w14:paraId="47ADAACF" w14:textId="77777777" w:rsidR="00D57773" w:rsidRDefault="00D57773" w:rsidP="00A2733F">
      <w:pPr>
        <w:pStyle w:val="ListBullet"/>
        <w:tabs>
          <w:tab w:val="clear" w:pos="1080"/>
          <w:tab w:val="num" w:pos="1418"/>
        </w:tabs>
        <w:ind w:left="568"/>
      </w:pPr>
      <w:r>
        <w:t>Emergency Department and Mental Health Interface</w:t>
      </w:r>
    </w:p>
    <w:p w14:paraId="7225BC14" w14:textId="77777777" w:rsidR="00D57773" w:rsidRDefault="00D57773" w:rsidP="00D57773">
      <w:pPr>
        <w:ind w:left="142"/>
        <w:rPr>
          <w:rFonts w:cs="Calibri"/>
          <w:b/>
          <w:szCs w:val="24"/>
        </w:rPr>
      </w:pPr>
    </w:p>
    <w:p w14:paraId="049022B2" w14:textId="77777777" w:rsidR="00D57773" w:rsidRPr="00D57773" w:rsidRDefault="00D57773" w:rsidP="00A2733F">
      <w:pPr>
        <w:ind w:left="142"/>
        <w:rPr>
          <w:b/>
          <w:bCs/>
        </w:rPr>
      </w:pPr>
      <w:r w:rsidRPr="00D57773">
        <w:rPr>
          <w:b/>
          <w:bCs/>
        </w:rPr>
        <w:t>Legislation</w:t>
      </w:r>
    </w:p>
    <w:p w14:paraId="288FA875" w14:textId="55A9ACFB" w:rsidR="00D57773" w:rsidRPr="00D57773" w:rsidRDefault="00D57773" w:rsidP="00D77107">
      <w:pPr>
        <w:pStyle w:val="ListBullet"/>
        <w:tabs>
          <w:tab w:val="clear" w:pos="1080"/>
        </w:tabs>
        <w:ind w:left="568"/>
        <w:rPr>
          <w:i/>
          <w:iCs/>
        </w:rPr>
      </w:pPr>
      <w:r w:rsidRPr="00D57773">
        <w:rPr>
          <w:i/>
          <w:iCs/>
        </w:rPr>
        <w:t>Mental Health ACT 2015</w:t>
      </w:r>
    </w:p>
    <w:p w14:paraId="2A3E6746" w14:textId="53B7050F" w:rsidR="00D57773" w:rsidRPr="00D57773" w:rsidRDefault="00D57773" w:rsidP="00D77107">
      <w:pPr>
        <w:pStyle w:val="ListBullet"/>
        <w:tabs>
          <w:tab w:val="clear" w:pos="1080"/>
        </w:tabs>
        <w:ind w:left="568"/>
        <w:rPr>
          <w:i/>
          <w:iCs/>
        </w:rPr>
      </w:pPr>
      <w:r w:rsidRPr="00D57773">
        <w:rPr>
          <w:i/>
          <w:iCs/>
        </w:rPr>
        <w:t>Human Rights Act 2004</w:t>
      </w:r>
    </w:p>
    <w:p w14:paraId="370CA8F2" w14:textId="4282A0FC" w:rsidR="00D57773" w:rsidRPr="00D57773" w:rsidRDefault="00D57773" w:rsidP="00D77107">
      <w:pPr>
        <w:pStyle w:val="ListBullet"/>
        <w:tabs>
          <w:tab w:val="clear" w:pos="1080"/>
        </w:tabs>
        <w:ind w:left="568"/>
        <w:rPr>
          <w:i/>
          <w:iCs/>
        </w:rPr>
      </w:pPr>
      <w:r w:rsidRPr="00D57773">
        <w:rPr>
          <w:i/>
          <w:iCs/>
        </w:rPr>
        <w:t>Children and Young Person’s Act 2008</w:t>
      </w:r>
    </w:p>
    <w:p w14:paraId="7BBA0E72" w14:textId="08B5CE0E" w:rsidR="00D57773" w:rsidRPr="00D57773" w:rsidRDefault="00D57773" w:rsidP="00D77107">
      <w:pPr>
        <w:pStyle w:val="ListBullet"/>
        <w:tabs>
          <w:tab w:val="clear" w:pos="1080"/>
        </w:tabs>
        <w:ind w:left="568"/>
        <w:rPr>
          <w:i/>
          <w:iCs/>
        </w:rPr>
      </w:pPr>
      <w:r w:rsidRPr="00D57773">
        <w:rPr>
          <w:i/>
          <w:iCs/>
        </w:rPr>
        <w:t>Work Health and Safety Act 2011</w:t>
      </w:r>
    </w:p>
    <w:p w14:paraId="2BC93702" w14:textId="77777777" w:rsidR="00D57773" w:rsidRPr="00D57773" w:rsidRDefault="00D57773" w:rsidP="00D57773">
      <w:pPr>
        <w:ind w:left="720"/>
        <w:rPr>
          <w:rFonts w:cs="Arial"/>
          <w:i/>
          <w:szCs w:val="24"/>
        </w:rPr>
      </w:pPr>
    </w:p>
    <w:p w14:paraId="61500A7C" w14:textId="77777777" w:rsidR="00D57773" w:rsidRPr="00D57773" w:rsidRDefault="00D57773" w:rsidP="00A2733F">
      <w:pPr>
        <w:ind w:left="142"/>
        <w:rPr>
          <w:b/>
          <w:bCs/>
        </w:rPr>
      </w:pPr>
      <w:r w:rsidRPr="00D57773">
        <w:rPr>
          <w:b/>
          <w:bCs/>
        </w:rPr>
        <w:t>Other</w:t>
      </w:r>
    </w:p>
    <w:p w14:paraId="2C6913E9" w14:textId="77777777" w:rsidR="00FC39B0" w:rsidRDefault="00D57773" w:rsidP="00D77107">
      <w:pPr>
        <w:pStyle w:val="ListBullet"/>
        <w:tabs>
          <w:tab w:val="clear" w:pos="1080"/>
        </w:tabs>
        <w:ind w:left="568"/>
      </w:pPr>
      <w:r w:rsidRPr="00D57773">
        <w:t>Australian Charter for Healthcare Rights</w:t>
      </w:r>
    </w:p>
    <w:p w14:paraId="56AF312E" w14:textId="1AF48FAD" w:rsidR="00D57773" w:rsidRPr="00D57773" w:rsidRDefault="00FC39B0" w:rsidP="00D77107">
      <w:pPr>
        <w:pStyle w:val="ListBullet"/>
        <w:tabs>
          <w:tab w:val="clear" w:pos="1080"/>
        </w:tabs>
        <w:ind w:left="568"/>
      </w:pPr>
      <w:r w:rsidRPr="004050A9">
        <w:rPr>
          <w:rFonts w:cs="Calibri"/>
          <w:i/>
          <w:iCs/>
          <w:szCs w:val="24"/>
        </w:rPr>
        <w:t>National Standards for Mental Health Services 201</w:t>
      </w:r>
      <w:r w:rsidR="00BC0DF2">
        <w:rPr>
          <w:rFonts w:cs="Calibri"/>
          <w:i/>
          <w:iCs/>
          <w:szCs w:val="24"/>
        </w:rPr>
        <w:t>7</w:t>
      </w:r>
    </w:p>
    <w:p w14:paraId="77B250F0" w14:textId="77777777" w:rsidR="007B6904" w:rsidRPr="00FF56DD" w:rsidRDefault="007B6904" w:rsidP="007B6904">
      <w:pPr>
        <w:ind w:left="720"/>
        <w:rPr>
          <w:rFonts w:cs="Arial"/>
          <w:i/>
          <w:szCs w:val="24"/>
        </w:rPr>
      </w:pPr>
    </w:p>
    <w:p w14:paraId="77B250F1" w14:textId="77777777" w:rsidR="007B6904" w:rsidRDefault="00026017"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77B250F3" w14:textId="77777777" w:rsidTr="00B21043">
        <w:trPr>
          <w:cantSplit/>
          <w:trHeight w:val="285"/>
        </w:trPr>
        <w:tc>
          <w:tcPr>
            <w:tcW w:w="9158" w:type="dxa"/>
            <w:shd w:val="clear" w:color="auto" w:fill="A6A6A6"/>
          </w:tcPr>
          <w:p w14:paraId="77B250F2" w14:textId="77777777" w:rsidR="007B6904" w:rsidRPr="00CD1C0E" w:rsidRDefault="007B6904" w:rsidP="004213C3">
            <w:pPr>
              <w:pStyle w:val="Heading1"/>
            </w:pPr>
            <w:bookmarkStart w:id="28" w:name="_Toc389473288"/>
            <w:bookmarkStart w:id="29" w:name="_Toc106894183"/>
            <w:r>
              <w:t>References</w:t>
            </w:r>
            <w:bookmarkEnd w:id="28"/>
            <w:bookmarkEnd w:id="29"/>
          </w:p>
        </w:tc>
      </w:tr>
    </w:tbl>
    <w:p w14:paraId="77B250F4" w14:textId="77777777" w:rsidR="001247D6" w:rsidRDefault="001247D6" w:rsidP="009B2067">
      <w:pPr>
        <w:pStyle w:val="Default"/>
        <w:rPr>
          <w:rFonts w:ascii="Calibri" w:hAnsi="Calibri" w:cs="Calibri"/>
          <w:bCs/>
        </w:rPr>
      </w:pPr>
      <w:bookmarkStart w:id="30" w:name="_Toc389131245"/>
    </w:p>
    <w:p w14:paraId="77B250F5" w14:textId="6A00BE9D" w:rsidR="009B2067" w:rsidRDefault="00D57773" w:rsidP="004050A9">
      <w:pPr>
        <w:pStyle w:val="Default"/>
        <w:ind w:left="142"/>
        <w:rPr>
          <w:rFonts w:ascii="Calibri" w:hAnsi="Calibri" w:cs="Calibri"/>
          <w:bCs/>
        </w:rPr>
      </w:pPr>
      <w:r>
        <w:rPr>
          <w:rFonts w:ascii="Calibri" w:hAnsi="Calibri" w:cs="Calibri"/>
          <w:bCs/>
        </w:rPr>
        <w:t xml:space="preserve">NSW Health, 2019.  </w:t>
      </w:r>
      <w:r w:rsidR="009B2067">
        <w:rPr>
          <w:rFonts w:ascii="Calibri" w:hAnsi="Calibri" w:cs="Calibri"/>
          <w:bCs/>
        </w:rPr>
        <w:t>South Eastern Sydney Local Health District Policy: “</w:t>
      </w:r>
      <w:r w:rsidR="009B2067" w:rsidRPr="004C13DF">
        <w:rPr>
          <w:rFonts w:ascii="Calibri" w:hAnsi="Calibri" w:cs="Calibri"/>
          <w:bCs/>
        </w:rPr>
        <w:t>Obtaining a Second Opinion from a Consultant Psychiatrist within Acute Inpatient Mental Health Units</w:t>
      </w:r>
      <w:r w:rsidR="009B2067">
        <w:rPr>
          <w:rFonts w:ascii="Calibri" w:hAnsi="Calibri" w:cs="Calibri"/>
          <w:bCs/>
        </w:rPr>
        <w:t>”</w:t>
      </w:r>
      <w:r>
        <w:rPr>
          <w:rFonts w:ascii="Calibri" w:hAnsi="Calibri" w:cs="Calibri"/>
          <w:bCs/>
        </w:rPr>
        <w:t xml:space="preserve"> accessed at: </w:t>
      </w:r>
      <w:hyperlink r:id="rId11" w:history="1">
        <w:r w:rsidRPr="009D5540">
          <w:rPr>
            <w:rStyle w:val="Hyperlink"/>
            <w:rFonts w:ascii="Calibri" w:hAnsi="Calibri" w:cs="Calibri"/>
            <w:bCs/>
          </w:rPr>
          <w:t>https://www.seslhd.health.nsw.gov.au/sites/default/files/documents/SESLHDPD269%20-%20Second%20Opinion%20from%20a%20Consultant%20Psychiatrist%20within%20Acute%20Inpatient%20Mental%20Health%20Units.pdf</w:t>
        </w:r>
      </w:hyperlink>
      <w:r>
        <w:rPr>
          <w:rFonts w:ascii="Calibri" w:hAnsi="Calibri" w:cs="Calibri"/>
          <w:bCs/>
        </w:rPr>
        <w:t xml:space="preserve"> Accessed on 10/06/2022.</w:t>
      </w:r>
    </w:p>
    <w:bookmarkEnd w:id="30"/>
    <w:p w14:paraId="77B250F6" w14:textId="77777777" w:rsidR="007B6904" w:rsidRDefault="007B6904" w:rsidP="007B6904">
      <w:pPr>
        <w:jc w:val="right"/>
      </w:pPr>
    </w:p>
    <w:p w14:paraId="77B250F7" w14:textId="77777777" w:rsidR="00FF56DD" w:rsidRDefault="00026017" w:rsidP="007B6904">
      <w:pPr>
        <w:jc w:val="right"/>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X="108" w:tblpY="181"/>
        <w:tblW w:w="9158" w:type="dxa"/>
        <w:tblLook w:val="0000" w:firstRow="0" w:lastRow="0" w:firstColumn="0" w:lastColumn="0" w:noHBand="0" w:noVBand="0"/>
      </w:tblPr>
      <w:tblGrid>
        <w:gridCol w:w="9158"/>
      </w:tblGrid>
      <w:tr w:rsidR="00361748" w:rsidRPr="00CD1C0E" w14:paraId="77B250F9" w14:textId="77777777" w:rsidTr="00361748">
        <w:trPr>
          <w:cantSplit/>
          <w:trHeight w:val="285"/>
        </w:trPr>
        <w:tc>
          <w:tcPr>
            <w:tcW w:w="9158" w:type="dxa"/>
            <w:shd w:val="clear" w:color="auto" w:fill="A6A6A6"/>
          </w:tcPr>
          <w:p w14:paraId="77B250F8" w14:textId="77777777" w:rsidR="00361748" w:rsidRPr="00CD1C0E" w:rsidRDefault="00361748" w:rsidP="00361748">
            <w:pPr>
              <w:pStyle w:val="Heading1"/>
            </w:pPr>
            <w:bookmarkStart w:id="31" w:name="_Toc106894184"/>
            <w:r>
              <w:t>Definitions</w:t>
            </w:r>
            <w:bookmarkEnd w:id="31"/>
          </w:p>
        </w:tc>
      </w:tr>
    </w:tbl>
    <w:p w14:paraId="77B250FA" w14:textId="77777777" w:rsidR="00361748" w:rsidRDefault="00361748" w:rsidP="00361748">
      <w:pPr>
        <w:rPr>
          <w:rFonts w:cs="Calibri"/>
          <w:szCs w:val="24"/>
        </w:rPr>
      </w:pPr>
    </w:p>
    <w:p w14:paraId="77B250FB" w14:textId="4425E66C" w:rsidR="00361748" w:rsidRPr="00BA2DF6" w:rsidRDefault="009A7EB1" w:rsidP="004050A9">
      <w:pPr>
        <w:ind w:left="142"/>
        <w:rPr>
          <w:rFonts w:cs="Calibri"/>
          <w:szCs w:val="24"/>
        </w:rPr>
      </w:pPr>
      <w:r w:rsidRPr="00D57773">
        <w:rPr>
          <w:rFonts w:cs="Calibri"/>
          <w:b/>
          <w:bCs/>
          <w:szCs w:val="24"/>
        </w:rPr>
        <w:t>Second Opinion</w:t>
      </w:r>
      <w:r>
        <w:rPr>
          <w:rFonts w:cs="Calibri"/>
          <w:szCs w:val="24"/>
        </w:rPr>
        <w:t xml:space="preserve"> - </w:t>
      </w:r>
      <w:r w:rsidR="00361748" w:rsidRPr="00BA2DF6">
        <w:rPr>
          <w:rFonts w:cs="Calibri"/>
          <w:szCs w:val="24"/>
        </w:rPr>
        <w:t xml:space="preserve">In the context of this </w:t>
      </w:r>
      <w:r w:rsidR="00361748">
        <w:rPr>
          <w:rFonts w:cs="Calibri"/>
          <w:szCs w:val="24"/>
        </w:rPr>
        <w:t>procedure</w:t>
      </w:r>
      <w:r w:rsidR="00361748" w:rsidRPr="00BA2DF6">
        <w:rPr>
          <w:rFonts w:cs="Calibri"/>
          <w:szCs w:val="24"/>
        </w:rPr>
        <w:t xml:space="preserve">, </w:t>
      </w:r>
      <w:r w:rsidR="00361748">
        <w:rPr>
          <w:rFonts w:cs="Calibri"/>
          <w:szCs w:val="24"/>
        </w:rPr>
        <w:t>a</w:t>
      </w:r>
      <w:r w:rsidR="00361748" w:rsidRPr="00BA2DF6">
        <w:rPr>
          <w:rFonts w:cs="Calibri"/>
          <w:szCs w:val="24"/>
        </w:rPr>
        <w:t xml:space="preserve"> </w:t>
      </w:r>
      <w:r w:rsidR="00361748" w:rsidRPr="00BA2DF6">
        <w:rPr>
          <w:rFonts w:cs="Calibri"/>
          <w:i/>
          <w:iCs/>
          <w:szCs w:val="24"/>
        </w:rPr>
        <w:t xml:space="preserve">second opinion </w:t>
      </w:r>
      <w:r w:rsidR="00361748" w:rsidRPr="00BA2DF6">
        <w:rPr>
          <w:rFonts w:cs="Calibri"/>
          <w:szCs w:val="24"/>
        </w:rPr>
        <w:t xml:space="preserve">is defined as a medical opinion provided by a second </w:t>
      </w:r>
      <w:r w:rsidR="00361748">
        <w:rPr>
          <w:rFonts w:cs="Calibri"/>
          <w:szCs w:val="24"/>
        </w:rPr>
        <w:t>Consultant Psychiatrist or receiving</w:t>
      </w:r>
      <w:r w:rsidR="00203861">
        <w:rPr>
          <w:rFonts w:cs="Calibri"/>
          <w:szCs w:val="24"/>
        </w:rPr>
        <w:t>/speciality</w:t>
      </w:r>
      <w:r w:rsidR="00BC0DF2">
        <w:rPr>
          <w:rFonts w:cs="Calibri"/>
          <w:szCs w:val="24"/>
        </w:rPr>
        <w:t xml:space="preserve"> </w:t>
      </w:r>
      <w:r w:rsidR="00361748">
        <w:rPr>
          <w:rFonts w:cs="Calibri"/>
          <w:szCs w:val="24"/>
        </w:rPr>
        <w:t>medical officer</w:t>
      </w:r>
      <w:r w:rsidR="00361748" w:rsidRPr="00BA2DF6">
        <w:rPr>
          <w:rFonts w:cs="Calibri"/>
          <w:szCs w:val="24"/>
        </w:rPr>
        <w:t xml:space="preserve"> subsequent to an initial o</w:t>
      </w:r>
      <w:r w:rsidR="00361748">
        <w:rPr>
          <w:rFonts w:cs="Calibri"/>
          <w:szCs w:val="24"/>
        </w:rPr>
        <w:t>pinion provided by a Consultant/</w:t>
      </w:r>
      <w:r w:rsidR="00361748" w:rsidRPr="00BA2DF6">
        <w:rPr>
          <w:rFonts w:cs="Calibri"/>
          <w:szCs w:val="24"/>
        </w:rPr>
        <w:t xml:space="preserve"> Registrar</w:t>
      </w:r>
      <w:r w:rsidR="00361748">
        <w:rPr>
          <w:rFonts w:cs="Calibri"/>
          <w:szCs w:val="24"/>
        </w:rPr>
        <w:t xml:space="preserve"> (requesting medical officer)</w:t>
      </w:r>
      <w:r w:rsidR="00361748" w:rsidRPr="00BA2DF6">
        <w:rPr>
          <w:rFonts w:cs="Calibri"/>
          <w:szCs w:val="24"/>
        </w:rPr>
        <w:t xml:space="preserve">. </w:t>
      </w:r>
      <w:r w:rsidR="00361748">
        <w:rPr>
          <w:rFonts w:cs="Calibri"/>
          <w:szCs w:val="24"/>
        </w:rPr>
        <w:t xml:space="preserve"> Ideally, the second opinion should be </w:t>
      </w:r>
      <w:r w:rsidR="00361748" w:rsidRPr="00BA2DF6">
        <w:rPr>
          <w:rFonts w:cs="Calibri"/>
          <w:szCs w:val="24"/>
        </w:rPr>
        <w:t xml:space="preserve">obtained with the </w:t>
      </w:r>
      <w:r w:rsidR="00361748">
        <w:rPr>
          <w:rFonts w:cs="Calibri"/>
          <w:szCs w:val="24"/>
        </w:rPr>
        <w:t>person</w:t>
      </w:r>
      <w:r w:rsidR="00361748" w:rsidRPr="00BA2DF6">
        <w:rPr>
          <w:rFonts w:cs="Calibri"/>
          <w:szCs w:val="24"/>
        </w:rPr>
        <w:t xml:space="preserve">’s consent. </w:t>
      </w:r>
    </w:p>
    <w:p w14:paraId="77B250FC" w14:textId="77777777" w:rsidR="00361748" w:rsidRDefault="00361748" w:rsidP="00361748">
      <w:pPr>
        <w:jc w:val="right"/>
      </w:pPr>
    </w:p>
    <w:p w14:paraId="77B250FD" w14:textId="77777777" w:rsidR="00361748" w:rsidRDefault="00026017" w:rsidP="001247D6">
      <w:pPr>
        <w:jc w:val="right"/>
        <w:rPr>
          <w:rFonts w:cs="Arial"/>
          <w:szCs w:val="24"/>
        </w:rPr>
      </w:pPr>
      <w:hyperlink w:anchor="Contents" w:history="1">
        <w:r w:rsidR="00361748" w:rsidRPr="00590902">
          <w:rPr>
            <w:rStyle w:val="Hyperlink"/>
            <w:rFonts w:cs="Arial"/>
            <w:i/>
            <w:szCs w:val="24"/>
          </w:rPr>
          <w:t>Back to Table of Contents</w:t>
        </w:r>
      </w:hyperlink>
    </w:p>
    <w:tbl>
      <w:tblPr>
        <w:tblpPr w:leftFromText="180" w:rightFromText="180" w:vertAnchor="text" w:horzAnchor="margin" w:tblpX="108" w:tblpY="181"/>
        <w:tblW w:w="9158" w:type="dxa"/>
        <w:tblLook w:val="0000" w:firstRow="0" w:lastRow="0" w:firstColumn="0" w:lastColumn="0" w:noHBand="0" w:noVBand="0"/>
      </w:tblPr>
      <w:tblGrid>
        <w:gridCol w:w="9158"/>
      </w:tblGrid>
      <w:tr w:rsidR="001247D6" w:rsidRPr="00CD1C0E" w14:paraId="77B250FF" w14:textId="77777777" w:rsidTr="004D7B51">
        <w:trPr>
          <w:cantSplit/>
          <w:trHeight w:val="285"/>
        </w:trPr>
        <w:tc>
          <w:tcPr>
            <w:tcW w:w="9158" w:type="dxa"/>
            <w:shd w:val="clear" w:color="auto" w:fill="A6A6A6"/>
          </w:tcPr>
          <w:p w14:paraId="77B250FE" w14:textId="77777777" w:rsidR="001247D6" w:rsidRPr="00CD1C0E" w:rsidRDefault="001247D6" w:rsidP="004D7B51">
            <w:pPr>
              <w:pStyle w:val="Heading1"/>
            </w:pPr>
            <w:bookmarkStart w:id="32" w:name="_Toc106894185"/>
            <w:r>
              <w:t>Search Terms</w:t>
            </w:r>
            <w:bookmarkEnd w:id="32"/>
          </w:p>
        </w:tc>
      </w:tr>
    </w:tbl>
    <w:p w14:paraId="77B25100" w14:textId="77777777" w:rsidR="00361748" w:rsidRDefault="00361748" w:rsidP="00FF56DD">
      <w:pPr>
        <w:rPr>
          <w:rFonts w:cs="Arial"/>
          <w:szCs w:val="24"/>
        </w:rPr>
      </w:pPr>
    </w:p>
    <w:p w14:paraId="77B25101" w14:textId="77777777" w:rsidR="001247D6" w:rsidRDefault="001247D6" w:rsidP="004050A9">
      <w:pPr>
        <w:ind w:left="142"/>
        <w:rPr>
          <w:rFonts w:cs="Arial"/>
          <w:szCs w:val="24"/>
        </w:rPr>
      </w:pPr>
      <w:r>
        <w:rPr>
          <w:rFonts w:cs="Arial"/>
          <w:szCs w:val="24"/>
        </w:rPr>
        <w:t>Mental Health, Second, Opinion, Reviews</w:t>
      </w:r>
    </w:p>
    <w:p w14:paraId="77B25102" w14:textId="77777777" w:rsidR="00361748" w:rsidRDefault="00361748" w:rsidP="004050A9">
      <w:pPr>
        <w:ind w:left="142"/>
        <w:rPr>
          <w:rFonts w:cs="Arial"/>
          <w:szCs w:val="24"/>
        </w:rPr>
      </w:pPr>
    </w:p>
    <w:p w14:paraId="676C1F97" w14:textId="77777777" w:rsidR="00A02FA7" w:rsidRPr="00A02FA7" w:rsidRDefault="00A02FA7" w:rsidP="004050A9">
      <w:pPr>
        <w:ind w:left="142"/>
        <w:rPr>
          <w:rFonts w:asciiTheme="minorHAnsi" w:hAnsiTheme="minorHAnsi" w:cstheme="minorHAnsi"/>
          <w:i/>
          <w:iCs/>
          <w:sz w:val="20"/>
        </w:rPr>
      </w:pPr>
      <w:bookmarkStart w:id="33" w:name="_Hlk41299610"/>
      <w:bookmarkStart w:id="34" w:name="_Hlk41300064"/>
      <w:bookmarkStart w:id="35" w:name="_Hlk41300250"/>
      <w:r w:rsidRPr="00A02FA7">
        <w:rPr>
          <w:rFonts w:asciiTheme="minorHAnsi" w:hAnsiTheme="minorHAnsi" w:cstheme="minorHAnsi"/>
          <w:b/>
          <w:sz w:val="20"/>
        </w:rPr>
        <w:t>Disclaimer</w:t>
      </w:r>
      <w:r w:rsidRPr="00A02FA7">
        <w:rPr>
          <w:rFonts w:asciiTheme="minorHAnsi" w:hAnsiTheme="minorHAnsi" w:cstheme="minorHAnsi"/>
          <w:sz w:val="20"/>
        </w:rPr>
        <w:t xml:space="preserve">: </w:t>
      </w:r>
      <w:r w:rsidRPr="00A02FA7">
        <w:rPr>
          <w:rFonts w:asciiTheme="minorHAnsi" w:hAnsiTheme="minorHAnsi" w:cstheme="minorHAnsi"/>
          <w:i/>
          <w:iCs/>
          <w:sz w:val="20"/>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bookmarkEnd w:id="34"/>
    <w:p w14:paraId="3A04E46F" w14:textId="0E2D13AA" w:rsidR="00A02FA7" w:rsidRDefault="00A02FA7" w:rsidP="00A02FA7">
      <w:pPr>
        <w:rPr>
          <w:rFonts w:asciiTheme="minorHAnsi" w:hAnsiTheme="minorHAnsi" w:cstheme="minorHAnsi"/>
          <w:i/>
          <w:iCs/>
          <w:sz w:val="20"/>
        </w:rPr>
      </w:pPr>
    </w:p>
    <w:p w14:paraId="1BB8601C" w14:textId="77777777" w:rsidR="00026017" w:rsidRPr="00A02FA7" w:rsidRDefault="00026017" w:rsidP="00A02FA7">
      <w:pPr>
        <w:rPr>
          <w:rFonts w:asciiTheme="minorHAnsi" w:hAnsiTheme="minorHAnsi" w:cstheme="minorHAnsi"/>
          <w:i/>
          <w:iCs/>
          <w:sz w:val="20"/>
        </w:rPr>
      </w:pPr>
    </w:p>
    <w:p w14:paraId="68BC4479" w14:textId="77777777" w:rsidR="00A02FA7" w:rsidRPr="00A02FA7" w:rsidRDefault="00A02FA7" w:rsidP="00D77107">
      <w:pPr>
        <w:ind w:firstLine="142"/>
        <w:rPr>
          <w:rFonts w:asciiTheme="minorHAnsi" w:hAnsiTheme="minorHAnsi" w:cstheme="minorHAnsi"/>
          <w:i/>
          <w:iCs/>
          <w:sz w:val="20"/>
        </w:rPr>
      </w:pPr>
      <w:r w:rsidRPr="00A02FA7">
        <w:rPr>
          <w:rFonts w:asciiTheme="minorHAnsi" w:hAnsiTheme="minorHAnsi" w:cstheme="minorHAnsi"/>
          <w:i/>
          <w:iCs/>
          <w:sz w:val="20"/>
        </w:rPr>
        <w:t>Policy Team ONLY to complete the following:</w:t>
      </w:r>
    </w:p>
    <w:tbl>
      <w:tblPr>
        <w:tblStyle w:val="TableGrid"/>
        <w:tblW w:w="9072" w:type="dxa"/>
        <w:tblInd w:w="137" w:type="dxa"/>
        <w:tblLook w:val="04A0" w:firstRow="1" w:lastRow="0" w:firstColumn="1" w:lastColumn="0" w:noHBand="0" w:noVBand="1"/>
      </w:tblPr>
      <w:tblGrid>
        <w:gridCol w:w="1843"/>
        <w:gridCol w:w="2410"/>
        <w:gridCol w:w="2696"/>
        <w:gridCol w:w="2123"/>
      </w:tblGrid>
      <w:tr w:rsidR="00A02FA7" w:rsidRPr="00A02FA7" w14:paraId="26CC3E7C" w14:textId="77777777" w:rsidTr="00386AC6">
        <w:tc>
          <w:tcPr>
            <w:tcW w:w="1843" w:type="dxa"/>
          </w:tcPr>
          <w:bookmarkEnd w:id="35"/>
          <w:p w14:paraId="199BC11B" w14:textId="77777777" w:rsidR="00A02FA7" w:rsidRPr="00A02FA7" w:rsidRDefault="00A02FA7" w:rsidP="00B1561D">
            <w:pPr>
              <w:rPr>
                <w:rFonts w:asciiTheme="minorHAnsi" w:hAnsiTheme="minorHAnsi" w:cstheme="minorHAnsi"/>
                <w:i/>
                <w:sz w:val="20"/>
              </w:rPr>
            </w:pPr>
            <w:r w:rsidRPr="00A02FA7">
              <w:rPr>
                <w:rFonts w:asciiTheme="minorHAnsi" w:hAnsiTheme="minorHAnsi" w:cstheme="minorHAnsi"/>
                <w:i/>
                <w:sz w:val="20"/>
              </w:rPr>
              <w:t>Date Amended</w:t>
            </w:r>
          </w:p>
        </w:tc>
        <w:tc>
          <w:tcPr>
            <w:tcW w:w="2410" w:type="dxa"/>
          </w:tcPr>
          <w:p w14:paraId="074BF8E9" w14:textId="77777777" w:rsidR="00A02FA7" w:rsidRPr="00A02FA7" w:rsidRDefault="00A02FA7" w:rsidP="00B1561D">
            <w:pPr>
              <w:rPr>
                <w:rFonts w:asciiTheme="minorHAnsi" w:hAnsiTheme="minorHAnsi" w:cstheme="minorHAnsi"/>
                <w:i/>
                <w:sz w:val="20"/>
              </w:rPr>
            </w:pPr>
            <w:r w:rsidRPr="00A02FA7">
              <w:rPr>
                <w:rFonts w:asciiTheme="minorHAnsi" w:hAnsiTheme="minorHAnsi" w:cstheme="minorHAnsi"/>
                <w:i/>
                <w:sz w:val="20"/>
              </w:rPr>
              <w:t>Section Amended</w:t>
            </w:r>
          </w:p>
        </w:tc>
        <w:tc>
          <w:tcPr>
            <w:tcW w:w="2696" w:type="dxa"/>
          </w:tcPr>
          <w:p w14:paraId="0898BCCB" w14:textId="77777777" w:rsidR="00A02FA7" w:rsidRPr="00A02FA7" w:rsidRDefault="00A02FA7" w:rsidP="00B1561D">
            <w:pPr>
              <w:rPr>
                <w:rFonts w:asciiTheme="minorHAnsi" w:hAnsiTheme="minorHAnsi" w:cstheme="minorHAnsi"/>
                <w:i/>
                <w:sz w:val="20"/>
              </w:rPr>
            </w:pPr>
            <w:r w:rsidRPr="00A02FA7">
              <w:rPr>
                <w:rFonts w:asciiTheme="minorHAnsi" w:hAnsiTheme="minorHAnsi" w:cstheme="minorHAnsi"/>
                <w:i/>
                <w:sz w:val="20"/>
              </w:rPr>
              <w:t>Divisional Approval</w:t>
            </w:r>
          </w:p>
        </w:tc>
        <w:tc>
          <w:tcPr>
            <w:tcW w:w="2123" w:type="dxa"/>
          </w:tcPr>
          <w:p w14:paraId="668F696C" w14:textId="77777777" w:rsidR="00A02FA7" w:rsidRPr="00A02FA7" w:rsidRDefault="00A02FA7" w:rsidP="00B1561D">
            <w:pPr>
              <w:rPr>
                <w:rFonts w:asciiTheme="minorHAnsi" w:hAnsiTheme="minorHAnsi" w:cstheme="minorHAnsi"/>
                <w:i/>
                <w:sz w:val="20"/>
              </w:rPr>
            </w:pPr>
            <w:r w:rsidRPr="00A02FA7">
              <w:rPr>
                <w:rFonts w:asciiTheme="minorHAnsi" w:hAnsiTheme="minorHAnsi" w:cstheme="minorHAnsi"/>
                <w:i/>
                <w:sz w:val="20"/>
              </w:rPr>
              <w:t xml:space="preserve">Final Approval </w:t>
            </w:r>
          </w:p>
        </w:tc>
      </w:tr>
      <w:tr w:rsidR="00A02FA7" w:rsidRPr="00A02FA7" w14:paraId="4D9DCD1B" w14:textId="77777777" w:rsidTr="00386AC6">
        <w:tc>
          <w:tcPr>
            <w:tcW w:w="1843" w:type="dxa"/>
          </w:tcPr>
          <w:p w14:paraId="0485E441" w14:textId="6C39B935" w:rsidR="00A02FA7" w:rsidRPr="00A02FA7" w:rsidRDefault="00386AC6" w:rsidP="00B1561D">
            <w:pPr>
              <w:rPr>
                <w:rFonts w:asciiTheme="minorHAnsi" w:hAnsiTheme="minorHAnsi" w:cstheme="minorHAnsi"/>
                <w:i/>
                <w:sz w:val="20"/>
              </w:rPr>
            </w:pPr>
            <w:r>
              <w:rPr>
                <w:rFonts w:asciiTheme="minorHAnsi" w:hAnsiTheme="minorHAnsi" w:cstheme="minorHAnsi"/>
                <w:i/>
                <w:iCs/>
                <w:sz w:val="20"/>
              </w:rPr>
              <w:t>23 June 2022</w:t>
            </w:r>
          </w:p>
        </w:tc>
        <w:tc>
          <w:tcPr>
            <w:tcW w:w="2410" w:type="dxa"/>
          </w:tcPr>
          <w:p w14:paraId="1F9256D9" w14:textId="35ACBC15" w:rsidR="00A02FA7" w:rsidRPr="00A02FA7" w:rsidRDefault="00386AC6" w:rsidP="00B1561D">
            <w:pPr>
              <w:rPr>
                <w:rFonts w:asciiTheme="minorHAnsi" w:hAnsiTheme="minorHAnsi" w:cstheme="minorHAnsi"/>
                <w:i/>
                <w:sz w:val="20"/>
              </w:rPr>
            </w:pPr>
            <w:r>
              <w:rPr>
                <w:rFonts w:asciiTheme="minorHAnsi" w:hAnsiTheme="minorHAnsi" w:cstheme="minorHAnsi"/>
                <w:i/>
                <w:iCs/>
                <w:sz w:val="20"/>
                <w:lang w:eastAsia="en-AU"/>
              </w:rPr>
              <w:t>Complete Review</w:t>
            </w:r>
          </w:p>
        </w:tc>
        <w:tc>
          <w:tcPr>
            <w:tcW w:w="2696" w:type="dxa"/>
          </w:tcPr>
          <w:p w14:paraId="4C1A9660" w14:textId="7BF9DA5A" w:rsidR="00A02FA7" w:rsidRPr="00A02FA7" w:rsidRDefault="00386AC6" w:rsidP="00B1561D">
            <w:pPr>
              <w:rPr>
                <w:rFonts w:asciiTheme="minorHAnsi" w:hAnsiTheme="minorHAnsi" w:cstheme="minorHAnsi"/>
                <w:i/>
                <w:sz w:val="20"/>
              </w:rPr>
            </w:pPr>
            <w:r>
              <w:rPr>
                <w:rFonts w:asciiTheme="minorHAnsi" w:hAnsiTheme="minorHAnsi" w:cstheme="minorHAnsi"/>
                <w:i/>
                <w:iCs/>
                <w:sz w:val="20"/>
                <w:lang w:eastAsia="en-AU"/>
              </w:rPr>
              <w:t>Katie McKenzie, ED-MHJHADS</w:t>
            </w:r>
          </w:p>
        </w:tc>
        <w:tc>
          <w:tcPr>
            <w:tcW w:w="2123" w:type="dxa"/>
          </w:tcPr>
          <w:p w14:paraId="3307CF05" w14:textId="2467716C" w:rsidR="00A02FA7" w:rsidRPr="00A02FA7" w:rsidRDefault="00386AC6" w:rsidP="00B1561D">
            <w:pPr>
              <w:rPr>
                <w:rFonts w:asciiTheme="minorHAnsi" w:hAnsiTheme="minorHAnsi" w:cstheme="minorHAnsi"/>
                <w:i/>
                <w:sz w:val="20"/>
              </w:rPr>
            </w:pPr>
            <w:r>
              <w:rPr>
                <w:rFonts w:asciiTheme="minorHAnsi" w:hAnsiTheme="minorHAnsi" w:cstheme="minorHAnsi"/>
                <w:i/>
                <w:iCs/>
                <w:sz w:val="20"/>
                <w:lang w:eastAsia="en-AU"/>
              </w:rPr>
              <w:t>CHS Policy Committee</w:t>
            </w:r>
            <w:r w:rsidR="00A02FA7" w:rsidRPr="00A02FA7">
              <w:rPr>
                <w:rFonts w:asciiTheme="minorHAnsi" w:hAnsiTheme="minorHAnsi" w:cstheme="minorHAnsi"/>
                <w:i/>
                <w:iCs/>
                <w:sz w:val="20"/>
                <w:lang w:eastAsia="en-AU"/>
              </w:rPr>
              <w:t xml:space="preserve"> </w:t>
            </w:r>
          </w:p>
        </w:tc>
      </w:tr>
      <w:tr w:rsidR="00A02FA7" w:rsidRPr="00A02FA7" w14:paraId="0F535DFA" w14:textId="77777777" w:rsidTr="00386AC6">
        <w:tc>
          <w:tcPr>
            <w:tcW w:w="1843" w:type="dxa"/>
          </w:tcPr>
          <w:p w14:paraId="39D259EE" w14:textId="77777777" w:rsidR="00A02FA7" w:rsidRPr="00A02FA7" w:rsidRDefault="00A02FA7" w:rsidP="00B1561D">
            <w:pPr>
              <w:rPr>
                <w:rFonts w:asciiTheme="minorHAnsi" w:hAnsiTheme="minorHAnsi" w:cstheme="minorHAnsi"/>
                <w:i/>
                <w:sz w:val="20"/>
              </w:rPr>
            </w:pPr>
          </w:p>
        </w:tc>
        <w:tc>
          <w:tcPr>
            <w:tcW w:w="2410" w:type="dxa"/>
          </w:tcPr>
          <w:p w14:paraId="55D0C020" w14:textId="77777777" w:rsidR="00A02FA7" w:rsidRPr="00A02FA7" w:rsidRDefault="00A02FA7" w:rsidP="00B1561D">
            <w:pPr>
              <w:rPr>
                <w:rFonts w:asciiTheme="minorHAnsi" w:hAnsiTheme="minorHAnsi" w:cstheme="minorHAnsi"/>
                <w:i/>
                <w:sz w:val="20"/>
              </w:rPr>
            </w:pPr>
          </w:p>
        </w:tc>
        <w:tc>
          <w:tcPr>
            <w:tcW w:w="2696" w:type="dxa"/>
          </w:tcPr>
          <w:p w14:paraId="44675C19" w14:textId="77777777" w:rsidR="00A02FA7" w:rsidRPr="00A02FA7" w:rsidRDefault="00A02FA7" w:rsidP="00B1561D">
            <w:pPr>
              <w:rPr>
                <w:rFonts w:asciiTheme="minorHAnsi" w:hAnsiTheme="minorHAnsi" w:cstheme="minorHAnsi"/>
                <w:i/>
                <w:sz w:val="20"/>
              </w:rPr>
            </w:pPr>
          </w:p>
        </w:tc>
        <w:tc>
          <w:tcPr>
            <w:tcW w:w="2123" w:type="dxa"/>
          </w:tcPr>
          <w:p w14:paraId="4C450811" w14:textId="77777777" w:rsidR="00A02FA7" w:rsidRPr="00A02FA7" w:rsidRDefault="00A02FA7" w:rsidP="00B1561D">
            <w:pPr>
              <w:rPr>
                <w:rFonts w:asciiTheme="minorHAnsi" w:hAnsiTheme="minorHAnsi" w:cstheme="minorHAnsi"/>
                <w:i/>
                <w:sz w:val="20"/>
              </w:rPr>
            </w:pPr>
          </w:p>
        </w:tc>
      </w:tr>
    </w:tbl>
    <w:p w14:paraId="0C490595" w14:textId="77777777" w:rsidR="00A02FA7" w:rsidRPr="00A02FA7" w:rsidRDefault="00A02FA7" w:rsidP="00A02FA7">
      <w:pPr>
        <w:rPr>
          <w:rFonts w:asciiTheme="minorHAnsi" w:hAnsiTheme="minorHAnsi" w:cstheme="minorHAnsi"/>
          <w:sz w:val="20"/>
        </w:rPr>
      </w:pPr>
    </w:p>
    <w:p w14:paraId="6867DCB9" w14:textId="77777777" w:rsidR="00A02FA7" w:rsidRPr="00A02FA7" w:rsidRDefault="00A02FA7" w:rsidP="00D77107">
      <w:pPr>
        <w:ind w:firstLine="142"/>
        <w:rPr>
          <w:rFonts w:asciiTheme="minorHAnsi" w:hAnsiTheme="minorHAnsi" w:cstheme="minorHAnsi"/>
          <w:i/>
          <w:sz w:val="20"/>
        </w:rPr>
      </w:pPr>
      <w:bookmarkStart w:id="36" w:name="_Hlk41303832"/>
      <w:r w:rsidRPr="00A02FA7">
        <w:rPr>
          <w:rFonts w:asciiTheme="minorHAnsi" w:hAnsiTheme="minorHAnsi" w:cstheme="minorHAnsi"/>
          <w:i/>
          <w:sz w:val="20"/>
        </w:rPr>
        <w:t xml:space="preserve">This document supersedes the following: </w:t>
      </w:r>
    </w:p>
    <w:tbl>
      <w:tblPr>
        <w:tblStyle w:val="TableGrid"/>
        <w:tblW w:w="9072" w:type="dxa"/>
        <w:tblInd w:w="137" w:type="dxa"/>
        <w:tblLook w:val="04A0" w:firstRow="1" w:lastRow="0" w:firstColumn="1" w:lastColumn="0" w:noHBand="0" w:noVBand="1"/>
      </w:tblPr>
      <w:tblGrid>
        <w:gridCol w:w="1843"/>
        <w:gridCol w:w="7229"/>
      </w:tblGrid>
      <w:tr w:rsidR="00A02FA7" w:rsidRPr="00A02FA7" w14:paraId="0293C9C9" w14:textId="77777777" w:rsidTr="00386AC6">
        <w:tc>
          <w:tcPr>
            <w:tcW w:w="1843" w:type="dxa"/>
          </w:tcPr>
          <w:p w14:paraId="738B9CDD" w14:textId="77777777" w:rsidR="00A02FA7" w:rsidRPr="00A02FA7" w:rsidRDefault="00A02FA7" w:rsidP="00B1561D">
            <w:pPr>
              <w:rPr>
                <w:rFonts w:asciiTheme="minorHAnsi" w:hAnsiTheme="minorHAnsi" w:cstheme="minorHAnsi"/>
                <w:i/>
                <w:sz w:val="20"/>
              </w:rPr>
            </w:pPr>
            <w:r w:rsidRPr="00A02FA7">
              <w:rPr>
                <w:rFonts w:asciiTheme="minorHAnsi" w:hAnsiTheme="minorHAnsi" w:cstheme="minorHAnsi"/>
                <w:i/>
                <w:sz w:val="20"/>
              </w:rPr>
              <w:t>Document Number</w:t>
            </w:r>
          </w:p>
        </w:tc>
        <w:tc>
          <w:tcPr>
            <w:tcW w:w="7229" w:type="dxa"/>
          </w:tcPr>
          <w:p w14:paraId="4E0DCD8F" w14:textId="77777777" w:rsidR="00A02FA7" w:rsidRPr="00A02FA7" w:rsidRDefault="00A02FA7" w:rsidP="00B1561D">
            <w:pPr>
              <w:rPr>
                <w:rFonts w:asciiTheme="minorHAnsi" w:hAnsiTheme="minorHAnsi" w:cstheme="minorHAnsi"/>
                <w:i/>
                <w:sz w:val="20"/>
              </w:rPr>
            </w:pPr>
            <w:r w:rsidRPr="00A02FA7">
              <w:rPr>
                <w:rFonts w:asciiTheme="minorHAnsi" w:hAnsiTheme="minorHAnsi" w:cstheme="minorHAnsi"/>
                <w:i/>
                <w:sz w:val="20"/>
              </w:rPr>
              <w:t>Document Name</w:t>
            </w:r>
          </w:p>
        </w:tc>
      </w:tr>
      <w:tr w:rsidR="00A02FA7" w:rsidRPr="00A02FA7" w14:paraId="3BF17EE2" w14:textId="77777777" w:rsidTr="00386AC6">
        <w:tc>
          <w:tcPr>
            <w:tcW w:w="1843" w:type="dxa"/>
          </w:tcPr>
          <w:p w14:paraId="7AB0C788" w14:textId="0882A45F" w:rsidR="00A02FA7" w:rsidRPr="00A02FA7" w:rsidRDefault="00F442E6" w:rsidP="00B1561D">
            <w:pPr>
              <w:rPr>
                <w:rFonts w:asciiTheme="minorHAnsi" w:hAnsiTheme="minorHAnsi" w:cstheme="minorHAnsi"/>
                <w:i/>
                <w:sz w:val="20"/>
              </w:rPr>
            </w:pPr>
            <w:r>
              <w:rPr>
                <w:rFonts w:asciiTheme="minorHAnsi" w:hAnsiTheme="minorHAnsi" w:cstheme="minorHAnsi"/>
                <w:i/>
                <w:sz w:val="20"/>
              </w:rPr>
              <w:t>CHHS16/035</w:t>
            </w:r>
          </w:p>
        </w:tc>
        <w:tc>
          <w:tcPr>
            <w:tcW w:w="7229" w:type="dxa"/>
          </w:tcPr>
          <w:p w14:paraId="6AE3B05B" w14:textId="42B96B1E" w:rsidR="00A02FA7" w:rsidRPr="00A02FA7" w:rsidRDefault="00F442E6" w:rsidP="00B1561D">
            <w:pPr>
              <w:rPr>
                <w:rFonts w:asciiTheme="minorHAnsi" w:hAnsiTheme="minorHAnsi" w:cstheme="minorHAnsi"/>
                <w:i/>
                <w:sz w:val="20"/>
              </w:rPr>
            </w:pPr>
            <w:r>
              <w:rPr>
                <w:rFonts w:asciiTheme="minorHAnsi" w:hAnsiTheme="minorHAnsi" w:cstheme="minorHAnsi"/>
                <w:i/>
                <w:sz w:val="20"/>
              </w:rPr>
              <w:t>Second Opinion Reviews in Mental Health Services</w:t>
            </w:r>
          </w:p>
        </w:tc>
      </w:tr>
      <w:tr w:rsidR="00A02FA7" w:rsidRPr="00A02FA7" w14:paraId="2E5BA6A6" w14:textId="77777777" w:rsidTr="00386AC6">
        <w:tc>
          <w:tcPr>
            <w:tcW w:w="1843" w:type="dxa"/>
          </w:tcPr>
          <w:p w14:paraId="3A9D6644" w14:textId="77777777" w:rsidR="00A02FA7" w:rsidRPr="00A02FA7" w:rsidRDefault="00A02FA7" w:rsidP="00B1561D">
            <w:pPr>
              <w:rPr>
                <w:rFonts w:asciiTheme="minorHAnsi" w:hAnsiTheme="minorHAnsi" w:cstheme="minorHAnsi"/>
                <w:i/>
                <w:sz w:val="20"/>
              </w:rPr>
            </w:pPr>
          </w:p>
        </w:tc>
        <w:tc>
          <w:tcPr>
            <w:tcW w:w="7229" w:type="dxa"/>
          </w:tcPr>
          <w:p w14:paraId="43690117" w14:textId="77777777" w:rsidR="00A02FA7" w:rsidRPr="00A02FA7" w:rsidRDefault="00A02FA7" w:rsidP="00B1561D">
            <w:pPr>
              <w:rPr>
                <w:rFonts w:asciiTheme="minorHAnsi" w:hAnsiTheme="minorHAnsi" w:cstheme="minorHAnsi"/>
                <w:i/>
                <w:sz w:val="20"/>
              </w:rPr>
            </w:pPr>
          </w:p>
        </w:tc>
      </w:tr>
      <w:bookmarkEnd w:id="33"/>
      <w:bookmarkEnd w:id="36"/>
    </w:tbl>
    <w:p w14:paraId="77B25111" w14:textId="77777777" w:rsidR="00395E36" w:rsidRDefault="00395E36" w:rsidP="00A02FA7">
      <w:pPr>
        <w:rPr>
          <w:rFonts w:cs="Arial"/>
          <w:szCs w:val="24"/>
        </w:rPr>
      </w:pPr>
    </w:p>
    <w:sectPr w:rsidR="00395E36" w:rsidSect="004213C3">
      <w:headerReference w:type="default" r:id="rId12"/>
      <w:footerReference w:type="default" r:id="rId13"/>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25114" w14:textId="77777777" w:rsidR="00B64E37" w:rsidRDefault="00B64E37" w:rsidP="00F66CB0">
      <w:r>
        <w:separator/>
      </w:r>
    </w:p>
  </w:endnote>
  <w:endnote w:type="continuationSeparator" w:id="0">
    <w:p w14:paraId="77B25115" w14:textId="77777777" w:rsidR="00B64E37" w:rsidRDefault="00B64E37"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08"/>
      <w:gridCol w:w="1405"/>
      <w:gridCol w:w="968"/>
      <w:gridCol w:w="1535"/>
      <w:gridCol w:w="1445"/>
      <w:gridCol w:w="1754"/>
      <w:gridCol w:w="1753"/>
      <w:gridCol w:w="102"/>
    </w:tblGrid>
    <w:tr w:rsidR="009A7EB1" w:rsidRPr="00AE7C5C" w14:paraId="77B25120" w14:textId="77777777" w:rsidTr="004213C3">
      <w:tc>
        <w:tcPr>
          <w:tcW w:w="1541" w:type="dxa"/>
          <w:gridSpan w:val="2"/>
        </w:tcPr>
        <w:p w14:paraId="77B2511A" w14:textId="77777777" w:rsidR="009A7EB1" w:rsidRPr="00B3752F" w:rsidRDefault="009A7EB1" w:rsidP="004213C3">
          <w:pPr>
            <w:pStyle w:val="Footer"/>
            <w:rPr>
              <w:rFonts w:cs="Arial"/>
              <w:b/>
              <w:bCs/>
              <w:i/>
              <w:sz w:val="20"/>
            </w:rPr>
          </w:pPr>
          <w:r w:rsidRPr="00B3752F">
            <w:rPr>
              <w:rFonts w:cs="Arial"/>
              <w:b/>
              <w:bCs/>
              <w:i/>
              <w:sz w:val="20"/>
            </w:rPr>
            <w:t>Doc Number</w:t>
          </w:r>
        </w:p>
      </w:tc>
      <w:tc>
        <w:tcPr>
          <w:tcW w:w="977" w:type="dxa"/>
        </w:tcPr>
        <w:p w14:paraId="77B2511B" w14:textId="77777777" w:rsidR="009A7EB1" w:rsidRPr="00B3752F" w:rsidRDefault="009A7EB1" w:rsidP="004213C3">
          <w:pPr>
            <w:pStyle w:val="Footer"/>
            <w:rPr>
              <w:rFonts w:cs="Arial"/>
              <w:b/>
              <w:bCs/>
              <w:i/>
              <w:sz w:val="20"/>
            </w:rPr>
          </w:pPr>
          <w:r w:rsidRPr="00B3752F">
            <w:rPr>
              <w:rFonts w:cs="Arial"/>
              <w:b/>
              <w:bCs/>
              <w:i/>
              <w:sz w:val="20"/>
            </w:rPr>
            <w:t>Version</w:t>
          </w:r>
        </w:p>
      </w:tc>
      <w:tc>
        <w:tcPr>
          <w:tcW w:w="1560" w:type="dxa"/>
        </w:tcPr>
        <w:p w14:paraId="77B2511C" w14:textId="77777777" w:rsidR="009A7EB1" w:rsidRPr="00B3752F" w:rsidRDefault="009A7EB1" w:rsidP="004213C3">
          <w:pPr>
            <w:pStyle w:val="Footer"/>
            <w:rPr>
              <w:rFonts w:cs="Arial"/>
              <w:b/>
              <w:bCs/>
              <w:i/>
              <w:sz w:val="20"/>
            </w:rPr>
          </w:pPr>
          <w:r w:rsidRPr="00B3752F">
            <w:rPr>
              <w:rFonts w:cs="Arial"/>
              <w:b/>
              <w:bCs/>
              <w:i/>
              <w:sz w:val="20"/>
            </w:rPr>
            <w:t>Issued</w:t>
          </w:r>
        </w:p>
      </w:tc>
      <w:tc>
        <w:tcPr>
          <w:tcW w:w="1464" w:type="dxa"/>
        </w:tcPr>
        <w:p w14:paraId="77B2511D" w14:textId="77777777" w:rsidR="009A7EB1" w:rsidRPr="00B3752F" w:rsidRDefault="009A7EB1" w:rsidP="004213C3">
          <w:pPr>
            <w:pStyle w:val="Footer"/>
            <w:rPr>
              <w:rFonts w:cs="Arial"/>
              <w:b/>
              <w:bCs/>
              <w:i/>
              <w:sz w:val="20"/>
            </w:rPr>
          </w:pPr>
          <w:r w:rsidRPr="00B3752F">
            <w:rPr>
              <w:rFonts w:cs="Arial"/>
              <w:b/>
              <w:bCs/>
              <w:i/>
              <w:sz w:val="20"/>
            </w:rPr>
            <w:t>Review Date</w:t>
          </w:r>
        </w:p>
      </w:tc>
      <w:tc>
        <w:tcPr>
          <w:tcW w:w="1796" w:type="dxa"/>
        </w:tcPr>
        <w:p w14:paraId="77B2511E" w14:textId="77777777" w:rsidR="009A7EB1" w:rsidRPr="00B3752F" w:rsidRDefault="009A7EB1" w:rsidP="004213C3">
          <w:pPr>
            <w:pStyle w:val="Footer"/>
            <w:rPr>
              <w:rFonts w:cs="Arial"/>
              <w:b/>
              <w:bCs/>
              <w:i/>
              <w:sz w:val="20"/>
            </w:rPr>
          </w:pPr>
          <w:r w:rsidRPr="00B3752F">
            <w:rPr>
              <w:rFonts w:cs="Arial"/>
              <w:b/>
              <w:bCs/>
              <w:i/>
              <w:sz w:val="20"/>
            </w:rPr>
            <w:t>Area Responsible</w:t>
          </w:r>
        </w:p>
      </w:tc>
      <w:tc>
        <w:tcPr>
          <w:tcW w:w="1948" w:type="dxa"/>
          <w:gridSpan w:val="2"/>
        </w:tcPr>
        <w:p w14:paraId="77B2511F" w14:textId="77777777" w:rsidR="009A7EB1" w:rsidRPr="00B3752F" w:rsidRDefault="009A7EB1" w:rsidP="004213C3">
          <w:pPr>
            <w:pStyle w:val="Footer"/>
            <w:rPr>
              <w:rFonts w:cs="Arial"/>
              <w:b/>
              <w:bCs/>
              <w:i/>
              <w:sz w:val="20"/>
            </w:rPr>
          </w:pPr>
          <w:r w:rsidRPr="00B3752F">
            <w:rPr>
              <w:rFonts w:cs="Arial"/>
              <w:b/>
              <w:bCs/>
              <w:i/>
              <w:sz w:val="20"/>
            </w:rPr>
            <w:t>Page</w:t>
          </w:r>
        </w:p>
      </w:tc>
    </w:tr>
    <w:tr w:rsidR="009A7EB1" w14:paraId="77B25127" w14:textId="77777777" w:rsidTr="004213C3">
      <w:tc>
        <w:tcPr>
          <w:tcW w:w="1541" w:type="dxa"/>
          <w:gridSpan w:val="2"/>
        </w:tcPr>
        <w:p w14:paraId="77B25121" w14:textId="661E417C" w:rsidR="009A7EB1" w:rsidRPr="00542EE6" w:rsidRDefault="006101F9" w:rsidP="004213C3">
          <w:pPr>
            <w:pStyle w:val="Footer"/>
            <w:rPr>
              <w:rFonts w:cs="Arial"/>
              <w:b/>
              <w:bCs/>
              <w:sz w:val="20"/>
            </w:rPr>
          </w:pPr>
          <w:r>
            <w:rPr>
              <w:b/>
              <w:sz w:val="20"/>
            </w:rPr>
            <w:t>CHS</w:t>
          </w:r>
          <w:r w:rsidR="00A87186">
            <w:rPr>
              <w:b/>
              <w:sz w:val="20"/>
            </w:rPr>
            <w:t>22/267</w:t>
          </w:r>
        </w:p>
      </w:tc>
      <w:tc>
        <w:tcPr>
          <w:tcW w:w="977" w:type="dxa"/>
        </w:tcPr>
        <w:p w14:paraId="77B25122" w14:textId="77777777" w:rsidR="009A7EB1" w:rsidRPr="00B3752F" w:rsidRDefault="006101F9" w:rsidP="004213C3">
          <w:pPr>
            <w:pStyle w:val="Footer"/>
            <w:rPr>
              <w:rFonts w:cs="Arial"/>
              <w:b/>
              <w:bCs/>
              <w:sz w:val="20"/>
            </w:rPr>
          </w:pPr>
          <w:r>
            <w:rPr>
              <w:rFonts w:cs="Arial"/>
              <w:b/>
              <w:bCs/>
              <w:sz w:val="20"/>
            </w:rPr>
            <w:t>1</w:t>
          </w:r>
        </w:p>
      </w:tc>
      <w:tc>
        <w:tcPr>
          <w:tcW w:w="1560" w:type="dxa"/>
        </w:tcPr>
        <w:p w14:paraId="77B25123" w14:textId="3A703890" w:rsidR="009A7EB1" w:rsidRPr="00B3752F" w:rsidRDefault="00A87186" w:rsidP="004213C3">
          <w:pPr>
            <w:pStyle w:val="Footer"/>
            <w:rPr>
              <w:rFonts w:cs="Arial"/>
              <w:b/>
              <w:bCs/>
              <w:sz w:val="20"/>
            </w:rPr>
          </w:pPr>
          <w:r>
            <w:rPr>
              <w:rFonts w:cs="Arial"/>
              <w:b/>
              <w:bCs/>
              <w:sz w:val="20"/>
            </w:rPr>
            <w:t>23/06/2022</w:t>
          </w:r>
        </w:p>
      </w:tc>
      <w:tc>
        <w:tcPr>
          <w:tcW w:w="1464" w:type="dxa"/>
        </w:tcPr>
        <w:p w14:paraId="77B25124" w14:textId="05A0ACF3" w:rsidR="009A7EB1" w:rsidRPr="00B3752F" w:rsidRDefault="00A87186" w:rsidP="004213C3">
          <w:pPr>
            <w:pStyle w:val="Footer"/>
            <w:rPr>
              <w:rFonts w:cs="Arial"/>
              <w:b/>
              <w:bCs/>
              <w:sz w:val="20"/>
            </w:rPr>
          </w:pPr>
          <w:r>
            <w:rPr>
              <w:rFonts w:cs="Arial"/>
              <w:b/>
              <w:bCs/>
              <w:sz w:val="20"/>
            </w:rPr>
            <w:t>01/07/2027</w:t>
          </w:r>
        </w:p>
      </w:tc>
      <w:tc>
        <w:tcPr>
          <w:tcW w:w="1796" w:type="dxa"/>
        </w:tcPr>
        <w:p w14:paraId="77B25125" w14:textId="77777777" w:rsidR="009A7EB1" w:rsidRPr="00B3752F" w:rsidRDefault="006101F9" w:rsidP="004213C3">
          <w:pPr>
            <w:pStyle w:val="Footer"/>
            <w:rPr>
              <w:rFonts w:cs="Arial"/>
              <w:b/>
              <w:bCs/>
              <w:sz w:val="20"/>
            </w:rPr>
          </w:pPr>
          <w:r>
            <w:rPr>
              <w:rFonts w:cs="Arial"/>
              <w:b/>
              <w:bCs/>
              <w:sz w:val="20"/>
            </w:rPr>
            <w:t>MHJHADS</w:t>
          </w:r>
        </w:p>
      </w:tc>
      <w:tc>
        <w:tcPr>
          <w:tcW w:w="1948" w:type="dxa"/>
          <w:gridSpan w:val="2"/>
        </w:tcPr>
        <w:p w14:paraId="77B25126" w14:textId="77777777" w:rsidR="009A7EB1" w:rsidRPr="00B3752F" w:rsidRDefault="00A44B97" w:rsidP="004213C3">
          <w:pPr>
            <w:pStyle w:val="Footer"/>
            <w:rPr>
              <w:sz w:val="20"/>
            </w:rPr>
          </w:pPr>
          <w:r w:rsidRPr="00B3752F">
            <w:rPr>
              <w:rStyle w:val="PageNumber"/>
              <w:sz w:val="20"/>
            </w:rPr>
            <w:fldChar w:fldCharType="begin"/>
          </w:r>
          <w:r w:rsidR="009A7EB1" w:rsidRPr="00B3752F">
            <w:rPr>
              <w:rStyle w:val="PageNumber"/>
              <w:sz w:val="20"/>
            </w:rPr>
            <w:instrText xml:space="preserve"> PAGE </w:instrText>
          </w:r>
          <w:r w:rsidRPr="00B3752F">
            <w:rPr>
              <w:rStyle w:val="PageNumber"/>
              <w:sz w:val="20"/>
            </w:rPr>
            <w:fldChar w:fldCharType="separate"/>
          </w:r>
          <w:r w:rsidR="00D11564">
            <w:rPr>
              <w:rStyle w:val="PageNumber"/>
              <w:noProof/>
              <w:sz w:val="20"/>
            </w:rPr>
            <w:t>5</w:t>
          </w:r>
          <w:r w:rsidRPr="00B3752F">
            <w:rPr>
              <w:rStyle w:val="PageNumber"/>
              <w:sz w:val="20"/>
            </w:rPr>
            <w:fldChar w:fldCharType="end"/>
          </w:r>
          <w:r w:rsidR="009A7EB1" w:rsidRPr="00B3752F">
            <w:rPr>
              <w:rStyle w:val="PageNumber"/>
              <w:sz w:val="20"/>
            </w:rPr>
            <w:t xml:space="preserve"> of </w:t>
          </w:r>
          <w:r w:rsidRPr="00B3752F">
            <w:rPr>
              <w:rStyle w:val="PageNumber"/>
              <w:sz w:val="20"/>
            </w:rPr>
            <w:fldChar w:fldCharType="begin"/>
          </w:r>
          <w:r w:rsidR="009A7EB1" w:rsidRPr="00B3752F">
            <w:rPr>
              <w:rStyle w:val="PageNumber"/>
              <w:sz w:val="20"/>
            </w:rPr>
            <w:instrText xml:space="preserve"> NUMPAGES </w:instrText>
          </w:r>
          <w:r w:rsidRPr="00B3752F">
            <w:rPr>
              <w:rStyle w:val="PageNumber"/>
              <w:sz w:val="20"/>
            </w:rPr>
            <w:fldChar w:fldCharType="separate"/>
          </w:r>
          <w:r w:rsidR="00D11564">
            <w:rPr>
              <w:rStyle w:val="PageNumber"/>
              <w:noProof/>
              <w:sz w:val="20"/>
            </w:rPr>
            <w:t>5</w:t>
          </w:r>
          <w:r w:rsidRPr="00B3752F">
            <w:rPr>
              <w:rStyle w:val="PageNumber"/>
              <w:sz w:val="20"/>
            </w:rPr>
            <w:fldChar w:fldCharType="end"/>
          </w:r>
        </w:p>
      </w:tc>
    </w:tr>
    <w:tr w:rsidR="00476616" w:rsidRPr="00476616" w14:paraId="03786EC4" w14:textId="77777777" w:rsidTr="00184A11">
      <w:trPr>
        <w:gridBefore w:val="1"/>
        <w:gridAfter w:val="1"/>
        <w:wBefore w:w="108" w:type="dxa"/>
        <w:wAfter w:w="108" w:type="dxa"/>
        <w:trHeight w:val="231"/>
      </w:trPr>
      <w:tc>
        <w:tcPr>
          <w:tcW w:w="9070" w:type="dxa"/>
          <w:gridSpan w:val="6"/>
          <w:tcBorders>
            <w:top w:val="single" w:sz="4" w:space="0" w:color="auto"/>
            <w:left w:val="single" w:sz="4" w:space="0" w:color="auto"/>
            <w:bottom w:val="single" w:sz="4" w:space="0" w:color="auto"/>
            <w:right w:val="single" w:sz="4" w:space="0" w:color="auto"/>
          </w:tcBorders>
        </w:tcPr>
        <w:p w14:paraId="46AA046C" w14:textId="5BBFE506" w:rsidR="00476616" w:rsidRPr="00476616" w:rsidRDefault="00476616" w:rsidP="00476616">
          <w:pPr>
            <w:tabs>
              <w:tab w:val="center" w:pos="4153"/>
              <w:tab w:val="right" w:pos="8306"/>
            </w:tabs>
            <w:jc w:val="center"/>
            <w:rPr>
              <w:sz w:val="16"/>
              <w:szCs w:val="16"/>
            </w:rPr>
          </w:pPr>
          <w:r w:rsidRPr="00476616">
            <w:rPr>
              <w:sz w:val="16"/>
              <w:szCs w:val="16"/>
            </w:rPr>
            <w:t xml:space="preserve">Do not refer to a paper based copy of this policy document. The most current version can be found on the </w:t>
          </w:r>
          <w:r w:rsidR="0061491F">
            <w:rPr>
              <w:sz w:val="16"/>
              <w:szCs w:val="16"/>
            </w:rPr>
            <w:t>CHS</w:t>
          </w:r>
          <w:r w:rsidRPr="00476616">
            <w:rPr>
              <w:sz w:val="16"/>
              <w:szCs w:val="16"/>
            </w:rPr>
            <w:t xml:space="preserve"> Policy Register</w:t>
          </w:r>
        </w:p>
      </w:tc>
    </w:tr>
  </w:tbl>
  <w:p w14:paraId="77B25129" w14:textId="77777777" w:rsidR="009A7EB1" w:rsidRPr="00AE7C5C" w:rsidRDefault="009A7EB1" w:rsidP="00421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25112" w14:textId="77777777" w:rsidR="00B64E37" w:rsidRDefault="00B64E37" w:rsidP="00F66CB0">
      <w:r>
        <w:separator/>
      </w:r>
    </w:p>
  </w:footnote>
  <w:footnote w:type="continuationSeparator" w:id="0">
    <w:p w14:paraId="77B25113" w14:textId="77777777" w:rsidR="00B64E37" w:rsidRDefault="00B64E37"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5544"/>
      <w:gridCol w:w="3526"/>
    </w:tblGrid>
    <w:tr w:rsidR="009A7EB1" w14:paraId="77B25118" w14:textId="77777777" w:rsidTr="00E477E7">
      <w:trPr>
        <w:trHeight w:val="1418"/>
      </w:trPr>
      <w:tc>
        <w:tcPr>
          <w:tcW w:w="5556" w:type="dxa"/>
          <w:vAlign w:val="center"/>
          <w:hideMark/>
        </w:tcPr>
        <w:p w14:paraId="77B25116" w14:textId="2700FF06" w:rsidR="009A7EB1" w:rsidRPr="009D459B" w:rsidRDefault="0061491F" w:rsidP="00E477E7">
          <w:pPr>
            <w:pStyle w:val="Header"/>
            <w:rPr>
              <w:sz w:val="20"/>
              <w:lang w:eastAsia="en-AU"/>
            </w:rPr>
          </w:pPr>
          <w:r>
            <w:rPr>
              <w:noProof/>
              <w:sz w:val="20"/>
            </w:rPr>
            <w:drawing>
              <wp:inline distT="0" distB="0" distL="0" distR="0" wp14:anchorId="6C4461F8" wp14:editId="166F4A4D">
                <wp:extent cx="3295650" cy="723900"/>
                <wp:effectExtent l="0" t="0" r="0" b="0"/>
                <wp:docPr id="6" name="Picture 6"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77B25117" w14:textId="0781AB2C" w:rsidR="009A7EB1" w:rsidRPr="009D459B" w:rsidRDefault="00A87186" w:rsidP="009D459B">
          <w:pPr>
            <w:pStyle w:val="Header"/>
            <w:tabs>
              <w:tab w:val="left" w:pos="720"/>
            </w:tabs>
            <w:jc w:val="right"/>
            <w:rPr>
              <w:sz w:val="20"/>
              <w:lang w:eastAsia="en-AU"/>
            </w:rPr>
          </w:pPr>
          <w:bookmarkStart w:id="37" w:name="_top"/>
          <w:bookmarkEnd w:id="37"/>
          <w:r>
            <w:rPr>
              <w:sz w:val="20"/>
              <w:lang w:eastAsia="en-AU"/>
            </w:rPr>
            <w:t>CHS22/267</w:t>
          </w:r>
        </w:p>
      </w:tc>
    </w:tr>
  </w:tbl>
  <w:p w14:paraId="77B25119" w14:textId="77777777" w:rsidR="009A7EB1" w:rsidRPr="00FC3538" w:rsidRDefault="009A7EB1">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7D442C2"/>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8FE32EA"/>
    <w:multiLevelType w:val="multilevel"/>
    <w:tmpl w:val="C75A8072"/>
    <w:lvl w:ilvl="0">
      <w:start w:val="1"/>
      <w:numFmt w:val="decimal"/>
      <w:lvlText w:val="%1."/>
      <w:lvlJc w:val="left"/>
      <w:pPr>
        <w:ind w:left="720" w:hanging="360"/>
      </w:pPr>
      <w:rPr>
        <w:rFonts w:hint="default"/>
        <w:b/>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E3E0B7A"/>
    <w:multiLevelType w:val="hybridMultilevel"/>
    <w:tmpl w:val="D3DC3E2E"/>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4"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C468D2"/>
    <w:multiLevelType w:val="multilevel"/>
    <w:tmpl w:val="FFBECA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0310812"/>
    <w:multiLevelType w:val="multilevel"/>
    <w:tmpl w:val="DE923530"/>
    <w:lvl w:ilvl="0">
      <w:start w:val="2"/>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A905BED"/>
    <w:multiLevelType w:val="hybridMultilevel"/>
    <w:tmpl w:val="B2BC47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D8E30B3"/>
    <w:multiLevelType w:val="hybridMultilevel"/>
    <w:tmpl w:val="FF6A406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01472B4"/>
    <w:multiLevelType w:val="hybridMultilevel"/>
    <w:tmpl w:val="7E4474CE"/>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1" w15:restartNumberingAfterBreak="0">
    <w:nsid w:val="4A8046CF"/>
    <w:multiLevelType w:val="hybridMultilevel"/>
    <w:tmpl w:val="DC264C0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2" w15:restartNumberingAfterBreak="0">
    <w:nsid w:val="582433A3"/>
    <w:multiLevelType w:val="multilevel"/>
    <w:tmpl w:val="4FE218E8"/>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67F02D60"/>
    <w:multiLevelType w:val="hybridMultilevel"/>
    <w:tmpl w:val="EBE69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C47411E"/>
    <w:multiLevelType w:val="hybridMultilevel"/>
    <w:tmpl w:val="7FDC8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5CA23D4"/>
    <w:multiLevelType w:val="hybridMultilevel"/>
    <w:tmpl w:val="8ACC26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16"/>
  </w:num>
  <w:num w:numId="4">
    <w:abstractNumId w:val="4"/>
  </w:num>
  <w:num w:numId="5">
    <w:abstractNumId w:val="5"/>
  </w:num>
  <w:num w:numId="6">
    <w:abstractNumId w:val="17"/>
  </w:num>
  <w:num w:numId="7">
    <w:abstractNumId w:val="3"/>
  </w:num>
  <w:num w:numId="8">
    <w:abstractNumId w:val="7"/>
  </w:num>
  <w:num w:numId="9">
    <w:abstractNumId w:val="9"/>
  </w:num>
  <w:num w:numId="10">
    <w:abstractNumId w:val="6"/>
  </w:num>
  <w:num w:numId="11">
    <w:abstractNumId w:val="8"/>
  </w:num>
  <w:num w:numId="12">
    <w:abstractNumId w:val="11"/>
  </w:num>
  <w:num w:numId="13">
    <w:abstractNumId w:val="2"/>
  </w:num>
  <w:num w:numId="14">
    <w:abstractNumId w:val="12"/>
  </w:num>
  <w:num w:numId="15">
    <w:abstractNumId w:val="14"/>
  </w:num>
  <w:num w:numId="16">
    <w:abstractNumId w:val="13"/>
  </w:num>
  <w:num w:numId="17">
    <w:abstractNumId w:val="1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904"/>
    <w:rsid w:val="000121C3"/>
    <w:rsid w:val="00015B90"/>
    <w:rsid w:val="0001607A"/>
    <w:rsid w:val="00026017"/>
    <w:rsid w:val="00087C7A"/>
    <w:rsid w:val="00095ECD"/>
    <w:rsid w:val="000B5C8C"/>
    <w:rsid w:val="000C35FE"/>
    <w:rsid w:val="000C59E2"/>
    <w:rsid w:val="000C7B2D"/>
    <w:rsid w:val="000F7B7E"/>
    <w:rsid w:val="00103EEA"/>
    <w:rsid w:val="00122B60"/>
    <w:rsid w:val="001247D6"/>
    <w:rsid w:val="001273B8"/>
    <w:rsid w:val="00171937"/>
    <w:rsid w:val="00191109"/>
    <w:rsid w:val="001A0053"/>
    <w:rsid w:val="001A65CA"/>
    <w:rsid w:val="001B2465"/>
    <w:rsid w:val="001B3435"/>
    <w:rsid w:val="001C7739"/>
    <w:rsid w:val="001E255A"/>
    <w:rsid w:val="001F25FB"/>
    <w:rsid w:val="001F691A"/>
    <w:rsid w:val="001F6D2D"/>
    <w:rsid w:val="00202C01"/>
    <w:rsid w:val="00203861"/>
    <w:rsid w:val="002405CF"/>
    <w:rsid w:val="00240B97"/>
    <w:rsid w:val="0025382D"/>
    <w:rsid w:val="00263BA6"/>
    <w:rsid w:val="00266304"/>
    <w:rsid w:val="0027264D"/>
    <w:rsid w:val="00293E43"/>
    <w:rsid w:val="002B5F43"/>
    <w:rsid w:val="002D2537"/>
    <w:rsid w:val="002E399A"/>
    <w:rsid w:val="003015A9"/>
    <w:rsid w:val="00313707"/>
    <w:rsid w:val="0032270B"/>
    <w:rsid w:val="00337E7C"/>
    <w:rsid w:val="00350005"/>
    <w:rsid w:val="00353CBB"/>
    <w:rsid w:val="00361748"/>
    <w:rsid w:val="00370A84"/>
    <w:rsid w:val="00376A6D"/>
    <w:rsid w:val="00380B98"/>
    <w:rsid w:val="003848F6"/>
    <w:rsid w:val="00386AC6"/>
    <w:rsid w:val="00395E36"/>
    <w:rsid w:val="00396023"/>
    <w:rsid w:val="003960E8"/>
    <w:rsid w:val="003C204E"/>
    <w:rsid w:val="003C24F2"/>
    <w:rsid w:val="003C4BB5"/>
    <w:rsid w:val="003C7973"/>
    <w:rsid w:val="003E4CC0"/>
    <w:rsid w:val="003F06D2"/>
    <w:rsid w:val="003F3D8F"/>
    <w:rsid w:val="004050A9"/>
    <w:rsid w:val="00410409"/>
    <w:rsid w:val="00412CED"/>
    <w:rsid w:val="00416751"/>
    <w:rsid w:val="00420F9E"/>
    <w:rsid w:val="004213C3"/>
    <w:rsid w:val="00427139"/>
    <w:rsid w:val="00431A1C"/>
    <w:rsid w:val="004358E9"/>
    <w:rsid w:val="004537B3"/>
    <w:rsid w:val="00476616"/>
    <w:rsid w:val="0048050C"/>
    <w:rsid w:val="00487DD5"/>
    <w:rsid w:val="00492542"/>
    <w:rsid w:val="004A2E02"/>
    <w:rsid w:val="004B7C43"/>
    <w:rsid w:val="004C2B20"/>
    <w:rsid w:val="004E28AD"/>
    <w:rsid w:val="004E36A1"/>
    <w:rsid w:val="004F0F49"/>
    <w:rsid w:val="004F1D05"/>
    <w:rsid w:val="004F4982"/>
    <w:rsid w:val="00505B5D"/>
    <w:rsid w:val="005067CA"/>
    <w:rsid w:val="0052443C"/>
    <w:rsid w:val="0052775E"/>
    <w:rsid w:val="005416F0"/>
    <w:rsid w:val="00542514"/>
    <w:rsid w:val="00546AED"/>
    <w:rsid w:val="00557C8D"/>
    <w:rsid w:val="005621E4"/>
    <w:rsid w:val="00572FE9"/>
    <w:rsid w:val="00590902"/>
    <w:rsid w:val="00596FD7"/>
    <w:rsid w:val="005A3625"/>
    <w:rsid w:val="005B4738"/>
    <w:rsid w:val="005C212D"/>
    <w:rsid w:val="005C3CB0"/>
    <w:rsid w:val="005D7687"/>
    <w:rsid w:val="005F3214"/>
    <w:rsid w:val="00606747"/>
    <w:rsid w:val="006101F9"/>
    <w:rsid w:val="00612231"/>
    <w:rsid w:val="0061491F"/>
    <w:rsid w:val="00635EB1"/>
    <w:rsid w:val="006473BB"/>
    <w:rsid w:val="00660BAE"/>
    <w:rsid w:val="0066495D"/>
    <w:rsid w:val="00680AD4"/>
    <w:rsid w:val="00683B19"/>
    <w:rsid w:val="00695EB6"/>
    <w:rsid w:val="006A3770"/>
    <w:rsid w:val="006A4D46"/>
    <w:rsid w:val="006A6024"/>
    <w:rsid w:val="006A72A1"/>
    <w:rsid w:val="006C31FF"/>
    <w:rsid w:val="006C6B6C"/>
    <w:rsid w:val="006C704D"/>
    <w:rsid w:val="006D7DCB"/>
    <w:rsid w:val="0070331D"/>
    <w:rsid w:val="007052B1"/>
    <w:rsid w:val="00711BF4"/>
    <w:rsid w:val="00741B43"/>
    <w:rsid w:val="007543AC"/>
    <w:rsid w:val="00756537"/>
    <w:rsid w:val="00772B79"/>
    <w:rsid w:val="00776530"/>
    <w:rsid w:val="007A0EBC"/>
    <w:rsid w:val="007A5EDB"/>
    <w:rsid w:val="007B05B4"/>
    <w:rsid w:val="007B27F1"/>
    <w:rsid w:val="007B4ABB"/>
    <w:rsid w:val="007B6904"/>
    <w:rsid w:val="007C5AB2"/>
    <w:rsid w:val="007E7F3F"/>
    <w:rsid w:val="00815844"/>
    <w:rsid w:val="00816782"/>
    <w:rsid w:val="0082141D"/>
    <w:rsid w:val="00827F24"/>
    <w:rsid w:val="00855DA8"/>
    <w:rsid w:val="00862C0C"/>
    <w:rsid w:val="00886399"/>
    <w:rsid w:val="00891745"/>
    <w:rsid w:val="008974CA"/>
    <w:rsid w:val="008A5654"/>
    <w:rsid w:val="008C74CC"/>
    <w:rsid w:val="008D11C8"/>
    <w:rsid w:val="008D151B"/>
    <w:rsid w:val="008E1F7F"/>
    <w:rsid w:val="008E57A7"/>
    <w:rsid w:val="008F00E8"/>
    <w:rsid w:val="008F5CBD"/>
    <w:rsid w:val="00933EED"/>
    <w:rsid w:val="00940CDE"/>
    <w:rsid w:val="00950A0C"/>
    <w:rsid w:val="00951AA9"/>
    <w:rsid w:val="00962C46"/>
    <w:rsid w:val="0096519A"/>
    <w:rsid w:val="0097742A"/>
    <w:rsid w:val="00980EED"/>
    <w:rsid w:val="00990102"/>
    <w:rsid w:val="00991670"/>
    <w:rsid w:val="009964FB"/>
    <w:rsid w:val="009A7EB1"/>
    <w:rsid w:val="009B2067"/>
    <w:rsid w:val="009B6C8C"/>
    <w:rsid w:val="009C0FCA"/>
    <w:rsid w:val="009C3963"/>
    <w:rsid w:val="009D0FE5"/>
    <w:rsid w:val="009D323C"/>
    <w:rsid w:val="009D459B"/>
    <w:rsid w:val="009E13F5"/>
    <w:rsid w:val="009E3B63"/>
    <w:rsid w:val="009E5255"/>
    <w:rsid w:val="009E714B"/>
    <w:rsid w:val="00A02FA7"/>
    <w:rsid w:val="00A144A5"/>
    <w:rsid w:val="00A2733F"/>
    <w:rsid w:val="00A30662"/>
    <w:rsid w:val="00A35E2D"/>
    <w:rsid w:val="00A40E56"/>
    <w:rsid w:val="00A44B97"/>
    <w:rsid w:val="00A45F04"/>
    <w:rsid w:val="00A54B39"/>
    <w:rsid w:val="00A74B8A"/>
    <w:rsid w:val="00A81A42"/>
    <w:rsid w:val="00A85F61"/>
    <w:rsid w:val="00A86DB3"/>
    <w:rsid w:val="00A87186"/>
    <w:rsid w:val="00AA25DC"/>
    <w:rsid w:val="00AA374A"/>
    <w:rsid w:val="00AB4B97"/>
    <w:rsid w:val="00AC080C"/>
    <w:rsid w:val="00AC7025"/>
    <w:rsid w:val="00AD196F"/>
    <w:rsid w:val="00AD3CCE"/>
    <w:rsid w:val="00B0074D"/>
    <w:rsid w:val="00B0301F"/>
    <w:rsid w:val="00B07DCE"/>
    <w:rsid w:val="00B21043"/>
    <w:rsid w:val="00B23A8A"/>
    <w:rsid w:val="00B4007F"/>
    <w:rsid w:val="00B42EA0"/>
    <w:rsid w:val="00B44CAC"/>
    <w:rsid w:val="00B573D6"/>
    <w:rsid w:val="00B64E37"/>
    <w:rsid w:val="00B73E65"/>
    <w:rsid w:val="00B81455"/>
    <w:rsid w:val="00B9627F"/>
    <w:rsid w:val="00BA2415"/>
    <w:rsid w:val="00BA4F95"/>
    <w:rsid w:val="00BB33F9"/>
    <w:rsid w:val="00BB4A00"/>
    <w:rsid w:val="00BB72FE"/>
    <w:rsid w:val="00BB76E3"/>
    <w:rsid w:val="00BC0DF2"/>
    <w:rsid w:val="00BC3CE6"/>
    <w:rsid w:val="00BD4E05"/>
    <w:rsid w:val="00BD673C"/>
    <w:rsid w:val="00BE5E41"/>
    <w:rsid w:val="00C0059A"/>
    <w:rsid w:val="00C24EDC"/>
    <w:rsid w:val="00C25A76"/>
    <w:rsid w:val="00C25D4E"/>
    <w:rsid w:val="00C31EB3"/>
    <w:rsid w:val="00C32206"/>
    <w:rsid w:val="00C401D7"/>
    <w:rsid w:val="00C422C8"/>
    <w:rsid w:val="00C45C67"/>
    <w:rsid w:val="00C523FF"/>
    <w:rsid w:val="00C57139"/>
    <w:rsid w:val="00C71813"/>
    <w:rsid w:val="00C71C3C"/>
    <w:rsid w:val="00C76998"/>
    <w:rsid w:val="00C97F5E"/>
    <w:rsid w:val="00CA593D"/>
    <w:rsid w:val="00CA7C67"/>
    <w:rsid w:val="00CB6ED9"/>
    <w:rsid w:val="00CC0648"/>
    <w:rsid w:val="00CC35A6"/>
    <w:rsid w:val="00CC48B1"/>
    <w:rsid w:val="00CF4C35"/>
    <w:rsid w:val="00D01FA0"/>
    <w:rsid w:val="00D11564"/>
    <w:rsid w:val="00D21780"/>
    <w:rsid w:val="00D23346"/>
    <w:rsid w:val="00D243B8"/>
    <w:rsid w:val="00D32358"/>
    <w:rsid w:val="00D34794"/>
    <w:rsid w:val="00D40BCA"/>
    <w:rsid w:val="00D4502D"/>
    <w:rsid w:val="00D530CE"/>
    <w:rsid w:val="00D53E3C"/>
    <w:rsid w:val="00D57773"/>
    <w:rsid w:val="00D77107"/>
    <w:rsid w:val="00D77950"/>
    <w:rsid w:val="00DB637D"/>
    <w:rsid w:val="00DC3762"/>
    <w:rsid w:val="00DC581E"/>
    <w:rsid w:val="00DC5C47"/>
    <w:rsid w:val="00DD616A"/>
    <w:rsid w:val="00DE0465"/>
    <w:rsid w:val="00E049ED"/>
    <w:rsid w:val="00E06C9A"/>
    <w:rsid w:val="00E34E6D"/>
    <w:rsid w:val="00E37CD4"/>
    <w:rsid w:val="00E477E7"/>
    <w:rsid w:val="00E54685"/>
    <w:rsid w:val="00E57848"/>
    <w:rsid w:val="00E67961"/>
    <w:rsid w:val="00E718A2"/>
    <w:rsid w:val="00E7200B"/>
    <w:rsid w:val="00EA3287"/>
    <w:rsid w:val="00EB5454"/>
    <w:rsid w:val="00EC5629"/>
    <w:rsid w:val="00ED21C3"/>
    <w:rsid w:val="00ED388C"/>
    <w:rsid w:val="00EE0E9F"/>
    <w:rsid w:val="00EE260F"/>
    <w:rsid w:val="00EF02B0"/>
    <w:rsid w:val="00EF13A4"/>
    <w:rsid w:val="00F01B61"/>
    <w:rsid w:val="00F149FD"/>
    <w:rsid w:val="00F34438"/>
    <w:rsid w:val="00F4262F"/>
    <w:rsid w:val="00F435AD"/>
    <w:rsid w:val="00F442E6"/>
    <w:rsid w:val="00F53719"/>
    <w:rsid w:val="00F57291"/>
    <w:rsid w:val="00F66CB0"/>
    <w:rsid w:val="00F75239"/>
    <w:rsid w:val="00F76C89"/>
    <w:rsid w:val="00F8291C"/>
    <w:rsid w:val="00F95547"/>
    <w:rsid w:val="00FA29B8"/>
    <w:rsid w:val="00FC39B0"/>
    <w:rsid w:val="00FC7CBC"/>
    <w:rsid w:val="00FD3D92"/>
    <w:rsid w:val="00FD6CF5"/>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7B2508E"/>
  <w15:docId w15:val="{063BA00B-E226-4B1F-A3BA-F684DF0B8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rPr>
      <w:rFonts w:eastAsia="Times New Roman"/>
      <w:sz w:val="24"/>
      <w:lang w:eastAsia="en-US"/>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pPr>
    <w:rPr>
      <w:rFonts w:ascii="Times New Roman" w:eastAsia="Times New Roman" w:hAnsi="Times New Roman"/>
      <w:color w:val="000000"/>
      <w:sz w:val="24"/>
      <w:szCs w:val="24"/>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imes New Roman" w:hAnsi="Calibri" w:cs="Times New Roman"/>
      <w:b/>
      <w:bCs/>
      <w:sz w:val="24"/>
      <w:szCs w:val="26"/>
    </w:rPr>
  </w:style>
  <w:style w:type="character" w:styleId="FollowedHyperlink">
    <w:name w:val="FollowedHyperlink"/>
    <w:basedOn w:val="DefaultParagraphFont"/>
    <w:uiPriority w:val="99"/>
    <w:semiHidden/>
    <w:unhideWhenUsed/>
    <w:rsid w:val="007B6904"/>
    <w:rPr>
      <w:color w:val="800080"/>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style>
  <w:style w:type="paragraph" w:styleId="TOC2">
    <w:name w:val="toc 2"/>
    <w:basedOn w:val="Normal"/>
    <w:next w:val="Normal"/>
    <w:autoRedefine/>
    <w:uiPriority w:val="39"/>
    <w:unhideWhenUsed/>
    <w:rsid w:val="007B6904"/>
    <w:pPr>
      <w:spacing w:after="100"/>
      <w:ind w:left="240"/>
    </w:pPr>
  </w:style>
  <w:style w:type="character" w:customStyle="1" w:styleId="Heading3Char">
    <w:name w:val="Heading 3 Char"/>
    <w:basedOn w:val="DefaultParagraphFont"/>
    <w:link w:val="Heading3"/>
    <w:uiPriority w:val="9"/>
    <w:semiHidden/>
    <w:rsid w:val="007052B1"/>
    <w:rPr>
      <w:rFonts w:ascii="Cambria" w:eastAsia="Times New Roman" w:hAnsi="Cambria" w:cs="Times New Roman"/>
      <w:b/>
      <w:bCs/>
      <w:color w:val="4F81BD"/>
      <w:sz w:val="24"/>
      <w:szCs w:val="20"/>
    </w:rPr>
  </w:style>
  <w:style w:type="character" w:styleId="CommentReference">
    <w:name w:val="annotation reference"/>
    <w:basedOn w:val="DefaultParagraphFont"/>
    <w:uiPriority w:val="99"/>
    <w:semiHidden/>
    <w:unhideWhenUsed/>
    <w:rsid w:val="00A40E56"/>
    <w:rPr>
      <w:sz w:val="16"/>
      <w:szCs w:val="16"/>
    </w:rPr>
  </w:style>
  <w:style w:type="paragraph" w:styleId="CommentText">
    <w:name w:val="annotation text"/>
    <w:basedOn w:val="Normal"/>
    <w:link w:val="CommentTextChar"/>
    <w:uiPriority w:val="99"/>
    <w:semiHidden/>
    <w:unhideWhenUsed/>
    <w:rsid w:val="00A40E56"/>
    <w:rPr>
      <w:sz w:val="20"/>
    </w:rPr>
  </w:style>
  <w:style w:type="character" w:customStyle="1" w:styleId="CommentTextChar">
    <w:name w:val="Comment Text Char"/>
    <w:basedOn w:val="DefaultParagraphFont"/>
    <w:link w:val="CommentText"/>
    <w:uiPriority w:val="99"/>
    <w:semiHidden/>
    <w:rsid w:val="00A40E56"/>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40E56"/>
    <w:rPr>
      <w:b/>
      <w:bCs/>
    </w:rPr>
  </w:style>
  <w:style w:type="character" w:customStyle="1" w:styleId="CommentSubjectChar">
    <w:name w:val="Comment Subject Char"/>
    <w:basedOn w:val="CommentTextChar"/>
    <w:link w:val="CommentSubject"/>
    <w:uiPriority w:val="99"/>
    <w:semiHidden/>
    <w:rsid w:val="00A40E56"/>
    <w:rPr>
      <w:rFonts w:ascii="Calibri" w:eastAsia="Times New Roman" w:hAnsi="Calibri" w:cs="Times New Roman"/>
      <w:b/>
      <w:bCs/>
      <w:sz w:val="20"/>
      <w:szCs w:val="20"/>
    </w:rPr>
  </w:style>
  <w:style w:type="character" w:styleId="UnresolvedMention">
    <w:name w:val="Unresolved Mention"/>
    <w:basedOn w:val="DefaultParagraphFont"/>
    <w:uiPriority w:val="99"/>
    <w:semiHidden/>
    <w:unhideWhenUsed/>
    <w:rsid w:val="00D577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slhd.health.nsw.gov.au/sites/default/files/documents/SESLHDPD269%20-%20Second%20Opinion%20from%20a%20Consultant%20Psychiatrist%20within%20Acute%20Inpatient%20Mental%20Health%20Units.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52FB6E4F6A904298AC8C7DBBDDD5A1" ma:contentTypeVersion="10" ma:contentTypeDescription="Create a new document." ma:contentTypeScope="" ma:versionID="88b468f552be70f97a05f5a1671b612c">
  <xsd:schema xmlns:xsd="http://www.w3.org/2001/XMLSchema" xmlns:xs="http://www.w3.org/2001/XMLSchema" xmlns:p="http://schemas.microsoft.com/office/2006/metadata/properties" xmlns:ns2="0c8e588b-9c83-49d3-a6c8-a54de8f95e6a" xmlns:ns3="9c2f0412-f90c-42c4-93a0-04fcb973abf1" targetNamespace="http://schemas.microsoft.com/office/2006/metadata/properties" ma:root="true" ma:fieldsID="d05644bfbd43f3a7fa2685e43cf64ee6" ns2:_="" ns3:_="">
    <xsd:import namespace="0c8e588b-9c83-49d3-a6c8-a54de8f95e6a"/>
    <xsd:import namespace="9c2f0412-f90c-42c4-93a0-04fcb973abf1"/>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2f0412-f90c-42c4-93a0-04fcb973abf1"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Barcode_x0020_New xmlns="0c8e588b-9c83-49d3-a6c8-a54de8f95e6a" xsi:nil="true"/>
  </documentManagement>
</p:properties>
</file>

<file path=customXml/itemProps1.xml><?xml version="1.0" encoding="utf-8"?>
<ds:datastoreItem xmlns:ds="http://schemas.openxmlformats.org/officeDocument/2006/customXml" ds:itemID="{B164A192-12FC-494D-BCF1-5D54EF1B1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9c2f0412-f90c-42c4-93a0-04fcb973a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26ABE6-7888-4858-BE43-7C123E6E9ADE}">
  <ds:schemaRefs>
    <ds:schemaRef ds:uri="http://schemas.openxmlformats.org/officeDocument/2006/bibliography"/>
  </ds:schemaRefs>
</ds:datastoreItem>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15BBBBC4-84E3-4064-B913-00C2B26EAAD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9c2f0412-f90c-42c4-93a0-04fcb973abf1"/>
    <ds:schemaRef ds:uri="0c8e588b-9c83-49d3-a6c8-a54de8f95e6a"/>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1539</Words>
  <Characters>8778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Second Opinion Reviews in Mental Health Services</vt:lpstr>
    </vt:vector>
  </TitlesOfParts>
  <Company>ACT Government</Company>
  <LinksUpToDate>false</LinksUpToDate>
  <CharactersWithSpaces>10297</CharactersWithSpaces>
  <SharedDoc>false</SharedDoc>
  <HLinks>
    <vt:vector size="84" baseType="variant">
      <vt:variant>
        <vt:i4>393244</vt:i4>
      </vt:variant>
      <vt:variant>
        <vt:i4>57</vt:i4>
      </vt:variant>
      <vt:variant>
        <vt:i4>0</vt:i4>
      </vt:variant>
      <vt:variant>
        <vt:i4>5</vt:i4>
      </vt:variant>
      <vt:variant>
        <vt:lpwstr/>
      </vt:variant>
      <vt:variant>
        <vt:lpwstr>Contents</vt:lpwstr>
      </vt:variant>
      <vt:variant>
        <vt:i4>393244</vt:i4>
      </vt:variant>
      <vt:variant>
        <vt:i4>54</vt:i4>
      </vt:variant>
      <vt:variant>
        <vt:i4>0</vt:i4>
      </vt:variant>
      <vt:variant>
        <vt:i4>5</vt:i4>
      </vt:variant>
      <vt:variant>
        <vt:lpwstr/>
      </vt:variant>
      <vt:variant>
        <vt:lpwstr>Contents</vt:lpwstr>
      </vt:variant>
      <vt:variant>
        <vt:i4>393244</vt:i4>
      </vt:variant>
      <vt:variant>
        <vt:i4>51</vt:i4>
      </vt:variant>
      <vt:variant>
        <vt:i4>0</vt:i4>
      </vt:variant>
      <vt:variant>
        <vt:i4>5</vt:i4>
      </vt:variant>
      <vt:variant>
        <vt:lpwstr/>
      </vt:variant>
      <vt:variant>
        <vt:lpwstr>Contents</vt:lpwstr>
      </vt:variant>
      <vt:variant>
        <vt:i4>6488123</vt:i4>
      </vt:variant>
      <vt:variant>
        <vt:i4>48</vt:i4>
      </vt:variant>
      <vt:variant>
        <vt:i4>0</vt:i4>
      </vt:variant>
      <vt:variant>
        <vt:i4>5</vt:i4>
      </vt:variant>
      <vt:variant>
        <vt:lpwstr>http://www.health.gov.au/internet/main/publishing.nsf/content/DA71C0838BA6411BCA2577A0001AAC32/$File/servst10v2.pdf</vt:lpwstr>
      </vt:variant>
      <vt:variant>
        <vt:lpwstr/>
      </vt:variant>
      <vt:variant>
        <vt:i4>1179729</vt:i4>
      </vt:variant>
      <vt:variant>
        <vt:i4>45</vt:i4>
      </vt:variant>
      <vt:variant>
        <vt:i4>0</vt:i4>
      </vt:variant>
      <vt:variant>
        <vt:i4>5</vt:i4>
      </vt:variant>
      <vt:variant>
        <vt:lpwstr>http://www.legislation.act.gov.au/a/2004-5/current/pdf/2004-5.pdf</vt:lpwstr>
      </vt:variant>
      <vt:variant>
        <vt:lpwstr/>
      </vt:variant>
      <vt:variant>
        <vt:i4>1114194</vt:i4>
      </vt:variant>
      <vt:variant>
        <vt:i4>42</vt:i4>
      </vt:variant>
      <vt:variant>
        <vt:i4>0</vt:i4>
      </vt:variant>
      <vt:variant>
        <vt:i4>5</vt:i4>
      </vt:variant>
      <vt:variant>
        <vt:lpwstr>http://www.legislation.act.gov.au/a/1997-125/current/pdf/1997-125.pdf</vt:lpwstr>
      </vt:variant>
      <vt:variant>
        <vt:lpwstr/>
      </vt:variant>
      <vt:variant>
        <vt:i4>1048628</vt:i4>
      </vt:variant>
      <vt:variant>
        <vt:i4>38</vt:i4>
      </vt:variant>
      <vt:variant>
        <vt:i4>0</vt:i4>
      </vt:variant>
      <vt:variant>
        <vt:i4>5</vt:i4>
      </vt:variant>
      <vt:variant>
        <vt:lpwstr/>
      </vt:variant>
      <vt:variant>
        <vt:lpwstr>_Toc410818165</vt:lpwstr>
      </vt:variant>
      <vt:variant>
        <vt:i4>1048628</vt:i4>
      </vt:variant>
      <vt:variant>
        <vt:i4>32</vt:i4>
      </vt:variant>
      <vt:variant>
        <vt:i4>0</vt:i4>
      </vt:variant>
      <vt:variant>
        <vt:i4>5</vt:i4>
      </vt:variant>
      <vt:variant>
        <vt:lpwstr/>
      </vt:variant>
      <vt:variant>
        <vt:lpwstr>_Toc410818163</vt:lpwstr>
      </vt:variant>
      <vt:variant>
        <vt:i4>1048628</vt:i4>
      </vt:variant>
      <vt:variant>
        <vt:i4>29</vt:i4>
      </vt:variant>
      <vt:variant>
        <vt:i4>0</vt:i4>
      </vt:variant>
      <vt:variant>
        <vt:i4>5</vt:i4>
      </vt:variant>
      <vt:variant>
        <vt:lpwstr/>
      </vt:variant>
      <vt:variant>
        <vt:lpwstr>_Toc410818162</vt:lpwstr>
      </vt:variant>
      <vt:variant>
        <vt:i4>1245236</vt:i4>
      </vt:variant>
      <vt:variant>
        <vt:i4>26</vt:i4>
      </vt:variant>
      <vt:variant>
        <vt:i4>0</vt:i4>
      </vt:variant>
      <vt:variant>
        <vt:i4>5</vt:i4>
      </vt:variant>
      <vt:variant>
        <vt:lpwstr/>
      </vt:variant>
      <vt:variant>
        <vt:lpwstr>_Toc410818158</vt:lpwstr>
      </vt:variant>
      <vt:variant>
        <vt:i4>1245236</vt:i4>
      </vt:variant>
      <vt:variant>
        <vt:i4>20</vt:i4>
      </vt:variant>
      <vt:variant>
        <vt:i4>0</vt:i4>
      </vt:variant>
      <vt:variant>
        <vt:i4>5</vt:i4>
      </vt:variant>
      <vt:variant>
        <vt:lpwstr/>
      </vt:variant>
      <vt:variant>
        <vt:lpwstr>_Toc410818158</vt:lpwstr>
      </vt:variant>
      <vt:variant>
        <vt:i4>1245236</vt:i4>
      </vt:variant>
      <vt:variant>
        <vt:i4>14</vt:i4>
      </vt:variant>
      <vt:variant>
        <vt:i4>0</vt:i4>
      </vt:variant>
      <vt:variant>
        <vt:i4>5</vt:i4>
      </vt:variant>
      <vt:variant>
        <vt:lpwstr/>
      </vt:variant>
      <vt:variant>
        <vt:lpwstr>_Toc410818157</vt:lpwstr>
      </vt:variant>
      <vt:variant>
        <vt:i4>1245236</vt:i4>
      </vt:variant>
      <vt:variant>
        <vt:i4>8</vt:i4>
      </vt:variant>
      <vt:variant>
        <vt:i4>0</vt:i4>
      </vt:variant>
      <vt:variant>
        <vt:i4>5</vt:i4>
      </vt:variant>
      <vt:variant>
        <vt:lpwstr/>
      </vt:variant>
      <vt:variant>
        <vt:lpwstr>_Toc410818155</vt:lpwstr>
      </vt:variant>
      <vt:variant>
        <vt:i4>1245236</vt:i4>
      </vt:variant>
      <vt:variant>
        <vt:i4>2</vt:i4>
      </vt:variant>
      <vt:variant>
        <vt:i4>0</vt:i4>
      </vt:variant>
      <vt:variant>
        <vt:i4>5</vt:i4>
      </vt:variant>
      <vt:variant>
        <vt:lpwstr/>
      </vt:variant>
      <vt:variant>
        <vt:lpwstr>_Toc410818154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Second Opinion Reviews in Mental Health Services</dc:title>
  <dc:subject>9;#;#14;#</dc:subject>
  <dc:creator>Kerryn Hunter</dc:creator>
  <cp:lastModifiedBy>Stahre, Maria (Health)</cp:lastModifiedBy>
  <cp:revision>9</cp:revision>
  <cp:lastPrinted>2015-12-02T03:04:00Z</cp:lastPrinted>
  <dcterms:created xsi:type="dcterms:W3CDTF">2022-06-22T00:32:00Z</dcterms:created>
  <dcterms:modified xsi:type="dcterms:W3CDTF">2022-06-23T06:35:00Z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0x0101003052FB6E4F6A904298AC8C7DBBDDD5A1</vt:lpwstr>
  </property>
  <property fmtid="{D5CDD505-2E9C-101B-9397-08002B2CF9AE}" pid="3" name="TaxKeyword">
    <vt:lpwstr/>
  </property>
  <property fmtid="{D5CDD505-2E9C-101B-9397-08002B2CF9AE}" pid="4" name="z0v5">
    <vt:r8>96</vt:r8>
  </property>
  <property fmtid="{D5CDD505-2E9C-101B-9397-08002B2CF9AE}" pid="5" name="_ExtendedDescription">
    <vt:lpwstr/>
  </property>
  <property fmtid="{D5CDD505-2E9C-101B-9397-08002B2CF9AE}" pid="6" name="Manager Contact">
    <vt:lpwstr/>
  </property>
</Properties>
</file>