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2B8E0" w14:textId="2CF773C4" w:rsidR="00A86A9D" w:rsidRPr="00C705C9" w:rsidRDefault="00A86A9D" w:rsidP="00A86A9D">
      <w:pPr>
        <w:rPr>
          <w:rFonts w:cs="Arial"/>
          <w:b/>
          <w:color w:val="000000"/>
          <w:sz w:val="44"/>
          <w:szCs w:val="44"/>
        </w:rPr>
      </w:pPr>
      <w:r w:rsidRPr="00C705C9">
        <w:rPr>
          <w:rFonts w:cs="Arial"/>
          <w:b/>
          <w:color w:val="000000"/>
          <w:sz w:val="44"/>
          <w:szCs w:val="44"/>
        </w:rPr>
        <w:t>Canberra Health Services</w:t>
      </w:r>
    </w:p>
    <w:p w14:paraId="3742B8E1" w14:textId="0C584038" w:rsidR="00A86A9D" w:rsidRDefault="006E1B0C" w:rsidP="00A86A9D">
      <w:pPr>
        <w:rPr>
          <w:rFonts w:cs="Arial"/>
          <w:b/>
          <w:sz w:val="36"/>
          <w:szCs w:val="36"/>
        </w:rPr>
      </w:pPr>
      <w:r>
        <w:rPr>
          <w:rFonts w:cs="Arial"/>
          <w:b/>
          <w:sz w:val="44"/>
          <w:szCs w:val="44"/>
        </w:rPr>
        <w:t xml:space="preserve">Policy </w:t>
      </w:r>
    </w:p>
    <w:p w14:paraId="7096B28D" w14:textId="5E4C91BF" w:rsidR="00A86C1F" w:rsidRDefault="00A86C1F" w:rsidP="00A86C1F">
      <w:pPr>
        <w:rPr>
          <w:rFonts w:cs="Arial"/>
          <w:b/>
          <w:sz w:val="36"/>
          <w:szCs w:val="36"/>
        </w:rPr>
      </w:pPr>
      <w:r>
        <w:rPr>
          <w:rFonts w:cs="Arial"/>
          <w:b/>
          <w:sz w:val="36"/>
          <w:szCs w:val="36"/>
        </w:rPr>
        <w:t>Medication Reconciliation and Medication Review for Adult and Paediatric Patients</w:t>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7A2789" w:rsidRPr="001B2BAC" w14:paraId="15D21C19" w14:textId="77777777" w:rsidTr="00FE640E">
        <w:trPr>
          <w:cantSplit/>
          <w:trHeight w:val="285"/>
        </w:trPr>
        <w:tc>
          <w:tcPr>
            <w:tcW w:w="9158" w:type="dxa"/>
            <w:shd w:val="clear" w:color="auto" w:fill="000000"/>
          </w:tcPr>
          <w:p w14:paraId="35BFB010" w14:textId="0B632903" w:rsidR="007A2789" w:rsidRPr="007A238D" w:rsidRDefault="007A2789" w:rsidP="00FE640E">
            <w:pPr>
              <w:pStyle w:val="Heading1"/>
              <w:rPr>
                <w:szCs w:val="24"/>
              </w:rPr>
            </w:pPr>
            <w:bookmarkStart w:id="0" w:name="_Toc63858047"/>
            <w:r>
              <w:rPr>
                <w:szCs w:val="24"/>
              </w:rPr>
              <w:t>Contents</w:t>
            </w:r>
            <w:bookmarkEnd w:id="0"/>
          </w:p>
        </w:tc>
      </w:tr>
    </w:tbl>
    <w:p w14:paraId="3A8039EF" w14:textId="762906C4" w:rsidR="007A2789" w:rsidRDefault="007A2789" w:rsidP="007A2789"/>
    <w:p w14:paraId="3406C9E5" w14:textId="0F6540A4" w:rsidR="00B3695B" w:rsidRDefault="007A2789">
      <w:pPr>
        <w:pStyle w:val="TOC1"/>
        <w:tabs>
          <w:tab w:val="right" w:leader="dot" w:pos="9060"/>
        </w:tabs>
        <w:rPr>
          <w:rFonts w:eastAsiaTheme="minorEastAsia" w:cstheme="minorBidi"/>
          <w:noProof/>
          <w:sz w:val="22"/>
          <w:szCs w:val="22"/>
          <w:lang w:eastAsia="en-AU"/>
        </w:rPr>
      </w:pPr>
      <w:r>
        <w:fldChar w:fldCharType="begin"/>
      </w:r>
      <w:r>
        <w:instrText xml:space="preserve"> TOC \h \z \t "Heading 1,1,Heading 2,2" </w:instrText>
      </w:r>
      <w:r>
        <w:fldChar w:fldCharType="separate"/>
      </w:r>
      <w:hyperlink w:anchor="_Toc63858047" w:history="1">
        <w:r w:rsidR="00B3695B" w:rsidRPr="00E06DA9">
          <w:rPr>
            <w:rStyle w:val="Hyperlink"/>
            <w:noProof/>
          </w:rPr>
          <w:t>Contents</w:t>
        </w:r>
        <w:r w:rsidR="00B3695B">
          <w:rPr>
            <w:noProof/>
            <w:webHidden/>
          </w:rPr>
          <w:tab/>
        </w:r>
        <w:r w:rsidR="00B3695B">
          <w:rPr>
            <w:noProof/>
            <w:webHidden/>
          </w:rPr>
          <w:fldChar w:fldCharType="begin"/>
        </w:r>
        <w:r w:rsidR="00B3695B">
          <w:rPr>
            <w:noProof/>
            <w:webHidden/>
          </w:rPr>
          <w:instrText xml:space="preserve"> PAGEREF _Toc63858047 \h </w:instrText>
        </w:r>
        <w:r w:rsidR="00B3695B">
          <w:rPr>
            <w:noProof/>
            <w:webHidden/>
          </w:rPr>
        </w:r>
        <w:r w:rsidR="00B3695B">
          <w:rPr>
            <w:noProof/>
            <w:webHidden/>
          </w:rPr>
          <w:fldChar w:fldCharType="separate"/>
        </w:r>
        <w:r w:rsidR="00B3695B">
          <w:rPr>
            <w:noProof/>
            <w:webHidden/>
          </w:rPr>
          <w:t>1</w:t>
        </w:r>
        <w:r w:rsidR="00B3695B">
          <w:rPr>
            <w:noProof/>
            <w:webHidden/>
          </w:rPr>
          <w:fldChar w:fldCharType="end"/>
        </w:r>
      </w:hyperlink>
    </w:p>
    <w:p w14:paraId="037C1AC1" w14:textId="6C31DE71" w:rsidR="00B3695B" w:rsidRDefault="001A3598">
      <w:pPr>
        <w:pStyle w:val="TOC1"/>
        <w:tabs>
          <w:tab w:val="right" w:leader="dot" w:pos="9060"/>
        </w:tabs>
        <w:rPr>
          <w:rFonts w:eastAsiaTheme="minorEastAsia" w:cstheme="minorBidi"/>
          <w:noProof/>
          <w:sz w:val="22"/>
          <w:szCs w:val="22"/>
          <w:lang w:eastAsia="en-AU"/>
        </w:rPr>
      </w:pPr>
      <w:hyperlink w:anchor="_Toc63858048" w:history="1">
        <w:r w:rsidR="00B3695B" w:rsidRPr="00E06DA9">
          <w:rPr>
            <w:rStyle w:val="Hyperlink"/>
            <w:noProof/>
          </w:rPr>
          <w:t>Policy Statement</w:t>
        </w:r>
        <w:r w:rsidR="00B3695B">
          <w:rPr>
            <w:noProof/>
            <w:webHidden/>
          </w:rPr>
          <w:tab/>
        </w:r>
        <w:r w:rsidR="00B3695B">
          <w:rPr>
            <w:noProof/>
            <w:webHidden/>
          </w:rPr>
          <w:fldChar w:fldCharType="begin"/>
        </w:r>
        <w:r w:rsidR="00B3695B">
          <w:rPr>
            <w:noProof/>
            <w:webHidden/>
          </w:rPr>
          <w:instrText xml:space="preserve"> PAGEREF _Toc63858048 \h </w:instrText>
        </w:r>
        <w:r w:rsidR="00B3695B">
          <w:rPr>
            <w:noProof/>
            <w:webHidden/>
          </w:rPr>
        </w:r>
        <w:r w:rsidR="00B3695B">
          <w:rPr>
            <w:noProof/>
            <w:webHidden/>
          </w:rPr>
          <w:fldChar w:fldCharType="separate"/>
        </w:r>
        <w:r w:rsidR="00B3695B">
          <w:rPr>
            <w:noProof/>
            <w:webHidden/>
          </w:rPr>
          <w:t>2</w:t>
        </w:r>
        <w:r w:rsidR="00B3695B">
          <w:rPr>
            <w:noProof/>
            <w:webHidden/>
          </w:rPr>
          <w:fldChar w:fldCharType="end"/>
        </w:r>
      </w:hyperlink>
    </w:p>
    <w:p w14:paraId="4B1B194E" w14:textId="5A18E3B5" w:rsidR="00B3695B" w:rsidRDefault="001A3598">
      <w:pPr>
        <w:pStyle w:val="TOC1"/>
        <w:tabs>
          <w:tab w:val="right" w:leader="dot" w:pos="9060"/>
        </w:tabs>
        <w:rPr>
          <w:rFonts w:eastAsiaTheme="minorEastAsia" w:cstheme="minorBidi"/>
          <w:noProof/>
          <w:sz w:val="22"/>
          <w:szCs w:val="22"/>
          <w:lang w:eastAsia="en-AU"/>
        </w:rPr>
      </w:pPr>
      <w:hyperlink w:anchor="_Toc63858049" w:history="1">
        <w:r w:rsidR="00B3695B" w:rsidRPr="00E06DA9">
          <w:rPr>
            <w:rStyle w:val="Hyperlink"/>
            <w:noProof/>
          </w:rPr>
          <w:t>Purpose</w:t>
        </w:r>
        <w:r w:rsidR="00B3695B">
          <w:rPr>
            <w:noProof/>
            <w:webHidden/>
          </w:rPr>
          <w:tab/>
        </w:r>
        <w:r w:rsidR="00B3695B">
          <w:rPr>
            <w:noProof/>
            <w:webHidden/>
          </w:rPr>
          <w:fldChar w:fldCharType="begin"/>
        </w:r>
        <w:r w:rsidR="00B3695B">
          <w:rPr>
            <w:noProof/>
            <w:webHidden/>
          </w:rPr>
          <w:instrText xml:space="preserve"> PAGEREF _Toc63858049 \h </w:instrText>
        </w:r>
        <w:r w:rsidR="00B3695B">
          <w:rPr>
            <w:noProof/>
            <w:webHidden/>
          </w:rPr>
        </w:r>
        <w:r w:rsidR="00B3695B">
          <w:rPr>
            <w:noProof/>
            <w:webHidden/>
          </w:rPr>
          <w:fldChar w:fldCharType="separate"/>
        </w:r>
        <w:r w:rsidR="00B3695B">
          <w:rPr>
            <w:noProof/>
            <w:webHidden/>
          </w:rPr>
          <w:t>2</w:t>
        </w:r>
        <w:r w:rsidR="00B3695B">
          <w:rPr>
            <w:noProof/>
            <w:webHidden/>
          </w:rPr>
          <w:fldChar w:fldCharType="end"/>
        </w:r>
      </w:hyperlink>
    </w:p>
    <w:p w14:paraId="69A6B234" w14:textId="6FFF7C34" w:rsidR="00B3695B" w:rsidRDefault="001A3598">
      <w:pPr>
        <w:pStyle w:val="TOC1"/>
        <w:tabs>
          <w:tab w:val="right" w:leader="dot" w:pos="9060"/>
        </w:tabs>
        <w:rPr>
          <w:rFonts w:eastAsiaTheme="minorEastAsia" w:cstheme="minorBidi"/>
          <w:noProof/>
          <w:sz w:val="22"/>
          <w:szCs w:val="22"/>
          <w:lang w:eastAsia="en-AU"/>
        </w:rPr>
      </w:pPr>
      <w:hyperlink w:anchor="_Toc63858050" w:history="1">
        <w:r w:rsidR="00B3695B" w:rsidRPr="00E06DA9">
          <w:rPr>
            <w:rStyle w:val="Hyperlink"/>
            <w:noProof/>
          </w:rPr>
          <w:t>Scope</w:t>
        </w:r>
        <w:r w:rsidR="00B3695B">
          <w:rPr>
            <w:noProof/>
            <w:webHidden/>
          </w:rPr>
          <w:tab/>
        </w:r>
        <w:r w:rsidR="00B3695B">
          <w:rPr>
            <w:noProof/>
            <w:webHidden/>
          </w:rPr>
          <w:fldChar w:fldCharType="begin"/>
        </w:r>
        <w:r w:rsidR="00B3695B">
          <w:rPr>
            <w:noProof/>
            <w:webHidden/>
          </w:rPr>
          <w:instrText xml:space="preserve"> PAGEREF _Toc63858050 \h </w:instrText>
        </w:r>
        <w:r w:rsidR="00B3695B">
          <w:rPr>
            <w:noProof/>
            <w:webHidden/>
          </w:rPr>
        </w:r>
        <w:r w:rsidR="00B3695B">
          <w:rPr>
            <w:noProof/>
            <w:webHidden/>
          </w:rPr>
          <w:fldChar w:fldCharType="separate"/>
        </w:r>
        <w:r w:rsidR="00B3695B">
          <w:rPr>
            <w:noProof/>
            <w:webHidden/>
          </w:rPr>
          <w:t>3</w:t>
        </w:r>
        <w:r w:rsidR="00B3695B">
          <w:rPr>
            <w:noProof/>
            <w:webHidden/>
          </w:rPr>
          <w:fldChar w:fldCharType="end"/>
        </w:r>
      </w:hyperlink>
    </w:p>
    <w:p w14:paraId="3B0F722C" w14:textId="4D4F0CCF" w:rsidR="00B3695B" w:rsidRDefault="001A3598">
      <w:pPr>
        <w:pStyle w:val="TOC1"/>
        <w:tabs>
          <w:tab w:val="right" w:leader="dot" w:pos="9060"/>
        </w:tabs>
        <w:rPr>
          <w:rFonts w:eastAsiaTheme="minorEastAsia" w:cstheme="minorBidi"/>
          <w:noProof/>
          <w:sz w:val="22"/>
          <w:szCs w:val="22"/>
          <w:lang w:eastAsia="en-AU"/>
        </w:rPr>
      </w:pPr>
      <w:hyperlink w:anchor="_Toc63858051" w:history="1">
        <w:r w:rsidR="00B3695B" w:rsidRPr="00E06DA9">
          <w:rPr>
            <w:rStyle w:val="Hyperlink"/>
            <w:noProof/>
          </w:rPr>
          <w:t>Roles &amp; Responsibilities</w:t>
        </w:r>
        <w:r w:rsidR="00B3695B">
          <w:rPr>
            <w:noProof/>
            <w:webHidden/>
          </w:rPr>
          <w:tab/>
        </w:r>
        <w:r w:rsidR="00B3695B">
          <w:rPr>
            <w:noProof/>
            <w:webHidden/>
          </w:rPr>
          <w:fldChar w:fldCharType="begin"/>
        </w:r>
        <w:r w:rsidR="00B3695B">
          <w:rPr>
            <w:noProof/>
            <w:webHidden/>
          </w:rPr>
          <w:instrText xml:space="preserve"> PAGEREF _Toc63858051 \h </w:instrText>
        </w:r>
        <w:r w:rsidR="00B3695B">
          <w:rPr>
            <w:noProof/>
            <w:webHidden/>
          </w:rPr>
        </w:r>
        <w:r w:rsidR="00B3695B">
          <w:rPr>
            <w:noProof/>
            <w:webHidden/>
          </w:rPr>
          <w:fldChar w:fldCharType="separate"/>
        </w:r>
        <w:r w:rsidR="00B3695B">
          <w:rPr>
            <w:noProof/>
            <w:webHidden/>
          </w:rPr>
          <w:t>3</w:t>
        </w:r>
        <w:r w:rsidR="00B3695B">
          <w:rPr>
            <w:noProof/>
            <w:webHidden/>
          </w:rPr>
          <w:fldChar w:fldCharType="end"/>
        </w:r>
      </w:hyperlink>
    </w:p>
    <w:p w14:paraId="5A9BD06F" w14:textId="6B1F6822" w:rsidR="00B3695B" w:rsidRDefault="001A3598">
      <w:pPr>
        <w:pStyle w:val="TOC1"/>
        <w:tabs>
          <w:tab w:val="right" w:leader="dot" w:pos="9060"/>
        </w:tabs>
        <w:rPr>
          <w:rFonts w:eastAsiaTheme="minorEastAsia" w:cstheme="minorBidi"/>
          <w:noProof/>
          <w:sz w:val="22"/>
          <w:szCs w:val="22"/>
          <w:lang w:eastAsia="en-AU"/>
        </w:rPr>
      </w:pPr>
      <w:hyperlink w:anchor="_Toc63858052" w:history="1">
        <w:r w:rsidR="00B3695B" w:rsidRPr="00E06DA9">
          <w:rPr>
            <w:rStyle w:val="Hyperlink"/>
            <w:noProof/>
          </w:rPr>
          <w:t>Related Policies, Procedures, Guidelines and Legislation</w:t>
        </w:r>
        <w:r w:rsidR="00B3695B">
          <w:rPr>
            <w:noProof/>
            <w:webHidden/>
          </w:rPr>
          <w:tab/>
        </w:r>
        <w:r w:rsidR="00B3695B">
          <w:rPr>
            <w:noProof/>
            <w:webHidden/>
          </w:rPr>
          <w:fldChar w:fldCharType="begin"/>
        </w:r>
        <w:r w:rsidR="00B3695B">
          <w:rPr>
            <w:noProof/>
            <w:webHidden/>
          </w:rPr>
          <w:instrText xml:space="preserve"> PAGEREF _Toc63858052 \h </w:instrText>
        </w:r>
        <w:r w:rsidR="00B3695B">
          <w:rPr>
            <w:noProof/>
            <w:webHidden/>
          </w:rPr>
        </w:r>
        <w:r w:rsidR="00B3695B">
          <w:rPr>
            <w:noProof/>
            <w:webHidden/>
          </w:rPr>
          <w:fldChar w:fldCharType="separate"/>
        </w:r>
        <w:r w:rsidR="00B3695B">
          <w:rPr>
            <w:noProof/>
            <w:webHidden/>
          </w:rPr>
          <w:t>5</w:t>
        </w:r>
        <w:r w:rsidR="00B3695B">
          <w:rPr>
            <w:noProof/>
            <w:webHidden/>
          </w:rPr>
          <w:fldChar w:fldCharType="end"/>
        </w:r>
      </w:hyperlink>
    </w:p>
    <w:p w14:paraId="269812FC" w14:textId="3B0A8954" w:rsidR="00B3695B" w:rsidRDefault="001A3598">
      <w:pPr>
        <w:pStyle w:val="TOC1"/>
        <w:tabs>
          <w:tab w:val="right" w:leader="dot" w:pos="9060"/>
        </w:tabs>
        <w:rPr>
          <w:rFonts w:eastAsiaTheme="minorEastAsia" w:cstheme="minorBidi"/>
          <w:noProof/>
          <w:sz w:val="22"/>
          <w:szCs w:val="22"/>
          <w:lang w:eastAsia="en-AU"/>
        </w:rPr>
      </w:pPr>
      <w:hyperlink w:anchor="_Toc63858053" w:history="1">
        <w:r w:rsidR="00B3695B" w:rsidRPr="00E06DA9">
          <w:rPr>
            <w:rStyle w:val="Hyperlink"/>
            <w:noProof/>
          </w:rPr>
          <w:t>Definition of Terms</w:t>
        </w:r>
        <w:r w:rsidR="00B3695B">
          <w:rPr>
            <w:noProof/>
            <w:webHidden/>
          </w:rPr>
          <w:tab/>
        </w:r>
        <w:r w:rsidR="00B3695B">
          <w:rPr>
            <w:noProof/>
            <w:webHidden/>
          </w:rPr>
          <w:fldChar w:fldCharType="begin"/>
        </w:r>
        <w:r w:rsidR="00B3695B">
          <w:rPr>
            <w:noProof/>
            <w:webHidden/>
          </w:rPr>
          <w:instrText xml:space="preserve"> PAGEREF _Toc63858053 \h </w:instrText>
        </w:r>
        <w:r w:rsidR="00B3695B">
          <w:rPr>
            <w:noProof/>
            <w:webHidden/>
          </w:rPr>
        </w:r>
        <w:r w:rsidR="00B3695B">
          <w:rPr>
            <w:noProof/>
            <w:webHidden/>
          </w:rPr>
          <w:fldChar w:fldCharType="separate"/>
        </w:r>
        <w:r w:rsidR="00B3695B">
          <w:rPr>
            <w:noProof/>
            <w:webHidden/>
          </w:rPr>
          <w:t>6</w:t>
        </w:r>
        <w:r w:rsidR="00B3695B">
          <w:rPr>
            <w:noProof/>
            <w:webHidden/>
          </w:rPr>
          <w:fldChar w:fldCharType="end"/>
        </w:r>
      </w:hyperlink>
    </w:p>
    <w:p w14:paraId="331D0D2A" w14:textId="66B04E9E" w:rsidR="00B3695B" w:rsidRDefault="001A3598">
      <w:pPr>
        <w:pStyle w:val="TOC1"/>
        <w:tabs>
          <w:tab w:val="right" w:leader="dot" w:pos="9060"/>
        </w:tabs>
        <w:rPr>
          <w:rFonts w:eastAsiaTheme="minorEastAsia" w:cstheme="minorBidi"/>
          <w:noProof/>
          <w:sz w:val="22"/>
          <w:szCs w:val="22"/>
          <w:lang w:eastAsia="en-AU"/>
        </w:rPr>
      </w:pPr>
      <w:hyperlink w:anchor="_Toc63858054" w:history="1">
        <w:r w:rsidR="00B3695B" w:rsidRPr="00E06DA9">
          <w:rPr>
            <w:rStyle w:val="Hyperlink"/>
            <w:noProof/>
          </w:rPr>
          <w:t>References</w:t>
        </w:r>
        <w:r w:rsidR="00B3695B">
          <w:rPr>
            <w:noProof/>
            <w:webHidden/>
          </w:rPr>
          <w:tab/>
        </w:r>
        <w:r w:rsidR="00B3695B">
          <w:rPr>
            <w:noProof/>
            <w:webHidden/>
          </w:rPr>
          <w:fldChar w:fldCharType="begin"/>
        </w:r>
        <w:r w:rsidR="00B3695B">
          <w:rPr>
            <w:noProof/>
            <w:webHidden/>
          </w:rPr>
          <w:instrText xml:space="preserve"> PAGEREF _Toc63858054 \h </w:instrText>
        </w:r>
        <w:r w:rsidR="00B3695B">
          <w:rPr>
            <w:noProof/>
            <w:webHidden/>
          </w:rPr>
        </w:r>
        <w:r w:rsidR="00B3695B">
          <w:rPr>
            <w:noProof/>
            <w:webHidden/>
          </w:rPr>
          <w:fldChar w:fldCharType="separate"/>
        </w:r>
        <w:r w:rsidR="00B3695B">
          <w:rPr>
            <w:noProof/>
            <w:webHidden/>
          </w:rPr>
          <w:t>7</w:t>
        </w:r>
        <w:r w:rsidR="00B3695B">
          <w:rPr>
            <w:noProof/>
            <w:webHidden/>
          </w:rPr>
          <w:fldChar w:fldCharType="end"/>
        </w:r>
      </w:hyperlink>
    </w:p>
    <w:p w14:paraId="7C8EBFE6" w14:textId="0F09B592" w:rsidR="00B3695B" w:rsidRDefault="001A3598">
      <w:pPr>
        <w:pStyle w:val="TOC1"/>
        <w:tabs>
          <w:tab w:val="right" w:leader="dot" w:pos="9060"/>
        </w:tabs>
        <w:rPr>
          <w:rFonts w:eastAsiaTheme="minorEastAsia" w:cstheme="minorBidi"/>
          <w:noProof/>
          <w:sz w:val="22"/>
          <w:szCs w:val="22"/>
          <w:lang w:eastAsia="en-AU"/>
        </w:rPr>
      </w:pPr>
      <w:hyperlink w:anchor="_Toc63858055" w:history="1">
        <w:r w:rsidR="00B3695B" w:rsidRPr="00E06DA9">
          <w:rPr>
            <w:rStyle w:val="Hyperlink"/>
            <w:noProof/>
          </w:rPr>
          <w:t>Search Terms</w:t>
        </w:r>
        <w:r w:rsidR="00B3695B">
          <w:rPr>
            <w:noProof/>
            <w:webHidden/>
          </w:rPr>
          <w:tab/>
        </w:r>
        <w:r w:rsidR="00B3695B">
          <w:rPr>
            <w:noProof/>
            <w:webHidden/>
          </w:rPr>
          <w:fldChar w:fldCharType="begin"/>
        </w:r>
        <w:r w:rsidR="00B3695B">
          <w:rPr>
            <w:noProof/>
            <w:webHidden/>
          </w:rPr>
          <w:instrText xml:space="preserve"> PAGEREF _Toc63858055 \h </w:instrText>
        </w:r>
        <w:r w:rsidR="00B3695B">
          <w:rPr>
            <w:noProof/>
            <w:webHidden/>
          </w:rPr>
        </w:r>
        <w:r w:rsidR="00B3695B">
          <w:rPr>
            <w:noProof/>
            <w:webHidden/>
          </w:rPr>
          <w:fldChar w:fldCharType="separate"/>
        </w:r>
        <w:r w:rsidR="00B3695B">
          <w:rPr>
            <w:noProof/>
            <w:webHidden/>
          </w:rPr>
          <w:t>7</w:t>
        </w:r>
        <w:r w:rsidR="00B3695B">
          <w:rPr>
            <w:noProof/>
            <w:webHidden/>
          </w:rPr>
          <w:fldChar w:fldCharType="end"/>
        </w:r>
      </w:hyperlink>
    </w:p>
    <w:p w14:paraId="0B64CAE0" w14:textId="712E0204" w:rsidR="00B3695B" w:rsidRDefault="001A3598">
      <w:pPr>
        <w:pStyle w:val="TOC1"/>
        <w:tabs>
          <w:tab w:val="right" w:leader="dot" w:pos="9060"/>
        </w:tabs>
        <w:rPr>
          <w:rFonts w:eastAsiaTheme="minorEastAsia" w:cstheme="minorBidi"/>
          <w:noProof/>
          <w:sz w:val="22"/>
          <w:szCs w:val="22"/>
          <w:lang w:eastAsia="en-AU"/>
        </w:rPr>
      </w:pPr>
      <w:hyperlink w:anchor="_Toc63858056" w:history="1">
        <w:r w:rsidR="00B3695B" w:rsidRPr="00E06DA9">
          <w:rPr>
            <w:rStyle w:val="Hyperlink"/>
            <w:noProof/>
          </w:rPr>
          <w:t>Attachments</w:t>
        </w:r>
        <w:r w:rsidR="00B3695B">
          <w:rPr>
            <w:noProof/>
            <w:webHidden/>
          </w:rPr>
          <w:tab/>
        </w:r>
        <w:r w:rsidR="00B3695B">
          <w:rPr>
            <w:noProof/>
            <w:webHidden/>
          </w:rPr>
          <w:fldChar w:fldCharType="begin"/>
        </w:r>
        <w:r w:rsidR="00B3695B">
          <w:rPr>
            <w:noProof/>
            <w:webHidden/>
          </w:rPr>
          <w:instrText xml:space="preserve"> PAGEREF _Toc63858056 \h </w:instrText>
        </w:r>
        <w:r w:rsidR="00B3695B">
          <w:rPr>
            <w:noProof/>
            <w:webHidden/>
          </w:rPr>
        </w:r>
        <w:r w:rsidR="00B3695B">
          <w:rPr>
            <w:noProof/>
            <w:webHidden/>
          </w:rPr>
          <w:fldChar w:fldCharType="separate"/>
        </w:r>
        <w:r w:rsidR="00B3695B">
          <w:rPr>
            <w:noProof/>
            <w:webHidden/>
          </w:rPr>
          <w:t>7</w:t>
        </w:r>
        <w:r w:rsidR="00B3695B">
          <w:rPr>
            <w:noProof/>
            <w:webHidden/>
          </w:rPr>
          <w:fldChar w:fldCharType="end"/>
        </w:r>
      </w:hyperlink>
    </w:p>
    <w:p w14:paraId="34C7B1A4" w14:textId="471661D7" w:rsidR="00B3695B" w:rsidRDefault="001A3598">
      <w:pPr>
        <w:pStyle w:val="TOC2"/>
        <w:tabs>
          <w:tab w:val="right" w:leader="dot" w:pos="9060"/>
        </w:tabs>
        <w:rPr>
          <w:rFonts w:eastAsiaTheme="minorEastAsia" w:cstheme="minorBidi"/>
          <w:noProof/>
          <w:sz w:val="22"/>
          <w:szCs w:val="22"/>
          <w:lang w:eastAsia="en-AU"/>
        </w:rPr>
      </w:pPr>
      <w:hyperlink w:anchor="_Toc63858057" w:history="1">
        <w:r w:rsidR="00B3695B" w:rsidRPr="00E06DA9">
          <w:rPr>
            <w:rStyle w:val="Hyperlink"/>
            <w:noProof/>
          </w:rPr>
          <w:t>Attachment 1 – Flowchart for Medication Reconciliation on Admission</w:t>
        </w:r>
        <w:r w:rsidR="00B3695B">
          <w:rPr>
            <w:noProof/>
            <w:webHidden/>
          </w:rPr>
          <w:tab/>
        </w:r>
        <w:r w:rsidR="00B3695B">
          <w:rPr>
            <w:noProof/>
            <w:webHidden/>
          </w:rPr>
          <w:fldChar w:fldCharType="begin"/>
        </w:r>
        <w:r w:rsidR="00B3695B">
          <w:rPr>
            <w:noProof/>
            <w:webHidden/>
          </w:rPr>
          <w:instrText xml:space="preserve"> PAGEREF _Toc63858057 \h </w:instrText>
        </w:r>
        <w:r w:rsidR="00B3695B">
          <w:rPr>
            <w:noProof/>
            <w:webHidden/>
          </w:rPr>
        </w:r>
        <w:r w:rsidR="00B3695B">
          <w:rPr>
            <w:noProof/>
            <w:webHidden/>
          </w:rPr>
          <w:fldChar w:fldCharType="separate"/>
        </w:r>
        <w:r w:rsidR="00B3695B">
          <w:rPr>
            <w:noProof/>
            <w:webHidden/>
          </w:rPr>
          <w:t>8</w:t>
        </w:r>
        <w:r w:rsidR="00B3695B">
          <w:rPr>
            <w:noProof/>
            <w:webHidden/>
          </w:rPr>
          <w:fldChar w:fldCharType="end"/>
        </w:r>
      </w:hyperlink>
    </w:p>
    <w:p w14:paraId="6BF6B83E" w14:textId="6ED66890" w:rsidR="00B3695B" w:rsidRDefault="001A3598">
      <w:pPr>
        <w:pStyle w:val="TOC2"/>
        <w:tabs>
          <w:tab w:val="right" w:leader="dot" w:pos="9060"/>
        </w:tabs>
        <w:rPr>
          <w:rFonts w:eastAsiaTheme="minorEastAsia" w:cstheme="minorBidi"/>
          <w:noProof/>
          <w:sz w:val="22"/>
          <w:szCs w:val="22"/>
          <w:lang w:eastAsia="en-AU"/>
        </w:rPr>
      </w:pPr>
      <w:hyperlink w:anchor="_Toc63858058" w:history="1">
        <w:r w:rsidR="00B3695B" w:rsidRPr="00E06DA9">
          <w:rPr>
            <w:rStyle w:val="Hyperlink"/>
            <w:noProof/>
          </w:rPr>
          <w:t>Attachment 2 - Meds on Admission tab in MedChart</w:t>
        </w:r>
        <w:r w:rsidR="00B3695B">
          <w:rPr>
            <w:noProof/>
            <w:webHidden/>
          </w:rPr>
          <w:tab/>
        </w:r>
        <w:r w:rsidR="00B3695B">
          <w:rPr>
            <w:noProof/>
            <w:webHidden/>
          </w:rPr>
          <w:fldChar w:fldCharType="begin"/>
        </w:r>
        <w:r w:rsidR="00B3695B">
          <w:rPr>
            <w:noProof/>
            <w:webHidden/>
          </w:rPr>
          <w:instrText xml:space="preserve"> PAGEREF _Toc63858058 \h </w:instrText>
        </w:r>
        <w:r w:rsidR="00B3695B">
          <w:rPr>
            <w:noProof/>
            <w:webHidden/>
          </w:rPr>
        </w:r>
        <w:r w:rsidR="00B3695B">
          <w:rPr>
            <w:noProof/>
            <w:webHidden/>
          </w:rPr>
          <w:fldChar w:fldCharType="separate"/>
        </w:r>
        <w:r w:rsidR="00B3695B">
          <w:rPr>
            <w:noProof/>
            <w:webHidden/>
          </w:rPr>
          <w:t>9</w:t>
        </w:r>
        <w:r w:rsidR="00B3695B">
          <w:rPr>
            <w:noProof/>
            <w:webHidden/>
          </w:rPr>
          <w:fldChar w:fldCharType="end"/>
        </w:r>
      </w:hyperlink>
    </w:p>
    <w:p w14:paraId="7307104A" w14:textId="16186A4D" w:rsidR="00B3695B" w:rsidRDefault="001A3598">
      <w:pPr>
        <w:pStyle w:val="TOC2"/>
        <w:tabs>
          <w:tab w:val="right" w:leader="dot" w:pos="9060"/>
        </w:tabs>
        <w:rPr>
          <w:rFonts w:eastAsiaTheme="minorEastAsia" w:cstheme="minorBidi"/>
          <w:noProof/>
          <w:sz w:val="22"/>
          <w:szCs w:val="22"/>
          <w:lang w:eastAsia="en-AU"/>
        </w:rPr>
      </w:pPr>
      <w:hyperlink w:anchor="_Toc63858059" w:history="1">
        <w:r w:rsidR="00B3695B" w:rsidRPr="00E06DA9">
          <w:rPr>
            <w:rStyle w:val="Hyperlink"/>
            <w:noProof/>
          </w:rPr>
          <w:t>Attachment 3 – Medication Reconciliation Form</w:t>
        </w:r>
        <w:r w:rsidR="00B3695B">
          <w:rPr>
            <w:noProof/>
            <w:webHidden/>
          </w:rPr>
          <w:tab/>
        </w:r>
        <w:r w:rsidR="00B3695B">
          <w:rPr>
            <w:noProof/>
            <w:webHidden/>
          </w:rPr>
          <w:fldChar w:fldCharType="begin"/>
        </w:r>
        <w:r w:rsidR="00B3695B">
          <w:rPr>
            <w:noProof/>
            <w:webHidden/>
          </w:rPr>
          <w:instrText xml:space="preserve"> PAGEREF _Toc63858059 \h </w:instrText>
        </w:r>
        <w:r w:rsidR="00B3695B">
          <w:rPr>
            <w:noProof/>
            <w:webHidden/>
          </w:rPr>
        </w:r>
        <w:r w:rsidR="00B3695B">
          <w:rPr>
            <w:noProof/>
            <w:webHidden/>
          </w:rPr>
          <w:fldChar w:fldCharType="separate"/>
        </w:r>
        <w:r w:rsidR="00B3695B">
          <w:rPr>
            <w:noProof/>
            <w:webHidden/>
          </w:rPr>
          <w:t>10</w:t>
        </w:r>
        <w:r w:rsidR="00B3695B">
          <w:rPr>
            <w:noProof/>
            <w:webHidden/>
          </w:rPr>
          <w:fldChar w:fldCharType="end"/>
        </w:r>
      </w:hyperlink>
    </w:p>
    <w:p w14:paraId="7108EB21" w14:textId="356EE3E1" w:rsidR="00B3695B" w:rsidRDefault="001A3598">
      <w:pPr>
        <w:pStyle w:val="TOC2"/>
        <w:tabs>
          <w:tab w:val="right" w:leader="dot" w:pos="9060"/>
        </w:tabs>
        <w:rPr>
          <w:rFonts w:eastAsiaTheme="minorEastAsia" w:cstheme="minorBidi"/>
          <w:noProof/>
          <w:sz w:val="22"/>
          <w:szCs w:val="22"/>
          <w:lang w:eastAsia="en-AU"/>
        </w:rPr>
      </w:pPr>
      <w:hyperlink w:anchor="_Toc63858060" w:history="1">
        <w:r w:rsidR="00B3695B" w:rsidRPr="00E06DA9">
          <w:rPr>
            <w:rStyle w:val="Hyperlink"/>
            <w:noProof/>
            <w:lang w:eastAsia="en-AU"/>
          </w:rPr>
          <w:t xml:space="preserve">Attachment </w:t>
        </w:r>
        <w:r w:rsidR="00B3695B" w:rsidRPr="00E06DA9">
          <w:rPr>
            <w:rStyle w:val="Hyperlink"/>
            <w:noProof/>
          </w:rPr>
          <w:t>4 – Pre-operative Medication Plan</w:t>
        </w:r>
        <w:r w:rsidR="00B3695B">
          <w:rPr>
            <w:noProof/>
            <w:webHidden/>
          </w:rPr>
          <w:tab/>
        </w:r>
        <w:r w:rsidR="00B3695B">
          <w:rPr>
            <w:noProof/>
            <w:webHidden/>
          </w:rPr>
          <w:fldChar w:fldCharType="begin"/>
        </w:r>
        <w:r w:rsidR="00B3695B">
          <w:rPr>
            <w:noProof/>
            <w:webHidden/>
          </w:rPr>
          <w:instrText xml:space="preserve"> PAGEREF _Toc63858060 \h </w:instrText>
        </w:r>
        <w:r w:rsidR="00B3695B">
          <w:rPr>
            <w:noProof/>
            <w:webHidden/>
          </w:rPr>
        </w:r>
        <w:r w:rsidR="00B3695B">
          <w:rPr>
            <w:noProof/>
            <w:webHidden/>
          </w:rPr>
          <w:fldChar w:fldCharType="separate"/>
        </w:r>
        <w:r w:rsidR="00B3695B">
          <w:rPr>
            <w:noProof/>
            <w:webHidden/>
          </w:rPr>
          <w:t>12</w:t>
        </w:r>
        <w:r w:rsidR="00B3695B">
          <w:rPr>
            <w:noProof/>
            <w:webHidden/>
          </w:rPr>
          <w:fldChar w:fldCharType="end"/>
        </w:r>
      </w:hyperlink>
    </w:p>
    <w:p w14:paraId="7E3141C0" w14:textId="05461CD6" w:rsidR="00B3695B" w:rsidRDefault="001A3598">
      <w:pPr>
        <w:pStyle w:val="TOC2"/>
        <w:tabs>
          <w:tab w:val="right" w:leader="dot" w:pos="9060"/>
        </w:tabs>
        <w:rPr>
          <w:rFonts w:eastAsiaTheme="minorEastAsia" w:cstheme="minorBidi"/>
          <w:noProof/>
          <w:sz w:val="22"/>
          <w:szCs w:val="22"/>
          <w:lang w:eastAsia="en-AU"/>
        </w:rPr>
      </w:pPr>
      <w:hyperlink w:anchor="_Toc63858061" w:history="1">
        <w:r w:rsidR="00B3695B" w:rsidRPr="00E06DA9">
          <w:rPr>
            <w:rStyle w:val="Hyperlink"/>
            <w:noProof/>
          </w:rPr>
          <w:t>Attachment 5 – Electronic Discharge Summary</w:t>
        </w:r>
        <w:r w:rsidR="00B3695B">
          <w:rPr>
            <w:noProof/>
            <w:webHidden/>
          </w:rPr>
          <w:tab/>
        </w:r>
        <w:r w:rsidR="00B3695B">
          <w:rPr>
            <w:noProof/>
            <w:webHidden/>
          </w:rPr>
          <w:fldChar w:fldCharType="begin"/>
        </w:r>
        <w:r w:rsidR="00B3695B">
          <w:rPr>
            <w:noProof/>
            <w:webHidden/>
          </w:rPr>
          <w:instrText xml:space="preserve"> PAGEREF _Toc63858061 \h </w:instrText>
        </w:r>
        <w:r w:rsidR="00B3695B">
          <w:rPr>
            <w:noProof/>
            <w:webHidden/>
          </w:rPr>
        </w:r>
        <w:r w:rsidR="00B3695B">
          <w:rPr>
            <w:noProof/>
            <w:webHidden/>
          </w:rPr>
          <w:fldChar w:fldCharType="separate"/>
        </w:r>
        <w:r w:rsidR="00B3695B">
          <w:rPr>
            <w:noProof/>
            <w:webHidden/>
          </w:rPr>
          <w:t>13</w:t>
        </w:r>
        <w:r w:rsidR="00B3695B">
          <w:rPr>
            <w:noProof/>
            <w:webHidden/>
          </w:rPr>
          <w:fldChar w:fldCharType="end"/>
        </w:r>
      </w:hyperlink>
    </w:p>
    <w:p w14:paraId="1EF593A0" w14:textId="42B47130" w:rsidR="007A2789" w:rsidRDefault="007A2789" w:rsidP="007A2789">
      <w:r>
        <w:rPr>
          <w:rFonts w:asciiTheme="minorHAnsi" w:hAnsiTheme="minorHAnsi"/>
        </w:rPr>
        <w:fldChar w:fldCharType="end"/>
      </w:r>
    </w:p>
    <w:p w14:paraId="52482BA8" w14:textId="77777777" w:rsidR="007A2789" w:rsidRPr="009902FB" w:rsidRDefault="007A2789" w:rsidP="00A86C1F">
      <w:pPr>
        <w:rPr>
          <w:rFonts w:cs="Arial"/>
          <w:b/>
          <w:sz w:val="36"/>
          <w:szCs w:val="36"/>
        </w:rPr>
      </w:pPr>
    </w:p>
    <w:p w14:paraId="01764CB8" w14:textId="77777777" w:rsidR="007A2789" w:rsidRDefault="007A2789">
      <w:r>
        <w:rPr>
          <w:b/>
          <w:iCs/>
        </w:rPr>
        <w:br w:type="page"/>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3742B8E4" w14:textId="77777777" w:rsidTr="009F2977">
        <w:trPr>
          <w:cantSplit/>
          <w:trHeight w:val="285"/>
        </w:trPr>
        <w:tc>
          <w:tcPr>
            <w:tcW w:w="9158" w:type="dxa"/>
            <w:shd w:val="clear" w:color="auto" w:fill="000000"/>
          </w:tcPr>
          <w:p w14:paraId="3742B8E3" w14:textId="3C897C67" w:rsidR="00A86A9D" w:rsidRPr="007A238D" w:rsidRDefault="00A86A9D" w:rsidP="007A238D">
            <w:pPr>
              <w:pStyle w:val="Heading1"/>
              <w:rPr>
                <w:szCs w:val="24"/>
              </w:rPr>
            </w:pPr>
            <w:bookmarkStart w:id="1" w:name="_Toc63858048"/>
            <w:r>
              <w:rPr>
                <w:szCs w:val="24"/>
              </w:rPr>
              <w:lastRenderedPageBreak/>
              <w:t xml:space="preserve">Policy </w:t>
            </w:r>
            <w:r w:rsidRPr="007A238D">
              <w:rPr>
                <w:szCs w:val="24"/>
              </w:rPr>
              <w:t>Statement</w:t>
            </w:r>
            <w:bookmarkEnd w:id="1"/>
          </w:p>
        </w:tc>
      </w:tr>
    </w:tbl>
    <w:p w14:paraId="3742B8E5" w14:textId="77777777" w:rsidR="00A86A9D" w:rsidRDefault="00A86A9D" w:rsidP="00A86A9D">
      <w:pPr>
        <w:jc w:val="both"/>
        <w:rPr>
          <w:rFonts w:cs="Arial"/>
          <w:b/>
          <w:szCs w:val="24"/>
        </w:rPr>
      </w:pPr>
    </w:p>
    <w:p w14:paraId="3F2C29E0" w14:textId="49E78CAF" w:rsidR="004B15C3" w:rsidRDefault="004B15C3" w:rsidP="004B15C3">
      <w:r>
        <w:t xml:space="preserve">Hospital executive, nursing and midwifery staff, </w:t>
      </w:r>
      <w:proofErr w:type="gramStart"/>
      <w:r>
        <w:t>pharmacists</w:t>
      </w:r>
      <w:proofErr w:type="gramEnd"/>
      <w:r>
        <w:t xml:space="preserve"> and prescribers each have a role to play in ensuring the continuity of medication management in our health service. This policy outlines the roles and responsibilities of each staff member in providing this continuity of care.</w:t>
      </w:r>
    </w:p>
    <w:p w14:paraId="3DDF6B82" w14:textId="77777777" w:rsidR="004B15C3" w:rsidRDefault="004B15C3" w:rsidP="008768A9">
      <w:pPr>
        <w:rPr>
          <w:lang w:eastAsia="en-AU"/>
        </w:rPr>
      </w:pPr>
    </w:p>
    <w:p w14:paraId="6F52210F" w14:textId="14A4AAC5" w:rsidR="008768A9" w:rsidRPr="001F648B" w:rsidRDefault="008768A9" w:rsidP="008768A9">
      <w:pPr>
        <w:rPr>
          <w:lang w:eastAsia="en-AU"/>
        </w:rPr>
      </w:pPr>
      <w:r w:rsidRPr="001F648B">
        <w:rPr>
          <w:lang w:eastAsia="en-AU"/>
        </w:rPr>
        <w:t>Medication Reconciliation is a structured process to ensure that patients receiving care in our service receive all medicines that they are intended to and that accurate, current and comprehensive medicines information</w:t>
      </w:r>
      <w:r>
        <w:rPr>
          <w:lang w:eastAsia="en-AU"/>
        </w:rPr>
        <w:t>,</w:t>
      </w:r>
      <w:r w:rsidRPr="001F648B">
        <w:rPr>
          <w:lang w:eastAsia="en-AU"/>
        </w:rPr>
        <w:t xml:space="preserve"> including changes to their medication regimen follows them at all transfers of care</w:t>
      </w:r>
      <w:r w:rsidRPr="001C62F8">
        <w:rPr>
          <w:vertAlign w:val="superscript"/>
          <w:lang w:eastAsia="en-AU"/>
        </w:rPr>
        <w:t>1</w:t>
      </w:r>
      <w:r w:rsidRPr="001F648B">
        <w:rPr>
          <w:lang w:eastAsia="en-AU"/>
        </w:rPr>
        <w:t>.</w:t>
      </w:r>
      <w:r>
        <w:rPr>
          <w:lang w:eastAsia="en-AU"/>
        </w:rPr>
        <w:t xml:space="preserve"> </w:t>
      </w:r>
    </w:p>
    <w:p w14:paraId="3CCB20A1" w14:textId="77777777" w:rsidR="008768A9" w:rsidRPr="00266DAC" w:rsidRDefault="008768A9" w:rsidP="008768A9">
      <w:pPr>
        <w:rPr>
          <w:b/>
          <w:lang w:eastAsia="en-AU"/>
        </w:rPr>
      </w:pPr>
    </w:p>
    <w:p w14:paraId="57AF94C8" w14:textId="77777777" w:rsidR="008768A9" w:rsidRPr="001C62F8" w:rsidRDefault="008768A9" w:rsidP="008768A9">
      <w:pPr>
        <w:rPr>
          <w:lang w:eastAsia="en-AU"/>
        </w:rPr>
      </w:pPr>
      <w:r w:rsidRPr="00266DAC">
        <w:rPr>
          <w:b/>
          <w:lang w:eastAsia="en-AU"/>
        </w:rPr>
        <w:t>Medication Reconciliation</w:t>
      </w:r>
      <w:r w:rsidRPr="001C62F8">
        <w:rPr>
          <w:lang w:eastAsia="en-AU"/>
        </w:rPr>
        <w:t xml:space="preserve"> is a four-step process</w:t>
      </w:r>
      <w:r w:rsidRPr="001C62F8">
        <w:rPr>
          <w:vertAlign w:val="superscript"/>
          <w:lang w:eastAsia="en-AU"/>
        </w:rPr>
        <w:t>1</w:t>
      </w:r>
      <w:r>
        <w:rPr>
          <w:lang w:eastAsia="en-AU"/>
        </w:rPr>
        <w:t xml:space="preserve"> (</w:t>
      </w:r>
      <w:bookmarkStart w:id="2" w:name="_Hlk61348876"/>
      <w:r>
        <w:rPr>
          <w:lang w:eastAsia="en-AU"/>
        </w:rPr>
        <w:t xml:space="preserve">Attachment </w:t>
      </w:r>
      <w:bookmarkEnd w:id="2"/>
      <w:r>
        <w:rPr>
          <w:lang w:eastAsia="en-AU"/>
        </w:rPr>
        <w:t>1):</w:t>
      </w:r>
    </w:p>
    <w:p w14:paraId="05EBA3C3" w14:textId="77777777" w:rsidR="008768A9" w:rsidRPr="001C62F8" w:rsidRDefault="008768A9" w:rsidP="008768A9">
      <w:pPr>
        <w:pStyle w:val="ListParagraph"/>
        <w:numPr>
          <w:ilvl w:val="0"/>
          <w:numId w:val="19"/>
        </w:numPr>
        <w:rPr>
          <w:lang w:eastAsia="en-AU"/>
        </w:rPr>
      </w:pPr>
      <w:r w:rsidRPr="001C62F8">
        <w:rPr>
          <w:lang w:eastAsia="en-AU"/>
        </w:rPr>
        <w:t>Documenting a complete medication history following interview with the patient or their carer</w:t>
      </w:r>
    </w:p>
    <w:p w14:paraId="3BF620EB" w14:textId="77777777" w:rsidR="008768A9" w:rsidRPr="001C62F8" w:rsidRDefault="008768A9" w:rsidP="008768A9">
      <w:pPr>
        <w:pStyle w:val="ListParagraph"/>
        <w:numPr>
          <w:ilvl w:val="0"/>
          <w:numId w:val="19"/>
        </w:numPr>
        <w:rPr>
          <w:lang w:eastAsia="en-AU"/>
        </w:rPr>
      </w:pPr>
      <w:r w:rsidRPr="001C62F8">
        <w:rPr>
          <w:lang w:eastAsia="en-AU"/>
        </w:rPr>
        <w:t>Verifying the accuracy of this history with at least one additional source of information to create a Best Possible Medication History (BPMH)</w:t>
      </w:r>
    </w:p>
    <w:p w14:paraId="6C59B03C" w14:textId="77777777" w:rsidR="008768A9" w:rsidRPr="001C62F8" w:rsidRDefault="008768A9" w:rsidP="008768A9">
      <w:pPr>
        <w:pStyle w:val="ListParagraph"/>
        <w:numPr>
          <w:ilvl w:val="0"/>
          <w:numId w:val="19"/>
        </w:numPr>
        <w:rPr>
          <w:lang w:eastAsia="en-AU"/>
        </w:rPr>
      </w:pPr>
      <w:r>
        <w:rPr>
          <w:lang w:eastAsia="en-AU"/>
        </w:rPr>
        <w:t>Reconcile</w:t>
      </w:r>
      <w:r w:rsidRPr="001C62F8">
        <w:rPr>
          <w:lang w:eastAsia="en-AU"/>
        </w:rPr>
        <w:t xml:space="preserve"> the BPMH against </w:t>
      </w:r>
      <w:r>
        <w:rPr>
          <w:lang w:eastAsia="en-AU"/>
        </w:rPr>
        <w:t xml:space="preserve">the medicines </w:t>
      </w:r>
      <w:r w:rsidRPr="001C62F8">
        <w:rPr>
          <w:lang w:eastAsia="en-AU"/>
        </w:rPr>
        <w:t xml:space="preserve">prescribed </w:t>
      </w:r>
      <w:r>
        <w:rPr>
          <w:lang w:eastAsia="en-AU"/>
        </w:rPr>
        <w:t>for the patient at CHS</w:t>
      </w:r>
      <w:r w:rsidRPr="001C62F8">
        <w:rPr>
          <w:lang w:eastAsia="en-AU"/>
        </w:rPr>
        <w:t xml:space="preserve"> to identify discrepancies, work to resolve discrepancies and document the plan for rectifying the discrepancies</w:t>
      </w:r>
    </w:p>
    <w:p w14:paraId="47CAD7F8" w14:textId="77777777" w:rsidR="008768A9" w:rsidRPr="001C62F8" w:rsidRDefault="008768A9" w:rsidP="008768A9">
      <w:pPr>
        <w:pStyle w:val="ListParagraph"/>
        <w:numPr>
          <w:ilvl w:val="0"/>
          <w:numId w:val="19"/>
        </w:numPr>
        <w:rPr>
          <w:lang w:eastAsia="en-AU"/>
        </w:rPr>
      </w:pPr>
      <w:r w:rsidRPr="001C62F8">
        <w:rPr>
          <w:lang w:eastAsia="en-AU"/>
        </w:rPr>
        <w:t>Provide an accurate list of</w:t>
      </w:r>
      <w:r>
        <w:rPr>
          <w:lang w:eastAsia="en-AU"/>
        </w:rPr>
        <w:t xml:space="preserve"> prescribed</w:t>
      </w:r>
      <w:r w:rsidRPr="001C62F8">
        <w:rPr>
          <w:lang w:eastAsia="en-AU"/>
        </w:rPr>
        <w:t xml:space="preserve"> medicines to the patient and next care provider at each transfer of care</w:t>
      </w:r>
    </w:p>
    <w:p w14:paraId="4BCC2DC5" w14:textId="77777777" w:rsidR="008768A9" w:rsidRPr="001C62F8" w:rsidRDefault="008768A9" w:rsidP="008768A9">
      <w:pPr>
        <w:rPr>
          <w:lang w:eastAsia="en-AU"/>
        </w:rPr>
      </w:pPr>
    </w:p>
    <w:p w14:paraId="7304AEE3" w14:textId="77777777" w:rsidR="008768A9" w:rsidRPr="00A94CA6" w:rsidRDefault="008768A9" w:rsidP="008768A9">
      <w:pPr>
        <w:rPr>
          <w:rFonts w:cs="Arial"/>
          <w:szCs w:val="24"/>
        </w:rPr>
      </w:pPr>
      <w:r w:rsidRPr="00266DAC">
        <w:rPr>
          <w:b/>
          <w:lang w:eastAsia="en-AU"/>
        </w:rPr>
        <w:t>Medication Review</w:t>
      </w:r>
      <w:r w:rsidRPr="001C62F8">
        <w:rPr>
          <w:lang w:eastAsia="en-AU"/>
        </w:rPr>
        <w:t xml:space="preserve"> optimises prescribed pharmacotherapy by conducting evidence-based reviews on existing and newly prescribed medicines in the context of the patient’s clinical condition and treatment goals</w:t>
      </w:r>
      <w:r w:rsidRPr="001C62F8">
        <w:rPr>
          <w:vertAlign w:val="superscript"/>
          <w:lang w:eastAsia="en-AU"/>
        </w:rPr>
        <w:t>2</w:t>
      </w:r>
      <w:r w:rsidRPr="001C62F8">
        <w:rPr>
          <w:lang w:eastAsia="en-AU"/>
        </w:rPr>
        <w:t xml:space="preserve">. While every patient should have medication reviews conducted, prioritising patients deemed at </w:t>
      </w:r>
      <w:r w:rsidRPr="000A7EBB">
        <w:rPr>
          <w:lang w:eastAsia="en-AU"/>
        </w:rPr>
        <w:t>highest potential risk of experiencing medication-related harm</w:t>
      </w:r>
      <w:r>
        <w:rPr>
          <w:lang w:eastAsia="en-AU"/>
        </w:rPr>
        <w:t xml:space="preserve"> is a practical method of distributing limited resources to ensure these patients benefit from this activity</w:t>
      </w:r>
      <w:r>
        <w:t>.</w:t>
      </w:r>
      <w:r>
        <w:rPr>
          <w:rFonts w:cs="Arial"/>
          <w:szCs w:val="24"/>
        </w:rPr>
        <w:t xml:space="preserve"> </w:t>
      </w:r>
    </w:p>
    <w:p w14:paraId="3742B8F1" w14:textId="2765BC09" w:rsidR="00327552" w:rsidRDefault="00327552" w:rsidP="00A86A9D">
      <w:pPr>
        <w:jc w:val="both"/>
      </w:pPr>
    </w:p>
    <w:p w14:paraId="04EB6842" w14:textId="23AF46B9" w:rsidR="008768A9" w:rsidRDefault="008768A9" w:rsidP="00A86A9D">
      <w:pPr>
        <w:jc w:val="both"/>
      </w:pPr>
      <w:r>
        <w:t xml:space="preserve">Staff are expected </w:t>
      </w:r>
      <w:r w:rsidR="004B15C3">
        <w:t xml:space="preserve">to complete </w:t>
      </w:r>
      <w:r>
        <w:t>these processes in accordance with their responsibilities outlined below.</w:t>
      </w:r>
    </w:p>
    <w:p w14:paraId="0A5C7CAC" w14:textId="77777777" w:rsidR="004B15C3" w:rsidRPr="00AE1099" w:rsidRDefault="004B15C3" w:rsidP="00A86A9D">
      <w:pPr>
        <w:jc w:val="both"/>
      </w:pPr>
    </w:p>
    <w:p w14:paraId="7C989767" w14:textId="3582CA47" w:rsidR="007A2789" w:rsidRDefault="001A3598" w:rsidP="007A2789">
      <w:pPr>
        <w:jc w:val="right"/>
      </w:pPr>
      <w:hyperlink w:anchor="Contents" w:history="1">
        <w:r w:rsidR="007A2789" w:rsidRPr="00590902">
          <w:rPr>
            <w:rStyle w:val="Hyperlink"/>
            <w:rFonts w:cs="Arial"/>
            <w:i/>
            <w:szCs w:val="24"/>
          </w:rPr>
          <w:t>Back to Table of Contents</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3742B8F3" w14:textId="77777777" w:rsidTr="009F2977">
        <w:trPr>
          <w:cantSplit/>
          <w:trHeight w:val="285"/>
        </w:trPr>
        <w:tc>
          <w:tcPr>
            <w:tcW w:w="9158" w:type="dxa"/>
            <w:shd w:val="clear" w:color="auto" w:fill="000000"/>
          </w:tcPr>
          <w:p w14:paraId="3742B8F2" w14:textId="5524B74B" w:rsidR="00A86A9D" w:rsidRPr="007A238D" w:rsidRDefault="00A86A9D" w:rsidP="007A238D">
            <w:pPr>
              <w:pStyle w:val="Heading1"/>
              <w:rPr>
                <w:szCs w:val="24"/>
              </w:rPr>
            </w:pPr>
            <w:bookmarkStart w:id="3" w:name="_Toc63858049"/>
            <w:r w:rsidRPr="007A238D">
              <w:rPr>
                <w:szCs w:val="24"/>
              </w:rPr>
              <w:t>Purpose</w:t>
            </w:r>
            <w:bookmarkEnd w:id="3"/>
          </w:p>
        </w:tc>
      </w:tr>
    </w:tbl>
    <w:p w14:paraId="2D9A4A08" w14:textId="77777777" w:rsidR="00B52567" w:rsidRDefault="00B52567" w:rsidP="0081724F">
      <w:pPr>
        <w:rPr>
          <w:rFonts w:cs="Arial"/>
          <w:szCs w:val="24"/>
        </w:rPr>
      </w:pPr>
    </w:p>
    <w:p w14:paraId="1EBA776E" w14:textId="5F9CCA39" w:rsidR="004B0D84" w:rsidRDefault="00E719E4" w:rsidP="0081724F">
      <w:pPr>
        <w:rPr>
          <w:rFonts w:cs="Arial"/>
          <w:szCs w:val="24"/>
        </w:rPr>
      </w:pPr>
      <w:r>
        <w:rPr>
          <w:rFonts w:cs="Arial"/>
          <w:szCs w:val="24"/>
        </w:rPr>
        <w:t xml:space="preserve">This </w:t>
      </w:r>
      <w:r w:rsidR="00A86C1F">
        <w:rPr>
          <w:rFonts w:cs="Arial"/>
          <w:szCs w:val="24"/>
        </w:rPr>
        <w:t>p</w:t>
      </w:r>
      <w:r>
        <w:rPr>
          <w:rFonts w:cs="Arial"/>
          <w:szCs w:val="24"/>
        </w:rPr>
        <w:t xml:space="preserve">olicy </w:t>
      </w:r>
      <w:r w:rsidR="00A86C1F">
        <w:rPr>
          <w:rFonts w:cs="Arial"/>
          <w:szCs w:val="24"/>
        </w:rPr>
        <w:t>specifies</w:t>
      </w:r>
      <w:r w:rsidR="00E074FE">
        <w:rPr>
          <w:rFonts w:cs="Arial"/>
          <w:szCs w:val="24"/>
        </w:rPr>
        <w:t xml:space="preserve"> the groups </w:t>
      </w:r>
      <w:r w:rsidR="004F7458">
        <w:rPr>
          <w:rFonts w:cs="Arial"/>
          <w:szCs w:val="24"/>
        </w:rPr>
        <w:t xml:space="preserve">of people </w:t>
      </w:r>
      <w:r w:rsidR="00961826">
        <w:rPr>
          <w:rFonts w:cs="Arial"/>
          <w:szCs w:val="24"/>
        </w:rPr>
        <w:t>with</w:t>
      </w:r>
      <w:r w:rsidR="00E074FE">
        <w:rPr>
          <w:rFonts w:cs="Arial"/>
          <w:szCs w:val="24"/>
        </w:rPr>
        <w:t>in Canberra Health Service</w:t>
      </w:r>
      <w:r w:rsidR="00961826">
        <w:rPr>
          <w:rFonts w:cs="Arial"/>
          <w:szCs w:val="24"/>
        </w:rPr>
        <w:t xml:space="preserve"> who are</w:t>
      </w:r>
      <w:r w:rsidR="00E074FE">
        <w:rPr>
          <w:rFonts w:cs="Arial"/>
          <w:szCs w:val="24"/>
        </w:rPr>
        <w:t xml:space="preserve"> </w:t>
      </w:r>
      <w:r w:rsidR="00961826">
        <w:rPr>
          <w:rFonts w:cs="Arial"/>
          <w:szCs w:val="24"/>
        </w:rPr>
        <w:t>responsible for</w:t>
      </w:r>
      <w:r w:rsidR="004F7458">
        <w:rPr>
          <w:rFonts w:cs="Arial"/>
          <w:szCs w:val="24"/>
        </w:rPr>
        <w:t xml:space="preserve"> </w:t>
      </w:r>
      <w:r w:rsidR="00961826">
        <w:rPr>
          <w:rFonts w:cs="Arial"/>
          <w:szCs w:val="24"/>
        </w:rPr>
        <w:t xml:space="preserve">continuity of medication management </w:t>
      </w:r>
      <w:r w:rsidR="00A86C1F">
        <w:rPr>
          <w:rFonts w:cs="Arial"/>
          <w:szCs w:val="24"/>
        </w:rPr>
        <w:t>through complet</w:t>
      </w:r>
      <w:r w:rsidR="008768A9">
        <w:rPr>
          <w:rFonts w:cs="Arial"/>
          <w:szCs w:val="24"/>
        </w:rPr>
        <w:t>ion of</w:t>
      </w:r>
      <w:r w:rsidR="00A86C1F">
        <w:rPr>
          <w:rFonts w:cs="Arial"/>
          <w:szCs w:val="24"/>
        </w:rPr>
        <w:t xml:space="preserve"> Medication Reconciliation and Medication Review </w:t>
      </w:r>
      <w:r w:rsidR="00961826">
        <w:rPr>
          <w:rFonts w:cs="Arial"/>
          <w:szCs w:val="24"/>
        </w:rPr>
        <w:t>for</w:t>
      </w:r>
      <w:r w:rsidR="004F7458">
        <w:rPr>
          <w:rFonts w:cs="Arial"/>
          <w:szCs w:val="24"/>
        </w:rPr>
        <w:t xml:space="preserve"> the</w:t>
      </w:r>
      <w:r w:rsidR="00961826">
        <w:rPr>
          <w:rFonts w:cs="Arial"/>
          <w:szCs w:val="24"/>
        </w:rPr>
        <w:t xml:space="preserve"> patients of our service</w:t>
      </w:r>
      <w:r w:rsidR="00A86C1F">
        <w:rPr>
          <w:rFonts w:cs="Arial"/>
          <w:szCs w:val="24"/>
        </w:rPr>
        <w:t>.</w:t>
      </w:r>
      <w:r w:rsidR="009F0226">
        <w:rPr>
          <w:rFonts w:cs="Arial"/>
          <w:szCs w:val="24"/>
        </w:rPr>
        <w:t xml:space="preserve"> This policy should be read in conjunction with the Medication Reconciliation and Medication review Procedure for Adult and Paediatric Patients.</w:t>
      </w:r>
    </w:p>
    <w:p w14:paraId="6D8D9833" w14:textId="03DB21D9" w:rsidR="00B52567" w:rsidRDefault="00B52567" w:rsidP="0081724F">
      <w:pPr>
        <w:rPr>
          <w:rFonts w:cs="Arial"/>
          <w:i/>
          <w:szCs w:val="24"/>
        </w:rPr>
      </w:pPr>
    </w:p>
    <w:p w14:paraId="08AE3AA2" w14:textId="29813C8B" w:rsidR="007A2789" w:rsidRPr="0081724F" w:rsidRDefault="001A3598" w:rsidP="007A2789">
      <w:pPr>
        <w:jc w:val="right"/>
        <w:rPr>
          <w:rFonts w:cs="Arial"/>
          <w:i/>
          <w:szCs w:val="24"/>
        </w:rPr>
      </w:pPr>
      <w:hyperlink w:anchor="Contents" w:history="1">
        <w:r w:rsidR="007A2789" w:rsidRPr="00590902">
          <w:rPr>
            <w:rStyle w:val="Hyperlink"/>
            <w:rFonts w:cs="Arial"/>
            <w:i/>
            <w:szCs w:val="24"/>
          </w:rPr>
          <w:t>Back to Table of Contents</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3742B8F8" w14:textId="77777777" w:rsidTr="009F2977">
        <w:trPr>
          <w:cantSplit/>
          <w:trHeight w:val="285"/>
        </w:trPr>
        <w:tc>
          <w:tcPr>
            <w:tcW w:w="9158" w:type="dxa"/>
            <w:shd w:val="clear" w:color="auto" w:fill="000000"/>
          </w:tcPr>
          <w:p w14:paraId="3742B8F7" w14:textId="77777777" w:rsidR="00A86A9D" w:rsidRPr="001502DF" w:rsidRDefault="00A86A9D" w:rsidP="007A238D">
            <w:pPr>
              <w:pStyle w:val="Heading1"/>
              <w:rPr>
                <w:b w:val="0"/>
                <w:szCs w:val="24"/>
              </w:rPr>
            </w:pPr>
            <w:bookmarkStart w:id="4" w:name="_Toc63858050"/>
            <w:r w:rsidRPr="001502DF">
              <w:rPr>
                <w:szCs w:val="24"/>
              </w:rPr>
              <w:lastRenderedPageBreak/>
              <w:t>Scope</w:t>
            </w:r>
            <w:bookmarkEnd w:id="4"/>
          </w:p>
        </w:tc>
      </w:tr>
    </w:tbl>
    <w:p w14:paraId="540DD920" w14:textId="77777777" w:rsidR="00971602" w:rsidRDefault="00971602" w:rsidP="00DC4156">
      <w:pPr>
        <w:rPr>
          <w:rFonts w:cs="Arial"/>
          <w:szCs w:val="24"/>
        </w:rPr>
      </w:pPr>
    </w:p>
    <w:p w14:paraId="2C4755D9" w14:textId="74132AB1" w:rsidR="00A86C1F" w:rsidRDefault="00A86C1F" w:rsidP="00A86C1F">
      <w:r>
        <w:rPr>
          <w:rFonts w:cs="Arial"/>
          <w:szCs w:val="24"/>
        </w:rPr>
        <w:t>This policy applies to adult and paediatric patients admitted to CHS.</w:t>
      </w:r>
    </w:p>
    <w:p w14:paraId="47B53BED" w14:textId="77777777" w:rsidR="00A86C1F" w:rsidRDefault="00A86C1F" w:rsidP="00A86C1F"/>
    <w:p w14:paraId="0EC8C1A0" w14:textId="4D91D989" w:rsidR="00A86C1F" w:rsidRDefault="00A86C1F" w:rsidP="00A86C1F">
      <w:pPr>
        <w:rPr>
          <w:rFonts w:cs="Arial"/>
          <w:szCs w:val="24"/>
        </w:rPr>
      </w:pPr>
      <w:r>
        <w:rPr>
          <w:rFonts w:cs="Arial"/>
          <w:szCs w:val="24"/>
        </w:rPr>
        <w:t>This Operational Policy applies to the following CHS staff working within their scope of practice:</w:t>
      </w:r>
    </w:p>
    <w:p w14:paraId="46B8D863" w14:textId="77777777" w:rsidR="00A86C1F" w:rsidRDefault="00A86C1F" w:rsidP="007A2789">
      <w:pPr>
        <w:pStyle w:val="ListBullet"/>
      </w:pPr>
      <w:r>
        <w:t>hospital executives</w:t>
      </w:r>
    </w:p>
    <w:p w14:paraId="3C522FD2" w14:textId="77777777" w:rsidR="00A86C1F" w:rsidRDefault="00A86C1F" w:rsidP="007A2789">
      <w:pPr>
        <w:pStyle w:val="ListBullet"/>
      </w:pPr>
      <w:r w:rsidRPr="005644C8">
        <w:t>pharmacists</w:t>
      </w:r>
    </w:p>
    <w:p w14:paraId="38016DAC" w14:textId="77777777" w:rsidR="00A86C1F" w:rsidRDefault="00A86C1F" w:rsidP="007A2789">
      <w:pPr>
        <w:pStyle w:val="ListBullet"/>
      </w:pPr>
      <w:r>
        <w:t xml:space="preserve">prescribers </w:t>
      </w:r>
    </w:p>
    <w:p w14:paraId="29D925EB" w14:textId="77777777" w:rsidR="00A86C1F" w:rsidRDefault="00A86C1F" w:rsidP="007A2789">
      <w:pPr>
        <w:pStyle w:val="ListBullet"/>
      </w:pPr>
      <w:r w:rsidRPr="005644C8">
        <w:t>nurses</w:t>
      </w:r>
      <w:r>
        <w:t xml:space="preserve"> and </w:t>
      </w:r>
      <w:r w:rsidRPr="005644C8">
        <w:t>midwives</w:t>
      </w:r>
      <w:r>
        <w:t xml:space="preserve"> </w:t>
      </w:r>
    </w:p>
    <w:p w14:paraId="0A907853" w14:textId="78D03468" w:rsidR="00A86C1F" w:rsidRDefault="00A86C1F" w:rsidP="007A2789">
      <w:pPr>
        <w:pStyle w:val="ListBullet"/>
      </w:pPr>
      <w:r>
        <w:t>other healthcare professionals who have received appropriate training</w:t>
      </w:r>
      <w:r w:rsidR="00160DDC">
        <w:t>.</w:t>
      </w:r>
    </w:p>
    <w:p w14:paraId="419A9758" w14:textId="58F2B7ED" w:rsidR="0081724F" w:rsidRDefault="0081724F" w:rsidP="00A86A9D">
      <w:pPr>
        <w:rPr>
          <w:rFonts w:cs="Arial"/>
          <w:szCs w:val="24"/>
        </w:rPr>
      </w:pPr>
    </w:p>
    <w:p w14:paraId="7286E36D" w14:textId="3BCFAEC1" w:rsidR="007A2789" w:rsidRDefault="001A3598" w:rsidP="007A2789">
      <w:pPr>
        <w:jc w:val="right"/>
        <w:rPr>
          <w:rFonts w:cs="Arial"/>
          <w:szCs w:val="24"/>
        </w:rPr>
      </w:pPr>
      <w:hyperlink w:anchor="Contents" w:history="1">
        <w:r w:rsidR="007A2789" w:rsidRPr="00590902">
          <w:rPr>
            <w:rStyle w:val="Hyperlink"/>
            <w:rFonts w:cs="Arial"/>
            <w:i/>
            <w:szCs w:val="24"/>
          </w:rPr>
          <w:t>Back to Table of Contents</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3742B8FF" w14:textId="77777777" w:rsidTr="009F2977">
        <w:trPr>
          <w:cantSplit/>
          <w:trHeight w:val="285"/>
        </w:trPr>
        <w:tc>
          <w:tcPr>
            <w:tcW w:w="9158" w:type="dxa"/>
            <w:shd w:val="clear" w:color="auto" w:fill="000000"/>
          </w:tcPr>
          <w:p w14:paraId="3742B8FE" w14:textId="77777777" w:rsidR="00A86A9D" w:rsidRPr="001502DF" w:rsidRDefault="00A86A9D" w:rsidP="007A238D">
            <w:pPr>
              <w:pStyle w:val="Heading1"/>
              <w:rPr>
                <w:b w:val="0"/>
                <w:szCs w:val="24"/>
              </w:rPr>
            </w:pPr>
            <w:bookmarkStart w:id="5" w:name="_Toc63858051"/>
            <w:r>
              <w:rPr>
                <w:szCs w:val="24"/>
              </w:rPr>
              <w:t>Roles &amp; Responsibilities</w:t>
            </w:r>
            <w:bookmarkEnd w:id="5"/>
          </w:p>
        </w:tc>
      </w:tr>
    </w:tbl>
    <w:p w14:paraId="7B4CAB4D" w14:textId="77777777" w:rsidR="00C87482" w:rsidRPr="00C87482" w:rsidRDefault="00C87482" w:rsidP="00F56495">
      <w:pPr>
        <w:rPr>
          <w:szCs w:val="24"/>
        </w:rPr>
      </w:pPr>
    </w:p>
    <w:p w14:paraId="2B90D3CA" w14:textId="77777777" w:rsidR="00FA7106" w:rsidRDefault="00FA7106" w:rsidP="00FA7106">
      <w:pPr>
        <w:rPr>
          <w:b/>
          <w:bCs/>
        </w:rPr>
      </w:pPr>
      <w:r>
        <w:rPr>
          <w:b/>
          <w:bCs/>
        </w:rPr>
        <w:t>Responsible Group 1: Hospital Executive Directors</w:t>
      </w:r>
    </w:p>
    <w:p w14:paraId="6E19B356" w14:textId="77777777" w:rsidR="00FA7106" w:rsidRDefault="00FA7106" w:rsidP="007A2789">
      <w:pPr>
        <w:pStyle w:val="ListBullet"/>
      </w:pPr>
      <w:r>
        <w:t xml:space="preserve">Hospital Executives are responsible for CHS’s approach to medication management, encouraging the importance of partnering with patients, </w:t>
      </w:r>
      <w:proofErr w:type="gramStart"/>
      <w:r>
        <w:t>carers</w:t>
      </w:r>
      <w:proofErr w:type="gramEnd"/>
      <w:r>
        <w:t xml:space="preserve"> and their families; and working with clinicians to build collaborative medication reviews into existing work practices to ensure consistent and effective medication reconciliation.</w:t>
      </w:r>
    </w:p>
    <w:p w14:paraId="6B01EAF7" w14:textId="77777777" w:rsidR="00FA7106" w:rsidRDefault="00FA7106" w:rsidP="007A2789">
      <w:pPr>
        <w:pStyle w:val="ListBullet"/>
      </w:pPr>
      <w:r>
        <w:t>Hospital Executives are responsible for endorsing a formal process for medication reconciliation at transfers of care as part of a key strategy to improve the safe use of medicines and reduce preventable harm caused by medicines.</w:t>
      </w:r>
    </w:p>
    <w:p w14:paraId="6D6C6F6E" w14:textId="77777777" w:rsidR="00FA7106" w:rsidRDefault="00FA7106" w:rsidP="00FA7106">
      <w:pPr>
        <w:rPr>
          <w:b/>
          <w:bCs/>
        </w:rPr>
      </w:pPr>
    </w:p>
    <w:p w14:paraId="73FBC4E5" w14:textId="77777777" w:rsidR="00FA7106" w:rsidRDefault="00FA7106" w:rsidP="00FA7106">
      <w:pPr>
        <w:rPr>
          <w:b/>
          <w:bCs/>
        </w:rPr>
      </w:pPr>
      <w:r>
        <w:rPr>
          <w:b/>
          <w:bCs/>
        </w:rPr>
        <w:t>Responsible Group 2: Pharmacists</w:t>
      </w:r>
    </w:p>
    <w:p w14:paraId="1CBD81CD" w14:textId="16C95F2F" w:rsidR="00FA7106" w:rsidRPr="001608C5" w:rsidRDefault="00FA7106" w:rsidP="007A2789">
      <w:pPr>
        <w:pStyle w:val="ListBullet"/>
      </w:pPr>
      <w:r w:rsidRPr="001608C5">
        <w:t xml:space="preserve">Pharmacists are responsible for engaging patients in </w:t>
      </w:r>
      <w:r>
        <w:t>the process of obtaining a Best Possible Medication History (</w:t>
      </w:r>
      <w:r w:rsidRPr="000A7EBB">
        <w:t>BPMH</w:t>
      </w:r>
      <w:r>
        <w:t>).</w:t>
      </w:r>
    </w:p>
    <w:p w14:paraId="2D294BA6" w14:textId="38BBCF0B" w:rsidR="00FA7106" w:rsidRPr="00951BE7" w:rsidRDefault="00FA7106" w:rsidP="007A2789">
      <w:pPr>
        <w:pStyle w:val="ListBullet"/>
        <w:rPr>
          <w:b/>
        </w:rPr>
      </w:pPr>
      <w:r>
        <w:t>P</w:t>
      </w:r>
      <w:r w:rsidRPr="000A7EBB">
        <w:t xml:space="preserve">harmacists </w:t>
      </w:r>
      <w:r>
        <w:t>working directly in clinical care areas are</w:t>
      </w:r>
      <w:r w:rsidRPr="000A7EBB">
        <w:t xml:space="preserve"> responsible for obtaining a</w:t>
      </w:r>
      <w:r>
        <w:t xml:space="preserve"> patient’s </w:t>
      </w:r>
      <w:r w:rsidRPr="000A7EBB">
        <w:t>BPMH</w:t>
      </w:r>
      <w:r>
        <w:t xml:space="preserve"> and documenting this on admission in the ‘Medications on Admission’ section of MedChart (</w:t>
      </w:r>
      <w:r w:rsidRPr="0045495A">
        <w:rPr>
          <w:lang w:eastAsia="en-AU"/>
        </w:rPr>
        <w:t>Attachment</w:t>
      </w:r>
      <w:r>
        <w:rPr>
          <w:lang w:eastAsia="en-AU"/>
        </w:rPr>
        <w:t xml:space="preserve"> </w:t>
      </w:r>
      <w:r>
        <w:t>2) or on the Medication Reconciliation Form (MRF) (</w:t>
      </w:r>
      <w:r w:rsidRPr="0045495A">
        <w:rPr>
          <w:lang w:eastAsia="en-AU"/>
        </w:rPr>
        <w:t>Attachment</w:t>
      </w:r>
      <w:r>
        <w:rPr>
          <w:lang w:eastAsia="en-AU"/>
        </w:rPr>
        <w:t xml:space="preserve"> </w:t>
      </w:r>
      <w:r>
        <w:t>3)</w:t>
      </w:r>
      <w:r w:rsidRPr="00993AA8">
        <w:t xml:space="preserve"> </w:t>
      </w:r>
      <w:r>
        <w:t xml:space="preserve">in areas that do not use MedChart, </w:t>
      </w:r>
      <w:r w:rsidRPr="000A7EBB">
        <w:t>with priority given to patients deemed to be at highest potential risk of experiencing medication-related harm</w:t>
      </w:r>
      <w:r>
        <w:t>.</w:t>
      </w:r>
    </w:p>
    <w:p w14:paraId="2447DF4C" w14:textId="4B9E4139" w:rsidR="00FA7106" w:rsidRPr="00524248" w:rsidRDefault="00FA7106" w:rsidP="007A2789">
      <w:pPr>
        <w:pStyle w:val="ListBullet"/>
        <w:rPr>
          <w:b/>
        </w:rPr>
      </w:pPr>
      <w:r>
        <w:t>P</w:t>
      </w:r>
      <w:r w:rsidRPr="000A7EBB">
        <w:t xml:space="preserve">harmacists </w:t>
      </w:r>
      <w:r>
        <w:t xml:space="preserve">working directly in clinical care areas are also responsible for documenting in MedChart or on the MRF </w:t>
      </w:r>
      <w:r w:rsidR="00ED646F">
        <w:t xml:space="preserve">the plan </w:t>
      </w:r>
      <w:r>
        <w:t>for the management of patient's regular medications once they are admitted. This plan may be based on the treating team's documentation and the pharmacist's discretion and clinical judgement or recommendations.</w:t>
      </w:r>
    </w:p>
    <w:p w14:paraId="744E1EBA" w14:textId="77777777" w:rsidR="00FA7106" w:rsidRPr="00524248" w:rsidRDefault="00FA7106" w:rsidP="007A2789">
      <w:pPr>
        <w:pStyle w:val="ListBullet"/>
        <w:rPr>
          <w:b/>
        </w:rPr>
      </w:pPr>
      <w:r>
        <w:t xml:space="preserve">Pharmacists working directly in clinical care areas are responsible for medication review of prescribed medicines in the context of the patient’s clinical condition, treatment goals and using documented treatment plans from prescribers, </w:t>
      </w:r>
      <w:r w:rsidRPr="000A7EBB">
        <w:t>with priority given to patients deemed to be at highest potential risk of experiencing medication-related harm</w:t>
      </w:r>
      <w:r>
        <w:t xml:space="preserve">. </w:t>
      </w:r>
    </w:p>
    <w:p w14:paraId="69E0EB5E" w14:textId="77777777" w:rsidR="00FA7106" w:rsidRDefault="00FA7106" w:rsidP="00FA7106">
      <w:pPr>
        <w:rPr>
          <w:b/>
          <w:bCs/>
        </w:rPr>
      </w:pPr>
    </w:p>
    <w:p w14:paraId="74B25AAC" w14:textId="77777777" w:rsidR="00FA7106" w:rsidRDefault="00FA7106" w:rsidP="00FA7106">
      <w:pPr>
        <w:rPr>
          <w:b/>
          <w:bCs/>
        </w:rPr>
      </w:pPr>
      <w:r>
        <w:rPr>
          <w:b/>
          <w:bCs/>
        </w:rPr>
        <w:t>Responsible Group 3: Prescribers</w:t>
      </w:r>
    </w:p>
    <w:p w14:paraId="794D7D67" w14:textId="0E587BFE" w:rsidR="00FA7106" w:rsidRDefault="00FA7106" w:rsidP="007A2789">
      <w:pPr>
        <w:pStyle w:val="ListBullet"/>
      </w:pPr>
      <w:r>
        <w:t xml:space="preserve">Prescribers are responsible for </w:t>
      </w:r>
      <w:r w:rsidRPr="001608C5">
        <w:t xml:space="preserve">engaging patients in </w:t>
      </w:r>
      <w:r>
        <w:t>the process of obtaining a Best Possible Medication History</w:t>
      </w:r>
      <w:r w:rsidR="00ED646F">
        <w:t xml:space="preserve"> (BPMH)</w:t>
      </w:r>
      <w:r>
        <w:t>.</w:t>
      </w:r>
    </w:p>
    <w:p w14:paraId="2CD0E19D" w14:textId="3A673561" w:rsidR="00FA7106" w:rsidRDefault="00FA7106" w:rsidP="007A2789">
      <w:pPr>
        <w:pStyle w:val="ListBullet"/>
      </w:pPr>
      <w:r>
        <w:t xml:space="preserve">Prescribers admitting a patient to CHS are responsible for discussing medicines taken prior to admission, documenting this as a </w:t>
      </w:r>
      <w:r w:rsidR="00ED646F">
        <w:t>BPMH</w:t>
      </w:r>
      <w:r>
        <w:t xml:space="preserve"> (including medicine name, dose, </w:t>
      </w:r>
      <w:proofErr w:type="gramStart"/>
      <w:r>
        <w:t>frequency</w:t>
      </w:r>
      <w:proofErr w:type="gramEnd"/>
      <w:r>
        <w:t xml:space="preserve"> and route of administration) in the progress notes (or equivalent electronic system such as </w:t>
      </w:r>
      <w:proofErr w:type="spellStart"/>
      <w:r>
        <w:t>Metavision</w:t>
      </w:r>
      <w:proofErr w:type="spellEnd"/>
      <w:r>
        <w:t xml:space="preserve">). Included in this must be a plan for each of the patient’s medicines in the context of their presentation to the health service. The prescriber who documents this initial </w:t>
      </w:r>
      <w:r w:rsidR="00ED646F">
        <w:t>BPMH</w:t>
      </w:r>
      <w:r>
        <w:t xml:space="preserve"> in the progress notes or equivalent electronic system, must explicitly state the sources used to compile the list and a confidence rating of how complete it is, with specific concerns that require follow up from their colleagues. This must form part of clinical handover to the next clinician taking over care of the patient.</w:t>
      </w:r>
    </w:p>
    <w:p w14:paraId="646C0DFD" w14:textId="77777777" w:rsidR="00FA7106" w:rsidRDefault="00FA7106" w:rsidP="007A2789">
      <w:pPr>
        <w:pStyle w:val="ListBullet"/>
      </w:pPr>
      <w:r w:rsidRPr="007E65DA">
        <w:t xml:space="preserve">Prescribers are responsible for reviewing the BPMH documented in the ‘Meds on Admission’ tab of MedChart and ‘Activate Plan’ </w:t>
      </w:r>
      <w:r>
        <w:t>taking into consideration recommendations made</w:t>
      </w:r>
      <w:r w:rsidRPr="007E65DA">
        <w:t xml:space="preserve"> by the pharmacist.</w:t>
      </w:r>
    </w:p>
    <w:p w14:paraId="20618777" w14:textId="77777777" w:rsidR="00FA7106" w:rsidRPr="007E65DA" w:rsidRDefault="00FA7106" w:rsidP="007A2789">
      <w:pPr>
        <w:pStyle w:val="ListBullet"/>
      </w:pPr>
      <w:r>
        <w:t xml:space="preserve">Where a BPMH has not been documented in the ‘Meds on Admission’ tab of MedChart, the prescriber is responsible for obtaining a BPMH using the process outlined in </w:t>
      </w:r>
      <w:r>
        <w:rPr>
          <w:lang w:eastAsia="en-AU"/>
        </w:rPr>
        <w:t xml:space="preserve">Attachment </w:t>
      </w:r>
      <w:r>
        <w:t xml:space="preserve">1 and documenting this in the ‘Meds on Admission’ tab of MedChart </w:t>
      </w:r>
      <w:r w:rsidRPr="007749EF">
        <w:rPr>
          <w:b/>
        </w:rPr>
        <w:t>before</w:t>
      </w:r>
      <w:r>
        <w:t xml:space="preserve"> charting regular or new medicines in the ‘Scheduled’ medicines tab of MedChart.</w:t>
      </w:r>
    </w:p>
    <w:p w14:paraId="5896B0ED" w14:textId="77777777" w:rsidR="00FA7106" w:rsidRPr="00F62B3D" w:rsidRDefault="00FA7106" w:rsidP="007A2789">
      <w:pPr>
        <w:pStyle w:val="ListBullet"/>
        <w:rPr>
          <w:b/>
        </w:rPr>
      </w:pPr>
      <w:r>
        <w:t>If a prescriber cannot compile a BPMH for a patient considered at high-risk of medication related problems, prescribers are responsible for requesting assistance from a pharmacist.</w:t>
      </w:r>
    </w:p>
    <w:p w14:paraId="280E65FE" w14:textId="4A185845" w:rsidR="00FA7106" w:rsidRDefault="00FA7106" w:rsidP="007A2789">
      <w:pPr>
        <w:pStyle w:val="ListBullet"/>
      </w:pPr>
      <w:r>
        <w:t>Anaesthetists are responsible for discussing and documenting a patient’s medication history and a plan for their medications in the pre-admission setting on the Pre-operative Medication Plan</w:t>
      </w:r>
      <w:r w:rsidR="00ED646F">
        <w:t xml:space="preserve"> (</w:t>
      </w:r>
      <w:r w:rsidR="00ED646F" w:rsidRPr="0045495A">
        <w:t>Attachment</w:t>
      </w:r>
      <w:r w:rsidR="0045495A">
        <w:t xml:space="preserve"> 4</w:t>
      </w:r>
      <w:r w:rsidR="00ED646F">
        <w:t>)</w:t>
      </w:r>
      <w:r>
        <w:t xml:space="preserve">. The BPMH must include medicine name, dose, </w:t>
      </w:r>
      <w:proofErr w:type="gramStart"/>
      <w:r>
        <w:t>frequency</w:t>
      </w:r>
      <w:proofErr w:type="gramEnd"/>
      <w:r>
        <w:t xml:space="preserve"> and route of administration.</w:t>
      </w:r>
    </w:p>
    <w:p w14:paraId="4B6B7858" w14:textId="77777777" w:rsidR="00FA7106" w:rsidRPr="00770EEC" w:rsidRDefault="00FA7106" w:rsidP="007A2789">
      <w:pPr>
        <w:pStyle w:val="ListBullet"/>
        <w:rPr>
          <w:b/>
        </w:rPr>
      </w:pPr>
      <w:r>
        <w:t>Prescribers are responsible for referring to the BPMH for an accurate medication history, for reconciling medications on admission with those on discharge when preparing a discharge summary, and for following up any medication related issues identified by the pharmacist or other clinician.</w:t>
      </w:r>
    </w:p>
    <w:p w14:paraId="74F4B536" w14:textId="77777777" w:rsidR="00FA7106" w:rsidRPr="00BA48D6" w:rsidRDefault="00FA7106" w:rsidP="007A2789">
      <w:pPr>
        <w:pStyle w:val="ListBullet"/>
        <w:rPr>
          <w:b/>
        </w:rPr>
      </w:pPr>
      <w:r>
        <w:t xml:space="preserve">Prescribers are responsible for communicating any changes made to patient’s medicines during a health care encounter (such as an admission or outpatient appointment) to the patient and to their primary community health care provider (generally their GP).  Prescribers are also responsible for documenting these changes in the progress notes or equivalent electronic system and indicating on the discharge summary that medicines have been discussed with the patient (see </w:t>
      </w:r>
      <w:r w:rsidRPr="0045495A">
        <w:rPr>
          <w:lang w:eastAsia="en-AU"/>
        </w:rPr>
        <w:t>Attachment</w:t>
      </w:r>
      <w:r>
        <w:rPr>
          <w:lang w:eastAsia="en-AU"/>
        </w:rPr>
        <w:t xml:space="preserve"> </w:t>
      </w:r>
      <w:r>
        <w:t>5).</w:t>
      </w:r>
    </w:p>
    <w:p w14:paraId="6AD8D260" w14:textId="77777777" w:rsidR="00FA7106" w:rsidRPr="00EE7B9F" w:rsidRDefault="00FA7106" w:rsidP="007A2789">
      <w:pPr>
        <w:pStyle w:val="ListBullet"/>
        <w:rPr>
          <w:b/>
        </w:rPr>
      </w:pPr>
      <w:r>
        <w:t>Prescribers are responsible for regularly reviewing medicines for their patient to ensure use of medicines is optimised and meets the patient’s changing needs and goals of care.</w:t>
      </w:r>
    </w:p>
    <w:p w14:paraId="2533211B" w14:textId="77777777" w:rsidR="00FA7106" w:rsidRDefault="00FA7106" w:rsidP="00FA7106">
      <w:pPr>
        <w:rPr>
          <w:b/>
          <w:bCs/>
        </w:rPr>
      </w:pPr>
    </w:p>
    <w:p w14:paraId="3589E007" w14:textId="77777777" w:rsidR="00FA7106" w:rsidRDefault="00FA7106" w:rsidP="00FA7106">
      <w:pPr>
        <w:rPr>
          <w:b/>
          <w:bCs/>
        </w:rPr>
      </w:pPr>
      <w:r>
        <w:rPr>
          <w:b/>
          <w:bCs/>
        </w:rPr>
        <w:t>Responsible Group 4: Nursing and Midwifery Staff</w:t>
      </w:r>
    </w:p>
    <w:p w14:paraId="05643082" w14:textId="77777777" w:rsidR="00FA7106" w:rsidRDefault="00FA7106" w:rsidP="007A2789">
      <w:pPr>
        <w:pStyle w:val="ListBullet"/>
      </w:pPr>
      <w:r>
        <w:t xml:space="preserve">Nursing and Midwifery staff are responsible for safe and secure storage of Patient’s Own Medicines (POMs) in the patient care area which might have been brought into hospital with the patient and could be used as a second source of information in confirming a patient’s medication history. If a patient has brought their own medicines with them, </w:t>
      </w:r>
      <w:r>
        <w:lastRenderedPageBreak/>
        <w:t>the nurse or midwife admitting the patient is encouraged to request a family member takes the medicines home. If this is not possible, the nurse is responsible for retrieving these from the patient and placing them in the clear green plastic clip lock bag marked ‘Patient’s Own Medicines’, affixing a patient addressograph to the bag and storing them according to the CHS Medication Handling Policy.</w:t>
      </w:r>
    </w:p>
    <w:p w14:paraId="6FA59509" w14:textId="77777777" w:rsidR="00FA7106" w:rsidRDefault="00FA7106" w:rsidP="007A2789">
      <w:pPr>
        <w:pStyle w:val="ListBullet"/>
      </w:pPr>
      <w:r>
        <w:t xml:space="preserve">Nursing Staff in the pre-admission clinic are responsible for documenting a patient’s BPMH on the Pre-operative Medication Plan as part of nurse-led pre-operative instructions. The BPMH must include medicine name, dose, </w:t>
      </w:r>
      <w:proofErr w:type="gramStart"/>
      <w:r>
        <w:t>frequency</w:t>
      </w:r>
      <w:proofErr w:type="gramEnd"/>
      <w:r>
        <w:t xml:space="preserve"> and route of administration.</w:t>
      </w:r>
    </w:p>
    <w:p w14:paraId="2D1D2DE3" w14:textId="5FDED250" w:rsidR="00B76E58" w:rsidRPr="00ED646F" w:rsidRDefault="00FA7106" w:rsidP="007A2789">
      <w:pPr>
        <w:pStyle w:val="ListBullet"/>
        <w:rPr>
          <w:rFonts w:cs="Arial"/>
          <w:szCs w:val="24"/>
        </w:rPr>
      </w:pPr>
      <w:r>
        <w:t>Nursing and Midwifery staff are responsible for medication order review, as part of adhering to the 5 Rights of Medication Administration prior to administering a medication.  Any concerns found during a medication order review should be raised with the relevant clinician.</w:t>
      </w:r>
    </w:p>
    <w:p w14:paraId="02372554" w14:textId="7498F8EF" w:rsidR="00ED646F" w:rsidRDefault="00ED646F" w:rsidP="00ED646F">
      <w:pPr>
        <w:pStyle w:val="ListParagraph"/>
        <w:rPr>
          <w:rFonts w:cs="Arial"/>
          <w:szCs w:val="24"/>
        </w:rPr>
      </w:pPr>
    </w:p>
    <w:p w14:paraId="2B92E3DC" w14:textId="3D3C2C4A" w:rsidR="007A2789" w:rsidRPr="00ED646F" w:rsidRDefault="001A3598" w:rsidP="007A2789">
      <w:pPr>
        <w:pStyle w:val="ListParagraph"/>
        <w:jc w:val="right"/>
        <w:rPr>
          <w:rFonts w:cs="Arial"/>
          <w:szCs w:val="24"/>
        </w:rPr>
      </w:pPr>
      <w:hyperlink w:anchor="Contents" w:history="1">
        <w:r w:rsidR="007A2789" w:rsidRPr="00590902">
          <w:rPr>
            <w:rStyle w:val="Hyperlink"/>
            <w:rFonts w:cs="Arial"/>
            <w:i/>
            <w:szCs w:val="24"/>
          </w:rPr>
          <w:t>Back to Table of Contents</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3742B903" w14:textId="77777777" w:rsidTr="009F2977">
        <w:trPr>
          <w:cantSplit/>
          <w:trHeight w:val="285"/>
        </w:trPr>
        <w:tc>
          <w:tcPr>
            <w:tcW w:w="9158" w:type="dxa"/>
            <w:shd w:val="clear" w:color="auto" w:fill="000000"/>
          </w:tcPr>
          <w:p w14:paraId="3742B902" w14:textId="77777777" w:rsidR="00A86A9D" w:rsidRPr="001502DF" w:rsidRDefault="00344838" w:rsidP="007A238D">
            <w:pPr>
              <w:pStyle w:val="Heading1"/>
              <w:rPr>
                <w:b w:val="0"/>
                <w:szCs w:val="24"/>
              </w:rPr>
            </w:pPr>
            <w:bookmarkStart w:id="6" w:name="_Toc63858052"/>
            <w:r>
              <w:rPr>
                <w:szCs w:val="24"/>
              </w:rPr>
              <w:t xml:space="preserve">Related </w:t>
            </w:r>
            <w:r w:rsidRPr="008652F8">
              <w:rPr>
                <w:szCs w:val="24"/>
              </w:rPr>
              <w:t>Policies</w:t>
            </w:r>
            <w:r w:rsidR="00A86A9D" w:rsidRPr="008652F8">
              <w:rPr>
                <w:szCs w:val="24"/>
              </w:rPr>
              <w:t>, Procedures, Guidelines and Legislation</w:t>
            </w:r>
            <w:bookmarkEnd w:id="6"/>
          </w:p>
        </w:tc>
      </w:tr>
    </w:tbl>
    <w:p w14:paraId="3742B906" w14:textId="77777777" w:rsidR="00A24CDA" w:rsidRDefault="00A24CDA" w:rsidP="00A24CDA">
      <w:pPr>
        <w:pStyle w:val="Heading2"/>
      </w:pPr>
    </w:p>
    <w:p w14:paraId="74F06AEA" w14:textId="77777777" w:rsidR="00ED646F" w:rsidRPr="006743DB" w:rsidRDefault="00ED646F" w:rsidP="00ED646F">
      <w:pPr>
        <w:rPr>
          <w:b/>
        </w:rPr>
      </w:pPr>
      <w:r w:rsidRPr="006743DB">
        <w:rPr>
          <w:b/>
        </w:rPr>
        <w:t>Policies</w:t>
      </w:r>
    </w:p>
    <w:p w14:paraId="46429502" w14:textId="27DA8622" w:rsidR="00ED646F" w:rsidRDefault="00ED646F" w:rsidP="00ED646F">
      <w:pPr>
        <w:pStyle w:val="ListBullet"/>
      </w:pPr>
      <w:r>
        <w:t xml:space="preserve">Medication Reconciliation and Medication Review </w:t>
      </w:r>
      <w:r w:rsidR="008768A9">
        <w:t>Operational Procedure</w:t>
      </w:r>
    </w:p>
    <w:p w14:paraId="035B4D44" w14:textId="77777777" w:rsidR="00ED646F" w:rsidRDefault="00ED646F" w:rsidP="00ED646F">
      <w:pPr>
        <w:pStyle w:val="ListBullet"/>
      </w:pPr>
      <w:r>
        <w:t xml:space="preserve">Medication Handling </w:t>
      </w:r>
    </w:p>
    <w:p w14:paraId="60AFCD84" w14:textId="77777777" w:rsidR="00ED646F" w:rsidRDefault="00ED646F" w:rsidP="00ED646F">
      <w:pPr>
        <w:pStyle w:val="ListBullet"/>
      </w:pPr>
      <w:r>
        <w:t xml:space="preserve">High Risk Medicines </w:t>
      </w:r>
    </w:p>
    <w:p w14:paraId="536C3A69" w14:textId="77777777" w:rsidR="00ED646F" w:rsidRPr="00B61F35" w:rsidRDefault="00ED646F" w:rsidP="00ED646F">
      <w:pPr>
        <w:rPr>
          <w:rFonts w:cs="Arial"/>
          <w:szCs w:val="24"/>
        </w:rPr>
      </w:pPr>
    </w:p>
    <w:p w14:paraId="7A09B8D7" w14:textId="77777777" w:rsidR="00ED646F" w:rsidRPr="006743DB" w:rsidRDefault="00ED646F" w:rsidP="00ED646F">
      <w:pPr>
        <w:rPr>
          <w:b/>
        </w:rPr>
      </w:pPr>
      <w:r w:rsidRPr="006743DB">
        <w:rPr>
          <w:b/>
        </w:rPr>
        <w:t>Procedures</w:t>
      </w:r>
    </w:p>
    <w:p w14:paraId="6205031E" w14:textId="77777777" w:rsidR="00ED646F" w:rsidRPr="006D42E9" w:rsidRDefault="00ED646F" w:rsidP="00ED646F">
      <w:pPr>
        <w:pStyle w:val="ListParagraph"/>
        <w:numPr>
          <w:ilvl w:val="0"/>
          <w:numId w:val="9"/>
        </w:numPr>
        <w:rPr>
          <w:rFonts w:cs="Arial"/>
          <w:szCs w:val="24"/>
        </w:rPr>
      </w:pPr>
      <w:r>
        <w:t xml:space="preserve">Admission to Discharge </w:t>
      </w:r>
    </w:p>
    <w:p w14:paraId="75558F34" w14:textId="77777777" w:rsidR="00ED646F" w:rsidRPr="0090660B" w:rsidRDefault="00ED646F" w:rsidP="00ED646F">
      <w:pPr>
        <w:pStyle w:val="ListParagraph"/>
        <w:numPr>
          <w:ilvl w:val="0"/>
          <w:numId w:val="9"/>
        </w:numPr>
        <w:rPr>
          <w:rFonts w:cs="Arial"/>
          <w:szCs w:val="24"/>
        </w:rPr>
      </w:pPr>
      <w:r>
        <w:t xml:space="preserve">Admissions from the Emergency Department to Ward </w:t>
      </w:r>
    </w:p>
    <w:p w14:paraId="6E63C103" w14:textId="77777777" w:rsidR="00ED646F" w:rsidRPr="00D339A0" w:rsidRDefault="00ED646F" w:rsidP="00ED646F">
      <w:pPr>
        <w:pStyle w:val="ListParagraph"/>
        <w:numPr>
          <w:ilvl w:val="0"/>
          <w:numId w:val="9"/>
        </w:numPr>
        <w:rPr>
          <w:rFonts w:cs="Arial"/>
          <w:szCs w:val="24"/>
        </w:rPr>
      </w:pPr>
      <w:r>
        <w:t xml:space="preserve">Clinical Handover </w:t>
      </w:r>
    </w:p>
    <w:p w14:paraId="03F08B80" w14:textId="77777777" w:rsidR="00ED646F" w:rsidRDefault="00ED646F" w:rsidP="00ED646F">
      <w:pPr>
        <w:pStyle w:val="ListParagraph"/>
        <w:numPr>
          <w:ilvl w:val="0"/>
          <w:numId w:val="9"/>
        </w:numPr>
        <w:rPr>
          <w:rFonts w:cs="Arial"/>
          <w:szCs w:val="24"/>
        </w:rPr>
      </w:pPr>
      <w:r w:rsidRPr="00E02868">
        <w:rPr>
          <w:rFonts w:cs="Arial"/>
          <w:szCs w:val="24"/>
        </w:rPr>
        <w:t xml:space="preserve">Discharge Summary Completion </w:t>
      </w:r>
    </w:p>
    <w:p w14:paraId="3E246745" w14:textId="77777777" w:rsidR="00ED646F" w:rsidRPr="000761E3" w:rsidRDefault="00ED646F" w:rsidP="00ED646F">
      <w:pPr>
        <w:pStyle w:val="ListParagraph"/>
        <w:numPr>
          <w:ilvl w:val="0"/>
          <w:numId w:val="9"/>
        </w:numPr>
        <w:rPr>
          <w:rFonts w:cs="Arial"/>
          <w:szCs w:val="24"/>
        </w:rPr>
      </w:pPr>
      <w:r>
        <w:t>Clinical Handover – Mental Health, Justice Health and Alcohol Drug Services (MHJHADS)</w:t>
      </w:r>
    </w:p>
    <w:p w14:paraId="159A9DA2" w14:textId="77777777" w:rsidR="00ED646F" w:rsidRPr="00FD52D1" w:rsidRDefault="00ED646F" w:rsidP="00ED646F">
      <w:pPr>
        <w:pStyle w:val="ListParagraph"/>
        <w:numPr>
          <w:ilvl w:val="0"/>
          <w:numId w:val="9"/>
        </w:numPr>
        <w:rPr>
          <w:rFonts w:cs="Arial"/>
          <w:szCs w:val="24"/>
        </w:rPr>
      </w:pPr>
      <w:r>
        <w:t xml:space="preserve">Clinical Records Management </w:t>
      </w:r>
    </w:p>
    <w:p w14:paraId="679E01FA" w14:textId="77777777" w:rsidR="00ED646F" w:rsidRPr="00B61F35" w:rsidRDefault="00ED646F" w:rsidP="00ED646F">
      <w:pPr>
        <w:ind w:left="360"/>
        <w:rPr>
          <w:rFonts w:cs="Arial"/>
          <w:szCs w:val="24"/>
        </w:rPr>
      </w:pPr>
    </w:p>
    <w:p w14:paraId="33BEC184" w14:textId="77777777" w:rsidR="00ED646F" w:rsidRPr="006743DB" w:rsidRDefault="00ED646F" w:rsidP="00ED646F">
      <w:pPr>
        <w:rPr>
          <w:b/>
        </w:rPr>
      </w:pPr>
      <w:r w:rsidRPr="006743DB">
        <w:rPr>
          <w:b/>
        </w:rPr>
        <w:t xml:space="preserve">Guidelines </w:t>
      </w:r>
    </w:p>
    <w:p w14:paraId="3812BBCC" w14:textId="0DBE0AAF" w:rsidR="00ED646F" w:rsidRPr="00031D51" w:rsidRDefault="00ED646F" w:rsidP="00ED646F">
      <w:pPr>
        <w:pStyle w:val="ListBullet"/>
        <w:rPr>
          <w:rFonts w:cs="Arial"/>
          <w:szCs w:val="24"/>
        </w:rPr>
      </w:pPr>
      <w:r w:rsidRPr="00031D51">
        <w:rPr>
          <w:rFonts w:cs="Arial"/>
          <w:szCs w:val="24"/>
        </w:rPr>
        <w:t>Clinical Guideline Pre-admission Clin</w:t>
      </w:r>
      <w:r>
        <w:rPr>
          <w:rFonts w:cs="Arial"/>
          <w:szCs w:val="24"/>
        </w:rPr>
        <w:t>ic – Adult Elective Surgery Peri-</w:t>
      </w:r>
      <w:r w:rsidRPr="00031D51">
        <w:rPr>
          <w:rFonts w:cs="Arial"/>
          <w:szCs w:val="24"/>
        </w:rPr>
        <w:t>operative Medication</w:t>
      </w:r>
    </w:p>
    <w:p w14:paraId="41BB4897" w14:textId="77777777" w:rsidR="00ED646F" w:rsidRPr="00031D51" w:rsidRDefault="00ED646F" w:rsidP="00ED646F">
      <w:pPr>
        <w:pStyle w:val="ListBullet"/>
        <w:rPr>
          <w:rFonts w:cs="Arial"/>
          <w:szCs w:val="24"/>
        </w:rPr>
      </w:pPr>
      <w:r w:rsidRPr="00031D51">
        <w:rPr>
          <w:rFonts w:cs="Arial"/>
          <w:szCs w:val="24"/>
        </w:rPr>
        <w:t>Australian Commission on Safety and Quality in Health Care. Medicine Reconciliation</w:t>
      </w:r>
    </w:p>
    <w:p w14:paraId="48DCADA2" w14:textId="432E4B16" w:rsidR="00ED646F" w:rsidRPr="00031D51" w:rsidRDefault="00ED646F" w:rsidP="00ED646F">
      <w:pPr>
        <w:pStyle w:val="ListBullet"/>
        <w:rPr>
          <w:rFonts w:cs="Arial"/>
          <w:szCs w:val="24"/>
        </w:rPr>
      </w:pPr>
      <w:r w:rsidRPr="00031D51">
        <w:rPr>
          <w:rFonts w:cs="Arial"/>
          <w:szCs w:val="24"/>
        </w:rPr>
        <w:t>Clinical Excellence Commission, 2014. Continuity of Medication Management</w:t>
      </w:r>
      <w:r w:rsidR="00160DDC">
        <w:rPr>
          <w:rFonts w:cs="Arial"/>
          <w:szCs w:val="24"/>
        </w:rPr>
        <w:t>:</w:t>
      </w:r>
      <w:r w:rsidRPr="00031D51">
        <w:rPr>
          <w:rFonts w:cs="Arial"/>
          <w:szCs w:val="24"/>
        </w:rPr>
        <w:t xml:space="preserve"> Medication Reconciliation Toolkit, December 2014</w:t>
      </w:r>
    </w:p>
    <w:p w14:paraId="54FE0574" w14:textId="37A1CCA8" w:rsidR="00ED646F" w:rsidRDefault="00ED646F" w:rsidP="00ED646F">
      <w:pPr>
        <w:pStyle w:val="ListBullet"/>
        <w:rPr>
          <w:rFonts w:cs="Arial"/>
          <w:szCs w:val="24"/>
        </w:rPr>
      </w:pPr>
      <w:r w:rsidRPr="00031D51">
        <w:rPr>
          <w:rFonts w:cs="Arial"/>
          <w:szCs w:val="24"/>
        </w:rPr>
        <w:t xml:space="preserve">The Society of </w:t>
      </w:r>
      <w:r w:rsidRPr="004F7458">
        <w:rPr>
          <w:rFonts w:cs="Arial"/>
          <w:szCs w:val="24"/>
        </w:rPr>
        <w:t>Hospital Pharmacists of Australia. SHPA Standards of practice for the provision of medication reconciliation</w:t>
      </w:r>
    </w:p>
    <w:p w14:paraId="302418AB" w14:textId="77777777" w:rsidR="00ED646F" w:rsidRDefault="00ED646F" w:rsidP="00ED646F">
      <w:pPr>
        <w:pStyle w:val="ListBullet"/>
        <w:numPr>
          <w:ilvl w:val="0"/>
          <w:numId w:val="0"/>
        </w:numPr>
        <w:ind w:left="426" w:hanging="426"/>
        <w:rPr>
          <w:rFonts w:cs="Arial"/>
          <w:b/>
          <w:bCs/>
          <w:szCs w:val="24"/>
        </w:rPr>
      </w:pPr>
    </w:p>
    <w:p w14:paraId="73D336AE" w14:textId="77777777" w:rsidR="00ED646F" w:rsidRDefault="00ED646F" w:rsidP="00ED646F">
      <w:pPr>
        <w:pStyle w:val="ListBullet"/>
        <w:numPr>
          <w:ilvl w:val="0"/>
          <w:numId w:val="0"/>
        </w:numPr>
        <w:ind w:left="426" w:hanging="426"/>
        <w:rPr>
          <w:rFonts w:cs="Arial"/>
          <w:b/>
          <w:bCs/>
          <w:szCs w:val="24"/>
        </w:rPr>
      </w:pPr>
      <w:r>
        <w:rPr>
          <w:rFonts w:cs="Arial"/>
          <w:b/>
          <w:bCs/>
          <w:szCs w:val="24"/>
        </w:rPr>
        <w:t>Legislation</w:t>
      </w:r>
    </w:p>
    <w:p w14:paraId="08E593E5" w14:textId="77777777" w:rsidR="00ED646F" w:rsidRPr="007D0BF8" w:rsidRDefault="00ED646F" w:rsidP="00ED646F">
      <w:pPr>
        <w:pStyle w:val="ListBullet"/>
        <w:rPr>
          <w:i/>
          <w:iCs/>
        </w:rPr>
      </w:pPr>
      <w:r w:rsidRPr="007D0BF8">
        <w:rPr>
          <w:i/>
          <w:iCs/>
        </w:rPr>
        <w:t xml:space="preserve">Medicines, Poisons and Therapeutic Goods Act </w:t>
      </w:r>
      <w:r w:rsidRPr="00B3695B">
        <w:t xml:space="preserve">2008 </w:t>
      </w:r>
    </w:p>
    <w:p w14:paraId="6A677435" w14:textId="77777777" w:rsidR="00ED646F" w:rsidRPr="00B3695B" w:rsidRDefault="00ED646F" w:rsidP="00ED646F">
      <w:pPr>
        <w:pStyle w:val="ListBullet"/>
      </w:pPr>
      <w:r w:rsidRPr="007D0BF8">
        <w:rPr>
          <w:i/>
          <w:iCs/>
        </w:rPr>
        <w:t xml:space="preserve">Medicines, Poisons and Therapeutic Goods Regulation </w:t>
      </w:r>
      <w:r w:rsidRPr="00B3695B">
        <w:t xml:space="preserve">2008 </w:t>
      </w:r>
    </w:p>
    <w:p w14:paraId="1DE2020D" w14:textId="77777777" w:rsidR="00ED646F" w:rsidRPr="00B3695B" w:rsidRDefault="00ED646F" w:rsidP="00ED646F">
      <w:pPr>
        <w:pStyle w:val="ListBullet"/>
      </w:pPr>
      <w:r w:rsidRPr="007D0BF8">
        <w:rPr>
          <w:i/>
          <w:iCs/>
        </w:rPr>
        <w:t xml:space="preserve">Health Practitioner Regulation National Law Act </w:t>
      </w:r>
      <w:r w:rsidRPr="00B3695B">
        <w:t xml:space="preserve">2010 </w:t>
      </w:r>
    </w:p>
    <w:p w14:paraId="02757CAD" w14:textId="77777777" w:rsidR="00ED646F" w:rsidRPr="00B3695B" w:rsidRDefault="00ED646F" w:rsidP="00ED646F">
      <w:pPr>
        <w:pStyle w:val="ListBullet"/>
      </w:pPr>
      <w:r w:rsidRPr="007D0BF8">
        <w:rPr>
          <w:i/>
          <w:iCs/>
        </w:rPr>
        <w:lastRenderedPageBreak/>
        <w:t xml:space="preserve">Health Records (Privacy and Access) Act </w:t>
      </w:r>
      <w:r w:rsidRPr="00B3695B">
        <w:t>1997</w:t>
      </w:r>
    </w:p>
    <w:p w14:paraId="703CA50E" w14:textId="77777777" w:rsidR="00ED646F" w:rsidRPr="00B3695B" w:rsidRDefault="00ED646F" w:rsidP="00ED646F">
      <w:pPr>
        <w:pStyle w:val="ListBullet"/>
      </w:pPr>
      <w:r w:rsidRPr="007D0BF8">
        <w:rPr>
          <w:i/>
          <w:iCs/>
        </w:rPr>
        <w:t xml:space="preserve">Human Rights Act </w:t>
      </w:r>
      <w:r w:rsidRPr="00B3695B">
        <w:t>2004</w:t>
      </w:r>
    </w:p>
    <w:p w14:paraId="6194EA5F" w14:textId="77777777" w:rsidR="00ED646F" w:rsidRPr="00B3695B" w:rsidRDefault="00ED646F" w:rsidP="00ED646F">
      <w:pPr>
        <w:pStyle w:val="ListBullet"/>
      </w:pPr>
      <w:r w:rsidRPr="007D0BF8">
        <w:rPr>
          <w:i/>
          <w:iCs/>
        </w:rPr>
        <w:t xml:space="preserve">Work Health and Safety Act </w:t>
      </w:r>
      <w:r w:rsidRPr="00B3695B">
        <w:t>2011</w:t>
      </w:r>
    </w:p>
    <w:p w14:paraId="3742B916" w14:textId="76BF77BC" w:rsidR="00A86A9D" w:rsidRDefault="00160DDC" w:rsidP="00160DDC">
      <w:pPr>
        <w:pStyle w:val="ListParagraph"/>
        <w:jc w:val="right"/>
        <w:rPr>
          <w:rFonts w:cs="Arial"/>
          <w:szCs w:val="24"/>
        </w:rPr>
      </w:pPr>
      <w:r>
        <w:rPr>
          <w:rFonts w:cs="Arial"/>
          <w:szCs w:val="24"/>
        </w:rPr>
        <w:br/>
      </w: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3742B918" w14:textId="77777777" w:rsidTr="009F2977">
        <w:trPr>
          <w:cantSplit/>
          <w:trHeight w:val="285"/>
        </w:trPr>
        <w:tc>
          <w:tcPr>
            <w:tcW w:w="9158" w:type="dxa"/>
            <w:shd w:val="clear" w:color="auto" w:fill="000000"/>
          </w:tcPr>
          <w:p w14:paraId="3742B917" w14:textId="508DEAAC" w:rsidR="00A86A9D" w:rsidRPr="007A238D" w:rsidRDefault="00A86A9D" w:rsidP="007A238D">
            <w:pPr>
              <w:pStyle w:val="Heading1"/>
              <w:rPr>
                <w:color w:val="FFFFFF" w:themeColor="background1"/>
              </w:rPr>
            </w:pPr>
            <w:bookmarkStart w:id="7" w:name="_Toc63858053"/>
            <w:r w:rsidRPr="007A238D">
              <w:rPr>
                <w:color w:val="FFFFFF" w:themeColor="background1"/>
              </w:rPr>
              <w:t>Definition of Terms</w:t>
            </w:r>
            <w:bookmarkEnd w:id="7"/>
          </w:p>
        </w:tc>
      </w:tr>
    </w:tbl>
    <w:p w14:paraId="11C511DA" w14:textId="77777777" w:rsidR="00C87482" w:rsidRDefault="00C87482" w:rsidP="00C87482">
      <w:pPr>
        <w:autoSpaceDE w:val="0"/>
        <w:autoSpaceDN w:val="0"/>
        <w:adjustRightInd w:val="0"/>
        <w:rPr>
          <w:rFonts w:eastAsiaTheme="minorHAnsi" w:cs="Swis721 Lt BT"/>
          <w:color w:val="000000"/>
          <w:szCs w:val="24"/>
        </w:rPr>
      </w:pPr>
    </w:p>
    <w:p w14:paraId="449A9E09" w14:textId="77777777" w:rsidR="00C36606" w:rsidRDefault="00C36606" w:rsidP="00C36606">
      <w:pPr>
        <w:rPr>
          <w:rFonts w:cs="Arial"/>
          <w:b/>
          <w:szCs w:val="24"/>
        </w:rPr>
      </w:pPr>
      <w:r>
        <w:rPr>
          <w:rFonts w:cs="Arial"/>
          <w:b/>
          <w:szCs w:val="24"/>
        </w:rPr>
        <w:t>Addressograph</w:t>
      </w:r>
    </w:p>
    <w:p w14:paraId="7AADA5FE" w14:textId="77777777" w:rsidR="00C36606" w:rsidRPr="00B00EA6" w:rsidRDefault="00C36606" w:rsidP="00C36606">
      <w:pPr>
        <w:rPr>
          <w:rFonts w:cs="Arial"/>
          <w:bCs/>
          <w:szCs w:val="24"/>
        </w:rPr>
      </w:pPr>
      <w:r>
        <w:rPr>
          <w:rFonts w:cs="Arial"/>
          <w:bCs/>
          <w:szCs w:val="24"/>
        </w:rPr>
        <w:t>Patient sticky label containing the patient’s full name, address, date of birth, medical record number and other identifiers.</w:t>
      </w:r>
    </w:p>
    <w:p w14:paraId="74009134" w14:textId="77777777" w:rsidR="0066290A" w:rsidRDefault="0066290A" w:rsidP="00C87482">
      <w:pPr>
        <w:autoSpaceDE w:val="0"/>
        <w:autoSpaceDN w:val="0"/>
        <w:adjustRightInd w:val="0"/>
        <w:rPr>
          <w:rFonts w:eastAsiaTheme="minorHAnsi" w:cs="Swis721 Lt BT"/>
          <w:b/>
          <w:color w:val="000000"/>
          <w:szCs w:val="24"/>
        </w:rPr>
      </w:pPr>
    </w:p>
    <w:p w14:paraId="2663F042" w14:textId="3A491181" w:rsidR="00C87482" w:rsidRPr="00C87482" w:rsidRDefault="00C87482" w:rsidP="00C87482">
      <w:pPr>
        <w:autoSpaceDE w:val="0"/>
        <w:autoSpaceDN w:val="0"/>
        <w:adjustRightInd w:val="0"/>
        <w:rPr>
          <w:rFonts w:eastAsiaTheme="minorHAnsi" w:cs="Swis721 Lt BT"/>
          <w:b/>
          <w:color w:val="000000"/>
          <w:szCs w:val="24"/>
        </w:rPr>
      </w:pPr>
      <w:r w:rsidRPr="004F7458">
        <w:rPr>
          <w:rFonts w:eastAsiaTheme="minorHAnsi" w:cs="Swis721 Lt BT"/>
          <w:b/>
          <w:color w:val="000000"/>
          <w:szCs w:val="24"/>
        </w:rPr>
        <w:t>Best Possible Medication History (BPMH)</w:t>
      </w:r>
      <w:r w:rsidRPr="00C87482">
        <w:rPr>
          <w:rFonts w:eastAsiaTheme="minorHAnsi" w:cs="Swis721 Lt BT"/>
          <w:b/>
          <w:color w:val="000000"/>
          <w:szCs w:val="24"/>
        </w:rPr>
        <w:t xml:space="preserve"> </w:t>
      </w:r>
    </w:p>
    <w:p w14:paraId="6304E499" w14:textId="2D1D766B" w:rsidR="00C87482" w:rsidRDefault="00E95A71" w:rsidP="00C87482">
      <w:pPr>
        <w:autoSpaceDE w:val="0"/>
        <w:autoSpaceDN w:val="0"/>
        <w:adjustRightInd w:val="0"/>
        <w:rPr>
          <w:rFonts w:eastAsiaTheme="minorHAnsi" w:cs="Swis721 Lt BT"/>
          <w:color w:val="000000"/>
          <w:szCs w:val="24"/>
        </w:rPr>
      </w:pPr>
      <w:r>
        <w:rPr>
          <w:rFonts w:eastAsiaTheme="minorHAnsi" w:cs="Swis721 Lt BT"/>
          <w:color w:val="000000"/>
          <w:szCs w:val="24"/>
        </w:rPr>
        <w:t xml:space="preserve">A snapshot of the </w:t>
      </w:r>
      <w:r w:rsidR="004F7458">
        <w:rPr>
          <w:rFonts w:eastAsiaTheme="minorHAnsi" w:cs="Swis721 Lt BT"/>
          <w:color w:val="000000"/>
          <w:szCs w:val="24"/>
        </w:rPr>
        <w:t>patient’s</w:t>
      </w:r>
      <w:r>
        <w:rPr>
          <w:rFonts w:eastAsiaTheme="minorHAnsi" w:cs="Swis721 Lt BT"/>
          <w:color w:val="000000"/>
          <w:szCs w:val="24"/>
        </w:rPr>
        <w:t xml:space="preserve"> actual medication use which might be different from information in their healthcare record, or medicine list held by GP or patient or dispensing history from a pharmacy. </w:t>
      </w:r>
      <w:r w:rsidR="00C87482" w:rsidRPr="00C87482">
        <w:rPr>
          <w:rFonts w:eastAsiaTheme="minorHAnsi" w:cs="Swis721 Lt BT"/>
          <w:color w:val="000000"/>
          <w:szCs w:val="24"/>
        </w:rPr>
        <w:t>The BPMH should be compiled from an interview with the patient or the patient’s carer</w:t>
      </w:r>
      <w:r w:rsidR="0062001C">
        <w:rPr>
          <w:rFonts w:eastAsiaTheme="minorHAnsi" w:cs="Swis721 Lt BT"/>
          <w:color w:val="000000"/>
          <w:szCs w:val="24"/>
        </w:rPr>
        <w:t>,</w:t>
      </w:r>
      <w:r w:rsidR="00C87482" w:rsidRPr="00C87482">
        <w:rPr>
          <w:rFonts w:eastAsiaTheme="minorHAnsi" w:cs="Swis721 Lt BT"/>
          <w:color w:val="000000"/>
          <w:szCs w:val="24"/>
        </w:rPr>
        <w:t xml:space="preserve"> whenever possible</w:t>
      </w:r>
      <w:r w:rsidR="0062001C">
        <w:rPr>
          <w:rFonts w:eastAsiaTheme="minorHAnsi" w:cs="Swis721 Lt BT"/>
          <w:color w:val="000000"/>
          <w:szCs w:val="24"/>
        </w:rPr>
        <w:t>,</w:t>
      </w:r>
      <w:r w:rsidR="00C87482" w:rsidRPr="00C87482">
        <w:rPr>
          <w:rFonts w:eastAsiaTheme="minorHAnsi" w:cs="Swis721 Lt BT"/>
          <w:color w:val="000000"/>
          <w:szCs w:val="24"/>
        </w:rPr>
        <w:t xml:space="preserve"> and confirmed with at least one other source of medicines information. </w:t>
      </w:r>
    </w:p>
    <w:p w14:paraId="504A9290" w14:textId="77777777" w:rsidR="00C87482" w:rsidRDefault="00C87482" w:rsidP="00C87482">
      <w:pPr>
        <w:autoSpaceDE w:val="0"/>
        <w:autoSpaceDN w:val="0"/>
        <w:adjustRightInd w:val="0"/>
        <w:rPr>
          <w:rFonts w:eastAsiaTheme="minorHAnsi" w:cs="Swis721 Lt BT"/>
          <w:color w:val="000000"/>
          <w:szCs w:val="24"/>
        </w:rPr>
      </w:pPr>
    </w:p>
    <w:p w14:paraId="3FC5FD4B" w14:textId="06CD854C" w:rsidR="002F2F02" w:rsidRPr="00E95A71" w:rsidRDefault="002F2F02" w:rsidP="00C87482">
      <w:pPr>
        <w:autoSpaceDE w:val="0"/>
        <w:autoSpaceDN w:val="0"/>
        <w:adjustRightInd w:val="0"/>
        <w:rPr>
          <w:rFonts w:eastAsiaTheme="minorHAnsi" w:cs="Swis721 Lt BT"/>
          <w:b/>
          <w:color w:val="000000"/>
          <w:szCs w:val="24"/>
        </w:rPr>
      </w:pPr>
      <w:r w:rsidRPr="00E95A71">
        <w:rPr>
          <w:rFonts w:eastAsiaTheme="minorHAnsi" w:cs="Swis721 Lt BT"/>
          <w:b/>
          <w:color w:val="000000"/>
          <w:szCs w:val="24"/>
        </w:rPr>
        <w:t>MedChart</w:t>
      </w:r>
    </w:p>
    <w:p w14:paraId="2992FBAB" w14:textId="4E880AA9" w:rsidR="002F2F02" w:rsidRDefault="00E95A71" w:rsidP="00C87482">
      <w:pPr>
        <w:autoSpaceDE w:val="0"/>
        <w:autoSpaceDN w:val="0"/>
        <w:adjustRightInd w:val="0"/>
        <w:rPr>
          <w:rFonts w:eastAsiaTheme="minorHAnsi" w:cs="Swis721 Lt BT"/>
          <w:color w:val="000000"/>
          <w:szCs w:val="24"/>
        </w:rPr>
      </w:pPr>
      <w:r>
        <w:rPr>
          <w:rFonts w:eastAsiaTheme="minorHAnsi" w:cs="Swis721 Lt BT"/>
          <w:color w:val="000000"/>
          <w:szCs w:val="24"/>
        </w:rPr>
        <w:t xml:space="preserve">The Electronic Medication Management System in use at Canberra Health </w:t>
      </w:r>
      <w:r w:rsidR="00971602">
        <w:rPr>
          <w:rFonts w:eastAsiaTheme="minorHAnsi" w:cs="Swis721 Lt BT"/>
          <w:color w:val="000000"/>
          <w:szCs w:val="24"/>
        </w:rPr>
        <w:t>Service</w:t>
      </w:r>
      <w:r>
        <w:rPr>
          <w:rFonts w:eastAsiaTheme="minorHAnsi" w:cs="Swis721 Lt BT"/>
          <w:color w:val="000000"/>
          <w:szCs w:val="24"/>
        </w:rPr>
        <w:t>.</w:t>
      </w:r>
    </w:p>
    <w:p w14:paraId="5F879791" w14:textId="77777777" w:rsidR="00FF79EC" w:rsidRDefault="00FF79EC" w:rsidP="00C87482">
      <w:pPr>
        <w:autoSpaceDE w:val="0"/>
        <w:autoSpaceDN w:val="0"/>
        <w:adjustRightInd w:val="0"/>
        <w:rPr>
          <w:rFonts w:eastAsiaTheme="minorHAnsi" w:cs="Swis721 Lt BT"/>
          <w:color w:val="000000"/>
          <w:szCs w:val="24"/>
        </w:rPr>
      </w:pPr>
    </w:p>
    <w:p w14:paraId="5F031C54" w14:textId="77777777" w:rsidR="00FF79EC" w:rsidRPr="00E95A71" w:rsidRDefault="00FF79EC" w:rsidP="00FF79EC">
      <w:pPr>
        <w:autoSpaceDE w:val="0"/>
        <w:autoSpaceDN w:val="0"/>
        <w:adjustRightInd w:val="0"/>
        <w:rPr>
          <w:rFonts w:eastAsiaTheme="minorHAnsi" w:cs="Swis721 Lt BT"/>
          <w:b/>
          <w:color w:val="000000"/>
          <w:szCs w:val="24"/>
        </w:rPr>
      </w:pPr>
      <w:r w:rsidRPr="00E95A71">
        <w:rPr>
          <w:rFonts w:eastAsiaTheme="minorHAnsi" w:cs="Swis721 Lt BT"/>
          <w:b/>
          <w:color w:val="000000"/>
          <w:szCs w:val="24"/>
        </w:rPr>
        <w:t>Medication Management Plan</w:t>
      </w:r>
    </w:p>
    <w:p w14:paraId="1562ADBE" w14:textId="0196469B" w:rsidR="00FF79EC" w:rsidRDefault="00FF79EC" w:rsidP="00FF79EC">
      <w:pPr>
        <w:autoSpaceDE w:val="0"/>
        <w:autoSpaceDN w:val="0"/>
        <w:adjustRightInd w:val="0"/>
        <w:rPr>
          <w:rFonts w:eastAsiaTheme="minorHAnsi" w:cs="Swis721 Lt BT"/>
          <w:color w:val="000000"/>
          <w:szCs w:val="24"/>
        </w:rPr>
      </w:pPr>
      <w:r>
        <w:rPr>
          <w:rFonts w:eastAsiaTheme="minorHAnsi" w:cs="Swis721 Lt BT"/>
          <w:color w:val="000000"/>
          <w:szCs w:val="24"/>
        </w:rPr>
        <w:t xml:space="preserve">National standard paper form for documenting Best Possible Medication History and recording the key steps of medication reconciliation. </w:t>
      </w:r>
    </w:p>
    <w:p w14:paraId="6FCE78F4" w14:textId="77777777" w:rsidR="00FF79EC" w:rsidRDefault="00FF79EC" w:rsidP="00C87482">
      <w:pPr>
        <w:autoSpaceDE w:val="0"/>
        <w:autoSpaceDN w:val="0"/>
        <w:adjustRightInd w:val="0"/>
        <w:rPr>
          <w:rFonts w:eastAsiaTheme="minorHAnsi" w:cs="Swis721 Lt BT"/>
          <w:color w:val="000000"/>
          <w:szCs w:val="24"/>
        </w:rPr>
      </w:pPr>
    </w:p>
    <w:p w14:paraId="6B65CC7A" w14:textId="77777777" w:rsidR="00971602" w:rsidRPr="00823866" w:rsidRDefault="00971602" w:rsidP="00971602">
      <w:pPr>
        <w:jc w:val="both"/>
        <w:rPr>
          <w:rFonts w:eastAsiaTheme="minorHAnsi" w:cs="Swis721 Lt BT"/>
          <w:b/>
          <w:color w:val="000000"/>
          <w:szCs w:val="24"/>
        </w:rPr>
      </w:pPr>
      <w:r w:rsidRPr="00823866">
        <w:rPr>
          <w:rFonts w:eastAsiaTheme="minorHAnsi" w:cs="Swis721 Lt BT"/>
          <w:b/>
          <w:color w:val="000000"/>
          <w:szCs w:val="24"/>
        </w:rPr>
        <w:t>Medication Review</w:t>
      </w:r>
    </w:p>
    <w:p w14:paraId="3B625DDB" w14:textId="77777777" w:rsidR="00971602" w:rsidRDefault="00971602" w:rsidP="00971602">
      <w:pPr>
        <w:jc w:val="both"/>
        <w:rPr>
          <w:rFonts w:eastAsiaTheme="minorHAnsi" w:cs="Swis721 Lt BT"/>
          <w:color w:val="000000"/>
          <w:szCs w:val="24"/>
        </w:rPr>
      </w:pPr>
      <w:r>
        <w:rPr>
          <w:rFonts w:eastAsiaTheme="minorHAnsi" w:cs="Swis721 Lt BT"/>
          <w:color w:val="000000"/>
          <w:szCs w:val="24"/>
        </w:rPr>
        <w:t>Review of medicines prescribed to a patient to ensure safe and quality use of medicines in the context of the patient’s clinical condition and their goals of care.</w:t>
      </w:r>
    </w:p>
    <w:p w14:paraId="47B76603" w14:textId="77777777" w:rsidR="00971602" w:rsidRDefault="00971602" w:rsidP="00971602">
      <w:pPr>
        <w:jc w:val="both"/>
        <w:rPr>
          <w:rFonts w:eastAsiaTheme="minorHAnsi" w:cs="Swis721 Lt BT"/>
          <w:color w:val="000000"/>
          <w:szCs w:val="24"/>
        </w:rPr>
      </w:pPr>
    </w:p>
    <w:p w14:paraId="157F749A" w14:textId="4D0E97E3" w:rsidR="002F2F02" w:rsidRPr="00DA1A98" w:rsidRDefault="002F2F02" w:rsidP="00C87482">
      <w:pPr>
        <w:autoSpaceDE w:val="0"/>
        <w:autoSpaceDN w:val="0"/>
        <w:adjustRightInd w:val="0"/>
        <w:rPr>
          <w:rFonts w:eastAsiaTheme="minorHAnsi" w:cs="Swis721 Lt BT"/>
          <w:b/>
          <w:color w:val="000000"/>
          <w:szCs w:val="24"/>
        </w:rPr>
      </w:pPr>
      <w:r w:rsidRPr="00DA1A98">
        <w:rPr>
          <w:rFonts w:eastAsiaTheme="minorHAnsi" w:cs="Swis721 Lt BT"/>
          <w:b/>
          <w:color w:val="000000"/>
          <w:szCs w:val="24"/>
        </w:rPr>
        <w:t>Medication Reconciliation Form</w:t>
      </w:r>
    </w:p>
    <w:p w14:paraId="55A8F011" w14:textId="7D1F56FC" w:rsidR="002F2F02" w:rsidRDefault="00DA1A98" w:rsidP="00C87482">
      <w:pPr>
        <w:autoSpaceDE w:val="0"/>
        <w:autoSpaceDN w:val="0"/>
        <w:adjustRightInd w:val="0"/>
        <w:rPr>
          <w:rFonts w:eastAsiaTheme="minorHAnsi" w:cs="Swis721 Lt BT"/>
          <w:color w:val="000000"/>
          <w:szCs w:val="24"/>
        </w:rPr>
      </w:pPr>
      <w:r>
        <w:rPr>
          <w:rFonts w:eastAsiaTheme="minorHAnsi" w:cs="Swis721 Lt BT"/>
          <w:color w:val="000000"/>
          <w:szCs w:val="24"/>
        </w:rPr>
        <w:t>Canberra Health Services local paper form for documenting a patient’s Best Possible Medication History and documenting reconciliation of this with their prescribed medicines.</w:t>
      </w:r>
    </w:p>
    <w:p w14:paraId="6A23EF63" w14:textId="77777777" w:rsidR="00823866" w:rsidRDefault="00823866" w:rsidP="00C87482">
      <w:pPr>
        <w:jc w:val="both"/>
        <w:rPr>
          <w:rFonts w:eastAsiaTheme="minorHAnsi" w:cs="Swis721 Lt BT"/>
          <w:color w:val="000000"/>
          <w:szCs w:val="24"/>
        </w:rPr>
      </w:pPr>
    </w:p>
    <w:p w14:paraId="76BC4F5E" w14:textId="313DB280" w:rsidR="002F2F02" w:rsidRPr="00823866" w:rsidRDefault="002F2F02" w:rsidP="00C87482">
      <w:pPr>
        <w:jc w:val="both"/>
        <w:rPr>
          <w:rFonts w:eastAsiaTheme="minorHAnsi" w:cs="Swis721 Lt BT"/>
          <w:b/>
          <w:color w:val="000000"/>
          <w:szCs w:val="24"/>
        </w:rPr>
      </w:pPr>
      <w:r w:rsidRPr="00823866">
        <w:rPr>
          <w:rFonts w:eastAsiaTheme="minorHAnsi" w:cs="Swis721 Lt BT"/>
          <w:b/>
          <w:color w:val="000000"/>
          <w:szCs w:val="24"/>
        </w:rPr>
        <w:t>Patient Own Medicines (POMs)</w:t>
      </w:r>
    </w:p>
    <w:p w14:paraId="197D959F" w14:textId="235E0CF6" w:rsidR="00BA5419" w:rsidRPr="00823866" w:rsidRDefault="00823866" w:rsidP="00C87482">
      <w:pPr>
        <w:jc w:val="both"/>
        <w:rPr>
          <w:rFonts w:cs="Arial"/>
          <w:szCs w:val="24"/>
        </w:rPr>
      </w:pPr>
      <w:r w:rsidRPr="00823866">
        <w:rPr>
          <w:rFonts w:cs="Arial"/>
          <w:szCs w:val="24"/>
        </w:rPr>
        <w:t xml:space="preserve">Medicines </w:t>
      </w:r>
      <w:r>
        <w:rPr>
          <w:rFonts w:cs="Arial"/>
          <w:szCs w:val="24"/>
        </w:rPr>
        <w:t>that</w:t>
      </w:r>
      <w:r w:rsidRPr="00823866">
        <w:rPr>
          <w:rFonts w:cs="Arial"/>
          <w:szCs w:val="24"/>
        </w:rPr>
        <w:t xml:space="preserve"> belong to a patient </w:t>
      </w:r>
      <w:r>
        <w:rPr>
          <w:rFonts w:cs="Arial"/>
          <w:szCs w:val="24"/>
        </w:rPr>
        <w:t>which</w:t>
      </w:r>
      <w:r w:rsidRPr="00823866">
        <w:rPr>
          <w:rFonts w:cs="Arial"/>
          <w:szCs w:val="24"/>
        </w:rPr>
        <w:t xml:space="preserve"> have been used</w:t>
      </w:r>
      <w:r>
        <w:rPr>
          <w:rFonts w:cs="Arial"/>
          <w:szCs w:val="24"/>
        </w:rPr>
        <w:t xml:space="preserve"> by the patient prior to admission at home.</w:t>
      </w:r>
    </w:p>
    <w:p w14:paraId="661376DB" w14:textId="77777777" w:rsidR="00160DDC" w:rsidRDefault="00160DDC" w:rsidP="00160DDC">
      <w:pPr>
        <w:jc w:val="right"/>
      </w:pPr>
    </w:p>
    <w:p w14:paraId="3C088EA0" w14:textId="64014704" w:rsidR="00160DDC" w:rsidRDefault="001A3598" w:rsidP="00160DDC">
      <w:pPr>
        <w:jc w:val="right"/>
        <w:rPr>
          <w:rFonts w:cs="Arial"/>
          <w:szCs w:val="24"/>
        </w:rPr>
      </w:pPr>
      <w:hyperlink w:anchor="Contents" w:history="1">
        <w:r w:rsidR="00160DDC" w:rsidRPr="00590902">
          <w:rPr>
            <w:rStyle w:val="Hyperlink"/>
            <w:rFonts w:cs="Arial"/>
            <w:i/>
            <w:szCs w:val="24"/>
          </w:rPr>
          <w:t>Back to Table of Contents</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3742B91D" w14:textId="77777777" w:rsidTr="009F2977">
        <w:trPr>
          <w:cantSplit/>
          <w:trHeight w:val="285"/>
        </w:trPr>
        <w:tc>
          <w:tcPr>
            <w:tcW w:w="9158" w:type="dxa"/>
            <w:shd w:val="clear" w:color="auto" w:fill="000000"/>
          </w:tcPr>
          <w:p w14:paraId="3742B91C" w14:textId="77777777" w:rsidR="00A86A9D" w:rsidRPr="007A238D" w:rsidRDefault="00A86A9D" w:rsidP="007A238D">
            <w:pPr>
              <w:pStyle w:val="Heading1"/>
              <w:rPr>
                <w:color w:val="FFFFFF" w:themeColor="background1"/>
              </w:rPr>
            </w:pPr>
            <w:bookmarkStart w:id="8" w:name="_Toc63858054"/>
            <w:r w:rsidRPr="007A238D">
              <w:rPr>
                <w:color w:val="FFFFFF" w:themeColor="background1"/>
              </w:rPr>
              <w:t>References</w:t>
            </w:r>
            <w:bookmarkEnd w:id="8"/>
          </w:p>
        </w:tc>
      </w:tr>
    </w:tbl>
    <w:p w14:paraId="3742B91E" w14:textId="77777777" w:rsidR="00A86A9D" w:rsidRPr="006E1B0C" w:rsidRDefault="00A86A9D" w:rsidP="00A86A9D">
      <w:pPr>
        <w:jc w:val="both"/>
        <w:rPr>
          <w:rFonts w:cs="Arial"/>
          <w:b/>
          <w:szCs w:val="24"/>
        </w:rPr>
      </w:pPr>
    </w:p>
    <w:p w14:paraId="621E6405" w14:textId="77777777" w:rsidR="00C011B9" w:rsidRPr="00BE6DC3" w:rsidRDefault="00C011B9" w:rsidP="00C011B9">
      <w:pPr>
        <w:pStyle w:val="ListParagraph"/>
        <w:numPr>
          <w:ilvl w:val="0"/>
          <w:numId w:val="20"/>
        </w:numPr>
        <w:jc w:val="both"/>
        <w:rPr>
          <w:rStyle w:val="Hyperlink"/>
          <w:i/>
          <w:color w:val="auto"/>
          <w:sz w:val="28"/>
          <w:u w:val="none"/>
        </w:rPr>
      </w:pPr>
      <w:r w:rsidRPr="00F62B3D">
        <w:t>Clinical Excellence Commission</w:t>
      </w:r>
      <w:r>
        <w:t>. (n.d.).</w:t>
      </w:r>
      <w:r w:rsidRPr="00F62B3D">
        <w:t xml:space="preserve"> </w:t>
      </w:r>
      <w:r w:rsidRPr="00DF5449">
        <w:rPr>
          <w:i/>
        </w:rPr>
        <w:t>Continuity of Medication Management</w:t>
      </w:r>
      <w:r w:rsidRPr="00F62B3D">
        <w:t>.</w:t>
      </w:r>
      <w:r>
        <w:t xml:space="preserve"> Retrieved September, 4, 2020, from </w:t>
      </w:r>
      <w:hyperlink r:id="rId11" w:history="1">
        <w:r w:rsidRPr="00F62B3D">
          <w:rPr>
            <w:rStyle w:val="Hyperlink"/>
          </w:rPr>
          <w:t>http://cec.health.nsw.gov.au/keep-patients-safe/medication-safety-and-quality/continuity-of-medication-management</w:t>
        </w:r>
      </w:hyperlink>
    </w:p>
    <w:p w14:paraId="42F010F2" w14:textId="0E68AA65" w:rsidR="00C011B9" w:rsidRDefault="00C011B9" w:rsidP="00C011B9">
      <w:pPr>
        <w:pStyle w:val="ListParagraph"/>
        <w:numPr>
          <w:ilvl w:val="0"/>
          <w:numId w:val="20"/>
        </w:numPr>
      </w:pPr>
      <w:r>
        <w:lastRenderedPageBreak/>
        <w:t>Australian Commission on Safety and Quality in Health Care. National Safety and Quality Health Service Standards guide for hospitals. Sydney: ACSQHC; 2017</w:t>
      </w:r>
    </w:p>
    <w:p w14:paraId="605DA7FA" w14:textId="3868C737" w:rsidR="007A2789" w:rsidRDefault="007A2789" w:rsidP="007A2789"/>
    <w:p w14:paraId="26AF60B9" w14:textId="0B8B7407" w:rsidR="007A2789" w:rsidRDefault="001A3598" w:rsidP="007A2789">
      <w:pPr>
        <w:jc w:val="right"/>
      </w:pPr>
      <w:hyperlink w:anchor="Contents" w:history="1">
        <w:r w:rsidR="007A2789" w:rsidRPr="00590902">
          <w:rPr>
            <w:rStyle w:val="Hyperlink"/>
            <w:rFonts w:cs="Arial"/>
            <w:i/>
            <w:szCs w:val="24"/>
          </w:rPr>
          <w:t>Back to Table of Contents</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636DD9" w:rsidRPr="001B2BAC" w14:paraId="3742B925" w14:textId="77777777" w:rsidTr="009F2977">
        <w:trPr>
          <w:cantSplit/>
          <w:trHeight w:val="285"/>
        </w:trPr>
        <w:tc>
          <w:tcPr>
            <w:tcW w:w="9158" w:type="dxa"/>
            <w:shd w:val="clear" w:color="auto" w:fill="000000"/>
          </w:tcPr>
          <w:p w14:paraId="3742B924" w14:textId="77777777" w:rsidR="00636DD9" w:rsidRPr="007A238D" w:rsidRDefault="00636DD9" w:rsidP="00462F64">
            <w:pPr>
              <w:pStyle w:val="Heading1"/>
              <w:rPr>
                <w:color w:val="FFFFFF" w:themeColor="background1"/>
              </w:rPr>
            </w:pPr>
            <w:bookmarkStart w:id="9" w:name="_Toc63858055"/>
            <w:r>
              <w:rPr>
                <w:color w:val="FFFFFF" w:themeColor="background1"/>
              </w:rPr>
              <w:t>Search Terms</w:t>
            </w:r>
            <w:bookmarkEnd w:id="9"/>
          </w:p>
        </w:tc>
      </w:tr>
    </w:tbl>
    <w:p w14:paraId="3742B926" w14:textId="77777777" w:rsidR="00636DD9" w:rsidRDefault="00636DD9" w:rsidP="00636DD9">
      <w:pPr>
        <w:rPr>
          <w:rFonts w:cs="Calibri,Bold"/>
          <w:bCs/>
          <w:i/>
          <w:szCs w:val="24"/>
          <w:lang w:eastAsia="en-AU"/>
        </w:rPr>
      </w:pPr>
    </w:p>
    <w:p w14:paraId="3742B927" w14:textId="607DD221" w:rsidR="00636DD9" w:rsidRDefault="00ED1262" w:rsidP="00636DD9">
      <w:pPr>
        <w:rPr>
          <w:rFonts w:cs="Calibri,Bold"/>
          <w:bCs/>
          <w:iCs/>
          <w:szCs w:val="24"/>
          <w:lang w:eastAsia="en-AU"/>
        </w:rPr>
      </w:pPr>
      <w:r w:rsidRPr="007A2789">
        <w:rPr>
          <w:rFonts w:cs="Calibri,Bold"/>
          <w:bCs/>
          <w:iCs/>
          <w:szCs w:val="24"/>
          <w:lang w:eastAsia="en-AU"/>
        </w:rPr>
        <w:t>Medication Reconciliation</w:t>
      </w:r>
      <w:r w:rsidR="00B3695B" w:rsidRPr="007A2789">
        <w:rPr>
          <w:rFonts w:cs="Calibri,Bold"/>
          <w:bCs/>
          <w:iCs/>
          <w:szCs w:val="24"/>
          <w:lang w:eastAsia="en-AU"/>
        </w:rPr>
        <w:t xml:space="preserve">, </w:t>
      </w:r>
      <w:r w:rsidRPr="007A2789">
        <w:rPr>
          <w:rFonts w:cs="Calibri,Bold"/>
          <w:bCs/>
          <w:iCs/>
          <w:szCs w:val="24"/>
          <w:lang w:eastAsia="en-AU"/>
        </w:rPr>
        <w:t>Medication</w:t>
      </w:r>
      <w:r w:rsidR="00B3695B" w:rsidRPr="007A2789">
        <w:rPr>
          <w:rFonts w:cs="Calibri,Bold"/>
          <w:bCs/>
          <w:iCs/>
          <w:szCs w:val="24"/>
          <w:lang w:eastAsia="en-AU"/>
        </w:rPr>
        <w:t xml:space="preserve">, </w:t>
      </w:r>
      <w:r w:rsidRPr="007A2789">
        <w:rPr>
          <w:rFonts w:cs="Calibri,Bold"/>
          <w:bCs/>
          <w:iCs/>
          <w:szCs w:val="24"/>
          <w:lang w:eastAsia="en-AU"/>
        </w:rPr>
        <w:t>Reconciliation</w:t>
      </w:r>
      <w:r w:rsidR="00B3695B" w:rsidRPr="007A2789">
        <w:rPr>
          <w:rFonts w:cs="Calibri,Bold"/>
          <w:bCs/>
          <w:iCs/>
          <w:szCs w:val="24"/>
          <w:lang w:eastAsia="en-AU"/>
        </w:rPr>
        <w:t xml:space="preserve">, Review, Medicines, </w:t>
      </w:r>
      <w:r w:rsidRPr="007A2789">
        <w:rPr>
          <w:rFonts w:cs="Calibri,Bold"/>
          <w:bCs/>
          <w:iCs/>
          <w:szCs w:val="24"/>
          <w:lang w:eastAsia="en-AU"/>
        </w:rPr>
        <w:t>BPMH</w:t>
      </w:r>
      <w:r w:rsidR="00B3695B" w:rsidRPr="007A2789">
        <w:rPr>
          <w:rFonts w:cs="Calibri,Bold"/>
          <w:bCs/>
          <w:iCs/>
          <w:szCs w:val="24"/>
          <w:lang w:eastAsia="en-AU"/>
        </w:rPr>
        <w:t xml:space="preserve">, </w:t>
      </w:r>
      <w:r w:rsidRPr="007A2789">
        <w:rPr>
          <w:rFonts w:cs="Calibri,Bold"/>
          <w:bCs/>
          <w:iCs/>
          <w:szCs w:val="24"/>
          <w:lang w:eastAsia="en-AU"/>
        </w:rPr>
        <w:t>Best Possible Medication History</w:t>
      </w:r>
      <w:r w:rsidR="00B3695B" w:rsidRPr="007A2789">
        <w:rPr>
          <w:rFonts w:cs="Calibri,Bold"/>
          <w:bCs/>
          <w:iCs/>
          <w:szCs w:val="24"/>
          <w:lang w:eastAsia="en-AU"/>
        </w:rPr>
        <w:t xml:space="preserve">, </w:t>
      </w:r>
      <w:r w:rsidRPr="007A2789">
        <w:rPr>
          <w:rFonts w:cs="Calibri,Bold"/>
          <w:bCs/>
          <w:iCs/>
          <w:szCs w:val="24"/>
          <w:lang w:eastAsia="en-AU"/>
        </w:rPr>
        <w:t xml:space="preserve">Medication </w:t>
      </w:r>
      <w:r w:rsidR="00B3695B" w:rsidRPr="007A2789">
        <w:rPr>
          <w:rFonts w:cs="Calibri,Bold"/>
          <w:bCs/>
          <w:iCs/>
          <w:szCs w:val="24"/>
          <w:lang w:eastAsia="en-AU"/>
        </w:rPr>
        <w:t xml:space="preserve">Management, Continuity, Continuity of Medication Management, Admission, Discharge, Transfer, Poms  </w:t>
      </w:r>
    </w:p>
    <w:p w14:paraId="55F31959" w14:textId="77777777" w:rsidR="00160DDC" w:rsidRPr="007A2789" w:rsidRDefault="00160DDC" w:rsidP="00636DD9">
      <w:pPr>
        <w:rPr>
          <w:rFonts w:cs="Calibri,Bold"/>
          <w:bCs/>
          <w:iCs/>
          <w:szCs w:val="24"/>
          <w:lang w:eastAsia="en-AU"/>
        </w:rPr>
      </w:pPr>
    </w:p>
    <w:p w14:paraId="3742B928" w14:textId="743EC06E" w:rsidR="007A238D" w:rsidRDefault="001A3598" w:rsidP="00160DDC">
      <w:pPr>
        <w:jc w:val="right"/>
        <w:rPr>
          <w:rFonts w:cs="Arial"/>
          <w:szCs w:val="24"/>
        </w:rPr>
      </w:pPr>
      <w:hyperlink w:anchor="Contents" w:history="1">
        <w:r w:rsidR="00160DDC" w:rsidRPr="00590902">
          <w:rPr>
            <w:rStyle w:val="Hyperlink"/>
            <w:rFonts w:cs="Arial"/>
            <w:i/>
            <w:szCs w:val="24"/>
          </w:rPr>
          <w:t>Back to Table of Contents</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3742B92A" w14:textId="77777777" w:rsidTr="009F2977">
        <w:trPr>
          <w:cantSplit/>
          <w:trHeight w:val="285"/>
        </w:trPr>
        <w:tc>
          <w:tcPr>
            <w:tcW w:w="9158" w:type="dxa"/>
            <w:shd w:val="clear" w:color="auto" w:fill="000000"/>
          </w:tcPr>
          <w:p w14:paraId="3742B929" w14:textId="77777777" w:rsidR="00A86A9D" w:rsidRPr="007A238D" w:rsidRDefault="00A86A9D" w:rsidP="007A238D">
            <w:pPr>
              <w:pStyle w:val="Heading1"/>
              <w:rPr>
                <w:color w:val="FFFFFF" w:themeColor="background1"/>
              </w:rPr>
            </w:pPr>
            <w:bookmarkStart w:id="10" w:name="_Toc63858056"/>
            <w:r w:rsidRPr="007A238D">
              <w:rPr>
                <w:color w:val="FFFFFF" w:themeColor="background1"/>
              </w:rPr>
              <w:t>Attachments</w:t>
            </w:r>
            <w:bookmarkEnd w:id="10"/>
          </w:p>
        </w:tc>
      </w:tr>
    </w:tbl>
    <w:p w14:paraId="6CE00873" w14:textId="77777777" w:rsidR="00394EEC" w:rsidRDefault="00394EEC" w:rsidP="00394EEC">
      <w:pPr>
        <w:rPr>
          <w:lang w:eastAsia="en-AU"/>
        </w:rPr>
      </w:pPr>
    </w:p>
    <w:p w14:paraId="334380FC" w14:textId="6024550F" w:rsidR="00394EEC" w:rsidRDefault="00394EEC" w:rsidP="00394EEC">
      <w:pPr>
        <w:rPr>
          <w:rFonts w:cs="Arial"/>
          <w:szCs w:val="24"/>
        </w:rPr>
      </w:pPr>
      <w:r>
        <w:rPr>
          <w:lang w:eastAsia="en-AU"/>
        </w:rPr>
        <w:t xml:space="preserve">Attachment </w:t>
      </w:r>
      <w:r w:rsidRPr="0089710B">
        <w:rPr>
          <w:rFonts w:cs="Arial"/>
          <w:szCs w:val="24"/>
        </w:rPr>
        <w:t>1 –</w:t>
      </w:r>
      <w:r>
        <w:rPr>
          <w:rFonts w:cs="Arial"/>
          <w:szCs w:val="24"/>
        </w:rPr>
        <w:t xml:space="preserve"> Flowchart for Medication Reconciliation on Admission</w:t>
      </w:r>
    </w:p>
    <w:p w14:paraId="3FB81C7D" w14:textId="20079587" w:rsidR="00394EEC" w:rsidRDefault="00394EEC" w:rsidP="00394EEC">
      <w:pPr>
        <w:rPr>
          <w:rFonts w:cs="Arial"/>
          <w:szCs w:val="24"/>
        </w:rPr>
      </w:pPr>
      <w:r>
        <w:rPr>
          <w:lang w:eastAsia="en-AU"/>
        </w:rPr>
        <w:t xml:space="preserve">Attachment </w:t>
      </w:r>
      <w:r>
        <w:rPr>
          <w:rFonts w:cs="Arial"/>
          <w:szCs w:val="24"/>
        </w:rPr>
        <w:t xml:space="preserve">2 </w:t>
      </w:r>
      <w:r w:rsidR="00160DDC">
        <w:rPr>
          <w:rFonts w:cs="Arial"/>
          <w:szCs w:val="24"/>
        </w:rPr>
        <w:t>–</w:t>
      </w:r>
      <w:r>
        <w:rPr>
          <w:rFonts w:cs="Arial"/>
          <w:szCs w:val="24"/>
        </w:rPr>
        <w:t xml:space="preserve"> Meds on Admission tab in MedChart</w:t>
      </w:r>
    </w:p>
    <w:p w14:paraId="1529B231" w14:textId="77777777" w:rsidR="00394EEC" w:rsidRDefault="00394EEC" w:rsidP="00394EEC">
      <w:pPr>
        <w:rPr>
          <w:rFonts w:cs="Arial"/>
          <w:szCs w:val="24"/>
        </w:rPr>
      </w:pPr>
      <w:r>
        <w:rPr>
          <w:lang w:eastAsia="en-AU"/>
        </w:rPr>
        <w:t xml:space="preserve">Attachment </w:t>
      </w:r>
      <w:r>
        <w:rPr>
          <w:rFonts w:cs="Arial"/>
          <w:szCs w:val="24"/>
        </w:rPr>
        <w:t>3 – Medication Reconciliation Form</w:t>
      </w:r>
    </w:p>
    <w:p w14:paraId="7BA5BFEA" w14:textId="77777777" w:rsidR="00394EEC" w:rsidRDefault="00394EEC" w:rsidP="00394EEC">
      <w:pPr>
        <w:rPr>
          <w:rFonts w:cs="Arial"/>
          <w:szCs w:val="24"/>
        </w:rPr>
      </w:pPr>
      <w:r>
        <w:rPr>
          <w:lang w:eastAsia="en-AU"/>
        </w:rPr>
        <w:t xml:space="preserve">Attachment </w:t>
      </w:r>
      <w:r>
        <w:rPr>
          <w:rFonts w:cs="Arial"/>
          <w:szCs w:val="24"/>
        </w:rPr>
        <w:t>4 – Pre-operative Medication Plan</w:t>
      </w:r>
    </w:p>
    <w:p w14:paraId="20C0641A" w14:textId="77777777" w:rsidR="00394EEC" w:rsidRDefault="00394EEC" w:rsidP="00394EEC">
      <w:pPr>
        <w:rPr>
          <w:rFonts w:cs="Arial"/>
          <w:szCs w:val="24"/>
        </w:rPr>
      </w:pPr>
      <w:r>
        <w:rPr>
          <w:lang w:eastAsia="en-AU"/>
        </w:rPr>
        <w:t xml:space="preserve">Attachment </w:t>
      </w:r>
      <w:r>
        <w:rPr>
          <w:rFonts w:cs="Arial"/>
          <w:szCs w:val="24"/>
        </w:rPr>
        <w:t>5 – Electronic Discharge Summary</w:t>
      </w:r>
    </w:p>
    <w:p w14:paraId="3742B92B" w14:textId="021FBB29" w:rsidR="00A86A9D" w:rsidRDefault="00A86A9D" w:rsidP="00A86A9D">
      <w:pPr>
        <w:jc w:val="both"/>
        <w:rPr>
          <w:rFonts w:cs="Arial"/>
          <w:b/>
          <w:szCs w:val="24"/>
        </w:rPr>
      </w:pPr>
    </w:p>
    <w:p w14:paraId="165BC1D4" w14:textId="5927A2C1" w:rsidR="007A2789" w:rsidRDefault="007A2789" w:rsidP="00A86A9D">
      <w:pPr>
        <w:jc w:val="both"/>
        <w:rPr>
          <w:rFonts w:cs="Arial"/>
          <w:b/>
          <w:szCs w:val="24"/>
        </w:rPr>
      </w:pPr>
    </w:p>
    <w:p w14:paraId="506AA1BF" w14:textId="77777777" w:rsidR="007A2789" w:rsidRDefault="007A2789" w:rsidP="007A2789">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25CC0763" w14:textId="77777777" w:rsidR="007A2789" w:rsidRDefault="007A2789" w:rsidP="007A2789">
      <w:pPr>
        <w:rPr>
          <w:rFonts w:cs="Arial"/>
          <w:i/>
          <w:iCs/>
          <w:sz w:val="20"/>
        </w:rPr>
      </w:pPr>
    </w:p>
    <w:p w14:paraId="1F442321" w14:textId="77777777" w:rsidR="007A2789" w:rsidRPr="00817254" w:rsidRDefault="007A2789" w:rsidP="007A2789">
      <w:pPr>
        <w:rPr>
          <w:rFonts w:cs="Arial"/>
          <w:i/>
          <w:iCs/>
          <w:sz w:val="20"/>
          <w:szCs w:val="24"/>
        </w:rPr>
      </w:pPr>
      <w:r w:rsidRPr="00817254">
        <w:rPr>
          <w:rFonts w:cs="Arial"/>
          <w:i/>
          <w:iCs/>
          <w:sz w:val="20"/>
          <w:szCs w:val="24"/>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7A2789" w:rsidRPr="00817254" w14:paraId="527F1748" w14:textId="77777777" w:rsidTr="00FE640E">
        <w:tc>
          <w:tcPr>
            <w:tcW w:w="2265" w:type="dxa"/>
          </w:tcPr>
          <w:p w14:paraId="14046B61" w14:textId="77777777" w:rsidR="007A2789" w:rsidRPr="00817254" w:rsidRDefault="007A2789" w:rsidP="00FE640E">
            <w:pPr>
              <w:rPr>
                <w:i/>
                <w:sz w:val="20"/>
                <w:szCs w:val="24"/>
              </w:rPr>
            </w:pPr>
            <w:r w:rsidRPr="00817254">
              <w:rPr>
                <w:i/>
                <w:sz w:val="20"/>
                <w:szCs w:val="24"/>
              </w:rPr>
              <w:t>Date Amended</w:t>
            </w:r>
          </w:p>
        </w:tc>
        <w:tc>
          <w:tcPr>
            <w:tcW w:w="2265" w:type="dxa"/>
          </w:tcPr>
          <w:p w14:paraId="0898192C" w14:textId="77777777" w:rsidR="007A2789" w:rsidRPr="00817254" w:rsidRDefault="007A2789" w:rsidP="00FE640E">
            <w:pPr>
              <w:rPr>
                <w:i/>
                <w:sz w:val="20"/>
                <w:szCs w:val="24"/>
              </w:rPr>
            </w:pPr>
            <w:r w:rsidRPr="00817254">
              <w:rPr>
                <w:i/>
                <w:sz w:val="20"/>
                <w:szCs w:val="24"/>
              </w:rPr>
              <w:t>Section Amended</w:t>
            </w:r>
          </w:p>
        </w:tc>
        <w:tc>
          <w:tcPr>
            <w:tcW w:w="2265" w:type="dxa"/>
          </w:tcPr>
          <w:p w14:paraId="4E0A518D" w14:textId="77777777" w:rsidR="007A2789" w:rsidRPr="00817254" w:rsidRDefault="007A2789" w:rsidP="00FE640E">
            <w:pPr>
              <w:rPr>
                <w:i/>
                <w:sz w:val="20"/>
                <w:szCs w:val="24"/>
              </w:rPr>
            </w:pPr>
            <w:r w:rsidRPr="00817254">
              <w:rPr>
                <w:i/>
                <w:sz w:val="20"/>
                <w:szCs w:val="24"/>
              </w:rPr>
              <w:t>Divisional Approval</w:t>
            </w:r>
          </w:p>
        </w:tc>
        <w:tc>
          <w:tcPr>
            <w:tcW w:w="2265" w:type="dxa"/>
          </w:tcPr>
          <w:p w14:paraId="7CE75A45" w14:textId="77777777" w:rsidR="007A2789" w:rsidRPr="00817254" w:rsidRDefault="007A2789" w:rsidP="00FE640E">
            <w:pPr>
              <w:rPr>
                <w:i/>
                <w:sz w:val="20"/>
                <w:szCs w:val="24"/>
              </w:rPr>
            </w:pPr>
            <w:r w:rsidRPr="00817254">
              <w:rPr>
                <w:i/>
                <w:sz w:val="20"/>
                <w:szCs w:val="24"/>
              </w:rPr>
              <w:t xml:space="preserve">Final Approval </w:t>
            </w:r>
          </w:p>
        </w:tc>
      </w:tr>
      <w:tr w:rsidR="007A2789" w:rsidRPr="00817254" w14:paraId="262D97E9" w14:textId="77777777" w:rsidTr="00FE640E">
        <w:tc>
          <w:tcPr>
            <w:tcW w:w="2265" w:type="dxa"/>
          </w:tcPr>
          <w:p w14:paraId="70ACF5B4" w14:textId="77777777" w:rsidR="007A2789" w:rsidRPr="00817254" w:rsidRDefault="007A2789" w:rsidP="00FE640E">
            <w:pPr>
              <w:rPr>
                <w:i/>
                <w:sz w:val="20"/>
                <w:szCs w:val="24"/>
              </w:rPr>
            </w:pPr>
          </w:p>
        </w:tc>
        <w:tc>
          <w:tcPr>
            <w:tcW w:w="2265" w:type="dxa"/>
          </w:tcPr>
          <w:p w14:paraId="365ADE59" w14:textId="77777777" w:rsidR="007A2789" w:rsidRPr="00817254" w:rsidRDefault="007A2789" w:rsidP="00FE640E">
            <w:pPr>
              <w:rPr>
                <w:i/>
                <w:sz w:val="20"/>
                <w:szCs w:val="24"/>
              </w:rPr>
            </w:pPr>
          </w:p>
        </w:tc>
        <w:tc>
          <w:tcPr>
            <w:tcW w:w="2265" w:type="dxa"/>
          </w:tcPr>
          <w:p w14:paraId="5710BBCC" w14:textId="77777777" w:rsidR="007A2789" w:rsidRPr="00817254" w:rsidRDefault="007A2789" w:rsidP="00FE640E">
            <w:pPr>
              <w:rPr>
                <w:i/>
                <w:sz w:val="20"/>
                <w:szCs w:val="24"/>
              </w:rPr>
            </w:pPr>
          </w:p>
        </w:tc>
        <w:tc>
          <w:tcPr>
            <w:tcW w:w="2265" w:type="dxa"/>
          </w:tcPr>
          <w:p w14:paraId="3801552E" w14:textId="77777777" w:rsidR="007A2789" w:rsidRPr="00817254" w:rsidRDefault="007A2789" w:rsidP="00FE640E">
            <w:pPr>
              <w:rPr>
                <w:i/>
                <w:sz w:val="20"/>
                <w:szCs w:val="24"/>
              </w:rPr>
            </w:pPr>
          </w:p>
        </w:tc>
      </w:tr>
      <w:tr w:rsidR="007A2789" w:rsidRPr="00817254" w14:paraId="1CDB8E16" w14:textId="77777777" w:rsidTr="00FE640E">
        <w:tc>
          <w:tcPr>
            <w:tcW w:w="2265" w:type="dxa"/>
          </w:tcPr>
          <w:p w14:paraId="3E298316" w14:textId="77777777" w:rsidR="007A2789" w:rsidRPr="00817254" w:rsidRDefault="007A2789" w:rsidP="00FE640E">
            <w:pPr>
              <w:rPr>
                <w:i/>
                <w:sz w:val="20"/>
                <w:szCs w:val="24"/>
              </w:rPr>
            </w:pPr>
          </w:p>
        </w:tc>
        <w:tc>
          <w:tcPr>
            <w:tcW w:w="2265" w:type="dxa"/>
          </w:tcPr>
          <w:p w14:paraId="5996BABB" w14:textId="77777777" w:rsidR="007A2789" w:rsidRPr="00817254" w:rsidRDefault="007A2789" w:rsidP="00FE640E">
            <w:pPr>
              <w:rPr>
                <w:i/>
                <w:sz w:val="20"/>
                <w:szCs w:val="24"/>
              </w:rPr>
            </w:pPr>
          </w:p>
        </w:tc>
        <w:tc>
          <w:tcPr>
            <w:tcW w:w="2265" w:type="dxa"/>
          </w:tcPr>
          <w:p w14:paraId="06868CAD" w14:textId="77777777" w:rsidR="007A2789" w:rsidRPr="00817254" w:rsidRDefault="007A2789" w:rsidP="00FE640E">
            <w:pPr>
              <w:rPr>
                <w:i/>
                <w:sz w:val="20"/>
                <w:szCs w:val="24"/>
              </w:rPr>
            </w:pPr>
          </w:p>
        </w:tc>
        <w:tc>
          <w:tcPr>
            <w:tcW w:w="2265" w:type="dxa"/>
          </w:tcPr>
          <w:p w14:paraId="72CF7C2C" w14:textId="77777777" w:rsidR="007A2789" w:rsidRPr="00817254" w:rsidRDefault="007A2789" w:rsidP="00FE640E">
            <w:pPr>
              <w:rPr>
                <w:i/>
                <w:sz w:val="20"/>
                <w:szCs w:val="24"/>
              </w:rPr>
            </w:pPr>
          </w:p>
        </w:tc>
      </w:tr>
    </w:tbl>
    <w:p w14:paraId="2DE69D43" w14:textId="77777777" w:rsidR="007A2789" w:rsidRPr="00817254" w:rsidRDefault="007A2789" w:rsidP="007A2789">
      <w:pPr>
        <w:rPr>
          <w:rFonts w:cs="Arial"/>
          <w:sz w:val="20"/>
          <w:szCs w:val="24"/>
        </w:rPr>
      </w:pPr>
    </w:p>
    <w:p w14:paraId="032BE0D2" w14:textId="77777777" w:rsidR="007A2789" w:rsidRPr="00817254" w:rsidRDefault="007A2789" w:rsidP="007A2789">
      <w:pPr>
        <w:rPr>
          <w:rFonts w:cs="Arial"/>
          <w:i/>
          <w:sz w:val="20"/>
          <w:szCs w:val="24"/>
        </w:rPr>
      </w:pPr>
      <w:r w:rsidRPr="00817254">
        <w:rPr>
          <w:rFonts w:cs="Arial"/>
          <w:i/>
          <w:sz w:val="20"/>
          <w:szCs w:val="24"/>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7A2789" w:rsidRPr="00817254" w14:paraId="3C0F330C" w14:textId="77777777" w:rsidTr="00FE640E">
        <w:tc>
          <w:tcPr>
            <w:tcW w:w="2122" w:type="dxa"/>
          </w:tcPr>
          <w:p w14:paraId="455C84B9" w14:textId="77777777" w:rsidR="007A2789" w:rsidRPr="00817254" w:rsidRDefault="007A2789" w:rsidP="00FE640E">
            <w:pPr>
              <w:rPr>
                <w:i/>
                <w:sz w:val="20"/>
                <w:szCs w:val="24"/>
              </w:rPr>
            </w:pPr>
            <w:r w:rsidRPr="00817254">
              <w:rPr>
                <w:i/>
                <w:sz w:val="20"/>
                <w:szCs w:val="24"/>
              </w:rPr>
              <w:t>Document Number</w:t>
            </w:r>
          </w:p>
        </w:tc>
        <w:tc>
          <w:tcPr>
            <w:tcW w:w="6938" w:type="dxa"/>
          </w:tcPr>
          <w:p w14:paraId="095C7C0A" w14:textId="77777777" w:rsidR="007A2789" w:rsidRPr="00817254" w:rsidRDefault="007A2789" w:rsidP="00FE640E">
            <w:pPr>
              <w:rPr>
                <w:i/>
                <w:sz w:val="20"/>
                <w:szCs w:val="24"/>
              </w:rPr>
            </w:pPr>
            <w:r w:rsidRPr="00817254">
              <w:rPr>
                <w:i/>
                <w:sz w:val="20"/>
                <w:szCs w:val="24"/>
              </w:rPr>
              <w:t>Document Name</w:t>
            </w:r>
          </w:p>
        </w:tc>
      </w:tr>
      <w:tr w:rsidR="007A2789" w:rsidRPr="00817254" w14:paraId="2CDCE681" w14:textId="77777777" w:rsidTr="00FE640E">
        <w:tc>
          <w:tcPr>
            <w:tcW w:w="2122" w:type="dxa"/>
          </w:tcPr>
          <w:p w14:paraId="2E261BAB" w14:textId="77777777" w:rsidR="007A2789" w:rsidRPr="00817254" w:rsidRDefault="007A2789" w:rsidP="00FE640E">
            <w:pPr>
              <w:rPr>
                <w:i/>
                <w:sz w:val="20"/>
                <w:szCs w:val="24"/>
              </w:rPr>
            </w:pPr>
          </w:p>
        </w:tc>
        <w:tc>
          <w:tcPr>
            <w:tcW w:w="6938" w:type="dxa"/>
          </w:tcPr>
          <w:p w14:paraId="07002D77" w14:textId="77777777" w:rsidR="007A2789" w:rsidRPr="00817254" w:rsidRDefault="007A2789" w:rsidP="00FE640E">
            <w:pPr>
              <w:rPr>
                <w:i/>
                <w:sz w:val="20"/>
                <w:szCs w:val="24"/>
              </w:rPr>
            </w:pPr>
          </w:p>
        </w:tc>
      </w:tr>
      <w:tr w:rsidR="007A2789" w:rsidRPr="00817254" w14:paraId="1E16191D" w14:textId="77777777" w:rsidTr="00FE640E">
        <w:tc>
          <w:tcPr>
            <w:tcW w:w="2122" w:type="dxa"/>
          </w:tcPr>
          <w:p w14:paraId="3183A626" w14:textId="77777777" w:rsidR="007A2789" w:rsidRPr="00817254" w:rsidRDefault="007A2789" w:rsidP="00FE640E">
            <w:pPr>
              <w:rPr>
                <w:i/>
                <w:sz w:val="20"/>
                <w:szCs w:val="24"/>
              </w:rPr>
            </w:pPr>
          </w:p>
        </w:tc>
        <w:tc>
          <w:tcPr>
            <w:tcW w:w="6938" w:type="dxa"/>
          </w:tcPr>
          <w:p w14:paraId="2289DDFE" w14:textId="77777777" w:rsidR="007A2789" w:rsidRPr="00817254" w:rsidRDefault="007A2789" w:rsidP="00FE640E">
            <w:pPr>
              <w:rPr>
                <w:i/>
                <w:sz w:val="20"/>
                <w:szCs w:val="24"/>
              </w:rPr>
            </w:pPr>
          </w:p>
        </w:tc>
      </w:tr>
    </w:tbl>
    <w:p w14:paraId="609BB48E" w14:textId="77777777" w:rsidR="007A2789" w:rsidRDefault="007A2789" w:rsidP="00A86A9D">
      <w:pPr>
        <w:jc w:val="both"/>
        <w:rPr>
          <w:rFonts w:cs="Arial"/>
          <w:b/>
          <w:szCs w:val="24"/>
        </w:rPr>
      </w:pPr>
    </w:p>
    <w:p w14:paraId="3742B92E" w14:textId="49FB924B" w:rsidR="00394EEC" w:rsidRDefault="00394EEC">
      <w:pPr>
        <w:spacing w:after="200" w:line="276" w:lineRule="auto"/>
        <w:rPr>
          <w:rFonts w:cs="Arial"/>
          <w:szCs w:val="24"/>
        </w:rPr>
      </w:pPr>
      <w:r>
        <w:rPr>
          <w:rFonts w:cs="Arial"/>
          <w:szCs w:val="24"/>
        </w:rPr>
        <w:br w:type="page"/>
      </w:r>
    </w:p>
    <w:p w14:paraId="4481A690" w14:textId="77777777" w:rsidR="00394EEC" w:rsidRPr="00160DDC" w:rsidRDefault="00394EEC" w:rsidP="00160DDC">
      <w:pPr>
        <w:pStyle w:val="Heading2"/>
      </w:pPr>
      <w:bookmarkStart w:id="11" w:name="_Toc63858057"/>
      <w:r w:rsidRPr="00160DDC">
        <w:lastRenderedPageBreak/>
        <w:t>Attachment 1 – Flowchart for Medication Reconciliation on Admission</w:t>
      </w:r>
      <w:bookmarkEnd w:id="11"/>
    </w:p>
    <w:p w14:paraId="3CDFB735" w14:textId="77777777" w:rsidR="00394EEC" w:rsidRDefault="00394EEC" w:rsidP="00394EEC">
      <w:pPr>
        <w:rPr>
          <w:rFonts w:cs="Arial"/>
          <w:b/>
          <w:szCs w:val="24"/>
        </w:rPr>
        <w:sectPr w:rsidR="00394EEC" w:rsidSect="00B10F87">
          <w:headerReference w:type="even" r:id="rId12"/>
          <w:headerReference w:type="default" r:id="rId13"/>
          <w:footerReference w:type="even" r:id="rId14"/>
          <w:footerReference w:type="default" r:id="rId15"/>
          <w:headerReference w:type="first" r:id="rId16"/>
          <w:footerReference w:type="first" r:id="rId17"/>
          <w:pgSz w:w="11906" w:h="16838"/>
          <w:pgMar w:top="663" w:right="1418" w:bottom="1440" w:left="1418" w:header="357" w:footer="306" w:gutter="0"/>
          <w:cols w:space="708"/>
          <w:docGrid w:linePitch="360"/>
        </w:sectPr>
      </w:pPr>
      <w:r>
        <w:rPr>
          <w:noProof/>
          <w:lang w:eastAsia="en-AU"/>
        </w:rPr>
        <w:drawing>
          <wp:inline distT="0" distB="0" distL="0" distR="0" wp14:anchorId="54F6E3CE" wp14:editId="1E8E3C91">
            <wp:extent cx="5708822" cy="8131921"/>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19720" cy="8147445"/>
                    </a:xfrm>
                    <a:prstGeom prst="rect">
                      <a:avLst/>
                    </a:prstGeom>
                  </pic:spPr>
                </pic:pic>
              </a:graphicData>
            </a:graphic>
          </wp:inline>
        </w:drawing>
      </w:r>
    </w:p>
    <w:p w14:paraId="6D843E5F" w14:textId="77777777" w:rsidR="00394EEC" w:rsidRPr="00160DDC" w:rsidRDefault="00394EEC" w:rsidP="00160DDC">
      <w:pPr>
        <w:pStyle w:val="Heading2"/>
      </w:pPr>
      <w:bookmarkStart w:id="12" w:name="_Toc63858058"/>
      <w:r w:rsidRPr="00160DDC">
        <w:lastRenderedPageBreak/>
        <w:t xml:space="preserve">Attachment 2 - Meds on Admission tab in </w:t>
      </w:r>
      <w:proofErr w:type="spellStart"/>
      <w:r w:rsidRPr="00160DDC">
        <w:t>MedChart</w:t>
      </w:r>
      <w:bookmarkEnd w:id="12"/>
      <w:proofErr w:type="spellEnd"/>
    </w:p>
    <w:p w14:paraId="0559C5B7" w14:textId="77777777" w:rsidR="00394EEC" w:rsidRDefault="00394EEC" w:rsidP="00394EEC">
      <w:pPr>
        <w:rPr>
          <w:i/>
          <w:sz w:val="20"/>
          <w:szCs w:val="24"/>
        </w:rPr>
      </w:pPr>
      <w:r w:rsidRPr="00EB5DB3">
        <w:rPr>
          <w:i/>
          <w:noProof/>
          <w:sz w:val="20"/>
          <w:szCs w:val="24"/>
        </w:rPr>
        <w:drawing>
          <wp:inline distT="0" distB="0" distL="0" distR="0" wp14:anchorId="51B63B46" wp14:editId="570CD9E6">
            <wp:extent cx="9356725" cy="49968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356725" cy="4996815"/>
                    </a:xfrm>
                    <a:prstGeom prst="rect">
                      <a:avLst/>
                    </a:prstGeom>
                  </pic:spPr>
                </pic:pic>
              </a:graphicData>
            </a:graphic>
          </wp:inline>
        </w:drawing>
      </w:r>
    </w:p>
    <w:p w14:paraId="6002B30D" w14:textId="77777777" w:rsidR="00394EEC" w:rsidRPr="002C69E3" w:rsidRDefault="00394EEC" w:rsidP="00394EEC">
      <w:pPr>
        <w:spacing w:after="200" w:line="276" w:lineRule="auto"/>
        <w:rPr>
          <w:i/>
          <w:sz w:val="20"/>
          <w:szCs w:val="24"/>
        </w:rPr>
        <w:sectPr w:rsidR="00394EEC" w:rsidRPr="002C69E3" w:rsidSect="002C69E3">
          <w:pgSz w:w="16838" w:h="11906" w:orient="landscape"/>
          <w:pgMar w:top="1418" w:right="663" w:bottom="1418" w:left="1440" w:header="357" w:footer="306" w:gutter="0"/>
          <w:cols w:space="708"/>
          <w:docGrid w:linePitch="360"/>
        </w:sectPr>
      </w:pPr>
    </w:p>
    <w:p w14:paraId="629BF50E" w14:textId="77777777" w:rsidR="00394EEC" w:rsidRPr="00160DDC" w:rsidRDefault="00394EEC" w:rsidP="00160DDC">
      <w:pPr>
        <w:pStyle w:val="Heading2"/>
      </w:pPr>
      <w:bookmarkStart w:id="13" w:name="_Toc63858059"/>
      <w:r w:rsidRPr="00160DDC">
        <w:lastRenderedPageBreak/>
        <w:t>Attachment 3 – Medication Reconciliation Form</w:t>
      </w:r>
      <w:bookmarkEnd w:id="13"/>
    </w:p>
    <w:p w14:paraId="1414F32E" w14:textId="77777777" w:rsidR="00394EEC" w:rsidRDefault="00394EEC" w:rsidP="00394EEC">
      <w:pPr>
        <w:rPr>
          <w:i/>
          <w:sz w:val="20"/>
          <w:szCs w:val="24"/>
        </w:rPr>
      </w:pPr>
    </w:p>
    <w:p w14:paraId="02C1DE11" w14:textId="507F61F8" w:rsidR="00394EEC" w:rsidRDefault="007A2789" w:rsidP="00394EEC">
      <w:pPr>
        <w:rPr>
          <w:i/>
          <w:sz w:val="20"/>
          <w:szCs w:val="24"/>
        </w:rPr>
      </w:pPr>
      <w:r>
        <w:rPr>
          <w:noProof/>
        </w:rPr>
        <mc:AlternateContent>
          <mc:Choice Requires="wps">
            <w:drawing>
              <wp:anchor distT="0" distB="0" distL="114300" distR="114300" simplePos="0" relativeHeight="251669504" behindDoc="0" locked="0" layoutInCell="1" allowOverlap="1" wp14:anchorId="41DE3E4F" wp14:editId="06A373BE">
                <wp:simplePos x="0" y="0"/>
                <wp:positionH relativeFrom="margin">
                  <wp:align>center</wp:align>
                </wp:positionH>
                <wp:positionV relativeFrom="paragraph">
                  <wp:posOffset>2853690</wp:posOffset>
                </wp:positionV>
                <wp:extent cx="5759450" cy="8228965"/>
                <wp:effectExtent l="0" t="971550" r="20320" b="986790"/>
                <wp:wrapNone/>
                <wp:docPr id="17" name="Text Box 17"/>
                <wp:cNvGraphicFramePr/>
                <a:graphic xmlns:a="http://schemas.openxmlformats.org/drawingml/2006/main">
                  <a:graphicData uri="http://schemas.microsoft.com/office/word/2010/wordprocessingShape">
                    <wps:wsp>
                      <wps:cNvSpPr txBox="1"/>
                      <wps:spPr>
                        <a:xfrm rot="19363637">
                          <a:off x="0" y="0"/>
                          <a:ext cx="5759450" cy="8228965"/>
                        </a:xfrm>
                        <a:prstGeom prst="rect">
                          <a:avLst/>
                        </a:prstGeom>
                        <a:noFill/>
                        <a:ln>
                          <a:noFill/>
                        </a:ln>
                      </wps:spPr>
                      <wps:txbx>
                        <w:txbxContent>
                          <w:p w14:paraId="324B27C4" w14:textId="77777777" w:rsidR="007A2789" w:rsidRPr="007A2789" w:rsidRDefault="007A2789" w:rsidP="007A2789">
                            <w:pPr>
                              <w:jc w:val="center"/>
                              <w:rPr>
                                <w:noProof/>
                                <w:color w:val="BFBFBF" w:themeColor="background1" w:themeShade="BF"/>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2789">
                              <w:rPr>
                                <w:noProof/>
                                <w:color w:val="BFBFBF" w:themeColor="background1" w:themeShade="BF"/>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1DE3E4F" id="_x0000_t202" coordsize="21600,21600" o:spt="202" path="m,l,21600r21600,l21600,xe">
                <v:stroke joinstyle="miter"/>
                <v:path gradientshapeok="t" o:connecttype="rect"/>
              </v:shapetype>
              <v:shape id="Text Box 17" o:spid="_x0000_s1026" type="#_x0000_t202" style="position:absolute;margin-left:0;margin-top:224.7pt;width:453.5pt;height:647.95pt;rotation:-2442705fd;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" filled="f" stroked="f">
                <v:textbox style="mso-fit-shape-to-text:t">
                  <w:txbxContent>
                    <w:p w14:paraId="324B27C4" w14:textId="77777777" w:rsidR="007A2789" w:rsidRPr="007A2789" w:rsidRDefault="007A2789" w:rsidP="007A2789">
                      <w:pPr>
                        <w:jc w:val="center"/>
                        <w:rPr>
                          <w:noProof/>
                          <w:color w:val="BFBFBF" w:themeColor="background1" w:themeShade="BF"/>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2789">
                        <w:rPr>
                          <w:noProof/>
                          <w:color w:val="BFBFBF" w:themeColor="background1" w:themeShade="BF"/>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v:textbox>
                <w10:wrap anchorx="margin"/>
              </v:shape>
            </w:pict>
          </mc:Fallback>
        </mc:AlternateContent>
      </w:r>
      <w:r w:rsidR="00394EEC">
        <w:rPr>
          <w:noProof/>
          <w:lang w:eastAsia="en-AU"/>
        </w:rPr>
        <w:drawing>
          <wp:inline distT="0" distB="0" distL="0" distR="0" wp14:anchorId="231034DB" wp14:editId="3FC88967">
            <wp:extent cx="5759450" cy="81527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59450" cy="8152765"/>
                    </a:xfrm>
                    <a:prstGeom prst="rect">
                      <a:avLst/>
                    </a:prstGeom>
                  </pic:spPr>
                </pic:pic>
              </a:graphicData>
            </a:graphic>
          </wp:inline>
        </w:drawing>
      </w:r>
    </w:p>
    <w:p w14:paraId="6270E80C" w14:textId="6E7C5D45" w:rsidR="00394EEC" w:rsidRDefault="007A2789" w:rsidP="00394EEC">
      <w:pPr>
        <w:spacing w:after="200" w:line="276" w:lineRule="auto"/>
        <w:rPr>
          <w:i/>
          <w:sz w:val="20"/>
          <w:szCs w:val="24"/>
        </w:rPr>
      </w:pPr>
      <w:r>
        <w:rPr>
          <w:noProof/>
        </w:rPr>
        <w:lastRenderedPageBreak/>
        <mc:AlternateContent>
          <mc:Choice Requires="wps">
            <w:drawing>
              <wp:anchor distT="0" distB="0" distL="114300" distR="114300" simplePos="0" relativeHeight="251667456" behindDoc="0" locked="0" layoutInCell="1" allowOverlap="1" wp14:anchorId="34130BAA" wp14:editId="22585896">
                <wp:simplePos x="0" y="0"/>
                <wp:positionH relativeFrom="margin">
                  <wp:align>center</wp:align>
                </wp:positionH>
                <wp:positionV relativeFrom="paragraph">
                  <wp:posOffset>3185159</wp:posOffset>
                </wp:positionV>
                <wp:extent cx="5759450" cy="8228965"/>
                <wp:effectExtent l="0" t="971550" r="20320" b="986790"/>
                <wp:wrapNone/>
                <wp:docPr id="16" name="Text Box 16"/>
                <wp:cNvGraphicFramePr/>
                <a:graphic xmlns:a="http://schemas.openxmlformats.org/drawingml/2006/main">
                  <a:graphicData uri="http://schemas.microsoft.com/office/word/2010/wordprocessingShape">
                    <wps:wsp>
                      <wps:cNvSpPr txBox="1"/>
                      <wps:spPr>
                        <a:xfrm rot="19363637">
                          <a:off x="0" y="0"/>
                          <a:ext cx="5759450" cy="8228965"/>
                        </a:xfrm>
                        <a:prstGeom prst="rect">
                          <a:avLst/>
                        </a:prstGeom>
                        <a:noFill/>
                        <a:ln>
                          <a:noFill/>
                        </a:ln>
                      </wps:spPr>
                      <wps:txbx>
                        <w:txbxContent>
                          <w:p w14:paraId="612138C9" w14:textId="77777777" w:rsidR="007A2789" w:rsidRPr="007A2789" w:rsidRDefault="007A2789" w:rsidP="007A2789">
                            <w:pPr>
                              <w:jc w:val="center"/>
                              <w:rPr>
                                <w:noProof/>
                                <w:color w:val="BFBFBF" w:themeColor="background1" w:themeShade="BF"/>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2789">
                              <w:rPr>
                                <w:noProof/>
                                <w:color w:val="BFBFBF" w:themeColor="background1" w:themeShade="BF"/>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4130BAA" id="Text Box 16" o:spid="_x0000_s1027" type="#_x0000_t202" style="position:absolute;margin-left:0;margin-top:250.8pt;width:453.5pt;height:647.95pt;rotation:-2442705fd;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" filled="f" stroked="f">
                <v:textbox style="mso-fit-shape-to-text:t">
                  <w:txbxContent>
                    <w:p w14:paraId="612138C9" w14:textId="77777777" w:rsidR="007A2789" w:rsidRPr="007A2789" w:rsidRDefault="007A2789" w:rsidP="007A2789">
                      <w:pPr>
                        <w:jc w:val="center"/>
                        <w:rPr>
                          <w:noProof/>
                          <w:color w:val="BFBFBF" w:themeColor="background1" w:themeShade="BF"/>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2789">
                        <w:rPr>
                          <w:noProof/>
                          <w:color w:val="BFBFBF" w:themeColor="background1" w:themeShade="BF"/>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v:textbox>
                <w10:wrap anchorx="margin"/>
              </v:shape>
            </w:pict>
          </mc:Fallback>
        </mc:AlternateContent>
      </w:r>
      <w:r w:rsidR="00394EEC">
        <w:rPr>
          <w:noProof/>
          <w:lang w:eastAsia="en-AU"/>
        </w:rPr>
        <w:drawing>
          <wp:inline distT="0" distB="0" distL="0" distR="0" wp14:anchorId="0B4C1813" wp14:editId="01445AB6">
            <wp:extent cx="5759450" cy="82588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59450" cy="8258810"/>
                    </a:xfrm>
                    <a:prstGeom prst="rect">
                      <a:avLst/>
                    </a:prstGeom>
                  </pic:spPr>
                </pic:pic>
              </a:graphicData>
            </a:graphic>
          </wp:inline>
        </w:drawing>
      </w:r>
      <w:r w:rsidR="00394EEC">
        <w:rPr>
          <w:i/>
          <w:sz w:val="20"/>
          <w:szCs w:val="24"/>
        </w:rPr>
        <w:br w:type="page"/>
      </w:r>
    </w:p>
    <w:p w14:paraId="20830535" w14:textId="77777777" w:rsidR="00394EEC" w:rsidRPr="002C69E3" w:rsidRDefault="00394EEC" w:rsidP="007A2789">
      <w:pPr>
        <w:pStyle w:val="Heading2"/>
      </w:pPr>
      <w:bookmarkStart w:id="14" w:name="_Toc63858060"/>
      <w:r w:rsidRPr="002E71F4">
        <w:rPr>
          <w:lang w:eastAsia="en-AU"/>
        </w:rPr>
        <w:lastRenderedPageBreak/>
        <w:t>Attachment</w:t>
      </w:r>
      <w:r>
        <w:rPr>
          <w:lang w:eastAsia="en-AU"/>
        </w:rPr>
        <w:t xml:space="preserve"> </w:t>
      </w:r>
      <w:r w:rsidRPr="002C69E3">
        <w:t>4 – Pre-operative Medication Plan</w:t>
      </w:r>
      <w:bookmarkEnd w:id="14"/>
    </w:p>
    <w:p w14:paraId="5D6B7B7F" w14:textId="59CEE766" w:rsidR="00394EEC" w:rsidRDefault="007A2789" w:rsidP="00394EEC">
      <w:pPr>
        <w:rPr>
          <w:i/>
          <w:sz w:val="20"/>
          <w:szCs w:val="24"/>
        </w:rPr>
      </w:pPr>
      <w:r>
        <w:rPr>
          <w:noProof/>
        </w:rPr>
        <mc:AlternateContent>
          <mc:Choice Requires="wps">
            <w:drawing>
              <wp:anchor distT="0" distB="0" distL="114300" distR="114300" simplePos="0" relativeHeight="251665408" behindDoc="0" locked="0" layoutInCell="1" allowOverlap="1" wp14:anchorId="7190287E" wp14:editId="1DE479CC">
                <wp:simplePos x="0" y="0"/>
                <wp:positionH relativeFrom="margin">
                  <wp:align>center</wp:align>
                </wp:positionH>
                <wp:positionV relativeFrom="paragraph">
                  <wp:posOffset>2751455</wp:posOffset>
                </wp:positionV>
                <wp:extent cx="5759450" cy="8228965"/>
                <wp:effectExtent l="0" t="971550" r="20320" b="986790"/>
                <wp:wrapNone/>
                <wp:docPr id="15" name="Text Box 15"/>
                <wp:cNvGraphicFramePr/>
                <a:graphic xmlns:a="http://schemas.openxmlformats.org/drawingml/2006/main">
                  <a:graphicData uri="http://schemas.microsoft.com/office/word/2010/wordprocessingShape">
                    <wps:wsp>
                      <wps:cNvSpPr txBox="1"/>
                      <wps:spPr>
                        <a:xfrm rot="19363637">
                          <a:off x="0" y="0"/>
                          <a:ext cx="5759450" cy="8228965"/>
                        </a:xfrm>
                        <a:prstGeom prst="rect">
                          <a:avLst/>
                        </a:prstGeom>
                        <a:noFill/>
                        <a:ln>
                          <a:noFill/>
                        </a:ln>
                      </wps:spPr>
                      <wps:txbx>
                        <w:txbxContent>
                          <w:p w14:paraId="7B8E31F2" w14:textId="77777777" w:rsidR="007A2789" w:rsidRPr="007A2789" w:rsidRDefault="007A2789" w:rsidP="007A2789">
                            <w:pPr>
                              <w:jc w:val="center"/>
                              <w:rPr>
                                <w:noProof/>
                                <w:color w:val="BFBFBF" w:themeColor="background1" w:themeShade="BF"/>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2789">
                              <w:rPr>
                                <w:noProof/>
                                <w:color w:val="BFBFBF" w:themeColor="background1" w:themeShade="BF"/>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190287E" id="Text Box 15" o:spid="_x0000_s1028" type="#_x0000_t202" style="position:absolute;margin-left:0;margin-top:216.65pt;width:453.5pt;height:647.95pt;rotation:-2442705fd;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" filled="f" stroked="f">
                <v:textbox style="mso-fit-shape-to-text:t">
                  <w:txbxContent>
                    <w:p w14:paraId="7B8E31F2" w14:textId="77777777" w:rsidR="007A2789" w:rsidRPr="007A2789" w:rsidRDefault="007A2789" w:rsidP="007A2789">
                      <w:pPr>
                        <w:jc w:val="center"/>
                        <w:rPr>
                          <w:noProof/>
                          <w:color w:val="BFBFBF" w:themeColor="background1" w:themeShade="BF"/>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2789">
                        <w:rPr>
                          <w:noProof/>
                          <w:color w:val="BFBFBF" w:themeColor="background1" w:themeShade="BF"/>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v:textbox>
                <w10:wrap anchorx="margin"/>
              </v:shape>
            </w:pict>
          </mc:Fallback>
        </mc:AlternateContent>
      </w:r>
      <w:r w:rsidR="00394EEC" w:rsidRPr="00351F84">
        <w:rPr>
          <w:i/>
          <w:noProof/>
          <w:sz w:val="20"/>
          <w:szCs w:val="24"/>
        </w:rPr>
        <w:drawing>
          <wp:inline distT="0" distB="0" distL="0" distR="0" wp14:anchorId="3658A85F" wp14:editId="02401D75">
            <wp:extent cx="5759450" cy="814959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59450" cy="8149590"/>
                    </a:xfrm>
                    <a:prstGeom prst="rect">
                      <a:avLst/>
                    </a:prstGeom>
                  </pic:spPr>
                </pic:pic>
              </a:graphicData>
            </a:graphic>
          </wp:inline>
        </w:drawing>
      </w:r>
      <w:r w:rsidR="00394EEC">
        <w:rPr>
          <w:i/>
          <w:sz w:val="20"/>
          <w:szCs w:val="24"/>
        </w:rPr>
        <w:br w:type="page"/>
      </w:r>
    </w:p>
    <w:p w14:paraId="7F6DAEA5" w14:textId="6F12BE97" w:rsidR="00394EEC" w:rsidRDefault="007A2789" w:rsidP="00394EEC">
      <w:pPr>
        <w:rPr>
          <w:i/>
          <w:sz w:val="20"/>
          <w:szCs w:val="24"/>
        </w:rPr>
      </w:pPr>
      <w:r>
        <w:rPr>
          <w:noProof/>
        </w:rPr>
        <w:lastRenderedPageBreak/>
        <mc:AlternateContent>
          <mc:Choice Requires="wps">
            <w:drawing>
              <wp:anchor distT="0" distB="0" distL="114300" distR="114300" simplePos="0" relativeHeight="251663360" behindDoc="0" locked="0" layoutInCell="1" allowOverlap="1" wp14:anchorId="3D26942D" wp14:editId="7F55042D">
                <wp:simplePos x="0" y="0"/>
                <wp:positionH relativeFrom="margin">
                  <wp:align>center</wp:align>
                </wp:positionH>
                <wp:positionV relativeFrom="paragraph">
                  <wp:posOffset>2941320</wp:posOffset>
                </wp:positionV>
                <wp:extent cx="5759450" cy="8228965"/>
                <wp:effectExtent l="0" t="971550" r="20320" b="986790"/>
                <wp:wrapNone/>
                <wp:docPr id="12" name="Text Box 12"/>
                <wp:cNvGraphicFramePr/>
                <a:graphic xmlns:a="http://schemas.openxmlformats.org/drawingml/2006/main">
                  <a:graphicData uri="http://schemas.microsoft.com/office/word/2010/wordprocessingShape">
                    <wps:wsp>
                      <wps:cNvSpPr txBox="1"/>
                      <wps:spPr>
                        <a:xfrm rot="19363637">
                          <a:off x="0" y="0"/>
                          <a:ext cx="5759450" cy="8228965"/>
                        </a:xfrm>
                        <a:prstGeom prst="rect">
                          <a:avLst/>
                        </a:prstGeom>
                        <a:noFill/>
                        <a:ln>
                          <a:noFill/>
                        </a:ln>
                      </wps:spPr>
                      <wps:txbx>
                        <w:txbxContent>
                          <w:p w14:paraId="7C51F436" w14:textId="77777777" w:rsidR="007A2789" w:rsidRPr="007A2789" w:rsidRDefault="007A2789" w:rsidP="007A2789">
                            <w:pPr>
                              <w:jc w:val="center"/>
                              <w:rPr>
                                <w:noProof/>
                                <w:color w:val="BFBFBF" w:themeColor="background1" w:themeShade="BF"/>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2789">
                              <w:rPr>
                                <w:noProof/>
                                <w:color w:val="BFBFBF" w:themeColor="background1" w:themeShade="BF"/>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D26942D" id="Text Box 12" o:spid="_x0000_s1029" type="#_x0000_t202" style="position:absolute;margin-left:0;margin-top:231.6pt;width:453.5pt;height:647.95pt;rotation:-2442705fd;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" filled="f" stroked="f">
                <v:textbox style="mso-fit-shape-to-text:t">
                  <w:txbxContent>
                    <w:p w14:paraId="7C51F436" w14:textId="77777777" w:rsidR="007A2789" w:rsidRPr="007A2789" w:rsidRDefault="007A2789" w:rsidP="007A2789">
                      <w:pPr>
                        <w:jc w:val="center"/>
                        <w:rPr>
                          <w:noProof/>
                          <w:color w:val="BFBFBF" w:themeColor="background1" w:themeShade="BF"/>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2789">
                        <w:rPr>
                          <w:noProof/>
                          <w:color w:val="BFBFBF" w:themeColor="background1" w:themeShade="BF"/>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v:textbox>
                <w10:wrap anchorx="margin"/>
              </v:shape>
            </w:pict>
          </mc:Fallback>
        </mc:AlternateContent>
      </w:r>
      <w:bookmarkStart w:id="15" w:name="_Toc63858061"/>
      <w:r w:rsidR="00394EEC" w:rsidRPr="007A2789">
        <w:rPr>
          <w:rStyle w:val="Heading2Char"/>
        </w:rPr>
        <w:t>Attachment 5 – Electronic Discharge Summary</w:t>
      </w:r>
      <w:bookmarkEnd w:id="15"/>
      <w:r w:rsidR="00394EEC">
        <w:rPr>
          <w:noProof/>
          <w:lang w:eastAsia="en-AU"/>
        </w:rPr>
        <w:drawing>
          <wp:inline distT="0" distB="0" distL="0" distR="0" wp14:anchorId="70B6C161" wp14:editId="2E25A911">
            <wp:extent cx="5456667" cy="78962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59242" cy="7899951"/>
                    </a:xfrm>
                    <a:prstGeom prst="rect">
                      <a:avLst/>
                    </a:prstGeom>
                  </pic:spPr>
                </pic:pic>
              </a:graphicData>
            </a:graphic>
          </wp:inline>
        </w:drawing>
      </w:r>
    </w:p>
    <w:p w14:paraId="2DD1E548" w14:textId="1FEAACEE" w:rsidR="00394EEC" w:rsidRDefault="007A2789" w:rsidP="00394EEC">
      <w:pPr>
        <w:rPr>
          <w:i/>
          <w:sz w:val="20"/>
          <w:szCs w:val="24"/>
        </w:rPr>
      </w:pPr>
      <w:r>
        <w:rPr>
          <w:noProof/>
        </w:rPr>
        <w:lastRenderedPageBreak/>
        <mc:AlternateContent>
          <mc:Choice Requires="wps">
            <w:drawing>
              <wp:anchor distT="0" distB="0" distL="114300" distR="114300" simplePos="0" relativeHeight="251661312" behindDoc="0" locked="0" layoutInCell="1" allowOverlap="1" wp14:anchorId="08F8F12B" wp14:editId="797C1796">
                <wp:simplePos x="0" y="0"/>
                <wp:positionH relativeFrom="margin">
                  <wp:align>center</wp:align>
                </wp:positionH>
                <wp:positionV relativeFrom="paragraph">
                  <wp:posOffset>3178367</wp:posOffset>
                </wp:positionV>
                <wp:extent cx="5759450" cy="8228965"/>
                <wp:effectExtent l="0" t="971550" r="20320" b="986790"/>
                <wp:wrapNone/>
                <wp:docPr id="7" name="Text Box 7"/>
                <wp:cNvGraphicFramePr/>
                <a:graphic xmlns:a="http://schemas.openxmlformats.org/drawingml/2006/main">
                  <a:graphicData uri="http://schemas.microsoft.com/office/word/2010/wordprocessingShape">
                    <wps:wsp>
                      <wps:cNvSpPr txBox="1"/>
                      <wps:spPr>
                        <a:xfrm rot="19363637">
                          <a:off x="0" y="0"/>
                          <a:ext cx="5759450" cy="8228965"/>
                        </a:xfrm>
                        <a:prstGeom prst="rect">
                          <a:avLst/>
                        </a:prstGeom>
                        <a:noFill/>
                        <a:ln>
                          <a:noFill/>
                        </a:ln>
                      </wps:spPr>
                      <wps:txbx>
                        <w:txbxContent>
                          <w:p w14:paraId="132715E9" w14:textId="77777777" w:rsidR="007A2789" w:rsidRPr="007A2789" w:rsidRDefault="007A2789" w:rsidP="007A2789">
                            <w:pPr>
                              <w:jc w:val="center"/>
                              <w:rPr>
                                <w:noProof/>
                                <w:color w:val="BFBFBF" w:themeColor="background1" w:themeShade="BF"/>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2789">
                              <w:rPr>
                                <w:noProof/>
                                <w:color w:val="BFBFBF" w:themeColor="background1" w:themeShade="BF"/>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8F8F12B" id="Text Box 7" o:spid="_x0000_s1030" type="#_x0000_t202" style="position:absolute;margin-left:0;margin-top:250.25pt;width:453.5pt;height:647.95pt;rotation:-2442705fd;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" filled="f" stroked="f">
                <v:textbox style="mso-fit-shape-to-text:t">
                  <w:txbxContent>
                    <w:p w14:paraId="132715E9" w14:textId="77777777" w:rsidR="007A2789" w:rsidRPr="007A2789" w:rsidRDefault="007A2789" w:rsidP="007A2789">
                      <w:pPr>
                        <w:jc w:val="center"/>
                        <w:rPr>
                          <w:noProof/>
                          <w:color w:val="BFBFBF" w:themeColor="background1" w:themeShade="BF"/>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2789">
                        <w:rPr>
                          <w:noProof/>
                          <w:color w:val="BFBFBF" w:themeColor="background1" w:themeShade="BF"/>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v:textbox>
                <w10:wrap anchorx="margin"/>
              </v:shape>
            </w:pict>
          </mc:Fallback>
        </mc:AlternateContent>
      </w:r>
      <w:r w:rsidR="00394EEC">
        <w:rPr>
          <w:noProof/>
          <w:lang w:eastAsia="en-AU"/>
        </w:rPr>
        <w:drawing>
          <wp:inline distT="0" distB="0" distL="0" distR="0" wp14:anchorId="75D3C145" wp14:editId="57AA7AF0">
            <wp:extent cx="5759450" cy="81991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59450" cy="8199120"/>
                    </a:xfrm>
                    <a:prstGeom prst="rect">
                      <a:avLst/>
                    </a:prstGeom>
                  </pic:spPr>
                </pic:pic>
              </a:graphicData>
            </a:graphic>
          </wp:inline>
        </w:drawing>
      </w:r>
    </w:p>
    <w:p w14:paraId="3742B94C" w14:textId="2821854B" w:rsidR="0069341E" w:rsidRPr="00010E74" w:rsidRDefault="007A2789" w:rsidP="0069341E">
      <w:pPr>
        <w:rPr>
          <w:i/>
          <w:sz w:val="20"/>
          <w:szCs w:val="24"/>
        </w:rPr>
      </w:pPr>
      <w:r>
        <w:rPr>
          <w:noProof/>
        </w:rPr>
        <w:lastRenderedPageBreak/>
        <mc:AlternateContent>
          <mc:Choice Requires="wps">
            <w:drawing>
              <wp:anchor distT="0" distB="0" distL="114300" distR="114300" simplePos="0" relativeHeight="251659264" behindDoc="0" locked="0" layoutInCell="1" allowOverlap="1" wp14:anchorId="5F9287F5" wp14:editId="6D932BE4">
                <wp:simplePos x="0" y="0"/>
                <wp:positionH relativeFrom="margin">
                  <wp:align>center</wp:align>
                </wp:positionH>
                <wp:positionV relativeFrom="paragraph">
                  <wp:posOffset>3179749</wp:posOffset>
                </wp:positionV>
                <wp:extent cx="5759450" cy="8228965"/>
                <wp:effectExtent l="0" t="971550" r="20320" b="986790"/>
                <wp:wrapNone/>
                <wp:docPr id="6" name="Text Box 6"/>
                <wp:cNvGraphicFramePr/>
                <a:graphic xmlns:a="http://schemas.openxmlformats.org/drawingml/2006/main">
                  <a:graphicData uri="http://schemas.microsoft.com/office/word/2010/wordprocessingShape">
                    <wps:wsp>
                      <wps:cNvSpPr txBox="1"/>
                      <wps:spPr>
                        <a:xfrm rot="19363637">
                          <a:off x="0" y="0"/>
                          <a:ext cx="5759450" cy="8228965"/>
                        </a:xfrm>
                        <a:prstGeom prst="rect">
                          <a:avLst/>
                        </a:prstGeom>
                        <a:noFill/>
                        <a:ln>
                          <a:noFill/>
                        </a:ln>
                      </wps:spPr>
                      <wps:txbx>
                        <w:txbxContent>
                          <w:p w14:paraId="11F5E815" w14:textId="27AFCA7E" w:rsidR="007A2789" w:rsidRPr="007A2789" w:rsidRDefault="007A2789" w:rsidP="007A2789">
                            <w:pPr>
                              <w:jc w:val="center"/>
                              <w:rPr>
                                <w:noProof/>
                                <w:color w:val="BFBFBF" w:themeColor="background1" w:themeShade="BF"/>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2789">
                              <w:rPr>
                                <w:noProof/>
                                <w:color w:val="BFBFBF" w:themeColor="background1" w:themeShade="BF"/>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F9287F5" id="Text Box 6" o:spid="_x0000_s1031" type="#_x0000_t202" style="position:absolute;margin-left:0;margin-top:250.35pt;width:453.5pt;height:647.95pt;rotation:-2442705fd;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" filled="f" stroked="f">
                <v:textbox style="mso-fit-shape-to-text:t">
                  <w:txbxContent>
                    <w:p w14:paraId="11F5E815" w14:textId="27AFCA7E" w:rsidR="007A2789" w:rsidRPr="007A2789" w:rsidRDefault="007A2789" w:rsidP="007A2789">
                      <w:pPr>
                        <w:jc w:val="center"/>
                        <w:rPr>
                          <w:noProof/>
                          <w:color w:val="BFBFBF" w:themeColor="background1" w:themeShade="BF"/>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2789">
                        <w:rPr>
                          <w:noProof/>
                          <w:color w:val="BFBFBF" w:themeColor="background1" w:themeShade="BF"/>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Sample</w:t>
                      </w:r>
                    </w:p>
                  </w:txbxContent>
                </v:textbox>
                <w10:wrap anchorx="margin"/>
              </v:shape>
            </w:pict>
          </mc:Fallback>
        </mc:AlternateContent>
      </w:r>
      <w:r w:rsidR="00394EEC">
        <w:rPr>
          <w:noProof/>
          <w:lang w:eastAsia="en-AU"/>
        </w:rPr>
        <w:drawing>
          <wp:inline distT="0" distB="0" distL="0" distR="0" wp14:anchorId="423B213A" wp14:editId="38DFF1D2">
            <wp:extent cx="5759450" cy="822896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59450" cy="8228965"/>
                    </a:xfrm>
                    <a:prstGeom prst="rect">
                      <a:avLst/>
                    </a:prstGeom>
                  </pic:spPr>
                </pic:pic>
              </a:graphicData>
            </a:graphic>
          </wp:inline>
        </w:drawing>
      </w:r>
    </w:p>
    <w:p w14:paraId="3742B94D" w14:textId="77777777" w:rsidR="002F61F7" w:rsidRPr="00A86A9D" w:rsidRDefault="002F61F7" w:rsidP="00A86A9D">
      <w:pPr>
        <w:rPr>
          <w:szCs w:val="24"/>
        </w:rPr>
      </w:pPr>
    </w:p>
    <w:sectPr w:rsidR="002F61F7" w:rsidRPr="00A86A9D" w:rsidSect="002F61F7">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02B90" w14:textId="77777777" w:rsidR="00A81E3F" w:rsidRDefault="00A81E3F" w:rsidP="00F66CB0">
      <w:r>
        <w:separator/>
      </w:r>
    </w:p>
  </w:endnote>
  <w:endnote w:type="continuationSeparator" w:id="0">
    <w:p w14:paraId="69A73542" w14:textId="77777777" w:rsidR="00A81E3F" w:rsidRDefault="00A81E3F"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s721 Lt BT">
    <w:altName w:val="Swis 72 1 Light"/>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76EBE" w14:textId="77777777" w:rsidR="00394EEC" w:rsidRDefault="00394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insideH w:val="single" w:sz="4" w:space="0" w:color="auto"/>
      </w:tblBorders>
      <w:tblLook w:val="00A0" w:firstRow="1" w:lastRow="0" w:firstColumn="1" w:lastColumn="0" w:noHBand="0" w:noVBand="0"/>
    </w:tblPr>
    <w:tblGrid>
      <w:gridCol w:w="1513"/>
      <w:gridCol w:w="964"/>
      <w:gridCol w:w="1552"/>
      <w:gridCol w:w="1469"/>
      <w:gridCol w:w="2299"/>
      <w:gridCol w:w="1273"/>
    </w:tblGrid>
    <w:tr w:rsidR="00394EEC" w:rsidRPr="00AE7C5C" w14:paraId="4922B828" w14:textId="77777777" w:rsidTr="00230969">
      <w:tc>
        <w:tcPr>
          <w:tcW w:w="1513" w:type="dxa"/>
        </w:tcPr>
        <w:p w14:paraId="16F4EB79" w14:textId="77777777" w:rsidR="00394EEC" w:rsidRPr="00B3752F" w:rsidRDefault="00394EEC" w:rsidP="00B10F87">
          <w:pPr>
            <w:pStyle w:val="Footer"/>
            <w:rPr>
              <w:rFonts w:cs="Arial"/>
              <w:b/>
              <w:bCs/>
              <w:i/>
              <w:sz w:val="20"/>
            </w:rPr>
          </w:pPr>
          <w:r w:rsidRPr="00B3752F">
            <w:rPr>
              <w:rFonts w:cs="Arial"/>
              <w:b/>
              <w:bCs/>
              <w:i/>
              <w:sz w:val="20"/>
            </w:rPr>
            <w:t>Doc Number</w:t>
          </w:r>
        </w:p>
      </w:tc>
      <w:tc>
        <w:tcPr>
          <w:tcW w:w="964" w:type="dxa"/>
        </w:tcPr>
        <w:p w14:paraId="4CFA35C8" w14:textId="77777777" w:rsidR="00394EEC" w:rsidRPr="00B3752F" w:rsidRDefault="00394EEC" w:rsidP="00B10F87">
          <w:pPr>
            <w:pStyle w:val="Footer"/>
            <w:rPr>
              <w:rFonts w:cs="Arial"/>
              <w:b/>
              <w:bCs/>
              <w:i/>
              <w:sz w:val="20"/>
            </w:rPr>
          </w:pPr>
          <w:r w:rsidRPr="00B3752F">
            <w:rPr>
              <w:rFonts w:cs="Arial"/>
              <w:b/>
              <w:bCs/>
              <w:i/>
              <w:sz w:val="20"/>
            </w:rPr>
            <w:t>Version</w:t>
          </w:r>
        </w:p>
      </w:tc>
      <w:tc>
        <w:tcPr>
          <w:tcW w:w="1552" w:type="dxa"/>
        </w:tcPr>
        <w:p w14:paraId="35EE15AB" w14:textId="77777777" w:rsidR="00394EEC" w:rsidRPr="00B3752F" w:rsidRDefault="00394EEC" w:rsidP="00B10F87">
          <w:pPr>
            <w:pStyle w:val="Footer"/>
            <w:rPr>
              <w:rFonts w:cs="Arial"/>
              <w:b/>
              <w:bCs/>
              <w:i/>
              <w:sz w:val="20"/>
            </w:rPr>
          </w:pPr>
          <w:r w:rsidRPr="00B3752F">
            <w:rPr>
              <w:rFonts w:cs="Arial"/>
              <w:b/>
              <w:bCs/>
              <w:i/>
              <w:sz w:val="20"/>
            </w:rPr>
            <w:t>Issued</w:t>
          </w:r>
        </w:p>
      </w:tc>
      <w:tc>
        <w:tcPr>
          <w:tcW w:w="1469" w:type="dxa"/>
        </w:tcPr>
        <w:p w14:paraId="09C21D10" w14:textId="77777777" w:rsidR="00394EEC" w:rsidRPr="00B3752F" w:rsidRDefault="00394EEC" w:rsidP="00B10F87">
          <w:pPr>
            <w:pStyle w:val="Footer"/>
            <w:rPr>
              <w:rFonts w:cs="Arial"/>
              <w:b/>
              <w:bCs/>
              <w:i/>
              <w:sz w:val="20"/>
            </w:rPr>
          </w:pPr>
          <w:r w:rsidRPr="00B3752F">
            <w:rPr>
              <w:rFonts w:cs="Arial"/>
              <w:b/>
              <w:bCs/>
              <w:i/>
              <w:sz w:val="20"/>
            </w:rPr>
            <w:t>Review Date</w:t>
          </w:r>
        </w:p>
      </w:tc>
      <w:tc>
        <w:tcPr>
          <w:tcW w:w="2299" w:type="dxa"/>
        </w:tcPr>
        <w:p w14:paraId="76E19D6A" w14:textId="77777777" w:rsidR="00394EEC" w:rsidRPr="00B3752F" w:rsidRDefault="00394EEC" w:rsidP="00B10F87">
          <w:pPr>
            <w:pStyle w:val="Footer"/>
            <w:rPr>
              <w:rFonts w:cs="Arial"/>
              <w:b/>
              <w:bCs/>
              <w:i/>
              <w:sz w:val="20"/>
            </w:rPr>
          </w:pPr>
          <w:r w:rsidRPr="00B3752F">
            <w:rPr>
              <w:rFonts w:cs="Arial"/>
              <w:b/>
              <w:bCs/>
              <w:i/>
              <w:sz w:val="20"/>
            </w:rPr>
            <w:t>Area Responsible</w:t>
          </w:r>
        </w:p>
      </w:tc>
      <w:tc>
        <w:tcPr>
          <w:tcW w:w="1273" w:type="dxa"/>
        </w:tcPr>
        <w:p w14:paraId="4860EAF6" w14:textId="77777777" w:rsidR="00394EEC" w:rsidRPr="00B3752F" w:rsidRDefault="00394EEC" w:rsidP="00B10F87">
          <w:pPr>
            <w:pStyle w:val="Footer"/>
            <w:rPr>
              <w:rFonts w:cs="Arial"/>
              <w:b/>
              <w:bCs/>
              <w:i/>
              <w:sz w:val="20"/>
            </w:rPr>
          </w:pPr>
          <w:r w:rsidRPr="00B3752F">
            <w:rPr>
              <w:rFonts w:cs="Arial"/>
              <w:b/>
              <w:bCs/>
              <w:i/>
              <w:sz w:val="20"/>
            </w:rPr>
            <w:t>Page</w:t>
          </w:r>
        </w:p>
      </w:tc>
    </w:tr>
    <w:tr w:rsidR="00230969" w14:paraId="0D9544E9" w14:textId="77777777" w:rsidTr="00230969">
      <w:tc>
        <w:tcPr>
          <w:tcW w:w="1513" w:type="dxa"/>
        </w:tcPr>
        <w:p w14:paraId="53FFB9BC" w14:textId="3774FACA" w:rsidR="00230969" w:rsidRPr="00542EE6" w:rsidRDefault="00230969" w:rsidP="00230969">
          <w:pPr>
            <w:pStyle w:val="Footer"/>
            <w:rPr>
              <w:rFonts w:cs="Arial"/>
              <w:b/>
              <w:bCs/>
              <w:sz w:val="20"/>
            </w:rPr>
          </w:pPr>
          <w:r>
            <w:rPr>
              <w:rFonts w:cs="Arial"/>
              <w:b/>
              <w:bCs/>
              <w:sz w:val="20"/>
            </w:rPr>
            <w:t>CHS21/139</w:t>
          </w:r>
        </w:p>
      </w:tc>
      <w:tc>
        <w:tcPr>
          <w:tcW w:w="964" w:type="dxa"/>
        </w:tcPr>
        <w:p w14:paraId="14854E05" w14:textId="49DE7641" w:rsidR="00230969" w:rsidRPr="00B3752F" w:rsidRDefault="00230969" w:rsidP="00230969">
          <w:pPr>
            <w:pStyle w:val="Footer"/>
            <w:rPr>
              <w:rFonts w:cs="Arial"/>
              <w:b/>
              <w:bCs/>
              <w:sz w:val="20"/>
            </w:rPr>
          </w:pPr>
          <w:r>
            <w:rPr>
              <w:rFonts w:cs="Arial"/>
              <w:b/>
              <w:bCs/>
              <w:sz w:val="20"/>
            </w:rPr>
            <w:t>1</w:t>
          </w:r>
        </w:p>
      </w:tc>
      <w:tc>
        <w:tcPr>
          <w:tcW w:w="1552" w:type="dxa"/>
        </w:tcPr>
        <w:p w14:paraId="590EDECC" w14:textId="1509C35B" w:rsidR="00230969" w:rsidRPr="00B3752F" w:rsidRDefault="00230969" w:rsidP="00230969">
          <w:pPr>
            <w:pStyle w:val="Footer"/>
            <w:rPr>
              <w:rFonts w:cs="Arial"/>
              <w:b/>
              <w:bCs/>
              <w:sz w:val="20"/>
            </w:rPr>
          </w:pPr>
          <w:r>
            <w:rPr>
              <w:rFonts w:cs="Arial"/>
              <w:b/>
              <w:bCs/>
              <w:sz w:val="20"/>
            </w:rPr>
            <w:t>10/02/2021</w:t>
          </w:r>
        </w:p>
      </w:tc>
      <w:tc>
        <w:tcPr>
          <w:tcW w:w="1469" w:type="dxa"/>
        </w:tcPr>
        <w:p w14:paraId="2A860ECE" w14:textId="15E6521D" w:rsidR="00230969" w:rsidRPr="00B3752F" w:rsidRDefault="00230969" w:rsidP="00230969">
          <w:pPr>
            <w:pStyle w:val="Footer"/>
            <w:rPr>
              <w:rFonts w:cs="Arial"/>
              <w:b/>
              <w:bCs/>
              <w:sz w:val="20"/>
            </w:rPr>
          </w:pPr>
          <w:r>
            <w:rPr>
              <w:b/>
              <w:sz w:val="22"/>
              <w:szCs w:val="22"/>
            </w:rPr>
            <w:t>01/02/2024</w:t>
          </w:r>
        </w:p>
      </w:tc>
      <w:tc>
        <w:tcPr>
          <w:tcW w:w="2299" w:type="dxa"/>
        </w:tcPr>
        <w:p w14:paraId="73F2AE61" w14:textId="632A79F7" w:rsidR="00230969" w:rsidRPr="00B3752F" w:rsidRDefault="00230969" w:rsidP="00230969">
          <w:pPr>
            <w:pStyle w:val="Footer"/>
            <w:rPr>
              <w:rFonts w:cs="Arial"/>
              <w:b/>
              <w:bCs/>
              <w:sz w:val="20"/>
            </w:rPr>
          </w:pPr>
          <w:r>
            <w:rPr>
              <w:rFonts w:cs="Arial"/>
              <w:b/>
              <w:bCs/>
              <w:sz w:val="20"/>
            </w:rPr>
            <w:t>Medical Services Group</w:t>
          </w:r>
        </w:p>
      </w:tc>
      <w:tc>
        <w:tcPr>
          <w:tcW w:w="1273" w:type="dxa"/>
        </w:tcPr>
        <w:p w14:paraId="4018AC42" w14:textId="65AA0F72" w:rsidR="00230969" w:rsidRPr="00B3752F" w:rsidRDefault="00230969" w:rsidP="00230969">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24</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26</w:t>
          </w:r>
          <w:r w:rsidRPr="00B3752F">
            <w:rPr>
              <w:rStyle w:val="PageNumber"/>
              <w:sz w:val="20"/>
            </w:rPr>
            <w:fldChar w:fldCharType="end"/>
          </w:r>
        </w:p>
      </w:tc>
    </w:tr>
    <w:tr w:rsidR="00394EEC" w14:paraId="245276CB" w14:textId="77777777" w:rsidTr="00AC556E">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32814575" w14:textId="77777777" w:rsidR="00394EEC" w:rsidRPr="002C1428" w:rsidRDefault="00394EEC" w:rsidP="008E7509">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0AA402B2" w14:textId="77777777" w:rsidR="00394EEC" w:rsidRPr="00AE7C5C" w:rsidRDefault="00394EEC" w:rsidP="00470E63">
    <w:pPr>
      <w:pStyle w:val="Footer"/>
      <w:tabs>
        <w:tab w:val="clear" w:pos="4153"/>
        <w:tab w:val="clear" w:pos="8306"/>
        <w:tab w:val="left" w:pos="142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5632B" w14:textId="77777777" w:rsidR="00394EEC" w:rsidRDefault="00394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1144A" w14:textId="77777777" w:rsidR="00A81E3F" w:rsidRDefault="00A81E3F" w:rsidP="00F66CB0">
      <w:r>
        <w:separator/>
      </w:r>
    </w:p>
  </w:footnote>
  <w:footnote w:type="continuationSeparator" w:id="0">
    <w:p w14:paraId="4993ED45" w14:textId="77777777" w:rsidR="00A81E3F" w:rsidRDefault="00A81E3F"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E4AFE" w14:textId="77777777" w:rsidR="00394EEC" w:rsidRDefault="00394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394EEC" w14:paraId="5E52DA50" w14:textId="77777777" w:rsidTr="00AC556E">
      <w:trPr>
        <w:trHeight w:val="1418"/>
      </w:trPr>
      <w:tc>
        <w:tcPr>
          <w:tcW w:w="5556" w:type="dxa"/>
          <w:vAlign w:val="center"/>
          <w:hideMark/>
        </w:tcPr>
        <w:p w14:paraId="6B026780" w14:textId="77777777" w:rsidR="00394EEC" w:rsidRDefault="00394EEC" w:rsidP="00A939DF">
          <w:pPr>
            <w:pStyle w:val="Header"/>
            <w:rPr>
              <w:sz w:val="20"/>
            </w:rPr>
          </w:pPr>
          <w:r>
            <w:rPr>
              <w:noProof/>
              <w:sz w:val="20"/>
            </w:rPr>
            <w:drawing>
              <wp:inline distT="0" distB="0" distL="0" distR="0" wp14:anchorId="071CDE17" wp14:editId="7980D977">
                <wp:extent cx="3295650" cy="723900"/>
                <wp:effectExtent l="0" t="0" r="0" b="0"/>
                <wp:docPr id="3" name="Picture 3"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56498A7E" w14:textId="50355FF3" w:rsidR="00394EEC" w:rsidRDefault="008B144B" w:rsidP="00A939DF">
          <w:pPr>
            <w:pStyle w:val="Header"/>
            <w:tabs>
              <w:tab w:val="left" w:pos="720"/>
            </w:tabs>
            <w:jc w:val="right"/>
            <w:rPr>
              <w:sz w:val="20"/>
            </w:rPr>
          </w:pPr>
          <w:r w:rsidRPr="008B144B">
            <w:rPr>
              <w:sz w:val="20"/>
            </w:rPr>
            <w:t>CHS21/139</w:t>
          </w:r>
        </w:p>
      </w:tc>
    </w:tr>
  </w:tbl>
  <w:p w14:paraId="2B8E2766" w14:textId="77777777" w:rsidR="00394EEC" w:rsidRPr="00FC3538" w:rsidRDefault="00394EEC">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4A5A6" w14:textId="77777777" w:rsidR="00394EEC" w:rsidRDefault="00394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12284F11"/>
    <w:multiLevelType w:val="hybridMultilevel"/>
    <w:tmpl w:val="8880F8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E5615B"/>
    <w:multiLevelType w:val="hybridMultilevel"/>
    <w:tmpl w:val="39863E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8245A10"/>
    <w:multiLevelType w:val="hybridMultilevel"/>
    <w:tmpl w:val="56E4B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41202A"/>
    <w:multiLevelType w:val="hybridMultilevel"/>
    <w:tmpl w:val="31748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150288"/>
    <w:multiLevelType w:val="hybridMultilevel"/>
    <w:tmpl w:val="6FD6E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64449D"/>
    <w:multiLevelType w:val="multilevel"/>
    <w:tmpl w:val="E928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9C43E1"/>
    <w:multiLevelType w:val="hybridMultilevel"/>
    <w:tmpl w:val="C4A8E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827EEF"/>
    <w:multiLevelType w:val="hybridMultilevel"/>
    <w:tmpl w:val="1B9692C8"/>
    <w:lvl w:ilvl="0" w:tplc="948AD874">
      <w:start w:val="1"/>
      <w:numFmt w:val="bullet"/>
      <w:lvlText w:val=""/>
      <w:lvlJc w:val="left"/>
      <w:pPr>
        <w:ind w:left="786"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9A2F4E"/>
    <w:multiLevelType w:val="hybridMultilevel"/>
    <w:tmpl w:val="3BEE9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9C6779"/>
    <w:multiLevelType w:val="multilevel"/>
    <w:tmpl w:val="A478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370E46"/>
    <w:multiLevelType w:val="hybridMultilevel"/>
    <w:tmpl w:val="ADF2C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4F3128"/>
    <w:multiLevelType w:val="hybridMultilevel"/>
    <w:tmpl w:val="030AF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4A5541"/>
    <w:multiLevelType w:val="hybridMultilevel"/>
    <w:tmpl w:val="C352D4A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D1812DB"/>
    <w:multiLevelType w:val="hybridMultilevel"/>
    <w:tmpl w:val="AC6E8372"/>
    <w:lvl w:ilvl="0" w:tplc="831420D4">
      <w:start w:val="1"/>
      <w:numFmt w:val="decimal"/>
      <w:lvlText w:val="%1."/>
      <w:lvlJc w:val="left"/>
      <w:pPr>
        <w:ind w:left="360" w:hanging="360"/>
      </w:pPr>
      <w:rPr>
        <w:rFonts w:hint="default"/>
        <w:i w:val="0"/>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9837006"/>
    <w:multiLevelType w:val="hybridMultilevel"/>
    <w:tmpl w:val="EDB6E8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B9D1C4E"/>
    <w:multiLevelType w:val="hybridMultilevel"/>
    <w:tmpl w:val="219481A2"/>
    <w:lvl w:ilvl="0" w:tplc="11BA8BA0">
      <w:start w:val="1"/>
      <w:numFmt w:val="decimal"/>
      <w:lvlText w:val="%1."/>
      <w:lvlJc w:val="left"/>
      <w:pPr>
        <w:ind w:left="2486" w:hanging="360"/>
      </w:pPr>
      <w:rPr>
        <w:rFonts w:hint="default"/>
      </w:rPr>
    </w:lvl>
    <w:lvl w:ilvl="1" w:tplc="0C090019" w:tentative="1">
      <w:start w:val="1"/>
      <w:numFmt w:val="lowerLetter"/>
      <w:lvlText w:val="%2."/>
      <w:lvlJc w:val="left"/>
      <w:pPr>
        <w:ind w:left="3206" w:hanging="360"/>
      </w:pPr>
    </w:lvl>
    <w:lvl w:ilvl="2" w:tplc="0C09001B" w:tentative="1">
      <w:start w:val="1"/>
      <w:numFmt w:val="lowerRoman"/>
      <w:lvlText w:val="%3."/>
      <w:lvlJc w:val="right"/>
      <w:pPr>
        <w:ind w:left="3926" w:hanging="180"/>
      </w:pPr>
    </w:lvl>
    <w:lvl w:ilvl="3" w:tplc="0C09000F" w:tentative="1">
      <w:start w:val="1"/>
      <w:numFmt w:val="decimal"/>
      <w:lvlText w:val="%4."/>
      <w:lvlJc w:val="left"/>
      <w:pPr>
        <w:ind w:left="4646" w:hanging="360"/>
      </w:pPr>
    </w:lvl>
    <w:lvl w:ilvl="4" w:tplc="0C090019" w:tentative="1">
      <w:start w:val="1"/>
      <w:numFmt w:val="lowerLetter"/>
      <w:lvlText w:val="%5."/>
      <w:lvlJc w:val="left"/>
      <w:pPr>
        <w:ind w:left="5366" w:hanging="360"/>
      </w:pPr>
    </w:lvl>
    <w:lvl w:ilvl="5" w:tplc="0C09001B" w:tentative="1">
      <w:start w:val="1"/>
      <w:numFmt w:val="lowerRoman"/>
      <w:lvlText w:val="%6."/>
      <w:lvlJc w:val="right"/>
      <w:pPr>
        <w:ind w:left="6086" w:hanging="180"/>
      </w:pPr>
    </w:lvl>
    <w:lvl w:ilvl="6" w:tplc="0C09000F" w:tentative="1">
      <w:start w:val="1"/>
      <w:numFmt w:val="decimal"/>
      <w:lvlText w:val="%7."/>
      <w:lvlJc w:val="left"/>
      <w:pPr>
        <w:ind w:left="6806" w:hanging="360"/>
      </w:pPr>
    </w:lvl>
    <w:lvl w:ilvl="7" w:tplc="0C090019" w:tentative="1">
      <w:start w:val="1"/>
      <w:numFmt w:val="lowerLetter"/>
      <w:lvlText w:val="%8."/>
      <w:lvlJc w:val="left"/>
      <w:pPr>
        <w:ind w:left="7526" w:hanging="360"/>
      </w:pPr>
    </w:lvl>
    <w:lvl w:ilvl="8" w:tplc="0C09001B" w:tentative="1">
      <w:start w:val="1"/>
      <w:numFmt w:val="lowerRoman"/>
      <w:lvlText w:val="%9."/>
      <w:lvlJc w:val="right"/>
      <w:pPr>
        <w:ind w:left="8246" w:hanging="180"/>
      </w:pPr>
    </w:lvl>
  </w:abstractNum>
  <w:num w:numId="1">
    <w:abstractNumId w:val="0"/>
  </w:num>
  <w:num w:numId="2">
    <w:abstractNumId w:val="1"/>
  </w:num>
  <w:num w:numId="3">
    <w:abstractNumId w:val="18"/>
  </w:num>
  <w:num w:numId="4">
    <w:abstractNumId w:val="3"/>
  </w:num>
  <w:num w:numId="5">
    <w:abstractNumId w:val="9"/>
  </w:num>
  <w:num w:numId="6">
    <w:abstractNumId w:val="19"/>
  </w:num>
  <w:num w:numId="7">
    <w:abstractNumId w:val="8"/>
  </w:num>
  <w:num w:numId="8">
    <w:abstractNumId w:val="13"/>
  </w:num>
  <w:num w:numId="9">
    <w:abstractNumId w:val="4"/>
  </w:num>
  <w:num w:numId="10">
    <w:abstractNumId w:val="6"/>
  </w:num>
  <w:num w:numId="11">
    <w:abstractNumId w:val="7"/>
  </w:num>
  <w:num w:numId="12">
    <w:abstractNumId w:val="11"/>
  </w:num>
  <w:num w:numId="13">
    <w:abstractNumId w:val="12"/>
  </w:num>
  <w:num w:numId="14">
    <w:abstractNumId w:val="10"/>
  </w:num>
  <w:num w:numId="15">
    <w:abstractNumId w:val="5"/>
  </w:num>
  <w:num w:numId="16">
    <w:abstractNumId w:val="15"/>
  </w:num>
  <w:num w:numId="17">
    <w:abstractNumId w:val="14"/>
  </w:num>
  <w:num w:numId="18">
    <w:abstractNumId w:val="2"/>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307C"/>
    <w:rsid w:val="00010D03"/>
    <w:rsid w:val="000121C3"/>
    <w:rsid w:val="00015B90"/>
    <w:rsid w:val="0001607A"/>
    <w:rsid w:val="00031D51"/>
    <w:rsid w:val="0003202C"/>
    <w:rsid w:val="0003316B"/>
    <w:rsid w:val="00050A68"/>
    <w:rsid w:val="00060E74"/>
    <w:rsid w:val="00062CDD"/>
    <w:rsid w:val="000630BA"/>
    <w:rsid w:val="000B5C8C"/>
    <w:rsid w:val="000B65A7"/>
    <w:rsid w:val="000C1DD2"/>
    <w:rsid w:val="000C59E2"/>
    <w:rsid w:val="000C7B2D"/>
    <w:rsid w:val="000E0A0D"/>
    <w:rsid w:val="000E539B"/>
    <w:rsid w:val="000F66CF"/>
    <w:rsid w:val="000F7B7E"/>
    <w:rsid w:val="00103EEA"/>
    <w:rsid w:val="00104CD7"/>
    <w:rsid w:val="0016081E"/>
    <w:rsid w:val="00160DDC"/>
    <w:rsid w:val="00174A0D"/>
    <w:rsid w:val="00191109"/>
    <w:rsid w:val="001A0053"/>
    <w:rsid w:val="001A2693"/>
    <w:rsid w:val="001A3275"/>
    <w:rsid w:val="001A3598"/>
    <w:rsid w:val="001B2465"/>
    <w:rsid w:val="001D303B"/>
    <w:rsid w:val="001E1B2B"/>
    <w:rsid w:val="001F6D2D"/>
    <w:rsid w:val="002160E1"/>
    <w:rsid w:val="00230969"/>
    <w:rsid w:val="00240B97"/>
    <w:rsid w:val="00242D62"/>
    <w:rsid w:val="0025382D"/>
    <w:rsid w:val="00263BA6"/>
    <w:rsid w:val="0027264D"/>
    <w:rsid w:val="00293E43"/>
    <w:rsid w:val="002B2B9C"/>
    <w:rsid w:val="002B3D48"/>
    <w:rsid w:val="002B5F43"/>
    <w:rsid w:val="002D7104"/>
    <w:rsid w:val="002E0DB7"/>
    <w:rsid w:val="002F2F02"/>
    <w:rsid w:val="002F61F7"/>
    <w:rsid w:val="00313707"/>
    <w:rsid w:val="00315819"/>
    <w:rsid w:val="00317129"/>
    <w:rsid w:val="00327552"/>
    <w:rsid w:val="00344838"/>
    <w:rsid w:val="003625A2"/>
    <w:rsid w:val="00376A6D"/>
    <w:rsid w:val="00380B98"/>
    <w:rsid w:val="00384B71"/>
    <w:rsid w:val="00394EEC"/>
    <w:rsid w:val="00396023"/>
    <w:rsid w:val="00397225"/>
    <w:rsid w:val="003C4BB5"/>
    <w:rsid w:val="003D1D90"/>
    <w:rsid w:val="003E1E3C"/>
    <w:rsid w:val="003E4CC0"/>
    <w:rsid w:val="003F3D8F"/>
    <w:rsid w:val="00412CED"/>
    <w:rsid w:val="00427139"/>
    <w:rsid w:val="004358E9"/>
    <w:rsid w:val="00450FBC"/>
    <w:rsid w:val="0045495A"/>
    <w:rsid w:val="004619C2"/>
    <w:rsid w:val="00461F02"/>
    <w:rsid w:val="00462F64"/>
    <w:rsid w:val="0046517B"/>
    <w:rsid w:val="00471583"/>
    <w:rsid w:val="00487DD5"/>
    <w:rsid w:val="004961E2"/>
    <w:rsid w:val="004A2E02"/>
    <w:rsid w:val="004B0D84"/>
    <w:rsid w:val="004B15C3"/>
    <w:rsid w:val="004B1DEB"/>
    <w:rsid w:val="004B7C43"/>
    <w:rsid w:val="004C2AFB"/>
    <w:rsid w:val="004C2B20"/>
    <w:rsid w:val="004E28AD"/>
    <w:rsid w:val="004E2A5F"/>
    <w:rsid w:val="004E2D2A"/>
    <w:rsid w:val="004E5B45"/>
    <w:rsid w:val="004E78BD"/>
    <w:rsid w:val="004F1D05"/>
    <w:rsid w:val="004F2497"/>
    <w:rsid w:val="004F7458"/>
    <w:rsid w:val="005149D6"/>
    <w:rsid w:val="00524248"/>
    <w:rsid w:val="0052443C"/>
    <w:rsid w:val="0052775E"/>
    <w:rsid w:val="00536503"/>
    <w:rsid w:val="00541170"/>
    <w:rsid w:val="00542514"/>
    <w:rsid w:val="0054522D"/>
    <w:rsid w:val="00546AED"/>
    <w:rsid w:val="005621E4"/>
    <w:rsid w:val="005644C8"/>
    <w:rsid w:val="00580966"/>
    <w:rsid w:val="00596FD7"/>
    <w:rsid w:val="005A2C1F"/>
    <w:rsid w:val="005A3625"/>
    <w:rsid w:val="005A40A2"/>
    <w:rsid w:val="005B4738"/>
    <w:rsid w:val="005B6AEF"/>
    <w:rsid w:val="005C212D"/>
    <w:rsid w:val="005C3CB0"/>
    <w:rsid w:val="005F7499"/>
    <w:rsid w:val="00612231"/>
    <w:rsid w:val="0062001C"/>
    <w:rsid w:val="006249CC"/>
    <w:rsid w:val="00635EB1"/>
    <w:rsid w:val="00636DD9"/>
    <w:rsid w:val="006472C9"/>
    <w:rsid w:val="00647355"/>
    <w:rsid w:val="006473BB"/>
    <w:rsid w:val="0066290A"/>
    <w:rsid w:val="0066495D"/>
    <w:rsid w:val="00671887"/>
    <w:rsid w:val="0069341E"/>
    <w:rsid w:val="00695EB6"/>
    <w:rsid w:val="00696372"/>
    <w:rsid w:val="006A4D46"/>
    <w:rsid w:val="006A6024"/>
    <w:rsid w:val="006B4BB6"/>
    <w:rsid w:val="006C11BC"/>
    <w:rsid w:val="006C31FF"/>
    <w:rsid w:val="006C6B6C"/>
    <w:rsid w:val="006C704D"/>
    <w:rsid w:val="006E1B0C"/>
    <w:rsid w:val="006E31CB"/>
    <w:rsid w:val="0070331D"/>
    <w:rsid w:val="00712B30"/>
    <w:rsid w:val="00741B43"/>
    <w:rsid w:val="00756537"/>
    <w:rsid w:val="007701E4"/>
    <w:rsid w:val="00770EEC"/>
    <w:rsid w:val="00781ED6"/>
    <w:rsid w:val="00782AA0"/>
    <w:rsid w:val="007875F6"/>
    <w:rsid w:val="007A0EBC"/>
    <w:rsid w:val="007A238D"/>
    <w:rsid w:val="007A2789"/>
    <w:rsid w:val="007B4ABB"/>
    <w:rsid w:val="007B6904"/>
    <w:rsid w:val="007C0E06"/>
    <w:rsid w:val="00816782"/>
    <w:rsid w:val="0081716F"/>
    <w:rsid w:val="0081724F"/>
    <w:rsid w:val="00817254"/>
    <w:rsid w:val="0082141D"/>
    <w:rsid w:val="00823866"/>
    <w:rsid w:val="00827F24"/>
    <w:rsid w:val="008350E1"/>
    <w:rsid w:val="00855DA8"/>
    <w:rsid w:val="00862E31"/>
    <w:rsid w:val="008768A9"/>
    <w:rsid w:val="008852FF"/>
    <w:rsid w:val="008855E4"/>
    <w:rsid w:val="00886399"/>
    <w:rsid w:val="008974CA"/>
    <w:rsid w:val="008B144B"/>
    <w:rsid w:val="008E1F7F"/>
    <w:rsid w:val="008F00E8"/>
    <w:rsid w:val="008F6921"/>
    <w:rsid w:val="0090660B"/>
    <w:rsid w:val="00913928"/>
    <w:rsid w:val="00920976"/>
    <w:rsid w:val="00933EED"/>
    <w:rsid w:val="00940CDE"/>
    <w:rsid w:val="00942B11"/>
    <w:rsid w:val="00954112"/>
    <w:rsid w:val="00961826"/>
    <w:rsid w:val="009648CB"/>
    <w:rsid w:val="00971602"/>
    <w:rsid w:val="0097742A"/>
    <w:rsid w:val="0098069D"/>
    <w:rsid w:val="00980EED"/>
    <w:rsid w:val="0098354D"/>
    <w:rsid w:val="00991670"/>
    <w:rsid w:val="009B3F8C"/>
    <w:rsid w:val="009B6C8C"/>
    <w:rsid w:val="009C09B5"/>
    <w:rsid w:val="009C0FCA"/>
    <w:rsid w:val="009C3963"/>
    <w:rsid w:val="009D323C"/>
    <w:rsid w:val="009F0226"/>
    <w:rsid w:val="009F2977"/>
    <w:rsid w:val="009F7BFA"/>
    <w:rsid w:val="00A035BE"/>
    <w:rsid w:val="00A24CDA"/>
    <w:rsid w:val="00A26E14"/>
    <w:rsid w:val="00A35E2D"/>
    <w:rsid w:val="00A52951"/>
    <w:rsid w:val="00A6718B"/>
    <w:rsid w:val="00A734BC"/>
    <w:rsid w:val="00A74B8A"/>
    <w:rsid w:val="00A81E3F"/>
    <w:rsid w:val="00A83C2D"/>
    <w:rsid w:val="00A85F61"/>
    <w:rsid w:val="00A86A9D"/>
    <w:rsid w:val="00A86C1F"/>
    <w:rsid w:val="00A86DB3"/>
    <w:rsid w:val="00AA25DC"/>
    <w:rsid w:val="00AB4914"/>
    <w:rsid w:val="00AB622D"/>
    <w:rsid w:val="00AE1099"/>
    <w:rsid w:val="00AF3F18"/>
    <w:rsid w:val="00B21043"/>
    <w:rsid w:val="00B3695B"/>
    <w:rsid w:val="00B44CAC"/>
    <w:rsid w:val="00B44F9C"/>
    <w:rsid w:val="00B52567"/>
    <w:rsid w:val="00B573D6"/>
    <w:rsid w:val="00B76E58"/>
    <w:rsid w:val="00B7783C"/>
    <w:rsid w:val="00B81455"/>
    <w:rsid w:val="00B9627F"/>
    <w:rsid w:val="00BA2415"/>
    <w:rsid w:val="00BA3FCA"/>
    <w:rsid w:val="00BA48D6"/>
    <w:rsid w:val="00BA4F95"/>
    <w:rsid w:val="00BA5419"/>
    <w:rsid w:val="00BA7387"/>
    <w:rsid w:val="00BB33F9"/>
    <w:rsid w:val="00BC1448"/>
    <w:rsid w:val="00BC3CE6"/>
    <w:rsid w:val="00BD0779"/>
    <w:rsid w:val="00BE5E41"/>
    <w:rsid w:val="00C011B9"/>
    <w:rsid w:val="00C16CF6"/>
    <w:rsid w:val="00C24EDC"/>
    <w:rsid w:val="00C25A76"/>
    <w:rsid w:val="00C32206"/>
    <w:rsid w:val="00C3241A"/>
    <w:rsid w:val="00C3400A"/>
    <w:rsid w:val="00C36606"/>
    <w:rsid w:val="00C440BF"/>
    <w:rsid w:val="00C45C67"/>
    <w:rsid w:val="00C46419"/>
    <w:rsid w:val="00C46710"/>
    <w:rsid w:val="00C523FF"/>
    <w:rsid w:val="00C63D4C"/>
    <w:rsid w:val="00C71C3C"/>
    <w:rsid w:val="00C87482"/>
    <w:rsid w:val="00CA095E"/>
    <w:rsid w:val="00CA57C7"/>
    <w:rsid w:val="00CA593D"/>
    <w:rsid w:val="00CA68F5"/>
    <w:rsid w:val="00CC57DC"/>
    <w:rsid w:val="00CC64EC"/>
    <w:rsid w:val="00CC71D4"/>
    <w:rsid w:val="00CE39AA"/>
    <w:rsid w:val="00D01AE1"/>
    <w:rsid w:val="00D074DA"/>
    <w:rsid w:val="00D10DAA"/>
    <w:rsid w:val="00D21780"/>
    <w:rsid w:val="00D23346"/>
    <w:rsid w:val="00D243B8"/>
    <w:rsid w:val="00D339A0"/>
    <w:rsid w:val="00D34794"/>
    <w:rsid w:val="00D36EF7"/>
    <w:rsid w:val="00D4502D"/>
    <w:rsid w:val="00D530CE"/>
    <w:rsid w:val="00D53E3C"/>
    <w:rsid w:val="00D54A2C"/>
    <w:rsid w:val="00D77950"/>
    <w:rsid w:val="00D80114"/>
    <w:rsid w:val="00D8106C"/>
    <w:rsid w:val="00DA0702"/>
    <w:rsid w:val="00DA1A98"/>
    <w:rsid w:val="00DA5491"/>
    <w:rsid w:val="00DB03DA"/>
    <w:rsid w:val="00DC3762"/>
    <w:rsid w:val="00DC4156"/>
    <w:rsid w:val="00DD616A"/>
    <w:rsid w:val="00DE0465"/>
    <w:rsid w:val="00DF018C"/>
    <w:rsid w:val="00DF30B2"/>
    <w:rsid w:val="00E049ED"/>
    <w:rsid w:val="00E074FE"/>
    <w:rsid w:val="00E268D0"/>
    <w:rsid w:val="00E27BAD"/>
    <w:rsid w:val="00E34E6D"/>
    <w:rsid w:val="00E37CD4"/>
    <w:rsid w:val="00E57848"/>
    <w:rsid w:val="00E7107E"/>
    <w:rsid w:val="00E719E4"/>
    <w:rsid w:val="00E768C4"/>
    <w:rsid w:val="00E9072F"/>
    <w:rsid w:val="00E95A71"/>
    <w:rsid w:val="00E96207"/>
    <w:rsid w:val="00ED1262"/>
    <w:rsid w:val="00ED21C3"/>
    <w:rsid w:val="00ED388C"/>
    <w:rsid w:val="00ED646F"/>
    <w:rsid w:val="00EF02B0"/>
    <w:rsid w:val="00F01B61"/>
    <w:rsid w:val="00F0517F"/>
    <w:rsid w:val="00F149FD"/>
    <w:rsid w:val="00F33A26"/>
    <w:rsid w:val="00F40436"/>
    <w:rsid w:val="00F4262F"/>
    <w:rsid w:val="00F53719"/>
    <w:rsid w:val="00F56495"/>
    <w:rsid w:val="00F57291"/>
    <w:rsid w:val="00F66CB0"/>
    <w:rsid w:val="00F76C89"/>
    <w:rsid w:val="00F8448D"/>
    <w:rsid w:val="00FA29B8"/>
    <w:rsid w:val="00FA7106"/>
    <w:rsid w:val="00FB2047"/>
    <w:rsid w:val="00FC50EA"/>
    <w:rsid w:val="00FD3D92"/>
    <w:rsid w:val="00FF56DD"/>
    <w:rsid w:val="00FF79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42B8E0"/>
  <w15:docId w15:val="{FE8DB3A8-D19A-4C78-9181-6BEFC78ED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A278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C46710"/>
    <w:rPr>
      <w:sz w:val="16"/>
      <w:szCs w:val="16"/>
    </w:rPr>
  </w:style>
  <w:style w:type="paragraph" w:styleId="CommentText">
    <w:name w:val="annotation text"/>
    <w:basedOn w:val="Normal"/>
    <w:link w:val="CommentTextChar"/>
    <w:uiPriority w:val="99"/>
    <w:semiHidden/>
    <w:unhideWhenUsed/>
    <w:rsid w:val="00C46710"/>
    <w:rPr>
      <w:sz w:val="20"/>
    </w:rPr>
  </w:style>
  <w:style w:type="character" w:customStyle="1" w:styleId="CommentTextChar">
    <w:name w:val="Comment Text Char"/>
    <w:basedOn w:val="DefaultParagraphFont"/>
    <w:link w:val="CommentText"/>
    <w:uiPriority w:val="99"/>
    <w:semiHidden/>
    <w:rsid w:val="00C4671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46710"/>
    <w:rPr>
      <w:b/>
      <w:bCs/>
    </w:rPr>
  </w:style>
  <w:style w:type="character" w:customStyle="1" w:styleId="CommentSubjectChar">
    <w:name w:val="Comment Subject Char"/>
    <w:basedOn w:val="CommentTextChar"/>
    <w:link w:val="CommentSubject"/>
    <w:uiPriority w:val="99"/>
    <w:semiHidden/>
    <w:rsid w:val="00C46710"/>
    <w:rPr>
      <w:rFonts w:ascii="Calibri" w:eastAsia="Times New Roman" w:hAnsi="Calibri" w:cs="Times New Roman"/>
      <w:b/>
      <w:bCs/>
      <w:sz w:val="20"/>
      <w:szCs w:val="20"/>
    </w:rPr>
  </w:style>
  <w:style w:type="paragraph" w:styleId="NormalWeb">
    <w:name w:val="Normal (Web)"/>
    <w:basedOn w:val="Normal"/>
    <w:uiPriority w:val="99"/>
    <w:semiHidden/>
    <w:unhideWhenUsed/>
    <w:rsid w:val="0098069D"/>
    <w:pPr>
      <w:spacing w:before="100" w:beforeAutospacing="1" w:after="100" w:afterAutospacing="1"/>
    </w:pPr>
    <w:rPr>
      <w:rFonts w:ascii="Times New Roman" w:hAnsi="Times New Roman"/>
      <w:szCs w:val="24"/>
      <w:lang w:eastAsia="en-AU"/>
    </w:rPr>
  </w:style>
  <w:style w:type="character" w:customStyle="1" w:styleId="ListParagraphChar">
    <w:name w:val="List Paragraph Char"/>
    <w:basedOn w:val="DefaultParagraphFont"/>
    <w:link w:val="ListParagraph"/>
    <w:uiPriority w:val="34"/>
    <w:rsid w:val="00BA48D6"/>
    <w:rPr>
      <w:rFonts w:ascii="Calibri" w:eastAsia="Times New Roman" w:hAnsi="Calibri" w:cs="Times New Roman"/>
      <w:sz w:val="24"/>
      <w:szCs w:val="20"/>
    </w:rPr>
  </w:style>
  <w:style w:type="character" w:customStyle="1" w:styleId="Heading3Char">
    <w:name w:val="Heading 3 Char"/>
    <w:basedOn w:val="DefaultParagraphFont"/>
    <w:link w:val="Heading3"/>
    <w:uiPriority w:val="9"/>
    <w:semiHidden/>
    <w:rsid w:val="007A278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408598">
      <w:bodyDiv w:val="1"/>
      <w:marLeft w:val="0"/>
      <w:marRight w:val="0"/>
      <w:marTop w:val="0"/>
      <w:marBottom w:val="0"/>
      <w:divBdr>
        <w:top w:val="none" w:sz="0" w:space="0" w:color="auto"/>
        <w:left w:val="none" w:sz="0" w:space="0" w:color="auto"/>
        <w:bottom w:val="none" w:sz="0" w:space="0" w:color="auto"/>
        <w:right w:val="none" w:sz="0" w:space="0" w:color="auto"/>
      </w:divBdr>
    </w:div>
    <w:div w:id="375396861">
      <w:bodyDiv w:val="1"/>
      <w:marLeft w:val="0"/>
      <w:marRight w:val="0"/>
      <w:marTop w:val="0"/>
      <w:marBottom w:val="0"/>
      <w:divBdr>
        <w:top w:val="single" w:sz="24" w:space="0" w:color="C6C6C6"/>
        <w:left w:val="none" w:sz="0" w:space="0" w:color="auto"/>
        <w:bottom w:val="none" w:sz="0" w:space="0" w:color="auto"/>
        <w:right w:val="none" w:sz="0" w:space="0" w:color="auto"/>
      </w:divBdr>
      <w:divsChild>
        <w:div w:id="1737242588">
          <w:marLeft w:val="0"/>
          <w:marRight w:val="0"/>
          <w:marTop w:val="0"/>
          <w:marBottom w:val="0"/>
          <w:divBdr>
            <w:top w:val="none" w:sz="0" w:space="0" w:color="auto"/>
            <w:left w:val="none" w:sz="0" w:space="0" w:color="auto"/>
            <w:bottom w:val="none" w:sz="0" w:space="0" w:color="auto"/>
            <w:right w:val="none" w:sz="0" w:space="0" w:color="auto"/>
          </w:divBdr>
          <w:divsChild>
            <w:div w:id="1193155922">
              <w:marLeft w:val="0"/>
              <w:marRight w:val="0"/>
              <w:marTop w:val="0"/>
              <w:marBottom w:val="0"/>
              <w:divBdr>
                <w:top w:val="none" w:sz="0" w:space="0" w:color="auto"/>
                <w:left w:val="none" w:sz="0" w:space="0" w:color="auto"/>
                <w:bottom w:val="none" w:sz="0" w:space="0" w:color="auto"/>
                <w:right w:val="none" w:sz="0" w:space="0" w:color="auto"/>
              </w:divBdr>
              <w:divsChild>
                <w:div w:id="110823133">
                  <w:marLeft w:val="0"/>
                  <w:marRight w:val="0"/>
                  <w:marTop w:val="0"/>
                  <w:marBottom w:val="0"/>
                  <w:divBdr>
                    <w:top w:val="none" w:sz="0" w:space="0" w:color="auto"/>
                    <w:left w:val="none" w:sz="0" w:space="0" w:color="auto"/>
                    <w:bottom w:val="none" w:sz="0" w:space="0" w:color="auto"/>
                    <w:right w:val="none" w:sz="0" w:space="0" w:color="auto"/>
                  </w:divBdr>
                  <w:divsChild>
                    <w:div w:id="879514250">
                      <w:marLeft w:val="0"/>
                      <w:marRight w:val="0"/>
                      <w:marTop w:val="0"/>
                      <w:marBottom w:val="0"/>
                      <w:divBdr>
                        <w:top w:val="single" w:sz="6" w:space="0" w:color="CCCCCC"/>
                        <w:left w:val="none" w:sz="0" w:space="0" w:color="auto"/>
                        <w:bottom w:val="none" w:sz="0" w:space="0" w:color="auto"/>
                        <w:right w:val="none" w:sz="0" w:space="0" w:color="auto"/>
                      </w:divBdr>
                      <w:divsChild>
                        <w:div w:id="17365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970640">
      <w:bodyDiv w:val="1"/>
      <w:marLeft w:val="0"/>
      <w:marRight w:val="0"/>
      <w:marTop w:val="0"/>
      <w:marBottom w:val="0"/>
      <w:divBdr>
        <w:top w:val="none" w:sz="0" w:space="0" w:color="auto"/>
        <w:left w:val="none" w:sz="0" w:space="0" w:color="auto"/>
        <w:bottom w:val="none" w:sz="0" w:space="0" w:color="auto"/>
        <w:right w:val="none" w:sz="0" w:space="0" w:color="auto"/>
      </w:divBdr>
    </w:div>
    <w:div w:id="866649267">
      <w:bodyDiv w:val="1"/>
      <w:marLeft w:val="0"/>
      <w:marRight w:val="0"/>
      <w:marTop w:val="0"/>
      <w:marBottom w:val="0"/>
      <w:divBdr>
        <w:top w:val="single" w:sz="24" w:space="0" w:color="C6C6C6"/>
        <w:left w:val="none" w:sz="0" w:space="0" w:color="auto"/>
        <w:bottom w:val="none" w:sz="0" w:space="0" w:color="auto"/>
        <w:right w:val="none" w:sz="0" w:space="0" w:color="auto"/>
      </w:divBdr>
      <w:divsChild>
        <w:div w:id="281812905">
          <w:marLeft w:val="0"/>
          <w:marRight w:val="0"/>
          <w:marTop w:val="0"/>
          <w:marBottom w:val="0"/>
          <w:divBdr>
            <w:top w:val="none" w:sz="0" w:space="0" w:color="auto"/>
            <w:left w:val="none" w:sz="0" w:space="0" w:color="auto"/>
            <w:bottom w:val="none" w:sz="0" w:space="0" w:color="auto"/>
            <w:right w:val="none" w:sz="0" w:space="0" w:color="auto"/>
          </w:divBdr>
          <w:divsChild>
            <w:div w:id="55130610">
              <w:marLeft w:val="0"/>
              <w:marRight w:val="0"/>
              <w:marTop w:val="0"/>
              <w:marBottom w:val="0"/>
              <w:divBdr>
                <w:top w:val="none" w:sz="0" w:space="0" w:color="auto"/>
                <w:left w:val="none" w:sz="0" w:space="0" w:color="auto"/>
                <w:bottom w:val="none" w:sz="0" w:space="0" w:color="auto"/>
                <w:right w:val="none" w:sz="0" w:space="0" w:color="auto"/>
              </w:divBdr>
              <w:divsChild>
                <w:div w:id="261689562">
                  <w:marLeft w:val="0"/>
                  <w:marRight w:val="0"/>
                  <w:marTop w:val="0"/>
                  <w:marBottom w:val="0"/>
                  <w:divBdr>
                    <w:top w:val="none" w:sz="0" w:space="0" w:color="auto"/>
                    <w:left w:val="none" w:sz="0" w:space="0" w:color="auto"/>
                    <w:bottom w:val="none" w:sz="0" w:space="0" w:color="auto"/>
                    <w:right w:val="none" w:sz="0" w:space="0" w:color="auto"/>
                  </w:divBdr>
                  <w:divsChild>
                    <w:div w:id="773205676">
                      <w:marLeft w:val="0"/>
                      <w:marRight w:val="0"/>
                      <w:marTop w:val="0"/>
                      <w:marBottom w:val="0"/>
                      <w:divBdr>
                        <w:top w:val="single" w:sz="6" w:space="0" w:color="CCCCCC"/>
                        <w:left w:val="none" w:sz="0" w:space="0" w:color="auto"/>
                        <w:bottom w:val="none" w:sz="0" w:space="0" w:color="auto"/>
                        <w:right w:val="none" w:sz="0" w:space="0" w:color="auto"/>
                      </w:divBdr>
                      <w:divsChild>
                        <w:div w:id="11804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477923">
      <w:bodyDiv w:val="1"/>
      <w:marLeft w:val="0"/>
      <w:marRight w:val="0"/>
      <w:marTop w:val="0"/>
      <w:marBottom w:val="0"/>
      <w:divBdr>
        <w:top w:val="none" w:sz="0" w:space="0" w:color="auto"/>
        <w:left w:val="none" w:sz="0" w:space="0" w:color="auto"/>
        <w:bottom w:val="none" w:sz="0" w:space="0" w:color="auto"/>
        <w:right w:val="none" w:sz="0" w:space="0" w:color="auto"/>
      </w:divBdr>
    </w:div>
    <w:div w:id="178063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ec.health.nsw.gov.au/keep-patients-safe/medication-safety-and-quality/continuity-of-medication-management" TargetMode="External"/><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cision_x0020_Number xmlns="690b2128-8961-48af-a473-22c34a9accba">CHS21/139</Decision_x0020_Number>
    <Description0 xmlns="690b2128-8961-48af-a473-22c34a9accba">This policy specifies the groups of people within Canberra Health Service who are responsible for continuity of medication management through completion of Medication Reconciliation and Medication Review for the patients of our service. 
</Description0>
    <Display_x0020_on_x0020_Internet xmlns="690b2128-8961-48af-a473-22c34a9accba">true</Display_x0020_on_x0020_Internet>
    <Review_x0020_Date xmlns="690b2128-8961-48af-a473-22c34a9accba">2024-01-31T13:00:00+00:00</Review_x0020_Date>
    <Approval_x0020_Name_x007c_Committee xmlns="690b2128-8961-48af-a473-22c34a9accba">CHS Policy Committee</Approval_x0020_Name_x007c_Committee>
    <Risk_x0020_Rating xmlns="690b2128-8961-48af-a473-22c34a9accba">High</Risk_x0020_Rating>
    <Related_x0020_Documents xmlns="690b2128-8961-48af-a473-22c34a9accba" xsi:nil="true"/>
    <Replaces_x003a_ xmlns="690b2128-8961-48af-a473-22c34a9accba" xsi:nil="true"/>
    <Progress xmlns="690b2128-8961-48af-a473-22c34a9accba" xsi:nil="true"/>
    <TaxCatchAll xmlns="c0239a80-7f07-4ed7-82c3-24ad7d76ada5" xsi:nil="true"/>
    <Key_x0020_Words xmlns="690b2128-8961-48af-a473-22c34a9accba">Medication Reconciliation, Medication, Reconciliation, Review, Medicines, BPMH, Best Possible Medication History, Medication Management, Continuity, Continuity of Medication Management, Admission, Discharge, Transfer, Poms  </Key_x0020_Words>
    <Type_x0020_of_x0020_Document xmlns="690b2128-8961-48af-a473-22c34a9accba">Policy</Type_x0020_of_x0020_Document>
    <Version_x0020_Number xmlns="690b2128-8961-48af-a473-22c34a9accba">1</Version_x0020_Number>
    <Approval_x0020_Date xmlns="690b2128-8961-48af-a473-22c34a9accba">2021-01-26T13:00:00+00:00</Approval_x0020_Date>
    <Notes0 xmlns="690b2128-8961-48af-a473-22c34a9accba" xsi:nil="true"/>
    <New_x0020_Applies_x0020_To xmlns="690b2128-8961-48af-a473-22c34a9accba">Canberra Health Services</New_x0020_Applies_x0020_To>
    <New_x0020_Owner xmlns="690b2128-8961-48af-a473-22c34a9accba">Medical Services Group</New_x0020_Owner>
    <Status xmlns="690b2128-8961-48af-a473-22c34a9accba">Approved</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92F06D-5298-43B4-8A9F-44EA174FD509}">
  <ds:schemaRefs>
    <ds:schemaRef ds:uri="http://schemas.openxmlformats.org/officeDocument/2006/bibliography"/>
  </ds:schemaRefs>
</ds:datastoreItem>
</file>

<file path=customXml/itemProps2.xml><?xml version="1.0" encoding="utf-8"?>
<ds:datastoreItem xmlns:ds="http://schemas.openxmlformats.org/officeDocument/2006/customXml" ds:itemID="{F289C134-25DC-4B89-855F-13A61822AE16}"/>
</file>

<file path=customXml/itemProps3.xml><?xml version="1.0" encoding="utf-8"?>
<ds:datastoreItem xmlns:ds="http://schemas.openxmlformats.org/officeDocument/2006/customXml" ds:itemID="{F0BF058C-E928-43C8-9BF0-43F1BC651431}">
  <ds:schemaRefs>
    <ds:schemaRef ds:uri="http://schemas.microsoft.com/office/2006/metadata/properties"/>
    <ds:schemaRef ds:uri="b2806a9b-524a-408a-9242-7f2c397428d8"/>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0c8e588b-9c83-49d3-a6c8-a54de8f95e6a"/>
    <ds:schemaRef ds:uri="http://www.w3.org/XML/1998/namespace"/>
  </ds:schemaRefs>
</ds:datastoreItem>
</file>

<file path=customXml/itemProps4.xml><?xml version="1.0" encoding="utf-8"?>
<ds:datastoreItem xmlns:ds="http://schemas.openxmlformats.org/officeDocument/2006/customXml" ds:itemID="{E178EEFF-BD7A-446F-BBA1-332E667371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15</Pages>
  <Words>2221</Words>
  <Characters>12662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Medication Reconciliation and Medication Review for Adult and Paediatric Patients Policy</dc:title>
  <dc:subject>2;#;#26;#</dc:subject>
  <dc:creator>Kerryn Hunter</dc:creator>
  <cp:lastModifiedBy>Wijekoon, Tharu (Health)</cp:lastModifiedBy>
  <cp:revision>17</cp:revision>
  <cp:lastPrinted>2014-07-16T01:36:00Z</cp:lastPrinted>
  <dcterms:created xsi:type="dcterms:W3CDTF">2021-01-12T03:00:00Z</dcterms:created>
  <dcterms:modified xsi:type="dcterms:W3CDTF">2021-02-10T04:21:00Z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5" name="_ExtendedDescription">
    <vt:lpwstr/>
  </property>
  <property fmtid="{D5CDD505-2E9C-101B-9397-08002B2CF9AE}" pid="7" name="Rank">
    <vt:lpwstr>AND</vt:lpwstr>
  </property>
  <property fmtid="{D5CDD505-2E9C-101B-9397-08002B2CF9AE}" pid="9" name="Manager Contact">
    <vt:lpwstr/>
  </property>
</Properties>
</file>