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598253C6" w:rsidR="007B6904" w:rsidRPr="006A3770" w:rsidRDefault="00F96CDE" w:rsidP="006A3770">
      <w:pPr>
        <w:rPr>
          <w:rFonts w:cs="Arial"/>
          <w:b/>
          <w:i/>
          <w:sz w:val="36"/>
          <w:szCs w:val="36"/>
        </w:rPr>
      </w:pPr>
      <w:r>
        <w:rPr>
          <w:rFonts w:cs="Arial"/>
          <w:b/>
          <w:sz w:val="36"/>
          <w:szCs w:val="36"/>
        </w:rPr>
        <w:t>HIV Non-O</w:t>
      </w:r>
      <w:r w:rsidR="003759E6">
        <w:rPr>
          <w:rFonts w:cs="Arial"/>
          <w:b/>
          <w:sz w:val="36"/>
          <w:szCs w:val="36"/>
        </w:rPr>
        <w:t>ccupational</w:t>
      </w:r>
      <w:r>
        <w:rPr>
          <w:rFonts w:cs="Arial"/>
          <w:b/>
          <w:sz w:val="36"/>
          <w:szCs w:val="36"/>
        </w:rPr>
        <w:t xml:space="preserve"> Post-Exposure Prophylaxis (PEP)</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80365932"/>
            <w:r w:rsidRPr="00CD1C0E">
              <w:t>Contents</w:t>
            </w:r>
            <w:bookmarkEnd w:id="5"/>
            <w:bookmarkEnd w:id="6"/>
            <w:bookmarkEnd w:id="7"/>
          </w:p>
        </w:tc>
      </w:tr>
    </w:tbl>
    <w:p w14:paraId="2F51A853" w14:textId="77777777" w:rsidR="007B6904" w:rsidRDefault="007B6904" w:rsidP="007B6904"/>
    <w:p w14:paraId="6C21EF0D" w14:textId="5111260D" w:rsidR="00392B88"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0365932" w:history="1">
        <w:r w:rsidR="00392B88" w:rsidRPr="00FD5B74">
          <w:rPr>
            <w:rStyle w:val="Hyperlink"/>
            <w:noProof/>
          </w:rPr>
          <w:t>Contents</w:t>
        </w:r>
        <w:r w:rsidR="00392B88">
          <w:rPr>
            <w:noProof/>
            <w:webHidden/>
          </w:rPr>
          <w:tab/>
        </w:r>
        <w:r w:rsidR="00392B88">
          <w:rPr>
            <w:noProof/>
            <w:webHidden/>
          </w:rPr>
          <w:fldChar w:fldCharType="begin"/>
        </w:r>
        <w:r w:rsidR="00392B88">
          <w:rPr>
            <w:noProof/>
            <w:webHidden/>
          </w:rPr>
          <w:instrText xml:space="preserve"> PAGEREF _Toc80365932 \h </w:instrText>
        </w:r>
        <w:r w:rsidR="00392B88">
          <w:rPr>
            <w:noProof/>
            <w:webHidden/>
          </w:rPr>
        </w:r>
        <w:r w:rsidR="00392B88">
          <w:rPr>
            <w:noProof/>
            <w:webHidden/>
          </w:rPr>
          <w:fldChar w:fldCharType="separate"/>
        </w:r>
        <w:r w:rsidR="00392B88">
          <w:rPr>
            <w:noProof/>
            <w:webHidden/>
          </w:rPr>
          <w:t>1</w:t>
        </w:r>
        <w:r w:rsidR="00392B88">
          <w:rPr>
            <w:noProof/>
            <w:webHidden/>
          </w:rPr>
          <w:fldChar w:fldCharType="end"/>
        </w:r>
      </w:hyperlink>
    </w:p>
    <w:p w14:paraId="6CDCC180" w14:textId="40EBCCF8" w:rsidR="00392B88" w:rsidRDefault="00392B88">
      <w:pPr>
        <w:pStyle w:val="TOC1"/>
        <w:tabs>
          <w:tab w:val="right" w:leader="dot" w:pos="9060"/>
        </w:tabs>
        <w:rPr>
          <w:rFonts w:eastAsiaTheme="minorEastAsia" w:cstheme="minorBidi"/>
          <w:noProof/>
          <w:sz w:val="22"/>
          <w:szCs w:val="22"/>
          <w:lang w:eastAsia="en-AU"/>
        </w:rPr>
      </w:pPr>
      <w:hyperlink w:anchor="_Toc80365933" w:history="1">
        <w:r w:rsidRPr="00FD5B74">
          <w:rPr>
            <w:rStyle w:val="Hyperlink"/>
            <w:noProof/>
          </w:rPr>
          <w:t>Purpose</w:t>
        </w:r>
        <w:r>
          <w:rPr>
            <w:noProof/>
            <w:webHidden/>
          </w:rPr>
          <w:tab/>
        </w:r>
        <w:r>
          <w:rPr>
            <w:noProof/>
            <w:webHidden/>
          </w:rPr>
          <w:fldChar w:fldCharType="begin"/>
        </w:r>
        <w:r>
          <w:rPr>
            <w:noProof/>
            <w:webHidden/>
          </w:rPr>
          <w:instrText xml:space="preserve"> PAGEREF _Toc80365933 \h </w:instrText>
        </w:r>
        <w:r>
          <w:rPr>
            <w:noProof/>
            <w:webHidden/>
          </w:rPr>
        </w:r>
        <w:r>
          <w:rPr>
            <w:noProof/>
            <w:webHidden/>
          </w:rPr>
          <w:fldChar w:fldCharType="separate"/>
        </w:r>
        <w:r>
          <w:rPr>
            <w:noProof/>
            <w:webHidden/>
          </w:rPr>
          <w:t>2</w:t>
        </w:r>
        <w:r>
          <w:rPr>
            <w:noProof/>
            <w:webHidden/>
          </w:rPr>
          <w:fldChar w:fldCharType="end"/>
        </w:r>
      </w:hyperlink>
    </w:p>
    <w:p w14:paraId="6BF84E66" w14:textId="39FC18A5" w:rsidR="00392B88" w:rsidRDefault="00392B88">
      <w:pPr>
        <w:pStyle w:val="TOC1"/>
        <w:tabs>
          <w:tab w:val="right" w:leader="dot" w:pos="9060"/>
        </w:tabs>
        <w:rPr>
          <w:rFonts w:eastAsiaTheme="minorEastAsia" w:cstheme="minorBidi"/>
          <w:noProof/>
          <w:sz w:val="22"/>
          <w:szCs w:val="22"/>
          <w:lang w:eastAsia="en-AU"/>
        </w:rPr>
      </w:pPr>
      <w:hyperlink w:anchor="_Toc80365934" w:history="1">
        <w:r w:rsidRPr="00FD5B74">
          <w:rPr>
            <w:rStyle w:val="Hyperlink"/>
            <w:noProof/>
          </w:rPr>
          <w:t>Scope</w:t>
        </w:r>
        <w:r>
          <w:rPr>
            <w:noProof/>
            <w:webHidden/>
          </w:rPr>
          <w:tab/>
        </w:r>
        <w:r>
          <w:rPr>
            <w:noProof/>
            <w:webHidden/>
          </w:rPr>
          <w:fldChar w:fldCharType="begin"/>
        </w:r>
        <w:r>
          <w:rPr>
            <w:noProof/>
            <w:webHidden/>
          </w:rPr>
          <w:instrText xml:space="preserve"> PAGEREF _Toc80365934 \h </w:instrText>
        </w:r>
        <w:r>
          <w:rPr>
            <w:noProof/>
            <w:webHidden/>
          </w:rPr>
        </w:r>
        <w:r>
          <w:rPr>
            <w:noProof/>
            <w:webHidden/>
          </w:rPr>
          <w:fldChar w:fldCharType="separate"/>
        </w:r>
        <w:r>
          <w:rPr>
            <w:noProof/>
            <w:webHidden/>
          </w:rPr>
          <w:t>2</w:t>
        </w:r>
        <w:r>
          <w:rPr>
            <w:noProof/>
            <w:webHidden/>
          </w:rPr>
          <w:fldChar w:fldCharType="end"/>
        </w:r>
      </w:hyperlink>
    </w:p>
    <w:p w14:paraId="2FE4857C" w14:textId="22F8D597" w:rsidR="00392B88" w:rsidRDefault="00392B88">
      <w:pPr>
        <w:pStyle w:val="TOC1"/>
        <w:tabs>
          <w:tab w:val="right" w:leader="dot" w:pos="9060"/>
        </w:tabs>
        <w:rPr>
          <w:rFonts w:eastAsiaTheme="minorEastAsia" w:cstheme="minorBidi"/>
          <w:noProof/>
          <w:sz w:val="22"/>
          <w:szCs w:val="22"/>
          <w:lang w:eastAsia="en-AU"/>
        </w:rPr>
      </w:pPr>
      <w:hyperlink w:anchor="_Toc80365935" w:history="1">
        <w:r w:rsidRPr="00FD5B74">
          <w:rPr>
            <w:rStyle w:val="Hyperlink"/>
            <w:noProof/>
          </w:rPr>
          <w:t>Section 1 – HIV Non-Occupational Post-Exposure Prophylaxis (PEP)</w:t>
        </w:r>
        <w:r>
          <w:rPr>
            <w:noProof/>
            <w:webHidden/>
          </w:rPr>
          <w:tab/>
        </w:r>
        <w:r>
          <w:rPr>
            <w:noProof/>
            <w:webHidden/>
          </w:rPr>
          <w:fldChar w:fldCharType="begin"/>
        </w:r>
        <w:r>
          <w:rPr>
            <w:noProof/>
            <w:webHidden/>
          </w:rPr>
          <w:instrText xml:space="preserve"> PAGEREF _Toc80365935 \h </w:instrText>
        </w:r>
        <w:r>
          <w:rPr>
            <w:noProof/>
            <w:webHidden/>
          </w:rPr>
        </w:r>
        <w:r>
          <w:rPr>
            <w:noProof/>
            <w:webHidden/>
          </w:rPr>
          <w:fldChar w:fldCharType="separate"/>
        </w:r>
        <w:r>
          <w:rPr>
            <w:noProof/>
            <w:webHidden/>
          </w:rPr>
          <w:t>2</w:t>
        </w:r>
        <w:r>
          <w:rPr>
            <w:noProof/>
            <w:webHidden/>
          </w:rPr>
          <w:fldChar w:fldCharType="end"/>
        </w:r>
      </w:hyperlink>
    </w:p>
    <w:p w14:paraId="6CE1A536" w14:textId="537FEECA" w:rsidR="00392B88" w:rsidRDefault="00392B88">
      <w:pPr>
        <w:pStyle w:val="TOC1"/>
        <w:tabs>
          <w:tab w:val="right" w:leader="dot" w:pos="9060"/>
        </w:tabs>
        <w:rPr>
          <w:rFonts w:eastAsiaTheme="minorEastAsia" w:cstheme="minorBidi"/>
          <w:noProof/>
          <w:sz w:val="22"/>
          <w:szCs w:val="22"/>
          <w:lang w:eastAsia="en-AU"/>
        </w:rPr>
      </w:pPr>
      <w:hyperlink w:anchor="_Toc80365936" w:history="1">
        <w:r w:rsidRPr="00FD5B74">
          <w:rPr>
            <w:rStyle w:val="Hyperlink"/>
            <w:noProof/>
          </w:rPr>
          <w:t>Evaluation</w:t>
        </w:r>
        <w:r>
          <w:rPr>
            <w:noProof/>
            <w:webHidden/>
          </w:rPr>
          <w:tab/>
        </w:r>
        <w:r>
          <w:rPr>
            <w:noProof/>
            <w:webHidden/>
          </w:rPr>
          <w:fldChar w:fldCharType="begin"/>
        </w:r>
        <w:r>
          <w:rPr>
            <w:noProof/>
            <w:webHidden/>
          </w:rPr>
          <w:instrText xml:space="preserve"> PAGEREF _Toc80365936 \h </w:instrText>
        </w:r>
        <w:r>
          <w:rPr>
            <w:noProof/>
            <w:webHidden/>
          </w:rPr>
        </w:r>
        <w:r>
          <w:rPr>
            <w:noProof/>
            <w:webHidden/>
          </w:rPr>
          <w:fldChar w:fldCharType="separate"/>
        </w:r>
        <w:r>
          <w:rPr>
            <w:noProof/>
            <w:webHidden/>
          </w:rPr>
          <w:t>4</w:t>
        </w:r>
        <w:r>
          <w:rPr>
            <w:noProof/>
            <w:webHidden/>
          </w:rPr>
          <w:fldChar w:fldCharType="end"/>
        </w:r>
      </w:hyperlink>
    </w:p>
    <w:p w14:paraId="278BE72E" w14:textId="2AF33F91" w:rsidR="00392B88" w:rsidRDefault="00392B88">
      <w:pPr>
        <w:pStyle w:val="TOC1"/>
        <w:tabs>
          <w:tab w:val="right" w:leader="dot" w:pos="9060"/>
        </w:tabs>
        <w:rPr>
          <w:rFonts w:eastAsiaTheme="minorEastAsia" w:cstheme="minorBidi"/>
          <w:noProof/>
          <w:sz w:val="22"/>
          <w:szCs w:val="22"/>
          <w:lang w:eastAsia="en-AU"/>
        </w:rPr>
      </w:pPr>
      <w:hyperlink w:anchor="_Toc80365937" w:history="1">
        <w:r w:rsidRPr="00FD5B74">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_Toc80365937 \h </w:instrText>
        </w:r>
        <w:r>
          <w:rPr>
            <w:noProof/>
            <w:webHidden/>
          </w:rPr>
        </w:r>
        <w:r>
          <w:rPr>
            <w:noProof/>
            <w:webHidden/>
          </w:rPr>
          <w:fldChar w:fldCharType="separate"/>
        </w:r>
        <w:r>
          <w:rPr>
            <w:noProof/>
            <w:webHidden/>
          </w:rPr>
          <w:t>5</w:t>
        </w:r>
        <w:r>
          <w:rPr>
            <w:noProof/>
            <w:webHidden/>
          </w:rPr>
          <w:fldChar w:fldCharType="end"/>
        </w:r>
      </w:hyperlink>
    </w:p>
    <w:p w14:paraId="3D308C2E" w14:textId="0BD055B8" w:rsidR="00392B88" w:rsidRDefault="00392B88">
      <w:pPr>
        <w:pStyle w:val="TOC1"/>
        <w:tabs>
          <w:tab w:val="right" w:leader="dot" w:pos="9060"/>
        </w:tabs>
        <w:rPr>
          <w:rFonts w:eastAsiaTheme="minorEastAsia" w:cstheme="minorBidi"/>
          <w:noProof/>
          <w:sz w:val="22"/>
          <w:szCs w:val="22"/>
          <w:lang w:eastAsia="en-AU"/>
        </w:rPr>
      </w:pPr>
      <w:hyperlink w:anchor="_Toc80365938" w:history="1">
        <w:r w:rsidRPr="00FD5B74">
          <w:rPr>
            <w:rStyle w:val="Hyperlink"/>
            <w:noProof/>
          </w:rPr>
          <w:t>References</w:t>
        </w:r>
        <w:r>
          <w:rPr>
            <w:noProof/>
            <w:webHidden/>
          </w:rPr>
          <w:tab/>
        </w:r>
        <w:r>
          <w:rPr>
            <w:noProof/>
            <w:webHidden/>
          </w:rPr>
          <w:fldChar w:fldCharType="begin"/>
        </w:r>
        <w:r>
          <w:rPr>
            <w:noProof/>
            <w:webHidden/>
          </w:rPr>
          <w:instrText xml:space="preserve"> PAGEREF _Toc80365938 \h </w:instrText>
        </w:r>
        <w:r>
          <w:rPr>
            <w:noProof/>
            <w:webHidden/>
          </w:rPr>
        </w:r>
        <w:r>
          <w:rPr>
            <w:noProof/>
            <w:webHidden/>
          </w:rPr>
          <w:fldChar w:fldCharType="separate"/>
        </w:r>
        <w:r>
          <w:rPr>
            <w:noProof/>
            <w:webHidden/>
          </w:rPr>
          <w:t>5</w:t>
        </w:r>
        <w:r>
          <w:rPr>
            <w:noProof/>
            <w:webHidden/>
          </w:rPr>
          <w:fldChar w:fldCharType="end"/>
        </w:r>
      </w:hyperlink>
    </w:p>
    <w:p w14:paraId="0A7E8A98" w14:textId="22B7D550" w:rsidR="00392B88" w:rsidRDefault="00392B88">
      <w:pPr>
        <w:pStyle w:val="TOC1"/>
        <w:tabs>
          <w:tab w:val="right" w:leader="dot" w:pos="9060"/>
        </w:tabs>
        <w:rPr>
          <w:rFonts w:eastAsiaTheme="minorEastAsia" w:cstheme="minorBidi"/>
          <w:noProof/>
          <w:sz w:val="22"/>
          <w:szCs w:val="22"/>
          <w:lang w:eastAsia="en-AU"/>
        </w:rPr>
      </w:pPr>
      <w:hyperlink w:anchor="_Toc80365939" w:history="1">
        <w:r w:rsidRPr="00FD5B74">
          <w:rPr>
            <w:rStyle w:val="Hyperlink"/>
            <w:noProof/>
          </w:rPr>
          <w:t>Definition of Terms</w:t>
        </w:r>
        <w:r>
          <w:rPr>
            <w:noProof/>
            <w:webHidden/>
          </w:rPr>
          <w:tab/>
        </w:r>
        <w:r>
          <w:rPr>
            <w:noProof/>
            <w:webHidden/>
          </w:rPr>
          <w:fldChar w:fldCharType="begin"/>
        </w:r>
        <w:r>
          <w:rPr>
            <w:noProof/>
            <w:webHidden/>
          </w:rPr>
          <w:instrText xml:space="preserve"> PAGEREF _Toc80365939 \h </w:instrText>
        </w:r>
        <w:r>
          <w:rPr>
            <w:noProof/>
            <w:webHidden/>
          </w:rPr>
        </w:r>
        <w:r>
          <w:rPr>
            <w:noProof/>
            <w:webHidden/>
          </w:rPr>
          <w:fldChar w:fldCharType="separate"/>
        </w:r>
        <w:r>
          <w:rPr>
            <w:noProof/>
            <w:webHidden/>
          </w:rPr>
          <w:t>6</w:t>
        </w:r>
        <w:r>
          <w:rPr>
            <w:noProof/>
            <w:webHidden/>
          </w:rPr>
          <w:fldChar w:fldCharType="end"/>
        </w:r>
      </w:hyperlink>
    </w:p>
    <w:p w14:paraId="3397A071" w14:textId="7C0D5D6B" w:rsidR="00392B88" w:rsidRDefault="00392B88">
      <w:pPr>
        <w:pStyle w:val="TOC1"/>
        <w:tabs>
          <w:tab w:val="right" w:leader="dot" w:pos="9060"/>
        </w:tabs>
        <w:rPr>
          <w:rFonts w:eastAsiaTheme="minorEastAsia" w:cstheme="minorBidi"/>
          <w:noProof/>
          <w:sz w:val="22"/>
          <w:szCs w:val="22"/>
          <w:lang w:eastAsia="en-AU"/>
        </w:rPr>
      </w:pPr>
      <w:hyperlink w:anchor="_Toc80365940" w:history="1">
        <w:r w:rsidRPr="00FD5B74">
          <w:rPr>
            <w:rStyle w:val="Hyperlink"/>
            <w:noProof/>
          </w:rPr>
          <w:t>Search Terms</w:t>
        </w:r>
        <w:r>
          <w:rPr>
            <w:noProof/>
            <w:webHidden/>
          </w:rPr>
          <w:tab/>
        </w:r>
        <w:r>
          <w:rPr>
            <w:noProof/>
            <w:webHidden/>
          </w:rPr>
          <w:fldChar w:fldCharType="begin"/>
        </w:r>
        <w:r>
          <w:rPr>
            <w:noProof/>
            <w:webHidden/>
          </w:rPr>
          <w:instrText xml:space="preserve"> PAGEREF _Toc80365940 \h </w:instrText>
        </w:r>
        <w:r>
          <w:rPr>
            <w:noProof/>
            <w:webHidden/>
          </w:rPr>
        </w:r>
        <w:r>
          <w:rPr>
            <w:noProof/>
            <w:webHidden/>
          </w:rPr>
          <w:fldChar w:fldCharType="separate"/>
        </w:r>
        <w:r>
          <w:rPr>
            <w:noProof/>
            <w:webHidden/>
          </w:rPr>
          <w:t>6</w:t>
        </w:r>
        <w:r>
          <w:rPr>
            <w:noProof/>
            <w:webHidden/>
          </w:rPr>
          <w:fldChar w:fldCharType="end"/>
        </w:r>
      </w:hyperlink>
    </w:p>
    <w:p w14:paraId="5AF2E3DE" w14:textId="7FB5DB8B" w:rsidR="00392B88" w:rsidRDefault="00392B88">
      <w:pPr>
        <w:pStyle w:val="TOC1"/>
        <w:tabs>
          <w:tab w:val="right" w:leader="dot" w:pos="9060"/>
        </w:tabs>
        <w:rPr>
          <w:rFonts w:eastAsiaTheme="minorEastAsia" w:cstheme="minorBidi"/>
          <w:noProof/>
          <w:sz w:val="22"/>
          <w:szCs w:val="22"/>
          <w:lang w:eastAsia="en-AU"/>
        </w:rPr>
      </w:pPr>
      <w:hyperlink w:anchor="_Toc80365941" w:history="1">
        <w:r w:rsidRPr="00FD5B74">
          <w:rPr>
            <w:rStyle w:val="Hyperlink"/>
            <w:noProof/>
          </w:rPr>
          <w:t>Attachments</w:t>
        </w:r>
        <w:r>
          <w:rPr>
            <w:noProof/>
            <w:webHidden/>
          </w:rPr>
          <w:tab/>
        </w:r>
        <w:r>
          <w:rPr>
            <w:noProof/>
            <w:webHidden/>
          </w:rPr>
          <w:fldChar w:fldCharType="begin"/>
        </w:r>
        <w:r>
          <w:rPr>
            <w:noProof/>
            <w:webHidden/>
          </w:rPr>
          <w:instrText xml:space="preserve"> PAGEREF _Toc80365941 \h </w:instrText>
        </w:r>
        <w:r>
          <w:rPr>
            <w:noProof/>
            <w:webHidden/>
          </w:rPr>
        </w:r>
        <w:r>
          <w:rPr>
            <w:noProof/>
            <w:webHidden/>
          </w:rPr>
          <w:fldChar w:fldCharType="separate"/>
        </w:r>
        <w:r>
          <w:rPr>
            <w:noProof/>
            <w:webHidden/>
          </w:rPr>
          <w:t>6</w:t>
        </w:r>
        <w:r>
          <w:rPr>
            <w:noProof/>
            <w:webHidden/>
          </w:rPr>
          <w:fldChar w:fldCharType="end"/>
        </w:r>
      </w:hyperlink>
    </w:p>
    <w:p w14:paraId="2F51A861" w14:textId="331CAD2A"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80365933"/>
            <w:r w:rsidRPr="00CD1C0E">
              <w:t>Purpose</w:t>
            </w:r>
            <w:bookmarkEnd w:id="8"/>
            <w:bookmarkEnd w:id="9"/>
          </w:p>
        </w:tc>
      </w:tr>
    </w:tbl>
    <w:p w14:paraId="2F51A866" w14:textId="77777777" w:rsidR="00931B93" w:rsidRDefault="00931B93" w:rsidP="00931B93">
      <w:pPr>
        <w:rPr>
          <w:rFonts w:cs="Arial"/>
          <w:i/>
          <w:szCs w:val="24"/>
        </w:rPr>
      </w:pPr>
    </w:p>
    <w:p w14:paraId="7B5E5F69" w14:textId="77777777" w:rsidR="00F96CDE" w:rsidRDefault="00F96CDE" w:rsidP="00F96CDE">
      <w:pPr>
        <w:rPr>
          <w:rFonts w:cs="Arial"/>
          <w:szCs w:val="24"/>
        </w:rPr>
      </w:pPr>
      <w:r>
        <w:rPr>
          <w:rFonts w:cs="Arial"/>
          <w:szCs w:val="24"/>
        </w:rPr>
        <w:t>To outline the procedure for patients presenting to the Canberra Health Services (CHS) Emergency Department for HIV Post Exposure Prophylaxis (PEP) following possible HIV exposure.</w:t>
      </w:r>
    </w:p>
    <w:p w14:paraId="2F51A86F" w14:textId="77777777" w:rsidR="007B6904" w:rsidRDefault="007B6904" w:rsidP="00931B93">
      <w:pPr>
        <w:rPr>
          <w:rFonts w:cs="Arial"/>
          <w:szCs w:val="24"/>
        </w:rPr>
      </w:pPr>
    </w:p>
    <w:p w14:paraId="2F51A879" w14:textId="344F19B9" w:rsidR="009E70F4" w:rsidRPr="009121F9" w:rsidRDefault="00ED4806" w:rsidP="00FE0F79">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80365934"/>
            <w:r w:rsidRPr="003D2D06">
              <w:t>Scope</w:t>
            </w:r>
            <w:bookmarkEnd w:id="10"/>
            <w:bookmarkEnd w:id="11"/>
          </w:p>
        </w:tc>
      </w:tr>
    </w:tbl>
    <w:p w14:paraId="4A083917" w14:textId="77777777" w:rsidR="00F96CDE" w:rsidRDefault="00F96CDE" w:rsidP="007B6904">
      <w:pPr>
        <w:jc w:val="both"/>
        <w:rPr>
          <w:rFonts w:cs="Arial"/>
          <w:i/>
          <w:szCs w:val="24"/>
        </w:rPr>
      </w:pPr>
    </w:p>
    <w:p w14:paraId="388302FE" w14:textId="77777777" w:rsidR="00F96CDE" w:rsidRDefault="00F96CDE" w:rsidP="00F96CDE">
      <w:r>
        <w:t>This document applies to adult, adolescent or paediatric patients that present for HIV Post Exposure Prophylaxis (PEP) at CHS.</w:t>
      </w:r>
    </w:p>
    <w:p w14:paraId="1516A9BC" w14:textId="77777777" w:rsidR="00F96CDE" w:rsidRDefault="00F96CDE" w:rsidP="00F96CDE">
      <w:pPr>
        <w:jc w:val="both"/>
        <w:rPr>
          <w:rFonts w:cs="Arial"/>
          <w:szCs w:val="24"/>
        </w:rPr>
      </w:pPr>
    </w:p>
    <w:p w14:paraId="217A5482" w14:textId="77777777" w:rsidR="00F96CDE" w:rsidRDefault="00F96CDE" w:rsidP="00F96CDE">
      <w:pPr>
        <w:jc w:val="both"/>
        <w:rPr>
          <w:rFonts w:cs="Arial"/>
          <w:szCs w:val="24"/>
        </w:rPr>
      </w:pPr>
      <w:r w:rsidRPr="00A97647">
        <w:rPr>
          <w:rFonts w:cs="Arial"/>
          <w:szCs w:val="24"/>
        </w:rPr>
        <w:t xml:space="preserve">This document applies </w:t>
      </w:r>
      <w:r>
        <w:rPr>
          <w:rFonts w:cs="Arial"/>
          <w:szCs w:val="24"/>
        </w:rPr>
        <w:t>to the following CHS staff working within their scope of practice:</w:t>
      </w:r>
    </w:p>
    <w:p w14:paraId="6D08D671" w14:textId="77777777" w:rsidR="00F96CDE" w:rsidRPr="002A78A1" w:rsidRDefault="00F96CDE" w:rsidP="00C56FF2">
      <w:pPr>
        <w:pStyle w:val="ListBullet"/>
        <w:tabs>
          <w:tab w:val="clear" w:pos="1080"/>
        </w:tabs>
      </w:pPr>
      <w:r>
        <w:t>Medical Officers</w:t>
      </w:r>
    </w:p>
    <w:p w14:paraId="07179761" w14:textId="77777777" w:rsidR="00F96CDE" w:rsidRDefault="00F96CDE" w:rsidP="00C56FF2">
      <w:pPr>
        <w:pStyle w:val="ListBullet"/>
        <w:tabs>
          <w:tab w:val="clear" w:pos="1080"/>
        </w:tabs>
      </w:pPr>
      <w:r>
        <w:t>Registered Nurses and Midwives</w:t>
      </w:r>
    </w:p>
    <w:p w14:paraId="2F170E20" w14:textId="3ECABC6E" w:rsidR="00F96CDE" w:rsidRDefault="00F96CDE" w:rsidP="00C56FF2">
      <w:pPr>
        <w:pStyle w:val="ListBullet"/>
        <w:tabs>
          <w:tab w:val="clear" w:pos="1080"/>
        </w:tabs>
      </w:pPr>
      <w:r>
        <w:t>Student</w:t>
      </w:r>
      <w:r w:rsidR="00972A37">
        <w:t>s</w:t>
      </w:r>
      <w:r>
        <w:t xml:space="preserve"> working under supervision </w:t>
      </w:r>
    </w:p>
    <w:p w14:paraId="2F51A886" w14:textId="77777777" w:rsidR="001F2A9B" w:rsidRDefault="001F2A9B" w:rsidP="00F14EC1"/>
    <w:p w14:paraId="2F51A887" w14:textId="77777777" w:rsidR="007B6904" w:rsidRPr="00CD1C0E" w:rsidRDefault="00ED4806"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D67D966" w:rsidR="007B6904" w:rsidRPr="00C76688" w:rsidRDefault="00F96CDE" w:rsidP="00931B93">
            <w:pPr>
              <w:pStyle w:val="Heading1"/>
            </w:pPr>
            <w:bookmarkStart w:id="12" w:name="_Toc389473278"/>
            <w:bookmarkStart w:id="13" w:name="_Toc393203334"/>
            <w:bookmarkStart w:id="14" w:name="_Toc496607418"/>
            <w:bookmarkStart w:id="15" w:name="_Toc80365935"/>
            <w:r w:rsidRPr="00C76688">
              <w:t>Section 1 –</w:t>
            </w:r>
            <w:bookmarkEnd w:id="12"/>
            <w:bookmarkEnd w:id="13"/>
            <w:r w:rsidRPr="00F26FFD">
              <w:rPr>
                <w:szCs w:val="24"/>
              </w:rPr>
              <w:t xml:space="preserve"> HIV Non-Occupational Post-Exposure Prophylaxis (PEP)</w:t>
            </w:r>
            <w:bookmarkEnd w:id="14"/>
            <w:bookmarkEnd w:id="15"/>
          </w:p>
        </w:tc>
      </w:tr>
    </w:tbl>
    <w:p w14:paraId="2F51A88A" w14:textId="77777777" w:rsidR="007B6904" w:rsidRDefault="007B6904" w:rsidP="007B6904">
      <w:pPr>
        <w:outlineLvl w:val="0"/>
        <w:rPr>
          <w:szCs w:val="24"/>
        </w:rPr>
      </w:pPr>
    </w:p>
    <w:p w14:paraId="2684E369" w14:textId="77777777" w:rsidR="00F96CDE" w:rsidRPr="00222EF3" w:rsidRDefault="00F96CDE" w:rsidP="00C56FF2">
      <w:pPr>
        <w:numPr>
          <w:ilvl w:val="0"/>
          <w:numId w:val="13"/>
        </w:numPr>
        <w:tabs>
          <w:tab w:val="clear" w:pos="720"/>
        </w:tabs>
        <w:ind w:left="426" w:hanging="426"/>
        <w:outlineLvl w:val="0"/>
        <w:rPr>
          <w:rFonts w:cs="Arial"/>
          <w:b/>
          <w:szCs w:val="24"/>
        </w:rPr>
      </w:pPr>
      <w:r w:rsidRPr="00222EF3">
        <w:rPr>
          <w:b/>
        </w:rPr>
        <w:t>Triage:</w:t>
      </w:r>
    </w:p>
    <w:p w14:paraId="5314F23C" w14:textId="77777777" w:rsidR="00F96CDE" w:rsidRPr="00296CC1" w:rsidRDefault="00F96CDE" w:rsidP="00C56FF2">
      <w:pPr>
        <w:pStyle w:val="ListParagraph"/>
        <w:ind w:left="426"/>
        <w:outlineLvl w:val="0"/>
        <w:rPr>
          <w:rFonts w:cs="Arial"/>
          <w:szCs w:val="24"/>
        </w:rPr>
      </w:pPr>
      <w:r>
        <w:t>If patient presents within</w:t>
      </w:r>
      <w:r w:rsidRPr="00DC2FD4">
        <w:t xml:space="preserve"> 72 hours</w:t>
      </w:r>
      <w:r>
        <w:t xml:space="preserve"> of exposure</w:t>
      </w:r>
      <w:r w:rsidRPr="00DC2FD4">
        <w:t xml:space="preserve">, access to HIV PEP is </w:t>
      </w:r>
      <w:r w:rsidRPr="00DC2FD4">
        <w:rPr>
          <w:b/>
          <w:i/>
        </w:rPr>
        <w:t>time critical</w:t>
      </w:r>
      <w:r w:rsidRPr="00296CC1">
        <w:rPr>
          <w:i/>
        </w:rPr>
        <w:t>.</w:t>
      </w:r>
      <w:r>
        <w:rPr>
          <w:i/>
        </w:rPr>
        <w:t xml:space="preserve"> </w:t>
      </w:r>
      <w:r w:rsidRPr="00296CC1">
        <w:rPr>
          <w:rFonts w:cs="Arial"/>
          <w:szCs w:val="24"/>
        </w:rPr>
        <w:t xml:space="preserve">HIV PEP should be commenced </w:t>
      </w:r>
      <w:r w:rsidRPr="00296CC1">
        <w:rPr>
          <w:rFonts w:cs="Arial"/>
          <w:b/>
          <w:szCs w:val="24"/>
        </w:rPr>
        <w:t>as soon as possible</w:t>
      </w:r>
      <w:r w:rsidRPr="00296CC1">
        <w:rPr>
          <w:rFonts w:cs="Arial"/>
          <w:szCs w:val="24"/>
        </w:rPr>
        <w:t xml:space="preserve"> after an actual or potential exposure to HIV, and at the latest within 72 hours. </w:t>
      </w:r>
      <w:r>
        <w:rPr>
          <w:rFonts w:cs="Arial"/>
          <w:szCs w:val="24"/>
        </w:rPr>
        <w:t xml:space="preserve"> </w:t>
      </w:r>
    </w:p>
    <w:p w14:paraId="659DBF63" w14:textId="77777777" w:rsidR="00F96CDE" w:rsidRPr="00DC2FD4" w:rsidRDefault="00F96CDE" w:rsidP="00C56FF2">
      <w:pPr>
        <w:ind w:left="426" w:hanging="426"/>
        <w:outlineLvl w:val="0"/>
        <w:rPr>
          <w:rFonts w:cs="Arial"/>
          <w:szCs w:val="24"/>
        </w:rPr>
      </w:pPr>
    </w:p>
    <w:p w14:paraId="6FC41FC4" w14:textId="77777777" w:rsidR="00F96CDE" w:rsidRPr="006B6623" w:rsidRDefault="00F96CDE" w:rsidP="00C56FF2">
      <w:pPr>
        <w:numPr>
          <w:ilvl w:val="0"/>
          <w:numId w:val="13"/>
        </w:numPr>
        <w:tabs>
          <w:tab w:val="clear" w:pos="720"/>
        </w:tabs>
        <w:ind w:left="426" w:hanging="426"/>
        <w:outlineLvl w:val="0"/>
        <w:rPr>
          <w:rFonts w:cs="Arial"/>
          <w:b/>
          <w:szCs w:val="24"/>
        </w:rPr>
      </w:pPr>
      <w:r w:rsidRPr="006B6623">
        <w:rPr>
          <w:b/>
        </w:rPr>
        <w:t>Obtain history:</w:t>
      </w:r>
    </w:p>
    <w:p w14:paraId="52038422" w14:textId="77777777" w:rsidR="00F96CDE" w:rsidRPr="00DA5135" w:rsidRDefault="00F96CDE" w:rsidP="00C56FF2">
      <w:pPr>
        <w:pStyle w:val="ListParagraph"/>
        <w:numPr>
          <w:ilvl w:val="0"/>
          <w:numId w:val="14"/>
        </w:numPr>
        <w:ind w:left="851" w:hanging="425"/>
        <w:rPr>
          <w:rFonts w:cs="Arial"/>
          <w:szCs w:val="24"/>
        </w:rPr>
      </w:pPr>
      <w:r w:rsidRPr="004C1380">
        <w:t>History of exposure:</w:t>
      </w:r>
    </w:p>
    <w:p w14:paraId="6BF0F5C6" w14:textId="77777777" w:rsidR="00F96CDE" w:rsidRPr="00DA5135" w:rsidRDefault="00F96CDE" w:rsidP="00C56FF2">
      <w:pPr>
        <w:pStyle w:val="ListParagraph"/>
        <w:numPr>
          <w:ilvl w:val="0"/>
          <w:numId w:val="15"/>
        </w:numPr>
        <w:ind w:left="1276" w:hanging="425"/>
        <w:rPr>
          <w:rFonts w:cs="Arial"/>
          <w:szCs w:val="24"/>
        </w:rPr>
      </w:pPr>
      <w:r w:rsidRPr="00E24C6C">
        <w:t xml:space="preserve">Time </w:t>
      </w:r>
      <w:r>
        <w:t xml:space="preserve">and date </w:t>
      </w:r>
      <w:r w:rsidRPr="00E24C6C">
        <w:t>of exposure</w:t>
      </w:r>
      <w:r>
        <w:t>; calculate time since exposure</w:t>
      </w:r>
    </w:p>
    <w:p w14:paraId="16119C93" w14:textId="77777777" w:rsidR="00F96CDE" w:rsidRPr="00DA5135" w:rsidRDefault="00F96CDE" w:rsidP="00C56FF2">
      <w:pPr>
        <w:pStyle w:val="ListParagraph"/>
        <w:numPr>
          <w:ilvl w:val="0"/>
          <w:numId w:val="15"/>
        </w:numPr>
        <w:ind w:left="1276" w:hanging="425"/>
        <w:rPr>
          <w:rFonts w:cs="Arial"/>
          <w:szCs w:val="24"/>
        </w:rPr>
      </w:pPr>
      <w:r w:rsidRPr="00E24C6C">
        <w:t>Nature of exposure</w:t>
      </w:r>
    </w:p>
    <w:p w14:paraId="3CB07FC1" w14:textId="77777777" w:rsidR="00F96CDE" w:rsidRPr="00DA5135" w:rsidRDefault="00F96CDE" w:rsidP="00C56FF2">
      <w:pPr>
        <w:pStyle w:val="ListBullet"/>
        <w:numPr>
          <w:ilvl w:val="0"/>
          <w:numId w:val="23"/>
        </w:numPr>
        <w:ind w:left="1701" w:hanging="425"/>
        <w:rPr>
          <w:rFonts w:cs="Arial"/>
          <w:szCs w:val="24"/>
        </w:rPr>
      </w:pPr>
      <w:r>
        <w:t>receptive anal intercourse - with or without ejaculation</w:t>
      </w:r>
    </w:p>
    <w:p w14:paraId="5A21EC79" w14:textId="77777777" w:rsidR="00F96CDE" w:rsidRPr="00DA5135" w:rsidRDefault="00F96CDE" w:rsidP="00C56FF2">
      <w:pPr>
        <w:pStyle w:val="ListBullet"/>
        <w:numPr>
          <w:ilvl w:val="0"/>
          <w:numId w:val="23"/>
        </w:numPr>
        <w:ind w:left="1701" w:hanging="425"/>
        <w:rPr>
          <w:rFonts w:cs="Arial"/>
          <w:szCs w:val="24"/>
        </w:rPr>
      </w:pPr>
      <w:proofErr w:type="spellStart"/>
      <w:r>
        <w:t>insertive</w:t>
      </w:r>
      <w:proofErr w:type="spellEnd"/>
      <w:r>
        <w:t xml:space="preserve"> anal intercourse - uncircumcised</w:t>
      </w:r>
      <w:r w:rsidRPr="00E24C6C">
        <w:t xml:space="preserve"> </w:t>
      </w:r>
      <w:r>
        <w:t>or circumcised</w:t>
      </w:r>
    </w:p>
    <w:p w14:paraId="6279C43B" w14:textId="77777777" w:rsidR="00F96CDE" w:rsidRPr="00065AE5" w:rsidRDefault="00F96CDE" w:rsidP="00C56FF2">
      <w:pPr>
        <w:pStyle w:val="ListBullet"/>
        <w:numPr>
          <w:ilvl w:val="0"/>
          <w:numId w:val="23"/>
        </w:numPr>
        <w:ind w:left="1701" w:hanging="425"/>
        <w:rPr>
          <w:rFonts w:cs="Arial"/>
          <w:szCs w:val="24"/>
        </w:rPr>
      </w:pPr>
      <w:r>
        <w:t xml:space="preserve">receptive or </w:t>
      </w:r>
      <w:proofErr w:type="spellStart"/>
      <w:r>
        <w:t>insertive</w:t>
      </w:r>
      <w:proofErr w:type="spellEnd"/>
      <w:r>
        <w:t xml:space="preserve"> vaginal intercourse</w:t>
      </w:r>
    </w:p>
    <w:p w14:paraId="746A094F" w14:textId="77777777" w:rsidR="00F96CDE" w:rsidRPr="00DA5135" w:rsidRDefault="00F96CDE" w:rsidP="00C56FF2">
      <w:pPr>
        <w:pStyle w:val="ListBullet"/>
        <w:numPr>
          <w:ilvl w:val="0"/>
          <w:numId w:val="23"/>
        </w:numPr>
        <w:ind w:left="1701" w:hanging="425"/>
        <w:rPr>
          <w:rFonts w:cs="Arial"/>
          <w:szCs w:val="24"/>
        </w:rPr>
      </w:pPr>
      <w:r>
        <w:t xml:space="preserve">receptive or </w:t>
      </w:r>
      <w:proofErr w:type="spellStart"/>
      <w:r>
        <w:t>insertive</w:t>
      </w:r>
      <w:proofErr w:type="spellEnd"/>
      <w:r>
        <w:t xml:space="preserve"> oral intercourse</w:t>
      </w:r>
    </w:p>
    <w:p w14:paraId="22F421E6" w14:textId="77777777" w:rsidR="00F96CDE" w:rsidRPr="003C37FC" w:rsidRDefault="00F96CDE" w:rsidP="00C56FF2">
      <w:pPr>
        <w:pStyle w:val="ListBullet"/>
        <w:numPr>
          <w:ilvl w:val="0"/>
          <w:numId w:val="23"/>
        </w:numPr>
        <w:ind w:left="1701" w:hanging="425"/>
        <w:rPr>
          <w:rFonts w:cs="Arial"/>
          <w:szCs w:val="24"/>
        </w:rPr>
      </w:pPr>
      <w:r>
        <w:t>needlestick injury or other sharps exposure</w:t>
      </w:r>
    </w:p>
    <w:p w14:paraId="0AC53452" w14:textId="77777777" w:rsidR="00F96CDE" w:rsidRPr="003C37FC" w:rsidRDefault="00F96CDE" w:rsidP="00C56FF2">
      <w:pPr>
        <w:pStyle w:val="ListBullet"/>
        <w:numPr>
          <w:ilvl w:val="0"/>
          <w:numId w:val="23"/>
        </w:numPr>
        <w:ind w:left="1701" w:hanging="425"/>
        <w:rPr>
          <w:rFonts w:cs="Arial"/>
          <w:szCs w:val="24"/>
        </w:rPr>
      </w:pPr>
      <w:r>
        <w:t xml:space="preserve">shared needles and other injecting equipment                            </w:t>
      </w:r>
    </w:p>
    <w:p w14:paraId="6D027B4A" w14:textId="5EDB5213" w:rsidR="00FE0F79" w:rsidRPr="00C56FF2" w:rsidRDefault="00F96CDE" w:rsidP="00C56FF2">
      <w:pPr>
        <w:pStyle w:val="ListBullet"/>
        <w:numPr>
          <w:ilvl w:val="0"/>
          <w:numId w:val="23"/>
        </w:numPr>
        <w:ind w:left="1701" w:hanging="425"/>
        <w:rPr>
          <w:rFonts w:cs="Arial"/>
          <w:szCs w:val="24"/>
        </w:rPr>
      </w:pPr>
      <w:r>
        <w:t>mucous membrane and non-intact skin exposure</w:t>
      </w:r>
    </w:p>
    <w:p w14:paraId="34E843BD" w14:textId="77777777" w:rsidR="00FE0F79" w:rsidRPr="004C1380" w:rsidRDefault="00FE0F79" w:rsidP="00F96CDE">
      <w:pPr>
        <w:outlineLvl w:val="0"/>
      </w:pPr>
    </w:p>
    <w:p w14:paraId="3E3AC111" w14:textId="17C4AFE3" w:rsidR="00F96CDE" w:rsidRDefault="00F96CDE" w:rsidP="00C56FF2">
      <w:pPr>
        <w:pStyle w:val="ListParagraph"/>
        <w:numPr>
          <w:ilvl w:val="0"/>
          <w:numId w:val="14"/>
        </w:numPr>
        <w:ind w:left="851" w:hanging="425"/>
      </w:pPr>
      <w:r w:rsidRPr="00DA5135">
        <w:t xml:space="preserve">HIV status of source individual if </w:t>
      </w:r>
      <w:r w:rsidR="002E78E0">
        <w:t>known</w:t>
      </w:r>
      <w:r w:rsidR="00032AE1">
        <w:t>.</w:t>
      </w:r>
    </w:p>
    <w:p w14:paraId="6F0D8A5B" w14:textId="77777777" w:rsidR="00F96CDE" w:rsidRPr="00E82EDA" w:rsidRDefault="00F96CDE" w:rsidP="00F96CDE">
      <w:pPr>
        <w:ind w:left="1080"/>
        <w:outlineLvl w:val="0"/>
      </w:pPr>
    </w:p>
    <w:p w14:paraId="7870BDE1" w14:textId="77777777" w:rsidR="00C56FF2" w:rsidRDefault="00C56FF2">
      <w:pPr>
        <w:spacing w:after="200" w:line="276" w:lineRule="auto"/>
        <w:rPr>
          <w:b/>
        </w:rPr>
      </w:pPr>
      <w:r>
        <w:rPr>
          <w:b/>
        </w:rPr>
        <w:br w:type="page"/>
      </w:r>
    </w:p>
    <w:p w14:paraId="7581B573" w14:textId="51D1CB4A" w:rsidR="00F96CDE" w:rsidRDefault="00F96CDE" w:rsidP="00F96CDE">
      <w:pPr>
        <w:pBdr>
          <w:top w:val="single" w:sz="4" w:space="1" w:color="auto"/>
          <w:left w:val="single" w:sz="4" w:space="4" w:color="auto"/>
          <w:bottom w:val="single" w:sz="4" w:space="1" w:color="auto"/>
          <w:right w:val="single" w:sz="4" w:space="4" w:color="auto"/>
        </w:pBdr>
        <w:outlineLvl w:val="0"/>
      </w:pPr>
      <w:r w:rsidRPr="00DA5135">
        <w:rPr>
          <w:b/>
        </w:rPr>
        <w:lastRenderedPageBreak/>
        <w:t>Note</w:t>
      </w:r>
      <w:r w:rsidRPr="00DA5135">
        <w:t xml:space="preserve">: </w:t>
      </w:r>
    </w:p>
    <w:p w14:paraId="0C1AE84E" w14:textId="424570FA" w:rsidR="00F96CDE" w:rsidRPr="00DA5135" w:rsidRDefault="00F96CDE" w:rsidP="00F96CDE">
      <w:pPr>
        <w:pBdr>
          <w:top w:val="single" w:sz="4" w:space="1" w:color="auto"/>
          <w:left w:val="single" w:sz="4" w:space="4" w:color="auto"/>
          <w:bottom w:val="single" w:sz="4" w:space="1" w:color="auto"/>
          <w:right w:val="single" w:sz="4" w:space="4" w:color="auto"/>
        </w:pBdr>
        <w:outlineLvl w:val="0"/>
      </w:pPr>
      <w:r w:rsidRPr="00DA5135">
        <w:t xml:space="preserve">PEP commencement should not be delayed </w:t>
      </w:r>
      <w:r>
        <w:t>even in circumstances whe</w:t>
      </w:r>
      <w:r w:rsidR="00032AE1">
        <w:t>re</w:t>
      </w:r>
      <w:r w:rsidRPr="00DA5135">
        <w:t xml:space="preserve"> the sourc</w:t>
      </w:r>
      <w:r>
        <w:t>e cannot be contacted immediately</w:t>
      </w:r>
    </w:p>
    <w:p w14:paraId="1AFB68A8" w14:textId="77777777" w:rsidR="00C56FF2" w:rsidRDefault="00C56FF2" w:rsidP="00F96CDE">
      <w:pPr>
        <w:outlineLvl w:val="0"/>
        <w:rPr>
          <w:bCs/>
          <w:iCs/>
        </w:rPr>
      </w:pPr>
    </w:p>
    <w:p w14:paraId="167D7596" w14:textId="7CA32CD2" w:rsidR="00032AE1" w:rsidRPr="00032AE1" w:rsidRDefault="00032AE1" w:rsidP="00C56FF2">
      <w:pPr>
        <w:ind w:left="851"/>
        <w:outlineLvl w:val="0"/>
        <w:rPr>
          <w:bCs/>
          <w:iCs/>
        </w:rPr>
      </w:pPr>
      <w:r>
        <w:rPr>
          <w:bCs/>
          <w:iCs/>
        </w:rPr>
        <w:t>If the source is known and can be contacted:</w:t>
      </w:r>
    </w:p>
    <w:p w14:paraId="06283300" w14:textId="79BF9EA8" w:rsidR="00F96CDE" w:rsidRPr="00C56FF2" w:rsidRDefault="00F96CDE" w:rsidP="00C56FF2">
      <w:pPr>
        <w:pStyle w:val="ListParagraph"/>
        <w:numPr>
          <w:ilvl w:val="0"/>
          <w:numId w:val="15"/>
        </w:numPr>
        <w:ind w:left="1276" w:hanging="425"/>
      </w:pPr>
      <w:r w:rsidRPr="00D07503">
        <w:t>If source</w:t>
      </w:r>
      <w:r w:rsidRPr="007376FA">
        <w:t xml:space="preserve"> </w:t>
      </w:r>
      <w:r w:rsidRPr="00C62FBA">
        <w:t xml:space="preserve">is </w:t>
      </w:r>
      <w:r w:rsidRPr="00C56FF2">
        <w:t>known to be HIV positive</w:t>
      </w:r>
      <w:r w:rsidRPr="00D07503">
        <w:t>,</w:t>
      </w:r>
      <w:r w:rsidRPr="007376FA">
        <w:t xml:space="preserve"> </w:t>
      </w:r>
      <w:r>
        <w:t>check</w:t>
      </w:r>
      <w:r w:rsidR="00032AE1">
        <w:t xml:space="preserve"> their</w:t>
      </w:r>
      <w:r>
        <w:t>:</w:t>
      </w:r>
    </w:p>
    <w:p w14:paraId="4F393694" w14:textId="6DD800BD" w:rsidR="00F96CDE" w:rsidRPr="006B6623" w:rsidRDefault="00F96CDE" w:rsidP="00C56FF2">
      <w:pPr>
        <w:pStyle w:val="ListBullet"/>
        <w:numPr>
          <w:ilvl w:val="0"/>
          <w:numId w:val="24"/>
        </w:numPr>
        <w:ind w:left="1701" w:hanging="425"/>
      </w:pPr>
      <w:r>
        <w:t>c</w:t>
      </w:r>
      <w:r w:rsidRPr="006B6623">
        <w:t xml:space="preserve">urrent HIV medication and </w:t>
      </w:r>
      <w:r>
        <w:t xml:space="preserve">most recent </w:t>
      </w:r>
      <w:r w:rsidRPr="006B6623">
        <w:t>HIV viral load</w:t>
      </w:r>
      <w:r>
        <w:t>. Undetectable viral load = &lt;50 copies/</w:t>
      </w:r>
      <w:proofErr w:type="spellStart"/>
      <w:r>
        <w:t>m</w:t>
      </w:r>
      <w:r w:rsidR="007B20A1">
        <w:t>L</w:t>
      </w:r>
      <w:r>
        <w:t>.</w:t>
      </w:r>
      <w:proofErr w:type="spellEnd"/>
      <w:r>
        <w:t xml:space="preserve"> </w:t>
      </w:r>
    </w:p>
    <w:p w14:paraId="60EFB2B7" w14:textId="77777777" w:rsidR="00F96CDE" w:rsidRPr="006B6623" w:rsidRDefault="00F96CDE" w:rsidP="00C56FF2">
      <w:pPr>
        <w:pStyle w:val="ListBullet"/>
        <w:numPr>
          <w:ilvl w:val="0"/>
          <w:numId w:val="24"/>
        </w:numPr>
        <w:ind w:left="1701" w:hanging="425"/>
      </w:pPr>
      <w:r>
        <w:t>pr</w:t>
      </w:r>
      <w:r w:rsidRPr="006B6623">
        <w:t>ior anti-HIV medications and resistance assays</w:t>
      </w:r>
    </w:p>
    <w:p w14:paraId="66A80659" w14:textId="77777777" w:rsidR="00F96CDE" w:rsidRDefault="00F96CDE" w:rsidP="00F96CDE">
      <w:pPr>
        <w:ind w:left="1800"/>
        <w:outlineLvl w:val="0"/>
      </w:pPr>
    </w:p>
    <w:p w14:paraId="57086570" w14:textId="77777777" w:rsidR="00F96CDE" w:rsidRDefault="00F96CDE" w:rsidP="00C56FF2">
      <w:pPr>
        <w:pStyle w:val="ListParagraph"/>
        <w:numPr>
          <w:ilvl w:val="0"/>
          <w:numId w:val="15"/>
        </w:numPr>
        <w:ind w:left="1276" w:hanging="425"/>
      </w:pPr>
      <w:r>
        <w:t xml:space="preserve">If source is </w:t>
      </w:r>
      <w:r w:rsidRPr="00C56FF2">
        <w:t>known to be taking pre-exposure prophylaxis (</w:t>
      </w:r>
      <w:proofErr w:type="spellStart"/>
      <w:r w:rsidRPr="00C56FF2">
        <w:t>PrEP</w:t>
      </w:r>
      <w:proofErr w:type="spellEnd"/>
      <w:r w:rsidRPr="00C56FF2">
        <w:t>),</w:t>
      </w:r>
      <w:r>
        <w:t xml:space="preserve"> check adherence</w:t>
      </w:r>
    </w:p>
    <w:p w14:paraId="7828631C" w14:textId="77777777" w:rsidR="00F96CDE" w:rsidRDefault="00F96CDE" w:rsidP="00C56FF2">
      <w:pPr>
        <w:pStyle w:val="ListBullet"/>
        <w:numPr>
          <w:ilvl w:val="0"/>
          <w:numId w:val="24"/>
        </w:numPr>
        <w:ind w:left="1701" w:hanging="425"/>
      </w:pPr>
      <w:r w:rsidRPr="00957546">
        <w:t xml:space="preserve">PEP is generally not required but should be considered if there are concerns about source non-adherence to </w:t>
      </w:r>
      <w:proofErr w:type="spellStart"/>
      <w:r w:rsidRPr="00957546">
        <w:t>PrEP.</w:t>
      </w:r>
      <w:proofErr w:type="spellEnd"/>
      <w:r w:rsidRPr="00957546">
        <w:t xml:space="preserve">  </w:t>
      </w:r>
    </w:p>
    <w:p w14:paraId="406F18D1" w14:textId="77777777" w:rsidR="00F96CDE" w:rsidRPr="00957546" w:rsidRDefault="00F96CDE" w:rsidP="00F96CDE">
      <w:pPr>
        <w:pStyle w:val="ListParagraph"/>
        <w:ind w:left="1440"/>
        <w:outlineLvl w:val="0"/>
      </w:pPr>
    </w:p>
    <w:p w14:paraId="0117D648" w14:textId="7D0C0407" w:rsidR="00F96CDE" w:rsidRPr="00DA5135" w:rsidRDefault="00F96CDE" w:rsidP="00C56FF2">
      <w:pPr>
        <w:pStyle w:val="ListParagraph"/>
        <w:numPr>
          <w:ilvl w:val="0"/>
          <w:numId w:val="15"/>
        </w:numPr>
        <w:ind w:left="1276" w:hanging="425"/>
      </w:pPr>
      <w:r w:rsidRPr="00D07503">
        <w:t>If source</w:t>
      </w:r>
      <w:r w:rsidRPr="00DA5135">
        <w:t xml:space="preserve"> </w:t>
      </w:r>
      <w:proofErr w:type="spellStart"/>
      <w:r w:rsidR="0088568A">
        <w:t>choses</w:t>
      </w:r>
      <w:proofErr w:type="spellEnd"/>
      <w:r w:rsidR="0088568A" w:rsidRPr="00DA5135">
        <w:t xml:space="preserve"> </w:t>
      </w:r>
      <w:r w:rsidRPr="00DA5135">
        <w:t>not to disclose their HIV status or have an HIV test</w:t>
      </w:r>
    </w:p>
    <w:p w14:paraId="0A843F28" w14:textId="77777777" w:rsidR="00F96CDE" w:rsidRPr="004C1380" w:rsidRDefault="00F96CDE" w:rsidP="00C56FF2">
      <w:pPr>
        <w:pStyle w:val="ListBullet"/>
        <w:numPr>
          <w:ilvl w:val="0"/>
          <w:numId w:val="24"/>
        </w:numPr>
        <w:ind w:left="1701" w:hanging="425"/>
      </w:pPr>
      <w:r>
        <w:t>assume</w:t>
      </w:r>
      <w:r w:rsidRPr="004C1380">
        <w:t xml:space="preserve"> for the purposes of PEP prescription that they are HIV positive.</w:t>
      </w:r>
    </w:p>
    <w:p w14:paraId="0E77A173" w14:textId="77777777" w:rsidR="00F96CDE" w:rsidRPr="00957546" w:rsidRDefault="00F96CDE" w:rsidP="00F96CDE">
      <w:pPr>
        <w:outlineLvl w:val="0"/>
      </w:pPr>
    </w:p>
    <w:p w14:paraId="1E79756F" w14:textId="5E224AD5" w:rsidR="00F96CDE" w:rsidRPr="00DA5135" w:rsidRDefault="00F96CDE" w:rsidP="00C56FF2">
      <w:pPr>
        <w:pStyle w:val="ListParagraph"/>
        <w:numPr>
          <w:ilvl w:val="0"/>
          <w:numId w:val="15"/>
        </w:numPr>
        <w:ind w:left="1276" w:hanging="425"/>
      </w:pPr>
      <w:r w:rsidRPr="00DA5135">
        <w:t xml:space="preserve">If the source cannot be contacted, try to establish </w:t>
      </w:r>
      <w:r w:rsidR="00EC4E7A">
        <w:t xml:space="preserve">from the patient </w:t>
      </w:r>
      <w:r w:rsidRPr="00DA5135">
        <w:t>if they have any of the following risks:</w:t>
      </w:r>
    </w:p>
    <w:p w14:paraId="349AEB72" w14:textId="77777777" w:rsidR="00F96CDE" w:rsidRDefault="00F96CDE" w:rsidP="00C56FF2">
      <w:pPr>
        <w:pStyle w:val="ListBullet"/>
        <w:numPr>
          <w:ilvl w:val="0"/>
          <w:numId w:val="24"/>
        </w:numPr>
        <w:ind w:left="1701" w:hanging="425"/>
      </w:pPr>
      <w:r>
        <w:t>men who have sex with other men</w:t>
      </w:r>
    </w:p>
    <w:p w14:paraId="36473484" w14:textId="77777777" w:rsidR="00F96CDE" w:rsidRPr="004C1380" w:rsidRDefault="00F96CDE" w:rsidP="00C56FF2">
      <w:pPr>
        <w:pStyle w:val="ListBullet"/>
        <w:numPr>
          <w:ilvl w:val="0"/>
          <w:numId w:val="24"/>
        </w:numPr>
        <w:ind w:left="1701" w:hanging="425"/>
      </w:pPr>
      <w:r>
        <w:t>injecting drug use</w:t>
      </w:r>
    </w:p>
    <w:p w14:paraId="64B681B5" w14:textId="77777777" w:rsidR="00F96CDE" w:rsidRPr="00F26FFD" w:rsidRDefault="00F96CDE" w:rsidP="00C56FF2">
      <w:pPr>
        <w:pStyle w:val="ListBullet"/>
        <w:numPr>
          <w:ilvl w:val="0"/>
          <w:numId w:val="24"/>
        </w:numPr>
        <w:ind w:left="1701" w:hanging="425"/>
      </w:pPr>
      <w:r>
        <w:t>c</w:t>
      </w:r>
      <w:r w:rsidRPr="00F26FFD">
        <w:t xml:space="preserve">oming from country of higher HIV </w:t>
      </w:r>
      <w:r>
        <w:t>prevalence (in particular, sub-</w:t>
      </w:r>
      <w:r w:rsidRPr="00F26FFD">
        <w:t>Saharan Africa</w:t>
      </w:r>
      <w:r>
        <w:t xml:space="preserve"> or South East Asia</w:t>
      </w:r>
      <w:r w:rsidRPr="00F26FFD">
        <w:t>)</w:t>
      </w:r>
    </w:p>
    <w:p w14:paraId="489AE581" w14:textId="77777777" w:rsidR="00F96CDE" w:rsidRPr="002A3321" w:rsidRDefault="00F96CDE" w:rsidP="00F96CDE">
      <w:pPr>
        <w:ind w:left="2340"/>
        <w:outlineLvl w:val="0"/>
        <w:rPr>
          <w:sz w:val="18"/>
        </w:rPr>
      </w:pPr>
    </w:p>
    <w:p w14:paraId="79635D27" w14:textId="77777777" w:rsidR="00F96CDE" w:rsidRPr="00C56FF2" w:rsidRDefault="00F96CDE" w:rsidP="00C56FF2">
      <w:pPr>
        <w:numPr>
          <w:ilvl w:val="0"/>
          <w:numId w:val="13"/>
        </w:numPr>
        <w:tabs>
          <w:tab w:val="clear" w:pos="720"/>
        </w:tabs>
        <w:ind w:left="426" w:hanging="426"/>
        <w:outlineLvl w:val="0"/>
        <w:rPr>
          <w:b/>
        </w:rPr>
      </w:pPr>
      <w:r w:rsidRPr="00C56FF2">
        <w:rPr>
          <w:b/>
        </w:rPr>
        <w:t>Assess HIV status and medical history of exposed person:</w:t>
      </w:r>
    </w:p>
    <w:p w14:paraId="73F99275" w14:textId="77777777" w:rsidR="00F96CDE" w:rsidRPr="004C1380" w:rsidRDefault="00F96CDE" w:rsidP="00C56FF2">
      <w:pPr>
        <w:pStyle w:val="ListParagraph"/>
        <w:numPr>
          <w:ilvl w:val="0"/>
          <w:numId w:val="17"/>
        </w:numPr>
        <w:ind w:left="851" w:hanging="425"/>
      </w:pPr>
      <w:r w:rsidRPr="004C1380">
        <w:t>Current illnesses, medications, allergies</w:t>
      </w:r>
    </w:p>
    <w:p w14:paraId="487484EB" w14:textId="77777777" w:rsidR="00F96CDE" w:rsidRPr="004C1380" w:rsidRDefault="00F96CDE" w:rsidP="00C56FF2">
      <w:pPr>
        <w:pStyle w:val="ListParagraph"/>
        <w:numPr>
          <w:ilvl w:val="0"/>
          <w:numId w:val="17"/>
        </w:numPr>
        <w:ind w:left="851" w:hanging="425"/>
      </w:pPr>
      <w:r w:rsidRPr="004C1380">
        <w:t>Hepatitis B vaccination or infection status</w:t>
      </w:r>
    </w:p>
    <w:p w14:paraId="391C134C" w14:textId="77777777" w:rsidR="00F96CDE" w:rsidRPr="004C1380" w:rsidRDefault="00F96CDE" w:rsidP="00C56FF2">
      <w:pPr>
        <w:pStyle w:val="ListParagraph"/>
        <w:numPr>
          <w:ilvl w:val="0"/>
          <w:numId w:val="17"/>
        </w:numPr>
        <w:ind w:left="851" w:hanging="425"/>
      </w:pPr>
      <w:r w:rsidRPr="004C1380">
        <w:t>Hepatitis C infection status</w:t>
      </w:r>
    </w:p>
    <w:p w14:paraId="051D21FB" w14:textId="12A14DEC" w:rsidR="00F96CDE" w:rsidRPr="004C1380" w:rsidRDefault="00F96CDE" w:rsidP="00C56FF2">
      <w:pPr>
        <w:pStyle w:val="ListParagraph"/>
        <w:numPr>
          <w:ilvl w:val="0"/>
          <w:numId w:val="17"/>
        </w:numPr>
        <w:ind w:left="851" w:hanging="425"/>
      </w:pPr>
      <w:r w:rsidRPr="004C1380">
        <w:t xml:space="preserve">Pregnancy or pregnancy risk – all women presenting for PEP should </w:t>
      </w:r>
      <w:r w:rsidR="00AB4C76">
        <w:t>have a</w:t>
      </w:r>
      <w:r w:rsidRPr="004C1380">
        <w:t xml:space="preserve"> pregnancy test and </w:t>
      </w:r>
      <w:r w:rsidR="00AB4C76">
        <w:t xml:space="preserve">be </w:t>
      </w:r>
      <w:r w:rsidRPr="004C1380">
        <w:t>offered emergency contraception if appropriate</w:t>
      </w:r>
    </w:p>
    <w:p w14:paraId="49AD45B7" w14:textId="77777777" w:rsidR="00F96CDE" w:rsidRPr="004C1380" w:rsidRDefault="00F96CDE" w:rsidP="00C56FF2">
      <w:pPr>
        <w:pStyle w:val="ListParagraph"/>
        <w:numPr>
          <w:ilvl w:val="0"/>
          <w:numId w:val="17"/>
        </w:numPr>
        <w:ind w:left="851" w:hanging="425"/>
      </w:pPr>
      <w:r w:rsidRPr="004C1380">
        <w:t>Prior HIV testing</w:t>
      </w:r>
    </w:p>
    <w:p w14:paraId="17586BC7" w14:textId="77777777" w:rsidR="00F96CDE" w:rsidRPr="002A3321" w:rsidRDefault="00F96CDE" w:rsidP="00F96CDE">
      <w:pPr>
        <w:outlineLvl w:val="0"/>
        <w:rPr>
          <w:rFonts w:cs="Arial"/>
          <w:sz w:val="18"/>
          <w:szCs w:val="24"/>
        </w:rPr>
      </w:pPr>
    </w:p>
    <w:p w14:paraId="362B7328" w14:textId="77777777" w:rsidR="00F96CDE" w:rsidRDefault="00F96CDE" w:rsidP="007B08E9">
      <w:pPr>
        <w:numPr>
          <w:ilvl w:val="0"/>
          <w:numId w:val="13"/>
        </w:numPr>
        <w:tabs>
          <w:tab w:val="clear" w:pos="720"/>
        </w:tabs>
        <w:ind w:left="426" w:hanging="426"/>
        <w:outlineLvl w:val="0"/>
        <w:rPr>
          <w:rFonts w:cs="Arial"/>
          <w:szCs w:val="24"/>
        </w:rPr>
      </w:pPr>
      <w:r w:rsidRPr="00C56FF2">
        <w:rPr>
          <w:b/>
        </w:rPr>
        <w:t xml:space="preserve">Phone the Infectious Diseases (ID) Physician on-call with the above history </w:t>
      </w:r>
      <w:proofErr w:type="gramStart"/>
      <w:r w:rsidRPr="00C56FF2">
        <w:rPr>
          <w:b/>
        </w:rPr>
        <w:t>in order to</w:t>
      </w:r>
      <w:proofErr w:type="gramEnd"/>
      <w:r>
        <w:rPr>
          <w:rFonts w:cs="Arial"/>
          <w:szCs w:val="24"/>
        </w:rPr>
        <w:t xml:space="preserve"> confirm that HIV PEP is appropriate </w:t>
      </w:r>
      <w:r w:rsidRPr="00296CC1">
        <w:rPr>
          <w:rFonts w:cs="Arial"/>
          <w:szCs w:val="24"/>
        </w:rPr>
        <w:t>for</w:t>
      </w:r>
      <w:r>
        <w:rPr>
          <w:rFonts w:cs="Arial"/>
          <w:szCs w:val="24"/>
        </w:rPr>
        <w:t xml:space="preserve"> the exposure (HIV PEP indications are available via link in </w:t>
      </w:r>
      <w:r>
        <w:rPr>
          <w:rFonts w:cs="Arial"/>
          <w:szCs w:val="24"/>
          <w:u w:val="single"/>
        </w:rPr>
        <w:t xml:space="preserve">Attachment </w:t>
      </w:r>
      <w:r w:rsidRPr="00296CC1">
        <w:rPr>
          <w:rFonts w:cs="Arial"/>
          <w:szCs w:val="24"/>
          <w:u w:val="single"/>
        </w:rPr>
        <w:t>A</w:t>
      </w:r>
      <w:r>
        <w:rPr>
          <w:rFonts w:cs="Arial"/>
          <w:szCs w:val="24"/>
        </w:rPr>
        <w:t xml:space="preserve">) and to clarify potential drug-drug interactions (see </w:t>
      </w:r>
      <w:r w:rsidRPr="00D11CEC">
        <w:rPr>
          <w:rFonts w:cs="Arial"/>
          <w:szCs w:val="24"/>
          <w:u w:val="single"/>
        </w:rPr>
        <w:t>A</w:t>
      </w:r>
      <w:r>
        <w:rPr>
          <w:rFonts w:cs="Arial"/>
          <w:szCs w:val="24"/>
          <w:u w:val="single"/>
        </w:rPr>
        <w:t>ttachment</w:t>
      </w:r>
      <w:r w:rsidRPr="00D11CEC">
        <w:rPr>
          <w:rFonts w:cs="Arial"/>
          <w:szCs w:val="24"/>
          <w:u w:val="single"/>
        </w:rPr>
        <w:t xml:space="preserve"> </w:t>
      </w:r>
      <w:r>
        <w:rPr>
          <w:rFonts w:cs="Arial"/>
          <w:szCs w:val="24"/>
          <w:u w:val="single"/>
        </w:rPr>
        <w:t>B</w:t>
      </w:r>
      <w:r>
        <w:rPr>
          <w:rFonts w:cs="Arial"/>
          <w:szCs w:val="24"/>
        </w:rPr>
        <w:t>).</w:t>
      </w:r>
    </w:p>
    <w:p w14:paraId="3BED9269" w14:textId="77777777" w:rsidR="00F96CDE" w:rsidRPr="002A3321" w:rsidRDefault="00F96CDE" w:rsidP="00F96CDE">
      <w:pPr>
        <w:outlineLvl w:val="0"/>
        <w:rPr>
          <w:rFonts w:cs="Arial"/>
          <w:sz w:val="18"/>
          <w:szCs w:val="24"/>
        </w:rPr>
      </w:pPr>
    </w:p>
    <w:p w14:paraId="2416878F" w14:textId="77777777" w:rsidR="00F96CDE" w:rsidRPr="00C62FBA" w:rsidRDefault="00F96CDE" w:rsidP="007B08E9">
      <w:pPr>
        <w:ind w:left="426"/>
        <w:outlineLvl w:val="0"/>
        <w:rPr>
          <w:rFonts w:cs="Arial"/>
          <w:szCs w:val="24"/>
        </w:rPr>
      </w:pPr>
      <w:r w:rsidRPr="00C62FBA">
        <w:rPr>
          <w:rFonts w:cs="Arial"/>
          <w:szCs w:val="24"/>
        </w:rPr>
        <w:t xml:space="preserve">Decisions about whether or not to commence HIV PEP can be complex. </w:t>
      </w:r>
      <w:r>
        <w:rPr>
          <w:rFonts w:cs="Arial"/>
          <w:szCs w:val="24"/>
        </w:rPr>
        <w:t>Staff should</w:t>
      </w:r>
      <w:r w:rsidRPr="00C62FBA">
        <w:rPr>
          <w:rFonts w:cs="Arial"/>
          <w:szCs w:val="24"/>
        </w:rPr>
        <w:t xml:space="preserve"> clearly present patient concerns to the ID physician on call so that the decision to prescribe or not to prescribe PEP can be more easily communicated to the patient.</w:t>
      </w:r>
    </w:p>
    <w:p w14:paraId="0F5B4262" w14:textId="77777777" w:rsidR="00F96CDE" w:rsidRPr="00C62FBA" w:rsidRDefault="00F96CDE" w:rsidP="007B08E9">
      <w:pPr>
        <w:ind w:left="426"/>
        <w:outlineLvl w:val="0"/>
        <w:rPr>
          <w:rFonts w:cs="Arial"/>
          <w:szCs w:val="24"/>
        </w:rPr>
      </w:pPr>
    </w:p>
    <w:p w14:paraId="3B0E5D61" w14:textId="51370291" w:rsidR="00F96CDE" w:rsidRDefault="2A7675AA" w:rsidP="007B08E9">
      <w:pPr>
        <w:ind w:left="426"/>
        <w:outlineLvl w:val="0"/>
        <w:rPr>
          <w:rFonts w:cs="Arial"/>
        </w:rPr>
      </w:pPr>
      <w:r w:rsidRPr="480D9B3F">
        <w:rPr>
          <w:rFonts w:cs="Arial"/>
        </w:rPr>
        <w:t>In the ED,</w:t>
      </w:r>
      <w:r w:rsidR="003A0D51">
        <w:rPr>
          <w:rFonts w:cs="Arial"/>
        </w:rPr>
        <w:t xml:space="preserve"> </w:t>
      </w:r>
      <w:r w:rsidRPr="480D9B3F">
        <w:rPr>
          <w:rFonts w:cs="Arial"/>
        </w:rPr>
        <w:t xml:space="preserve">patients are provided with a </w:t>
      </w:r>
      <w:r w:rsidR="0069690A" w:rsidRPr="480D9B3F">
        <w:rPr>
          <w:rFonts w:cs="Arial"/>
        </w:rPr>
        <w:t>2 drug (tenofovir and emtricitabine) starter pack (</w:t>
      </w:r>
      <w:proofErr w:type="gramStart"/>
      <w:r w:rsidR="0069690A" w:rsidRPr="480D9B3F">
        <w:rPr>
          <w:rFonts w:cs="Arial"/>
        </w:rPr>
        <w:t>7 day</w:t>
      </w:r>
      <w:proofErr w:type="gramEnd"/>
      <w:r w:rsidR="0069690A" w:rsidRPr="480D9B3F">
        <w:rPr>
          <w:rFonts w:cs="Arial"/>
        </w:rPr>
        <w:t xml:space="preserve"> initial supply) </w:t>
      </w:r>
      <w:r w:rsidRPr="480D9B3F">
        <w:rPr>
          <w:rFonts w:cs="Arial"/>
        </w:rPr>
        <w:t xml:space="preserve">if PEP is indicated. </w:t>
      </w:r>
      <w:r w:rsidR="0069690A" w:rsidRPr="480D9B3F">
        <w:rPr>
          <w:rFonts w:cs="Arial"/>
        </w:rPr>
        <w:t xml:space="preserve">There will be a minority in whom dolutegravir will also be indicated – there is a separate </w:t>
      </w:r>
      <w:proofErr w:type="gramStart"/>
      <w:r w:rsidR="0069690A" w:rsidRPr="480D9B3F">
        <w:rPr>
          <w:rFonts w:cs="Arial"/>
        </w:rPr>
        <w:t>7 day</w:t>
      </w:r>
      <w:proofErr w:type="gramEnd"/>
      <w:r w:rsidR="0069690A" w:rsidRPr="480D9B3F">
        <w:rPr>
          <w:rFonts w:cs="Arial"/>
        </w:rPr>
        <w:t xml:space="preserve"> starter pack to be added in if indicated. </w:t>
      </w:r>
    </w:p>
    <w:p w14:paraId="0A4640F9" w14:textId="77777777" w:rsidR="00F96CDE" w:rsidRPr="00C62FBA" w:rsidRDefault="00F96CDE" w:rsidP="00F96CDE">
      <w:pPr>
        <w:ind w:left="360"/>
        <w:outlineLvl w:val="0"/>
        <w:rPr>
          <w:rFonts w:cs="Arial"/>
          <w:szCs w:val="24"/>
        </w:rPr>
      </w:pPr>
    </w:p>
    <w:p w14:paraId="3121196C" w14:textId="0A0C60A7" w:rsidR="00F96CDE" w:rsidRPr="0038789D" w:rsidRDefault="00F96CDE" w:rsidP="007B08E9">
      <w:pPr>
        <w:pBdr>
          <w:top w:val="single" w:sz="4" w:space="1" w:color="auto"/>
          <w:left w:val="single" w:sz="4" w:space="4" w:color="auto"/>
          <w:bottom w:val="single" w:sz="4" w:space="1" w:color="auto"/>
          <w:right w:val="single" w:sz="4" w:space="4" w:color="auto"/>
        </w:pBdr>
        <w:ind w:left="426"/>
        <w:outlineLvl w:val="0"/>
        <w:rPr>
          <w:rFonts w:cs="Arial"/>
          <w:szCs w:val="24"/>
        </w:rPr>
      </w:pPr>
      <w:r w:rsidRPr="00CC6BBD">
        <w:rPr>
          <w:rFonts w:cs="Arial"/>
          <w:b/>
          <w:szCs w:val="24"/>
        </w:rPr>
        <w:t>Note:</w:t>
      </w:r>
      <w:r>
        <w:rPr>
          <w:rFonts w:cs="Arial"/>
          <w:szCs w:val="24"/>
        </w:rPr>
        <w:t xml:space="preserve"> </w:t>
      </w:r>
      <w:r w:rsidRPr="0038789D">
        <w:rPr>
          <w:rFonts w:cs="Arial"/>
          <w:szCs w:val="24"/>
        </w:rPr>
        <w:t>If the patient is a child</w:t>
      </w:r>
      <w:r w:rsidR="00A16087">
        <w:rPr>
          <w:rFonts w:cs="Arial"/>
          <w:szCs w:val="24"/>
        </w:rPr>
        <w:t xml:space="preserve"> </w:t>
      </w:r>
      <w:r>
        <w:rPr>
          <w:rFonts w:cs="Arial"/>
          <w:szCs w:val="24"/>
        </w:rPr>
        <w:t>(</w:t>
      </w:r>
      <w:r w:rsidR="00CA637C">
        <w:rPr>
          <w:rFonts w:cs="Arial"/>
          <w:szCs w:val="24"/>
        </w:rPr>
        <w:t>l</w:t>
      </w:r>
      <w:r>
        <w:rPr>
          <w:rFonts w:cs="Arial"/>
          <w:szCs w:val="24"/>
        </w:rPr>
        <w:t>ess than 16 years old)</w:t>
      </w:r>
      <w:r w:rsidRPr="0038789D">
        <w:rPr>
          <w:rFonts w:cs="Arial"/>
          <w:szCs w:val="24"/>
        </w:rPr>
        <w:t>, provide ID physician with their age and weight. If PEP is indicated, medications and dosages may require modification.</w:t>
      </w:r>
    </w:p>
    <w:p w14:paraId="5DD90D23" w14:textId="77777777" w:rsidR="00F96CDE" w:rsidRPr="002A3321" w:rsidRDefault="00F96CDE" w:rsidP="00F96CDE">
      <w:pPr>
        <w:ind w:left="360"/>
        <w:outlineLvl w:val="0"/>
        <w:rPr>
          <w:rFonts w:cs="Arial"/>
          <w:i/>
          <w:sz w:val="18"/>
          <w:szCs w:val="24"/>
        </w:rPr>
      </w:pPr>
    </w:p>
    <w:p w14:paraId="6AD9EDCD" w14:textId="78D13E6C" w:rsidR="00F96CDE" w:rsidRDefault="00F96CDE" w:rsidP="007B08E9">
      <w:pPr>
        <w:numPr>
          <w:ilvl w:val="0"/>
          <w:numId w:val="13"/>
        </w:numPr>
        <w:tabs>
          <w:tab w:val="clear" w:pos="720"/>
        </w:tabs>
        <w:ind w:left="426" w:hanging="426"/>
        <w:outlineLvl w:val="0"/>
        <w:rPr>
          <w:rFonts w:cs="Arial"/>
          <w:szCs w:val="24"/>
        </w:rPr>
      </w:pPr>
      <w:r w:rsidRPr="00D96E37">
        <w:rPr>
          <w:rFonts w:cs="Arial"/>
          <w:b/>
          <w:szCs w:val="24"/>
        </w:rPr>
        <w:t>Inform patient</w:t>
      </w:r>
      <w:r>
        <w:rPr>
          <w:rFonts w:cs="Arial"/>
          <w:b/>
          <w:szCs w:val="24"/>
        </w:rPr>
        <w:t>/caregiver</w:t>
      </w:r>
      <w:r>
        <w:rPr>
          <w:rFonts w:cs="Arial"/>
          <w:szCs w:val="24"/>
        </w:rPr>
        <w:t xml:space="preserve"> that PEP is a </w:t>
      </w:r>
      <w:proofErr w:type="gramStart"/>
      <w:r>
        <w:rPr>
          <w:rFonts w:cs="Arial"/>
          <w:szCs w:val="24"/>
        </w:rPr>
        <w:t>28 day</w:t>
      </w:r>
      <w:proofErr w:type="gramEnd"/>
      <w:r>
        <w:rPr>
          <w:rFonts w:cs="Arial"/>
          <w:szCs w:val="24"/>
        </w:rPr>
        <w:t xml:space="preserve"> course of medication, which reduces but does not remove the risk of HIV seroconversion. Baseline HIV testing is required with follow-up HIV testing at 6 weeks and 3 months. </w:t>
      </w:r>
      <w:r w:rsidR="0069690A">
        <w:rPr>
          <w:rFonts w:cs="Arial"/>
          <w:szCs w:val="24"/>
        </w:rPr>
        <w:t xml:space="preserve"> There is a PEP information sheet for consumer</w:t>
      </w:r>
      <w:r w:rsidR="00FE0F79">
        <w:rPr>
          <w:rFonts w:cs="Arial"/>
          <w:szCs w:val="24"/>
        </w:rPr>
        <w:t>s</w:t>
      </w:r>
      <w:r w:rsidR="0069690A">
        <w:rPr>
          <w:rFonts w:cs="Arial"/>
          <w:szCs w:val="24"/>
        </w:rPr>
        <w:t xml:space="preserve"> on the policy register</w:t>
      </w:r>
      <w:r w:rsidR="008C4EF2">
        <w:rPr>
          <w:rFonts w:cs="Arial"/>
          <w:szCs w:val="24"/>
        </w:rPr>
        <w:t>, and a consumer handout for HIV testing</w:t>
      </w:r>
      <w:r w:rsidR="00FE0F79">
        <w:rPr>
          <w:rFonts w:cs="Arial"/>
          <w:szCs w:val="24"/>
        </w:rPr>
        <w:t>.</w:t>
      </w:r>
    </w:p>
    <w:p w14:paraId="4584B580" w14:textId="77777777" w:rsidR="00F96CDE" w:rsidRDefault="00F96CDE" w:rsidP="00F96CDE">
      <w:pPr>
        <w:ind w:left="360"/>
        <w:outlineLvl w:val="0"/>
        <w:rPr>
          <w:rFonts w:cs="Arial"/>
          <w:szCs w:val="24"/>
        </w:rPr>
      </w:pPr>
    </w:p>
    <w:p w14:paraId="0F33DC39" w14:textId="77777777" w:rsidR="00F96CDE" w:rsidRDefault="00F96CDE" w:rsidP="007B08E9">
      <w:pPr>
        <w:pBdr>
          <w:top w:val="single" w:sz="4" w:space="1" w:color="auto"/>
          <w:left w:val="single" w:sz="4" w:space="4" w:color="auto"/>
          <w:bottom w:val="single" w:sz="4" w:space="1" w:color="auto"/>
          <w:right w:val="single" w:sz="4" w:space="4" w:color="auto"/>
        </w:pBdr>
        <w:ind w:left="426"/>
        <w:outlineLvl w:val="0"/>
        <w:rPr>
          <w:rFonts w:cs="Arial"/>
          <w:b/>
          <w:szCs w:val="24"/>
        </w:rPr>
      </w:pPr>
      <w:r>
        <w:rPr>
          <w:rFonts w:cs="Arial"/>
          <w:b/>
          <w:szCs w:val="24"/>
        </w:rPr>
        <w:t>Alert:</w:t>
      </w:r>
    </w:p>
    <w:p w14:paraId="53943FB0" w14:textId="0E54A9FA" w:rsidR="00F96CDE" w:rsidRDefault="00B20FD8" w:rsidP="007B08E9">
      <w:pPr>
        <w:pBdr>
          <w:top w:val="single" w:sz="4" w:space="1" w:color="auto"/>
          <w:left w:val="single" w:sz="4" w:space="4" w:color="auto"/>
          <w:bottom w:val="single" w:sz="4" w:space="1" w:color="auto"/>
          <w:right w:val="single" w:sz="4" w:space="4" w:color="auto"/>
        </w:pBdr>
        <w:ind w:left="426"/>
        <w:outlineLvl w:val="0"/>
        <w:rPr>
          <w:rFonts w:cs="Arial"/>
          <w:szCs w:val="24"/>
        </w:rPr>
      </w:pPr>
      <w:r>
        <w:rPr>
          <w:rFonts w:cs="Arial"/>
          <w:b/>
          <w:szCs w:val="24"/>
        </w:rPr>
        <w:t xml:space="preserve">Educate patient that </w:t>
      </w:r>
      <w:r w:rsidR="003A0D51">
        <w:rPr>
          <w:rFonts w:cs="Arial"/>
          <w:b/>
          <w:szCs w:val="24"/>
        </w:rPr>
        <w:t>u</w:t>
      </w:r>
      <w:r w:rsidR="00F96CDE">
        <w:rPr>
          <w:rFonts w:cs="Arial"/>
          <w:b/>
          <w:szCs w:val="24"/>
        </w:rPr>
        <w:t xml:space="preserve">ntil final follow-up tests are confirmed as </w:t>
      </w:r>
      <w:proofErr w:type="gramStart"/>
      <w:r w:rsidR="00F96CDE">
        <w:rPr>
          <w:rFonts w:cs="Arial"/>
          <w:b/>
          <w:szCs w:val="24"/>
        </w:rPr>
        <w:t>negative</w:t>
      </w:r>
      <w:proofErr w:type="gramEnd"/>
      <w:r w:rsidR="00F96CDE">
        <w:rPr>
          <w:rFonts w:cs="Arial"/>
          <w:b/>
          <w:szCs w:val="24"/>
        </w:rPr>
        <w:t xml:space="preserve"> </w:t>
      </w:r>
      <w:r w:rsidR="00E81E40">
        <w:rPr>
          <w:rFonts w:cs="Arial"/>
          <w:b/>
          <w:szCs w:val="24"/>
        </w:rPr>
        <w:t>they</w:t>
      </w:r>
      <w:r w:rsidR="00F96CDE">
        <w:rPr>
          <w:rFonts w:cs="Arial"/>
          <w:b/>
          <w:szCs w:val="24"/>
        </w:rPr>
        <w:t xml:space="preserve"> must avoid risks of transmission of HIV through sexual contact or sharing of blood or other body fluids.</w:t>
      </w:r>
    </w:p>
    <w:p w14:paraId="795C19A0" w14:textId="77777777" w:rsidR="00F96CDE" w:rsidRPr="002A3321" w:rsidRDefault="00F96CDE" w:rsidP="00F96CDE">
      <w:pPr>
        <w:ind w:left="360"/>
        <w:outlineLvl w:val="0"/>
        <w:rPr>
          <w:rFonts w:cs="Arial"/>
          <w:sz w:val="18"/>
          <w:szCs w:val="24"/>
        </w:rPr>
      </w:pPr>
    </w:p>
    <w:p w14:paraId="5D501565" w14:textId="2CC0C5D1" w:rsidR="00F96CDE" w:rsidRDefault="00F96CDE" w:rsidP="007B08E9">
      <w:pPr>
        <w:numPr>
          <w:ilvl w:val="0"/>
          <w:numId w:val="13"/>
        </w:numPr>
        <w:tabs>
          <w:tab w:val="clear" w:pos="720"/>
        </w:tabs>
        <w:ind w:left="426" w:hanging="426"/>
        <w:outlineLvl w:val="0"/>
        <w:rPr>
          <w:rFonts w:cs="Arial"/>
          <w:szCs w:val="24"/>
        </w:rPr>
      </w:pPr>
      <w:r w:rsidRPr="00D96E37">
        <w:rPr>
          <w:rFonts w:cs="Arial"/>
          <w:b/>
          <w:szCs w:val="24"/>
        </w:rPr>
        <w:t xml:space="preserve">Obtain consent </w:t>
      </w:r>
      <w:r w:rsidR="00E81E40">
        <w:rPr>
          <w:rFonts w:cs="Arial"/>
          <w:b/>
          <w:szCs w:val="24"/>
        </w:rPr>
        <w:t>fr</w:t>
      </w:r>
      <w:r w:rsidR="004D0FBE">
        <w:rPr>
          <w:rFonts w:cs="Arial"/>
          <w:b/>
          <w:szCs w:val="24"/>
        </w:rPr>
        <w:t>o</w:t>
      </w:r>
      <w:r w:rsidR="00E81E40">
        <w:rPr>
          <w:rFonts w:cs="Arial"/>
          <w:b/>
          <w:szCs w:val="24"/>
        </w:rPr>
        <w:t xml:space="preserve">m the patient </w:t>
      </w:r>
      <w:r w:rsidRPr="00D96E37">
        <w:rPr>
          <w:rFonts w:cs="Arial"/>
          <w:b/>
          <w:szCs w:val="24"/>
        </w:rPr>
        <w:t xml:space="preserve">with appropriate pre-test discussion and collect </w:t>
      </w:r>
      <w:r w:rsidR="004D0FBE">
        <w:rPr>
          <w:rFonts w:cs="Arial"/>
          <w:b/>
          <w:szCs w:val="24"/>
        </w:rPr>
        <w:t xml:space="preserve">the following </w:t>
      </w:r>
      <w:r w:rsidRPr="00D96E37">
        <w:rPr>
          <w:rFonts w:cs="Arial"/>
          <w:b/>
          <w:szCs w:val="24"/>
        </w:rPr>
        <w:t>baseline serology</w:t>
      </w:r>
      <w:r w:rsidR="004D0FBE">
        <w:rPr>
          <w:rFonts w:cs="Arial"/>
          <w:b/>
          <w:szCs w:val="24"/>
        </w:rPr>
        <w:t xml:space="preserve"> tests</w:t>
      </w:r>
      <w:r w:rsidRPr="00D96E37">
        <w:rPr>
          <w:rFonts w:cs="Arial"/>
          <w:b/>
          <w:szCs w:val="24"/>
        </w:rPr>
        <w:t>:</w:t>
      </w:r>
      <w:r>
        <w:rPr>
          <w:rFonts w:cs="Arial"/>
          <w:szCs w:val="24"/>
        </w:rPr>
        <w:t xml:space="preserve"> HIV, </w:t>
      </w:r>
      <w:r w:rsidR="00032AE1">
        <w:rPr>
          <w:rFonts w:cs="Arial"/>
          <w:szCs w:val="24"/>
        </w:rPr>
        <w:t>Hepatitis B Virus (</w:t>
      </w:r>
      <w:r>
        <w:rPr>
          <w:rFonts w:cs="Arial"/>
          <w:szCs w:val="24"/>
        </w:rPr>
        <w:t>HBV</w:t>
      </w:r>
      <w:r w:rsidR="00032AE1">
        <w:rPr>
          <w:rFonts w:cs="Arial"/>
          <w:szCs w:val="24"/>
        </w:rPr>
        <w:t>)</w:t>
      </w:r>
      <w:r>
        <w:rPr>
          <w:rFonts w:cs="Arial"/>
          <w:szCs w:val="24"/>
        </w:rPr>
        <w:t>,</w:t>
      </w:r>
      <w:r w:rsidR="00032AE1">
        <w:rPr>
          <w:rFonts w:cs="Arial"/>
          <w:szCs w:val="24"/>
        </w:rPr>
        <w:t xml:space="preserve"> Hepatitis C Virus</w:t>
      </w:r>
      <w:r>
        <w:rPr>
          <w:rFonts w:cs="Arial"/>
          <w:szCs w:val="24"/>
        </w:rPr>
        <w:t xml:space="preserve"> </w:t>
      </w:r>
      <w:r w:rsidR="00032AE1">
        <w:rPr>
          <w:rFonts w:cs="Arial"/>
          <w:szCs w:val="24"/>
        </w:rPr>
        <w:t>(</w:t>
      </w:r>
      <w:r>
        <w:rPr>
          <w:rFonts w:cs="Arial"/>
          <w:szCs w:val="24"/>
        </w:rPr>
        <w:t>HCV</w:t>
      </w:r>
      <w:r w:rsidR="00032AE1">
        <w:rPr>
          <w:rFonts w:cs="Arial"/>
          <w:szCs w:val="24"/>
        </w:rPr>
        <w:t>)</w:t>
      </w:r>
      <w:r>
        <w:rPr>
          <w:rFonts w:cs="Arial"/>
          <w:szCs w:val="24"/>
        </w:rPr>
        <w:t xml:space="preserve"> and syphilis, plus electrolytes, urea, creatinine (EUC), liver function tests (LFT), and pregnancy test if appropriate.</w:t>
      </w:r>
    </w:p>
    <w:p w14:paraId="2CCF2C09" w14:textId="77777777" w:rsidR="007B08E9" w:rsidRDefault="007B08E9" w:rsidP="007B08E9">
      <w:pPr>
        <w:ind w:left="426"/>
        <w:outlineLvl w:val="0"/>
        <w:rPr>
          <w:rFonts w:cs="Arial"/>
          <w:szCs w:val="24"/>
        </w:rPr>
      </w:pPr>
    </w:p>
    <w:p w14:paraId="6451B0B6" w14:textId="28AA6AC7" w:rsidR="00F96CDE" w:rsidRDefault="00F96CDE" w:rsidP="007B08E9">
      <w:pPr>
        <w:ind w:left="426"/>
        <w:outlineLvl w:val="0"/>
        <w:rPr>
          <w:rFonts w:cs="Arial"/>
          <w:szCs w:val="24"/>
        </w:rPr>
      </w:pPr>
      <w:r>
        <w:rPr>
          <w:rFonts w:cs="Arial"/>
          <w:szCs w:val="24"/>
        </w:rPr>
        <w:t>Results will be provided at Canberra Sexual Health Centre</w:t>
      </w:r>
      <w:r w:rsidR="00032AE1">
        <w:rPr>
          <w:rFonts w:cs="Arial"/>
          <w:szCs w:val="24"/>
        </w:rPr>
        <w:t xml:space="preserve"> (CSHC)</w:t>
      </w:r>
      <w:r>
        <w:rPr>
          <w:rFonts w:cs="Arial"/>
          <w:szCs w:val="24"/>
        </w:rPr>
        <w:t xml:space="preserve"> when attending PEP follow-up. </w:t>
      </w:r>
    </w:p>
    <w:p w14:paraId="2CF51AF9" w14:textId="77777777" w:rsidR="00F96CDE" w:rsidRPr="002A3321" w:rsidRDefault="00F96CDE" w:rsidP="007B08E9">
      <w:pPr>
        <w:ind w:left="426" w:hanging="426"/>
        <w:outlineLvl w:val="0"/>
        <w:rPr>
          <w:rFonts w:cs="Arial"/>
          <w:sz w:val="18"/>
          <w:szCs w:val="24"/>
        </w:rPr>
      </w:pPr>
    </w:p>
    <w:p w14:paraId="521888AA" w14:textId="61098F4B" w:rsidR="00F96CDE" w:rsidRPr="00D96E37" w:rsidRDefault="00F96CDE" w:rsidP="007B08E9">
      <w:pPr>
        <w:numPr>
          <w:ilvl w:val="0"/>
          <w:numId w:val="13"/>
        </w:numPr>
        <w:tabs>
          <w:tab w:val="clear" w:pos="720"/>
        </w:tabs>
        <w:ind w:left="426" w:hanging="426"/>
        <w:outlineLvl w:val="0"/>
        <w:rPr>
          <w:rFonts w:cs="Arial"/>
          <w:b/>
          <w:szCs w:val="24"/>
        </w:rPr>
      </w:pPr>
      <w:r w:rsidRPr="00D96E37">
        <w:rPr>
          <w:rFonts w:cs="Arial"/>
          <w:b/>
          <w:szCs w:val="24"/>
        </w:rPr>
        <w:t>Provide PEP sta</w:t>
      </w:r>
      <w:r>
        <w:rPr>
          <w:rFonts w:cs="Arial"/>
          <w:b/>
          <w:szCs w:val="24"/>
        </w:rPr>
        <w:t>rter pack and go through PEP medication consumer</w:t>
      </w:r>
      <w:r w:rsidRPr="00D96E37">
        <w:rPr>
          <w:rFonts w:cs="Arial"/>
          <w:b/>
          <w:szCs w:val="24"/>
        </w:rPr>
        <w:t xml:space="preserve"> </w:t>
      </w:r>
      <w:r>
        <w:rPr>
          <w:rFonts w:cs="Arial"/>
          <w:b/>
          <w:szCs w:val="24"/>
        </w:rPr>
        <w:t>handout.</w:t>
      </w:r>
      <w:r w:rsidRPr="003F58E3">
        <w:rPr>
          <w:rFonts w:cs="Arial"/>
          <w:szCs w:val="24"/>
        </w:rPr>
        <w:t xml:space="preserve"> </w:t>
      </w:r>
      <w:r>
        <w:rPr>
          <w:rFonts w:cs="Arial"/>
          <w:szCs w:val="24"/>
        </w:rPr>
        <w:t xml:space="preserve">Inform patient/caregiver that they will be required to attend CSHC within </w:t>
      </w:r>
      <w:r w:rsidR="00EE11DA">
        <w:rPr>
          <w:rFonts w:cs="Arial"/>
          <w:szCs w:val="24"/>
        </w:rPr>
        <w:t xml:space="preserve">7 </w:t>
      </w:r>
      <w:r>
        <w:rPr>
          <w:rFonts w:cs="Arial"/>
          <w:szCs w:val="24"/>
        </w:rPr>
        <w:t>days to receive follow-up and the remainder of their medication.</w:t>
      </w:r>
    </w:p>
    <w:p w14:paraId="123FC32B" w14:textId="77777777" w:rsidR="00F96CDE" w:rsidRPr="002A3321" w:rsidRDefault="00F96CDE" w:rsidP="00F96CDE">
      <w:pPr>
        <w:outlineLvl w:val="0"/>
        <w:rPr>
          <w:rFonts w:cs="Arial"/>
          <w:sz w:val="18"/>
          <w:szCs w:val="24"/>
        </w:rPr>
      </w:pPr>
    </w:p>
    <w:p w14:paraId="332F0131" w14:textId="77777777" w:rsidR="00F96CDE" w:rsidRPr="009A70A9" w:rsidRDefault="00F96CDE" w:rsidP="007B08E9">
      <w:pPr>
        <w:pStyle w:val="ListParagraph"/>
        <w:numPr>
          <w:ilvl w:val="0"/>
          <w:numId w:val="13"/>
        </w:numPr>
        <w:tabs>
          <w:tab w:val="clear" w:pos="720"/>
        </w:tabs>
        <w:ind w:left="426" w:hanging="426"/>
        <w:outlineLvl w:val="0"/>
        <w:rPr>
          <w:rFonts w:cs="Arial"/>
          <w:b/>
          <w:szCs w:val="24"/>
        </w:rPr>
      </w:pPr>
      <w:r w:rsidRPr="009A70A9">
        <w:rPr>
          <w:rFonts w:cs="Arial"/>
          <w:b/>
          <w:szCs w:val="24"/>
        </w:rPr>
        <w:t>Other medical care:</w:t>
      </w:r>
    </w:p>
    <w:p w14:paraId="2D4D93F6" w14:textId="6AE5A291" w:rsidR="00F96CDE" w:rsidRPr="00E24C6C" w:rsidRDefault="00F96CDE" w:rsidP="007B08E9">
      <w:pPr>
        <w:pStyle w:val="ListParagraph"/>
        <w:numPr>
          <w:ilvl w:val="0"/>
          <w:numId w:val="18"/>
        </w:numPr>
        <w:ind w:left="851" w:hanging="425"/>
      </w:pPr>
      <w:r w:rsidRPr="00E24C6C">
        <w:t>Consider need for Hepatitis B prophylaxis</w:t>
      </w:r>
      <w:r w:rsidR="00F42C62">
        <w:t xml:space="preserve"> vaccination</w:t>
      </w:r>
      <w:r>
        <w:t xml:space="preserve"> as per Australian Immunisation Handbook</w:t>
      </w:r>
    </w:p>
    <w:p w14:paraId="14321212" w14:textId="30BDB500" w:rsidR="00F96CDE" w:rsidRPr="00E24C6C" w:rsidRDefault="00F96CDE" w:rsidP="007B08E9">
      <w:pPr>
        <w:pStyle w:val="ListParagraph"/>
        <w:numPr>
          <w:ilvl w:val="0"/>
          <w:numId w:val="18"/>
        </w:numPr>
        <w:ind w:left="851" w:hanging="425"/>
      </w:pPr>
      <w:r w:rsidRPr="00E24C6C">
        <w:t xml:space="preserve">If </w:t>
      </w:r>
      <w:r w:rsidR="00F42C62">
        <w:t xml:space="preserve">the patient has any </w:t>
      </w:r>
      <w:r w:rsidRPr="00E24C6C">
        <w:t>contaminated wounds or abrasions, assess need for tetanus vaccination</w:t>
      </w:r>
      <w:r w:rsidRPr="009A70A9">
        <w:t xml:space="preserve"> </w:t>
      </w:r>
      <w:r>
        <w:t>as per Australian Immunisation Handbook.</w:t>
      </w:r>
    </w:p>
    <w:p w14:paraId="2F51A892" w14:textId="2E2579CA" w:rsidR="007B6904" w:rsidRDefault="007B6904" w:rsidP="007B6904">
      <w:pPr>
        <w:rPr>
          <w:rFonts w:cs="Arial"/>
          <w:i/>
          <w:szCs w:val="24"/>
        </w:rPr>
      </w:pPr>
    </w:p>
    <w:p w14:paraId="2F51A8AC" w14:textId="68494581" w:rsidR="007B6904" w:rsidRPr="00A11DFC" w:rsidRDefault="00ED4806" w:rsidP="00A11DFC">
      <w:pPr>
        <w:jc w:val="right"/>
        <w:rPr>
          <w:rFonts w:cs="Arial"/>
          <w:i/>
          <w:szCs w:val="24"/>
        </w:rPr>
      </w:pPr>
      <w:hyperlink w:anchor="Contents" w:history="1">
        <w:r w:rsidR="007B6904" w:rsidRPr="00590902">
          <w:rPr>
            <w:rStyle w:val="Hyperlink"/>
            <w:rFonts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6CDE" w:rsidRPr="00CD1C0E" w14:paraId="5F03A3D7" w14:textId="77777777" w:rsidTr="007B08E9">
        <w:trPr>
          <w:cantSplit/>
          <w:trHeight w:val="285"/>
        </w:trPr>
        <w:tc>
          <w:tcPr>
            <w:tcW w:w="9158" w:type="dxa"/>
            <w:shd w:val="clear" w:color="auto" w:fill="A6A6A6" w:themeFill="background1" w:themeFillShade="A6"/>
          </w:tcPr>
          <w:p w14:paraId="6A9B3315" w14:textId="77777777" w:rsidR="00F96CDE" w:rsidRPr="00CD1C0E" w:rsidRDefault="00F96CDE" w:rsidP="007B6B0B">
            <w:pPr>
              <w:pStyle w:val="Heading1"/>
              <w:tabs>
                <w:tab w:val="left" w:pos="1953"/>
              </w:tabs>
            </w:pPr>
            <w:bookmarkStart w:id="16" w:name="_Toc75877703"/>
            <w:bookmarkStart w:id="17" w:name="_Toc75935997"/>
            <w:bookmarkStart w:id="18" w:name="_Hlk43366294"/>
            <w:bookmarkStart w:id="19" w:name="_Toc80365936"/>
            <w:r>
              <w:t>Evaluation</w:t>
            </w:r>
            <w:bookmarkEnd w:id="16"/>
            <w:bookmarkEnd w:id="17"/>
            <w:bookmarkEnd w:id="19"/>
            <w:r>
              <w:t xml:space="preserve"> </w:t>
            </w:r>
            <w:r>
              <w:tab/>
            </w:r>
          </w:p>
        </w:tc>
      </w:tr>
    </w:tbl>
    <w:p w14:paraId="0BD6EED2" w14:textId="77777777" w:rsidR="007B08E9" w:rsidRDefault="007B08E9" w:rsidP="007B08E9">
      <w:pPr>
        <w:widowControl w:val="0"/>
        <w:rPr>
          <w:rFonts w:eastAsia="Calibri" w:cstheme="minorBidi"/>
          <w:b/>
          <w:bCs/>
          <w:szCs w:val="24"/>
          <w:lang w:val="en-US"/>
        </w:rPr>
      </w:pPr>
    </w:p>
    <w:p w14:paraId="6F0145A7" w14:textId="2834C785" w:rsidR="00FE0F79" w:rsidRPr="00FE0F79" w:rsidRDefault="00DF57C7" w:rsidP="007B08E9">
      <w:pPr>
        <w:widowControl w:val="0"/>
        <w:rPr>
          <w:rFonts w:eastAsia="Calibri" w:cstheme="minorBidi"/>
          <w:b/>
          <w:bCs/>
          <w:szCs w:val="24"/>
          <w:lang w:val="en-US"/>
        </w:rPr>
      </w:pPr>
      <w:r w:rsidRPr="00FE0F79">
        <w:rPr>
          <w:rFonts w:eastAsia="Calibri" w:cstheme="minorBidi"/>
          <w:b/>
          <w:bCs/>
          <w:szCs w:val="24"/>
          <w:lang w:val="en-US"/>
        </w:rPr>
        <w:t xml:space="preserve">Outcome:  </w:t>
      </w:r>
    </w:p>
    <w:p w14:paraId="57472109" w14:textId="2C68BF13" w:rsidR="00DF57C7" w:rsidRPr="006B0FCB" w:rsidRDefault="00DF57C7" w:rsidP="007B08E9">
      <w:pPr>
        <w:widowControl w:val="0"/>
        <w:rPr>
          <w:rFonts w:eastAsia="Calibri" w:cstheme="minorBidi"/>
          <w:szCs w:val="24"/>
          <w:lang w:val="en-US"/>
        </w:rPr>
      </w:pPr>
      <w:r>
        <w:rPr>
          <w:rFonts w:eastAsia="Calibri" w:cstheme="minorBidi"/>
          <w:szCs w:val="24"/>
          <w:lang w:val="en-US"/>
        </w:rPr>
        <w:t>Pati</w:t>
      </w:r>
      <w:r w:rsidR="00FE0F79">
        <w:rPr>
          <w:rFonts w:eastAsia="Calibri" w:cstheme="minorBidi"/>
          <w:szCs w:val="24"/>
          <w:lang w:val="en-US"/>
        </w:rPr>
        <w:t>e</w:t>
      </w:r>
      <w:r>
        <w:rPr>
          <w:rFonts w:eastAsia="Calibri" w:cstheme="minorBidi"/>
          <w:szCs w:val="24"/>
          <w:lang w:val="en-US"/>
        </w:rPr>
        <w:t>nt’s presenting to CHS ED with suspected HIV exposure within 72hours will be managed as per this procedure.</w:t>
      </w:r>
    </w:p>
    <w:p w14:paraId="29B14892" w14:textId="48F9F0F6" w:rsidR="00F96CDE" w:rsidRDefault="00F96CDE" w:rsidP="007B08E9">
      <w:pPr>
        <w:pStyle w:val="Default"/>
        <w:rPr>
          <w:rFonts w:ascii="Calibri" w:hAnsi="Calibri"/>
        </w:rPr>
      </w:pPr>
    </w:p>
    <w:p w14:paraId="379DF272" w14:textId="139C2083" w:rsidR="00DF57C7" w:rsidRPr="00FE0F79" w:rsidRDefault="00DF57C7" w:rsidP="007B08E9">
      <w:pPr>
        <w:pStyle w:val="Default"/>
        <w:rPr>
          <w:rFonts w:ascii="Calibri" w:hAnsi="Calibri"/>
          <w:b/>
          <w:bCs/>
        </w:rPr>
      </w:pPr>
      <w:r w:rsidRPr="00FE0F79">
        <w:rPr>
          <w:rFonts w:ascii="Calibri" w:hAnsi="Calibri"/>
          <w:b/>
          <w:bCs/>
        </w:rPr>
        <w:t>Measures:</w:t>
      </w:r>
    </w:p>
    <w:p w14:paraId="3B4E4216" w14:textId="270BC604" w:rsidR="00DF57C7" w:rsidRDefault="00780A10" w:rsidP="007B08E9">
      <w:pPr>
        <w:pStyle w:val="ListBullet"/>
        <w:tabs>
          <w:tab w:val="clear" w:pos="1080"/>
          <w:tab w:val="num" w:pos="-360"/>
        </w:tabs>
        <w:ind w:left="426" w:hanging="426"/>
      </w:pPr>
      <w:r>
        <w:t xml:space="preserve">Review of </w:t>
      </w:r>
      <w:r w:rsidR="00310E83">
        <w:t>10 pati</w:t>
      </w:r>
      <w:r w:rsidR="00F90EB6">
        <w:t>e</w:t>
      </w:r>
      <w:r w:rsidR="00310E83">
        <w:t>nt clinical records of patient’s presenting for HIV PEP when this procedure is reviewed.</w:t>
      </w:r>
    </w:p>
    <w:p w14:paraId="01E1F6A5" w14:textId="49770F13" w:rsidR="009633F9" w:rsidRDefault="00310E83" w:rsidP="007B08E9">
      <w:pPr>
        <w:pStyle w:val="ListBullet"/>
        <w:tabs>
          <w:tab w:val="clear" w:pos="1080"/>
          <w:tab w:val="num" w:pos="-360"/>
        </w:tabs>
        <w:ind w:left="426" w:hanging="426"/>
      </w:pPr>
      <w:r>
        <w:t xml:space="preserve">Review of consumer feedback </w:t>
      </w:r>
      <w:r w:rsidR="009633F9">
        <w:t>related to HIV PEP</w:t>
      </w:r>
      <w:r w:rsidR="00FE0F79">
        <w:t>.</w:t>
      </w:r>
    </w:p>
    <w:bookmarkEnd w:id="18"/>
    <w:p w14:paraId="03A379CD" w14:textId="4F9495ED" w:rsidR="00FE0F79" w:rsidRPr="007B08E9" w:rsidRDefault="00ED4806" w:rsidP="007B08E9">
      <w:pPr>
        <w:spacing w:before="240"/>
        <w:jc w:val="right"/>
        <w:rPr>
          <w:rFonts w:eastAsiaTheme="majorEastAsia" w:cs="Arial"/>
          <w:i/>
          <w:color w:val="0000FF"/>
          <w:szCs w:val="24"/>
          <w:u w:val="single"/>
        </w:rPr>
      </w:pPr>
      <w:r>
        <w:fldChar w:fldCharType="begin"/>
      </w:r>
      <w:r>
        <w:instrText xml:space="preserve"> HYPERLINK \l "Contents" </w:instrText>
      </w:r>
      <w:r>
        <w:fldChar w:fldCharType="separate"/>
      </w:r>
      <w:r w:rsidR="00F9158A" w:rsidRPr="00C91F3F">
        <w:rPr>
          <w:rStyle w:val="Hyperlink"/>
          <w:rFonts w:eastAsiaTheme="majorEastAsia" w:cs="Arial"/>
          <w:i/>
          <w:szCs w:val="24"/>
        </w:rPr>
        <w:t>Back to Table of Contents</w:t>
      </w:r>
      <w:r>
        <w:rPr>
          <w:rStyle w:val="Hyperlink"/>
          <w:rFonts w:eastAsiaTheme="majorEastAsia"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0" w:name="_Toc389473287"/>
            <w:bookmarkStart w:id="21" w:name="_Toc80365937"/>
            <w:r>
              <w:lastRenderedPageBreak/>
              <w:t xml:space="preserve">Related Policies, </w:t>
            </w:r>
            <w:r w:rsidR="007B6904">
              <w:t>Procedures</w:t>
            </w:r>
            <w:bookmarkEnd w:id="20"/>
            <w:r>
              <w:t>, Guidelines and Legislation</w:t>
            </w:r>
            <w:bookmarkEnd w:id="21"/>
          </w:p>
        </w:tc>
      </w:tr>
    </w:tbl>
    <w:p w14:paraId="5D0745AE" w14:textId="77777777" w:rsidR="00F96CDE" w:rsidRPr="004B3FC0" w:rsidRDefault="00F96CDE" w:rsidP="00F96CDE">
      <w:pPr>
        <w:jc w:val="both"/>
        <w:rPr>
          <w:rFonts w:cs="Arial"/>
          <w:sz w:val="16"/>
          <w:szCs w:val="24"/>
        </w:rPr>
      </w:pPr>
    </w:p>
    <w:p w14:paraId="125A9BF1" w14:textId="77777777" w:rsidR="00FE0F79" w:rsidRDefault="00F96CDE" w:rsidP="00F96CDE">
      <w:pPr>
        <w:jc w:val="both"/>
        <w:rPr>
          <w:rFonts w:cs="Arial"/>
          <w:b/>
          <w:szCs w:val="24"/>
        </w:rPr>
      </w:pPr>
      <w:r w:rsidRPr="00A165A1">
        <w:rPr>
          <w:rFonts w:cs="Arial"/>
          <w:b/>
          <w:szCs w:val="24"/>
        </w:rPr>
        <w:t>Policies</w:t>
      </w:r>
      <w:r>
        <w:rPr>
          <w:rFonts w:cs="Arial"/>
          <w:b/>
          <w:szCs w:val="24"/>
        </w:rPr>
        <w:t xml:space="preserve"> </w:t>
      </w:r>
    </w:p>
    <w:p w14:paraId="1F213D18" w14:textId="6BA0C1E5" w:rsidR="00FE0F79" w:rsidRPr="007B08E9" w:rsidRDefault="00FE0F79" w:rsidP="007B08E9">
      <w:pPr>
        <w:pStyle w:val="ListBullet"/>
        <w:tabs>
          <w:tab w:val="clear" w:pos="1080"/>
          <w:tab w:val="num" w:pos="-360"/>
        </w:tabs>
        <w:ind w:left="426" w:hanging="426"/>
      </w:pPr>
      <w:r w:rsidRPr="007B08E9">
        <w:t xml:space="preserve">Commencement of Clinical Care </w:t>
      </w:r>
    </w:p>
    <w:p w14:paraId="59318A79" w14:textId="615E3D77" w:rsidR="00FE0F79" w:rsidRPr="007B08E9" w:rsidRDefault="00FE0F79" w:rsidP="007B08E9">
      <w:pPr>
        <w:pStyle w:val="ListBullet"/>
        <w:tabs>
          <w:tab w:val="clear" w:pos="1080"/>
          <w:tab w:val="num" w:pos="-360"/>
        </w:tabs>
        <w:ind w:left="426" w:hanging="426"/>
      </w:pPr>
      <w:r w:rsidRPr="007B08E9">
        <w:t xml:space="preserve">Nursing and Midwifery Continuing Competence </w:t>
      </w:r>
    </w:p>
    <w:p w14:paraId="2F878584" w14:textId="286BF748" w:rsidR="00FE0F79" w:rsidRPr="007B08E9" w:rsidRDefault="00FE0F79" w:rsidP="007B08E9">
      <w:pPr>
        <w:pStyle w:val="ListBullet"/>
        <w:tabs>
          <w:tab w:val="clear" w:pos="1080"/>
          <w:tab w:val="num" w:pos="-360"/>
        </w:tabs>
        <w:ind w:left="426" w:hanging="426"/>
      </w:pPr>
      <w:r>
        <w:t xml:space="preserve">Informed </w:t>
      </w:r>
      <w:r w:rsidRPr="00F8751F">
        <w:t xml:space="preserve">Consent </w:t>
      </w:r>
      <w:r>
        <w:t>(Clinical)</w:t>
      </w:r>
      <w:r w:rsidRPr="00F8751F">
        <w:t xml:space="preserve"> </w:t>
      </w:r>
    </w:p>
    <w:p w14:paraId="3261CCD6" w14:textId="69E170BB" w:rsidR="00FE0F79" w:rsidRPr="007B08E9" w:rsidRDefault="00FE0F79" w:rsidP="007B08E9">
      <w:pPr>
        <w:pStyle w:val="ListBullet"/>
        <w:tabs>
          <w:tab w:val="clear" w:pos="1080"/>
          <w:tab w:val="num" w:pos="-360"/>
        </w:tabs>
        <w:ind w:left="426" w:hanging="426"/>
      </w:pPr>
      <w:r w:rsidRPr="007B08E9">
        <w:t>Med</w:t>
      </w:r>
      <w:r w:rsidR="000D1C7F" w:rsidRPr="007B08E9">
        <w:t>i</w:t>
      </w:r>
      <w:r w:rsidRPr="007B08E9">
        <w:t xml:space="preserve">cation Handling </w:t>
      </w:r>
    </w:p>
    <w:p w14:paraId="3624BC1F" w14:textId="77777777" w:rsidR="00FE0F79" w:rsidRDefault="00FE0F79" w:rsidP="00FE0F79">
      <w:pPr>
        <w:pStyle w:val="ListBullet"/>
        <w:numPr>
          <w:ilvl w:val="0"/>
          <w:numId w:val="0"/>
        </w:numPr>
        <w:ind w:left="426"/>
        <w:rPr>
          <w:rFonts w:cs="Arial"/>
          <w:b/>
          <w:szCs w:val="24"/>
        </w:rPr>
      </w:pPr>
    </w:p>
    <w:p w14:paraId="7B0910C7" w14:textId="2CB44B7F" w:rsidR="00F96CDE" w:rsidRPr="00A165A1" w:rsidRDefault="00FE0F79" w:rsidP="00F96CDE">
      <w:pPr>
        <w:jc w:val="both"/>
        <w:rPr>
          <w:rFonts w:cs="Arial"/>
          <w:b/>
          <w:szCs w:val="24"/>
        </w:rPr>
      </w:pPr>
      <w:r>
        <w:rPr>
          <w:rFonts w:cs="Arial"/>
          <w:b/>
          <w:szCs w:val="24"/>
        </w:rPr>
        <w:t>P</w:t>
      </w:r>
      <w:r w:rsidR="00F96CDE">
        <w:rPr>
          <w:rFonts w:cs="Arial"/>
          <w:b/>
          <w:szCs w:val="24"/>
        </w:rPr>
        <w:t>rocedures</w:t>
      </w:r>
    </w:p>
    <w:p w14:paraId="25D5AA11" w14:textId="7E19E3E9" w:rsidR="00F96CDE" w:rsidRPr="007B08E9" w:rsidRDefault="00D50A58" w:rsidP="007B08E9">
      <w:pPr>
        <w:pStyle w:val="ListBullet"/>
        <w:tabs>
          <w:tab w:val="clear" w:pos="1080"/>
          <w:tab w:val="num" w:pos="-360"/>
        </w:tabs>
        <w:ind w:left="426" w:hanging="426"/>
      </w:pPr>
      <w:r w:rsidRPr="007B08E9">
        <w:t xml:space="preserve">Infection Prevention and Control - </w:t>
      </w:r>
      <w:r w:rsidR="00F96CDE" w:rsidRPr="007B08E9">
        <w:t xml:space="preserve">Healthcare Associated Infections </w:t>
      </w:r>
    </w:p>
    <w:p w14:paraId="10EA06C0" w14:textId="248C6574" w:rsidR="00F96CDE" w:rsidRPr="007B08E9" w:rsidRDefault="00F96CDE" w:rsidP="007B08E9">
      <w:pPr>
        <w:pStyle w:val="ListBullet"/>
        <w:tabs>
          <w:tab w:val="clear" w:pos="1080"/>
          <w:tab w:val="num" w:pos="-360"/>
        </w:tabs>
        <w:ind w:left="426" w:hanging="426"/>
      </w:pPr>
      <w:r w:rsidRPr="007B08E9">
        <w:t>Patient Identification and Pathology Specimen Labelling</w:t>
      </w:r>
    </w:p>
    <w:p w14:paraId="0925EE01" w14:textId="3340B6D3" w:rsidR="00F96CDE" w:rsidRPr="007B08E9" w:rsidRDefault="00F96CDE" w:rsidP="007B08E9">
      <w:pPr>
        <w:pStyle w:val="ListBullet"/>
        <w:tabs>
          <w:tab w:val="clear" w:pos="1080"/>
          <w:tab w:val="num" w:pos="-360"/>
        </w:tabs>
        <w:ind w:left="426" w:hanging="426"/>
      </w:pPr>
      <w:r w:rsidRPr="007B08E9">
        <w:t>Patient Identification and Procedure Matching</w:t>
      </w:r>
    </w:p>
    <w:p w14:paraId="6C4A0EDA" w14:textId="762A0D52" w:rsidR="00D50A58" w:rsidRPr="007B08E9" w:rsidRDefault="00D50A58" w:rsidP="007B08E9">
      <w:pPr>
        <w:pStyle w:val="ListBullet"/>
        <w:tabs>
          <w:tab w:val="clear" w:pos="1080"/>
          <w:tab w:val="num" w:pos="-360"/>
        </w:tabs>
        <w:ind w:left="426" w:hanging="426"/>
      </w:pPr>
      <w:r w:rsidRPr="007B08E9">
        <w:t xml:space="preserve">Canberra Sexual Health Centre </w:t>
      </w:r>
    </w:p>
    <w:p w14:paraId="50A5FA52" w14:textId="59BDA215" w:rsidR="00D50A58" w:rsidRPr="007B08E9" w:rsidRDefault="004D77D7" w:rsidP="007B08E9">
      <w:pPr>
        <w:pStyle w:val="ListBullet"/>
        <w:tabs>
          <w:tab w:val="clear" w:pos="1080"/>
          <w:tab w:val="num" w:pos="-360"/>
        </w:tabs>
        <w:ind w:left="426" w:hanging="426"/>
      </w:pPr>
      <w:r w:rsidRPr="007B08E9">
        <w:t xml:space="preserve">Venepuncture </w:t>
      </w:r>
      <w:r w:rsidR="002350E9" w:rsidRPr="007B08E9">
        <w:t>Blood Specimen Collection</w:t>
      </w:r>
    </w:p>
    <w:p w14:paraId="07D407F6" w14:textId="726A4AA7" w:rsidR="008A5783" w:rsidRPr="007B08E9" w:rsidRDefault="008A5783" w:rsidP="007B08E9">
      <w:pPr>
        <w:pStyle w:val="ListBullet"/>
        <w:tabs>
          <w:tab w:val="clear" w:pos="1080"/>
          <w:tab w:val="num" w:pos="-360"/>
        </w:tabs>
        <w:ind w:left="426" w:hanging="426"/>
      </w:pPr>
      <w:r w:rsidRPr="007B08E9">
        <w:t>Pathology Specimen Handling</w:t>
      </w:r>
    </w:p>
    <w:p w14:paraId="6FC149D8" w14:textId="50C70BD3" w:rsidR="00D6449D" w:rsidRPr="007B08E9" w:rsidRDefault="00D6449D" w:rsidP="007B08E9">
      <w:pPr>
        <w:pStyle w:val="ListBullet"/>
        <w:tabs>
          <w:tab w:val="clear" w:pos="1080"/>
          <w:tab w:val="num" w:pos="-360"/>
        </w:tabs>
        <w:ind w:left="426" w:hanging="426"/>
      </w:pPr>
      <w:r w:rsidRPr="007B08E9">
        <w:t xml:space="preserve">Australian Sexually </w:t>
      </w:r>
      <w:proofErr w:type="spellStart"/>
      <w:r w:rsidRPr="007B08E9">
        <w:t>Trasmitted</w:t>
      </w:r>
      <w:proofErr w:type="spellEnd"/>
      <w:r w:rsidRPr="007B08E9">
        <w:t xml:space="preserve"> Infections </w:t>
      </w:r>
      <w:r w:rsidR="00B62A6F" w:rsidRPr="007B08E9">
        <w:t xml:space="preserve">Management </w:t>
      </w:r>
      <w:r w:rsidRPr="007B08E9">
        <w:t>Guidelines</w:t>
      </w:r>
    </w:p>
    <w:p w14:paraId="7F1D7CBC" w14:textId="3C979ED9" w:rsidR="00B62A6F" w:rsidRPr="007B08E9" w:rsidRDefault="00B62A6F" w:rsidP="007B08E9">
      <w:pPr>
        <w:pStyle w:val="ListBullet"/>
        <w:tabs>
          <w:tab w:val="clear" w:pos="1080"/>
          <w:tab w:val="num" w:pos="-360"/>
        </w:tabs>
        <w:ind w:left="426" w:hanging="426"/>
      </w:pPr>
      <w:r w:rsidRPr="007B08E9">
        <w:t xml:space="preserve">Management of People with Human Immunodeficiency Virus (HIV) who place others at risk </w:t>
      </w:r>
    </w:p>
    <w:p w14:paraId="35CE6480" w14:textId="3D9C7E12" w:rsidR="00191F02" w:rsidRPr="007B08E9" w:rsidRDefault="00191F02" w:rsidP="007B08E9">
      <w:pPr>
        <w:pStyle w:val="ListBullet"/>
        <w:tabs>
          <w:tab w:val="clear" w:pos="1080"/>
          <w:tab w:val="num" w:pos="-360"/>
        </w:tabs>
        <w:ind w:left="426" w:hanging="426"/>
      </w:pPr>
      <w:r w:rsidRPr="007B08E9">
        <w:t xml:space="preserve">Blood Borne Virus (BBV) Testing in Adults  </w:t>
      </w:r>
    </w:p>
    <w:p w14:paraId="5B708E67" w14:textId="001348C7" w:rsidR="008821E4" w:rsidRPr="007B08E9" w:rsidRDefault="008821E4" w:rsidP="007B08E9">
      <w:pPr>
        <w:pStyle w:val="ListBullet"/>
        <w:tabs>
          <w:tab w:val="clear" w:pos="1080"/>
          <w:tab w:val="num" w:pos="-360"/>
        </w:tabs>
        <w:ind w:left="426" w:hanging="426"/>
      </w:pPr>
      <w:r w:rsidRPr="007B08E9">
        <w:t>Australian Immunisation Handbook</w:t>
      </w:r>
    </w:p>
    <w:p w14:paraId="18973C43" w14:textId="77777777" w:rsidR="00F96CDE" w:rsidRDefault="00F96CDE" w:rsidP="00F96CDE">
      <w:pPr>
        <w:jc w:val="both"/>
        <w:rPr>
          <w:rFonts w:cs="Arial"/>
          <w:b/>
          <w:szCs w:val="24"/>
        </w:rPr>
      </w:pPr>
    </w:p>
    <w:p w14:paraId="7CEF9F3E" w14:textId="77777777" w:rsidR="00F96CDE" w:rsidRPr="00A165A1" w:rsidRDefault="00F96CDE" w:rsidP="00F96CDE">
      <w:pPr>
        <w:jc w:val="both"/>
        <w:rPr>
          <w:rFonts w:cs="Arial"/>
          <w:b/>
          <w:szCs w:val="24"/>
        </w:rPr>
      </w:pPr>
      <w:r>
        <w:rPr>
          <w:rFonts w:cs="Arial"/>
          <w:b/>
          <w:szCs w:val="24"/>
        </w:rPr>
        <w:t>Consumer Handouts</w:t>
      </w:r>
      <w:r w:rsidRPr="00A165A1">
        <w:rPr>
          <w:rFonts w:cs="Arial"/>
          <w:b/>
          <w:szCs w:val="24"/>
        </w:rPr>
        <w:t xml:space="preserve">  </w:t>
      </w:r>
    </w:p>
    <w:p w14:paraId="0FBD039D" w14:textId="287B75B5" w:rsidR="00F96CDE" w:rsidRPr="007B08E9" w:rsidRDefault="00F96CDE" w:rsidP="007B08E9">
      <w:pPr>
        <w:pStyle w:val="ListBullet"/>
        <w:tabs>
          <w:tab w:val="clear" w:pos="1080"/>
          <w:tab w:val="num" w:pos="-360"/>
        </w:tabs>
        <w:ind w:left="426" w:hanging="426"/>
      </w:pPr>
      <w:r w:rsidRPr="007B08E9">
        <w:t xml:space="preserve">HIV Post-exposure Prophylaxis (PEP) Medication </w:t>
      </w:r>
    </w:p>
    <w:p w14:paraId="49D9387E" w14:textId="235F74D3" w:rsidR="003D1E32" w:rsidRPr="007B08E9" w:rsidRDefault="003D1E32" w:rsidP="007B08E9">
      <w:pPr>
        <w:pStyle w:val="ListBullet"/>
        <w:tabs>
          <w:tab w:val="clear" w:pos="1080"/>
          <w:tab w:val="num" w:pos="-360"/>
        </w:tabs>
        <w:ind w:left="426" w:hanging="426"/>
      </w:pPr>
      <w:r>
        <w:t xml:space="preserve">HIV Post-Exposure Prophylaxis (PEP) </w:t>
      </w:r>
    </w:p>
    <w:p w14:paraId="00DB3B4B" w14:textId="0F0973CE" w:rsidR="008C4EF2" w:rsidRPr="007B08E9" w:rsidRDefault="008C4EF2" w:rsidP="007B08E9">
      <w:pPr>
        <w:pStyle w:val="ListBullet"/>
        <w:tabs>
          <w:tab w:val="clear" w:pos="1080"/>
          <w:tab w:val="num" w:pos="-360"/>
        </w:tabs>
        <w:ind w:left="426" w:hanging="426"/>
      </w:pPr>
      <w:r>
        <w:t>HIV and AIDS</w:t>
      </w:r>
    </w:p>
    <w:p w14:paraId="7C431F6E" w14:textId="77777777" w:rsidR="00FE0F79" w:rsidRDefault="00FE0F79" w:rsidP="00FE0F79">
      <w:pPr>
        <w:jc w:val="both"/>
        <w:rPr>
          <w:rFonts w:cs="Arial"/>
          <w:b/>
          <w:szCs w:val="24"/>
        </w:rPr>
      </w:pPr>
    </w:p>
    <w:p w14:paraId="4C3A6F88" w14:textId="23151E96" w:rsidR="00FE0F79" w:rsidRPr="00A165A1" w:rsidRDefault="00FE0F79" w:rsidP="00FE0F79">
      <w:pPr>
        <w:jc w:val="both"/>
        <w:rPr>
          <w:rFonts w:cs="Arial"/>
          <w:b/>
          <w:szCs w:val="24"/>
        </w:rPr>
      </w:pPr>
      <w:r w:rsidRPr="00A165A1">
        <w:rPr>
          <w:rFonts w:cs="Arial"/>
          <w:b/>
          <w:szCs w:val="24"/>
        </w:rPr>
        <w:t>Legislation</w:t>
      </w:r>
    </w:p>
    <w:p w14:paraId="78D58BEB" w14:textId="77777777" w:rsidR="00FE0F79" w:rsidRPr="007B08E9" w:rsidRDefault="00FE0F79" w:rsidP="007B08E9">
      <w:pPr>
        <w:pStyle w:val="ListBullet"/>
        <w:tabs>
          <w:tab w:val="clear" w:pos="1080"/>
          <w:tab w:val="num" w:pos="-360"/>
        </w:tabs>
        <w:ind w:left="426" w:hanging="426"/>
      </w:pPr>
      <w:r w:rsidRPr="007B08E9">
        <w:t>Health Records (Privacy and Access) Act 1997</w:t>
      </w:r>
    </w:p>
    <w:p w14:paraId="3365BC92" w14:textId="77777777" w:rsidR="00FE0F79" w:rsidRPr="007B08E9" w:rsidRDefault="00FE0F79" w:rsidP="007B08E9">
      <w:pPr>
        <w:pStyle w:val="ListBullet"/>
        <w:tabs>
          <w:tab w:val="clear" w:pos="1080"/>
          <w:tab w:val="num" w:pos="-360"/>
        </w:tabs>
        <w:ind w:left="426" w:hanging="426"/>
      </w:pPr>
      <w:r w:rsidRPr="007B08E9">
        <w:t>Medicines, Poisons and Therapeutic Goods Act 2008</w:t>
      </w:r>
    </w:p>
    <w:p w14:paraId="60FFECCD" w14:textId="77777777" w:rsidR="00FE0F79" w:rsidRPr="007B08E9" w:rsidRDefault="00FE0F79" w:rsidP="007B08E9">
      <w:pPr>
        <w:pStyle w:val="ListBullet"/>
        <w:tabs>
          <w:tab w:val="clear" w:pos="1080"/>
          <w:tab w:val="num" w:pos="-360"/>
        </w:tabs>
        <w:ind w:left="426" w:hanging="426"/>
      </w:pPr>
      <w:r w:rsidRPr="007B08E9">
        <w:t>Australian Charter of Healthcare Rights</w:t>
      </w:r>
    </w:p>
    <w:p w14:paraId="552C646A" w14:textId="3DE82035" w:rsidR="00FE0F79" w:rsidRPr="007B08E9" w:rsidRDefault="00FE0F79" w:rsidP="007B08E9">
      <w:pPr>
        <w:pStyle w:val="ListBullet"/>
        <w:tabs>
          <w:tab w:val="clear" w:pos="1080"/>
          <w:tab w:val="num" w:pos="-360"/>
        </w:tabs>
        <w:ind w:left="426" w:hanging="426"/>
      </w:pPr>
      <w:r w:rsidRPr="007B08E9">
        <w:t>Work Health and Safety Act 201</w:t>
      </w:r>
      <w:r w:rsidR="00387D4F" w:rsidRPr="007B08E9">
        <w:t>1</w:t>
      </w:r>
    </w:p>
    <w:p w14:paraId="0D285870" w14:textId="0C00C394" w:rsidR="00032AE1" w:rsidRPr="007B08E9" w:rsidRDefault="00032AE1" w:rsidP="007B08E9">
      <w:pPr>
        <w:pStyle w:val="ListBullet"/>
        <w:tabs>
          <w:tab w:val="clear" w:pos="1080"/>
          <w:tab w:val="num" w:pos="-360"/>
        </w:tabs>
        <w:ind w:left="426" w:hanging="426"/>
      </w:pPr>
      <w:r w:rsidRPr="007B08E9">
        <w:t>Human Rights Act 2004</w:t>
      </w:r>
    </w:p>
    <w:p w14:paraId="2F51A8C9" w14:textId="77777777" w:rsidR="007B6904" w:rsidRPr="00FF56DD" w:rsidRDefault="007B6904" w:rsidP="00FE0F79">
      <w:pPr>
        <w:rPr>
          <w:rFonts w:cs="Arial"/>
          <w:i/>
          <w:szCs w:val="24"/>
        </w:rPr>
      </w:pPr>
    </w:p>
    <w:p w14:paraId="2F51A8CA" w14:textId="77777777" w:rsidR="007B6904" w:rsidRDefault="00ED4806"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2" w:name="_Toc389473288"/>
            <w:bookmarkStart w:id="23" w:name="_Toc80365938"/>
            <w:r>
              <w:t>References</w:t>
            </w:r>
            <w:bookmarkEnd w:id="22"/>
            <w:bookmarkEnd w:id="23"/>
          </w:p>
        </w:tc>
      </w:tr>
    </w:tbl>
    <w:p w14:paraId="2F51A8CD" w14:textId="77777777" w:rsidR="007B6904" w:rsidRPr="00DE4E25" w:rsidRDefault="007B6904" w:rsidP="007B6904">
      <w:pPr>
        <w:rPr>
          <w:rFonts w:asciiTheme="majorHAnsi" w:hAnsiTheme="majorHAnsi" w:cstheme="majorHAnsi"/>
          <w:szCs w:val="24"/>
        </w:rPr>
      </w:pPr>
      <w:bookmarkStart w:id="24" w:name="_Toc389131245"/>
    </w:p>
    <w:bookmarkEnd w:id="24"/>
    <w:p w14:paraId="6A5B8876" w14:textId="2046AE82" w:rsidR="003D1E32" w:rsidRPr="00920D86" w:rsidRDefault="003D1E32" w:rsidP="007B08E9">
      <w:pPr>
        <w:pStyle w:val="NormalWeb"/>
        <w:numPr>
          <w:ilvl w:val="0"/>
          <w:numId w:val="20"/>
        </w:numPr>
        <w:spacing w:before="0" w:beforeAutospacing="0" w:after="0" w:afterAutospacing="0"/>
        <w:ind w:left="426" w:hanging="426"/>
        <w:rPr>
          <w:rFonts w:ascii="Calibri" w:hAnsi="Calibri"/>
          <w:bCs/>
        </w:rPr>
      </w:pPr>
      <w:r>
        <w:rPr>
          <w:rFonts w:ascii="Calibri" w:hAnsi="Calibri"/>
          <w:bCs/>
        </w:rPr>
        <w:t xml:space="preserve">ASHM, </w:t>
      </w:r>
      <w:r>
        <w:rPr>
          <w:rFonts w:ascii="Calibri" w:hAnsi="Calibri"/>
          <w:bCs/>
          <w:i/>
          <w:iCs/>
        </w:rPr>
        <w:t>Australian N</w:t>
      </w:r>
      <w:r>
        <w:rPr>
          <w:rFonts w:ascii="Calibri" w:hAnsi="Calibri"/>
          <w:bCs/>
          <w:i/>
        </w:rPr>
        <w:t xml:space="preserve">ational Guidelines for Post-Exposure Prophylaxis after Non-Occupational and Occupational Exposure to HIV </w:t>
      </w:r>
      <w:r>
        <w:rPr>
          <w:rFonts w:ascii="Calibri" w:hAnsi="Calibri"/>
          <w:bCs/>
        </w:rPr>
        <w:t>(Second edition)</w:t>
      </w:r>
      <w:r w:rsidR="00920D86">
        <w:rPr>
          <w:rFonts w:ascii="Calibri" w:hAnsi="Calibri"/>
          <w:bCs/>
        </w:rPr>
        <w:t xml:space="preserve"> </w:t>
      </w:r>
      <w:hyperlink r:id="rId11" w:history="1">
        <w:r w:rsidR="00920D86" w:rsidRPr="0093417A">
          <w:rPr>
            <w:rStyle w:val="Hyperlink"/>
            <w:bCs/>
          </w:rPr>
          <w:t>http://www.pep.guidelines.org.au/</w:t>
        </w:r>
      </w:hyperlink>
      <w:r w:rsidRPr="00920D86">
        <w:rPr>
          <w:rFonts w:ascii="Calibri" w:hAnsi="Calibri"/>
          <w:bCs/>
        </w:rPr>
        <w:t xml:space="preserve">  accessed 7/6/21</w:t>
      </w:r>
    </w:p>
    <w:p w14:paraId="02DBC089" w14:textId="409BB241" w:rsidR="003D1E32" w:rsidRDefault="00A36805" w:rsidP="007B08E9">
      <w:pPr>
        <w:pStyle w:val="NormalWeb"/>
        <w:numPr>
          <w:ilvl w:val="0"/>
          <w:numId w:val="20"/>
        </w:numPr>
        <w:spacing w:before="0" w:beforeAutospacing="0" w:after="0" w:afterAutospacing="0"/>
        <w:ind w:left="426" w:hanging="426"/>
        <w:rPr>
          <w:rStyle w:val="Hyperlink"/>
          <w:rFonts w:ascii="Calibri" w:hAnsi="Calibri"/>
          <w:bCs/>
          <w:color w:val="auto"/>
          <w:u w:val="none"/>
        </w:rPr>
      </w:pPr>
      <w:r w:rsidRPr="00A36805">
        <w:rPr>
          <w:rFonts w:asciiTheme="minorHAnsi" w:hAnsiTheme="minorHAnsi" w:cstheme="minorHAnsi"/>
          <w:color w:val="313131"/>
        </w:rPr>
        <w:t>Australian Technical Advisory Group on Immunisation (</w:t>
      </w:r>
      <w:r w:rsidRPr="00A36805">
        <w:rPr>
          <w:rStyle w:val="HTMLDefinition"/>
          <w:rFonts w:asciiTheme="minorHAnsi" w:hAnsiTheme="minorHAnsi" w:cstheme="minorHAnsi"/>
          <w:i w:val="0"/>
          <w:iCs w:val="0"/>
          <w:color w:val="313131"/>
        </w:rPr>
        <w:t>ATAGI</w:t>
      </w:r>
      <w:r w:rsidRPr="00A36805">
        <w:rPr>
          <w:rFonts w:asciiTheme="minorHAnsi" w:hAnsiTheme="minorHAnsi" w:cstheme="minorHAnsi"/>
          <w:color w:val="313131"/>
        </w:rPr>
        <w:t xml:space="preserve">). </w:t>
      </w:r>
      <w:r w:rsidRPr="00A36805">
        <w:rPr>
          <w:rFonts w:asciiTheme="minorHAnsi" w:hAnsiTheme="minorHAnsi" w:cstheme="minorHAnsi"/>
          <w:i/>
          <w:iCs/>
          <w:color w:val="313131"/>
        </w:rPr>
        <w:t>Australian Immunisation Handbook</w:t>
      </w:r>
      <w:r w:rsidRPr="00A36805">
        <w:rPr>
          <w:rFonts w:asciiTheme="minorHAnsi" w:hAnsiTheme="minorHAnsi" w:cstheme="minorHAnsi"/>
          <w:color w:val="313131"/>
        </w:rPr>
        <w:t xml:space="preserve">, Australian Government Department of Health, Canberra, 2018, </w:t>
      </w:r>
      <w:hyperlink r:id="rId12" w:history="1">
        <w:r>
          <w:rPr>
            <w:rStyle w:val="Hyperlink"/>
          </w:rPr>
          <w:t>The Australian Immunisation Handbook (health.gov.au)</w:t>
        </w:r>
      </w:hyperlink>
    </w:p>
    <w:p w14:paraId="3012443A" w14:textId="1808DF9E" w:rsidR="003D1E32" w:rsidRPr="00F952D6" w:rsidRDefault="00ED4806" w:rsidP="007B08E9">
      <w:pPr>
        <w:pStyle w:val="NormalWeb"/>
        <w:numPr>
          <w:ilvl w:val="0"/>
          <w:numId w:val="20"/>
        </w:numPr>
        <w:spacing w:before="0" w:beforeAutospacing="0" w:after="0" w:afterAutospacing="0"/>
        <w:ind w:left="426" w:hanging="426"/>
        <w:rPr>
          <w:rStyle w:val="Hyperlink"/>
          <w:rFonts w:ascii="Calibri" w:hAnsi="Calibri"/>
          <w:bCs/>
          <w:color w:val="auto"/>
          <w:u w:val="none"/>
        </w:rPr>
      </w:pPr>
      <w:hyperlink r:id="rId13" w:anchor="toc_d1e104" w:history="1">
        <w:r w:rsidR="003D1E32">
          <w:rPr>
            <w:rStyle w:val="Hyperlink"/>
          </w:rPr>
          <w:t>Topic | Therapeutic Guidelines (tg.org.au)</w:t>
        </w:r>
      </w:hyperlink>
    </w:p>
    <w:p w14:paraId="27775C75" w14:textId="77777777" w:rsidR="00F952D6" w:rsidRPr="00920D86" w:rsidRDefault="00F952D6" w:rsidP="00F952D6">
      <w:pPr>
        <w:pStyle w:val="NormalWeb"/>
        <w:spacing w:before="0" w:beforeAutospacing="0" w:after="0" w:afterAutospacing="0"/>
        <w:ind w:left="426"/>
        <w:rPr>
          <w:rFonts w:ascii="Calibri" w:hAnsi="Calibri"/>
          <w:bCs/>
        </w:rPr>
      </w:pPr>
    </w:p>
    <w:p w14:paraId="2F51A8D5" w14:textId="77777777" w:rsidR="00FF56DD" w:rsidRDefault="00ED4806"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507E728" w:rsidR="00FF56DD" w:rsidRPr="000F1F60" w:rsidRDefault="00FF56DD" w:rsidP="004213C3">
            <w:pPr>
              <w:pStyle w:val="Heading1"/>
            </w:pPr>
            <w:bookmarkStart w:id="25" w:name="_Toc80365939"/>
            <w:r>
              <w:t>Definition of Terms</w:t>
            </w:r>
            <w:bookmarkEnd w:id="25"/>
            <w:r>
              <w:t xml:space="preserve"> </w:t>
            </w:r>
          </w:p>
        </w:tc>
      </w:tr>
    </w:tbl>
    <w:p w14:paraId="68DE5013" w14:textId="77777777" w:rsidR="00920D86" w:rsidRDefault="00920D86" w:rsidP="00920D86">
      <w:pPr>
        <w:tabs>
          <w:tab w:val="left" w:pos="709"/>
        </w:tabs>
        <w:rPr>
          <w:rFonts w:cs="Arial"/>
          <w:szCs w:val="24"/>
        </w:rPr>
      </w:pPr>
    </w:p>
    <w:p w14:paraId="2F51A8D8" w14:textId="0AB8A6A9" w:rsidR="00FF56DD" w:rsidRDefault="00920D86" w:rsidP="00920D86">
      <w:pPr>
        <w:tabs>
          <w:tab w:val="left" w:pos="709"/>
        </w:tabs>
        <w:rPr>
          <w:rFonts w:cs="Arial"/>
          <w:szCs w:val="24"/>
        </w:rPr>
      </w:pPr>
      <w:r w:rsidRPr="480D9B3F">
        <w:rPr>
          <w:rFonts w:cs="Arial"/>
          <w:szCs w:val="24"/>
        </w:rPr>
        <w:t xml:space="preserve">CSHC </w:t>
      </w:r>
      <w:r>
        <w:tab/>
      </w:r>
      <w:r w:rsidRPr="480D9B3F">
        <w:rPr>
          <w:rFonts w:cs="Arial"/>
          <w:szCs w:val="24"/>
        </w:rPr>
        <w:t>Canberra Sexual Health C</w:t>
      </w:r>
      <w:r>
        <w:rPr>
          <w:rFonts w:cs="Arial"/>
          <w:szCs w:val="24"/>
        </w:rPr>
        <w:t>entre</w:t>
      </w:r>
    </w:p>
    <w:p w14:paraId="1DDFEE14" w14:textId="4F624D10" w:rsidR="00A36805" w:rsidRDefault="086AF056" w:rsidP="480D9B3F">
      <w:pPr>
        <w:tabs>
          <w:tab w:val="left" w:pos="709"/>
        </w:tabs>
        <w:rPr>
          <w:rFonts w:cs="Arial"/>
        </w:rPr>
      </w:pPr>
      <w:r w:rsidRPr="480D9B3F">
        <w:rPr>
          <w:rFonts w:cs="Arial"/>
        </w:rPr>
        <w:t xml:space="preserve">ED </w:t>
      </w:r>
      <w:r w:rsidR="00A36805">
        <w:tab/>
      </w:r>
      <w:r w:rsidR="00A36805">
        <w:tab/>
      </w:r>
      <w:r w:rsidRPr="480D9B3F">
        <w:rPr>
          <w:rFonts w:cs="Arial"/>
        </w:rPr>
        <w:t>Emergency Department</w:t>
      </w:r>
    </w:p>
    <w:p w14:paraId="32BD485D" w14:textId="77777777" w:rsidR="00A36805" w:rsidRDefault="00A36805" w:rsidP="00A36805">
      <w:pPr>
        <w:tabs>
          <w:tab w:val="left" w:pos="709"/>
        </w:tabs>
        <w:rPr>
          <w:rFonts w:cs="Arial"/>
          <w:szCs w:val="24"/>
        </w:rPr>
      </w:pPr>
      <w:r>
        <w:rPr>
          <w:rFonts w:cs="Arial"/>
          <w:szCs w:val="24"/>
        </w:rPr>
        <w:t xml:space="preserve">HBV </w:t>
      </w:r>
      <w:r>
        <w:rPr>
          <w:rFonts w:cs="Arial"/>
          <w:szCs w:val="24"/>
        </w:rPr>
        <w:tab/>
        <w:t>Hepatitis B Virus</w:t>
      </w:r>
    </w:p>
    <w:p w14:paraId="228DDC1F" w14:textId="77777777" w:rsidR="00A36805" w:rsidRDefault="00A36805" w:rsidP="00A36805">
      <w:pPr>
        <w:tabs>
          <w:tab w:val="left" w:pos="709"/>
        </w:tabs>
        <w:rPr>
          <w:rFonts w:cs="Arial"/>
          <w:szCs w:val="24"/>
        </w:rPr>
      </w:pPr>
      <w:r>
        <w:rPr>
          <w:rFonts w:cs="Arial"/>
          <w:szCs w:val="24"/>
        </w:rPr>
        <w:t>HCV</w:t>
      </w:r>
      <w:r>
        <w:rPr>
          <w:rFonts w:cs="Arial"/>
          <w:szCs w:val="24"/>
        </w:rPr>
        <w:tab/>
        <w:t>Hepatitis C Virus</w:t>
      </w:r>
    </w:p>
    <w:p w14:paraId="37425DEA" w14:textId="77777777" w:rsidR="00A36805" w:rsidRDefault="00A36805" w:rsidP="00A36805">
      <w:pPr>
        <w:tabs>
          <w:tab w:val="left" w:pos="709"/>
        </w:tabs>
        <w:rPr>
          <w:rFonts w:cs="Arial"/>
          <w:szCs w:val="24"/>
        </w:rPr>
      </w:pPr>
      <w:r>
        <w:rPr>
          <w:rFonts w:cs="Arial"/>
          <w:szCs w:val="24"/>
        </w:rPr>
        <w:t>HIV</w:t>
      </w:r>
      <w:r>
        <w:rPr>
          <w:rFonts w:cs="Arial"/>
          <w:szCs w:val="24"/>
        </w:rPr>
        <w:tab/>
      </w:r>
      <w:r>
        <w:rPr>
          <w:rFonts w:cs="Arial"/>
          <w:szCs w:val="24"/>
        </w:rPr>
        <w:tab/>
        <w:t>Human Immunodeficiency Virus</w:t>
      </w:r>
    </w:p>
    <w:p w14:paraId="5C0A0988" w14:textId="77777777" w:rsidR="00A36805" w:rsidRDefault="00A36805" w:rsidP="00A36805">
      <w:pPr>
        <w:tabs>
          <w:tab w:val="left" w:pos="709"/>
        </w:tabs>
        <w:rPr>
          <w:rFonts w:cs="Arial"/>
          <w:szCs w:val="24"/>
        </w:rPr>
      </w:pPr>
      <w:r>
        <w:rPr>
          <w:rFonts w:cs="Arial"/>
          <w:szCs w:val="24"/>
        </w:rPr>
        <w:t>HSV</w:t>
      </w:r>
      <w:r>
        <w:rPr>
          <w:rFonts w:cs="Arial"/>
          <w:szCs w:val="24"/>
        </w:rPr>
        <w:tab/>
      </w:r>
      <w:r>
        <w:rPr>
          <w:rFonts w:cs="Arial"/>
          <w:szCs w:val="24"/>
        </w:rPr>
        <w:tab/>
        <w:t>Herpes Simplex Virus</w:t>
      </w:r>
    </w:p>
    <w:p w14:paraId="081C7F6D" w14:textId="77777777" w:rsidR="00A36805" w:rsidRDefault="00A36805" w:rsidP="00A36805">
      <w:pPr>
        <w:tabs>
          <w:tab w:val="left" w:pos="709"/>
        </w:tabs>
        <w:rPr>
          <w:rFonts w:cs="Arial"/>
          <w:szCs w:val="24"/>
        </w:rPr>
      </w:pPr>
      <w:r>
        <w:rPr>
          <w:rFonts w:cs="Arial"/>
          <w:szCs w:val="24"/>
        </w:rPr>
        <w:t>IDU</w:t>
      </w:r>
      <w:r>
        <w:rPr>
          <w:rFonts w:cs="Arial"/>
          <w:szCs w:val="24"/>
        </w:rPr>
        <w:tab/>
      </w:r>
      <w:r>
        <w:rPr>
          <w:rFonts w:cs="Arial"/>
          <w:szCs w:val="24"/>
        </w:rPr>
        <w:tab/>
        <w:t>Injecting Drug Use</w:t>
      </w:r>
    </w:p>
    <w:p w14:paraId="029715A8" w14:textId="77777777" w:rsidR="00A11DFC" w:rsidRDefault="00A11DFC" w:rsidP="00A11DFC">
      <w:pPr>
        <w:tabs>
          <w:tab w:val="left" w:pos="709"/>
        </w:tabs>
        <w:rPr>
          <w:rFonts w:cs="Arial"/>
          <w:szCs w:val="24"/>
        </w:rPr>
      </w:pPr>
      <w:r>
        <w:rPr>
          <w:rFonts w:cs="Arial"/>
          <w:szCs w:val="24"/>
        </w:rPr>
        <w:t>PEP</w:t>
      </w:r>
      <w:r>
        <w:rPr>
          <w:rFonts w:cs="Arial"/>
          <w:szCs w:val="24"/>
        </w:rPr>
        <w:tab/>
      </w:r>
      <w:r>
        <w:rPr>
          <w:rFonts w:cs="Arial"/>
          <w:szCs w:val="24"/>
        </w:rPr>
        <w:tab/>
        <w:t>Post Exposure Prophylaxis</w:t>
      </w:r>
    </w:p>
    <w:p w14:paraId="2F51A8DA" w14:textId="17EBE698" w:rsidR="00FF56DD" w:rsidRDefault="086AF056" w:rsidP="480D9B3F">
      <w:pPr>
        <w:tabs>
          <w:tab w:val="left" w:pos="709"/>
        </w:tabs>
        <w:rPr>
          <w:rFonts w:cs="Arial"/>
        </w:rPr>
      </w:pPr>
      <w:r w:rsidRPr="480D9B3F">
        <w:rPr>
          <w:rFonts w:cs="Arial"/>
        </w:rPr>
        <w:t>STI</w:t>
      </w:r>
      <w:r w:rsidR="00A36805">
        <w:tab/>
      </w:r>
      <w:r w:rsidR="00A36805">
        <w:tab/>
      </w:r>
      <w:r w:rsidRPr="480D9B3F">
        <w:rPr>
          <w:rFonts w:cs="Arial"/>
        </w:rPr>
        <w:t>Sexually Transmissible Infection</w:t>
      </w:r>
    </w:p>
    <w:p w14:paraId="4FFA059F" w14:textId="77777777" w:rsidR="00A36805" w:rsidRDefault="00A36805" w:rsidP="00A36805">
      <w:pPr>
        <w:tabs>
          <w:tab w:val="left" w:pos="709"/>
        </w:tabs>
        <w:rPr>
          <w:rFonts w:cs="Arial"/>
          <w:szCs w:val="24"/>
        </w:rPr>
      </w:pPr>
    </w:p>
    <w:p w14:paraId="2F51A8DB" w14:textId="77777777" w:rsidR="00FF56DD" w:rsidRDefault="00ED4806"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6" w:name="_Toc389473290"/>
            <w:bookmarkStart w:id="27" w:name="_Toc80365940"/>
            <w:r>
              <w:t>Search Terms</w:t>
            </w:r>
            <w:bookmarkEnd w:id="26"/>
            <w:bookmarkEnd w:id="27"/>
            <w:r>
              <w:t xml:space="preserve"> </w:t>
            </w:r>
          </w:p>
        </w:tc>
      </w:tr>
    </w:tbl>
    <w:p w14:paraId="2F51A8DE" w14:textId="77777777" w:rsidR="007B6904" w:rsidRDefault="007B6904" w:rsidP="007B6904">
      <w:pPr>
        <w:rPr>
          <w:rFonts w:cs="Calibri,Bold"/>
          <w:bCs/>
          <w:i/>
          <w:szCs w:val="24"/>
          <w:lang w:eastAsia="en-AU"/>
        </w:rPr>
      </w:pPr>
    </w:p>
    <w:p w14:paraId="0717D51E" w14:textId="77777777" w:rsidR="00A36805" w:rsidRPr="00D43CDF" w:rsidRDefault="00A36805" w:rsidP="00A36805">
      <w:pPr>
        <w:rPr>
          <w:rFonts w:cs="Calibri,Bold"/>
          <w:bCs/>
          <w:szCs w:val="24"/>
          <w:lang w:eastAsia="en-AU"/>
        </w:rPr>
      </w:pPr>
      <w:r w:rsidRPr="00D43CDF">
        <w:rPr>
          <w:rFonts w:cs="Calibri,Bold"/>
          <w:bCs/>
          <w:szCs w:val="24"/>
          <w:lang w:eastAsia="en-AU"/>
        </w:rPr>
        <w:t>Non occupational exposure, HIV, PEP,</w:t>
      </w:r>
      <w:r>
        <w:rPr>
          <w:rFonts w:cs="Calibri,Bold"/>
          <w:bCs/>
          <w:szCs w:val="24"/>
          <w:lang w:eastAsia="en-AU"/>
        </w:rPr>
        <w:t xml:space="preserve"> sexual health, ED, emergency, post, exposure, prophylaxis</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ED4806"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29" w:name="_Toc80365941"/>
            <w:r>
              <w:t>Attachments</w:t>
            </w:r>
            <w:bookmarkEnd w:id="29"/>
          </w:p>
        </w:tc>
      </w:tr>
      <w:bookmarkEnd w:id="28"/>
    </w:tbl>
    <w:p w14:paraId="2F51A8E4" w14:textId="77777777" w:rsidR="00DE4E25" w:rsidRDefault="00DE4E25" w:rsidP="007B6904">
      <w:pPr>
        <w:rPr>
          <w:rFonts w:cs="Arial"/>
          <w:i/>
          <w:szCs w:val="24"/>
        </w:rPr>
      </w:pPr>
    </w:p>
    <w:p w14:paraId="5EA19EA8" w14:textId="77777777" w:rsidR="00A36805" w:rsidRPr="00626A4E" w:rsidRDefault="00A36805" w:rsidP="00A36805">
      <w:pPr>
        <w:pStyle w:val="NormalWeb"/>
        <w:spacing w:before="0" w:beforeAutospacing="0" w:after="0" w:afterAutospacing="0"/>
        <w:rPr>
          <w:rFonts w:ascii="Calibri" w:hAnsi="Calibri"/>
          <w:bCs/>
        </w:rPr>
      </w:pPr>
      <w:r w:rsidRPr="00626A4E">
        <w:rPr>
          <w:rFonts w:ascii="Calibri" w:hAnsi="Calibri" w:cs="Arial"/>
        </w:rPr>
        <w:t>A</w:t>
      </w:r>
      <w:r>
        <w:rPr>
          <w:rFonts w:ascii="Calibri" w:hAnsi="Calibri" w:cs="Arial"/>
        </w:rPr>
        <w:t>ttachment</w:t>
      </w:r>
      <w:r w:rsidRPr="00626A4E">
        <w:rPr>
          <w:rFonts w:ascii="Calibri" w:hAnsi="Calibri" w:cs="Arial"/>
        </w:rPr>
        <w:t xml:space="preserve"> A – </w:t>
      </w:r>
      <w:r>
        <w:rPr>
          <w:rFonts w:ascii="Calibri" w:hAnsi="Calibri" w:cs="Arial"/>
        </w:rPr>
        <w:t>Indications for HIV</w:t>
      </w:r>
      <w:r w:rsidRPr="00626A4E">
        <w:rPr>
          <w:rFonts w:ascii="Calibri" w:hAnsi="Calibri" w:cs="Arial"/>
        </w:rPr>
        <w:t xml:space="preserve"> PEP</w:t>
      </w:r>
    </w:p>
    <w:p w14:paraId="79508418" w14:textId="77777777" w:rsidR="00A36805" w:rsidRPr="00626A4E" w:rsidRDefault="00A36805" w:rsidP="00A36805">
      <w:pPr>
        <w:pStyle w:val="NormalWeb"/>
        <w:spacing w:before="0" w:beforeAutospacing="0" w:after="0" w:afterAutospacing="0"/>
        <w:rPr>
          <w:rFonts w:ascii="Calibri" w:hAnsi="Calibri"/>
          <w:bCs/>
        </w:rPr>
      </w:pPr>
      <w:r w:rsidRPr="00626A4E">
        <w:rPr>
          <w:rFonts w:ascii="Calibri" w:hAnsi="Calibri" w:cs="Arial"/>
        </w:rPr>
        <w:t>A</w:t>
      </w:r>
      <w:r>
        <w:rPr>
          <w:rFonts w:ascii="Calibri" w:hAnsi="Calibri" w:cs="Arial"/>
        </w:rPr>
        <w:t>ttachment</w:t>
      </w:r>
      <w:r w:rsidRPr="00626A4E">
        <w:rPr>
          <w:rFonts w:ascii="Calibri" w:hAnsi="Calibri" w:cs="Arial"/>
        </w:rPr>
        <w:t xml:space="preserve"> B – </w:t>
      </w:r>
      <w:r>
        <w:rPr>
          <w:rFonts w:ascii="Calibri" w:hAnsi="Calibri" w:cs="Arial"/>
        </w:rPr>
        <w:t>PEP Medications and cautions</w:t>
      </w:r>
    </w:p>
    <w:p w14:paraId="20E89098" w14:textId="77777777" w:rsidR="00A36805" w:rsidRDefault="00A36805" w:rsidP="00A36805">
      <w:pPr>
        <w:rPr>
          <w:rFonts w:cs="Arial"/>
          <w:iCs/>
          <w:sz w:val="20"/>
        </w:rPr>
      </w:pPr>
    </w:p>
    <w:p w14:paraId="2F51A8E6" w14:textId="2922C6DA" w:rsidR="00FF56DD" w:rsidRDefault="00FF56DD" w:rsidP="007B6904">
      <w:pPr>
        <w:rPr>
          <w:rFonts w:cs="Arial"/>
          <w:szCs w:val="24"/>
        </w:rPr>
      </w:pPr>
    </w:p>
    <w:p w14:paraId="36336493" w14:textId="77777777" w:rsidR="00F952D6" w:rsidRDefault="00F952D6"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6CA62AE6" w:rsidR="00ED46C3" w:rsidRDefault="00ED46C3" w:rsidP="00ED46C3">
      <w:pPr>
        <w:rPr>
          <w:rFonts w:cs="Arial"/>
          <w:i/>
          <w:iCs/>
          <w:sz w:val="20"/>
        </w:rPr>
      </w:pPr>
    </w:p>
    <w:p w14:paraId="3DC8AF0B" w14:textId="77777777" w:rsidR="00F952D6" w:rsidRPr="008202D3" w:rsidRDefault="00F952D6"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265"/>
        <w:gridCol w:w="2412"/>
        <w:gridCol w:w="2265"/>
      </w:tblGrid>
      <w:tr w:rsidR="00ED46C3" w:rsidRPr="008202D3" w14:paraId="3D8FB228" w14:textId="77777777" w:rsidTr="00ED4806">
        <w:tc>
          <w:tcPr>
            <w:tcW w:w="2122" w:type="dxa"/>
          </w:tcPr>
          <w:p w14:paraId="4CC3BE7E" w14:textId="77777777" w:rsidR="00ED46C3" w:rsidRPr="008202D3" w:rsidRDefault="00ED46C3" w:rsidP="007B6B0B">
            <w:pPr>
              <w:rPr>
                <w:i/>
                <w:sz w:val="20"/>
              </w:rPr>
            </w:pPr>
            <w:r w:rsidRPr="008202D3">
              <w:rPr>
                <w:i/>
                <w:sz w:val="20"/>
              </w:rPr>
              <w:t>Date Amended</w:t>
            </w:r>
          </w:p>
        </w:tc>
        <w:tc>
          <w:tcPr>
            <w:tcW w:w="2265" w:type="dxa"/>
          </w:tcPr>
          <w:p w14:paraId="0C6FC403" w14:textId="77777777" w:rsidR="00ED46C3" w:rsidRPr="008202D3" w:rsidRDefault="00ED46C3" w:rsidP="007B6B0B">
            <w:pPr>
              <w:rPr>
                <w:i/>
                <w:sz w:val="20"/>
              </w:rPr>
            </w:pPr>
            <w:r w:rsidRPr="008202D3">
              <w:rPr>
                <w:i/>
                <w:sz w:val="20"/>
              </w:rPr>
              <w:t>Section Amended</w:t>
            </w:r>
          </w:p>
        </w:tc>
        <w:tc>
          <w:tcPr>
            <w:tcW w:w="2412" w:type="dxa"/>
          </w:tcPr>
          <w:p w14:paraId="36BF7192" w14:textId="77777777" w:rsidR="00ED46C3" w:rsidRPr="008202D3" w:rsidRDefault="00ED46C3" w:rsidP="007B6B0B">
            <w:pPr>
              <w:rPr>
                <w:i/>
                <w:sz w:val="20"/>
              </w:rPr>
            </w:pPr>
            <w:r w:rsidRPr="008202D3">
              <w:rPr>
                <w:i/>
                <w:sz w:val="20"/>
              </w:rPr>
              <w:t>Divisional Approval</w:t>
            </w:r>
          </w:p>
        </w:tc>
        <w:tc>
          <w:tcPr>
            <w:tcW w:w="2265" w:type="dxa"/>
          </w:tcPr>
          <w:p w14:paraId="6974B6A4" w14:textId="77777777" w:rsidR="00ED46C3" w:rsidRPr="008202D3" w:rsidRDefault="00ED46C3" w:rsidP="007B6B0B">
            <w:pPr>
              <w:rPr>
                <w:i/>
                <w:sz w:val="20"/>
              </w:rPr>
            </w:pPr>
            <w:r w:rsidRPr="008202D3">
              <w:rPr>
                <w:i/>
                <w:sz w:val="20"/>
              </w:rPr>
              <w:t xml:space="preserve">Final Approval </w:t>
            </w:r>
          </w:p>
        </w:tc>
      </w:tr>
      <w:tr w:rsidR="00ED46C3" w:rsidRPr="008202D3" w14:paraId="69E49990" w14:textId="77777777" w:rsidTr="00ED4806">
        <w:tc>
          <w:tcPr>
            <w:tcW w:w="2122" w:type="dxa"/>
          </w:tcPr>
          <w:p w14:paraId="4CB276AE" w14:textId="1508863F" w:rsidR="00ED46C3" w:rsidRPr="008202D3" w:rsidRDefault="00ED4806" w:rsidP="007B6B0B">
            <w:pPr>
              <w:rPr>
                <w:i/>
                <w:sz w:val="20"/>
              </w:rPr>
            </w:pPr>
            <w:r>
              <w:rPr>
                <w:i/>
                <w:sz w:val="20"/>
              </w:rPr>
              <w:t>11/08/2021</w:t>
            </w:r>
          </w:p>
        </w:tc>
        <w:tc>
          <w:tcPr>
            <w:tcW w:w="2265" w:type="dxa"/>
          </w:tcPr>
          <w:p w14:paraId="757FDC5B" w14:textId="0DC92EFC" w:rsidR="00ED46C3" w:rsidRPr="008202D3" w:rsidRDefault="00ED4806" w:rsidP="007B6B0B">
            <w:pPr>
              <w:rPr>
                <w:i/>
                <w:sz w:val="20"/>
              </w:rPr>
            </w:pPr>
            <w:r>
              <w:rPr>
                <w:i/>
                <w:sz w:val="20"/>
              </w:rPr>
              <w:t>Complete Review</w:t>
            </w:r>
          </w:p>
        </w:tc>
        <w:tc>
          <w:tcPr>
            <w:tcW w:w="2412" w:type="dxa"/>
          </w:tcPr>
          <w:p w14:paraId="45358585" w14:textId="6812810F" w:rsidR="00ED46C3" w:rsidRPr="008202D3" w:rsidRDefault="00ED4806" w:rsidP="007B6B0B">
            <w:pPr>
              <w:rPr>
                <w:i/>
                <w:sz w:val="20"/>
              </w:rPr>
            </w:pPr>
            <w:r>
              <w:rPr>
                <w:i/>
                <w:sz w:val="20"/>
              </w:rPr>
              <w:t>Jacqui Taylor, ED Medicine</w:t>
            </w:r>
          </w:p>
        </w:tc>
        <w:tc>
          <w:tcPr>
            <w:tcW w:w="2265" w:type="dxa"/>
          </w:tcPr>
          <w:p w14:paraId="31501FE6" w14:textId="77777777" w:rsidR="00ED46C3" w:rsidRPr="008202D3" w:rsidRDefault="00ED46C3" w:rsidP="007B6B0B">
            <w:pPr>
              <w:rPr>
                <w:i/>
                <w:sz w:val="20"/>
              </w:rPr>
            </w:pPr>
          </w:p>
        </w:tc>
      </w:tr>
      <w:tr w:rsidR="00ED46C3" w:rsidRPr="008202D3" w14:paraId="4B9C0359" w14:textId="77777777" w:rsidTr="00ED4806">
        <w:tc>
          <w:tcPr>
            <w:tcW w:w="2122" w:type="dxa"/>
          </w:tcPr>
          <w:p w14:paraId="01E40F72" w14:textId="77777777" w:rsidR="00ED46C3" w:rsidRPr="008202D3" w:rsidRDefault="00ED46C3" w:rsidP="007B6B0B">
            <w:pPr>
              <w:rPr>
                <w:i/>
                <w:sz w:val="20"/>
              </w:rPr>
            </w:pPr>
          </w:p>
        </w:tc>
        <w:tc>
          <w:tcPr>
            <w:tcW w:w="2265" w:type="dxa"/>
          </w:tcPr>
          <w:p w14:paraId="25312BA2" w14:textId="77777777" w:rsidR="00ED46C3" w:rsidRPr="008202D3" w:rsidRDefault="00ED46C3" w:rsidP="007B6B0B">
            <w:pPr>
              <w:rPr>
                <w:i/>
                <w:sz w:val="20"/>
              </w:rPr>
            </w:pPr>
          </w:p>
        </w:tc>
        <w:tc>
          <w:tcPr>
            <w:tcW w:w="2412" w:type="dxa"/>
          </w:tcPr>
          <w:p w14:paraId="6A63A790" w14:textId="77777777" w:rsidR="00ED46C3" w:rsidRPr="008202D3" w:rsidRDefault="00ED46C3" w:rsidP="007B6B0B">
            <w:pPr>
              <w:rPr>
                <w:i/>
                <w:sz w:val="20"/>
              </w:rPr>
            </w:pPr>
          </w:p>
        </w:tc>
        <w:tc>
          <w:tcPr>
            <w:tcW w:w="2265" w:type="dxa"/>
          </w:tcPr>
          <w:p w14:paraId="0C203B9F" w14:textId="77777777" w:rsidR="00ED46C3" w:rsidRPr="008202D3" w:rsidRDefault="00ED46C3" w:rsidP="007B6B0B">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7B6B0B">
        <w:tc>
          <w:tcPr>
            <w:tcW w:w="2122" w:type="dxa"/>
          </w:tcPr>
          <w:p w14:paraId="3A0A8647" w14:textId="77777777" w:rsidR="00ED46C3" w:rsidRPr="008202D3" w:rsidRDefault="00ED46C3" w:rsidP="007B6B0B">
            <w:pPr>
              <w:rPr>
                <w:i/>
                <w:sz w:val="20"/>
              </w:rPr>
            </w:pPr>
            <w:r w:rsidRPr="008202D3">
              <w:rPr>
                <w:i/>
                <w:sz w:val="20"/>
              </w:rPr>
              <w:t>Document Number</w:t>
            </w:r>
          </w:p>
        </w:tc>
        <w:tc>
          <w:tcPr>
            <w:tcW w:w="6938" w:type="dxa"/>
          </w:tcPr>
          <w:p w14:paraId="40CE1B13" w14:textId="77777777" w:rsidR="00ED46C3" w:rsidRPr="008202D3" w:rsidRDefault="00ED46C3" w:rsidP="007B6B0B">
            <w:pPr>
              <w:rPr>
                <w:i/>
                <w:sz w:val="20"/>
              </w:rPr>
            </w:pPr>
            <w:r w:rsidRPr="008202D3">
              <w:rPr>
                <w:i/>
                <w:sz w:val="20"/>
              </w:rPr>
              <w:t>Document Name</w:t>
            </w:r>
          </w:p>
        </w:tc>
      </w:tr>
      <w:tr w:rsidR="00ED46C3" w:rsidRPr="008202D3" w14:paraId="389A2F7C" w14:textId="77777777" w:rsidTr="007B6B0B">
        <w:tc>
          <w:tcPr>
            <w:tcW w:w="2122" w:type="dxa"/>
          </w:tcPr>
          <w:p w14:paraId="72FFFF3B" w14:textId="4C861275" w:rsidR="00ED46C3" w:rsidRPr="008202D3" w:rsidRDefault="00ED4806" w:rsidP="007B6B0B">
            <w:pPr>
              <w:rPr>
                <w:i/>
                <w:sz w:val="20"/>
              </w:rPr>
            </w:pPr>
            <w:r>
              <w:rPr>
                <w:i/>
                <w:sz w:val="20"/>
              </w:rPr>
              <w:t>CHHS17/241</w:t>
            </w:r>
          </w:p>
        </w:tc>
        <w:tc>
          <w:tcPr>
            <w:tcW w:w="6938" w:type="dxa"/>
          </w:tcPr>
          <w:p w14:paraId="61EF68F3" w14:textId="4B9E0201" w:rsidR="00ED46C3" w:rsidRPr="008202D3" w:rsidRDefault="00ED4806" w:rsidP="007B6B0B">
            <w:pPr>
              <w:rPr>
                <w:i/>
                <w:sz w:val="20"/>
              </w:rPr>
            </w:pPr>
            <w:r>
              <w:rPr>
                <w:i/>
                <w:sz w:val="20"/>
              </w:rPr>
              <w:t>HIV Non-Occupational Post Exposure Prophylaxis (PEP)</w:t>
            </w:r>
          </w:p>
        </w:tc>
      </w:tr>
      <w:tr w:rsidR="00ED46C3" w:rsidRPr="008202D3" w14:paraId="4414C7E4" w14:textId="77777777" w:rsidTr="007B6B0B">
        <w:tc>
          <w:tcPr>
            <w:tcW w:w="2122" w:type="dxa"/>
          </w:tcPr>
          <w:p w14:paraId="0E1C6F88" w14:textId="77777777" w:rsidR="00ED46C3" w:rsidRPr="008202D3" w:rsidRDefault="00ED46C3" w:rsidP="007B6B0B">
            <w:pPr>
              <w:rPr>
                <w:i/>
                <w:sz w:val="20"/>
              </w:rPr>
            </w:pPr>
          </w:p>
        </w:tc>
        <w:tc>
          <w:tcPr>
            <w:tcW w:w="6938" w:type="dxa"/>
          </w:tcPr>
          <w:p w14:paraId="73EF72D2" w14:textId="77777777" w:rsidR="00ED46C3" w:rsidRPr="008202D3" w:rsidRDefault="00ED46C3" w:rsidP="007B6B0B">
            <w:pPr>
              <w:rPr>
                <w:i/>
                <w:sz w:val="20"/>
              </w:rPr>
            </w:pPr>
          </w:p>
        </w:tc>
      </w:tr>
    </w:tbl>
    <w:p w14:paraId="2F51A904" w14:textId="77777777" w:rsidR="00B12123" w:rsidRPr="00010E74" w:rsidRDefault="00B12123" w:rsidP="00B12123">
      <w:pPr>
        <w:rPr>
          <w:i/>
          <w:sz w:val="20"/>
          <w:szCs w:val="24"/>
        </w:rPr>
      </w:pPr>
    </w:p>
    <w:p w14:paraId="2F51A905" w14:textId="00EFB626" w:rsidR="00395E36" w:rsidRDefault="00395E36" w:rsidP="007B6904">
      <w:pPr>
        <w:rPr>
          <w:rFonts w:cs="Arial"/>
          <w:szCs w:val="24"/>
        </w:rPr>
      </w:pPr>
    </w:p>
    <w:p w14:paraId="541AEEF9" w14:textId="13F4DA05" w:rsidR="00A36805" w:rsidRDefault="00A36805" w:rsidP="00A36805">
      <w:pPr>
        <w:pStyle w:val="Heading2"/>
        <w:rPr>
          <w:i/>
          <w:iCs/>
          <w:sz w:val="16"/>
        </w:rPr>
      </w:pPr>
      <w:r>
        <w:t>Attachment A – Indications for HIV</w:t>
      </w:r>
      <w:r w:rsidRPr="00D11CEC">
        <w:t xml:space="preserve"> PEP</w:t>
      </w:r>
    </w:p>
    <w:p w14:paraId="284E9A27" w14:textId="77777777" w:rsidR="00A36805" w:rsidRPr="00C165D3" w:rsidRDefault="00A36805" w:rsidP="00A36805">
      <w:pPr>
        <w:rPr>
          <w:rFonts w:cs="Arial"/>
          <w:iCs/>
          <w:sz w:val="16"/>
        </w:rPr>
      </w:pPr>
    </w:p>
    <w:p w14:paraId="6A7C9FE2" w14:textId="77BEEE15" w:rsidR="00A36805" w:rsidRPr="00C165D3" w:rsidRDefault="00A36805" w:rsidP="00A36805">
      <w:pPr>
        <w:rPr>
          <w:szCs w:val="24"/>
        </w:rPr>
      </w:pPr>
      <w:r w:rsidRPr="00C165D3">
        <w:rPr>
          <w:rFonts w:cs="Arial"/>
          <w:iCs/>
          <w:szCs w:val="24"/>
        </w:rPr>
        <w:t xml:space="preserve">See </w:t>
      </w:r>
      <w:r w:rsidRPr="00C165D3">
        <w:rPr>
          <w:bCs/>
          <w:szCs w:val="24"/>
        </w:rPr>
        <w:t xml:space="preserve">ASHM, National Guidelines for Post-Exposure Prophylaxis after Non-Occupational and Occupational Exposure to HIV (Second edition), </w:t>
      </w:r>
      <w:r>
        <w:rPr>
          <w:bCs/>
          <w:szCs w:val="24"/>
        </w:rPr>
        <w:t>2020</w:t>
      </w:r>
    </w:p>
    <w:p w14:paraId="4A0E9983" w14:textId="0B5705FD" w:rsidR="00A36805" w:rsidRDefault="00ED4806" w:rsidP="00A36805">
      <w:pPr>
        <w:rPr>
          <w:rStyle w:val="Hyperlink"/>
        </w:rPr>
      </w:pPr>
      <w:hyperlink r:id="rId14" w:history="1">
        <w:r w:rsidR="00A36805">
          <w:rPr>
            <w:rStyle w:val="Hyperlink"/>
          </w:rPr>
          <w:t>When to Prescribe PEP - PEP Guidelines</w:t>
        </w:r>
      </w:hyperlink>
    </w:p>
    <w:p w14:paraId="248D761B" w14:textId="77777777" w:rsidR="00F952D6" w:rsidRDefault="00F952D6" w:rsidP="00A36805">
      <w:pPr>
        <w:rPr>
          <w:rStyle w:val="Hyperlink"/>
        </w:rPr>
      </w:pPr>
    </w:p>
    <w:p w14:paraId="699FEDBB" w14:textId="7D0E9E6B" w:rsidR="003A0D51" w:rsidRDefault="003A0D51" w:rsidP="00A36805">
      <w:pPr>
        <w:rPr>
          <w:rFonts w:cs="Arial"/>
          <w:iCs/>
          <w:szCs w:val="24"/>
        </w:rPr>
      </w:pPr>
      <w:r w:rsidRPr="003A0D51">
        <w:rPr>
          <w:rFonts w:cs="Arial"/>
          <w:iCs/>
          <w:noProof/>
          <w:szCs w:val="24"/>
        </w:rPr>
        <w:drawing>
          <wp:inline distT="0" distB="0" distL="0" distR="0" wp14:anchorId="34E06A34" wp14:editId="23E193A2">
            <wp:extent cx="5759450" cy="6790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6790690"/>
                    </a:xfrm>
                    <a:prstGeom prst="rect">
                      <a:avLst/>
                    </a:prstGeom>
                  </pic:spPr>
                </pic:pic>
              </a:graphicData>
            </a:graphic>
          </wp:inline>
        </w:drawing>
      </w:r>
    </w:p>
    <w:p w14:paraId="2D240C76" w14:textId="77777777" w:rsidR="00A36805" w:rsidRDefault="00A36805" w:rsidP="00A36805">
      <w:pPr>
        <w:rPr>
          <w:rFonts w:cs="Arial"/>
          <w:iCs/>
          <w:szCs w:val="24"/>
        </w:rPr>
      </w:pPr>
    </w:p>
    <w:p w14:paraId="51FB79D4" w14:textId="77777777" w:rsidR="00F952D6" w:rsidRDefault="00F952D6">
      <w:pPr>
        <w:spacing w:after="200" w:line="276" w:lineRule="auto"/>
        <w:rPr>
          <w:rFonts w:eastAsiaTheme="majorEastAsia" w:cstheme="majorBidi"/>
          <w:b/>
          <w:bCs/>
          <w:szCs w:val="26"/>
        </w:rPr>
      </w:pPr>
      <w:bookmarkStart w:id="30" w:name="_Toc496607426"/>
      <w:r>
        <w:br w:type="page"/>
      </w:r>
    </w:p>
    <w:p w14:paraId="6958B650" w14:textId="77777777" w:rsidR="00F952D6" w:rsidRDefault="00F952D6" w:rsidP="00A36805">
      <w:pPr>
        <w:pStyle w:val="Heading2"/>
      </w:pPr>
    </w:p>
    <w:p w14:paraId="31E6708F" w14:textId="377D9F65" w:rsidR="00A36805" w:rsidRDefault="00A36805" w:rsidP="00A36805">
      <w:pPr>
        <w:pStyle w:val="Heading2"/>
        <w:rPr>
          <w:sz w:val="20"/>
        </w:rPr>
      </w:pPr>
      <w:r>
        <w:t>Attachment B – PEP Medications and cautions</w:t>
      </w:r>
      <w:bookmarkEnd w:id="30"/>
    </w:p>
    <w:p w14:paraId="7078FB15" w14:textId="77777777" w:rsidR="00A36805" w:rsidRDefault="00A36805" w:rsidP="00A36805">
      <w:pPr>
        <w:ind w:right="424"/>
        <w:jc w:val="both"/>
        <w:rPr>
          <w:rFonts w:asciiTheme="minorHAnsi" w:hAnsiTheme="minorHAnsi"/>
          <w:b/>
          <w:szCs w:val="24"/>
          <w:u w:val="single"/>
        </w:rPr>
      </w:pPr>
    </w:p>
    <w:p w14:paraId="6C454C5D" w14:textId="77777777" w:rsidR="00A36805" w:rsidRPr="00C165D3" w:rsidRDefault="00A36805" w:rsidP="00A36805">
      <w:pPr>
        <w:ind w:right="424"/>
        <w:jc w:val="both"/>
        <w:rPr>
          <w:rFonts w:asciiTheme="minorHAnsi" w:hAnsiTheme="minorHAnsi"/>
          <w:b/>
          <w:szCs w:val="24"/>
        </w:rPr>
      </w:pPr>
      <w:r>
        <w:rPr>
          <w:rFonts w:asciiTheme="minorHAnsi" w:hAnsiTheme="minorHAnsi"/>
          <w:b/>
          <w:szCs w:val="24"/>
          <w:u w:val="single"/>
        </w:rPr>
        <w:t>Tenofovir and Emtricitabine</w:t>
      </w:r>
    </w:p>
    <w:p w14:paraId="398F6FD1" w14:textId="77777777" w:rsidR="00A36805" w:rsidRPr="00C165D3" w:rsidRDefault="00A36805" w:rsidP="00F952D6">
      <w:pPr>
        <w:pStyle w:val="ListBullet"/>
        <w:tabs>
          <w:tab w:val="clear" w:pos="1080"/>
        </w:tabs>
        <w:ind w:left="426" w:hanging="426"/>
      </w:pPr>
      <w:r w:rsidRPr="00C165D3">
        <w:t>Generally well tolerated</w:t>
      </w:r>
    </w:p>
    <w:p w14:paraId="4EC16B48" w14:textId="77777777" w:rsidR="00A36805" w:rsidRPr="00C165D3" w:rsidRDefault="00A36805" w:rsidP="00F952D6">
      <w:pPr>
        <w:pStyle w:val="ListBullet"/>
        <w:tabs>
          <w:tab w:val="clear" w:pos="1080"/>
        </w:tabs>
        <w:ind w:left="426" w:hanging="426"/>
      </w:pPr>
      <w:r w:rsidRPr="00C165D3">
        <w:t>Mild to moderate gastrointestinal side effects of nausea, vomiting, diarrhoea; tiredness, headache</w:t>
      </w:r>
    </w:p>
    <w:p w14:paraId="6D3D987F" w14:textId="77777777" w:rsidR="00A36805" w:rsidRPr="00C165D3" w:rsidRDefault="00A36805" w:rsidP="00F952D6">
      <w:pPr>
        <w:pStyle w:val="ListBullet"/>
        <w:tabs>
          <w:tab w:val="clear" w:pos="1080"/>
        </w:tabs>
        <w:ind w:left="426" w:hanging="426"/>
      </w:pPr>
      <w:r w:rsidRPr="00C165D3">
        <w:t>Use with caution or avoid if renal impairment eGFR &lt;60ml/min</w:t>
      </w:r>
    </w:p>
    <w:p w14:paraId="6F103D31" w14:textId="77777777" w:rsidR="00A36805" w:rsidRPr="00C165D3" w:rsidRDefault="00A36805" w:rsidP="00F952D6">
      <w:pPr>
        <w:pStyle w:val="ListBullet"/>
        <w:tabs>
          <w:tab w:val="clear" w:pos="1080"/>
        </w:tabs>
        <w:ind w:left="426" w:hanging="426"/>
      </w:pPr>
      <w:r w:rsidRPr="00C165D3">
        <w:t>Requires dose reduction if eGFR &lt; 50 ml/min</w:t>
      </w:r>
    </w:p>
    <w:p w14:paraId="5D0860C8" w14:textId="77777777" w:rsidR="00A36805" w:rsidRPr="00C165D3" w:rsidRDefault="00A36805" w:rsidP="00A36805">
      <w:pPr>
        <w:ind w:right="424"/>
        <w:jc w:val="both"/>
        <w:rPr>
          <w:rFonts w:asciiTheme="minorHAnsi" w:hAnsiTheme="minorHAnsi"/>
          <w:b/>
          <w:szCs w:val="24"/>
        </w:rPr>
      </w:pPr>
    </w:p>
    <w:p w14:paraId="2575CCB9" w14:textId="77777777" w:rsidR="00A36805" w:rsidRPr="00C165D3" w:rsidRDefault="00A36805" w:rsidP="00A36805">
      <w:pPr>
        <w:ind w:right="424"/>
        <w:jc w:val="both"/>
        <w:rPr>
          <w:rFonts w:asciiTheme="minorHAnsi" w:hAnsiTheme="minorHAnsi"/>
          <w:b/>
          <w:szCs w:val="24"/>
          <w:u w:val="single"/>
        </w:rPr>
      </w:pPr>
      <w:r>
        <w:rPr>
          <w:rFonts w:asciiTheme="minorHAnsi" w:hAnsiTheme="minorHAnsi"/>
          <w:b/>
          <w:szCs w:val="24"/>
          <w:u w:val="single"/>
        </w:rPr>
        <w:t>Dolutegravir</w:t>
      </w:r>
    </w:p>
    <w:p w14:paraId="333B968C" w14:textId="77777777" w:rsidR="00A36805" w:rsidRPr="00F952D6" w:rsidRDefault="00A36805" w:rsidP="00F952D6">
      <w:pPr>
        <w:pStyle w:val="ListBullet"/>
        <w:tabs>
          <w:tab w:val="clear" w:pos="1080"/>
        </w:tabs>
        <w:ind w:left="426" w:hanging="426"/>
      </w:pPr>
      <w:r w:rsidRPr="00C165D3">
        <w:t>Generally well tolerated</w:t>
      </w:r>
    </w:p>
    <w:p w14:paraId="100B3B53" w14:textId="77777777" w:rsidR="00A36805" w:rsidRPr="00F952D6" w:rsidRDefault="00A36805" w:rsidP="00F952D6">
      <w:pPr>
        <w:pStyle w:val="ListBullet"/>
        <w:tabs>
          <w:tab w:val="clear" w:pos="1080"/>
        </w:tabs>
        <w:ind w:left="426" w:hanging="426"/>
      </w:pPr>
      <w:r w:rsidRPr="00F952D6">
        <w:t>Drugs that are contraindicated</w:t>
      </w:r>
    </w:p>
    <w:p w14:paraId="19EF970D" w14:textId="77777777" w:rsidR="00A36805" w:rsidRPr="00DA5135" w:rsidRDefault="00A36805" w:rsidP="00F952D6">
      <w:pPr>
        <w:pStyle w:val="ListParagraph"/>
        <w:numPr>
          <w:ilvl w:val="0"/>
          <w:numId w:val="21"/>
        </w:numPr>
        <w:ind w:left="851" w:hanging="425"/>
        <w:rPr>
          <w:b/>
          <w:u w:val="single"/>
        </w:rPr>
      </w:pPr>
      <w:proofErr w:type="spellStart"/>
      <w:r w:rsidRPr="00C165D3">
        <w:t>Dofetilide</w:t>
      </w:r>
      <w:proofErr w:type="spellEnd"/>
      <w:r w:rsidRPr="00C165D3">
        <w:t xml:space="preserve"> (not available in Australia)</w:t>
      </w:r>
    </w:p>
    <w:p w14:paraId="17829488" w14:textId="77777777" w:rsidR="00A36805" w:rsidRPr="00F952D6" w:rsidRDefault="00A36805" w:rsidP="00F952D6">
      <w:pPr>
        <w:pStyle w:val="ListBullet"/>
        <w:tabs>
          <w:tab w:val="clear" w:pos="1080"/>
        </w:tabs>
        <w:ind w:left="426" w:hanging="426"/>
      </w:pPr>
      <w:r w:rsidRPr="00C165D3">
        <w:t xml:space="preserve">Drugs that should be used with caution </w:t>
      </w:r>
    </w:p>
    <w:p w14:paraId="0788F1D6" w14:textId="77777777" w:rsidR="00A36805" w:rsidRPr="00DA5135" w:rsidRDefault="00A36805" w:rsidP="00F952D6">
      <w:pPr>
        <w:pStyle w:val="ListParagraph"/>
        <w:numPr>
          <w:ilvl w:val="0"/>
          <w:numId w:val="21"/>
        </w:numPr>
        <w:ind w:left="851" w:hanging="425"/>
      </w:pPr>
      <w:r w:rsidRPr="00DA5135">
        <w:t>Phenytoin, phenobarbital, rifampicin, St John’s Wort, carbamazepine - increase dolutegravir dose to 50mg BD or stop St. John’s Wort.</w:t>
      </w:r>
    </w:p>
    <w:p w14:paraId="2BB25CB6" w14:textId="77777777" w:rsidR="00A36805" w:rsidRPr="00DA5135" w:rsidRDefault="00A36805" w:rsidP="00F952D6">
      <w:pPr>
        <w:pStyle w:val="ListParagraph"/>
        <w:numPr>
          <w:ilvl w:val="0"/>
          <w:numId w:val="21"/>
        </w:numPr>
        <w:ind w:left="851" w:hanging="425"/>
      </w:pPr>
      <w:r w:rsidRPr="00DA5135">
        <w:t xml:space="preserve"> Antacids containing polyvalent cations e.g. Mg or Al – use at least 2 hours before or 6 hours after the dolutegravir dose. </w:t>
      </w:r>
    </w:p>
    <w:p w14:paraId="749B6DE8" w14:textId="77777777" w:rsidR="00A36805" w:rsidRPr="00DA5135" w:rsidRDefault="00A36805" w:rsidP="00F952D6">
      <w:pPr>
        <w:pStyle w:val="ListParagraph"/>
        <w:numPr>
          <w:ilvl w:val="0"/>
          <w:numId w:val="21"/>
        </w:numPr>
        <w:ind w:left="851" w:hanging="425"/>
      </w:pPr>
      <w:r w:rsidRPr="00DA5135">
        <w:t xml:space="preserve">Products containing calcium or iron – use at least 2 hours before or 6 hours after the dolutegravir dose OR dose concomitantly with food. </w:t>
      </w:r>
    </w:p>
    <w:p w14:paraId="09D45B8A" w14:textId="77777777" w:rsidR="00A36805" w:rsidRPr="00DA5135" w:rsidRDefault="00A36805" w:rsidP="00F952D6">
      <w:pPr>
        <w:pStyle w:val="ListParagraph"/>
        <w:numPr>
          <w:ilvl w:val="0"/>
          <w:numId w:val="21"/>
        </w:numPr>
        <w:ind w:left="851" w:hanging="425"/>
      </w:pPr>
      <w:r w:rsidRPr="00DA5135">
        <w:t>Metformin – increase monitoring of glycaemic control, adjustment in metformin dose may be required.</w:t>
      </w:r>
    </w:p>
    <w:p w14:paraId="32C87328" w14:textId="77777777" w:rsidR="00A36805" w:rsidRDefault="00A36805" w:rsidP="00A36805">
      <w:pPr>
        <w:ind w:right="424"/>
        <w:jc w:val="both"/>
        <w:rPr>
          <w:b/>
          <w:sz w:val="20"/>
          <w:u w:val="single"/>
        </w:rPr>
      </w:pPr>
    </w:p>
    <w:p w14:paraId="4EF69DF2" w14:textId="77777777" w:rsidR="00A36805" w:rsidRDefault="00A36805" w:rsidP="00A36805">
      <w:pPr>
        <w:rPr>
          <w:rFonts w:cs="Arial"/>
          <w:b/>
          <w:iCs/>
          <w:sz w:val="16"/>
        </w:rPr>
      </w:pPr>
    </w:p>
    <w:p w14:paraId="661633A4" w14:textId="77777777" w:rsidR="00A36805" w:rsidRPr="00365535" w:rsidRDefault="00A36805" w:rsidP="00A36805">
      <w:pPr>
        <w:rPr>
          <w:rFonts w:cs="Arial"/>
          <w:iCs/>
          <w:szCs w:val="24"/>
        </w:rPr>
      </w:pPr>
      <w:r>
        <w:rPr>
          <w:rFonts w:cs="Arial"/>
          <w:b/>
          <w:iCs/>
          <w:szCs w:val="24"/>
        </w:rPr>
        <w:t>A full drug</w:t>
      </w:r>
      <w:r w:rsidRPr="00C165D3">
        <w:rPr>
          <w:rFonts w:cs="Arial"/>
          <w:b/>
          <w:iCs/>
          <w:szCs w:val="24"/>
        </w:rPr>
        <w:t xml:space="preserve"> interaction</w:t>
      </w:r>
      <w:r>
        <w:rPr>
          <w:rFonts w:cs="Arial"/>
          <w:b/>
          <w:iCs/>
          <w:szCs w:val="24"/>
        </w:rPr>
        <w:t xml:space="preserve"> check can be made on the </w:t>
      </w:r>
      <w:r w:rsidRPr="00C165D3">
        <w:rPr>
          <w:rFonts w:cs="Arial"/>
          <w:b/>
          <w:iCs/>
          <w:szCs w:val="24"/>
        </w:rPr>
        <w:t xml:space="preserve">Liverpool HIV Drug Interactions site </w:t>
      </w:r>
      <w:hyperlink r:id="rId16" w:history="1">
        <w:r w:rsidRPr="00365535">
          <w:rPr>
            <w:rStyle w:val="Hyperlink"/>
            <w:rFonts w:cs="Arial"/>
            <w:iCs/>
            <w:szCs w:val="24"/>
          </w:rPr>
          <w:t>http://www.hiv-druginteractions.org/</w:t>
        </w:r>
      </w:hyperlink>
    </w:p>
    <w:p w14:paraId="592314EB" w14:textId="77777777" w:rsidR="00A36805" w:rsidRDefault="00A36805" w:rsidP="007B6904">
      <w:pPr>
        <w:rPr>
          <w:rFonts w:cs="Arial"/>
          <w:szCs w:val="24"/>
        </w:rPr>
      </w:pPr>
    </w:p>
    <w:sectPr w:rsidR="00A36805" w:rsidSect="004213C3">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1F85B" w14:textId="77777777" w:rsidR="007B6B0B" w:rsidRDefault="007B6B0B" w:rsidP="00F66CB0">
      <w:r>
        <w:separator/>
      </w:r>
    </w:p>
  </w:endnote>
  <w:endnote w:type="continuationSeparator" w:id="0">
    <w:p w14:paraId="1651060B" w14:textId="77777777" w:rsidR="007B6B0B" w:rsidRDefault="007B6B0B" w:rsidP="00F66CB0">
      <w:r>
        <w:continuationSeparator/>
      </w:r>
    </w:p>
  </w:endnote>
  <w:endnote w:type="continuationNotice" w:id="1">
    <w:p w14:paraId="641DC187" w14:textId="77777777" w:rsidR="007B6B0B" w:rsidRDefault="007B6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48757AC4" w:rsidR="00E90708" w:rsidRPr="00542EE6" w:rsidRDefault="00C05898" w:rsidP="004213C3">
          <w:pPr>
            <w:pStyle w:val="Footer"/>
            <w:rPr>
              <w:rFonts w:cs="Arial"/>
              <w:b/>
              <w:bCs/>
              <w:sz w:val="20"/>
            </w:rPr>
          </w:pPr>
          <w:r>
            <w:rPr>
              <w:b/>
              <w:sz w:val="20"/>
            </w:rPr>
            <w:t>CHS21/487</w:t>
          </w:r>
        </w:p>
      </w:tc>
      <w:tc>
        <w:tcPr>
          <w:tcW w:w="965" w:type="dxa"/>
        </w:tcPr>
        <w:p w14:paraId="2F51A916" w14:textId="65773C27" w:rsidR="00E90708" w:rsidRPr="00B3752F" w:rsidRDefault="00C05898" w:rsidP="004213C3">
          <w:pPr>
            <w:pStyle w:val="Footer"/>
            <w:rPr>
              <w:rFonts w:cs="Arial"/>
              <w:b/>
              <w:bCs/>
              <w:sz w:val="20"/>
            </w:rPr>
          </w:pPr>
          <w:r>
            <w:rPr>
              <w:rFonts w:cs="Arial"/>
              <w:b/>
              <w:bCs/>
              <w:sz w:val="20"/>
            </w:rPr>
            <w:t>1</w:t>
          </w:r>
        </w:p>
      </w:tc>
      <w:tc>
        <w:tcPr>
          <w:tcW w:w="1552" w:type="dxa"/>
        </w:tcPr>
        <w:p w14:paraId="2F51A917" w14:textId="7A7B7F82" w:rsidR="00E90708" w:rsidRPr="00B3752F" w:rsidRDefault="00C05898" w:rsidP="004213C3">
          <w:pPr>
            <w:pStyle w:val="Footer"/>
            <w:rPr>
              <w:rFonts w:cs="Arial"/>
              <w:b/>
              <w:bCs/>
              <w:sz w:val="20"/>
            </w:rPr>
          </w:pPr>
          <w:r>
            <w:rPr>
              <w:rFonts w:cs="Arial"/>
              <w:b/>
              <w:bCs/>
              <w:sz w:val="20"/>
            </w:rPr>
            <w:t>20/08/2021</w:t>
          </w:r>
        </w:p>
      </w:tc>
      <w:tc>
        <w:tcPr>
          <w:tcW w:w="1456" w:type="dxa"/>
        </w:tcPr>
        <w:p w14:paraId="2F51A918" w14:textId="0B0D1DA0" w:rsidR="00E90708" w:rsidRPr="00B3752F" w:rsidRDefault="00C05898" w:rsidP="004213C3">
          <w:pPr>
            <w:pStyle w:val="Footer"/>
            <w:rPr>
              <w:rFonts w:cs="Arial"/>
              <w:b/>
              <w:bCs/>
              <w:sz w:val="20"/>
            </w:rPr>
          </w:pPr>
          <w:r>
            <w:rPr>
              <w:rFonts w:cs="Arial"/>
              <w:b/>
              <w:bCs/>
              <w:sz w:val="20"/>
            </w:rPr>
            <w:t>01/09/2024</w:t>
          </w:r>
        </w:p>
      </w:tc>
      <w:tc>
        <w:tcPr>
          <w:tcW w:w="1746" w:type="dxa"/>
        </w:tcPr>
        <w:p w14:paraId="2F51A919" w14:textId="393802BB" w:rsidR="00E90708" w:rsidRPr="00B3752F" w:rsidRDefault="00C05898" w:rsidP="004213C3">
          <w:pPr>
            <w:pStyle w:val="Footer"/>
            <w:rPr>
              <w:rFonts w:cs="Arial"/>
              <w:b/>
              <w:bCs/>
              <w:sz w:val="20"/>
            </w:rPr>
          </w:pPr>
          <w:r>
            <w:rPr>
              <w:rFonts w:cs="Arial"/>
              <w:b/>
              <w:bCs/>
              <w:sz w:val="20"/>
            </w:rPr>
            <w:t>Medicine - ED</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7B6B0B">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236DF" w14:textId="77777777" w:rsidR="007B6B0B" w:rsidRDefault="007B6B0B" w:rsidP="00F66CB0">
      <w:r>
        <w:separator/>
      </w:r>
    </w:p>
  </w:footnote>
  <w:footnote w:type="continuationSeparator" w:id="0">
    <w:p w14:paraId="2A6ACA8B" w14:textId="77777777" w:rsidR="007B6B0B" w:rsidRDefault="007B6B0B" w:rsidP="00F66CB0">
      <w:r>
        <w:continuationSeparator/>
      </w:r>
    </w:p>
  </w:footnote>
  <w:footnote w:type="continuationNotice" w:id="1">
    <w:p w14:paraId="4E3646AB" w14:textId="77777777" w:rsidR="007B6B0B" w:rsidRDefault="007B6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480D9B3F">
      <w:trPr>
        <w:trHeight w:val="1418"/>
      </w:trPr>
      <w:tc>
        <w:tcPr>
          <w:tcW w:w="5556" w:type="dxa"/>
          <w:vAlign w:val="center"/>
          <w:hideMark/>
        </w:tcPr>
        <w:p w14:paraId="2F51A90A" w14:textId="5F72D3B6" w:rsidR="00E90708" w:rsidRDefault="480D9B3F" w:rsidP="0074223E">
          <w:pPr>
            <w:pStyle w:val="Header"/>
            <w:rPr>
              <w:sz w:val="20"/>
            </w:rPr>
          </w:pPr>
          <w:r>
            <w:rPr>
              <w:noProof/>
            </w:rPr>
            <w:drawing>
              <wp:inline distT="0" distB="0" distL="0" distR="0" wp14:anchorId="5330CC0D" wp14:editId="56762BE6">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583A4A8C" w:rsidR="00E90708" w:rsidRDefault="00C05898">
          <w:pPr>
            <w:pStyle w:val="Header"/>
            <w:tabs>
              <w:tab w:val="left" w:pos="720"/>
            </w:tabs>
            <w:jc w:val="right"/>
            <w:rPr>
              <w:sz w:val="20"/>
            </w:rPr>
          </w:pPr>
          <w:bookmarkStart w:id="31" w:name="_top"/>
          <w:bookmarkEnd w:id="31"/>
          <w:r>
            <w:rPr>
              <w:sz w:val="20"/>
            </w:rPr>
            <w:t>CHS21/487</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B0272BF"/>
    <w:multiLevelType w:val="hybridMultilevel"/>
    <w:tmpl w:val="CB24CB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3B4674"/>
    <w:multiLevelType w:val="hybridMultilevel"/>
    <w:tmpl w:val="0D908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BF075AC"/>
    <w:multiLevelType w:val="hybridMultilevel"/>
    <w:tmpl w:val="1CD683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0B0203"/>
    <w:multiLevelType w:val="hybridMultilevel"/>
    <w:tmpl w:val="DCE4B8C0"/>
    <w:lvl w:ilvl="0" w:tplc="3254322E">
      <w:start w:val="1"/>
      <w:numFmt w:val="decimal"/>
      <w:lvlText w:val="%1."/>
      <w:lvlJc w:val="left"/>
      <w:pPr>
        <w:tabs>
          <w:tab w:val="num" w:pos="720"/>
        </w:tabs>
        <w:ind w:left="720" w:hanging="360"/>
      </w:pPr>
      <w:rPr>
        <w:rFonts w:cs="Times New Roman"/>
        <w:b w:val="0"/>
      </w:rPr>
    </w:lvl>
    <w:lvl w:ilvl="1" w:tplc="0C090019">
      <w:start w:val="1"/>
      <w:numFmt w:val="lowerLetter"/>
      <w:lvlText w:val="%2."/>
      <w:lvlJc w:val="left"/>
      <w:pPr>
        <w:tabs>
          <w:tab w:val="num" w:pos="1440"/>
        </w:tabs>
        <w:ind w:left="1440" w:hanging="360"/>
      </w:pPr>
      <w:rPr>
        <w:rFonts w:hint="default"/>
      </w:rPr>
    </w:lvl>
    <w:lvl w:ilvl="2" w:tplc="8F3EA268">
      <w:start w:val="1"/>
      <w:numFmt w:val="lowerLetter"/>
      <w:lvlText w:val="%3."/>
      <w:lvlJc w:val="left"/>
      <w:pPr>
        <w:tabs>
          <w:tab w:val="num" w:pos="2340"/>
        </w:tabs>
        <w:ind w:left="2340" w:hanging="360"/>
      </w:pPr>
      <w:rPr>
        <w:rFonts w:ascii="Times New Roman" w:eastAsia="Times New Roman" w:hAnsi="Times New Roman" w:cs="Times New Roman"/>
      </w:rPr>
    </w:lvl>
    <w:lvl w:ilvl="3" w:tplc="0C090001">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C56D62"/>
    <w:multiLevelType w:val="hybridMultilevel"/>
    <w:tmpl w:val="0E60E8B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3E0E6CD1"/>
    <w:multiLevelType w:val="hybridMultilevel"/>
    <w:tmpl w:val="A4F02F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583EEB"/>
    <w:multiLevelType w:val="hybridMultilevel"/>
    <w:tmpl w:val="138E6E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5" w15:restartNumberingAfterBreak="0">
    <w:nsid w:val="53150270"/>
    <w:multiLevelType w:val="hybridMultilevel"/>
    <w:tmpl w:val="5C6628DC"/>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642D578E"/>
    <w:multiLevelType w:val="hybridMultilevel"/>
    <w:tmpl w:val="54362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941EDB"/>
    <w:multiLevelType w:val="hybridMultilevel"/>
    <w:tmpl w:val="EEE8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4B700B"/>
    <w:multiLevelType w:val="hybridMultilevel"/>
    <w:tmpl w:val="3D6A7EA0"/>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BC45796"/>
    <w:multiLevelType w:val="hybridMultilevel"/>
    <w:tmpl w:val="BDA4E5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9"/>
  </w:num>
  <w:num w:numId="4">
    <w:abstractNumId w:val="4"/>
  </w:num>
  <w:num w:numId="5">
    <w:abstractNumId w:val="8"/>
  </w:num>
  <w:num w:numId="6">
    <w:abstractNumId w:val="20"/>
  </w:num>
  <w:num w:numId="7">
    <w:abstractNumId w:val="14"/>
  </w:num>
  <w:num w:numId="8">
    <w:abstractNumId w:val="0"/>
  </w:num>
  <w:num w:numId="9">
    <w:abstractNumId w:val="0"/>
  </w:num>
  <w:num w:numId="10">
    <w:abstractNumId w:val="12"/>
  </w:num>
  <w:num w:numId="11">
    <w:abstractNumId w:val="1"/>
  </w:num>
  <w:num w:numId="12">
    <w:abstractNumId w:val="5"/>
  </w:num>
  <w:num w:numId="13">
    <w:abstractNumId w:val="9"/>
  </w:num>
  <w:num w:numId="14">
    <w:abstractNumId w:val="7"/>
  </w:num>
  <w:num w:numId="15">
    <w:abstractNumId w:val="6"/>
  </w:num>
  <w:num w:numId="16">
    <w:abstractNumId w:val="21"/>
  </w:num>
  <w:num w:numId="17">
    <w:abstractNumId w:val="17"/>
  </w:num>
  <w:num w:numId="18">
    <w:abstractNumId w:val="3"/>
  </w:num>
  <w:num w:numId="19">
    <w:abstractNumId w:val="16"/>
  </w:num>
  <w:num w:numId="20">
    <w:abstractNumId w:val="13"/>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0"/>
  </w:num>
  <w:num w:numId="26">
    <w:abstractNumId w:val="0"/>
  </w:num>
  <w:num w:numId="27">
    <w:abstractNumId w:val="18"/>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32AE1"/>
    <w:rsid w:val="000607C7"/>
    <w:rsid w:val="00091AC9"/>
    <w:rsid w:val="00095ECD"/>
    <w:rsid w:val="000A7335"/>
    <w:rsid w:val="000B1620"/>
    <w:rsid w:val="000B5C8C"/>
    <w:rsid w:val="000B71ED"/>
    <w:rsid w:val="000C59E2"/>
    <w:rsid w:val="000C7B2D"/>
    <w:rsid w:val="000D1C7F"/>
    <w:rsid w:val="000E1771"/>
    <w:rsid w:val="000F7B7E"/>
    <w:rsid w:val="00103EEA"/>
    <w:rsid w:val="001115D7"/>
    <w:rsid w:val="00191109"/>
    <w:rsid w:val="00191235"/>
    <w:rsid w:val="00191F02"/>
    <w:rsid w:val="001926F4"/>
    <w:rsid w:val="00195F45"/>
    <w:rsid w:val="001A0053"/>
    <w:rsid w:val="001B2465"/>
    <w:rsid w:val="001B3435"/>
    <w:rsid w:val="001F2A9B"/>
    <w:rsid w:val="001F6D2D"/>
    <w:rsid w:val="002001DF"/>
    <w:rsid w:val="002003A5"/>
    <w:rsid w:val="00200D04"/>
    <w:rsid w:val="00201FB6"/>
    <w:rsid w:val="002350E9"/>
    <w:rsid w:val="002405CF"/>
    <w:rsid w:val="00240B97"/>
    <w:rsid w:val="0025382D"/>
    <w:rsid w:val="00263BA6"/>
    <w:rsid w:val="0027264D"/>
    <w:rsid w:val="0027512B"/>
    <w:rsid w:val="00285D38"/>
    <w:rsid w:val="00293E43"/>
    <w:rsid w:val="002B5F43"/>
    <w:rsid w:val="002C350C"/>
    <w:rsid w:val="002E78E0"/>
    <w:rsid w:val="00310E83"/>
    <w:rsid w:val="00313707"/>
    <w:rsid w:val="0032270B"/>
    <w:rsid w:val="00337E7C"/>
    <w:rsid w:val="00346F10"/>
    <w:rsid w:val="00351CD9"/>
    <w:rsid w:val="00353CBB"/>
    <w:rsid w:val="003579D4"/>
    <w:rsid w:val="0036186E"/>
    <w:rsid w:val="00366924"/>
    <w:rsid w:val="003759E6"/>
    <w:rsid w:val="00376A6D"/>
    <w:rsid w:val="00380B98"/>
    <w:rsid w:val="00387D4F"/>
    <w:rsid w:val="00392B88"/>
    <w:rsid w:val="00395E36"/>
    <w:rsid w:val="00396023"/>
    <w:rsid w:val="003A0D51"/>
    <w:rsid w:val="003C204E"/>
    <w:rsid w:val="003C4BB5"/>
    <w:rsid w:val="003D1E32"/>
    <w:rsid w:val="003E4CC0"/>
    <w:rsid w:val="003E5966"/>
    <w:rsid w:val="003E6BA2"/>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0FBE"/>
    <w:rsid w:val="004D5E0B"/>
    <w:rsid w:val="004D6932"/>
    <w:rsid w:val="004D77D7"/>
    <w:rsid w:val="004E1709"/>
    <w:rsid w:val="004E28AD"/>
    <w:rsid w:val="004F0F49"/>
    <w:rsid w:val="004F1D05"/>
    <w:rsid w:val="004F2008"/>
    <w:rsid w:val="00505B5D"/>
    <w:rsid w:val="005067CA"/>
    <w:rsid w:val="0052443C"/>
    <w:rsid w:val="0052775E"/>
    <w:rsid w:val="005416F0"/>
    <w:rsid w:val="00542514"/>
    <w:rsid w:val="00546AED"/>
    <w:rsid w:val="005512EF"/>
    <w:rsid w:val="00555D55"/>
    <w:rsid w:val="005606E1"/>
    <w:rsid w:val="005621E4"/>
    <w:rsid w:val="00582155"/>
    <w:rsid w:val="00590902"/>
    <w:rsid w:val="00592A14"/>
    <w:rsid w:val="00596FD7"/>
    <w:rsid w:val="005A3625"/>
    <w:rsid w:val="005A762A"/>
    <w:rsid w:val="005B4738"/>
    <w:rsid w:val="005C212D"/>
    <w:rsid w:val="005C3CB0"/>
    <w:rsid w:val="005D252F"/>
    <w:rsid w:val="005E1140"/>
    <w:rsid w:val="005F0984"/>
    <w:rsid w:val="005F3214"/>
    <w:rsid w:val="00612231"/>
    <w:rsid w:val="00623FAF"/>
    <w:rsid w:val="00635EB1"/>
    <w:rsid w:val="006473BB"/>
    <w:rsid w:val="006641FC"/>
    <w:rsid w:val="0066495D"/>
    <w:rsid w:val="00674ECA"/>
    <w:rsid w:val="00695EB6"/>
    <w:rsid w:val="0069690A"/>
    <w:rsid w:val="006A3770"/>
    <w:rsid w:val="006A4D46"/>
    <w:rsid w:val="006A6024"/>
    <w:rsid w:val="006B5648"/>
    <w:rsid w:val="006C31FF"/>
    <w:rsid w:val="006C6256"/>
    <w:rsid w:val="006C6B6C"/>
    <w:rsid w:val="006C704D"/>
    <w:rsid w:val="006D31A2"/>
    <w:rsid w:val="0070331D"/>
    <w:rsid w:val="007052B1"/>
    <w:rsid w:val="00711BF4"/>
    <w:rsid w:val="00741B43"/>
    <w:rsid w:val="0074223E"/>
    <w:rsid w:val="00750864"/>
    <w:rsid w:val="007543AC"/>
    <w:rsid w:val="00756537"/>
    <w:rsid w:val="00756A2B"/>
    <w:rsid w:val="00780A10"/>
    <w:rsid w:val="007A0EBC"/>
    <w:rsid w:val="007B08E9"/>
    <w:rsid w:val="007B20A1"/>
    <w:rsid w:val="007B27F1"/>
    <w:rsid w:val="007B4ABB"/>
    <w:rsid w:val="007B6904"/>
    <w:rsid w:val="007B6B0B"/>
    <w:rsid w:val="007B7628"/>
    <w:rsid w:val="007C36E4"/>
    <w:rsid w:val="007C55C4"/>
    <w:rsid w:val="007F4994"/>
    <w:rsid w:val="00811518"/>
    <w:rsid w:val="00816782"/>
    <w:rsid w:val="0082141D"/>
    <w:rsid w:val="00827F24"/>
    <w:rsid w:val="00845445"/>
    <w:rsid w:val="00855DA8"/>
    <w:rsid w:val="00873389"/>
    <w:rsid w:val="008821E4"/>
    <w:rsid w:val="0088568A"/>
    <w:rsid w:val="00886399"/>
    <w:rsid w:val="008974CA"/>
    <w:rsid w:val="00897A9A"/>
    <w:rsid w:val="008A5783"/>
    <w:rsid w:val="008C4EF2"/>
    <w:rsid w:val="008E1F7F"/>
    <w:rsid w:val="008F00E8"/>
    <w:rsid w:val="00906142"/>
    <w:rsid w:val="00920D86"/>
    <w:rsid w:val="00931B93"/>
    <w:rsid w:val="00933EED"/>
    <w:rsid w:val="00940CDE"/>
    <w:rsid w:val="00950329"/>
    <w:rsid w:val="00962C46"/>
    <w:rsid w:val="009633F9"/>
    <w:rsid w:val="00972A37"/>
    <w:rsid w:val="0097742A"/>
    <w:rsid w:val="0097744F"/>
    <w:rsid w:val="00980EED"/>
    <w:rsid w:val="00991670"/>
    <w:rsid w:val="00991BFB"/>
    <w:rsid w:val="009A79E8"/>
    <w:rsid w:val="009B6C8C"/>
    <w:rsid w:val="009C0FCA"/>
    <w:rsid w:val="009C3963"/>
    <w:rsid w:val="009D323C"/>
    <w:rsid w:val="009E70F4"/>
    <w:rsid w:val="009F0340"/>
    <w:rsid w:val="00A068EF"/>
    <w:rsid w:val="00A11DFC"/>
    <w:rsid w:val="00A16087"/>
    <w:rsid w:val="00A35CF9"/>
    <w:rsid w:val="00A35E2D"/>
    <w:rsid w:val="00A36805"/>
    <w:rsid w:val="00A54CB3"/>
    <w:rsid w:val="00A74B8A"/>
    <w:rsid w:val="00A85F61"/>
    <w:rsid w:val="00A86DB3"/>
    <w:rsid w:val="00A92E4F"/>
    <w:rsid w:val="00AA25DC"/>
    <w:rsid w:val="00AB4C76"/>
    <w:rsid w:val="00AB50DD"/>
    <w:rsid w:val="00AC7025"/>
    <w:rsid w:val="00AD196F"/>
    <w:rsid w:val="00AD3CCE"/>
    <w:rsid w:val="00B07A46"/>
    <w:rsid w:val="00B07DCE"/>
    <w:rsid w:val="00B12123"/>
    <w:rsid w:val="00B20FD8"/>
    <w:rsid w:val="00B21043"/>
    <w:rsid w:val="00B42EA0"/>
    <w:rsid w:val="00B44CAC"/>
    <w:rsid w:val="00B573D6"/>
    <w:rsid w:val="00B57A24"/>
    <w:rsid w:val="00B62A6F"/>
    <w:rsid w:val="00B73E65"/>
    <w:rsid w:val="00B81455"/>
    <w:rsid w:val="00B9627F"/>
    <w:rsid w:val="00BA2415"/>
    <w:rsid w:val="00BA4DB2"/>
    <w:rsid w:val="00BA4F95"/>
    <w:rsid w:val="00BB33F9"/>
    <w:rsid w:val="00BC3CE6"/>
    <w:rsid w:val="00BE5E41"/>
    <w:rsid w:val="00BF078E"/>
    <w:rsid w:val="00C05898"/>
    <w:rsid w:val="00C24EDC"/>
    <w:rsid w:val="00C25A76"/>
    <w:rsid w:val="00C31EB3"/>
    <w:rsid w:val="00C32206"/>
    <w:rsid w:val="00C3224F"/>
    <w:rsid w:val="00C3559A"/>
    <w:rsid w:val="00C422C8"/>
    <w:rsid w:val="00C45C67"/>
    <w:rsid w:val="00C47091"/>
    <w:rsid w:val="00C523FF"/>
    <w:rsid w:val="00C56FF2"/>
    <w:rsid w:val="00C71C3C"/>
    <w:rsid w:val="00C76998"/>
    <w:rsid w:val="00C93E83"/>
    <w:rsid w:val="00CA593D"/>
    <w:rsid w:val="00CA637C"/>
    <w:rsid w:val="00CC5D11"/>
    <w:rsid w:val="00CD1505"/>
    <w:rsid w:val="00CF5A1C"/>
    <w:rsid w:val="00D21780"/>
    <w:rsid w:val="00D23346"/>
    <w:rsid w:val="00D243B8"/>
    <w:rsid w:val="00D260EB"/>
    <w:rsid w:val="00D34794"/>
    <w:rsid w:val="00D4502D"/>
    <w:rsid w:val="00D50A58"/>
    <w:rsid w:val="00D530CE"/>
    <w:rsid w:val="00D53E3C"/>
    <w:rsid w:val="00D6449D"/>
    <w:rsid w:val="00D77950"/>
    <w:rsid w:val="00D9491A"/>
    <w:rsid w:val="00DA0805"/>
    <w:rsid w:val="00DC3762"/>
    <w:rsid w:val="00DC5C47"/>
    <w:rsid w:val="00DD616A"/>
    <w:rsid w:val="00DE0465"/>
    <w:rsid w:val="00DE1505"/>
    <w:rsid w:val="00DE3147"/>
    <w:rsid w:val="00DE4E25"/>
    <w:rsid w:val="00DF57C7"/>
    <w:rsid w:val="00E049ED"/>
    <w:rsid w:val="00E34E6D"/>
    <w:rsid w:val="00E37CD4"/>
    <w:rsid w:val="00E5074B"/>
    <w:rsid w:val="00E57848"/>
    <w:rsid w:val="00E73459"/>
    <w:rsid w:val="00E750BF"/>
    <w:rsid w:val="00E77F4C"/>
    <w:rsid w:val="00E81E40"/>
    <w:rsid w:val="00E90708"/>
    <w:rsid w:val="00EC4E7A"/>
    <w:rsid w:val="00ED21C3"/>
    <w:rsid w:val="00ED388C"/>
    <w:rsid w:val="00ED46C3"/>
    <w:rsid w:val="00ED4806"/>
    <w:rsid w:val="00EE11DA"/>
    <w:rsid w:val="00EF02B0"/>
    <w:rsid w:val="00EF13A4"/>
    <w:rsid w:val="00F01B61"/>
    <w:rsid w:val="00F11338"/>
    <w:rsid w:val="00F13AE5"/>
    <w:rsid w:val="00F149FD"/>
    <w:rsid w:val="00F14EC1"/>
    <w:rsid w:val="00F4262F"/>
    <w:rsid w:val="00F42C62"/>
    <w:rsid w:val="00F53719"/>
    <w:rsid w:val="00F57291"/>
    <w:rsid w:val="00F66CB0"/>
    <w:rsid w:val="00F76C89"/>
    <w:rsid w:val="00F90EB6"/>
    <w:rsid w:val="00F9158A"/>
    <w:rsid w:val="00F952D6"/>
    <w:rsid w:val="00F96CDE"/>
    <w:rsid w:val="00FA29B8"/>
    <w:rsid w:val="00FC7CBC"/>
    <w:rsid w:val="00FD3D92"/>
    <w:rsid w:val="00FE0F79"/>
    <w:rsid w:val="00FF56DD"/>
    <w:rsid w:val="086AF056"/>
    <w:rsid w:val="0A638849"/>
    <w:rsid w:val="2A7675AA"/>
    <w:rsid w:val="3AC6DAE1"/>
    <w:rsid w:val="480D9B3F"/>
    <w:rsid w:val="52E87BA7"/>
    <w:rsid w:val="536BDDC0"/>
    <w:rsid w:val="58816027"/>
    <w:rsid w:val="696F999D"/>
    <w:rsid w:val="717D6809"/>
    <w:rsid w:val="749F5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1A84E"/>
  <w15:docId w15:val="{40BB20F9-FF3E-4935-B40A-64BA08BF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99"/>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rmalWeb">
    <w:name w:val="Normal (Web)"/>
    <w:basedOn w:val="Normal"/>
    <w:uiPriority w:val="99"/>
    <w:unhideWhenUsed/>
    <w:rsid w:val="00F96CDE"/>
    <w:pPr>
      <w:spacing w:before="100" w:beforeAutospacing="1" w:after="100" w:afterAutospacing="1"/>
    </w:pPr>
    <w:rPr>
      <w:rFonts w:ascii="Times New Roman" w:hAnsi="Times New Roman"/>
      <w:szCs w:val="24"/>
      <w:lang w:eastAsia="en-AU"/>
    </w:rPr>
  </w:style>
  <w:style w:type="character" w:styleId="HTMLDefinition">
    <w:name w:val="HTML Definition"/>
    <w:basedOn w:val="DefaultParagraphFont"/>
    <w:uiPriority w:val="99"/>
    <w:semiHidden/>
    <w:unhideWhenUsed/>
    <w:rsid w:val="00A36805"/>
    <w:rPr>
      <w:i/>
      <w:iCs/>
    </w:rPr>
  </w:style>
  <w:style w:type="character" w:styleId="UnresolvedMention">
    <w:name w:val="Unresolved Mention"/>
    <w:basedOn w:val="DefaultParagraphFont"/>
    <w:uiPriority w:val="99"/>
    <w:semiHidden/>
    <w:unhideWhenUsed/>
    <w:rsid w:val="0092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549001673">
      <w:bodyDiv w:val="1"/>
      <w:marLeft w:val="0"/>
      <w:marRight w:val="0"/>
      <w:marTop w:val="0"/>
      <w:marBottom w:val="0"/>
      <w:divBdr>
        <w:top w:val="none" w:sz="0" w:space="0" w:color="auto"/>
        <w:left w:val="none" w:sz="0" w:space="0" w:color="auto"/>
        <w:bottom w:val="none" w:sz="0" w:space="0" w:color="auto"/>
        <w:right w:val="none" w:sz="0" w:space="0" w:color="auto"/>
      </w:divBdr>
    </w:div>
    <w:div w:id="551814734">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687487597">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931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gldcdp.tg.org.au/viewTopic?topicfile=postexposure-prophylaxis-bloodborne-viruses&amp;guidelineName=Antibiotic&amp;topicNavigation=navigateTopi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unisationhandbook.health.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v-druginteraction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p.guidelines.org.a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p.guidelines.org.au/index.php/prescribing-pep/when-to-prescribe-p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2021-08-10T14:00:00+00:00</Approval_x0020_Date>
    <Review_x0020_Date xmlns="690b2128-8961-48af-a473-22c34a9accba">2024-08-31T14:00:00+00:00</Review_x0020_Date>
    <TaxCatchAll xmlns="c0239a80-7f07-4ed7-82c3-24ad7d76ada5" xsi:nil="true"/>
    <Version_x0020_Number xmlns="690b2128-8961-48af-a473-22c34a9accba">1</Version_x0020_Number>
    <Notes0 xmlns="690b2128-8961-48af-a473-22c34a9accba" xsi:nil="true"/>
    <Key_x0020_Words xmlns="690b2128-8961-48af-a473-22c34a9accba">Non occupational exposure, HIV, PEP, sexual health, ED, emergency, post, exposure, prophylaxis</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High</Risk_x0020_Rating>
    <Description0 xmlns="690b2128-8961-48af-a473-22c34a9accba">This document applies to adult, adolescent or paediatric patients that present for HIV Post Exposure Prophylaxis (PEP) at CHS.</Description0>
    <Display_x0020_on_x0020_Internet xmlns="690b2128-8961-48af-a473-22c34a9accba">true</Display_x0020_on_x0020_Internet>
    <Related_x0020_Documents xmlns="690b2128-8961-48af-a473-22c34a9accba" xsi:nil="true"/>
    <Decision_x0020_Number xmlns="690b2128-8961-48af-a473-22c34a9accba">CHS21/487</Decision_x0020_Number>
    <New_x0020_Owner xmlns="690b2128-8961-48af-a473-22c34a9accba">Medicine - Emergency Department</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297F58B0-E6BF-4237-9984-6DF2E01C04FA}">
  <ds:schemaRefs>
    <ds:schemaRef ds:uri="http://schemas.microsoft.com/office/2006/documentManagement/types"/>
    <ds:schemaRef ds:uri="0c8e588b-9c83-49d3-a6c8-a54de8f95e6a"/>
    <ds:schemaRef ds:uri="http://purl.org/dc/elements/1.1/"/>
    <ds:schemaRef ds:uri="http://schemas.openxmlformats.org/package/2006/metadata/core-properties"/>
    <ds:schemaRef ds:uri="http://schemas.microsoft.com/office/infopath/2007/PartnerControls"/>
    <ds:schemaRef ds:uri="38353f82-a9b7-46dc-b9a0-4477ddce7c7c"/>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7D634F8-B6EA-49CD-B9E6-F84B0D522706}"/>
</file>

<file path=docProps/app.xml><?xml version="1.0" encoding="utf-8"?>
<Properties xmlns="http://schemas.openxmlformats.org/officeDocument/2006/extended-properties" xmlns:vt="http://schemas.openxmlformats.org/officeDocument/2006/docPropsVTypes">
  <Template>Normal</Template>
  <TotalTime>40</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10989</CharactersWithSpaces>
  <SharedDoc>false</SharedDoc>
  <HLinks>
    <vt:vector size="138" baseType="variant">
      <vt:variant>
        <vt:i4>6029323</vt:i4>
      </vt:variant>
      <vt:variant>
        <vt:i4>99</vt:i4>
      </vt:variant>
      <vt:variant>
        <vt:i4>0</vt:i4>
      </vt:variant>
      <vt:variant>
        <vt:i4>5</vt:i4>
      </vt:variant>
      <vt:variant>
        <vt:lpwstr>http://www.hiv-druginteractions.org/</vt:lpwstr>
      </vt:variant>
      <vt:variant>
        <vt:lpwstr/>
      </vt:variant>
      <vt:variant>
        <vt:i4>327745</vt:i4>
      </vt:variant>
      <vt:variant>
        <vt:i4>96</vt:i4>
      </vt:variant>
      <vt:variant>
        <vt:i4>0</vt:i4>
      </vt:variant>
      <vt:variant>
        <vt:i4>5</vt:i4>
      </vt:variant>
      <vt:variant>
        <vt:lpwstr>http://www.pep.guidelines.org.au/index.php/prescribing-pep/when-to-prescribe-pep</vt:lpwstr>
      </vt:variant>
      <vt:variant>
        <vt:lpwstr/>
      </vt:variant>
      <vt:variant>
        <vt:i4>393244</vt:i4>
      </vt:variant>
      <vt:variant>
        <vt:i4>93</vt:i4>
      </vt:variant>
      <vt:variant>
        <vt:i4>0</vt:i4>
      </vt:variant>
      <vt:variant>
        <vt:i4>5</vt:i4>
      </vt:variant>
      <vt:variant>
        <vt:lpwstr/>
      </vt:variant>
      <vt:variant>
        <vt:lpwstr>Contents</vt:lpwstr>
      </vt:variant>
      <vt:variant>
        <vt:i4>393244</vt:i4>
      </vt:variant>
      <vt:variant>
        <vt:i4>90</vt:i4>
      </vt:variant>
      <vt:variant>
        <vt:i4>0</vt:i4>
      </vt:variant>
      <vt:variant>
        <vt:i4>5</vt:i4>
      </vt:variant>
      <vt:variant>
        <vt:lpwstr/>
      </vt:variant>
      <vt:variant>
        <vt:lpwstr>Contents</vt:lpwstr>
      </vt:variant>
      <vt:variant>
        <vt:i4>393244</vt:i4>
      </vt:variant>
      <vt:variant>
        <vt:i4>87</vt:i4>
      </vt:variant>
      <vt:variant>
        <vt:i4>0</vt:i4>
      </vt:variant>
      <vt:variant>
        <vt:i4>5</vt:i4>
      </vt:variant>
      <vt:variant>
        <vt:lpwstr/>
      </vt:variant>
      <vt:variant>
        <vt:lpwstr>Contents</vt:lpwstr>
      </vt:variant>
      <vt:variant>
        <vt:i4>4980854</vt:i4>
      </vt:variant>
      <vt:variant>
        <vt:i4>84</vt:i4>
      </vt:variant>
      <vt:variant>
        <vt:i4>0</vt:i4>
      </vt:variant>
      <vt:variant>
        <vt:i4>5</vt:i4>
      </vt:variant>
      <vt:variant>
        <vt:lpwstr>https://tgldcdp.tg.org.au/viewTopic?topicfile=postexposure-prophylaxis-bloodborne-viruses&amp;guidelineName=Antibiotic&amp;topicNavigation=navigateTopic</vt:lpwstr>
      </vt:variant>
      <vt:variant>
        <vt:lpwstr>toc_d1e104</vt:lpwstr>
      </vt:variant>
      <vt:variant>
        <vt:i4>6291574</vt:i4>
      </vt:variant>
      <vt:variant>
        <vt:i4>81</vt:i4>
      </vt:variant>
      <vt:variant>
        <vt:i4>0</vt:i4>
      </vt:variant>
      <vt:variant>
        <vt:i4>5</vt:i4>
      </vt:variant>
      <vt:variant>
        <vt:lpwstr>https://immunisationhandbook.health.gov.au/</vt:lpwstr>
      </vt:variant>
      <vt:variant>
        <vt:lpwstr/>
      </vt:variant>
      <vt:variant>
        <vt:i4>4915218</vt:i4>
      </vt:variant>
      <vt:variant>
        <vt:i4>78</vt:i4>
      </vt:variant>
      <vt:variant>
        <vt:i4>0</vt:i4>
      </vt:variant>
      <vt:variant>
        <vt:i4>5</vt:i4>
      </vt:variant>
      <vt:variant>
        <vt:lpwstr>http://www.pep.guidelines.org.au/</vt:lpwstr>
      </vt:variant>
      <vt:variant>
        <vt:lpwstr/>
      </vt:variant>
      <vt:variant>
        <vt:i4>393244</vt:i4>
      </vt:variant>
      <vt:variant>
        <vt:i4>75</vt:i4>
      </vt:variant>
      <vt:variant>
        <vt:i4>0</vt:i4>
      </vt:variant>
      <vt:variant>
        <vt:i4>5</vt:i4>
      </vt:variant>
      <vt:variant>
        <vt:lpwstr/>
      </vt:variant>
      <vt:variant>
        <vt:lpwstr>Contents</vt:lpwstr>
      </vt:variant>
      <vt:variant>
        <vt:i4>393244</vt:i4>
      </vt:variant>
      <vt:variant>
        <vt:i4>72</vt:i4>
      </vt:variant>
      <vt:variant>
        <vt:i4>0</vt:i4>
      </vt:variant>
      <vt:variant>
        <vt:i4>5</vt:i4>
      </vt:variant>
      <vt:variant>
        <vt:lpwstr/>
      </vt:variant>
      <vt:variant>
        <vt:lpwstr>Contents</vt:lpwstr>
      </vt:variant>
      <vt:variant>
        <vt:i4>393244</vt:i4>
      </vt:variant>
      <vt:variant>
        <vt:i4>69</vt:i4>
      </vt:variant>
      <vt:variant>
        <vt:i4>0</vt:i4>
      </vt:variant>
      <vt:variant>
        <vt:i4>5</vt:i4>
      </vt:variant>
      <vt:variant>
        <vt:lpwstr/>
      </vt:variant>
      <vt:variant>
        <vt:lpwstr>Contents</vt:lpwstr>
      </vt:variant>
      <vt:variant>
        <vt:i4>393244</vt:i4>
      </vt:variant>
      <vt:variant>
        <vt:i4>66</vt:i4>
      </vt:variant>
      <vt:variant>
        <vt:i4>0</vt:i4>
      </vt:variant>
      <vt:variant>
        <vt:i4>5</vt:i4>
      </vt:variant>
      <vt:variant>
        <vt:lpwstr/>
      </vt:variant>
      <vt:variant>
        <vt:lpwstr>Contents</vt:lpwstr>
      </vt:variant>
      <vt:variant>
        <vt:i4>393244</vt:i4>
      </vt:variant>
      <vt:variant>
        <vt:i4>63</vt:i4>
      </vt:variant>
      <vt:variant>
        <vt:i4>0</vt:i4>
      </vt:variant>
      <vt:variant>
        <vt:i4>5</vt:i4>
      </vt:variant>
      <vt:variant>
        <vt:lpwstr/>
      </vt:variant>
      <vt:variant>
        <vt:lpwstr>Contents</vt:lpwstr>
      </vt:variant>
      <vt:variant>
        <vt:i4>1048624</vt:i4>
      </vt:variant>
      <vt:variant>
        <vt:i4>56</vt:i4>
      </vt:variant>
      <vt:variant>
        <vt:i4>0</vt:i4>
      </vt:variant>
      <vt:variant>
        <vt:i4>5</vt:i4>
      </vt:variant>
      <vt:variant>
        <vt:lpwstr/>
      </vt:variant>
      <vt:variant>
        <vt:lpwstr>_Toc77937497</vt:lpwstr>
      </vt:variant>
      <vt:variant>
        <vt:i4>1114160</vt:i4>
      </vt:variant>
      <vt:variant>
        <vt:i4>50</vt:i4>
      </vt:variant>
      <vt:variant>
        <vt:i4>0</vt:i4>
      </vt:variant>
      <vt:variant>
        <vt:i4>5</vt:i4>
      </vt:variant>
      <vt:variant>
        <vt:lpwstr/>
      </vt:variant>
      <vt:variant>
        <vt:lpwstr>_Toc77937496</vt:lpwstr>
      </vt:variant>
      <vt:variant>
        <vt:i4>1179696</vt:i4>
      </vt:variant>
      <vt:variant>
        <vt:i4>44</vt:i4>
      </vt:variant>
      <vt:variant>
        <vt:i4>0</vt:i4>
      </vt:variant>
      <vt:variant>
        <vt:i4>5</vt:i4>
      </vt:variant>
      <vt:variant>
        <vt:lpwstr/>
      </vt:variant>
      <vt:variant>
        <vt:lpwstr>_Toc77937495</vt:lpwstr>
      </vt:variant>
      <vt:variant>
        <vt:i4>1245232</vt:i4>
      </vt:variant>
      <vt:variant>
        <vt:i4>38</vt:i4>
      </vt:variant>
      <vt:variant>
        <vt:i4>0</vt:i4>
      </vt:variant>
      <vt:variant>
        <vt:i4>5</vt:i4>
      </vt:variant>
      <vt:variant>
        <vt:lpwstr/>
      </vt:variant>
      <vt:variant>
        <vt:lpwstr>_Toc77937494</vt:lpwstr>
      </vt:variant>
      <vt:variant>
        <vt:i4>1310768</vt:i4>
      </vt:variant>
      <vt:variant>
        <vt:i4>32</vt:i4>
      </vt:variant>
      <vt:variant>
        <vt:i4>0</vt:i4>
      </vt:variant>
      <vt:variant>
        <vt:i4>5</vt:i4>
      </vt:variant>
      <vt:variant>
        <vt:lpwstr/>
      </vt:variant>
      <vt:variant>
        <vt:lpwstr>_Toc77937493</vt:lpwstr>
      </vt:variant>
      <vt:variant>
        <vt:i4>1376304</vt:i4>
      </vt:variant>
      <vt:variant>
        <vt:i4>26</vt:i4>
      </vt:variant>
      <vt:variant>
        <vt:i4>0</vt:i4>
      </vt:variant>
      <vt:variant>
        <vt:i4>5</vt:i4>
      </vt:variant>
      <vt:variant>
        <vt:lpwstr/>
      </vt:variant>
      <vt:variant>
        <vt:lpwstr>_Toc77937492</vt:lpwstr>
      </vt:variant>
      <vt:variant>
        <vt:i4>1441840</vt:i4>
      </vt:variant>
      <vt:variant>
        <vt:i4>20</vt:i4>
      </vt:variant>
      <vt:variant>
        <vt:i4>0</vt:i4>
      </vt:variant>
      <vt:variant>
        <vt:i4>5</vt:i4>
      </vt:variant>
      <vt:variant>
        <vt:lpwstr/>
      </vt:variant>
      <vt:variant>
        <vt:lpwstr>_Toc77937491</vt:lpwstr>
      </vt:variant>
      <vt:variant>
        <vt:i4>1507376</vt:i4>
      </vt:variant>
      <vt:variant>
        <vt:i4>14</vt:i4>
      </vt:variant>
      <vt:variant>
        <vt:i4>0</vt:i4>
      </vt:variant>
      <vt:variant>
        <vt:i4>5</vt:i4>
      </vt:variant>
      <vt:variant>
        <vt:lpwstr/>
      </vt:variant>
      <vt:variant>
        <vt:lpwstr>_Toc77937490</vt:lpwstr>
      </vt:variant>
      <vt:variant>
        <vt:i4>1966129</vt:i4>
      </vt:variant>
      <vt:variant>
        <vt:i4>8</vt:i4>
      </vt:variant>
      <vt:variant>
        <vt:i4>0</vt:i4>
      </vt:variant>
      <vt:variant>
        <vt:i4>5</vt:i4>
      </vt:variant>
      <vt:variant>
        <vt:lpwstr/>
      </vt:variant>
      <vt:variant>
        <vt:lpwstr>_Toc77937489</vt:lpwstr>
      </vt:variant>
      <vt:variant>
        <vt:i4>2031665</vt:i4>
      </vt:variant>
      <vt:variant>
        <vt:i4>2</vt:i4>
      </vt:variant>
      <vt:variant>
        <vt:i4>0</vt:i4>
      </vt:variant>
      <vt:variant>
        <vt:i4>5</vt:i4>
      </vt:variant>
      <vt:variant>
        <vt:lpwstr/>
      </vt:variant>
      <vt:variant>
        <vt:lpwstr>_Toc77937488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Non-Occupational Post-Exposure Prophylaxis PEP</dc:title>
  <dc:subject>23;#Clinical Governance;#19;#Patient Safety;#18;#Patient Care Procedures &amp; Processes</dc:subject>
  <dc:creator>Kerryn Hunter</dc:creator>
  <cp:keywords/>
  <cp:lastModifiedBy>Stahre, Maria (Health)</cp:lastModifiedBy>
  <cp:revision>9</cp:revision>
  <cp:lastPrinted>2015-01-20T22:40:00Z</cp:lastPrinted>
  <dcterms:created xsi:type="dcterms:W3CDTF">2021-08-13T03:38:00Z</dcterms:created>
  <dcterms:modified xsi:type="dcterms:W3CDTF">2021-08-20T05:36:00Z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Rank">
    <vt:lpwstr>AND</vt:lpwstr>
  </property>
  <property fmtid="{D5CDD505-2E9C-101B-9397-08002B2CF9AE}" pid="5" name="Manager Contact">
    <vt:lpwstr/>
  </property>
</Properties>
</file>