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BB94"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0DA3D878" w14:textId="77777777" w:rsidR="001F085C" w:rsidRPr="001F085C" w:rsidRDefault="008671B6" w:rsidP="001F085C">
      <w:pPr>
        <w:spacing w:after="0"/>
        <w:rPr>
          <w:bCs/>
          <w:sz w:val="32"/>
          <w:szCs w:val="32"/>
        </w:rPr>
      </w:pPr>
      <w:bookmarkStart w:id="0" w:name="_Hlk157074578"/>
      <w:r w:rsidRPr="001F085C">
        <w:rPr>
          <w:bCs/>
          <w:sz w:val="32"/>
          <w:szCs w:val="32"/>
        </w:rPr>
        <w:t xml:space="preserve">High-Risk Medicine Standard- </w:t>
      </w:r>
      <w:r w:rsidRPr="001F085C">
        <w:rPr>
          <w:bCs/>
          <w:iCs/>
          <w:sz w:val="32"/>
          <w:szCs w:val="32"/>
        </w:rPr>
        <w:t>Heparin and other Anticoagulants</w:t>
      </w:r>
      <w:r w:rsidR="001F085C" w:rsidRPr="001F085C">
        <w:rPr>
          <w:bCs/>
          <w:sz w:val="32"/>
          <w:szCs w:val="32"/>
        </w:rPr>
        <w:t xml:space="preserve"> </w:t>
      </w:r>
    </w:p>
    <w:p w14:paraId="04420A8A" w14:textId="280717D7" w:rsidR="00CA4FDE" w:rsidRPr="008671B6" w:rsidRDefault="001F085C" w:rsidP="008671B6">
      <w:pPr>
        <w:rPr>
          <w:b/>
          <w:sz w:val="40"/>
          <w:szCs w:val="40"/>
        </w:rPr>
      </w:pPr>
      <w:r w:rsidRPr="00E31596">
        <w:t>CHS</w:t>
      </w:r>
      <w:r w:rsidR="00FF62B6">
        <w:t>24</w:t>
      </w:r>
      <w:r w:rsidRPr="00E31596">
        <w:t>/</w:t>
      </w:r>
      <w:bookmarkStart w:id="1" w:name="_Hlk174364598"/>
      <w:r w:rsidR="00FF62B6">
        <w:t>640</w:t>
      </w:r>
      <w:bookmarkEnd w:id="1"/>
    </w:p>
    <w:sdt>
      <w:sdtPr>
        <w:rPr>
          <w:sz w:val="32"/>
        </w:rPr>
        <w:id w:val="-1206019646"/>
        <w:docPartObj>
          <w:docPartGallery w:val="Table of Contents"/>
          <w:docPartUnique/>
        </w:docPartObj>
      </w:sdtPr>
      <w:sdtEndPr>
        <w:rPr>
          <w:noProof/>
        </w:rPr>
      </w:sdtEndPr>
      <w:sdtContent>
        <w:p w14:paraId="749B0794" w14:textId="77777777" w:rsidR="00A731B8" w:rsidRPr="000E7683" w:rsidRDefault="00A731B8">
          <w:pPr>
            <w:pStyle w:val="TOCHeading"/>
            <w:rPr>
              <w:rStyle w:val="Heading3Char"/>
              <w:b/>
              <w:bCs w:val="0"/>
            </w:rPr>
          </w:pPr>
          <w:r w:rsidRPr="007B1A7B">
            <w:rPr>
              <w:rStyle w:val="Heading3Char"/>
              <w:b/>
              <w:bCs w:val="0"/>
            </w:rPr>
            <w:t>Contents</w:t>
          </w:r>
        </w:p>
        <w:p w14:paraId="3AB7635B" w14:textId="0E3FE4ED" w:rsidR="00C2329F"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4132653" w:history="1">
            <w:r w:rsidR="00C2329F" w:rsidRPr="002C1482">
              <w:rPr>
                <w:rStyle w:val="Hyperlink"/>
              </w:rPr>
              <w:t>Introduction</w:t>
            </w:r>
            <w:r w:rsidR="00C2329F">
              <w:rPr>
                <w:webHidden/>
              </w:rPr>
              <w:tab/>
            </w:r>
            <w:r w:rsidR="00C2329F">
              <w:rPr>
                <w:webHidden/>
              </w:rPr>
              <w:fldChar w:fldCharType="begin"/>
            </w:r>
            <w:r w:rsidR="00C2329F">
              <w:rPr>
                <w:webHidden/>
              </w:rPr>
              <w:instrText xml:space="preserve"> PAGEREF _Toc184132653 \h </w:instrText>
            </w:r>
            <w:r w:rsidR="00C2329F">
              <w:rPr>
                <w:webHidden/>
              </w:rPr>
            </w:r>
            <w:r w:rsidR="00C2329F">
              <w:rPr>
                <w:webHidden/>
              </w:rPr>
              <w:fldChar w:fldCharType="separate"/>
            </w:r>
            <w:r w:rsidR="001F085C">
              <w:rPr>
                <w:webHidden/>
              </w:rPr>
              <w:t>2</w:t>
            </w:r>
            <w:r w:rsidR="00C2329F">
              <w:rPr>
                <w:webHidden/>
              </w:rPr>
              <w:fldChar w:fldCharType="end"/>
            </w:r>
          </w:hyperlink>
        </w:p>
        <w:p w14:paraId="286B5A46" w14:textId="081224F5" w:rsidR="00C2329F" w:rsidRDefault="00FF62B6">
          <w:pPr>
            <w:pStyle w:val="TOC1"/>
            <w:rPr>
              <w:rFonts w:asciiTheme="minorHAnsi" w:eastAsiaTheme="minorEastAsia" w:hAnsiTheme="minorHAnsi" w:cstheme="minorBidi"/>
              <w:color w:val="auto"/>
              <w:kern w:val="2"/>
              <w14:ligatures w14:val="standardContextual"/>
            </w:rPr>
          </w:pPr>
          <w:hyperlink w:anchor="_Toc184132654" w:history="1">
            <w:r w:rsidR="00C2329F" w:rsidRPr="002C1482">
              <w:rPr>
                <w:rStyle w:val="Hyperlink"/>
              </w:rPr>
              <w:t>Purpose</w:t>
            </w:r>
            <w:r w:rsidR="00C2329F">
              <w:rPr>
                <w:webHidden/>
              </w:rPr>
              <w:tab/>
            </w:r>
            <w:r w:rsidR="00C2329F">
              <w:rPr>
                <w:webHidden/>
              </w:rPr>
              <w:fldChar w:fldCharType="begin"/>
            </w:r>
            <w:r w:rsidR="00C2329F">
              <w:rPr>
                <w:webHidden/>
              </w:rPr>
              <w:instrText xml:space="preserve"> PAGEREF _Toc184132654 \h </w:instrText>
            </w:r>
            <w:r w:rsidR="00C2329F">
              <w:rPr>
                <w:webHidden/>
              </w:rPr>
            </w:r>
            <w:r w:rsidR="00C2329F">
              <w:rPr>
                <w:webHidden/>
              </w:rPr>
              <w:fldChar w:fldCharType="separate"/>
            </w:r>
            <w:r w:rsidR="001F085C">
              <w:rPr>
                <w:webHidden/>
              </w:rPr>
              <w:t>2</w:t>
            </w:r>
            <w:r w:rsidR="00C2329F">
              <w:rPr>
                <w:webHidden/>
              </w:rPr>
              <w:fldChar w:fldCharType="end"/>
            </w:r>
          </w:hyperlink>
        </w:p>
        <w:p w14:paraId="3972FC75" w14:textId="1C871EC6" w:rsidR="00C2329F" w:rsidRDefault="00FF62B6">
          <w:pPr>
            <w:pStyle w:val="TOC1"/>
            <w:rPr>
              <w:rFonts w:asciiTheme="minorHAnsi" w:eastAsiaTheme="minorEastAsia" w:hAnsiTheme="minorHAnsi" w:cstheme="minorBidi"/>
              <w:color w:val="auto"/>
              <w:kern w:val="2"/>
              <w14:ligatures w14:val="standardContextual"/>
            </w:rPr>
          </w:pPr>
          <w:hyperlink w:anchor="_Toc184132655" w:history="1">
            <w:r w:rsidR="00C2329F" w:rsidRPr="002C1482">
              <w:rPr>
                <w:rStyle w:val="Hyperlink"/>
              </w:rPr>
              <w:t>Alerts</w:t>
            </w:r>
            <w:r w:rsidR="00C2329F">
              <w:rPr>
                <w:webHidden/>
              </w:rPr>
              <w:tab/>
            </w:r>
            <w:r w:rsidR="00C2329F">
              <w:rPr>
                <w:webHidden/>
              </w:rPr>
              <w:fldChar w:fldCharType="begin"/>
            </w:r>
            <w:r w:rsidR="00C2329F">
              <w:rPr>
                <w:webHidden/>
              </w:rPr>
              <w:instrText xml:space="preserve"> PAGEREF _Toc184132655 \h </w:instrText>
            </w:r>
            <w:r w:rsidR="00C2329F">
              <w:rPr>
                <w:webHidden/>
              </w:rPr>
            </w:r>
            <w:r w:rsidR="00C2329F">
              <w:rPr>
                <w:webHidden/>
              </w:rPr>
              <w:fldChar w:fldCharType="separate"/>
            </w:r>
            <w:r w:rsidR="001F085C">
              <w:rPr>
                <w:webHidden/>
              </w:rPr>
              <w:t>3</w:t>
            </w:r>
            <w:r w:rsidR="00C2329F">
              <w:rPr>
                <w:webHidden/>
              </w:rPr>
              <w:fldChar w:fldCharType="end"/>
            </w:r>
          </w:hyperlink>
        </w:p>
        <w:p w14:paraId="0B4BE3DB" w14:textId="7F1238A3" w:rsidR="00C2329F" w:rsidRDefault="00FF62B6">
          <w:pPr>
            <w:pStyle w:val="TOC1"/>
            <w:rPr>
              <w:rFonts w:asciiTheme="minorHAnsi" w:eastAsiaTheme="minorEastAsia" w:hAnsiTheme="minorHAnsi" w:cstheme="minorBidi"/>
              <w:color w:val="auto"/>
              <w:kern w:val="2"/>
              <w14:ligatures w14:val="standardContextual"/>
            </w:rPr>
          </w:pPr>
          <w:hyperlink w:anchor="_Toc184132656" w:history="1">
            <w:r w:rsidR="00C2329F" w:rsidRPr="002C1482">
              <w:rPr>
                <w:rStyle w:val="Hyperlink"/>
              </w:rPr>
              <w:t>Scope</w:t>
            </w:r>
            <w:r w:rsidR="00C2329F">
              <w:rPr>
                <w:webHidden/>
              </w:rPr>
              <w:tab/>
            </w:r>
            <w:r w:rsidR="00C2329F">
              <w:rPr>
                <w:webHidden/>
              </w:rPr>
              <w:fldChar w:fldCharType="begin"/>
            </w:r>
            <w:r w:rsidR="00C2329F">
              <w:rPr>
                <w:webHidden/>
              </w:rPr>
              <w:instrText xml:space="preserve"> PAGEREF _Toc184132656 \h </w:instrText>
            </w:r>
            <w:r w:rsidR="00C2329F">
              <w:rPr>
                <w:webHidden/>
              </w:rPr>
            </w:r>
            <w:r w:rsidR="00C2329F">
              <w:rPr>
                <w:webHidden/>
              </w:rPr>
              <w:fldChar w:fldCharType="separate"/>
            </w:r>
            <w:r w:rsidR="001F085C">
              <w:rPr>
                <w:webHidden/>
              </w:rPr>
              <w:t>3</w:t>
            </w:r>
            <w:r w:rsidR="00C2329F">
              <w:rPr>
                <w:webHidden/>
              </w:rPr>
              <w:fldChar w:fldCharType="end"/>
            </w:r>
          </w:hyperlink>
        </w:p>
        <w:p w14:paraId="797109BE" w14:textId="057B0EE6" w:rsidR="00C2329F" w:rsidRDefault="00FF62B6">
          <w:pPr>
            <w:pStyle w:val="TOC1"/>
            <w:rPr>
              <w:rFonts w:asciiTheme="minorHAnsi" w:eastAsiaTheme="minorEastAsia" w:hAnsiTheme="minorHAnsi" w:cstheme="minorBidi"/>
              <w:color w:val="auto"/>
              <w:kern w:val="2"/>
              <w14:ligatures w14:val="standardContextual"/>
            </w:rPr>
          </w:pPr>
          <w:hyperlink w:anchor="_Toc184132657" w:history="1">
            <w:r w:rsidR="00C2329F" w:rsidRPr="002C1482">
              <w:rPr>
                <w:rStyle w:val="Hyperlink"/>
              </w:rPr>
              <w:t>Section 1 – Guideline and Policy Requirements</w:t>
            </w:r>
            <w:r w:rsidR="00C2329F">
              <w:rPr>
                <w:webHidden/>
              </w:rPr>
              <w:tab/>
            </w:r>
            <w:r w:rsidR="00C2329F">
              <w:rPr>
                <w:webHidden/>
              </w:rPr>
              <w:fldChar w:fldCharType="begin"/>
            </w:r>
            <w:r w:rsidR="00C2329F">
              <w:rPr>
                <w:webHidden/>
              </w:rPr>
              <w:instrText xml:space="preserve"> PAGEREF _Toc184132657 \h </w:instrText>
            </w:r>
            <w:r w:rsidR="00C2329F">
              <w:rPr>
                <w:webHidden/>
              </w:rPr>
            </w:r>
            <w:r w:rsidR="00C2329F">
              <w:rPr>
                <w:webHidden/>
              </w:rPr>
              <w:fldChar w:fldCharType="separate"/>
            </w:r>
            <w:r w:rsidR="001F085C">
              <w:rPr>
                <w:webHidden/>
              </w:rPr>
              <w:t>3</w:t>
            </w:r>
            <w:r w:rsidR="00C2329F">
              <w:rPr>
                <w:webHidden/>
              </w:rPr>
              <w:fldChar w:fldCharType="end"/>
            </w:r>
          </w:hyperlink>
        </w:p>
        <w:p w14:paraId="008FBF47" w14:textId="7D80ABB4" w:rsidR="00C2329F" w:rsidRDefault="00FF62B6">
          <w:pPr>
            <w:pStyle w:val="TOC1"/>
            <w:rPr>
              <w:rFonts w:asciiTheme="minorHAnsi" w:eastAsiaTheme="minorEastAsia" w:hAnsiTheme="minorHAnsi" w:cstheme="minorBidi"/>
              <w:color w:val="auto"/>
              <w:kern w:val="2"/>
              <w14:ligatures w14:val="standardContextual"/>
            </w:rPr>
          </w:pPr>
          <w:hyperlink w:anchor="_Toc184132658" w:history="1">
            <w:r w:rsidR="00C2329F" w:rsidRPr="002C1482">
              <w:rPr>
                <w:rStyle w:val="Hyperlink"/>
              </w:rPr>
              <w:t>Section 2 – Prescriber Responsibilities</w:t>
            </w:r>
            <w:r w:rsidR="00C2329F">
              <w:rPr>
                <w:webHidden/>
              </w:rPr>
              <w:tab/>
            </w:r>
            <w:r w:rsidR="00C2329F">
              <w:rPr>
                <w:webHidden/>
              </w:rPr>
              <w:fldChar w:fldCharType="begin"/>
            </w:r>
            <w:r w:rsidR="00C2329F">
              <w:rPr>
                <w:webHidden/>
              </w:rPr>
              <w:instrText xml:space="preserve"> PAGEREF _Toc184132658 \h </w:instrText>
            </w:r>
            <w:r w:rsidR="00C2329F">
              <w:rPr>
                <w:webHidden/>
              </w:rPr>
            </w:r>
            <w:r w:rsidR="00C2329F">
              <w:rPr>
                <w:webHidden/>
              </w:rPr>
              <w:fldChar w:fldCharType="separate"/>
            </w:r>
            <w:r w:rsidR="001F085C">
              <w:rPr>
                <w:webHidden/>
              </w:rPr>
              <w:t>4</w:t>
            </w:r>
            <w:r w:rsidR="00C2329F">
              <w:rPr>
                <w:webHidden/>
              </w:rPr>
              <w:fldChar w:fldCharType="end"/>
            </w:r>
          </w:hyperlink>
        </w:p>
        <w:p w14:paraId="25A9C702" w14:textId="56DEDECD" w:rsidR="00C2329F" w:rsidRDefault="00FF62B6">
          <w:pPr>
            <w:pStyle w:val="TOC1"/>
            <w:rPr>
              <w:rFonts w:asciiTheme="minorHAnsi" w:eastAsiaTheme="minorEastAsia" w:hAnsiTheme="minorHAnsi" w:cstheme="minorBidi"/>
              <w:color w:val="auto"/>
              <w:kern w:val="2"/>
              <w14:ligatures w14:val="standardContextual"/>
            </w:rPr>
          </w:pPr>
          <w:hyperlink w:anchor="_Toc184132659" w:history="1">
            <w:r w:rsidR="00C2329F" w:rsidRPr="002C1482">
              <w:rPr>
                <w:rStyle w:val="Hyperlink"/>
              </w:rPr>
              <w:t>Section 3 – Medication Administration</w:t>
            </w:r>
            <w:r w:rsidR="00C2329F">
              <w:rPr>
                <w:webHidden/>
              </w:rPr>
              <w:tab/>
            </w:r>
            <w:r w:rsidR="00C2329F">
              <w:rPr>
                <w:webHidden/>
              </w:rPr>
              <w:fldChar w:fldCharType="begin"/>
            </w:r>
            <w:r w:rsidR="00C2329F">
              <w:rPr>
                <w:webHidden/>
              </w:rPr>
              <w:instrText xml:space="preserve"> PAGEREF _Toc184132659 \h </w:instrText>
            </w:r>
            <w:r w:rsidR="00C2329F">
              <w:rPr>
                <w:webHidden/>
              </w:rPr>
            </w:r>
            <w:r w:rsidR="00C2329F">
              <w:rPr>
                <w:webHidden/>
              </w:rPr>
              <w:fldChar w:fldCharType="separate"/>
            </w:r>
            <w:r w:rsidR="001F085C">
              <w:rPr>
                <w:webHidden/>
              </w:rPr>
              <w:t>5</w:t>
            </w:r>
            <w:r w:rsidR="00C2329F">
              <w:rPr>
                <w:webHidden/>
              </w:rPr>
              <w:fldChar w:fldCharType="end"/>
            </w:r>
          </w:hyperlink>
        </w:p>
        <w:p w14:paraId="7D4464C0" w14:textId="42DFE70B" w:rsidR="00C2329F" w:rsidRDefault="00FF62B6">
          <w:pPr>
            <w:pStyle w:val="TOC1"/>
            <w:rPr>
              <w:rFonts w:asciiTheme="minorHAnsi" w:eastAsiaTheme="minorEastAsia" w:hAnsiTheme="minorHAnsi" w:cstheme="minorBidi"/>
              <w:color w:val="auto"/>
              <w:kern w:val="2"/>
              <w14:ligatures w14:val="standardContextual"/>
            </w:rPr>
          </w:pPr>
          <w:hyperlink w:anchor="_Toc184132660" w:history="1">
            <w:r w:rsidR="00C2329F" w:rsidRPr="002C1482">
              <w:rPr>
                <w:rStyle w:val="Hyperlink"/>
              </w:rPr>
              <w:t>Section 4 – Monitoring</w:t>
            </w:r>
            <w:r w:rsidR="00C2329F">
              <w:rPr>
                <w:webHidden/>
              </w:rPr>
              <w:tab/>
            </w:r>
            <w:r w:rsidR="00C2329F">
              <w:rPr>
                <w:webHidden/>
              </w:rPr>
              <w:fldChar w:fldCharType="begin"/>
            </w:r>
            <w:r w:rsidR="00C2329F">
              <w:rPr>
                <w:webHidden/>
              </w:rPr>
              <w:instrText xml:space="preserve"> PAGEREF _Toc184132660 \h </w:instrText>
            </w:r>
            <w:r w:rsidR="00C2329F">
              <w:rPr>
                <w:webHidden/>
              </w:rPr>
            </w:r>
            <w:r w:rsidR="00C2329F">
              <w:rPr>
                <w:webHidden/>
              </w:rPr>
              <w:fldChar w:fldCharType="separate"/>
            </w:r>
            <w:r w:rsidR="001F085C">
              <w:rPr>
                <w:webHidden/>
              </w:rPr>
              <w:t>5</w:t>
            </w:r>
            <w:r w:rsidR="00C2329F">
              <w:rPr>
                <w:webHidden/>
              </w:rPr>
              <w:fldChar w:fldCharType="end"/>
            </w:r>
          </w:hyperlink>
        </w:p>
        <w:p w14:paraId="43DA1AF7" w14:textId="7B33A70C" w:rsidR="00C2329F" w:rsidRDefault="00FF62B6">
          <w:pPr>
            <w:pStyle w:val="TOC1"/>
            <w:rPr>
              <w:rFonts w:asciiTheme="minorHAnsi" w:eastAsiaTheme="minorEastAsia" w:hAnsiTheme="minorHAnsi" w:cstheme="minorBidi"/>
              <w:color w:val="auto"/>
              <w:kern w:val="2"/>
              <w14:ligatures w14:val="standardContextual"/>
            </w:rPr>
          </w:pPr>
          <w:hyperlink w:anchor="_Toc184132661" w:history="1">
            <w:r w:rsidR="00C2329F" w:rsidRPr="002C1482">
              <w:rPr>
                <w:rStyle w:val="Hyperlink"/>
              </w:rPr>
              <w:t>Section 5 – Storage &amp; Supply</w:t>
            </w:r>
            <w:r w:rsidR="00C2329F">
              <w:rPr>
                <w:webHidden/>
              </w:rPr>
              <w:tab/>
            </w:r>
            <w:r w:rsidR="00C2329F">
              <w:rPr>
                <w:webHidden/>
              </w:rPr>
              <w:fldChar w:fldCharType="begin"/>
            </w:r>
            <w:r w:rsidR="00C2329F">
              <w:rPr>
                <w:webHidden/>
              </w:rPr>
              <w:instrText xml:space="preserve"> PAGEREF _Toc184132661 \h </w:instrText>
            </w:r>
            <w:r w:rsidR="00C2329F">
              <w:rPr>
                <w:webHidden/>
              </w:rPr>
            </w:r>
            <w:r w:rsidR="00C2329F">
              <w:rPr>
                <w:webHidden/>
              </w:rPr>
              <w:fldChar w:fldCharType="separate"/>
            </w:r>
            <w:r w:rsidR="001F085C">
              <w:rPr>
                <w:webHidden/>
              </w:rPr>
              <w:t>5</w:t>
            </w:r>
            <w:r w:rsidR="00C2329F">
              <w:rPr>
                <w:webHidden/>
              </w:rPr>
              <w:fldChar w:fldCharType="end"/>
            </w:r>
          </w:hyperlink>
        </w:p>
        <w:p w14:paraId="214945AE" w14:textId="1329F4DB" w:rsidR="00C2329F" w:rsidRDefault="00FF62B6">
          <w:pPr>
            <w:pStyle w:val="TOC1"/>
            <w:rPr>
              <w:rFonts w:asciiTheme="minorHAnsi" w:eastAsiaTheme="minorEastAsia" w:hAnsiTheme="minorHAnsi" w:cstheme="minorBidi"/>
              <w:color w:val="auto"/>
              <w:kern w:val="2"/>
              <w14:ligatures w14:val="standardContextual"/>
            </w:rPr>
          </w:pPr>
          <w:hyperlink w:anchor="_Toc184132662" w:history="1">
            <w:r w:rsidR="00C2329F" w:rsidRPr="002C1482">
              <w:rPr>
                <w:rStyle w:val="Hyperlink"/>
              </w:rPr>
              <w:t>Section 6 – Training &amp; Qualifications Required</w:t>
            </w:r>
            <w:r w:rsidR="00C2329F">
              <w:rPr>
                <w:webHidden/>
              </w:rPr>
              <w:tab/>
            </w:r>
            <w:r w:rsidR="00C2329F">
              <w:rPr>
                <w:webHidden/>
              </w:rPr>
              <w:fldChar w:fldCharType="begin"/>
            </w:r>
            <w:r w:rsidR="00C2329F">
              <w:rPr>
                <w:webHidden/>
              </w:rPr>
              <w:instrText xml:space="preserve"> PAGEREF _Toc184132662 \h </w:instrText>
            </w:r>
            <w:r w:rsidR="00C2329F">
              <w:rPr>
                <w:webHidden/>
              </w:rPr>
            </w:r>
            <w:r w:rsidR="00C2329F">
              <w:rPr>
                <w:webHidden/>
              </w:rPr>
              <w:fldChar w:fldCharType="separate"/>
            </w:r>
            <w:r w:rsidR="001F085C">
              <w:rPr>
                <w:webHidden/>
              </w:rPr>
              <w:t>6</w:t>
            </w:r>
            <w:r w:rsidR="00C2329F">
              <w:rPr>
                <w:webHidden/>
              </w:rPr>
              <w:fldChar w:fldCharType="end"/>
            </w:r>
          </w:hyperlink>
        </w:p>
        <w:p w14:paraId="1302F6C9" w14:textId="077748B0" w:rsidR="00C2329F" w:rsidRDefault="00FF62B6">
          <w:pPr>
            <w:pStyle w:val="TOC1"/>
            <w:rPr>
              <w:rFonts w:asciiTheme="minorHAnsi" w:eastAsiaTheme="minorEastAsia" w:hAnsiTheme="minorHAnsi" w:cstheme="minorBidi"/>
              <w:color w:val="auto"/>
              <w:kern w:val="2"/>
              <w14:ligatures w14:val="standardContextual"/>
            </w:rPr>
          </w:pPr>
          <w:hyperlink w:anchor="_Toc184132663" w:history="1">
            <w:r w:rsidR="00C2329F" w:rsidRPr="002C1482">
              <w:rPr>
                <w:rStyle w:val="Hyperlink"/>
              </w:rPr>
              <w:t>Section 7 – Patient Information</w:t>
            </w:r>
            <w:r w:rsidR="00C2329F">
              <w:rPr>
                <w:webHidden/>
              </w:rPr>
              <w:tab/>
            </w:r>
            <w:r w:rsidR="00C2329F">
              <w:rPr>
                <w:webHidden/>
              </w:rPr>
              <w:fldChar w:fldCharType="begin"/>
            </w:r>
            <w:r w:rsidR="00C2329F">
              <w:rPr>
                <w:webHidden/>
              </w:rPr>
              <w:instrText xml:space="preserve"> PAGEREF _Toc184132663 \h </w:instrText>
            </w:r>
            <w:r w:rsidR="00C2329F">
              <w:rPr>
                <w:webHidden/>
              </w:rPr>
            </w:r>
            <w:r w:rsidR="00C2329F">
              <w:rPr>
                <w:webHidden/>
              </w:rPr>
              <w:fldChar w:fldCharType="separate"/>
            </w:r>
            <w:r w:rsidR="001F085C">
              <w:rPr>
                <w:webHidden/>
              </w:rPr>
              <w:t>6</w:t>
            </w:r>
            <w:r w:rsidR="00C2329F">
              <w:rPr>
                <w:webHidden/>
              </w:rPr>
              <w:fldChar w:fldCharType="end"/>
            </w:r>
          </w:hyperlink>
        </w:p>
        <w:p w14:paraId="73C236F0" w14:textId="4CDFAA25" w:rsidR="00C2329F" w:rsidRDefault="00FF62B6">
          <w:pPr>
            <w:pStyle w:val="TOC1"/>
            <w:rPr>
              <w:rFonts w:asciiTheme="minorHAnsi" w:eastAsiaTheme="minorEastAsia" w:hAnsiTheme="minorHAnsi" w:cstheme="minorBidi"/>
              <w:color w:val="auto"/>
              <w:kern w:val="2"/>
              <w14:ligatures w14:val="standardContextual"/>
            </w:rPr>
          </w:pPr>
          <w:hyperlink w:anchor="_Toc184132664" w:history="1">
            <w:r w:rsidR="00C2329F" w:rsidRPr="002C1482">
              <w:rPr>
                <w:rStyle w:val="Hyperlink"/>
              </w:rPr>
              <w:t>Evaluation</w:t>
            </w:r>
            <w:r w:rsidR="00C2329F">
              <w:rPr>
                <w:webHidden/>
              </w:rPr>
              <w:tab/>
            </w:r>
            <w:r w:rsidR="00C2329F">
              <w:rPr>
                <w:webHidden/>
              </w:rPr>
              <w:fldChar w:fldCharType="begin"/>
            </w:r>
            <w:r w:rsidR="00C2329F">
              <w:rPr>
                <w:webHidden/>
              </w:rPr>
              <w:instrText xml:space="preserve"> PAGEREF _Toc184132664 \h </w:instrText>
            </w:r>
            <w:r w:rsidR="00C2329F">
              <w:rPr>
                <w:webHidden/>
              </w:rPr>
            </w:r>
            <w:r w:rsidR="00C2329F">
              <w:rPr>
                <w:webHidden/>
              </w:rPr>
              <w:fldChar w:fldCharType="separate"/>
            </w:r>
            <w:r w:rsidR="001F085C">
              <w:rPr>
                <w:webHidden/>
              </w:rPr>
              <w:t>6</w:t>
            </w:r>
            <w:r w:rsidR="00C2329F">
              <w:rPr>
                <w:webHidden/>
              </w:rPr>
              <w:fldChar w:fldCharType="end"/>
            </w:r>
          </w:hyperlink>
        </w:p>
        <w:p w14:paraId="7CC27EAF" w14:textId="1B8E0007" w:rsidR="00C2329F" w:rsidRDefault="00FF62B6">
          <w:pPr>
            <w:pStyle w:val="TOC1"/>
            <w:rPr>
              <w:rFonts w:asciiTheme="minorHAnsi" w:eastAsiaTheme="minorEastAsia" w:hAnsiTheme="minorHAnsi" w:cstheme="minorBidi"/>
              <w:color w:val="auto"/>
              <w:kern w:val="2"/>
              <w14:ligatures w14:val="standardContextual"/>
            </w:rPr>
          </w:pPr>
          <w:hyperlink w:anchor="_Toc184132665" w:history="1">
            <w:r w:rsidR="00C2329F" w:rsidRPr="002C1482">
              <w:rPr>
                <w:rStyle w:val="Hyperlink"/>
              </w:rPr>
              <w:t>Related policies, procedures, guidelines and legislation</w:t>
            </w:r>
            <w:r w:rsidR="00C2329F">
              <w:rPr>
                <w:webHidden/>
              </w:rPr>
              <w:tab/>
            </w:r>
            <w:r w:rsidR="00C2329F">
              <w:rPr>
                <w:webHidden/>
              </w:rPr>
              <w:fldChar w:fldCharType="begin"/>
            </w:r>
            <w:r w:rsidR="00C2329F">
              <w:rPr>
                <w:webHidden/>
              </w:rPr>
              <w:instrText xml:space="preserve"> PAGEREF _Toc184132665 \h </w:instrText>
            </w:r>
            <w:r w:rsidR="00C2329F">
              <w:rPr>
                <w:webHidden/>
              </w:rPr>
            </w:r>
            <w:r w:rsidR="00C2329F">
              <w:rPr>
                <w:webHidden/>
              </w:rPr>
              <w:fldChar w:fldCharType="separate"/>
            </w:r>
            <w:r w:rsidR="001F085C">
              <w:rPr>
                <w:webHidden/>
              </w:rPr>
              <w:t>7</w:t>
            </w:r>
            <w:r w:rsidR="00C2329F">
              <w:rPr>
                <w:webHidden/>
              </w:rPr>
              <w:fldChar w:fldCharType="end"/>
            </w:r>
          </w:hyperlink>
        </w:p>
        <w:p w14:paraId="4C82F62F" w14:textId="3FA3FB3D" w:rsidR="00C2329F" w:rsidRDefault="00FF62B6">
          <w:pPr>
            <w:pStyle w:val="TOC1"/>
            <w:rPr>
              <w:rFonts w:asciiTheme="minorHAnsi" w:eastAsiaTheme="minorEastAsia" w:hAnsiTheme="minorHAnsi" w:cstheme="minorBidi"/>
              <w:color w:val="auto"/>
              <w:kern w:val="2"/>
              <w14:ligatures w14:val="standardContextual"/>
            </w:rPr>
          </w:pPr>
          <w:hyperlink w:anchor="_Toc184132666" w:history="1">
            <w:r w:rsidR="00C2329F" w:rsidRPr="002C1482">
              <w:rPr>
                <w:rStyle w:val="Hyperlink"/>
              </w:rPr>
              <w:t>References</w:t>
            </w:r>
            <w:r w:rsidR="00C2329F">
              <w:rPr>
                <w:webHidden/>
              </w:rPr>
              <w:tab/>
            </w:r>
            <w:r w:rsidR="00C2329F">
              <w:rPr>
                <w:webHidden/>
              </w:rPr>
              <w:fldChar w:fldCharType="begin"/>
            </w:r>
            <w:r w:rsidR="00C2329F">
              <w:rPr>
                <w:webHidden/>
              </w:rPr>
              <w:instrText xml:space="preserve"> PAGEREF _Toc184132666 \h </w:instrText>
            </w:r>
            <w:r w:rsidR="00C2329F">
              <w:rPr>
                <w:webHidden/>
              </w:rPr>
            </w:r>
            <w:r w:rsidR="00C2329F">
              <w:rPr>
                <w:webHidden/>
              </w:rPr>
              <w:fldChar w:fldCharType="separate"/>
            </w:r>
            <w:r w:rsidR="001F085C">
              <w:rPr>
                <w:webHidden/>
              </w:rPr>
              <w:t>8</w:t>
            </w:r>
            <w:r w:rsidR="00C2329F">
              <w:rPr>
                <w:webHidden/>
              </w:rPr>
              <w:fldChar w:fldCharType="end"/>
            </w:r>
          </w:hyperlink>
        </w:p>
        <w:p w14:paraId="572B5798" w14:textId="711130D2" w:rsidR="00C2329F" w:rsidRDefault="00FF62B6">
          <w:pPr>
            <w:pStyle w:val="TOC1"/>
            <w:rPr>
              <w:rFonts w:asciiTheme="minorHAnsi" w:eastAsiaTheme="minorEastAsia" w:hAnsiTheme="minorHAnsi" w:cstheme="minorBidi"/>
              <w:color w:val="auto"/>
              <w:kern w:val="2"/>
              <w14:ligatures w14:val="standardContextual"/>
            </w:rPr>
          </w:pPr>
          <w:hyperlink w:anchor="_Toc184132667" w:history="1">
            <w:r w:rsidR="00C2329F" w:rsidRPr="002C1482">
              <w:rPr>
                <w:rStyle w:val="Hyperlink"/>
              </w:rPr>
              <w:t>Search terms</w:t>
            </w:r>
            <w:r w:rsidR="00C2329F">
              <w:rPr>
                <w:webHidden/>
              </w:rPr>
              <w:tab/>
            </w:r>
            <w:r w:rsidR="00C2329F">
              <w:rPr>
                <w:webHidden/>
              </w:rPr>
              <w:fldChar w:fldCharType="begin"/>
            </w:r>
            <w:r w:rsidR="00C2329F">
              <w:rPr>
                <w:webHidden/>
              </w:rPr>
              <w:instrText xml:space="preserve"> PAGEREF _Toc184132667 \h </w:instrText>
            </w:r>
            <w:r w:rsidR="00C2329F">
              <w:rPr>
                <w:webHidden/>
              </w:rPr>
            </w:r>
            <w:r w:rsidR="00C2329F">
              <w:rPr>
                <w:webHidden/>
              </w:rPr>
              <w:fldChar w:fldCharType="separate"/>
            </w:r>
            <w:r w:rsidR="001F085C">
              <w:rPr>
                <w:webHidden/>
              </w:rPr>
              <w:t>8</w:t>
            </w:r>
            <w:r w:rsidR="00C2329F">
              <w:rPr>
                <w:webHidden/>
              </w:rPr>
              <w:fldChar w:fldCharType="end"/>
            </w:r>
          </w:hyperlink>
        </w:p>
        <w:p w14:paraId="0875BC6A" w14:textId="34CC38FD"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27C9D519" w14:textId="77777777" w:rsidR="00FE46F1" w:rsidRDefault="00FE46F1">
      <w:pPr>
        <w:spacing w:before="0" w:after="0" w:line="240" w:lineRule="auto"/>
        <w:rPr>
          <w:rFonts w:eastAsia="Times New Roman"/>
          <w:b/>
          <w:color w:val="FFFFFF" w:themeColor="background1"/>
          <w:szCs w:val="80"/>
          <w:lang w:eastAsia="en-US"/>
        </w:rPr>
      </w:pPr>
    </w:p>
    <w:p w14:paraId="0500E877" w14:textId="77777777" w:rsidR="008671B6" w:rsidRDefault="008671B6">
      <w:pPr>
        <w:spacing w:before="0" w:after="0" w:line="240" w:lineRule="auto"/>
      </w:pPr>
    </w:p>
    <w:p w14:paraId="0EE2E28B" w14:textId="77777777" w:rsidR="008671B6" w:rsidRDefault="008671B6">
      <w:pPr>
        <w:spacing w:before="0" w:after="0" w:line="240" w:lineRule="auto"/>
      </w:pPr>
    </w:p>
    <w:p w14:paraId="3119A2A6" w14:textId="77777777" w:rsidR="008671B6" w:rsidRDefault="008671B6">
      <w:pPr>
        <w:spacing w:before="0" w:after="0" w:line="240" w:lineRule="auto"/>
      </w:pPr>
    </w:p>
    <w:p w14:paraId="3F817DF7" w14:textId="77777777" w:rsidR="008671B6" w:rsidRDefault="008671B6">
      <w:pPr>
        <w:spacing w:before="0" w:after="0" w:line="240" w:lineRule="auto"/>
      </w:pPr>
    </w:p>
    <w:p w14:paraId="65CA4764" w14:textId="77777777" w:rsidR="008671B6" w:rsidRDefault="008671B6">
      <w:pPr>
        <w:spacing w:before="0" w:after="0" w:line="240" w:lineRule="auto"/>
      </w:pPr>
    </w:p>
    <w:p w14:paraId="1C21BF4A" w14:textId="77777777" w:rsidR="008671B6" w:rsidRDefault="008671B6">
      <w:pPr>
        <w:spacing w:before="0" w:after="0" w:line="240" w:lineRule="auto"/>
      </w:pPr>
    </w:p>
    <w:p w14:paraId="55B44C4E" w14:textId="77777777" w:rsidR="008671B6" w:rsidRDefault="008671B6">
      <w:pPr>
        <w:spacing w:before="0" w:after="0" w:line="240" w:lineRule="auto"/>
      </w:pPr>
    </w:p>
    <w:p w14:paraId="00E01EB0" w14:textId="77777777" w:rsidR="008671B6" w:rsidRDefault="008671B6">
      <w:pPr>
        <w:spacing w:before="0" w:after="0" w:line="240" w:lineRule="auto"/>
      </w:pPr>
    </w:p>
    <w:p w14:paraId="3105EAF4" w14:textId="77777777" w:rsidR="008671B6" w:rsidRDefault="008671B6">
      <w:pPr>
        <w:spacing w:before="0" w:after="0" w:line="240" w:lineRule="auto"/>
      </w:pPr>
    </w:p>
    <w:p w14:paraId="4B136224" w14:textId="77777777" w:rsidR="008671B6" w:rsidRDefault="008671B6">
      <w:pPr>
        <w:spacing w:before="0" w:after="0" w:line="240" w:lineRule="auto"/>
      </w:pPr>
    </w:p>
    <w:p w14:paraId="41A8D9B4" w14:textId="77777777" w:rsidR="008671B6" w:rsidRDefault="008671B6">
      <w:pPr>
        <w:spacing w:before="0" w:after="0" w:line="240" w:lineRule="auto"/>
      </w:pPr>
    </w:p>
    <w:p w14:paraId="05B4AFA7" w14:textId="77777777" w:rsidR="008671B6" w:rsidRDefault="008671B6">
      <w:pPr>
        <w:spacing w:before="0" w:after="0" w:line="240" w:lineRule="auto"/>
      </w:pPr>
    </w:p>
    <w:p w14:paraId="7FC3444C" w14:textId="77777777" w:rsidR="008671B6" w:rsidRDefault="008671B6">
      <w:pPr>
        <w:spacing w:before="0" w:after="0" w:line="240" w:lineRule="auto"/>
      </w:pPr>
    </w:p>
    <w:p w14:paraId="3594AD66" w14:textId="77777777" w:rsidR="008671B6" w:rsidRDefault="008671B6">
      <w:pPr>
        <w:spacing w:before="0" w:after="0" w:line="240" w:lineRule="auto"/>
      </w:pPr>
    </w:p>
    <w:p w14:paraId="23CCF2D4" w14:textId="77777777" w:rsidR="008671B6" w:rsidRPr="00036249" w:rsidRDefault="008671B6" w:rsidP="008671B6">
      <w:pPr>
        <w:pStyle w:val="Heading4"/>
      </w:pPr>
      <w:bookmarkStart w:id="2" w:name="_Toc184132653"/>
      <w:r>
        <w:t>Introduction</w:t>
      </w:r>
      <w:bookmarkEnd w:id="2"/>
    </w:p>
    <w:p w14:paraId="088C8184" w14:textId="6C085C23" w:rsidR="008671B6" w:rsidRPr="008671B6" w:rsidRDefault="008671B6" w:rsidP="008671B6">
      <w:pPr>
        <w:rPr>
          <w:rFonts w:cs="Calibri"/>
          <w:iCs/>
        </w:rPr>
      </w:pPr>
      <w:r>
        <w:rPr>
          <w:rFonts w:eastAsiaTheme="minorHAnsi"/>
        </w:rPr>
        <w:t>C</w:t>
      </w:r>
      <w:r w:rsidRPr="00973FEE">
        <w:rPr>
          <w:rFonts w:eastAsiaTheme="minorHAnsi"/>
        </w:rPr>
        <w:t>anberra Health Services (CHS) maintain</w:t>
      </w:r>
      <w:r>
        <w:rPr>
          <w:rFonts w:eastAsiaTheme="minorHAnsi"/>
        </w:rPr>
        <w:t>s</w:t>
      </w:r>
      <w:r w:rsidRPr="00973FEE">
        <w:rPr>
          <w:rFonts w:eastAsiaTheme="minorHAnsi"/>
        </w:rPr>
        <w:t xml:space="preserve"> a</w:t>
      </w:r>
      <w:r>
        <w:rPr>
          <w:rFonts w:eastAsiaTheme="minorHAnsi"/>
        </w:rPr>
        <w:t xml:space="preserve"> list of High-Risk Medicines in </w:t>
      </w:r>
      <w:r w:rsidR="006B4623">
        <w:rPr>
          <w:rFonts w:eastAsiaTheme="minorHAnsi"/>
        </w:rPr>
        <w:t xml:space="preserve">a </w:t>
      </w:r>
      <w:r w:rsidR="006B4623" w:rsidRPr="00973FEE">
        <w:rPr>
          <w:rFonts w:eastAsiaTheme="minorHAnsi"/>
        </w:rPr>
        <w:t>Hi</w:t>
      </w:r>
      <w:r w:rsidR="00C2329F">
        <w:rPr>
          <w:rFonts w:eastAsiaTheme="minorHAnsi"/>
        </w:rPr>
        <w:t>gh-Risk Medicine Register</w:t>
      </w:r>
      <w:r>
        <w:rPr>
          <w:rFonts w:asciiTheme="minorHAnsi" w:eastAsiaTheme="minorHAnsi" w:hAnsiTheme="minorHAnsi" w:cstheme="minorHAnsi"/>
        </w:rPr>
        <w:t xml:space="preserve"> at Canberra Hospital and a High-Risk Medicine List at North Canberra Hospital (NCH).</w:t>
      </w:r>
      <w:r>
        <w:rPr>
          <w:rFonts w:eastAsiaTheme="minorHAnsi"/>
        </w:rPr>
        <w:t xml:space="preserve"> </w:t>
      </w:r>
      <w:r w:rsidR="006B4623">
        <w:rPr>
          <w:rFonts w:eastAsiaTheme="minorHAnsi"/>
        </w:rPr>
        <w:t xml:space="preserve">The Canberra Hospital High-Risk Medicine register is located on the Policy and Guidance Documents home page. </w:t>
      </w:r>
      <w:r>
        <w:rPr>
          <w:rFonts w:eastAsiaTheme="minorHAnsi"/>
        </w:rPr>
        <w:t xml:space="preserve">This register, its correlating standards, </w:t>
      </w:r>
      <w:r w:rsidRPr="000609A1">
        <w:rPr>
          <w:rFonts w:cs="Calibri"/>
          <w:i/>
        </w:rPr>
        <w:t>High</w:t>
      </w:r>
      <w:r>
        <w:rPr>
          <w:rFonts w:cs="Calibri"/>
          <w:i/>
        </w:rPr>
        <w:t>-</w:t>
      </w:r>
      <w:r w:rsidRPr="000609A1">
        <w:rPr>
          <w:rFonts w:cs="Calibri"/>
          <w:i/>
        </w:rPr>
        <w:t>Risk Medicines Management – North Canberra Hospital Procedure</w:t>
      </w:r>
      <w:r>
        <w:rPr>
          <w:rFonts w:cs="Calibri"/>
          <w:iCs/>
        </w:rPr>
        <w:t xml:space="preserve"> and the </w:t>
      </w:r>
      <w:r w:rsidRPr="00CE7FED">
        <w:rPr>
          <w:rFonts w:eastAsiaTheme="minorHAnsi"/>
          <w:i/>
          <w:iCs/>
        </w:rPr>
        <w:t>High-Risk Medicine Policy</w:t>
      </w:r>
      <w:r>
        <w:rPr>
          <w:rFonts w:eastAsiaTheme="minorHAnsi"/>
        </w:rPr>
        <w:t xml:space="preserve"> form a high-risk medication framework that supports clinical staff to safely manage high-risk medicines and minimise risks associated with their use.</w:t>
      </w:r>
    </w:p>
    <w:p w14:paraId="115157E8" w14:textId="3C6612DF" w:rsidR="008671B6" w:rsidRDefault="008671B6" w:rsidP="008671B6">
      <w:pPr>
        <w:jc w:val="both"/>
        <w:rPr>
          <w:rFonts w:eastAsiaTheme="minorHAnsi"/>
          <w:bCs/>
        </w:rPr>
      </w:pPr>
      <w:r w:rsidRPr="00A85482">
        <w:rPr>
          <w:rFonts w:eastAsiaTheme="minorHAnsi"/>
        </w:rPr>
        <w:t>Anticoagulant</w:t>
      </w:r>
      <w:r>
        <w:rPr>
          <w:rFonts w:eastAsiaTheme="minorHAnsi"/>
        </w:rPr>
        <w:t xml:space="preserve"> </w:t>
      </w:r>
      <w:r w:rsidRPr="00A85482">
        <w:rPr>
          <w:rFonts w:eastAsiaTheme="minorHAnsi"/>
        </w:rPr>
        <w:t>medicines have a narrow therapeutic index</w:t>
      </w:r>
      <w:r w:rsidR="001B7E7F">
        <w:rPr>
          <w:rFonts w:eastAsiaTheme="minorHAnsi"/>
        </w:rPr>
        <w:t>,</w:t>
      </w:r>
      <w:r w:rsidRPr="00A85482">
        <w:rPr>
          <w:rFonts w:eastAsiaTheme="minorHAnsi"/>
        </w:rPr>
        <w:t xml:space="preserve"> and over or unde</w:t>
      </w:r>
      <w:r>
        <w:rPr>
          <w:rFonts w:eastAsiaTheme="minorHAnsi"/>
        </w:rPr>
        <w:t xml:space="preserve">r anticoagulation can result in </w:t>
      </w:r>
      <w:r w:rsidRPr="00A85482">
        <w:rPr>
          <w:rFonts w:eastAsiaTheme="minorHAnsi"/>
        </w:rPr>
        <w:t>significant adverse patient outcomes</w:t>
      </w:r>
      <w:r>
        <w:rPr>
          <w:rFonts w:eastAsiaTheme="minorHAnsi"/>
        </w:rPr>
        <w:t>.</w:t>
      </w:r>
      <w:r>
        <w:t xml:space="preserve"> </w:t>
      </w:r>
      <w:r w:rsidRPr="00A85482">
        <w:t>The incorrect dose or failure to monitor therapy can contribute to</w:t>
      </w:r>
      <w:r w:rsidR="006B4623">
        <w:t xml:space="preserve"> patient </w:t>
      </w:r>
      <w:r w:rsidR="006B4623" w:rsidRPr="006B4623">
        <w:t>harm</w:t>
      </w:r>
      <w:r w:rsidR="006B4623" w:rsidRPr="006B4623">
        <w:rPr>
          <w:rStyle w:val="CommentReference"/>
          <w:sz w:val="24"/>
          <w:szCs w:val="24"/>
        </w:rPr>
        <w:t xml:space="preserve"> and </w:t>
      </w:r>
      <w:r w:rsidRPr="006B4623">
        <w:rPr>
          <w:rFonts w:eastAsiaTheme="minorHAnsi"/>
          <w:bCs/>
        </w:rPr>
        <w:t>there</w:t>
      </w:r>
      <w:r>
        <w:rPr>
          <w:rFonts w:eastAsiaTheme="minorHAnsi"/>
          <w:bCs/>
        </w:rPr>
        <w:t xml:space="preserve"> is the potential for excessive bleeding and death if over anticoagulation occurs. </w:t>
      </w:r>
    </w:p>
    <w:p w14:paraId="78A62689" w14:textId="77777777" w:rsidR="008671B6" w:rsidRDefault="008671B6" w:rsidP="008671B6">
      <w:pPr>
        <w:jc w:val="both"/>
        <w:rPr>
          <w:rFonts w:eastAsiaTheme="minorHAnsi"/>
          <w:bCs/>
        </w:rPr>
      </w:pPr>
      <w:r>
        <w:rPr>
          <w:rFonts w:eastAsiaTheme="minorHAnsi"/>
          <w:bCs/>
        </w:rPr>
        <w:t>Due to the potential for significant patient harm, should an error occur, all anticoagulants including warfarin, direct oral anticoagulants (e.g dabigatran, apixaban, rivaroxaban), unfractionated heparin and low molecular weight heparin, are included on the CHS High-Risk Medicine Register.</w:t>
      </w:r>
    </w:p>
    <w:p w14:paraId="19214C02" w14:textId="77777777" w:rsidR="008671B6" w:rsidRPr="00A85482" w:rsidRDefault="008671B6" w:rsidP="008671B6">
      <w:pPr>
        <w:autoSpaceDE w:val="0"/>
        <w:autoSpaceDN w:val="0"/>
        <w:adjustRightInd w:val="0"/>
        <w:jc w:val="both"/>
        <w:rPr>
          <w:rFonts w:eastAsiaTheme="minorHAnsi"/>
        </w:rPr>
      </w:pPr>
      <w:r w:rsidRPr="00A85482">
        <w:rPr>
          <w:rFonts w:eastAsiaTheme="minorHAnsi"/>
        </w:rPr>
        <w:t>Errors involving anticoagulant medicines can include</w:t>
      </w:r>
      <w:r>
        <w:rPr>
          <w:rFonts w:eastAsiaTheme="minorHAnsi"/>
          <w:vertAlign w:val="superscript"/>
        </w:rPr>
        <w:t>1</w:t>
      </w:r>
      <w:r w:rsidRPr="00A85482">
        <w:rPr>
          <w:rFonts w:eastAsiaTheme="minorHAnsi"/>
        </w:rPr>
        <w:t>:</w:t>
      </w:r>
    </w:p>
    <w:p w14:paraId="2D6DB47B" w14:textId="77777777" w:rsidR="008671B6" w:rsidRPr="00C17798" w:rsidRDefault="008671B6" w:rsidP="001F085C">
      <w:pPr>
        <w:pStyle w:val="Tablebullet1"/>
        <w:rPr>
          <w:rFonts w:eastAsiaTheme="minorHAnsi"/>
        </w:rPr>
      </w:pPr>
      <w:r w:rsidRPr="00C17798">
        <w:rPr>
          <w:rFonts w:eastAsiaTheme="minorHAnsi"/>
        </w:rPr>
        <w:t>Duplication of therapy. For example, ordering pharmacological venous thromboembolism (VTE) prophylaxis for patients who are receiving therapeutic anticoagulation</w:t>
      </w:r>
    </w:p>
    <w:p w14:paraId="64B19EA9" w14:textId="77777777" w:rsidR="008671B6" w:rsidRPr="00C17798" w:rsidRDefault="008671B6" w:rsidP="001F085C">
      <w:pPr>
        <w:pStyle w:val="Tablebullet1"/>
        <w:rPr>
          <w:rFonts w:eastAsiaTheme="minorHAnsi"/>
        </w:rPr>
      </w:pPr>
      <w:r w:rsidRPr="00C17798">
        <w:rPr>
          <w:rFonts w:eastAsiaTheme="minorHAnsi"/>
        </w:rPr>
        <w:t>Use of a therapeutic dose when a prophylactic dose was intended and vice versa</w:t>
      </w:r>
    </w:p>
    <w:p w14:paraId="0D209A48" w14:textId="77777777" w:rsidR="008671B6" w:rsidRPr="00C17798" w:rsidRDefault="008671B6" w:rsidP="001F085C">
      <w:pPr>
        <w:pStyle w:val="Tablebullet1"/>
        <w:rPr>
          <w:rFonts w:eastAsiaTheme="minorHAnsi"/>
        </w:rPr>
      </w:pPr>
      <w:r w:rsidRPr="00C17798">
        <w:rPr>
          <w:rFonts w:eastAsiaTheme="minorHAnsi"/>
        </w:rPr>
        <w:t>Failure to adjust an anticoagulant dose according to patient factors. For example, haematology parameters, biochemistry, estimated creatinine clearance, age</w:t>
      </w:r>
    </w:p>
    <w:p w14:paraId="36CB6A50" w14:textId="77777777" w:rsidR="008671B6" w:rsidRPr="00C17798" w:rsidRDefault="008671B6" w:rsidP="001F085C">
      <w:pPr>
        <w:pStyle w:val="Tablebullet1"/>
        <w:rPr>
          <w:rFonts w:eastAsiaTheme="minorHAnsi"/>
        </w:rPr>
      </w:pPr>
      <w:r w:rsidRPr="00C17798">
        <w:rPr>
          <w:rFonts w:eastAsiaTheme="minorHAnsi"/>
        </w:rPr>
        <w:t>Incorrect protocol use. For example, administration of a concentration of unfractionated heparin solution contrary to the protocol resulting in administration of an incorrect dose</w:t>
      </w:r>
    </w:p>
    <w:p w14:paraId="34BA54B5" w14:textId="77777777" w:rsidR="008671B6" w:rsidRPr="00C17798" w:rsidRDefault="008671B6" w:rsidP="001F085C">
      <w:pPr>
        <w:pStyle w:val="Tablebullet1"/>
        <w:rPr>
          <w:rFonts w:eastAsiaTheme="minorHAnsi"/>
        </w:rPr>
      </w:pPr>
      <w:r w:rsidRPr="00C17798">
        <w:rPr>
          <w:rFonts w:eastAsiaTheme="minorHAnsi"/>
        </w:rPr>
        <w:t>Incorrect use following discharge. For example, inadequate patient and / or carer education for patients being discharged on anticoagulants resulting in adverse events.</w:t>
      </w:r>
    </w:p>
    <w:p w14:paraId="07B8BB5F" w14:textId="77777777" w:rsidR="008671B6" w:rsidRDefault="00FF62B6" w:rsidP="008671B6">
      <w:pPr>
        <w:pStyle w:val="BodyCopy"/>
        <w:rPr>
          <w:rStyle w:val="Hyperlink"/>
          <w:iCs w:val="0"/>
        </w:rPr>
      </w:pPr>
      <w:hyperlink w:anchor="_top" w:history="1">
        <w:r w:rsidR="008671B6" w:rsidRPr="00481A6C">
          <w:rPr>
            <w:rStyle w:val="Hyperlink"/>
            <w:iCs w:val="0"/>
          </w:rPr>
          <w:t>Back to Contents</w:t>
        </w:r>
      </w:hyperlink>
    </w:p>
    <w:p w14:paraId="54F8E4D5" w14:textId="77777777" w:rsidR="00201AF6" w:rsidRDefault="00201AF6">
      <w:pPr>
        <w:spacing w:before="0" w:after="0" w:line="240" w:lineRule="auto"/>
        <w:rPr>
          <w:rFonts w:eastAsia="Times New Roman"/>
          <w:b/>
          <w:bCs/>
          <w:iCs/>
          <w:color w:val="FFFFFF" w:themeColor="background1"/>
          <w:lang w:eastAsia="en-US"/>
        </w:rPr>
      </w:pPr>
    </w:p>
    <w:p w14:paraId="6B6F977E" w14:textId="77777777" w:rsidR="0078367D" w:rsidRPr="00036249" w:rsidRDefault="003254E1" w:rsidP="00036249">
      <w:pPr>
        <w:pStyle w:val="Heading4"/>
      </w:pPr>
      <w:bookmarkStart w:id="3" w:name="_Toc184132654"/>
      <w:r>
        <w:t>Purpose</w:t>
      </w:r>
      <w:bookmarkEnd w:id="3"/>
      <w:r w:rsidR="009746B1" w:rsidRPr="00036249">
        <w:t xml:space="preserve"> </w:t>
      </w:r>
    </w:p>
    <w:p w14:paraId="0649B622" w14:textId="31CFD3AE" w:rsidR="006B4623" w:rsidRDefault="003A3784" w:rsidP="008671B6">
      <w:pPr>
        <w:autoSpaceDE w:val="0"/>
        <w:autoSpaceDN w:val="0"/>
        <w:adjustRightInd w:val="0"/>
        <w:rPr>
          <w:rFonts w:eastAsiaTheme="minorHAnsi"/>
        </w:rPr>
      </w:pPr>
      <w:r>
        <w:rPr>
          <w:rFonts w:eastAsiaTheme="minorHAnsi"/>
        </w:rPr>
        <w:t>This document</w:t>
      </w:r>
      <w:r w:rsidR="006B4623">
        <w:rPr>
          <w:rFonts w:eastAsiaTheme="minorHAnsi"/>
        </w:rPr>
        <w:t xml:space="preserve"> </w:t>
      </w:r>
      <w:r w:rsidR="006B4623" w:rsidRPr="00123D14">
        <w:rPr>
          <w:rFonts w:eastAsiaTheme="minorHAnsi"/>
        </w:rPr>
        <w:t>outline</w:t>
      </w:r>
      <w:r w:rsidR="006B4623">
        <w:rPr>
          <w:rFonts w:eastAsiaTheme="minorHAnsi"/>
        </w:rPr>
        <w:t>s</w:t>
      </w:r>
      <w:r w:rsidR="006B4623" w:rsidRPr="00123D14">
        <w:rPr>
          <w:rFonts w:eastAsiaTheme="minorHAnsi"/>
        </w:rPr>
        <w:t xml:space="preserve"> the </w:t>
      </w:r>
      <w:r w:rsidR="006B4623" w:rsidRPr="00123D14">
        <w:rPr>
          <w:rFonts w:eastAsiaTheme="minorHAnsi"/>
          <w:b/>
          <w:bCs/>
        </w:rPr>
        <w:t xml:space="preserve">minimum </w:t>
      </w:r>
      <w:r w:rsidR="006B4623">
        <w:rPr>
          <w:rFonts w:eastAsiaTheme="minorHAnsi"/>
        </w:rPr>
        <w:t>actions required to ensure anticoagulants are stored, prescribed, dispensed, and administered safely.</w:t>
      </w:r>
    </w:p>
    <w:p w14:paraId="1506AE6F" w14:textId="5D84307E" w:rsidR="008671B6" w:rsidRDefault="008671B6" w:rsidP="008671B6">
      <w:pPr>
        <w:autoSpaceDE w:val="0"/>
        <w:autoSpaceDN w:val="0"/>
        <w:adjustRightInd w:val="0"/>
        <w:rPr>
          <w:rFonts w:eastAsiaTheme="minorHAnsi"/>
        </w:rPr>
      </w:pPr>
      <w:r w:rsidRPr="00AA0C98">
        <w:rPr>
          <w:rFonts w:eastAsiaTheme="minorHAnsi"/>
        </w:rPr>
        <w:t xml:space="preserve">Compliance with this </w:t>
      </w:r>
      <w:r w:rsidR="003A3784">
        <w:rPr>
          <w:rFonts w:eastAsiaTheme="minorHAnsi"/>
        </w:rPr>
        <w:t xml:space="preserve">High Risk Medicine </w:t>
      </w:r>
      <w:r w:rsidRPr="00AA0C98">
        <w:rPr>
          <w:rFonts w:eastAsiaTheme="minorHAnsi"/>
        </w:rPr>
        <w:t xml:space="preserve">standard </w:t>
      </w:r>
      <w:r>
        <w:rPr>
          <w:rFonts w:eastAsiaTheme="minorHAnsi"/>
        </w:rPr>
        <w:t xml:space="preserve">is mandatory and </w:t>
      </w:r>
      <w:r w:rsidRPr="00AA0C98">
        <w:rPr>
          <w:rFonts w:eastAsiaTheme="minorHAnsi"/>
        </w:rPr>
        <w:t xml:space="preserve">will support the clinical workforce in the safe management and use </w:t>
      </w:r>
      <w:r>
        <w:rPr>
          <w:rFonts w:eastAsiaTheme="minorHAnsi"/>
        </w:rPr>
        <w:t xml:space="preserve">of anticoagulants and help prevent </w:t>
      </w:r>
      <w:r w:rsidRPr="00AA0C98">
        <w:rPr>
          <w:rFonts w:eastAsiaTheme="minorHAnsi"/>
        </w:rPr>
        <w:t>prescription</w:t>
      </w:r>
      <w:r>
        <w:rPr>
          <w:rFonts w:eastAsiaTheme="minorHAnsi"/>
        </w:rPr>
        <w:t>, dispensing</w:t>
      </w:r>
      <w:r w:rsidRPr="00AA0C98">
        <w:rPr>
          <w:rFonts w:eastAsiaTheme="minorHAnsi"/>
        </w:rPr>
        <w:t xml:space="preserve"> and administration errors.</w:t>
      </w:r>
    </w:p>
    <w:p w14:paraId="3C5EA4E7" w14:textId="77777777" w:rsidR="00481A6C" w:rsidRDefault="00FF62B6" w:rsidP="00481A6C">
      <w:pPr>
        <w:pStyle w:val="BodyCopy"/>
        <w:rPr>
          <w:rStyle w:val="Hyperlink"/>
          <w:iCs w:val="0"/>
        </w:rPr>
      </w:pPr>
      <w:hyperlink w:anchor="_top" w:history="1">
        <w:r w:rsidR="00481A6C" w:rsidRPr="00481A6C">
          <w:rPr>
            <w:rStyle w:val="Hyperlink"/>
            <w:iCs w:val="0"/>
          </w:rPr>
          <w:t>Back to Contents</w:t>
        </w:r>
      </w:hyperlink>
    </w:p>
    <w:p w14:paraId="15E8FDD3" w14:textId="77777777" w:rsidR="0078367D" w:rsidRPr="00AC2EDE" w:rsidRDefault="003254E1" w:rsidP="00197F2E">
      <w:pPr>
        <w:pStyle w:val="Heading4"/>
      </w:pPr>
      <w:bookmarkStart w:id="4" w:name="_Toc184132655"/>
      <w:r>
        <w:rPr>
          <w:rStyle w:val="Hyperlink"/>
          <w:color w:val="FFFFFF" w:themeColor="background1"/>
          <w:u w:val="none"/>
        </w:rPr>
        <w:t>Alerts</w:t>
      </w:r>
      <w:bookmarkEnd w:id="4"/>
      <w:r>
        <w:rPr>
          <w:rStyle w:val="Hyperlink"/>
          <w:color w:val="FFFFFF" w:themeColor="background1"/>
          <w:u w:val="none"/>
        </w:rPr>
        <w:t xml:space="preserve"> </w:t>
      </w:r>
    </w:p>
    <w:p w14:paraId="265E3B34" w14:textId="517AD78A" w:rsidR="008671B6" w:rsidRDefault="008671B6" w:rsidP="008671B6">
      <w:pPr>
        <w:autoSpaceDE w:val="0"/>
        <w:autoSpaceDN w:val="0"/>
        <w:adjustRightInd w:val="0"/>
      </w:pPr>
      <w:r>
        <w:rPr>
          <w:rFonts w:eastAsiaTheme="minorHAnsi"/>
        </w:rPr>
        <w:lastRenderedPageBreak/>
        <w:t xml:space="preserve">This standard does not contain </w:t>
      </w:r>
      <w:r w:rsidRPr="00123D14">
        <w:rPr>
          <w:rFonts w:eastAsiaTheme="minorHAnsi"/>
        </w:rPr>
        <w:t xml:space="preserve">clinical guidance on </w:t>
      </w:r>
      <w:r>
        <w:rPr>
          <w:rFonts w:eastAsiaTheme="minorHAnsi"/>
        </w:rPr>
        <w:t xml:space="preserve">the prophylactic or </w:t>
      </w:r>
      <w:r w:rsidRPr="00123D14">
        <w:rPr>
          <w:rFonts w:eastAsiaTheme="minorHAnsi"/>
        </w:rPr>
        <w:t>therapeutic</w:t>
      </w:r>
      <w:r>
        <w:rPr>
          <w:rFonts w:eastAsiaTheme="minorHAnsi"/>
        </w:rPr>
        <w:t xml:space="preserve"> use of anticoagulants</w:t>
      </w:r>
      <w:r w:rsidR="001B7E7F">
        <w:rPr>
          <w:rFonts w:eastAsiaTheme="minorHAnsi"/>
        </w:rPr>
        <w:t>. Refer to</w:t>
      </w:r>
      <w:r w:rsidR="008216EE">
        <w:rPr>
          <w:rFonts w:eastAsiaTheme="minorHAnsi"/>
        </w:rPr>
        <w:t xml:space="preserve"> </w:t>
      </w:r>
      <w:r w:rsidR="00E1738F" w:rsidRPr="00E1738F">
        <w:rPr>
          <w:rStyle w:val="cf11"/>
          <w:rFonts w:asciiTheme="minorHAnsi" w:hAnsiTheme="minorHAnsi" w:cstheme="minorHAnsi"/>
          <w:sz w:val="24"/>
          <w:szCs w:val="24"/>
        </w:rPr>
        <w:t>CHS Anticoagulation Therapeutic Management (Adults only), Venous Thromboembolism (VTE) Prevention (Adults &amp; Children), Venous Thromboembolism Prevention</w:t>
      </w:r>
      <w:r w:rsidR="002250EA">
        <w:rPr>
          <w:rStyle w:val="cf11"/>
          <w:rFonts w:asciiTheme="minorHAnsi" w:hAnsiTheme="minorHAnsi" w:cstheme="minorHAnsi"/>
          <w:sz w:val="24"/>
          <w:szCs w:val="24"/>
        </w:rPr>
        <w:t>-North Canberra Hospital</w:t>
      </w:r>
      <w:r w:rsidR="00E1738F" w:rsidRPr="00E1738F">
        <w:rPr>
          <w:rStyle w:val="cf11"/>
          <w:rFonts w:asciiTheme="minorHAnsi" w:hAnsiTheme="minorHAnsi" w:cstheme="minorHAnsi"/>
          <w:sz w:val="24"/>
          <w:szCs w:val="24"/>
        </w:rPr>
        <w:t xml:space="preserve"> (NCH) </w:t>
      </w:r>
      <w:r w:rsidR="00E1738F" w:rsidRPr="00E1738F">
        <w:rPr>
          <w:rStyle w:val="cf01"/>
          <w:rFonts w:asciiTheme="minorHAnsi" w:hAnsiTheme="minorHAnsi" w:cstheme="minorHAnsi"/>
          <w:sz w:val="24"/>
          <w:szCs w:val="24"/>
        </w:rPr>
        <w:t xml:space="preserve">or </w:t>
      </w:r>
      <w:r w:rsidR="00E1738F" w:rsidRPr="00E1738F">
        <w:rPr>
          <w:rStyle w:val="cf11"/>
          <w:rFonts w:asciiTheme="minorHAnsi" w:hAnsiTheme="minorHAnsi" w:cstheme="minorHAnsi"/>
          <w:sz w:val="24"/>
          <w:szCs w:val="24"/>
        </w:rPr>
        <w:t>Heparin Infusion</w:t>
      </w:r>
      <w:r w:rsidR="002250EA">
        <w:rPr>
          <w:rStyle w:val="cf11"/>
          <w:rFonts w:asciiTheme="minorHAnsi" w:hAnsiTheme="minorHAnsi" w:cstheme="minorHAnsi"/>
          <w:sz w:val="24"/>
          <w:szCs w:val="24"/>
        </w:rPr>
        <w:t xml:space="preserve">-North Canberra </w:t>
      </w:r>
      <w:r w:rsidR="00C2329F">
        <w:rPr>
          <w:rStyle w:val="cf11"/>
          <w:rFonts w:asciiTheme="minorHAnsi" w:hAnsiTheme="minorHAnsi" w:cstheme="minorHAnsi"/>
          <w:sz w:val="24"/>
          <w:szCs w:val="24"/>
        </w:rPr>
        <w:t>Hospital</w:t>
      </w:r>
      <w:r w:rsidR="00C2329F" w:rsidRPr="00E1738F">
        <w:rPr>
          <w:rStyle w:val="cf11"/>
          <w:rFonts w:asciiTheme="minorHAnsi" w:hAnsiTheme="minorHAnsi" w:cstheme="minorHAnsi"/>
          <w:sz w:val="24"/>
          <w:szCs w:val="24"/>
        </w:rPr>
        <w:t xml:space="preserve"> </w:t>
      </w:r>
      <w:r w:rsidR="00C2329F">
        <w:rPr>
          <w:rStyle w:val="cf11"/>
          <w:rFonts w:asciiTheme="minorHAnsi" w:hAnsiTheme="minorHAnsi" w:cstheme="minorHAnsi"/>
          <w:sz w:val="24"/>
          <w:szCs w:val="24"/>
        </w:rPr>
        <w:t>for</w:t>
      </w:r>
      <w:r w:rsidR="001B7E7F">
        <w:rPr>
          <w:rStyle w:val="cf11"/>
          <w:rFonts w:asciiTheme="minorHAnsi" w:hAnsiTheme="minorHAnsi" w:cstheme="minorHAnsi"/>
          <w:sz w:val="24"/>
          <w:szCs w:val="24"/>
        </w:rPr>
        <w:t xml:space="preserve"> guidance on the prophylactic and therapeutic use of anticoagulants.</w:t>
      </w:r>
      <w:r w:rsidR="00215DEB">
        <w:rPr>
          <w:rStyle w:val="cf11"/>
        </w:rPr>
        <w:t xml:space="preserve"> </w:t>
      </w:r>
      <w:r w:rsidR="00215DEB">
        <w:rPr>
          <w:rFonts w:eastAsiaTheme="minorHAnsi"/>
        </w:rPr>
        <w:t>It</w:t>
      </w:r>
      <w:r w:rsidR="008216EE">
        <w:rPr>
          <w:rFonts w:eastAsiaTheme="minorHAnsi"/>
        </w:rPr>
        <w:t xml:space="preserve"> </w:t>
      </w:r>
      <w:r w:rsidRPr="00A85482">
        <w:t>is recommended that prescribers contact the Haematology team for advice on dosing</w:t>
      </w:r>
      <w:r w:rsidR="006B4623">
        <w:t xml:space="preserve"> of anticoagulants</w:t>
      </w:r>
      <w:r w:rsidRPr="00A85482">
        <w:t xml:space="preserve"> if required</w:t>
      </w:r>
      <w:r>
        <w:t>.</w:t>
      </w:r>
    </w:p>
    <w:p w14:paraId="08121289" w14:textId="77777777" w:rsidR="007E20E8" w:rsidRDefault="008671B6" w:rsidP="007E20E8">
      <w:pPr>
        <w:autoSpaceDE w:val="0"/>
        <w:autoSpaceDN w:val="0"/>
        <w:adjustRightInd w:val="0"/>
      </w:pPr>
      <w:r>
        <w:t>All anticoagulants are considered High-Risk Medicines.</w:t>
      </w:r>
      <w:r w:rsidR="007E20E8" w:rsidRPr="007E20E8">
        <w:t xml:space="preserve"> </w:t>
      </w:r>
      <w:r w:rsidR="007E20E8">
        <w:t>(see Table 1)</w:t>
      </w:r>
    </w:p>
    <w:p w14:paraId="385DC0AD" w14:textId="77777777" w:rsidR="008671B6" w:rsidRPr="007E20E8" w:rsidRDefault="007E20E8" w:rsidP="007E20E8">
      <w:pPr>
        <w:autoSpaceDE w:val="0"/>
        <w:autoSpaceDN w:val="0"/>
        <w:adjustRightInd w:val="0"/>
        <w:jc w:val="center"/>
        <w:rPr>
          <w:i/>
          <w:iCs/>
        </w:rPr>
      </w:pPr>
      <w:r w:rsidRPr="00D42B08">
        <w:rPr>
          <w:i/>
          <w:iCs/>
        </w:rPr>
        <w:t>Table 1: Types of anticoagulants</w:t>
      </w:r>
    </w:p>
    <w:tbl>
      <w:tblPr>
        <w:tblStyle w:val="TableGrid"/>
        <w:tblW w:w="0" w:type="auto"/>
        <w:tblInd w:w="1271" w:type="dxa"/>
        <w:tblLook w:val="04A0" w:firstRow="1" w:lastRow="0" w:firstColumn="1" w:lastColumn="0" w:noHBand="0" w:noVBand="1"/>
      </w:tblPr>
      <w:tblGrid>
        <w:gridCol w:w="3684"/>
        <w:gridCol w:w="3829"/>
      </w:tblGrid>
      <w:tr w:rsidR="00E1738F" w14:paraId="6FD93176" w14:textId="77777777" w:rsidTr="00215DEB">
        <w:trPr>
          <w:trHeight w:val="439"/>
        </w:trPr>
        <w:tc>
          <w:tcPr>
            <w:tcW w:w="3684" w:type="dxa"/>
          </w:tcPr>
          <w:p w14:paraId="7FB57B72" w14:textId="77777777" w:rsidR="00E1738F" w:rsidRPr="00E1738F" w:rsidRDefault="00E1738F" w:rsidP="00215DEB">
            <w:pPr>
              <w:autoSpaceDE w:val="0"/>
              <w:autoSpaceDN w:val="0"/>
              <w:adjustRightInd w:val="0"/>
              <w:spacing w:before="0" w:after="0"/>
              <w:rPr>
                <w:b/>
                <w:bCs/>
              </w:rPr>
            </w:pPr>
            <w:r w:rsidRPr="00E1738F">
              <w:rPr>
                <w:b/>
                <w:bCs/>
              </w:rPr>
              <w:t>Parental</w:t>
            </w:r>
          </w:p>
        </w:tc>
        <w:tc>
          <w:tcPr>
            <w:tcW w:w="3829" w:type="dxa"/>
          </w:tcPr>
          <w:p w14:paraId="704DB301" w14:textId="77777777" w:rsidR="00E1738F" w:rsidRPr="00E1738F" w:rsidRDefault="00E1738F" w:rsidP="00215DEB">
            <w:pPr>
              <w:autoSpaceDE w:val="0"/>
              <w:autoSpaceDN w:val="0"/>
              <w:adjustRightInd w:val="0"/>
              <w:spacing w:before="0" w:after="0"/>
              <w:rPr>
                <w:b/>
                <w:bCs/>
              </w:rPr>
            </w:pPr>
            <w:r w:rsidRPr="00E1738F">
              <w:rPr>
                <w:b/>
                <w:bCs/>
              </w:rPr>
              <w:t>Oral</w:t>
            </w:r>
          </w:p>
        </w:tc>
      </w:tr>
      <w:tr w:rsidR="00E1738F" w14:paraId="2550FBD0" w14:textId="77777777" w:rsidTr="00215DEB">
        <w:trPr>
          <w:trHeight w:val="510"/>
        </w:trPr>
        <w:tc>
          <w:tcPr>
            <w:tcW w:w="3684" w:type="dxa"/>
          </w:tcPr>
          <w:p w14:paraId="7A4B5EB2" w14:textId="77777777" w:rsidR="00E1738F" w:rsidRPr="001F085C" w:rsidRDefault="00E1738F" w:rsidP="00215DEB">
            <w:pPr>
              <w:spacing w:before="0" w:after="0" w:line="240" w:lineRule="auto"/>
              <w:rPr>
                <w:rFonts w:asciiTheme="minorHAnsi" w:hAnsiTheme="minorHAnsi" w:cstheme="minorHAnsi"/>
                <w:sz w:val="22"/>
                <w:szCs w:val="22"/>
              </w:rPr>
            </w:pPr>
            <w:r w:rsidRPr="001F085C">
              <w:rPr>
                <w:rFonts w:asciiTheme="minorHAnsi" w:hAnsiTheme="minorHAnsi" w:cstheme="minorHAnsi"/>
                <w:sz w:val="22"/>
                <w:szCs w:val="22"/>
              </w:rPr>
              <w:t>Unfractionated Heparin</w:t>
            </w:r>
          </w:p>
        </w:tc>
        <w:tc>
          <w:tcPr>
            <w:tcW w:w="3829" w:type="dxa"/>
          </w:tcPr>
          <w:p w14:paraId="387CC2FB" w14:textId="77777777" w:rsidR="00E1738F" w:rsidRPr="001F085C" w:rsidRDefault="00E1738F" w:rsidP="00215DEB">
            <w:pPr>
              <w:autoSpaceDE w:val="0"/>
              <w:autoSpaceDN w:val="0"/>
              <w:adjustRightInd w:val="0"/>
              <w:spacing w:before="0" w:after="0"/>
              <w:rPr>
                <w:rFonts w:asciiTheme="minorHAnsi" w:hAnsiTheme="minorHAnsi" w:cstheme="minorHAnsi"/>
                <w:sz w:val="22"/>
                <w:szCs w:val="22"/>
              </w:rPr>
            </w:pPr>
            <w:r w:rsidRPr="001F085C">
              <w:rPr>
                <w:rFonts w:asciiTheme="minorHAnsi" w:hAnsiTheme="minorHAnsi" w:cstheme="minorHAnsi"/>
                <w:sz w:val="22"/>
                <w:szCs w:val="22"/>
              </w:rPr>
              <w:t>Warfarin</w:t>
            </w:r>
          </w:p>
        </w:tc>
      </w:tr>
      <w:tr w:rsidR="00E1738F" w14:paraId="6AA98BF4" w14:textId="77777777" w:rsidTr="00215DEB">
        <w:trPr>
          <w:trHeight w:val="510"/>
        </w:trPr>
        <w:tc>
          <w:tcPr>
            <w:tcW w:w="3684" w:type="dxa"/>
          </w:tcPr>
          <w:p w14:paraId="2ED9323B" w14:textId="77777777" w:rsidR="00E1738F" w:rsidRPr="001F085C" w:rsidRDefault="00E1738F" w:rsidP="00215DEB">
            <w:pPr>
              <w:spacing w:before="0" w:after="0" w:line="240" w:lineRule="auto"/>
              <w:rPr>
                <w:rFonts w:asciiTheme="minorHAnsi" w:hAnsiTheme="minorHAnsi" w:cstheme="minorHAnsi"/>
                <w:sz w:val="22"/>
                <w:szCs w:val="22"/>
              </w:rPr>
            </w:pPr>
            <w:r w:rsidRPr="001F085C">
              <w:rPr>
                <w:rFonts w:asciiTheme="minorHAnsi" w:hAnsiTheme="minorHAnsi" w:cstheme="minorHAnsi"/>
                <w:sz w:val="22"/>
                <w:szCs w:val="22"/>
              </w:rPr>
              <w:t>Low Molecular Weight Heparins:</w:t>
            </w:r>
          </w:p>
          <w:p w14:paraId="5D68C8D7" w14:textId="77777777" w:rsidR="00E1738F" w:rsidRPr="001F085C" w:rsidRDefault="00E1738F" w:rsidP="00215DEB">
            <w:pPr>
              <w:pStyle w:val="ListParagraph"/>
              <w:numPr>
                <w:ilvl w:val="0"/>
                <w:numId w:val="39"/>
              </w:numPr>
              <w:rPr>
                <w:rFonts w:asciiTheme="minorHAnsi" w:hAnsiTheme="minorHAnsi" w:cstheme="minorHAnsi"/>
                <w:sz w:val="22"/>
                <w:szCs w:val="22"/>
              </w:rPr>
            </w:pPr>
            <w:r w:rsidRPr="001F085C">
              <w:rPr>
                <w:rFonts w:asciiTheme="minorHAnsi" w:hAnsiTheme="minorHAnsi" w:cstheme="minorHAnsi"/>
                <w:sz w:val="22"/>
                <w:szCs w:val="22"/>
              </w:rPr>
              <w:t>Enoxaparin</w:t>
            </w:r>
          </w:p>
          <w:p w14:paraId="17EDBDEB" w14:textId="77777777" w:rsidR="00E1738F" w:rsidRPr="001F085C" w:rsidRDefault="00E1738F" w:rsidP="00215DEB">
            <w:pPr>
              <w:pStyle w:val="ListParagraph"/>
              <w:numPr>
                <w:ilvl w:val="0"/>
                <w:numId w:val="39"/>
              </w:numPr>
              <w:rPr>
                <w:rFonts w:asciiTheme="minorHAnsi" w:hAnsiTheme="minorHAnsi" w:cstheme="minorHAnsi"/>
                <w:sz w:val="22"/>
                <w:szCs w:val="22"/>
              </w:rPr>
            </w:pPr>
            <w:r w:rsidRPr="001F085C">
              <w:rPr>
                <w:rFonts w:asciiTheme="minorHAnsi" w:hAnsiTheme="minorHAnsi" w:cstheme="minorHAnsi"/>
                <w:sz w:val="22"/>
                <w:szCs w:val="22"/>
              </w:rPr>
              <w:t>Dalteparin</w:t>
            </w:r>
          </w:p>
        </w:tc>
        <w:tc>
          <w:tcPr>
            <w:tcW w:w="3829" w:type="dxa"/>
            <w:vMerge w:val="restart"/>
          </w:tcPr>
          <w:p w14:paraId="169BA3BC" w14:textId="77777777" w:rsidR="00E1738F" w:rsidRPr="001F085C" w:rsidRDefault="00E1738F" w:rsidP="00215DEB">
            <w:pPr>
              <w:autoSpaceDE w:val="0"/>
              <w:autoSpaceDN w:val="0"/>
              <w:adjustRightInd w:val="0"/>
              <w:spacing w:before="0" w:after="0"/>
              <w:rPr>
                <w:rFonts w:asciiTheme="minorHAnsi" w:hAnsiTheme="minorHAnsi" w:cstheme="minorHAnsi"/>
                <w:sz w:val="22"/>
                <w:szCs w:val="22"/>
              </w:rPr>
            </w:pPr>
            <w:r w:rsidRPr="001F085C">
              <w:rPr>
                <w:rFonts w:asciiTheme="minorHAnsi" w:hAnsiTheme="minorHAnsi" w:cstheme="minorHAnsi"/>
                <w:sz w:val="22"/>
                <w:szCs w:val="22"/>
              </w:rPr>
              <w:t>Non-Vitamin K antagonist (Direct) Oral Anticoagulants (NOACs/DOACs)</w:t>
            </w:r>
          </w:p>
          <w:p w14:paraId="6BE52216" w14:textId="77777777" w:rsidR="00E1738F" w:rsidRPr="001F085C" w:rsidRDefault="00E1738F" w:rsidP="00215DEB">
            <w:pPr>
              <w:pStyle w:val="ListParagraph"/>
              <w:numPr>
                <w:ilvl w:val="0"/>
                <w:numId w:val="38"/>
              </w:numPr>
              <w:autoSpaceDE w:val="0"/>
              <w:autoSpaceDN w:val="0"/>
              <w:adjustRightInd w:val="0"/>
              <w:rPr>
                <w:rFonts w:asciiTheme="minorHAnsi" w:hAnsiTheme="minorHAnsi" w:cstheme="minorHAnsi"/>
                <w:sz w:val="22"/>
                <w:szCs w:val="22"/>
              </w:rPr>
            </w:pPr>
            <w:r w:rsidRPr="001F085C">
              <w:rPr>
                <w:rFonts w:asciiTheme="minorHAnsi" w:hAnsiTheme="minorHAnsi" w:cstheme="minorHAnsi"/>
                <w:sz w:val="22"/>
                <w:szCs w:val="22"/>
              </w:rPr>
              <w:t>Dabigatran</w:t>
            </w:r>
          </w:p>
          <w:p w14:paraId="50598813" w14:textId="77777777" w:rsidR="00E1738F" w:rsidRPr="001F085C" w:rsidRDefault="00E1738F" w:rsidP="00215DEB">
            <w:pPr>
              <w:pStyle w:val="ListParagraph"/>
              <w:numPr>
                <w:ilvl w:val="0"/>
                <w:numId w:val="38"/>
              </w:numPr>
              <w:autoSpaceDE w:val="0"/>
              <w:autoSpaceDN w:val="0"/>
              <w:adjustRightInd w:val="0"/>
              <w:rPr>
                <w:rFonts w:asciiTheme="minorHAnsi" w:hAnsiTheme="minorHAnsi" w:cstheme="minorHAnsi"/>
                <w:sz w:val="22"/>
                <w:szCs w:val="22"/>
              </w:rPr>
            </w:pPr>
            <w:r w:rsidRPr="001F085C">
              <w:rPr>
                <w:rFonts w:asciiTheme="minorHAnsi" w:hAnsiTheme="minorHAnsi" w:cstheme="minorHAnsi"/>
                <w:sz w:val="22"/>
                <w:szCs w:val="22"/>
              </w:rPr>
              <w:t>Apixaban</w:t>
            </w:r>
          </w:p>
          <w:p w14:paraId="15C611E7" w14:textId="77777777" w:rsidR="00E1738F" w:rsidRPr="001F085C" w:rsidRDefault="00E1738F" w:rsidP="00215DEB">
            <w:pPr>
              <w:pStyle w:val="ListParagraph"/>
              <w:numPr>
                <w:ilvl w:val="0"/>
                <w:numId w:val="38"/>
              </w:numPr>
              <w:autoSpaceDE w:val="0"/>
              <w:autoSpaceDN w:val="0"/>
              <w:adjustRightInd w:val="0"/>
              <w:rPr>
                <w:rFonts w:asciiTheme="minorHAnsi" w:hAnsiTheme="minorHAnsi" w:cstheme="minorHAnsi"/>
                <w:sz w:val="22"/>
                <w:szCs w:val="22"/>
              </w:rPr>
            </w:pPr>
            <w:r w:rsidRPr="001F085C">
              <w:rPr>
                <w:rFonts w:asciiTheme="minorHAnsi" w:hAnsiTheme="minorHAnsi" w:cstheme="minorHAnsi"/>
                <w:sz w:val="22"/>
                <w:szCs w:val="22"/>
              </w:rPr>
              <w:t>Rivaroxaban</w:t>
            </w:r>
          </w:p>
        </w:tc>
      </w:tr>
      <w:tr w:rsidR="00E1738F" w14:paraId="146F5047" w14:textId="77777777" w:rsidTr="00215DEB">
        <w:trPr>
          <w:trHeight w:val="389"/>
        </w:trPr>
        <w:tc>
          <w:tcPr>
            <w:tcW w:w="3684" w:type="dxa"/>
          </w:tcPr>
          <w:p w14:paraId="056B02F6" w14:textId="77777777" w:rsidR="00E1738F" w:rsidRPr="001F085C" w:rsidRDefault="00E1738F" w:rsidP="00215DEB">
            <w:pPr>
              <w:spacing w:before="0" w:after="0" w:line="240" w:lineRule="auto"/>
              <w:rPr>
                <w:rFonts w:asciiTheme="minorHAnsi" w:hAnsiTheme="minorHAnsi" w:cstheme="minorHAnsi"/>
                <w:sz w:val="22"/>
                <w:szCs w:val="22"/>
              </w:rPr>
            </w:pPr>
            <w:r w:rsidRPr="001F085C">
              <w:rPr>
                <w:rFonts w:asciiTheme="minorHAnsi" w:hAnsiTheme="minorHAnsi" w:cstheme="minorHAnsi"/>
                <w:sz w:val="22"/>
                <w:szCs w:val="22"/>
              </w:rPr>
              <w:t>Fondaparinux</w:t>
            </w:r>
          </w:p>
        </w:tc>
        <w:tc>
          <w:tcPr>
            <w:tcW w:w="3829" w:type="dxa"/>
            <w:vMerge/>
          </w:tcPr>
          <w:p w14:paraId="755D3962" w14:textId="77777777" w:rsidR="00E1738F" w:rsidRDefault="00E1738F" w:rsidP="00215DEB">
            <w:pPr>
              <w:autoSpaceDE w:val="0"/>
              <w:autoSpaceDN w:val="0"/>
              <w:adjustRightInd w:val="0"/>
              <w:spacing w:before="0" w:after="0"/>
            </w:pPr>
          </w:p>
        </w:tc>
      </w:tr>
      <w:tr w:rsidR="00E1738F" w14:paraId="677DB5F4" w14:textId="77777777" w:rsidTr="00215DEB">
        <w:trPr>
          <w:trHeight w:val="340"/>
        </w:trPr>
        <w:tc>
          <w:tcPr>
            <w:tcW w:w="3684" w:type="dxa"/>
          </w:tcPr>
          <w:p w14:paraId="0D676805" w14:textId="77777777" w:rsidR="00E1738F" w:rsidRPr="001F085C" w:rsidRDefault="00E1738F" w:rsidP="00215DEB">
            <w:pPr>
              <w:spacing w:before="0" w:after="0" w:line="240" w:lineRule="auto"/>
              <w:rPr>
                <w:rFonts w:asciiTheme="minorHAnsi" w:hAnsiTheme="minorHAnsi" w:cstheme="minorHAnsi"/>
                <w:sz w:val="22"/>
                <w:szCs w:val="22"/>
              </w:rPr>
            </w:pPr>
            <w:r w:rsidRPr="001F085C">
              <w:rPr>
                <w:rFonts w:asciiTheme="minorHAnsi" w:hAnsiTheme="minorHAnsi" w:cstheme="minorHAnsi"/>
                <w:sz w:val="22"/>
                <w:szCs w:val="22"/>
              </w:rPr>
              <w:t>Danaparoid</w:t>
            </w:r>
          </w:p>
        </w:tc>
        <w:tc>
          <w:tcPr>
            <w:tcW w:w="3829" w:type="dxa"/>
            <w:vMerge/>
          </w:tcPr>
          <w:p w14:paraId="530E5272" w14:textId="77777777" w:rsidR="00E1738F" w:rsidRDefault="00E1738F" w:rsidP="00215DEB">
            <w:pPr>
              <w:autoSpaceDE w:val="0"/>
              <w:autoSpaceDN w:val="0"/>
              <w:adjustRightInd w:val="0"/>
              <w:spacing w:before="0" w:after="0"/>
            </w:pPr>
          </w:p>
        </w:tc>
      </w:tr>
      <w:tr w:rsidR="00E1738F" w14:paraId="3FD1D8F3" w14:textId="77777777" w:rsidTr="00215DEB">
        <w:tc>
          <w:tcPr>
            <w:tcW w:w="3684" w:type="dxa"/>
          </w:tcPr>
          <w:p w14:paraId="5CBA49F9" w14:textId="77777777" w:rsidR="00E1738F" w:rsidRPr="001F085C" w:rsidRDefault="00E1738F" w:rsidP="00215DEB">
            <w:pPr>
              <w:spacing w:before="0" w:after="0" w:line="240" w:lineRule="auto"/>
              <w:rPr>
                <w:rFonts w:asciiTheme="minorHAnsi" w:hAnsiTheme="minorHAnsi" w:cstheme="minorHAnsi"/>
                <w:sz w:val="22"/>
                <w:szCs w:val="22"/>
              </w:rPr>
            </w:pPr>
            <w:r w:rsidRPr="001F085C">
              <w:rPr>
                <w:rFonts w:asciiTheme="minorHAnsi" w:hAnsiTheme="minorHAnsi" w:cstheme="minorHAnsi"/>
                <w:sz w:val="22"/>
                <w:szCs w:val="22"/>
              </w:rPr>
              <w:t>Bivalirudin</w:t>
            </w:r>
          </w:p>
        </w:tc>
        <w:tc>
          <w:tcPr>
            <w:tcW w:w="3829" w:type="dxa"/>
            <w:vMerge/>
          </w:tcPr>
          <w:p w14:paraId="71B4CAB8" w14:textId="77777777" w:rsidR="00E1738F" w:rsidRDefault="00E1738F" w:rsidP="00215DEB">
            <w:pPr>
              <w:autoSpaceDE w:val="0"/>
              <w:autoSpaceDN w:val="0"/>
              <w:adjustRightInd w:val="0"/>
              <w:spacing w:before="0" w:after="0"/>
            </w:pPr>
          </w:p>
        </w:tc>
      </w:tr>
    </w:tbl>
    <w:p w14:paraId="707CAF87" w14:textId="77777777" w:rsidR="00481A6C" w:rsidRPr="008671B6" w:rsidRDefault="00481A6C" w:rsidP="008671B6">
      <w:pPr>
        <w:autoSpaceDE w:val="0"/>
        <w:autoSpaceDN w:val="0"/>
        <w:adjustRightInd w:val="0"/>
        <w:rPr>
          <w:rStyle w:val="Hyperlink"/>
          <w:rFonts w:eastAsiaTheme="minorHAnsi"/>
          <w:color w:val="000000" w:themeColor="text1"/>
          <w:u w:val="none"/>
        </w:rPr>
      </w:pPr>
      <w:r>
        <w:br/>
      </w:r>
      <w:hyperlink w:anchor="_top" w:history="1">
        <w:r w:rsidRPr="00481A6C">
          <w:rPr>
            <w:rStyle w:val="Hyperlink"/>
          </w:rPr>
          <w:t>Back to Contents</w:t>
        </w:r>
      </w:hyperlink>
    </w:p>
    <w:p w14:paraId="7A66B24B" w14:textId="77777777" w:rsidR="003254E1" w:rsidRDefault="003254E1" w:rsidP="003254E1">
      <w:pPr>
        <w:pStyle w:val="Heading4"/>
      </w:pPr>
      <w:bookmarkStart w:id="5" w:name="_Toc184132656"/>
      <w:r>
        <w:t>Scope</w:t>
      </w:r>
      <w:bookmarkEnd w:id="5"/>
    </w:p>
    <w:p w14:paraId="2751ED32" w14:textId="21250BFC" w:rsidR="00C70BD7" w:rsidRDefault="008671B6" w:rsidP="008671B6">
      <w:r w:rsidRPr="002B6FD9">
        <w:t xml:space="preserve">This standard applies to all </w:t>
      </w:r>
      <w:r w:rsidRPr="00EF36C6">
        <w:t xml:space="preserve">Canberra Health Services </w:t>
      </w:r>
      <w:r>
        <w:t xml:space="preserve">Network </w:t>
      </w:r>
      <w:r w:rsidRPr="00EF36C6">
        <w:t>health professional</w:t>
      </w:r>
      <w:r>
        <w:t>s</w:t>
      </w:r>
      <w:r w:rsidR="00C70BD7">
        <w:t>:</w:t>
      </w:r>
      <w:r w:rsidRPr="00EF36C6">
        <w:t xml:space="preserve"> </w:t>
      </w:r>
    </w:p>
    <w:p w14:paraId="48E88B48" w14:textId="266071C0" w:rsidR="00C70BD7" w:rsidRPr="00C70BD7" w:rsidRDefault="008671B6" w:rsidP="001F085C">
      <w:pPr>
        <w:pStyle w:val="Tablebullet1"/>
        <w:rPr>
          <w:rFonts w:eastAsia="Calibri"/>
        </w:rPr>
      </w:pPr>
      <w:r w:rsidRPr="00C70BD7">
        <w:rPr>
          <w:rFonts w:eastAsia="Calibri"/>
        </w:rPr>
        <w:t xml:space="preserve">involved in prescribing, dispensing, and administration of anticoagulants. </w:t>
      </w:r>
    </w:p>
    <w:p w14:paraId="50D2E8F2" w14:textId="1B6D3DCC" w:rsidR="003254E1" w:rsidRPr="00C70BD7" w:rsidRDefault="00370096" w:rsidP="001F085C">
      <w:pPr>
        <w:pStyle w:val="Tablebullet1"/>
        <w:rPr>
          <w:rFonts w:eastAsia="Calibri"/>
        </w:rPr>
      </w:pPr>
      <w:r w:rsidRPr="00C70BD7">
        <w:rPr>
          <w:rFonts w:eastAsia="Calibri"/>
        </w:rPr>
        <w:t xml:space="preserve">acting within their scope of practice, </w:t>
      </w:r>
      <w:r w:rsidR="008671B6" w:rsidRPr="00C70BD7">
        <w:rPr>
          <w:rFonts w:eastAsia="Calibri"/>
        </w:rPr>
        <w:t>who interact with a patient who has been administered an anticoagulant.</w:t>
      </w:r>
    </w:p>
    <w:p w14:paraId="463F75F0" w14:textId="77777777" w:rsidR="003254E1" w:rsidRPr="001F085C" w:rsidRDefault="00FF62B6" w:rsidP="003254E1">
      <w:pPr>
        <w:pStyle w:val="BodyCopy"/>
        <w:spacing w:before="240"/>
        <w:rPr>
          <w:rFonts w:eastAsia="Calibri"/>
          <w:bCs w:val="0"/>
          <w:iCs w:val="0"/>
          <w:u w:val="single"/>
        </w:rPr>
      </w:pPr>
      <w:hyperlink w:anchor="_top" w:history="1">
        <w:r w:rsidR="003254E1" w:rsidRPr="001F085C">
          <w:rPr>
            <w:rFonts w:eastAsia="Calibri"/>
            <w:bCs w:val="0"/>
            <w:u w:val="single"/>
          </w:rPr>
          <w:t>Back to Contents</w:t>
        </w:r>
      </w:hyperlink>
    </w:p>
    <w:p w14:paraId="0B9C52DB" w14:textId="77777777" w:rsidR="008671B6" w:rsidRPr="008671B6" w:rsidRDefault="0078367D" w:rsidP="008671B6">
      <w:pPr>
        <w:pStyle w:val="Heading4"/>
      </w:pPr>
      <w:bookmarkStart w:id="6" w:name="_Toc184132657"/>
      <w:r>
        <w:t xml:space="preserve">Section 1 </w:t>
      </w:r>
      <w:r w:rsidR="008671B6">
        <w:t>–</w:t>
      </w:r>
      <w:r>
        <w:t xml:space="preserve"> </w:t>
      </w:r>
      <w:r w:rsidR="008671B6">
        <w:t>Guideline and Policy Requirements</w:t>
      </w:r>
      <w:bookmarkEnd w:id="6"/>
    </w:p>
    <w:p w14:paraId="072346CC" w14:textId="0C5AAB3E" w:rsidR="008671B6" w:rsidRDefault="008671B6" w:rsidP="008671B6">
      <w:r w:rsidRPr="00E87CDC">
        <w:t xml:space="preserve">Prescribing of </w:t>
      </w:r>
      <w:r w:rsidRPr="00E87CDC">
        <w:rPr>
          <w:rFonts w:eastAsiaTheme="minorHAnsi"/>
        </w:rPr>
        <w:t>unfrac</w:t>
      </w:r>
      <w:r>
        <w:rPr>
          <w:rFonts w:eastAsiaTheme="minorHAnsi"/>
        </w:rPr>
        <w:t xml:space="preserve">tionated heparin, warfarin, low </w:t>
      </w:r>
      <w:r w:rsidRPr="00E87CDC">
        <w:rPr>
          <w:rFonts w:eastAsiaTheme="minorHAnsi"/>
        </w:rPr>
        <w:t>molecular weight heparin and non-vitamin K antagonist oral anticoagulants (</w:t>
      </w:r>
      <w:r w:rsidR="00215DEB">
        <w:rPr>
          <w:rFonts w:eastAsiaTheme="minorHAnsi"/>
        </w:rPr>
        <w:t>D</w:t>
      </w:r>
      <w:r w:rsidRPr="00E87CDC">
        <w:rPr>
          <w:rFonts w:eastAsiaTheme="minorHAnsi"/>
        </w:rPr>
        <w:t xml:space="preserve">OAC) must be in accordance with </w:t>
      </w:r>
      <w:r>
        <w:rPr>
          <w:rFonts w:eastAsiaTheme="minorHAnsi"/>
        </w:rPr>
        <w:t xml:space="preserve">local or national guidelines and policies such as </w:t>
      </w:r>
      <w:r w:rsidRPr="005E615D">
        <w:rPr>
          <w:rFonts w:eastAsiaTheme="minorHAnsi"/>
          <w:i/>
          <w:iCs/>
        </w:rPr>
        <w:t xml:space="preserve">CHS </w:t>
      </w:r>
      <w:r w:rsidRPr="005E615D">
        <w:rPr>
          <w:i/>
          <w:iCs/>
        </w:rPr>
        <w:t xml:space="preserve">Anticoagulation Therapeutic Management (Adults only), </w:t>
      </w:r>
      <w:bookmarkStart w:id="7" w:name="_Hlk181090444"/>
      <w:r w:rsidRPr="005E615D">
        <w:rPr>
          <w:i/>
          <w:iCs/>
        </w:rPr>
        <w:t xml:space="preserve">Venous Thromboembolism </w:t>
      </w:r>
      <w:bookmarkEnd w:id="7"/>
      <w:r w:rsidRPr="005E615D">
        <w:rPr>
          <w:i/>
          <w:iCs/>
        </w:rPr>
        <w:t>(VTE) Prevention (Adults &amp; Children)</w:t>
      </w:r>
      <w:r>
        <w:rPr>
          <w:i/>
          <w:iCs/>
        </w:rPr>
        <w:t xml:space="preserve">, </w:t>
      </w:r>
      <w:r w:rsidRPr="005E615D">
        <w:rPr>
          <w:i/>
          <w:iCs/>
        </w:rPr>
        <w:t xml:space="preserve">Venous Thromboembolism </w:t>
      </w:r>
      <w:r>
        <w:rPr>
          <w:i/>
          <w:iCs/>
        </w:rPr>
        <w:t xml:space="preserve">Prevention (NCH) </w:t>
      </w:r>
      <w:r>
        <w:t xml:space="preserve">or </w:t>
      </w:r>
      <w:r w:rsidRPr="005E615D">
        <w:rPr>
          <w:i/>
          <w:iCs/>
        </w:rPr>
        <w:t>Heparin Infusion (NCH)</w:t>
      </w:r>
    </w:p>
    <w:p w14:paraId="6F5FAC2A" w14:textId="77777777" w:rsidR="008671B6" w:rsidRDefault="008671B6" w:rsidP="008671B6">
      <w:pPr>
        <w:jc w:val="both"/>
      </w:pPr>
      <w:r>
        <w:rPr>
          <w:rFonts w:eastAsiaTheme="minorHAnsi"/>
          <w:bCs/>
        </w:rPr>
        <w:t xml:space="preserve">CHS network </w:t>
      </w:r>
      <w:r w:rsidRPr="00DC0484">
        <w:t>policies</w:t>
      </w:r>
      <w:r>
        <w:t xml:space="preserve">/guidelines pertaining to the use of anticoagulants must outline the specific risk reduction strategies that must be used to support the safe management of the anticoagulant described in the policy. </w:t>
      </w:r>
    </w:p>
    <w:p w14:paraId="445CBFF8" w14:textId="77777777" w:rsidR="008671B6" w:rsidRPr="00DC0484" w:rsidRDefault="008671B6" w:rsidP="008671B6">
      <w:pPr>
        <w:autoSpaceDE w:val="0"/>
        <w:autoSpaceDN w:val="0"/>
        <w:adjustRightInd w:val="0"/>
        <w:rPr>
          <w:u w:val="single"/>
        </w:rPr>
      </w:pPr>
      <w:r w:rsidRPr="00DC0484">
        <w:t>These policies</w:t>
      </w:r>
      <w:r>
        <w:t>/guidelines</w:t>
      </w:r>
      <w:r w:rsidRPr="00DC0484">
        <w:t xml:space="preserve"> </w:t>
      </w:r>
      <w:r w:rsidRPr="001F085C">
        <w:t>must include</w:t>
      </w:r>
      <w:r w:rsidR="00F92294" w:rsidRPr="001F085C">
        <w:t>:</w:t>
      </w:r>
    </w:p>
    <w:p w14:paraId="353D588C" w14:textId="16A38665"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color w:val="000000"/>
          <w:szCs w:val="24"/>
        </w:rPr>
      </w:pPr>
      <w:r w:rsidRPr="00215DEB">
        <w:rPr>
          <w:rFonts w:asciiTheme="minorHAnsi" w:eastAsiaTheme="minorHAnsi" w:hAnsiTheme="minorHAnsi" w:cstheme="minorHAnsi"/>
          <w:color w:val="000000"/>
          <w:szCs w:val="24"/>
        </w:rPr>
        <w:lastRenderedPageBreak/>
        <w:t xml:space="preserve">The requirement for recording accurate patient weight </w:t>
      </w:r>
      <w:r w:rsidR="00442BF5">
        <w:rPr>
          <w:rFonts w:asciiTheme="minorHAnsi" w:eastAsiaTheme="minorHAnsi" w:hAnsiTheme="minorHAnsi" w:cstheme="minorHAnsi"/>
          <w:color w:val="000000"/>
          <w:szCs w:val="24"/>
        </w:rPr>
        <w:t xml:space="preserve">in the Digital Health Records </w:t>
      </w:r>
      <w:r w:rsidRPr="00215DEB">
        <w:rPr>
          <w:rFonts w:asciiTheme="minorHAnsi" w:eastAsiaTheme="minorHAnsi" w:hAnsiTheme="minorHAnsi" w:cstheme="minorHAnsi"/>
          <w:color w:val="000000"/>
          <w:szCs w:val="24"/>
        </w:rPr>
        <w:t>(where practical) for all patients receiving anticoagulant therapy</w:t>
      </w:r>
      <w:r w:rsidR="00067C2F">
        <w:rPr>
          <w:rFonts w:asciiTheme="minorHAnsi" w:eastAsiaTheme="minorHAnsi" w:hAnsiTheme="minorHAnsi" w:cstheme="minorHAnsi"/>
          <w:color w:val="000000"/>
          <w:szCs w:val="24"/>
        </w:rPr>
        <w:t xml:space="preserve"> </w:t>
      </w:r>
    </w:p>
    <w:p w14:paraId="0D7AC954" w14:textId="77777777"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color w:val="000000"/>
          <w:szCs w:val="24"/>
        </w:rPr>
      </w:pPr>
      <w:r w:rsidRPr="00215DEB">
        <w:rPr>
          <w:rFonts w:asciiTheme="minorHAnsi" w:eastAsiaTheme="minorHAnsi" w:hAnsiTheme="minorHAnsi" w:cstheme="minorHAnsi"/>
          <w:color w:val="000000"/>
          <w:szCs w:val="24"/>
        </w:rPr>
        <w:t>Instructions for estimating renal function</w:t>
      </w:r>
    </w:p>
    <w:p w14:paraId="3A8A6685" w14:textId="77777777"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color w:val="000000"/>
          <w:szCs w:val="24"/>
        </w:rPr>
      </w:pPr>
      <w:r w:rsidRPr="00215DEB">
        <w:rPr>
          <w:rFonts w:asciiTheme="minorHAnsi" w:eastAsiaTheme="minorHAnsi" w:hAnsiTheme="minorHAnsi" w:cstheme="minorHAnsi"/>
          <w:color w:val="000000"/>
          <w:szCs w:val="24"/>
        </w:rPr>
        <w:t>Managing anticoagulation in high-risk patients</w:t>
      </w:r>
    </w:p>
    <w:p w14:paraId="6A8BCF56" w14:textId="77777777"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color w:val="000000"/>
          <w:szCs w:val="24"/>
        </w:rPr>
      </w:pPr>
      <w:r w:rsidRPr="00215DEB">
        <w:rPr>
          <w:rFonts w:asciiTheme="minorHAnsi" w:eastAsiaTheme="minorHAnsi" w:hAnsiTheme="minorHAnsi" w:cstheme="minorHAnsi"/>
          <w:color w:val="000000"/>
          <w:szCs w:val="24"/>
        </w:rPr>
        <w:t>Evidence-based dosing guidelines and guidance for prescribing</w:t>
      </w:r>
    </w:p>
    <w:p w14:paraId="109DF9FA" w14:textId="1EDF90E0"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color w:val="000000"/>
          <w:szCs w:val="24"/>
        </w:rPr>
      </w:pPr>
      <w:r w:rsidRPr="00215DEB">
        <w:rPr>
          <w:rFonts w:asciiTheme="minorHAnsi" w:eastAsiaTheme="minorHAnsi" w:hAnsiTheme="minorHAnsi" w:cstheme="minorHAnsi"/>
          <w:color w:val="000000"/>
          <w:szCs w:val="24"/>
        </w:rPr>
        <w:t>Monitoring requirements including coagulation status and monitoring for H</w:t>
      </w:r>
      <w:r w:rsidR="00442BF5">
        <w:rPr>
          <w:rFonts w:asciiTheme="minorHAnsi" w:eastAsiaTheme="minorHAnsi" w:hAnsiTheme="minorHAnsi" w:cstheme="minorHAnsi"/>
          <w:color w:val="000000"/>
          <w:szCs w:val="24"/>
        </w:rPr>
        <w:t xml:space="preserve">eparin </w:t>
      </w:r>
      <w:r w:rsidRPr="00215DEB">
        <w:rPr>
          <w:rFonts w:asciiTheme="minorHAnsi" w:eastAsiaTheme="minorHAnsi" w:hAnsiTheme="minorHAnsi" w:cstheme="minorHAnsi"/>
          <w:color w:val="000000"/>
          <w:szCs w:val="24"/>
        </w:rPr>
        <w:t>I</w:t>
      </w:r>
      <w:r w:rsidR="00442BF5">
        <w:rPr>
          <w:rFonts w:asciiTheme="minorHAnsi" w:eastAsiaTheme="minorHAnsi" w:hAnsiTheme="minorHAnsi" w:cstheme="minorHAnsi"/>
          <w:color w:val="000000"/>
          <w:szCs w:val="24"/>
        </w:rPr>
        <w:t xml:space="preserve">nduced </w:t>
      </w:r>
      <w:r w:rsidRPr="00215DEB">
        <w:rPr>
          <w:rFonts w:asciiTheme="minorHAnsi" w:eastAsiaTheme="minorHAnsi" w:hAnsiTheme="minorHAnsi" w:cstheme="minorHAnsi"/>
          <w:color w:val="000000"/>
          <w:szCs w:val="24"/>
        </w:rPr>
        <w:t>T</w:t>
      </w:r>
      <w:r w:rsidR="00442BF5">
        <w:rPr>
          <w:rFonts w:asciiTheme="minorHAnsi" w:eastAsiaTheme="minorHAnsi" w:hAnsiTheme="minorHAnsi" w:cstheme="minorHAnsi"/>
          <w:color w:val="000000"/>
          <w:szCs w:val="24"/>
        </w:rPr>
        <w:t xml:space="preserve">hrombocytopenia (HITs) </w:t>
      </w:r>
      <w:r w:rsidRPr="00215DEB">
        <w:rPr>
          <w:rFonts w:asciiTheme="minorHAnsi" w:eastAsiaTheme="minorHAnsi" w:hAnsiTheme="minorHAnsi" w:cstheme="minorHAnsi"/>
          <w:color w:val="000000"/>
          <w:szCs w:val="24"/>
        </w:rPr>
        <w:t>or new/extension of thrombosis</w:t>
      </w:r>
    </w:p>
    <w:p w14:paraId="178B963C" w14:textId="77777777"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color w:val="000000"/>
          <w:szCs w:val="24"/>
        </w:rPr>
      </w:pPr>
      <w:r w:rsidRPr="00215DEB">
        <w:rPr>
          <w:rFonts w:asciiTheme="minorHAnsi" w:eastAsiaTheme="minorHAnsi" w:hAnsiTheme="minorHAnsi" w:cstheme="minorHAnsi"/>
          <w:color w:val="000000"/>
          <w:szCs w:val="24"/>
        </w:rPr>
        <w:t>Use of reversal agents and management of bleeding</w:t>
      </w:r>
    </w:p>
    <w:p w14:paraId="610F27EE" w14:textId="77777777"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215DEB">
        <w:rPr>
          <w:rFonts w:asciiTheme="minorHAnsi" w:eastAsiaTheme="minorHAnsi" w:hAnsiTheme="minorHAnsi" w:cstheme="minorHAnsi"/>
          <w:szCs w:val="24"/>
        </w:rPr>
        <w:t>Instructions for switching to and from other anticoagulant medicines</w:t>
      </w:r>
    </w:p>
    <w:p w14:paraId="1D7BAEC7" w14:textId="77777777" w:rsidR="008671B6" w:rsidRPr="00215DEB" w:rsidRDefault="008671B6" w:rsidP="008671B6">
      <w:pPr>
        <w:pStyle w:val="ListParagraph"/>
        <w:numPr>
          <w:ilvl w:val="0"/>
          <w:numId w:val="28"/>
        </w:numPr>
        <w:autoSpaceDE w:val="0"/>
        <w:autoSpaceDN w:val="0"/>
        <w:adjustRightInd w:val="0"/>
        <w:ind w:left="426" w:hanging="426"/>
        <w:jc w:val="both"/>
        <w:rPr>
          <w:rFonts w:asciiTheme="minorHAnsi" w:eastAsiaTheme="minorHAnsi" w:hAnsiTheme="minorHAnsi" w:cstheme="minorHAnsi"/>
          <w:color w:val="000000"/>
          <w:szCs w:val="24"/>
        </w:rPr>
      </w:pPr>
      <w:r w:rsidRPr="00215DEB">
        <w:rPr>
          <w:rFonts w:asciiTheme="minorHAnsi" w:eastAsiaTheme="minorHAnsi" w:hAnsiTheme="minorHAnsi" w:cstheme="minorHAnsi"/>
          <w:szCs w:val="24"/>
        </w:rPr>
        <w:t>Instructions (or reference to the local peri-operative guidelines) for managing anticoagulants during the perioperative period</w:t>
      </w:r>
    </w:p>
    <w:p w14:paraId="2CECCF8D" w14:textId="77777777" w:rsidR="00AC2EDE" w:rsidRPr="00215DEB" w:rsidRDefault="008671B6" w:rsidP="008671B6">
      <w:pPr>
        <w:pStyle w:val="ListParagraph"/>
        <w:numPr>
          <w:ilvl w:val="0"/>
          <w:numId w:val="29"/>
        </w:numPr>
        <w:ind w:left="426" w:hanging="426"/>
        <w:jc w:val="both"/>
        <w:rPr>
          <w:rFonts w:asciiTheme="minorHAnsi" w:hAnsiTheme="minorHAnsi" w:cstheme="minorHAnsi"/>
          <w:szCs w:val="24"/>
        </w:rPr>
      </w:pPr>
      <w:r w:rsidRPr="00215DEB">
        <w:rPr>
          <w:rFonts w:asciiTheme="minorHAnsi" w:eastAsiaTheme="minorHAnsi" w:hAnsiTheme="minorHAnsi" w:cstheme="minorHAnsi"/>
          <w:szCs w:val="24"/>
        </w:rPr>
        <w:t>Requirements for patient and / or carer education.</w:t>
      </w:r>
    </w:p>
    <w:p w14:paraId="13E32419" w14:textId="77777777" w:rsidR="00481A6C" w:rsidRPr="00481A6C" w:rsidRDefault="00FF62B6" w:rsidP="005C5F49">
      <w:pPr>
        <w:pStyle w:val="BodyCopy"/>
        <w:spacing w:before="240"/>
      </w:pPr>
      <w:hyperlink w:anchor="_top" w:history="1">
        <w:r w:rsidR="00481A6C" w:rsidRPr="00481A6C">
          <w:rPr>
            <w:rStyle w:val="Hyperlink"/>
            <w:iCs w:val="0"/>
          </w:rPr>
          <w:t>Back to Contents</w:t>
        </w:r>
      </w:hyperlink>
    </w:p>
    <w:p w14:paraId="0BEC9EB0" w14:textId="77777777" w:rsidR="0078367D" w:rsidRDefault="0078367D" w:rsidP="00A6051F">
      <w:pPr>
        <w:pStyle w:val="Heading4"/>
      </w:pPr>
      <w:bookmarkStart w:id="8" w:name="_Toc184132658"/>
      <w:r>
        <w:t xml:space="preserve">Section 2 </w:t>
      </w:r>
      <w:r w:rsidR="008671B6">
        <w:t>–</w:t>
      </w:r>
      <w:r>
        <w:t xml:space="preserve"> </w:t>
      </w:r>
      <w:r w:rsidR="008671B6">
        <w:t>Prescriber Responsibilities</w:t>
      </w:r>
      <w:bookmarkEnd w:id="8"/>
      <w:r w:rsidR="003254E1">
        <w:t xml:space="preserve"> </w:t>
      </w:r>
    </w:p>
    <w:p w14:paraId="0F9083FB" w14:textId="55BA2843" w:rsidR="008671B6" w:rsidRPr="00215DEB" w:rsidRDefault="008671B6" w:rsidP="008671B6">
      <w:pPr>
        <w:outlineLvl w:val="0"/>
        <w:rPr>
          <w:rFonts w:asciiTheme="minorHAnsi" w:hAnsiTheme="minorHAnsi" w:cstheme="minorHAnsi"/>
        </w:rPr>
      </w:pPr>
      <w:r w:rsidRPr="00215DEB">
        <w:rPr>
          <w:rFonts w:asciiTheme="minorHAnsi" w:hAnsiTheme="minorHAnsi" w:cstheme="minorHAnsi"/>
        </w:rPr>
        <w:t xml:space="preserve">In addition to the general requirements for prescribing and administering high-risk medicines as outlined in the </w:t>
      </w:r>
      <w:r w:rsidRPr="00215DEB">
        <w:rPr>
          <w:rFonts w:asciiTheme="minorHAnsi" w:hAnsiTheme="minorHAnsi" w:cstheme="minorHAnsi"/>
          <w:i/>
          <w:iCs/>
        </w:rPr>
        <w:t>High-Risk Medicine Policy</w:t>
      </w:r>
      <w:r w:rsidRPr="00215DEB">
        <w:rPr>
          <w:rFonts w:asciiTheme="minorHAnsi" w:hAnsiTheme="minorHAnsi" w:cstheme="minorHAnsi"/>
        </w:rPr>
        <w:t xml:space="preserve"> and </w:t>
      </w:r>
      <w:r w:rsidRPr="00215DEB">
        <w:rPr>
          <w:rFonts w:asciiTheme="minorHAnsi" w:hAnsiTheme="minorHAnsi" w:cstheme="minorHAnsi"/>
          <w:i/>
        </w:rPr>
        <w:t>High-Risk Medicines Management – North Canberra Hospital Procedure</w:t>
      </w:r>
      <w:r w:rsidRPr="00215DEB">
        <w:rPr>
          <w:rFonts w:asciiTheme="minorHAnsi" w:hAnsiTheme="minorHAnsi" w:cstheme="minorHAnsi"/>
          <w:iCs/>
        </w:rPr>
        <w:t xml:space="preserve"> </w:t>
      </w:r>
      <w:r w:rsidRPr="00215DEB">
        <w:rPr>
          <w:rFonts w:asciiTheme="minorHAnsi" w:hAnsiTheme="minorHAnsi" w:cstheme="minorHAnsi"/>
        </w:rPr>
        <w:t xml:space="preserve">located on the CHS Policy and Guidance Documents </w:t>
      </w:r>
      <w:r w:rsidR="001F085C" w:rsidRPr="00215DEB">
        <w:rPr>
          <w:rFonts w:asciiTheme="minorHAnsi" w:hAnsiTheme="minorHAnsi" w:cstheme="minorHAnsi"/>
        </w:rPr>
        <w:t>Register;</w:t>
      </w:r>
      <w:r w:rsidRPr="00215DEB">
        <w:rPr>
          <w:rFonts w:asciiTheme="minorHAnsi" w:hAnsiTheme="minorHAnsi" w:cstheme="minorHAnsi"/>
        </w:rPr>
        <w:t xml:space="preserve"> the following apply </w:t>
      </w:r>
      <w:r w:rsidR="00067C2F">
        <w:rPr>
          <w:rFonts w:asciiTheme="minorHAnsi" w:hAnsiTheme="minorHAnsi" w:cstheme="minorHAnsi"/>
        </w:rPr>
        <w:t xml:space="preserve">when </w:t>
      </w:r>
      <w:r w:rsidRPr="00215DEB">
        <w:rPr>
          <w:rFonts w:asciiTheme="minorHAnsi" w:hAnsiTheme="minorHAnsi" w:cstheme="minorHAnsi"/>
        </w:rPr>
        <w:t>prescribing an anticoagulant:</w:t>
      </w:r>
    </w:p>
    <w:p w14:paraId="3623F6F2" w14:textId="50F1158E"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 xml:space="preserve">VTE risk assessment must be performed and documented in </w:t>
      </w:r>
      <w:r w:rsidR="00067C2F" w:rsidRPr="00067C2F">
        <w:rPr>
          <w:rFonts w:asciiTheme="minorHAnsi" w:eastAsiaTheme="minorHAnsi" w:hAnsiTheme="minorHAnsi" w:cstheme="minorHAnsi"/>
          <w:szCs w:val="24"/>
        </w:rPr>
        <w:t>Digital Health Record (</w:t>
      </w:r>
      <w:r w:rsidRPr="00067C2F">
        <w:rPr>
          <w:rFonts w:asciiTheme="minorHAnsi" w:eastAsiaTheme="minorHAnsi" w:hAnsiTheme="minorHAnsi" w:cstheme="minorHAnsi"/>
          <w:szCs w:val="24"/>
        </w:rPr>
        <w:t>DHR</w:t>
      </w:r>
      <w:r w:rsidR="00067C2F" w:rsidRPr="00067C2F">
        <w:rPr>
          <w:rFonts w:asciiTheme="minorHAnsi" w:eastAsiaTheme="minorHAnsi" w:hAnsiTheme="minorHAnsi" w:cstheme="minorHAnsi"/>
          <w:szCs w:val="24"/>
        </w:rPr>
        <w:t>)</w:t>
      </w:r>
      <w:r w:rsidRPr="00067C2F">
        <w:rPr>
          <w:rFonts w:asciiTheme="minorHAnsi" w:eastAsiaTheme="minorHAnsi" w:hAnsiTheme="minorHAnsi" w:cstheme="minorHAnsi"/>
          <w:szCs w:val="24"/>
        </w:rPr>
        <w:t xml:space="preserve"> for all admitted adult patients within 24 hours of admission as per the CHS VTE Prevention procedure</w:t>
      </w:r>
      <w:r w:rsidR="00215DEB" w:rsidRPr="00067C2F">
        <w:rPr>
          <w:rFonts w:asciiTheme="minorHAnsi" w:eastAsiaTheme="minorHAnsi" w:hAnsiTheme="minorHAnsi" w:cstheme="minorHAnsi"/>
          <w:szCs w:val="24"/>
        </w:rPr>
        <w:t>.</w:t>
      </w:r>
    </w:p>
    <w:p w14:paraId="1CC575B0" w14:textId="77777777"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When assessing VTE risk, the prescriber must ascertain if the patient is already receiving any other anticoagulant medicines.</w:t>
      </w:r>
    </w:p>
    <w:p w14:paraId="5E409742" w14:textId="77777777"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The prescriber must inform the patient of the intention to prescribe anticoagulants and give the patient or carer opportunity to discuss this therapy and any alternative treatment options</w:t>
      </w:r>
      <w:r w:rsidR="00215DEB" w:rsidRPr="00067C2F">
        <w:rPr>
          <w:rFonts w:asciiTheme="minorHAnsi" w:eastAsiaTheme="minorHAnsi" w:hAnsiTheme="minorHAnsi" w:cstheme="minorHAnsi"/>
          <w:szCs w:val="24"/>
        </w:rPr>
        <w:t>.</w:t>
      </w:r>
    </w:p>
    <w:p w14:paraId="6EF7B343" w14:textId="77777777"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Prescribers must review the patient for the presence of medicines, drug interactions and co-morbidities such as renal or hepatic impairment, which may influence bleeding risk factors and dosage requirements</w:t>
      </w:r>
      <w:r w:rsidR="00215DEB" w:rsidRPr="00067C2F">
        <w:rPr>
          <w:rFonts w:asciiTheme="minorHAnsi" w:eastAsiaTheme="minorHAnsi" w:hAnsiTheme="minorHAnsi" w:cstheme="minorHAnsi"/>
          <w:szCs w:val="24"/>
        </w:rPr>
        <w:t>.</w:t>
      </w:r>
      <w:r w:rsidRPr="00067C2F">
        <w:rPr>
          <w:rFonts w:asciiTheme="minorHAnsi" w:eastAsiaTheme="minorHAnsi" w:hAnsiTheme="minorHAnsi" w:cstheme="minorHAnsi"/>
          <w:szCs w:val="24"/>
        </w:rPr>
        <w:t xml:space="preserve"> </w:t>
      </w:r>
    </w:p>
    <w:p w14:paraId="2FA50DF2" w14:textId="77777777"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Due to the teratogenic nature of some anticoagulants, the prescriber must determine if a female of childbearing age is pregnant or breastfeeding. If there is any doubt, a pregnancy test should be ordered.</w:t>
      </w:r>
    </w:p>
    <w:p w14:paraId="6A14D973" w14:textId="77777777"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 xml:space="preserve">The indication for anticoagulation and therapeutic targets where appropriate, must be documented in the DHR order. </w:t>
      </w:r>
    </w:p>
    <w:p w14:paraId="3CE6F721" w14:textId="77777777"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Details of the intended duration of therapy and timeframe for review must be documented in the patients notes</w:t>
      </w:r>
      <w:r w:rsidR="00215DEB" w:rsidRPr="00067C2F">
        <w:rPr>
          <w:rFonts w:asciiTheme="minorHAnsi" w:eastAsiaTheme="minorHAnsi" w:hAnsiTheme="minorHAnsi" w:cstheme="minorHAnsi"/>
          <w:szCs w:val="24"/>
        </w:rPr>
        <w:t>.</w:t>
      </w:r>
    </w:p>
    <w:p w14:paraId="03A38B7A" w14:textId="547FCE84" w:rsidR="008671B6"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Instructions for observational monitoring and any requirements for quantifying coagulation status (e.g. I</w:t>
      </w:r>
      <w:r w:rsidR="00442BF5">
        <w:rPr>
          <w:rFonts w:asciiTheme="minorHAnsi" w:eastAsiaTheme="minorHAnsi" w:hAnsiTheme="minorHAnsi" w:cstheme="minorHAnsi"/>
          <w:szCs w:val="24"/>
        </w:rPr>
        <w:t xml:space="preserve">nternationalised </w:t>
      </w:r>
      <w:r w:rsidRPr="00067C2F">
        <w:rPr>
          <w:rFonts w:asciiTheme="minorHAnsi" w:eastAsiaTheme="minorHAnsi" w:hAnsiTheme="minorHAnsi" w:cstheme="minorHAnsi"/>
          <w:szCs w:val="24"/>
        </w:rPr>
        <w:t>N</w:t>
      </w:r>
      <w:r w:rsidR="00442BF5">
        <w:rPr>
          <w:rFonts w:asciiTheme="minorHAnsi" w:eastAsiaTheme="minorHAnsi" w:hAnsiTheme="minorHAnsi" w:cstheme="minorHAnsi"/>
          <w:szCs w:val="24"/>
        </w:rPr>
        <w:t xml:space="preserve">ormalised </w:t>
      </w:r>
      <w:r w:rsidRPr="00067C2F">
        <w:rPr>
          <w:rFonts w:asciiTheme="minorHAnsi" w:eastAsiaTheme="minorHAnsi" w:hAnsiTheme="minorHAnsi" w:cstheme="minorHAnsi"/>
          <w:szCs w:val="24"/>
        </w:rPr>
        <w:t>R</w:t>
      </w:r>
      <w:r w:rsidR="00442BF5">
        <w:rPr>
          <w:rFonts w:asciiTheme="minorHAnsi" w:eastAsiaTheme="minorHAnsi" w:hAnsiTheme="minorHAnsi" w:cstheme="minorHAnsi"/>
          <w:szCs w:val="24"/>
        </w:rPr>
        <w:t xml:space="preserve">ation (INR) </w:t>
      </w:r>
      <w:r w:rsidRPr="00067C2F">
        <w:rPr>
          <w:rFonts w:asciiTheme="minorHAnsi" w:eastAsiaTheme="minorHAnsi" w:hAnsiTheme="minorHAnsi" w:cstheme="minorHAnsi"/>
          <w:szCs w:val="24"/>
        </w:rPr>
        <w:t>, a</w:t>
      </w:r>
      <w:r w:rsidR="00442BF5">
        <w:rPr>
          <w:rFonts w:asciiTheme="minorHAnsi" w:eastAsiaTheme="minorHAnsi" w:hAnsiTheme="minorHAnsi" w:cstheme="minorHAnsi"/>
          <w:szCs w:val="24"/>
        </w:rPr>
        <w:t xml:space="preserve">ctivated </w:t>
      </w:r>
      <w:r w:rsidRPr="00067C2F">
        <w:rPr>
          <w:rFonts w:asciiTheme="minorHAnsi" w:eastAsiaTheme="minorHAnsi" w:hAnsiTheme="minorHAnsi" w:cstheme="minorHAnsi"/>
          <w:szCs w:val="24"/>
        </w:rPr>
        <w:t>P</w:t>
      </w:r>
      <w:r w:rsidR="00442BF5">
        <w:rPr>
          <w:rFonts w:asciiTheme="minorHAnsi" w:eastAsiaTheme="minorHAnsi" w:hAnsiTheme="minorHAnsi" w:cstheme="minorHAnsi"/>
          <w:szCs w:val="24"/>
        </w:rPr>
        <w:t xml:space="preserve">artial </w:t>
      </w:r>
      <w:r w:rsidRPr="00067C2F">
        <w:rPr>
          <w:rFonts w:asciiTheme="minorHAnsi" w:eastAsiaTheme="minorHAnsi" w:hAnsiTheme="minorHAnsi" w:cstheme="minorHAnsi"/>
          <w:szCs w:val="24"/>
        </w:rPr>
        <w:t>T</w:t>
      </w:r>
      <w:r w:rsidR="00442BF5">
        <w:rPr>
          <w:rFonts w:asciiTheme="minorHAnsi" w:eastAsiaTheme="minorHAnsi" w:hAnsiTheme="minorHAnsi" w:cstheme="minorHAnsi"/>
          <w:szCs w:val="24"/>
        </w:rPr>
        <w:t xml:space="preserve">hromboplastin </w:t>
      </w:r>
      <w:r w:rsidRPr="00067C2F">
        <w:rPr>
          <w:rFonts w:asciiTheme="minorHAnsi" w:eastAsiaTheme="minorHAnsi" w:hAnsiTheme="minorHAnsi" w:cstheme="minorHAnsi"/>
          <w:szCs w:val="24"/>
        </w:rPr>
        <w:t>T</w:t>
      </w:r>
      <w:r w:rsidR="00442BF5">
        <w:rPr>
          <w:rFonts w:asciiTheme="minorHAnsi" w:eastAsiaTheme="minorHAnsi" w:hAnsiTheme="minorHAnsi" w:cstheme="minorHAnsi"/>
          <w:szCs w:val="24"/>
        </w:rPr>
        <w:t>ime (aPTT)</w:t>
      </w:r>
      <w:r w:rsidRPr="00067C2F">
        <w:rPr>
          <w:rFonts w:asciiTheme="minorHAnsi" w:eastAsiaTheme="minorHAnsi" w:hAnsiTheme="minorHAnsi" w:cstheme="minorHAnsi"/>
          <w:szCs w:val="24"/>
        </w:rPr>
        <w:t xml:space="preserve">, antifactor Xa, activated clotting time etc.), must be recorded in the </w:t>
      </w:r>
      <w:r w:rsidR="00442BF5" w:rsidRPr="00067C2F">
        <w:rPr>
          <w:rFonts w:asciiTheme="minorHAnsi" w:eastAsiaTheme="minorHAnsi" w:hAnsiTheme="minorHAnsi" w:cstheme="minorHAnsi"/>
          <w:szCs w:val="24"/>
        </w:rPr>
        <w:t xml:space="preserve">patient’s </w:t>
      </w:r>
      <w:r w:rsidR="00442BF5">
        <w:rPr>
          <w:rFonts w:asciiTheme="minorHAnsi" w:eastAsiaTheme="minorHAnsi" w:hAnsiTheme="minorHAnsi" w:cstheme="minorHAnsi"/>
          <w:szCs w:val="24"/>
        </w:rPr>
        <w:t>notes</w:t>
      </w:r>
      <w:r w:rsidR="001F085C">
        <w:rPr>
          <w:rFonts w:asciiTheme="minorHAnsi" w:eastAsiaTheme="minorHAnsi" w:hAnsiTheme="minorHAnsi" w:cstheme="minorHAnsi"/>
          <w:szCs w:val="24"/>
        </w:rPr>
        <w:t>.</w:t>
      </w:r>
      <w:r w:rsidR="001B2801">
        <w:rPr>
          <w:rFonts w:asciiTheme="minorHAnsi" w:eastAsiaTheme="minorHAnsi" w:hAnsiTheme="minorHAnsi" w:cstheme="minorHAnsi"/>
          <w:szCs w:val="24"/>
        </w:rPr>
        <w:t xml:space="preserve"> </w:t>
      </w:r>
    </w:p>
    <w:p w14:paraId="342A7CAC" w14:textId="109F90B9" w:rsidR="003254E1" w:rsidRPr="00067C2F" w:rsidRDefault="008671B6" w:rsidP="00067C2F">
      <w:pPr>
        <w:pStyle w:val="ListParagraph"/>
        <w:numPr>
          <w:ilvl w:val="0"/>
          <w:numId w:val="28"/>
        </w:numPr>
        <w:autoSpaceDE w:val="0"/>
        <w:autoSpaceDN w:val="0"/>
        <w:adjustRightInd w:val="0"/>
        <w:ind w:left="426" w:hanging="426"/>
        <w:jc w:val="both"/>
        <w:rPr>
          <w:rFonts w:asciiTheme="minorHAnsi" w:eastAsiaTheme="minorHAnsi" w:hAnsiTheme="minorHAnsi" w:cstheme="minorHAnsi"/>
          <w:szCs w:val="24"/>
        </w:rPr>
      </w:pPr>
      <w:r w:rsidRPr="00067C2F">
        <w:rPr>
          <w:rFonts w:asciiTheme="minorHAnsi" w:eastAsiaTheme="minorHAnsi" w:hAnsiTheme="minorHAnsi" w:cstheme="minorHAnsi"/>
          <w:szCs w:val="24"/>
        </w:rPr>
        <w:t>It is mandatory for prescribers to prescribe standard concentrations of heparin 25,000 units in 0.9% sodium chloride 250mL pre-mixed infusion bags for all heparin infusions</w:t>
      </w:r>
      <w:r w:rsidR="00215DEB" w:rsidRPr="00067C2F">
        <w:rPr>
          <w:rFonts w:asciiTheme="minorHAnsi" w:eastAsiaTheme="minorHAnsi" w:hAnsiTheme="minorHAnsi" w:cstheme="minorHAnsi"/>
          <w:szCs w:val="24"/>
        </w:rPr>
        <w:t>, using the heparin infusion and aPTT panel in DHR</w:t>
      </w:r>
      <w:r w:rsidR="001F085C">
        <w:rPr>
          <w:rFonts w:asciiTheme="minorHAnsi" w:eastAsiaTheme="minorHAnsi" w:hAnsiTheme="minorHAnsi" w:cstheme="minorHAnsi"/>
          <w:szCs w:val="24"/>
        </w:rPr>
        <w:t>.</w:t>
      </w:r>
    </w:p>
    <w:p w14:paraId="5CFD928C" w14:textId="77777777" w:rsidR="00481A6C" w:rsidRDefault="00FF62B6" w:rsidP="0091462B">
      <w:pPr>
        <w:pStyle w:val="BodyCopy"/>
      </w:pPr>
      <w:hyperlink w:anchor="_top" w:history="1">
        <w:r w:rsidR="00481A6C" w:rsidRPr="00481A6C">
          <w:rPr>
            <w:rStyle w:val="Hyperlink"/>
            <w:iCs w:val="0"/>
          </w:rPr>
          <w:t>Back to Contents</w:t>
        </w:r>
      </w:hyperlink>
    </w:p>
    <w:p w14:paraId="06EBEA51" w14:textId="77777777" w:rsidR="0078367D" w:rsidRDefault="0078367D" w:rsidP="00A6051F">
      <w:pPr>
        <w:pStyle w:val="Heading4"/>
      </w:pPr>
      <w:bookmarkStart w:id="9" w:name="_Toc184132659"/>
      <w:bookmarkStart w:id="10" w:name="_Hlk181093820"/>
      <w:r w:rsidRPr="0078367D">
        <w:lastRenderedPageBreak/>
        <w:t xml:space="preserve">Section </w:t>
      </w:r>
      <w:r w:rsidR="008671B6">
        <w:t>3</w:t>
      </w:r>
      <w:r w:rsidRPr="0078367D">
        <w:t xml:space="preserve"> </w:t>
      </w:r>
      <w:r w:rsidR="008671B6">
        <w:t>–</w:t>
      </w:r>
      <w:r w:rsidRPr="0078367D">
        <w:t xml:space="preserve"> </w:t>
      </w:r>
      <w:r w:rsidR="008671B6">
        <w:t>Medication Administration</w:t>
      </w:r>
      <w:bookmarkEnd w:id="9"/>
    </w:p>
    <w:bookmarkEnd w:id="10"/>
    <w:p w14:paraId="2388D6A8" w14:textId="494D4787" w:rsidR="008671B6" w:rsidRPr="00A56F6F" w:rsidRDefault="008671B6" w:rsidP="008671B6">
      <w:pPr>
        <w:pStyle w:val="ListParagraph"/>
        <w:numPr>
          <w:ilvl w:val="0"/>
          <w:numId w:val="30"/>
        </w:numPr>
        <w:ind w:left="426" w:hanging="426"/>
        <w:jc w:val="both"/>
        <w:rPr>
          <w:rFonts w:ascii="Arial" w:eastAsiaTheme="minorHAnsi" w:hAnsi="Arial" w:cs="Arial"/>
          <w:b/>
          <w:bCs/>
          <w:sz w:val="26"/>
          <w:szCs w:val="26"/>
        </w:rPr>
      </w:pPr>
      <w:r w:rsidRPr="00291E86">
        <w:rPr>
          <w:rFonts w:asciiTheme="minorHAnsi" w:eastAsiaTheme="minorHAnsi" w:hAnsiTheme="minorHAnsi" w:cstheme="minorHAnsi"/>
          <w:bCs/>
          <w:szCs w:val="24"/>
        </w:rPr>
        <w:t xml:space="preserve">Before administration to a patient, all parental anticoagulants require </w:t>
      </w:r>
      <w:r w:rsidRPr="00291E86">
        <w:rPr>
          <w:rFonts w:asciiTheme="minorHAnsi" w:hAnsiTheme="minorHAnsi" w:cstheme="minorHAnsi"/>
          <w:szCs w:val="24"/>
        </w:rPr>
        <w:t>a fully independent double-check and co-sign</w:t>
      </w:r>
      <w:r w:rsidR="00A13D54">
        <w:rPr>
          <w:rFonts w:asciiTheme="minorHAnsi" w:hAnsiTheme="minorHAnsi" w:cstheme="minorHAnsi"/>
          <w:szCs w:val="24"/>
        </w:rPr>
        <w:t xml:space="preserve"> </w:t>
      </w:r>
      <w:r w:rsidR="003E3917">
        <w:rPr>
          <w:rFonts w:asciiTheme="minorHAnsi" w:hAnsiTheme="minorHAnsi" w:cstheme="minorHAnsi"/>
          <w:szCs w:val="24"/>
        </w:rPr>
        <w:t>by a second person.</w:t>
      </w:r>
      <w:r w:rsidRPr="00291E86">
        <w:rPr>
          <w:rFonts w:asciiTheme="minorHAnsi" w:hAnsiTheme="minorHAnsi" w:cstheme="minorHAnsi"/>
          <w:szCs w:val="24"/>
        </w:rPr>
        <w:t xml:space="preserve"> </w:t>
      </w:r>
      <w:r w:rsidRPr="00291E86">
        <w:rPr>
          <w:rFonts w:asciiTheme="minorHAnsi" w:eastAsiaTheme="minorHAnsi" w:hAnsiTheme="minorHAnsi" w:cstheme="minorHAnsi"/>
          <w:color w:val="000000"/>
          <w:szCs w:val="24"/>
        </w:rPr>
        <w:t>The check should</w:t>
      </w:r>
      <w:r w:rsidRPr="00946D08">
        <w:rPr>
          <w:rFonts w:asciiTheme="minorHAnsi" w:eastAsiaTheme="minorHAnsi" w:hAnsiTheme="minorHAnsi" w:cstheme="minorHAnsi"/>
          <w:color w:val="000000"/>
          <w:szCs w:val="24"/>
        </w:rPr>
        <w:t xml:space="preserve"> be conducted using independent double check principles. That is, clinicians separately check (alone and apart from each other, then compare results) each component of prescribing, dispensing, and verifying the medicine before administering it to the patient</w:t>
      </w:r>
      <w:r>
        <w:rPr>
          <w:rFonts w:asciiTheme="minorHAnsi" w:eastAsiaTheme="minorHAnsi" w:hAnsiTheme="minorHAnsi" w:cstheme="minorHAnsi"/>
          <w:color w:val="000000"/>
          <w:szCs w:val="24"/>
        </w:rPr>
        <w:t>.</w:t>
      </w:r>
      <w:r w:rsidRPr="00946D08">
        <w:rPr>
          <w:rFonts w:asciiTheme="minorHAnsi" w:eastAsiaTheme="minorHAnsi" w:hAnsiTheme="minorHAnsi" w:cstheme="minorHAnsi"/>
          <w:color w:val="000000"/>
          <w:szCs w:val="24"/>
        </w:rPr>
        <w:t xml:space="preserve"> </w:t>
      </w:r>
    </w:p>
    <w:p w14:paraId="539FAB78" w14:textId="77777777" w:rsidR="008671B6" w:rsidRPr="001A0CA6" w:rsidRDefault="008671B6" w:rsidP="008671B6">
      <w:pPr>
        <w:pStyle w:val="ListParagraph"/>
        <w:numPr>
          <w:ilvl w:val="0"/>
          <w:numId w:val="30"/>
        </w:numPr>
        <w:ind w:left="426" w:hanging="426"/>
        <w:jc w:val="both"/>
        <w:rPr>
          <w:rFonts w:ascii="Arial" w:eastAsiaTheme="minorHAnsi" w:hAnsi="Arial" w:cs="Arial"/>
          <w:b/>
          <w:bCs/>
          <w:sz w:val="26"/>
          <w:szCs w:val="26"/>
        </w:rPr>
      </w:pPr>
      <w:r>
        <w:rPr>
          <w:rFonts w:asciiTheme="minorHAnsi" w:eastAsiaTheme="minorHAnsi" w:hAnsiTheme="minorHAnsi" w:cstheme="minorHAnsi"/>
          <w:szCs w:val="24"/>
        </w:rPr>
        <w:t>Intravenous heparin infusions must be administered using a standard concentration of - heparin 25,000 units in 0.9% sodium chloride 250mL premixed infusion bag using the smart pump heparin library setting.</w:t>
      </w:r>
    </w:p>
    <w:p w14:paraId="2F81FC87" w14:textId="77777777" w:rsidR="008671B6" w:rsidRPr="00F1078E" w:rsidRDefault="008671B6" w:rsidP="008671B6">
      <w:pPr>
        <w:pStyle w:val="ListParagraph"/>
        <w:numPr>
          <w:ilvl w:val="0"/>
          <w:numId w:val="30"/>
        </w:numPr>
        <w:ind w:left="426" w:hanging="426"/>
        <w:jc w:val="both"/>
        <w:rPr>
          <w:rFonts w:ascii="Arial" w:eastAsiaTheme="minorHAnsi" w:hAnsi="Arial" w:cs="Arial"/>
          <w:b/>
          <w:bCs/>
          <w:sz w:val="26"/>
          <w:szCs w:val="26"/>
        </w:rPr>
      </w:pPr>
      <w:r w:rsidRPr="00F1078E">
        <w:rPr>
          <w:rFonts w:ascii="Arial" w:hAnsi="Arial" w:cs="Arial"/>
        </w:rPr>
        <w:t>Bolus heparin doses that are required during a heparin infusion must be administered using a standard concentration heparin 25,000 units in 0.9% sodium chloride 250mL pre-mixed infusion bag and the heparin bolus library setting selected in the smart pump.</w:t>
      </w:r>
    </w:p>
    <w:p w14:paraId="28C18A08" w14:textId="77777777" w:rsidR="008671B6" w:rsidRPr="00C17798" w:rsidRDefault="00FA39BF" w:rsidP="00804BE0">
      <w:pPr>
        <w:pStyle w:val="ListParagraph"/>
        <w:numPr>
          <w:ilvl w:val="0"/>
          <w:numId w:val="30"/>
        </w:numPr>
        <w:ind w:left="426" w:hanging="426"/>
        <w:jc w:val="both"/>
        <w:rPr>
          <w:rFonts w:ascii="Arial" w:eastAsiaTheme="minorHAnsi" w:hAnsi="Arial" w:cs="Arial"/>
          <w:b/>
          <w:bCs/>
          <w:sz w:val="26"/>
          <w:szCs w:val="26"/>
        </w:rPr>
      </w:pPr>
      <w:r w:rsidRPr="00C17798">
        <w:rPr>
          <w:rFonts w:asciiTheme="minorHAnsi" w:eastAsiaTheme="minorHAnsi" w:hAnsiTheme="minorHAnsi" w:cstheme="minorHAnsi"/>
          <w:szCs w:val="24"/>
        </w:rPr>
        <w:t xml:space="preserve">Protamine and vitamin K </w:t>
      </w:r>
      <w:r w:rsidR="008671B6" w:rsidRPr="00C17798">
        <w:rPr>
          <w:rFonts w:asciiTheme="minorHAnsi" w:eastAsiaTheme="minorHAnsi" w:hAnsiTheme="minorHAnsi" w:cstheme="minorHAnsi"/>
          <w:szCs w:val="24"/>
        </w:rPr>
        <w:t xml:space="preserve">reversal agents </w:t>
      </w:r>
      <w:r w:rsidR="000D6CDE" w:rsidRPr="00C17798">
        <w:rPr>
          <w:rFonts w:asciiTheme="minorHAnsi" w:eastAsiaTheme="minorHAnsi" w:hAnsiTheme="minorHAnsi" w:cstheme="minorHAnsi"/>
          <w:szCs w:val="24"/>
        </w:rPr>
        <w:t xml:space="preserve">must </w:t>
      </w:r>
      <w:r w:rsidR="008671B6" w:rsidRPr="00C17798">
        <w:rPr>
          <w:rFonts w:asciiTheme="minorHAnsi" w:eastAsiaTheme="minorHAnsi" w:hAnsiTheme="minorHAnsi" w:cstheme="minorHAnsi"/>
          <w:szCs w:val="24"/>
        </w:rPr>
        <w:t>be readily accessible on every ward.</w:t>
      </w:r>
      <w:r w:rsidRPr="00C17798">
        <w:rPr>
          <w:rFonts w:asciiTheme="minorHAnsi" w:eastAsiaTheme="minorHAnsi" w:hAnsiTheme="minorHAnsi" w:cstheme="minorHAnsi"/>
          <w:szCs w:val="24"/>
        </w:rPr>
        <w:t xml:space="preserve"> </w:t>
      </w:r>
    </w:p>
    <w:p w14:paraId="23D91738" w14:textId="77777777" w:rsidR="00481A6C" w:rsidRDefault="00FF62B6" w:rsidP="0091462B">
      <w:pPr>
        <w:pStyle w:val="BodyCopy"/>
        <w:rPr>
          <w:rStyle w:val="Hyperlink"/>
          <w:iCs w:val="0"/>
        </w:rPr>
      </w:pPr>
      <w:hyperlink w:anchor="_top" w:history="1">
        <w:r w:rsidR="00481A6C" w:rsidRPr="00481A6C">
          <w:rPr>
            <w:rStyle w:val="Hyperlink"/>
            <w:iCs w:val="0"/>
          </w:rPr>
          <w:t>Back to Contents</w:t>
        </w:r>
      </w:hyperlink>
    </w:p>
    <w:p w14:paraId="5A5C8FAA" w14:textId="77777777" w:rsidR="008671B6" w:rsidRDefault="008671B6" w:rsidP="008671B6">
      <w:pPr>
        <w:pStyle w:val="Heading4"/>
      </w:pPr>
      <w:bookmarkStart w:id="11" w:name="_Toc184132660"/>
      <w:r w:rsidRPr="0078367D">
        <w:t xml:space="preserve">Section </w:t>
      </w:r>
      <w:r>
        <w:t>4</w:t>
      </w:r>
      <w:r w:rsidRPr="0078367D">
        <w:t xml:space="preserve"> </w:t>
      </w:r>
      <w:r>
        <w:t>–</w:t>
      </w:r>
      <w:r w:rsidRPr="0078367D">
        <w:t xml:space="preserve"> </w:t>
      </w:r>
      <w:r>
        <w:t>Monitoring</w:t>
      </w:r>
      <w:bookmarkEnd w:id="11"/>
    </w:p>
    <w:p w14:paraId="2C00622C" w14:textId="77777777" w:rsidR="00F1078E" w:rsidRPr="00F1078E" w:rsidRDefault="00F1078E" w:rsidP="001F085C">
      <w:pPr>
        <w:pStyle w:val="Heading5"/>
      </w:pPr>
      <w:r>
        <w:t xml:space="preserve">4.1 </w:t>
      </w:r>
      <w:r w:rsidRPr="00F1078E">
        <w:t>Patient Monitoring</w:t>
      </w:r>
    </w:p>
    <w:p w14:paraId="25C2FDAA" w14:textId="0EB43AE5" w:rsidR="00F1078E" w:rsidRPr="00F1078E" w:rsidRDefault="00F1078E" w:rsidP="00F1078E">
      <w:pPr>
        <w:pStyle w:val="ListParagraph"/>
        <w:numPr>
          <w:ilvl w:val="0"/>
          <w:numId w:val="36"/>
        </w:numPr>
        <w:ind w:left="426" w:hanging="426"/>
        <w:rPr>
          <w:rFonts w:ascii="Arial" w:hAnsi="Arial" w:cs="Arial"/>
        </w:rPr>
      </w:pPr>
      <w:r w:rsidRPr="00F1078E">
        <w:rPr>
          <w:rFonts w:ascii="Arial" w:hAnsi="Arial" w:cs="Arial"/>
        </w:rPr>
        <w:t xml:space="preserve">Monitoring requirements must be clearly documented </w:t>
      </w:r>
      <w:r w:rsidR="003E3917">
        <w:rPr>
          <w:rFonts w:ascii="Arial" w:hAnsi="Arial" w:cs="Arial"/>
        </w:rPr>
        <w:t xml:space="preserve">in the patients notes </w:t>
      </w:r>
      <w:r w:rsidRPr="00F1078E">
        <w:rPr>
          <w:rFonts w:ascii="Arial" w:hAnsi="Arial" w:cs="Arial"/>
        </w:rPr>
        <w:t xml:space="preserve">and include the frequency and type of laboratory testing, as well as instructions for monitoring patients for bleeding. </w:t>
      </w:r>
    </w:p>
    <w:p w14:paraId="448A27C4" w14:textId="77777777" w:rsidR="00F1078E" w:rsidRPr="00F1078E" w:rsidRDefault="00F1078E" w:rsidP="00F1078E">
      <w:pPr>
        <w:pStyle w:val="ListParagraph"/>
        <w:numPr>
          <w:ilvl w:val="0"/>
          <w:numId w:val="35"/>
        </w:numPr>
        <w:ind w:left="426" w:hanging="426"/>
        <w:rPr>
          <w:rFonts w:ascii="Arial" w:hAnsi="Arial" w:cs="Arial"/>
        </w:rPr>
      </w:pPr>
      <w:r w:rsidRPr="00F1078E">
        <w:rPr>
          <w:rFonts w:ascii="Arial" w:hAnsi="Arial" w:cs="Arial"/>
          <w:szCs w:val="24"/>
        </w:rPr>
        <w:t xml:space="preserve">To ensure the dosing information in the </w:t>
      </w:r>
      <w:r w:rsidRPr="00F1078E">
        <w:rPr>
          <w:rFonts w:ascii="Arial" w:eastAsiaTheme="minorHAnsi" w:hAnsi="Arial" w:cs="Arial"/>
          <w:szCs w:val="24"/>
        </w:rPr>
        <w:t>Heparin nomogram is current, the Director of Pathology must notify Pharmacy if a reagent batch change requires alteration of the nomogram.</w:t>
      </w:r>
    </w:p>
    <w:p w14:paraId="03246F36" w14:textId="77777777" w:rsidR="00F1078E" w:rsidRPr="00F1078E" w:rsidRDefault="00F1078E" w:rsidP="00F1078E">
      <w:pPr>
        <w:pStyle w:val="ListParagraph"/>
        <w:numPr>
          <w:ilvl w:val="0"/>
          <w:numId w:val="35"/>
        </w:numPr>
        <w:rPr>
          <w:rFonts w:ascii="Arial" w:hAnsi="Arial" w:cs="Arial"/>
        </w:rPr>
      </w:pPr>
      <w:r>
        <w:rPr>
          <w:rFonts w:ascii="Arial" w:hAnsi="Arial" w:cs="Arial"/>
        </w:rPr>
        <w:t xml:space="preserve"> </w:t>
      </w:r>
      <w:r w:rsidRPr="00F1078E">
        <w:rPr>
          <w:rFonts w:ascii="Arial" w:hAnsi="Arial" w:cs="Arial"/>
        </w:rPr>
        <w:t>Patients on anticoagulants who fall are at an increased risk of bleeding and serious</w:t>
      </w:r>
    </w:p>
    <w:p w14:paraId="27CB1866" w14:textId="46227877" w:rsidR="00F1078E" w:rsidRPr="00F1078E" w:rsidRDefault="00F1078E" w:rsidP="00F1078E">
      <w:pPr>
        <w:pStyle w:val="ListParagraph"/>
        <w:ind w:left="426"/>
        <w:rPr>
          <w:rFonts w:ascii="Arial" w:hAnsi="Arial" w:cs="Arial"/>
        </w:rPr>
      </w:pPr>
      <w:r w:rsidRPr="00F1078E">
        <w:rPr>
          <w:rFonts w:ascii="Arial" w:hAnsi="Arial" w:cs="Arial"/>
        </w:rPr>
        <w:t>trauma including brain injury and will require close observation and monitoring according to</w:t>
      </w:r>
      <w:r w:rsidR="003E3917">
        <w:rPr>
          <w:rFonts w:ascii="Arial" w:hAnsi="Arial" w:cs="Arial"/>
        </w:rPr>
        <w:t xml:space="preserve"> the areas falls procedure</w:t>
      </w:r>
      <w:r w:rsidR="001F085C">
        <w:rPr>
          <w:rFonts w:ascii="Arial" w:hAnsi="Arial" w:cs="Arial"/>
        </w:rPr>
        <w:t>.</w:t>
      </w:r>
      <w:r w:rsidRPr="00F1078E">
        <w:rPr>
          <w:rFonts w:ascii="Arial" w:hAnsi="Arial" w:cs="Arial"/>
        </w:rPr>
        <w:t xml:space="preserve"> </w:t>
      </w:r>
    </w:p>
    <w:p w14:paraId="3573DA39" w14:textId="77777777" w:rsidR="00F1078E" w:rsidRDefault="00F1078E" w:rsidP="00F1078E">
      <w:pPr>
        <w:pStyle w:val="ListParagraph"/>
        <w:ind w:left="426"/>
        <w:rPr>
          <w:rFonts w:ascii="Arial" w:hAnsi="Arial" w:cs="Arial"/>
        </w:rPr>
      </w:pPr>
    </w:p>
    <w:p w14:paraId="38878D08" w14:textId="25B44399" w:rsidR="00F1078E" w:rsidRPr="00F1078E" w:rsidRDefault="00F1078E" w:rsidP="001F085C">
      <w:pPr>
        <w:pStyle w:val="Heading5"/>
      </w:pPr>
      <w:bookmarkStart w:id="12" w:name="_Toc86419718"/>
      <w:r w:rsidRPr="00F1078E">
        <w:rPr>
          <w:rFonts w:eastAsiaTheme="minorHAnsi"/>
        </w:rPr>
        <w:t>4.2</w:t>
      </w:r>
      <w:r w:rsidR="001F085C">
        <w:rPr>
          <w:rFonts w:eastAsiaTheme="minorHAnsi"/>
        </w:rPr>
        <w:t xml:space="preserve"> </w:t>
      </w:r>
      <w:r w:rsidRPr="00F1078E">
        <w:t>Medication Review</w:t>
      </w:r>
      <w:bookmarkEnd w:id="12"/>
    </w:p>
    <w:p w14:paraId="433A3AF5" w14:textId="77777777" w:rsidR="008671B6" w:rsidRPr="00F1078E" w:rsidRDefault="00F1078E" w:rsidP="00F1078E">
      <w:pPr>
        <w:rPr>
          <w:b/>
          <w:bCs/>
        </w:rPr>
      </w:pPr>
      <w:r w:rsidRPr="0064689D">
        <w:rPr>
          <w:rFonts w:eastAsiaTheme="minorHAnsi"/>
        </w:rPr>
        <w:t>Patients receiving anticoagulant medicines should be prioritised for both Medication</w:t>
      </w:r>
      <w:r>
        <w:rPr>
          <w:rFonts w:eastAsiaTheme="minorHAnsi"/>
        </w:rPr>
        <w:t xml:space="preserve"> </w:t>
      </w:r>
      <w:r w:rsidRPr="0064689D">
        <w:rPr>
          <w:rFonts w:eastAsiaTheme="minorHAnsi"/>
        </w:rPr>
        <w:t>Reconciliation and Medication Review</w:t>
      </w:r>
      <w:r w:rsidRPr="009B64BF">
        <w:rPr>
          <w:rFonts w:eastAsiaTheme="minorHAnsi"/>
          <w:bCs/>
        </w:rPr>
        <w:t>.</w:t>
      </w:r>
    </w:p>
    <w:p w14:paraId="2BF494AF" w14:textId="77777777" w:rsidR="008671B6" w:rsidRPr="008671B6" w:rsidRDefault="00FF62B6" w:rsidP="0091462B">
      <w:pPr>
        <w:pStyle w:val="BodyCopy"/>
        <w:rPr>
          <w:iCs w:val="0"/>
          <w:color w:val="auto"/>
          <w:u w:val="single"/>
        </w:rPr>
      </w:pPr>
      <w:hyperlink w:anchor="_top" w:history="1">
        <w:r w:rsidR="008671B6" w:rsidRPr="00481A6C">
          <w:rPr>
            <w:rStyle w:val="Hyperlink"/>
            <w:iCs w:val="0"/>
          </w:rPr>
          <w:t>Back to Contents</w:t>
        </w:r>
      </w:hyperlink>
    </w:p>
    <w:p w14:paraId="60F8C295" w14:textId="77777777" w:rsidR="008671B6" w:rsidRDefault="008671B6" w:rsidP="008671B6">
      <w:pPr>
        <w:pStyle w:val="Heading4"/>
      </w:pPr>
      <w:bookmarkStart w:id="13" w:name="_Toc184132661"/>
      <w:r w:rsidRPr="0078367D">
        <w:t xml:space="preserve">Section </w:t>
      </w:r>
      <w:r>
        <w:t>5</w:t>
      </w:r>
      <w:r w:rsidRPr="0078367D">
        <w:t xml:space="preserve"> </w:t>
      </w:r>
      <w:r>
        <w:t>–</w:t>
      </w:r>
      <w:r w:rsidRPr="0078367D">
        <w:t xml:space="preserve"> </w:t>
      </w:r>
      <w:r>
        <w:t>Storage &amp; Supply</w:t>
      </w:r>
      <w:bookmarkEnd w:id="13"/>
    </w:p>
    <w:p w14:paraId="424DB322" w14:textId="77777777" w:rsidR="008671B6" w:rsidRPr="001007F9" w:rsidRDefault="008671B6" w:rsidP="008671B6">
      <w:pPr>
        <w:pStyle w:val="ListParagraph"/>
        <w:numPr>
          <w:ilvl w:val="0"/>
          <w:numId w:val="32"/>
        </w:numPr>
        <w:ind w:left="426" w:hanging="426"/>
        <w:rPr>
          <w:szCs w:val="24"/>
          <w:u w:val="single"/>
        </w:rPr>
      </w:pPr>
      <w:r w:rsidRPr="001007F9">
        <w:rPr>
          <w:rFonts w:asciiTheme="minorHAnsi" w:hAnsiTheme="minorHAnsi" w:cs="Arial"/>
          <w:szCs w:val="24"/>
        </w:rPr>
        <w:t xml:space="preserve">The range of unfractionated heparin vial/ampoule concentrations and sizes is limited </w:t>
      </w:r>
      <w:r>
        <w:rPr>
          <w:rFonts w:asciiTheme="minorHAnsi" w:hAnsiTheme="minorHAnsi" w:cs="Arial"/>
          <w:szCs w:val="24"/>
        </w:rPr>
        <w:t xml:space="preserve">at Canberra Hospital and NCH </w:t>
      </w:r>
      <w:r w:rsidRPr="001007F9">
        <w:rPr>
          <w:rFonts w:asciiTheme="minorHAnsi" w:hAnsiTheme="minorHAnsi" w:cs="Arial"/>
          <w:szCs w:val="24"/>
        </w:rPr>
        <w:t>to reduce the risk of unintentionally administering an incorrect dose.</w:t>
      </w:r>
    </w:p>
    <w:p w14:paraId="39DDF37F" w14:textId="77777777" w:rsidR="008671B6" w:rsidRPr="0017554F" w:rsidRDefault="008671B6" w:rsidP="008671B6">
      <w:pPr>
        <w:pStyle w:val="ListParagraph"/>
        <w:numPr>
          <w:ilvl w:val="0"/>
          <w:numId w:val="32"/>
        </w:numPr>
        <w:ind w:left="426" w:hanging="426"/>
        <w:rPr>
          <w:szCs w:val="24"/>
          <w:u w:val="single"/>
        </w:rPr>
      </w:pPr>
      <w:r>
        <w:rPr>
          <w:rFonts w:asciiTheme="minorHAnsi" w:hAnsiTheme="minorHAnsi" w:cs="Arial"/>
          <w:szCs w:val="24"/>
        </w:rPr>
        <w:t xml:space="preserve">High concentration heparin vials/ampoules such as </w:t>
      </w:r>
      <w:bookmarkStart w:id="14" w:name="_Hlk181007077"/>
      <w:r>
        <w:rPr>
          <w:rFonts w:asciiTheme="minorHAnsi" w:hAnsiTheme="minorHAnsi" w:cs="Arial"/>
          <w:szCs w:val="24"/>
        </w:rPr>
        <w:t xml:space="preserve">25,000 units/5mL </w:t>
      </w:r>
      <w:bookmarkEnd w:id="14"/>
      <w:r>
        <w:rPr>
          <w:rFonts w:asciiTheme="minorHAnsi" w:hAnsiTheme="minorHAnsi" w:cs="Arial"/>
          <w:szCs w:val="24"/>
        </w:rPr>
        <w:t>are not available within the CHS network due to the risk of patient harm.</w:t>
      </w:r>
    </w:p>
    <w:p w14:paraId="12D3284E" w14:textId="77777777" w:rsidR="008671B6" w:rsidRPr="00D4496F" w:rsidRDefault="008671B6" w:rsidP="008671B6">
      <w:pPr>
        <w:pStyle w:val="ListParagraph"/>
        <w:numPr>
          <w:ilvl w:val="0"/>
          <w:numId w:val="32"/>
        </w:numPr>
        <w:ind w:left="426" w:hanging="426"/>
        <w:rPr>
          <w:szCs w:val="24"/>
          <w:u w:val="single"/>
        </w:rPr>
      </w:pPr>
      <w:r>
        <w:rPr>
          <w:rFonts w:asciiTheme="minorHAnsi" w:eastAsiaTheme="minorHAnsi" w:hAnsiTheme="minorHAnsi" w:cstheme="minorHAnsi"/>
          <w:szCs w:val="24"/>
        </w:rPr>
        <w:t>Patients requiring a heparin infusion will be supplied with a standard concentration heparin 25,000 units in 0.9% sodium chloride 250mL premixed infusion bags, either as an imprest item or dispensed by pharmacy and labelled specifically for the patient.  Standard heparin infusion bags have a distinct blue plastic outer wrap.</w:t>
      </w:r>
    </w:p>
    <w:p w14:paraId="16EC9226" w14:textId="77FBC910" w:rsidR="008671B6" w:rsidRPr="001F085C" w:rsidRDefault="008671B6" w:rsidP="0091462B">
      <w:pPr>
        <w:pStyle w:val="ListParagraph"/>
        <w:numPr>
          <w:ilvl w:val="0"/>
          <w:numId w:val="32"/>
        </w:numPr>
        <w:ind w:left="426" w:hanging="426"/>
        <w:rPr>
          <w:szCs w:val="24"/>
          <w:u w:val="single"/>
        </w:rPr>
      </w:pPr>
      <w:r>
        <w:rPr>
          <w:rFonts w:asciiTheme="minorHAnsi" w:eastAsiaTheme="minorHAnsi" w:hAnsiTheme="minorHAnsi" w:cstheme="minorHAnsi"/>
          <w:szCs w:val="24"/>
        </w:rPr>
        <w:lastRenderedPageBreak/>
        <w:t>Unfractionated heparin ampoules must be stored in patient care areas in their original packaging and separate from each other to reduce risk of selection error.  Differentiation must be maximised by using physical separation, labelling, and other techniques.</w:t>
      </w:r>
    </w:p>
    <w:p w14:paraId="0CAF86A9" w14:textId="77777777" w:rsidR="008671B6" w:rsidRPr="008671B6" w:rsidRDefault="00FF62B6" w:rsidP="0091462B">
      <w:pPr>
        <w:pStyle w:val="BodyCopy"/>
        <w:rPr>
          <w:iCs w:val="0"/>
          <w:color w:val="auto"/>
          <w:u w:val="single"/>
        </w:rPr>
      </w:pPr>
      <w:hyperlink w:anchor="_top" w:history="1">
        <w:r w:rsidR="008671B6" w:rsidRPr="00481A6C">
          <w:rPr>
            <w:rStyle w:val="Hyperlink"/>
            <w:iCs w:val="0"/>
          </w:rPr>
          <w:t>Back to Contents</w:t>
        </w:r>
      </w:hyperlink>
    </w:p>
    <w:p w14:paraId="44CDC67A" w14:textId="77777777" w:rsidR="008671B6" w:rsidRDefault="008671B6" w:rsidP="008671B6">
      <w:pPr>
        <w:pStyle w:val="Heading4"/>
      </w:pPr>
      <w:bookmarkStart w:id="15" w:name="_Toc184132662"/>
      <w:r w:rsidRPr="0078367D">
        <w:t xml:space="preserve">Section </w:t>
      </w:r>
      <w:r>
        <w:t>6</w:t>
      </w:r>
      <w:r w:rsidRPr="0078367D">
        <w:t xml:space="preserve"> </w:t>
      </w:r>
      <w:r>
        <w:t>–</w:t>
      </w:r>
      <w:r w:rsidRPr="0078367D">
        <w:t xml:space="preserve"> </w:t>
      </w:r>
      <w:r>
        <w:t>Training</w:t>
      </w:r>
      <w:r w:rsidR="004839DB">
        <w:t xml:space="preserve"> &amp; Qualifications Required</w:t>
      </w:r>
      <w:bookmarkEnd w:id="15"/>
    </w:p>
    <w:p w14:paraId="0A32A8AC" w14:textId="4292C80A" w:rsidR="001B2801" w:rsidRDefault="001B2801" w:rsidP="004839DB">
      <w:pPr>
        <w:rPr>
          <w:rFonts w:eastAsiaTheme="minorHAnsi"/>
        </w:rPr>
      </w:pPr>
      <w:r w:rsidRPr="001B2801">
        <w:rPr>
          <w:rFonts w:eastAsiaTheme="minorHAnsi"/>
        </w:rPr>
        <w:t xml:space="preserve">All CHS medical officers, pharmacists, nurses, and midwives are required to complete the National High Risk Medicines e-learning package once. You can find the package at </w:t>
      </w:r>
      <w:hyperlink r:id="rId11" w:history="1">
        <w:r w:rsidRPr="004839DB">
          <w:rPr>
            <w:rFonts w:asciiTheme="minorHAnsi" w:eastAsia="Times New Roman" w:hAnsiTheme="minorHAnsi" w:cstheme="minorHAnsi"/>
            <w:color w:val="0000FF"/>
            <w:szCs w:val="20"/>
            <w:u w:val="single"/>
            <w:lang w:eastAsia="en-US"/>
          </w:rPr>
          <w:t>https://www.hrmeducation.health.gov.au/</w:t>
        </w:r>
      </w:hyperlink>
    </w:p>
    <w:p w14:paraId="51FFC1AD" w14:textId="61A77EAF" w:rsidR="001B2801" w:rsidRDefault="001B2801" w:rsidP="004839DB">
      <w:pPr>
        <w:rPr>
          <w:rFonts w:eastAsiaTheme="minorHAnsi"/>
        </w:rPr>
      </w:pPr>
      <w:r w:rsidRPr="001B2801">
        <w:rPr>
          <w:rFonts w:eastAsiaTheme="minorHAnsi"/>
        </w:rPr>
        <w:t xml:space="preserve">Additionally, there is an optional module specifically for high-risk anticoagulant management, which promotes the safe handling of anticoagulants. This module is available to all staff at the following link: </w:t>
      </w:r>
      <w:hyperlink r:id="rId12" w:history="1">
        <w:r w:rsidRPr="00425612">
          <w:rPr>
            <w:color w:val="0000FF"/>
            <w:u w:val="single"/>
          </w:rPr>
          <w:t>Anticoagulants - High Risk Medicine Education (health.gov.au)</w:t>
        </w:r>
      </w:hyperlink>
    </w:p>
    <w:p w14:paraId="41E46745" w14:textId="77777777" w:rsidR="008671B6" w:rsidRPr="004839DB" w:rsidRDefault="00FF62B6" w:rsidP="0091462B">
      <w:pPr>
        <w:pStyle w:val="BodyCopy"/>
        <w:rPr>
          <w:iCs w:val="0"/>
          <w:color w:val="auto"/>
          <w:u w:val="single"/>
        </w:rPr>
      </w:pPr>
      <w:hyperlink w:anchor="_top" w:history="1">
        <w:r w:rsidR="004839DB" w:rsidRPr="00481A6C">
          <w:rPr>
            <w:rStyle w:val="Hyperlink"/>
            <w:iCs w:val="0"/>
          </w:rPr>
          <w:t>Back to Contents</w:t>
        </w:r>
      </w:hyperlink>
    </w:p>
    <w:p w14:paraId="725A9B9A" w14:textId="77777777" w:rsidR="008671B6" w:rsidRDefault="008671B6" w:rsidP="008671B6">
      <w:pPr>
        <w:pStyle w:val="Heading4"/>
      </w:pPr>
      <w:bookmarkStart w:id="16" w:name="_Toc184132663"/>
      <w:r w:rsidRPr="0078367D">
        <w:t xml:space="preserve">Section </w:t>
      </w:r>
      <w:r w:rsidR="004839DB">
        <w:t>7</w:t>
      </w:r>
      <w:r w:rsidRPr="0078367D">
        <w:t xml:space="preserve"> </w:t>
      </w:r>
      <w:r>
        <w:t>–</w:t>
      </w:r>
      <w:r w:rsidRPr="0078367D">
        <w:t xml:space="preserve"> </w:t>
      </w:r>
      <w:r w:rsidR="004839DB">
        <w:t>Patient Information</w:t>
      </w:r>
      <w:bookmarkEnd w:id="16"/>
    </w:p>
    <w:p w14:paraId="2511969F" w14:textId="4525C074" w:rsidR="00D67765" w:rsidRPr="001F085C" w:rsidRDefault="00D67765" w:rsidP="001F085C">
      <w:pPr>
        <w:rPr>
          <w:rStyle w:val="IntenseReference"/>
          <w:rFonts w:eastAsiaTheme="minorHAnsi"/>
          <w:b w:val="0"/>
          <w:bCs w:val="0"/>
          <w:i w:val="0"/>
          <w:smallCaps w:val="0"/>
          <w:color w:val="000000" w:themeColor="text1"/>
          <w:spacing w:val="0"/>
        </w:rPr>
      </w:pPr>
      <w:r>
        <w:rPr>
          <w:rFonts w:eastAsiaTheme="minorHAnsi"/>
        </w:rPr>
        <w:t xml:space="preserve">All patients initiated on oral or injectable anticoagulants such as warfarin, Direct </w:t>
      </w:r>
      <w:r w:rsidR="00FA39BF">
        <w:rPr>
          <w:rFonts w:eastAsiaTheme="minorHAnsi"/>
        </w:rPr>
        <w:t xml:space="preserve">Acting </w:t>
      </w:r>
      <w:r>
        <w:rPr>
          <w:rFonts w:eastAsiaTheme="minorHAnsi"/>
        </w:rPr>
        <w:t xml:space="preserve">Oral Anticoagulants (e.g rivaroxaban) or low molecular weight heparin (e.g enoxaparin) for ongoing treatment, must receive verbal and written information about their new medicine at the time of commencement on the medicine and at discharge. </w:t>
      </w:r>
      <w:r w:rsidRPr="008B6469">
        <w:rPr>
          <w:rFonts w:eastAsiaTheme="minorHAnsi"/>
        </w:rPr>
        <w:t>Provision of anticoagulant education should be document</w:t>
      </w:r>
      <w:r>
        <w:rPr>
          <w:rFonts w:eastAsiaTheme="minorHAnsi"/>
        </w:rPr>
        <w:t>ed</w:t>
      </w:r>
      <w:r w:rsidRPr="008B6469">
        <w:rPr>
          <w:rFonts w:eastAsiaTheme="minorHAnsi"/>
        </w:rPr>
        <w:t xml:space="preserve"> </w:t>
      </w:r>
      <w:r>
        <w:rPr>
          <w:rFonts w:eastAsiaTheme="minorHAnsi"/>
        </w:rPr>
        <w:t xml:space="preserve">by the clinician who provided the education </w:t>
      </w:r>
      <w:r w:rsidRPr="008B6469">
        <w:rPr>
          <w:rFonts w:eastAsiaTheme="minorHAnsi"/>
        </w:rPr>
        <w:t xml:space="preserve">in the </w:t>
      </w:r>
      <w:r>
        <w:rPr>
          <w:rFonts w:eastAsiaTheme="minorHAnsi"/>
        </w:rPr>
        <w:t>relevant section of the patient’s DHR.</w:t>
      </w:r>
    </w:p>
    <w:p w14:paraId="2ECC0610" w14:textId="77777777" w:rsidR="00D67765" w:rsidRPr="00F1078E" w:rsidRDefault="00D67765" w:rsidP="00D67765">
      <w:pPr>
        <w:pStyle w:val="ListParagraph"/>
        <w:ind w:left="0"/>
        <w:jc w:val="both"/>
        <w:rPr>
          <w:rFonts w:ascii="Arial" w:eastAsiaTheme="minorHAnsi" w:hAnsi="Arial" w:cs="Arial"/>
          <w:b/>
          <w:bCs/>
          <w:sz w:val="26"/>
          <w:szCs w:val="26"/>
        </w:rPr>
      </w:pPr>
      <w:r w:rsidRPr="00F1078E">
        <w:rPr>
          <w:rFonts w:ascii="Arial" w:eastAsiaTheme="minorHAnsi" w:hAnsi="Arial" w:cs="Arial"/>
          <w:szCs w:val="24"/>
        </w:rPr>
        <w:t>Information and education should address:</w:t>
      </w:r>
    </w:p>
    <w:p w14:paraId="64116568" w14:textId="77777777" w:rsidR="00D67765" w:rsidRPr="00F1078E" w:rsidRDefault="00D67765" w:rsidP="001F085C">
      <w:pPr>
        <w:pStyle w:val="Tablebullet1"/>
        <w:rPr>
          <w:rFonts w:eastAsiaTheme="minorHAnsi"/>
        </w:rPr>
      </w:pPr>
      <w:r w:rsidRPr="00F1078E">
        <w:rPr>
          <w:rFonts w:eastAsiaTheme="minorHAnsi"/>
        </w:rPr>
        <w:t>Name and dose of anticoagulant and reason for prescribing</w:t>
      </w:r>
    </w:p>
    <w:p w14:paraId="0A6C3F92" w14:textId="77777777" w:rsidR="00D67765" w:rsidRPr="00F1078E" w:rsidRDefault="00D67765" w:rsidP="001F085C">
      <w:pPr>
        <w:pStyle w:val="Tablebullet1"/>
        <w:rPr>
          <w:rFonts w:eastAsiaTheme="minorHAnsi"/>
        </w:rPr>
      </w:pPr>
      <w:r w:rsidRPr="00F1078E">
        <w:rPr>
          <w:rFonts w:eastAsiaTheme="minorHAnsi"/>
        </w:rPr>
        <w:t>Intended duration of therapy and timeframe for specialist review</w:t>
      </w:r>
    </w:p>
    <w:p w14:paraId="75CF7005" w14:textId="77777777" w:rsidR="00D67765" w:rsidRPr="00F1078E" w:rsidRDefault="00D67765" w:rsidP="001F085C">
      <w:pPr>
        <w:pStyle w:val="Tablebullet1"/>
        <w:rPr>
          <w:rFonts w:eastAsiaTheme="minorHAnsi"/>
        </w:rPr>
      </w:pPr>
      <w:r w:rsidRPr="00F1078E">
        <w:rPr>
          <w:rFonts w:eastAsiaTheme="minorHAnsi"/>
        </w:rPr>
        <w:t>How to identify bleeding, who to contact and action to be taken</w:t>
      </w:r>
    </w:p>
    <w:p w14:paraId="3209618F" w14:textId="77777777" w:rsidR="00D67765" w:rsidRPr="00F1078E" w:rsidRDefault="00D67765" w:rsidP="001F085C">
      <w:pPr>
        <w:pStyle w:val="Tablebullet1"/>
        <w:rPr>
          <w:rFonts w:eastAsiaTheme="minorHAnsi"/>
        </w:rPr>
      </w:pPr>
      <w:r w:rsidRPr="00F1078E">
        <w:rPr>
          <w:rFonts w:eastAsiaTheme="minorHAnsi"/>
        </w:rPr>
        <w:t>What to do in the case of a missed dose</w:t>
      </w:r>
    </w:p>
    <w:p w14:paraId="2CF07A99" w14:textId="77777777" w:rsidR="00D67765" w:rsidRPr="00F1078E" w:rsidRDefault="00D67765" w:rsidP="001F085C">
      <w:pPr>
        <w:pStyle w:val="Tablebullet1"/>
        <w:rPr>
          <w:rFonts w:eastAsiaTheme="minorHAnsi"/>
        </w:rPr>
      </w:pPr>
      <w:r w:rsidRPr="00F1078E">
        <w:rPr>
          <w:rFonts w:eastAsiaTheme="minorHAnsi"/>
        </w:rPr>
        <w:t>Instruction for any laboratory testing and review</w:t>
      </w:r>
    </w:p>
    <w:p w14:paraId="209C1CA5" w14:textId="77777777" w:rsidR="00D67765" w:rsidRPr="00F1078E" w:rsidRDefault="00D67765" w:rsidP="001F085C">
      <w:pPr>
        <w:pStyle w:val="Tablebullet1"/>
        <w:rPr>
          <w:rFonts w:eastAsiaTheme="minorHAnsi"/>
        </w:rPr>
      </w:pPr>
      <w:r w:rsidRPr="00F1078E">
        <w:rPr>
          <w:rFonts w:eastAsiaTheme="minorHAnsi"/>
        </w:rPr>
        <w:t>Any medication or food interactions and other lifestyle factors that influence therapy</w:t>
      </w:r>
    </w:p>
    <w:p w14:paraId="489107F8" w14:textId="4B3C556B" w:rsidR="00D67765" w:rsidRPr="001F085C" w:rsidRDefault="00D67765" w:rsidP="001F085C">
      <w:pPr>
        <w:pStyle w:val="Tablebullet1"/>
        <w:rPr>
          <w:rFonts w:eastAsiaTheme="minorHAnsi"/>
        </w:rPr>
      </w:pPr>
      <w:r w:rsidRPr="00F1078E">
        <w:rPr>
          <w:rFonts w:eastAsiaTheme="minorHAnsi"/>
        </w:rPr>
        <w:t>Any specific storage and administration instructions.</w:t>
      </w:r>
    </w:p>
    <w:p w14:paraId="7EEB936D" w14:textId="77777777" w:rsidR="00D67765" w:rsidRPr="00D67765" w:rsidRDefault="00FF62B6" w:rsidP="0091462B">
      <w:pPr>
        <w:pStyle w:val="BodyCopy"/>
        <w:rPr>
          <w:iCs w:val="0"/>
          <w:color w:val="auto"/>
          <w:u w:val="single"/>
        </w:rPr>
      </w:pPr>
      <w:hyperlink w:anchor="_top" w:history="1">
        <w:r w:rsidR="00D67765" w:rsidRPr="00481A6C">
          <w:rPr>
            <w:rStyle w:val="Hyperlink"/>
            <w:iCs w:val="0"/>
          </w:rPr>
          <w:t>Back to Contents</w:t>
        </w:r>
      </w:hyperlink>
    </w:p>
    <w:p w14:paraId="2E83B0BD" w14:textId="77777777" w:rsidR="0078367D" w:rsidRDefault="0078367D" w:rsidP="00A6051F">
      <w:pPr>
        <w:pStyle w:val="Heading4"/>
      </w:pPr>
      <w:bookmarkStart w:id="17" w:name="_Toc176348490"/>
      <w:bookmarkStart w:id="18" w:name="_Toc184132664"/>
      <w:r>
        <w:t>Evaluation</w:t>
      </w:r>
      <w:bookmarkStart w:id="19" w:name="_Hlk43366294"/>
      <w:bookmarkEnd w:id="17"/>
      <w:bookmarkEnd w:id="18"/>
    </w:p>
    <w:p w14:paraId="0D200B1F" w14:textId="77777777" w:rsidR="00481A6C" w:rsidRDefault="00481A6C" w:rsidP="00C34A10">
      <w:pPr>
        <w:pStyle w:val="Heading5"/>
      </w:pPr>
      <w:bookmarkStart w:id="20" w:name="_Hlk170467190"/>
      <w:bookmarkEnd w:id="19"/>
      <w:r w:rsidRPr="00C34A10">
        <w:t>Outcome</w:t>
      </w:r>
    </w:p>
    <w:p w14:paraId="21574A2D" w14:textId="77777777" w:rsidR="00D67765" w:rsidRPr="00D67765" w:rsidRDefault="00D67765" w:rsidP="00D67765">
      <w:pPr>
        <w:pStyle w:val="BodyCopy"/>
      </w:pPr>
      <w:r>
        <w:t>Reduction in the risk of patient harm associated with the use of high-risk medicines</w:t>
      </w:r>
    </w:p>
    <w:p w14:paraId="2CC576BE" w14:textId="77777777" w:rsidR="00481A6C" w:rsidRPr="00C34A10" w:rsidRDefault="00C34A10" w:rsidP="00C34A10">
      <w:pPr>
        <w:pStyle w:val="Heading5"/>
      </w:pPr>
      <w:bookmarkStart w:id="21" w:name="_Hlk170467240"/>
      <w:bookmarkEnd w:id="20"/>
      <w:r>
        <w:t>Measures</w:t>
      </w:r>
    </w:p>
    <w:bookmarkEnd w:id="21"/>
    <w:p w14:paraId="2E691B0F" w14:textId="77777777" w:rsidR="00D67765" w:rsidRPr="00D67765" w:rsidRDefault="00D67765" w:rsidP="00D67765">
      <w:pPr>
        <w:autoSpaceDE w:val="0"/>
        <w:autoSpaceDN w:val="0"/>
        <w:adjustRightInd w:val="0"/>
        <w:rPr>
          <w:rFonts w:eastAsiaTheme="minorEastAsia"/>
        </w:rPr>
      </w:pPr>
      <w:r w:rsidRPr="3B77FD41">
        <w:rPr>
          <w:rFonts w:eastAsiaTheme="minorEastAsia"/>
        </w:rPr>
        <w:t xml:space="preserve">Compliance with </w:t>
      </w:r>
      <w:bookmarkStart w:id="22" w:name="_Hlk79741245"/>
      <w:r w:rsidRPr="3B77FD41">
        <w:rPr>
          <w:rFonts w:eastAsiaTheme="minorEastAsia"/>
        </w:rPr>
        <w:t>the</w:t>
      </w:r>
      <w:r>
        <w:rPr>
          <w:rFonts w:eastAsiaTheme="minorEastAsia"/>
        </w:rPr>
        <w:t xml:space="preserve"> Heparin and other Anticoagulants </w:t>
      </w:r>
      <w:r w:rsidRPr="3B77FD41">
        <w:rPr>
          <w:rFonts w:eastAsiaTheme="minorEastAsia"/>
        </w:rPr>
        <w:t>High-Risk Medicine Standard</w:t>
      </w:r>
      <w:r>
        <w:rPr>
          <w:rFonts w:eastAsiaTheme="minorEastAsia"/>
        </w:rPr>
        <w:t xml:space="preserve"> and associated H</w:t>
      </w:r>
      <w:r w:rsidRPr="3B77FD41">
        <w:rPr>
          <w:rFonts w:eastAsiaTheme="minorEastAsia"/>
        </w:rPr>
        <w:t>igh-</w:t>
      </w:r>
      <w:r>
        <w:rPr>
          <w:rFonts w:eastAsiaTheme="minorEastAsia"/>
        </w:rPr>
        <w:t>R</w:t>
      </w:r>
      <w:r w:rsidRPr="3B77FD41">
        <w:rPr>
          <w:rFonts w:eastAsiaTheme="minorEastAsia"/>
        </w:rPr>
        <w:t xml:space="preserve">isk </w:t>
      </w:r>
      <w:r>
        <w:rPr>
          <w:rFonts w:eastAsiaTheme="minorEastAsia"/>
        </w:rPr>
        <w:t>M</w:t>
      </w:r>
      <w:r w:rsidRPr="3B77FD41">
        <w:rPr>
          <w:rFonts w:eastAsiaTheme="minorEastAsia"/>
        </w:rPr>
        <w:t>edic</w:t>
      </w:r>
      <w:r>
        <w:rPr>
          <w:rFonts w:eastAsiaTheme="minorEastAsia"/>
        </w:rPr>
        <w:t>ines</w:t>
      </w:r>
      <w:r w:rsidRPr="3B77FD41">
        <w:rPr>
          <w:rFonts w:eastAsiaTheme="minorEastAsia"/>
        </w:rPr>
        <w:t xml:space="preserve"> </w:t>
      </w:r>
      <w:r>
        <w:rPr>
          <w:rFonts w:eastAsiaTheme="minorEastAsia"/>
        </w:rPr>
        <w:t>P</w:t>
      </w:r>
      <w:r w:rsidRPr="3B77FD41">
        <w:rPr>
          <w:rFonts w:eastAsiaTheme="minorEastAsia"/>
        </w:rPr>
        <w:t xml:space="preserve">olicy </w:t>
      </w:r>
      <w:bookmarkEnd w:id="22"/>
      <w:r w:rsidRPr="3B77FD41">
        <w:rPr>
          <w:rFonts w:eastAsiaTheme="minorEastAsia"/>
        </w:rPr>
        <w:t xml:space="preserve">must be evaluated through regular </w:t>
      </w:r>
      <w:r>
        <w:rPr>
          <w:rFonts w:eastAsiaTheme="minorEastAsia"/>
        </w:rPr>
        <w:t>medication storage audits, hospital acquired complication data</w:t>
      </w:r>
      <w:r w:rsidRPr="3B77FD41">
        <w:rPr>
          <w:rFonts w:eastAsiaTheme="minorEastAsia"/>
        </w:rPr>
        <w:t xml:space="preserve"> and analysis of incident reports.</w:t>
      </w:r>
      <w:r w:rsidR="00DC2409">
        <w:rPr>
          <w:rFonts w:eastAsiaTheme="minorEastAsia"/>
        </w:rPr>
        <w:t xml:space="preserve"> </w:t>
      </w:r>
      <w:r w:rsidRPr="3B77FD41">
        <w:rPr>
          <w:rFonts w:eastAsiaTheme="minorEastAsia"/>
        </w:rPr>
        <w:t xml:space="preserve">This </w:t>
      </w:r>
      <w:r w:rsidRPr="3B77FD41">
        <w:rPr>
          <w:rFonts w:eastAsiaTheme="minorEastAsia"/>
        </w:rPr>
        <w:lastRenderedPageBreak/>
        <w:t>should also include evaluation of safety controls and identification of quality improvement opportunities</w:t>
      </w:r>
      <w:r>
        <w:rPr>
          <w:rFonts w:eastAsiaTheme="minorEastAsia"/>
          <w:vertAlign w:val="superscript"/>
        </w:rPr>
        <w:t>2</w:t>
      </w:r>
      <w:r w:rsidRPr="3B77FD41">
        <w:rPr>
          <w:rFonts w:eastAsiaTheme="minorEastAsia"/>
        </w:rPr>
        <w:t xml:space="preserve">. </w:t>
      </w:r>
    </w:p>
    <w:p w14:paraId="113FE598" w14:textId="77777777" w:rsidR="00481A6C" w:rsidRPr="00D67765" w:rsidRDefault="00D67765" w:rsidP="00D67765">
      <w:pPr>
        <w:autoSpaceDE w:val="0"/>
        <w:autoSpaceDN w:val="0"/>
        <w:adjustRightInd w:val="0"/>
        <w:rPr>
          <w:rFonts w:eastAsiaTheme="minorHAnsi"/>
          <w:color w:val="000000"/>
        </w:rPr>
      </w:pPr>
      <w:r w:rsidRPr="008F617E">
        <w:rPr>
          <w:rFonts w:eastAsiaTheme="minorHAnsi"/>
          <w:color w:val="000000"/>
        </w:rPr>
        <w:t>Feedback of evaluation results should be provided to staff</w:t>
      </w:r>
      <w:r>
        <w:rPr>
          <w:rFonts w:eastAsiaTheme="minorHAnsi"/>
          <w:color w:val="000000"/>
        </w:rPr>
        <w:t xml:space="preserve"> to assist with motivation, compliance and continued improvement. Audit results will also be reported to the Medication Safety Committee who will be responsible for ensuring the standard is being implemented as intended.</w:t>
      </w:r>
    </w:p>
    <w:p w14:paraId="5B57B536" w14:textId="77777777" w:rsidR="00481A6C" w:rsidRDefault="00FF62B6" w:rsidP="002D7682">
      <w:pPr>
        <w:pStyle w:val="BodyCopy"/>
        <w:spacing w:after="120"/>
        <w:rPr>
          <w:rStyle w:val="Hyperlink"/>
          <w:iCs w:val="0"/>
        </w:rPr>
      </w:pPr>
      <w:hyperlink w:anchor="_top" w:history="1">
        <w:r w:rsidR="00481A6C" w:rsidRPr="00481A6C">
          <w:rPr>
            <w:rStyle w:val="Hyperlink"/>
            <w:iCs w:val="0"/>
          </w:rPr>
          <w:t>Back to Contents</w:t>
        </w:r>
      </w:hyperlink>
    </w:p>
    <w:p w14:paraId="4ECFACE9" w14:textId="77777777" w:rsidR="00A6051F" w:rsidRDefault="00A6051F" w:rsidP="00A6051F">
      <w:pPr>
        <w:pStyle w:val="Heading4"/>
      </w:pPr>
      <w:bookmarkStart w:id="23" w:name="_Toc184132665"/>
      <w:r>
        <w:t>Related policies, procedures, guidelines and legislation</w:t>
      </w:r>
      <w:bookmarkEnd w:id="23"/>
    </w:p>
    <w:p w14:paraId="10294DC0" w14:textId="77777777" w:rsidR="00481A6C" w:rsidRDefault="00481A6C" w:rsidP="00A6051F">
      <w:pPr>
        <w:pStyle w:val="Heading5"/>
      </w:pPr>
      <w:r w:rsidRPr="00A66966">
        <w:t>Policies</w:t>
      </w:r>
    </w:p>
    <w:p w14:paraId="1B986FD5" w14:textId="5BC26727" w:rsidR="00D67765" w:rsidRPr="00F1078E" w:rsidRDefault="00D67765" w:rsidP="001F085C">
      <w:pPr>
        <w:pStyle w:val="Tablebullet1"/>
      </w:pPr>
      <w:r w:rsidRPr="00F1078E">
        <w:t>Medication Handling Policy</w:t>
      </w:r>
    </w:p>
    <w:p w14:paraId="1F53D1EA" w14:textId="77777777" w:rsidR="00D67765" w:rsidRPr="00F1078E" w:rsidRDefault="00D67765" w:rsidP="001F085C">
      <w:pPr>
        <w:pStyle w:val="Tablebullet1"/>
      </w:pPr>
      <w:r w:rsidRPr="00F1078E">
        <w:t>High-Risk Medicines Policy</w:t>
      </w:r>
    </w:p>
    <w:p w14:paraId="6DA8C03E" w14:textId="77777777" w:rsidR="00481A6C" w:rsidRDefault="00481A6C" w:rsidP="00A6051F">
      <w:pPr>
        <w:pStyle w:val="Heading5"/>
      </w:pPr>
      <w:r>
        <w:t>Procedures</w:t>
      </w:r>
    </w:p>
    <w:p w14:paraId="7DE3FA3D" w14:textId="71A09388" w:rsidR="00D67765" w:rsidRPr="00F1078E" w:rsidRDefault="00D67765" w:rsidP="001F085C">
      <w:pPr>
        <w:pStyle w:val="Tablebullet1"/>
      </w:pPr>
      <w:r w:rsidRPr="00F1078E">
        <w:t>Medication handling procedure</w:t>
      </w:r>
      <w:r w:rsidR="003632FE">
        <w:t>- North Canberra Hospital (NCH)</w:t>
      </w:r>
    </w:p>
    <w:p w14:paraId="2E03EFC5" w14:textId="77777777" w:rsidR="00D67765" w:rsidRPr="00F1078E" w:rsidRDefault="00D67765" w:rsidP="001F085C">
      <w:pPr>
        <w:pStyle w:val="Tablebullet1"/>
      </w:pPr>
      <w:r w:rsidRPr="00F1078E">
        <w:t>High-Risk Medicine Standard – Insulin</w:t>
      </w:r>
    </w:p>
    <w:p w14:paraId="68122AE9" w14:textId="77777777" w:rsidR="00D67765" w:rsidRPr="00F1078E" w:rsidRDefault="00D67765" w:rsidP="001F085C">
      <w:pPr>
        <w:pStyle w:val="Tablebullet1"/>
      </w:pPr>
      <w:r w:rsidRPr="00F1078E">
        <w:t>High-Risk Medicine Standard – Neuromuscular Blocking Agents</w:t>
      </w:r>
    </w:p>
    <w:p w14:paraId="0B6B8B78" w14:textId="77777777" w:rsidR="00D67765" w:rsidRPr="00F1078E" w:rsidRDefault="00D67765" w:rsidP="001F085C">
      <w:pPr>
        <w:pStyle w:val="Tablebullet1"/>
      </w:pPr>
      <w:r w:rsidRPr="00F1078E">
        <w:t xml:space="preserve">NCH High Risk Medicines-Intravenous Potassium </w:t>
      </w:r>
    </w:p>
    <w:p w14:paraId="37D2235B" w14:textId="77777777" w:rsidR="00D67765" w:rsidRPr="00F1078E" w:rsidRDefault="00D67765" w:rsidP="001F085C">
      <w:pPr>
        <w:pStyle w:val="Tablebullet1"/>
      </w:pPr>
      <w:r w:rsidRPr="00F1078E">
        <w:t>NCH – High Risk Medicine HYDROmorphone</w:t>
      </w:r>
    </w:p>
    <w:p w14:paraId="13A32CB5" w14:textId="77777777" w:rsidR="00D67765" w:rsidRPr="00F1078E" w:rsidRDefault="00D67765" w:rsidP="001F085C">
      <w:pPr>
        <w:pStyle w:val="Tablebullet1"/>
      </w:pPr>
      <w:r w:rsidRPr="00F1078E">
        <w:t>NCH Insulin Infusion</w:t>
      </w:r>
    </w:p>
    <w:p w14:paraId="75F6DCA4" w14:textId="2F9E668C" w:rsidR="00D67765" w:rsidRPr="001F085C" w:rsidRDefault="003632FE" w:rsidP="001F085C">
      <w:pPr>
        <w:pStyle w:val="Tablebullet1"/>
      </w:pPr>
      <w:r w:rsidRPr="001F085C">
        <w:t>H</w:t>
      </w:r>
      <w:r w:rsidR="00D67765" w:rsidRPr="001F085C">
        <w:t>eparin Infusion</w:t>
      </w:r>
      <w:r w:rsidRPr="001F085C">
        <w:t>- North Canberra Hospital (NCH)</w:t>
      </w:r>
    </w:p>
    <w:p w14:paraId="1A7B64F5" w14:textId="172E13C5" w:rsidR="00D67765" w:rsidRPr="003E3917" w:rsidRDefault="003E3917" w:rsidP="001F085C">
      <w:pPr>
        <w:pStyle w:val="Tablebullet1"/>
      </w:pPr>
      <w:r>
        <w:t xml:space="preserve">CHS </w:t>
      </w:r>
      <w:r w:rsidR="00D67765" w:rsidRPr="00F1078E">
        <w:t xml:space="preserve">Falls </w:t>
      </w:r>
      <w:r w:rsidR="003632FE">
        <w:t xml:space="preserve">Assessment Management and Prevention </w:t>
      </w:r>
    </w:p>
    <w:p w14:paraId="37B55C17" w14:textId="11FB1841" w:rsidR="003E3917" w:rsidRPr="00453CAB" w:rsidRDefault="003E3917" w:rsidP="001F085C">
      <w:pPr>
        <w:pStyle w:val="Tablebullet1"/>
        <w:rPr>
          <w:rFonts w:asciiTheme="minorHAnsi" w:hAnsiTheme="minorHAnsi" w:cstheme="minorHAnsi"/>
        </w:rPr>
      </w:pPr>
      <w:r w:rsidRPr="00453CAB">
        <w:rPr>
          <w:rStyle w:val="cf01"/>
          <w:rFonts w:asciiTheme="minorHAnsi" w:hAnsiTheme="minorHAnsi" w:cstheme="minorHAnsi"/>
          <w:sz w:val="24"/>
          <w:szCs w:val="24"/>
        </w:rPr>
        <w:t>Falls Risk Minimisation and Management Procedure</w:t>
      </w:r>
      <w:r w:rsidR="00453CAB">
        <w:rPr>
          <w:rStyle w:val="cf01"/>
          <w:rFonts w:asciiTheme="minorHAnsi" w:hAnsiTheme="minorHAnsi" w:cstheme="minorHAnsi"/>
          <w:sz w:val="24"/>
          <w:szCs w:val="24"/>
        </w:rPr>
        <w:t xml:space="preserve"> </w:t>
      </w:r>
      <w:r w:rsidR="00453CAB">
        <w:t>North Canberra Hospital (NCH)</w:t>
      </w:r>
    </w:p>
    <w:p w14:paraId="55F92E31" w14:textId="703DF303" w:rsidR="003632FE" w:rsidRPr="003632FE" w:rsidRDefault="003632FE" w:rsidP="001F085C">
      <w:pPr>
        <w:pStyle w:val="Tablebullet1"/>
      </w:pPr>
      <w:r w:rsidRPr="00F1078E">
        <w:rPr>
          <w:rFonts w:eastAsia="Calibri"/>
        </w:rPr>
        <w:t>High Risk Medicines Management</w:t>
      </w:r>
      <w:r>
        <w:rPr>
          <w:rFonts w:eastAsia="Calibri"/>
        </w:rPr>
        <w:t>- North Canberra Hospital (NCH</w:t>
      </w:r>
    </w:p>
    <w:p w14:paraId="69445DFA" w14:textId="77777777" w:rsidR="003632FE" w:rsidRPr="00F1078E" w:rsidRDefault="003632FE" w:rsidP="001F085C">
      <w:pPr>
        <w:pStyle w:val="Tablebullet1"/>
      </w:pPr>
      <w:r w:rsidRPr="00F1078E">
        <w:t>Anticoagulation Therapeutic Management (Adults only)</w:t>
      </w:r>
    </w:p>
    <w:p w14:paraId="6B4176F0" w14:textId="77777777" w:rsidR="003632FE" w:rsidRPr="00F1078E" w:rsidRDefault="003632FE" w:rsidP="001F085C">
      <w:pPr>
        <w:pStyle w:val="ListBullet"/>
        <w:numPr>
          <w:ilvl w:val="0"/>
          <w:numId w:val="0"/>
        </w:numPr>
        <w:ind w:left="426"/>
        <w:rPr>
          <w:rFonts w:ascii="Arial" w:hAnsi="Arial" w:cs="Arial"/>
        </w:rPr>
      </w:pPr>
    </w:p>
    <w:p w14:paraId="0ADCDBB5" w14:textId="77777777" w:rsidR="00481A6C" w:rsidRDefault="00481A6C" w:rsidP="00A6051F">
      <w:pPr>
        <w:pStyle w:val="Heading5"/>
      </w:pPr>
      <w:r>
        <w:t xml:space="preserve">Guidelines </w:t>
      </w:r>
    </w:p>
    <w:p w14:paraId="59D13BCE" w14:textId="77777777" w:rsidR="00D67765" w:rsidRPr="00F1078E" w:rsidRDefault="00D67765" w:rsidP="001F085C">
      <w:pPr>
        <w:pStyle w:val="Tablebullet1"/>
      </w:pPr>
      <w:r w:rsidRPr="00F1078E">
        <w:t>Venous Thromboembolism (VTE) Prevention (Adults &amp; Children)</w:t>
      </w:r>
    </w:p>
    <w:p w14:paraId="4AF03B15" w14:textId="29EC97AB" w:rsidR="00D67765" w:rsidRPr="00F1078E" w:rsidRDefault="00D67765" w:rsidP="001F085C">
      <w:pPr>
        <w:pStyle w:val="Tablebullet1"/>
      </w:pPr>
      <w:r w:rsidRPr="00F1078E">
        <w:t>Venous Thromboembolism Prevention</w:t>
      </w:r>
      <w:r w:rsidR="002250EA">
        <w:t>-North Canberra Hospital</w:t>
      </w:r>
      <w:r w:rsidRPr="00F1078E">
        <w:t xml:space="preserve"> (NCH)</w:t>
      </w:r>
    </w:p>
    <w:p w14:paraId="7D176805" w14:textId="77777777" w:rsidR="00D67765" w:rsidRDefault="00D67765" w:rsidP="00D67765">
      <w:pPr>
        <w:pStyle w:val="Heading5"/>
      </w:pPr>
      <w:r>
        <w:t>Legislation</w:t>
      </w:r>
    </w:p>
    <w:p w14:paraId="11A94E80" w14:textId="02D88FA0" w:rsidR="00D67765" w:rsidRPr="00F1078E" w:rsidRDefault="00D67765" w:rsidP="001F085C">
      <w:pPr>
        <w:pStyle w:val="Tablebullet1"/>
      </w:pPr>
      <w:r w:rsidRPr="001F085C">
        <w:rPr>
          <w:i/>
          <w:iCs/>
        </w:rPr>
        <w:t>Human Rights Act</w:t>
      </w:r>
      <w:r w:rsidRPr="00F1078E">
        <w:t xml:space="preserve"> </w:t>
      </w:r>
      <w:r w:rsidR="00064234">
        <w:t>2004</w:t>
      </w:r>
    </w:p>
    <w:p w14:paraId="27353282" w14:textId="77777777" w:rsidR="00D67765" w:rsidRPr="00F1078E" w:rsidRDefault="00D67765" w:rsidP="001F085C">
      <w:pPr>
        <w:pStyle w:val="Tablebullet1"/>
      </w:pPr>
      <w:r w:rsidRPr="001F085C">
        <w:rPr>
          <w:rStyle w:val="normaltextrun1"/>
          <w:rFonts w:eastAsiaTheme="majorEastAsia"/>
          <w:i/>
          <w:iCs/>
        </w:rPr>
        <w:t>Medicines, Poisons and Therapeutic Goods Act</w:t>
      </w:r>
      <w:r w:rsidRPr="00F1078E">
        <w:rPr>
          <w:rStyle w:val="normaltextrun1"/>
          <w:rFonts w:eastAsiaTheme="majorEastAsia"/>
        </w:rPr>
        <w:t xml:space="preserve"> 2008</w:t>
      </w:r>
    </w:p>
    <w:p w14:paraId="3EDF6CEF" w14:textId="77777777" w:rsidR="00D67765" w:rsidRPr="00F1078E" w:rsidRDefault="00D67765" w:rsidP="001F085C">
      <w:pPr>
        <w:pStyle w:val="Tablebullet1"/>
      </w:pPr>
      <w:r w:rsidRPr="00F1078E">
        <w:rPr>
          <w:rStyle w:val="normaltextrun1"/>
          <w:rFonts w:eastAsiaTheme="majorEastAsia"/>
        </w:rPr>
        <w:t>Medicines, Poisons and Therapeutic Goods Regulation 2008</w:t>
      </w:r>
    </w:p>
    <w:p w14:paraId="1C62E026" w14:textId="05FEE722" w:rsidR="00D67765" w:rsidRPr="00F1078E" w:rsidRDefault="00D67765" w:rsidP="001F085C">
      <w:pPr>
        <w:pStyle w:val="Tablebullet1"/>
      </w:pPr>
      <w:r w:rsidRPr="001F085C">
        <w:rPr>
          <w:rStyle w:val="normaltextrun1"/>
          <w:rFonts w:eastAsiaTheme="majorEastAsia"/>
          <w:i/>
          <w:iCs/>
        </w:rPr>
        <w:t>Health Practitioner Regulation National Law</w:t>
      </w:r>
      <w:r w:rsidR="00064234" w:rsidRPr="001F085C">
        <w:rPr>
          <w:rStyle w:val="normaltextrun1"/>
          <w:rFonts w:eastAsiaTheme="majorEastAsia"/>
          <w:i/>
          <w:iCs/>
        </w:rPr>
        <w:t xml:space="preserve"> (ACT)</w:t>
      </w:r>
      <w:r w:rsidRPr="00F1078E">
        <w:rPr>
          <w:rStyle w:val="normaltextrun1"/>
          <w:rFonts w:eastAsiaTheme="majorEastAsia"/>
        </w:rPr>
        <w:t xml:space="preserve"> </w:t>
      </w:r>
      <w:r w:rsidRPr="001F085C">
        <w:rPr>
          <w:rStyle w:val="normaltextrun1"/>
          <w:rFonts w:eastAsiaTheme="majorEastAsia"/>
          <w:i/>
          <w:iCs/>
        </w:rPr>
        <w:t>Act</w:t>
      </w:r>
      <w:r w:rsidRPr="00F1078E">
        <w:rPr>
          <w:rStyle w:val="normaltextrun1"/>
          <w:rFonts w:eastAsiaTheme="majorEastAsia"/>
        </w:rPr>
        <w:t xml:space="preserve"> 2010</w:t>
      </w:r>
    </w:p>
    <w:p w14:paraId="183DC4AF" w14:textId="77777777" w:rsidR="00D67765" w:rsidRPr="00F1078E" w:rsidRDefault="00D67765" w:rsidP="001F085C">
      <w:pPr>
        <w:pStyle w:val="Tablebullet1"/>
      </w:pPr>
      <w:r w:rsidRPr="001F085C">
        <w:rPr>
          <w:rStyle w:val="normaltextrun1"/>
          <w:rFonts w:eastAsiaTheme="majorEastAsia"/>
          <w:i/>
          <w:iCs/>
        </w:rPr>
        <w:t>Therapeutic Goods Act</w:t>
      </w:r>
      <w:r w:rsidRPr="00F1078E">
        <w:rPr>
          <w:rStyle w:val="normaltextrun1"/>
          <w:rFonts w:eastAsiaTheme="majorEastAsia"/>
        </w:rPr>
        <w:t xml:space="preserve"> 1989</w:t>
      </w:r>
    </w:p>
    <w:p w14:paraId="14AF2DDE" w14:textId="77777777" w:rsidR="00D67765" w:rsidRPr="00F1078E" w:rsidRDefault="00D67765" w:rsidP="001F085C">
      <w:pPr>
        <w:pStyle w:val="Tablebullet1"/>
      </w:pPr>
      <w:r w:rsidRPr="00F1078E">
        <w:rPr>
          <w:rStyle w:val="normaltextrun1"/>
          <w:rFonts w:eastAsiaTheme="majorEastAsia"/>
        </w:rPr>
        <w:t>Therapeutic Goods Regulations 1990</w:t>
      </w:r>
    </w:p>
    <w:p w14:paraId="1F7F4B48" w14:textId="77777777" w:rsidR="00481A6C" w:rsidRDefault="00481A6C" w:rsidP="00A6051F">
      <w:pPr>
        <w:pStyle w:val="Heading5"/>
      </w:pPr>
      <w:r>
        <w:t>Other</w:t>
      </w:r>
    </w:p>
    <w:p w14:paraId="7177D462" w14:textId="77777777" w:rsidR="00D67765" w:rsidRPr="00F1078E" w:rsidRDefault="00D67765" w:rsidP="001F085C">
      <w:pPr>
        <w:pStyle w:val="Tablebullet1"/>
      </w:pPr>
      <w:r w:rsidRPr="00F1078E">
        <w:t>Venous Thromboembolism Prevention Clinical Care Standard, Australian Commission of Safety and Quality in Health Care, January 2020</w:t>
      </w:r>
    </w:p>
    <w:p w14:paraId="1D1B9B88" w14:textId="77777777" w:rsidR="00D67765" w:rsidRPr="00F1078E" w:rsidRDefault="00D67765" w:rsidP="001F085C">
      <w:pPr>
        <w:pStyle w:val="Tablebullet1"/>
      </w:pPr>
      <w:r w:rsidRPr="00F1078E">
        <w:t xml:space="preserve">Australian Charter of Health Care Rights </w:t>
      </w:r>
    </w:p>
    <w:p w14:paraId="472A617C" w14:textId="77777777" w:rsidR="00D67765" w:rsidRPr="00D67765" w:rsidRDefault="00D67765" w:rsidP="00D67765">
      <w:pPr>
        <w:pStyle w:val="ListBullet"/>
        <w:numPr>
          <w:ilvl w:val="0"/>
          <w:numId w:val="0"/>
        </w:numPr>
        <w:ind w:left="426"/>
      </w:pPr>
    </w:p>
    <w:p w14:paraId="3FEAAAEA" w14:textId="77777777" w:rsidR="00D67765" w:rsidRPr="00D67765" w:rsidRDefault="00FF62B6" w:rsidP="002D7682">
      <w:pPr>
        <w:pStyle w:val="BodyCopy"/>
        <w:rPr>
          <w:color w:val="auto"/>
          <w:u w:val="single"/>
        </w:rPr>
      </w:pPr>
      <w:hyperlink w:anchor="_top" w:history="1">
        <w:r w:rsidR="000E7683" w:rsidRPr="004A7A7F">
          <w:rPr>
            <w:rStyle w:val="Hyperlink"/>
          </w:rPr>
          <w:t>Back to Contents</w:t>
        </w:r>
      </w:hyperlink>
    </w:p>
    <w:p w14:paraId="28AB96D2" w14:textId="77777777" w:rsidR="0078367D" w:rsidRPr="0078367D" w:rsidRDefault="0078367D" w:rsidP="00A6051F">
      <w:pPr>
        <w:pStyle w:val="Heading4"/>
      </w:pPr>
      <w:bookmarkStart w:id="24" w:name="_Toc184132666"/>
      <w:r w:rsidRPr="0078367D">
        <w:t>References</w:t>
      </w:r>
      <w:bookmarkEnd w:id="24"/>
    </w:p>
    <w:p w14:paraId="59C5B886" w14:textId="2E367091" w:rsidR="00D67765" w:rsidRPr="00F1078E" w:rsidRDefault="00D67765" w:rsidP="00D67765">
      <w:pPr>
        <w:pStyle w:val="ListBullet"/>
        <w:numPr>
          <w:ilvl w:val="0"/>
          <w:numId w:val="34"/>
        </w:numPr>
        <w:ind w:left="426" w:hanging="426"/>
        <w:rPr>
          <w:rFonts w:ascii="Arial" w:eastAsiaTheme="minorHAnsi" w:hAnsi="Arial" w:cs="Arial"/>
        </w:rPr>
      </w:pPr>
      <w:r w:rsidRPr="00F1078E">
        <w:rPr>
          <w:rFonts w:ascii="Arial" w:eastAsiaTheme="minorHAnsi" w:hAnsi="Arial" w:cs="Arial"/>
        </w:rPr>
        <w:t>High Risk Medicines, Anticoagulants. Clinical Excellence Commission</w:t>
      </w:r>
      <w:r w:rsidR="00453CAB">
        <w:rPr>
          <w:rFonts w:ascii="Arial" w:eastAsiaTheme="minorHAnsi" w:hAnsi="Arial" w:cs="Arial"/>
        </w:rPr>
        <w:t>,</w:t>
      </w:r>
      <w:r w:rsidR="0094754B">
        <w:rPr>
          <w:rFonts w:ascii="Arial" w:eastAsiaTheme="minorHAnsi" w:hAnsi="Arial" w:cs="Arial"/>
        </w:rPr>
        <w:t xml:space="preserve"> 2024</w:t>
      </w:r>
    </w:p>
    <w:p w14:paraId="1144DC67" w14:textId="77777777" w:rsidR="00D67765" w:rsidRPr="00F1078E" w:rsidRDefault="00D67765" w:rsidP="00D67765">
      <w:pPr>
        <w:pStyle w:val="ListBullet"/>
        <w:numPr>
          <w:ilvl w:val="0"/>
          <w:numId w:val="0"/>
        </w:numPr>
        <w:ind w:left="426" w:hanging="426"/>
        <w:rPr>
          <w:rFonts w:ascii="Arial" w:eastAsiaTheme="minorHAnsi" w:hAnsi="Arial" w:cs="Arial"/>
        </w:rPr>
      </w:pPr>
    </w:p>
    <w:p w14:paraId="19C8083A" w14:textId="798931DB" w:rsidR="00D67765" w:rsidRPr="00F1078E" w:rsidRDefault="00D67765" w:rsidP="00D67765">
      <w:pPr>
        <w:pStyle w:val="ListBullet"/>
        <w:numPr>
          <w:ilvl w:val="0"/>
          <w:numId w:val="34"/>
        </w:numPr>
        <w:ind w:left="426" w:hanging="426"/>
        <w:rPr>
          <w:rFonts w:ascii="Arial" w:eastAsiaTheme="minorHAnsi" w:hAnsi="Arial" w:cs="Arial"/>
        </w:rPr>
      </w:pPr>
      <w:r w:rsidRPr="00F1078E">
        <w:rPr>
          <w:rFonts w:ascii="Arial" w:eastAsiaTheme="minorHAnsi" w:hAnsi="Arial" w:cs="Arial"/>
        </w:rPr>
        <w:t>Medication Safety Self-Assessment for Antithrombotic Therapy. Institute for Safer Medication Practices</w:t>
      </w:r>
      <w:r w:rsidR="00453CAB">
        <w:rPr>
          <w:rFonts w:ascii="Arial" w:eastAsiaTheme="minorHAnsi" w:hAnsi="Arial" w:cs="Arial"/>
        </w:rPr>
        <w:t>,</w:t>
      </w:r>
      <w:r w:rsidR="0094754B">
        <w:rPr>
          <w:rFonts w:ascii="Arial" w:eastAsiaTheme="minorHAnsi" w:hAnsi="Arial" w:cs="Arial"/>
        </w:rPr>
        <w:t xml:space="preserve"> 2007</w:t>
      </w:r>
    </w:p>
    <w:p w14:paraId="29F06460" w14:textId="77777777" w:rsidR="00D67765" w:rsidRDefault="00D67765" w:rsidP="003254E1">
      <w:pPr>
        <w:pStyle w:val="Bullet"/>
        <w:numPr>
          <w:ilvl w:val="0"/>
          <w:numId w:val="0"/>
        </w:numPr>
        <w:rPr>
          <w:lang w:eastAsia="en-US"/>
        </w:rPr>
      </w:pPr>
    </w:p>
    <w:p w14:paraId="06477F69" w14:textId="77777777" w:rsidR="00280C5D" w:rsidRDefault="00FF62B6" w:rsidP="002D7682">
      <w:pPr>
        <w:pStyle w:val="Bullet"/>
        <w:numPr>
          <w:ilvl w:val="0"/>
          <w:numId w:val="0"/>
        </w:numPr>
        <w:tabs>
          <w:tab w:val="clear" w:pos="425"/>
        </w:tabs>
        <w:spacing w:after="240"/>
        <w:ind w:left="357" w:hanging="357"/>
        <w:rPr>
          <w:lang w:eastAsia="en-US"/>
        </w:rPr>
      </w:pPr>
      <w:hyperlink w:anchor="_top" w:history="1">
        <w:r w:rsidR="00280C5D" w:rsidRPr="004A7A7F">
          <w:rPr>
            <w:rStyle w:val="Hyperlink"/>
          </w:rPr>
          <w:t>Back to Contents</w:t>
        </w:r>
      </w:hyperlink>
    </w:p>
    <w:p w14:paraId="7FEF8C06" w14:textId="77777777" w:rsidR="0078367D" w:rsidRDefault="0078367D" w:rsidP="00A6051F">
      <w:pPr>
        <w:pStyle w:val="Heading4"/>
      </w:pPr>
      <w:bookmarkStart w:id="25" w:name="_Toc184132667"/>
      <w:r>
        <w:t>Search terms</w:t>
      </w:r>
      <w:bookmarkEnd w:id="25"/>
    </w:p>
    <w:p w14:paraId="23DBBAD1" w14:textId="145DFFD5" w:rsidR="00D67765" w:rsidRPr="005D0D87" w:rsidRDefault="00D67765" w:rsidP="00D67765">
      <w:r>
        <w:t>High-Risk, high risk, high risk medicines, high-risk medicines, high-risk medications, High-Risk Medicines Register, high risk medicine register, High-Risk Medicine Standards,</w:t>
      </w:r>
      <w:r w:rsidRPr="00B471ED">
        <w:rPr>
          <w:rFonts w:cs="Calibri,Bold"/>
          <w:bCs/>
          <w:iCs/>
        </w:rPr>
        <w:t xml:space="preserve"> </w:t>
      </w:r>
      <w:r>
        <w:rPr>
          <w:rFonts w:cs="Calibri,Bold"/>
          <w:bCs/>
          <w:iCs/>
        </w:rPr>
        <w:t>High risk medicines standards, High-Risk Medicines Guidelines, Standards, Heparin</w:t>
      </w:r>
      <w:r w:rsidRPr="00B471ED">
        <w:rPr>
          <w:rFonts w:cs="Calibri,Bold"/>
          <w:bCs/>
          <w:iCs/>
        </w:rPr>
        <w:t xml:space="preserve">, </w:t>
      </w:r>
      <w:r>
        <w:rPr>
          <w:rFonts w:cs="Calibri,Bold"/>
          <w:bCs/>
          <w:iCs/>
        </w:rPr>
        <w:t xml:space="preserve">rivaroxaban, </w:t>
      </w:r>
      <w:r w:rsidRPr="00B471ED">
        <w:rPr>
          <w:rFonts w:cs="Calibri,Bold"/>
          <w:bCs/>
          <w:iCs/>
        </w:rPr>
        <w:t>Medication Administration, High Risk</w:t>
      </w:r>
      <w:r>
        <w:rPr>
          <w:rFonts w:cs="Calibri,Bold"/>
          <w:bCs/>
          <w:iCs/>
        </w:rPr>
        <w:t xml:space="preserve">, </w:t>
      </w:r>
      <w:r w:rsidR="00453CAB">
        <w:rPr>
          <w:rFonts w:asciiTheme="minorHAnsi" w:hAnsiTheme="minorHAnsi" w:cstheme="minorHAnsi"/>
        </w:rPr>
        <w:t>b</w:t>
      </w:r>
      <w:r w:rsidR="00453CAB" w:rsidRPr="00453CAB">
        <w:rPr>
          <w:rFonts w:asciiTheme="minorHAnsi" w:hAnsiTheme="minorHAnsi" w:cstheme="minorHAnsi"/>
        </w:rPr>
        <w:t>ivalirudin,</w:t>
      </w:r>
      <w:r w:rsidR="00453CAB">
        <w:t xml:space="preserve"> </w:t>
      </w:r>
      <w:r>
        <w:t>enoxaparin, dalteparin, fragmin, clexane, apixaban, warfarin, dabigatran, anticoagulants, anticoagulation, LMWH, unfractionated, NOAC, DOAC, NOACs, oral anticoagulants.</w:t>
      </w:r>
    </w:p>
    <w:p w14:paraId="3F9AA87C" w14:textId="77777777" w:rsidR="00280C5D" w:rsidRDefault="00FF62B6"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2B3E7E9B" w14:textId="77777777" w:rsidR="007B1A7B" w:rsidRDefault="007B1A7B">
      <w:pPr>
        <w:spacing w:before="0" w:after="0" w:line="240" w:lineRule="auto"/>
        <w:rPr>
          <w:rStyle w:val="Hyperlink"/>
          <w:rFonts w:eastAsia="Times New Roman"/>
        </w:rPr>
      </w:pPr>
    </w:p>
    <w:p w14:paraId="178BC6D2"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122"/>
        <w:gridCol w:w="2409"/>
        <w:gridCol w:w="2977"/>
        <w:gridCol w:w="2403"/>
      </w:tblGrid>
      <w:tr w:rsidR="00280C5D" w14:paraId="52D32410" w14:textId="77777777" w:rsidTr="00FF62B6">
        <w:trPr>
          <w:cnfStyle w:val="100000000000" w:firstRow="1" w:lastRow="0" w:firstColumn="0" w:lastColumn="0" w:oddVBand="0" w:evenVBand="0" w:oddHBand="0" w:evenHBand="0" w:firstRowFirstColumn="0" w:firstRowLastColumn="0" w:lastRowFirstColumn="0" w:lastRowLastColumn="0"/>
        </w:trPr>
        <w:tc>
          <w:tcPr>
            <w:tcW w:w="2122" w:type="dxa"/>
          </w:tcPr>
          <w:p w14:paraId="685716D7" w14:textId="77777777" w:rsidR="00280C5D" w:rsidRDefault="00280C5D" w:rsidP="003B0E72">
            <w:pPr>
              <w:pStyle w:val="Tableheader"/>
            </w:pPr>
            <w:r>
              <w:t>Date amended</w:t>
            </w:r>
          </w:p>
        </w:tc>
        <w:tc>
          <w:tcPr>
            <w:tcW w:w="2409" w:type="dxa"/>
          </w:tcPr>
          <w:p w14:paraId="70142AEB" w14:textId="77777777" w:rsidR="00280C5D" w:rsidRDefault="00280C5D" w:rsidP="003B0E72">
            <w:pPr>
              <w:pStyle w:val="Tableheader"/>
            </w:pPr>
            <w:r>
              <w:t>Section amended</w:t>
            </w:r>
          </w:p>
        </w:tc>
        <w:tc>
          <w:tcPr>
            <w:tcW w:w="2977" w:type="dxa"/>
          </w:tcPr>
          <w:p w14:paraId="50BF5A07" w14:textId="77777777" w:rsidR="00280C5D" w:rsidRDefault="00280C5D" w:rsidP="003B0E72">
            <w:pPr>
              <w:pStyle w:val="Tableheader"/>
            </w:pPr>
            <w:r>
              <w:t>Divisional approval</w:t>
            </w:r>
          </w:p>
        </w:tc>
        <w:tc>
          <w:tcPr>
            <w:tcW w:w="2403" w:type="dxa"/>
          </w:tcPr>
          <w:p w14:paraId="57EDA4AB" w14:textId="77777777" w:rsidR="00280C5D" w:rsidRDefault="00280C5D" w:rsidP="003B0E72">
            <w:pPr>
              <w:pStyle w:val="Tableheader"/>
            </w:pPr>
            <w:r>
              <w:t>Final approval</w:t>
            </w:r>
          </w:p>
        </w:tc>
      </w:tr>
      <w:tr w:rsidR="00280C5D" w14:paraId="6A0E8304" w14:textId="77777777" w:rsidTr="00FF62B6">
        <w:tc>
          <w:tcPr>
            <w:tcW w:w="2122" w:type="dxa"/>
          </w:tcPr>
          <w:p w14:paraId="091B61E4" w14:textId="1A77ADBA" w:rsidR="00280C5D" w:rsidRDefault="00FF62B6" w:rsidP="003B0E72">
            <w:pPr>
              <w:pStyle w:val="Tablebody"/>
              <w:rPr>
                <w:lang w:eastAsia="en-US"/>
              </w:rPr>
            </w:pPr>
            <w:r>
              <w:rPr>
                <w:lang w:eastAsia="en-US"/>
              </w:rPr>
              <w:t>23/12/2024</w:t>
            </w:r>
          </w:p>
        </w:tc>
        <w:tc>
          <w:tcPr>
            <w:tcW w:w="2409" w:type="dxa"/>
          </w:tcPr>
          <w:p w14:paraId="7A8726C4" w14:textId="4A492A8D" w:rsidR="00280C5D" w:rsidRDefault="00FF62B6" w:rsidP="003B0E72">
            <w:pPr>
              <w:pStyle w:val="Tablebody"/>
              <w:rPr>
                <w:lang w:eastAsia="en-US"/>
              </w:rPr>
            </w:pPr>
            <w:r>
              <w:rPr>
                <w:lang w:eastAsia="en-US"/>
              </w:rPr>
              <w:t>New Document Added</w:t>
            </w:r>
          </w:p>
        </w:tc>
        <w:tc>
          <w:tcPr>
            <w:tcW w:w="2977" w:type="dxa"/>
          </w:tcPr>
          <w:p w14:paraId="2DE71D39" w14:textId="4A1435B4" w:rsidR="00280C5D" w:rsidRDefault="00FF62B6" w:rsidP="003B0E72">
            <w:pPr>
              <w:pStyle w:val="Tablebody"/>
              <w:rPr>
                <w:lang w:eastAsia="en-US"/>
              </w:rPr>
            </w:pPr>
            <w:r>
              <w:rPr>
                <w:lang w:eastAsia="en-US"/>
              </w:rPr>
              <w:t>Sarah Mogford, EBM, Medical Services</w:t>
            </w:r>
          </w:p>
        </w:tc>
        <w:tc>
          <w:tcPr>
            <w:tcW w:w="2403" w:type="dxa"/>
          </w:tcPr>
          <w:p w14:paraId="1658DC77" w14:textId="6ADC3993" w:rsidR="00280C5D" w:rsidRDefault="00FF62B6" w:rsidP="003B0E72">
            <w:pPr>
              <w:pStyle w:val="Tablebody"/>
              <w:rPr>
                <w:lang w:eastAsia="en-US"/>
              </w:rPr>
            </w:pPr>
            <w:r>
              <w:rPr>
                <w:lang w:eastAsia="en-US"/>
              </w:rPr>
              <w:t>Policy Document Review Panel</w:t>
            </w:r>
          </w:p>
        </w:tc>
      </w:tr>
      <w:tr w:rsidR="00280C5D" w14:paraId="76C4D7B3" w14:textId="77777777" w:rsidTr="00FF62B6">
        <w:tc>
          <w:tcPr>
            <w:tcW w:w="2122" w:type="dxa"/>
          </w:tcPr>
          <w:p w14:paraId="49C51CB9" w14:textId="77777777" w:rsidR="00280C5D" w:rsidRDefault="00280C5D" w:rsidP="003B0E72">
            <w:pPr>
              <w:pStyle w:val="Tablebody"/>
              <w:rPr>
                <w:lang w:eastAsia="en-US"/>
              </w:rPr>
            </w:pPr>
          </w:p>
        </w:tc>
        <w:tc>
          <w:tcPr>
            <w:tcW w:w="2409" w:type="dxa"/>
          </w:tcPr>
          <w:p w14:paraId="29EBD11B" w14:textId="77777777" w:rsidR="00280C5D" w:rsidRDefault="00280C5D" w:rsidP="003B0E72">
            <w:pPr>
              <w:pStyle w:val="Tablebody"/>
              <w:rPr>
                <w:lang w:eastAsia="en-US"/>
              </w:rPr>
            </w:pPr>
          </w:p>
        </w:tc>
        <w:tc>
          <w:tcPr>
            <w:tcW w:w="2977" w:type="dxa"/>
          </w:tcPr>
          <w:p w14:paraId="56C1C1DD" w14:textId="77777777" w:rsidR="00280C5D" w:rsidRDefault="00280C5D" w:rsidP="003B0E72">
            <w:pPr>
              <w:pStyle w:val="Tablebody"/>
              <w:rPr>
                <w:lang w:eastAsia="en-US"/>
              </w:rPr>
            </w:pPr>
          </w:p>
        </w:tc>
        <w:tc>
          <w:tcPr>
            <w:tcW w:w="2403" w:type="dxa"/>
          </w:tcPr>
          <w:p w14:paraId="623718F2" w14:textId="77777777" w:rsidR="00280C5D" w:rsidRDefault="00280C5D" w:rsidP="003B0E72">
            <w:pPr>
              <w:pStyle w:val="Tablebody"/>
              <w:rPr>
                <w:lang w:eastAsia="en-US"/>
              </w:rPr>
            </w:pPr>
          </w:p>
        </w:tc>
      </w:tr>
    </w:tbl>
    <w:p w14:paraId="7893DB6B"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260037BB"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5B559F91" w14:textId="77777777" w:rsidR="00280C5D" w:rsidRDefault="00280C5D" w:rsidP="003B0E72">
            <w:pPr>
              <w:pStyle w:val="Tableheader"/>
            </w:pPr>
            <w:r>
              <w:t>Document number</w:t>
            </w:r>
          </w:p>
        </w:tc>
        <w:tc>
          <w:tcPr>
            <w:tcW w:w="7653" w:type="dxa"/>
          </w:tcPr>
          <w:p w14:paraId="7ED755B7" w14:textId="77777777" w:rsidR="00280C5D" w:rsidRDefault="00280C5D" w:rsidP="003B0E72">
            <w:pPr>
              <w:pStyle w:val="Tableheader"/>
            </w:pPr>
            <w:r>
              <w:t>Document name</w:t>
            </w:r>
          </w:p>
        </w:tc>
      </w:tr>
      <w:tr w:rsidR="00280C5D" w14:paraId="2251808A" w14:textId="77777777" w:rsidTr="003B0E72">
        <w:tc>
          <w:tcPr>
            <w:tcW w:w="2548" w:type="dxa"/>
          </w:tcPr>
          <w:p w14:paraId="7166CA49" w14:textId="34B1E230" w:rsidR="00280C5D" w:rsidRDefault="00FF62B6" w:rsidP="003B0E72">
            <w:pPr>
              <w:pStyle w:val="Tablebody"/>
              <w:rPr>
                <w:lang w:eastAsia="en-US"/>
              </w:rPr>
            </w:pPr>
            <w:r>
              <w:rPr>
                <w:lang w:eastAsia="en-US"/>
              </w:rPr>
              <w:t>CHS 21/616</w:t>
            </w:r>
          </w:p>
        </w:tc>
        <w:tc>
          <w:tcPr>
            <w:tcW w:w="7653" w:type="dxa"/>
          </w:tcPr>
          <w:p w14:paraId="0F6B4C0E" w14:textId="5670D8A2" w:rsidR="00280C5D" w:rsidRDefault="00FF62B6" w:rsidP="003B0E72">
            <w:pPr>
              <w:pStyle w:val="Tablebody"/>
              <w:rPr>
                <w:lang w:eastAsia="en-US"/>
              </w:rPr>
            </w:pPr>
            <w:r>
              <w:rPr>
                <w:lang w:eastAsia="en-US"/>
              </w:rPr>
              <w:t>High-Risk Medicine Standard – Heparin and other Anticoagulants</w:t>
            </w:r>
          </w:p>
        </w:tc>
      </w:tr>
      <w:tr w:rsidR="00280C5D" w14:paraId="2989074D" w14:textId="77777777" w:rsidTr="003B0E72">
        <w:tc>
          <w:tcPr>
            <w:tcW w:w="2548" w:type="dxa"/>
          </w:tcPr>
          <w:p w14:paraId="2BBD049A" w14:textId="77777777" w:rsidR="00280C5D" w:rsidRDefault="00280C5D" w:rsidP="003B0E72">
            <w:pPr>
              <w:pStyle w:val="Tablebody"/>
              <w:rPr>
                <w:lang w:eastAsia="en-US"/>
              </w:rPr>
            </w:pPr>
          </w:p>
        </w:tc>
        <w:tc>
          <w:tcPr>
            <w:tcW w:w="7653" w:type="dxa"/>
          </w:tcPr>
          <w:p w14:paraId="0D6652F4" w14:textId="77777777" w:rsidR="00280C5D" w:rsidRDefault="00280C5D" w:rsidP="003B0E72">
            <w:pPr>
              <w:pStyle w:val="Tablebody"/>
              <w:rPr>
                <w:lang w:eastAsia="en-US"/>
              </w:rPr>
            </w:pPr>
          </w:p>
        </w:tc>
      </w:tr>
    </w:tbl>
    <w:p w14:paraId="08E9D258" w14:textId="77777777" w:rsidR="00280C5D" w:rsidRPr="001F3ED6" w:rsidRDefault="00280C5D" w:rsidP="001F3ED6">
      <w:pPr>
        <w:pStyle w:val="BodyCopy"/>
        <w:rPr>
          <w:rStyle w:val="Bold"/>
        </w:rPr>
      </w:pPr>
      <w:r w:rsidRPr="001F3ED6">
        <w:rPr>
          <w:rStyle w:val="Bold"/>
        </w:rPr>
        <w:t>Disclaimer</w:t>
      </w:r>
    </w:p>
    <w:p w14:paraId="0D372462"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77B6FBD" w14:textId="77777777" w:rsidR="00280C5D" w:rsidRDefault="00FF62B6" w:rsidP="00280C5D">
      <w:pPr>
        <w:pStyle w:val="Bullet"/>
        <w:numPr>
          <w:ilvl w:val="0"/>
          <w:numId w:val="0"/>
        </w:numPr>
        <w:rPr>
          <w:rStyle w:val="Hyperlink"/>
        </w:rPr>
      </w:pPr>
      <w:hyperlink w:anchor="_top" w:history="1">
        <w:r w:rsidR="00280C5D" w:rsidRPr="00481A6C">
          <w:rPr>
            <w:rStyle w:val="Hyperlink"/>
          </w:rPr>
          <w:t>Back to Contents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2C94B58E" w14:textId="77777777" w:rsidTr="003B0E72">
        <w:tc>
          <w:tcPr>
            <w:tcW w:w="5529" w:type="dxa"/>
            <w:shd w:val="clear" w:color="auto" w:fill="F4F3EE"/>
            <w:tcMar>
              <w:top w:w="142" w:type="dxa"/>
              <w:left w:w="170" w:type="dxa"/>
              <w:bottom w:w="142" w:type="dxa"/>
              <w:right w:w="170" w:type="dxa"/>
            </w:tcMar>
          </w:tcPr>
          <w:bookmarkStart w:id="26" w:name="_Hlk160027189" w:displacedByCustomXml="next"/>
          <w:sdt>
            <w:sdtPr>
              <w:rPr>
                <w:color w:val="auto"/>
                <w:u w:val="single"/>
              </w:rPr>
              <w:id w:val="643171884"/>
              <w:placeholder>
                <w:docPart w:val="E0F7ADCFF6B74EACB6DDD0056290B7AF"/>
              </w:placeholder>
            </w:sdtPr>
            <w:sdtEndPr>
              <w:rPr>
                <w:color w:val="000000" w:themeColor="text1"/>
                <w:u w:val="none"/>
              </w:rPr>
            </w:sdtEndPr>
            <w:sdtContent>
              <w:p w14:paraId="757A589C" w14:textId="77777777" w:rsidR="00280C5D" w:rsidRPr="00350211" w:rsidRDefault="00280C5D" w:rsidP="003B0E72">
                <w:pPr>
                  <w:pStyle w:val="Bottomblocktext"/>
                  <w:rPr>
                    <w:b/>
                    <w:bCs w:val="0"/>
                    <w:sz w:val="20"/>
                    <w:szCs w:val="20"/>
                  </w:rPr>
                </w:pPr>
                <w:r>
                  <w:rPr>
                    <w:noProof/>
                    <w:sz w:val="20"/>
                    <w:szCs w:val="20"/>
                  </w:rPr>
                  <w:drawing>
                    <wp:inline distT="0" distB="0" distL="0" distR="0" wp14:anchorId="69D725E4" wp14:editId="7DD58EEA">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1A6464A"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12E37B33"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972D412C87894FF88B27B9FD415CCC7D"/>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52731D4065904877AD416686F4E8E22A"/>
            </w:placeholder>
            <w:showingPlcHdr/>
          </w:sdtPr>
          <w:sdtEndPr/>
          <w:sdtContent>
            <w:tc>
              <w:tcPr>
                <w:tcW w:w="4665" w:type="dxa"/>
                <w:shd w:val="clear" w:color="auto" w:fill="F4F3EE"/>
                <w:tcMar>
                  <w:top w:w="142" w:type="dxa"/>
                  <w:left w:w="170" w:type="dxa"/>
                  <w:bottom w:w="142" w:type="dxa"/>
                  <w:right w:w="170" w:type="dxa"/>
                </w:tcMar>
              </w:tcPr>
              <w:p w14:paraId="3BF9FFCF"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4D8A737" wp14:editId="0693945E">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6AF9424" wp14:editId="78D3198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0D78F74"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587DBFC" wp14:editId="580F415D">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C4B7F6D" wp14:editId="57644EFD">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8A71427" w14:textId="77777777" w:rsidR="00280C5D" w:rsidRDefault="00FF62B6" w:rsidP="003B0E72">
                <w:pPr>
                  <w:pStyle w:val="Bottomblocktext"/>
                  <w:rPr>
                    <w:sz w:val="20"/>
                    <w:szCs w:val="20"/>
                  </w:rPr>
                </w:pPr>
                <w:hyperlink r:id="rId17" w:history="1">
                  <w:r w:rsidR="00280C5D" w:rsidRPr="00350211">
                    <w:rPr>
                      <w:rStyle w:val="Hyperlink"/>
                      <w:sz w:val="20"/>
                      <w:szCs w:val="20"/>
                    </w:rPr>
                    <w:t>canberrahealthservices.act.gov.au/accessibility</w:t>
                  </w:r>
                </w:hyperlink>
              </w:p>
              <w:p w14:paraId="6CBD1327" w14:textId="77777777" w:rsidR="00280C5D" w:rsidRDefault="00280C5D" w:rsidP="003B0E72">
                <w:pPr>
                  <w:pStyle w:val="Bottomblocktext"/>
                </w:pPr>
                <w:r>
                  <w:rPr>
                    <w:b/>
                    <w:bCs w:val="0"/>
                    <w:noProof/>
                  </w:rPr>
                  <w:drawing>
                    <wp:inline distT="0" distB="0" distL="0" distR="0" wp14:anchorId="3E372A4F" wp14:editId="655EEFD7">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6"/>
    </w:tbl>
    <w:p w14:paraId="6005E220" w14:textId="77777777" w:rsidR="00201AF6" w:rsidRDefault="00201AF6" w:rsidP="000E7683">
      <w:pPr>
        <w:rPr>
          <w:lang w:eastAsia="en-US"/>
        </w:rPr>
      </w:pPr>
    </w:p>
    <w:p w14:paraId="5CC0C1C9" w14:textId="77777777" w:rsidR="00A513AA" w:rsidRDefault="00A513AA" w:rsidP="00F1078E">
      <w:pPr>
        <w:spacing w:before="0" w:after="0" w:line="240" w:lineRule="auto"/>
        <w:rPr>
          <w:lang w:eastAsia="en-US"/>
        </w:rPr>
      </w:pPr>
    </w:p>
    <w:sectPr w:rsidR="00A513AA" w:rsidSect="0007270D">
      <w:footerReference w:type="default" r:id="rId19"/>
      <w:headerReference w:type="first" r:id="rId20"/>
      <w:footerReference w:type="first" r:id="rId21"/>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6C7D" w14:textId="77777777" w:rsidR="00370096" w:rsidRDefault="00370096" w:rsidP="00225769">
      <w:pPr>
        <w:spacing w:after="0" w:line="240" w:lineRule="auto"/>
      </w:pPr>
      <w:r>
        <w:separator/>
      </w:r>
    </w:p>
    <w:p w14:paraId="1001F0F2" w14:textId="77777777" w:rsidR="00370096" w:rsidRDefault="00370096"/>
    <w:p w14:paraId="35853F38" w14:textId="77777777" w:rsidR="00370096" w:rsidRDefault="00370096"/>
    <w:p w14:paraId="53D70FE0" w14:textId="77777777" w:rsidR="00370096" w:rsidRDefault="00370096"/>
    <w:p w14:paraId="7C88D79E" w14:textId="77777777" w:rsidR="00370096" w:rsidRDefault="00370096"/>
    <w:p w14:paraId="28C4C109" w14:textId="77777777" w:rsidR="00370096" w:rsidRDefault="00370096"/>
    <w:p w14:paraId="1F2E3AD5" w14:textId="77777777" w:rsidR="00370096" w:rsidRDefault="00370096"/>
  </w:endnote>
  <w:endnote w:type="continuationSeparator" w:id="0">
    <w:p w14:paraId="7D1CA5E8" w14:textId="77777777" w:rsidR="00370096" w:rsidRDefault="00370096" w:rsidP="00225769">
      <w:pPr>
        <w:spacing w:after="0" w:line="240" w:lineRule="auto"/>
      </w:pPr>
      <w:r>
        <w:continuationSeparator/>
      </w:r>
    </w:p>
    <w:p w14:paraId="4F15B290" w14:textId="77777777" w:rsidR="00370096" w:rsidRDefault="00370096"/>
    <w:p w14:paraId="0E700CC4" w14:textId="77777777" w:rsidR="00370096" w:rsidRDefault="00370096"/>
    <w:p w14:paraId="7BA6757E" w14:textId="77777777" w:rsidR="00370096" w:rsidRDefault="00370096"/>
    <w:p w14:paraId="3BF66F1D" w14:textId="77777777" w:rsidR="00370096" w:rsidRDefault="00370096"/>
    <w:p w14:paraId="78118D9D" w14:textId="77777777" w:rsidR="00370096" w:rsidRDefault="00370096"/>
    <w:p w14:paraId="5472B752" w14:textId="77777777" w:rsidR="00370096" w:rsidRDefault="00370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416F50EC" w14:textId="77777777" w:rsidTr="003B0E72">
      <w:trPr>
        <w:jc w:val="center"/>
      </w:trPr>
      <w:tc>
        <w:tcPr>
          <w:tcW w:w="1515" w:type="dxa"/>
        </w:tcPr>
        <w:p w14:paraId="37A24CC8"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68685CA9"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06B7AE98"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4FB19F9C"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6C450BD2"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2FE36390"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4042215E" w14:textId="77777777" w:rsidTr="003B0E72">
      <w:trPr>
        <w:jc w:val="center"/>
      </w:trPr>
      <w:tc>
        <w:tcPr>
          <w:tcW w:w="1515" w:type="dxa"/>
        </w:tcPr>
        <w:p w14:paraId="66803DC1" w14:textId="3158D69C" w:rsidR="00481A6C" w:rsidRPr="00954F7B" w:rsidRDefault="00FF62B6"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640</w:t>
          </w:r>
        </w:p>
      </w:tc>
      <w:tc>
        <w:tcPr>
          <w:tcW w:w="965" w:type="dxa"/>
        </w:tcPr>
        <w:p w14:paraId="60CE1504" w14:textId="548CE351" w:rsidR="00481A6C" w:rsidRPr="00954F7B" w:rsidRDefault="00FF62B6" w:rsidP="00481A6C">
          <w:pPr>
            <w:pStyle w:val="Footer"/>
            <w:jc w:val="center"/>
            <w:rPr>
              <w:bCs/>
              <w:iCs/>
              <w:sz w:val="20"/>
              <w:szCs w:val="20"/>
            </w:rPr>
          </w:pPr>
          <w:r>
            <w:rPr>
              <w:bCs/>
              <w:iCs/>
              <w:sz w:val="20"/>
              <w:szCs w:val="20"/>
            </w:rPr>
            <w:t>1</w:t>
          </w:r>
        </w:p>
      </w:tc>
      <w:tc>
        <w:tcPr>
          <w:tcW w:w="1552" w:type="dxa"/>
        </w:tcPr>
        <w:p w14:paraId="5D09169D" w14:textId="3B8AA38D" w:rsidR="00481A6C" w:rsidRPr="00954F7B" w:rsidRDefault="00FF62B6" w:rsidP="00481A6C">
          <w:pPr>
            <w:pStyle w:val="Footer"/>
            <w:jc w:val="center"/>
            <w:rPr>
              <w:bCs/>
              <w:iCs/>
              <w:sz w:val="20"/>
              <w:szCs w:val="20"/>
            </w:rPr>
          </w:pPr>
          <w:r>
            <w:rPr>
              <w:bCs/>
              <w:iCs/>
              <w:sz w:val="20"/>
              <w:szCs w:val="20"/>
            </w:rPr>
            <w:t>23</w:t>
          </w:r>
          <w:r w:rsidR="00481A6C" w:rsidRPr="00954F7B">
            <w:rPr>
              <w:bCs/>
              <w:iCs/>
              <w:sz w:val="20"/>
              <w:szCs w:val="20"/>
            </w:rPr>
            <w:t>/</w:t>
          </w:r>
          <w:r>
            <w:rPr>
              <w:bCs/>
              <w:iCs/>
              <w:sz w:val="20"/>
              <w:szCs w:val="20"/>
            </w:rPr>
            <w:t>12</w:t>
          </w:r>
          <w:r w:rsidR="00481A6C" w:rsidRPr="00954F7B">
            <w:rPr>
              <w:bCs/>
              <w:iCs/>
              <w:sz w:val="20"/>
              <w:szCs w:val="20"/>
            </w:rPr>
            <w:t>/</w:t>
          </w:r>
          <w:r>
            <w:rPr>
              <w:bCs/>
              <w:iCs/>
              <w:sz w:val="20"/>
              <w:szCs w:val="20"/>
            </w:rPr>
            <w:t>2024</w:t>
          </w:r>
        </w:p>
      </w:tc>
      <w:tc>
        <w:tcPr>
          <w:tcW w:w="1456" w:type="dxa"/>
        </w:tcPr>
        <w:p w14:paraId="40B56EE9" w14:textId="06534293" w:rsidR="00481A6C" w:rsidRPr="00954F7B" w:rsidRDefault="00FF62B6"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01</w:t>
          </w:r>
          <w:r w:rsidR="00481A6C" w:rsidRPr="00954F7B">
            <w:rPr>
              <w:bCs/>
              <w:iCs/>
              <w:sz w:val="20"/>
              <w:szCs w:val="20"/>
            </w:rPr>
            <w:t>/</w:t>
          </w:r>
          <w:r>
            <w:rPr>
              <w:bCs/>
              <w:iCs/>
              <w:sz w:val="20"/>
              <w:szCs w:val="20"/>
            </w:rPr>
            <w:t>2029</w:t>
          </w:r>
        </w:p>
      </w:tc>
      <w:tc>
        <w:tcPr>
          <w:tcW w:w="1746" w:type="dxa"/>
        </w:tcPr>
        <w:p w14:paraId="0B6CAD60" w14:textId="16871640" w:rsidR="00481A6C" w:rsidRPr="00954F7B" w:rsidRDefault="00FF62B6" w:rsidP="00481A6C">
          <w:pPr>
            <w:pStyle w:val="Footer"/>
            <w:jc w:val="center"/>
            <w:rPr>
              <w:bCs/>
              <w:iCs/>
              <w:sz w:val="20"/>
              <w:szCs w:val="20"/>
            </w:rPr>
          </w:pPr>
          <w:r>
            <w:rPr>
              <w:bCs/>
              <w:iCs/>
              <w:sz w:val="20"/>
              <w:szCs w:val="20"/>
            </w:rPr>
            <w:t>Medical Services - Pharmacy</w:t>
          </w:r>
        </w:p>
      </w:tc>
      <w:tc>
        <w:tcPr>
          <w:tcW w:w="1836" w:type="dxa"/>
        </w:tcPr>
        <w:p w14:paraId="6343EF59"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4406EC8A"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7C728F91" w14:textId="77777777" w:rsidTr="008E1ED9">
      <w:trPr>
        <w:jc w:val="center"/>
      </w:trPr>
      <w:tc>
        <w:tcPr>
          <w:tcW w:w="1515" w:type="dxa"/>
        </w:tcPr>
        <w:p w14:paraId="21B08809"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0C5F95CB"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4A023C07"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52C5A39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0322E4C1"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6CAE795B"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2801AF26" w14:textId="77777777" w:rsidTr="008E1ED9">
      <w:trPr>
        <w:jc w:val="center"/>
      </w:trPr>
      <w:tc>
        <w:tcPr>
          <w:tcW w:w="1515" w:type="dxa"/>
        </w:tcPr>
        <w:p w14:paraId="51FABA04" w14:textId="6C7518A0" w:rsidR="008A3DD8" w:rsidRPr="00954F7B" w:rsidRDefault="00FF62B6"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640</w:t>
          </w:r>
        </w:p>
      </w:tc>
      <w:tc>
        <w:tcPr>
          <w:tcW w:w="965" w:type="dxa"/>
        </w:tcPr>
        <w:p w14:paraId="1ABF0D89" w14:textId="7488F213" w:rsidR="008A3DD8" w:rsidRPr="00954F7B" w:rsidRDefault="00FF62B6" w:rsidP="008A3DD8">
          <w:pPr>
            <w:pStyle w:val="Footer"/>
            <w:jc w:val="center"/>
            <w:rPr>
              <w:bCs/>
              <w:iCs/>
              <w:sz w:val="20"/>
              <w:szCs w:val="20"/>
            </w:rPr>
          </w:pPr>
          <w:r>
            <w:rPr>
              <w:bCs/>
              <w:iCs/>
              <w:sz w:val="20"/>
              <w:szCs w:val="20"/>
            </w:rPr>
            <w:t>1</w:t>
          </w:r>
        </w:p>
      </w:tc>
      <w:tc>
        <w:tcPr>
          <w:tcW w:w="1552" w:type="dxa"/>
        </w:tcPr>
        <w:p w14:paraId="2E7711B2" w14:textId="507B537C" w:rsidR="008A3DD8" w:rsidRPr="00954F7B" w:rsidRDefault="00FF62B6" w:rsidP="008A3DD8">
          <w:pPr>
            <w:pStyle w:val="Footer"/>
            <w:jc w:val="center"/>
            <w:rPr>
              <w:bCs/>
              <w:iCs/>
              <w:sz w:val="20"/>
              <w:szCs w:val="20"/>
            </w:rPr>
          </w:pPr>
          <w:r>
            <w:rPr>
              <w:bCs/>
              <w:iCs/>
              <w:sz w:val="20"/>
              <w:szCs w:val="20"/>
            </w:rPr>
            <w:t>23</w:t>
          </w:r>
          <w:r w:rsidR="008A3DD8" w:rsidRPr="00954F7B">
            <w:rPr>
              <w:bCs/>
              <w:iCs/>
              <w:sz w:val="20"/>
              <w:szCs w:val="20"/>
            </w:rPr>
            <w:t>/</w:t>
          </w:r>
          <w:r>
            <w:rPr>
              <w:bCs/>
              <w:iCs/>
              <w:sz w:val="20"/>
              <w:szCs w:val="20"/>
            </w:rPr>
            <w:t>12</w:t>
          </w:r>
          <w:r w:rsidR="008A3DD8" w:rsidRPr="00954F7B">
            <w:rPr>
              <w:bCs/>
              <w:iCs/>
              <w:sz w:val="20"/>
              <w:szCs w:val="20"/>
            </w:rPr>
            <w:t>/</w:t>
          </w:r>
          <w:r>
            <w:rPr>
              <w:bCs/>
              <w:iCs/>
              <w:sz w:val="20"/>
              <w:szCs w:val="20"/>
            </w:rPr>
            <w:t>2024</w:t>
          </w:r>
        </w:p>
      </w:tc>
      <w:tc>
        <w:tcPr>
          <w:tcW w:w="1456" w:type="dxa"/>
        </w:tcPr>
        <w:p w14:paraId="28EE93BC" w14:textId="55424319" w:rsidR="008A3DD8" w:rsidRPr="00954F7B" w:rsidRDefault="00FF62B6"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01</w:t>
          </w:r>
          <w:r w:rsidR="008A3DD8" w:rsidRPr="00954F7B">
            <w:rPr>
              <w:bCs/>
              <w:iCs/>
              <w:sz w:val="20"/>
              <w:szCs w:val="20"/>
            </w:rPr>
            <w:t>/</w:t>
          </w:r>
          <w:r>
            <w:rPr>
              <w:bCs/>
              <w:iCs/>
              <w:sz w:val="20"/>
              <w:szCs w:val="20"/>
            </w:rPr>
            <w:t>2029</w:t>
          </w:r>
        </w:p>
      </w:tc>
      <w:tc>
        <w:tcPr>
          <w:tcW w:w="1746" w:type="dxa"/>
        </w:tcPr>
        <w:p w14:paraId="63A6645E" w14:textId="2AF40D26" w:rsidR="008A3DD8" w:rsidRPr="00954F7B" w:rsidRDefault="00FF62B6" w:rsidP="008A3DD8">
          <w:pPr>
            <w:pStyle w:val="Footer"/>
            <w:jc w:val="center"/>
            <w:rPr>
              <w:bCs/>
              <w:iCs/>
              <w:sz w:val="20"/>
              <w:szCs w:val="20"/>
            </w:rPr>
          </w:pPr>
          <w:r>
            <w:rPr>
              <w:bCs/>
              <w:iCs/>
              <w:sz w:val="20"/>
              <w:szCs w:val="20"/>
            </w:rPr>
            <w:t>Medical Services - Pharmacy</w:t>
          </w:r>
        </w:p>
      </w:tc>
      <w:tc>
        <w:tcPr>
          <w:tcW w:w="1836" w:type="dxa"/>
        </w:tcPr>
        <w:p w14:paraId="01655886"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63A90D8F"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F92A" w14:textId="77777777" w:rsidR="00370096" w:rsidRDefault="00370096" w:rsidP="009D493B">
      <w:pPr>
        <w:spacing w:after="0" w:line="240" w:lineRule="auto"/>
      </w:pPr>
      <w:r>
        <w:separator/>
      </w:r>
    </w:p>
  </w:footnote>
  <w:footnote w:type="continuationSeparator" w:id="0">
    <w:p w14:paraId="2E0F8E14" w14:textId="77777777" w:rsidR="00370096" w:rsidRDefault="00370096" w:rsidP="00A9080B">
      <w:pPr>
        <w:spacing w:after="0" w:line="240" w:lineRule="auto"/>
      </w:pPr>
      <w:r>
        <w:continuationSeparator/>
      </w:r>
    </w:p>
    <w:p w14:paraId="25CA6E22" w14:textId="77777777" w:rsidR="00370096" w:rsidRDefault="00370096"/>
    <w:p w14:paraId="61EFD229" w14:textId="77777777" w:rsidR="00370096" w:rsidRDefault="00370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ED2E" w14:textId="77777777" w:rsidR="008A3DD8" w:rsidRDefault="008A3DD8">
    <w:pPr>
      <w:pStyle w:val="Header"/>
    </w:pPr>
    <w:r w:rsidRPr="00324CF9">
      <w:rPr>
        <w:noProof/>
      </w:rPr>
      <w:drawing>
        <wp:inline distT="0" distB="0" distL="0" distR="0" wp14:anchorId="15AA5CE0" wp14:editId="43B9C874">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A6560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EB78B3"/>
    <w:multiLevelType w:val="hybridMultilevel"/>
    <w:tmpl w:val="3F725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33D3D71"/>
    <w:multiLevelType w:val="hybridMultilevel"/>
    <w:tmpl w:val="9BB63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7"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28DF28AE"/>
    <w:multiLevelType w:val="hybridMultilevel"/>
    <w:tmpl w:val="21E0D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271FE1"/>
    <w:multiLevelType w:val="hybridMultilevel"/>
    <w:tmpl w:val="86AE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E3BCB"/>
    <w:multiLevelType w:val="hybridMultilevel"/>
    <w:tmpl w:val="2CAAE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44254F"/>
    <w:multiLevelType w:val="hybridMultilevel"/>
    <w:tmpl w:val="EEB63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9" w15:restartNumberingAfterBreak="0">
    <w:nsid w:val="580F0A75"/>
    <w:multiLevelType w:val="hybridMultilevel"/>
    <w:tmpl w:val="B442CE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E9B2271"/>
    <w:multiLevelType w:val="hybridMultilevel"/>
    <w:tmpl w:val="E1E46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DC60BD"/>
    <w:multiLevelType w:val="hybridMultilevel"/>
    <w:tmpl w:val="DAB29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E74F99"/>
    <w:multiLevelType w:val="hybridMultilevel"/>
    <w:tmpl w:val="B5308C4A"/>
    <w:lvl w:ilvl="0" w:tplc="0C090001">
      <w:start w:val="1"/>
      <w:numFmt w:val="bullet"/>
      <w:lvlText w:val=""/>
      <w:lvlJc w:val="left"/>
      <w:pPr>
        <w:ind w:left="1215" w:hanging="360"/>
      </w:pPr>
      <w:rPr>
        <w:rFonts w:ascii="Symbol" w:hAnsi="Symbol" w:hint="default"/>
      </w:rPr>
    </w:lvl>
    <w:lvl w:ilvl="1" w:tplc="0C090003" w:tentative="1">
      <w:start w:val="1"/>
      <w:numFmt w:val="bullet"/>
      <w:lvlText w:val="o"/>
      <w:lvlJc w:val="left"/>
      <w:pPr>
        <w:ind w:left="1935" w:hanging="360"/>
      </w:pPr>
      <w:rPr>
        <w:rFonts w:ascii="Courier New" w:hAnsi="Courier New" w:cs="Courier New" w:hint="default"/>
      </w:rPr>
    </w:lvl>
    <w:lvl w:ilvl="2" w:tplc="0C090005" w:tentative="1">
      <w:start w:val="1"/>
      <w:numFmt w:val="bullet"/>
      <w:lvlText w:val=""/>
      <w:lvlJc w:val="left"/>
      <w:pPr>
        <w:ind w:left="2655" w:hanging="360"/>
      </w:pPr>
      <w:rPr>
        <w:rFonts w:ascii="Wingdings" w:hAnsi="Wingdings" w:hint="default"/>
      </w:rPr>
    </w:lvl>
    <w:lvl w:ilvl="3" w:tplc="0C090001" w:tentative="1">
      <w:start w:val="1"/>
      <w:numFmt w:val="bullet"/>
      <w:lvlText w:val=""/>
      <w:lvlJc w:val="left"/>
      <w:pPr>
        <w:ind w:left="3375" w:hanging="360"/>
      </w:pPr>
      <w:rPr>
        <w:rFonts w:ascii="Symbol" w:hAnsi="Symbol" w:hint="default"/>
      </w:rPr>
    </w:lvl>
    <w:lvl w:ilvl="4" w:tplc="0C090003" w:tentative="1">
      <w:start w:val="1"/>
      <w:numFmt w:val="bullet"/>
      <w:lvlText w:val="o"/>
      <w:lvlJc w:val="left"/>
      <w:pPr>
        <w:ind w:left="4095" w:hanging="360"/>
      </w:pPr>
      <w:rPr>
        <w:rFonts w:ascii="Courier New" w:hAnsi="Courier New" w:cs="Courier New" w:hint="default"/>
      </w:rPr>
    </w:lvl>
    <w:lvl w:ilvl="5" w:tplc="0C090005" w:tentative="1">
      <w:start w:val="1"/>
      <w:numFmt w:val="bullet"/>
      <w:lvlText w:val=""/>
      <w:lvlJc w:val="left"/>
      <w:pPr>
        <w:ind w:left="4815" w:hanging="360"/>
      </w:pPr>
      <w:rPr>
        <w:rFonts w:ascii="Wingdings" w:hAnsi="Wingdings" w:hint="default"/>
      </w:rPr>
    </w:lvl>
    <w:lvl w:ilvl="6" w:tplc="0C090001" w:tentative="1">
      <w:start w:val="1"/>
      <w:numFmt w:val="bullet"/>
      <w:lvlText w:val=""/>
      <w:lvlJc w:val="left"/>
      <w:pPr>
        <w:ind w:left="5535" w:hanging="360"/>
      </w:pPr>
      <w:rPr>
        <w:rFonts w:ascii="Symbol" w:hAnsi="Symbol" w:hint="default"/>
      </w:rPr>
    </w:lvl>
    <w:lvl w:ilvl="7" w:tplc="0C090003" w:tentative="1">
      <w:start w:val="1"/>
      <w:numFmt w:val="bullet"/>
      <w:lvlText w:val="o"/>
      <w:lvlJc w:val="left"/>
      <w:pPr>
        <w:ind w:left="6255" w:hanging="360"/>
      </w:pPr>
      <w:rPr>
        <w:rFonts w:ascii="Courier New" w:hAnsi="Courier New" w:cs="Courier New" w:hint="default"/>
      </w:rPr>
    </w:lvl>
    <w:lvl w:ilvl="8" w:tplc="0C090005" w:tentative="1">
      <w:start w:val="1"/>
      <w:numFmt w:val="bullet"/>
      <w:lvlText w:val=""/>
      <w:lvlJc w:val="left"/>
      <w:pPr>
        <w:ind w:left="6975" w:hanging="360"/>
      </w:pPr>
      <w:rPr>
        <w:rFonts w:ascii="Wingdings" w:hAnsi="Wingdings" w:hint="default"/>
      </w:rPr>
    </w:lvl>
  </w:abstractNum>
  <w:abstractNum w:abstractNumId="2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6B305030"/>
    <w:multiLevelType w:val="hybridMultilevel"/>
    <w:tmpl w:val="80C6AC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B67E47"/>
    <w:multiLevelType w:val="hybridMultilevel"/>
    <w:tmpl w:val="6DA00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E16B21"/>
    <w:multiLevelType w:val="hybridMultilevel"/>
    <w:tmpl w:val="35BCE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7"/>
  </w:num>
  <w:num w:numId="2" w16cid:durableId="842209657">
    <w:abstractNumId w:val="6"/>
  </w:num>
  <w:num w:numId="3" w16cid:durableId="660542573">
    <w:abstractNumId w:val="23"/>
  </w:num>
  <w:num w:numId="4" w16cid:durableId="1971085616">
    <w:abstractNumId w:val="13"/>
  </w:num>
  <w:num w:numId="5" w16cid:durableId="252517802">
    <w:abstractNumId w:val="14"/>
  </w:num>
  <w:num w:numId="6" w16cid:durableId="420297118">
    <w:abstractNumId w:val="18"/>
  </w:num>
  <w:num w:numId="7" w16cid:durableId="353388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3"/>
    <w:lvlOverride w:ilvl="0">
      <w:startOverride w:val="1"/>
    </w:lvlOverride>
  </w:num>
  <w:num w:numId="9" w16cid:durableId="1747920389">
    <w:abstractNumId w:val="14"/>
    <w:lvlOverride w:ilvl="0">
      <w:startOverride w:val="1"/>
    </w:lvlOverride>
  </w:num>
  <w:num w:numId="10" w16cid:durableId="1001813381">
    <w:abstractNumId w:val="13"/>
    <w:lvlOverride w:ilvl="0">
      <w:startOverride w:val="1"/>
    </w:lvlOverride>
  </w:num>
  <w:num w:numId="11" w16cid:durableId="1103450744">
    <w:abstractNumId w:val="14"/>
    <w:lvlOverride w:ilvl="0">
      <w:startOverride w:val="1"/>
    </w:lvlOverride>
  </w:num>
  <w:num w:numId="12" w16cid:durableId="1549294228">
    <w:abstractNumId w:val="13"/>
    <w:lvlOverride w:ilvl="0">
      <w:startOverride w:val="1"/>
    </w:lvlOverride>
  </w:num>
  <w:num w:numId="13" w16cid:durableId="875854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4"/>
    <w:lvlOverride w:ilvl="0">
      <w:startOverride w:val="1"/>
    </w:lvlOverride>
  </w:num>
  <w:num w:numId="15" w16cid:durableId="1246453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3"/>
  </w:num>
  <w:num w:numId="17" w16cid:durableId="43412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0"/>
  </w:num>
  <w:num w:numId="19" w16cid:durableId="836698820">
    <w:abstractNumId w:val="16"/>
  </w:num>
  <w:num w:numId="20" w16cid:durableId="40280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7"/>
  </w:num>
  <w:num w:numId="22" w16cid:durableId="200242115">
    <w:abstractNumId w:val="2"/>
  </w:num>
  <w:num w:numId="23" w16cid:durableId="585068731">
    <w:abstractNumId w:val="5"/>
  </w:num>
  <w:num w:numId="24" w16cid:durableId="1431437445">
    <w:abstractNumId w:val="4"/>
  </w:num>
  <w:num w:numId="25" w16cid:durableId="507214046">
    <w:abstractNumId w:val="12"/>
  </w:num>
  <w:num w:numId="26" w16cid:durableId="913591473">
    <w:abstractNumId w:val="7"/>
  </w:num>
  <w:num w:numId="27" w16cid:durableId="977806464">
    <w:abstractNumId w:val="0"/>
  </w:num>
  <w:num w:numId="28" w16cid:durableId="1541555087">
    <w:abstractNumId w:val="3"/>
  </w:num>
  <w:num w:numId="29" w16cid:durableId="1495030100">
    <w:abstractNumId w:val="26"/>
  </w:num>
  <w:num w:numId="30" w16cid:durableId="1860268181">
    <w:abstractNumId w:val="25"/>
  </w:num>
  <w:num w:numId="31" w16cid:durableId="921261974">
    <w:abstractNumId w:val="8"/>
  </w:num>
  <w:num w:numId="32" w16cid:durableId="291251177">
    <w:abstractNumId w:val="11"/>
  </w:num>
  <w:num w:numId="33" w16cid:durableId="1054811452">
    <w:abstractNumId w:val="1"/>
  </w:num>
  <w:num w:numId="34" w16cid:durableId="2118866667">
    <w:abstractNumId w:val="19"/>
  </w:num>
  <w:num w:numId="35" w16cid:durableId="1306012953">
    <w:abstractNumId w:val="24"/>
  </w:num>
  <w:num w:numId="36" w16cid:durableId="111022533">
    <w:abstractNumId w:val="20"/>
  </w:num>
  <w:num w:numId="37" w16cid:durableId="1822038433">
    <w:abstractNumId w:val="21"/>
  </w:num>
  <w:num w:numId="38" w16cid:durableId="539825460">
    <w:abstractNumId w:val="9"/>
  </w:num>
  <w:num w:numId="39" w16cid:durableId="1192300102">
    <w:abstractNumId w:val="15"/>
  </w:num>
  <w:num w:numId="40" w16cid:durableId="1076049418">
    <w:abstractNumId w:val="22"/>
  </w:num>
  <w:num w:numId="41" w16cid:durableId="1861818835">
    <w:abstractNumId w:val="0"/>
  </w:num>
  <w:num w:numId="42" w16cid:durableId="13527009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96"/>
    <w:rsid w:val="00000822"/>
    <w:rsid w:val="00003728"/>
    <w:rsid w:val="00004B91"/>
    <w:rsid w:val="00006344"/>
    <w:rsid w:val="000068B9"/>
    <w:rsid w:val="000077E2"/>
    <w:rsid w:val="000115AB"/>
    <w:rsid w:val="00012DA7"/>
    <w:rsid w:val="00014646"/>
    <w:rsid w:val="0001473F"/>
    <w:rsid w:val="00014D0A"/>
    <w:rsid w:val="00015018"/>
    <w:rsid w:val="000246D6"/>
    <w:rsid w:val="00025C12"/>
    <w:rsid w:val="0002714D"/>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4234"/>
    <w:rsid w:val="00067C2F"/>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3B45"/>
    <w:rsid w:val="000C48B1"/>
    <w:rsid w:val="000C57C6"/>
    <w:rsid w:val="000C76AA"/>
    <w:rsid w:val="000D0A42"/>
    <w:rsid w:val="000D1F50"/>
    <w:rsid w:val="000D2DEB"/>
    <w:rsid w:val="000D6CDE"/>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0FBA"/>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7DC"/>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2801"/>
    <w:rsid w:val="001B3430"/>
    <w:rsid w:val="001B49D6"/>
    <w:rsid w:val="001B7E7F"/>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085C"/>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15DEB"/>
    <w:rsid w:val="0022138F"/>
    <w:rsid w:val="002250EA"/>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67796"/>
    <w:rsid w:val="002700D3"/>
    <w:rsid w:val="0027262B"/>
    <w:rsid w:val="00274308"/>
    <w:rsid w:val="00280051"/>
    <w:rsid w:val="00280C5D"/>
    <w:rsid w:val="00281798"/>
    <w:rsid w:val="00281830"/>
    <w:rsid w:val="002827C4"/>
    <w:rsid w:val="00284D13"/>
    <w:rsid w:val="00291E86"/>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4030"/>
    <w:rsid w:val="002C5025"/>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577D4"/>
    <w:rsid w:val="003632FE"/>
    <w:rsid w:val="00363564"/>
    <w:rsid w:val="0036465D"/>
    <w:rsid w:val="00370096"/>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3784"/>
    <w:rsid w:val="003A40A7"/>
    <w:rsid w:val="003A55FF"/>
    <w:rsid w:val="003A5ADA"/>
    <w:rsid w:val="003A6511"/>
    <w:rsid w:val="003B28A5"/>
    <w:rsid w:val="003B3F9A"/>
    <w:rsid w:val="003B57A1"/>
    <w:rsid w:val="003B661D"/>
    <w:rsid w:val="003B720D"/>
    <w:rsid w:val="003B760C"/>
    <w:rsid w:val="003C218A"/>
    <w:rsid w:val="003C4430"/>
    <w:rsid w:val="003C59FD"/>
    <w:rsid w:val="003C5F3E"/>
    <w:rsid w:val="003C7810"/>
    <w:rsid w:val="003D10DD"/>
    <w:rsid w:val="003D1C0C"/>
    <w:rsid w:val="003D3B16"/>
    <w:rsid w:val="003D60E0"/>
    <w:rsid w:val="003D709B"/>
    <w:rsid w:val="003D7463"/>
    <w:rsid w:val="003E0103"/>
    <w:rsid w:val="003E0A22"/>
    <w:rsid w:val="003E3917"/>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2BF5"/>
    <w:rsid w:val="004444EE"/>
    <w:rsid w:val="0044611A"/>
    <w:rsid w:val="004524CF"/>
    <w:rsid w:val="00452582"/>
    <w:rsid w:val="00453CAB"/>
    <w:rsid w:val="00454812"/>
    <w:rsid w:val="004549FE"/>
    <w:rsid w:val="00454D38"/>
    <w:rsid w:val="00455C81"/>
    <w:rsid w:val="00457272"/>
    <w:rsid w:val="00457D10"/>
    <w:rsid w:val="00457DCC"/>
    <w:rsid w:val="00461A18"/>
    <w:rsid w:val="00462060"/>
    <w:rsid w:val="0046344E"/>
    <w:rsid w:val="00463C1A"/>
    <w:rsid w:val="00463EEC"/>
    <w:rsid w:val="004640FF"/>
    <w:rsid w:val="00465490"/>
    <w:rsid w:val="00473FD3"/>
    <w:rsid w:val="00474746"/>
    <w:rsid w:val="00474A6A"/>
    <w:rsid w:val="00475AAB"/>
    <w:rsid w:val="00476EF0"/>
    <w:rsid w:val="00477432"/>
    <w:rsid w:val="00480537"/>
    <w:rsid w:val="00480DA2"/>
    <w:rsid w:val="00481A6C"/>
    <w:rsid w:val="0048389D"/>
    <w:rsid w:val="004839DB"/>
    <w:rsid w:val="00483D3B"/>
    <w:rsid w:val="00486165"/>
    <w:rsid w:val="0049014C"/>
    <w:rsid w:val="00492356"/>
    <w:rsid w:val="00494544"/>
    <w:rsid w:val="004957A2"/>
    <w:rsid w:val="004A020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1E80"/>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6169"/>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189"/>
    <w:rsid w:val="005B194A"/>
    <w:rsid w:val="005B234E"/>
    <w:rsid w:val="005B3D8A"/>
    <w:rsid w:val="005B3EC2"/>
    <w:rsid w:val="005C1D68"/>
    <w:rsid w:val="005C58FA"/>
    <w:rsid w:val="005C5F49"/>
    <w:rsid w:val="005C71BC"/>
    <w:rsid w:val="005D2629"/>
    <w:rsid w:val="005D4A78"/>
    <w:rsid w:val="005D54F1"/>
    <w:rsid w:val="005D5820"/>
    <w:rsid w:val="005E03EB"/>
    <w:rsid w:val="005E05F4"/>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388D"/>
    <w:rsid w:val="006A0160"/>
    <w:rsid w:val="006A31AB"/>
    <w:rsid w:val="006A5215"/>
    <w:rsid w:val="006B18B2"/>
    <w:rsid w:val="006B3640"/>
    <w:rsid w:val="006B4623"/>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4CC9"/>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2E"/>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0E1"/>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20E8"/>
    <w:rsid w:val="007E4E9A"/>
    <w:rsid w:val="007E4FD3"/>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16EE"/>
    <w:rsid w:val="008248D1"/>
    <w:rsid w:val="0082586A"/>
    <w:rsid w:val="008261B4"/>
    <w:rsid w:val="00827EDE"/>
    <w:rsid w:val="00832EAB"/>
    <w:rsid w:val="008358B4"/>
    <w:rsid w:val="00842EF4"/>
    <w:rsid w:val="00843D15"/>
    <w:rsid w:val="00845AA0"/>
    <w:rsid w:val="008510FF"/>
    <w:rsid w:val="008530BE"/>
    <w:rsid w:val="008540FA"/>
    <w:rsid w:val="008606A0"/>
    <w:rsid w:val="00861E1B"/>
    <w:rsid w:val="00863446"/>
    <w:rsid w:val="00863E4E"/>
    <w:rsid w:val="008671B6"/>
    <w:rsid w:val="00867895"/>
    <w:rsid w:val="00875FE9"/>
    <w:rsid w:val="0087684F"/>
    <w:rsid w:val="00876CAC"/>
    <w:rsid w:val="0088531F"/>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54B"/>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B6AAB"/>
    <w:rsid w:val="009C11CF"/>
    <w:rsid w:val="009C13FA"/>
    <w:rsid w:val="009C2AED"/>
    <w:rsid w:val="009C3490"/>
    <w:rsid w:val="009C3BB0"/>
    <w:rsid w:val="009C575D"/>
    <w:rsid w:val="009C72D3"/>
    <w:rsid w:val="009D0A49"/>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3D54"/>
    <w:rsid w:val="00A14311"/>
    <w:rsid w:val="00A1579B"/>
    <w:rsid w:val="00A20CEA"/>
    <w:rsid w:val="00A24C42"/>
    <w:rsid w:val="00A2629A"/>
    <w:rsid w:val="00A26F1E"/>
    <w:rsid w:val="00A272D4"/>
    <w:rsid w:val="00A2737A"/>
    <w:rsid w:val="00A303C6"/>
    <w:rsid w:val="00A3147F"/>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74C17"/>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17798"/>
    <w:rsid w:val="00C202F8"/>
    <w:rsid w:val="00C20D92"/>
    <w:rsid w:val="00C221C1"/>
    <w:rsid w:val="00C2329F"/>
    <w:rsid w:val="00C24670"/>
    <w:rsid w:val="00C247EA"/>
    <w:rsid w:val="00C25557"/>
    <w:rsid w:val="00C32FD3"/>
    <w:rsid w:val="00C3347F"/>
    <w:rsid w:val="00C338D7"/>
    <w:rsid w:val="00C33B14"/>
    <w:rsid w:val="00C34A10"/>
    <w:rsid w:val="00C34F92"/>
    <w:rsid w:val="00C36B93"/>
    <w:rsid w:val="00C36F3E"/>
    <w:rsid w:val="00C37A4C"/>
    <w:rsid w:val="00C37C8A"/>
    <w:rsid w:val="00C40538"/>
    <w:rsid w:val="00C43EF4"/>
    <w:rsid w:val="00C4612C"/>
    <w:rsid w:val="00C47732"/>
    <w:rsid w:val="00C50963"/>
    <w:rsid w:val="00C50BD6"/>
    <w:rsid w:val="00C50FA2"/>
    <w:rsid w:val="00C51E26"/>
    <w:rsid w:val="00C54D16"/>
    <w:rsid w:val="00C54E4F"/>
    <w:rsid w:val="00C55135"/>
    <w:rsid w:val="00C57A55"/>
    <w:rsid w:val="00C62A0C"/>
    <w:rsid w:val="00C635E2"/>
    <w:rsid w:val="00C704CF"/>
    <w:rsid w:val="00C70BD7"/>
    <w:rsid w:val="00C724D0"/>
    <w:rsid w:val="00C72507"/>
    <w:rsid w:val="00C74397"/>
    <w:rsid w:val="00C74A04"/>
    <w:rsid w:val="00C76E2D"/>
    <w:rsid w:val="00C76FFF"/>
    <w:rsid w:val="00C77386"/>
    <w:rsid w:val="00C80421"/>
    <w:rsid w:val="00C818BB"/>
    <w:rsid w:val="00C81DFC"/>
    <w:rsid w:val="00C82214"/>
    <w:rsid w:val="00C84E28"/>
    <w:rsid w:val="00C84F08"/>
    <w:rsid w:val="00C87118"/>
    <w:rsid w:val="00C90647"/>
    <w:rsid w:val="00C91310"/>
    <w:rsid w:val="00CA0192"/>
    <w:rsid w:val="00CA43F1"/>
    <w:rsid w:val="00CA4FDE"/>
    <w:rsid w:val="00CA70E7"/>
    <w:rsid w:val="00CB228A"/>
    <w:rsid w:val="00CB2E17"/>
    <w:rsid w:val="00CB3056"/>
    <w:rsid w:val="00CB3987"/>
    <w:rsid w:val="00CB7E08"/>
    <w:rsid w:val="00CC4F4F"/>
    <w:rsid w:val="00CC5AD8"/>
    <w:rsid w:val="00CD434F"/>
    <w:rsid w:val="00CE1D90"/>
    <w:rsid w:val="00CE2446"/>
    <w:rsid w:val="00CE25AF"/>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09A1"/>
    <w:rsid w:val="00D62793"/>
    <w:rsid w:val="00D627BE"/>
    <w:rsid w:val="00D6578B"/>
    <w:rsid w:val="00D65905"/>
    <w:rsid w:val="00D6776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C2409"/>
    <w:rsid w:val="00DD4464"/>
    <w:rsid w:val="00DD6074"/>
    <w:rsid w:val="00DD693A"/>
    <w:rsid w:val="00DE125D"/>
    <w:rsid w:val="00DE5620"/>
    <w:rsid w:val="00DE5C6B"/>
    <w:rsid w:val="00DE6056"/>
    <w:rsid w:val="00DE6090"/>
    <w:rsid w:val="00DF1CBC"/>
    <w:rsid w:val="00DF3EFE"/>
    <w:rsid w:val="00E02685"/>
    <w:rsid w:val="00E0642F"/>
    <w:rsid w:val="00E104DF"/>
    <w:rsid w:val="00E1738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5C97"/>
    <w:rsid w:val="00EA7057"/>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78E"/>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0915"/>
    <w:rsid w:val="00F41308"/>
    <w:rsid w:val="00F41387"/>
    <w:rsid w:val="00F423AB"/>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AF1"/>
    <w:rsid w:val="00F86E9A"/>
    <w:rsid w:val="00F879C4"/>
    <w:rsid w:val="00F87D53"/>
    <w:rsid w:val="00F9196B"/>
    <w:rsid w:val="00F92294"/>
    <w:rsid w:val="00F942C6"/>
    <w:rsid w:val="00F94451"/>
    <w:rsid w:val="00F9448A"/>
    <w:rsid w:val="00F947D6"/>
    <w:rsid w:val="00F94CDC"/>
    <w:rsid w:val="00F9579E"/>
    <w:rsid w:val="00F961BE"/>
    <w:rsid w:val="00FA029F"/>
    <w:rsid w:val="00FA16AF"/>
    <w:rsid w:val="00FA39B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BC0"/>
    <w:rsid w:val="00FF0FE9"/>
    <w:rsid w:val="00FF248A"/>
    <w:rsid w:val="00FF3F96"/>
    <w:rsid w:val="00FF55B2"/>
    <w:rsid w:val="00FF62B6"/>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7F7BA598"/>
  <w15:docId w15:val="{2146B54C-74FF-4F25-9868-97F8952A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qFormat="1"/>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8671B6"/>
    <w:pPr>
      <w:numPr>
        <w:numId w:val="27"/>
      </w:numPr>
      <w:spacing w:before="0" w:after="0" w:line="240" w:lineRule="auto"/>
    </w:pPr>
    <w:rPr>
      <w:rFonts w:ascii="Calibri" w:eastAsia="Times New Roman" w:hAnsi="Calibri" w:cs="Times New Roman"/>
      <w:color w:val="auto"/>
      <w:szCs w:val="20"/>
      <w:lang w:eastAsia="en-US"/>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8671B6"/>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8671B6"/>
    <w:rPr>
      <w:rFonts w:ascii="Calibri" w:eastAsia="Times New Roman" w:hAnsi="Calibri" w:cs="Times New Roman"/>
      <w:color w:val="auto"/>
      <w:szCs w:val="20"/>
      <w:lang w:eastAsia="en-US"/>
    </w:rPr>
  </w:style>
  <w:style w:type="character" w:styleId="IntenseReference">
    <w:name w:val="Intense Reference"/>
    <w:uiPriority w:val="32"/>
    <w:qFormat/>
    <w:locked/>
    <w:rsid w:val="00D67765"/>
    <w:rPr>
      <w:b/>
      <w:bCs/>
      <w:i/>
      <w:iCs w:val="0"/>
      <w:smallCaps/>
      <w:strike w:val="0"/>
      <w:dstrike w:val="0"/>
      <w:color w:val="C0504D"/>
      <w:spacing w:val="5"/>
      <w:u w:val="none"/>
      <w:effect w:val="none"/>
    </w:rPr>
  </w:style>
  <w:style w:type="paragraph" w:customStyle="1" w:styleId="paragraph">
    <w:name w:val="paragraph"/>
    <w:basedOn w:val="Normal"/>
    <w:rsid w:val="00D67765"/>
    <w:pPr>
      <w:spacing w:before="0" w:after="0" w:line="240" w:lineRule="auto"/>
    </w:pPr>
    <w:rPr>
      <w:rFonts w:ascii="Times New Roman" w:eastAsia="Times New Roman" w:hAnsi="Times New Roman" w:cs="Times New Roman"/>
      <w:color w:val="auto"/>
    </w:rPr>
  </w:style>
  <w:style w:type="character" w:customStyle="1" w:styleId="normaltextrun1">
    <w:name w:val="normaltextrun1"/>
    <w:basedOn w:val="DefaultParagraphFont"/>
    <w:rsid w:val="00D67765"/>
  </w:style>
  <w:style w:type="character" w:customStyle="1" w:styleId="eop">
    <w:name w:val="eop"/>
    <w:basedOn w:val="DefaultParagraphFont"/>
    <w:rsid w:val="00D67765"/>
  </w:style>
  <w:style w:type="character" w:customStyle="1" w:styleId="cf01">
    <w:name w:val="cf01"/>
    <w:basedOn w:val="DefaultParagraphFont"/>
    <w:rsid w:val="00E1738F"/>
    <w:rPr>
      <w:rFonts w:ascii="Segoe UI" w:hAnsi="Segoe UI" w:cs="Segoe UI" w:hint="default"/>
      <w:sz w:val="18"/>
      <w:szCs w:val="18"/>
    </w:rPr>
  </w:style>
  <w:style w:type="character" w:customStyle="1" w:styleId="cf11">
    <w:name w:val="cf11"/>
    <w:basedOn w:val="DefaultParagraphFont"/>
    <w:rsid w:val="00E1738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hrmeducation.health.gov.au/course/details/anticoagulants" TargetMode="External"/><Relationship Id="rId17" Type="http://schemas.openxmlformats.org/officeDocument/2006/relationships/hyperlink" Target="https://www.canberrahealthservices.act.gov.au/accessibility"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meducation.health.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Q:\TCH\tchgeneric\Pharmacy\Quality%20Use%20of%20Medicines\Medication%20Safety\Policy%20work\High%20risk%20medicines\Heparin%20and%20other%20Anticoagulants\2024%20review%20Heparin%20and%20other%20anticoagulants\Heparin%20and%20other%20anticoagulants%20(MSC%20Review).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7ADCFF6B74EACB6DDD0056290B7AF"/>
        <w:category>
          <w:name w:val="General"/>
          <w:gallery w:val="placeholder"/>
        </w:category>
        <w:types>
          <w:type w:val="bbPlcHdr"/>
        </w:types>
        <w:behaviors>
          <w:behavior w:val="content"/>
        </w:behaviors>
        <w:guid w:val="{C2746237-282A-4C7E-A885-8C19C9D8C573}"/>
      </w:docPartPr>
      <w:docPartBody>
        <w:p w:rsidR="00C947BF" w:rsidRDefault="00C947BF">
          <w:pPr>
            <w:pStyle w:val="E0F7ADCFF6B74EACB6DDD0056290B7AF"/>
          </w:pPr>
          <w:r>
            <w:rPr>
              <w:noProof/>
              <w:sz w:val="20"/>
              <w:szCs w:val="20"/>
            </w:rPr>
            <w:drawing>
              <wp:inline distT="0" distB="0" distL="0" distR="0" wp14:anchorId="3C29BF76" wp14:editId="28A2F29A">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972D412C87894FF88B27B9FD415CCC7D"/>
        <w:category>
          <w:name w:val="General"/>
          <w:gallery w:val="placeholder"/>
        </w:category>
        <w:types>
          <w:type w:val="bbPlcHdr"/>
        </w:types>
        <w:behaviors>
          <w:behavior w:val="content"/>
        </w:behaviors>
        <w:guid w:val="{7DBD990B-3C7C-4784-B045-5D0CD7C03ADC}"/>
      </w:docPartPr>
      <w:docPartBody>
        <w:p w:rsidR="00C947BF" w:rsidRDefault="00C947BF">
          <w:pPr>
            <w:pStyle w:val="972D412C87894FF88B27B9FD415CCC7D"/>
          </w:pPr>
          <w:r w:rsidRPr="00EE29F8">
            <w:rPr>
              <w:rStyle w:val="PlaceholderText"/>
            </w:rPr>
            <w:t>Choose an item.</w:t>
          </w:r>
        </w:p>
      </w:docPartBody>
    </w:docPart>
    <w:docPart>
      <w:docPartPr>
        <w:name w:val="52731D4065904877AD416686F4E8E22A"/>
        <w:category>
          <w:name w:val="General"/>
          <w:gallery w:val="placeholder"/>
        </w:category>
        <w:types>
          <w:type w:val="bbPlcHdr"/>
        </w:types>
        <w:behaviors>
          <w:behavior w:val="content"/>
        </w:behaviors>
        <w:guid w:val="{36667C3C-83A3-4608-AB71-139C5738E344}"/>
      </w:docPartPr>
      <w:docPartBody>
        <w:p w:rsidR="00C947BF" w:rsidRPr="00F26C97" w:rsidRDefault="00C947BF" w:rsidP="003B0E72">
          <w:pPr>
            <w:pStyle w:val="Bottomblocktext"/>
            <w:rPr>
              <w:b/>
              <w:bCs w:val="0"/>
              <w:sz w:val="20"/>
              <w:szCs w:val="20"/>
            </w:rPr>
          </w:pPr>
          <w:r>
            <w:rPr>
              <w:b/>
              <w:bCs w:val="0"/>
              <w:noProof/>
              <w:sz w:val="20"/>
              <w:szCs w:val="20"/>
            </w:rPr>
            <w:drawing>
              <wp:inline distT="0" distB="0" distL="0" distR="0" wp14:anchorId="39D97BDD" wp14:editId="6771A925">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E72E4CF" wp14:editId="68C0900B">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C947BF" w:rsidRPr="00F26C97" w:rsidRDefault="00C947BF" w:rsidP="003B0E72">
          <w:pPr>
            <w:pStyle w:val="Bottomblocktext"/>
            <w:rPr>
              <w:b/>
              <w:bCs w:val="0"/>
              <w:sz w:val="20"/>
              <w:szCs w:val="20"/>
            </w:rPr>
          </w:pPr>
          <w:r>
            <w:rPr>
              <w:b/>
              <w:bCs w:val="0"/>
              <w:noProof/>
              <w:sz w:val="20"/>
              <w:szCs w:val="20"/>
            </w:rPr>
            <w:drawing>
              <wp:inline distT="0" distB="0" distL="0" distR="0" wp14:anchorId="3E62F4B3" wp14:editId="755256C8">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2D83C1A" wp14:editId="6C869E9D">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C947BF" w:rsidRDefault="00AD33A1" w:rsidP="003B0E72">
          <w:pPr>
            <w:pStyle w:val="Bottomblocktext"/>
            <w:rPr>
              <w:sz w:val="20"/>
              <w:szCs w:val="20"/>
            </w:rPr>
          </w:pPr>
          <w:hyperlink r:id="rId8" w:history="1">
            <w:r w:rsidR="00C947BF" w:rsidRPr="00350211">
              <w:rPr>
                <w:rStyle w:val="Hyperlink"/>
                <w:sz w:val="20"/>
                <w:szCs w:val="20"/>
              </w:rPr>
              <w:t>canberrahealthservices.act.gov.au/accessibility</w:t>
            </w:r>
          </w:hyperlink>
        </w:p>
        <w:p w:rsidR="00C947BF" w:rsidRDefault="00C947BF">
          <w:pPr>
            <w:pStyle w:val="52731D4065904877AD416686F4E8E22A"/>
          </w:pPr>
          <w:r>
            <w:rPr>
              <w:b/>
              <w:bCs/>
              <w:noProof/>
            </w:rPr>
            <w:drawing>
              <wp:inline distT="0" distB="0" distL="0" distR="0" wp14:anchorId="037FDFE7" wp14:editId="5BBD65ED">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BF"/>
    <w:rsid w:val="001F1832"/>
    <w:rsid w:val="003577D4"/>
    <w:rsid w:val="006F4CC9"/>
    <w:rsid w:val="007850E1"/>
    <w:rsid w:val="007E4FD3"/>
    <w:rsid w:val="009D0A49"/>
    <w:rsid w:val="00A3147F"/>
    <w:rsid w:val="00C947BF"/>
    <w:rsid w:val="00CC2996"/>
    <w:rsid w:val="00CE25AF"/>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7ADCFF6B74EACB6DDD0056290B7AF">
    <w:name w:val="E0F7ADCFF6B74EACB6DDD0056290B7AF"/>
  </w:style>
  <w:style w:type="character" w:styleId="PlaceholderText">
    <w:name w:val="Placeholder Text"/>
    <w:basedOn w:val="DefaultParagraphFont"/>
    <w:uiPriority w:val="99"/>
    <w:semiHidden/>
    <w:rPr>
      <w:color w:val="808080"/>
    </w:rPr>
  </w:style>
  <w:style w:type="paragraph" w:customStyle="1" w:styleId="972D412C87894FF88B27B9FD415CCC7D">
    <w:name w:val="972D412C87894FF88B27B9FD415CCC7D"/>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52731D4065904877AD416686F4E8E22A">
    <w:name w:val="52731D4065904877AD416686F4E8E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2024-12-19T13:00:00+00:00</Approval_x0020_Date>
    <Review_x0020_Date xmlns="690b2128-8961-48af-a473-22c34a9accba">2028-12-31T13:00:00+00:00</Review_x0020_Date>
    <TaxCatchAll xmlns="c0239a80-7f07-4ed7-82c3-24ad7d76ada5">
      <Value>441</Value>
      <Value>435</Value>
      <Value>434</Value>
      <Value>416</Value>
      <Value>495</Value>
      <Value>527</Value>
    </TaxCatchAll>
    <Version_x0020_Number xmlns="690b2128-8961-48af-a473-22c34a9accba">1</Version_x0020_Number>
    <Notes0 xmlns="690b2128-8961-48af-a473-22c34a9accba" xsi:nil="true"/>
    <Key_x0020_Words xmlns="690b2128-8961-48af-a473-22c34a9accba">high risk, high risk medicines, high risk medicine register, High-Risk Medicine Standards, High risk medicines standards, Heparin, rivaroxaban, Medication Administration, bivalirudin, enoxaparin, dalteparin, fragmin, clexane, apixaban, warfarin</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CHS21/616 High-Risk Medicine Standard – Heparin and other Anticoagulants</Replaces_x003a_>
    <ISD_x0020_Submitted xmlns="690b2128-8961-48af-a473-22c34a9accba">Not Required</ISD_x0020_Submitted>
    <Risk_x0020_Rating xmlns="690b2128-8961-48af-a473-22c34a9accba">Medium</Risk_x0020_Rating>
    <Description0 xmlns="690b2128-8961-48af-a473-22c34a9accba">This document outlines the minimum actions required to ensure anticoagulants are stored, prescribed, dispensed, and administered safely.</Description0>
    <Display_x0020_on_x0020_Internet xmlns="690b2128-8961-48af-a473-22c34a9accba">true</Display_x0020_on_x0020_Internet>
    <Related_x0020_Documents xmlns="690b2128-8961-48af-a473-22c34a9accba" xsi:nil="true"/>
    <Decision_x0020_Number xmlns="690b2128-8961-48af-a473-22c34a9accba">CHS24/640</Decision_x0020_Number>
    <RelatedPolicies_x002c_ProceduresGuidelines xmlns="690b2128-8961-48af-a473-22c34a9accba">
      <Value>16471</Value>
      <Value>17465</Value>
      <Value>17462</Value>
      <Value>16142</Value>
      <Value>17046</Value>
      <Value>17145</Value>
      <Value>17119</Value>
      <Value>17055</Value>
      <Value>14154</Value>
      <Value>17654</Value>
      <Value>17042</Value>
      <Value>16473</Value>
      <Value>17044</Value>
      <Value>17193</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Therapeutic Goods Act 1989 (Cth)</TermName>
          <TermId xmlns="http://schemas.microsoft.com/office/infopath/2007/PartnerControls">6f1372f5-fafb-43fa-b717-e9088c98595f</TermId>
        </TermInfo>
        <TermInfo xmlns="http://schemas.microsoft.com/office/infopath/2007/PartnerControls">
          <TermName xmlns="http://schemas.microsoft.com/office/infopath/2007/PartnerControls">Therapeutic Goods Regulations 1990 (Cth)</TermName>
          <TermId xmlns="http://schemas.microsoft.com/office/infopath/2007/PartnerControls">926af1d3-6243-45e1-a0f3-0514825b88fc</TermId>
        </TermInfo>
      </Terms>
    </k0794e393e1f41c2810d090eedba34a0>
    <New_x0020_Owner xmlns="690b2128-8961-48af-a473-22c34a9accba">Medical Services Group - Pharmacy</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F4224-05EB-49BA-B21D-5EA840DF10DD}"/>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8F479F7-317B-462B-AD66-D0950C922A81}">
  <ds:schemaRefs>
    <ds:schemaRef ds:uri="http://www.w3.org/XML/1998/namespace"/>
    <ds:schemaRef ds:uri="http://purl.org/dc/terms/"/>
    <ds:schemaRef ds:uri="http://purl.org/dc/dcmitype/"/>
    <ds:schemaRef ds:uri="f2f3a8e5-9089-4a05-a093-4c6321f79417"/>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c0239a80-7f07-4ed7-82c3-24ad7d76ada5"/>
    <ds:schemaRef ds:uri="http://schemas.microsoft.com/office/2006/metadata/propertie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Heparin and other anticoagulants (MSC Review)</Template>
  <TotalTime>4</TotalTime>
  <Pages>9</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17393</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High-Risk Medicine Standard- Heparin and other Anticoagulants</dc:title>
  <dc:creator>Bell, Debbie (Health)</dc:creator>
  <cp:lastModifiedBy>Mathew, Jerrin</cp:lastModifiedBy>
  <cp:revision>3</cp:revision>
  <cp:lastPrinted>2024-12-03T00:23:00Z</cp:lastPrinted>
  <dcterms:created xsi:type="dcterms:W3CDTF">2024-12-20T05:02:00Z</dcterms:created>
  <dcterms:modified xsi:type="dcterms:W3CDTF">2024-12-22T22:47:00Z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416;#Human Rights Act 2004 (Territory)|bbb6fb4a-2117-4ff9-8364-021a762deae2;#435;#Medicines, Poisons and Therapeutic Goods Act 2008 (Territory)|e04bb8da-bc44-4cb4-a98e-c18b8e4177ac;#441;#Medicines, Poisons and Therapeutic Goods Regulation 2008 (Territory)|d8a601e5-b818-46c5-b1f0-8bd78d448dbc;#434;#Health Practitioner Regulation National Law Act 2010 (Territory)|5cf4d844-a9cf-4787-98ba-e0d28c369acc;#495;#Therapeutic Goods Act 1989 (Cth)|6f1372f5-fafb-43fa-b717-e9088c98595f;#527;#Therapeutic Goods Regulations 1990 (Cth)|926af1d3-6243-45e1-a0f3-0514825b88fc</vt:lpwstr>
  </property>
  <property fmtid="{D5CDD505-2E9C-101B-9397-08002B2CF9AE}" pid="11" name="Related_x0020_Legislation_x0020__x0026__x0020_Guidelines">
    <vt:lpwstr>416;#Human Rights Act 2004 (Territory)|bbb6fb4a-2117-4ff9-8364-021a762deae2;#435;#Medicines, Poisons and Therapeutic Goods Act 2008 (Territory)|e04bb8da-bc44-4cb4-a98e-c18b8e4177ac;#441;#Medicines, Poisons and Therapeutic Goods Regulation 2008 (Territory)|d8a601e5-b818-46c5-b1f0-8bd78d448dbc;#434;#Health Practitioner Regulation National Law Act 2010 (Territory)|5cf4d844-a9cf-4787-98ba-e0d28c369acc;#495;#Therapeutic Goods Act 1989 (Cth)|6f1372f5-fafb-43fa-b717-e9088c98595f;#527;#Therapeutic Goods Regulations 1990 (Cth)|926af1d3-6243-45e1-a0f3-0514825b88fc</vt:lpwstr>
  </property>
</Properties>
</file>