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A84E" w14:textId="284D8955"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238C8726"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008C4BC1" w:rsidR="007B6904" w:rsidRPr="006A3770" w:rsidRDefault="00623535" w:rsidP="006A3770">
      <w:pPr>
        <w:rPr>
          <w:rFonts w:cs="Arial"/>
          <w:b/>
          <w:i/>
          <w:sz w:val="36"/>
          <w:szCs w:val="36"/>
        </w:rPr>
      </w:pPr>
      <w:r>
        <w:rPr>
          <w:rFonts w:cs="Arial"/>
          <w:b/>
          <w:sz w:val="36"/>
          <w:szCs w:val="36"/>
        </w:rPr>
        <w:t xml:space="preserve">Discharge Summary Completion – Inpatients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75775919"/>
            <w:r w:rsidRPr="00CD1C0E">
              <w:t>Contents</w:t>
            </w:r>
            <w:bookmarkEnd w:id="5"/>
            <w:bookmarkEnd w:id="6"/>
            <w:bookmarkEnd w:id="7"/>
          </w:p>
        </w:tc>
      </w:tr>
    </w:tbl>
    <w:p w14:paraId="2F51A853" w14:textId="77777777" w:rsidR="007B6904" w:rsidRDefault="007B6904" w:rsidP="007B6904"/>
    <w:p w14:paraId="0D227DB6" w14:textId="09AE14DA" w:rsidR="00547EC7"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75775919" w:history="1">
        <w:r w:rsidR="00547EC7" w:rsidRPr="00B05B79">
          <w:rPr>
            <w:rStyle w:val="Hyperlink"/>
            <w:noProof/>
          </w:rPr>
          <w:t>Contents</w:t>
        </w:r>
        <w:r w:rsidR="00547EC7">
          <w:rPr>
            <w:noProof/>
            <w:webHidden/>
          </w:rPr>
          <w:tab/>
        </w:r>
        <w:r w:rsidR="00547EC7">
          <w:rPr>
            <w:noProof/>
            <w:webHidden/>
          </w:rPr>
          <w:fldChar w:fldCharType="begin"/>
        </w:r>
        <w:r w:rsidR="00547EC7">
          <w:rPr>
            <w:noProof/>
            <w:webHidden/>
          </w:rPr>
          <w:instrText xml:space="preserve"> PAGEREF _Toc75775919 \h </w:instrText>
        </w:r>
        <w:r w:rsidR="00547EC7">
          <w:rPr>
            <w:noProof/>
            <w:webHidden/>
          </w:rPr>
        </w:r>
        <w:r w:rsidR="00547EC7">
          <w:rPr>
            <w:noProof/>
            <w:webHidden/>
          </w:rPr>
          <w:fldChar w:fldCharType="separate"/>
        </w:r>
        <w:r w:rsidR="00547EC7">
          <w:rPr>
            <w:noProof/>
            <w:webHidden/>
          </w:rPr>
          <w:t>1</w:t>
        </w:r>
        <w:r w:rsidR="00547EC7">
          <w:rPr>
            <w:noProof/>
            <w:webHidden/>
          </w:rPr>
          <w:fldChar w:fldCharType="end"/>
        </w:r>
      </w:hyperlink>
    </w:p>
    <w:p w14:paraId="7F3D7805" w14:textId="650289F4" w:rsidR="00547EC7" w:rsidRDefault="00B57C39">
      <w:pPr>
        <w:pStyle w:val="TOC1"/>
        <w:tabs>
          <w:tab w:val="right" w:leader="dot" w:pos="9060"/>
        </w:tabs>
        <w:rPr>
          <w:rFonts w:eastAsiaTheme="minorEastAsia" w:cstheme="minorBidi"/>
          <w:noProof/>
          <w:sz w:val="22"/>
          <w:szCs w:val="22"/>
          <w:lang w:eastAsia="en-AU"/>
        </w:rPr>
      </w:pPr>
      <w:hyperlink w:anchor="_Toc75775920" w:history="1">
        <w:r w:rsidR="00547EC7" w:rsidRPr="00B05B79">
          <w:rPr>
            <w:rStyle w:val="Hyperlink"/>
            <w:noProof/>
          </w:rPr>
          <w:t>Purpose</w:t>
        </w:r>
        <w:r w:rsidR="00547EC7">
          <w:rPr>
            <w:noProof/>
            <w:webHidden/>
          </w:rPr>
          <w:tab/>
        </w:r>
        <w:r w:rsidR="00547EC7">
          <w:rPr>
            <w:noProof/>
            <w:webHidden/>
          </w:rPr>
          <w:fldChar w:fldCharType="begin"/>
        </w:r>
        <w:r w:rsidR="00547EC7">
          <w:rPr>
            <w:noProof/>
            <w:webHidden/>
          </w:rPr>
          <w:instrText xml:space="preserve"> PAGEREF _Toc75775920 \h </w:instrText>
        </w:r>
        <w:r w:rsidR="00547EC7">
          <w:rPr>
            <w:noProof/>
            <w:webHidden/>
          </w:rPr>
        </w:r>
        <w:r w:rsidR="00547EC7">
          <w:rPr>
            <w:noProof/>
            <w:webHidden/>
          </w:rPr>
          <w:fldChar w:fldCharType="separate"/>
        </w:r>
        <w:r w:rsidR="00547EC7">
          <w:rPr>
            <w:noProof/>
            <w:webHidden/>
          </w:rPr>
          <w:t>2</w:t>
        </w:r>
        <w:r w:rsidR="00547EC7">
          <w:rPr>
            <w:noProof/>
            <w:webHidden/>
          </w:rPr>
          <w:fldChar w:fldCharType="end"/>
        </w:r>
      </w:hyperlink>
    </w:p>
    <w:p w14:paraId="74324DE7" w14:textId="613CB401" w:rsidR="00547EC7" w:rsidRDefault="00B57C39">
      <w:pPr>
        <w:pStyle w:val="TOC1"/>
        <w:tabs>
          <w:tab w:val="right" w:leader="dot" w:pos="9060"/>
        </w:tabs>
        <w:rPr>
          <w:rFonts w:eastAsiaTheme="minorEastAsia" w:cstheme="minorBidi"/>
          <w:noProof/>
          <w:sz w:val="22"/>
          <w:szCs w:val="22"/>
          <w:lang w:eastAsia="en-AU"/>
        </w:rPr>
      </w:pPr>
      <w:hyperlink w:anchor="_Toc75775921" w:history="1">
        <w:r w:rsidR="00547EC7" w:rsidRPr="00B05B79">
          <w:rPr>
            <w:rStyle w:val="Hyperlink"/>
            <w:noProof/>
          </w:rPr>
          <w:t>Alerts</w:t>
        </w:r>
        <w:r w:rsidR="00547EC7">
          <w:rPr>
            <w:noProof/>
            <w:webHidden/>
          </w:rPr>
          <w:tab/>
        </w:r>
        <w:r w:rsidR="00547EC7">
          <w:rPr>
            <w:noProof/>
            <w:webHidden/>
          </w:rPr>
          <w:fldChar w:fldCharType="begin"/>
        </w:r>
        <w:r w:rsidR="00547EC7">
          <w:rPr>
            <w:noProof/>
            <w:webHidden/>
          </w:rPr>
          <w:instrText xml:space="preserve"> PAGEREF _Toc75775921 \h </w:instrText>
        </w:r>
        <w:r w:rsidR="00547EC7">
          <w:rPr>
            <w:noProof/>
            <w:webHidden/>
          </w:rPr>
        </w:r>
        <w:r w:rsidR="00547EC7">
          <w:rPr>
            <w:noProof/>
            <w:webHidden/>
          </w:rPr>
          <w:fldChar w:fldCharType="separate"/>
        </w:r>
        <w:r w:rsidR="00547EC7">
          <w:rPr>
            <w:noProof/>
            <w:webHidden/>
          </w:rPr>
          <w:t>2</w:t>
        </w:r>
        <w:r w:rsidR="00547EC7">
          <w:rPr>
            <w:noProof/>
            <w:webHidden/>
          </w:rPr>
          <w:fldChar w:fldCharType="end"/>
        </w:r>
      </w:hyperlink>
    </w:p>
    <w:p w14:paraId="48E37AF2" w14:textId="022F1207" w:rsidR="00547EC7" w:rsidRDefault="00B57C39">
      <w:pPr>
        <w:pStyle w:val="TOC1"/>
        <w:tabs>
          <w:tab w:val="right" w:leader="dot" w:pos="9060"/>
        </w:tabs>
        <w:rPr>
          <w:rFonts w:eastAsiaTheme="minorEastAsia" w:cstheme="minorBidi"/>
          <w:noProof/>
          <w:sz w:val="22"/>
          <w:szCs w:val="22"/>
          <w:lang w:eastAsia="en-AU"/>
        </w:rPr>
      </w:pPr>
      <w:hyperlink w:anchor="_Toc75775922" w:history="1">
        <w:r w:rsidR="00547EC7" w:rsidRPr="00B05B79">
          <w:rPr>
            <w:rStyle w:val="Hyperlink"/>
            <w:noProof/>
          </w:rPr>
          <w:t>Scope</w:t>
        </w:r>
        <w:r w:rsidR="00547EC7">
          <w:rPr>
            <w:noProof/>
            <w:webHidden/>
          </w:rPr>
          <w:tab/>
        </w:r>
        <w:r w:rsidR="00547EC7">
          <w:rPr>
            <w:noProof/>
            <w:webHidden/>
          </w:rPr>
          <w:fldChar w:fldCharType="begin"/>
        </w:r>
        <w:r w:rsidR="00547EC7">
          <w:rPr>
            <w:noProof/>
            <w:webHidden/>
          </w:rPr>
          <w:instrText xml:space="preserve"> PAGEREF _Toc75775922 \h </w:instrText>
        </w:r>
        <w:r w:rsidR="00547EC7">
          <w:rPr>
            <w:noProof/>
            <w:webHidden/>
          </w:rPr>
        </w:r>
        <w:r w:rsidR="00547EC7">
          <w:rPr>
            <w:noProof/>
            <w:webHidden/>
          </w:rPr>
          <w:fldChar w:fldCharType="separate"/>
        </w:r>
        <w:r w:rsidR="00547EC7">
          <w:rPr>
            <w:noProof/>
            <w:webHidden/>
          </w:rPr>
          <w:t>3</w:t>
        </w:r>
        <w:r w:rsidR="00547EC7">
          <w:rPr>
            <w:noProof/>
            <w:webHidden/>
          </w:rPr>
          <w:fldChar w:fldCharType="end"/>
        </w:r>
      </w:hyperlink>
    </w:p>
    <w:p w14:paraId="59F082A2" w14:textId="1486C8AD" w:rsidR="00547EC7" w:rsidRDefault="00B57C39">
      <w:pPr>
        <w:pStyle w:val="TOC1"/>
        <w:tabs>
          <w:tab w:val="right" w:leader="dot" w:pos="9060"/>
        </w:tabs>
        <w:rPr>
          <w:rFonts w:eastAsiaTheme="minorEastAsia" w:cstheme="minorBidi"/>
          <w:noProof/>
          <w:sz w:val="22"/>
          <w:szCs w:val="22"/>
          <w:lang w:eastAsia="en-AU"/>
        </w:rPr>
      </w:pPr>
      <w:hyperlink w:anchor="_Toc75775923" w:history="1">
        <w:r w:rsidR="00547EC7" w:rsidRPr="00B05B79">
          <w:rPr>
            <w:rStyle w:val="Hyperlink"/>
            <w:noProof/>
          </w:rPr>
          <w:t xml:space="preserve">Section 1 – </w:t>
        </w:r>
        <w:r w:rsidR="00547EC7" w:rsidRPr="00B05B79">
          <w:rPr>
            <w:rStyle w:val="Hyperlink"/>
            <w:rFonts w:cs="Calibri"/>
            <w:noProof/>
          </w:rPr>
          <w:t xml:space="preserve"> Responsibility for Discharge Summary completion</w:t>
        </w:r>
        <w:r w:rsidR="00547EC7">
          <w:rPr>
            <w:noProof/>
            <w:webHidden/>
          </w:rPr>
          <w:tab/>
        </w:r>
        <w:r w:rsidR="00547EC7">
          <w:rPr>
            <w:noProof/>
            <w:webHidden/>
          </w:rPr>
          <w:fldChar w:fldCharType="begin"/>
        </w:r>
        <w:r w:rsidR="00547EC7">
          <w:rPr>
            <w:noProof/>
            <w:webHidden/>
          </w:rPr>
          <w:instrText xml:space="preserve"> PAGEREF _Toc75775923 \h </w:instrText>
        </w:r>
        <w:r w:rsidR="00547EC7">
          <w:rPr>
            <w:noProof/>
            <w:webHidden/>
          </w:rPr>
        </w:r>
        <w:r w:rsidR="00547EC7">
          <w:rPr>
            <w:noProof/>
            <w:webHidden/>
          </w:rPr>
          <w:fldChar w:fldCharType="separate"/>
        </w:r>
        <w:r w:rsidR="00547EC7">
          <w:rPr>
            <w:noProof/>
            <w:webHidden/>
          </w:rPr>
          <w:t>3</w:t>
        </w:r>
        <w:r w:rsidR="00547EC7">
          <w:rPr>
            <w:noProof/>
            <w:webHidden/>
          </w:rPr>
          <w:fldChar w:fldCharType="end"/>
        </w:r>
      </w:hyperlink>
    </w:p>
    <w:p w14:paraId="7AD07031" w14:textId="66DEC4AE" w:rsidR="00547EC7" w:rsidRDefault="00B57C39">
      <w:pPr>
        <w:pStyle w:val="TOC1"/>
        <w:tabs>
          <w:tab w:val="right" w:leader="dot" w:pos="9060"/>
        </w:tabs>
        <w:rPr>
          <w:rFonts w:eastAsiaTheme="minorEastAsia" w:cstheme="minorBidi"/>
          <w:noProof/>
          <w:sz w:val="22"/>
          <w:szCs w:val="22"/>
          <w:lang w:eastAsia="en-AU"/>
        </w:rPr>
      </w:pPr>
      <w:hyperlink w:anchor="_Toc75775924" w:history="1">
        <w:r w:rsidR="00547EC7" w:rsidRPr="00B05B79">
          <w:rPr>
            <w:rStyle w:val="Hyperlink"/>
            <w:noProof/>
          </w:rPr>
          <w:t>Section 2 – Completion Timeframes</w:t>
        </w:r>
        <w:r w:rsidR="00547EC7">
          <w:rPr>
            <w:noProof/>
            <w:webHidden/>
          </w:rPr>
          <w:tab/>
        </w:r>
        <w:r w:rsidR="00547EC7">
          <w:rPr>
            <w:noProof/>
            <w:webHidden/>
          </w:rPr>
          <w:fldChar w:fldCharType="begin"/>
        </w:r>
        <w:r w:rsidR="00547EC7">
          <w:rPr>
            <w:noProof/>
            <w:webHidden/>
          </w:rPr>
          <w:instrText xml:space="preserve"> PAGEREF _Toc75775924 \h </w:instrText>
        </w:r>
        <w:r w:rsidR="00547EC7">
          <w:rPr>
            <w:noProof/>
            <w:webHidden/>
          </w:rPr>
        </w:r>
        <w:r w:rsidR="00547EC7">
          <w:rPr>
            <w:noProof/>
            <w:webHidden/>
          </w:rPr>
          <w:fldChar w:fldCharType="separate"/>
        </w:r>
        <w:r w:rsidR="00547EC7">
          <w:rPr>
            <w:noProof/>
            <w:webHidden/>
          </w:rPr>
          <w:t>4</w:t>
        </w:r>
        <w:r w:rsidR="00547EC7">
          <w:rPr>
            <w:noProof/>
            <w:webHidden/>
          </w:rPr>
          <w:fldChar w:fldCharType="end"/>
        </w:r>
      </w:hyperlink>
    </w:p>
    <w:p w14:paraId="296D04DC" w14:textId="0D4159EE" w:rsidR="00547EC7" w:rsidRDefault="00B57C39">
      <w:pPr>
        <w:pStyle w:val="TOC1"/>
        <w:tabs>
          <w:tab w:val="right" w:leader="dot" w:pos="9060"/>
        </w:tabs>
        <w:rPr>
          <w:rFonts w:eastAsiaTheme="minorEastAsia" w:cstheme="minorBidi"/>
          <w:noProof/>
          <w:sz w:val="22"/>
          <w:szCs w:val="22"/>
          <w:lang w:eastAsia="en-AU"/>
        </w:rPr>
      </w:pPr>
      <w:hyperlink w:anchor="_Toc75775925" w:history="1">
        <w:r w:rsidR="00547EC7" w:rsidRPr="00B05B79">
          <w:rPr>
            <w:rStyle w:val="Hyperlink"/>
            <w:noProof/>
          </w:rPr>
          <w:t xml:space="preserve">Section 3 – </w:t>
        </w:r>
        <w:r w:rsidR="00547EC7" w:rsidRPr="00B05B79">
          <w:rPr>
            <w:rStyle w:val="Hyperlink"/>
            <w:rFonts w:cs="Calibri"/>
            <w:noProof/>
          </w:rPr>
          <w:t xml:space="preserve"> Completing the Discharge Summary</w:t>
        </w:r>
        <w:r w:rsidR="00547EC7">
          <w:rPr>
            <w:noProof/>
            <w:webHidden/>
          </w:rPr>
          <w:tab/>
        </w:r>
        <w:r w:rsidR="00547EC7">
          <w:rPr>
            <w:noProof/>
            <w:webHidden/>
          </w:rPr>
          <w:fldChar w:fldCharType="begin"/>
        </w:r>
        <w:r w:rsidR="00547EC7">
          <w:rPr>
            <w:noProof/>
            <w:webHidden/>
          </w:rPr>
          <w:instrText xml:space="preserve"> PAGEREF _Toc75775925 \h </w:instrText>
        </w:r>
        <w:r w:rsidR="00547EC7">
          <w:rPr>
            <w:noProof/>
            <w:webHidden/>
          </w:rPr>
        </w:r>
        <w:r w:rsidR="00547EC7">
          <w:rPr>
            <w:noProof/>
            <w:webHidden/>
          </w:rPr>
          <w:fldChar w:fldCharType="separate"/>
        </w:r>
        <w:r w:rsidR="00547EC7">
          <w:rPr>
            <w:noProof/>
            <w:webHidden/>
          </w:rPr>
          <w:t>4</w:t>
        </w:r>
        <w:r w:rsidR="00547EC7">
          <w:rPr>
            <w:noProof/>
            <w:webHidden/>
          </w:rPr>
          <w:fldChar w:fldCharType="end"/>
        </w:r>
      </w:hyperlink>
    </w:p>
    <w:p w14:paraId="5660258A" w14:textId="5D39C349" w:rsidR="00547EC7" w:rsidRDefault="00B57C39">
      <w:pPr>
        <w:pStyle w:val="TOC1"/>
        <w:tabs>
          <w:tab w:val="right" w:leader="dot" w:pos="9060"/>
        </w:tabs>
        <w:rPr>
          <w:rFonts w:eastAsiaTheme="minorEastAsia" w:cstheme="minorBidi"/>
          <w:noProof/>
          <w:sz w:val="22"/>
          <w:szCs w:val="22"/>
          <w:lang w:eastAsia="en-AU"/>
        </w:rPr>
      </w:pPr>
      <w:hyperlink w:anchor="_Toc75775926" w:history="1">
        <w:r w:rsidR="00547EC7" w:rsidRPr="00B05B79">
          <w:rPr>
            <w:rStyle w:val="Hyperlink"/>
            <w:noProof/>
          </w:rPr>
          <w:t>Section 4 – Discharge Summary Requirements</w:t>
        </w:r>
        <w:r w:rsidR="00547EC7">
          <w:rPr>
            <w:noProof/>
            <w:webHidden/>
          </w:rPr>
          <w:tab/>
        </w:r>
        <w:r w:rsidR="00547EC7">
          <w:rPr>
            <w:noProof/>
            <w:webHidden/>
          </w:rPr>
          <w:fldChar w:fldCharType="begin"/>
        </w:r>
        <w:r w:rsidR="00547EC7">
          <w:rPr>
            <w:noProof/>
            <w:webHidden/>
          </w:rPr>
          <w:instrText xml:space="preserve"> PAGEREF _Toc75775926 \h </w:instrText>
        </w:r>
        <w:r w:rsidR="00547EC7">
          <w:rPr>
            <w:noProof/>
            <w:webHidden/>
          </w:rPr>
        </w:r>
        <w:r w:rsidR="00547EC7">
          <w:rPr>
            <w:noProof/>
            <w:webHidden/>
          </w:rPr>
          <w:fldChar w:fldCharType="separate"/>
        </w:r>
        <w:r w:rsidR="00547EC7">
          <w:rPr>
            <w:noProof/>
            <w:webHidden/>
          </w:rPr>
          <w:t>5</w:t>
        </w:r>
        <w:r w:rsidR="00547EC7">
          <w:rPr>
            <w:noProof/>
            <w:webHidden/>
          </w:rPr>
          <w:fldChar w:fldCharType="end"/>
        </w:r>
      </w:hyperlink>
    </w:p>
    <w:p w14:paraId="418D131F" w14:textId="6651648D" w:rsidR="00547EC7" w:rsidRDefault="00B57C39">
      <w:pPr>
        <w:pStyle w:val="TOC1"/>
        <w:tabs>
          <w:tab w:val="right" w:leader="dot" w:pos="9060"/>
        </w:tabs>
        <w:rPr>
          <w:rFonts w:eastAsiaTheme="minorEastAsia" w:cstheme="minorBidi"/>
          <w:noProof/>
          <w:sz w:val="22"/>
          <w:szCs w:val="22"/>
          <w:lang w:eastAsia="en-AU"/>
        </w:rPr>
      </w:pPr>
      <w:hyperlink w:anchor="_Toc75775927" w:history="1">
        <w:r w:rsidR="00547EC7" w:rsidRPr="00B05B79">
          <w:rPr>
            <w:rStyle w:val="Hyperlink"/>
            <w:noProof/>
          </w:rPr>
          <w:t>Section 5 – Care Type Changes</w:t>
        </w:r>
        <w:r w:rsidR="00547EC7">
          <w:rPr>
            <w:noProof/>
            <w:webHidden/>
          </w:rPr>
          <w:tab/>
        </w:r>
        <w:r w:rsidR="00547EC7">
          <w:rPr>
            <w:noProof/>
            <w:webHidden/>
          </w:rPr>
          <w:fldChar w:fldCharType="begin"/>
        </w:r>
        <w:r w:rsidR="00547EC7">
          <w:rPr>
            <w:noProof/>
            <w:webHidden/>
          </w:rPr>
          <w:instrText xml:space="preserve"> PAGEREF _Toc75775927 \h </w:instrText>
        </w:r>
        <w:r w:rsidR="00547EC7">
          <w:rPr>
            <w:noProof/>
            <w:webHidden/>
          </w:rPr>
        </w:r>
        <w:r w:rsidR="00547EC7">
          <w:rPr>
            <w:noProof/>
            <w:webHidden/>
          </w:rPr>
          <w:fldChar w:fldCharType="separate"/>
        </w:r>
        <w:r w:rsidR="00547EC7">
          <w:rPr>
            <w:noProof/>
            <w:webHidden/>
          </w:rPr>
          <w:t>5</w:t>
        </w:r>
        <w:r w:rsidR="00547EC7">
          <w:rPr>
            <w:noProof/>
            <w:webHidden/>
          </w:rPr>
          <w:fldChar w:fldCharType="end"/>
        </w:r>
      </w:hyperlink>
    </w:p>
    <w:p w14:paraId="5C236CFE" w14:textId="09C79C85" w:rsidR="00547EC7" w:rsidRDefault="00B57C39">
      <w:pPr>
        <w:pStyle w:val="TOC1"/>
        <w:tabs>
          <w:tab w:val="right" w:leader="dot" w:pos="9060"/>
        </w:tabs>
        <w:rPr>
          <w:rFonts w:eastAsiaTheme="minorEastAsia" w:cstheme="minorBidi"/>
          <w:noProof/>
          <w:sz w:val="22"/>
          <w:szCs w:val="22"/>
          <w:lang w:eastAsia="en-AU"/>
        </w:rPr>
      </w:pPr>
      <w:hyperlink w:anchor="_Toc75775928" w:history="1">
        <w:r w:rsidR="00547EC7" w:rsidRPr="00B05B79">
          <w:rPr>
            <w:rStyle w:val="Hyperlink"/>
            <w:noProof/>
          </w:rPr>
          <w:t>Section 6 – Discharge Medications</w:t>
        </w:r>
        <w:r w:rsidR="00547EC7">
          <w:rPr>
            <w:noProof/>
            <w:webHidden/>
          </w:rPr>
          <w:tab/>
        </w:r>
        <w:r w:rsidR="00547EC7">
          <w:rPr>
            <w:noProof/>
            <w:webHidden/>
          </w:rPr>
          <w:fldChar w:fldCharType="begin"/>
        </w:r>
        <w:r w:rsidR="00547EC7">
          <w:rPr>
            <w:noProof/>
            <w:webHidden/>
          </w:rPr>
          <w:instrText xml:space="preserve"> PAGEREF _Toc75775928 \h </w:instrText>
        </w:r>
        <w:r w:rsidR="00547EC7">
          <w:rPr>
            <w:noProof/>
            <w:webHidden/>
          </w:rPr>
        </w:r>
        <w:r w:rsidR="00547EC7">
          <w:rPr>
            <w:noProof/>
            <w:webHidden/>
          </w:rPr>
          <w:fldChar w:fldCharType="separate"/>
        </w:r>
        <w:r w:rsidR="00547EC7">
          <w:rPr>
            <w:noProof/>
            <w:webHidden/>
          </w:rPr>
          <w:t>6</w:t>
        </w:r>
        <w:r w:rsidR="00547EC7">
          <w:rPr>
            <w:noProof/>
            <w:webHidden/>
          </w:rPr>
          <w:fldChar w:fldCharType="end"/>
        </w:r>
      </w:hyperlink>
    </w:p>
    <w:p w14:paraId="56193938" w14:textId="3EDD51CF" w:rsidR="00547EC7" w:rsidRDefault="00B57C39">
      <w:pPr>
        <w:pStyle w:val="TOC1"/>
        <w:tabs>
          <w:tab w:val="right" w:leader="dot" w:pos="9060"/>
        </w:tabs>
        <w:rPr>
          <w:rFonts w:eastAsiaTheme="minorEastAsia" w:cstheme="minorBidi"/>
          <w:noProof/>
          <w:sz w:val="22"/>
          <w:szCs w:val="22"/>
          <w:lang w:eastAsia="en-AU"/>
        </w:rPr>
      </w:pPr>
      <w:hyperlink w:anchor="_Toc75775929" w:history="1">
        <w:r w:rsidR="00547EC7" w:rsidRPr="00B05B79">
          <w:rPr>
            <w:rStyle w:val="Hyperlink"/>
            <w:noProof/>
          </w:rPr>
          <w:t>Section 7 –</w:t>
        </w:r>
        <w:r w:rsidR="00547EC7" w:rsidRPr="00B05B79">
          <w:rPr>
            <w:rStyle w:val="Hyperlink"/>
            <w:rFonts w:cs="Calibri"/>
            <w:noProof/>
          </w:rPr>
          <w:t xml:space="preserve"> Distribution of Discharge Summaries</w:t>
        </w:r>
        <w:r w:rsidR="00547EC7">
          <w:rPr>
            <w:noProof/>
            <w:webHidden/>
          </w:rPr>
          <w:tab/>
        </w:r>
        <w:r w:rsidR="00547EC7">
          <w:rPr>
            <w:noProof/>
            <w:webHidden/>
          </w:rPr>
          <w:fldChar w:fldCharType="begin"/>
        </w:r>
        <w:r w:rsidR="00547EC7">
          <w:rPr>
            <w:noProof/>
            <w:webHidden/>
          </w:rPr>
          <w:instrText xml:space="preserve"> PAGEREF _Toc75775929 \h </w:instrText>
        </w:r>
        <w:r w:rsidR="00547EC7">
          <w:rPr>
            <w:noProof/>
            <w:webHidden/>
          </w:rPr>
        </w:r>
        <w:r w:rsidR="00547EC7">
          <w:rPr>
            <w:noProof/>
            <w:webHidden/>
          </w:rPr>
          <w:fldChar w:fldCharType="separate"/>
        </w:r>
        <w:r w:rsidR="00547EC7">
          <w:rPr>
            <w:noProof/>
            <w:webHidden/>
          </w:rPr>
          <w:t>7</w:t>
        </w:r>
        <w:r w:rsidR="00547EC7">
          <w:rPr>
            <w:noProof/>
            <w:webHidden/>
          </w:rPr>
          <w:fldChar w:fldCharType="end"/>
        </w:r>
      </w:hyperlink>
    </w:p>
    <w:p w14:paraId="20B4F73B" w14:textId="3535D24E" w:rsidR="00547EC7" w:rsidRDefault="00B57C39">
      <w:pPr>
        <w:pStyle w:val="TOC1"/>
        <w:tabs>
          <w:tab w:val="right" w:leader="dot" w:pos="9060"/>
        </w:tabs>
        <w:rPr>
          <w:rFonts w:eastAsiaTheme="minorEastAsia" w:cstheme="minorBidi"/>
          <w:noProof/>
          <w:sz w:val="22"/>
          <w:szCs w:val="22"/>
          <w:lang w:eastAsia="en-AU"/>
        </w:rPr>
      </w:pPr>
      <w:hyperlink w:anchor="_Toc75775930" w:history="1">
        <w:r w:rsidR="00547EC7" w:rsidRPr="00B05B79">
          <w:rPr>
            <w:rStyle w:val="Hyperlink"/>
            <w:noProof/>
          </w:rPr>
          <w:t>Section 8 – Delayed completion</w:t>
        </w:r>
        <w:r w:rsidR="00547EC7">
          <w:rPr>
            <w:noProof/>
            <w:webHidden/>
          </w:rPr>
          <w:tab/>
        </w:r>
        <w:r w:rsidR="00547EC7">
          <w:rPr>
            <w:noProof/>
            <w:webHidden/>
          </w:rPr>
          <w:fldChar w:fldCharType="begin"/>
        </w:r>
        <w:r w:rsidR="00547EC7">
          <w:rPr>
            <w:noProof/>
            <w:webHidden/>
          </w:rPr>
          <w:instrText xml:space="preserve"> PAGEREF _Toc75775930 \h </w:instrText>
        </w:r>
        <w:r w:rsidR="00547EC7">
          <w:rPr>
            <w:noProof/>
            <w:webHidden/>
          </w:rPr>
        </w:r>
        <w:r w:rsidR="00547EC7">
          <w:rPr>
            <w:noProof/>
            <w:webHidden/>
          </w:rPr>
          <w:fldChar w:fldCharType="separate"/>
        </w:r>
        <w:r w:rsidR="00547EC7">
          <w:rPr>
            <w:noProof/>
            <w:webHidden/>
          </w:rPr>
          <w:t>7</w:t>
        </w:r>
        <w:r w:rsidR="00547EC7">
          <w:rPr>
            <w:noProof/>
            <w:webHidden/>
          </w:rPr>
          <w:fldChar w:fldCharType="end"/>
        </w:r>
      </w:hyperlink>
    </w:p>
    <w:p w14:paraId="597D5CC3" w14:textId="1E0E105D" w:rsidR="00547EC7" w:rsidRDefault="00B57C39">
      <w:pPr>
        <w:pStyle w:val="TOC1"/>
        <w:tabs>
          <w:tab w:val="right" w:leader="dot" w:pos="9060"/>
        </w:tabs>
        <w:rPr>
          <w:rFonts w:eastAsiaTheme="minorEastAsia" w:cstheme="minorBidi"/>
          <w:noProof/>
          <w:sz w:val="22"/>
          <w:szCs w:val="22"/>
          <w:lang w:eastAsia="en-AU"/>
        </w:rPr>
      </w:pPr>
      <w:hyperlink w:anchor="_Toc75775931" w:history="1">
        <w:r w:rsidR="00547EC7" w:rsidRPr="00B05B79">
          <w:rPr>
            <w:rStyle w:val="Hyperlink"/>
            <w:noProof/>
          </w:rPr>
          <w:t xml:space="preserve">Section 9 – </w:t>
        </w:r>
        <w:r w:rsidR="00547EC7" w:rsidRPr="00B05B79">
          <w:rPr>
            <w:rStyle w:val="Hyperlink"/>
            <w:rFonts w:cs="Calibri"/>
            <w:noProof/>
          </w:rPr>
          <w:t>Monitoring Discharge Summary completion rates</w:t>
        </w:r>
        <w:r w:rsidR="00547EC7">
          <w:rPr>
            <w:noProof/>
            <w:webHidden/>
          </w:rPr>
          <w:tab/>
        </w:r>
        <w:r w:rsidR="00547EC7">
          <w:rPr>
            <w:noProof/>
            <w:webHidden/>
          </w:rPr>
          <w:fldChar w:fldCharType="begin"/>
        </w:r>
        <w:r w:rsidR="00547EC7">
          <w:rPr>
            <w:noProof/>
            <w:webHidden/>
          </w:rPr>
          <w:instrText xml:space="preserve"> PAGEREF _Toc75775931 \h </w:instrText>
        </w:r>
        <w:r w:rsidR="00547EC7">
          <w:rPr>
            <w:noProof/>
            <w:webHidden/>
          </w:rPr>
        </w:r>
        <w:r w:rsidR="00547EC7">
          <w:rPr>
            <w:noProof/>
            <w:webHidden/>
          </w:rPr>
          <w:fldChar w:fldCharType="separate"/>
        </w:r>
        <w:r w:rsidR="00547EC7">
          <w:rPr>
            <w:noProof/>
            <w:webHidden/>
          </w:rPr>
          <w:t>8</w:t>
        </w:r>
        <w:r w:rsidR="00547EC7">
          <w:rPr>
            <w:noProof/>
            <w:webHidden/>
          </w:rPr>
          <w:fldChar w:fldCharType="end"/>
        </w:r>
      </w:hyperlink>
    </w:p>
    <w:p w14:paraId="395C85DF" w14:textId="3B99C852" w:rsidR="00547EC7" w:rsidRDefault="00B57C39">
      <w:pPr>
        <w:pStyle w:val="TOC1"/>
        <w:tabs>
          <w:tab w:val="right" w:leader="dot" w:pos="9060"/>
        </w:tabs>
        <w:rPr>
          <w:rFonts w:eastAsiaTheme="minorEastAsia" w:cstheme="minorBidi"/>
          <w:noProof/>
          <w:sz w:val="22"/>
          <w:szCs w:val="22"/>
          <w:lang w:eastAsia="en-AU"/>
        </w:rPr>
      </w:pPr>
      <w:hyperlink w:anchor="_Toc75775932" w:history="1">
        <w:r w:rsidR="00547EC7" w:rsidRPr="00B05B79">
          <w:rPr>
            <w:rStyle w:val="Hyperlink"/>
            <w:noProof/>
          </w:rPr>
          <w:t>Evaluation</w:t>
        </w:r>
        <w:r w:rsidR="00547EC7">
          <w:rPr>
            <w:noProof/>
            <w:webHidden/>
          </w:rPr>
          <w:tab/>
        </w:r>
        <w:r w:rsidR="00547EC7">
          <w:rPr>
            <w:noProof/>
            <w:webHidden/>
          </w:rPr>
          <w:fldChar w:fldCharType="begin"/>
        </w:r>
        <w:r w:rsidR="00547EC7">
          <w:rPr>
            <w:noProof/>
            <w:webHidden/>
          </w:rPr>
          <w:instrText xml:space="preserve"> PAGEREF _Toc75775932 \h </w:instrText>
        </w:r>
        <w:r w:rsidR="00547EC7">
          <w:rPr>
            <w:noProof/>
            <w:webHidden/>
          </w:rPr>
        </w:r>
        <w:r w:rsidR="00547EC7">
          <w:rPr>
            <w:noProof/>
            <w:webHidden/>
          </w:rPr>
          <w:fldChar w:fldCharType="separate"/>
        </w:r>
        <w:r w:rsidR="00547EC7">
          <w:rPr>
            <w:noProof/>
            <w:webHidden/>
          </w:rPr>
          <w:t>8</w:t>
        </w:r>
        <w:r w:rsidR="00547EC7">
          <w:rPr>
            <w:noProof/>
            <w:webHidden/>
          </w:rPr>
          <w:fldChar w:fldCharType="end"/>
        </w:r>
      </w:hyperlink>
    </w:p>
    <w:p w14:paraId="2D889E78" w14:textId="4F2FFAE6" w:rsidR="00547EC7" w:rsidRDefault="00B57C39">
      <w:pPr>
        <w:pStyle w:val="TOC1"/>
        <w:tabs>
          <w:tab w:val="right" w:leader="dot" w:pos="9060"/>
        </w:tabs>
        <w:rPr>
          <w:rFonts w:eastAsiaTheme="minorEastAsia" w:cstheme="minorBidi"/>
          <w:noProof/>
          <w:sz w:val="22"/>
          <w:szCs w:val="22"/>
          <w:lang w:eastAsia="en-AU"/>
        </w:rPr>
      </w:pPr>
      <w:hyperlink w:anchor="_Toc75775933" w:history="1">
        <w:r w:rsidR="00547EC7" w:rsidRPr="00B05B79">
          <w:rPr>
            <w:rStyle w:val="Hyperlink"/>
            <w:noProof/>
          </w:rPr>
          <w:t>Related Policies, Procedures, Guidelines and Legislation</w:t>
        </w:r>
        <w:r w:rsidR="00547EC7">
          <w:rPr>
            <w:noProof/>
            <w:webHidden/>
          </w:rPr>
          <w:tab/>
        </w:r>
        <w:r w:rsidR="00547EC7">
          <w:rPr>
            <w:noProof/>
            <w:webHidden/>
          </w:rPr>
          <w:fldChar w:fldCharType="begin"/>
        </w:r>
        <w:r w:rsidR="00547EC7">
          <w:rPr>
            <w:noProof/>
            <w:webHidden/>
          </w:rPr>
          <w:instrText xml:space="preserve"> PAGEREF _Toc75775933 \h </w:instrText>
        </w:r>
        <w:r w:rsidR="00547EC7">
          <w:rPr>
            <w:noProof/>
            <w:webHidden/>
          </w:rPr>
        </w:r>
        <w:r w:rsidR="00547EC7">
          <w:rPr>
            <w:noProof/>
            <w:webHidden/>
          </w:rPr>
          <w:fldChar w:fldCharType="separate"/>
        </w:r>
        <w:r w:rsidR="00547EC7">
          <w:rPr>
            <w:noProof/>
            <w:webHidden/>
          </w:rPr>
          <w:t>9</w:t>
        </w:r>
        <w:r w:rsidR="00547EC7">
          <w:rPr>
            <w:noProof/>
            <w:webHidden/>
          </w:rPr>
          <w:fldChar w:fldCharType="end"/>
        </w:r>
      </w:hyperlink>
    </w:p>
    <w:p w14:paraId="6D342EFE" w14:textId="18A7F875" w:rsidR="00547EC7" w:rsidRDefault="00B57C39">
      <w:pPr>
        <w:pStyle w:val="TOC1"/>
        <w:tabs>
          <w:tab w:val="right" w:leader="dot" w:pos="9060"/>
        </w:tabs>
        <w:rPr>
          <w:rFonts w:eastAsiaTheme="minorEastAsia" w:cstheme="minorBidi"/>
          <w:noProof/>
          <w:sz w:val="22"/>
          <w:szCs w:val="22"/>
          <w:lang w:eastAsia="en-AU"/>
        </w:rPr>
      </w:pPr>
      <w:hyperlink w:anchor="_Toc75775934" w:history="1">
        <w:r w:rsidR="00547EC7" w:rsidRPr="00B05B79">
          <w:rPr>
            <w:rStyle w:val="Hyperlink"/>
            <w:noProof/>
          </w:rPr>
          <w:t>References</w:t>
        </w:r>
        <w:r w:rsidR="00547EC7">
          <w:rPr>
            <w:noProof/>
            <w:webHidden/>
          </w:rPr>
          <w:tab/>
        </w:r>
        <w:r w:rsidR="00547EC7">
          <w:rPr>
            <w:noProof/>
            <w:webHidden/>
          </w:rPr>
          <w:fldChar w:fldCharType="begin"/>
        </w:r>
        <w:r w:rsidR="00547EC7">
          <w:rPr>
            <w:noProof/>
            <w:webHidden/>
          </w:rPr>
          <w:instrText xml:space="preserve"> PAGEREF _Toc75775934 \h </w:instrText>
        </w:r>
        <w:r w:rsidR="00547EC7">
          <w:rPr>
            <w:noProof/>
            <w:webHidden/>
          </w:rPr>
        </w:r>
        <w:r w:rsidR="00547EC7">
          <w:rPr>
            <w:noProof/>
            <w:webHidden/>
          </w:rPr>
          <w:fldChar w:fldCharType="separate"/>
        </w:r>
        <w:r w:rsidR="00547EC7">
          <w:rPr>
            <w:noProof/>
            <w:webHidden/>
          </w:rPr>
          <w:t>9</w:t>
        </w:r>
        <w:r w:rsidR="00547EC7">
          <w:rPr>
            <w:noProof/>
            <w:webHidden/>
          </w:rPr>
          <w:fldChar w:fldCharType="end"/>
        </w:r>
      </w:hyperlink>
    </w:p>
    <w:p w14:paraId="05FBB878" w14:textId="42B53EC3" w:rsidR="00547EC7" w:rsidRDefault="00B57C39">
      <w:pPr>
        <w:pStyle w:val="TOC1"/>
        <w:tabs>
          <w:tab w:val="right" w:leader="dot" w:pos="9060"/>
        </w:tabs>
        <w:rPr>
          <w:rFonts w:eastAsiaTheme="minorEastAsia" w:cstheme="minorBidi"/>
          <w:noProof/>
          <w:sz w:val="22"/>
          <w:szCs w:val="22"/>
          <w:lang w:eastAsia="en-AU"/>
        </w:rPr>
      </w:pPr>
      <w:hyperlink w:anchor="_Toc75775935" w:history="1">
        <w:r w:rsidR="00547EC7" w:rsidRPr="00B05B79">
          <w:rPr>
            <w:rStyle w:val="Hyperlink"/>
            <w:noProof/>
          </w:rPr>
          <w:t>Definition of Terms</w:t>
        </w:r>
        <w:r w:rsidR="00547EC7">
          <w:rPr>
            <w:noProof/>
            <w:webHidden/>
          </w:rPr>
          <w:tab/>
        </w:r>
        <w:r w:rsidR="00547EC7">
          <w:rPr>
            <w:noProof/>
            <w:webHidden/>
          </w:rPr>
          <w:fldChar w:fldCharType="begin"/>
        </w:r>
        <w:r w:rsidR="00547EC7">
          <w:rPr>
            <w:noProof/>
            <w:webHidden/>
          </w:rPr>
          <w:instrText xml:space="preserve"> PAGEREF _Toc75775935 \h </w:instrText>
        </w:r>
        <w:r w:rsidR="00547EC7">
          <w:rPr>
            <w:noProof/>
            <w:webHidden/>
          </w:rPr>
        </w:r>
        <w:r w:rsidR="00547EC7">
          <w:rPr>
            <w:noProof/>
            <w:webHidden/>
          </w:rPr>
          <w:fldChar w:fldCharType="separate"/>
        </w:r>
        <w:r w:rsidR="00547EC7">
          <w:rPr>
            <w:noProof/>
            <w:webHidden/>
          </w:rPr>
          <w:t>9</w:t>
        </w:r>
        <w:r w:rsidR="00547EC7">
          <w:rPr>
            <w:noProof/>
            <w:webHidden/>
          </w:rPr>
          <w:fldChar w:fldCharType="end"/>
        </w:r>
      </w:hyperlink>
    </w:p>
    <w:p w14:paraId="24E0802E" w14:textId="6399D658" w:rsidR="00547EC7" w:rsidRDefault="00B57C39">
      <w:pPr>
        <w:pStyle w:val="TOC1"/>
        <w:tabs>
          <w:tab w:val="right" w:leader="dot" w:pos="9060"/>
        </w:tabs>
        <w:rPr>
          <w:rFonts w:eastAsiaTheme="minorEastAsia" w:cstheme="minorBidi"/>
          <w:noProof/>
          <w:sz w:val="22"/>
          <w:szCs w:val="22"/>
          <w:lang w:eastAsia="en-AU"/>
        </w:rPr>
      </w:pPr>
      <w:hyperlink w:anchor="_Toc75775936" w:history="1">
        <w:r w:rsidR="00547EC7" w:rsidRPr="00B05B79">
          <w:rPr>
            <w:rStyle w:val="Hyperlink"/>
            <w:noProof/>
          </w:rPr>
          <w:t>Search Terms</w:t>
        </w:r>
        <w:r w:rsidR="00547EC7">
          <w:rPr>
            <w:noProof/>
            <w:webHidden/>
          </w:rPr>
          <w:tab/>
        </w:r>
        <w:r w:rsidR="00547EC7">
          <w:rPr>
            <w:noProof/>
            <w:webHidden/>
          </w:rPr>
          <w:fldChar w:fldCharType="begin"/>
        </w:r>
        <w:r w:rsidR="00547EC7">
          <w:rPr>
            <w:noProof/>
            <w:webHidden/>
          </w:rPr>
          <w:instrText xml:space="preserve"> PAGEREF _Toc75775936 \h </w:instrText>
        </w:r>
        <w:r w:rsidR="00547EC7">
          <w:rPr>
            <w:noProof/>
            <w:webHidden/>
          </w:rPr>
        </w:r>
        <w:r w:rsidR="00547EC7">
          <w:rPr>
            <w:noProof/>
            <w:webHidden/>
          </w:rPr>
          <w:fldChar w:fldCharType="separate"/>
        </w:r>
        <w:r w:rsidR="00547EC7">
          <w:rPr>
            <w:noProof/>
            <w:webHidden/>
          </w:rPr>
          <w:t>12</w:t>
        </w:r>
        <w:r w:rsidR="00547EC7">
          <w:rPr>
            <w:noProof/>
            <w:webHidden/>
          </w:rPr>
          <w:fldChar w:fldCharType="end"/>
        </w:r>
      </w:hyperlink>
    </w:p>
    <w:p w14:paraId="53A21B1C" w14:textId="553DF5FF" w:rsidR="00547EC7" w:rsidRDefault="00B57C39">
      <w:pPr>
        <w:pStyle w:val="TOC1"/>
        <w:tabs>
          <w:tab w:val="right" w:leader="dot" w:pos="9060"/>
        </w:tabs>
        <w:rPr>
          <w:rFonts w:eastAsiaTheme="minorEastAsia" w:cstheme="minorBidi"/>
          <w:noProof/>
          <w:sz w:val="22"/>
          <w:szCs w:val="22"/>
          <w:lang w:eastAsia="en-AU"/>
        </w:rPr>
      </w:pPr>
      <w:hyperlink w:anchor="_Toc75775937" w:history="1">
        <w:r w:rsidR="00547EC7" w:rsidRPr="00B05B79">
          <w:rPr>
            <w:rStyle w:val="Hyperlink"/>
            <w:noProof/>
          </w:rPr>
          <w:t>Attachments</w:t>
        </w:r>
        <w:r w:rsidR="00547EC7">
          <w:rPr>
            <w:noProof/>
            <w:webHidden/>
          </w:rPr>
          <w:tab/>
        </w:r>
        <w:r w:rsidR="00547EC7">
          <w:rPr>
            <w:noProof/>
            <w:webHidden/>
          </w:rPr>
          <w:fldChar w:fldCharType="begin"/>
        </w:r>
        <w:r w:rsidR="00547EC7">
          <w:rPr>
            <w:noProof/>
            <w:webHidden/>
          </w:rPr>
          <w:instrText xml:space="preserve"> PAGEREF _Toc75775937 \h </w:instrText>
        </w:r>
        <w:r w:rsidR="00547EC7">
          <w:rPr>
            <w:noProof/>
            <w:webHidden/>
          </w:rPr>
        </w:r>
        <w:r w:rsidR="00547EC7">
          <w:rPr>
            <w:noProof/>
            <w:webHidden/>
          </w:rPr>
          <w:fldChar w:fldCharType="separate"/>
        </w:r>
        <w:r w:rsidR="00547EC7">
          <w:rPr>
            <w:noProof/>
            <w:webHidden/>
          </w:rPr>
          <w:t>12</w:t>
        </w:r>
        <w:r w:rsidR="00547EC7">
          <w:rPr>
            <w:noProof/>
            <w:webHidden/>
          </w:rPr>
          <w:fldChar w:fldCharType="end"/>
        </w:r>
      </w:hyperlink>
    </w:p>
    <w:p w14:paraId="2F51A861" w14:textId="0CF6D612" w:rsidR="007052B1" w:rsidRDefault="007B7628" w:rsidP="007B6904">
      <w:pPr>
        <w:rPr>
          <w:rFonts w:asciiTheme="minorHAnsi" w:hAnsiTheme="minorHAnsi"/>
        </w:rPr>
      </w:pPr>
      <w:r>
        <w:rPr>
          <w:rFonts w:asciiTheme="minorHAnsi" w:hAnsiTheme="minorHAnsi"/>
        </w:rPr>
        <w:fldChar w:fldCharType="end"/>
      </w:r>
    </w:p>
    <w:p w14:paraId="2F51A862" w14:textId="77777777" w:rsidR="007052B1" w:rsidRDefault="007052B1">
      <w:pPr>
        <w:spacing w:after="200" w:line="276" w:lineRule="auto"/>
        <w:rPr>
          <w:rFonts w:asciiTheme="minorHAnsi" w:hAnsiTheme="minorHAnsi"/>
        </w:rPr>
      </w:pPr>
      <w:r>
        <w:rPr>
          <w:rFonts w:asciiTheme="minorHAnsi" w:hAnsiTheme="minorHAnsi"/>
        </w:rPr>
        <w:br w:type="page"/>
      </w:r>
    </w:p>
    <w:p w14:paraId="2F51A863" w14:textId="77777777" w:rsidR="007B6904" w:rsidRPr="00763141" w:rsidRDefault="007B6904" w:rsidP="007B6904"/>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75775920"/>
            <w:r w:rsidRPr="00CD1C0E">
              <w:t>Purpose</w:t>
            </w:r>
            <w:bookmarkEnd w:id="8"/>
            <w:bookmarkEnd w:id="9"/>
          </w:p>
        </w:tc>
      </w:tr>
    </w:tbl>
    <w:p w14:paraId="2F51A866" w14:textId="77777777" w:rsidR="00931B93" w:rsidRDefault="00931B93" w:rsidP="00931B93">
      <w:pPr>
        <w:rPr>
          <w:rFonts w:cs="Arial"/>
          <w:i/>
          <w:szCs w:val="24"/>
        </w:rPr>
      </w:pPr>
    </w:p>
    <w:p w14:paraId="0BFCD685" w14:textId="627C8B7D" w:rsidR="00623535" w:rsidRPr="00B43228" w:rsidRDefault="00623535" w:rsidP="00623535">
      <w:pPr>
        <w:rPr>
          <w:rFonts w:cs="Calibri"/>
          <w:szCs w:val="24"/>
        </w:rPr>
      </w:pPr>
      <w:r w:rsidRPr="00B43228">
        <w:rPr>
          <w:rFonts w:cs="Calibri"/>
          <w:szCs w:val="24"/>
        </w:rPr>
        <w:t xml:space="preserve">The purpose of this </w:t>
      </w:r>
      <w:r>
        <w:rPr>
          <w:rFonts w:cs="Arial"/>
          <w:szCs w:val="24"/>
        </w:rPr>
        <w:t xml:space="preserve">procedure </w:t>
      </w:r>
      <w:r w:rsidRPr="00B43228">
        <w:rPr>
          <w:rFonts w:cs="Calibri"/>
          <w:szCs w:val="24"/>
        </w:rPr>
        <w:t xml:space="preserve">is to </w:t>
      </w:r>
      <w:r>
        <w:rPr>
          <w:rFonts w:cs="Calibri"/>
          <w:szCs w:val="24"/>
        </w:rPr>
        <w:t xml:space="preserve">provide guidance for clinicians to complete inpatient Discharge Summaries and </w:t>
      </w:r>
      <w:r w:rsidR="007F3C05">
        <w:rPr>
          <w:rFonts w:cs="Calibri"/>
          <w:szCs w:val="24"/>
        </w:rPr>
        <w:t xml:space="preserve">to </w:t>
      </w:r>
      <w:r>
        <w:rPr>
          <w:rFonts w:cs="Calibri"/>
          <w:szCs w:val="24"/>
        </w:rPr>
        <w:t xml:space="preserve">ensure </w:t>
      </w:r>
      <w:r w:rsidR="007F3C05">
        <w:rPr>
          <w:rFonts w:cs="Calibri"/>
          <w:szCs w:val="24"/>
        </w:rPr>
        <w:t xml:space="preserve">that </w:t>
      </w:r>
      <w:r>
        <w:rPr>
          <w:rFonts w:cs="Calibri"/>
          <w:szCs w:val="24"/>
        </w:rPr>
        <w:t>they are accurate, timely and high-quality</w:t>
      </w:r>
      <w:r w:rsidRPr="00B43228">
        <w:rPr>
          <w:rFonts w:cs="Calibri"/>
          <w:szCs w:val="24"/>
        </w:rPr>
        <w:t>.</w:t>
      </w:r>
      <w:r>
        <w:rPr>
          <w:rFonts w:cs="Calibri"/>
          <w:szCs w:val="24"/>
        </w:rPr>
        <w:t xml:space="preserve"> </w:t>
      </w:r>
    </w:p>
    <w:p w14:paraId="7DBE6DA7" w14:textId="77777777" w:rsidR="00623535" w:rsidRPr="00B43228" w:rsidRDefault="00623535" w:rsidP="00623535">
      <w:pPr>
        <w:rPr>
          <w:rFonts w:cs="Calibri"/>
          <w:szCs w:val="24"/>
        </w:rPr>
      </w:pPr>
    </w:p>
    <w:p w14:paraId="0D81887F" w14:textId="509D3ADA" w:rsidR="00623535" w:rsidRDefault="00623535" w:rsidP="00623535">
      <w:pPr>
        <w:rPr>
          <w:rFonts w:cs="Calibri"/>
          <w:szCs w:val="24"/>
        </w:rPr>
      </w:pPr>
      <w:r>
        <w:rPr>
          <w:rFonts w:cs="Calibri"/>
          <w:szCs w:val="24"/>
        </w:rPr>
        <w:t>The Discharge Summary is a clinical handover document that ensures continuity of care, safe transition between the hospital and the community, and improved patient communication and education.</w:t>
      </w:r>
    </w:p>
    <w:p w14:paraId="3D5E281C" w14:textId="77777777" w:rsidR="00623535" w:rsidRDefault="00623535" w:rsidP="00623535">
      <w:pPr>
        <w:rPr>
          <w:rFonts w:cs="Calibri"/>
          <w:szCs w:val="24"/>
        </w:rPr>
      </w:pPr>
    </w:p>
    <w:p w14:paraId="603587F2" w14:textId="116068D1" w:rsidR="00623535" w:rsidRDefault="00623535" w:rsidP="00623535">
      <w:pPr>
        <w:rPr>
          <w:rFonts w:cs="Calibri"/>
          <w:szCs w:val="24"/>
        </w:rPr>
      </w:pPr>
      <w:r>
        <w:rPr>
          <w:rFonts w:cs="Calibri"/>
          <w:szCs w:val="24"/>
        </w:rPr>
        <w:t xml:space="preserve">The Discharge Summary forms part of the patient’s clinical record and may be read by the patient and their </w:t>
      </w:r>
      <w:proofErr w:type="spellStart"/>
      <w:r>
        <w:rPr>
          <w:rFonts w:cs="Calibri"/>
          <w:szCs w:val="24"/>
        </w:rPr>
        <w:t>carers</w:t>
      </w:r>
      <w:proofErr w:type="spellEnd"/>
      <w:r>
        <w:rPr>
          <w:rFonts w:cs="Calibri"/>
          <w:szCs w:val="24"/>
        </w:rPr>
        <w:t xml:space="preserve">. It also facilitates clinical coding and Diagnosis Related Group (DRG) assignment for accurate reporting, benchmarking, research applications, measuring hospital activity, resource allocation and funding.     </w:t>
      </w:r>
    </w:p>
    <w:p w14:paraId="00AD3D96" w14:textId="77777777" w:rsidR="00623535" w:rsidRDefault="00623535" w:rsidP="00623535">
      <w:pPr>
        <w:rPr>
          <w:rFonts w:cs="Calibri"/>
          <w:szCs w:val="24"/>
        </w:rPr>
      </w:pPr>
    </w:p>
    <w:p w14:paraId="112061D6" w14:textId="77777777" w:rsidR="00623535" w:rsidRDefault="00623535" w:rsidP="00623535">
      <w:pPr>
        <w:rPr>
          <w:rFonts w:cs="Calibri"/>
          <w:szCs w:val="24"/>
        </w:rPr>
      </w:pPr>
      <w:r>
        <w:rPr>
          <w:rFonts w:cs="Calibri"/>
          <w:szCs w:val="24"/>
        </w:rPr>
        <w:t>This procedure:</w:t>
      </w:r>
    </w:p>
    <w:p w14:paraId="22560704" w14:textId="6C435ABC" w:rsidR="00623535" w:rsidRDefault="007F3C05" w:rsidP="00623535">
      <w:pPr>
        <w:pStyle w:val="ListParagraph"/>
        <w:numPr>
          <w:ilvl w:val="0"/>
          <w:numId w:val="11"/>
        </w:numPr>
        <w:rPr>
          <w:rFonts w:cs="Calibri"/>
          <w:szCs w:val="24"/>
        </w:rPr>
      </w:pPr>
      <w:r>
        <w:rPr>
          <w:rFonts w:cs="Calibri"/>
          <w:szCs w:val="24"/>
        </w:rPr>
        <w:t xml:space="preserve">emphasises </w:t>
      </w:r>
      <w:r w:rsidR="00623535">
        <w:rPr>
          <w:rFonts w:cs="Calibri"/>
          <w:szCs w:val="24"/>
        </w:rPr>
        <w:t>the importance of accurate and timely completion of the Discharge Summary</w:t>
      </w:r>
    </w:p>
    <w:p w14:paraId="5957F33D" w14:textId="2E51E3B9" w:rsidR="00623535" w:rsidRDefault="003763D3" w:rsidP="00623535">
      <w:pPr>
        <w:pStyle w:val="ListParagraph"/>
        <w:numPr>
          <w:ilvl w:val="0"/>
          <w:numId w:val="11"/>
        </w:numPr>
        <w:rPr>
          <w:rFonts w:cs="Calibri"/>
          <w:szCs w:val="24"/>
        </w:rPr>
      </w:pPr>
      <w:r>
        <w:rPr>
          <w:rFonts w:cs="Calibri"/>
          <w:szCs w:val="24"/>
        </w:rPr>
        <w:t>o</w:t>
      </w:r>
      <w:r w:rsidR="00623535">
        <w:rPr>
          <w:rFonts w:cs="Calibri"/>
          <w:szCs w:val="24"/>
        </w:rPr>
        <w:t xml:space="preserve">utlines the roles and responsibilities of clinicians completing </w:t>
      </w:r>
      <w:r w:rsidR="003C0D47">
        <w:rPr>
          <w:rFonts w:cs="Calibri"/>
          <w:szCs w:val="24"/>
        </w:rPr>
        <w:t>D</w:t>
      </w:r>
      <w:r w:rsidR="00623535">
        <w:rPr>
          <w:rFonts w:cs="Calibri"/>
          <w:szCs w:val="24"/>
        </w:rPr>
        <w:t xml:space="preserve">ischarge </w:t>
      </w:r>
      <w:r w:rsidR="003C0D47">
        <w:rPr>
          <w:rFonts w:cs="Calibri"/>
          <w:szCs w:val="24"/>
        </w:rPr>
        <w:t>S</w:t>
      </w:r>
      <w:r w:rsidR="00623535">
        <w:rPr>
          <w:rFonts w:cs="Calibri"/>
          <w:szCs w:val="24"/>
        </w:rPr>
        <w:t>ummaries</w:t>
      </w:r>
    </w:p>
    <w:p w14:paraId="1E1B57FF" w14:textId="4B107982" w:rsidR="00623535" w:rsidRPr="008D3564" w:rsidRDefault="003763D3" w:rsidP="00623535">
      <w:pPr>
        <w:pStyle w:val="ListParagraph"/>
        <w:numPr>
          <w:ilvl w:val="0"/>
          <w:numId w:val="11"/>
        </w:numPr>
        <w:rPr>
          <w:rFonts w:cs="Calibri"/>
          <w:szCs w:val="24"/>
        </w:rPr>
      </w:pPr>
      <w:r>
        <w:rPr>
          <w:rFonts w:cs="Calibri"/>
          <w:szCs w:val="24"/>
        </w:rPr>
        <w:t>p</w:t>
      </w:r>
      <w:r w:rsidR="00623535">
        <w:rPr>
          <w:rFonts w:cs="Calibri"/>
          <w:szCs w:val="24"/>
        </w:rPr>
        <w:t xml:space="preserve">rovides direction in the preparation and distribution of the Discharge Summary. </w:t>
      </w:r>
    </w:p>
    <w:p w14:paraId="1A0B91EE" w14:textId="77777777" w:rsidR="00623535" w:rsidRDefault="00623535" w:rsidP="00623535">
      <w:pPr>
        <w:rPr>
          <w:rFonts w:cs="Calibri"/>
          <w:szCs w:val="24"/>
        </w:rPr>
      </w:pPr>
    </w:p>
    <w:p w14:paraId="48EA0518" w14:textId="2B384BB1" w:rsidR="00623535" w:rsidRDefault="00623535" w:rsidP="00623535">
      <w:pPr>
        <w:rPr>
          <w:rFonts w:cs="Calibri"/>
          <w:b/>
          <w:bCs/>
        </w:rPr>
      </w:pPr>
      <w:r w:rsidRPr="059AF28E">
        <w:rPr>
          <w:rFonts w:cs="Calibri"/>
        </w:rPr>
        <w:t xml:space="preserve">The timely completion of a </w:t>
      </w:r>
      <w:r w:rsidR="00680567">
        <w:rPr>
          <w:rFonts w:cs="Calibri"/>
        </w:rPr>
        <w:t xml:space="preserve">succinct and comprehensive </w:t>
      </w:r>
      <w:r w:rsidRPr="059AF28E">
        <w:rPr>
          <w:rFonts w:cs="Calibri"/>
        </w:rPr>
        <w:t>Discharge Summary is essential for the patient’s ongoing care</w:t>
      </w:r>
      <w:r w:rsidR="007F3C05">
        <w:rPr>
          <w:rFonts w:cs="Calibri"/>
        </w:rPr>
        <w:t>,</w:t>
      </w:r>
      <w:r w:rsidRPr="059AF28E">
        <w:rPr>
          <w:rFonts w:cs="Calibri"/>
        </w:rPr>
        <w:t xml:space="preserve"> as it forms the primary communication tool with the General Practitioner (GP) and other health professionals</w:t>
      </w:r>
      <w:r>
        <w:rPr>
          <w:rFonts w:cs="Calibri"/>
        </w:rPr>
        <w:t>.</w:t>
      </w:r>
      <w:r w:rsidRPr="059AF28E">
        <w:rPr>
          <w:rFonts w:cs="Calibri"/>
        </w:rPr>
        <w:t xml:space="preserve"> </w:t>
      </w:r>
      <w:r>
        <w:rPr>
          <w:rFonts w:cs="Calibri"/>
        </w:rPr>
        <w:t>I</w:t>
      </w:r>
      <w:r w:rsidRPr="059AF28E">
        <w:rPr>
          <w:rFonts w:cs="Calibri"/>
        </w:rPr>
        <w:t xml:space="preserve">t also provides the patient </w:t>
      </w:r>
      <w:r w:rsidR="0030158D">
        <w:rPr>
          <w:rFonts w:cs="Calibri"/>
        </w:rPr>
        <w:t xml:space="preserve">with </w:t>
      </w:r>
      <w:r w:rsidRPr="059AF28E">
        <w:rPr>
          <w:rFonts w:cs="Calibri"/>
        </w:rPr>
        <w:t>a record of their admission, post</w:t>
      </w:r>
      <w:r w:rsidR="007F3C05">
        <w:rPr>
          <w:rFonts w:cs="Calibri"/>
        </w:rPr>
        <w:t>-</w:t>
      </w:r>
      <w:r w:rsidRPr="059AF28E">
        <w:rPr>
          <w:rFonts w:cs="Calibri"/>
        </w:rPr>
        <w:t xml:space="preserve">discharge instructions and follow-up arrangements. The Discharge Summary is </w:t>
      </w:r>
      <w:r w:rsidR="0030158D">
        <w:rPr>
          <w:rFonts w:cs="Calibri"/>
        </w:rPr>
        <w:t xml:space="preserve">also </w:t>
      </w:r>
      <w:r w:rsidRPr="059AF28E">
        <w:rPr>
          <w:rFonts w:cs="Calibri"/>
        </w:rPr>
        <w:t xml:space="preserve">crucial for accurate clinical coding and DRG allocation which forms the basis for Activity Based Funding (ABF), data provision for research, statistical </w:t>
      </w:r>
      <w:proofErr w:type="gramStart"/>
      <w:r w:rsidRPr="059AF28E">
        <w:rPr>
          <w:rFonts w:cs="Calibri"/>
        </w:rPr>
        <w:t>reporting</w:t>
      </w:r>
      <w:proofErr w:type="gramEnd"/>
      <w:r w:rsidRPr="059AF28E">
        <w:rPr>
          <w:rFonts w:cs="Calibri"/>
        </w:rPr>
        <w:t xml:space="preserve"> and resource allocation.</w:t>
      </w:r>
      <w:r w:rsidRPr="059AF28E">
        <w:rPr>
          <w:rFonts w:cs="Calibri"/>
          <w:b/>
          <w:bCs/>
        </w:rPr>
        <w:t xml:space="preserve"> </w:t>
      </w:r>
    </w:p>
    <w:p w14:paraId="2F51A86F" w14:textId="77777777" w:rsidR="007B6904" w:rsidRDefault="007B6904" w:rsidP="00931B93">
      <w:pPr>
        <w:rPr>
          <w:rFonts w:cs="Arial"/>
          <w:szCs w:val="24"/>
        </w:rPr>
      </w:pPr>
    </w:p>
    <w:p w14:paraId="2F51A870" w14:textId="77777777" w:rsidR="009E70F4" w:rsidRPr="00CD1C0E" w:rsidRDefault="00B57C39"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3763D3">
        <w:trPr>
          <w:cantSplit/>
          <w:trHeight w:val="285"/>
        </w:trPr>
        <w:tc>
          <w:tcPr>
            <w:tcW w:w="9158" w:type="dxa"/>
            <w:shd w:val="clear" w:color="auto" w:fill="A6A6A6" w:themeFill="background1" w:themeFillShade="A6"/>
          </w:tcPr>
          <w:p w14:paraId="2F51A871" w14:textId="6D01752F" w:rsidR="0074223E" w:rsidRPr="00CD1C0E" w:rsidRDefault="0074223E" w:rsidP="003763D3">
            <w:pPr>
              <w:pStyle w:val="Heading1"/>
            </w:pPr>
            <w:bookmarkStart w:id="10" w:name="_Toc389473276"/>
            <w:bookmarkStart w:id="11" w:name="_Toc75775921"/>
            <w:r>
              <w:t>Alerts</w:t>
            </w:r>
            <w:bookmarkEnd w:id="10"/>
            <w:bookmarkEnd w:id="11"/>
            <w:r w:rsidR="00AB50DD">
              <w:t xml:space="preserve"> </w:t>
            </w:r>
          </w:p>
        </w:tc>
      </w:tr>
    </w:tbl>
    <w:p w14:paraId="2F51A873" w14:textId="77777777" w:rsidR="007B6904" w:rsidRDefault="007B6904" w:rsidP="007B6904">
      <w:pPr>
        <w:rPr>
          <w:rFonts w:cs="Arial"/>
          <w:b/>
          <w:szCs w:val="24"/>
        </w:rPr>
      </w:pPr>
    </w:p>
    <w:p w14:paraId="02076AD4" w14:textId="33460D90" w:rsidR="0030158D" w:rsidRDefault="0030158D" w:rsidP="0030158D">
      <w:pPr>
        <w:pStyle w:val="ListParagraph"/>
        <w:ind w:left="0"/>
        <w:rPr>
          <w:rFonts w:cs="Calibri"/>
          <w:szCs w:val="24"/>
        </w:rPr>
      </w:pPr>
      <w:r>
        <w:rPr>
          <w:rFonts w:cs="Calibri"/>
          <w:szCs w:val="24"/>
        </w:rPr>
        <w:t xml:space="preserve">Canberra Health Services </w:t>
      </w:r>
      <w:r w:rsidR="007F3C05">
        <w:rPr>
          <w:rFonts w:cs="Calibri"/>
          <w:szCs w:val="24"/>
        </w:rPr>
        <w:t>(</w:t>
      </w:r>
      <w:r>
        <w:rPr>
          <w:rFonts w:cs="Calibri"/>
          <w:szCs w:val="24"/>
        </w:rPr>
        <w:t>CHS)</w:t>
      </w:r>
      <w:r w:rsidRPr="00BE6AA8">
        <w:rPr>
          <w:rFonts w:cs="Calibri"/>
          <w:szCs w:val="24"/>
        </w:rPr>
        <w:t xml:space="preserve"> has implemented the Clinical Portal </w:t>
      </w:r>
      <w:r>
        <w:rPr>
          <w:rFonts w:cs="Calibri"/>
          <w:szCs w:val="24"/>
        </w:rPr>
        <w:t>Electronic Discharge Summary (</w:t>
      </w:r>
      <w:r w:rsidR="00821322">
        <w:rPr>
          <w:rFonts w:cs="Calibri"/>
          <w:szCs w:val="24"/>
        </w:rPr>
        <w:t xml:space="preserve">Clinical Portal </w:t>
      </w:r>
      <w:r w:rsidRPr="00BE6AA8">
        <w:rPr>
          <w:rFonts w:cs="Calibri"/>
          <w:szCs w:val="24"/>
        </w:rPr>
        <w:t>EDS</w:t>
      </w:r>
      <w:r>
        <w:rPr>
          <w:rFonts w:cs="Calibri"/>
          <w:szCs w:val="24"/>
        </w:rPr>
        <w:t>)</w:t>
      </w:r>
      <w:r w:rsidRPr="00BE6AA8">
        <w:rPr>
          <w:rFonts w:cs="Calibri"/>
          <w:szCs w:val="24"/>
        </w:rPr>
        <w:t xml:space="preserve"> as </w:t>
      </w:r>
      <w:r>
        <w:rPr>
          <w:rFonts w:cs="Calibri"/>
          <w:szCs w:val="24"/>
        </w:rPr>
        <w:t>an organisation</w:t>
      </w:r>
      <w:r w:rsidR="00821322">
        <w:rPr>
          <w:rFonts w:cs="Calibri"/>
          <w:szCs w:val="24"/>
        </w:rPr>
        <w:t>-</w:t>
      </w:r>
      <w:r w:rsidRPr="00BE6AA8">
        <w:rPr>
          <w:rFonts w:cs="Calibri"/>
          <w:szCs w:val="24"/>
        </w:rPr>
        <w:t xml:space="preserve">wide solution for </w:t>
      </w:r>
      <w:r>
        <w:rPr>
          <w:rFonts w:cs="Calibri"/>
          <w:szCs w:val="24"/>
        </w:rPr>
        <w:t xml:space="preserve">inpatient </w:t>
      </w:r>
      <w:r w:rsidR="00821322">
        <w:rPr>
          <w:rFonts w:cs="Calibri"/>
          <w:szCs w:val="24"/>
        </w:rPr>
        <w:t>D</w:t>
      </w:r>
      <w:r w:rsidRPr="00BE6AA8">
        <w:rPr>
          <w:rFonts w:cs="Calibri"/>
          <w:szCs w:val="24"/>
        </w:rPr>
        <w:t xml:space="preserve">ischarge </w:t>
      </w:r>
      <w:r w:rsidR="00821322">
        <w:rPr>
          <w:rFonts w:cs="Calibri"/>
          <w:szCs w:val="24"/>
        </w:rPr>
        <w:t>S</w:t>
      </w:r>
      <w:r w:rsidRPr="00BE6AA8">
        <w:rPr>
          <w:rFonts w:cs="Calibri"/>
          <w:szCs w:val="24"/>
        </w:rPr>
        <w:t>ummary completion</w:t>
      </w:r>
      <w:r>
        <w:rPr>
          <w:rFonts w:cs="Calibri"/>
          <w:szCs w:val="24"/>
        </w:rPr>
        <w:t>.</w:t>
      </w:r>
      <w:r w:rsidRPr="00BE6AA8">
        <w:rPr>
          <w:rFonts w:cs="Calibri"/>
          <w:szCs w:val="24"/>
        </w:rPr>
        <w:t xml:space="preserve"> </w:t>
      </w:r>
      <w:r>
        <w:rPr>
          <w:rFonts w:cs="Calibri"/>
          <w:szCs w:val="24"/>
        </w:rPr>
        <w:t>T</w:t>
      </w:r>
      <w:r w:rsidRPr="00BE6AA8">
        <w:rPr>
          <w:rFonts w:cs="Calibri"/>
          <w:szCs w:val="24"/>
        </w:rPr>
        <w:t>his facilitates seamless electronic distribution</w:t>
      </w:r>
      <w:r>
        <w:rPr>
          <w:rFonts w:cs="Calibri"/>
          <w:szCs w:val="24"/>
        </w:rPr>
        <w:t xml:space="preserve"> of Discharge Summaries</w:t>
      </w:r>
      <w:r w:rsidRPr="00BE6AA8">
        <w:rPr>
          <w:rFonts w:cs="Calibri"/>
          <w:szCs w:val="24"/>
        </w:rPr>
        <w:t xml:space="preserve"> in a standardised format for clinical handover to the GP</w:t>
      </w:r>
      <w:r>
        <w:rPr>
          <w:rFonts w:cs="Calibri"/>
          <w:szCs w:val="24"/>
        </w:rPr>
        <w:t xml:space="preserve"> and uploading to the national My Health Record</w:t>
      </w:r>
      <w:r w:rsidRPr="00BE6AA8">
        <w:rPr>
          <w:rFonts w:cs="Calibri"/>
          <w:szCs w:val="24"/>
        </w:rPr>
        <w:t xml:space="preserve">. </w:t>
      </w:r>
    </w:p>
    <w:p w14:paraId="7199F94A" w14:textId="77777777" w:rsidR="0030158D" w:rsidRDefault="0030158D" w:rsidP="0030158D">
      <w:pPr>
        <w:pStyle w:val="ListParagraph"/>
        <w:ind w:left="0"/>
        <w:rPr>
          <w:rFonts w:cs="Calibri"/>
          <w:szCs w:val="24"/>
        </w:rPr>
      </w:pPr>
    </w:p>
    <w:p w14:paraId="3AFD8784" w14:textId="295595AC" w:rsidR="0030158D" w:rsidRDefault="0030158D" w:rsidP="0030158D">
      <w:pPr>
        <w:pStyle w:val="ListParagraph"/>
        <w:ind w:left="0"/>
        <w:rPr>
          <w:rFonts w:cs="Calibri"/>
          <w:szCs w:val="24"/>
        </w:rPr>
      </w:pPr>
      <w:r w:rsidRPr="00BE6AA8">
        <w:rPr>
          <w:rFonts w:cs="Calibri"/>
          <w:szCs w:val="24"/>
        </w:rPr>
        <w:t xml:space="preserve">Discharge </w:t>
      </w:r>
      <w:r w:rsidR="00821322">
        <w:rPr>
          <w:rFonts w:cs="Calibri"/>
          <w:szCs w:val="24"/>
        </w:rPr>
        <w:t>S</w:t>
      </w:r>
      <w:r w:rsidRPr="00BE6AA8">
        <w:rPr>
          <w:rFonts w:cs="Calibri"/>
          <w:szCs w:val="24"/>
        </w:rPr>
        <w:t>ummaries for all multi-day inpatient episode</w:t>
      </w:r>
      <w:r>
        <w:rPr>
          <w:rFonts w:cs="Calibri"/>
          <w:szCs w:val="24"/>
        </w:rPr>
        <w:t>s must be completed within the C</w:t>
      </w:r>
      <w:r w:rsidRPr="00BE6AA8">
        <w:rPr>
          <w:rFonts w:cs="Calibri"/>
          <w:szCs w:val="24"/>
        </w:rPr>
        <w:t xml:space="preserve">linical Portal EDS. Where the service/program utilises a specialised Clinical Information System as </w:t>
      </w:r>
      <w:r>
        <w:rPr>
          <w:rFonts w:cs="Calibri"/>
          <w:szCs w:val="24"/>
        </w:rPr>
        <w:t xml:space="preserve">their </w:t>
      </w:r>
      <w:r w:rsidRPr="00BE6AA8">
        <w:rPr>
          <w:rFonts w:cs="Calibri"/>
          <w:szCs w:val="24"/>
        </w:rPr>
        <w:t>Electronic Medical Record (EMR)</w:t>
      </w:r>
      <w:r w:rsidR="00821322">
        <w:rPr>
          <w:rFonts w:cs="Calibri"/>
          <w:szCs w:val="24"/>
        </w:rPr>
        <w:t>,</w:t>
      </w:r>
      <w:r w:rsidRPr="00BE6AA8">
        <w:rPr>
          <w:rFonts w:cs="Calibri"/>
          <w:szCs w:val="24"/>
        </w:rPr>
        <w:t xml:space="preserve"> this system should interface with the Clinical Portal EDS for </w:t>
      </w:r>
      <w:r w:rsidR="00821322">
        <w:rPr>
          <w:rFonts w:cs="Calibri"/>
          <w:szCs w:val="24"/>
        </w:rPr>
        <w:t>D</w:t>
      </w:r>
      <w:r w:rsidRPr="00BE6AA8">
        <w:rPr>
          <w:rFonts w:cs="Calibri"/>
          <w:szCs w:val="24"/>
        </w:rPr>
        <w:t xml:space="preserve">ischarge </w:t>
      </w:r>
      <w:r w:rsidR="00821322">
        <w:rPr>
          <w:rFonts w:cs="Calibri"/>
          <w:szCs w:val="24"/>
        </w:rPr>
        <w:t>S</w:t>
      </w:r>
      <w:r w:rsidRPr="00BE6AA8">
        <w:rPr>
          <w:rFonts w:cs="Calibri"/>
          <w:szCs w:val="24"/>
        </w:rPr>
        <w:t xml:space="preserve">ummary completion and distribution.  </w:t>
      </w:r>
    </w:p>
    <w:p w14:paraId="1DC0B8F6" w14:textId="77777777" w:rsidR="00821322" w:rsidRDefault="00821322" w:rsidP="0030158D">
      <w:pPr>
        <w:pStyle w:val="ListParagraph"/>
        <w:ind w:left="0"/>
        <w:rPr>
          <w:rFonts w:cs="Calibri"/>
          <w:szCs w:val="24"/>
        </w:rPr>
      </w:pPr>
    </w:p>
    <w:p w14:paraId="066BE4FD" w14:textId="7F70DD36" w:rsidR="0030158D" w:rsidRDefault="0030158D" w:rsidP="0030158D">
      <w:pPr>
        <w:pStyle w:val="ListParagraph"/>
        <w:ind w:left="0"/>
        <w:rPr>
          <w:rFonts w:cs="Calibri"/>
          <w:szCs w:val="24"/>
        </w:rPr>
      </w:pPr>
      <w:r w:rsidRPr="00BE6AA8">
        <w:rPr>
          <w:rFonts w:cs="Calibri"/>
          <w:szCs w:val="24"/>
        </w:rPr>
        <w:lastRenderedPageBreak/>
        <w:t xml:space="preserve">Approval to complete inpatient </w:t>
      </w:r>
      <w:r w:rsidR="00821322">
        <w:rPr>
          <w:rFonts w:cs="Calibri"/>
          <w:szCs w:val="24"/>
        </w:rPr>
        <w:t>D</w:t>
      </w:r>
      <w:r w:rsidRPr="00BE6AA8">
        <w:rPr>
          <w:rFonts w:cs="Calibri"/>
          <w:szCs w:val="24"/>
        </w:rPr>
        <w:t xml:space="preserve">ischarge </w:t>
      </w:r>
      <w:r w:rsidR="00821322">
        <w:rPr>
          <w:rFonts w:cs="Calibri"/>
          <w:szCs w:val="24"/>
        </w:rPr>
        <w:t>S</w:t>
      </w:r>
      <w:r w:rsidRPr="00BE6AA8">
        <w:rPr>
          <w:rFonts w:cs="Calibri"/>
          <w:szCs w:val="24"/>
        </w:rPr>
        <w:t>ummaries in alternate clinical information systems will only be granted</w:t>
      </w:r>
      <w:r w:rsidR="00D97603">
        <w:rPr>
          <w:rFonts w:cs="Calibri"/>
          <w:szCs w:val="24"/>
        </w:rPr>
        <w:t xml:space="preserve"> by HIS</w:t>
      </w:r>
      <w:r w:rsidRPr="00BE6AA8">
        <w:rPr>
          <w:rFonts w:cs="Calibri"/>
          <w:szCs w:val="24"/>
        </w:rPr>
        <w:t xml:space="preserve"> where technical difficulties prevent direct interfacing the Clinical Portal EDS application.</w:t>
      </w:r>
      <w:r w:rsidR="006B78FB">
        <w:rPr>
          <w:rFonts w:cs="Calibri"/>
          <w:szCs w:val="24"/>
        </w:rPr>
        <w:t xml:space="preserve"> </w:t>
      </w:r>
    </w:p>
    <w:p w14:paraId="743C71FC" w14:textId="77777777" w:rsidR="0030158D" w:rsidRPr="00BE6AA8" w:rsidRDefault="0030158D" w:rsidP="0030158D">
      <w:pPr>
        <w:pStyle w:val="ListParagraph"/>
        <w:ind w:left="0"/>
        <w:rPr>
          <w:rFonts w:cs="Calibri"/>
          <w:szCs w:val="24"/>
        </w:rPr>
      </w:pPr>
    </w:p>
    <w:p w14:paraId="4DEDB39A" w14:textId="1F45947D" w:rsidR="0030158D" w:rsidRDefault="003763D3" w:rsidP="0030158D">
      <w:pPr>
        <w:pStyle w:val="ListParagraph"/>
        <w:ind w:left="0"/>
        <w:rPr>
          <w:rFonts w:cs="Calibri"/>
          <w:szCs w:val="24"/>
        </w:rPr>
      </w:pPr>
      <w:r>
        <w:rPr>
          <w:rFonts w:cs="Calibri"/>
          <w:szCs w:val="24"/>
        </w:rPr>
        <w:t xml:space="preserve">As </w:t>
      </w:r>
      <w:r w:rsidR="00821322">
        <w:rPr>
          <w:rFonts w:cs="Calibri"/>
          <w:szCs w:val="24"/>
        </w:rPr>
        <w:t xml:space="preserve">data collection for </w:t>
      </w:r>
      <w:r w:rsidR="0030158D" w:rsidRPr="00BE6AA8">
        <w:rPr>
          <w:rFonts w:cs="Calibri"/>
          <w:szCs w:val="24"/>
        </w:rPr>
        <w:t>the Birth Outcome System (BOS)</w:t>
      </w:r>
      <w:r w:rsidR="0030158D">
        <w:rPr>
          <w:rFonts w:cs="Calibri"/>
          <w:szCs w:val="24"/>
        </w:rPr>
        <w:t xml:space="preserve"> and</w:t>
      </w:r>
      <w:r w:rsidR="0030158D" w:rsidRPr="00BE6AA8">
        <w:rPr>
          <w:rFonts w:cs="Calibri"/>
          <w:szCs w:val="24"/>
        </w:rPr>
        <w:t xml:space="preserve"> the Neonatal Intensive Care Unit</w:t>
      </w:r>
      <w:r w:rsidR="00821322">
        <w:rPr>
          <w:rFonts w:cs="Calibri"/>
          <w:szCs w:val="24"/>
        </w:rPr>
        <w:t xml:space="preserve"> Systems</w:t>
      </w:r>
      <w:r w:rsidR="0030158D" w:rsidRPr="00BE6AA8">
        <w:rPr>
          <w:rFonts w:cs="Calibri"/>
          <w:szCs w:val="24"/>
        </w:rPr>
        <w:t xml:space="preserve"> (NICUS)</w:t>
      </w:r>
      <w:r w:rsidR="00821322">
        <w:rPr>
          <w:rFonts w:cs="Calibri"/>
          <w:szCs w:val="24"/>
        </w:rPr>
        <w:t xml:space="preserve"> </w:t>
      </w:r>
      <w:r w:rsidR="0030158D" w:rsidRPr="00BE6AA8">
        <w:rPr>
          <w:rFonts w:cs="Calibri"/>
          <w:szCs w:val="24"/>
        </w:rPr>
        <w:t xml:space="preserve">are not able to interface with Clinical Portal, </w:t>
      </w:r>
      <w:r w:rsidR="00821322">
        <w:rPr>
          <w:rFonts w:cs="Calibri"/>
          <w:szCs w:val="24"/>
        </w:rPr>
        <w:t>D</w:t>
      </w:r>
      <w:r w:rsidR="0030158D" w:rsidRPr="00BE6AA8">
        <w:rPr>
          <w:rFonts w:cs="Calibri"/>
          <w:szCs w:val="24"/>
        </w:rPr>
        <w:t xml:space="preserve">ischarge </w:t>
      </w:r>
      <w:r w:rsidR="00821322">
        <w:rPr>
          <w:rFonts w:cs="Calibri"/>
          <w:szCs w:val="24"/>
        </w:rPr>
        <w:t>S</w:t>
      </w:r>
      <w:r w:rsidR="0030158D" w:rsidRPr="00BE6AA8">
        <w:rPr>
          <w:rFonts w:cs="Calibri"/>
          <w:szCs w:val="24"/>
        </w:rPr>
        <w:t xml:space="preserve">ummaries from these systems </w:t>
      </w:r>
      <w:r>
        <w:rPr>
          <w:rFonts w:cs="Calibri"/>
          <w:szCs w:val="24"/>
        </w:rPr>
        <w:t xml:space="preserve">are </w:t>
      </w:r>
      <w:r w:rsidR="0030158D" w:rsidRPr="00BE6AA8">
        <w:rPr>
          <w:rFonts w:cs="Calibri"/>
          <w:szCs w:val="24"/>
        </w:rPr>
        <w:t>accepted</w:t>
      </w:r>
      <w:r>
        <w:rPr>
          <w:rFonts w:cs="Calibri"/>
          <w:szCs w:val="24"/>
        </w:rPr>
        <w:t xml:space="preserve">. </w:t>
      </w:r>
    </w:p>
    <w:p w14:paraId="330FF9E1" w14:textId="77777777" w:rsidR="0030158D" w:rsidRDefault="0030158D" w:rsidP="0030158D">
      <w:pPr>
        <w:pStyle w:val="ListParagraph"/>
        <w:ind w:left="0"/>
        <w:rPr>
          <w:rFonts w:cs="Calibri"/>
          <w:szCs w:val="24"/>
        </w:rPr>
      </w:pPr>
    </w:p>
    <w:p w14:paraId="06F20BE7" w14:textId="3C3DF506" w:rsidR="0030158D" w:rsidRPr="00BE6AA8" w:rsidRDefault="0030158D" w:rsidP="0030158D">
      <w:pPr>
        <w:pStyle w:val="ListParagraph"/>
        <w:ind w:left="0"/>
        <w:rPr>
          <w:rFonts w:cs="Calibri"/>
          <w:szCs w:val="24"/>
        </w:rPr>
      </w:pPr>
      <w:r>
        <w:rPr>
          <w:rFonts w:cs="Calibri"/>
          <w:szCs w:val="24"/>
        </w:rPr>
        <w:t xml:space="preserve">Appendix A outlines the current </w:t>
      </w:r>
      <w:r w:rsidRPr="008D3564">
        <w:rPr>
          <w:rFonts w:cs="Calibri"/>
          <w:b/>
          <w:bCs/>
          <w:szCs w:val="24"/>
        </w:rPr>
        <w:t xml:space="preserve">endorsed alternative </w:t>
      </w:r>
      <w:r w:rsidR="00B0344C">
        <w:rPr>
          <w:rFonts w:cs="Calibri"/>
          <w:b/>
          <w:bCs/>
          <w:szCs w:val="24"/>
        </w:rPr>
        <w:t>D</w:t>
      </w:r>
      <w:r w:rsidRPr="008D3564">
        <w:rPr>
          <w:rFonts w:cs="Calibri"/>
          <w:b/>
          <w:bCs/>
          <w:szCs w:val="24"/>
        </w:rPr>
        <w:t xml:space="preserve">ischarge </w:t>
      </w:r>
      <w:r w:rsidR="00B0344C">
        <w:rPr>
          <w:rFonts w:cs="Calibri"/>
          <w:b/>
          <w:bCs/>
          <w:szCs w:val="24"/>
        </w:rPr>
        <w:t>S</w:t>
      </w:r>
      <w:r w:rsidRPr="008D3564">
        <w:rPr>
          <w:rFonts w:cs="Calibri"/>
          <w:b/>
          <w:bCs/>
          <w:szCs w:val="24"/>
        </w:rPr>
        <w:t>ummary documentation</w:t>
      </w:r>
      <w:r>
        <w:rPr>
          <w:rFonts w:cs="Calibri"/>
          <w:szCs w:val="24"/>
        </w:rPr>
        <w:t xml:space="preserve"> templates.  </w:t>
      </w:r>
    </w:p>
    <w:p w14:paraId="2F51A879" w14:textId="77777777" w:rsidR="009E70F4" w:rsidRPr="009121F9" w:rsidRDefault="00B57C39"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2" w:name="_Toc389473277"/>
            <w:bookmarkStart w:id="13" w:name="_Toc75775922"/>
            <w:r w:rsidRPr="003D2D06">
              <w:t>Scope</w:t>
            </w:r>
            <w:bookmarkEnd w:id="12"/>
            <w:bookmarkEnd w:id="13"/>
          </w:p>
        </w:tc>
      </w:tr>
    </w:tbl>
    <w:p w14:paraId="2F51A87C" w14:textId="77777777" w:rsidR="007B6904" w:rsidRPr="00CD1C0E" w:rsidRDefault="007B6904" w:rsidP="007B6904">
      <w:pPr>
        <w:rPr>
          <w:szCs w:val="24"/>
        </w:rPr>
      </w:pPr>
    </w:p>
    <w:p w14:paraId="0CA1C76C" w14:textId="77777777" w:rsidR="0030158D" w:rsidRDefault="0030158D" w:rsidP="0030158D">
      <w:pPr>
        <w:rPr>
          <w:rFonts w:cs="Calibri"/>
          <w:szCs w:val="24"/>
        </w:rPr>
      </w:pPr>
      <w:r>
        <w:rPr>
          <w:rFonts w:cs="Calibri"/>
          <w:szCs w:val="24"/>
        </w:rPr>
        <w:t>This document applies to:</w:t>
      </w:r>
    </w:p>
    <w:p w14:paraId="356C3A00" w14:textId="77777777" w:rsidR="0030158D" w:rsidRPr="005D2B82" w:rsidRDefault="0030158D" w:rsidP="0030158D">
      <w:pPr>
        <w:pStyle w:val="ListParagraph"/>
        <w:numPr>
          <w:ilvl w:val="0"/>
          <w:numId w:val="12"/>
        </w:numPr>
        <w:rPr>
          <w:rFonts w:cs="Calibri"/>
          <w:szCs w:val="24"/>
        </w:rPr>
      </w:pPr>
      <w:r w:rsidRPr="005D2B82">
        <w:rPr>
          <w:rFonts w:cs="Calibri"/>
          <w:szCs w:val="24"/>
        </w:rPr>
        <w:t xml:space="preserve">Medical Officers </w:t>
      </w:r>
    </w:p>
    <w:p w14:paraId="13F9DB95" w14:textId="48BDACCE" w:rsidR="0030158D" w:rsidRPr="00846EF0" w:rsidRDefault="0030158D" w:rsidP="0030158D">
      <w:pPr>
        <w:pStyle w:val="ListParagraph"/>
        <w:numPr>
          <w:ilvl w:val="0"/>
          <w:numId w:val="12"/>
        </w:numPr>
        <w:rPr>
          <w:rFonts w:cs="Calibri"/>
          <w:szCs w:val="24"/>
        </w:rPr>
      </w:pPr>
      <w:r w:rsidRPr="00846EF0">
        <w:rPr>
          <w:rFonts w:cs="Calibri"/>
          <w:szCs w:val="24"/>
        </w:rPr>
        <w:t xml:space="preserve">Registered Nurse and Midwives </w:t>
      </w:r>
      <w:r>
        <w:rPr>
          <w:rFonts w:cs="Calibri"/>
          <w:szCs w:val="24"/>
        </w:rPr>
        <w:t xml:space="preserve">working </w:t>
      </w:r>
      <w:r w:rsidRPr="00846EF0">
        <w:rPr>
          <w:rFonts w:cs="Calibri"/>
          <w:szCs w:val="24"/>
        </w:rPr>
        <w:t xml:space="preserve">within their scope of </w:t>
      </w:r>
      <w:r w:rsidRPr="005D2B82">
        <w:rPr>
          <w:rFonts w:cs="Calibri"/>
          <w:szCs w:val="24"/>
        </w:rPr>
        <w:t>practice</w:t>
      </w:r>
      <w:r w:rsidR="003763D3">
        <w:rPr>
          <w:rFonts w:cs="Calibri"/>
          <w:szCs w:val="24"/>
        </w:rPr>
        <w:t>.</w:t>
      </w:r>
    </w:p>
    <w:p w14:paraId="7369A4D7" w14:textId="77777777" w:rsidR="0030158D" w:rsidRDefault="0030158D" w:rsidP="0030158D">
      <w:pPr>
        <w:rPr>
          <w:rFonts w:cs="Calibri"/>
          <w:szCs w:val="24"/>
        </w:rPr>
      </w:pPr>
    </w:p>
    <w:p w14:paraId="36E5B169" w14:textId="77777777" w:rsidR="0030158D" w:rsidRDefault="0030158D" w:rsidP="0030158D">
      <w:pPr>
        <w:rPr>
          <w:rFonts w:cs="Calibri"/>
          <w:szCs w:val="24"/>
        </w:rPr>
      </w:pPr>
      <w:r>
        <w:rPr>
          <w:rFonts w:cs="Calibri"/>
          <w:szCs w:val="24"/>
        </w:rPr>
        <w:t>An inpatient Discharge Summary is required for all:</w:t>
      </w:r>
    </w:p>
    <w:p w14:paraId="24D3D2CD" w14:textId="77777777" w:rsidR="0030158D" w:rsidRDefault="0030158D" w:rsidP="0030158D">
      <w:pPr>
        <w:pStyle w:val="ListParagraph"/>
        <w:numPr>
          <w:ilvl w:val="0"/>
          <w:numId w:val="13"/>
        </w:numPr>
        <w:rPr>
          <w:rFonts w:cs="Calibri"/>
          <w:szCs w:val="24"/>
        </w:rPr>
      </w:pPr>
      <w:r w:rsidRPr="00772DE9">
        <w:rPr>
          <w:rFonts w:cs="Calibri"/>
          <w:szCs w:val="24"/>
        </w:rPr>
        <w:t>admitted patients</w:t>
      </w:r>
    </w:p>
    <w:p w14:paraId="6D4ACB27" w14:textId="77777777" w:rsidR="0030158D" w:rsidRDefault="0030158D" w:rsidP="0030158D">
      <w:pPr>
        <w:pStyle w:val="ListParagraph"/>
        <w:numPr>
          <w:ilvl w:val="0"/>
          <w:numId w:val="13"/>
        </w:numPr>
        <w:rPr>
          <w:rFonts w:cs="Calibri"/>
          <w:szCs w:val="24"/>
        </w:rPr>
      </w:pPr>
      <w:r>
        <w:rPr>
          <w:rFonts w:cs="Calibri"/>
          <w:szCs w:val="24"/>
        </w:rPr>
        <w:t>deceased patients</w:t>
      </w:r>
    </w:p>
    <w:p w14:paraId="69607859" w14:textId="2F9B41F0" w:rsidR="0030158D" w:rsidRPr="00772DE9" w:rsidRDefault="0030158D" w:rsidP="0030158D">
      <w:pPr>
        <w:pStyle w:val="ListParagraph"/>
        <w:numPr>
          <w:ilvl w:val="0"/>
          <w:numId w:val="13"/>
        </w:numPr>
        <w:rPr>
          <w:rFonts w:cs="Calibri"/>
          <w:szCs w:val="24"/>
        </w:rPr>
      </w:pPr>
      <w:r>
        <w:rPr>
          <w:rFonts w:cs="Calibri"/>
          <w:szCs w:val="24"/>
        </w:rPr>
        <w:t>admitted patients who leave against medical advice</w:t>
      </w:r>
      <w:r w:rsidR="003763D3">
        <w:rPr>
          <w:rFonts w:cs="Calibri"/>
          <w:szCs w:val="24"/>
        </w:rPr>
        <w:t>.</w:t>
      </w:r>
      <w:r w:rsidRPr="00772DE9">
        <w:rPr>
          <w:rFonts w:cs="Calibri"/>
          <w:szCs w:val="24"/>
        </w:rPr>
        <w:t xml:space="preserve">  </w:t>
      </w:r>
    </w:p>
    <w:p w14:paraId="34F5DECD" w14:textId="77777777" w:rsidR="0030158D" w:rsidRDefault="0030158D" w:rsidP="0030158D">
      <w:pPr>
        <w:rPr>
          <w:rFonts w:cs="Calibri"/>
          <w:szCs w:val="24"/>
        </w:rPr>
      </w:pPr>
    </w:p>
    <w:p w14:paraId="57712A99" w14:textId="77777777" w:rsidR="0030158D" w:rsidRDefault="0030158D" w:rsidP="0030158D">
      <w:pPr>
        <w:rPr>
          <w:rFonts w:cs="Calibri"/>
          <w:szCs w:val="24"/>
        </w:rPr>
      </w:pPr>
      <w:r>
        <w:rPr>
          <w:rFonts w:cs="Calibri"/>
          <w:szCs w:val="24"/>
        </w:rPr>
        <w:t>Exclusions:</w:t>
      </w:r>
    </w:p>
    <w:p w14:paraId="2B7C1E67" w14:textId="723D6BA0" w:rsidR="0030158D" w:rsidRDefault="0030158D" w:rsidP="0030158D">
      <w:pPr>
        <w:pStyle w:val="ListParagraph"/>
        <w:numPr>
          <w:ilvl w:val="0"/>
          <w:numId w:val="14"/>
        </w:numPr>
        <w:rPr>
          <w:rFonts w:cs="Calibri"/>
          <w:szCs w:val="24"/>
        </w:rPr>
      </w:pPr>
      <w:r>
        <w:rPr>
          <w:rFonts w:cs="Calibri"/>
          <w:szCs w:val="24"/>
        </w:rPr>
        <w:t>Day only dialysis admissions</w:t>
      </w:r>
      <w:r w:rsidR="003763D3">
        <w:rPr>
          <w:rFonts w:cs="Calibri"/>
          <w:szCs w:val="24"/>
        </w:rPr>
        <w:t>.</w:t>
      </w:r>
      <w:r>
        <w:rPr>
          <w:rFonts w:cs="Calibri"/>
          <w:szCs w:val="24"/>
        </w:rPr>
        <w:t xml:space="preserve"> </w:t>
      </w:r>
    </w:p>
    <w:p w14:paraId="7B535D6E" w14:textId="77B90F30" w:rsidR="006E1323" w:rsidRDefault="006E1323" w:rsidP="006E1323">
      <w:pPr>
        <w:rPr>
          <w:rFonts w:cs="Calibri"/>
          <w:szCs w:val="24"/>
        </w:rPr>
      </w:pPr>
    </w:p>
    <w:p w14:paraId="54CC5209" w14:textId="4C526E2C" w:rsidR="006E1323" w:rsidRPr="006E1323" w:rsidRDefault="006E1323" w:rsidP="006E1323">
      <w:pPr>
        <w:rPr>
          <w:rFonts w:cs="Calibri"/>
          <w:szCs w:val="24"/>
        </w:rPr>
      </w:pPr>
      <w:r>
        <w:rPr>
          <w:rFonts w:cs="Calibri"/>
          <w:szCs w:val="24"/>
        </w:rPr>
        <w:t xml:space="preserve">While this procedure refers to Medical Officer inpatient </w:t>
      </w:r>
      <w:r w:rsidR="00B0344C">
        <w:rPr>
          <w:rFonts w:cs="Calibri"/>
          <w:szCs w:val="24"/>
        </w:rPr>
        <w:t>D</w:t>
      </w:r>
      <w:r>
        <w:rPr>
          <w:rFonts w:cs="Calibri"/>
          <w:szCs w:val="24"/>
        </w:rPr>
        <w:t xml:space="preserve">ischarge </w:t>
      </w:r>
      <w:r w:rsidR="00B0344C">
        <w:rPr>
          <w:rFonts w:cs="Calibri"/>
          <w:szCs w:val="24"/>
        </w:rPr>
        <w:t>S</w:t>
      </w:r>
      <w:r>
        <w:rPr>
          <w:rFonts w:cs="Calibri"/>
          <w:szCs w:val="24"/>
        </w:rPr>
        <w:t>ummaries</w:t>
      </w:r>
      <w:r w:rsidR="00086F20">
        <w:rPr>
          <w:rFonts w:cs="Calibri"/>
          <w:szCs w:val="24"/>
        </w:rPr>
        <w:t>,</w:t>
      </w:r>
      <w:r>
        <w:rPr>
          <w:rFonts w:cs="Calibri"/>
          <w:szCs w:val="24"/>
        </w:rPr>
        <w:t xml:space="preserve"> input from Allied Health clinicians should be include</w:t>
      </w:r>
      <w:r w:rsidR="00F15938">
        <w:rPr>
          <w:rFonts w:cs="Calibri"/>
          <w:szCs w:val="24"/>
        </w:rPr>
        <w:t>d</w:t>
      </w:r>
      <w:r>
        <w:rPr>
          <w:rFonts w:cs="Calibri"/>
          <w:szCs w:val="24"/>
        </w:rPr>
        <w:t xml:space="preserve"> where appropriate.</w:t>
      </w:r>
    </w:p>
    <w:p w14:paraId="2F51A886" w14:textId="77777777" w:rsidR="001F2A9B" w:rsidRDefault="001F2A9B" w:rsidP="00F14EC1"/>
    <w:p w14:paraId="2F51A887" w14:textId="77777777" w:rsidR="007B6904" w:rsidRPr="00CD1C0E" w:rsidRDefault="00B57C39"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2FB42705" w:rsidR="007B6904" w:rsidRPr="00C76688" w:rsidRDefault="007B6904" w:rsidP="00931B93">
            <w:pPr>
              <w:pStyle w:val="Heading1"/>
            </w:pPr>
            <w:bookmarkStart w:id="14" w:name="_Toc389473278"/>
            <w:bookmarkStart w:id="15" w:name="_Toc75775923"/>
            <w:r w:rsidRPr="00C76688">
              <w:t>Section 1 –</w:t>
            </w:r>
            <w:r>
              <w:t xml:space="preserve"> </w:t>
            </w:r>
            <w:r w:rsidR="00CC08CA" w:rsidRPr="008739C2">
              <w:rPr>
                <w:rFonts w:cs="Calibri"/>
                <w:szCs w:val="24"/>
              </w:rPr>
              <w:t xml:space="preserve"> Responsibility for Discharge Summary </w:t>
            </w:r>
            <w:r w:rsidR="00B0344C">
              <w:rPr>
                <w:rFonts w:cs="Calibri"/>
                <w:szCs w:val="24"/>
              </w:rPr>
              <w:t>C</w:t>
            </w:r>
            <w:r w:rsidR="00CC08CA" w:rsidRPr="008739C2">
              <w:rPr>
                <w:rFonts w:cs="Calibri"/>
                <w:szCs w:val="24"/>
              </w:rPr>
              <w:t>ompletion</w:t>
            </w:r>
            <w:bookmarkEnd w:id="14"/>
            <w:bookmarkEnd w:id="15"/>
          </w:p>
        </w:tc>
      </w:tr>
    </w:tbl>
    <w:p w14:paraId="2F51A88A" w14:textId="77777777" w:rsidR="007B6904" w:rsidRDefault="007B6904" w:rsidP="007B6904">
      <w:pPr>
        <w:outlineLvl w:val="0"/>
        <w:rPr>
          <w:szCs w:val="24"/>
        </w:rPr>
      </w:pPr>
    </w:p>
    <w:p w14:paraId="03A8CE33" w14:textId="12428B1B" w:rsidR="00CC08CA" w:rsidRDefault="00CC08CA" w:rsidP="00CC08CA">
      <w:pPr>
        <w:pStyle w:val="ListParagraph"/>
        <w:ind w:left="0"/>
        <w:rPr>
          <w:rFonts w:cs="Calibri"/>
          <w:szCs w:val="24"/>
        </w:rPr>
      </w:pPr>
      <w:r>
        <w:rPr>
          <w:rFonts w:cs="Calibri"/>
          <w:szCs w:val="24"/>
        </w:rPr>
        <w:t xml:space="preserve">The discharging consultant has ultimate responsibility for ensuring the Discharge Summary is completed accurately by the day of the patient’s discharge or transfer. The Consultant, Registrars, and/or Fellows are to ensure the Junior Medical Officers (JMOs) </w:t>
      </w:r>
      <w:r w:rsidR="006B78FB">
        <w:rPr>
          <w:rFonts w:cs="Calibri"/>
          <w:szCs w:val="24"/>
        </w:rPr>
        <w:t xml:space="preserve">within their teams </w:t>
      </w:r>
      <w:r>
        <w:rPr>
          <w:rFonts w:cs="Calibri"/>
          <w:szCs w:val="24"/>
        </w:rPr>
        <w:t xml:space="preserve">are informed about specific requirements of their team and supported in the preparation of timely and high-quality Discharge Summaries.  </w:t>
      </w:r>
    </w:p>
    <w:p w14:paraId="7DFB2EE6" w14:textId="77777777" w:rsidR="00CC08CA" w:rsidRPr="00B43228" w:rsidRDefault="00CC08CA" w:rsidP="00CC08CA">
      <w:pPr>
        <w:rPr>
          <w:color w:val="000000"/>
          <w:lang w:eastAsia="en-AU"/>
        </w:rPr>
      </w:pPr>
    </w:p>
    <w:p w14:paraId="28432C7C" w14:textId="01A33B49" w:rsidR="00CC08CA" w:rsidRDefault="00CC08CA" w:rsidP="00CC08CA">
      <w:r>
        <w:t xml:space="preserve">There will be instances where JMOs are required to complete a Discharge Summary for a patient they did not see or were not directly involved in treating </w:t>
      </w:r>
      <w:proofErr w:type="gramStart"/>
      <w:r>
        <w:t>e.g.</w:t>
      </w:r>
      <w:proofErr w:type="gramEnd"/>
      <w:r>
        <w:t xml:space="preserve"> following a change of term, or for </w:t>
      </w:r>
      <w:r w:rsidR="00B0344C">
        <w:t>Intensive Care Unit (</w:t>
      </w:r>
      <w:r>
        <w:t>ICU</w:t>
      </w:r>
      <w:r w:rsidR="00B0344C">
        <w:t>)</w:t>
      </w:r>
      <w:r>
        <w:t xml:space="preserve"> patients. Where this is the case</w:t>
      </w:r>
      <w:r w:rsidR="006B78FB">
        <w:t>,</w:t>
      </w:r>
      <w:r>
        <w:t xml:space="preserve"> notation should be made on the Discharge Summary e.g. “I did not </w:t>
      </w:r>
      <w:r w:rsidR="00B0344C">
        <w:t xml:space="preserve">examine </w:t>
      </w:r>
      <w:r>
        <w:t>this patient and provide this summary of care based on my review of the clinical record”.</w:t>
      </w:r>
    </w:p>
    <w:p w14:paraId="7FD4477D" w14:textId="77777777" w:rsidR="00CC08CA" w:rsidRPr="00B43228" w:rsidRDefault="00CC08CA" w:rsidP="00CC08CA"/>
    <w:p w14:paraId="2F51A892" w14:textId="7FD75A1C" w:rsidR="007B6904" w:rsidRDefault="007B6904" w:rsidP="007B6904">
      <w:pPr>
        <w:rPr>
          <w:rFonts w:cs="Arial"/>
          <w:i/>
          <w:szCs w:val="24"/>
        </w:rPr>
      </w:pPr>
    </w:p>
    <w:p w14:paraId="2F51A893" w14:textId="77777777" w:rsidR="007B6904" w:rsidRDefault="00B57C3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7BD6557B" w:rsidR="007B6904" w:rsidRPr="00C76688" w:rsidRDefault="007B6904" w:rsidP="004213C3">
            <w:pPr>
              <w:pStyle w:val="Heading1"/>
            </w:pPr>
            <w:bookmarkStart w:id="16" w:name="_Toc75775924"/>
            <w:bookmarkStart w:id="17" w:name="_Toc389473281"/>
            <w:r w:rsidRPr="00C76688">
              <w:t xml:space="preserve">Section 2 – </w:t>
            </w:r>
            <w:r w:rsidR="006B78FB">
              <w:t>Completion Timeframes</w:t>
            </w:r>
            <w:bookmarkEnd w:id="16"/>
            <w:r w:rsidR="006B78FB">
              <w:t xml:space="preserve"> </w:t>
            </w:r>
            <w:bookmarkEnd w:id="17"/>
          </w:p>
        </w:tc>
      </w:tr>
    </w:tbl>
    <w:p w14:paraId="2F51A897" w14:textId="77777777" w:rsidR="007B6904" w:rsidRDefault="007B6904" w:rsidP="007B6904">
      <w:pPr>
        <w:rPr>
          <w:rFonts w:cs="Arial"/>
          <w:b/>
          <w:szCs w:val="24"/>
        </w:rPr>
      </w:pPr>
    </w:p>
    <w:p w14:paraId="63E44596" w14:textId="4F8405A0" w:rsidR="006B78FB" w:rsidRPr="00B43228" w:rsidRDefault="006B78FB" w:rsidP="006B78FB">
      <w:pPr>
        <w:pStyle w:val="ListParagraph"/>
        <w:ind w:left="0"/>
        <w:contextualSpacing w:val="0"/>
        <w:rPr>
          <w:rFonts w:cs="Calibri"/>
          <w:szCs w:val="24"/>
        </w:rPr>
      </w:pPr>
      <w:r>
        <w:rPr>
          <w:rFonts w:cs="Calibri"/>
          <w:szCs w:val="24"/>
        </w:rPr>
        <w:t>Completion of Discharge Summaries, or endorsed alternative discharge documentation, should be completed by the day of discharge or within</w:t>
      </w:r>
      <w:r w:rsidRPr="00B43228">
        <w:rPr>
          <w:rFonts w:cs="Calibri"/>
          <w:szCs w:val="24"/>
        </w:rPr>
        <w:t xml:space="preserve"> 48 hours </w:t>
      </w:r>
      <w:r>
        <w:rPr>
          <w:rFonts w:cs="Calibri"/>
          <w:szCs w:val="24"/>
        </w:rPr>
        <w:t xml:space="preserve">after </w:t>
      </w:r>
      <w:r w:rsidRPr="00B43228">
        <w:rPr>
          <w:rFonts w:cs="Calibri"/>
          <w:szCs w:val="24"/>
        </w:rPr>
        <w:t>discharge/transfer</w:t>
      </w:r>
      <w:r w:rsidR="00B0344C">
        <w:rPr>
          <w:rFonts w:cs="Calibri"/>
          <w:szCs w:val="24"/>
        </w:rPr>
        <w:t>,</w:t>
      </w:r>
      <w:r>
        <w:rPr>
          <w:rFonts w:cs="Calibri"/>
          <w:szCs w:val="24"/>
        </w:rPr>
        <w:t xml:space="preserve"> to adequately support ongoing clinical care and timely clinical coding</w:t>
      </w:r>
      <w:r w:rsidRPr="00B43228">
        <w:rPr>
          <w:rFonts w:cs="Calibri"/>
          <w:szCs w:val="24"/>
        </w:rPr>
        <w:t>.</w:t>
      </w:r>
      <w:r>
        <w:rPr>
          <w:rFonts w:cs="Calibri"/>
          <w:szCs w:val="24"/>
        </w:rPr>
        <w:t xml:space="preserve"> </w:t>
      </w:r>
    </w:p>
    <w:p w14:paraId="474E7404" w14:textId="77777777" w:rsidR="006B78FB" w:rsidRDefault="006B78FB" w:rsidP="006B78FB">
      <w:pPr>
        <w:pStyle w:val="ListParagraph"/>
        <w:ind w:left="0"/>
        <w:contextualSpacing w:val="0"/>
        <w:rPr>
          <w:rFonts w:cs="Calibri"/>
          <w:szCs w:val="24"/>
        </w:rPr>
      </w:pPr>
    </w:p>
    <w:p w14:paraId="27C5A634" w14:textId="10D8A26C" w:rsidR="006B78FB" w:rsidRDefault="006B78FB" w:rsidP="006B78FB">
      <w:pPr>
        <w:pStyle w:val="ListParagraph"/>
        <w:ind w:left="0"/>
        <w:contextualSpacing w:val="0"/>
        <w:rPr>
          <w:rFonts w:cs="Calibri"/>
          <w:szCs w:val="24"/>
        </w:rPr>
      </w:pPr>
      <w:r>
        <w:rPr>
          <w:rFonts w:cs="Calibri"/>
          <w:szCs w:val="24"/>
        </w:rPr>
        <w:t xml:space="preserve">Clinicians should aim for completion of </w:t>
      </w:r>
      <w:r w:rsidR="00B0344C">
        <w:rPr>
          <w:rFonts w:cs="Calibri"/>
          <w:szCs w:val="24"/>
        </w:rPr>
        <w:t>inpatient D</w:t>
      </w:r>
      <w:r>
        <w:rPr>
          <w:rFonts w:cs="Calibri"/>
          <w:szCs w:val="24"/>
        </w:rPr>
        <w:t xml:space="preserve">ischarge </w:t>
      </w:r>
      <w:r w:rsidR="00B0344C">
        <w:rPr>
          <w:rFonts w:cs="Calibri"/>
          <w:szCs w:val="24"/>
        </w:rPr>
        <w:t>S</w:t>
      </w:r>
      <w:r>
        <w:rPr>
          <w:rFonts w:cs="Calibri"/>
          <w:szCs w:val="24"/>
        </w:rPr>
        <w:t>ummaries before 10 am on the day of discharge to facilitate:</w:t>
      </w:r>
    </w:p>
    <w:p w14:paraId="6485F02E" w14:textId="53B6DF05" w:rsidR="006B78FB" w:rsidRDefault="003763D3" w:rsidP="006B78FB">
      <w:pPr>
        <w:pStyle w:val="ListBullet"/>
      </w:pPr>
      <w:r>
        <w:t>p</w:t>
      </w:r>
      <w:r w:rsidR="006B78FB">
        <w:t>atients being discharged by 10 am</w:t>
      </w:r>
    </w:p>
    <w:p w14:paraId="015C0602" w14:textId="1091DB64" w:rsidR="006B78FB" w:rsidRDefault="003763D3" w:rsidP="006B78FB">
      <w:pPr>
        <w:pStyle w:val="ListBullet"/>
      </w:pPr>
      <w:r>
        <w:t>p</w:t>
      </w:r>
      <w:r w:rsidR="006B78FB">
        <w:t xml:space="preserve">rovision of a copy and discussion of discharge/follow up instructions with the patient (and/or carer if appropriate consent has been obtained) </w:t>
      </w:r>
    </w:p>
    <w:p w14:paraId="425F206A" w14:textId="258520BA" w:rsidR="006B78FB" w:rsidRDefault="003763D3" w:rsidP="006B78FB">
      <w:pPr>
        <w:pStyle w:val="ListBullet"/>
      </w:pPr>
      <w:r>
        <w:t>a</w:t>
      </w:r>
      <w:r w:rsidR="006B78FB">
        <w:t>dequate discharge planning, and</w:t>
      </w:r>
    </w:p>
    <w:p w14:paraId="566B6A5C" w14:textId="1F7EA59B" w:rsidR="006B78FB" w:rsidRPr="00904D90" w:rsidRDefault="003763D3" w:rsidP="006B78FB">
      <w:pPr>
        <w:pStyle w:val="ListBullet"/>
      </w:pPr>
      <w:r>
        <w:t>t</w:t>
      </w:r>
      <w:r w:rsidR="006B78FB">
        <w:t xml:space="preserve">imely clinical handover to the patient’s GP and and/or community treating team. </w:t>
      </w:r>
      <w:r w:rsidR="006B78FB" w:rsidRPr="00904D90" w:rsidDel="00904D90">
        <w:rPr>
          <w:i/>
        </w:rPr>
        <w:t xml:space="preserve"> </w:t>
      </w:r>
    </w:p>
    <w:p w14:paraId="2F51A89F" w14:textId="33050D84" w:rsidR="007B6904" w:rsidRPr="00931B93" w:rsidRDefault="007B6904" w:rsidP="007B6904">
      <w:pPr>
        <w:rPr>
          <w:rFonts w:cs="Arial"/>
          <w:i/>
          <w:szCs w:val="24"/>
        </w:rPr>
      </w:pPr>
    </w:p>
    <w:p w14:paraId="2F51A8A0" w14:textId="77777777" w:rsidR="007B6904" w:rsidRDefault="00B57C3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61DBC3E7" w:rsidR="007B6904" w:rsidRPr="003D2D06" w:rsidRDefault="00962C46" w:rsidP="004213C3">
            <w:pPr>
              <w:pStyle w:val="Heading1"/>
            </w:pPr>
            <w:bookmarkStart w:id="18" w:name="_Toc389473284"/>
            <w:bookmarkStart w:id="19" w:name="_Toc75775925"/>
            <w:r>
              <w:t xml:space="preserve">Section </w:t>
            </w:r>
            <w:r w:rsidR="006B78FB">
              <w:t>3</w:t>
            </w:r>
            <w:r w:rsidR="007B6904" w:rsidRPr="003D2D06">
              <w:t xml:space="preserve"> – </w:t>
            </w:r>
            <w:r w:rsidR="006B78FB" w:rsidRPr="008739C2">
              <w:rPr>
                <w:rFonts w:cs="Calibri"/>
                <w:szCs w:val="24"/>
              </w:rPr>
              <w:t xml:space="preserve"> Completing the Discharge Summary</w:t>
            </w:r>
            <w:bookmarkEnd w:id="18"/>
            <w:bookmarkEnd w:id="19"/>
          </w:p>
        </w:tc>
      </w:tr>
    </w:tbl>
    <w:p w14:paraId="2F51A8A4" w14:textId="77777777" w:rsidR="007B6904" w:rsidRDefault="007B6904" w:rsidP="007B6904">
      <w:pPr>
        <w:pStyle w:val="Heading2"/>
      </w:pPr>
    </w:p>
    <w:p w14:paraId="6FCEC2FA" w14:textId="46F75760" w:rsidR="006B78FB" w:rsidRDefault="006B78FB" w:rsidP="006B78FB">
      <w:r w:rsidRPr="00D9241C">
        <w:t>The Discharge</w:t>
      </w:r>
      <w:r w:rsidRPr="00071EBB">
        <w:t xml:space="preserve"> Summary must be </w:t>
      </w:r>
      <w:r>
        <w:t xml:space="preserve">completed in the </w:t>
      </w:r>
      <w:r w:rsidRPr="00B43228">
        <w:t xml:space="preserve">Electronic Discharge Summary (EDS) module of the Clinical Portal, </w:t>
      </w:r>
      <w:r>
        <w:t xml:space="preserve">to ensure legibility and facilitate electronic distribution to the GP and uploading to the patient’s national My Health Record. </w:t>
      </w:r>
    </w:p>
    <w:p w14:paraId="6A1AF37E" w14:textId="77777777" w:rsidR="006B78FB" w:rsidRDefault="006B78FB" w:rsidP="006B78FB"/>
    <w:p w14:paraId="26FC2096" w14:textId="6BB75CB4" w:rsidR="006B78FB" w:rsidRDefault="006B78FB" w:rsidP="006B78FB">
      <w:r w:rsidRPr="00B43228">
        <w:t xml:space="preserve">The </w:t>
      </w:r>
      <w:r w:rsidR="00295CD5">
        <w:t>D</w:t>
      </w:r>
      <w:r>
        <w:t xml:space="preserve">ischarge </w:t>
      </w:r>
      <w:r w:rsidR="00295CD5">
        <w:t>S</w:t>
      </w:r>
      <w:r w:rsidRPr="00B43228">
        <w:t xml:space="preserve">ummary should be </w:t>
      </w:r>
      <w:r w:rsidR="00680567">
        <w:t xml:space="preserve">a concise but comprehensive summary of the patient’s inpatient journey. It should be </w:t>
      </w:r>
      <w:r w:rsidRPr="00B43228">
        <w:t xml:space="preserve">commenced </w:t>
      </w:r>
      <w:r>
        <w:t>in the EDS system as soon as possible after admission,</w:t>
      </w:r>
      <w:r w:rsidRPr="00B43228">
        <w:t xml:space="preserve"> </w:t>
      </w:r>
      <w:r>
        <w:t xml:space="preserve">to support </w:t>
      </w:r>
      <w:r w:rsidRPr="00B43228">
        <w:t>the discharge planning process</w:t>
      </w:r>
      <w:r>
        <w:t xml:space="preserve">. The electronic summary can then be </w:t>
      </w:r>
      <w:r w:rsidRPr="00B43228">
        <w:t xml:space="preserve">modified, updated and saved during the patient’s stay </w:t>
      </w:r>
      <w:r>
        <w:t xml:space="preserve">in </w:t>
      </w:r>
      <w:r w:rsidRPr="00B43228">
        <w:t>hospital</w:t>
      </w:r>
      <w:r>
        <w:t xml:space="preserve"> to ensure that </w:t>
      </w:r>
      <w:r w:rsidRPr="00B43228">
        <w:t xml:space="preserve">all relevant </w:t>
      </w:r>
      <w:r>
        <w:t xml:space="preserve">details </w:t>
      </w:r>
      <w:r w:rsidRPr="00B43228">
        <w:t xml:space="preserve">and </w:t>
      </w:r>
      <w:r>
        <w:t xml:space="preserve">complications are accurately documented, and to </w:t>
      </w:r>
      <w:r w:rsidRPr="00B43228">
        <w:t xml:space="preserve">reduce the time required to finalise the </w:t>
      </w:r>
      <w:r>
        <w:t xml:space="preserve">summary when the patient is ready for </w:t>
      </w:r>
      <w:r w:rsidRPr="00B43228">
        <w:t>discharge.</w:t>
      </w:r>
      <w:r>
        <w:t xml:space="preserve"> </w:t>
      </w:r>
    </w:p>
    <w:p w14:paraId="317ADEFA" w14:textId="77777777" w:rsidR="006B78FB" w:rsidRDefault="006B78FB" w:rsidP="006B78FB"/>
    <w:p w14:paraId="51C8F768" w14:textId="592A6F5D" w:rsidR="006B78FB" w:rsidRDefault="006B78FB" w:rsidP="006B78FB">
      <w:r w:rsidRPr="00B43228">
        <w:t xml:space="preserve">Forms for completing a handwritten discharge summary will only be made available </w:t>
      </w:r>
      <w:r w:rsidR="002446F9">
        <w:t xml:space="preserve">by HIS </w:t>
      </w:r>
      <w:r w:rsidRPr="00B43228">
        <w:t>in exceptional circumstances</w:t>
      </w:r>
      <w:r>
        <w:t xml:space="preserve"> </w:t>
      </w:r>
      <w:r w:rsidR="00866000">
        <w:t xml:space="preserve">for business continuity planning </w:t>
      </w:r>
      <w:r>
        <w:t>where the Clinical Portal is unavailable for an extended period</w:t>
      </w:r>
      <w:r w:rsidRPr="00B43228">
        <w:t xml:space="preserve">. </w:t>
      </w:r>
      <w:r w:rsidR="00866000">
        <w:t>In these scenarios t</w:t>
      </w:r>
      <w:r>
        <w:t xml:space="preserve">he handwritten </w:t>
      </w:r>
      <w:r w:rsidR="00295CD5">
        <w:t>D</w:t>
      </w:r>
      <w:r>
        <w:t xml:space="preserve">ischarge </w:t>
      </w:r>
      <w:r w:rsidR="00295CD5">
        <w:t>S</w:t>
      </w:r>
      <w:r>
        <w:t>ummary does not need to be transcribed into the Clinical Portal</w:t>
      </w:r>
      <w:r w:rsidR="00866000">
        <w:t xml:space="preserve"> and will be manually faxed </w:t>
      </w:r>
      <w:r>
        <w:t>to the patient</w:t>
      </w:r>
      <w:r w:rsidR="00866000">
        <w:t>’</w:t>
      </w:r>
      <w:r>
        <w:t xml:space="preserve">s nominated GP </w:t>
      </w:r>
      <w:r w:rsidR="00866000">
        <w:t xml:space="preserve">by </w:t>
      </w:r>
      <w:r w:rsidR="00295CD5">
        <w:t xml:space="preserve">the </w:t>
      </w:r>
      <w:r w:rsidR="00866000">
        <w:t>H</w:t>
      </w:r>
      <w:r w:rsidR="00295CD5">
        <w:t xml:space="preserve">ealth </w:t>
      </w:r>
      <w:r w:rsidR="00866000">
        <w:t>I</w:t>
      </w:r>
      <w:r w:rsidR="00295CD5">
        <w:t xml:space="preserve">nformation </w:t>
      </w:r>
      <w:r w:rsidR="00866000">
        <w:t>S</w:t>
      </w:r>
      <w:r w:rsidR="00295CD5">
        <w:t>ervice (HIS)</w:t>
      </w:r>
      <w:r>
        <w:t xml:space="preserve">. </w:t>
      </w:r>
    </w:p>
    <w:p w14:paraId="25C841C6" w14:textId="77777777" w:rsidR="006B78FB" w:rsidRDefault="006B78FB" w:rsidP="006B78FB"/>
    <w:p w14:paraId="0E901F7A" w14:textId="7ADCAAFD" w:rsidR="006B78FB" w:rsidRDefault="006B78FB" w:rsidP="006B78FB">
      <w:r w:rsidRPr="00863DE4">
        <w:t xml:space="preserve">Incomplete </w:t>
      </w:r>
      <w:r w:rsidR="00295CD5">
        <w:t>D</w:t>
      </w:r>
      <w:r w:rsidRPr="00863DE4">
        <w:t xml:space="preserve">ischarge </w:t>
      </w:r>
      <w:r w:rsidR="00295CD5">
        <w:t>S</w:t>
      </w:r>
      <w:r w:rsidRPr="00863DE4">
        <w:t xml:space="preserve">ummaries </w:t>
      </w:r>
      <w:r>
        <w:t xml:space="preserve">will </w:t>
      </w:r>
      <w:r w:rsidRPr="00863DE4">
        <w:t>remain on the Clinical Portal for six months after the discharge date</w:t>
      </w:r>
      <w:r>
        <w:t xml:space="preserve"> </w:t>
      </w:r>
      <w:r w:rsidR="00866000">
        <w:t xml:space="preserve">to allow for delayed </w:t>
      </w:r>
      <w:r>
        <w:t>completion</w:t>
      </w:r>
      <w:r w:rsidRPr="00863DE4">
        <w:t xml:space="preserve">. </w:t>
      </w:r>
      <w:r w:rsidR="00866000">
        <w:t>F</w:t>
      </w:r>
      <w:r w:rsidR="00866000" w:rsidRPr="00863DE4">
        <w:t xml:space="preserve">or assistance </w:t>
      </w:r>
      <w:r w:rsidR="00295CD5">
        <w:t xml:space="preserve">in </w:t>
      </w:r>
      <w:r w:rsidR="00866000" w:rsidRPr="00863DE4">
        <w:t>complet</w:t>
      </w:r>
      <w:r w:rsidR="00866000">
        <w:t xml:space="preserve">ing overdue </w:t>
      </w:r>
      <w:r w:rsidR="00295CD5">
        <w:t>D</w:t>
      </w:r>
      <w:r w:rsidR="00866000" w:rsidRPr="00863DE4">
        <w:t xml:space="preserve">ischarge </w:t>
      </w:r>
      <w:r w:rsidR="00295CD5">
        <w:t>S</w:t>
      </w:r>
      <w:r w:rsidR="00866000" w:rsidRPr="00863DE4">
        <w:t>ummaries</w:t>
      </w:r>
      <w:r w:rsidRPr="00863DE4">
        <w:t xml:space="preserve">, please contact </w:t>
      </w:r>
      <w:r w:rsidR="00295CD5">
        <w:t xml:space="preserve">the </w:t>
      </w:r>
      <w:r>
        <w:t>HIS</w:t>
      </w:r>
      <w:r w:rsidRPr="00863DE4">
        <w:t xml:space="preserve"> </w:t>
      </w:r>
      <w:r w:rsidR="00866000">
        <w:t xml:space="preserve">at </w:t>
      </w:r>
      <w:hyperlink r:id="rId11" w:history="1">
        <w:r w:rsidR="00866000" w:rsidRPr="00B44964">
          <w:rPr>
            <w:rStyle w:val="Hyperlink"/>
          </w:rPr>
          <w:t>CHS.HIS@act.gov.au</w:t>
        </w:r>
      </w:hyperlink>
      <w:r w:rsidRPr="00863DE4">
        <w:t>.</w:t>
      </w:r>
    </w:p>
    <w:p w14:paraId="2F51A8AB" w14:textId="776C7F3A" w:rsidR="00201FB6" w:rsidRDefault="00201FB6" w:rsidP="00201FB6">
      <w:pPr>
        <w:rPr>
          <w:rFonts w:cs="Arial"/>
          <w:i/>
          <w:szCs w:val="24"/>
        </w:rPr>
      </w:pPr>
    </w:p>
    <w:p w14:paraId="18B29563" w14:textId="77777777" w:rsidR="006B78FB" w:rsidRDefault="00B57C39" w:rsidP="007B6904">
      <w:pPr>
        <w:jc w:val="right"/>
        <w:rPr>
          <w:rStyle w:val="Hyperlink"/>
          <w:rFonts w:cs="Arial"/>
          <w:i/>
          <w:szCs w:val="24"/>
        </w:rPr>
      </w:pPr>
      <w:hyperlink w:anchor="Contents" w:history="1">
        <w:r w:rsidR="007B6904" w:rsidRPr="00590902">
          <w:rPr>
            <w:rStyle w:val="Hyperlink"/>
            <w:rFonts w:cs="Arial"/>
            <w:i/>
            <w:szCs w:val="24"/>
          </w:rPr>
          <w:t>Back to Table of Contents</w:t>
        </w:r>
      </w:hyperlink>
    </w:p>
    <w:p w14:paraId="73FF87F3" w14:textId="77777777" w:rsidR="006B78FB" w:rsidRDefault="006B78FB" w:rsidP="007B6904">
      <w:pPr>
        <w:jc w:val="right"/>
        <w:rPr>
          <w:rStyle w:val="Hyperlink"/>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6B78FB" w:rsidRPr="00CD1C0E" w14:paraId="43ADB1C8" w14:textId="77777777" w:rsidTr="003763D3">
        <w:trPr>
          <w:cantSplit/>
          <w:trHeight w:val="285"/>
        </w:trPr>
        <w:tc>
          <w:tcPr>
            <w:tcW w:w="9158" w:type="dxa"/>
            <w:shd w:val="clear" w:color="auto" w:fill="A6A6A6" w:themeFill="background1" w:themeFillShade="A6"/>
          </w:tcPr>
          <w:p w14:paraId="2D0F6BF7" w14:textId="7E989E66" w:rsidR="006B78FB" w:rsidRPr="003D2D06" w:rsidRDefault="006B78FB" w:rsidP="003763D3">
            <w:pPr>
              <w:pStyle w:val="Heading1"/>
            </w:pPr>
            <w:bookmarkStart w:id="20" w:name="_Toc75775926"/>
            <w:r>
              <w:lastRenderedPageBreak/>
              <w:t xml:space="preserve">Section </w:t>
            </w:r>
            <w:r w:rsidR="00866000">
              <w:t>4</w:t>
            </w:r>
            <w:r w:rsidRPr="003D2D06">
              <w:t xml:space="preserve"> – </w:t>
            </w:r>
            <w:r w:rsidR="00866000">
              <w:t>Discharge Summary Requirements</w:t>
            </w:r>
            <w:bookmarkEnd w:id="20"/>
            <w:r w:rsidR="00866000">
              <w:t xml:space="preserve"> </w:t>
            </w:r>
          </w:p>
        </w:tc>
      </w:tr>
    </w:tbl>
    <w:p w14:paraId="798A1155" w14:textId="77777777" w:rsidR="006B78FB" w:rsidRDefault="006B78FB" w:rsidP="006B78FB">
      <w:pPr>
        <w:pStyle w:val="Heading2"/>
      </w:pPr>
    </w:p>
    <w:p w14:paraId="5B2F7B52" w14:textId="191266BB" w:rsidR="00866000" w:rsidRDefault="00866000" w:rsidP="00866000">
      <w:r>
        <w:t xml:space="preserve">The medical </w:t>
      </w:r>
      <w:r w:rsidRPr="00B43228">
        <w:t>Discharge Summary should provide an accurate summary of the patient’s entire inpatient episode and should provide sufficient detail to allow subsequent health professionals to continue the patient’s ongoing care post-discharge.</w:t>
      </w:r>
      <w:r>
        <w:t xml:space="preserve"> </w:t>
      </w:r>
      <w:r w:rsidRPr="00B43228">
        <w:t xml:space="preserve">As a minimum, </w:t>
      </w:r>
      <w:r>
        <w:t xml:space="preserve">the Discharge Summary </w:t>
      </w:r>
      <w:r w:rsidRPr="00B43228">
        <w:t>should contain the following elements:</w:t>
      </w:r>
    </w:p>
    <w:p w14:paraId="479AE73C" w14:textId="77777777" w:rsidR="00866000" w:rsidRPr="00B43228" w:rsidRDefault="00866000" w:rsidP="00866000"/>
    <w:p w14:paraId="1CA5B899" w14:textId="77777777" w:rsidR="00866000" w:rsidRPr="002F3B63" w:rsidRDefault="00866000" w:rsidP="00866000">
      <w:pPr>
        <w:pStyle w:val="ListParagraph"/>
        <w:numPr>
          <w:ilvl w:val="0"/>
          <w:numId w:val="15"/>
        </w:numPr>
      </w:pPr>
      <w:r w:rsidRPr="00B43228">
        <w:t xml:space="preserve">Patient Identification </w:t>
      </w:r>
      <w:r w:rsidRPr="00022642">
        <w:rPr>
          <w:sz w:val="20"/>
        </w:rPr>
        <w:t>(</w:t>
      </w:r>
      <w:r w:rsidRPr="002F3B63">
        <w:t>full name, date of birth, unit record number and address)</w:t>
      </w:r>
    </w:p>
    <w:p w14:paraId="1CA78A38" w14:textId="71FBCAEE" w:rsidR="00866000" w:rsidRPr="002F3B63" w:rsidRDefault="00866000" w:rsidP="00866000">
      <w:pPr>
        <w:pStyle w:val="ListParagraph"/>
        <w:numPr>
          <w:ilvl w:val="0"/>
          <w:numId w:val="15"/>
        </w:numPr>
      </w:pPr>
      <w:r w:rsidRPr="002F3B63">
        <w:t xml:space="preserve">Admission and </w:t>
      </w:r>
      <w:r w:rsidR="00295CD5">
        <w:t>d</w:t>
      </w:r>
      <w:r w:rsidRPr="002F3B63">
        <w:t>ischarge dates</w:t>
      </w:r>
    </w:p>
    <w:p w14:paraId="626E4881" w14:textId="77777777" w:rsidR="00866000" w:rsidRPr="00B43228" w:rsidRDefault="00866000" w:rsidP="00866000">
      <w:pPr>
        <w:pStyle w:val="ListParagraph"/>
        <w:numPr>
          <w:ilvl w:val="0"/>
          <w:numId w:val="15"/>
        </w:numPr>
      </w:pPr>
      <w:r w:rsidRPr="00B43228">
        <w:t xml:space="preserve">Discharging Medical Officer’s </w:t>
      </w:r>
      <w:r>
        <w:t>n</w:t>
      </w:r>
      <w:r w:rsidRPr="00B43228">
        <w:t xml:space="preserve">ame and </w:t>
      </w:r>
      <w:r>
        <w:t>c</w:t>
      </w:r>
      <w:r w:rsidRPr="00B43228">
        <w:t>linical unit</w:t>
      </w:r>
    </w:p>
    <w:p w14:paraId="3BE0659D" w14:textId="77777777" w:rsidR="00866000" w:rsidRPr="00B43228" w:rsidRDefault="00866000" w:rsidP="00866000">
      <w:pPr>
        <w:pStyle w:val="ListParagraph"/>
        <w:numPr>
          <w:ilvl w:val="0"/>
          <w:numId w:val="15"/>
        </w:numPr>
      </w:pPr>
      <w:r w:rsidRPr="00B43228">
        <w:t>GP name and contact details</w:t>
      </w:r>
    </w:p>
    <w:p w14:paraId="2AA70F54" w14:textId="244FCD45" w:rsidR="00866000" w:rsidRPr="002F3B63" w:rsidRDefault="00866000" w:rsidP="00866000">
      <w:pPr>
        <w:pStyle w:val="ListParagraph"/>
        <w:numPr>
          <w:ilvl w:val="0"/>
          <w:numId w:val="15"/>
        </w:numPr>
      </w:pPr>
      <w:r w:rsidRPr="00B43228">
        <w:t xml:space="preserve">Primary discharge diagnosis </w:t>
      </w:r>
      <w:r w:rsidRPr="002F3B63">
        <w:t xml:space="preserve">(see </w:t>
      </w:r>
      <w:r w:rsidR="003763D3">
        <w:t>D</w:t>
      </w:r>
      <w:r w:rsidRPr="002F3B63">
        <w:t>efinition</w:t>
      </w:r>
      <w:r w:rsidR="003763D3">
        <w:t xml:space="preserve"> of Terms</w:t>
      </w:r>
      <w:r w:rsidRPr="002F3B63">
        <w:t>)</w:t>
      </w:r>
    </w:p>
    <w:p w14:paraId="6603D471" w14:textId="6FB898B1" w:rsidR="00866000" w:rsidRDefault="00866000" w:rsidP="00866000">
      <w:pPr>
        <w:pStyle w:val="ListParagraph"/>
        <w:numPr>
          <w:ilvl w:val="0"/>
          <w:numId w:val="15"/>
        </w:numPr>
      </w:pPr>
      <w:r w:rsidRPr="00B43228">
        <w:t>Additional diagnos</w:t>
      </w:r>
      <w:r>
        <w:t>e</w:t>
      </w:r>
      <w:r w:rsidRPr="00B43228">
        <w:t>s</w:t>
      </w:r>
      <w:r>
        <w:t>/complications</w:t>
      </w:r>
      <w:r w:rsidRPr="00B43228">
        <w:t xml:space="preserve"> </w:t>
      </w:r>
      <w:r w:rsidRPr="002F3B63">
        <w:t xml:space="preserve">(see </w:t>
      </w:r>
      <w:r w:rsidR="003763D3">
        <w:t>D</w:t>
      </w:r>
      <w:r w:rsidR="003763D3" w:rsidRPr="002F3B63">
        <w:t>efinition</w:t>
      </w:r>
      <w:r w:rsidR="003763D3">
        <w:t xml:space="preserve"> of Terms</w:t>
      </w:r>
      <w:r w:rsidRPr="002F3B63">
        <w:t>)</w:t>
      </w:r>
    </w:p>
    <w:p w14:paraId="3BF9E578" w14:textId="77777777" w:rsidR="00866000" w:rsidRPr="00B43228" w:rsidRDefault="00866000" w:rsidP="00866000">
      <w:pPr>
        <w:pStyle w:val="ListParagraph"/>
        <w:numPr>
          <w:ilvl w:val="0"/>
          <w:numId w:val="15"/>
        </w:numPr>
      </w:pPr>
      <w:r w:rsidRPr="00B43228">
        <w:t>Presenting history and symptoms</w:t>
      </w:r>
      <w:r>
        <w:t>,</w:t>
      </w:r>
      <w:r w:rsidRPr="00B43228">
        <w:t xml:space="preserve"> including </w:t>
      </w:r>
      <w:r>
        <w:t xml:space="preserve">any </w:t>
      </w:r>
      <w:r w:rsidRPr="00B43228">
        <w:t>relevant past history</w:t>
      </w:r>
    </w:p>
    <w:p w14:paraId="7CE4EE14" w14:textId="63A4F2BC" w:rsidR="00866000" w:rsidRPr="00B43228" w:rsidRDefault="00866000" w:rsidP="00866000">
      <w:pPr>
        <w:pStyle w:val="ListParagraph"/>
        <w:numPr>
          <w:ilvl w:val="0"/>
          <w:numId w:val="15"/>
        </w:numPr>
      </w:pPr>
      <w:r w:rsidRPr="00B43228">
        <w:t xml:space="preserve">Operations and </w:t>
      </w:r>
      <w:r w:rsidR="00295CD5">
        <w:t>p</w:t>
      </w:r>
      <w:r w:rsidRPr="00B43228">
        <w:t xml:space="preserve">rocedures performed </w:t>
      </w:r>
    </w:p>
    <w:p w14:paraId="758E6C06" w14:textId="77777777" w:rsidR="00866000" w:rsidRPr="00B43228" w:rsidRDefault="00866000" w:rsidP="00866000">
      <w:pPr>
        <w:pStyle w:val="ListParagraph"/>
        <w:numPr>
          <w:ilvl w:val="0"/>
          <w:numId w:val="15"/>
        </w:numPr>
      </w:pPr>
      <w:r w:rsidRPr="00B43228">
        <w:t>Summary of management and investigations</w:t>
      </w:r>
    </w:p>
    <w:p w14:paraId="73D31EA2" w14:textId="184D93D6" w:rsidR="00866000" w:rsidRPr="00B43228" w:rsidRDefault="00866000" w:rsidP="00866000">
      <w:pPr>
        <w:pStyle w:val="ListParagraph"/>
        <w:numPr>
          <w:ilvl w:val="0"/>
          <w:numId w:val="15"/>
        </w:numPr>
      </w:pPr>
      <w:r>
        <w:t>Follow-up requirements including any referrals</w:t>
      </w:r>
      <w:r w:rsidR="002240A7">
        <w:t xml:space="preserve"> and details of any follow-up appointments </w:t>
      </w:r>
    </w:p>
    <w:p w14:paraId="054B21D2" w14:textId="3BF4EA4D" w:rsidR="00866000" w:rsidRPr="002F3B63" w:rsidRDefault="00866000" w:rsidP="00866000">
      <w:pPr>
        <w:pStyle w:val="ListParagraph"/>
        <w:numPr>
          <w:ilvl w:val="0"/>
          <w:numId w:val="15"/>
        </w:numPr>
      </w:pPr>
      <w:r w:rsidRPr="00B43228">
        <w:t xml:space="preserve">Medications at discharge </w:t>
      </w:r>
      <w:r w:rsidRPr="002F3B63">
        <w:t xml:space="preserve">(see </w:t>
      </w:r>
      <w:r w:rsidR="003763D3">
        <w:t>D</w:t>
      </w:r>
      <w:r w:rsidR="003763D3" w:rsidRPr="002F3B63">
        <w:t>efinition</w:t>
      </w:r>
      <w:r w:rsidR="003763D3">
        <w:t xml:space="preserve"> of Terms</w:t>
      </w:r>
      <w:r w:rsidRPr="002F3B63">
        <w:t xml:space="preserve">) </w:t>
      </w:r>
      <w:r>
        <w:t xml:space="preserve">including new medications, dose changes, ceased medication and instructions. </w:t>
      </w:r>
    </w:p>
    <w:p w14:paraId="2E5D173C" w14:textId="77777777" w:rsidR="00866000" w:rsidRPr="00B43228" w:rsidRDefault="00866000" w:rsidP="00866000">
      <w:pPr>
        <w:pStyle w:val="ListParagraph"/>
        <w:numPr>
          <w:ilvl w:val="0"/>
          <w:numId w:val="15"/>
        </w:numPr>
      </w:pPr>
      <w:r w:rsidRPr="00B43228">
        <w:t>Author</w:t>
      </w:r>
      <w:r>
        <w:t>’s</w:t>
      </w:r>
      <w:r w:rsidRPr="00B43228">
        <w:t xml:space="preserve"> name, signature</w:t>
      </w:r>
      <w:r>
        <w:t>, designation,</w:t>
      </w:r>
      <w:r w:rsidRPr="00B43228">
        <w:t xml:space="preserve"> and date completed</w:t>
      </w:r>
      <w:r>
        <w:t>.</w:t>
      </w:r>
    </w:p>
    <w:p w14:paraId="44511723" w14:textId="77777777" w:rsidR="00866000" w:rsidRDefault="00866000" w:rsidP="00866000"/>
    <w:p w14:paraId="75F17859" w14:textId="2495AA28" w:rsidR="00866000" w:rsidRPr="00B43228" w:rsidRDefault="00866000" w:rsidP="00866000">
      <w:r>
        <w:t xml:space="preserve">Some specific types of </w:t>
      </w:r>
      <w:r w:rsidRPr="00B43228">
        <w:t>inpatient episodes</w:t>
      </w:r>
      <w:r w:rsidR="00E010A3">
        <w:t xml:space="preserve"> (see Appendix A)</w:t>
      </w:r>
      <w:r w:rsidRPr="00B43228">
        <w:t xml:space="preserve"> do not require </w:t>
      </w:r>
      <w:r>
        <w:t xml:space="preserve">a </w:t>
      </w:r>
      <w:r w:rsidRPr="00B43228">
        <w:t>full</w:t>
      </w:r>
      <w:r w:rsidR="00295CD5">
        <w:t>y</w:t>
      </w:r>
      <w:r>
        <w:t xml:space="preserve"> </w:t>
      </w:r>
      <w:r w:rsidRPr="00B43228">
        <w:t xml:space="preserve">detailed </w:t>
      </w:r>
      <w:r>
        <w:t>Discharge S</w:t>
      </w:r>
      <w:r w:rsidRPr="00B43228">
        <w:t xml:space="preserve">ummary </w:t>
      </w:r>
      <w:r>
        <w:t xml:space="preserve">and endorsed alternative discharge documentation will be accepted in these cases. </w:t>
      </w:r>
    </w:p>
    <w:p w14:paraId="4BA2D7FB" w14:textId="77777777" w:rsidR="00866000" w:rsidRDefault="00866000" w:rsidP="00866000">
      <w:pPr>
        <w:rPr>
          <w:b/>
        </w:rPr>
      </w:pPr>
    </w:p>
    <w:p w14:paraId="3B21D3A9" w14:textId="3701932A" w:rsidR="006B78FB" w:rsidRDefault="00866000" w:rsidP="00866000">
      <w:pPr>
        <w:rPr>
          <w:rFonts w:cs="Arial"/>
          <w:b/>
          <w:szCs w:val="24"/>
        </w:rPr>
      </w:pPr>
      <w:r>
        <w:t>For f</w:t>
      </w:r>
      <w:r w:rsidRPr="00B43228">
        <w:t>urther advice relating to the content of discharge summaries and clinical documentation</w:t>
      </w:r>
      <w:r>
        <w:t>,</w:t>
      </w:r>
      <w:r w:rsidRPr="00B43228">
        <w:t xml:space="preserve"> </w:t>
      </w:r>
      <w:r>
        <w:t xml:space="preserve">contact the </w:t>
      </w:r>
      <w:r w:rsidR="002240A7">
        <w:t xml:space="preserve">HIS </w:t>
      </w:r>
      <w:r>
        <w:t>Clinical Coding Manager, on 5124 2124</w:t>
      </w:r>
      <w:r w:rsidR="002240A7">
        <w:t xml:space="preserve"> or email </w:t>
      </w:r>
      <w:hyperlink r:id="rId12" w:history="1">
        <w:r w:rsidR="002240A7" w:rsidRPr="00B44964">
          <w:rPr>
            <w:rStyle w:val="Hyperlink"/>
          </w:rPr>
          <w:t>CHS.HIS@act.gov.au</w:t>
        </w:r>
      </w:hyperlink>
      <w:r w:rsidR="002240A7">
        <w:t xml:space="preserve"> </w:t>
      </w:r>
    </w:p>
    <w:p w14:paraId="0B7FD179" w14:textId="77777777" w:rsidR="003763D3" w:rsidRDefault="003763D3" w:rsidP="006B78FB">
      <w:pPr>
        <w:jc w:val="right"/>
      </w:pPr>
    </w:p>
    <w:p w14:paraId="39DC9B44" w14:textId="4193B5EC" w:rsidR="006B78FB" w:rsidRDefault="00B57C39" w:rsidP="003763D3">
      <w:pPr>
        <w:jc w:val="right"/>
        <w:rPr>
          <w:rStyle w:val="Hyperlink"/>
          <w:rFonts w:cs="Arial"/>
          <w:i/>
          <w:szCs w:val="24"/>
        </w:rPr>
      </w:pPr>
      <w:hyperlink w:anchor="Contents" w:history="1">
        <w:r w:rsidR="006B78FB"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B78FB" w:rsidRPr="00CD1C0E" w14:paraId="4EEEC330" w14:textId="77777777" w:rsidTr="003763D3">
        <w:trPr>
          <w:cantSplit/>
          <w:trHeight w:val="285"/>
        </w:trPr>
        <w:tc>
          <w:tcPr>
            <w:tcW w:w="9158" w:type="dxa"/>
            <w:shd w:val="clear" w:color="auto" w:fill="A6A6A6" w:themeFill="background1" w:themeFillShade="A6"/>
          </w:tcPr>
          <w:p w14:paraId="5F3D54E5" w14:textId="42D19062" w:rsidR="006B78FB" w:rsidRPr="003D2D06" w:rsidRDefault="006B78FB" w:rsidP="003763D3">
            <w:pPr>
              <w:pStyle w:val="Heading1"/>
            </w:pPr>
            <w:bookmarkStart w:id="21" w:name="_Toc75775927"/>
            <w:r>
              <w:t xml:space="preserve">Section </w:t>
            </w:r>
            <w:r w:rsidR="002240A7">
              <w:t>5</w:t>
            </w:r>
            <w:r w:rsidRPr="003D2D06">
              <w:t xml:space="preserve"> – C</w:t>
            </w:r>
            <w:r w:rsidR="002240A7">
              <w:t>are Type Changes</w:t>
            </w:r>
            <w:bookmarkEnd w:id="21"/>
            <w:r w:rsidR="002240A7">
              <w:t xml:space="preserve"> </w:t>
            </w:r>
          </w:p>
        </w:tc>
      </w:tr>
    </w:tbl>
    <w:p w14:paraId="38C2D4CA" w14:textId="77777777" w:rsidR="006B78FB" w:rsidRDefault="006B78FB" w:rsidP="006B78FB">
      <w:pPr>
        <w:pStyle w:val="Heading2"/>
      </w:pPr>
    </w:p>
    <w:p w14:paraId="1E04A98D" w14:textId="1CAD93DB" w:rsidR="002240A7" w:rsidRDefault="002240A7" w:rsidP="002240A7">
      <w:pPr>
        <w:pStyle w:val="ListParagraph"/>
        <w:ind w:left="0"/>
        <w:contextualSpacing w:val="0"/>
        <w:rPr>
          <w:rFonts w:cs="Calibri"/>
          <w:szCs w:val="24"/>
        </w:rPr>
      </w:pPr>
      <w:r w:rsidRPr="00D9241C">
        <w:rPr>
          <w:rFonts w:cs="Calibri"/>
          <w:szCs w:val="24"/>
        </w:rPr>
        <w:t xml:space="preserve">If a patient has had a Care Type Change or Statistical Discharge and Statistical </w:t>
      </w:r>
      <w:r w:rsidR="00295CD5">
        <w:rPr>
          <w:rFonts w:cs="Calibri"/>
          <w:szCs w:val="24"/>
        </w:rPr>
        <w:t>R</w:t>
      </w:r>
      <w:r w:rsidRPr="00D9241C">
        <w:rPr>
          <w:rFonts w:cs="Calibri"/>
          <w:szCs w:val="24"/>
        </w:rPr>
        <w:t xml:space="preserve">e-admission during their hospital stay, a Notification of Care Type Change Form will be required for the initial episode(s) of care, and a </w:t>
      </w:r>
      <w:r w:rsidR="00E010A3">
        <w:rPr>
          <w:rFonts w:cs="Calibri"/>
          <w:szCs w:val="24"/>
        </w:rPr>
        <w:t xml:space="preserve">full </w:t>
      </w:r>
      <w:r w:rsidRPr="00D9241C">
        <w:rPr>
          <w:rFonts w:cs="Calibri"/>
          <w:szCs w:val="24"/>
        </w:rPr>
        <w:t xml:space="preserve">Clinical Portal </w:t>
      </w:r>
      <w:r w:rsidR="00295CD5">
        <w:rPr>
          <w:rFonts w:cs="Calibri"/>
          <w:szCs w:val="24"/>
        </w:rPr>
        <w:t>D</w:t>
      </w:r>
      <w:r w:rsidRPr="00D9241C">
        <w:rPr>
          <w:rFonts w:cs="Calibri"/>
          <w:szCs w:val="24"/>
        </w:rPr>
        <w:t xml:space="preserve">ischarge </w:t>
      </w:r>
      <w:r w:rsidR="00295CD5">
        <w:rPr>
          <w:rFonts w:cs="Calibri"/>
          <w:szCs w:val="24"/>
        </w:rPr>
        <w:t>S</w:t>
      </w:r>
      <w:r w:rsidRPr="00D9241C">
        <w:rPr>
          <w:rFonts w:cs="Calibri"/>
          <w:szCs w:val="24"/>
        </w:rPr>
        <w:t>ummary will be required at the time of formal</w:t>
      </w:r>
      <w:r>
        <w:rPr>
          <w:rFonts w:cs="Calibri"/>
          <w:szCs w:val="24"/>
        </w:rPr>
        <w:t xml:space="preserve">/physical </w:t>
      </w:r>
      <w:r w:rsidRPr="00D9241C">
        <w:rPr>
          <w:rFonts w:cs="Calibri"/>
          <w:szCs w:val="24"/>
        </w:rPr>
        <w:t xml:space="preserve">discharge from </w:t>
      </w:r>
      <w:r w:rsidR="003C0D47">
        <w:rPr>
          <w:rFonts w:cs="Calibri"/>
          <w:szCs w:val="24"/>
        </w:rPr>
        <w:t xml:space="preserve">Canberra Health Services. </w:t>
      </w:r>
    </w:p>
    <w:p w14:paraId="33E95533" w14:textId="4F91623F" w:rsidR="002240A7" w:rsidRDefault="002240A7" w:rsidP="002240A7">
      <w:pPr>
        <w:pStyle w:val="ListParagraph"/>
        <w:ind w:left="0"/>
        <w:contextualSpacing w:val="0"/>
        <w:rPr>
          <w:rFonts w:cs="Calibri"/>
          <w:szCs w:val="24"/>
        </w:rPr>
      </w:pPr>
    </w:p>
    <w:p w14:paraId="1772F49D" w14:textId="6DC06463" w:rsidR="002240A7" w:rsidRDefault="002240A7" w:rsidP="002240A7">
      <w:pPr>
        <w:pStyle w:val="ListParagraph"/>
        <w:ind w:left="0"/>
        <w:contextualSpacing w:val="0"/>
      </w:pPr>
      <w:r>
        <w:t xml:space="preserve">The </w:t>
      </w:r>
      <w:r w:rsidR="00295CD5">
        <w:t>D</w:t>
      </w:r>
      <w:r>
        <w:t xml:space="preserve">ischarge </w:t>
      </w:r>
      <w:r w:rsidR="00295CD5">
        <w:t>S</w:t>
      </w:r>
      <w:r>
        <w:t xml:space="preserve">ummary completed in the Clinical Portal should contain information regarding the entire hospital stay. In </w:t>
      </w:r>
      <w:r w:rsidR="00295CD5">
        <w:t>E</w:t>
      </w:r>
      <w:r>
        <w:t xml:space="preserve">xample </w:t>
      </w:r>
      <w:r w:rsidR="00295CD5">
        <w:t xml:space="preserve">1 </w:t>
      </w:r>
      <w:r>
        <w:t xml:space="preserve">below, the patient was </w:t>
      </w:r>
      <w:proofErr w:type="gramStart"/>
      <w:r>
        <w:t>first  admitted</w:t>
      </w:r>
      <w:proofErr w:type="gramEnd"/>
      <w:r>
        <w:t xml:space="preserve"> as an </w:t>
      </w:r>
      <w:r w:rsidR="00753423">
        <w:t>A</w:t>
      </w:r>
      <w:r>
        <w:t xml:space="preserve">cute </w:t>
      </w:r>
      <w:r w:rsidR="00753423">
        <w:t>C</w:t>
      </w:r>
      <w:r w:rsidR="00295CD5">
        <w:t xml:space="preserve">are </w:t>
      </w:r>
      <w:r>
        <w:t xml:space="preserve">patient on 17 October, and was then statistically discharged on 18 October to  </w:t>
      </w:r>
      <w:r w:rsidR="00753423">
        <w:t>P</w:t>
      </w:r>
      <w:r>
        <w:t>alliative care, because the clinical intent had changed from Acute care to Palliative care</w:t>
      </w:r>
      <w:r w:rsidR="00753423">
        <w:t xml:space="preserve">. </w:t>
      </w:r>
      <w:proofErr w:type="gramStart"/>
      <w:r w:rsidR="00753423">
        <w:lastRenderedPageBreak/>
        <w:t>However</w:t>
      </w:r>
      <w:proofErr w:type="gramEnd"/>
      <w:r>
        <w:t xml:space="preserve"> the patient remained an inpatient of Canberra </w:t>
      </w:r>
      <w:r w:rsidR="003C0D47">
        <w:t xml:space="preserve">Health Services </w:t>
      </w:r>
      <w:r>
        <w:t xml:space="preserve">for the entire period, </w:t>
      </w:r>
      <w:r w:rsidR="00753423">
        <w:t xml:space="preserve">hence </w:t>
      </w:r>
      <w:r>
        <w:t xml:space="preserve">the summary should cover both the Acute and the Palliative episodes of care.  </w:t>
      </w:r>
    </w:p>
    <w:p w14:paraId="68099010" w14:textId="77777777" w:rsidR="00E45F8F" w:rsidRDefault="00E45F8F" w:rsidP="002240A7">
      <w:pPr>
        <w:pStyle w:val="ListParagraph"/>
        <w:ind w:left="0"/>
        <w:contextualSpacing w:val="0"/>
      </w:pPr>
    </w:p>
    <w:p w14:paraId="281E4052" w14:textId="7E9BEF2F" w:rsidR="00753423" w:rsidRPr="00E45F8F" w:rsidRDefault="00753423" w:rsidP="002240A7">
      <w:pPr>
        <w:pStyle w:val="ListParagraph"/>
        <w:ind w:left="0"/>
        <w:contextualSpacing w:val="0"/>
        <w:rPr>
          <w:rFonts w:cs="Calibri"/>
          <w:szCs w:val="24"/>
          <w:u w:val="single"/>
        </w:rPr>
      </w:pPr>
      <w:r w:rsidRPr="00E45F8F">
        <w:rPr>
          <w:u w:val="single"/>
        </w:rPr>
        <w:t>Example 1</w:t>
      </w:r>
    </w:p>
    <w:p w14:paraId="19764A3D" w14:textId="77777777" w:rsidR="002240A7" w:rsidRDefault="002240A7" w:rsidP="002240A7">
      <w:r>
        <w:rPr>
          <w:noProof/>
        </w:rPr>
        <w:drawing>
          <wp:inline distT="0" distB="0" distL="0" distR="0" wp14:anchorId="72F57781" wp14:editId="4DF696A9">
            <wp:extent cx="513016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130164" cy="1499235"/>
                    </a:xfrm>
                    <a:prstGeom prst="rect">
                      <a:avLst/>
                    </a:prstGeom>
                  </pic:spPr>
                </pic:pic>
              </a:graphicData>
            </a:graphic>
          </wp:inline>
        </w:drawing>
      </w:r>
    </w:p>
    <w:p w14:paraId="6A0ACF4A" w14:textId="77777777" w:rsidR="002240A7" w:rsidRDefault="002240A7" w:rsidP="002240A7"/>
    <w:p w14:paraId="3BBF2E83" w14:textId="51E8B6EA" w:rsidR="002240A7" w:rsidRDefault="002240A7" w:rsidP="002240A7">
      <w:r>
        <w:t xml:space="preserve">Similarly, in </w:t>
      </w:r>
      <w:r w:rsidR="00753423">
        <w:t>E</w:t>
      </w:r>
      <w:r>
        <w:t xml:space="preserve">xample 2 below, the summary should cover both the Acute episode and the Maintenance (Non-Acute) episode of care for the patient during that hospital stay. </w:t>
      </w:r>
    </w:p>
    <w:p w14:paraId="30682F42" w14:textId="6184C27C" w:rsidR="002240A7" w:rsidRDefault="002240A7" w:rsidP="002240A7"/>
    <w:p w14:paraId="3D260343" w14:textId="0C36BB05" w:rsidR="00753423" w:rsidRPr="00E45F8F" w:rsidRDefault="00753423" w:rsidP="002240A7">
      <w:pPr>
        <w:rPr>
          <w:u w:val="single"/>
        </w:rPr>
      </w:pPr>
      <w:r w:rsidRPr="00E45F8F">
        <w:rPr>
          <w:u w:val="single"/>
        </w:rPr>
        <w:t>Example 2</w:t>
      </w:r>
    </w:p>
    <w:p w14:paraId="27E9BE63" w14:textId="77777777" w:rsidR="002240A7" w:rsidRDefault="002240A7" w:rsidP="002240A7">
      <w:r>
        <w:rPr>
          <w:noProof/>
        </w:rPr>
        <w:drawing>
          <wp:inline distT="0" distB="0" distL="0" distR="0" wp14:anchorId="07FEA28C" wp14:editId="4EAE7D78">
            <wp:extent cx="5210809" cy="18554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210809" cy="1855470"/>
                    </a:xfrm>
                    <a:prstGeom prst="rect">
                      <a:avLst/>
                    </a:prstGeom>
                  </pic:spPr>
                </pic:pic>
              </a:graphicData>
            </a:graphic>
          </wp:inline>
        </w:drawing>
      </w:r>
    </w:p>
    <w:p w14:paraId="4D399369" w14:textId="77777777" w:rsidR="002240A7" w:rsidRDefault="002240A7" w:rsidP="002240A7"/>
    <w:p w14:paraId="31E74757" w14:textId="003560B5" w:rsidR="006B78FB" w:rsidRDefault="002240A7" w:rsidP="002240A7">
      <w:r>
        <w:t xml:space="preserve">Care Type changes can be initiated by clinicians or by the Sub acute + </w:t>
      </w:r>
      <w:proofErr w:type="gramStart"/>
      <w:r>
        <w:t>Non Acute</w:t>
      </w:r>
      <w:proofErr w:type="gramEnd"/>
      <w:r>
        <w:t xml:space="preserve"> Patient</w:t>
      </w:r>
      <w:r w:rsidR="00753423">
        <w:t xml:space="preserve"> (SNAP)</w:t>
      </w:r>
      <w:r>
        <w:t xml:space="preserve"> Team. If the Care Type change is initiated by a clinician, the SNAP team member for your area needs to be notified as </w:t>
      </w:r>
      <w:proofErr w:type="gramStart"/>
      <w:r>
        <w:t>there</w:t>
      </w:r>
      <w:proofErr w:type="gramEnd"/>
      <w:r>
        <w:t xml:space="preserve"> </w:t>
      </w:r>
      <w:r w:rsidR="00222806">
        <w:t xml:space="preserve">additional </w:t>
      </w:r>
      <w:r>
        <w:t xml:space="preserve">assessments </w:t>
      </w:r>
      <w:r w:rsidR="00222806">
        <w:t xml:space="preserve">are </w:t>
      </w:r>
      <w:r>
        <w:t>required for different Care Types.</w:t>
      </w:r>
      <w:r w:rsidR="0016023E">
        <w:t xml:space="preserve"> </w:t>
      </w:r>
      <w:r w:rsidR="0016023E" w:rsidRPr="00722025">
        <w:rPr>
          <w:iCs/>
        </w:rPr>
        <w:t xml:space="preserve">For </w:t>
      </w:r>
      <w:r w:rsidR="0016023E">
        <w:rPr>
          <w:iCs/>
        </w:rPr>
        <w:t xml:space="preserve">more </w:t>
      </w:r>
      <w:r w:rsidR="0016023E" w:rsidRPr="00BD1424">
        <w:t xml:space="preserve">information on Care Types </w:t>
      </w:r>
      <w:r w:rsidR="0016023E">
        <w:t xml:space="preserve">contact </w:t>
      </w:r>
      <w:hyperlink r:id="rId15" w:history="1">
        <w:r w:rsidR="0016023E" w:rsidRPr="001E71E0">
          <w:rPr>
            <w:rStyle w:val="Hyperlink"/>
          </w:rPr>
          <w:t>CHS.SNAP@act.gov.au</w:t>
        </w:r>
      </w:hyperlink>
      <w:r w:rsidR="0016023E">
        <w:t xml:space="preserve">. </w:t>
      </w:r>
      <w:r w:rsidR="0016023E">
        <w:rPr>
          <w:iCs/>
        </w:rPr>
        <w:t xml:space="preserve">For issues relating to </w:t>
      </w:r>
      <w:r w:rsidR="0016023E" w:rsidRPr="00722025">
        <w:t xml:space="preserve">the Clinical Portal please contact </w:t>
      </w:r>
      <w:r w:rsidR="0016023E">
        <w:t xml:space="preserve">Digital Solutions Support </w:t>
      </w:r>
      <w:hyperlink r:id="rId16" w:history="1">
        <w:r w:rsidR="00F1415C" w:rsidRPr="001E71E0">
          <w:rPr>
            <w:rStyle w:val="Hyperlink"/>
          </w:rPr>
          <w:t>Digital.Support@act.gov.au</w:t>
        </w:r>
      </w:hyperlink>
      <w:r w:rsidR="00F1415C">
        <w:t xml:space="preserve"> </w:t>
      </w:r>
    </w:p>
    <w:p w14:paraId="0535DD56" w14:textId="77777777" w:rsidR="004C17A6" w:rsidRDefault="004C17A6" w:rsidP="006B78FB">
      <w:pPr>
        <w:jc w:val="right"/>
      </w:pPr>
    </w:p>
    <w:p w14:paraId="02BE251E" w14:textId="7E78F0B9" w:rsidR="006B78FB" w:rsidRDefault="00B57C39" w:rsidP="004C17A6">
      <w:pPr>
        <w:jc w:val="right"/>
        <w:rPr>
          <w:rStyle w:val="Hyperlink"/>
          <w:rFonts w:cs="Arial"/>
          <w:i/>
          <w:szCs w:val="24"/>
        </w:rPr>
      </w:pPr>
      <w:hyperlink w:anchor="Contents" w:history="1">
        <w:r w:rsidR="006B78FB"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B78FB" w:rsidRPr="00CD1C0E" w14:paraId="211A8EC9" w14:textId="77777777" w:rsidTr="003763D3">
        <w:trPr>
          <w:cantSplit/>
          <w:trHeight w:val="285"/>
        </w:trPr>
        <w:tc>
          <w:tcPr>
            <w:tcW w:w="9158" w:type="dxa"/>
            <w:shd w:val="clear" w:color="auto" w:fill="A6A6A6" w:themeFill="background1" w:themeFillShade="A6"/>
          </w:tcPr>
          <w:p w14:paraId="53A2A180" w14:textId="57B9FE7A" w:rsidR="006B78FB" w:rsidRPr="003D2D06" w:rsidRDefault="006B78FB" w:rsidP="003763D3">
            <w:pPr>
              <w:pStyle w:val="Heading1"/>
            </w:pPr>
            <w:bookmarkStart w:id="22" w:name="_Toc75775928"/>
            <w:r>
              <w:t xml:space="preserve">Section </w:t>
            </w:r>
            <w:r w:rsidR="00DF5D42">
              <w:t>6</w:t>
            </w:r>
            <w:r w:rsidRPr="003D2D06">
              <w:t xml:space="preserve"> – </w:t>
            </w:r>
            <w:r w:rsidR="00DF5D42">
              <w:t>Discharge Medications</w:t>
            </w:r>
            <w:bookmarkEnd w:id="22"/>
            <w:r w:rsidR="00DF5D42">
              <w:t xml:space="preserve"> </w:t>
            </w:r>
          </w:p>
        </w:tc>
      </w:tr>
    </w:tbl>
    <w:p w14:paraId="12E472FD" w14:textId="77777777" w:rsidR="006B78FB" w:rsidRDefault="006B78FB" w:rsidP="006B78FB">
      <w:pPr>
        <w:pStyle w:val="Heading2"/>
      </w:pPr>
    </w:p>
    <w:p w14:paraId="0BAD8F7A" w14:textId="6B561896" w:rsidR="00D203A2" w:rsidRDefault="00DF5D42" w:rsidP="00DF5D42">
      <w:r w:rsidRPr="00B43228">
        <w:t>The Discharge Prescription must be completed by the Medical Officer with reference to the current medication chart</w:t>
      </w:r>
      <w:r w:rsidR="0016023E">
        <w:t xml:space="preserve"> as per the CHS Medication Handling Policy</w:t>
      </w:r>
      <w:r w:rsidRPr="00B43228">
        <w:t xml:space="preserve">. The </w:t>
      </w:r>
      <w:r w:rsidR="00753423">
        <w:t>D</w:t>
      </w:r>
      <w:r w:rsidRPr="00B43228">
        <w:t xml:space="preserve">ischarge </w:t>
      </w:r>
      <w:r w:rsidR="00753423">
        <w:t>M</w:t>
      </w:r>
      <w:r w:rsidRPr="00B43228">
        <w:t xml:space="preserve">edications section of the </w:t>
      </w:r>
      <w:r w:rsidR="00753423">
        <w:t xml:space="preserve">Clinical Portal </w:t>
      </w:r>
      <w:r w:rsidRPr="00B43228">
        <w:t xml:space="preserve">EDS should be used for this process with the prescription being printed and then forwarded to the Canberra Hospital Pharmacy. </w:t>
      </w:r>
      <w:r>
        <w:t>Only medications to be continued after discharge should be included in the Discharge Medicat</w:t>
      </w:r>
      <w:r w:rsidR="00A664EA">
        <w:t>i</w:t>
      </w:r>
      <w:r>
        <w:t xml:space="preserve">ons section. </w:t>
      </w:r>
    </w:p>
    <w:p w14:paraId="24B8CE95" w14:textId="77777777" w:rsidR="00D203A2" w:rsidRDefault="00D203A2" w:rsidP="00DF5D42"/>
    <w:p w14:paraId="122EEB40" w14:textId="60FA1B64" w:rsidR="00DF5D42" w:rsidRPr="00B43228" w:rsidRDefault="00DF5D42" w:rsidP="00DF5D42">
      <w:r>
        <w:t xml:space="preserve">The Discharge Medicine Plan section should detail all changes to pre-admission medication made during the admission, and the reason for the change. For example, dosage changes or medications ceased during the episode. </w:t>
      </w:r>
    </w:p>
    <w:p w14:paraId="2D03B664" w14:textId="77777777" w:rsidR="00DF5D42" w:rsidRPr="00B43228" w:rsidRDefault="00DF5D42" w:rsidP="00DF5D42"/>
    <w:p w14:paraId="0278E064" w14:textId="77777777" w:rsidR="00DF5D42" w:rsidRPr="00B43228" w:rsidRDefault="00DF5D42" w:rsidP="00DF5D42">
      <w:r w:rsidRPr="00B43228">
        <w:t xml:space="preserve">The EDS </w:t>
      </w:r>
      <w:r>
        <w:t>D</w:t>
      </w:r>
      <w:r w:rsidRPr="00B43228">
        <w:t xml:space="preserve">ischarge </w:t>
      </w:r>
      <w:r>
        <w:t>P</w:t>
      </w:r>
      <w:r w:rsidRPr="00B43228">
        <w:t xml:space="preserve">rescription, or the Discharge Medication form, must be forwarded to Pharmacy at least </w:t>
      </w:r>
      <w:r w:rsidRPr="00071EBB">
        <w:rPr>
          <w:b/>
        </w:rPr>
        <w:t>1 hour prior (or 3 hours for complicated discharges)</w:t>
      </w:r>
      <w:r w:rsidRPr="00B43228">
        <w:rPr>
          <w:i/>
        </w:rPr>
        <w:t xml:space="preserve"> </w:t>
      </w:r>
      <w:r w:rsidRPr="00B43228">
        <w:t>to the patient being discharged from hospital.</w:t>
      </w:r>
      <w:r>
        <w:t xml:space="preserve"> </w:t>
      </w:r>
    </w:p>
    <w:p w14:paraId="7245096F" w14:textId="77777777" w:rsidR="00DF5D42" w:rsidRPr="00B43228" w:rsidRDefault="00DF5D42" w:rsidP="00DF5D42"/>
    <w:p w14:paraId="5D87CE80" w14:textId="77777777" w:rsidR="00DF5D42" w:rsidRDefault="00DF5D42" w:rsidP="00DF5D42">
      <w:r w:rsidRPr="00B43228">
        <w:t xml:space="preserve">If amendments or corrections are made after sending the EDS </w:t>
      </w:r>
      <w:r>
        <w:t>D</w:t>
      </w:r>
      <w:r w:rsidRPr="00B43228">
        <w:t xml:space="preserve">ischarge </w:t>
      </w:r>
      <w:r>
        <w:t>P</w:t>
      </w:r>
      <w:r w:rsidRPr="00B43228">
        <w:t xml:space="preserve">rescription to Pharmacy, it is the responsibility of the Medical Officer who completed the EDS </w:t>
      </w:r>
      <w:r>
        <w:t>D</w:t>
      </w:r>
      <w:r w:rsidRPr="00B43228">
        <w:t xml:space="preserve">ischarge </w:t>
      </w:r>
      <w:r>
        <w:t>P</w:t>
      </w:r>
      <w:r w:rsidRPr="00B43228">
        <w:t xml:space="preserve">rescription to </w:t>
      </w:r>
      <w:r>
        <w:t xml:space="preserve">log into the Clinical Portal and </w:t>
      </w:r>
      <w:r w:rsidRPr="00B43228">
        <w:t xml:space="preserve">make the amendments to the </w:t>
      </w:r>
      <w:r>
        <w:t xml:space="preserve">EDS </w:t>
      </w:r>
      <w:r w:rsidRPr="00B43228">
        <w:t xml:space="preserve">Discharge Summary as soon as possible to ensure the GP receives accurate information regarding their patient’s medications </w:t>
      </w:r>
      <w:r>
        <w:t xml:space="preserve">on </w:t>
      </w:r>
      <w:r w:rsidRPr="00B43228">
        <w:t>discharge.</w:t>
      </w:r>
      <w:r>
        <w:t xml:space="preserve"> </w:t>
      </w:r>
    </w:p>
    <w:p w14:paraId="6C718F23" w14:textId="77777777" w:rsidR="00A664EA" w:rsidRDefault="00A664EA" w:rsidP="006B78FB">
      <w:pPr>
        <w:jc w:val="right"/>
      </w:pPr>
    </w:p>
    <w:p w14:paraId="6E30A8C8" w14:textId="5B8D2999" w:rsidR="006B78FB" w:rsidRDefault="00B57C39" w:rsidP="00A664EA">
      <w:pPr>
        <w:jc w:val="right"/>
        <w:rPr>
          <w:rStyle w:val="Hyperlink"/>
          <w:rFonts w:cs="Arial"/>
          <w:i/>
          <w:szCs w:val="24"/>
        </w:rPr>
      </w:pPr>
      <w:hyperlink w:anchor="Contents" w:history="1">
        <w:r w:rsidR="006B78FB"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B78FB" w:rsidRPr="00CD1C0E" w14:paraId="2068E59B" w14:textId="77777777" w:rsidTr="003763D3">
        <w:trPr>
          <w:cantSplit/>
          <w:trHeight w:val="285"/>
        </w:trPr>
        <w:tc>
          <w:tcPr>
            <w:tcW w:w="9158" w:type="dxa"/>
            <w:shd w:val="clear" w:color="auto" w:fill="A6A6A6" w:themeFill="background1" w:themeFillShade="A6"/>
          </w:tcPr>
          <w:p w14:paraId="5BC7F0AC" w14:textId="53F0FA0C" w:rsidR="006B78FB" w:rsidRPr="003D2D06" w:rsidRDefault="006B78FB" w:rsidP="003763D3">
            <w:pPr>
              <w:pStyle w:val="Heading1"/>
            </w:pPr>
            <w:bookmarkStart w:id="23" w:name="_Toc75775929"/>
            <w:r>
              <w:t xml:space="preserve">Section </w:t>
            </w:r>
            <w:r w:rsidR="00DF5D42">
              <w:t>7</w:t>
            </w:r>
            <w:r w:rsidRPr="003D2D06">
              <w:t xml:space="preserve"> –</w:t>
            </w:r>
            <w:r w:rsidR="00DF5D42" w:rsidRPr="004F6CDD">
              <w:rPr>
                <w:rFonts w:cs="Calibri"/>
                <w:szCs w:val="24"/>
              </w:rPr>
              <w:t xml:space="preserve"> Distribution of Discharge Summaries</w:t>
            </w:r>
            <w:bookmarkEnd w:id="23"/>
          </w:p>
        </w:tc>
      </w:tr>
    </w:tbl>
    <w:p w14:paraId="733D2D18" w14:textId="77777777" w:rsidR="006B78FB" w:rsidRDefault="006B78FB" w:rsidP="006B78FB">
      <w:pPr>
        <w:pStyle w:val="Heading2"/>
      </w:pPr>
    </w:p>
    <w:p w14:paraId="770E3383" w14:textId="4A0DEB6F" w:rsidR="00DF5D42" w:rsidRDefault="00DF5D42" w:rsidP="00DF5D42">
      <w:r w:rsidRPr="00B43228">
        <w:t xml:space="preserve">Once finalised, </w:t>
      </w:r>
      <w:r>
        <w:t xml:space="preserve">the Discharge Summary should </w:t>
      </w:r>
      <w:r w:rsidRPr="00B43228">
        <w:t>be printed and given to the patient</w:t>
      </w:r>
      <w:r>
        <w:t xml:space="preserve"> (and/or carer as appropriate)</w:t>
      </w:r>
      <w:r w:rsidR="002446F9">
        <w:t xml:space="preserve"> to support their understanding and to help them </w:t>
      </w:r>
      <w:r>
        <w:t>remember their follow-up instructions</w:t>
      </w:r>
      <w:r w:rsidRPr="00B43228">
        <w:t>.</w:t>
      </w:r>
      <w:r>
        <w:t xml:space="preserve"> </w:t>
      </w:r>
    </w:p>
    <w:p w14:paraId="76DB11A3" w14:textId="77777777" w:rsidR="00DF5D42" w:rsidRDefault="00DF5D42" w:rsidP="00DF5D42"/>
    <w:p w14:paraId="4D408D87" w14:textId="77777777" w:rsidR="00DF5D42" w:rsidRDefault="00DF5D42" w:rsidP="00DF5D42">
      <w:r>
        <w:t xml:space="preserve">For patients referred to Outpatient Clinics at Canberra Hospital for follow up, include the Clinic name, and fax number in the CC section using the predetermined list contained within the EDS module of the Clinical Portal, and the referring doctor (if different to GP). </w:t>
      </w:r>
    </w:p>
    <w:p w14:paraId="408262DD" w14:textId="77777777" w:rsidR="00DF5D42" w:rsidRDefault="00DF5D42" w:rsidP="00DF5D42"/>
    <w:p w14:paraId="6517848F" w14:textId="7F42327D" w:rsidR="00DF5D42" w:rsidRDefault="00DF5D42" w:rsidP="00DF5D42">
      <w:r>
        <w:t xml:space="preserve">Electronic </w:t>
      </w:r>
      <w:r w:rsidRPr="00B43228">
        <w:t xml:space="preserve">distribution of </w:t>
      </w:r>
      <w:r>
        <w:t xml:space="preserve">the Discharge Summary </w:t>
      </w:r>
      <w:r w:rsidRPr="00B43228">
        <w:t xml:space="preserve">to the patient’s nominated GP, </w:t>
      </w:r>
      <w:r>
        <w:t xml:space="preserve">any </w:t>
      </w:r>
      <w:r w:rsidRPr="00B43228">
        <w:t>additional recipients</w:t>
      </w:r>
      <w:r>
        <w:t xml:space="preserve"> noted in the CC section,</w:t>
      </w:r>
      <w:r w:rsidRPr="00B43228">
        <w:t xml:space="preserve"> and the Clinical </w:t>
      </w:r>
      <w:r>
        <w:t>Patient Folder</w:t>
      </w:r>
      <w:r w:rsidRPr="00B43228">
        <w:t xml:space="preserve"> </w:t>
      </w:r>
      <w:r w:rsidRPr="00EC25CC">
        <w:t>(C</w:t>
      </w:r>
      <w:r>
        <w:t>PF</w:t>
      </w:r>
      <w:r w:rsidRPr="00EC25CC">
        <w:t>), will occur automatically after “Finalisation” within the EDS module.</w:t>
      </w:r>
      <w:r>
        <w:t xml:space="preserve"> The method of distribution of electronic </w:t>
      </w:r>
      <w:r w:rsidR="00753423">
        <w:t xml:space="preserve"> D</w:t>
      </w:r>
      <w:r>
        <w:t xml:space="preserve">ischarge </w:t>
      </w:r>
      <w:r w:rsidR="00753423">
        <w:t>S</w:t>
      </w:r>
      <w:r>
        <w:t xml:space="preserve">ummaries is determined by the details listed for each GP/ Practice in </w:t>
      </w:r>
      <w:r w:rsidR="00753423">
        <w:t>ACT Patient Admission System (</w:t>
      </w:r>
      <w:r>
        <w:t>ACTPAS</w:t>
      </w:r>
      <w:r w:rsidR="00753423">
        <w:t>)</w:t>
      </w:r>
      <w:r>
        <w:t xml:space="preserve">, and the consent (to share information with the GP) recorded for the patient in ACTPAS at the time of </w:t>
      </w:r>
      <w:r w:rsidR="00753423">
        <w:t>D</w:t>
      </w:r>
      <w:r>
        <w:t xml:space="preserve">ischarge </w:t>
      </w:r>
      <w:r w:rsidR="00753423">
        <w:t>S</w:t>
      </w:r>
      <w:r>
        <w:t>ummary finalisation.</w:t>
      </w:r>
    </w:p>
    <w:p w14:paraId="52455EB4" w14:textId="77777777" w:rsidR="00DF5D42" w:rsidRDefault="00DF5D42" w:rsidP="00DF5D42"/>
    <w:p w14:paraId="4A4F09CA" w14:textId="43592978" w:rsidR="00DF5D42" w:rsidRDefault="00DF5D42" w:rsidP="00DF5D42">
      <w:r w:rsidRPr="00EC25CC">
        <w:t xml:space="preserve">If the patient has consented to participate in </w:t>
      </w:r>
      <w:r>
        <w:t xml:space="preserve">the Commonwealth Government </w:t>
      </w:r>
      <w:r w:rsidRPr="00AD1D2A">
        <w:rPr>
          <w:i/>
        </w:rPr>
        <w:t>My Health Record</w:t>
      </w:r>
      <w:r>
        <w:t xml:space="preserve"> system</w:t>
      </w:r>
      <w:r w:rsidRPr="00EC25CC">
        <w:t xml:space="preserve">, a copy of their Electronic Discharge Summary will also be </w:t>
      </w:r>
      <w:r w:rsidR="00810B5B">
        <w:t xml:space="preserve">uploaded </w:t>
      </w:r>
      <w:r w:rsidRPr="00EC25CC">
        <w:t xml:space="preserve">to their </w:t>
      </w:r>
      <w:r w:rsidRPr="00AD1D2A">
        <w:rPr>
          <w:i/>
        </w:rPr>
        <w:t>My Health Record</w:t>
      </w:r>
      <w:r>
        <w:t xml:space="preserve"> </w:t>
      </w:r>
      <w:r w:rsidR="00810B5B">
        <w:t>on finalisation</w:t>
      </w:r>
      <w:r w:rsidRPr="00EC25CC">
        <w:t>.</w:t>
      </w:r>
      <w:r>
        <w:t xml:space="preserve"> </w:t>
      </w:r>
    </w:p>
    <w:p w14:paraId="55376186" w14:textId="77777777" w:rsidR="00DF5D42" w:rsidRDefault="00DF5D42" w:rsidP="00DF5D42"/>
    <w:p w14:paraId="48A53509" w14:textId="4E98BB8E" w:rsidR="00DF5D42" w:rsidRDefault="00DF5D42" w:rsidP="00DF5D42">
      <w:r w:rsidRPr="00EC25CC">
        <w:t xml:space="preserve">Handwritten Discharge Summaries received </w:t>
      </w:r>
      <w:r>
        <w:t xml:space="preserve">by HIS will be </w:t>
      </w:r>
      <w:r w:rsidRPr="00EC25CC">
        <w:t xml:space="preserve">manually </w:t>
      </w:r>
      <w:r>
        <w:t xml:space="preserve">scanned into CPF and </w:t>
      </w:r>
      <w:r w:rsidRPr="00EC25CC">
        <w:t>faxed to</w:t>
      </w:r>
      <w:r>
        <w:t xml:space="preserve"> the GP but cannot be </w:t>
      </w:r>
      <w:r w:rsidR="00810B5B">
        <w:t xml:space="preserve">uploaded </w:t>
      </w:r>
      <w:r>
        <w:t xml:space="preserve">to </w:t>
      </w:r>
      <w:r w:rsidR="00810B5B">
        <w:t xml:space="preserve">the </w:t>
      </w:r>
      <w:r w:rsidRPr="003C0D47">
        <w:rPr>
          <w:i/>
          <w:iCs/>
        </w:rPr>
        <w:t xml:space="preserve">My Health </w:t>
      </w:r>
      <w:r w:rsidRPr="00FA46A4">
        <w:rPr>
          <w:i/>
          <w:iCs/>
        </w:rPr>
        <w:t>Record</w:t>
      </w:r>
      <w:r w:rsidR="00810B5B">
        <w:t xml:space="preserve"> </w:t>
      </w:r>
      <w:r w:rsidR="0060163E">
        <w:t xml:space="preserve">system </w:t>
      </w:r>
      <w:r w:rsidR="00810B5B">
        <w:t>by CHS</w:t>
      </w:r>
      <w:r>
        <w:t>.</w:t>
      </w:r>
    </w:p>
    <w:p w14:paraId="2CBCCC3F" w14:textId="77777777" w:rsidR="006B78FB" w:rsidRDefault="006B78FB" w:rsidP="006B78FB">
      <w:pPr>
        <w:rPr>
          <w:rFonts w:cs="Arial"/>
          <w:b/>
          <w:szCs w:val="24"/>
        </w:rPr>
      </w:pPr>
    </w:p>
    <w:p w14:paraId="2F51A8AD" w14:textId="2E23BF15" w:rsidR="007B6904" w:rsidRDefault="00B57C39" w:rsidP="006B78FB">
      <w:pPr>
        <w:jc w:val="right"/>
        <w:rPr>
          <w:rFonts w:cs="Arial"/>
          <w:i/>
          <w:szCs w:val="24"/>
        </w:rPr>
      </w:pPr>
      <w:hyperlink w:anchor="Contents" w:history="1">
        <w:r w:rsidR="006B78FB"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DF5D42" w:rsidRPr="00CD1C0E" w14:paraId="64FEEEE9" w14:textId="77777777" w:rsidTr="003763D3">
        <w:trPr>
          <w:cantSplit/>
          <w:trHeight w:val="285"/>
        </w:trPr>
        <w:tc>
          <w:tcPr>
            <w:tcW w:w="9158" w:type="dxa"/>
            <w:shd w:val="clear" w:color="auto" w:fill="A6A6A6" w:themeFill="background1" w:themeFillShade="A6"/>
          </w:tcPr>
          <w:p w14:paraId="6EE51260" w14:textId="4CDE7D30" w:rsidR="00DF5D42" w:rsidRPr="003D2D06" w:rsidRDefault="00DF5D42" w:rsidP="003763D3">
            <w:pPr>
              <w:pStyle w:val="Heading1"/>
            </w:pPr>
            <w:bookmarkStart w:id="24" w:name="_Toc75775930"/>
            <w:r>
              <w:t xml:space="preserve">Section </w:t>
            </w:r>
            <w:r w:rsidR="00810B5B">
              <w:t>8</w:t>
            </w:r>
            <w:r w:rsidRPr="003D2D06">
              <w:t xml:space="preserve"> –</w:t>
            </w:r>
            <w:r w:rsidR="008808D2">
              <w:t xml:space="preserve"> </w:t>
            </w:r>
            <w:r w:rsidR="00810B5B">
              <w:t>Delayed completion</w:t>
            </w:r>
            <w:bookmarkEnd w:id="24"/>
            <w:r w:rsidR="00810B5B">
              <w:t xml:space="preserve"> </w:t>
            </w:r>
          </w:p>
        </w:tc>
      </w:tr>
    </w:tbl>
    <w:p w14:paraId="232056CF" w14:textId="77777777" w:rsidR="00DF5D42" w:rsidRDefault="00DF5D42" w:rsidP="00DF5D42">
      <w:pPr>
        <w:pStyle w:val="Heading2"/>
      </w:pPr>
    </w:p>
    <w:p w14:paraId="1E07A5D5" w14:textId="07541564" w:rsidR="00810B5B" w:rsidRDefault="00810B5B" w:rsidP="00810B5B">
      <w:r>
        <w:t>The hardcopy (paper) inpatient notes may be retained on the wards for up to 48 hours after discharge, to facilitate prompt Discharge Summary completion, before being sent to HIS for scanning into CPF. After scanning occurs, the hard copy notes will not be available to members of the clinical team, so any D</w:t>
      </w:r>
      <w:r w:rsidRPr="00B43228">
        <w:t xml:space="preserve">ischarge </w:t>
      </w:r>
      <w:r>
        <w:t>S</w:t>
      </w:r>
      <w:r w:rsidRPr="00B43228">
        <w:t>ummar</w:t>
      </w:r>
      <w:r>
        <w:t xml:space="preserve">ies still </w:t>
      </w:r>
      <w:r w:rsidRPr="00B43228">
        <w:t xml:space="preserve">not completed </w:t>
      </w:r>
      <w:r>
        <w:t xml:space="preserve">at this time will have to </w:t>
      </w:r>
      <w:r w:rsidRPr="00B43228">
        <w:t>be completed by viewing the patient’s record in C</w:t>
      </w:r>
      <w:r>
        <w:t>PF</w:t>
      </w:r>
      <w:r w:rsidRPr="00B43228">
        <w:t>.</w:t>
      </w:r>
      <w:r>
        <w:t xml:space="preserve"> </w:t>
      </w:r>
    </w:p>
    <w:p w14:paraId="2671ACDB" w14:textId="77777777" w:rsidR="00810B5B" w:rsidRDefault="00810B5B" w:rsidP="00810B5B"/>
    <w:p w14:paraId="7201042E" w14:textId="6E19FD5C" w:rsidR="00810B5B" w:rsidRDefault="00810B5B" w:rsidP="00810B5B">
      <w:r>
        <w:t>R</w:t>
      </w:r>
      <w:r w:rsidRPr="00B43228">
        <w:t>ecords</w:t>
      </w:r>
      <w:r>
        <w:t xml:space="preserve"> are </w:t>
      </w:r>
      <w:r w:rsidRPr="00B43228">
        <w:t xml:space="preserve">scanned </w:t>
      </w:r>
      <w:r>
        <w:t xml:space="preserve">urgently if </w:t>
      </w:r>
      <w:proofErr w:type="spellStart"/>
      <w:r>
        <w:t>a</w:t>
      </w:r>
      <w:r w:rsidR="0060163E">
        <w:t>D</w:t>
      </w:r>
      <w:r>
        <w:t>ischarge</w:t>
      </w:r>
      <w:proofErr w:type="spellEnd"/>
      <w:r>
        <w:t xml:space="preserve"> </w:t>
      </w:r>
      <w:r w:rsidR="0060163E">
        <w:t>S</w:t>
      </w:r>
      <w:r>
        <w:t>ummary has not been completed</w:t>
      </w:r>
      <w:r w:rsidRPr="00B43228">
        <w:t>, to facilitate</w:t>
      </w:r>
      <w:r>
        <w:t xml:space="preserve"> prompt</w:t>
      </w:r>
      <w:r w:rsidRPr="00B43228">
        <w:t xml:space="preserve"> </w:t>
      </w:r>
      <w:r>
        <w:t>completion of the D</w:t>
      </w:r>
      <w:r w:rsidRPr="00B43228">
        <w:t xml:space="preserve">ischarge </w:t>
      </w:r>
      <w:r>
        <w:t>S</w:t>
      </w:r>
      <w:r w:rsidRPr="00B43228">
        <w:t>ummary and continuity of care.</w:t>
      </w:r>
      <w:r>
        <w:t xml:space="preserve"> </w:t>
      </w:r>
    </w:p>
    <w:p w14:paraId="08EF7BFE" w14:textId="77777777" w:rsidR="00DF5D42" w:rsidRDefault="00DF5D42" w:rsidP="00DF5D42">
      <w:pPr>
        <w:rPr>
          <w:rFonts w:cs="Arial"/>
          <w:b/>
          <w:szCs w:val="24"/>
        </w:rPr>
      </w:pPr>
    </w:p>
    <w:p w14:paraId="2C6662B2" w14:textId="1BD06805" w:rsidR="00DF5D42" w:rsidRDefault="00B57C39" w:rsidP="00DF5D42">
      <w:pPr>
        <w:jc w:val="right"/>
        <w:rPr>
          <w:rStyle w:val="Hyperlink"/>
          <w:rFonts w:cs="Arial"/>
          <w:i/>
          <w:szCs w:val="24"/>
        </w:rPr>
      </w:pPr>
      <w:hyperlink w:anchor="Contents" w:history="1">
        <w:r w:rsidR="00DF5D42"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DF5D42" w:rsidRPr="00CD1C0E" w14:paraId="058655A2" w14:textId="77777777" w:rsidTr="003763D3">
        <w:trPr>
          <w:cantSplit/>
          <w:trHeight w:val="285"/>
        </w:trPr>
        <w:tc>
          <w:tcPr>
            <w:tcW w:w="9158" w:type="dxa"/>
            <w:shd w:val="clear" w:color="auto" w:fill="A6A6A6" w:themeFill="background1" w:themeFillShade="A6"/>
          </w:tcPr>
          <w:p w14:paraId="3C257F02" w14:textId="06F720A4" w:rsidR="00DF5D42" w:rsidRPr="003D2D06" w:rsidRDefault="00DF5D42" w:rsidP="003763D3">
            <w:pPr>
              <w:pStyle w:val="Heading1"/>
            </w:pPr>
            <w:bookmarkStart w:id="25" w:name="_Toc75775931"/>
            <w:r>
              <w:t xml:space="preserve">Section </w:t>
            </w:r>
            <w:r w:rsidR="00810B5B">
              <w:t>9</w:t>
            </w:r>
            <w:r w:rsidRPr="003D2D06">
              <w:t xml:space="preserve"> – </w:t>
            </w:r>
            <w:r w:rsidR="00810B5B" w:rsidRPr="004F6CDD">
              <w:rPr>
                <w:rFonts w:cs="Calibri"/>
                <w:szCs w:val="24"/>
              </w:rPr>
              <w:t xml:space="preserve">Monitoring Discharge Summary </w:t>
            </w:r>
            <w:r w:rsidR="00BE1B34">
              <w:rPr>
                <w:rFonts w:cs="Calibri"/>
                <w:szCs w:val="24"/>
              </w:rPr>
              <w:t>C</w:t>
            </w:r>
            <w:r w:rsidR="00810B5B" w:rsidRPr="004F6CDD">
              <w:rPr>
                <w:rFonts w:cs="Calibri"/>
                <w:szCs w:val="24"/>
              </w:rPr>
              <w:t xml:space="preserve">ompletion </w:t>
            </w:r>
            <w:r w:rsidR="00BE1B34">
              <w:rPr>
                <w:rFonts w:cs="Calibri"/>
                <w:szCs w:val="24"/>
              </w:rPr>
              <w:t>R</w:t>
            </w:r>
            <w:r w:rsidR="00810B5B" w:rsidRPr="004F6CDD">
              <w:rPr>
                <w:rFonts w:cs="Calibri"/>
                <w:szCs w:val="24"/>
              </w:rPr>
              <w:t>ates</w:t>
            </w:r>
            <w:bookmarkEnd w:id="25"/>
          </w:p>
        </w:tc>
      </w:tr>
    </w:tbl>
    <w:p w14:paraId="0D8FDC88" w14:textId="77777777" w:rsidR="00DF5D42" w:rsidRDefault="00DF5D42" w:rsidP="00DF5D42">
      <w:pPr>
        <w:pStyle w:val="Heading2"/>
      </w:pPr>
    </w:p>
    <w:p w14:paraId="4DDFB2B1" w14:textId="13044B2D" w:rsidR="00810B5B" w:rsidRDefault="00810B5B" w:rsidP="00810B5B">
      <w:r>
        <w:t xml:space="preserve">The HIS Discharge Summary Liaison Officer distributes weekly reports by email to JMOs, Registrars, Clinical Unit </w:t>
      </w:r>
      <w:proofErr w:type="gramStart"/>
      <w:r>
        <w:t>Directors</w:t>
      </w:r>
      <w:proofErr w:type="gramEnd"/>
      <w:r>
        <w:t xml:space="preserve"> and the Medical Officer Support Credentialing Education &amp; Training Unit (MOSCETU) detailing all discharged patients with overdue Discharge Summaries. JMOs are expected to work through their lists and complete their </w:t>
      </w:r>
      <w:r w:rsidR="00BE1B34">
        <w:t>D</w:t>
      </w:r>
      <w:r>
        <w:t xml:space="preserve">ischarge </w:t>
      </w:r>
      <w:r w:rsidR="00BE1B34">
        <w:t>S</w:t>
      </w:r>
      <w:r>
        <w:t>ummaries each week.</w:t>
      </w:r>
      <w:r w:rsidR="0016023E">
        <w:t xml:space="preserve"> Executive Directors also receive regular updates at mid-term and end of term.</w:t>
      </w:r>
      <w:r>
        <w:t xml:space="preserve"> Additional lists can be provided on an ad-hoc basis if required. </w:t>
      </w:r>
    </w:p>
    <w:p w14:paraId="19D714DB" w14:textId="77777777" w:rsidR="00810B5B" w:rsidRDefault="00810B5B" w:rsidP="00810B5B"/>
    <w:p w14:paraId="6B47E641" w14:textId="309C3AFF" w:rsidR="00810B5B" w:rsidRDefault="00810B5B" w:rsidP="00810B5B">
      <w:r>
        <w:t xml:space="preserve">The Clinical Portal also provides JMOs with tools to monitor and manage their Discharge Summary Completion responsibilities by way of configurable “Worklists” and the “Review EDS” feature. These tools provide real-time status reporting of EDS completion which allows individual JMOs to constantly monitor and manage their </w:t>
      </w:r>
      <w:r w:rsidR="00BE1B34">
        <w:t>D</w:t>
      </w:r>
      <w:r>
        <w:t xml:space="preserve">ischarge </w:t>
      </w:r>
      <w:r w:rsidR="00BE1B34">
        <w:t>S</w:t>
      </w:r>
      <w:r>
        <w:t xml:space="preserve">ummary workload. These features are not specifically covered in the initial Clinical Portal training sessions but can be easily configured with assistance from Digital Solutions Support if desired, once the JMO is more familiar with the Clinical Portal application or through the help sheets available on the </w:t>
      </w:r>
      <w:hyperlink r:id="rId17" w:history="1">
        <w:r>
          <w:rPr>
            <w:rStyle w:val="Hyperlink"/>
            <w:rFonts w:cs="Calibri"/>
            <w:szCs w:val="24"/>
          </w:rPr>
          <w:t>I</w:t>
        </w:r>
        <w:r w:rsidRPr="005D2681">
          <w:rPr>
            <w:rStyle w:val="Hyperlink"/>
            <w:rFonts w:cs="Calibri"/>
            <w:szCs w:val="24"/>
          </w:rPr>
          <w:t>ntranet</w:t>
        </w:r>
      </w:hyperlink>
      <w:r>
        <w:t xml:space="preserve">. </w:t>
      </w:r>
    </w:p>
    <w:p w14:paraId="40593D81" w14:textId="77777777" w:rsidR="00810B5B" w:rsidRPr="00B43228" w:rsidRDefault="00810B5B" w:rsidP="00810B5B"/>
    <w:p w14:paraId="3A995B4D" w14:textId="77777777" w:rsidR="00810B5B" w:rsidRDefault="00810B5B" w:rsidP="00810B5B">
      <w:pPr>
        <w:pBdr>
          <w:top w:val="single" w:sz="4" w:space="1" w:color="auto"/>
          <w:left w:val="single" w:sz="4" w:space="4" w:color="auto"/>
          <w:bottom w:val="single" w:sz="4" w:space="1" w:color="auto"/>
          <w:right w:val="single" w:sz="4" w:space="4" w:color="auto"/>
        </w:pBdr>
      </w:pPr>
      <w:r w:rsidRPr="00E1000E">
        <w:rPr>
          <w:b/>
        </w:rPr>
        <w:t>N</w:t>
      </w:r>
      <w:r>
        <w:rPr>
          <w:b/>
        </w:rPr>
        <w:t>ote</w:t>
      </w:r>
      <w:r w:rsidRPr="00E1000E">
        <w:rPr>
          <w:b/>
        </w:rPr>
        <w:t>:</w:t>
      </w:r>
      <w:r w:rsidRPr="00B43228">
        <w:t xml:space="preserve"> </w:t>
      </w:r>
    </w:p>
    <w:p w14:paraId="28505FDB" w14:textId="2DBA7DA0" w:rsidR="00810B5B" w:rsidRDefault="00810B5B" w:rsidP="00810B5B">
      <w:pPr>
        <w:pBdr>
          <w:top w:val="single" w:sz="4" w:space="1" w:color="auto"/>
          <w:left w:val="single" w:sz="4" w:space="4" w:color="auto"/>
          <w:bottom w:val="single" w:sz="4" w:space="1" w:color="auto"/>
          <w:right w:val="single" w:sz="4" w:space="4" w:color="auto"/>
        </w:pBdr>
      </w:pPr>
      <w:r>
        <w:t xml:space="preserve">The HIS is limited in their ability to sign the Discharge Summary section of the Medical Officer </w:t>
      </w:r>
      <w:r w:rsidRPr="00B43228">
        <w:t>Staff Clearance form</w:t>
      </w:r>
      <w:r>
        <w:t xml:space="preserve"> </w:t>
      </w:r>
      <w:r w:rsidRPr="00B43228">
        <w:t xml:space="preserve">if there are </w:t>
      </w:r>
      <w:r w:rsidRPr="00B43228">
        <w:rPr>
          <w:i/>
        </w:rPr>
        <w:t>any</w:t>
      </w:r>
      <w:r w:rsidRPr="00B43228">
        <w:t xml:space="preserve"> </w:t>
      </w:r>
      <w:r>
        <w:t>patients on</w:t>
      </w:r>
      <w:r w:rsidRPr="00B43228">
        <w:t xml:space="preserve"> any Clinical Unit the Medical Officer was rostered to cover during their period of service at Canberra Hospital</w:t>
      </w:r>
      <w:r>
        <w:t xml:space="preserve"> </w:t>
      </w:r>
      <w:r w:rsidR="00BE1B34">
        <w:t xml:space="preserve">who </w:t>
      </w:r>
      <w:r>
        <w:t>still don’t have a completed Discharge Summary</w:t>
      </w:r>
      <w:r w:rsidRPr="00B43228">
        <w:t>.</w:t>
      </w:r>
      <w:r>
        <w:t xml:space="preserve"> </w:t>
      </w:r>
      <w:r w:rsidRPr="00E43CFE">
        <w:t xml:space="preserve">Refer to </w:t>
      </w:r>
      <w:r>
        <w:t>S</w:t>
      </w:r>
      <w:r w:rsidRPr="00E43CFE">
        <w:t>ection</w:t>
      </w:r>
      <w:r>
        <w:t xml:space="preserve"> </w:t>
      </w:r>
      <w:r w:rsidR="00BE1B34">
        <w:t>1</w:t>
      </w:r>
      <w:r w:rsidRPr="00E43CFE">
        <w:t xml:space="preserve">: Responsibility for Discharge Summary </w:t>
      </w:r>
      <w:r w:rsidR="00DE3D93">
        <w:t>C</w:t>
      </w:r>
      <w:r w:rsidRPr="00E43CFE">
        <w:t>ompletion</w:t>
      </w:r>
      <w:r w:rsidR="00DE3D93">
        <w:t xml:space="preserve"> for further information</w:t>
      </w:r>
      <w:r>
        <w:t>.</w:t>
      </w:r>
      <w:r w:rsidRPr="00E43CFE">
        <w:t xml:space="preserve"> </w:t>
      </w:r>
    </w:p>
    <w:p w14:paraId="2524A4BF" w14:textId="78857100" w:rsidR="00DF5D42" w:rsidRDefault="00DF5D42" w:rsidP="00810B5B">
      <w:pPr>
        <w:rPr>
          <w:rFonts w:cs="Arial"/>
          <w:b/>
          <w:szCs w:val="24"/>
        </w:rPr>
      </w:pPr>
    </w:p>
    <w:p w14:paraId="25334D34" w14:textId="09D0FE78" w:rsidR="00DF5D42" w:rsidRDefault="00B57C39" w:rsidP="00DF5D42">
      <w:pPr>
        <w:jc w:val="right"/>
        <w:rPr>
          <w:rFonts w:cs="Arial"/>
          <w:b/>
          <w:szCs w:val="24"/>
        </w:rPr>
      </w:pPr>
      <w:hyperlink w:anchor="Contents" w:history="1">
        <w:r w:rsidR="00DF5D42" w:rsidRPr="00590902">
          <w:rPr>
            <w:rStyle w:val="Hyperlink"/>
            <w:rFonts w:cs="Arial"/>
            <w:i/>
            <w:szCs w:val="24"/>
          </w:rPr>
          <w:t>Back to Table of Contents</w:t>
        </w:r>
      </w:hyperlink>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6" w:name="_Toc75775932"/>
            <w:r>
              <w:t>Evaluation</w:t>
            </w:r>
            <w:bookmarkEnd w:id="26"/>
            <w:r>
              <w:t xml:space="preserve"> </w:t>
            </w:r>
            <w:r w:rsidR="00E73459">
              <w:tab/>
            </w:r>
          </w:p>
        </w:tc>
      </w:tr>
    </w:tbl>
    <w:p w14:paraId="1AE0921D" w14:textId="77777777" w:rsidR="008611DB" w:rsidRPr="00C26B8E" w:rsidRDefault="008611DB" w:rsidP="008611DB">
      <w:bookmarkStart w:id="27" w:name="_Hlk43366294"/>
    </w:p>
    <w:p w14:paraId="535735E4" w14:textId="77777777" w:rsidR="00793002" w:rsidRDefault="00793002" w:rsidP="00793002">
      <w:pPr>
        <w:pStyle w:val="Default"/>
        <w:rPr>
          <w:rFonts w:ascii="Calibri" w:hAnsi="Calibri" w:cs="Arial"/>
          <w:b/>
          <w:bCs/>
          <w:iCs/>
          <w:color w:val="auto"/>
          <w:lang w:eastAsia="en-US"/>
        </w:rPr>
      </w:pPr>
      <w:r w:rsidRPr="00845445">
        <w:rPr>
          <w:rFonts w:ascii="Calibri" w:hAnsi="Calibri" w:cs="Arial"/>
          <w:b/>
          <w:bCs/>
          <w:iCs/>
          <w:color w:val="auto"/>
          <w:lang w:eastAsia="en-US"/>
        </w:rPr>
        <w:t>Outcome</w:t>
      </w:r>
    </w:p>
    <w:p w14:paraId="2C713D8F" w14:textId="34A0D9C8" w:rsidR="008611DB" w:rsidRPr="008611DB" w:rsidRDefault="008611DB" w:rsidP="00A70413">
      <w:pPr>
        <w:pStyle w:val="ListBullet"/>
      </w:pPr>
      <w:r>
        <w:t xml:space="preserve">To ensure the completion of </w:t>
      </w:r>
      <w:proofErr w:type="gramStart"/>
      <w:r>
        <w:t>high quality</w:t>
      </w:r>
      <w:proofErr w:type="gramEnd"/>
      <w:r>
        <w:t xml:space="preserve"> inpatient </w:t>
      </w:r>
      <w:r w:rsidRPr="008611DB">
        <w:t>Discharge Summar</w:t>
      </w:r>
      <w:r>
        <w:t>ies</w:t>
      </w:r>
      <w:r w:rsidR="008A04F7">
        <w:t>,</w:t>
      </w:r>
      <w:r>
        <w:t xml:space="preserve"> to support ongoing care and the </w:t>
      </w:r>
      <w:r w:rsidRPr="008611DB">
        <w:t xml:space="preserve">safe transition </w:t>
      </w:r>
      <w:r>
        <w:t xml:space="preserve">of the patient from </w:t>
      </w:r>
      <w:r w:rsidRPr="008611DB">
        <w:t xml:space="preserve">the hospital </w:t>
      </w:r>
      <w:r>
        <w:t xml:space="preserve">into </w:t>
      </w:r>
      <w:r w:rsidRPr="008611DB">
        <w:t>the community.</w:t>
      </w:r>
    </w:p>
    <w:p w14:paraId="2D6FA238" w14:textId="3A1D41E3" w:rsidR="008611DB" w:rsidRDefault="008611DB" w:rsidP="00A70413">
      <w:pPr>
        <w:pStyle w:val="ListBullet"/>
      </w:pPr>
      <w:r>
        <w:lastRenderedPageBreak/>
        <w:t xml:space="preserve">To provide an accurate </w:t>
      </w:r>
      <w:r w:rsidR="008A04F7">
        <w:t xml:space="preserve">and comprehensive </w:t>
      </w:r>
      <w:r>
        <w:t>summary of the patient’s inpatient journey</w:t>
      </w:r>
      <w:r w:rsidR="008A04F7">
        <w:t xml:space="preserve"> and</w:t>
      </w:r>
      <w:r>
        <w:t xml:space="preserve"> to facilitate accurate clinical coding </w:t>
      </w:r>
      <w:r w:rsidR="000D1F46">
        <w:t>and DRG assignment for funding, management and quality purposes.</w:t>
      </w:r>
    </w:p>
    <w:p w14:paraId="54860A9C" w14:textId="0A2D3492" w:rsidR="00793002" w:rsidRPr="00185AA4" w:rsidRDefault="00793002" w:rsidP="000D1F46">
      <w:pPr>
        <w:pStyle w:val="Default"/>
        <w:ind w:left="720"/>
        <w:rPr>
          <w:rFonts w:ascii="Calibri" w:hAnsi="Calibri" w:cs="Arial"/>
          <w:b/>
          <w:bCs/>
          <w:iCs/>
          <w:color w:val="auto"/>
          <w:lang w:eastAsia="en-US"/>
        </w:rPr>
      </w:pPr>
      <w:r>
        <w:rPr>
          <w:rFonts w:ascii="Calibri" w:hAnsi="Calibri" w:cs="Arial"/>
          <w:iCs/>
          <w:color w:val="auto"/>
          <w:lang w:eastAsia="en-US"/>
        </w:rPr>
        <w:t xml:space="preserve"> </w:t>
      </w:r>
    </w:p>
    <w:p w14:paraId="3551D8B1" w14:textId="77777777" w:rsidR="00793002" w:rsidRDefault="00793002" w:rsidP="00793002">
      <w:pPr>
        <w:pStyle w:val="Default"/>
        <w:rPr>
          <w:rFonts w:ascii="Calibri" w:hAnsi="Calibri" w:cs="Arial"/>
          <w:b/>
          <w:bCs/>
          <w:iCs/>
          <w:color w:val="auto"/>
          <w:lang w:eastAsia="en-US"/>
        </w:rPr>
      </w:pPr>
      <w:r w:rsidRPr="00845445">
        <w:rPr>
          <w:rFonts w:ascii="Calibri" w:hAnsi="Calibri" w:cs="Arial"/>
          <w:b/>
          <w:bCs/>
          <w:iCs/>
          <w:color w:val="auto"/>
          <w:lang w:eastAsia="en-US"/>
        </w:rPr>
        <w:t>Measures</w:t>
      </w:r>
    </w:p>
    <w:p w14:paraId="712F34D6" w14:textId="130DE7FB" w:rsidR="000D1F46" w:rsidRDefault="000D1F46" w:rsidP="00A70413">
      <w:pPr>
        <w:pStyle w:val="ListBullet"/>
      </w:pPr>
      <w:r>
        <w:t xml:space="preserve">Regular monitoring </w:t>
      </w:r>
      <w:r w:rsidR="002446F9">
        <w:t xml:space="preserve">by the HIS Discharge Summary Liaison Officer (DSLO) with </w:t>
      </w:r>
      <w:r>
        <w:t xml:space="preserve">weekly reporting to JMOs, </w:t>
      </w:r>
      <w:r w:rsidRPr="000D1F46">
        <w:t>Registrars, Clinical Unit Directors and MOSCETU</w:t>
      </w:r>
    </w:p>
    <w:p w14:paraId="670F7193" w14:textId="6FF1D6FF" w:rsidR="000D1F46" w:rsidRDefault="000D1F46" w:rsidP="00A70413">
      <w:pPr>
        <w:pStyle w:val="ListBullet"/>
      </w:pPr>
      <w:proofErr w:type="spellStart"/>
      <w:r>
        <w:t>Mid term</w:t>
      </w:r>
      <w:proofErr w:type="spellEnd"/>
      <w:r>
        <w:t xml:space="preserve"> and end of term </w:t>
      </w:r>
      <w:r w:rsidR="00A70413">
        <w:t xml:space="preserve">reporting </w:t>
      </w:r>
      <w:r w:rsidR="002446F9">
        <w:t xml:space="preserve">by the DSLO </w:t>
      </w:r>
      <w:r>
        <w:t>to Executive Directors</w:t>
      </w:r>
    </w:p>
    <w:p w14:paraId="204BE2BE" w14:textId="5EC035EF" w:rsidR="00793002" w:rsidRPr="000D1F46" w:rsidRDefault="000D1F46" w:rsidP="00A70413">
      <w:pPr>
        <w:pStyle w:val="ListBullet"/>
        <w:rPr>
          <w:i/>
        </w:rPr>
      </w:pPr>
      <w:r>
        <w:t>Regular monitoring</w:t>
      </w:r>
      <w:r w:rsidR="00D93D3B">
        <w:t xml:space="preserve"> by QSII</w:t>
      </w:r>
      <w:r>
        <w:t xml:space="preserve"> on Quality dashboards</w:t>
      </w:r>
    </w:p>
    <w:p w14:paraId="27756F3B" w14:textId="450F5938" w:rsidR="00845445" w:rsidRPr="00A70413" w:rsidRDefault="000D1F46" w:rsidP="00A70413">
      <w:pPr>
        <w:pStyle w:val="ListBullet"/>
        <w:rPr>
          <w:i/>
        </w:rPr>
      </w:pPr>
      <w:r>
        <w:t xml:space="preserve">Discussion at monthly Discharge Summary meetings between HIS, </w:t>
      </w:r>
      <w:r w:rsidR="00A70413">
        <w:t xml:space="preserve">GP Liaison Unit (GPLU) </w:t>
      </w:r>
      <w:r>
        <w:t>and MOSCET</w:t>
      </w:r>
      <w:bookmarkEnd w:id="27"/>
      <w:r w:rsidR="00A70413">
        <w:t>U.</w:t>
      </w:r>
    </w:p>
    <w:p w14:paraId="0AFB130A" w14:textId="77777777" w:rsidR="00A70413" w:rsidRDefault="00A70413" w:rsidP="00A70413">
      <w:pPr>
        <w:pStyle w:val="ListBullet"/>
        <w:numPr>
          <w:ilvl w:val="0"/>
          <w:numId w:val="0"/>
        </w:numPr>
        <w:ind w:left="426"/>
        <w:rPr>
          <w:i/>
        </w:rPr>
      </w:pPr>
    </w:p>
    <w:p w14:paraId="119BA4AD" w14:textId="77777777" w:rsidR="00F9158A" w:rsidRPr="00253F5A" w:rsidRDefault="00B57C39"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8" w:name="_Toc389473287"/>
            <w:bookmarkStart w:id="29" w:name="_Toc75775933"/>
            <w:r>
              <w:t xml:space="preserve">Related Policies, </w:t>
            </w:r>
            <w:r w:rsidR="007B6904">
              <w:t>Procedures</w:t>
            </w:r>
            <w:bookmarkEnd w:id="28"/>
            <w:r>
              <w:t>, Guidelines and Legislation</w:t>
            </w:r>
            <w:bookmarkEnd w:id="29"/>
          </w:p>
        </w:tc>
      </w:tr>
    </w:tbl>
    <w:p w14:paraId="2F51A8B7" w14:textId="77777777" w:rsidR="007B6904" w:rsidRDefault="007B6904" w:rsidP="007B6904">
      <w:pPr>
        <w:rPr>
          <w:szCs w:val="24"/>
        </w:rPr>
      </w:pPr>
    </w:p>
    <w:p w14:paraId="2F51A8BA" w14:textId="77777777" w:rsidR="001926F4" w:rsidRPr="00201FB6" w:rsidRDefault="001926F4" w:rsidP="00201FB6">
      <w:pPr>
        <w:rPr>
          <w:b/>
        </w:rPr>
      </w:pPr>
      <w:r w:rsidRPr="00201FB6">
        <w:rPr>
          <w:b/>
        </w:rPr>
        <w:t>Policies</w:t>
      </w:r>
    </w:p>
    <w:p w14:paraId="4BB83FFB" w14:textId="77777777" w:rsidR="0016023E" w:rsidRDefault="0016023E" w:rsidP="009E70F4">
      <w:pPr>
        <w:numPr>
          <w:ilvl w:val="0"/>
          <w:numId w:val="3"/>
        </w:numPr>
        <w:ind w:left="360"/>
        <w:rPr>
          <w:rFonts w:cs="Arial"/>
          <w:szCs w:val="24"/>
        </w:rPr>
      </w:pPr>
      <w:r>
        <w:rPr>
          <w:rFonts w:cs="Arial"/>
          <w:szCs w:val="24"/>
        </w:rPr>
        <w:t>Medication Handling Policy</w:t>
      </w:r>
    </w:p>
    <w:p w14:paraId="2F51A8BB" w14:textId="0BF18642" w:rsidR="009E70F4" w:rsidRPr="000A7335" w:rsidRDefault="009E70F4" w:rsidP="009E70F4">
      <w:pPr>
        <w:numPr>
          <w:ilvl w:val="0"/>
          <w:numId w:val="3"/>
        </w:numPr>
        <w:ind w:left="360"/>
        <w:rPr>
          <w:rFonts w:cs="Arial"/>
          <w:szCs w:val="24"/>
        </w:rPr>
      </w:pPr>
      <w:r w:rsidRPr="000A7335">
        <w:rPr>
          <w:rFonts w:cs="Arial"/>
          <w:szCs w:val="24"/>
        </w:rPr>
        <w:t xml:space="preserve">Nursing and Midwifery Continuing Competence </w:t>
      </w:r>
    </w:p>
    <w:p w14:paraId="2F51A8BC" w14:textId="1F610E3B" w:rsidR="000A7335" w:rsidRDefault="00231F81" w:rsidP="009E70F4">
      <w:pPr>
        <w:numPr>
          <w:ilvl w:val="0"/>
          <w:numId w:val="3"/>
        </w:numPr>
        <w:ind w:left="360"/>
        <w:rPr>
          <w:rFonts w:cs="Arial"/>
          <w:szCs w:val="24"/>
        </w:rPr>
      </w:pPr>
      <w:r>
        <w:rPr>
          <w:rFonts w:cs="Arial"/>
          <w:szCs w:val="24"/>
        </w:rPr>
        <w:t xml:space="preserve">Informed </w:t>
      </w:r>
      <w:r w:rsidR="00F14EC1">
        <w:rPr>
          <w:rFonts w:cs="Arial"/>
          <w:szCs w:val="24"/>
        </w:rPr>
        <w:t xml:space="preserve">Consent </w:t>
      </w:r>
      <w:r>
        <w:rPr>
          <w:rFonts w:cs="Arial"/>
          <w:szCs w:val="24"/>
        </w:rPr>
        <w:t>(Clinical)</w:t>
      </w:r>
    </w:p>
    <w:p w14:paraId="696BA268" w14:textId="5F2E5BF4" w:rsidR="008A04F7" w:rsidRDefault="008A04F7" w:rsidP="009E70F4">
      <w:pPr>
        <w:numPr>
          <w:ilvl w:val="0"/>
          <w:numId w:val="3"/>
        </w:numPr>
        <w:ind w:left="360"/>
        <w:rPr>
          <w:rFonts w:cs="Arial"/>
          <w:szCs w:val="24"/>
        </w:rPr>
      </w:pPr>
      <w:r>
        <w:rPr>
          <w:rFonts w:cs="Arial"/>
          <w:szCs w:val="24"/>
        </w:rPr>
        <w:t>Clinical Records Management</w:t>
      </w:r>
    </w:p>
    <w:p w14:paraId="403D5AE5" w14:textId="2C1276F3" w:rsidR="00417EB5" w:rsidRPr="00417EB5" w:rsidRDefault="00417EB5" w:rsidP="00417EB5">
      <w:pPr>
        <w:numPr>
          <w:ilvl w:val="0"/>
          <w:numId w:val="3"/>
        </w:numPr>
        <w:ind w:left="360"/>
        <w:rPr>
          <w:rFonts w:cs="Arial"/>
          <w:szCs w:val="24"/>
        </w:rPr>
      </w:pPr>
      <w:r w:rsidRPr="00417EB5">
        <w:rPr>
          <w:rStyle w:val="normaltextrun1"/>
          <w:rFonts w:cs="Calibri"/>
        </w:rPr>
        <w:t>Australian Commission on Safety and Quality in Healthcare, Australian Charter of Healthcare Rights</w:t>
      </w:r>
    </w:p>
    <w:p w14:paraId="2F51A8BD" w14:textId="77777777" w:rsidR="000A7335" w:rsidRPr="000A7335" w:rsidRDefault="000A7335" w:rsidP="000A7335">
      <w:pPr>
        <w:rPr>
          <w:rFonts w:cs="Arial"/>
          <w:szCs w:val="24"/>
        </w:rPr>
      </w:pPr>
    </w:p>
    <w:p w14:paraId="2F51A8BE" w14:textId="77777777" w:rsidR="00931B93" w:rsidRPr="00201FB6" w:rsidRDefault="00931B93" w:rsidP="00201FB6">
      <w:pPr>
        <w:rPr>
          <w:b/>
        </w:rPr>
      </w:pPr>
      <w:r w:rsidRPr="00201FB6">
        <w:rPr>
          <w:b/>
        </w:rPr>
        <w:t>Procedures</w:t>
      </w:r>
    </w:p>
    <w:p w14:paraId="5668ACB6" w14:textId="6183EC6C" w:rsidR="002A3C2B" w:rsidRDefault="002A3C2B" w:rsidP="000A7335">
      <w:pPr>
        <w:numPr>
          <w:ilvl w:val="0"/>
          <w:numId w:val="3"/>
        </w:numPr>
        <w:ind w:left="360"/>
        <w:rPr>
          <w:rFonts w:cs="Arial"/>
          <w:szCs w:val="24"/>
        </w:rPr>
      </w:pPr>
      <w:r>
        <w:rPr>
          <w:rFonts w:cs="Arial"/>
          <w:szCs w:val="24"/>
        </w:rPr>
        <w:t xml:space="preserve">Clinical Records Management </w:t>
      </w:r>
    </w:p>
    <w:p w14:paraId="2F51A8BF" w14:textId="2306C963" w:rsidR="001926F4" w:rsidRPr="001F2A9B" w:rsidRDefault="00231F81" w:rsidP="000A7335">
      <w:pPr>
        <w:numPr>
          <w:ilvl w:val="0"/>
          <w:numId w:val="3"/>
        </w:numPr>
        <w:ind w:left="360"/>
        <w:rPr>
          <w:rFonts w:cs="Arial"/>
          <w:szCs w:val="24"/>
        </w:rPr>
      </w:pPr>
      <w:r>
        <w:rPr>
          <w:rFonts w:cs="Arial"/>
          <w:szCs w:val="24"/>
        </w:rPr>
        <w:t>Infection Prevention and Control</w:t>
      </w:r>
      <w:r w:rsidR="001926F4" w:rsidRPr="001F2A9B">
        <w:rPr>
          <w:rFonts w:cs="Arial"/>
          <w:szCs w:val="24"/>
        </w:rPr>
        <w:t xml:space="preserve"> Healthcare Associated Infections Clinical </w:t>
      </w:r>
    </w:p>
    <w:p w14:paraId="2F51A8C0" w14:textId="45A887ED" w:rsidR="000A7335" w:rsidRDefault="000A7335" w:rsidP="000A7335">
      <w:pPr>
        <w:pStyle w:val="ListParagraph"/>
        <w:numPr>
          <w:ilvl w:val="0"/>
          <w:numId w:val="3"/>
        </w:numPr>
        <w:ind w:left="360"/>
        <w:rPr>
          <w:rFonts w:cs="Arial"/>
          <w:szCs w:val="24"/>
        </w:rPr>
      </w:pPr>
      <w:r w:rsidRPr="001F2A9B">
        <w:rPr>
          <w:rFonts w:cs="Arial"/>
          <w:szCs w:val="24"/>
        </w:rPr>
        <w:t xml:space="preserve">Patient Identification and Procedure Matching </w:t>
      </w:r>
    </w:p>
    <w:p w14:paraId="6D735CA5" w14:textId="11180AF8" w:rsidR="008A04F7" w:rsidRDefault="008A04F7" w:rsidP="000A7335">
      <w:pPr>
        <w:pStyle w:val="ListParagraph"/>
        <w:numPr>
          <w:ilvl w:val="0"/>
          <w:numId w:val="3"/>
        </w:numPr>
        <w:ind w:left="360"/>
        <w:rPr>
          <w:rFonts w:cs="Arial"/>
          <w:szCs w:val="24"/>
        </w:rPr>
      </w:pPr>
      <w:r>
        <w:rPr>
          <w:rFonts w:cs="Arial"/>
          <w:szCs w:val="24"/>
        </w:rPr>
        <w:t xml:space="preserve">Same Day Discharge for Elective Percutaneous Coronary Intervention Adult Patients </w:t>
      </w:r>
    </w:p>
    <w:p w14:paraId="626991ED" w14:textId="6FCF44C7" w:rsidR="008A04F7" w:rsidRDefault="008A04F7" w:rsidP="000A7335">
      <w:pPr>
        <w:pStyle w:val="ListParagraph"/>
        <w:numPr>
          <w:ilvl w:val="0"/>
          <w:numId w:val="3"/>
        </w:numPr>
        <w:ind w:left="360"/>
        <w:rPr>
          <w:rFonts w:cs="Arial"/>
          <w:szCs w:val="24"/>
        </w:rPr>
      </w:pPr>
      <w:r>
        <w:rPr>
          <w:rFonts w:cs="Arial"/>
          <w:szCs w:val="24"/>
        </w:rPr>
        <w:t xml:space="preserve">Admission to Discharge </w:t>
      </w:r>
    </w:p>
    <w:p w14:paraId="2C44E8B6" w14:textId="354A83F8" w:rsidR="008A04F7" w:rsidRDefault="008A04F7" w:rsidP="000A7335">
      <w:pPr>
        <w:pStyle w:val="ListParagraph"/>
        <w:numPr>
          <w:ilvl w:val="0"/>
          <w:numId w:val="3"/>
        </w:numPr>
        <w:ind w:left="360"/>
        <w:rPr>
          <w:rFonts w:cs="Arial"/>
          <w:szCs w:val="24"/>
        </w:rPr>
      </w:pPr>
      <w:r>
        <w:rPr>
          <w:rFonts w:cs="Arial"/>
          <w:szCs w:val="24"/>
        </w:rPr>
        <w:t>HITH Referral Admission and Discharge (Adults and Children)</w:t>
      </w:r>
    </w:p>
    <w:p w14:paraId="50CCE983" w14:textId="78C2AB30" w:rsidR="008A04F7" w:rsidRPr="000A7335" w:rsidRDefault="008A04F7" w:rsidP="000A7335">
      <w:pPr>
        <w:pStyle w:val="ListParagraph"/>
        <w:numPr>
          <w:ilvl w:val="0"/>
          <w:numId w:val="3"/>
        </w:numPr>
        <w:ind w:left="360"/>
        <w:rPr>
          <w:rFonts w:cs="Arial"/>
          <w:szCs w:val="24"/>
        </w:rPr>
      </w:pPr>
      <w:r>
        <w:rPr>
          <w:rFonts w:cs="Arial"/>
          <w:szCs w:val="24"/>
        </w:rPr>
        <w:t>Transfer from Inpatient Ward to Discharge Lounge</w:t>
      </w:r>
    </w:p>
    <w:p w14:paraId="2F51A8C1" w14:textId="77777777" w:rsidR="000A7335" w:rsidRPr="000A7335" w:rsidRDefault="000A7335" w:rsidP="000A7335">
      <w:pPr>
        <w:ind w:left="360"/>
        <w:rPr>
          <w:rFonts w:cs="Arial"/>
          <w:szCs w:val="24"/>
        </w:rPr>
      </w:pPr>
    </w:p>
    <w:p w14:paraId="2F51A8C2" w14:textId="77777777" w:rsidR="00931B93" w:rsidRPr="00201FB6" w:rsidRDefault="00931B93" w:rsidP="00201FB6">
      <w:pPr>
        <w:rPr>
          <w:b/>
        </w:rPr>
      </w:pPr>
      <w:r w:rsidRPr="00201FB6">
        <w:rPr>
          <w:b/>
        </w:rPr>
        <w:t xml:space="preserve">Guidelines </w:t>
      </w:r>
    </w:p>
    <w:p w14:paraId="2F51A8C3" w14:textId="4B99D678" w:rsidR="000A7335" w:rsidRDefault="000A7335" w:rsidP="000A7335">
      <w:pPr>
        <w:numPr>
          <w:ilvl w:val="0"/>
          <w:numId w:val="3"/>
        </w:numPr>
        <w:ind w:left="360"/>
        <w:rPr>
          <w:rFonts w:cs="Arial"/>
          <w:szCs w:val="24"/>
        </w:rPr>
      </w:pPr>
      <w:r w:rsidRPr="000A7335">
        <w:rPr>
          <w:rFonts w:cs="Arial"/>
          <w:szCs w:val="24"/>
        </w:rPr>
        <w:t>Fasting Guidelines – Elective and Emergency Surgery</w:t>
      </w:r>
    </w:p>
    <w:p w14:paraId="67C59CA6" w14:textId="4E64E5E2" w:rsidR="008A04F7" w:rsidRPr="000A7335" w:rsidRDefault="008A04F7" w:rsidP="000A7335">
      <w:pPr>
        <w:numPr>
          <w:ilvl w:val="0"/>
          <w:numId w:val="3"/>
        </w:numPr>
        <w:ind w:left="360"/>
        <w:rPr>
          <w:rFonts w:cs="Arial"/>
          <w:szCs w:val="24"/>
        </w:rPr>
      </w:pPr>
      <w:r>
        <w:rPr>
          <w:rFonts w:cs="Arial"/>
          <w:szCs w:val="24"/>
        </w:rPr>
        <w:t>Discharge Liaison Nurse Guidelines</w:t>
      </w:r>
    </w:p>
    <w:p w14:paraId="2F51A8C4" w14:textId="77777777" w:rsidR="00931B93" w:rsidRPr="000A7335" w:rsidRDefault="00931B93" w:rsidP="00931B93"/>
    <w:p w14:paraId="2F51A8C5" w14:textId="77777777" w:rsidR="00931B93" w:rsidRPr="00201FB6" w:rsidRDefault="00931B93" w:rsidP="00201FB6">
      <w:pPr>
        <w:rPr>
          <w:b/>
        </w:rPr>
      </w:pPr>
      <w:r w:rsidRPr="00201FB6">
        <w:rPr>
          <w:b/>
        </w:rPr>
        <w:t>Legislation</w:t>
      </w:r>
    </w:p>
    <w:p w14:paraId="2F51A8C6" w14:textId="77777777" w:rsidR="000A7335" w:rsidRPr="000A7335" w:rsidRDefault="000A7335" w:rsidP="000A7335">
      <w:pPr>
        <w:numPr>
          <w:ilvl w:val="0"/>
          <w:numId w:val="3"/>
        </w:numPr>
        <w:ind w:left="360"/>
        <w:rPr>
          <w:rFonts w:cs="Arial"/>
          <w:szCs w:val="24"/>
        </w:rPr>
      </w:pPr>
      <w:r w:rsidRPr="001F2A9B">
        <w:rPr>
          <w:rFonts w:cs="Arial"/>
          <w:i/>
          <w:szCs w:val="24"/>
        </w:rPr>
        <w:t>Health Records (Privacy and Access) Act</w:t>
      </w:r>
      <w:r w:rsidRPr="000A7335">
        <w:rPr>
          <w:rFonts w:cs="Arial"/>
          <w:szCs w:val="24"/>
        </w:rPr>
        <w:t xml:space="preserve"> 1997</w:t>
      </w:r>
    </w:p>
    <w:p w14:paraId="2F51A8C7" w14:textId="77777777" w:rsidR="000A7335" w:rsidRPr="000A7335" w:rsidRDefault="000A7335" w:rsidP="000A7335">
      <w:pPr>
        <w:numPr>
          <w:ilvl w:val="0"/>
          <w:numId w:val="3"/>
        </w:numPr>
        <w:ind w:left="360"/>
        <w:rPr>
          <w:rFonts w:cs="Arial"/>
          <w:szCs w:val="24"/>
        </w:rPr>
      </w:pPr>
      <w:r w:rsidRPr="001F2A9B">
        <w:rPr>
          <w:rFonts w:cs="Arial"/>
          <w:i/>
          <w:szCs w:val="24"/>
        </w:rPr>
        <w:t>Human Rights Act</w:t>
      </w:r>
      <w:r w:rsidRPr="000A7335">
        <w:rPr>
          <w:rFonts w:cs="Arial"/>
          <w:szCs w:val="24"/>
        </w:rPr>
        <w:t xml:space="preserve"> 2004</w:t>
      </w:r>
    </w:p>
    <w:p w14:paraId="2F51A8C8" w14:textId="77777777" w:rsidR="000A7335" w:rsidRPr="000A7335" w:rsidRDefault="000A7335" w:rsidP="000A7335">
      <w:pPr>
        <w:numPr>
          <w:ilvl w:val="0"/>
          <w:numId w:val="3"/>
        </w:numPr>
        <w:ind w:left="360"/>
        <w:rPr>
          <w:rFonts w:cs="Arial"/>
          <w:szCs w:val="24"/>
        </w:rPr>
      </w:pPr>
      <w:r w:rsidRPr="001F2A9B">
        <w:rPr>
          <w:rFonts w:cs="Arial"/>
          <w:i/>
          <w:szCs w:val="24"/>
        </w:rPr>
        <w:t>Work Health and Safety Act</w:t>
      </w:r>
      <w:r w:rsidRPr="000A7335">
        <w:rPr>
          <w:rFonts w:cs="Arial"/>
          <w:szCs w:val="24"/>
        </w:rPr>
        <w:t xml:space="preserve"> 2011</w:t>
      </w:r>
    </w:p>
    <w:p w14:paraId="2F51A8C9" w14:textId="77777777" w:rsidR="007B6904" w:rsidRPr="00FF56DD" w:rsidRDefault="007B6904" w:rsidP="007B6904">
      <w:pPr>
        <w:ind w:left="720"/>
        <w:rPr>
          <w:rFonts w:cs="Arial"/>
          <w:i/>
          <w:szCs w:val="24"/>
        </w:rPr>
      </w:pPr>
    </w:p>
    <w:p w14:paraId="2F51A8CA" w14:textId="77777777" w:rsidR="007B6904" w:rsidRDefault="00B57C39"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30" w:name="_Toc389473288"/>
            <w:bookmarkStart w:id="31" w:name="_Toc75775934"/>
            <w:r>
              <w:lastRenderedPageBreak/>
              <w:t>References</w:t>
            </w:r>
            <w:bookmarkEnd w:id="30"/>
            <w:bookmarkEnd w:id="31"/>
          </w:p>
        </w:tc>
      </w:tr>
    </w:tbl>
    <w:p w14:paraId="2F51A8CD" w14:textId="77777777" w:rsidR="007B6904" w:rsidRPr="00DE4E25" w:rsidRDefault="007B6904" w:rsidP="007B6904">
      <w:pPr>
        <w:rPr>
          <w:rFonts w:asciiTheme="majorHAnsi" w:hAnsiTheme="majorHAnsi" w:cstheme="majorHAnsi"/>
          <w:szCs w:val="24"/>
        </w:rPr>
      </w:pPr>
      <w:bookmarkStart w:id="32" w:name="_Toc389131245"/>
    </w:p>
    <w:p w14:paraId="69957AC5" w14:textId="77777777" w:rsidR="000235A6" w:rsidRPr="00DE185D" w:rsidRDefault="000235A6" w:rsidP="000235A6">
      <w:r>
        <w:rPr>
          <w:b/>
          <w:vertAlign w:val="superscript"/>
        </w:rPr>
        <w:t>1</w:t>
      </w:r>
      <w:r w:rsidRPr="00DE185D">
        <w:t xml:space="preserve"> </w:t>
      </w:r>
      <w:r w:rsidRPr="00022642">
        <w:rPr>
          <w:i/>
        </w:rPr>
        <w:t>ACT Health Record (Privacy and Access) Act</w:t>
      </w:r>
      <w:r w:rsidRPr="00DE185D">
        <w:t xml:space="preserve"> 1997</w:t>
      </w:r>
    </w:p>
    <w:p w14:paraId="2693D812" w14:textId="4AD215CF" w:rsidR="000235A6" w:rsidRDefault="00B57C39" w:rsidP="000235A6">
      <w:pPr>
        <w:jc w:val="both"/>
        <w:rPr>
          <w:rStyle w:val="Hyperlink"/>
          <w:i/>
          <w:szCs w:val="24"/>
        </w:rPr>
      </w:pPr>
      <w:hyperlink r:id="rId18" w:history="1">
        <w:r w:rsidR="000235A6" w:rsidRPr="00A04BD0">
          <w:rPr>
            <w:rStyle w:val="Hyperlink"/>
            <w:i/>
            <w:szCs w:val="24"/>
          </w:rPr>
          <w:t>www.legislation.act.gov.au</w:t>
        </w:r>
      </w:hyperlink>
    </w:p>
    <w:p w14:paraId="789B8AFA" w14:textId="77777777" w:rsidR="00017D1B" w:rsidRDefault="00017D1B" w:rsidP="000235A6">
      <w:pPr>
        <w:jc w:val="both"/>
        <w:rPr>
          <w:rStyle w:val="Hyperlink"/>
          <w:i/>
          <w:szCs w:val="24"/>
        </w:rPr>
      </w:pPr>
    </w:p>
    <w:p w14:paraId="10D4F1B9" w14:textId="77777777" w:rsidR="000235A6" w:rsidRDefault="000235A6" w:rsidP="000235A6">
      <w:pPr>
        <w:jc w:val="both"/>
      </w:pPr>
      <w:r w:rsidRPr="00022642">
        <w:rPr>
          <w:vertAlign w:val="superscript"/>
        </w:rPr>
        <w:t>2</w:t>
      </w:r>
      <w:r w:rsidRPr="00FA68F3">
        <w:rPr>
          <w:i/>
        </w:rPr>
        <w:t xml:space="preserve"> </w:t>
      </w:r>
      <w:r w:rsidRPr="005007DF">
        <w:t>Australian Consortium for Classification Development. (2017).</w:t>
      </w:r>
      <w:r>
        <w:rPr>
          <w:i/>
        </w:rPr>
        <w:t xml:space="preserve"> </w:t>
      </w:r>
      <w:r w:rsidRPr="00FA68F3">
        <w:rPr>
          <w:i/>
        </w:rPr>
        <w:t>Australian Coding Standards</w:t>
      </w:r>
      <w:r>
        <w:rPr>
          <w:i/>
        </w:rPr>
        <w:t xml:space="preserve"> </w:t>
      </w:r>
      <w:r w:rsidRPr="005007DF">
        <w:t>(Tenth Edition).</w:t>
      </w:r>
      <w:r>
        <w:t xml:space="preserve"> Sydney:</w:t>
      </w:r>
      <w:r>
        <w:rPr>
          <w:i/>
        </w:rPr>
        <w:t xml:space="preserve"> </w:t>
      </w:r>
      <w:r>
        <w:t xml:space="preserve">Independent Hospital Pricing Authority </w:t>
      </w:r>
    </w:p>
    <w:bookmarkEnd w:id="32"/>
    <w:p w14:paraId="2F51A8D4" w14:textId="77777777" w:rsidR="007B6904" w:rsidRPr="00DE4E25" w:rsidRDefault="007B6904" w:rsidP="007B6904">
      <w:pPr>
        <w:jc w:val="right"/>
        <w:rPr>
          <w:szCs w:val="24"/>
        </w:rPr>
      </w:pPr>
    </w:p>
    <w:p w14:paraId="2F51A8D5" w14:textId="77777777" w:rsidR="00FF56DD" w:rsidRDefault="00B57C39"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44929C4D" w:rsidR="00FF56DD" w:rsidRPr="000F1F60" w:rsidRDefault="00FF56DD" w:rsidP="004213C3">
            <w:pPr>
              <w:pStyle w:val="Heading1"/>
            </w:pPr>
            <w:bookmarkStart w:id="33" w:name="_Toc75775935"/>
            <w:r>
              <w:t>Definition of Terms</w:t>
            </w:r>
            <w:bookmarkEnd w:id="33"/>
            <w:r>
              <w:t xml:space="preserve">  </w:t>
            </w:r>
          </w:p>
        </w:tc>
      </w:tr>
    </w:tbl>
    <w:p w14:paraId="2F51A8D8" w14:textId="77777777" w:rsidR="00FF56DD" w:rsidRDefault="00FF56DD" w:rsidP="00FF56DD">
      <w:pPr>
        <w:rPr>
          <w:rFonts w:cs="Arial"/>
          <w:szCs w:val="24"/>
        </w:rPr>
      </w:pPr>
    </w:p>
    <w:p w14:paraId="06A8F29C" w14:textId="77777777" w:rsidR="000235A6" w:rsidRPr="00B43228" w:rsidRDefault="000235A6" w:rsidP="000235A6">
      <w:pPr>
        <w:rPr>
          <w:rFonts w:cs="Calibri"/>
          <w:b/>
          <w:szCs w:val="24"/>
        </w:rPr>
      </w:pPr>
      <w:r w:rsidRPr="00B43228">
        <w:rPr>
          <w:rFonts w:cs="Calibri"/>
          <w:b/>
          <w:szCs w:val="24"/>
        </w:rPr>
        <w:t>ABF</w:t>
      </w:r>
      <w:r>
        <w:rPr>
          <w:rFonts w:cs="Calibri"/>
          <w:b/>
          <w:szCs w:val="24"/>
        </w:rPr>
        <w:t xml:space="preserve"> - Activity Based Funding</w:t>
      </w:r>
      <w:r w:rsidRPr="00E97F54">
        <w:rPr>
          <w:rFonts w:cs="Calibri"/>
          <w:b/>
          <w:szCs w:val="24"/>
          <w:vertAlign w:val="superscript"/>
        </w:rPr>
        <w:t>1</w:t>
      </w:r>
    </w:p>
    <w:p w14:paraId="1A6FFA67" w14:textId="03A83C7B" w:rsidR="000235A6" w:rsidRPr="00B43228" w:rsidRDefault="000235A6" w:rsidP="000235A6">
      <w:pPr>
        <w:rPr>
          <w:rFonts w:eastAsia="Calibri" w:cs="Calibri"/>
          <w:color w:val="000000"/>
          <w:szCs w:val="24"/>
          <w:lang w:eastAsia="en-AU"/>
        </w:rPr>
      </w:pPr>
      <w:r w:rsidRPr="00B43228">
        <w:rPr>
          <w:rFonts w:eastAsia="Calibri" w:cs="Calibri"/>
          <w:color w:val="000000"/>
          <w:szCs w:val="24"/>
          <w:lang w:eastAsia="en-AU"/>
        </w:rPr>
        <w:t>Activity Based Funding is the process of reimbursing a health care service for the cost of patient care based on the casemix or activity of the hospital. Hospitals are paid a set amount for each patient treated, based on the DRG to which the episode is allocated.</w:t>
      </w:r>
      <w:r>
        <w:rPr>
          <w:rFonts w:eastAsia="Calibri" w:cs="Calibri"/>
          <w:color w:val="000000"/>
          <w:szCs w:val="24"/>
          <w:lang w:eastAsia="en-AU"/>
        </w:rPr>
        <w:br/>
      </w:r>
    </w:p>
    <w:p w14:paraId="18FE782E" w14:textId="77777777" w:rsidR="000235A6" w:rsidRDefault="000235A6" w:rsidP="000235A6">
      <w:pPr>
        <w:pStyle w:val="Default"/>
        <w:autoSpaceDE/>
        <w:autoSpaceDN/>
        <w:adjustRightInd/>
        <w:rPr>
          <w:rFonts w:ascii="Calibri" w:hAnsi="Calibri" w:cs="Calibri"/>
          <w:b/>
        </w:rPr>
      </w:pPr>
      <w:r>
        <w:rPr>
          <w:rFonts w:ascii="Calibri" w:hAnsi="Calibri" w:cs="Calibri"/>
          <w:b/>
        </w:rPr>
        <w:t>ACTPAS</w:t>
      </w:r>
    </w:p>
    <w:p w14:paraId="75553833" w14:textId="77777777" w:rsidR="000235A6" w:rsidRDefault="000235A6" w:rsidP="000235A6">
      <w:pPr>
        <w:pStyle w:val="Default"/>
        <w:autoSpaceDE/>
        <w:autoSpaceDN/>
        <w:adjustRightInd/>
        <w:rPr>
          <w:rFonts w:ascii="Calibri" w:hAnsi="Calibri" w:cs="Calibri"/>
        </w:rPr>
      </w:pPr>
      <w:r>
        <w:rPr>
          <w:rFonts w:ascii="Calibri" w:hAnsi="Calibri" w:cs="Calibri"/>
        </w:rPr>
        <w:t xml:space="preserve">ACT Patient Administration System </w:t>
      </w:r>
    </w:p>
    <w:p w14:paraId="615A0545" w14:textId="77777777" w:rsidR="000235A6" w:rsidRPr="00BD1424" w:rsidRDefault="000235A6" w:rsidP="000235A6">
      <w:pPr>
        <w:pStyle w:val="Default"/>
        <w:autoSpaceDE/>
        <w:autoSpaceDN/>
        <w:adjustRightInd/>
        <w:rPr>
          <w:rFonts w:ascii="Calibri" w:hAnsi="Calibri" w:cs="Calibri"/>
        </w:rPr>
      </w:pPr>
    </w:p>
    <w:p w14:paraId="558914F0" w14:textId="77777777" w:rsidR="000235A6" w:rsidRPr="00B43228" w:rsidRDefault="000235A6" w:rsidP="000235A6">
      <w:pPr>
        <w:pStyle w:val="Default"/>
        <w:autoSpaceDE/>
        <w:autoSpaceDN/>
        <w:adjustRightInd/>
        <w:rPr>
          <w:rFonts w:ascii="Calibri" w:hAnsi="Calibri" w:cs="Calibri"/>
          <w:b/>
        </w:rPr>
      </w:pPr>
      <w:r w:rsidRPr="00B43228">
        <w:rPr>
          <w:rFonts w:ascii="Calibri" w:hAnsi="Calibri" w:cs="Calibri"/>
          <w:b/>
        </w:rPr>
        <w:t>Additional Diagnosis</w:t>
      </w:r>
      <w:r w:rsidRPr="00952EB8">
        <w:rPr>
          <w:rFonts w:ascii="Calibri" w:hAnsi="Calibri" w:cs="Calibri"/>
          <w:b/>
          <w:vertAlign w:val="superscript"/>
        </w:rPr>
        <w:t>2</w:t>
      </w:r>
    </w:p>
    <w:p w14:paraId="06F5121C" w14:textId="77777777" w:rsidR="000235A6" w:rsidRPr="00B43228" w:rsidRDefault="000235A6" w:rsidP="000235A6">
      <w:pPr>
        <w:pStyle w:val="Default"/>
        <w:autoSpaceDE/>
        <w:autoSpaceDN/>
        <w:adjustRightInd/>
        <w:rPr>
          <w:rFonts w:ascii="Calibri" w:eastAsia="Calibri" w:hAnsi="Calibri" w:cs="Calibri"/>
        </w:rPr>
      </w:pPr>
      <w:r w:rsidRPr="00B43228">
        <w:rPr>
          <w:rFonts w:ascii="Calibri" w:eastAsia="Calibri" w:hAnsi="Calibri" w:cs="Calibri"/>
        </w:rPr>
        <w:t>A condition either coexisting with the principal diagnosis or arising during the admission that affect</w:t>
      </w:r>
      <w:r>
        <w:rPr>
          <w:rFonts w:ascii="Calibri" w:eastAsia="Calibri" w:hAnsi="Calibri" w:cs="Calibri"/>
        </w:rPr>
        <w:t>s</w:t>
      </w:r>
      <w:r w:rsidRPr="00B43228">
        <w:rPr>
          <w:rFonts w:ascii="Calibri" w:eastAsia="Calibri" w:hAnsi="Calibri" w:cs="Calibri"/>
        </w:rPr>
        <w:t xml:space="preserve"> patient management in terms of requiring any of the following: </w:t>
      </w:r>
    </w:p>
    <w:p w14:paraId="02C46443" w14:textId="77777777" w:rsidR="000235A6" w:rsidRDefault="000235A6" w:rsidP="000235A6">
      <w:pPr>
        <w:pStyle w:val="ListBullet"/>
        <w:rPr>
          <w:rFonts w:eastAsia="Calibri"/>
        </w:rPr>
      </w:pPr>
      <w:r w:rsidRPr="00B43228">
        <w:rPr>
          <w:rFonts w:eastAsia="Calibri"/>
        </w:rPr>
        <w:t xml:space="preserve">commencement, alteration or adjustment of therapeutic treatment </w:t>
      </w:r>
    </w:p>
    <w:p w14:paraId="434718A2" w14:textId="77777777" w:rsidR="000235A6" w:rsidRDefault="000235A6" w:rsidP="000235A6">
      <w:pPr>
        <w:pStyle w:val="ListBullet"/>
        <w:rPr>
          <w:rFonts w:eastAsia="Calibri"/>
        </w:rPr>
      </w:pPr>
      <w:r w:rsidRPr="00394632">
        <w:rPr>
          <w:rFonts w:eastAsia="Calibri"/>
        </w:rPr>
        <w:t xml:space="preserve">diagnostic procedures </w:t>
      </w:r>
    </w:p>
    <w:p w14:paraId="1988E4D5" w14:textId="77777777" w:rsidR="000235A6" w:rsidRPr="00CB1532" w:rsidRDefault="000235A6" w:rsidP="000235A6">
      <w:pPr>
        <w:pStyle w:val="ListBullet"/>
        <w:rPr>
          <w:b/>
        </w:rPr>
      </w:pPr>
      <w:r w:rsidRPr="00394632">
        <w:rPr>
          <w:rFonts w:eastAsia="Calibri"/>
        </w:rPr>
        <w:t xml:space="preserve">increased clinical care and/or monitoring. </w:t>
      </w:r>
    </w:p>
    <w:p w14:paraId="33BF9207" w14:textId="77777777" w:rsidR="000235A6" w:rsidRDefault="000235A6" w:rsidP="000235A6">
      <w:pPr>
        <w:rPr>
          <w:rFonts w:cs="Calibri"/>
          <w:b/>
          <w:szCs w:val="24"/>
        </w:rPr>
      </w:pPr>
    </w:p>
    <w:p w14:paraId="5751D76E" w14:textId="77777777" w:rsidR="000235A6" w:rsidRDefault="000235A6" w:rsidP="000235A6">
      <w:pPr>
        <w:rPr>
          <w:rFonts w:cs="Calibri"/>
          <w:b/>
          <w:szCs w:val="24"/>
        </w:rPr>
      </w:pPr>
      <w:r>
        <w:rPr>
          <w:rFonts w:cs="Calibri"/>
          <w:b/>
          <w:szCs w:val="24"/>
        </w:rPr>
        <w:t>BOS</w:t>
      </w:r>
    </w:p>
    <w:p w14:paraId="79C27C56" w14:textId="0DD706FC" w:rsidR="000235A6" w:rsidRDefault="000235A6" w:rsidP="000235A6">
      <w:pPr>
        <w:rPr>
          <w:rFonts w:cs="Calibri"/>
          <w:szCs w:val="24"/>
        </w:rPr>
      </w:pPr>
      <w:r>
        <w:rPr>
          <w:rFonts w:cs="Calibri"/>
          <w:szCs w:val="24"/>
        </w:rPr>
        <w:t>Birth Outcome System</w:t>
      </w:r>
    </w:p>
    <w:p w14:paraId="0D33984A" w14:textId="0F65FED7" w:rsidR="002205ED" w:rsidRDefault="002205ED" w:rsidP="000235A6">
      <w:pPr>
        <w:rPr>
          <w:rFonts w:cs="Calibri"/>
          <w:szCs w:val="24"/>
        </w:rPr>
      </w:pPr>
    </w:p>
    <w:p w14:paraId="56EE3B2C" w14:textId="7A65C13B" w:rsidR="002205ED" w:rsidRPr="00812864" w:rsidRDefault="002205ED" w:rsidP="000235A6">
      <w:pPr>
        <w:rPr>
          <w:rFonts w:cs="Calibri"/>
          <w:b/>
          <w:bCs/>
          <w:szCs w:val="24"/>
        </w:rPr>
      </w:pPr>
      <w:r w:rsidRPr="00812864">
        <w:rPr>
          <w:rFonts w:cs="Calibri"/>
          <w:b/>
          <w:bCs/>
          <w:szCs w:val="24"/>
        </w:rPr>
        <w:t>Care Type</w:t>
      </w:r>
    </w:p>
    <w:p w14:paraId="2CB2E221" w14:textId="58AB554E" w:rsidR="002205ED" w:rsidRDefault="002205ED" w:rsidP="000235A6">
      <w:pPr>
        <w:rPr>
          <w:rFonts w:cs="Calibri"/>
          <w:szCs w:val="24"/>
        </w:rPr>
      </w:pPr>
      <w:r>
        <w:rPr>
          <w:rFonts w:cs="Calibri"/>
          <w:szCs w:val="24"/>
        </w:rPr>
        <w:t xml:space="preserve">Care Type refers to the nature of the clinical service provided to an admitted patient during an episode of admitted patient care.  The care type must reflect the primary clinical purpose or treatment goal of the care provided. The Care Type is assigned by the clinician responsible for the management of the care based on their clinical judgement, and for mental health and subacute care types, the specialised expertise of the clinician who will be responsible for the management of the care. During a hospital stay, the primary clinical purpose or treatment goal of care may change, </w:t>
      </w:r>
      <w:r w:rsidR="00812864">
        <w:rPr>
          <w:rFonts w:cs="Calibri"/>
          <w:szCs w:val="24"/>
        </w:rPr>
        <w:t xml:space="preserve">necessitating </w:t>
      </w:r>
      <w:r>
        <w:rPr>
          <w:rFonts w:cs="Calibri"/>
          <w:szCs w:val="24"/>
        </w:rPr>
        <w:t xml:space="preserve">a </w:t>
      </w:r>
      <w:r w:rsidR="00812864">
        <w:rPr>
          <w:rFonts w:cs="Calibri"/>
          <w:szCs w:val="24"/>
        </w:rPr>
        <w:t xml:space="preserve">care type </w:t>
      </w:r>
      <w:r>
        <w:rPr>
          <w:rFonts w:cs="Calibri"/>
          <w:szCs w:val="24"/>
        </w:rPr>
        <w:t>change.</w:t>
      </w:r>
    </w:p>
    <w:p w14:paraId="3528E63B" w14:textId="3E1AAE68" w:rsidR="000235A6" w:rsidRDefault="000235A6" w:rsidP="000235A6">
      <w:pPr>
        <w:rPr>
          <w:rFonts w:cs="Calibri"/>
          <w:szCs w:val="24"/>
        </w:rPr>
      </w:pPr>
    </w:p>
    <w:p w14:paraId="039E5613" w14:textId="178935D1" w:rsidR="008A04F7" w:rsidRDefault="008A04F7" w:rsidP="000235A6">
      <w:pPr>
        <w:rPr>
          <w:rFonts w:cs="Calibri"/>
          <w:szCs w:val="24"/>
        </w:rPr>
      </w:pPr>
      <w:r w:rsidRPr="00812864">
        <w:rPr>
          <w:rFonts w:cs="Calibri"/>
          <w:b/>
          <w:bCs/>
          <w:szCs w:val="24"/>
        </w:rPr>
        <w:t>Care Type Change</w:t>
      </w:r>
    </w:p>
    <w:p w14:paraId="5000581D" w14:textId="4440A799" w:rsidR="002205ED" w:rsidRDefault="002205ED" w:rsidP="000235A6">
      <w:pPr>
        <w:rPr>
          <w:rFonts w:cs="Calibri"/>
          <w:szCs w:val="24"/>
        </w:rPr>
      </w:pPr>
      <w:r>
        <w:rPr>
          <w:rFonts w:cs="Calibri"/>
          <w:szCs w:val="24"/>
        </w:rPr>
        <w:t xml:space="preserve">A care type changes occurs when there is a change in the </w:t>
      </w:r>
      <w:r w:rsidR="00812864">
        <w:rPr>
          <w:rFonts w:cs="Calibri"/>
          <w:szCs w:val="24"/>
        </w:rPr>
        <w:t xml:space="preserve">clinical intent or </w:t>
      </w:r>
      <w:r>
        <w:rPr>
          <w:rFonts w:cs="Calibri"/>
          <w:szCs w:val="24"/>
        </w:rPr>
        <w:t xml:space="preserve">primary clinical </w:t>
      </w:r>
      <w:proofErr w:type="gramStart"/>
      <w:r>
        <w:rPr>
          <w:rFonts w:cs="Calibri"/>
          <w:szCs w:val="24"/>
        </w:rPr>
        <w:t>purpose</w:t>
      </w:r>
      <w:proofErr w:type="gramEnd"/>
      <w:r>
        <w:rPr>
          <w:rFonts w:cs="Calibri"/>
          <w:szCs w:val="24"/>
        </w:rPr>
        <w:t xml:space="preserve"> or treatment goal of the care provided for the patient.  For Example, a patient who is admitted following a stroke will initially be admitted under an acute care </w:t>
      </w:r>
      <w:proofErr w:type="gramStart"/>
      <w:r>
        <w:rPr>
          <w:rFonts w:cs="Calibri"/>
          <w:szCs w:val="24"/>
        </w:rPr>
        <w:t>type, and</w:t>
      </w:r>
      <w:proofErr w:type="gramEnd"/>
      <w:r>
        <w:rPr>
          <w:rFonts w:cs="Calibri"/>
          <w:szCs w:val="24"/>
        </w:rPr>
        <w:t xml:space="preserve"> will </w:t>
      </w:r>
      <w:r>
        <w:rPr>
          <w:rFonts w:cs="Calibri"/>
          <w:szCs w:val="24"/>
        </w:rPr>
        <w:lastRenderedPageBreak/>
        <w:t xml:space="preserve">have a care type change to rehabilitation when the main focus of care changes from acute management to functional improvement </w:t>
      </w:r>
      <w:r w:rsidR="00812864">
        <w:rPr>
          <w:rFonts w:cs="Calibri"/>
          <w:szCs w:val="24"/>
        </w:rPr>
        <w:t>and rehabilitation.</w:t>
      </w:r>
    </w:p>
    <w:p w14:paraId="1C1A25EF" w14:textId="77777777" w:rsidR="008A04F7" w:rsidRPr="00BD1424" w:rsidRDefault="008A04F7" w:rsidP="000235A6">
      <w:pPr>
        <w:rPr>
          <w:rFonts w:cs="Calibri"/>
          <w:szCs w:val="24"/>
        </w:rPr>
      </w:pPr>
    </w:p>
    <w:p w14:paraId="7D1529FD" w14:textId="77777777" w:rsidR="000235A6" w:rsidRDefault="000235A6" w:rsidP="000235A6">
      <w:pPr>
        <w:rPr>
          <w:rFonts w:cs="Calibri"/>
          <w:b/>
          <w:szCs w:val="24"/>
        </w:rPr>
      </w:pPr>
      <w:r>
        <w:rPr>
          <w:rFonts w:cs="Calibri"/>
          <w:b/>
          <w:szCs w:val="24"/>
        </w:rPr>
        <w:t>CC</w:t>
      </w:r>
    </w:p>
    <w:p w14:paraId="2FF8D6D5" w14:textId="77777777" w:rsidR="000235A6" w:rsidRDefault="000235A6" w:rsidP="000235A6">
      <w:pPr>
        <w:rPr>
          <w:rFonts w:cs="Calibri"/>
          <w:szCs w:val="24"/>
        </w:rPr>
      </w:pPr>
      <w:r w:rsidRPr="00BD1424">
        <w:rPr>
          <w:rFonts w:cs="Calibri"/>
          <w:szCs w:val="24"/>
        </w:rPr>
        <w:t>Carbon copy</w:t>
      </w:r>
    </w:p>
    <w:p w14:paraId="78567008" w14:textId="77777777" w:rsidR="000235A6" w:rsidRPr="00BD1424" w:rsidRDefault="000235A6" w:rsidP="000235A6">
      <w:pPr>
        <w:rPr>
          <w:rFonts w:cs="Calibri"/>
          <w:szCs w:val="24"/>
        </w:rPr>
      </w:pPr>
    </w:p>
    <w:p w14:paraId="2714EE20" w14:textId="77777777" w:rsidR="000235A6" w:rsidRPr="00B43228" w:rsidRDefault="000235A6" w:rsidP="000235A6">
      <w:pPr>
        <w:rPr>
          <w:rFonts w:cs="Calibri"/>
          <w:b/>
          <w:szCs w:val="24"/>
        </w:rPr>
      </w:pPr>
      <w:r w:rsidRPr="00B43228">
        <w:rPr>
          <w:rFonts w:cs="Calibri"/>
          <w:b/>
          <w:szCs w:val="24"/>
        </w:rPr>
        <w:t>Clinical Record</w:t>
      </w:r>
    </w:p>
    <w:p w14:paraId="690007FB" w14:textId="77777777" w:rsidR="000235A6" w:rsidRDefault="000235A6" w:rsidP="000235A6">
      <w:pPr>
        <w:rPr>
          <w:rFonts w:cs="Calibri"/>
          <w:b/>
          <w:szCs w:val="24"/>
        </w:rPr>
      </w:pPr>
      <w:r>
        <w:rPr>
          <w:rFonts w:eastAsia="Calibri" w:cs="Calibri"/>
          <w:color w:val="000000"/>
          <w:szCs w:val="24"/>
          <w:lang w:eastAsia="en-AU"/>
        </w:rPr>
        <w:t>In this document t</w:t>
      </w:r>
      <w:r w:rsidRPr="00B43228">
        <w:rPr>
          <w:rFonts w:eastAsia="Calibri" w:cs="Calibri"/>
          <w:color w:val="000000"/>
          <w:szCs w:val="24"/>
          <w:lang w:eastAsia="en-AU"/>
        </w:rPr>
        <w:t xml:space="preserve">he terms </w:t>
      </w:r>
      <w:r>
        <w:rPr>
          <w:rFonts w:eastAsia="Calibri" w:cs="Calibri"/>
          <w:color w:val="000000"/>
          <w:szCs w:val="24"/>
          <w:lang w:eastAsia="en-AU"/>
        </w:rPr>
        <w:t>“</w:t>
      </w:r>
      <w:r w:rsidRPr="00B43228">
        <w:rPr>
          <w:rFonts w:eastAsia="Calibri" w:cs="Calibri"/>
          <w:color w:val="000000"/>
          <w:szCs w:val="24"/>
          <w:lang w:eastAsia="en-AU"/>
        </w:rPr>
        <w:t>clinical record</w:t>
      </w:r>
      <w:r>
        <w:rPr>
          <w:rFonts w:eastAsia="Calibri" w:cs="Calibri"/>
          <w:color w:val="000000"/>
          <w:szCs w:val="24"/>
          <w:lang w:eastAsia="en-AU"/>
        </w:rPr>
        <w:t>” and “</w:t>
      </w:r>
      <w:r w:rsidRPr="00B43228">
        <w:rPr>
          <w:rFonts w:eastAsia="Calibri" w:cs="Calibri"/>
          <w:color w:val="000000"/>
          <w:szCs w:val="24"/>
          <w:lang w:eastAsia="en-AU"/>
        </w:rPr>
        <w:t>health record</w:t>
      </w:r>
      <w:r>
        <w:rPr>
          <w:rFonts w:eastAsia="Calibri" w:cs="Calibri"/>
          <w:color w:val="000000"/>
          <w:szCs w:val="24"/>
          <w:lang w:eastAsia="en-AU"/>
        </w:rPr>
        <w:t>”</w:t>
      </w:r>
      <w:r w:rsidRPr="00B43228">
        <w:rPr>
          <w:rFonts w:eastAsia="Calibri" w:cs="Calibri"/>
          <w:color w:val="000000"/>
          <w:szCs w:val="24"/>
          <w:lang w:eastAsia="en-AU"/>
        </w:rPr>
        <w:t xml:space="preserve"> are synonymous </w:t>
      </w:r>
      <w:r>
        <w:rPr>
          <w:rFonts w:eastAsia="Calibri" w:cs="Calibri"/>
          <w:color w:val="000000"/>
          <w:szCs w:val="24"/>
          <w:lang w:eastAsia="en-AU"/>
        </w:rPr>
        <w:t>and refer to the main centralised Canberra Health Services record of care for a patient</w:t>
      </w:r>
      <w:r w:rsidRPr="00B43228">
        <w:rPr>
          <w:rFonts w:eastAsia="Calibri" w:cs="Calibri"/>
          <w:color w:val="000000"/>
          <w:szCs w:val="24"/>
          <w:lang w:eastAsia="en-AU"/>
        </w:rPr>
        <w:t xml:space="preserve">. </w:t>
      </w:r>
    </w:p>
    <w:p w14:paraId="413F1787" w14:textId="77777777" w:rsidR="000235A6" w:rsidRDefault="000235A6" w:rsidP="000235A6">
      <w:pPr>
        <w:rPr>
          <w:rFonts w:cs="Calibri"/>
          <w:b/>
          <w:szCs w:val="24"/>
        </w:rPr>
      </w:pPr>
    </w:p>
    <w:p w14:paraId="2C766CBD" w14:textId="77777777" w:rsidR="000235A6" w:rsidRDefault="000235A6" w:rsidP="000235A6">
      <w:pPr>
        <w:rPr>
          <w:rFonts w:cs="Calibri"/>
          <w:b/>
          <w:szCs w:val="24"/>
        </w:rPr>
      </w:pPr>
      <w:r>
        <w:rPr>
          <w:rFonts w:cs="Calibri"/>
          <w:b/>
          <w:szCs w:val="24"/>
        </w:rPr>
        <w:t>CPF – Clinical Patient Folder</w:t>
      </w:r>
    </w:p>
    <w:p w14:paraId="56364834" w14:textId="77777777" w:rsidR="000235A6" w:rsidRPr="00B4402F" w:rsidRDefault="000235A6" w:rsidP="000235A6">
      <w:pPr>
        <w:rPr>
          <w:rFonts w:cs="Arial"/>
          <w:szCs w:val="24"/>
        </w:rPr>
      </w:pPr>
      <w:r>
        <w:rPr>
          <w:rFonts w:cs="Arial"/>
          <w:szCs w:val="24"/>
        </w:rPr>
        <w:t xml:space="preserve">The acronym for Clinical Patient Folder which is the current scanned clinical record solution in use by Canberra Health Services for the management and storage of the centralised clinical record. </w:t>
      </w:r>
    </w:p>
    <w:p w14:paraId="7B7CDFE8" w14:textId="77777777" w:rsidR="000235A6" w:rsidRPr="00BD1424" w:rsidRDefault="000235A6" w:rsidP="000235A6">
      <w:pPr>
        <w:rPr>
          <w:rFonts w:cs="Calibri"/>
          <w:szCs w:val="24"/>
        </w:rPr>
      </w:pPr>
    </w:p>
    <w:p w14:paraId="00A6D281" w14:textId="77777777" w:rsidR="000235A6" w:rsidRPr="00B43228" w:rsidRDefault="000235A6" w:rsidP="000235A6">
      <w:pPr>
        <w:rPr>
          <w:rFonts w:cs="Calibri"/>
          <w:b/>
          <w:szCs w:val="24"/>
        </w:rPr>
      </w:pPr>
      <w:r w:rsidRPr="00B43228">
        <w:rPr>
          <w:rFonts w:cs="Calibri"/>
          <w:b/>
          <w:szCs w:val="24"/>
        </w:rPr>
        <w:t>Discharge Summary</w:t>
      </w:r>
    </w:p>
    <w:p w14:paraId="006FBE81" w14:textId="1CEEC7C2" w:rsidR="007D18DA" w:rsidRPr="00417EB5" w:rsidRDefault="000235A6" w:rsidP="000235A6">
      <w:pPr>
        <w:rPr>
          <w:rFonts w:cs="Calibri"/>
          <w:szCs w:val="24"/>
        </w:rPr>
      </w:pPr>
      <w:r>
        <w:rPr>
          <w:rFonts w:eastAsia="Calibri" w:cs="Calibri"/>
          <w:color w:val="000000"/>
          <w:szCs w:val="24"/>
          <w:lang w:eastAsia="en-AU"/>
        </w:rPr>
        <w:t xml:space="preserve">The </w:t>
      </w:r>
      <w:r w:rsidR="007D18DA">
        <w:rPr>
          <w:rFonts w:eastAsia="Calibri" w:cs="Calibri"/>
          <w:color w:val="000000"/>
          <w:szCs w:val="24"/>
          <w:lang w:eastAsia="en-AU"/>
        </w:rPr>
        <w:t>D</w:t>
      </w:r>
      <w:r>
        <w:rPr>
          <w:rFonts w:eastAsia="Calibri" w:cs="Calibri"/>
          <w:color w:val="000000"/>
          <w:szCs w:val="24"/>
          <w:lang w:eastAsia="en-AU"/>
        </w:rPr>
        <w:t xml:space="preserve">ischarge </w:t>
      </w:r>
      <w:r w:rsidR="007D18DA">
        <w:rPr>
          <w:rFonts w:eastAsia="Calibri" w:cs="Calibri"/>
          <w:color w:val="000000"/>
          <w:szCs w:val="24"/>
          <w:lang w:eastAsia="en-AU"/>
        </w:rPr>
        <w:t>S</w:t>
      </w:r>
      <w:r w:rsidRPr="001B6F55">
        <w:rPr>
          <w:rFonts w:eastAsia="Calibri" w:cs="Calibri"/>
          <w:color w:val="000000"/>
          <w:szCs w:val="24"/>
          <w:lang w:eastAsia="en-AU"/>
        </w:rPr>
        <w:t>ummary</w:t>
      </w:r>
      <w:r>
        <w:rPr>
          <w:rFonts w:eastAsia="Calibri" w:cs="Calibri"/>
          <w:color w:val="000000"/>
          <w:szCs w:val="24"/>
          <w:lang w:eastAsia="en-AU"/>
        </w:rPr>
        <w:t xml:space="preserve"> is a summary</w:t>
      </w:r>
      <w:r w:rsidRPr="001B6F55">
        <w:rPr>
          <w:rFonts w:eastAsia="Calibri" w:cs="Calibri"/>
          <w:color w:val="000000"/>
          <w:szCs w:val="24"/>
          <w:lang w:eastAsia="en-AU"/>
        </w:rPr>
        <w:t xml:space="preserve"> of </w:t>
      </w:r>
      <w:r>
        <w:rPr>
          <w:rFonts w:eastAsia="Calibri" w:cs="Calibri"/>
          <w:color w:val="000000"/>
          <w:szCs w:val="24"/>
          <w:lang w:eastAsia="en-AU"/>
        </w:rPr>
        <w:t xml:space="preserve">the </w:t>
      </w:r>
      <w:r w:rsidRPr="001B6F55">
        <w:rPr>
          <w:rFonts w:eastAsia="Calibri" w:cs="Calibri"/>
          <w:color w:val="000000"/>
          <w:szCs w:val="24"/>
          <w:lang w:eastAsia="en-AU"/>
        </w:rPr>
        <w:t xml:space="preserve">care and treatment provided </w:t>
      </w:r>
      <w:r>
        <w:rPr>
          <w:rFonts w:eastAsia="Calibri" w:cs="Calibri"/>
          <w:color w:val="000000"/>
          <w:szCs w:val="24"/>
          <w:lang w:eastAsia="en-AU"/>
        </w:rPr>
        <w:t xml:space="preserve">by Canberra Health Services </w:t>
      </w:r>
      <w:r w:rsidRPr="001B6F55">
        <w:rPr>
          <w:rFonts w:eastAsia="Calibri" w:cs="Calibri"/>
          <w:color w:val="000000"/>
          <w:szCs w:val="24"/>
          <w:lang w:eastAsia="en-AU"/>
        </w:rPr>
        <w:t xml:space="preserve">for the entire </w:t>
      </w:r>
      <w:r>
        <w:rPr>
          <w:rFonts w:eastAsia="Calibri" w:cs="Calibri"/>
          <w:color w:val="000000"/>
          <w:szCs w:val="24"/>
          <w:lang w:eastAsia="en-AU"/>
        </w:rPr>
        <w:t xml:space="preserve">inpatient </w:t>
      </w:r>
      <w:r w:rsidRPr="001B6F55">
        <w:rPr>
          <w:rFonts w:eastAsia="Calibri" w:cs="Calibri"/>
          <w:color w:val="000000"/>
          <w:szCs w:val="24"/>
          <w:lang w:eastAsia="en-AU"/>
        </w:rPr>
        <w:t>episode of care</w:t>
      </w:r>
      <w:r>
        <w:rPr>
          <w:rFonts w:eastAsia="Calibri" w:cs="Calibri"/>
          <w:color w:val="000000"/>
          <w:szCs w:val="24"/>
          <w:lang w:eastAsia="en-AU"/>
        </w:rPr>
        <w:t xml:space="preserve"> </w:t>
      </w:r>
      <w:r w:rsidRPr="001B6F55">
        <w:rPr>
          <w:rFonts w:eastAsia="Calibri" w:cs="Calibri"/>
          <w:color w:val="000000"/>
          <w:szCs w:val="24"/>
          <w:lang w:eastAsia="en-AU"/>
        </w:rPr>
        <w:t>(from admission to formal discharge/separation)</w:t>
      </w:r>
      <w:r>
        <w:rPr>
          <w:rFonts w:eastAsia="Calibri" w:cs="Calibri"/>
          <w:color w:val="000000"/>
          <w:szCs w:val="24"/>
          <w:lang w:eastAsia="en-AU"/>
        </w:rPr>
        <w:t>. The presence of a</w:t>
      </w:r>
      <w:r w:rsidRPr="001B6F55">
        <w:rPr>
          <w:rFonts w:eastAsia="Calibri" w:cs="Calibri"/>
          <w:color w:val="000000"/>
          <w:szCs w:val="24"/>
          <w:lang w:eastAsia="en-AU"/>
        </w:rPr>
        <w:t xml:space="preserve"> summary of care </w:t>
      </w:r>
      <w:r>
        <w:rPr>
          <w:rFonts w:eastAsia="Calibri" w:cs="Calibri"/>
          <w:color w:val="000000"/>
          <w:szCs w:val="24"/>
          <w:lang w:eastAsia="en-AU"/>
        </w:rPr>
        <w:t xml:space="preserve">for part of the episode or </w:t>
      </w:r>
      <w:r w:rsidRPr="001B6F55">
        <w:rPr>
          <w:rFonts w:eastAsia="Calibri" w:cs="Calibri"/>
          <w:color w:val="000000"/>
          <w:szCs w:val="24"/>
          <w:lang w:eastAsia="en-AU"/>
        </w:rPr>
        <w:t>from a particular discipline or ward</w:t>
      </w:r>
      <w:r>
        <w:rPr>
          <w:rFonts w:eastAsia="Calibri" w:cs="Calibri"/>
          <w:color w:val="000000"/>
          <w:szCs w:val="24"/>
          <w:lang w:eastAsia="en-AU"/>
        </w:rPr>
        <w:t xml:space="preserve"> such as the </w:t>
      </w:r>
      <w:r w:rsidRPr="001B6F55">
        <w:rPr>
          <w:rFonts w:eastAsia="Calibri" w:cs="Calibri"/>
          <w:color w:val="000000"/>
          <w:szCs w:val="24"/>
          <w:lang w:eastAsia="en-AU"/>
        </w:rPr>
        <w:t xml:space="preserve">Metavision </w:t>
      </w:r>
      <w:r>
        <w:rPr>
          <w:rFonts w:eastAsia="Calibri" w:cs="Calibri"/>
          <w:color w:val="000000"/>
          <w:szCs w:val="24"/>
          <w:lang w:eastAsia="en-AU"/>
        </w:rPr>
        <w:t xml:space="preserve">ICU </w:t>
      </w:r>
      <w:r w:rsidRPr="001B6F55">
        <w:rPr>
          <w:rFonts w:eastAsia="Calibri" w:cs="Calibri"/>
          <w:color w:val="000000"/>
          <w:szCs w:val="24"/>
          <w:lang w:eastAsia="en-AU"/>
        </w:rPr>
        <w:t xml:space="preserve">summary </w:t>
      </w:r>
      <w:r>
        <w:rPr>
          <w:rFonts w:eastAsia="Calibri" w:cs="Calibri"/>
          <w:color w:val="000000"/>
          <w:szCs w:val="24"/>
          <w:lang w:eastAsia="en-AU"/>
        </w:rPr>
        <w:t xml:space="preserve">(which is not distributed to GPs) </w:t>
      </w:r>
      <w:r w:rsidRPr="001B6F55">
        <w:rPr>
          <w:rFonts w:eastAsia="Calibri" w:cs="Calibri"/>
          <w:color w:val="000000"/>
          <w:szCs w:val="24"/>
          <w:lang w:eastAsia="en-AU"/>
        </w:rPr>
        <w:t xml:space="preserve">does not </w:t>
      </w:r>
      <w:r>
        <w:rPr>
          <w:rFonts w:eastAsia="Calibri" w:cs="Calibri"/>
          <w:color w:val="000000"/>
          <w:szCs w:val="24"/>
          <w:lang w:eastAsia="en-AU"/>
        </w:rPr>
        <w:t xml:space="preserve">remove the need for a full </w:t>
      </w:r>
      <w:r w:rsidRPr="001B6F55">
        <w:rPr>
          <w:rFonts w:eastAsia="Calibri" w:cs="Calibri"/>
          <w:color w:val="000000"/>
          <w:szCs w:val="24"/>
          <w:lang w:eastAsia="en-AU"/>
        </w:rPr>
        <w:t xml:space="preserve">Discharge Summary </w:t>
      </w:r>
      <w:r>
        <w:rPr>
          <w:rFonts w:eastAsia="Calibri" w:cs="Calibri"/>
          <w:color w:val="000000"/>
          <w:szCs w:val="24"/>
          <w:lang w:eastAsia="en-AU"/>
        </w:rPr>
        <w:t xml:space="preserve">to be completed and </w:t>
      </w:r>
      <w:r w:rsidRPr="001B6F55">
        <w:rPr>
          <w:rFonts w:eastAsia="Calibri" w:cs="Calibri"/>
          <w:color w:val="000000"/>
          <w:szCs w:val="24"/>
          <w:lang w:eastAsia="en-AU"/>
        </w:rPr>
        <w:t>sent to the GP.</w:t>
      </w:r>
    </w:p>
    <w:p w14:paraId="4CE3F453" w14:textId="77777777" w:rsidR="007D18DA" w:rsidRDefault="007D18DA" w:rsidP="000235A6">
      <w:pPr>
        <w:rPr>
          <w:rFonts w:cs="Calibri"/>
          <w:b/>
          <w:szCs w:val="24"/>
        </w:rPr>
      </w:pPr>
    </w:p>
    <w:p w14:paraId="21DAEE1D" w14:textId="77777777" w:rsidR="000235A6" w:rsidRPr="00B43228" w:rsidRDefault="000235A6" w:rsidP="000235A6">
      <w:pPr>
        <w:rPr>
          <w:rFonts w:eastAsia="Calibri" w:cs="Calibri"/>
          <w:b/>
          <w:color w:val="000000"/>
          <w:szCs w:val="24"/>
          <w:lang w:eastAsia="en-AU"/>
        </w:rPr>
      </w:pPr>
      <w:r w:rsidRPr="00B43228">
        <w:rPr>
          <w:rFonts w:cs="Calibri"/>
          <w:b/>
          <w:szCs w:val="24"/>
        </w:rPr>
        <w:t xml:space="preserve">DRG - </w:t>
      </w:r>
      <w:r w:rsidRPr="00B43228">
        <w:rPr>
          <w:rFonts w:eastAsia="Calibri" w:cs="Calibri"/>
          <w:b/>
          <w:color w:val="000000"/>
          <w:szCs w:val="24"/>
          <w:lang w:eastAsia="en-AU"/>
        </w:rPr>
        <w:t xml:space="preserve">Diagnosis Related Groups </w:t>
      </w:r>
    </w:p>
    <w:p w14:paraId="66ED96BA" w14:textId="2AFFC1EE" w:rsidR="000235A6" w:rsidRPr="00B43228" w:rsidRDefault="000235A6" w:rsidP="000235A6">
      <w:pPr>
        <w:rPr>
          <w:rFonts w:cs="Calibri"/>
          <w:color w:val="000000"/>
          <w:szCs w:val="24"/>
          <w:lang w:eastAsia="en-AU"/>
        </w:rPr>
      </w:pPr>
      <w:r w:rsidRPr="00B43228">
        <w:rPr>
          <w:rFonts w:eastAsia="Calibri" w:cs="Calibri"/>
          <w:color w:val="000000"/>
          <w:szCs w:val="24"/>
          <w:lang w:eastAsia="en-AU"/>
        </w:rPr>
        <w:t xml:space="preserve">Are </w:t>
      </w:r>
      <w:r w:rsidR="007D18DA">
        <w:rPr>
          <w:rFonts w:eastAsia="Calibri" w:cs="Calibri"/>
          <w:color w:val="000000"/>
          <w:szCs w:val="24"/>
          <w:lang w:eastAsia="en-AU"/>
        </w:rPr>
        <w:t xml:space="preserve">elements of </w:t>
      </w:r>
      <w:r w:rsidRPr="00B43228">
        <w:rPr>
          <w:rFonts w:eastAsia="Calibri" w:cs="Calibri"/>
          <w:color w:val="000000"/>
          <w:szCs w:val="24"/>
          <w:lang w:eastAsia="en-AU"/>
        </w:rPr>
        <w:t>an internationally recognised casemix classification system designed to provide a method of categorising and characterising acute episodes of care, related to the resources required by the hospital to care for the patient.</w:t>
      </w:r>
      <w:r>
        <w:rPr>
          <w:rFonts w:eastAsia="Calibri" w:cs="Calibri"/>
          <w:color w:val="000000"/>
          <w:szCs w:val="24"/>
          <w:lang w:eastAsia="en-AU"/>
        </w:rPr>
        <w:t xml:space="preserve"> </w:t>
      </w:r>
    </w:p>
    <w:p w14:paraId="43BC4B01" w14:textId="77777777" w:rsidR="000235A6" w:rsidRDefault="000235A6" w:rsidP="000235A6">
      <w:pPr>
        <w:rPr>
          <w:rFonts w:cs="Calibri"/>
          <w:b/>
          <w:color w:val="000000"/>
          <w:szCs w:val="24"/>
          <w:lang w:eastAsia="en-AU"/>
        </w:rPr>
      </w:pPr>
    </w:p>
    <w:p w14:paraId="29963709" w14:textId="77777777" w:rsidR="000235A6" w:rsidRDefault="000235A6" w:rsidP="000235A6">
      <w:pPr>
        <w:rPr>
          <w:rFonts w:cs="Calibri"/>
          <w:b/>
          <w:color w:val="000000"/>
          <w:szCs w:val="24"/>
          <w:lang w:eastAsia="en-AU"/>
        </w:rPr>
      </w:pPr>
      <w:r>
        <w:rPr>
          <w:rFonts w:cs="Calibri"/>
          <w:b/>
          <w:color w:val="000000"/>
          <w:szCs w:val="24"/>
          <w:lang w:eastAsia="en-AU"/>
        </w:rPr>
        <w:t>EDS – Electronic Discharge Summary</w:t>
      </w:r>
    </w:p>
    <w:p w14:paraId="02CA2DAA" w14:textId="5BEB1210" w:rsidR="000235A6" w:rsidRPr="00BD1424" w:rsidRDefault="000235A6" w:rsidP="000235A6">
      <w:pPr>
        <w:rPr>
          <w:rFonts w:cs="Calibri"/>
          <w:color w:val="000000"/>
          <w:szCs w:val="24"/>
          <w:lang w:eastAsia="en-AU"/>
        </w:rPr>
      </w:pPr>
      <w:r>
        <w:rPr>
          <w:rFonts w:cs="Calibri"/>
          <w:color w:val="000000"/>
          <w:szCs w:val="24"/>
          <w:lang w:eastAsia="en-AU"/>
        </w:rPr>
        <w:t xml:space="preserve">The </w:t>
      </w:r>
      <w:r w:rsidR="007D18DA">
        <w:rPr>
          <w:rFonts w:cs="Calibri"/>
          <w:color w:val="000000"/>
          <w:szCs w:val="24"/>
          <w:lang w:eastAsia="en-AU"/>
        </w:rPr>
        <w:t>E</w:t>
      </w:r>
      <w:r>
        <w:rPr>
          <w:rFonts w:cs="Calibri"/>
          <w:color w:val="000000"/>
          <w:szCs w:val="24"/>
          <w:lang w:eastAsia="en-AU"/>
        </w:rPr>
        <w:t xml:space="preserve">lectronic </w:t>
      </w:r>
      <w:r w:rsidR="007D18DA">
        <w:rPr>
          <w:rFonts w:cs="Calibri"/>
          <w:color w:val="000000"/>
          <w:szCs w:val="24"/>
          <w:lang w:eastAsia="en-AU"/>
        </w:rPr>
        <w:t>D</w:t>
      </w:r>
      <w:r>
        <w:rPr>
          <w:rFonts w:cs="Calibri"/>
          <w:color w:val="000000"/>
          <w:szCs w:val="24"/>
          <w:lang w:eastAsia="en-AU"/>
        </w:rPr>
        <w:t xml:space="preserve">ischarge </w:t>
      </w:r>
      <w:r w:rsidR="007D18DA">
        <w:rPr>
          <w:rFonts w:cs="Calibri"/>
          <w:color w:val="000000"/>
          <w:szCs w:val="24"/>
          <w:lang w:eastAsia="en-AU"/>
        </w:rPr>
        <w:t>S</w:t>
      </w:r>
      <w:r>
        <w:rPr>
          <w:rFonts w:cs="Calibri"/>
          <w:color w:val="000000"/>
          <w:szCs w:val="24"/>
          <w:lang w:eastAsia="en-AU"/>
        </w:rPr>
        <w:t xml:space="preserve">ummary is created within the Clinical Portal, and electronically dispatched to the centralised CPF record and GPs and other recipients as necessary. </w:t>
      </w:r>
    </w:p>
    <w:p w14:paraId="21467A9F" w14:textId="77777777" w:rsidR="000235A6" w:rsidRDefault="000235A6" w:rsidP="000235A6">
      <w:pPr>
        <w:rPr>
          <w:rFonts w:cs="Calibri"/>
          <w:b/>
          <w:color w:val="000000"/>
          <w:szCs w:val="24"/>
          <w:lang w:eastAsia="en-AU"/>
        </w:rPr>
      </w:pPr>
    </w:p>
    <w:p w14:paraId="27DAF185" w14:textId="77777777" w:rsidR="000235A6" w:rsidRDefault="000235A6" w:rsidP="000235A6">
      <w:pPr>
        <w:rPr>
          <w:rFonts w:cs="Calibri"/>
          <w:b/>
          <w:color w:val="000000"/>
          <w:szCs w:val="24"/>
          <w:lang w:eastAsia="en-AU"/>
        </w:rPr>
      </w:pPr>
      <w:r>
        <w:rPr>
          <w:rFonts w:cs="Calibri"/>
          <w:b/>
          <w:color w:val="000000"/>
          <w:szCs w:val="24"/>
          <w:lang w:eastAsia="en-AU"/>
        </w:rPr>
        <w:t xml:space="preserve">EMR </w:t>
      </w:r>
    </w:p>
    <w:p w14:paraId="157037F0" w14:textId="77777777" w:rsidR="000235A6" w:rsidRPr="00BD1424" w:rsidRDefault="000235A6" w:rsidP="000235A6">
      <w:pPr>
        <w:rPr>
          <w:rFonts w:cs="Calibri"/>
          <w:color w:val="000000"/>
          <w:szCs w:val="24"/>
          <w:lang w:eastAsia="en-AU"/>
        </w:rPr>
      </w:pPr>
      <w:r w:rsidRPr="00BD1424">
        <w:rPr>
          <w:rFonts w:cs="Calibri"/>
          <w:color w:val="000000"/>
          <w:szCs w:val="24"/>
          <w:lang w:eastAsia="en-AU"/>
        </w:rPr>
        <w:t>Electronic Medical Record</w:t>
      </w:r>
    </w:p>
    <w:p w14:paraId="0D1EA3A5" w14:textId="77777777" w:rsidR="000235A6" w:rsidRDefault="000235A6" w:rsidP="000235A6">
      <w:pPr>
        <w:rPr>
          <w:rFonts w:cs="Calibri"/>
          <w:color w:val="000000"/>
          <w:szCs w:val="24"/>
          <w:lang w:eastAsia="en-AU"/>
        </w:rPr>
      </w:pPr>
    </w:p>
    <w:p w14:paraId="6B789FEB" w14:textId="77777777" w:rsidR="000235A6" w:rsidRPr="00BD1424" w:rsidRDefault="000235A6" w:rsidP="000235A6">
      <w:pPr>
        <w:rPr>
          <w:rFonts w:cs="Calibri"/>
          <w:b/>
          <w:color w:val="000000"/>
          <w:szCs w:val="24"/>
          <w:lang w:eastAsia="en-AU"/>
        </w:rPr>
      </w:pPr>
      <w:r w:rsidRPr="00BD1424">
        <w:rPr>
          <w:rFonts w:cs="Calibri"/>
          <w:b/>
          <w:color w:val="000000"/>
          <w:szCs w:val="24"/>
          <w:lang w:eastAsia="en-AU"/>
        </w:rPr>
        <w:t>ICU</w:t>
      </w:r>
    </w:p>
    <w:p w14:paraId="0D9BF64E" w14:textId="77777777" w:rsidR="000235A6" w:rsidRDefault="000235A6" w:rsidP="000235A6">
      <w:pPr>
        <w:rPr>
          <w:rFonts w:cs="Calibri"/>
          <w:color w:val="000000"/>
          <w:szCs w:val="24"/>
          <w:lang w:eastAsia="en-AU"/>
        </w:rPr>
      </w:pPr>
      <w:r>
        <w:rPr>
          <w:rFonts w:cs="Calibri"/>
          <w:color w:val="000000"/>
          <w:szCs w:val="24"/>
          <w:lang w:eastAsia="en-AU"/>
        </w:rPr>
        <w:t xml:space="preserve">Intensive Care Unit </w:t>
      </w:r>
    </w:p>
    <w:p w14:paraId="3344D299" w14:textId="77777777" w:rsidR="000235A6" w:rsidRDefault="000235A6" w:rsidP="000235A6">
      <w:pPr>
        <w:rPr>
          <w:rFonts w:cs="Calibri"/>
          <w:color w:val="000000"/>
          <w:szCs w:val="24"/>
          <w:lang w:eastAsia="en-AU"/>
        </w:rPr>
      </w:pPr>
    </w:p>
    <w:p w14:paraId="724FFD43" w14:textId="77777777" w:rsidR="000235A6" w:rsidRPr="00BD1424" w:rsidRDefault="000235A6" w:rsidP="000235A6">
      <w:pPr>
        <w:rPr>
          <w:rFonts w:cs="Calibri"/>
          <w:b/>
          <w:color w:val="000000"/>
          <w:szCs w:val="24"/>
          <w:lang w:eastAsia="en-AU"/>
        </w:rPr>
      </w:pPr>
      <w:r w:rsidRPr="00BD1424">
        <w:rPr>
          <w:rFonts w:cs="Calibri"/>
          <w:b/>
          <w:color w:val="000000"/>
          <w:szCs w:val="24"/>
          <w:lang w:eastAsia="en-AU"/>
        </w:rPr>
        <w:t>JMO</w:t>
      </w:r>
    </w:p>
    <w:p w14:paraId="01B3F0B3" w14:textId="77777777" w:rsidR="000235A6" w:rsidRDefault="000235A6" w:rsidP="000235A6">
      <w:pPr>
        <w:rPr>
          <w:rFonts w:cs="Calibri"/>
          <w:color w:val="000000"/>
          <w:szCs w:val="24"/>
          <w:lang w:eastAsia="en-AU"/>
        </w:rPr>
      </w:pPr>
      <w:r>
        <w:rPr>
          <w:rFonts w:cs="Calibri"/>
          <w:color w:val="000000"/>
          <w:szCs w:val="24"/>
          <w:lang w:eastAsia="en-AU"/>
        </w:rPr>
        <w:t>Junior Medical Officer</w:t>
      </w:r>
    </w:p>
    <w:p w14:paraId="6F25B228" w14:textId="77777777" w:rsidR="000235A6" w:rsidRDefault="000235A6" w:rsidP="000235A6">
      <w:pPr>
        <w:rPr>
          <w:rFonts w:cs="Calibri"/>
          <w:color w:val="000000"/>
          <w:szCs w:val="24"/>
          <w:lang w:eastAsia="en-AU"/>
        </w:rPr>
      </w:pPr>
    </w:p>
    <w:p w14:paraId="14308C0B" w14:textId="77777777" w:rsidR="000235A6" w:rsidRPr="00BD1424" w:rsidRDefault="000235A6" w:rsidP="000235A6">
      <w:pPr>
        <w:rPr>
          <w:rFonts w:cs="Calibri"/>
          <w:b/>
          <w:color w:val="000000"/>
          <w:szCs w:val="24"/>
          <w:lang w:eastAsia="en-AU"/>
        </w:rPr>
      </w:pPr>
      <w:r w:rsidRPr="00BD1424">
        <w:rPr>
          <w:rFonts w:cs="Calibri"/>
          <w:b/>
          <w:color w:val="000000"/>
          <w:szCs w:val="24"/>
          <w:lang w:eastAsia="en-AU"/>
        </w:rPr>
        <w:t>MAJICeR</w:t>
      </w:r>
    </w:p>
    <w:p w14:paraId="25792E95" w14:textId="77777777" w:rsidR="000235A6" w:rsidRDefault="000235A6" w:rsidP="000235A6">
      <w:pPr>
        <w:rPr>
          <w:rFonts w:cs="Calibri"/>
          <w:szCs w:val="24"/>
        </w:rPr>
      </w:pPr>
      <w:r w:rsidRPr="00BE6AA8">
        <w:rPr>
          <w:rFonts w:cs="Calibri"/>
          <w:szCs w:val="24"/>
        </w:rPr>
        <w:t>Mental Health, Alcohol and Drug and Justice Integrated Care Electronic Record</w:t>
      </w:r>
    </w:p>
    <w:p w14:paraId="34FCC087" w14:textId="77777777" w:rsidR="000235A6" w:rsidRPr="00BD1424" w:rsidRDefault="000235A6" w:rsidP="000235A6">
      <w:pPr>
        <w:rPr>
          <w:rFonts w:cs="Calibri"/>
          <w:color w:val="000000"/>
          <w:szCs w:val="24"/>
          <w:lang w:eastAsia="en-AU"/>
        </w:rPr>
      </w:pPr>
    </w:p>
    <w:p w14:paraId="5F72CFEF" w14:textId="77777777" w:rsidR="000235A6" w:rsidRPr="00B43228" w:rsidRDefault="000235A6" w:rsidP="000235A6">
      <w:pPr>
        <w:rPr>
          <w:rFonts w:cs="Calibri"/>
          <w:b/>
          <w:color w:val="000000"/>
          <w:szCs w:val="24"/>
          <w:lang w:eastAsia="en-AU"/>
        </w:rPr>
      </w:pPr>
      <w:r w:rsidRPr="00B43228">
        <w:rPr>
          <w:rFonts w:cs="Calibri"/>
          <w:b/>
          <w:color w:val="000000"/>
          <w:szCs w:val="24"/>
          <w:lang w:eastAsia="en-AU"/>
        </w:rPr>
        <w:t>Medications at Discharge</w:t>
      </w:r>
    </w:p>
    <w:p w14:paraId="529FFC4F" w14:textId="77777777" w:rsidR="000235A6" w:rsidRPr="00B43228" w:rsidRDefault="000235A6" w:rsidP="000235A6">
      <w:pPr>
        <w:rPr>
          <w:rFonts w:cs="Calibri"/>
          <w:color w:val="000000"/>
          <w:szCs w:val="24"/>
          <w:lang w:eastAsia="en-AU"/>
        </w:rPr>
      </w:pPr>
      <w:r w:rsidRPr="00B43228">
        <w:rPr>
          <w:rFonts w:cs="Calibri"/>
          <w:color w:val="000000"/>
          <w:szCs w:val="24"/>
          <w:lang w:eastAsia="en-AU"/>
        </w:rPr>
        <w:lastRenderedPageBreak/>
        <w:t xml:space="preserve">Minimum requirements include: </w:t>
      </w:r>
    </w:p>
    <w:p w14:paraId="5E9F3F89" w14:textId="77777777" w:rsidR="000235A6" w:rsidRPr="00B43228" w:rsidRDefault="000235A6" w:rsidP="000235A6">
      <w:pPr>
        <w:pStyle w:val="ListBullet"/>
        <w:rPr>
          <w:lang w:eastAsia="en-AU"/>
        </w:rPr>
      </w:pPr>
      <w:r w:rsidRPr="00B43228">
        <w:rPr>
          <w:lang w:eastAsia="en-AU"/>
        </w:rPr>
        <w:t>Details of all medication the patient is prescribed at the time of discharge including</w:t>
      </w:r>
      <w:r>
        <w:rPr>
          <w:lang w:eastAsia="en-AU"/>
        </w:rPr>
        <w:t>:</w:t>
      </w:r>
    </w:p>
    <w:p w14:paraId="1E5546A2" w14:textId="77777777" w:rsidR="000235A6" w:rsidRPr="00B43228" w:rsidRDefault="000235A6" w:rsidP="000235A6">
      <w:pPr>
        <w:pStyle w:val="ListParagraph"/>
        <w:numPr>
          <w:ilvl w:val="0"/>
          <w:numId w:val="19"/>
        </w:numPr>
        <w:rPr>
          <w:lang w:eastAsia="en-AU"/>
        </w:rPr>
      </w:pPr>
      <w:r w:rsidRPr="00B43228">
        <w:rPr>
          <w:lang w:eastAsia="en-AU"/>
        </w:rPr>
        <w:t>Medication name (generic)</w:t>
      </w:r>
    </w:p>
    <w:p w14:paraId="488382DA" w14:textId="77777777" w:rsidR="000235A6" w:rsidRPr="00B43228" w:rsidRDefault="000235A6" w:rsidP="000235A6">
      <w:pPr>
        <w:pStyle w:val="ListParagraph"/>
        <w:numPr>
          <w:ilvl w:val="0"/>
          <w:numId w:val="19"/>
        </w:numPr>
        <w:rPr>
          <w:lang w:eastAsia="en-AU"/>
        </w:rPr>
      </w:pPr>
      <w:r w:rsidRPr="00B43228">
        <w:rPr>
          <w:lang w:eastAsia="en-AU"/>
        </w:rPr>
        <w:t>Current dose (strength, form and frequency)</w:t>
      </w:r>
    </w:p>
    <w:p w14:paraId="783FC267" w14:textId="77777777" w:rsidR="000235A6" w:rsidRPr="00B43228" w:rsidRDefault="000235A6" w:rsidP="000235A6">
      <w:pPr>
        <w:pStyle w:val="ListParagraph"/>
        <w:numPr>
          <w:ilvl w:val="0"/>
          <w:numId w:val="19"/>
        </w:numPr>
        <w:rPr>
          <w:lang w:eastAsia="en-AU"/>
        </w:rPr>
      </w:pPr>
      <w:r w:rsidRPr="00B43228">
        <w:rPr>
          <w:lang w:eastAsia="en-AU"/>
        </w:rPr>
        <w:t>Expected duration of treatment</w:t>
      </w:r>
      <w:r>
        <w:rPr>
          <w:lang w:eastAsia="en-AU"/>
        </w:rPr>
        <w:t xml:space="preserve">. </w:t>
      </w:r>
    </w:p>
    <w:p w14:paraId="4111E81F" w14:textId="77777777" w:rsidR="000235A6" w:rsidRPr="00B43228" w:rsidRDefault="000235A6" w:rsidP="000235A6">
      <w:pPr>
        <w:pStyle w:val="ListBullet"/>
        <w:rPr>
          <w:lang w:eastAsia="en-AU"/>
        </w:rPr>
      </w:pPr>
      <w:r w:rsidRPr="00B43228">
        <w:rPr>
          <w:lang w:eastAsia="en-AU"/>
        </w:rPr>
        <w:t xml:space="preserve">Details of any medication changes made during the </w:t>
      </w:r>
      <w:r>
        <w:rPr>
          <w:lang w:eastAsia="en-AU"/>
        </w:rPr>
        <w:t>episode</w:t>
      </w:r>
      <w:r w:rsidRPr="00B43228">
        <w:rPr>
          <w:lang w:eastAsia="en-AU"/>
        </w:rPr>
        <w:t xml:space="preserve">, and </w:t>
      </w:r>
      <w:r>
        <w:rPr>
          <w:lang w:eastAsia="en-AU"/>
        </w:rPr>
        <w:t xml:space="preserve">the </w:t>
      </w:r>
      <w:r w:rsidRPr="00B43228">
        <w:rPr>
          <w:lang w:eastAsia="en-AU"/>
        </w:rPr>
        <w:t xml:space="preserve">reasons </w:t>
      </w:r>
    </w:p>
    <w:p w14:paraId="6702CD18" w14:textId="77777777" w:rsidR="000235A6" w:rsidRDefault="000235A6" w:rsidP="000235A6">
      <w:pPr>
        <w:pStyle w:val="ListBullet"/>
        <w:rPr>
          <w:lang w:eastAsia="en-AU"/>
        </w:rPr>
      </w:pPr>
      <w:r w:rsidRPr="00B43228">
        <w:rPr>
          <w:lang w:eastAsia="en-AU"/>
        </w:rPr>
        <w:t xml:space="preserve">Information on any adverse drug reactions the patient has a history of or has experienced during the </w:t>
      </w:r>
      <w:r>
        <w:rPr>
          <w:lang w:eastAsia="en-AU"/>
        </w:rPr>
        <w:t>episode</w:t>
      </w:r>
      <w:r w:rsidRPr="00B43228">
        <w:rPr>
          <w:lang w:eastAsia="en-AU"/>
        </w:rPr>
        <w:t xml:space="preserve">. </w:t>
      </w:r>
    </w:p>
    <w:p w14:paraId="7182F7C5" w14:textId="77777777" w:rsidR="000235A6" w:rsidRDefault="000235A6" w:rsidP="000235A6">
      <w:pPr>
        <w:rPr>
          <w:b/>
        </w:rPr>
      </w:pPr>
    </w:p>
    <w:p w14:paraId="4868298A" w14:textId="77777777" w:rsidR="000235A6" w:rsidRPr="007A30AB" w:rsidRDefault="000235A6" w:rsidP="000235A6">
      <w:pPr>
        <w:rPr>
          <w:rFonts w:cs="Calibri"/>
          <w:b/>
          <w:szCs w:val="24"/>
          <w:lang w:eastAsia="en-AU"/>
        </w:rPr>
      </w:pPr>
      <w:r w:rsidRPr="00BD1424">
        <w:rPr>
          <w:b/>
        </w:rPr>
        <w:t>MOSCETU</w:t>
      </w:r>
    </w:p>
    <w:p w14:paraId="5F0E7F67" w14:textId="77777777" w:rsidR="000235A6" w:rsidRDefault="000235A6" w:rsidP="000235A6">
      <w:pPr>
        <w:rPr>
          <w:rFonts w:cs="Calibri"/>
          <w:b/>
          <w:szCs w:val="24"/>
          <w:lang w:eastAsia="en-AU"/>
        </w:rPr>
      </w:pPr>
      <w:r w:rsidRPr="005C5CD8">
        <w:t xml:space="preserve">Medical Officer Support Credentialing Education &amp; Training Unit </w:t>
      </w:r>
    </w:p>
    <w:p w14:paraId="4A3A7E50" w14:textId="77777777" w:rsidR="000235A6" w:rsidRDefault="000235A6" w:rsidP="000235A6">
      <w:pPr>
        <w:rPr>
          <w:rFonts w:cs="Calibri"/>
          <w:b/>
          <w:szCs w:val="24"/>
          <w:lang w:eastAsia="en-AU"/>
        </w:rPr>
      </w:pPr>
    </w:p>
    <w:p w14:paraId="410CB27B" w14:textId="77777777" w:rsidR="000235A6" w:rsidRPr="00D44023" w:rsidRDefault="000235A6" w:rsidP="000235A6">
      <w:pPr>
        <w:rPr>
          <w:rFonts w:cs="Calibri"/>
          <w:b/>
          <w:szCs w:val="24"/>
          <w:lang w:eastAsia="en-AU"/>
        </w:rPr>
      </w:pPr>
      <w:r w:rsidRPr="00D44023">
        <w:rPr>
          <w:rFonts w:cs="Calibri"/>
          <w:b/>
          <w:szCs w:val="24"/>
          <w:lang w:eastAsia="en-AU"/>
        </w:rPr>
        <w:t xml:space="preserve">My Health Record </w:t>
      </w:r>
    </w:p>
    <w:p w14:paraId="1F27F659" w14:textId="77777777" w:rsidR="000235A6" w:rsidRPr="00D44023" w:rsidRDefault="000235A6" w:rsidP="000235A6">
      <w:pPr>
        <w:rPr>
          <w:rFonts w:cs="Calibri"/>
          <w:b/>
          <w:szCs w:val="24"/>
          <w:lang w:eastAsia="en-AU"/>
        </w:rPr>
      </w:pPr>
      <w:r w:rsidRPr="00D44023">
        <w:rPr>
          <w:rFonts w:eastAsia="Calibri" w:cs="Calibri"/>
          <w:szCs w:val="24"/>
          <w:lang w:eastAsia="en-AU"/>
        </w:rPr>
        <w:t xml:space="preserve">My Health Record is a secure, online service which enables participating consumers to access personal health information, including </w:t>
      </w:r>
      <w:r>
        <w:rPr>
          <w:rFonts w:eastAsia="Calibri" w:cs="Calibri"/>
          <w:szCs w:val="24"/>
          <w:lang w:eastAsia="en-AU"/>
        </w:rPr>
        <w:t>Canberra Health Services</w:t>
      </w:r>
      <w:r w:rsidRPr="00D44023">
        <w:rPr>
          <w:rFonts w:eastAsia="Calibri" w:cs="Calibri"/>
          <w:szCs w:val="24"/>
          <w:lang w:eastAsia="en-AU"/>
        </w:rPr>
        <w:t xml:space="preserve"> Electronic Discharge Summaries.</w:t>
      </w:r>
      <w:r>
        <w:rPr>
          <w:rFonts w:eastAsia="Calibri" w:cs="Calibri"/>
          <w:szCs w:val="24"/>
          <w:lang w:eastAsia="en-AU"/>
        </w:rPr>
        <w:t xml:space="preserve"> </w:t>
      </w:r>
    </w:p>
    <w:p w14:paraId="5B2269C1" w14:textId="77777777" w:rsidR="000235A6" w:rsidRDefault="000235A6" w:rsidP="000235A6">
      <w:pPr>
        <w:rPr>
          <w:rFonts w:cs="Calibri"/>
          <w:b/>
          <w:color w:val="000000"/>
          <w:szCs w:val="24"/>
          <w:lang w:eastAsia="en-AU"/>
        </w:rPr>
      </w:pPr>
    </w:p>
    <w:p w14:paraId="523FFE82" w14:textId="77777777" w:rsidR="000235A6" w:rsidRDefault="000235A6" w:rsidP="000235A6">
      <w:pPr>
        <w:rPr>
          <w:rFonts w:cs="Calibri"/>
          <w:b/>
          <w:color w:val="000000"/>
          <w:szCs w:val="24"/>
          <w:lang w:eastAsia="en-AU"/>
        </w:rPr>
      </w:pPr>
      <w:r>
        <w:rPr>
          <w:rFonts w:cs="Calibri"/>
          <w:b/>
          <w:color w:val="000000"/>
          <w:szCs w:val="24"/>
          <w:lang w:eastAsia="en-AU"/>
        </w:rPr>
        <w:t xml:space="preserve">NICUS </w:t>
      </w:r>
    </w:p>
    <w:p w14:paraId="7C13A28E" w14:textId="77777777" w:rsidR="000235A6" w:rsidRPr="00BD1424" w:rsidRDefault="000235A6" w:rsidP="000235A6">
      <w:pPr>
        <w:rPr>
          <w:rFonts w:cs="Calibri"/>
          <w:color w:val="000000"/>
          <w:szCs w:val="24"/>
          <w:lang w:eastAsia="en-AU"/>
        </w:rPr>
      </w:pPr>
      <w:r w:rsidRPr="00BD1424">
        <w:rPr>
          <w:rFonts w:cs="Calibri"/>
          <w:color w:val="000000"/>
          <w:szCs w:val="24"/>
          <w:lang w:eastAsia="en-AU"/>
        </w:rPr>
        <w:t>Neonatal Inte</w:t>
      </w:r>
      <w:r>
        <w:rPr>
          <w:rFonts w:cs="Calibri"/>
          <w:color w:val="000000"/>
          <w:szCs w:val="24"/>
          <w:lang w:eastAsia="en-AU"/>
        </w:rPr>
        <w:t>n</w:t>
      </w:r>
      <w:r w:rsidRPr="00BD1424">
        <w:rPr>
          <w:rFonts w:cs="Calibri"/>
          <w:color w:val="000000"/>
          <w:szCs w:val="24"/>
          <w:lang w:eastAsia="en-AU"/>
        </w:rPr>
        <w:t xml:space="preserve">sive Care Unit System </w:t>
      </w:r>
    </w:p>
    <w:p w14:paraId="18501FEB" w14:textId="77777777" w:rsidR="000235A6" w:rsidRDefault="000235A6" w:rsidP="000235A6">
      <w:pPr>
        <w:rPr>
          <w:rFonts w:cs="Calibri"/>
          <w:b/>
          <w:color w:val="000000"/>
          <w:szCs w:val="24"/>
          <w:lang w:eastAsia="en-AU"/>
        </w:rPr>
      </w:pPr>
    </w:p>
    <w:p w14:paraId="54E53770" w14:textId="77777777" w:rsidR="000235A6" w:rsidRPr="00B43228" w:rsidRDefault="000235A6" w:rsidP="000235A6">
      <w:pPr>
        <w:rPr>
          <w:rFonts w:cs="Calibri"/>
          <w:b/>
          <w:color w:val="000000"/>
          <w:szCs w:val="24"/>
          <w:lang w:eastAsia="en-AU"/>
        </w:rPr>
      </w:pPr>
      <w:r w:rsidRPr="00B43228">
        <w:rPr>
          <w:rFonts w:cs="Calibri"/>
          <w:b/>
          <w:color w:val="000000"/>
          <w:szCs w:val="24"/>
          <w:lang w:eastAsia="en-AU"/>
        </w:rPr>
        <w:t>Patient Identification</w:t>
      </w:r>
    </w:p>
    <w:p w14:paraId="788C9EF2" w14:textId="5D62A99C" w:rsidR="000235A6" w:rsidRPr="00B43228" w:rsidRDefault="000235A6" w:rsidP="000235A6">
      <w:pPr>
        <w:rPr>
          <w:rFonts w:cs="Calibri"/>
          <w:b/>
          <w:szCs w:val="24"/>
        </w:rPr>
      </w:pPr>
      <w:r w:rsidRPr="00B43228">
        <w:rPr>
          <w:rFonts w:eastAsia="Calibri" w:cs="Calibri"/>
          <w:color w:val="000000"/>
          <w:szCs w:val="24"/>
          <w:lang w:eastAsia="en-AU"/>
        </w:rPr>
        <w:t>Minimum requirements for patient identification include; patient’s full name, date of birth and Unit Record N</w:t>
      </w:r>
      <w:r>
        <w:rPr>
          <w:rFonts w:eastAsia="Calibri" w:cs="Calibri"/>
          <w:color w:val="000000"/>
          <w:szCs w:val="24"/>
          <w:lang w:eastAsia="en-AU"/>
        </w:rPr>
        <w:t>umber (URN). Barcoded patient i</w:t>
      </w:r>
      <w:r w:rsidRPr="00B43228">
        <w:rPr>
          <w:rFonts w:eastAsia="Calibri" w:cs="Calibri"/>
          <w:color w:val="000000"/>
          <w:szCs w:val="24"/>
          <w:lang w:eastAsia="en-AU"/>
        </w:rPr>
        <w:t xml:space="preserve">dentification labels from </w:t>
      </w:r>
      <w:r w:rsidR="007D18DA">
        <w:rPr>
          <w:rFonts w:eastAsia="Calibri" w:cs="Calibri"/>
          <w:color w:val="000000"/>
          <w:szCs w:val="24"/>
          <w:lang w:eastAsia="en-AU"/>
        </w:rPr>
        <w:t>ACTPAS</w:t>
      </w:r>
      <w:r>
        <w:rPr>
          <w:rFonts w:eastAsia="Calibri" w:cs="Calibri"/>
          <w:color w:val="000000"/>
          <w:szCs w:val="24"/>
          <w:lang w:eastAsia="en-AU"/>
        </w:rPr>
        <w:t xml:space="preserve"> </w:t>
      </w:r>
      <w:r w:rsidRPr="00B43228">
        <w:rPr>
          <w:rFonts w:eastAsia="Calibri" w:cs="Calibri"/>
          <w:color w:val="000000"/>
          <w:szCs w:val="24"/>
          <w:lang w:eastAsia="en-AU"/>
        </w:rPr>
        <w:t>should be used w</w:t>
      </w:r>
      <w:r>
        <w:rPr>
          <w:rFonts w:eastAsia="Calibri" w:cs="Calibri"/>
          <w:color w:val="000000"/>
          <w:szCs w:val="24"/>
          <w:lang w:eastAsia="en-AU"/>
        </w:rPr>
        <w:t>h</w:t>
      </w:r>
      <w:r w:rsidRPr="00B43228">
        <w:rPr>
          <w:rFonts w:eastAsia="Calibri" w:cs="Calibri"/>
          <w:color w:val="000000"/>
          <w:szCs w:val="24"/>
          <w:lang w:eastAsia="en-AU"/>
        </w:rPr>
        <w:t xml:space="preserve">ere possible. </w:t>
      </w:r>
    </w:p>
    <w:p w14:paraId="45BAB342" w14:textId="77777777" w:rsidR="000235A6" w:rsidRPr="00BD1424" w:rsidRDefault="000235A6" w:rsidP="000235A6">
      <w:pPr>
        <w:rPr>
          <w:rFonts w:cs="Calibri"/>
          <w:b/>
          <w:color w:val="000000"/>
          <w:szCs w:val="24"/>
          <w:lang w:eastAsia="en-AU"/>
        </w:rPr>
      </w:pPr>
    </w:p>
    <w:p w14:paraId="267BC2DF" w14:textId="77777777" w:rsidR="000235A6" w:rsidRPr="00BD1424" w:rsidRDefault="000235A6" w:rsidP="000235A6">
      <w:pPr>
        <w:rPr>
          <w:rFonts w:cs="Calibri"/>
          <w:b/>
          <w:color w:val="000000"/>
          <w:szCs w:val="24"/>
          <w:lang w:eastAsia="en-AU"/>
        </w:rPr>
      </w:pPr>
      <w:r w:rsidRPr="00BD1424">
        <w:rPr>
          <w:rFonts w:cs="Calibri"/>
          <w:b/>
          <w:color w:val="000000"/>
          <w:szCs w:val="24"/>
          <w:lang w:eastAsia="en-AU"/>
        </w:rPr>
        <w:t>Primary Discharge Diagnosis</w:t>
      </w:r>
      <w:r w:rsidRPr="00BD1424">
        <w:rPr>
          <w:rFonts w:cs="Calibri"/>
          <w:b/>
          <w:color w:val="000000"/>
          <w:szCs w:val="24"/>
          <w:vertAlign w:val="superscript"/>
          <w:lang w:eastAsia="en-AU"/>
        </w:rPr>
        <w:t>2</w:t>
      </w:r>
    </w:p>
    <w:p w14:paraId="74EF9AF5" w14:textId="77777777" w:rsidR="000235A6" w:rsidRDefault="000235A6" w:rsidP="000235A6">
      <w:pPr>
        <w:rPr>
          <w:rFonts w:eastAsia="Calibri" w:cs="Calibri"/>
          <w:color w:val="000000"/>
          <w:szCs w:val="24"/>
          <w:lang w:eastAsia="en-AU"/>
        </w:rPr>
      </w:pPr>
      <w:r w:rsidRPr="00B43228">
        <w:rPr>
          <w:rFonts w:eastAsia="Calibri" w:cs="Calibri"/>
          <w:color w:val="000000"/>
          <w:szCs w:val="24"/>
          <w:lang w:eastAsia="en-AU"/>
        </w:rPr>
        <w:t xml:space="preserve">The </w:t>
      </w:r>
      <w:r w:rsidRPr="00B43228">
        <w:rPr>
          <w:rFonts w:eastAsia="Calibri" w:cs="Calibri"/>
          <w:b/>
          <w:color w:val="000000"/>
          <w:szCs w:val="24"/>
          <w:u w:val="single"/>
          <w:lang w:eastAsia="en-AU"/>
        </w:rPr>
        <w:t>diagnosis</w:t>
      </w:r>
      <w:r w:rsidRPr="00B43228">
        <w:rPr>
          <w:rFonts w:eastAsia="Calibri" w:cs="Calibri"/>
          <w:color w:val="000000"/>
          <w:szCs w:val="24"/>
          <w:lang w:eastAsia="en-AU"/>
        </w:rPr>
        <w:t xml:space="preserve"> established </w:t>
      </w:r>
      <w:r w:rsidRPr="00B43228">
        <w:rPr>
          <w:rFonts w:eastAsia="Calibri" w:cs="Calibri"/>
          <w:i/>
          <w:color w:val="000000"/>
          <w:szCs w:val="24"/>
          <w:lang w:eastAsia="en-AU"/>
        </w:rPr>
        <w:t>after study</w:t>
      </w:r>
      <w:r w:rsidRPr="00B43228">
        <w:rPr>
          <w:rFonts w:eastAsia="Calibri" w:cs="Calibri"/>
          <w:color w:val="000000"/>
          <w:szCs w:val="24"/>
          <w:lang w:eastAsia="en-AU"/>
        </w:rPr>
        <w:t xml:space="preserve"> to be chiefly responsible for occasioning an episode of admitted patient care.</w:t>
      </w:r>
      <w:r w:rsidRPr="00B43228">
        <w:rPr>
          <w:rFonts w:cs="Calibri"/>
          <w:szCs w:val="24"/>
          <w:lang w:val="en-US"/>
        </w:rPr>
        <w:t xml:space="preserve"> </w:t>
      </w:r>
      <w:r w:rsidRPr="00B43228">
        <w:rPr>
          <w:rFonts w:eastAsia="Calibri" w:cs="Calibri"/>
          <w:color w:val="000000"/>
          <w:szCs w:val="24"/>
          <w:lang w:eastAsia="en-AU"/>
        </w:rPr>
        <w:t xml:space="preserve">The phrase </w:t>
      </w:r>
      <w:r w:rsidRPr="00547622">
        <w:rPr>
          <w:rFonts w:eastAsia="Calibri" w:cs="Calibri"/>
          <w:i/>
          <w:color w:val="000000"/>
          <w:szCs w:val="24"/>
          <w:lang w:eastAsia="en-AU"/>
        </w:rPr>
        <w:t>after study</w:t>
      </w:r>
      <w:r w:rsidRPr="00B43228">
        <w:rPr>
          <w:rFonts w:eastAsia="Calibri" w:cs="Calibri"/>
          <w:color w:val="000000"/>
          <w:szCs w:val="24"/>
          <w:lang w:eastAsia="en-AU"/>
        </w:rPr>
        <w:t xml:space="preserve"> should be interpreted as the evaluation of findings to establish the condition that was chiefly responsible for occasioning the episode of care. The condition established after study may or may not confirm the admitting diagnosis.</w:t>
      </w:r>
    </w:p>
    <w:p w14:paraId="2718A0D1" w14:textId="77777777" w:rsidR="000235A6" w:rsidRDefault="000235A6" w:rsidP="000235A6">
      <w:pPr>
        <w:rPr>
          <w:rFonts w:cs="Calibri"/>
          <w:b/>
          <w:bCs/>
          <w:szCs w:val="24"/>
        </w:rPr>
      </w:pPr>
    </w:p>
    <w:p w14:paraId="76DE367B" w14:textId="77777777" w:rsidR="000235A6" w:rsidRPr="008B5DFC" w:rsidRDefault="000235A6" w:rsidP="000235A6">
      <w:pPr>
        <w:rPr>
          <w:rFonts w:cs="Calibri"/>
          <w:b/>
          <w:bCs/>
          <w:szCs w:val="24"/>
        </w:rPr>
      </w:pPr>
      <w:r w:rsidRPr="00FE527E">
        <w:rPr>
          <w:rFonts w:cs="Calibri"/>
          <w:b/>
          <w:bCs/>
          <w:szCs w:val="24"/>
        </w:rPr>
        <w:t>Record</w:t>
      </w:r>
      <w:r>
        <w:rPr>
          <w:rFonts w:cs="Calibri"/>
          <w:b/>
          <w:bCs/>
          <w:iCs/>
          <w:szCs w:val="24"/>
          <w:vertAlign w:val="superscript"/>
          <w:lang w:eastAsia="en-AU"/>
        </w:rPr>
        <w:t>1</w:t>
      </w:r>
      <w:r w:rsidRPr="00FE527E">
        <w:rPr>
          <w:rFonts w:cs="Calibri"/>
          <w:b/>
          <w:bCs/>
          <w:szCs w:val="24"/>
        </w:rPr>
        <w:t xml:space="preserve"> </w:t>
      </w:r>
    </w:p>
    <w:p w14:paraId="45DD149A" w14:textId="77777777" w:rsidR="000235A6" w:rsidRPr="008B5DFC" w:rsidRDefault="000235A6" w:rsidP="000235A6">
      <w:pPr>
        <w:rPr>
          <w:rFonts w:cs="Calibri"/>
          <w:szCs w:val="24"/>
          <w:lang w:eastAsia="en-AU"/>
        </w:rPr>
      </w:pPr>
      <w:r>
        <w:rPr>
          <w:rFonts w:cs="Calibri"/>
          <w:szCs w:val="24"/>
          <w:lang w:eastAsia="en-AU"/>
        </w:rPr>
        <w:t>Means</w:t>
      </w:r>
      <w:r w:rsidRPr="008B5DFC">
        <w:rPr>
          <w:rFonts w:cs="Calibri"/>
          <w:szCs w:val="24"/>
          <w:lang w:eastAsia="en-AU"/>
        </w:rPr>
        <w:t xml:space="preserve"> a record in documentary or electronic form that</w:t>
      </w:r>
      <w:r>
        <w:rPr>
          <w:rFonts w:cs="Calibri"/>
          <w:szCs w:val="24"/>
          <w:lang w:eastAsia="en-AU"/>
        </w:rPr>
        <w:t xml:space="preserve"> </w:t>
      </w:r>
      <w:r w:rsidRPr="008B5DFC">
        <w:rPr>
          <w:rFonts w:cs="Calibri"/>
          <w:szCs w:val="24"/>
          <w:lang w:eastAsia="en-AU"/>
        </w:rPr>
        <w:t>consists of or includes personal health information in relation to a</w:t>
      </w:r>
      <w:r>
        <w:rPr>
          <w:rFonts w:cs="Calibri"/>
          <w:szCs w:val="24"/>
          <w:lang w:eastAsia="en-AU"/>
        </w:rPr>
        <w:t xml:space="preserve"> </w:t>
      </w:r>
      <w:r w:rsidRPr="008B5DFC">
        <w:rPr>
          <w:rFonts w:cs="Calibri"/>
          <w:szCs w:val="24"/>
          <w:lang w:eastAsia="en-AU"/>
        </w:rPr>
        <w:t>consumer (other than research material that does not disclose the</w:t>
      </w:r>
      <w:r>
        <w:rPr>
          <w:rFonts w:cs="Calibri"/>
          <w:szCs w:val="24"/>
          <w:lang w:eastAsia="en-AU"/>
        </w:rPr>
        <w:t xml:space="preserve"> </w:t>
      </w:r>
      <w:r w:rsidRPr="008B5DFC">
        <w:rPr>
          <w:rFonts w:cs="Calibri"/>
          <w:szCs w:val="24"/>
          <w:lang w:eastAsia="en-AU"/>
        </w:rPr>
        <w:t>identity</w:t>
      </w:r>
      <w:r>
        <w:rPr>
          <w:rFonts w:cs="Calibri"/>
          <w:szCs w:val="24"/>
          <w:lang w:eastAsia="en-AU"/>
        </w:rPr>
        <w:t xml:space="preserve"> of the consumer), and includes:</w:t>
      </w:r>
    </w:p>
    <w:p w14:paraId="4D6C44F7" w14:textId="77777777" w:rsidR="000235A6" w:rsidRPr="00344983" w:rsidRDefault="000235A6" w:rsidP="000235A6">
      <w:pPr>
        <w:pStyle w:val="ListParagraph"/>
        <w:numPr>
          <w:ilvl w:val="0"/>
          <w:numId w:val="20"/>
        </w:numPr>
        <w:rPr>
          <w:rFonts w:eastAsia="Calibri" w:cs="Calibri"/>
          <w:color w:val="000000"/>
          <w:szCs w:val="24"/>
          <w:lang w:eastAsia="en-AU"/>
        </w:rPr>
      </w:pPr>
      <w:r w:rsidRPr="00344983">
        <w:rPr>
          <w:rFonts w:eastAsia="Calibri" w:cs="Calibri"/>
          <w:color w:val="000000"/>
          <w:szCs w:val="24"/>
          <w:lang w:eastAsia="en-AU"/>
        </w:rPr>
        <w:t>a photograph or other pictorial or digital representation of any part of the consumer; and</w:t>
      </w:r>
    </w:p>
    <w:p w14:paraId="4D9E9C95" w14:textId="77777777" w:rsidR="000235A6" w:rsidRPr="00344983" w:rsidRDefault="000235A6" w:rsidP="000235A6">
      <w:pPr>
        <w:pStyle w:val="ListParagraph"/>
        <w:numPr>
          <w:ilvl w:val="0"/>
          <w:numId w:val="20"/>
        </w:numPr>
        <w:rPr>
          <w:rFonts w:eastAsia="Calibri" w:cs="Calibri"/>
          <w:color w:val="000000"/>
          <w:szCs w:val="24"/>
          <w:lang w:eastAsia="en-AU"/>
        </w:rPr>
      </w:pPr>
      <w:r w:rsidRPr="00344983">
        <w:rPr>
          <w:rFonts w:eastAsia="Calibri" w:cs="Calibri"/>
          <w:color w:val="000000"/>
          <w:szCs w:val="24"/>
          <w:lang w:eastAsia="en-AU"/>
        </w:rPr>
        <w:t xml:space="preserve">test results, medical imaging materials and reports, and clinical notes, relating to the consumer; and </w:t>
      </w:r>
    </w:p>
    <w:p w14:paraId="58E9ECB3" w14:textId="77777777" w:rsidR="000235A6" w:rsidRPr="00344983" w:rsidRDefault="000235A6" w:rsidP="000235A6">
      <w:pPr>
        <w:pStyle w:val="ListParagraph"/>
        <w:numPr>
          <w:ilvl w:val="0"/>
          <w:numId w:val="20"/>
        </w:numPr>
        <w:rPr>
          <w:rFonts w:eastAsia="Calibri" w:cs="Calibri"/>
          <w:color w:val="000000"/>
          <w:szCs w:val="24"/>
          <w:lang w:eastAsia="en-AU"/>
        </w:rPr>
      </w:pPr>
      <w:r w:rsidRPr="00344983">
        <w:rPr>
          <w:rFonts w:eastAsia="Calibri" w:cs="Calibri"/>
          <w:color w:val="000000"/>
          <w:szCs w:val="24"/>
          <w:lang w:eastAsia="en-AU"/>
        </w:rPr>
        <w:t xml:space="preserve">any part of a record; and </w:t>
      </w:r>
    </w:p>
    <w:p w14:paraId="212A7070" w14:textId="77777777" w:rsidR="000235A6" w:rsidRPr="00344983" w:rsidRDefault="000235A6" w:rsidP="000235A6">
      <w:pPr>
        <w:pStyle w:val="ListParagraph"/>
        <w:numPr>
          <w:ilvl w:val="0"/>
          <w:numId w:val="20"/>
        </w:numPr>
        <w:rPr>
          <w:rFonts w:eastAsia="Calibri" w:cs="Calibri"/>
          <w:color w:val="000000"/>
          <w:szCs w:val="24"/>
          <w:lang w:eastAsia="en-AU"/>
        </w:rPr>
      </w:pPr>
      <w:r w:rsidRPr="00344983">
        <w:rPr>
          <w:rFonts w:eastAsia="Calibri" w:cs="Calibri"/>
          <w:color w:val="000000"/>
          <w:szCs w:val="24"/>
          <w:lang w:eastAsia="en-AU"/>
        </w:rPr>
        <w:t>a copy of a record or any part of a record.</w:t>
      </w:r>
    </w:p>
    <w:p w14:paraId="74283141" w14:textId="77777777" w:rsidR="000235A6" w:rsidRDefault="000235A6" w:rsidP="000235A6">
      <w:pPr>
        <w:rPr>
          <w:rFonts w:cs="Calibri"/>
          <w:b/>
          <w:color w:val="000000"/>
          <w:szCs w:val="24"/>
          <w:lang w:eastAsia="en-AU"/>
        </w:rPr>
      </w:pPr>
    </w:p>
    <w:p w14:paraId="44F69023" w14:textId="77777777" w:rsidR="000235A6" w:rsidRPr="00BD1424" w:rsidRDefault="000235A6" w:rsidP="000235A6">
      <w:pPr>
        <w:rPr>
          <w:b/>
        </w:rPr>
      </w:pPr>
      <w:r w:rsidRPr="00BD1424">
        <w:rPr>
          <w:b/>
        </w:rPr>
        <w:t xml:space="preserve">SNAP </w:t>
      </w:r>
    </w:p>
    <w:p w14:paraId="42045C91" w14:textId="4171C1F1" w:rsidR="000235A6" w:rsidRDefault="000235A6" w:rsidP="000235A6">
      <w:r>
        <w:t>Sub-acute + Non-Acute Patient Team</w:t>
      </w:r>
    </w:p>
    <w:p w14:paraId="442A0E52" w14:textId="1C743C7A" w:rsidR="00DA1498" w:rsidRDefault="00DA1498" w:rsidP="000235A6"/>
    <w:p w14:paraId="02559780" w14:textId="434E379F" w:rsidR="00B847F6" w:rsidRDefault="00B847F6" w:rsidP="000235A6">
      <w:pPr>
        <w:rPr>
          <w:b/>
          <w:bCs/>
        </w:rPr>
      </w:pPr>
      <w:r>
        <w:rPr>
          <w:b/>
          <w:bCs/>
        </w:rPr>
        <w:lastRenderedPageBreak/>
        <w:t>Statistical Admission</w:t>
      </w:r>
    </w:p>
    <w:p w14:paraId="27F004F3" w14:textId="6F8CA028" w:rsidR="00B847F6" w:rsidRDefault="00B847F6" w:rsidP="00B847F6">
      <w:pPr>
        <w:rPr>
          <w:rFonts w:cs="Calibri"/>
          <w:bCs/>
          <w:color w:val="000000"/>
          <w:szCs w:val="24"/>
          <w:lang w:eastAsia="en-AU"/>
        </w:rPr>
      </w:pPr>
      <w:r>
        <w:rPr>
          <w:rFonts w:cs="Calibri"/>
          <w:bCs/>
          <w:color w:val="000000"/>
          <w:szCs w:val="24"/>
          <w:lang w:eastAsia="en-AU"/>
        </w:rPr>
        <w:t xml:space="preserve">A statistical admission is an administrative process that occurs within an inpatient stay </w:t>
      </w:r>
      <w:r w:rsidR="0064766F">
        <w:rPr>
          <w:rFonts w:cs="Calibri"/>
          <w:bCs/>
          <w:color w:val="000000"/>
          <w:szCs w:val="24"/>
          <w:lang w:eastAsia="en-AU"/>
        </w:rPr>
        <w:t>when changing the type of care.</w:t>
      </w:r>
      <w:r>
        <w:rPr>
          <w:rFonts w:cs="Calibri"/>
          <w:bCs/>
          <w:color w:val="000000"/>
          <w:szCs w:val="24"/>
          <w:lang w:eastAsia="en-AU"/>
        </w:rPr>
        <w:t xml:space="preserve"> When the Care Type changes, the patient is statistically discharged from one care type and then statistically readmitted under the new care type. This can only occur when there is an authorised change in Care Type by the appropriate responsible clinician.</w:t>
      </w:r>
    </w:p>
    <w:p w14:paraId="2AB8B38B" w14:textId="0B5490B5" w:rsidR="00B847F6" w:rsidRDefault="00B847F6" w:rsidP="000235A6">
      <w:pPr>
        <w:rPr>
          <w:b/>
          <w:bCs/>
        </w:rPr>
      </w:pPr>
    </w:p>
    <w:p w14:paraId="3240E23F" w14:textId="609D01A9" w:rsidR="00DA1498" w:rsidRPr="00812864" w:rsidRDefault="00DA1498" w:rsidP="000235A6">
      <w:pPr>
        <w:rPr>
          <w:b/>
          <w:bCs/>
        </w:rPr>
      </w:pPr>
      <w:r w:rsidRPr="00812864">
        <w:rPr>
          <w:b/>
          <w:bCs/>
        </w:rPr>
        <w:t>Statistical Discharge</w:t>
      </w:r>
    </w:p>
    <w:p w14:paraId="3C5FF5F3" w14:textId="2AFD63E4" w:rsidR="000235A6" w:rsidRDefault="002B5939" w:rsidP="000235A6">
      <w:pPr>
        <w:rPr>
          <w:rFonts w:cs="Calibri"/>
          <w:bCs/>
          <w:color w:val="000000"/>
          <w:szCs w:val="24"/>
          <w:lang w:eastAsia="en-AU"/>
        </w:rPr>
      </w:pPr>
      <w:r>
        <w:rPr>
          <w:rFonts w:cs="Calibri"/>
          <w:bCs/>
          <w:color w:val="000000"/>
          <w:szCs w:val="24"/>
          <w:lang w:eastAsia="en-AU"/>
        </w:rPr>
        <w:t xml:space="preserve">A statistical discharge is an administrative process that occurs within an </w:t>
      </w:r>
      <w:r w:rsidR="00812864">
        <w:rPr>
          <w:rFonts w:cs="Calibri"/>
          <w:bCs/>
          <w:color w:val="000000"/>
          <w:szCs w:val="24"/>
          <w:lang w:eastAsia="en-AU"/>
        </w:rPr>
        <w:t xml:space="preserve">inpatient stay </w:t>
      </w:r>
      <w:r w:rsidR="0064766F">
        <w:rPr>
          <w:rFonts w:cs="Calibri"/>
          <w:bCs/>
          <w:color w:val="000000"/>
          <w:szCs w:val="24"/>
          <w:lang w:eastAsia="en-AU"/>
        </w:rPr>
        <w:t>when changing the type of care</w:t>
      </w:r>
      <w:r>
        <w:rPr>
          <w:rFonts w:cs="Calibri"/>
          <w:bCs/>
          <w:color w:val="000000"/>
          <w:szCs w:val="24"/>
          <w:lang w:eastAsia="en-AU"/>
        </w:rPr>
        <w:t xml:space="preserve">. When the Care Type changes, the patient is statistically discharged </w:t>
      </w:r>
      <w:r w:rsidR="00812864">
        <w:rPr>
          <w:rFonts w:cs="Calibri"/>
          <w:bCs/>
          <w:color w:val="000000"/>
          <w:szCs w:val="24"/>
          <w:lang w:eastAsia="en-AU"/>
        </w:rPr>
        <w:t xml:space="preserve">from one care type </w:t>
      </w:r>
      <w:r>
        <w:rPr>
          <w:rFonts w:cs="Calibri"/>
          <w:bCs/>
          <w:color w:val="000000"/>
          <w:szCs w:val="24"/>
          <w:lang w:eastAsia="en-AU"/>
        </w:rPr>
        <w:t>and then statistically readmitted</w:t>
      </w:r>
      <w:r w:rsidR="00812864">
        <w:rPr>
          <w:rFonts w:cs="Calibri"/>
          <w:bCs/>
          <w:color w:val="000000"/>
          <w:szCs w:val="24"/>
          <w:lang w:eastAsia="en-AU"/>
        </w:rPr>
        <w:t xml:space="preserve"> under the new care type</w:t>
      </w:r>
      <w:r>
        <w:rPr>
          <w:rFonts w:cs="Calibri"/>
          <w:bCs/>
          <w:color w:val="000000"/>
          <w:szCs w:val="24"/>
          <w:lang w:eastAsia="en-AU"/>
        </w:rPr>
        <w:t xml:space="preserve">. This can only occur when there is an authorised change in Care Type by the appropriate responsible </w:t>
      </w:r>
      <w:r w:rsidR="00812864">
        <w:rPr>
          <w:rFonts w:cs="Calibri"/>
          <w:bCs/>
          <w:color w:val="000000"/>
          <w:szCs w:val="24"/>
          <w:lang w:eastAsia="en-AU"/>
        </w:rPr>
        <w:t>clinician</w:t>
      </w:r>
      <w:r>
        <w:rPr>
          <w:rFonts w:cs="Calibri"/>
          <w:bCs/>
          <w:color w:val="000000"/>
          <w:szCs w:val="24"/>
          <w:lang w:eastAsia="en-AU"/>
        </w:rPr>
        <w:t>.</w:t>
      </w:r>
    </w:p>
    <w:p w14:paraId="0C137643" w14:textId="77777777" w:rsidR="002B5939" w:rsidRPr="00D4206F" w:rsidRDefault="002B5939" w:rsidP="000235A6">
      <w:pPr>
        <w:rPr>
          <w:rFonts w:cs="Calibri"/>
          <w:bCs/>
          <w:color w:val="000000"/>
          <w:szCs w:val="24"/>
          <w:lang w:eastAsia="en-AU"/>
        </w:rPr>
      </w:pPr>
    </w:p>
    <w:p w14:paraId="486B4BDC" w14:textId="77777777" w:rsidR="000235A6" w:rsidRPr="00B43228" w:rsidRDefault="000235A6" w:rsidP="000235A6">
      <w:pPr>
        <w:rPr>
          <w:rFonts w:cs="Calibri"/>
          <w:b/>
          <w:color w:val="000000"/>
          <w:szCs w:val="24"/>
          <w:lang w:eastAsia="en-AU"/>
        </w:rPr>
      </w:pPr>
      <w:r w:rsidRPr="00B43228">
        <w:rPr>
          <w:rFonts w:cs="Calibri"/>
          <w:b/>
          <w:color w:val="000000"/>
          <w:szCs w:val="24"/>
          <w:lang w:eastAsia="en-AU"/>
        </w:rPr>
        <w:t>Treating team</w:t>
      </w:r>
      <w:r>
        <w:rPr>
          <w:rFonts w:cs="Calibri"/>
          <w:b/>
          <w:color w:val="000000"/>
          <w:szCs w:val="24"/>
          <w:vertAlign w:val="superscript"/>
          <w:lang w:eastAsia="en-AU"/>
        </w:rPr>
        <w:t>1</w:t>
      </w:r>
    </w:p>
    <w:p w14:paraId="574A15EE" w14:textId="77777777" w:rsidR="000235A6" w:rsidRPr="00B43228" w:rsidRDefault="000235A6" w:rsidP="000235A6">
      <w:pPr>
        <w:rPr>
          <w:rFonts w:eastAsia="Calibri" w:cs="Calibri"/>
          <w:color w:val="000000"/>
          <w:szCs w:val="24"/>
          <w:lang w:eastAsia="en-AU"/>
        </w:rPr>
      </w:pPr>
      <w:r w:rsidRPr="00B43228">
        <w:rPr>
          <w:rFonts w:eastAsia="Calibri" w:cs="Calibri"/>
          <w:color w:val="000000"/>
          <w:szCs w:val="24"/>
          <w:lang w:eastAsia="en-AU"/>
        </w:rPr>
        <w:t>In relation to a consumer, means health service providers involved in diagnosis, care or treatment for the purpose of improving or maintaining the consumer’s health for a particular episode of care,</w:t>
      </w:r>
      <w:r>
        <w:rPr>
          <w:rFonts w:eastAsia="Calibri" w:cs="Calibri"/>
          <w:color w:val="000000"/>
          <w:szCs w:val="24"/>
          <w:lang w:eastAsia="en-AU"/>
        </w:rPr>
        <w:t xml:space="preserve"> and includes:</w:t>
      </w:r>
    </w:p>
    <w:p w14:paraId="50383196" w14:textId="77777777" w:rsidR="000235A6" w:rsidRPr="00344983" w:rsidRDefault="000235A6" w:rsidP="000235A6">
      <w:pPr>
        <w:pStyle w:val="ListParagraph"/>
        <w:numPr>
          <w:ilvl w:val="0"/>
          <w:numId w:val="21"/>
        </w:numPr>
        <w:rPr>
          <w:rFonts w:eastAsia="Calibri" w:cs="Calibri"/>
          <w:color w:val="000000"/>
          <w:szCs w:val="24"/>
          <w:lang w:eastAsia="en-AU"/>
        </w:rPr>
      </w:pPr>
      <w:r w:rsidRPr="00344983">
        <w:rPr>
          <w:rFonts w:eastAsia="Calibri" w:cs="Calibri"/>
          <w:color w:val="000000"/>
          <w:szCs w:val="24"/>
          <w:lang w:eastAsia="en-AU"/>
        </w:rPr>
        <w:t>if the consumer named another health service provider as his or her current treating practitioner—that other health service provider; and</w:t>
      </w:r>
    </w:p>
    <w:p w14:paraId="16D33770" w14:textId="77777777" w:rsidR="000235A6" w:rsidRPr="00344983" w:rsidRDefault="000235A6" w:rsidP="000235A6">
      <w:pPr>
        <w:pStyle w:val="ListParagraph"/>
        <w:numPr>
          <w:ilvl w:val="0"/>
          <w:numId w:val="21"/>
        </w:numPr>
        <w:rPr>
          <w:rFonts w:eastAsia="Calibri" w:cs="Calibri"/>
          <w:color w:val="000000"/>
          <w:szCs w:val="24"/>
          <w:lang w:eastAsia="en-AU"/>
        </w:rPr>
      </w:pPr>
      <w:r w:rsidRPr="00344983">
        <w:rPr>
          <w:rFonts w:eastAsia="Calibri" w:cs="Calibri"/>
          <w:color w:val="000000"/>
          <w:szCs w:val="24"/>
          <w:lang w:eastAsia="en-AU"/>
        </w:rPr>
        <w:t>if another health service provider referred the consumer to the treating team for that episode of care—that other health service provider.</w:t>
      </w:r>
    </w:p>
    <w:p w14:paraId="2F51A8DA" w14:textId="77777777" w:rsidR="00FF56DD" w:rsidRDefault="00FF56DD" w:rsidP="00FF56DD">
      <w:pPr>
        <w:rPr>
          <w:rFonts w:cs="Arial"/>
          <w:szCs w:val="24"/>
        </w:rPr>
      </w:pPr>
    </w:p>
    <w:p w14:paraId="2F51A8DB" w14:textId="77777777" w:rsidR="00FF56DD" w:rsidRDefault="00B57C39"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34" w:name="_Toc389473290"/>
            <w:bookmarkStart w:id="35" w:name="_Toc75775936"/>
            <w:r>
              <w:t>Search Terms</w:t>
            </w:r>
            <w:bookmarkEnd w:id="34"/>
            <w:bookmarkEnd w:id="35"/>
            <w:r>
              <w:t xml:space="preserve"> </w:t>
            </w:r>
          </w:p>
        </w:tc>
      </w:tr>
    </w:tbl>
    <w:p w14:paraId="2F51A8DE" w14:textId="77777777" w:rsidR="007B6904" w:rsidRDefault="007B6904" w:rsidP="007B6904">
      <w:pPr>
        <w:rPr>
          <w:rFonts w:cs="Calibri,Bold"/>
          <w:bCs/>
          <w:i/>
          <w:szCs w:val="24"/>
          <w:lang w:eastAsia="en-AU"/>
        </w:rPr>
      </w:pPr>
    </w:p>
    <w:p w14:paraId="2F51A8E0" w14:textId="1BEBA4A3" w:rsidR="007B6904" w:rsidRPr="00901883" w:rsidRDefault="000235A6" w:rsidP="000235A6">
      <w:pPr>
        <w:rPr>
          <w:rFonts w:asciiTheme="minorHAnsi" w:hAnsiTheme="minorHAnsi" w:cs="Arial"/>
          <w:b/>
          <w:i/>
          <w:sz w:val="22"/>
          <w:szCs w:val="22"/>
        </w:rPr>
      </w:pPr>
      <w:r w:rsidRPr="00960099">
        <w:rPr>
          <w:rFonts w:asciiTheme="minorHAnsi" w:hAnsiTheme="minorHAnsi" w:cs="Arial"/>
          <w:bCs/>
          <w:noProof/>
          <w:szCs w:val="24"/>
        </w:rPr>
        <w:t xml:space="preserve">Discharge </w:t>
      </w:r>
      <w:r w:rsidR="00DA1498">
        <w:rPr>
          <w:rFonts w:asciiTheme="minorHAnsi" w:hAnsiTheme="minorHAnsi" w:cs="Arial"/>
          <w:bCs/>
          <w:noProof/>
          <w:szCs w:val="24"/>
        </w:rPr>
        <w:t>S</w:t>
      </w:r>
      <w:r w:rsidRPr="00960099">
        <w:rPr>
          <w:rFonts w:asciiTheme="minorHAnsi" w:hAnsiTheme="minorHAnsi" w:cs="Arial"/>
          <w:bCs/>
          <w:noProof/>
          <w:szCs w:val="24"/>
        </w:rPr>
        <w:t xml:space="preserve">ummary, Timeliness, Completion, Documentation, Junior Medical Officer, JMO, Treating team, Intern, Clinical Record, Handover, Clinical Handover, GP, Ongoing care, Standard 6, Discharge Referral, Clinical Portal, Discharge Summaries, Electronic </w:t>
      </w:r>
      <w:r w:rsidR="00DA1498">
        <w:rPr>
          <w:rFonts w:asciiTheme="minorHAnsi" w:hAnsiTheme="minorHAnsi" w:cs="Arial"/>
          <w:bCs/>
          <w:noProof/>
          <w:szCs w:val="24"/>
        </w:rPr>
        <w:t>D</w:t>
      </w:r>
      <w:r w:rsidRPr="00960099">
        <w:rPr>
          <w:rFonts w:asciiTheme="minorHAnsi" w:hAnsiTheme="minorHAnsi" w:cs="Arial"/>
          <w:bCs/>
          <w:noProof/>
          <w:szCs w:val="24"/>
        </w:rPr>
        <w:t xml:space="preserve">ischarge </w:t>
      </w:r>
      <w:r w:rsidR="00DA1498">
        <w:rPr>
          <w:rFonts w:asciiTheme="minorHAnsi" w:hAnsiTheme="minorHAnsi" w:cs="Arial"/>
          <w:bCs/>
          <w:noProof/>
          <w:szCs w:val="24"/>
        </w:rPr>
        <w:t>S</w:t>
      </w:r>
      <w:r w:rsidRPr="00960099">
        <w:rPr>
          <w:rFonts w:asciiTheme="minorHAnsi" w:hAnsiTheme="minorHAnsi" w:cs="Arial"/>
          <w:bCs/>
          <w:noProof/>
          <w:szCs w:val="24"/>
        </w:rPr>
        <w:t>ummary, EDS, BOS, MAJIC</w:t>
      </w:r>
      <w:r>
        <w:rPr>
          <w:rFonts w:asciiTheme="minorHAnsi" w:hAnsiTheme="minorHAnsi" w:cs="Arial"/>
          <w:bCs/>
          <w:noProof/>
          <w:szCs w:val="24"/>
        </w:rPr>
        <w:t>eR</w:t>
      </w:r>
      <w:r w:rsidRPr="00960099">
        <w:rPr>
          <w:rFonts w:asciiTheme="minorHAnsi" w:hAnsiTheme="minorHAnsi" w:cs="Arial"/>
          <w:bCs/>
          <w:noProof/>
          <w:szCs w:val="24"/>
        </w:rPr>
        <w:t>, NICUS</w:t>
      </w:r>
      <w:r>
        <w:rPr>
          <w:rFonts w:asciiTheme="minorHAnsi" w:hAnsiTheme="minorHAnsi" w:cs="Arial"/>
          <w:bCs/>
          <w:noProof/>
          <w:szCs w:val="24"/>
        </w:rPr>
        <w:t>.</w:t>
      </w:r>
    </w:p>
    <w:p w14:paraId="2F51A8E1" w14:textId="77777777" w:rsidR="005F3214" w:rsidRPr="00AC7025" w:rsidRDefault="00B57C39"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36"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37" w:name="_Toc75775937"/>
            <w:r>
              <w:t>Attachments</w:t>
            </w:r>
            <w:bookmarkEnd w:id="37"/>
          </w:p>
        </w:tc>
      </w:tr>
      <w:bookmarkEnd w:id="36"/>
    </w:tbl>
    <w:p w14:paraId="2F51A8E4" w14:textId="77777777" w:rsidR="00DE4E25" w:rsidRDefault="00DE4E25" w:rsidP="007B6904">
      <w:pPr>
        <w:rPr>
          <w:rFonts w:cs="Arial"/>
          <w:i/>
          <w:szCs w:val="24"/>
        </w:rPr>
      </w:pPr>
    </w:p>
    <w:p w14:paraId="435C4040" w14:textId="77777777" w:rsidR="000235A6" w:rsidRDefault="000235A6" w:rsidP="000235A6">
      <w:r w:rsidRPr="009141AE">
        <w:t xml:space="preserve">Appendix A </w:t>
      </w:r>
      <w:r>
        <w:t>–</w:t>
      </w:r>
      <w:r w:rsidRPr="009141AE">
        <w:t xml:space="preserve"> </w:t>
      </w:r>
      <w:r>
        <w:t>Endorsed Alternative Discharge Documentation</w:t>
      </w:r>
    </w:p>
    <w:p w14:paraId="7B81F335" w14:textId="77777777" w:rsidR="000235A6" w:rsidRDefault="000235A6" w:rsidP="007B6904">
      <w:pPr>
        <w:rPr>
          <w:rFonts w:cs="Arial"/>
          <w:i/>
          <w:szCs w:val="24"/>
        </w:rPr>
      </w:pPr>
    </w:p>
    <w:p w14:paraId="2F51A8E6" w14:textId="77777777" w:rsidR="00FF56DD" w:rsidRDefault="00FF56DD"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ED46C3" w:rsidRPr="008202D3" w14:paraId="3D8FB228" w14:textId="77777777" w:rsidTr="003763D3">
        <w:tc>
          <w:tcPr>
            <w:tcW w:w="2265" w:type="dxa"/>
          </w:tcPr>
          <w:p w14:paraId="4CC3BE7E" w14:textId="77777777" w:rsidR="00ED46C3" w:rsidRPr="008202D3" w:rsidRDefault="00ED46C3" w:rsidP="003763D3">
            <w:pPr>
              <w:rPr>
                <w:i/>
                <w:sz w:val="20"/>
              </w:rPr>
            </w:pPr>
            <w:r w:rsidRPr="008202D3">
              <w:rPr>
                <w:i/>
                <w:sz w:val="20"/>
              </w:rPr>
              <w:t>Date Amended</w:t>
            </w:r>
          </w:p>
        </w:tc>
        <w:tc>
          <w:tcPr>
            <w:tcW w:w="2265" w:type="dxa"/>
          </w:tcPr>
          <w:p w14:paraId="0C6FC403" w14:textId="77777777" w:rsidR="00ED46C3" w:rsidRPr="008202D3" w:rsidRDefault="00ED46C3" w:rsidP="003763D3">
            <w:pPr>
              <w:rPr>
                <w:i/>
                <w:sz w:val="20"/>
              </w:rPr>
            </w:pPr>
            <w:r w:rsidRPr="008202D3">
              <w:rPr>
                <w:i/>
                <w:sz w:val="20"/>
              </w:rPr>
              <w:t>Section Amended</w:t>
            </w:r>
          </w:p>
        </w:tc>
        <w:tc>
          <w:tcPr>
            <w:tcW w:w="2265" w:type="dxa"/>
          </w:tcPr>
          <w:p w14:paraId="36BF7192" w14:textId="77777777" w:rsidR="00ED46C3" w:rsidRPr="008202D3" w:rsidRDefault="00ED46C3" w:rsidP="003763D3">
            <w:pPr>
              <w:rPr>
                <w:i/>
                <w:sz w:val="20"/>
              </w:rPr>
            </w:pPr>
            <w:r w:rsidRPr="008202D3">
              <w:rPr>
                <w:i/>
                <w:sz w:val="20"/>
              </w:rPr>
              <w:t>Divisional Approval</w:t>
            </w:r>
          </w:p>
        </w:tc>
        <w:tc>
          <w:tcPr>
            <w:tcW w:w="2265" w:type="dxa"/>
          </w:tcPr>
          <w:p w14:paraId="6974B6A4" w14:textId="77777777" w:rsidR="00ED46C3" w:rsidRPr="008202D3" w:rsidRDefault="00ED46C3" w:rsidP="003763D3">
            <w:pPr>
              <w:rPr>
                <w:i/>
                <w:sz w:val="20"/>
              </w:rPr>
            </w:pPr>
            <w:r w:rsidRPr="008202D3">
              <w:rPr>
                <w:i/>
                <w:sz w:val="20"/>
              </w:rPr>
              <w:t xml:space="preserve">Final Approval </w:t>
            </w:r>
          </w:p>
        </w:tc>
      </w:tr>
      <w:tr w:rsidR="00ED46C3" w:rsidRPr="008202D3" w14:paraId="69E49990" w14:textId="77777777" w:rsidTr="003763D3">
        <w:tc>
          <w:tcPr>
            <w:tcW w:w="2265" w:type="dxa"/>
          </w:tcPr>
          <w:p w14:paraId="4CB276AE" w14:textId="197B016B" w:rsidR="00ED46C3" w:rsidRPr="008202D3" w:rsidRDefault="00BE0F1D" w:rsidP="003763D3">
            <w:pPr>
              <w:rPr>
                <w:i/>
                <w:sz w:val="20"/>
              </w:rPr>
            </w:pPr>
            <w:r>
              <w:rPr>
                <w:i/>
                <w:sz w:val="20"/>
              </w:rPr>
              <w:t>06 July 2021</w:t>
            </w:r>
          </w:p>
        </w:tc>
        <w:tc>
          <w:tcPr>
            <w:tcW w:w="2265" w:type="dxa"/>
          </w:tcPr>
          <w:p w14:paraId="757FDC5B" w14:textId="40928952" w:rsidR="00ED46C3" w:rsidRPr="008202D3" w:rsidRDefault="00BE0F1D" w:rsidP="003763D3">
            <w:pPr>
              <w:rPr>
                <w:i/>
                <w:sz w:val="20"/>
              </w:rPr>
            </w:pPr>
            <w:r>
              <w:rPr>
                <w:i/>
                <w:sz w:val="20"/>
              </w:rPr>
              <w:t xml:space="preserve">Complete Review </w:t>
            </w:r>
          </w:p>
        </w:tc>
        <w:tc>
          <w:tcPr>
            <w:tcW w:w="2265" w:type="dxa"/>
          </w:tcPr>
          <w:p w14:paraId="45358585" w14:textId="3C94E3C0" w:rsidR="00ED46C3" w:rsidRPr="008202D3" w:rsidRDefault="00BE0F1D" w:rsidP="003763D3">
            <w:pPr>
              <w:rPr>
                <w:i/>
                <w:sz w:val="20"/>
              </w:rPr>
            </w:pPr>
            <w:r>
              <w:rPr>
                <w:i/>
                <w:sz w:val="20"/>
              </w:rPr>
              <w:t>Paul Ogden, EGM, FBI</w:t>
            </w:r>
          </w:p>
        </w:tc>
        <w:tc>
          <w:tcPr>
            <w:tcW w:w="2265" w:type="dxa"/>
          </w:tcPr>
          <w:p w14:paraId="31501FE6" w14:textId="2947E764" w:rsidR="00ED46C3" w:rsidRPr="008202D3" w:rsidRDefault="00BE0F1D" w:rsidP="003763D3">
            <w:pPr>
              <w:rPr>
                <w:i/>
                <w:sz w:val="20"/>
              </w:rPr>
            </w:pPr>
            <w:r>
              <w:rPr>
                <w:i/>
                <w:sz w:val="20"/>
              </w:rPr>
              <w:t>CHS Policy Committee</w:t>
            </w:r>
          </w:p>
        </w:tc>
      </w:tr>
      <w:tr w:rsidR="00ED46C3" w:rsidRPr="008202D3" w14:paraId="4B9C0359" w14:textId="77777777" w:rsidTr="003763D3">
        <w:tc>
          <w:tcPr>
            <w:tcW w:w="2265" w:type="dxa"/>
          </w:tcPr>
          <w:p w14:paraId="01E40F72" w14:textId="77777777" w:rsidR="00ED46C3" w:rsidRPr="008202D3" w:rsidRDefault="00ED46C3" w:rsidP="003763D3">
            <w:pPr>
              <w:rPr>
                <w:i/>
                <w:sz w:val="20"/>
              </w:rPr>
            </w:pPr>
          </w:p>
        </w:tc>
        <w:tc>
          <w:tcPr>
            <w:tcW w:w="2265" w:type="dxa"/>
          </w:tcPr>
          <w:p w14:paraId="25312BA2" w14:textId="77777777" w:rsidR="00ED46C3" w:rsidRPr="008202D3" w:rsidRDefault="00ED46C3" w:rsidP="003763D3">
            <w:pPr>
              <w:rPr>
                <w:i/>
                <w:sz w:val="20"/>
              </w:rPr>
            </w:pPr>
          </w:p>
        </w:tc>
        <w:tc>
          <w:tcPr>
            <w:tcW w:w="2265" w:type="dxa"/>
          </w:tcPr>
          <w:p w14:paraId="6A63A790" w14:textId="77777777" w:rsidR="00ED46C3" w:rsidRPr="008202D3" w:rsidRDefault="00ED46C3" w:rsidP="003763D3">
            <w:pPr>
              <w:rPr>
                <w:i/>
                <w:sz w:val="20"/>
              </w:rPr>
            </w:pPr>
          </w:p>
        </w:tc>
        <w:tc>
          <w:tcPr>
            <w:tcW w:w="2265" w:type="dxa"/>
          </w:tcPr>
          <w:p w14:paraId="0C203B9F" w14:textId="77777777" w:rsidR="00ED46C3" w:rsidRPr="008202D3" w:rsidRDefault="00ED46C3" w:rsidP="003763D3">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3763D3">
        <w:tc>
          <w:tcPr>
            <w:tcW w:w="2122" w:type="dxa"/>
          </w:tcPr>
          <w:p w14:paraId="3A0A8647" w14:textId="77777777" w:rsidR="00ED46C3" w:rsidRPr="008202D3" w:rsidRDefault="00ED46C3" w:rsidP="003763D3">
            <w:pPr>
              <w:rPr>
                <w:i/>
                <w:sz w:val="20"/>
              </w:rPr>
            </w:pPr>
            <w:r w:rsidRPr="008202D3">
              <w:rPr>
                <w:i/>
                <w:sz w:val="20"/>
              </w:rPr>
              <w:t>Document Number</w:t>
            </w:r>
          </w:p>
        </w:tc>
        <w:tc>
          <w:tcPr>
            <w:tcW w:w="6938" w:type="dxa"/>
          </w:tcPr>
          <w:p w14:paraId="40CE1B13" w14:textId="77777777" w:rsidR="00ED46C3" w:rsidRPr="008202D3" w:rsidRDefault="00ED46C3" w:rsidP="003763D3">
            <w:pPr>
              <w:rPr>
                <w:i/>
                <w:sz w:val="20"/>
              </w:rPr>
            </w:pPr>
            <w:r w:rsidRPr="008202D3">
              <w:rPr>
                <w:i/>
                <w:sz w:val="20"/>
              </w:rPr>
              <w:t>Document Name</w:t>
            </w:r>
          </w:p>
        </w:tc>
      </w:tr>
      <w:tr w:rsidR="00ED46C3" w:rsidRPr="008202D3" w14:paraId="389A2F7C" w14:textId="77777777" w:rsidTr="003763D3">
        <w:tc>
          <w:tcPr>
            <w:tcW w:w="2122" w:type="dxa"/>
          </w:tcPr>
          <w:p w14:paraId="72FFFF3B" w14:textId="276DBF09" w:rsidR="00ED46C3" w:rsidRPr="008202D3" w:rsidRDefault="007F3D54" w:rsidP="003763D3">
            <w:pPr>
              <w:rPr>
                <w:i/>
                <w:sz w:val="20"/>
              </w:rPr>
            </w:pPr>
            <w:r>
              <w:rPr>
                <w:i/>
                <w:sz w:val="20"/>
              </w:rPr>
              <w:t>CHHS18/040</w:t>
            </w:r>
          </w:p>
        </w:tc>
        <w:tc>
          <w:tcPr>
            <w:tcW w:w="6938" w:type="dxa"/>
          </w:tcPr>
          <w:p w14:paraId="61EF68F3" w14:textId="79206B79" w:rsidR="00ED46C3" w:rsidRPr="008202D3" w:rsidRDefault="007F3D54" w:rsidP="003763D3">
            <w:pPr>
              <w:rPr>
                <w:i/>
                <w:sz w:val="20"/>
              </w:rPr>
            </w:pPr>
            <w:r>
              <w:rPr>
                <w:i/>
                <w:sz w:val="20"/>
              </w:rPr>
              <w:t xml:space="preserve">Discharge Summary Completion </w:t>
            </w:r>
          </w:p>
        </w:tc>
      </w:tr>
      <w:tr w:rsidR="00ED46C3" w:rsidRPr="008202D3" w14:paraId="4414C7E4" w14:textId="77777777" w:rsidTr="003763D3">
        <w:tc>
          <w:tcPr>
            <w:tcW w:w="2122" w:type="dxa"/>
          </w:tcPr>
          <w:p w14:paraId="0E1C6F88" w14:textId="77777777" w:rsidR="00ED46C3" w:rsidRPr="008202D3" w:rsidRDefault="00ED46C3" w:rsidP="003763D3">
            <w:pPr>
              <w:rPr>
                <w:i/>
                <w:sz w:val="20"/>
              </w:rPr>
            </w:pPr>
          </w:p>
        </w:tc>
        <w:tc>
          <w:tcPr>
            <w:tcW w:w="6938" w:type="dxa"/>
          </w:tcPr>
          <w:p w14:paraId="73EF72D2" w14:textId="77777777" w:rsidR="00ED46C3" w:rsidRPr="008202D3" w:rsidRDefault="00ED46C3" w:rsidP="003763D3">
            <w:pPr>
              <w:rPr>
                <w:i/>
                <w:sz w:val="20"/>
              </w:rPr>
            </w:pPr>
          </w:p>
        </w:tc>
      </w:tr>
    </w:tbl>
    <w:p w14:paraId="2F51A904" w14:textId="77777777" w:rsidR="00B12123" w:rsidRPr="00010E74" w:rsidRDefault="00B12123" w:rsidP="00B12123">
      <w:pPr>
        <w:rPr>
          <w:i/>
          <w:sz w:val="20"/>
          <w:szCs w:val="24"/>
        </w:rPr>
      </w:pPr>
    </w:p>
    <w:p w14:paraId="2F51A905" w14:textId="49AC2815" w:rsidR="000235A6" w:rsidRDefault="000235A6">
      <w:pPr>
        <w:spacing w:after="200" w:line="276" w:lineRule="auto"/>
        <w:rPr>
          <w:rFonts w:cs="Arial"/>
          <w:szCs w:val="24"/>
        </w:rPr>
      </w:pPr>
      <w:r>
        <w:rPr>
          <w:rFonts w:cs="Arial"/>
          <w:szCs w:val="24"/>
        </w:rPr>
        <w:br w:type="page"/>
      </w:r>
    </w:p>
    <w:p w14:paraId="1B506330" w14:textId="77777777" w:rsidR="000235A6" w:rsidRDefault="000235A6" w:rsidP="000235A6">
      <w:pPr>
        <w:pStyle w:val="Heading2"/>
      </w:pPr>
      <w:bookmarkStart w:id="38" w:name="_Toc506300087"/>
      <w:r w:rsidRPr="009141AE">
        <w:lastRenderedPageBreak/>
        <w:t xml:space="preserve">Appendix A </w:t>
      </w:r>
      <w:r>
        <w:t>–</w:t>
      </w:r>
      <w:r w:rsidRPr="009141AE">
        <w:t xml:space="preserve"> </w:t>
      </w:r>
      <w:r>
        <w:t>Endorsed Alternative Discharge Documentation</w:t>
      </w:r>
      <w:bookmarkEnd w:id="38"/>
    </w:p>
    <w:p w14:paraId="75F9EE58" w14:textId="77777777" w:rsidR="000235A6" w:rsidRDefault="000235A6" w:rsidP="000235A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0235A6" w:rsidRPr="0080357D" w14:paraId="3D10690D" w14:textId="77777777" w:rsidTr="000235A6">
        <w:tc>
          <w:tcPr>
            <w:tcW w:w="3936" w:type="dxa"/>
          </w:tcPr>
          <w:p w14:paraId="103991DE" w14:textId="77777777" w:rsidR="000235A6" w:rsidRPr="00355DD5" w:rsidRDefault="000235A6" w:rsidP="003763D3">
            <w:pPr>
              <w:rPr>
                <w:rStyle w:val="Emphasis"/>
                <w:rFonts w:cs="Calibri"/>
                <w:b/>
                <w:i w:val="0"/>
                <w:sz w:val="22"/>
                <w:szCs w:val="24"/>
              </w:rPr>
            </w:pPr>
            <w:r w:rsidRPr="00355DD5">
              <w:rPr>
                <w:rStyle w:val="Emphasis"/>
                <w:rFonts w:cs="Calibri"/>
                <w:b/>
                <w:sz w:val="22"/>
                <w:szCs w:val="24"/>
              </w:rPr>
              <w:t xml:space="preserve">Type of Inpatient Episode </w:t>
            </w:r>
          </w:p>
        </w:tc>
        <w:tc>
          <w:tcPr>
            <w:tcW w:w="5131" w:type="dxa"/>
          </w:tcPr>
          <w:p w14:paraId="0B9DBAB5" w14:textId="77777777" w:rsidR="000235A6" w:rsidRPr="00355DD5" w:rsidRDefault="000235A6" w:rsidP="003763D3">
            <w:pPr>
              <w:rPr>
                <w:rStyle w:val="Emphasis"/>
                <w:rFonts w:cs="Calibri"/>
                <w:b/>
                <w:i w:val="0"/>
                <w:sz w:val="22"/>
                <w:szCs w:val="24"/>
              </w:rPr>
            </w:pPr>
            <w:r w:rsidRPr="00355DD5">
              <w:rPr>
                <w:rStyle w:val="Emphasis"/>
                <w:rFonts w:cs="Calibri"/>
                <w:b/>
                <w:sz w:val="22"/>
                <w:szCs w:val="24"/>
              </w:rPr>
              <w:t>Accepted Form</w:t>
            </w:r>
          </w:p>
        </w:tc>
      </w:tr>
      <w:tr w:rsidR="000235A6" w:rsidRPr="0080357D" w14:paraId="0FBC4C18" w14:textId="77777777" w:rsidTr="000235A6">
        <w:tc>
          <w:tcPr>
            <w:tcW w:w="3936" w:type="dxa"/>
          </w:tcPr>
          <w:p w14:paraId="399AF383" w14:textId="77777777" w:rsidR="000235A6" w:rsidRPr="006F484A" w:rsidRDefault="000235A6" w:rsidP="003763D3">
            <w:pPr>
              <w:autoSpaceDE w:val="0"/>
              <w:autoSpaceDN w:val="0"/>
              <w:adjustRightInd w:val="0"/>
              <w:rPr>
                <w:rStyle w:val="Emphasis"/>
                <w:i w:val="0"/>
                <w:sz w:val="22"/>
                <w:szCs w:val="22"/>
              </w:rPr>
            </w:pPr>
            <w:r w:rsidRPr="006F484A">
              <w:rPr>
                <w:rStyle w:val="Emphasis"/>
                <w:sz w:val="22"/>
                <w:szCs w:val="22"/>
              </w:rPr>
              <w:t>Cardiology</w:t>
            </w:r>
          </w:p>
          <w:p w14:paraId="087CAFA0" w14:textId="77777777" w:rsidR="000235A6" w:rsidRPr="006F484A" w:rsidRDefault="000235A6" w:rsidP="003763D3">
            <w:pPr>
              <w:pStyle w:val="ListParagraph"/>
              <w:numPr>
                <w:ilvl w:val="0"/>
                <w:numId w:val="24"/>
              </w:numPr>
              <w:autoSpaceDE w:val="0"/>
              <w:autoSpaceDN w:val="0"/>
              <w:adjustRightInd w:val="0"/>
              <w:rPr>
                <w:rFonts w:eastAsiaTheme="minorHAnsi" w:cs="Calibri"/>
                <w:sz w:val="20"/>
              </w:rPr>
            </w:pPr>
            <w:r w:rsidRPr="006F484A">
              <w:rPr>
                <w:rFonts w:eastAsiaTheme="minorHAnsi" w:cs="Calibri"/>
                <w:sz w:val="20"/>
              </w:rPr>
              <w:t>Ward CPE</w:t>
            </w:r>
          </w:p>
          <w:p w14:paraId="326A4818" w14:textId="77777777" w:rsidR="000235A6" w:rsidRPr="006F484A" w:rsidRDefault="000235A6" w:rsidP="003763D3">
            <w:pPr>
              <w:pStyle w:val="ListParagraph"/>
              <w:numPr>
                <w:ilvl w:val="0"/>
                <w:numId w:val="24"/>
              </w:numPr>
              <w:autoSpaceDE w:val="0"/>
              <w:autoSpaceDN w:val="0"/>
              <w:adjustRightInd w:val="0"/>
              <w:rPr>
                <w:rFonts w:eastAsiaTheme="minorHAnsi" w:cs="Calibri"/>
                <w:sz w:val="20"/>
              </w:rPr>
            </w:pPr>
            <w:r w:rsidRPr="006F484A">
              <w:rPr>
                <w:rFonts w:eastAsiaTheme="minorHAnsi" w:cs="Calibri"/>
                <w:sz w:val="20"/>
              </w:rPr>
              <w:t>Ward CCU</w:t>
            </w:r>
          </w:p>
          <w:p w14:paraId="325C98B0" w14:textId="77777777" w:rsidR="000235A6" w:rsidRPr="005F4890" w:rsidRDefault="000235A6" w:rsidP="003763D3">
            <w:pPr>
              <w:pStyle w:val="ListParagraph"/>
              <w:numPr>
                <w:ilvl w:val="0"/>
                <w:numId w:val="24"/>
              </w:numPr>
              <w:rPr>
                <w:rStyle w:val="Emphasis"/>
                <w:rFonts w:cs="Calibri"/>
                <w:i w:val="0"/>
                <w:sz w:val="20"/>
              </w:rPr>
            </w:pPr>
            <w:r w:rsidRPr="006F484A">
              <w:rPr>
                <w:rFonts w:eastAsiaTheme="minorHAnsi" w:cs="Calibri"/>
                <w:sz w:val="20"/>
              </w:rPr>
              <w:t>Ward CLD</w:t>
            </w:r>
          </w:p>
        </w:tc>
        <w:tc>
          <w:tcPr>
            <w:tcW w:w="5131" w:type="dxa"/>
          </w:tcPr>
          <w:p w14:paraId="255A54DB" w14:textId="77777777" w:rsidR="000235A6" w:rsidRPr="00344983" w:rsidRDefault="000235A6" w:rsidP="000235A6">
            <w:pPr>
              <w:pStyle w:val="ListParagraph"/>
              <w:numPr>
                <w:ilvl w:val="0"/>
                <w:numId w:val="25"/>
              </w:numPr>
              <w:autoSpaceDE w:val="0"/>
              <w:autoSpaceDN w:val="0"/>
              <w:adjustRightInd w:val="0"/>
              <w:rPr>
                <w:rFonts w:eastAsiaTheme="minorHAnsi" w:cs="Calibri"/>
                <w:sz w:val="22"/>
              </w:rPr>
            </w:pPr>
            <w:r w:rsidRPr="00344983">
              <w:rPr>
                <w:rFonts w:eastAsiaTheme="minorHAnsi" w:cs="Calibri"/>
                <w:sz w:val="22"/>
              </w:rPr>
              <w:t>Chest Pain Assessment and Discharge Form</w:t>
            </w:r>
          </w:p>
          <w:p w14:paraId="157622E3" w14:textId="77777777" w:rsidR="000235A6" w:rsidRPr="00344983" w:rsidRDefault="000235A6" w:rsidP="000235A6">
            <w:pPr>
              <w:pStyle w:val="ListParagraph"/>
              <w:numPr>
                <w:ilvl w:val="0"/>
                <w:numId w:val="25"/>
              </w:numPr>
              <w:autoSpaceDE w:val="0"/>
              <w:autoSpaceDN w:val="0"/>
              <w:adjustRightInd w:val="0"/>
              <w:rPr>
                <w:rFonts w:eastAsiaTheme="minorHAnsi" w:cs="Calibri"/>
                <w:sz w:val="22"/>
              </w:rPr>
            </w:pPr>
            <w:r w:rsidRPr="00344983">
              <w:rPr>
                <w:rFonts w:eastAsiaTheme="minorHAnsi" w:cs="Calibri"/>
                <w:sz w:val="22"/>
              </w:rPr>
              <w:t>Elective Short Stay Cardiac Procedures Admission and Discharge</w:t>
            </w:r>
          </w:p>
          <w:p w14:paraId="70252352" w14:textId="77777777" w:rsidR="000235A6" w:rsidRPr="00344983" w:rsidRDefault="000235A6" w:rsidP="000235A6">
            <w:pPr>
              <w:pStyle w:val="ListParagraph"/>
              <w:numPr>
                <w:ilvl w:val="0"/>
                <w:numId w:val="25"/>
              </w:numPr>
              <w:autoSpaceDE w:val="0"/>
              <w:autoSpaceDN w:val="0"/>
              <w:adjustRightInd w:val="0"/>
              <w:rPr>
                <w:rFonts w:eastAsiaTheme="minorHAnsi" w:cs="Calibri"/>
                <w:sz w:val="22"/>
              </w:rPr>
            </w:pPr>
            <w:r w:rsidRPr="00344983">
              <w:rPr>
                <w:rFonts w:eastAsiaTheme="minorHAnsi" w:cs="Calibri"/>
                <w:sz w:val="22"/>
              </w:rPr>
              <w:t xml:space="preserve">Admission, Assessment and Discharge Form or </w:t>
            </w:r>
          </w:p>
          <w:p w14:paraId="5BC8FE38" w14:textId="77777777" w:rsidR="000235A6" w:rsidRPr="00344983" w:rsidRDefault="000235A6" w:rsidP="000235A6">
            <w:pPr>
              <w:pStyle w:val="ListParagraph"/>
              <w:numPr>
                <w:ilvl w:val="0"/>
                <w:numId w:val="25"/>
              </w:numPr>
              <w:autoSpaceDE w:val="0"/>
              <w:autoSpaceDN w:val="0"/>
              <w:adjustRightInd w:val="0"/>
              <w:rPr>
                <w:rFonts w:eastAsiaTheme="minorHAnsi" w:cs="Calibri"/>
                <w:sz w:val="22"/>
              </w:rPr>
            </w:pPr>
            <w:r w:rsidRPr="00344983">
              <w:rPr>
                <w:rFonts w:eastAsiaTheme="minorHAnsi" w:cs="Calibri"/>
                <w:sz w:val="22"/>
              </w:rPr>
              <w:t xml:space="preserve">Cardiology Unit Investigations – typed final procedure report </w:t>
            </w:r>
          </w:p>
          <w:p w14:paraId="48CD86E1" w14:textId="77777777" w:rsidR="000235A6" w:rsidRPr="00355DD5" w:rsidRDefault="000235A6" w:rsidP="003763D3">
            <w:pPr>
              <w:autoSpaceDE w:val="0"/>
              <w:autoSpaceDN w:val="0"/>
              <w:adjustRightInd w:val="0"/>
              <w:rPr>
                <w:rStyle w:val="Emphasis"/>
                <w:rFonts w:cs="Calibri"/>
                <w:i w:val="0"/>
                <w:sz w:val="22"/>
                <w:szCs w:val="24"/>
              </w:rPr>
            </w:pPr>
            <w:r w:rsidRPr="00355DD5">
              <w:rPr>
                <w:rFonts w:eastAsiaTheme="minorHAnsi" w:cs="Calibri"/>
                <w:sz w:val="18"/>
                <w:szCs w:val="16"/>
              </w:rPr>
              <w:t>All documents must be signed by Clinician and include Diagnoses and Procedures</w:t>
            </w:r>
          </w:p>
        </w:tc>
      </w:tr>
      <w:tr w:rsidR="000235A6" w:rsidRPr="0080357D" w14:paraId="32A40645" w14:textId="77777777" w:rsidTr="000235A6">
        <w:tc>
          <w:tcPr>
            <w:tcW w:w="3936" w:type="dxa"/>
          </w:tcPr>
          <w:p w14:paraId="45BFECD7" w14:textId="77777777" w:rsidR="000235A6" w:rsidRPr="00355DD5" w:rsidRDefault="000235A6" w:rsidP="003763D3">
            <w:pPr>
              <w:rPr>
                <w:rStyle w:val="Emphasis"/>
                <w:rFonts w:cs="Calibri"/>
                <w:i w:val="0"/>
                <w:sz w:val="22"/>
                <w:szCs w:val="24"/>
              </w:rPr>
            </w:pPr>
            <w:r>
              <w:rPr>
                <w:rStyle w:val="Emphasis"/>
                <w:rFonts w:cs="Calibri"/>
                <w:sz w:val="22"/>
                <w:szCs w:val="24"/>
              </w:rPr>
              <w:t>Elective Day-only Surgery</w:t>
            </w:r>
          </w:p>
          <w:p w14:paraId="6EEDCFD1" w14:textId="77777777" w:rsidR="000235A6" w:rsidRPr="00355DD5" w:rsidRDefault="000235A6" w:rsidP="003763D3">
            <w:pPr>
              <w:rPr>
                <w:rStyle w:val="Emphasis"/>
                <w:rFonts w:cs="Calibri"/>
                <w:i w:val="0"/>
                <w:sz w:val="22"/>
                <w:szCs w:val="24"/>
              </w:rPr>
            </w:pPr>
            <w:r w:rsidRPr="00355DD5">
              <w:rPr>
                <w:rStyle w:val="Emphasis"/>
                <w:rFonts w:cs="Calibri"/>
                <w:sz w:val="20"/>
                <w:szCs w:val="24"/>
              </w:rPr>
              <w:t xml:space="preserve">Wards </w:t>
            </w:r>
            <w:r>
              <w:rPr>
                <w:rStyle w:val="Emphasis"/>
                <w:rFonts w:cs="Calibri"/>
                <w:sz w:val="20"/>
                <w:szCs w:val="24"/>
              </w:rPr>
              <w:t>THE</w:t>
            </w:r>
            <w:r w:rsidRPr="00355DD5">
              <w:rPr>
                <w:rStyle w:val="Emphasis"/>
                <w:rFonts w:cs="Calibri"/>
                <w:sz w:val="20"/>
                <w:szCs w:val="24"/>
              </w:rPr>
              <w:t xml:space="preserve"> or EDS</w:t>
            </w:r>
          </w:p>
        </w:tc>
        <w:tc>
          <w:tcPr>
            <w:tcW w:w="5131" w:type="dxa"/>
          </w:tcPr>
          <w:p w14:paraId="344A6B5B" w14:textId="77777777" w:rsidR="000235A6" w:rsidRDefault="000235A6" w:rsidP="003763D3">
            <w:pPr>
              <w:rPr>
                <w:rStyle w:val="Emphasis"/>
                <w:rFonts w:cs="Calibri"/>
                <w:i w:val="0"/>
                <w:sz w:val="20"/>
                <w:szCs w:val="24"/>
              </w:rPr>
            </w:pPr>
            <w:r w:rsidRPr="00355DD5">
              <w:rPr>
                <w:rStyle w:val="Emphasis"/>
                <w:rFonts w:cs="Calibri"/>
                <w:sz w:val="22"/>
                <w:szCs w:val="24"/>
              </w:rPr>
              <w:t>Day Surgery Operation Report/Discharge Summary or</w:t>
            </w:r>
            <w:r w:rsidRPr="00355DD5">
              <w:rPr>
                <w:rStyle w:val="Emphasis"/>
                <w:rFonts w:cs="Calibri"/>
                <w:sz w:val="22"/>
                <w:szCs w:val="24"/>
              </w:rPr>
              <w:br/>
              <w:t>Operation Record</w:t>
            </w:r>
            <w:r w:rsidRPr="00355DD5">
              <w:rPr>
                <w:rStyle w:val="Emphasis"/>
                <w:rFonts w:cs="Calibri"/>
                <w:sz w:val="20"/>
                <w:szCs w:val="24"/>
              </w:rPr>
              <w:t xml:space="preserve"> </w:t>
            </w:r>
          </w:p>
          <w:p w14:paraId="2605413A" w14:textId="77777777" w:rsidR="000235A6" w:rsidRPr="00355DD5" w:rsidRDefault="000235A6" w:rsidP="003763D3">
            <w:pPr>
              <w:rPr>
                <w:rStyle w:val="Emphasis"/>
                <w:rFonts w:cs="Calibri"/>
                <w:i w:val="0"/>
                <w:sz w:val="22"/>
                <w:szCs w:val="24"/>
              </w:rPr>
            </w:pPr>
            <w:r w:rsidRPr="00355DD5">
              <w:rPr>
                <w:rStyle w:val="Emphasis"/>
                <w:rFonts w:cs="Calibri"/>
                <w:sz w:val="18"/>
                <w:szCs w:val="24"/>
              </w:rPr>
              <w:t>(Must include Follow-up information)</w:t>
            </w:r>
          </w:p>
        </w:tc>
      </w:tr>
      <w:tr w:rsidR="000235A6" w:rsidRPr="0080357D" w14:paraId="2DEDE63E" w14:textId="77777777" w:rsidTr="000235A6">
        <w:tc>
          <w:tcPr>
            <w:tcW w:w="3936" w:type="dxa"/>
          </w:tcPr>
          <w:p w14:paraId="59914162" w14:textId="77777777" w:rsidR="000235A6" w:rsidRPr="00355DD5" w:rsidRDefault="000235A6" w:rsidP="003763D3">
            <w:pPr>
              <w:rPr>
                <w:rStyle w:val="Emphasis"/>
                <w:rFonts w:cs="Calibri"/>
                <w:i w:val="0"/>
                <w:sz w:val="22"/>
                <w:szCs w:val="24"/>
              </w:rPr>
            </w:pPr>
            <w:r>
              <w:rPr>
                <w:rStyle w:val="Emphasis"/>
                <w:rFonts w:cs="Calibri"/>
                <w:sz w:val="22"/>
                <w:szCs w:val="24"/>
              </w:rPr>
              <w:t>Emergency Department</w:t>
            </w:r>
          </w:p>
          <w:p w14:paraId="34862EE9" w14:textId="77777777" w:rsidR="000235A6" w:rsidRPr="00355DD5" w:rsidRDefault="000235A6" w:rsidP="003763D3">
            <w:pPr>
              <w:rPr>
                <w:rStyle w:val="Emphasis"/>
                <w:rFonts w:cs="Calibri"/>
                <w:i w:val="0"/>
                <w:sz w:val="22"/>
                <w:szCs w:val="24"/>
              </w:rPr>
            </w:pPr>
            <w:r w:rsidRPr="00355DD5">
              <w:rPr>
                <w:rStyle w:val="Emphasis"/>
                <w:rFonts w:cs="Calibri"/>
                <w:sz w:val="20"/>
                <w:szCs w:val="24"/>
              </w:rPr>
              <w:t xml:space="preserve">Ward EMU </w:t>
            </w:r>
          </w:p>
        </w:tc>
        <w:tc>
          <w:tcPr>
            <w:tcW w:w="5131" w:type="dxa"/>
          </w:tcPr>
          <w:p w14:paraId="1AC2601D" w14:textId="77777777" w:rsidR="000235A6" w:rsidRPr="00355DD5" w:rsidRDefault="000235A6" w:rsidP="003763D3">
            <w:pPr>
              <w:rPr>
                <w:rStyle w:val="Emphasis"/>
                <w:rFonts w:cs="Calibri"/>
                <w:i w:val="0"/>
                <w:sz w:val="22"/>
                <w:szCs w:val="24"/>
              </w:rPr>
            </w:pPr>
            <w:r w:rsidRPr="00355DD5">
              <w:rPr>
                <w:rStyle w:val="Emphasis"/>
                <w:rFonts w:cs="Calibri"/>
                <w:sz w:val="22"/>
                <w:szCs w:val="24"/>
              </w:rPr>
              <w:t>ED Discharge Letter</w:t>
            </w:r>
          </w:p>
        </w:tc>
      </w:tr>
      <w:tr w:rsidR="000235A6" w:rsidRPr="0080357D" w14:paraId="450A07E6" w14:textId="77777777" w:rsidTr="000235A6">
        <w:tc>
          <w:tcPr>
            <w:tcW w:w="3936" w:type="dxa"/>
          </w:tcPr>
          <w:p w14:paraId="1AA6AAB9"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Gastroenterology Day-only procedures </w:t>
            </w:r>
          </w:p>
          <w:p w14:paraId="06F038A7" w14:textId="77777777" w:rsidR="000235A6" w:rsidRPr="00355DD5" w:rsidRDefault="000235A6" w:rsidP="003763D3">
            <w:pPr>
              <w:rPr>
                <w:rStyle w:val="Emphasis"/>
                <w:rFonts w:cs="Calibri"/>
                <w:i w:val="0"/>
                <w:sz w:val="20"/>
                <w:szCs w:val="24"/>
              </w:rPr>
            </w:pPr>
            <w:r w:rsidRPr="00355DD5">
              <w:rPr>
                <w:rStyle w:val="Emphasis"/>
                <w:rFonts w:cs="Calibri"/>
                <w:sz w:val="20"/>
                <w:szCs w:val="24"/>
              </w:rPr>
              <w:t xml:space="preserve">Ward GAS </w:t>
            </w:r>
          </w:p>
          <w:p w14:paraId="48BA100C" w14:textId="77777777" w:rsidR="000235A6" w:rsidRPr="00355DD5" w:rsidRDefault="000235A6" w:rsidP="003763D3">
            <w:pPr>
              <w:rPr>
                <w:rStyle w:val="Emphasis"/>
                <w:rFonts w:cs="Calibri"/>
                <w:i w:val="0"/>
                <w:sz w:val="22"/>
                <w:szCs w:val="24"/>
              </w:rPr>
            </w:pPr>
          </w:p>
        </w:tc>
        <w:tc>
          <w:tcPr>
            <w:tcW w:w="5131" w:type="dxa"/>
          </w:tcPr>
          <w:p w14:paraId="25066ABD" w14:textId="77777777" w:rsidR="000235A6" w:rsidRPr="00355DD5" w:rsidRDefault="000235A6" w:rsidP="003763D3">
            <w:pPr>
              <w:rPr>
                <w:rStyle w:val="Emphasis"/>
                <w:rFonts w:cs="Calibri"/>
                <w:i w:val="0"/>
                <w:sz w:val="22"/>
                <w:szCs w:val="24"/>
              </w:rPr>
            </w:pPr>
            <w:r w:rsidRPr="00355DD5">
              <w:rPr>
                <w:rStyle w:val="Emphasis"/>
                <w:rFonts w:cs="Calibri"/>
                <w:sz w:val="22"/>
                <w:szCs w:val="24"/>
              </w:rPr>
              <w:t>Typed reports including:</w:t>
            </w:r>
          </w:p>
          <w:p w14:paraId="023987FD" w14:textId="77777777" w:rsidR="000235A6" w:rsidRPr="00355DD5" w:rsidRDefault="000235A6" w:rsidP="000235A6">
            <w:pPr>
              <w:numPr>
                <w:ilvl w:val="0"/>
                <w:numId w:val="22"/>
              </w:numPr>
              <w:ind w:left="346" w:hanging="346"/>
              <w:rPr>
                <w:rStyle w:val="Emphasis"/>
                <w:rFonts w:cs="Calibri"/>
                <w:i w:val="0"/>
                <w:sz w:val="20"/>
                <w:szCs w:val="24"/>
              </w:rPr>
            </w:pPr>
            <w:r w:rsidRPr="00355DD5">
              <w:rPr>
                <w:rStyle w:val="Emphasis"/>
                <w:rFonts w:cs="Calibri"/>
                <w:sz w:val="20"/>
                <w:szCs w:val="24"/>
              </w:rPr>
              <w:t xml:space="preserve">Lower GI endoscopy report </w:t>
            </w:r>
          </w:p>
          <w:p w14:paraId="7422B8A4" w14:textId="77777777" w:rsidR="000235A6" w:rsidRPr="00355DD5" w:rsidRDefault="000235A6" w:rsidP="000235A6">
            <w:pPr>
              <w:numPr>
                <w:ilvl w:val="0"/>
                <w:numId w:val="22"/>
              </w:numPr>
              <w:ind w:left="346" w:hanging="346"/>
              <w:rPr>
                <w:rStyle w:val="Emphasis"/>
                <w:rFonts w:cs="Calibri"/>
                <w:i w:val="0"/>
                <w:sz w:val="20"/>
                <w:szCs w:val="24"/>
              </w:rPr>
            </w:pPr>
            <w:r w:rsidRPr="00355DD5">
              <w:rPr>
                <w:rStyle w:val="Emphasis"/>
                <w:rFonts w:cs="Calibri"/>
                <w:sz w:val="20"/>
                <w:szCs w:val="24"/>
              </w:rPr>
              <w:t>Upper GI endoscopy Report</w:t>
            </w:r>
          </w:p>
          <w:p w14:paraId="73127393" w14:textId="77777777" w:rsidR="000235A6" w:rsidRPr="00355DD5" w:rsidRDefault="000235A6" w:rsidP="000235A6">
            <w:pPr>
              <w:numPr>
                <w:ilvl w:val="0"/>
                <w:numId w:val="22"/>
              </w:numPr>
              <w:ind w:left="346" w:hanging="346"/>
              <w:rPr>
                <w:rStyle w:val="Emphasis"/>
                <w:rFonts w:cs="Calibri"/>
                <w:i w:val="0"/>
                <w:sz w:val="20"/>
                <w:szCs w:val="24"/>
              </w:rPr>
            </w:pPr>
            <w:r w:rsidRPr="00355DD5">
              <w:rPr>
                <w:rStyle w:val="Emphasis"/>
                <w:rFonts w:cs="Calibri"/>
                <w:sz w:val="20"/>
                <w:szCs w:val="24"/>
              </w:rPr>
              <w:t>Endoscopy Report</w:t>
            </w:r>
          </w:p>
          <w:p w14:paraId="25E8B2E2" w14:textId="77777777" w:rsidR="000235A6" w:rsidRPr="00355DD5" w:rsidRDefault="000235A6" w:rsidP="000235A6">
            <w:pPr>
              <w:numPr>
                <w:ilvl w:val="0"/>
                <w:numId w:val="22"/>
              </w:numPr>
              <w:ind w:left="346" w:hanging="346"/>
              <w:rPr>
                <w:rStyle w:val="Emphasis"/>
                <w:rFonts w:cs="Calibri"/>
                <w:i w:val="0"/>
                <w:sz w:val="20"/>
                <w:szCs w:val="24"/>
              </w:rPr>
            </w:pPr>
            <w:r w:rsidRPr="00355DD5">
              <w:rPr>
                <w:rStyle w:val="Emphasis"/>
                <w:rFonts w:cs="Calibri"/>
                <w:sz w:val="20"/>
                <w:szCs w:val="24"/>
              </w:rPr>
              <w:t>Bronchoscopy report</w:t>
            </w:r>
          </w:p>
          <w:p w14:paraId="6B2351E7" w14:textId="77777777" w:rsidR="000235A6" w:rsidRPr="00355DD5" w:rsidRDefault="000235A6" w:rsidP="000235A6">
            <w:pPr>
              <w:numPr>
                <w:ilvl w:val="0"/>
                <w:numId w:val="22"/>
              </w:numPr>
              <w:ind w:left="346" w:hanging="346"/>
              <w:rPr>
                <w:rStyle w:val="Emphasis"/>
                <w:rFonts w:cs="Calibri"/>
                <w:i w:val="0"/>
                <w:sz w:val="22"/>
                <w:szCs w:val="24"/>
              </w:rPr>
            </w:pPr>
            <w:r w:rsidRPr="00355DD5">
              <w:rPr>
                <w:rStyle w:val="Emphasis"/>
                <w:rFonts w:cs="Calibri"/>
                <w:sz w:val="20"/>
                <w:szCs w:val="24"/>
              </w:rPr>
              <w:t>ERCP report</w:t>
            </w:r>
          </w:p>
        </w:tc>
      </w:tr>
      <w:tr w:rsidR="000235A6" w:rsidRPr="0080357D" w14:paraId="6CB7C7B9" w14:textId="77777777" w:rsidTr="000235A6">
        <w:tc>
          <w:tcPr>
            <w:tcW w:w="3936" w:type="dxa"/>
          </w:tcPr>
          <w:p w14:paraId="2CDDDB7F"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Hospital-in-the-home </w:t>
            </w:r>
          </w:p>
          <w:p w14:paraId="563A61EA"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HITH Day-only </w:t>
            </w:r>
          </w:p>
        </w:tc>
        <w:tc>
          <w:tcPr>
            <w:tcW w:w="5131" w:type="dxa"/>
          </w:tcPr>
          <w:p w14:paraId="18CB327D"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HITH Day-only Medical Admission or completed Identification sheet </w:t>
            </w:r>
          </w:p>
          <w:p w14:paraId="465CAF24" w14:textId="77777777" w:rsidR="000235A6" w:rsidRPr="00355DD5" w:rsidRDefault="000235A6" w:rsidP="003763D3">
            <w:pPr>
              <w:rPr>
                <w:rStyle w:val="Emphasis"/>
                <w:rFonts w:cs="Calibri"/>
                <w:i w:val="0"/>
                <w:sz w:val="22"/>
                <w:szCs w:val="24"/>
              </w:rPr>
            </w:pPr>
            <w:r w:rsidRPr="00355DD5">
              <w:rPr>
                <w:rStyle w:val="Emphasis"/>
                <w:rFonts w:cs="Calibri"/>
                <w:sz w:val="18"/>
                <w:szCs w:val="18"/>
              </w:rPr>
              <w:t>(Must be signed by Clini</w:t>
            </w:r>
            <w:r>
              <w:rPr>
                <w:rStyle w:val="Emphasis"/>
                <w:rFonts w:cs="Calibri"/>
                <w:sz w:val="18"/>
                <w:szCs w:val="18"/>
              </w:rPr>
              <w:t>cian and include Diagnoses and P</w:t>
            </w:r>
            <w:r w:rsidRPr="00355DD5">
              <w:rPr>
                <w:rStyle w:val="Emphasis"/>
                <w:rFonts w:cs="Calibri"/>
                <w:sz w:val="18"/>
                <w:szCs w:val="18"/>
              </w:rPr>
              <w:t>rocedures)</w:t>
            </w:r>
          </w:p>
        </w:tc>
      </w:tr>
      <w:tr w:rsidR="000235A6" w:rsidRPr="0080357D" w14:paraId="6AB0F4B1" w14:textId="77777777" w:rsidTr="000235A6">
        <w:tc>
          <w:tcPr>
            <w:tcW w:w="3936" w:type="dxa"/>
          </w:tcPr>
          <w:p w14:paraId="617607A1" w14:textId="77777777" w:rsidR="000235A6" w:rsidRPr="00355DD5" w:rsidRDefault="000235A6" w:rsidP="003763D3">
            <w:pPr>
              <w:rPr>
                <w:rStyle w:val="Emphasis"/>
                <w:rFonts w:cs="Calibri"/>
                <w:i w:val="0"/>
                <w:sz w:val="22"/>
                <w:szCs w:val="24"/>
              </w:rPr>
            </w:pPr>
            <w:r w:rsidRPr="00355DD5">
              <w:rPr>
                <w:rStyle w:val="Emphasis"/>
                <w:rFonts w:cs="Calibri"/>
                <w:sz w:val="22"/>
                <w:szCs w:val="24"/>
              </w:rPr>
              <w:t>Obstetric Delivery episodes</w:t>
            </w:r>
          </w:p>
          <w:p w14:paraId="080F9C69" w14:textId="77777777" w:rsidR="000235A6" w:rsidRPr="00355DD5" w:rsidRDefault="000235A6" w:rsidP="003763D3">
            <w:pPr>
              <w:rPr>
                <w:rStyle w:val="Emphasis"/>
                <w:rFonts w:cs="Calibri"/>
                <w:i w:val="0"/>
                <w:sz w:val="22"/>
                <w:szCs w:val="24"/>
              </w:rPr>
            </w:pPr>
            <w:r w:rsidRPr="00355DD5">
              <w:rPr>
                <w:rStyle w:val="Emphasis"/>
                <w:rFonts w:cs="Calibri"/>
                <w:sz w:val="20"/>
                <w:szCs w:val="24"/>
              </w:rPr>
              <w:t xml:space="preserve">Without any medical intervention </w:t>
            </w:r>
          </w:p>
        </w:tc>
        <w:tc>
          <w:tcPr>
            <w:tcW w:w="5131" w:type="dxa"/>
          </w:tcPr>
          <w:p w14:paraId="59F0115B"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BOS Discharge Summary (by Midwife) accepted for Mother’s delivery episode &amp; Newborn episode </w:t>
            </w:r>
          </w:p>
          <w:p w14:paraId="69D6A626" w14:textId="77777777" w:rsidR="000235A6" w:rsidRPr="00355DD5" w:rsidRDefault="000235A6" w:rsidP="003763D3">
            <w:pPr>
              <w:rPr>
                <w:rStyle w:val="Emphasis"/>
                <w:rFonts w:cs="Calibri"/>
                <w:i w:val="0"/>
                <w:sz w:val="22"/>
                <w:szCs w:val="24"/>
              </w:rPr>
            </w:pPr>
            <w:r w:rsidRPr="00355DD5">
              <w:rPr>
                <w:rStyle w:val="Emphasis"/>
                <w:rFonts w:cs="Calibri"/>
                <w:sz w:val="18"/>
                <w:szCs w:val="24"/>
              </w:rPr>
              <w:t xml:space="preserve">(Excludes babies admitted to </w:t>
            </w:r>
            <w:r>
              <w:rPr>
                <w:rStyle w:val="Emphasis"/>
                <w:rFonts w:cs="Calibri"/>
                <w:sz w:val="18"/>
                <w:szCs w:val="24"/>
              </w:rPr>
              <w:t>Neonatology who require an alternative as per below</w:t>
            </w:r>
            <w:r w:rsidRPr="00355DD5">
              <w:rPr>
                <w:rStyle w:val="Emphasis"/>
                <w:rFonts w:cs="Calibri"/>
                <w:sz w:val="18"/>
                <w:szCs w:val="24"/>
              </w:rPr>
              <w:t>)</w:t>
            </w:r>
          </w:p>
        </w:tc>
      </w:tr>
      <w:tr w:rsidR="000235A6" w:rsidRPr="0080357D" w14:paraId="6E44F7FB" w14:textId="77777777" w:rsidTr="000235A6">
        <w:tc>
          <w:tcPr>
            <w:tcW w:w="3936" w:type="dxa"/>
          </w:tcPr>
          <w:p w14:paraId="21A811EE" w14:textId="77777777" w:rsidR="000235A6" w:rsidRPr="00355DD5" w:rsidRDefault="000235A6" w:rsidP="003763D3">
            <w:pPr>
              <w:rPr>
                <w:rStyle w:val="Emphasis"/>
                <w:rFonts w:cs="Calibri"/>
                <w:i w:val="0"/>
                <w:sz w:val="20"/>
                <w:szCs w:val="24"/>
              </w:rPr>
            </w:pPr>
            <w:r w:rsidRPr="00355DD5">
              <w:rPr>
                <w:rStyle w:val="Emphasis"/>
                <w:rFonts w:cs="Calibri"/>
                <w:sz w:val="22"/>
                <w:szCs w:val="24"/>
              </w:rPr>
              <w:t xml:space="preserve">Qualified Newborn </w:t>
            </w:r>
            <w:r w:rsidRPr="00355DD5">
              <w:rPr>
                <w:rStyle w:val="Emphasis"/>
                <w:rFonts w:cs="Calibri"/>
                <w:sz w:val="20"/>
                <w:szCs w:val="24"/>
              </w:rPr>
              <w:t>- SCN or NICU ward</w:t>
            </w:r>
          </w:p>
          <w:p w14:paraId="47C492F4" w14:textId="77777777" w:rsidR="000235A6" w:rsidRPr="00355DD5" w:rsidRDefault="000235A6" w:rsidP="000235A6">
            <w:pPr>
              <w:pStyle w:val="ListParagraph"/>
              <w:numPr>
                <w:ilvl w:val="0"/>
                <w:numId w:val="23"/>
              </w:numPr>
              <w:ind w:left="0"/>
              <w:rPr>
                <w:rStyle w:val="Emphasis"/>
                <w:rFonts w:cs="Calibri"/>
                <w:i w:val="0"/>
                <w:sz w:val="22"/>
                <w:szCs w:val="24"/>
              </w:rPr>
            </w:pPr>
            <w:r w:rsidRPr="00355DD5">
              <w:rPr>
                <w:rStyle w:val="Emphasis"/>
                <w:rFonts w:cs="Calibri"/>
                <w:sz w:val="20"/>
                <w:szCs w:val="24"/>
              </w:rPr>
              <w:t>All other wards</w:t>
            </w:r>
          </w:p>
        </w:tc>
        <w:tc>
          <w:tcPr>
            <w:tcW w:w="5131" w:type="dxa"/>
          </w:tcPr>
          <w:p w14:paraId="5B467D05" w14:textId="77777777" w:rsidR="000235A6" w:rsidRPr="00355DD5" w:rsidRDefault="000235A6" w:rsidP="003763D3">
            <w:pPr>
              <w:rPr>
                <w:rStyle w:val="Emphasis"/>
                <w:rFonts w:cs="Calibri"/>
                <w:i w:val="0"/>
                <w:sz w:val="22"/>
                <w:szCs w:val="24"/>
              </w:rPr>
            </w:pPr>
            <w:r w:rsidRPr="00355DD5">
              <w:rPr>
                <w:rStyle w:val="Emphasis"/>
                <w:rFonts w:cs="Calibri"/>
                <w:sz w:val="22"/>
                <w:szCs w:val="24"/>
              </w:rPr>
              <w:t>Typed Centre for Newborn Care Discharge summary</w:t>
            </w:r>
          </w:p>
          <w:p w14:paraId="3A37159D"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Clinical Portal discharge summary </w:t>
            </w:r>
          </w:p>
        </w:tc>
      </w:tr>
      <w:tr w:rsidR="000235A6" w:rsidRPr="0080357D" w14:paraId="1204D179" w14:textId="77777777" w:rsidTr="000235A6">
        <w:tc>
          <w:tcPr>
            <w:tcW w:w="3936" w:type="dxa"/>
          </w:tcPr>
          <w:p w14:paraId="66EA511E" w14:textId="77777777" w:rsidR="000235A6" w:rsidRPr="00355DD5" w:rsidRDefault="000235A6" w:rsidP="003763D3">
            <w:pPr>
              <w:rPr>
                <w:rStyle w:val="Emphasis"/>
                <w:rFonts w:cs="Calibri"/>
                <w:i w:val="0"/>
                <w:sz w:val="22"/>
                <w:szCs w:val="24"/>
              </w:rPr>
            </w:pPr>
            <w:r>
              <w:rPr>
                <w:rStyle w:val="Emphasis"/>
                <w:rFonts w:cs="Calibri"/>
                <w:sz w:val="22"/>
                <w:szCs w:val="24"/>
              </w:rPr>
              <w:t>Short stay episodes (&lt;12</w:t>
            </w:r>
            <w:r w:rsidRPr="00355DD5">
              <w:rPr>
                <w:rStyle w:val="Emphasis"/>
                <w:rFonts w:cs="Calibri"/>
                <w:sz w:val="22"/>
                <w:szCs w:val="24"/>
              </w:rPr>
              <w:t xml:space="preserve"> hours) </w:t>
            </w:r>
          </w:p>
          <w:p w14:paraId="4636CC55" w14:textId="77777777" w:rsidR="000235A6" w:rsidRPr="00355DD5" w:rsidRDefault="000235A6" w:rsidP="003763D3">
            <w:pPr>
              <w:rPr>
                <w:rStyle w:val="Emphasis"/>
                <w:rFonts w:cs="Calibri"/>
                <w:i w:val="0"/>
                <w:sz w:val="20"/>
                <w:szCs w:val="24"/>
              </w:rPr>
            </w:pPr>
            <w:r>
              <w:rPr>
                <w:rStyle w:val="Emphasis"/>
                <w:rFonts w:cs="Calibri"/>
                <w:sz w:val="20"/>
                <w:szCs w:val="24"/>
              </w:rPr>
              <w:t xml:space="preserve">Paediatric short stay, </w:t>
            </w:r>
          </w:p>
          <w:p w14:paraId="3F49A9F4" w14:textId="77777777" w:rsidR="000235A6" w:rsidRPr="00355DD5" w:rsidRDefault="000235A6" w:rsidP="003763D3">
            <w:pPr>
              <w:rPr>
                <w:rStyle w:val="Emphasis"/>
                <w:rFonts w:cs="Calibri"/>
                <w:i w:val="0"/>
                <w:sz w:val="22"/>
                <w:szCs w:val="24"/>
              </w:rPr>
            </w:pPr>
            <w:r w:rsidRPr="00355DD5">
              <w:rPr>
                <w:rStyle w:val="Emphasis"/>
                <w:rFonts w:cs="Calibri"/>
                <w:sz w:val="20"/>
                <w:szCs w:val="24"/>
              </w:rPr>
              <w:t xml:space="preserve">Rehabilitation Independent Living Unit (RILU), </w:t>
            </w:r>
            <w:r w:rsidRPr="00355DD5">
              <w:rPr>
                <w:rStyle w:val="Emphasis"/>
                <w:rFonts w:cs="Calibri"/>
                <w:sz w:val="20"/>
                <w:szCs w:val="24"/>
              </w:rPr>
              <w:br/>
              <w:t>Cancelled surgery</w:t>
            </w:r>
          </w:p>
        </w:tc>
        <w:tc>
          <w:tcPr>
            <w:tcW w:w="5131" w:type="dxa"/>
          </w:tcPr>
          <w:p w14:paraId="0809BDA7"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Identification Sheet completed </w:t>
            </w:r>
          </w:p>
          <w:p w14:paraId="78BD5222" w14:textId="77777777" w:rsidR="000235A6" w:rsidRPr="00355DD5" w:rsidRDefault="000235A6" w:rsidP="003763D3">
            <w:pPr>
              <w:rPr>
                <w:rStyle w:val="Emphasis"/>
                <w:rFonts w:cs="Calibri"/>
                <w:i w:val="0"/>
                <w:sz w:val="18"/>
                <w:szCs w:val="24"/>
              </w:rPr>
            </w:pPr>
            <w:r w:rsidRPr="00355DD5">
              <w:rPr>
                <w:rStyle w:val="Emphasis"/>
                <w:rFonts w:cs="Calibri"/>
                <w:sz w:val="18"/>
                <w:szCs w:val="24"/>
              </w:rPr>
              <w:t>(Must be signed by Clinician and include Diagnoses and Procedures)</w:t>
            </w:r>
          </w:p>
        </w:tc>
      </w:tr>
      <w:tr w:rsidR="000235A6" w:rsidRPr="0080357D" w14:paraId="38533B2B" w14:textId="77777777" w:rsidTr="000235A6">
        <w:tc>
          <w:tcPr>
            <w:tcW w:w="3936" w:type="dxa"/>
          </w:tcPr>
          <w:p w14:paraId="5DE4D0D1" w14:textId="77777777" w:rsidR="000235A6" w:rsidRPr="00355DD5" w:rsidRDefault="000235A6" w:rsidP="003763D3">
            <w:pPr>
              <w:rPr>
                <w:rStyle w:val="Emphasis"/>
                <w:rFonts w:cs="Calibri"/>
                <w:i w:val="0"/>
                <w:sz w:val="22"/>
                <w:szCs w:val="24"/>
              </w:rPr>
            </w:pPr>
            <w:r w:rsidRPr="00355DD5">
              <w:rPr>
                <w:rStyle w:val="Emphasis"/>
                <w:rFonts w:cs="Calibri"/>
                <w:sz w:val="22"/>
                <w:szCs w:val="24"/>
              </w:rPr>
              <w:t>Statistical Discharges</w:t>
            </w:r>
          </w:p>
          <w:p w14:paraId="2E2BD52B" w14:textId="77777777" w:rsidR="000235A6" w:rsidRPr="00355DD5" w:rsidRDefault="000235A6" w:rsidP="003763D3">
            <w:pPr>
              <w:rPr>
                <w:rStyle w:val="Emphasis"/>
                <w:rFonts w:cs="Calibri"/>
                <w:i w:val="0"/>
                <w:sz w:val="22"/>
                <w:szCs w:val="24"/>
              </w:rPr>
            </w:pPr>
            <w:r w:rsidRPr="00355DD5">
              <w:rPr>
                <w:rStyle w:val="Emphasis"/>
                <w:rFonts w:cs="Calibri"/>
                <w:sz w:val="20"/>
                <w:szCs w:val="24"/>
              </w:rPr>
              <w:t>Where patient remains in hospital in a new episode of care with diff</w:t>
            </w:r>
            <w:r>
              <w:rPr>
                <w:rStyle w:val="Emphasis"/>
                <w:rFonts w:cs="Calibri"/>
                <w:sz w:val="20"/>
                <w:szCs w:val="24"/>
              </w:rPr>
              <w:t>erent</w:t>
            </w:r>
            <w:r w:rsidRPr="00355DD5">
              <w:rPr>
                <w:rStyle w:val="Emphasis"/>
                <w:rFonts w:cs="Calibri"/>
                <w:sz w:val="20"/>
                <w:szCs w:val="24"/>
              </w:rPr>
              <w:t xml:space="preserve"> </w:t>
            </w:r>
            <w:r>
              <w:rPr>
                <w:rStyle w:val="Emphasis"/>
                <w:rFonts w:cs="Calibri"/>
                <w:sz w:val="20"/>
                <w:szCs w:val="24"/>
              </w:rPr>
              <w:t>C</w:t>
            </w:r>
            <w:r w:rsidRPr="00355DD5">
              <w:rPr>
                <w:rStyle w:val="Emphasis"/>
                <w:rFonts w:cs="Calibri"/>
                <w:sz w:val="20"/>
                <w:szCs w:val="24"/>
              </w:rPr>
              <w:t xml:space="preserve">are </w:t>
            </w:r>
            <w:r>
              <w:rPr>
                <w:rStyle w:val="Emphasis"/>
                <w:rFonts w:cs="Calibri"/>
                <w:sz w:val="20"/>
                <w:szCs w:val="24"/>
              </w:rPr>
              <w:t>T</w:t>
            </w:r>
            <w:r w:rsidRPr="00355DD5">
              <w:rPr>
                <w:rStyle w:val="Emphasis"/>
                <w:rFonts w:cs="Calibri"/>
                <w:sz w:val="20"/>
                <w:szCs w:val="24"/>
              </w:rPr>
              <w:t>ype</w:t>
            </w:r>
          </w:p>
        </w:tc>
        <w:tc>
          <w:tcPr>
            <w:tcW w:w="5131" w:type="dxa"/>
          </w:tcPr>
          <w:p w14:paraId="629D9408" w14:textId="77777777" w:rsidR="000235A6" w:rsidRPr="00355DD5" w:rsidRDefault="000235A6" w:rsidP="003763D3">
            <w:pPr>
              <w:rPr>
                <w:rStyle w:val="Emphasis"/>
                <w:rFonts w:cs="Calibri"/>
                <w:i w:val="0"/>
                <w:sz w:val="22"/>
                <w:szCs w:val="24"/>
              </w:rPr>
            </w:pPr>
            <w:r w:rsidRPr="00355DD5">
              <w:rPr>
                <w:rStyle w:val="Emphasis"/>
                <w:rFonts w:cs="Calibri"/>
                <w:sz w:val="22"/>
                <w:szCs w:val="24"/>
              </w:rPr>
              <w:t xml:space="preserve">Notification of Care Type Change </w:t>
            </w:r>
          </w:p>
          <w:p w14:paraId="5244E6B3" w14:textId="77777777" w:rsidR="000235A6" w:rsidRPr="00355DD5" w:rsidRDefault="000235A6" w:rsidP="003763D3">
            <w:pPr>
              <w:rPr>
                <w:rStyle w:val="Emphasis"/>
                <w:rFonts w:cs="Calibri"/>
                <w:i w:val="0"/>
                <w:sz w:val="22"/>
                <w:szCs w:val="24"/>
              </w:rPr>
            </w:pPr>
            <w:r w:rsidRPr="00355DD5">
              <w:rPr>
                <w:rStyle w:val="Emphasis"/>
                <w:rFonts w:cs="Calibri"/>
                <w:sz w:val="18"/>
                <w:szCs w:val="24"/>
              </w:rPr>
              <w:t>(Must be signed by Clini</w:t>
            </w:r>
            <w:r>
              <w:rPr>
                <w:rStyle w:val="Emphasis"/>
                <w:rFonts w:cs="Calibri"/>
                <w:sz w:val="18"/>
                <w:szCs w:val="24"/>
              </w:rPr>
              <w:t xml:space="preserve">cian and include Diagnoses and </w:t>
            </w:r>
            <w:r w:rsidRPr="00355DD5">
              <w:rPr>
                <w:rStyle w:val="Emphasis"/>
                <w:rFonts w:cs="Calibri"/>
                <w:sz w:val="18"/>
                <w:szCs w:val="24"/>
              </w:rPr>
              <w:t>Procedures)</w:t>
            </w:r>
          </w:p>
        </w:tc>
      </w:tr>
    </w:tbl>
    <w:p w14:paraId="6C11A7CD" w14:textId="77777777" w:rsidR="000235A6" w:rsidRDefault="000235A6" w:rsidP="000235A6">
      <w:pPr>
        <w:tabs>
          <w:tab w:val="left" w:pos="3480"/>
        </w:tabs>
        <w:rPr>
          <w:sz w:val="20"/>
        </w:rPr>
      </w:pPr>
    </w:p>
    <w:p w14:paraId="6FF612D2" w14:textId="77777777" w:rsidR="000235A6" w:rsidRDefault="000235A6" w:rsidP="000235A6">
      <w:pPr>
        <w:tabs>
          <w:tab w:val="left" w:pos="3480"/>
        </w:tabs>
        <w:rPr>
          <w:sz w:val="20"/>
        </w:rPr>
      </w:pPr>
      <w:r>
        <w:rPr>
          <w:sz w:val="20"/>
        </w:rPr>
        <w:t>Abbreviations</w:t>
      </w:r>
    </w:p>
    <w:p w14:paraId="5B727E4E"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BOS – Birth Outcome System</w:t>
      </w:r>
      <w:r>
        <w:rPr>
          <w:rStyle w:val="Emphasis"/>
          <w:rFonts w:cs="Calibri"/>
          <w:sz w:val="18"/>
          <w:szCs w:val="18"/>
        </w:rPr>
        <w:tab/>
      </w:r>
      <w:r>
        <w:rPr>
          <w:rStyle w:val="Emphasis"/>
          <w:rFonts w:cs="Calibri"/>
          <w:sz w:val="18"/>
          <w:szCs w:val="18"/>
        </w:rPr>
        <w:tab/>
      </w:r>
      <w:r>
        <w:rPr>
          <w:rStyle w:val="Emphasis"/>
          <w:rFonts w:cs="Calibri"/>
          <w:sz w:val="18"/>
          <w:szCs w:val="18"/>
        </w:rPr>
        <w:tab/>
      </w:r>
      <w:r>
        <w:rPr>
          <w:rStyle w:val="Emphasis"/>
          <w:rFonts w:cs="Calibri"/>
          <w:sz w:val="18"/>
          <w:szCs w:val="18"/>
        </w:rPr>
        <w:tab/>
      </w:r>
      <w:r w:rsidRPr="00BD1424">
        <w:rPr>
          <w:rStyle w:val="Emphasis"/>
          <w:rFonts w:cs="Calibri"/>
          <w:sz w:val="18"/>
          <w:szCs w:val="18"/>
        </w:rPr>
        <w:t>NICU – Neonatal Intensive Care Unit</w:t>
      </w:r>
    </w:p>
    <w:p w14:paraId="126AD1FE" w14:textId="59010F3D" w:rsidR="000235A6" w:rsidRPr="00BD1424" w:rsidRDefault="000235A6" w:rsidP="000235A6">
      <w:pPr>
        <w:tabs>
          <w:tab w:val="left" w:pos="3480"/>
        </w:tabs>
        <w:rPr>
          <w:rFonts w:eastAsiaTheme="minorHAnsi" w:cs="Calibri"/>
          <w:sz w:val="18"/>
          <w:szCs w:val="18"/>
        </w:rPr>
      </w:pPr>
      <w:r w:rsidRPr="00BD1424">
        <w:rPr>
          <w:rFonts w:eastAsiaTheme="minorHAnsi" w:cs="Calibri"/>
          <w:sz w:val="18"/>
          <w:szCs w:val="18"/>
        </w:rPr>
        <w:t xml:space="preserve">CCU – Coronary Care Unit </w:t>
      </w:r>
      <w:r>
        <w:rPr>
          <w:rFonts w:eastAsiaTheme="minorHAnsi" w:cs="Calibri"/>
          <w:sz w:val="18"/>
          <w:szCs w:val="18"/>
        </w:rPr>
        <w:tab/>
      </w:r>
      <w:r>
        <w:rPr>
          <w:rFonts w:eastAsiaTheme="minorHAnsi" w:cs="Calibri"/>
          <w:sz w:val="18"/>
          <w:szCs w:val="18"/>
        </w:rPr>
        <w:tab/>
      </w:r>
      <w:r>
        <w:rPr>
          <w:rFonts w:eastAsiaTheme="minorHAnsi" w:cs="Calibri"/>
          <w:sz w:val="18"/>
          <w:szCs w:val="18"/>
        </w:rPr>
        <w:tab/>
      </w:r>
      <w:r>
        <w:rPr>
          <w:rFonts w:eastAsiaTheme="minorHAnsi" w:cs="Calibri"/>
          <w:sz w:val="18"/>
          <w:szCs w:val="18"/>
        </w:rPr>
        <w:tab/>
      </w:r>
      <w:r w:rsidRPr="00BD1424">
        <w:rPr>
          <w:rStyle w:val="Emphasis"/>
          <w:rFonts w:cs="Calibri"/>
          <w:sz w:val="18"/>
          <w:szCs w:val="18"/>
        </w:rPr>
        <w:t>SCN - Special Care Nursery</w:t>
      </w:r>
    </w:p>
    <w:p w14:paraId="2706C282" w14:textId="2D26B59C" w:rsidR="000235A6" w:rsidRPr="000235A6" w:rsidRDefault="000235A6" w:rsidP="000235A6">
      <w:pPr>
        <w:tabs>
          <w:tab w:val="left" w:pos="3480"/>
        </w:tabs>
        <w:rPr>
          <w:rFonts w:cs="Calibri"/>
          <w:iCs/>
          <w:sz w:val="18"/>
          <w:szCs w:val="18"/>
        </w:rPr>
      </w:pPr>
      <w:r w:rsidRPr="00BD1424">
        <w:rPr>
          <w:rFonts w:eastAsiaTheme="minorHAnsi" w:cs="Calibri"/>
          <w:sz w:val="18"/>
          <w:szCs w:val="18"/>
        </w:rPr>
        <w:t>CLD – Cardiac Catheter Laboratory Day</w:t>
      </w:r>
      <w:r>
        <w:rPr>
          <w:rFonts w:eastAsiaTheme="minorHAnsi" w:cs="Calibri"/>
          <w:sz w:val="18"/>
          <w:szCs w:val="18"/>
        </w:rPr>
        <w:t xml:space="preserve"> Unit</w:t>
      </w:r>
      <w:r>
        <w:rPr>
          <w:rFonts w:eastAsiaTheme="minorHAnsi" w:cs="Calibri"/>
          <w:sz w:val="18"/>
          <w:szCs w:val="18"/>
        </w:rPr>
        <w:tab/>
      </w:r>
      <w:r>
        <w:rPr>
          <w:rFonts w:eastAsiaTheme="minorHAnsi" w:cs="Calibri"/>
          <w:sz w:val="18"/>
          <w:szCs w:val="18"/>
        </w:rPr>
        <w:tab/>
      </w:r>
      <w:r>
        <w:rPr>
          <w:rFonts w:eastAsiaTheme="minorHAnsi" w:cs="Calibri"/>
          <w:sz w:val="18"/>
          <w:szCs w:val="18"/>
        </w:rPr>
        <w:tab/>
      </w:r>
      <w:r>
        <w:rPr>
          <w:rFonts w:eastAsiaTheme="minorHAnsi" w:cs="Calibri"/>
          <w:sz w:val="18"/>
          <w:szCs w:val="18"/>
        </w:rPr>
        <w:tab/>
      </w:r>
      <w:r>
        <w:rPr>
          <w:rStyle w:val="Emphasis"/>
          <w:rFonts w:cs="Calibri"/>
          <w:sz w:val="18"/>
          <w:szCs w:val="18"/>
        </w:rPr>
        <w:t>THE</w:t>
      </w:r>
      <w:r w:rsidRPr="00BD1424">
        <w:rPr>
          <w:rStyle w:val="Emphasis"/>
          <w:rFonts w:cs="Calibri"/>
          <w:sz w:val="18"/>
          <w:szCs w:val="18"/>
        </w:rPr>
        <w:t xml:space="preserve"> – </w:t>
      </w:r>
      <w:r>
        <w:rPr>
          <w:rStyle w:val="Emphasis"/>
          <w:rFonts w:cs="Calibri"/>
          <w:sz w:val="18"/>
          <w:szCs w:val="18"/>
        </w:rPr>
        <w:t>Theatre Ward</w:t>
      </w:r>
      <w:r w:rsidRPr="00BD1424">
        <w:rPr>
          <w:rStyle w:val="Emphasis"/>
          <w:rFonts w:cs="Calibri"/>
          <w:sz w:val="18"/>
          <w:szCs w:val="18"/>
        </w:rPr>
        <w:t xml:space="preserve"> </w:t>
      </w:r>
    </w:p>
    <w:p w14:paraId="4960C8C5" w14:textId="77777777" w:rsidR="000235A6" w:rsidRPr="00BD1424" w:rsidRDefault="000235A6" w:rsidP="000235A6">
      <w:pPr>
        <w:autoSpaceDE w:val="0"/>
        <w:autoSpaceDN w:val="0"/>
        <w:adjustRightInd w:val="0"/>
        <w:rPr>
          <w:rFonts w:eastAsiaTheme="minorHAnsi" w:cs="Calibri"/>
          <w:sz w:val="18"/>
          <w:szCs w:val="18"/>
        </w:rPr>
      </w:pPr>
      <w:r w:rsidRPr="00BD1424">
        <w:rPr>
          <w:rFonts w:eastAsiaTheme="minorHAnsi" w:cs="Calibri"/>
          <w:sz w:val="18"/>
          <w:szCs w:val="18"/>
        </w:rPr>
        <w:t>CPE – Chest Pain Evaluation</w:t>
      </w:r>
    </w:p>
    <w:p w14:paraId="21031BB7"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ED – Emergency Department</w:t>
      </w:r>
    </w:p>
    <w:p w14:paraId="0F4AEF69"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EDS – Extended Day Surgery</w:t>
      </w:r>
    </w:p>
    <w:p w14:paraId="48CF3DE6"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EMU – Emergency Medical Unit</w:t>
      </w:r>
    </w:p>
    <w:p w14:paraId="51868795"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 xml:space="preserve">ERCP – Endoscopic Retrograde </w:t>
      </w:r>
      <w:proofErr w:type="spellStart"/>
      <w:r w:rsidRPr="00BD1424">
        <w:rPr>
          <w:rStyle w:val="Emphasis"/>
          <w:rFonts w:cs="Calibri"/>
          <w:sz w:val="18"/>
          <w:szCs w:val="18"/>
        </w:rPr>
        <w:t>Cholangio-Pancreatogram</w:t>
      </w:r>
      <w:proofErr w:type="spellEnd"/>
    </w:p>
    <w:p w14:paraId="310C2F9A"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 xml:space="preserve">GAS – Gastroenterology </w:t>
      </w:r>
    </w:p>
    <w:p w14:paraId="3B8B03EF"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 xml:space="preserve">HITH- Hospital </w:t>
      </w:r>
      <w:proofErr w:type="gramStart"/>
      <w:r w:rsidRPr="00BD1424">
        <w:rPr>
          <w:rStyle w:val="Emphasis"/>
          <w:rFonts w:cs="Calibri"/>
          <w:sz w:val="18"/>
          <w:szCs w:val="18"/>
        </w:rPr>
        <w:t>In</w:t>
      </w:r>
      <w:proofErr w:type="gramEnd"/>
      <w:r w:rsidRPr="00BD1424">
        <w:rPr>
          <w:rStyle w:val="Emphasis"/>
          <w:rFonts w:cs="Calibri"/>
          <w:sz w:val="18"/>
          <w:szCs w:val="18"/>
        </w:rPr>
        <w:t xml:space="preserve"> </w:t>
      </w:r>
      <w:r>
        <w:rPr>
          <w:rStyle w:val="Emphasis"/>
          <w:rFonts w:cs="Calibri"/>
          <w:sz w:val="18"/>
          <w:szCs w:val="18"/>
        </w:rPr>
        <w:t>T</w:t>
      </w:r>
      <w:r w:rsidRPr="00BD1424">
        <w:rPr>
          <w:rStyle w:val="Emphasis"/>
          <w:rFonts w:cs="Calibri"/>
          <w:sz w:val="18"/>
          <w:szCs w:val="18"/>
        </w:rPr>
        <w:t xml:space="preserve">he Home </w:t>
      </w:r>
    </w:p>
    <w:p w14:paraId="5F22AB42" w14:textId="77777777" w:rsidR="000235A6" w:rsidRPr="00BD1424" w:rsidRDefault="000235A6" w:rsidP="000235A6">
      <w:pPr>
        <w:tabs>
          <w:tab w:val="left" w:pos="3480"/>
        </w:tabs>
        <w:rPr>
          <w:rStyle w:val="Emphasis"/>
          <w:rFonts w:cs="Calibri"/>
          <w:i w:val="0"/>
          <w:sz w:val="18"/>
          <w:szCs w:val="18"/>
        </w:rPr>
      </w:pPr>
      <w:r w:rsidRPr="00BD1424">
        <w:rPr>
          <w:rStyle w:val="Emphasis"/>
          <w:rFonts w:cs="Calibri"/>
          <w:sz w:val="18"/>
          <w:szCs w:val="18"/>
        </w:rPr>
        <w:t xml:space="preserve">MDU - Medical Day Unit </w:t>
      </w:r>
    </w:p>
    <w:p w14:paraId="6C8A93AE" w14:textId="67DCB0EE" w:rsidR="00395E36" w:rsidRDefault="000235A6" w:rsidP="000235A6">
      <w:pPr>
        <w:autoSpaceDE w:val="0"/>
        <w:autoSpaceDN w:val="0"/>
        <w:adjustRightInd w:val="0"/>
        <w:rPr>
          <w:rFonts w:cs="Arial"/>
          <w:szCs w:val="24"/>
        </w:rPr>
      </w:pPr>
      <w:r w:rsidRPr="00BD1424">
        <w:rPr>
          <w:rStyle w:val="Emphasis"/>
          <w:rFonts w:cs="Calibri"/>
          <w:sz w:val="18"/>
          <w:szCs w:val="18"/>
        </w:rPr>
        <w:t>MAJICeR -</w:t>
      </w:r>
      <w:r w:rsidRPr="00BD1424">
        <w:rPr>
          <w:rFonts w:cs="Calibri"/>
          <w:sz w:val="18"/>
          <w:szCs w:val="18"/>
          <w:lang w:eastAsia="en-AU"/>
        </w:rPr>
        <w:t xml:space="preserve"> Mental Health, Alcohol and Drug and Justice Integrated Care </w:t>
      </w:r>
      <w:proofErr w:type="gramStart"/>
      <w:r w:rsidRPr="00BD1424">
        <w:rPr>
          <w:rFonts w:cs="Calibri"/>
          <w:sz w:val="18"/>
          <w:szCs w:val="18"/>
          <w:lang w:eastAsia="en-AU"/>
        </w:rPr>
        <w:t>electronic</w:t>
      </w:r>
      <w:proofErr w:type="gramEnd"/>
      <w:r w:rsidRPr="00BD1424">
        <w:rPr>
          <w:rFonts w:cs="Calibri"/>
          <w:sz w:val="18"/>
          <w:szCs w:val="18"/>
          <w:lang w:eastAsia="en-AU"/>
        </w:rPr>
        <w:t xml:space="preserve"> Record</w:t>
      </w:r>
    </w:p>
    <w:sectPr w:rsidR="00395E36" w:rsidSect="004213C3">
      <w:headerReference w:type="default" r:id="rId19"/>
      <w:footerReference w:type="default" r:id="rId20"/>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B9B2" w14:textId="77777777" w:rsidR="009A1BFC" w:rsidRDefault="009A1BFC" w:rsidP="00F66CB0">
      <w:r>
        <w:separator/>
      </w:r>
    </w:p>
  </w:endnote>
  <w:endnote w:type="continuationSeparator" w:id="0">
    <w:p w14:paraId="241A5B06" w14:textId="77777777" w:rsidR="009A1BFC" w:rsidRDefault="009A1BFC"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2205ED" w:rsidRPr="00AE7C5C" w14:paraId="2F51A914" w14:textId="77777777" w:rsidTr="005E1140">
      <w:tc>
        <w:tcPr>
          <w:tcW w:w="1515" w:type="dxa"/>
        </w:tcPr>
        <w:p w14:paraId="2F51A90E" w14:textId="77777777" w:rsidR="002205ED" w:rsidRPr="00B3752F" w:rsidRDefault="002205ED" w:rsidP="004213C3">
          <w:pPr>
            <w:pStyle w:val="Footer"/>
            <w:rPr>
              <w:rFonts w:cs="Arial"/>
              <w:b/>
              <w:bCs/>
              <w:i/>
              <w:sz w:val="20"/>
            </w:rPr>
          </w:pPr>
          <w:r w:rsidRPr="00B3752F">
            <w:rPr>
              <w:rFonts w:cs="Arial"/>
              <w:b/>
              <w:bCs/>
              <w:i/>
              <w:sz w:val="20"/>
            </w:rPr>
            <w:t>Doc Number</w:t>
          </w:r>
        </w:p>
      </w:tc>
      <w:tc>
        <w:tcPr>
          <w:tcW w:w="965" w:type="dxa"/>
        </w:tcPr>
        <w:p w14:paraId="2F51A90F" w14:textId="77777777" w:rsidR="002205ED" w:rsidRPr="00B3752F" w:rsidRDefault="002205ED" w:rsidP="004213C3">
          <w:pPr>
            <w:pStyle w:val="Footer"/>
            <w:rPr>
              <w:rFonts w:cs="Arial"/>
              <w:b/>
              <w:bCs/>
              <w:i/>
              <w:sz w:val="20"/>
            </w:rPr>
          </w:pPr>
          <w:r w:rsidRPr="00B3752F">
            <w:rPr>
              <w:rFonts w:cs="Arial"/>
              <w:b/>
              <w:bCs/>
              <w:i/>
              <w:sz w:val="20"/>
            </w:rPr>
            <w:t>Version</w:t>
          </w:r>
        </w:p>
      </w:tc>
      <w:tc>
        <w:tcPr>
          <w:tcW w:w="1552" w:type="dxa"/>
        </w:tcPr>
        <w:p w14:paraId="2F51A910" w14:textId="77777777" w:rsidR="002205ED" w:rsidRPr="00B3752F" w:rsidRDefault="002205ED" w:rsidP="004213C3">
          <w:pPr>
            <w:pStyle w:val="Footer"/>
            <w:rPr>
              <w:rFonts w:cs="Arial"/>
              <w:b/>
              <w:bCs/>
              <w:i/>
              <w:sz w:val="20"/>
            </w:rPr>
          </w:pPr>
          <w:r w:rsidRPr="00B3752F">
            <w:rPr>
              <w:rFonts w:cs="Arial"/>
              <w:b/>
              <w:bCs/>
              <w:i/>
              <w:sz w:val="20"/>
            </w:rPr>
            <w:t>Issued</w:t>
          </w:r>
        </w:p>
      </w:tc>
      <w:tc>
        <w:tcPr>
          <w:tcW w:w="1456" w:type="dxa"/>
        </w:tcPr>
        <w:p w14:paraId="2F51A911" w14:textId="77777777" w:rsidR="002205ED" w:rsidRPr="00B3752F" w:rsidRDefault="002205ED" w:rsidP="004213C3">
          <w:pPr>
            <w:pStyle w:val="Footer"/>
            <w:rPr>
              <w:rFonts w:cs="Arial"/>
              <w:b/>
              <w:bCs/>
              <w:i/>
              <w:sz w:val="20"/>
            </w:rPr>
          </w:pPr>
          <w:r w:rsidRPr="00B3752F">
            <w:rPr>
              <w:rFonts w:cs="Arial"/>
              <w:b/>
              <w:bCs/>
              <w:i/>
              <w:sz w:val="20"/>
            </w:rPr>
            <w:t>Review Date</w:t>
          </w:r>
        </w:p>
      </w:tc>
      <w:tc>
        <w:tcPr>
          <w:tcW w:w="1746" w:type="dxa"/>
        </w:tcPr>
        <w:p w14:paraId="2F51A912" w14:textId="77777777" w:rsidR="002205ED" w:rsidRPr="00B3752F" w:rsidRDefault="002205ED" w:rsidP="004213C3">
          <w:pPr>
            <w:pStyle w:val="Footer"/>
            <w:rPr>
              <w:rFonts w:cs="Arial"/>
              <w:b/>
              <w:bCs/>
              <w:i/>
              <w:sz w:val="20"/>
            </w:rPr>
          </w:pPr>
          <w:r w:rsidRPr="00B3752F">
            <w:rPr>
              <w:rFonts w:cs="Arial"/>
              <w:b/>
              <w:bCs/>
              <w:i/>
              <w:sz w:val="20"/>
            </w:rPr>
            <w:t>Area Responsible</w:t>
          </w:r>
        </w:p>
      </w:tc>
      <w:tc>
        <w:tcPr>
          <w:tcW w:w="1836" w:type="dxa"/>
        </w:tcPr>
        <w:p w14:paraId="2F51A913" w14:textId="77777777" w:rsidR="002205ED" w:rsidRPr="00B3752F" w:rsidRDefault="002205ED" w:rsidP="004213C3">
          <w:pPr>
            <w:pStyle w:val="Footer"/>
            <w:rPr>
              <w:rFonts w:cs="Arial"/>
              <w:b/>
              <w:bCs/>
              <w:i/>
              <w:sz w:val="20"/>
            </w:rPr>
          </w:pPr>
          <w:r w:rsidRPr="00B3752F">
            <w:rPr>
              <w:rFonts w:cs="Arial"/>
              <w:b/>
              <w:bCs/>
              <w:i/>
              <w:sz w:val="20"/>
            </w:rPr>
            <w:t>Page</w:t>
          </w:r>
        </w:p>
      </w:tc>
    </w:tr>
    <w:tr w:rsidR="002205ED" w14:paraId="2F51A91B" w14:textId="77777777" w:rsidTr="005E1140">
      <w:tc>
        <w:tcPr>
          <w:tcW w:w="1515" w:type="dxa"/>
        </w:tcPr>
        <w:p w14:paraId="2F51A915" w14:textId="6E0DA9FF" w:rsidR="002205ED" w:rsidRPr="00542EE6" w:rsidRDefault="00A551A8" w:rsidP="004213C3">
          <w:pPr>
            <w:pStyle w:val="Footer"/>
            <w:rPr>
              <w:rFonts w:cs="Arial"/>
              <w:b/>
              <w:bCs/>
              <w:sz w:val="20"/>
            </w:rPr>
          </w:pPr>
          <w:r>
            <w:rPr>
              <w:b/>
              <w:sz w:val="20"/>
            </w:rPr>
            <w:t>CHS21/406</w:t>
          </w:r>
        </w:p>
      </w:tc>
      <w:tc>
        <w:tcPr>
          <w:tcW w:w="965" w:type="dxa"/>
        </w:tcPr>
        <w:p w14:paraId="2F51A916" w14:textId="27B2ADD3" w:rsidR="002205ED" w:rsidRPr="00B3752F" w:rsidRDefault="00A551A8" w:rsidP="004213C3">
          <w:pPr>
            <w:pStyle w:val="Footer"/>
            <w:rPr>
              <w:rFonts w:cs="Arial"/>
              <w:b/>
              <w:bCs/>
              <w:sz w:val="20"/>
            </w:rPr>
          </w:pPr>
          <w:r>
            <w:rPr>
              <w:rFonts w:cs="Arial"/>
              <w:b/>
              <w:bCs/>
              <w:sz w:val="20"/>
            </w:rPr>
            <w:t>1</w:t>
          </w:r>
        </w:p>
      </w:tc>
      <w:tc>
        <w:tcPr>
          <w:tcW w:w="1552" w:type="dxa"/>
        </w:tcPr>
        <w:p w14:paraId="2F51A917" w14:textId="030F0BA9" w:rsidR="002205ED" w:rsidRPr="00B3752F" w:rsidRDefault="00A551A8" w:rsidP="004213C3">
          <w:pPr>
            <w:pStyle w:val="Footer"/>
            <w:rPr>
              <w:rFonts w:cs="Arial"/>
              <w:b/>
              <w:bCs/>
              <w:sz w:val="20"/>
            </w:rPr>
          </w:pPr>
          <w:r>
            <w:rPr>
              <w:rFonts w:cs="Arial"/>
              <w:b/>
              <w:bCs/>
              <w:sz w:val="20"/>
            </w:rPr>
            <w:t>09/07/2021</w:t>
          </w:r>
        </w:p>
      </w:tc>
      <w:tc>
        <w:tcPr>
          <w:tcW w:w="1456" w:type="dxa"/>
        </w:tcPr>
        <w:p w14:paraId="2F51A918" w14:textId="6EB9DAB4" w:rsidR="002205ED" w:rsidRPr="00B3752F" w:rsidRDefault="00A551A8" w:rsidP="004213C3">
          <w:pPr>
            <w:pStyle w:val="Footer"/>
            <w:rPr>
              <w:rFonts w:cs="Arial"/>
              <w:b/>
              <w:bCs/>
              <w:sz w:val="20"/>
            </w:rPr>
          </w:pPr>
          <w:r>
            <w:rPr>
              <w:rFonts w:cs="Arial"/>
              <w:b/>
              <w:bCs/>
              <w:sz w:val="20"/>
            </w:rPr>
            <w:t>01/08/2025</w:t>
          </w:r>
        </w:p>
      </w:tc>
      <w:tc>
        <w:tcPr>
          <w:tcW w:w="1746" w:type="dxa"/>
        </w:tcPr>
        <w:p w14:paraId="2F51A919" w14:textId="20AD2D1C" w:rsidR="002205ED" w:rsidRPr="00B3752F" w:rsidRDefault="00A551A8" w:rsidP="004213C3">
          <w:pPr>
            <w:pStyle w:val="Footer"/>
            <w:rPr>
              <w:rFonts w:cs="Arial"/>
              <w:b/>
              <w:bCs/>
              <w:sz w:val="20"/>
            </w:rPr>
          </w:pPr>
          <w:r>
            <w:rPr>
              <w:rFonts w:cs="Arial"/>
              <w:b/>
              <w:bCs/>
              <w:sz w:val="20"/>
            </w:rPr>
            <w:t>FBI</w:t>
          </w:r>
        </w:p>
      </w:tc>
      <w:tc>
        <w:tcPr>
          <w:tcW w:w="1836" w:type="dxa"/>
        </w:tcPr>
        <w:p w14:paraId="2F51A91A" w14:textId="77777777" w:rsidR="002205ED" w:rsidRPr="00B3752F" w:rsidRDefault="002205ED"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2205ED" w14:paraId="668DA41F" w14:textId="77777777" w:rsidTr="003763D3">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2205ED" w:rsidRPr="002C1428" w:rsidRDefault="002205ED"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2205ED" w:rsidRPr="00AE7C5C" w:rsidRDefault="002205ED"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B0A7" w14:textId="77777777" w:rsidR="009A1BFC" w:rsidRDefault="009A1BFC" w:rsidP="00F66CB0">
      <w:r>
        <w:separator/>
      </w:r>
    </w:p>
  </w:footnote>
  <w:footnote w:type="continuationSeparator" w:id="0">
    <w:p w14:paraId="0F1CB588" w14:textId="77777777" w:rsidR="009A1BFC" w:rsidRDefault="009A1BFC"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2205ED" w14:paraId="2F51A90C" w14:textId="77777777" w:rsidTr="0074223E">
      <w:trPr>
        <w:trHeight w:val="1418"/>
      </w:trPr>
      <w:tc>
        <w:tcPr>
          <w:tcW w:w="5556" w:type="dxa"/>
          <w:vAlign w:val="center"/>
          <w:hideMark/>
        </w:tcPr>
        <w:p w14:paraId="2F51A90A" w14:textId="5F72D3B6" w:rsidR="002205ED" w:rsidRDefault="002205ED"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2315BB21" w:rsidR="002205ED" w:rsidRDefault="002205ED">
          <w:pPr>
            <w:pStyle w:val="Header"/>
            <w:tabs>
              <w:tab w:val="left" w:pos="720"/>
            </w:tabs>
            <w:jc w:val="right"/>
            <w:rPr>
              <w:sz w:val="20"/>
            </w:rPr>
          </w:pPr>
          <w:bookmarkStart w:id="39" w:name="_top"/>
          <w:bookmarkEnd w:id="39"/>
          <w:r>
            <w:rPr>
              <w:sz w:val="20"/>
            </w:rPr>
            <w:t>CHS</w:t>
          </w:r>
          <w:r w:rsidR="00A551A8">
            <w:rPr>
              <w:sz w:val="20"/>
            </w:rPr>
            <w:t>21/406</w:t>
          </w:r>
        </w:p>
      </w:tc>
    </w:tr>
  </w:tbl>
  <w:p w14:paraId="2F51A90D" w14:textId="77777777" w:rsidR="002205ED" w:rsidRPr="00FC3538" w:rsidRDefault="002205E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A60D63"/>
    <w:multiLevelType w:val="hybridMultilevel"/>
    <w:tmpl w:val="6166EB8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02367C8A"/>
    <w:multiLevelType w:val="hybridMultilevel"/>
    <w:tmpl w:val="2B6E9D0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4" w15:restartNumberingAfterBreak="0">
    <w:nsid w:val="1109310C"/>
    <w:multiLevelType w:val="hybridMultilevel"/>
    <w:tmpl w:val="C6844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80A92"/>
    <w:multiLevelType w:val="hybridMultilevel"/>
    <w:tmpl w:val="61882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C3908"/>
    <w:multiLevelType w:val="hybridMultilevel"/>
    <w:tmpl w:val="42761D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2C61AC"/>
    <w:multiLevelType w:val="hybridMultilevel"/>
    <w:tmpl w:val="9AEAAF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0B413B"/>
    <w:multiLevelType w:val="hybridMultilevel"/>
    <w:tmpl w:val="6916C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E1672"/>
    <w:multiLevelType w:val="hybridMultilevel"/>
    <w:tmpl w:val="A24CD8C4"/>
    <w:lvl w:ilvl="0" w:tplc="8238453C">
      <w:numFmt w:val="bullet"/>
      <w:lvlText w:val="-"/>
      <w:lvlJc w:val="left"/>
      <w:pPr>
        <w:ind w:left="2110" w:hanging="360"/>
      </w:pPr>
      <w:rPr>
        <w:rFonts w:ascii="Calibri" w:eastAsia="Times New Roman" w:hAnsi="Calibri" w:cs="Calibri" w:hint="default"/>
        <w:sz w:val="20"/>
      </w:rPr>
    </w:lvl>
    <w:lvl w:ilvl="1" w:tplc="0C090003" w:tentative="1">
      <w:start w:val="1"/>
      <w:numFmt w:val="bullet"/>
      <w:lvlText w:val="o"/>
      <w:lvlJc w:val="left"/>
      <w:pPr>
        <w:ind w:left="2830" w:hanging="360"/>
      </w:pPr>
      <w:rPr>
        <w:rFonts w:ascii="Courier New" w:hAnsi="Courier New" w:cs="Courier New" w:hint="default"/>
      </w:rPr>
    </w:lvl>
    <w:lvl w:ilvl="2" w:tplc="0C090005" w:tentative="1">
      <w:start w:val="1"/>
      <w:numFmt w:val="bullet"/>
      <w:lvlText w:val=""/>
      <w:lvlJc w:val="left"/>
      <w:pPr>
        <w:ind w:left="3550" w:hanging="360"/>
      </w:pPr>
      <w:rPr>
        <w:rFonts w:ascii="Wingdings" w:hAnsi="Wingdings" w:hint="default"/>
      </w:rPr>
    </w:lvl>
    <w:lvl w:ilvl="3" w:tplc="0C090001" w:tentative="1">
      <w:start w:val="1"/>
      <w:numFmt w:val="bullet"/>
      <w:lvlText w:val=""/>
      <w:lvlJc w:val="left"/>
      <w:pPr>
        <w:ind w:left="4270" w:hanging="360"/>
      </w:pPr>
      <w:rPr>
        <w:rFonts w:ascii="Symbol" w:hAnsi="Symbol" w:hint="default"/>
      </w:rPr>
    </w:lvl>
    <w:lvl w:ilvl="4" w:tplc="0C090003" w:tentative="1">
      <w:start w:val="1"/>
      <w:numFmt w:val="bullet"/>
      <w:lvlText w:val="o"/>
      <w:lvlJc w:val="left"/>
      <w:pPr>
        <w:ind w:left="4990" w:hanging="360"/>
      </w:pPr>
      <w:rPr>
        <w:rFonts w:ascii="Courier New" w:hAnsi="Courier New" w:cs="Courier New" w:hint="default"/>
      </w:rPr>
    </w:lvl>
    <w:lvl w:ilvl="5" w:tplc="0C090005" w:tentative="1">
      <w:start w:val="1"/>
      <w:numFmt w:val="bullet"/>
      <w:lvlText w:val=""/>
      <w:lvlJc w:val="left"/>
      <w:pPr>
        <w:ind w:left="5710" w:hanging="360"/>
      </w:pPr>
      <w:rPr>
        <w:rFonts w:ascii="Wingdings" w:hAnsi="Wingdings" w:hint="default"/>
      </w:rPr>
    </w:lvl>
    <w:lvl w:ilvl="6" w:tplc="0C090001" w:tentative="1">
      <w:start w:val="1"/>
      <w:numFmt w:val="bullet"/>
      <w:lvlText w:val=""/>
      <w:lvlJc w:val="left"/>
      <w:pPr>
        <w:ind w:left="6430" w:hanging="360"/>
      </w:pPr>
      <w:rPr>
        <w:rFonts w:ascii="Symbol" w:hAnsi="Symbol" w:hint="default"/>
      </w:rPr>
    </w:lvl>
    <w:lvl w:ilvl="7" w:tplc="0C090003" w:tentative="1">
      <w:start w:val="1"/>
      <w:numFmt w:val="bullet"/>
      <w:lvlText w:val="o"/>
      <w:lvlJc w:val="left"/>
      <w:pPr>
        <w:ind w:left="7150" w:hanging="360"/>
      </w:pPr>
      <w:rPr>
        <w:rFonts w:ascii="Courier New" w:hAnsi="Courier New" w:cs="Courier New" w:hint="default"/>
      </w:rPr>
    </w:lvl>
    <w:lvl w:ilvl="8" w:tplc="0C090005" w:tentative="1">
      <w:start w:val="1"/>
      <w:numFmt w:val="bullet"/>
      <w:lvlText w:val=""/>
      <w:lvlJc w:val="left"/>
      <w:pPr>
        <w:ind w:left="7870" w:hanging="360"/>
      </w:pPr>
      <w:rPr>
        <w:rFonts w:ascii="Wingdings" w:hAnsi="Wingdings" w:hint="default"/>
      </w:rPr>
    </w:lvl>
  </w:abstractNum>
  <w:abstractNum w:abstractNumId="12"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4FFB1CFA"/>
    <w:multiLevelType w:val="hybridMultilevel"/>
    <w:tmpl w:val="E03AA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AF2E65"/>
    <w:multiLevelType w:val="hybridMultilevel"/>
    <w:tmpl w:val="FEE05CC6"/>
    <w:lvl w:ilvl="0" w:tplc="0C09000F">
      <w:start w:val="1"/>
      <w:numFmt w:val="decimal"/>
      <w:lvlText w:val="%1."/>
      <w:lvlJc w:val="left"/>
      <w:pPr>
        <w:ind w:left="360" w:hanging="360"/>
      </w:pPr>
    </w:lvl>
    <w:lvl w:ilvl="1" w:tplc="88C0BF1E">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2E3097"/>
    <w:multiLevelType w:val="hybridMultilevel"/>
    <w:tmpl w:val="A7CE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2D578E"/>
    <w:multiLevelType w:val="hybridMultilevel"/>
    <w:tmpl w:val="54362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6B68BB"/>
    <w:multiLevelType w:val="hybridMultilevel"/>
    <w:tmpl w:val="574454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B9A2F34"/>
    <w:multiLevelType w:val="hybridMultilevel"/>
    <w:tmpl w:val="52E4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534F3"/>
    <w:multiLevelType w:val="hybridMultilevel"/>
    <w:tmpl w:val="17FC814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B72F4A"/>
    <w:multiLevelType w:val="multilevel"/>
    <w:tmpl w:val="DBB66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22"/>
  </w:num>
  <w:num w:numId="4">
    <w:abstractNumId w:val="5"/>
  </w:num>
  <w:num w:numId="5">
    <w:abstractNumId w:val="7"/>
  </w:num>
  <w:num w:numId="6">
    <w:abstractNumId w:val="23"/>
  </w:num>
  <w:num w:numId="7">
    <w:abstractNumId w:val="13"/>
  </w:num>
  <w:num w:numId="8">
    <w:abstractNumId w:val="0"/>
  </w:num>
  <w:num w:numId="9">
    <w:abstractNumId w:val="0"/>
  </w:num>
  <w:num w:numId="10">
    <w:abstractNumId w:val="12"/>
  </w:num>
  <w:num w:numId="11">
    <w:abstractNumId w:val="6"/>
  </w:num>
  <w:num w:numId="12">
    <w:abstractNumId w:val="14"/>
  </w:num>
  <w:num w:numId="13">
    <w:abstractNumId w:val="4"/>
  </w:num>
  <w:num w:numId="14">
    <w:abstractNumId w:val="16"/>
  </w:num>
  <w:num w:numId="15">
    <w:abstractNumId w:val="9"/>
  </w:num>
  <w:num w:numId="16">
    <w:abstractNumId w:val="19"/>
  </w:num>
  <w:num w:numId="17">
    <w:abstractNumId w:val="10"/>
  </w:num>
  <w:num w:numId="18">
    <w:abstractNumId w:val="17"/>
  </w:num>
  <w:num w:numId="19">
    <w:abstractNumId w:val="2"/>
  </w:num>
  <w:num w:numId="20">
    <w:abstractNumId w:val="8"/>
  </w:num>
  <w:num w:numId="21">
    <w:abstractNumId w:val="20"/>
  </w:num>
  <w:num w:numId="22">
    <w:abstractNumId w:val="1"/>
  </w:num>
  <w:num w:numId="23">
    <w:abstractNumId w:val="11"/>
  </w:num>
  <w:num w:numId="24">
    <w:abstractNumId w:val="15"/>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17D1B"/>
    <w:rsid w:val="000235A6"/>
    <w:rsid w:val="000265C5"/>
    <w:rsid w:val="00086F20"/>
    <w:rsid w:val="00091AC9"/>
    <w:rsid w:val="00095ECD"/>
    <w:rsid w:val="000A7335"/>
    <w:rsid w:val="000B1620"/>
    <w:rsid w:val="000B5C8C"/>
    <w:rsid w:val="000B71ED"/>
    <w:rsid w:val="000C59E2"/>
    <w:rsid w:val="000C7B2D"/>
    <w:rsid w:val="000D1F46"/>
    <w:rsid w:val="000F7B7E"/>
    <w:rsid w:val="00103EEA"/>
    <w:rsid w:val="001115D7"/>
    <w:rsid w:val="0016023E"/>
    <w:rsid w:val="00191109"/>
    <w:rsid w:val="00191235"/>
    <w:rsid w:val="001926F4"/>
    <w:rsid w:val="001A0053"/>
    <w:rsid w:val="001A15CF"/>
    <w:rsid w:val="001B2465"/>
    <w:rsid w:val="001B3435"/>
    <w:rsid w:val="001D51CB"/>
    <w:rsid w:val="001F2A9B"/>
    <w:rsid w:val="001F6D2D"/>
    <w:rsid w:val="00200D04"/>
    <w:rsid w:val="00201FB6"/>
    <w:rsid w:val="002205ED"/>
    <w:rsid w:val="00222806"/>
    <w:rsid w:val="002240A7"/>
    <w:rsid w:val="0022719F"/>
    <w:rsid w:val="00227C9A"/>
    <w:rsid w:val="00231F81"/>
    <w:rsid w:val="002402A9"/>
    <w:rsid w:val="002405CF"/>
    <w:rsid w:val="00240B97"/>
    <w:rsid w:val="002446F9"/>
    <w:rsid w:val="0025382D"/>
    <w:rsid w:val="00263BA6"/>
    <w:rsid w:val="0027264D"/>
    <w:rsid w:val="00285D38"/>
    <w:rsid w:val="00293E43"/>
    <w:rsid w:val="00295CD5"/>
    <w:rsid w:val="002A1176"/>
    <w:rsid w:val="002A3C2B"/>
    <w:rsid w:val="002B5939"/>
    <w:rsid w:val="002B5F43"/>
    <w:rsid w:val="0030158D"/>
    <w:rsid w:val="00313707"/>
    <w:rsid w:val="0032270B"/>
    <w:rsid w:val="00337E7C"/>
    <w:rsid w:val="00351CD9"/>
    <w:rsid w:val="00353CBB"/>
    <w:rsid w:val="003542AE"/>
    <w:rsid w:val="00366924"/>
    <w:rsid w:val="003763D3"/>
    <w:rsid w:val="00376A6D"/>
    <w:rsid w:val="00380B98"/>
    <w:rsid w:val="00395E36"/>
    <w:rsid w:val="00396023"/>
    <w:rsid w:val="003C0D47"/>
    <w:rsid w:val="003C204E"/>
    <w:rsid w:val="003C4BB5"/>
    <w:rsid w:val="003E4CC0"/>
    <w:rsid w:val="003F3D8F"/>
    <w:rsid w:val="00410409"/>
    <w:rsid w:val="00412CED"/>
    <w:rsid w:val="00416751"/>
    <w:rsid w:val="00417EB5"/>
    <w:rsid w:val="00420F9E"/>
    <w:rsid w:val="004213C3"/>
    <w:rsid w:val="0042413C"/>
    <w:rsid w:val="004255CF"/>
    <w:rsid w:val="00427139"/>
    <w:rsid w:val="00431A1C"/>
    <w:rsid w:val="004358E9"/>
    <w:rsid w:val="004537B3"/>
    <w:rsid w:val="0048050C"/>
    <w:rsid w:val="00484FC1"/>
    <w:rsid w:val="00487DD5"/>
    <w:rsid w:val="004947A7"/>
    <w:rsid w:val="004A2E02"/>
    <w:rsid w:val="004B7C43"/>
    <w:rsid w:val="004C17A6"/>
    <w:rsid w:val="004C2B20"/>
    <w:rsid w:val="004D6932"/>
    <w:rsid w:val="004E28AD"/>
    <w:rsid w:val="004F0F49"/>
    <w:rsid w:val="004F1D05"/>
    <w:rsid w:val="004F2008"/>
    <w:rsid w:val="00505B5D"/>
    <w:rsid w:val="005067CA"/>
    <w:rsid w:val="0052443C"/>
    <w:rsid w:val="0052775E"/>
    <w:rsid w:val="005416F0"/>
    <w:rsid w:val="00542514"/>
    <w:rsid w:val="00546AED"/>
    <w:rsid w:val="00547EC7"/>
    <w:rsid w:val="005512EF"/>
    <w:rsid w:val="005621E4"/>
    <w:rsid w:val="00590902"/>
    <w:rsid w:val="00592A14"/>
    <w:rsid w:val="00596FD7"/>
    <w:rsid w:val="005A3625"/>
    <w:rsid w:val="005B4738"/>
    <w:rsid w:val="005C212D"/>
    <w:rsid w:val="005C3CB0"/>
    <w:rsid w:val="005E1140"/>
    <w:rsid w:val="005F3214"/>
    <w:rsid w:val="0060163E"/>
    <w:rsid w:val="00612231"/>
    <w:rsid w:val="00617D39"/>
    <w:rsid w:val="00623535"/>
    <w:rsid w:val="00635EB1"/>
    <w:rsid w:val="006473BB"/>
    <w:rsid w:val="0064766F"/>
    <w:rsid w:val="0066495D"/>
    <w:rsid w:val="00680567"/>
    <w:rsid w:val="00693E1B"/>
    <w:rsid w:val="00695EB6"/>
    <w:rsid w:val="006A3770"/>
    <w:rsid w:val="006A4D46"/>
    <w:rsid w:val="006A6024"/>
    <w:rsid w:val="006B78FB"/>
    <w:rsid w:val="006C31FF"/>
    <w:rsid w:val="006C6256"/>
    <w:rsid w:val="006C6B6C"/>
    <w:rsid w:val="006C704D"/>
    <w:rsid w:val="006D31A2"/>
    <w:rsid w:val="006E1323"/>
    <w:rsid w:val="0070331D"/>
    <w:rsid w:val="007052B1"/>
    <w:rsid w:val="00711BF4"/>
    <w:rsid w:val="00741B43"/>
    <w:rsid w:val="0074223E"/>
    <w:rsid w:val="00753423"/>
    <w:rsid w:val="007543AC"/>
    <w:rsid w:val="00756537"/>
    <w:rsid w:val="00756A2B"/>
    <w:rsid w:val="00793002"/>
    <w:rsid w:val="007A0EBC"/>
    <w:rsid w:val="007B27F1"/>
    <w:rsid w:val="007B4ABB"/>
    <w:rsid w:val="007B6904"/>
    <w:rsid w:val="007B7628"/>
    <w:rsid w:val="007C36E4"/>
    <w:rsid w:val="007D18DA"/>
    <w:rsid w:val="007F3C05"/>
    <w:rsid w:val="007F3D54"/>
    <w:rsid w:val="00810B5B"/>
    <w:rsid w:val="00812864"/>
    <w:rsid w:val="00816782"/>
    <w:rsid w:val="00821322"/>
    <w:rsid w:val="0082141D"/>
    <w:rsid w:val="00827F24"/>
    <w:rsid w:val="00845445"/>
    <w:rsid w:val="00855DA8"/>
    <w:rsid w:val="008611DB"/>
    <w:rsid w:val="00866000"/>
    <w:rsid w:val="008808D2"/>
    <w:rsid w:val="00886399"/>
    <w:rsid w:val="008974CA"/>
    <w:rsid w:val="008A04F7"/>
    <w:rsid w:val="008E00C2"/>
    <w:rsid w:val="008E1F7F"/>
    <w:rsid w:val="008F00E8"/>
    <w:rsid w:val="00906142"/>
    <w:rsid w:val="00931B93"/>
    <w:rsid w:val="00933EED"/>
    <w:rsid w:val="00940CDE"/>
    <w:rsid w:val="00962C46"/>
    <w:rsid w:val="0097742A"/>
    <w:rsid w:val="0097744F"/>
    <w:rsid w:val="00980EED"/>
    <w:rsid w:val="00991670"/>
    <w:rsid w:val="009A1BFC"/>
    <w:rsid w:val="009B6C8C"/>
    <w:rsid w:val="009C0FCA"/>
    <w:rsid w:val="009C3963"/>
    <w:rsid w:val="009D323C"/>
    <w:rsid w:val="009E08E1"/>
    <w:rsid w:val="009E70F4"/>
    <w:rsid w:val="00A35E2D"/>
    <w:rsid w:val="00A54CB3"/>
    <w:rsid w:val="00A551A8"/>
    <w:rsid w:val="00A664EA"/>
    <w:rsid w:val="00A70413"/>
    <w:rsid w:val="00A74B8A"/>
    <w:rsid w:val="00A85F61"/>
    <w:rsid w:val="00A86DB3"/>
    <w:rsid w:val="00A92E4F"/>
    <w:rsid w:val="00AA25DC"/>
    <w:rsid w:val="00AB50DD"/>
    <w:rsid w:val="00AC7025"/>
    <w:rsid w:val="00AD196F"/>
    <w:rsid w:val="00AD3CCE"/>
    <w:rsid w:val="00B0344C"/>
    <w:rsid w:val="00B07A46"/>
    <w:rsid w:val="00B07DCE"/>
    <w:rsid w:val="00B12123"/>
    <w:rsid w:val="00B21043"/>
    <w:rsid w:val="00B42EA0"/>
    <w:rsid w:val="00B44CAC"/>
    <w:rsid w:val="00B573D6"/>
    <w:rsid w:val="00B57C39"/>
    <w:rsid w:val="00B73E65"/>
    <w:rsid w:val="00B81455"/>
    <w:rsid w:val="00B847F6"/>
    <w:rsid w:val="00B9627F"/>
    <w:rsid w:val="00BA2415"/>
    <w:rsid w:val="00BA4DB2"/>
    <w:rsid w:val="00BA4F95"/>
    <w:rsid w:val="00BB33F9"/>
    <w:rsid w:val="00BC3CE6"/>
    <w:rsid w:val="00BE0F1D"/>
    <w:rsid w:val="00BE1B34"/>
    <w:rsid w:val="00BE5E41"/>
    <w:rsid w:val="00BE74F4"/>
    <w:rsid w:val="00BF078E"/>
    <w:rsid w:val="00C24EDC"/>
    <w:rsid w:val="00C25A76"/>
    <w:rsid w:val="00C31EB3"/>
    <w:rsid w:val="00C32206"/>
    <w:rsid w:val="00C422C8"/>
    <w:rsid w:val="00C45C67"/>
    <w:rsid w:val="00C47091"/>
    <w:rsid w:val="00C523FF"/>
    <w:rsid w:val="00C71C3C"/>
    <w:rsid w:val="00C76998"/>
    <w:rsid w:val="00C93E83"/>
    <w:rsid w:val="00C94580"/>
    <w:rsid w:val="00CA593D"/>
    <w:rsid w:val="00CC08CA"/>
    <w:rsid w:val="00CC5D11"/>
    <w:rsid w:val="00CD1505"/>
    <w:rsid w:val="00D203A2"/>
    <w:rsid w:val="00D21780"/>
    <w:rsid w:val="00D23346"/>
    <w:rsid w:val="00D243B8"/>
    <w:rsid w:val="00D34794"/>
    <w:rsid w:val="00D4206F"/>
    <w:rsid w:val="00D4502D"/>
    <w:rsid w:val="00D530CE"/>
    <w:rsid w:val="00D53E3C"/>
    <w:rsid w:val="00D77950"/>
    <w:rsid w:val="00D93D3B"/>
    <w:rsid w:val="00D97603"/>
    <w:rsid w:val="00DA1498"/>
    <w:rsid w:val="00DC3762"/>
    <w:rsid w:val="00DC5C47"/>
    <w:rsid w:val="00DD616A"/>
    <w:rsid w:val="00DE0465"/>
    <w:rsid w:val="00DE3D93"/>
    <w:rsid w:val="00DE4E25"/>
    <w:rsid w:val="00DF5D42"/>
    <w:rsid w:val="00E010A3"/>
    <w:rsid w:val="00E049ED"/>
    <w:rsid w:val="00E132EA"/>
    <w:rsid w:val="00E34E6D"/>
    <w:rsid w:val="00E37CD4"/>
    <w:rsid w:val="00E45F8F"/>
    <w:rsid w:val="00E57848"/>
    <w:rsid w:val="00E73459"/>
    <w:rsid w:val="00E750BF"/>
    <w:rsid w:val="00E90708"/>
    <w:rsid w:val="00ED21C3"/>
    <w:rsid w:val="00ED388C"/>
    <w:rsid w:val="00ED46C3"/>
    <w:rsid w:val="00EF02B0"/>
    <w:rsid w:val="00EF13A4"/>
    <w:rsid w:val="00F01B61"/>
    <w:rsid w:val="00F11338"/>
    <w:rsid w:val="00F13AE5"/>
    <w:rsid w:val="00F1415C"/>
    <w:rsid w:val="00F149FD"/>
    <w:rsid w:val="00F14EC1"/>
    <w:rsid w:val="00F15938"/>
    <w:rsid w:val="00F272C6"/>
    <w:rsid w:val="00F4262F"/>
    <w:rsid w:val="00F513D6"/>
    <w:rsid w:val="00F53719"/>
    <w:rsid w:val="00F57291"/>
    <w:rsid w:val="00F66CB0"/>
    <w:rsid w:val="00F76C89"/>
    <w:rsid w:val="00F9158A"/>
    <w:rsid w:val="00FA29B8"/>
    <w:rsid w:val="00FA46A4"/>
    <w:rsid w:val="00FC7CBC"/>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semiHidden/>
    <w:unhideWhenUsed/>
    <w:rsid w:val="00CC5D11"/>
    <w:rPr>
      <w:sz w:val="16"/>
      <w:szCs w:val="16"/>
    </w:rPr>
  </w:style>
  <w:style w:type="paragraph" w:styleId="CommentText">
    <w:name w:val="annotation text"/>
    <w:basedOn w:val="Normal"/>
    <w:link w:val="CommentTextChar"/>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866000"/>
    <w:rPr>
      <w:color w:val="605E5C"/>
      <w:shd w:val="clear" w:color="auto" w:fill="E1DFDD"/>
    </w:rPr>
  </w:style>
  <w:style w:type="character" w:styleId="Emphasis">
    <w:name w:val="Emphasis"/>
    <w:basedOn w:val="DefaultParagraphFont"/>
    <w:qFormat/>
    <w:rsid w:val="000235A6"/>
    <w:rPr>
      <w:i/>
      <w:iCs/>
    </w:rPr>
  </w:style>
  <w:style w:type="paragraph" w:customStyle="1" w:styleId="paragraph">
    <w:name w:val="paragraph"/>
    <w:basedOn w:val="Normal"/>
    <w:rsid w:val="00417EB5"/>
    <w:rPr>
      <w:rFonts w:ascii="Times New Roman" w:hAnsi="Times New Roman"/>
      <w:szCs w:val="24"/>
      <w:lang w:eastAsia="en-AU"/>
    </w:rPr>
  </w:style>
  <w:style w:type="character" w:customStyle="1" w:styleId="normaltextrun1">
    <w:name w:val="normaltextrun1"/>
    <w:basedOn w:val="DefaultParagraphFont"/>
    <w:rsid w:val="00417EB5"/>
  </w:style>
  <w:style w:type="character" w:customStyle="1" w:styleId="eop">
    <w:name w:val="eop"/>
    <w:basedOn w:val="DefaultParagraphFont"/>
    <w:rsid w:val="0041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16230">
      <w:bodyDiv w:val="1"/>
      <w:marLeft w:val="0"/>
      <w:marRight w:val="0"/>
      <w:marTop w:val="0"/>
      <w:marBottom w:val="0"/>
      <w:divBdr>
        <w:top w:val="none" w:sz="0" w:space="0" w:color="auto"/>
        <w:left w:val="none" w:sz="0" w:space="0" w:color="auto"/>
        <w:bottom w:val="none" w:sz="0" w:space="0" w:color="auto"/>
        <w:right w:val="none" w:sz="0" w:space="0" w:color="auto"/>
      </w:divBdr>
      <w:divsChild>
        <w:div w:id="428281297">
          <w:marLeft w:val="0"/>
          <w:marRight w:val="0"/>
          <w:marTop w:val="0"/>
          <w:marBottom w:val="0"/>
          <w:divBdr>
            <w:top w:val="none" w:sz="0" w:space="0" w:color="auto"/>
            <w:left w:val="none" w:sz="0" w:space="0" w:color="auto"/>
            <w:bottom w:val="none" w:sz="0" w:space="0" w:color="auto"/>
            <w:right w:val="none" w:sz="0" w:space="0" w:color="auto"/>
          </w:divBdr>
          <w:divsChild>
            <w:div w:id="1273897436">
              <w:marLeft w:val="0"/>
              <w:marRight w:val="0"/>
              <w:marTop w:val="0"/>
              <w:marBottom w:val="0"/>
              <w:divBdr>
                <w:top w:val="none" w:sz="0" w:space="0" w:color="auto"/>
                <w:left w:val="none" w:sz="0" w:space="0" w:color="auto"/>
                <w:bottom w:val="none" w:sz="0" w:space="0" w:color="auto"/>
                <w:right w:val="none" w:sz="0" w:space="0" w:color="auto"/>
              </w:divBdr>
              <w:divsChild>
                <w:div w:id="1109468405">
                  <w:marLeft w:val="0"/>
                  <w:marRight w:val="0"/>
                  <w:marTop w:val="0"/>
                  <w:marBottom w:val="0"/>
                  <w:divBdr>
                    <w:top w:val="none" w:sz="0" w:space="0" w:color="auto"/>
                    <w:left w:val="none" w:sz="0" w:space="0" w:color="auto"/>
                    <w:bottom w:val="none" w:sz="0" w:space="0" w:color="auto"/>
                    <w:right w:val="none" w:sz="0" w:space="0" w:color="auto"/>
                  </w:divBdr>
                  <w:divsChild>
                    <w:div w:id="1572083645">
                      <w:marLeft w:val="0"/>
                      <w:marRight w:val="0"/>
                      <w:marTop w:val="0"/>
                      <w:marBottom w:val="0"/>
                      <w:divBdr>
                        <w:top w:val="none" w:sz="0" w:space="0" w:color="auto"/>
                        <w:left w:val="none" w:sz="0" w:space="0" w:color="auto"/>
                        <w:bottom w:val="none" w:sz="0" w:space="0" w:color="auto"/>
                        <w:right w:val="none" w:sz="0" w:space="0" w:color="auto"/>
                      </w:divBdr>
                      <w:divsChild>
                        <w:div w:id="739403052">
                          <w:marLeft w:val="0"/>
                          <w:marRight w:val="0"/>
                          <w:marTop w:val="0"/>
                          <w:marBottom w:val="0"/>
                          <w:divBdr>
                            <w:top w:val="none" w:sz="0" w:space="0" w:color="auto"/>
                            <w:left w:val="none" w:sz="0" w:space="0" w:color="auto"/>
                            <w:bottom w:val="none" w:sz="0" w:space="0" w:color="auto"/>
                            <w:right w:val="none" w:sz="0" w:space="0" w:color="auto"/>
                          </w:divBdr>
                          <w:divsChild>
                            <w:div w:id="1215652455">
                              <w:marLeft w:val="0"/>
                              <w:marRight w:val="0"/>
                              <w:marTop w:val="0"/>
                              <w:marBottom w:val="0"/>
                              <w:divBdr>
                                <w:top w:val="none" w:sz="0" w:space="0" w:color="auto"/>
                                <w:left w:val="none" w:sz="0" w:space="0" w:color="auto"/>
                                <w:bottom w:val="none" w:sz="0" w:space="0" w:color="auto"/>
                                <w:right w:val="none" w:sz="0" w:space="0" w:color="auto"/>
                              </w:divBdr>
                              <w:divsChild>
                                <w:div w:id="808321219">
                                  <w:marLeft w:val="0"/>
                                  <w:marRight w:val="0"/>
                                  <w:marTop w:val="0"/>
                                  <w:marBottom w:val="0"/>
                                  <w:divBdr>
                                    <w:top w:val="none" w:sz="0" w:space="0" w:color="auto"/>
                                    <w:left w:val="none" w:sz="0" w:space="0" w:color="auto"/>
                                    <w:bottom w:val="none" w:sz="0" w:space="0" w:color="auto"/>
                                    <w:right w:val="none" w:sz="0" w:space="0" w:color="auto"/>
                                  </w:divBdr>
                                  <w:divsChild>
                                    <w:div w:id="1407073158">
                                      <w:marLeft w:val="0"/>
                                      <w:marRight w:val="0"/>
                                      <w:marTop w:val="0"/>
                                      <w:marBottom w:val="0"/>
                                      <w:divBdr>
                                        <w:top w:val="none" w:sz="0" w:space="0" w:color="auto"/>
                                        <w:left w:val="none" w:sz="0" w:space="0" w:color="auto"/>
                                        <w:bottom w:val="none" w:sz="0" w:space="0" w:color="auto"/>
                                        <w:right w:val="none" w:sz="0" w:space="0" w:color="auto"/>
                                      </w:divBdr>
                                      <w:divsChild>
                                        <w:div w:id="1475222142">
                                          <w:marLeft w:val="0"/>
                                          <w:marRight w:val="0"/>
                                          <w:marTop w:val="0"/>
                                          <w:marBottom w:val="0"/>
                                          <w:divBdr>
                                            <w:top w:val="none" w:sz="0" w:space="0" w:color="auto"/>
                                            <w:left w:val="none" w:sz="0" w:space="0" w:color="auto"/>
                                            <w:bottom w:val="none" w:sz="0" w:space="0" w:color="auto"/>
                                            <w:right w:val="none" w:sz="0" w:space="0" w:color="auto"/>
                                          </w:divBdr>
                                          <w:divsChild>
                                            <w:div w:id="1547136674">
                                              <w:marLeft w:val="0"/>
                                              <w:marRight w:val="0"/>
                                              <w:marTop w:val="0"/>
                                              <w:marBottom w:val="0"/>
                                              <w:divBdr>
                                                <w:top w:val="none" w:sz="0" w:space="0" w:color="auto"/>
                                                <w:left w:val="none" w:sz="0" w:space="0" w:color="auto"/>
                                                <w:bottom w:val="none" w:sz="0" w:space="0" w:color="auto"/>
                                                <w:right w:val="none" w:sz="0" w:space="0" w:color="auto"/>
                                              </w:divBdr>
                                              <w:divsChild>
                                                <w:div w:id="1090740033">
                                                  <w:marLeft w:val="0"/>
                                                  <w:marRight w:val="0"/>
                                                  <w:marTop w:val="0"/>
                                                  <w:marBottom w:val="630"/>
                                                  <w:divBdr>
                                                    <w:top w:val="none" w:sz="0" w:space="0" w:color="auto"/>
                                                    <w:left w:val="none" w:sz="0" w:space="0" w:color="auto"/>
                                                    <w:bottom w:val="none" w:sz="0" w:space="0" w:color="auto"/>
                                                    <w:right w:val="none" w:sz="0" w:space="0" w:color="auto"/>
                                                  </w:divBdr>
                                                  <w:divsChild>
                                                    <w:div w:id="1561869511">
                                                      <w:marLeft w:val="0"/>
                                                      <w:marRight w:val="0"/>
                                                      <w:marTop w:val="0"/>
                                                      <w:marBottom w:val="0"/>
                                                      <w:divBdr>
                                                        <w:top w:val="none" w:sz="0" w:space="0" w:color="auto"/>
                                                        <w:left w:val="none" w:sz="0" w:space="0" w:color="auto"/>
                                                        <w:bottom w:val="none" w:sz="0" w:space="0" w:color="auto"/>
                                                        <w:right w:val="none" w:sz="0" w:space="0" w:color="auto"/>
                                                      </w:divBdr>
                                                      <w:divsChild>
                                                        <w:div w:id="219635738">
                                                          <w:marLeft w:val="0"/>
                                                          <w:marRight w:val="0"/>
                                                          <w:marTop w:val="0"/>
                                                          <w:marBottom w:val="0"/>
                                                          <w:divBdr>
                                                            <w:top w:val="single" w:sz="6" w:space="0" w:color="ABABAB"/>
                                                            <w:left w:val="single" w:sz="6" w:space="0" w:color="ABABAB"/>
                                                            <w:bottom w:val="single" w:sz="6" w:space="0" w:color="ABABAB"/>
                                                            <w:right w:val="single" w:sz="6" w:space="0" w:color="ABABAB"/>
                                                          </w:divBdr>
                                                          <w:divsChild>
                                                            <w:div w:id="1420979782">
                                                              <w:marLeft w:val="0"/>
                                                              <w:marRight w:val="0"/>
                                                              <w:marTop w:val="0"/>
                                                              <w:marBottom w:val="0"/>
                                                              <w:divBdr>
                                                                <w:top w:val="none" w:sz="0" w:space="0" w:color="auto"/>
                                                                <w:left w:val="none" w:sz="0" w:space="0" w:color="auto"/>
                                                                <w:bottom w:val="none" w:sz="0" w:space="0" w:color="auto"/>
                                                                <w:right w:val="none" w:sz="0" w:space="0" w:color="auto"/>
                                                              </w:divBdr>
                                                              <w:divsChild>
                                                                <w:div w:id="1059018246">
                                                                  <w:marLeft w:val="0"/>
                                                                  <w:marRight w:val="0"/>
                                                                  <w:marTop w:val="0"/>
                                                                  <w:marBottom w:val="0"/>
                                                                  <w:divBdr>
                                                                    <w:top w:val="none" w:sz="0" w:space="0" w:color="auto"/>
                                                                    <w:left w:val="none" w:sz="0" w:space="0" w:color="auto"/>
                                                                    <w:bottom w:val="none" w:sz="0" w:space="0" w:color="auto"/>
                                                                    <w:right w:val="none" w:sz="0" w:space="0" w:color="auto"/>
                                                                  </w:divBdr>
                                                                  <w:divsChild>
                                                                    <w:div w:id="259803463">
                                                                      <w:marLeft w:val="0"/>
                                                                      <w:marRight w:val="0"/>
                                                                      <w:marTop w:val="0"/>
                                                                      <w:marBottom w:val="0"/>
                                                                      <w:divBdr>
                                                                        <w:top w:val="none" w:sz="0" w:space="0" w:color="auto"/>
                                                                        <w:left w:val="none" w:sz="0" w:space="0" w:color="auto"/>
                                                                        <w:bottom w:val="none" w:sz="0" w:space="0" w:color="auto"/>
                                                                        <w:right w:val="none" w:sz="0" w:space="0" w:color="auto"/>
                                                                      </w:divBdr>
                                                                      <w:divsChild>
                                                                        <w:div w:id="217593730">
                                                                          <w:marLeft w:val="0"/>
                                                                          <w:marRight w:val="0"/>
                                                                          <w:marTop w:val="0"/>
                                                                          <w:marBottom w:val="0"/>
                                                                          <w:divBdr>
                                                                            <w:top w:val="none" w:sz="0" w:space="0" w:color="auto"/>
                                                                            <w:left w:val="none" w:sz="0" w:space="0" w:color="auto"/>
                                                                            <w:bottom w:val="none" w:sz="0" w:space="0" w:color="auto"/>
                                                                            <w:right w:val="none" w:sz="0" w:space="0" w:color="auto"/>
                                                                          </w:divBdr>
                                                                          <w:divsChild>
                                                                            <w:div w:id="430051843">
                                                                              <w:marLeft w:val="0"/>
                                                                              <w:marRight w:val="0"/>
                                                                              <w:marTop w:val="0"/>
                                                                              <w:marBottom w:val="0"/>
                                                                              <w:divBdr>
                                                                                <w:top w:val="none" w:sz="0" w:space="0" w:color="auto"/>
                                                                                <w:left w:val="none" w:sz="0" w:space="0" w:color="auto"/>
                                                                                <w:bottom w:val="none" w:sz="0" w:space="0" w:color="auto"/>
                                                                                <w:right w:val="none" w:sz="0" w:space="0" w:color="auto"/>
                                                                              </w:divBdr>
                                                                              <w:divsChild>
                                                                                <w:div w:id="815531196">
                                                                                  <w:marLeft w:val="0"/>
                                                                                  <w:marRight w:val="0"/>
                                                                                  <w:marTop w:val="0"/>
                                                                                  <w:marBottom w:val="0"/>
                                                                                  <w:divBdr>
                                                                                    <w:top w:val="none" w:sz="0" w:space="0" w:color="auto"/>
                                                                                    <w:left w:val="none" w:sz="0" w:space="0" w:color="auto"/>
                                                                                    <w:bottom w:val="none" w:sz="0" w:space="0" w:color="auto"/>
                                                                                    <w:right w:val="none" w:sz="0" w:space="0" w:color="auto"/>
                                                                                  </w:divBdr>
                                                                                  <w:divsChild>
                                                                                    <w:div w:id="1095633675">
                                                                                      <w:marLeft w:val="0"/>
                                                                                      <w:marRight w:val="0"/>
                                                                                      <w:marTop w:val="0"/>
                                                                                      <w:marBottom w:val="0"/>
                                                                                      <w:divBdr>
                                                                                        <w:top w:val="none" w:sz="0" w:space="0" w:color="auto"/>
                                                                                        <w:left w:val="none" w:sz="0" w:space="0" w:color="auto"/>
                                                                                        <w:bottom w:val="none" w:sz="0" w:space="0" w:color="auto"/>
                                                                                        <w:right w:val="none" w:sz="0" w:space="0" w:color="auto"/>
                                                                                      </w:divBdr>
                                                                                      <w:divsChild>
                                                                                        <w:div w:id="508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legislation.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S.HIS@act.gov.au" TargetMode="External"/><Relationship Id="rId17" Type="http://schemas.openxmlformats.org/officeDocument/2006/relationships/hyperlink" Target="http://acthealth/c/HealthIntranet?a=da&amp;did=5438874&amp;pid=0" TargetMode="External"/><Relationship Id="rId2" Type="http://schemas.openxmlformats.org/officeDocument/2006/relationships/customXml" Target="../customXml/item2.xml"/><Relationship Id="rId16" Type="http://schemas.openxmlformats.org/officeDocument/2006/relationships/hyperlink" Target="mailto:Digital.Support@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HIS@act.gov.au" TargetMode="External"/><Relationship Id="rId5" Type="http://schemas.openxmlformats.org/officeDocument/2006/relationships/numbering" Target="numbering.xml"/><Relationship Id="rId15" Type="http://schemas.openxmlformats.org/officeDocument/2006/relationships/hyperlink" Target="mailto:CHS.SNAP@act.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CHS21/406</Decision_x0020_Number>
    <Description0 xmlns="690b2128-8961-48af-a473-22c34a9accba">The purpose of this procedure is to provide guidance for clinicians to complete inpatient Discharge Summaries and to ensure that they are accurate, timely and high-quality</Description0>
    <Display_x0020_on_x0020_Internet xmlns="690b2128-8961-48af-a473-22c34a9accba">true</Display_x0020_on_x0020_Internet>
    <Review_x0020_Date xmlns="690b2128-8961-48af-a473-22c34a9accba">2025-07-31T14:00:00+00:00</Review_x0020_Date>
    <Approval_x0020_Name_x007c_Committee xmlns="690b2128-8961-48af-a473-22c34a9accba">CHS Policy Committee </Approval_x0020_Name_x007c_Committee>
    <Risk_x0020_Rating xmlns="690b2128-8961-48af-a473-22c34a9accba">Medium</Risk_x0020_Rating>
    <Related_x0020_Documents xmlns="690b2128-8961-48af-a473-22c34a9accba" xsi:nil="true"/>
    <Replaces_x003a_ xmlns="690b2128-8961-48af-a473-22c34a9accba">CHHS18/040 Discharge Summary Completion </Replaces_x003a_>
    <Progress xmlns="690b2128-8961-48af-a473-22c34a9accba" xsi:nil="true"/>
    <TaxCatchAll xmlns="c0239a80-7f07-4ed7-82c3-24ad7d76ada5" xsi:nil="true"/>
    <Key_x0020_Words xmlns="690b2128-8961-48af-a473-22c34a9accba">Discharge Summary, Timeliness, Completion</Key_x0020_Words>
    <Type_x0020_of_x0020_Document xmlns="690b2128-8961-48af-a473-22c34a9accba">Procedure</Type_x0020_of_x0020_Document>
    <Version_x0020_Number xmlns="690b2128-8961-48af-a473-22c34a9accba">1</Version_x0020_Number>
    <Approval_x0020_Date xmlns="690b2128-8961-48af-a473-22c34a9accba">2021-07-05T14:00:00+00:00</Approval_x0020_Date>
    <Notes0 xmlns="690b2128-8961-48af-a473-22c34a9accba">Ensure consultation with HCCA/MHCN/Carers ACT on review.</Notes0>
    <New_x0020_Applies_x0020_To xmlns="690b2128-8961-48af-a473-22c34a9accba">Canberra Health Services</New_x0020_Applies_x0020_To>
    <New_x0020_Owner xmlns="690b2128-8961-48af-a473-22c34a9accba">Finance and Business Intelligence (FBI)</New_x0020_Owner>
    <Status xmlns="690b2128-8961-48af-a473-22c34a9accba">Approved</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891D2BDB-1DBA-400F-9CDC-5C41E31915D0}"/>
</file>

<file path=customXml/itemProps3.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4.xml><?xml version="1.0" encoding="utf-8"?>
<ds:datastoreItem xmlns:ds="http://schemas.openxmlformats.org/officeDocument/2006/customXml" ds:itemID="{FC384310-5165-4CD1-972A-44FACC4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Summary Completion Inpatients</dc:title>
  <dc:subject>23;#;#25;#;#14;#;#22;#</dc:subject>
  <dc:creator>Kerryn Hunter</dc:creator>
  <cp:lastModifiedBy>Wijekoon, Tharu (Health)</cp:lastModifiedBy>
  <cp:revision>10</cp:revision>
  <cp:lastPrinted>2015-01-20T22:40:00Z</cp:lastPrinted>
  <dcterms:created xsi:type="dcterms:W3CDTF">2021-07-08T22:36:00Z</dcterms:created>
  <dcterms:modified xsi:type="dcterms:W3CDTF">2021-07-09T04:32:00Z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