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B1D4D" w:rsidP="001B1D4D" w:rsidRDefault="006B62B4" w14:paraId="7BAF3720" w14:textId="77777777">
      <w:pPr>
        <w:pStyle w:val="Heading1"/>
        <w:spacing w:before="0" w:beforeAutospacing="0" w:after="0" w:line="240" w:lineRule="auto"/>
        <w:rPr>
          <w:b/>
          <w:bCs/>
        </w:rPr>
      </w:pPr>
      <w:bookmarkStart w:name="_Toc166761345" w:id="0"/>
      <w:bookmarkStart w:name="_Hlk166761445" w:id="1"/>
      <w:r w:rsidRPr="00C01559">
        <w:t>Canberra Health Services</w:t>
      </w:r>
      <w:r w:rsidRPr="00C01559" w:rsidR="00C01559">
        <w:t xml:space="preserve"> </w:t>
      </w:r>
    </w:p>
    <w:p w:rsidR="00A24D94" w:rsidP="001B1D4D" w:rsidRDefault="00BB67C7" w14:paraId="0BE2BA3E" w14:textId="689A25E5">
      <w:pPr>
        <w:pStyle w:val="Heading1"/>
        <w:spacing w:before="0" w:beforeAutospacing="0" w:after="0" w:line="240" w:lineRule="auto"/>
        <w:rPr>
          <w:rStyle w:val="Bold"/>
          <w:b w:val="0"/>
          <w:color w:val="575757" w:themeColor="text2"/>
          <w:sz w:val="20"/>
          <w:szCs w:val="20"/>
        </w:rPr>
      </w:pPr>
      <w:bookmarkStart w:name="_Toc229387586" w:id="2"/>
      <w:bookmarkStart w:name="_Toc229388773" w:id="3"/>
      <w:r>
        <w:rPr>
          <w:rStyle w:val="Heading2Char"/>
        </w:rPr>
        <w:t>Neonatal Intensive Care Medication Guidance: Australian Neonatal Medicines Formulary (ANMF)</w:t>
      </w:r>
      <w:bookmarkEnd w:id="2"/>
      <w:bookmarkEnd w:id="3"/>
      <w:r w:rsidRPr="00011724" w:rsidR="006B62B4">
        <w:rPr>
          <w:rStyle w:val="Heading2Char"/>
        </w:rPr>
        <w:t xml:space="preserve"> </w:t>
      </w:r>
      <w:bookmarkEnd w:id="0"/>
      <w:bookmarkEnd w:id="1"/>
    </w:p>
    <w:p w:rsidRPr="00F34F79" w:rsidR="00F34F79" w:rsidP="001B1D4D" w:rsidRDefault="0087074A" w14:paraId="140F9A7E" w14:textId="49214A29">
      <w:pPr>
        <w:spacing w:before="0" w:after="0" w:line="240" w:lineRule="auto"/>
        <w:rPr>
          <w:lang w:eastAsia="en-US"/>
        </w:rPr>
      </w:pPr>
      <w:r w:rsidRPr="0087074A">
        <w:rPr>
          <w:rStyle w:val="Heading3Char"/>
        </w:rPr>
        <w:t>CHS26/159</w:t>
      </w:r>
    </w:p>
    <w:p w:rsidRPr="004E28F9" w:rsidR="00011724" w:rsidP="005757A3" w:rsidRDefault="003B2735" w14:paraId="35A68F91" w14:textId="1A05C765">
      <w:pPr>
        <w:pStyle w:val="Heading4"/>
      </w:pPr>
      <w:r>
        <w:t>Purpose</w:t>
      </w:r>
    </w:p>
    <w:p w:rsidRPr="00BB67C7" w:rsidR="00BB67C7" w:rsidP="00BB67C7" w:rsidRDefault="00BB67C7" w14:paraId="41868DE4" w14:textId="58E1F24E">
      <w:pPr>
        <w:pStyle w:val="BodyCopy"/>
      </w:pPr>
      <w:r w:rsidRPr="001812B1">
        <w:t xml:space="preserve">The </w:t>
      </w:r>
      <w:r>
        <w:t>medicine</w:t>
      </w:r>
      <w:r w:rsidRPr="001812B1">
        <w:t xml:space="preserve"> guidelines included in the Australasian </w:t>
      </w:r>
      <w:r>
        <w:t>N</w:t>
      </w:r>
      <w:r w:rsidRPr="001812B1">
        <w:t xml:space="preserve">eonatal Medicines Formulary (ANMF) are produced after thorough review of the literature relevant to the use of each </w:t>
      </w:r>
      <w:r>
        <w:t>medicine</w:t>
      </w:r>
      <w:r w:rsidRPr="001812B1">
        <w:t xml:space="preserve"> in the neonate. Canberra Health Services (CHS) contributes to the development of these guidelines and endorses the use for prescribing and administering medication</w:t>
      </w:r>
      <w:r>
        <w:t xml:space="preserve">s to neonates admitted to CHS. </w:t>
      </w:r>
      <w:r w:rsidRPr="001812B1">
        <w:t xml:space="preserve"> </w:t>
      </w:r>
    </w:p>
    <w:p w:rsidR="00BB67C7" w:rsidP="00BB67C7" w:rsidRDefault="00BB67C7" w14:paraId="73EF1F81" w14:textId="6F198362">
      <w:pPr>
        <w:pStyle w:val="BodyCopy"/>
      </w:pPr>
      <w:r>
        <w:t xml:space="preserve">Several ANMF monographs have differences in local practices as well as CHS formulary availability. These are highlighted in this document under alerts.  </w:t>
      </w:r>
    </w:p>
    <w:p w:rsidR="00BB67C7" w:rsidP="00BB67C7" w:rsidRDefault="00BB67C7" w14:paraId="702922B9" w14:textId="76626B90">
      <w:pPr>
        <w:pStyle w:val="BodyCopy"/>
      </w:pPr>
      <w:r>
        <w:t xml:space="preserve">It is a requirement for staff in scope to download from the ANMF medication monograph from the website to ensure up-to-date information is being used. It is important that local deviations are followed as outlined in this document. These differences have also been highlighted in the order details section of each medication in </w:t>
      </w:r>
      <w:r w:rsidR="00697859">
        <w:t>the Digital Health Record (</w:t>
      </w:r>
      <w:r>
        <w:t>DHR</w:t>
      </w:r>
      <w:r w:rsidR="00697859">
        <w:t>)</w:t>
      </w:r>
      <w:r>
        <w:t xml:space="preserve">.  </w:t>
      </w:r>
    </w:p>
    <w:p w:rsidR="00BB67C7" w:rsidP="00BB67C7" w:rsidRDefault="00BB67C7" w14:paraId="7525F729" w14:textId="77777777">
      <w:pPr>
        <w:pStyle w:val="BodyCopy"/>
        <w:rPr>
          <w:i/>
        </w:rPr>
      </w:pPr>
      <w:r>
        <w:t>There are some medications used in CHS that do not yet have an equivalent ANMF medication monograph. This have been included in this document under Medications not listed in ANMF.</w:t>
      </w:r>
    </w:p>
    <w:p w:rsidR="003677A8" w:rsidP="005757A3" w:rsidRDefault="003677A8" w14:paraId="02B421D2" w14:textId="77777777">
      <w:pPr>
        <w:pStyle w:val="Heading4"/>
      </w:pPr>
      <w:r>
        <w:t>Scope</w:t>
      </w:r>
    </w:p>
    <w:p w:rsidRPr="00552B05" w:rsidR="00BB67C7" w:rsidP="00BB67C7" w:rsidRDefault="00BB67C7" w14:paraId="6B34FA64" w14:textId="1C4AB63B">
      <w:pPr>
        <w:pStyle w:val="BodyCopy"/>
      </w:pPr>
      <w:r>
        <w:t xml:space="preserve">This guideline applies to all staff involved in the care of neonates admitted in </w:t>
      </w:r>
      <w:r w:rsidR="00697859">
        <w:t>CHS</w:t>
      </w:r>
      <w:r>
        <w:t xml:space="preserve"> with competency recognised by ACT Health, including:</w:t>
      </w:r>
    </w:p>
    <w:p w:rsidRPr="001A7C30" w:rsidR="00BB67C7" w:rsidP="00BB67C7" w:rsidRDefault="00BB67C7" w14:paraId="6A76C5D6" w14:textId="7DE64F06">
      <w:pPr>
        <w:pStyle w:val="Bullet"/>
      </w:pPr>
      <w:r w:rsidRPr="001A7C30">
        <w:t xml:space="preserve">Medical </w:t>
      </w:r>
      <w:r w:rsidR="00925141">
        <w:t>s</w:t>
      </w:r>
      <w:r w:rsidRPr="001A7C30">
        <w:t>taff</w:t>
      </w:r>
    </w:p>
    <w:p w:rsidRPr="001A7C30" w:rsidR="00BB67C7" w:rsidP="00BB67C7" w:rsidRDefault="00BB67C7" w14:paraId="69909827" w14:textId="3C616001">
      <w:pPr>
        <w:pStyle w:val="Bullet"/>
      </w:pPr>
      <w:r w:rsidRPr="001A7C30">
        <w:t>Nurses</w:t>
      </w:r>
      <w:r w:rsidR="00925141">
        <w:t xml:space="preserve"> and </w:t>
      </w:r>
      <w:r w:rsidRPr="001A7C30">
        <w:t>midwives</w:t>
      </w:r>
    </w:p>
    <w:p w:rsidRPr="001A7C30" w:rsidR="00BB67C7" w:rsidP="00BB67C7" w:rsidRDefault="00BB67C7" w14:paraId="6B2A0235" w14:textId="77777777">
      <w:pPr>
        <w:pStyle w:val="Bullet"/>
      </w:pPr>
      <w:r w:rsidRPr="001A7C30">
        <w:t>Pharmacists</w:t>
      </w:r>
    </w:p>
    <w:p w:rsidRPr="001A7C30" w:rsidR="00BB67C7" w:rsidP="00BB67C7" w:rsidRDefault="00BB67C7" w14:paraId="45A396A0" w14:textId="793DBC76">
      <w:pPr>
        <w:pStyle w:val="Bullet"/>
      </w:pPr>
      <w:r w:rsidRPr="001A7C30">
        <w:t>Students (if within their defined scope of practice) under the direct supervision of a credentialed and competent practitioner.</w:t>
      </w:r>
    </w:p>
    <w:p w:rsidR="003677A8" w:rsidP="005757A3" w:rsidRDefault="003B2735" w14:paraId="64E536CE" w14:textId="77777777">
      <w:pPr>
        <w:pStyle w:val="Heading4"/>
      </w:pPr>
      <w:r>
        <w:t>Which are</w:t>
      </w:r>
      <w:r w:rsidR="00A2511B">
        <w:t>a in Canberra Health Services can I contact for further information?</w:t>
      </w:r>
    </w:p>
    <w:p w:rsidR="00A2511B" w:rsidP="00A2511B" w:rsidRDefault="00B8549D" w14:paraId="4874679C" w14:textId="7E32B956">
      <w:pPr>
        <w:rPr>
          <w:lang w:eastAsia="en-US"/>
        </w:rPr>
      </w:pPr>
      <w:r>
        <w:rPr>
          <w:lang w:eastAsia="en-US"/>
        </w:rPr>
        <w:t xml:space="preserve">For non-urgent advice, contact </w:t>
      </w:r>
      <w:r w:rsidR="00925141">
        <w:rPr>
          <w:lang w:eastAsia="en-US"/>
        </w:rPr>
        <w:t xml:space="preserve">Canberra Hospital </w:t>
      </w:r>
      <w:r w:rsidR="00BB67C7">
        <w:rPr>
          <w:lang w:eastAsia="en-US"/>
        </w:rPr>
        <w:t>Department of Neonatology</w:t>
      </w:r>
      <w:r w:rsidR="00A51B2C">
        <w:rPr>
          <w:lang w:eastAsia="en-US"/>
        </w:rPr>
        <w:t xml:space="preserve"> </w:t>
      </w:r>
      <w:r>
        <w:rPr>
          <w:lang w:eastAsia="en-US"/>
        </w:rPr>
        <w:t xml:space="preserve">Clinical Support Nurse </w:t>
      </w:r>
      <w:r w:rsidR="00A51B2C">
        <w:rPr>
          <w:lang w:eastAsia="en-US"/>
        </w:rPr>
        <w:t xml:space="preserve">via phone </w:t>
      </w:r>
      <w:r w:rsidRPr="00A51B2C" w:rsidR="00A51B2C">
        <w:rPr>
          <w:lang w:eastAsia="en-US"/>
        </w:rPr>
        <w:t>0403</w:t>
      </w:r>
      <w:r w:rsidR="00A51B2C">
        <w:rPr>
          <w:lang w:eastAsia="en-US"/>
        </w:rPr>
        <w:t xml:space="preserve"> </w:t>
      </w:r>
      <w:r w:rsidRPr="00A51B2C" w:rsidR="00A51B2C">
        <w:rPr>
          <w:lang w:eastAsia="en-US"/>
        </w:rPr>
        <w:t>194</w:t>
      </w:r>
      <w:r w:rsidR="00A51B2C">
        <w:rPr>
          <w:lang w:eastAsia="en-US"/>
        </w:rPr>
        <w:t xml:space="preserve"> </w:t>
      </w:r>
      <w:r w:rsidRPr="00A51B2C" w:rsidR="00A51B2C">
        <w:rPr>
          <w:lang w:eastAsia="en-US"/>
        </w:rPr>
        <w:t>736</w:t>
      </w:r>
      <w:r w:rsidR="00A51B2C">
        <w:rPr>
          <w:lang w:eastAsia="en-US"/>
        </w:rPr>
        <w:t>.</w:t>
      </w:r>
    </w:p>
    <w:p w:rsidR="00B8549D" w:rsidP="00A2511B" w:rsidRDefault="00B8549D" w14:paraId="29646A12" w14:textId="491291F9">
      <w:pPr>
        <w:rPr>
          <w:lang w:eastAsia="en-US"/>
        </w:rPr>
      </w:pPr>
      <w:r>
        <w:rPr>
          <w:lang w:eastAsia="en-US"/>
        </w:rPr>
        <w:t xml:space="preserve">For urgent clinical advice, contact the on call Neonatal Intensive Care Unit Fellow or Consultant  via phone to the hospital switchboard </w:t>
      </w:r>
      <w:r w:rsidRPr="00B8549D">
        <w:rPr>
          <w:lang w:eastAsia="en-US"/>
        </w:rPr>
        <w:t>5124 0000</w:t>
      </w:r>
      <w:r>
        <w:rPr>
          <w:lang w:eastAsia="en-US"/>
        </w:rPr>
        <w:t>.</w:t>
      </w:r>
    </w:p>
    <w:p w:rsidR="00AA0CE5" w:rsidP="005757A3" w:rsidRDefault="00A2511B" w14:paraId="34B79F4B" w14:textId="77777777">
      <w:pPr>
        <w:pStyle w:val="Heading4"/>
      </w:pPr>
      <w:r>
        <w:t>How can I access the document?</w:t>
      </w:r>
    </w:p>
    <w:p w:rsidRPr="004F1D37" w:rsidR="00BB67C7" w:rsidP="00BB67C7" w:rsidRDefault="00BB67C7" w14:paraId="3B2EEABD" w14:textId="65BE03DF">
      <w:pPr>
        <w:pStyle w:val="BodyCopy"/>
      </w:pPr>
      <w:r w:rsidRPr="004F1D37">
        <w:t>ANMF can accessed via the following link</w:t>
      </w:r>
      <w:r>
        <w:t>:</w:t>
      </w:r>
      <w:r w:rsidR="00925141">
        <w:t xml:space="preserve"> </w:t>
      </w:r>
      <w:hyperlink w:history="1" r:id="rId11">
        <w:r w:rsidRPr="00056655" w:rsidR="00925141">
          <w:rPr>
            <w:rStyle w:val="Hyperlink"/>
          </w:rPr>
          <w:t>https://www.anmfonline.org/clinical-resources/</w:t>
        </w:r>
      </w:hyperlink>
      <w:r w:rsidR="00925141">
        <w:t xml:space="preserve"> </w:t>
      </w:r>
    </w:p>
    <w:p w:rsidR="00BB67C7" w:rsidP="005757A3" w:rsidRDefault="00BB67C7" w14:paraId="016B0426" w14:textId="6C2EB33E">
      <w:pPr>
        <w:pStyle w:val="Heading4"/>
      </w:pPr>
      <w:r>
        <w:t>Alerts</w:t>
      </w:r>
    </w:p>
    <w:tbl>
      <w:tblPr>
        <w:tblStyle w:val="CHSTable"/>
        <w:tblW w:w="10055" w:type="dxa"/>
        <w:tblLook w:val="04A0" w:firstRow="1" w:lastRow="0" w:firstColumn="1" w:lastColumn="0" w:noHBand="0" w:noVBand="1"/>
      </w:tblPr>
      <w:tblGrid>
        <w:gridCol w:w="2680"/>
        <w:gridCol w:w="7375"/>
      </w:tblGrid>
      <w:tr w:rsidR="00BB67C7" w:rsidTr="3BE74EE4" w14:paraId="49CF32F2" w14:textId="77777777">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680" w:type="dxa"/>
            <w:tcMar/>
            <w:hideMark/>
          </w:tcPr>
          <w:p w:rsidRPr="00925141" w:rsidR="00BB67C7" w:rsidP="008F46EA" w:rsidRDefault="00BB67C7" w14:paraId="538EAD29" w14:textId="77777777">
            <w:pPr>
              <w:rPr>
                <w:b/>
                <w:bCs/>
                <w:sz w:val="25"/>
                <w:szCs w:val="25"/>
              </w:rPr>
            </w:pPr>
            <w:r w:rsidRPr="00925141">
              <w:rPr>
                <w:b/>
                <w:bCs/>
                <w:sz w:val="25"/>
                <w:szCs w:val="25"/>
              </w:rPr>
              <w:t>Medication</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8F46EA" w:rsidRDefault="00BB67C7" w14:paraId="2395EDC4" w14:textId="77777777">
            <w:pPr>
              <w:cnfStyle w:val="100000000000" w:firstRow="1" w:lastRow="0" w:firstColumn="0" w:lastColumn="0" w:oddVBand="0" w:evenVBand="0" w:oddHBand="0" w:evenHBand="0" w:firstRowFirstColumn="0" w:firstRowLastColumn="0" w:lastRowFirstColumn="0" w:lastRowLastColumn="0"/>
              <w:rPr>
                <w:b/>
                <w:bCs/>
                <w:color w:val="FFFFFF" w:themeColor="background1"/>
                <w:sz w:val="25"/>
                <w:szCs w:val="25"/>
              </w:rPr>
            </w:pPr>
            <w:r w:rsidRPr="00925141">
              <w:rPr>
                <w:b/>
                <w:bCs/>
                <w:color w:val="FFFFFF" w:themeColor="background1"/>
                <w:sz w:val="25"/>
                <w:szCs w:val="25"/>
              </w:rPr>
              <w:t xml:space="preserve">CHS consensus statement </w:t>
            </w:r>
          </w:p>
        </w:tc>
      </w:tr>
      <w:tr w:rsidR="00BB67C7" w:rsidTr="3BE74EE4" w14:paraId="09AD69AC" w14:textId="77777777">
        <w:trPr>
          <w:trHeight w:val="765"/>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hideMark/>
          </w:tcPr>
          <w:p w:rsidRPr="00925141" w:rsidR="00BB67C7" w:rsidP="00925141" w:rsidRDefault="00BB67C7" w14:paraId="2CE25757" w14:textId="77777777">
            <w:pPr>
              <w:pStyle w:val="Tablebody"/>
              <w:rPr>
                <w:color w:val="auto"/>
              </w:rPr>
            </w:pPr>
            <w:r w:rsidRPr="00925141">
              <w:rPr>
                <w:color w:val="auto"/>
              </w:rPr>
              <w:t xml:space="preserve">Chloral Hydrate </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023D6DE4" w14:textId="7AB3EF86">
            <w:pPr>
              <w:pStyle w:val="Tablebody"/>
              <w:cnfStyle w:val="000000000000" w:firstRow="0" w:lastRow="0" w:firstColumn="0" w:lastColumn="0" w:oddVBand="0" w:evenVBand="0" w:oddHBand="0" w:evenHBand="0" w:firstRowFirstColumn="0" w:firstRowLastColumn="0" w:lastRowFirstColumn="0" w:lastRowLastColumn="0"/>
            </w:pPr>
            <w:r w:rsidRPr="00925141">
              <w:t xml:space="preserve">For patients needing an </w:t>
            </w:r>
            <w:r w:rsidRPr="00925141" w:rsidR="00697859">
              <w:t>magnetic resonance imaging (MRI) 50</w:t>
            </w:r>
            <w:r w:rsidRPr="00925141">
              <w:t>mg/kg can be given on the ward and repeated (25-50mg/kg) at MRI if required. No further doses can be given for 24</w:t>
            </w:r>
            <w:r w:rsidRPr="00925141" w:rsidR="00697859">
              <w:t xml:space="preserve"> </w:t>
            </w:r>
            <w:r w:rsidRPr="00925141">
              <w:t>hours.</w:t>
            </w:r>
          </w:p>
        </w:tc>
      </w:tr>
      <w:tr w:rsidR="00BB67C7" w:rsidTr="3BE74EE4" w14:paraId="34409782" w14:textId="77777777">
        <w:trPr>
          <w:trHeight w:val="510"/>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noWrap/>
            <w:tcMar/>
            <w:hideMark/>
          </w:tcPr>
          <w:p w:rsidRPr="00925141" w:rsidR="00BB67C7" w:rsidP="00925141" w:rsidRDefault="00BB67C7" w14:paraId="5CBB948C" w14:textId="77777777">
            <w:pPr>
              <w:pStyle w:val="Tablebody"/>
              <w:rPr>
                <w:color w:val="auto"/>
              </w:rPr>
            </w:pPr>
            <w:r w:rsidRPr="00925141">
              <w:rPr>
                <w:color w:val="auto"/>
              </w:rPr>
              <w:t>Ferrous Sulphate (Ferro-Liquid)</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233E9E03" w14:textId="27C8D972">
            <w:pPr>
              <w:pStyle w:val="Tablebody"/>
              <w:cnfStyle w:val="000000000000" w:firstRow="0" w:lastRow="0" w:firstColumn="0" w:lastColumn="0" w:oddVBand="0" w:evenVBand="0" w:oddHBand="0" w:evenHBand="0" w:firstRowFirstColumn="0" w:firstRowLastColumn="0" w:lastRowFirstColumn="0" w:lastRowLastColumn="0"/>
            </w:pPr>
            <w:r w:rsidRPr="00925141">
              <w:t xml:space="preserve">Iron supplementation is routinely given in preterm infants </w:t>
            </w:r>
            <w:r w:rsidRPr="00925141" w:rsidR="00697859">
              <w:t xml:space="preserve">less than </w:t>
            </w:r>
            <w:r w:rsidRPr="00925141">
              <w:t xml:space="preserve">32 weeks and/or birthweight </w:t>
            </w:r>
            <w:r w:rsidRPr="00925141" w:rsidR="00697859">
              <w:t>less than</w:t>
            </w:r>
            <w:r w:rsidRPr="00925141">
              <w:t xml:space="preserve"> 1800g</w:t>
            </w:r>
            <w:r w:rsidRPr="00925141" w:rsidR="00697859">
              <w:t>.</w:t>
            </w:r>
          </w:p>
        </w:tc>
      </w:tr>
      <w:tr w:rsidR="00BB67C7" w:rsidTr="3BE74EE4" w14:paraId="7BF03BF2" w14:textId="77777777">
        <w:trPr>
          <w:trHeight w:val="510"/>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noWrap/>
            <w:tcMar/>
          </w:tcPr>
          <w:p w:rsidRPr="00925141" w:rsidR="00BB67C7" w:rsidP="00925141" w:rsidRDefault="00BB67C7" w14:paraId="2D011578" w14:textId="77777777">
            <w:pPr>
              <w:pStyle w:val="Tablebody"/>
              <w:rPr>
                <w:color w:val="auto"/>
              </w:rPr>
            </w:pPr>
            <w:r w:rsidRPr="00925141">
              <w:rPr>
                <w:color w:val="auto"/>
              </w:rPr>
              <w:t>Fluids</w:t>
            </w:r>
            <w:bookmarkStart w:name="_Toc75339973" w:id="4"/>
            <w:r w:rsidRPr="00925141">
              <w:rPr>
                <w:color w:val="auto"/>
              </w:rPr>
              <w:t>- Adjusting the content of bags</w:t>
            </w:r>
            <w:bookmarkEnd w:id="4"/>
          </w:p>
        </w:tc>
        <w:tc>
          <w:tcPr>
            <w:cnfStyle w:val="000000000000" w:firstRow="0" w:lastRow="0" w:firstColumn="0" w:lastColumn="0" w:oddVBand="0" w:evenVBand="0" w:oddHBand="0" w:evenHBand="0" w:firstRowFirstColumn="0" w:firstRowLastColumn="0" w:lastRowFirstColumn="0" w:lastRowLastColumn="0"/>
            <w:tcW w:w="7375" w:type="dxa"/>
            <w:tcMar/>
          </w:tcPr>
          <w:p w:rsidRPr="00925141" w:rsidR="00BB67C7" w:rsidP="00925141" w:rsidRDefault="00BB67C7" w14:paraId="1DA15BC3" w14:textId="77777777">
            <w:pPr>
              <w:pStyle w:val="Tablebody"/>
              <w:cnfStyle w:val="000000000000" w:firstRow="0" w:lastRow="0" w:firstColumn="0" w:lastColumn="0" w:oddVBand="0" w:evenVBand="0" w:oddHBand="0" w:evenHBand="0" w:firstRowFirstColumn="0" w:firstRowLastColumn="0" w:lastRowFirstColumn="0" w:lastRowLastColumn="0"/>
            </w:pPr>
            <w:r w:rsidRPr="00925141">
              <w:t xml:space="preserve">Refer to the Royal Children’s Hospital Melbourne, </w:t>
            </w:r>
          </w:p>
          <w:p w:rsidRPr="00925141" w:rsidR="00BB67C7" w:rsidP="00925141" w:rsidRDefault="00BB67C7" w14:paraId="524A0009" w14:textId="77777777">
            <w:pPr>
              <w:pStyle w:val="Tablebody"/>
              <w:cnfStyle w:val="000000000000" w:firstRow="0" w:lastRow="0" w:firstColumn="0" w:lastColumn="0" w:oddVBand="0" w:evenVBand="0" w:oddHBand="0" w:evenHBand="0" w:firstRowFirstColumn="0" w:firstRowLastColumn="0" w:lastRowFirstColumn="0" w:lastRowLastColumn="0"/>
            </w:pPr>
            <w:hyperlink r:id="rId12">
              <w:r w:rsidRPr="00925141">
                <w:rPr>
                  <w:rStyle w:val="Hyperlink"/>
                </w:rPr>
                <w:t>Paediatric Injectable guidelines</w:t>
              </w:r>
            </w:hyperlink>
          </w:p>
        </w:tc>
      </w:tr>
      <w:tr w:rsidR="00BB67C7" w:rsidTr="3BE74EE4" w14:paraId="5F0D1312" w14:textId="77777777">
        <w:trPr>
          <w:trHeight w:val="510"/>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noWrap/>
            <w:tcMar/>
            <w:hideMark/>
          </w:tcPr>
          <w:p w:rsidRPr="00925141" w:rsidR="00BB67C7" w:rsidP="00925141" w:rsidRDefault="00BB67C7" w14:paraId="4A38BB95" w14:textId="77777777">
            <w:pPr>
              <w:pStyle w:val="Tablebody"/>
              <w:rPr>
                <w:color w:val="auto"/>
              </w:rPr>
            </w:pPr>
            <w:r w:rsidRPr="00925141">
              <w:rPr>
                <w:color w:val="auto"/>
              </w:rPr>
              <w:t>Folic Acid</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7D8128F4" w14:textId="0488B6DA">
            <w:pPr>
              <w:pStyle w:val="Tablebody"/>
              <w:cnfStyle w:val="000000000000" w:firstRow="0" w:lastRow="0" w:firstColumn="0" w:lastColumn="0" w:oddVBand="0" w:evenVBand="0" w:oddHBand="0" w:evenHBand="0" w:firstRowFirstColumn="0" w:firstRowLastColumn="0" w:lastRowFirstColumn="0" w:lastRowLastColumn="0"/>
            </w:pPr>
            <w:r w:rsidRPr="00925141">
              <w:t xml:space="preserve">Folic acid supplementation is routinely given in preterm infants </w:t>
            </w:r>
            <w:r w:rsidRPr="00925141" w:rsidR="00A815E5">
              <w:t xml:space="preserve">less than </w:t>
            </w:r>
            <w:r w:rsidRPr="00925141">
              <w:t xml:space="preserve">32 weeks and/or birthweight </w:t>
            </w:r>
            <w:r w:rsidRPr="00925141" w:rsidR="00697859">
              <w:t>less than</w:t>
            </w:r>
            <w:r w:rsidRPr="00925141">
              <w:t xml:space="preserve"> 1800g</w:t>
            </w:r>
            <w:r w:rsidRPr="00925141" w:rsidR="00697859">
              <w:t>.</w:t>
            </w:r>
          </w:p>
        </w:tc>
      </w:tr>
      <w:tr w:rsidR="00BB67C7" w:rsidTr="3BE74EE4" w14:paraId="65782BFC" w14:textId="77777777">
        <w:trPr>
          <w:trHeight w:val="2550"/>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hideMark/>
          </w:tcPr>
          <w:p w:rsidRPr="00925141" w:rsidR="00BB67C7" w:rsidP="00925141" w:rsidRDefault="00BB67C7" w14:paraId="13A19240" w14:textId="77777777">
            <w:pPr>
              <w:pStyle w:val="Tablebody"/>
              <w:rPr>
                <w:color w:val="auto"/>
              </w:rPr>
            </w:pPr>
            <w:r w:rsidRPr="00925141">
              <w:rPr>
                <w:color w:val="auto"/>
              </w:rPr>
              <w:t>Immunoglobulin</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38746CA1" w14:textId="59C54323">
            <w:pPr>
              <w:pStyle w:val="Tablebody"/>
              <w:cnfStyle w:val="000000000000" w:firstRow="0" w:lastRow="0" w:firstColumn="0" w:lastColumn="0" w:oddVBand="0" w:evenVBand="0" w:oddHBand="0" w:evenHBand="0" w:firstRowFirstColumn="0" w:firstRowLastColumn="0" w:lastRowFirstColumn="0" w:lastRowLastColumn="0"/>
            </w:pPr>
            <w:r w:rsidRPr="00925141">
              <w:t>At Canberra Hospital, IVIG (</w:t>
            </w:r>
            <w:proofErr w:type="spellStart"/>
            <w:r w:rsidRPr="00925141">
              <w:t>Privigen</w:t>
            </w:r>
            <w:proofErr w:type="spellEnd"/>
            <w:r w:rsidRPr="00925141">
              <w:t xml:space="preserve">) can be procured under jurisdictional direct order (JDO) for isoimmune </w:t>
            </w:r>
            <w:proofErr w:type="spellStart"/>
            <w:r w:rsidRPr="00925141">
              <w:t>haemolytic</w:t>
            </w:r>
            <w:proofErr w:type="spellEnd"/>
            <w:r w:rsidRPr="00925141">
              <w:t xml:space="preserve"> jaundice. It is purchased by pharmacy and can be accessed by Neonatology Staff through pathology for release on request if meeting following criteria: </w:t>
            </w:r>
            <w:r w:rsidRPr="00925141">
              <w:br/>
            </w:r>
            <w:r w:rsidRPr="00925141">
              <w:t xml:space="preserve">- Isoimmune </w:t>
            </w:r>
            <w:proofErr w:type="spellStart"/>
            <w:r w:rsidRPr="00925141">
              <w:t>haemolytic</w:t>
            </w:r>
            <w:proofErr w:type="spellEnd"/>
            <w:r w:rsidRPr="00925141">
              <w:t xml:space="preserve"> jaundice (Rh, ABO, Other)</w:t>
            </w:r>
            <w:r w:rsidRPr="00925141">
              <w:br/>
            </w:r>
            <w:r w:rsidRPr="00925141">
              <w:t xml:space="preserve">- </w:t>
            </w:r>
            <w:r w:rsidRPr="00925141" w:rsidR="00697859">
              <w:t>Direct Antiglobulin (</w:t>
            </w:r>
            <w:r w:rsidRPr="00925141">
              <w:t>DAT</w:t>
            </w:r>
            <w:r w:rsidRPr="00925141" w:rsidR="00697859">
              <w:t>)</w:t>
            </w:r>
            <w:r w:rsidRPr="00925141">
              <w:t xml:space="preserve"> positive</w:t>
            </w:r>
            <w:r w:rsidRPr="00925141">
              <w:br/>
            </w:r>
            <w:r w:rsidRPr="00925141">
              <w:t xml:space="preserve">- </w:t>
            </w:r>
            <w:r w:rsidRPr="00925141" w:rsidR="00697859">
              <w:t>Serum bilirubin (</w:t>
            </w:r>
            <w:r w:rsidRPr="00925141">
              <w:t>SBR</w:t>
            </w:r>
            <w:r w:rsidRPr="00925141" w:rsidR="00697859">
              <w:t>)</w:t>
            </w:r>
            <w:r w:rsidRPr="00925141">
              <w:t xml:space="preserve"> rising at </w:t>
            </w:r>
            <w:r w:rsidRPr="00925141" w:rsidR="00697859">
              <w:t xml:space="preserve">greater than </w:t>
            </w:r>
            <w:r w:rsidRPr="00925141">
              <w:t xml:space="preserve">8 </w:t>
            </w:r>
            <w:proofErr w:type="spellStart"/>
            <w:r w:rsidRPr="00925141">
              <w:t>micromol</w:t>
            </w:r>
            <w:proofErr w:type="spellEnd"/>
            <w:r w:rsidRPr="00925141">
              <w:t xml:space="preserve">/L/hour despite intensive phototherapy in the first 24 hours or within 50 </w:t>
            </w:r>
            <w:proofErr w:type="spellStart"/>
            <w:r w:rsidRPr="00925141">
              <w:t>micromol</w:t>
            </w:r>
            <w:proofErr w:type="spellEnd"/>
            <w:r w:rsidRPr="00925141">
              <w:t>/L of exchange transfusion after 24 hours.</w:t>
            </w:r>
          </w:p>
        </w:tc>
      </w:tr>
      <w:tr w:rsidR="00BB67C7" w:rsidTr="3BE74EE4" w14:paraId="2C10AF43" w14:textId="77777777">
        <w:trPr>
          <w:trHeight w:val="765"/>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hideMark/>
          </w:tcPr>
          <w:p w:rsidRPr="00925141" w:rsidR="00BB67C7" w:rsidP="00925141" w:rsidRDefault="00BB67C7" w14:paraId="4E3C5809" w14:textId="77777777">
            <w:pPr>
              <w:pStyle w:val="Tablebody"/>
              <w:rPr>
                <w:color w:val="auto"/>
              </w:rPr>
            </w:pPr>
            <w:proofErr w:type="spellStart"/>
            <w:r w:rsidRPr="00925141">
              <w:rPr>
                <w:color w:val="auto"/>
              </w:rPr>
              <w:t>Infloran</w:t>
            </w:r>
            <w:proofErr w:type="spellEnd"/>
            <w:r w:rsidRPr="00925141">
              <w:rPr>
                <w:color w:val="auto"/>
              </w:rPr>
              <w:t>® (probiotics)</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697859" w14:paraId="7C0A23E9" w14:textId="2D7B2C5A">
            <w:pPr>
              <w:pStyle w:val="Tablebody"/>
              <w:cnfStyle w:val="000000000000" w:firstRow="0" w:lastRow="0" w:firstColumn="0" w:lastColumn="0" w:oddVBand="0" w:evenVBand="0" w:oddHBand="0" w:evenHBand="0" w:firstRowFirstColumn="0" w:firstRowLastColumn="0" w:lastRowFirstColumn="0" w:lastRowLastColumn="0"/>
            </w:pPr>
            <w:r w:rsidRPr="00925141">
              <w:t>Necrotising enterocolitis (</w:t>
            </w:r>
            <w:r w:rsidRPr="00925141" w:rsidR="00BB67C7">
              <w:t>NEC</w:t>
            </w:r>
            <w:r w:rsidRPr="00925141">
              <w:t>)</w:t>
            </w:r>
            <w:r w:rsidRPr="00925141" w:rsidR="00BB67C7">
              <w:t xml:space="preserve"> Prophylaxis with probiotics is routinely given in preterm neonates </w:t>
            </w:r>
            <w:r w:rsidRPr="00925141">
              <w:t>less than</w:t>
            </w:r>
            <w:r w:rsidRPr="00925141" w:rsidR="00BB67C7">
              <w:t xml:space="preserve"> 34 weeks gestation and/or </w:t>
            </w:r>
            <w:r w:rsidRPr="00925141">
              <w:t>less than</w:t>
            </w:r>
            <w:r w:rsidRPr="00925141" w:rsidR="00BB67C7">
              <w:t xml:space="preserve"> 1800g birthweight</w:t>
            </w:r>
          </w:p>
        </w:tc>
      </w:tr>
      <w:tr w:rsidR="00BB67C7" w:rsidTr="3BE74EE4" w14:paraId="73B5F750" w14:textId="77777777">
        <w:trPr>
          <w:trHeight w:val="765"/>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tcPr>
          <w:p w:rsidRPr="00925141" w:rsidR="00BB67C7" w:rsidP="00925141" w:rsidRDefault="00BB67C7" w14:paraId="17205C82" w14:textId="77777777">
            <w:pPr>
              <w:pStyle w:val="Tablebody"/>
              <w:rPr>
                <w:color w:val="auto"/>
              </w:rPr>
            </w:pPr>
            <w:r w:rsidRPr="00925141">
              <w:rPr>
                <w:color w:val="auto"/>
              </w:rPr>
              <w:t>Paracetamol</w:t>
            </w:r>
          </w:p>
        </w:tc>
        <w:tc>
          <w:tcPr>
            <w:cnfStyle w:val="000000000000" w:firstRow="0" w:lastRow="0" w:firstColumn="0" w:lastColumn="0" w:oddVBand="0" w:evenVBand="0" w:oddHBand="0" w:evenHBand="0" w:firstRowFirstColumn="0" w:firstRowLastColumn="0" w:lastRowFirstColumn="0" w:lastRowLastColumn="0"/>
            <w:tcW w:w="7375" w:type="dxa"/>
            <w:tcMar/>
          </w:tcPr>
          <w:p w:rsidRPr="00925141" w:rsidR="00BB67C7" w:rsidP="00925141" w:rsidRDefault="00BB67C7" w14:paraId="4F899F6C" w14:textId="77777777">
            <w:pPr>
              <w:pStyle w:val="Tablebody"/>
              <w:cnfStyle w:val="000000000000" w:firstRow="0" w:lastRow="0" w:firstColumn="0" w:lastColumn="0" w:oddVBand="0" w:evenVBand="0" w:oddHBand="0" w:evenHBand="0" w:firstRowFirstColumn="0" w:firstRowLastColumn="0" w:lastRowFirstColumn="0" w:lastRowLastColumn="0"/>
            </w:pPr>
            <w:r w:rsidRPr="00925141">
              <w:t>For Patent Ductus Arteriosus (PDA) at Canberra Hospital, a dose of 15 mg/kg 6 hourly is used for treatment in all patients.</w:t>
            </w:r>
          </w:p>
          <w:p w:rsidRPr="00925141" w:rsidR="00BB67C7" w:rsidP="00925141" w:rsidRDefault="00BB67C7" w14:paraId="6DB5D4EA" w14:textId="77777777">
            <w:pPr>
              <w:pStyle w:val="Tablebody"/>
              <w:cnfStyle w:val="000000000000" w:firstRow="0" w:lastRow="0" w:firstColumn="0" w:lastColumn="0" w:oddVBand="0" w:evenVBand="0" w:oddHBand="0" w:evenHBand="0" w:firstRowFirstColumn="0" w:firstRowLastColumn="0" w:lastRowFirstColumn="0" w:lastRowLastColumn="0"/>
            </w:pPr>
            <w:r w:rsidRPr="00925141">
              <w:t>For all other indications please refer to ANMF paracetamol monograph.</w:t>
            </w:r>
          </w:p>
        </w:tc>
      </w:tr>
      <w:tr w:rsidR="00BB67C7" w:rsidTr="3BE74EE4" w14:paraId="45DB1772" w14:textId="77777777">
        <w:trPr>
          <w:trHeight w:val="765"/>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hideMark/>
          </w:tcPr>
          <w:p w:rsidRPr="00925141" w:rsidR="00BB67C7" w:rsidP="00925141" w:rsidRDefault="00BB67C7" w14:paraId="26DD9DE4" w14:textId="77777777">
            <w:pPr>
              <w:pStyle w:val="Tablebody"/>
              <w:rPr>
                <w:color w:val="auto"/>
              </w:rPr>
            </w:pPr>
            <w:proofErr w:type="spellStart"/>
            <w:r w:rsidRPr="00925141">
              <w:rPr>
                <w:color w:val="auto"/>
              </w:rPr>
              <w:t>Pentavite</w:t>
            </w:r>
            <w:proofErr w:type="spellEnd"/>
            <w:r w:rsidRPr="00925141">
              <w:rPr>
                <w:color w:val="auto"/>
              </w:rPr>
              <w:t xml:space="preserve"> or Brauer Multivitamin liquid</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1EFF07FA" w14:textId="685F166A">
            <w:pPr>
              <w:pStyle w:val="Tablebody"/>
              <w:cnfStyle w:val="000000000000" w:firstRow="0" w:lastRow="0" w:firstColumn="0" w:lastColumn="0" w:oddVBand="0" w:evenVBand="0" w:oddHBand="0" w:evenHBand="0" w:firstRowFirstColumn="0" w:firstRowLastColumn="0" w:lastRowFirstColumn="0" w:lastRowLastColumn="0"/>
            </w:pPr>
            <w:r w:rsidRPr="00925141">
              <w:t xml:space="preserve">Routinely used to prevent vitamin deficiency in infants </w:t>
            </w:r>
            <w:r w:rsidRPr="00925141" w:rsidR="00697859">
              <w:t xml:space="preserve">less than </w:t>
            </w:r>
            <w:r w:rsidRPr="00925141">
              <w:t xml:space="preserve">32 weeks gestation and/or </w:t>
            </w:r>
            <w:r w:rsidRPr="00925141" w:rsidR="00697859">
              <w:t>less than</w:t>
            </w:r>
            <w:r w:rsidRPr="00925141">
              <w:t xml:space="preserve"> 1800 g birthweight.</w:t>
            </w:r>
          </w:p>
          <w:p w:rsidRPr="00925141" w:rsidR="00BB67C7" w:rsidP="00925141" w:rsidRDefault="00BB67C7" w14:paraId="38E1B49F" w14:textId="77777777">
            <w:pPr>
              <w:pStyle w:val="Tablebody"/>
              <w:cnfStyle w:val="000000000000" w:firstRow="0" w:lastRow="0" w:firstColumn="0" w:lastColumn="0" w:oddVBand="0" w:evenVBand="0" w:oddHBand="0" w:evenHBand="0" w:firstRowFirstColumn="0" w:firstRowLastColumn="0" w:lastRowFirstColumn="0" w:lastRowLastColumn="0"/>
            </w:pPr>
            <w:r w:rsidRPr="00925141">
              <w:t>If using Brauer product an additional 200IU of vitamin D (</w:t>
            </w:r>
            <w:proofErr w:type="spellStart"/>
            <w:r w:rsidRPr="00925141">
              <w:t>colecalciferol</w:t>
            </w:r>
            <w:proofErr w:type="spellEnd"/>
            <w:r w:rsidRPr="00925141">
              <w:t>) is recommended</w:t>
            </w:r>
          </w:p>
        </w:tc>
      </w:tr>
      <w:tr w:rsidR="00BB67C7" w:rsidTr="3BE74EE4" w14:paraId="1463536E" w14:textId="77777777">
        <w:trPr>
          <w:trHeight w:val="765"/>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hideMark/>
          </w:tcPr>
          <w:p w:rsidRPr="00925141" w:rsidR="00BB67C7" w:rsidP="00925141" w:rsidRDefault="00BB67C7" w14:paraId="011F4889" w14:textId="77777777">
            <w:pPr>
              <w:pStyle w:val="Tablebody"/>
              <w:rPr>
                <w:color w:val="auto"/>
              </w:rPr>
            </w:pPr>
            <w:r w:rsidRPr="00925141">
              <w:rPr>
                <w:color w:val="auto"/>
              </w:rPr>
              <w:t>Potassium Chloride</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60F193E8" w14:textId="45F48D8E">
            <w:pPr>
              <w:pStyle w:val="Tablebody"/>
              <w:cnfStyle w:val="000000000000" w:firstRow="0" w:lastRow="0" w:firstColumn="0" w:lastColumn="0" w:oddVBand="0" w:evenVBand="0" w:oddHBand="0" w:evenHBand="0" w:firstRowFirstColumn="0" w:firstRowLastColumn="0" w:lastRowFirstColumn="0" w:lastRowLastColumn="0"/>
            </w:pPr>
            <w:r w:rsidR="3BE74EE4">
              <w:rPr/>
              <w:t xml:space="preserve">A premixed solution of 10mmol/100mL is available and stored in </w:t>
            </w:r>
            <w:r w:rsidR="3BE74EE4">
              <w:rPr/>
              <w:t>Neonatal Intensive Care Unit (</w:t>
            </w:r>
            <w:r w:rsidR="3BE74EE4">
              <w:rPr/>
              <w:t>NICU</w:t>
            </w:r>
            <w:r w:rsidR="3BE74EE4">
              <w:rPr/>
              <w:t>)</w:t>
            </w:r>
            <w:r w:rsidR="3BE74EE4">
              <w:rPr/>
              <w:t xml:space="preserve"> and should be used in preference to diluting concentrated ampoules. Baxter Potassium Chloride 10 mmol/100 mL and Sodium Chloride 0.29% solution can be used as side arm infusion preferably through central line.</w:t>
            </w:r>
          </w:p>
          <w:p w:rsidRPr="00925141" w:rsidR="00BB67C7" w:rsidP="3BE74EE4" w:rsidRDefault="00BB67C7" w14:paraId="282E5443" w14:textId="55FF089E">
            <w:pPr>
              <w:pStyle w:val="Tablebody"/>
              <w:cnfStyle w:val="000000000000" w:firstRow="0" w:lastRow="0" w:firstColumn="0" w:lastColumn="0" w:oddVBand="0" w:evenVBand="0" w:oddHBand="0" w:evenHBand="0" w:firstRowFirstColumn="0" w:firstRowLastColumn="0" w:lastRowFirstColumn="0" w:lastRowLastColumn="0"/>
              <w:rPr>
                <w:b w:val="1"/>
                <w:bCs w:val="1"/>
              </w:rPr>
            </w:pPr>
            <w:r w:rsidRPr="3BE74EE4" w:rsidR="3BE74EE4">
              <w:rPr>
                <w:b w:val="1"/>
                <w:bCs w:val="1"/>
              </w:rPr>
              <w:t xml:space="preserve">For safety, draw up the required dose from the bag into an appropriately sized syringe and </w:t>
            </w:r>
            <w:r w:rsidRPr="3BE74EE4" w:rsidR="3BE74EE4">
              <w:rPr>
                <w:b w:val="1"/>
                <w:bCs w:val="1"/>
              </w:rPr>
              <w:t>administer</w:t>
            </w:r>
            <w:r w:rsidRPr="3BE74EE4" w:rsidR="3BE74EE4">
              <w:rPr>
                <w:b w:val="1"/>
                <w:bCs w:val="1"/>
              </w:rPr>
              <w:t xml:space="preserve"> with </w:t>
            </w:r>
            <w:r w:rsidRPr="3BE74EE4" w:rsidR="3BE74EE4">
              <w:rPr>
                <w:b w:val="1"/>
                <w:bCs w:val="1"/>
              </w:rPr>
              <w:t>syringe</w:t>
            </w:r>
            <w:r w:rsidRPr="3BE74EE4" w:rsidR="3BE74EE4">
              <w:rPr>
                <w:b w:val="1"/>
                <w:bCs w:val="1"/>
              </w:rPr>
              <w:t xml:space="preserve"> pump. DO NOT connect the bag to a patient’s IV line as errors can result in the whole bag being administered.</w:t>
            </w:r>
          </w:p>
        </w:tc>
      </w:tr>
      <w:tr w:rsidR="00BB67C7" w:rsidTr="3BE74EE4" w14:paraId="08950195" w14:textId="77777777">
        <w:trPr>
          <w:trHeight w:val="300"/>
        </w:trPr>
        <w:tc>
          <w:tcPr>
            <w:cnfStyle w:val="001000000000" w:firstRow="0" w:lastRow="0" w:firstColumn="1" w:lastColumn="0" w:oddVBand="0" w:evenVBand="0" w:oddHBand="0" w:evenHBand="0" w:firstRowFirstColumn="0" w:firstRowLastColumn="0" w:lastRowFirstColumn="0" w:lastRowLastColumn="0"/>
            <w:tcW w:w="2680" w:type="dxa"/>
            <w:shd w:val="clear" w:color="auto" w:fill="auto"/>
            <w:tcMar/>
            <w:hideMark/>
          </w:tcPr>
          <w:p w:rsidRPr="00925141" w:rsidR="00BB67C7" w:rsidP="00925141" w:rsidRDefault="00BB67C7" w14:paraId="41844DB5" w14:textId="77777777">
            <w:pPr>
              <w:pStyle w:val="Tablebody"/>
              <w:rPr>
                <w:color w:val="auto"/>
              </w:rPr>
            </w:pPr>
            <w:r w:rsidRPr="00925141">
              <w:rPr>
                <w:rFonts w:eastAsia="Aptos"/>
                <w:color w:val="auto"/>
              </w:rPr>
              <w:t>Potassium dihydrogen phosphate</w:t>
            </w:r>
          </w:p>
        </w:tc>
        <w:tc>
          <w:tcPr>
            <w:cnfStyle w:val="000000000000" w:firstRow="0" w:lastRow="0" w:firstColumn="0" w:lastColumn="0" w:oddVBand="0" w:evenVBand="0" w:oddHBand="0" w:evenHBand="0" w:firstRowFirstColumn="0" w:firstRowLastColumn="0" w:lastRowFirstColumn="0" w:lastRowLastColumn="0"/>
            <w:tcW w:w="7375" w:type="dxa"/>
            <w:tcMar/>
            <w:hideMark/>
          </w:tcPr>
          <w:p w:rsidRPr="00925141" w:rsidR="00BB67C7" w:rsidP="00925141" w:rsidRDefault="00BB67C7" w14:paraId="0BA5F76E" w14:textId="77777777">
            <w:pPr>
              <w:pStyle w:val="Tablebody"/>
              <w:cnfStyle w:val="000000000000" w:firstRow="0" w:lastRow="0" w:firstColumn="0" w:lastColumn="0" w:oddVBand="0" w:evenVBand="0" w:oddHBand="0" w:evenHBand="0" w:firstRowFirstColumn="0" w:firstRowLastColumn="0" w:lastRowFirstColumn="0" w:lastRowLastColumn="0"/>
              <w:rPr>
                <w:rFonts w:eastAsia="Aptos"/>
              </w:rPr>
            </w:pPr>
            <w:r w:rsidRPr="00925141">
              <w:rPr>
                <w:rFonts w:eastAsia="Aptos"/>
              </w:rPr>
              <w:t>A premixed solution of 10mmol/250mL in 0.9% sodium chloride is avai</w:t>
            </w:r>
            <w:r w:rsidRPr="00925141">
              <w:rPr>
                <w:rFonts w:eastAsiaTheme="minorEastAsia"/>
                <w:lang w:eastAsia="en-US"/>
              </w:rPr>
              <w:t xml:space="preserve">lable and stored in NICU and should be used in preference to diluting concentrated ampoules. </w:t>
            </w:r>
          </w:p>
          <w:p w:rsidRPr="00925141" w:rsidR="00BB67C7" w:rsidP="00925141" w:rsidRDefault="00BB67C7" w14:paraId="3F5E7C3B" w14:textId="5E0EA52B">
            <w:pPr>
              <w:pStyle w:val="Tablebody"/>
              <w:cnfStyle w:val="000000000000" w:firstRow="0" w:lastRow="0" w:firstColumn="0" w:lastColumn="0" w:oddVBand="0" w:evenVBand="0" w:oddHBand="0" w:evenHBand="0" w:firstRowFirstColumn="0" w:firstRowLastColumn="0" w:lastRowFirstColumn="0" w:lastRowLastColumn="0"/>
              <w:rPr>
                <w:rFonts w:eastAsia="Aptos"/>
              </w:rPr>
            </w:pPr>
            <w:r w:rsidRPr="00925141">
              <w:rPr>
                <w:rFonts w:eastAsia="Aptos"/>
              </w:rPr>
              <w:t>Every 25mL gives 1mmol of potassium, 1mmol of Phosphate, 2mmol of hydrogen ions, 3.75mmol of sodium and 3.75mmol of chloride</w:t>
            </w:r>
          </w:p>
          <w:p w:rsidRPr="00925141" w:rsidR="00BB67C7" w:rsidP="00925141" w:rsidRDefault="00BB67C7" w14:paraId="304D7FDD" w14:textId="143139EB">
            <w:pPr>
              <w:pStyle w:val="Tablebody"/>
              <w:cnfStyle w:val="000000000000" w:firstRow="0" w:lastRow="0" w:firstColumn="0" w:lastColumn="0" w:oddVBand="0" w:evenVBand="0" w:oddHBand="0" w:evenHBand="0" w:firstRowFirstColumn="0" w:firstRowLastColumn="0" w:lastRowFirstColumn="0" w:lastRowLastColumn="0"/>
              <w:rPr>
                <w:rFonts w:eastAsia="Aptos"/>
                <w:b/>
              </w:rPr>
            </w:pPr>
            <w:r w:rsidRPr="00925141">
              <w:rPr>
                <w:rFonts w:eastAsia="Aptos"/>
                <w:b/>
              </w:rPr>
              <w:t>For safety, draw up the required dose from the bag into an appropriately sized syringe and administer with syringe pump. DO NOT connect the bag to a patient’s IV line as errors can result in the whole bag being administered</w:t>
            </w:r>
          </w:p>
          <w:p w:rsidRPr="00925141" w:rsidR="00BB67C7" w:rsidP="00925141" w:rsidRDefault="00BB67C7" w14:paraId="2EEED1CD" w14:textId="540E76D8">
            <w:pPr>
              <w:pStyle w:val="Tablebody"/>
              <w:cnfStyle w:val="000000000000" w:firstRow="0" w:lastRow="0" w:firstColumn="0" w:lastColumn="0" w:oddVBand="0" w:evenVBand="0" w:oddHBand="0" w:evenHBand="0" w:firstRowFirstColumn="0" w:firstRowLastColumn="0" w:lastRowFirstColumn="0" w:lastRowLastColumn="0"/>
              <w:rPr>
                <w:rFonts w:eastAsia="Aptos"/>
              </w:rPr>
            </w:pPr>
            <w:r w:rsidRPr="00925141">
              <w:rPr>
                <w:rFonts w:eastAsia="Aptos"/>
              </w:rPr>
              <w:t>If sodium restriction is required, the same concentration 10mmol/250mL of potassium dihydrogen phosphate can be made in 5% glucose</w:t>
            </w:r>
          </w:p>
          <w:p w:rsidRPr="00925141" w:rsidR="00BB67C7" w:rsidP="00925141" w:rsidRDefault="00BB67C7" w14:paraId="0B36E86D" w14:textId="6873D92D">
            <w:pPr>
              <w:pStyle w:val="Tablebody"/>
              <w:cnfStyle w:val="000000000000" w:firstRow="0" w:lastRow="0" w:firstColumn="0" w:lastColumn="0" w:oddVBand="0" w:evenVBand="0" w:oddHBand="0" w:evenHBand="0" w:firstRowFirstColumn="0" w:firstRowLastColumn="0" w:lastRowFirstColumn="0" w:lastRowLastColumn="0"/>
              <w:rPr>
                <w:rFonts w:eastAsia="Aptos"/>
              </w:rPr>
            </w:pPr>
            <w:r w:rsidRPr="00925141">
              <w:rPr>
                <w:rFonts w:eastAsia="Aptos"/>
              </w:rPr>
              <w:t xml:space="preserve">If fluid restriction is required more concentrated dilutions can be administered in consultation with Neonatologist and/or NICU Pharmacist </w:t>
            </w:r>
          </w:p>
          <w:p w:rsidRPr="00925141" w:rsidR="00BB67C7" w:rsidP="00925141" w:rsidRDefault="00BB67C7" w14:paraId="34CBC6C3" w14:textId="70B29C7D">
            <w:pPr>
              <w:pStyle w:val="Tablebody"/>
              <w:cnfStyle w:val="000000000000" w:firstRow="0" w:lastRow="0" w:firstColumn="0" w:lastColumn="0" w:oddVBand="0" w:evenVBand="0" w:oddHBand="0" w:evenHBand="0" w:firstRowFirstColumn="0" w:firstRowLastColumn="0" w:lastRowFirstColumn="0" w:lastRowLastColumn="0"/>
              <w:rPr>
                <w:rFonts w:eastAsia="Aptos"/>
              </w:rPr>
            </w:pPr>
            <w:r w:rsidRPr="00925141">
              <w:rPr>
                <w:rFonts w:eastAsia="Aptos"/>
              </w:rPr>
              <w:t>Concentrated solutions ideally administered centrally but phosphate infusion is incompatible with any solution containing calcium (which includes TPN) which may prevent central administration.</w:t>
            </w:r>
          </w:p>
        </w:tc>
      </w:tr>
    </w:tbl>
    <w:p w:rsidR="003677A8" w:rsidP="005757A3" w:rsidRDefault="003677A8" w14:paraId="1A1FE2CF" w14:textId="77777777">
      <w:pPr>
        <w:pStyle w:val="Heading4"/>
      </w:pPr>
      <w:r>
        <w:t>Search terms</w:t>
      </w:r>
    </w:p>
    <w:p w:rsidR="00BB67C7" w:rsidP="00BB67C7" w:rsidRDefault="00BB67C7" w14:paraId="50DA57D3" w14:textId="2F3AE6F1">
      <w:pPr>
        <w:pStyle w:val="BodyCopy"/>
      </w:pPr>
      <w:bookmarkStart w:name="_Hlk172617781" w:id="5"/>
      <w:r w:rsidRPr="29441640">
        <w:t xml:space="preserve">Neonate, NICU, neonatal intensive care unit, medicine, medication, drug, medicines, medications, drugs, paediatric, ANMF, </w:t>
      </w:r>
      <w:proofErr w:type="spellStart"/>
      <w:r w:rsidRPr="29441640">
        <w:t>neomed</w:t>
      </w:r>
      <w:proofErr w:type="spellEnd"/>
      <w:r w:rsidRPr="29441640">
        <w:t xml:space="preserve">, baby, infant, , Iodinated contrast, lidocaine, recombinant factor </w:t>
      </w:r>
      <w:proofErr w:type="spellStart"/>
      <w:r w:rsidRPr="29441640">
        <w:t>VIIa</w:t>
      </w:r>
      <w:proofErr w:type="spellEnd"/>
      <w:r w:rsidRPr="29441640">
        <w:t>, zoster immunoglobulin, baby, neonatal, neonatology</w:t>
      </w:r>
      <w:r>
        <w:t>.</w:t>
      </w:r>
      <w:r w:rsidRPr="29441640">
        <w:t xml:space="preserve"> </w:t>
      </w:r>
    </w:p>
    <w:p w:rsidR="00BB67C7" w:rsidP="005757A3" w:rsidRDefault="00BB67C7" w14:paraId="6B2EE3E9" w14:textId="1B57EA33">
      <w:pPr>
        <w:pStyle w:val="Heading4"/>
      </w:pPr>
      <w:r>
        <w:t>Abbreviations</w:t>
      </w:r>
    </w:p>
    <w:p w:rsidR="00BB67C7" w:rsidP="00BB67C7" w:rsidRDefault="00BB67C7" w14:paraId="7CAB9309" w14:textId="667875BC">
      <w:pPr>
        <w:pStyle w:val="BodyText"/>
        <w:rPr>
          <w:lang w:eastAsia="en-US"/>
        </w:rPr>
      </w:pPr>
      <w:r>
        <w:rPr>
          <w:lang w:eastAsia="en-US"/>
        </w:rPr>
        <w:t xml:space="preserve">Note that the following abbreviation </w:t>
      </w:r>
      <w:r w:rsidR="00925141">
        <w:rPr>
          <w:lang w:eastAsia="en-US"/>
        </w:rPr>
        <w:t xml:space="preserve">is </w:t>
      </w:r>
      <w:r>
        <w:rPr>
          <w:lang w:eastAsia="en-US"/>
        </w:rPr>
        <w:t>used throughout this document:</w:t>
      </w:r>
    </w:p>
    <w:p w:rsidR="00BB67C7" w:rsidP="00925141" w:rsidRDefault="00BB67C7" w14:paraId="6EA26F01" w14:textId="1902A110">
      <w:pPr>
        <w:pStyle w:val="Bullet"/>
      </w:pPr>
      <w:r w:rsidRPr="00925141">
        <w:t>WFI = Water for injection</w:t>
      </w:r>
      <w:r w:rsidRPr="00925141" w:rsidR="00925141">
        <w:t>.</w:t>
      </w:r>
    </w:p>
    <w:p w:rsidR="0087074A" w:rsidP="0087074A" w:rsidRDefault="0087074A" w14:paraId="27907E42" w14:textId="77777777">
      <w:pPr>
        <w:pStyle w:val="Bullet"/>
        <w:numPr>
          <w:ilvl w:val="0"/>
          <w:numId w:val="0"/>
        </w:numPr>
        <w:ind w:left="425" w:hanging="425"/>
      </w:pPr>
    </w:p>
    <w:p w:rsidR="0087074A" w:rsidP="0087074A" w:rsidRDefault="0087074A" w14:paraId="103B0E84" w14:textId="77777777">
      <w:pPr>
        <w:pStyle w:val="Bullet"/>
        <w:numPr>
          <w:ilvl w:val="0"/>
          <w:numId w:val="0"/>
        </w:numPr>
        <w:ind w:left="425" w:hanging="425"/>
      </w:pPr>
    </w:p>
    <w:p w:rsidRPr="00925141" w:rsidR="0087074A" w:rsidP="0087074A" w:rsidRDefault="0087074A" w14:paraId="14EDD776" w14:textId="77777777">
      <w:pPr>
        <w:pStyle w:val="Bullet"/>
        <w:numPr>
          <w:ilvl w:val="0"/>
          <w:numId w:val="0"/>
        </w:numPr>
        <w:ind w:left="425" w:hanging="425"/>
      </w:pPr>
    </w:p>
    <w:p w:rsidR="00BB67C7" w:rsidP="005757A3" w:rsidRDefault="00BB67C7" w14:paraId="7A604025" w14:textId="1F0E17C9">
      <w:pPr>
        <w:pStyle w:val="Heading4"/>
      </w:pPr>
      <w:r>
        <w:t>Medications not listed in the ANMF</w:t>
      </w:r>
    </w:p>
    <w:p w:rsidR="00925141" w:rsidP="00925141" w:rsidRDefault="00925141" w14:paraId="041DBAA3" w14:textId="7730AABE">
      <w:pPr>
        <w:pStyle w:val="Tablebody"/>
      </w:pPr>
      <w:r w:rsidRPr="00BB67C7">
        <w:t>If a medication is not listed in ANMF advice should be sought from the appropriate subspeciality unit of the Sydney Children’s Hospital Network or other published resources.</w:t>
      </w:r>
      <w:r>
        <w:t xml:space="preserve"> </w:t>
      </w:r>
      <w:r w:rsidRPr="00BB67C7">
        <w:t>Resources available via CHS intranet include</w:t>
      </w:r>
      <w:r>
        <w:t>:</w:t>
      </w:r>
      <w:r w:rsidRPr="00BB67C7">
        <w:t xml:space="preserve"> </w:t>
      </w:r>
    </w:p>
    <w:p w:rsidR="00925141" w:rsidP="00925141" w:rsidRDefault="00925141" w14:paraId="054A9B33" w14:textId="20876524">
      <w:pPr>
        <w:pStyle w:val="Bullet"/>
      </w:pPr>
      <w:r>
        <w:t>Australian Medicine’s Handbook Children’s Dosing Companion</w:t>
      </w:r>
    </w:p>
    <w:p w:rsidR="00925141" w:rsidP="00925141" w:rsidRDefault="00925141" w14:paraId="1A309DF0" w14:textId="2A88262E">
      <w:pPr>
        <w:pStyle w:val="Bullet"/>
      </w:pPr>
      <w:r>
        <w:t>Australian Injectable Drugs Handbook</w:t>
      </w:r>
    </w:p>
    <w:p w:rsidR="00925141" w:rsidP="00925141" w:rsidRDefault="00925141" w14:paraId="5627D2AF" w14:textId="2F86F904">
      <w:pPr>
        <w:pStyle w:val="Bullet"/>
      </w:pPr>
      <w:proofErr w:type="spellStart"/>
      <w:r>
        <w:t>Lexidrug</w:t>
      </w:r>
      <w:proofErr w:type="spellEnd"/>
    </w:p>
    <w:p w:rsidR="00925141" w:rsidP="00925141" w:rsidRDefault="00925141" w14:paraId="50CA5CE3" w14:textId="5F11BF1A">
      <w:pPr>
        <w:pStyle w:val="Bullet"/>
      </w:pPr>
      <w:proofErr w:type="spellStart"/>
      <w:r>
        <w:t>eMIMS</w:t>
      </w:r>
      <w:proofErr w:type="spellEnd"/>
    </w:p>
    <w:p w:rsidR="00925141" w:rsidP="00925141" w:rsidRDefault="00925141" w14:paraId="7E5A5E15" w14:textId="262B29A1">
      <w:pPr>
        <w:pStyle w:val="Bullet"/>
      </w:pPr>
      <w:r>
        <w:t xml:space="preserve">Paediatric Injectable Guidelines (RCH </w:t>
      </w:r>
      <w:proofErr w:type="spellStart"/>
      <w:r>
        <w:t>Melb</w:t>
      </w:r>
      <w:proofErr w:type="spellEnd"/>
      <w:r>
        <w:t>)</w:t>
      </w:r>
    </w:p>
    <w:p w:rsidR="00925141" w:rsidP="00925141" w:rsidRDefault="00925141" w14:paraId="6BD841DD" w14:textId="5C6F90AF">
      <w:pPr>
        <w:pStyle w:val="Bullet"/>
        <w:numPr>
          <w:ilvl w:val="0"/>
          <w:numId w:val="0"/>
        </w:numPr>
        <w:ind w:left="425"/>
      </w:pPr>
      <w:r>
        <w:t xml:space="preserve">Therapeutic Guidelines </w:t>
      </w:r>
    </w:p>
    <w:p w:rsidRPr="00BB67C7" w:rsidR="00925141" w:rsidP="00925141" w:rsidRDefault="00925141" w14:paraId="7616BCF4" w14:textId="053FDB64">
      <w:pPr>
        <w:pStyle w:val="Bullet"/>
      </w:pPr>
      <w:r>
        <w:t>Up to date.</w:t>
      </w:r>
    </w:p>
    <w:p w:rsidRPr="00BB67C7" w:rsidR="00925141" w:rsidP="00925141" w:rsidRDefault="00925141" w14:paraId="55738B1E" w14:textId="25AC3F08">
      <w:pPr>
        <w:pStyle w:val="Tablebody"/>
      </w:pPr>
      <w:r w:rsidRPr="00BB67C7">
        <w:t>Additional information may be available from Interstate guidelines available on the internet including</w:t>
      </w:r>
      <w:r>
        <w:t>:</w:t>
      </w:r>
    </w:p>
    <w:p w:rsidRPr="00BB67C7" w:rsidR="00925141" w:rsidP="00925141" w:rsidRDefault="00925141" w14:paraId="1EDFABB6" w14:textId="5FF3D8E0">
      <w:pPr>
        <w:pStyle w:val="Bullet"/>
      </w:pPr>
      <w:hyperlink r:id="rId13">
        <w:r w:rsidRPr="00BB67C7">
          <w:rPr>
            <w:rStyle w:val="Hyperlink"/>
          </w:rPr>
          <w:t>KEMH Perth</w:t>
        </w:r>
      </w:hyperlink>
      <w:r>
        <w:t>.</w:t>
      </w:r>
    </w:p>
    <w:p w:rsidR="00925141" w:rsidP="00925141" w:rsidRDefault="00925141" w14:paraId="66612863" w14:textId="77777777">
      <w:pPr>
        <w:pStyle w:val="Tablebody"/>
      </w:pPr>
    </w:p>
    <w:p w:rsidRPr="00BB67C7" w:rsidR="00BB67C7" w:rsidP="005757A3" w:rsidRDefault="00925141" w14:paraId="471EB039" w14:textId="57DA8762">
      <w:pPr>
        <w:pStyle w:val="Tablebody"/>
        <w:rPr>
          <w:lang w:eastAsia="en-US"/>
        </w:rPr>
      </w:pPr>
      <w:r w:rsidRPr="00BB67C7">
        <w:t>Additional information is provided below on a small number of medications</w:t>
      </w:r>
      <w:r>
        <w:t>.</w:t>
      </w:r>
    </w:p>
    <w:p w:rsidR="00BB67C7" w:rsidP="005757A3" w:rsidRDefault="00925141" w14:paraId="31CC67B3" w14:textId="46E2DCAC">
      <w:pPr>
        <w:pStyle w:val="Heading4"/>
      </w:pPr>
      <w:r w:rsidRPr="00925141">
        <w:t>Iodinated contrast media</w:t>
      </w:r>
    </w:p>
    <w:tbl>
      <w:tblPr>
        <w:tblStyle w:val="TableGrid"/>
        <w:tblW w:w="0" w:type="auto"/>
        <w:tblLook w:val="04A0" w:firstRow="1" w:lastRow="0" w:firstColumn="1" w:lastColumn="0" w:noHBand="0" w:noVBand="1"/>
      </w:tblPr>
      <w:tblGrid>
        <w:gridCol w:w="5097"/>
        <w:gridCol w:w="5097"/>
      </w:tblGrid>
      <w:tr w:rsidR="00925141" w:rsidTr="00925141" w14:paraId="0FF88777" w14:textId="77777777">
        <w:tc>
          <w:tcPr>
            <w:tcW w:w="5097" w:type="dxa"/>
          </w:tcPr>
          <w:p w:rsidR="00925141" w:rsidP="004E4B6C" w:rsidRDefault="00925141" w14:paraId="4DD17460" w14:textId="77777777">
            <w:pPr>
              <w:pStyle w:val="Tablebody"/>
            </w:pPr>
            <w:r w:rsidRPr="00BB67C7">
              <w:t>Revision Date: 2/3/2026</w:t>
            </w:r>
          </w:p>
          <w:p w:rsidR="00AA75D7" w:rsidP="004E4B6C" w:rsidRDefault="00AA75D7" w14:paraId="7A056FF8" w14:textId="08693E77">
            <w:pPr>
              <w:pStyle w:val="Tablebody"/>
            </w:pPr>
          </w:p>
        </w:tc>
        <w:tc>
          <w:tcPr>
            <w:tcW w:w="5097" w:type="dxa"/>
          </w:tcPr>
          <w:p w:rsidR="00925141" w:rsidP="004E4B6C" w:rsidRDefault="00925141" w14:paraId="3DA577FA" w14:textId="78FCB6AF">
            <w:pPr>
              <w:pStyle w:val="Tablebody"/>
            </w:pPr>
            <w:r w:rsidRPr="00BB67C7">
              <w:t xml:space="preserve">Approved: </w:t>
            </w:r>
          </w:p>
        </w:tc>
      </w:tr>
      <w:tr w:rsidR="00925141" w:rsidTr="00FA55CC" w14:paraId="22BD728C" w14:textId="77777777">
        <w:tc>
          <w:tcPr>
            <w:tcW w:w="10194" w:type="dxa"/>
            <w:gridSpan w:val="2"/>
          </w:tcPr>
          <w:p w:rsidRPr="00BB67C7" w:rsidR="00925141" w:rsidP="004E4B6C" w:rsidRDefault="00925141" w14:paraId="11F95455" w14:textId="77777777">
            <w:pPr>
              <w:pStyle w:val="Tablebody"/>
            </w:pPr>
            <w:r w:rsidRPr="00BB67C7">
              <w:t>Iodinated contrast media may be used for radiological procedures with a variety of methods of administration.</w:t>
            </w:r>
          </w:p>
          <w:p w:rsidRPr="00BB67C7" w:rsidR="00925141" w:rsidP="004E4B6C" w:rsidRDefault="00925141" w14:paraId="252504FE" w14:textId="77777777">
            <w:pPr>
              <w:pStyle w:val="Tablebody"/>
            </w:pPr>
            <w:r w:rsidRPr="00BB67C7">
              <w:t>Contrast is not routinely used for the assessment of intravascular line position in the Department of Neonatology but may be used on a case-by-case basis if the position of the line cannot be determined in other ways. Use should be in consultation with a radiologist.</w:t>
            </w:r>
          </w:p>
          <w:p w:rsidRPr="004E4B6C" w:rsidR="00925141" w:rsidP="004E4B6C" w:rsidRDefault="00925141" w14:paraId="183D3C06" w14:textId="51F43E5F">
            <w:pPr>
              <w:pStyle w:val="Tablebody"/>
              <w:rPr>
                <w:iCs w:val="0"/>
              </w:rPr>
            </w:pPr>
            <w:r w:rsidRPr="00BB67C7">
              <w:t xml:space="preserve">Contrast is also used for upper and lower </w:t>
            </w:r>
            <w:r>
              <w:t>gastrointestinal (</w:t>
            </w:r>
            <w:r w:rsidRPr="00BB67C7">
              <w:t>GI</w:t>
            </w:r>
            <w:r>
              <w:t>)</w:t>
            </w:r>
            <w:r w:rsidRPr="00BB67C7">
              <w:t xml:space="preserve"> studies and occasionally other studies. In most cases these studies will be performed in the medical imaging department by radiologists. If the patient is too unstable to leave the NICU, they may have a study done in NICU using a mobile x ray machine. Use of contrast should be by or in consultation with a radiologist. Also refer to CHS </w:t>
            </w:r>
            <w:hyperlink r:id="rId14">
              <w:r w:rsidRPr="004E4B6C">
                <w:rPr>
                  <w:rStyle w:val="Hyperlink"/>
                  <w:i/>
                  <w:iCs w:val="0"/>
                </w:rPr>
                <w:t>Iodinated Contrast</w:t>
              </w:r>
            </w:hyperlink>
            <w:r w:rsidRPr="004E4B6C">
              <w:rPr>
                <w:i/>
                <w:iCs w:val="0"/>
              </w:rPr>
              <w:t xml:space="preserve"> Guideline</w:t>
            </w:r>
            <w:r w:rsidR="004E4B6C">
              <w:rPr>
                <w:i/>
              </w:rPr>
              <w:t xml:space="preserve"> </w:t>
            </w:r>
            <w:r w:rsidRPr="004E4B6C" w:rsidR="004E4B6C">
              <w:rPr>
                <w:iCs w:val="0"/>
              </w:rPr>
              <w:t>available on the CHS Policy and Guidance Document Register</w:t>
            </w:r>
            <w:r w:rsidR="004E4B6C">
              <w:rPr>
                <w:iCs w:val="0"/>
              </w:rPr>
              <w:t>.</w:t>
            </w:r>
          </w:p>
          <w:p w:rsidRPr="00BB67C7" w:rsidR="00925141" w:rsidP="004E4B6C" w:rsidRDefault="00925141" w14:paraId="00346B0E" w14:textId="77777777">
            <w:pPr>
              <w:pStyle w:val="Tablebody"/>
              <w:rPr>
                <w:b/>
              </w:rPr>
            </w:pPr>
            <w:r w:rsidRPr="00BB67C7">
              <w:rPr>
                <w:b/>
              </w:rPr>
              <w:t xml:space="preserve">NOTES: </w:t>
            </w:r>
          </w:p>
          <w:p w:rsidRPr="004E4B6C" w:rsidR="00925141" w:rsidP="004E4B6C" w:rsidRDefault="00925141" w14:paraId="75FBA663" w14:textId="77777777">
            <w:pPr>
              <w:pStyle w:val="Numberedlist"/>
              <w:rPr>
                <w:b/>
                <w:bCs/>
              </w:rPr>
            </w:pPr>
            <w:r w:rsidRPr="004E4B6C">
              <w:rPr>
                <w:b/>
                <w:bCs/>
              </w:rPr>
              <w:t xml:space="preserve">Serious adverse reactions can occur with intravascular use of iodinated contrast media, and it should only be used in an environment where appropriate equipment and personnel are available. </w:t>
            </w:r>
          </w:p>
          <w:p w:rsidR="00F8558C" w:rsidP="004E4B6C" w:rsidRDefault="00925141" w14:paraId="2366EDE1" w14:textId="77777777">
            <w:pPr>
              <w:pStyle w:val="Numberedlist"/>
              <w:rPr>
                <w:b/>
                <w:bCs/>
              </w:rPr>
            </w:pPr>
            <w:r w:rsidRPr="004E4B6C">
              <w:rPr>
                <w:b/>
                <w:bCs/>
              </w:rPr>
              <w:t>Intravascular use of iodinated contrast may also cause acute kidney injury, and we should ensure appropriate volume status and consider alternative imaging if there is preexisting renal impairment/injury</w:t>
            </w:r>
            <w:r w:rsidR="004E4B6C">
              <w:rPr>
                <w:b/>
                <w:bCs/>
              </w:rPr>
              <w:t>.</w:t>
            </w:r>
          </w:p>
          <w:p w:rsidRPr="00F8558C" w:rsidR="00925141" w:rsidP="004E4B6C" w:rsidRDefault="00925141" w14:paraId="3FC5CFB0" w14:textId="590B591F">
            <w:pPr>
              <w:pStyle w:val="Numberedlist"/>
              <w:rPr>
                <w:b/>
                <w:bCs/>
              </w:rPr>
            </w:pPr>
            <w:r w:rsidRPr="00F8558C">
              <w:rPr>
                <w:b/>
              </w:rPr>
              <w:t xml:space="preserve">Use of iodinated contrast may also cause thyroid dysfunction (most commonly with intravascular use) but may also occur after enteral administration which may </w:t>
            </w:r>
            <w:r w:rsidRPr="00F8558C">
              <w:rPr>
                <w:b/>
              </w:rPr>
              <w:t xml:space="preserve">allow systemic absorption. Preterm and low birth weight infants are at highest risk. The United States Food and Drug Administration (FDA) and Paediatric Endocrine Society (PES) both recommend Screening TFTs 2-3weeks after all injections of iodinated contrast media in children under 3 years of age. We should consider similar screening after enteral contrast use especially in the preterm population. </w:t>
            </w:r>
          </w:p>
        </w:tc>
      </w:tr>
    </w:tbl>
    <w:p w:rsidRPr="00BB67C7" w:rsidR="00EA77D1" w:rsidP="00EA77D1" w:rsidRDefault="00EA77D1" w14:paraId="5C45746D" w14:textId="77777777">
      <w:pPr>
        <w:pStyle w:val="Numberedlist"/>
        <w:numPr>
          <w:ilvl w:val="0"/>
          <w:numId w:val="26"/>
        </w:numPr>
        <w:pBdr>
          <w:top w:val="single" w:color="auto" w:sz="4" w:space="1"/>
          <w:left w:val="single" w:color="auto" w:sz="4" w:space="4"/>
          <w:bottom w:val="single" w:color="auto" w:sz="4" w:space="1"/>
          <w:right w:val="single" w:color="auto" w:sz="4" w:space="4"/>
        </w:pBdr>
      </w:pPr>
      <w:r w:rsidRPr="00BB67C7">
        <w:t xml:space="preserve">PES Statement on Thyroid Monitoring in Infants and Young Children </w:t>
      </w:r>
      <w:proofErr w:type="spellStart"/>
      <w:r w:rsidRPr="00BB67C7">
        <w:t>Recieving</w:t>
      </w:r>
      <w:proofErr w:type="spellEnd"/>
      <w:r w:rsidRPr="00BB67C7">
        <w:t xml:space="preserve"> Iodine Containing Contrast Media, published PES website, May 10 2022. </w:t>
      </w:r>
    </w:p>
    <w:p w:rsidR="00EA77D1" w:rsidP="00EA77D1" w:rsidRDefault="00EA77D1" w14:paraId="40048098" w14:textId="77777777">
      <w:pPr>
        <w:pStyle w:val="Numberedlist"/>
        <w:pBdr>
          <w:top w:val="single" w:color="auto" w:sz="4" w:space="1"/>
          <w:left w:val="single" w:color="auto" w:sz="4" w:space="4"/>
          <w:bottom w:val="single" w:color="auto" w:sz="4" w:space="1"/>
          <w:right w:val="single" w:color="auto" w:sz="4" w:space="4"/>
        </w:pBdr>
      </w:pPr>
      <w:r w:rsidRPr="00BB67C7">
        <w:t>FDA recommends thyroid monitoring in babies and young children who receive injections of iodine containing contrast media for medical imaging, Published on FDA website April 26 2023</w:t>
      </w:r>
    </w:p>
    <w:p w:rsidR="00F8558C" w:rsidP="00EA77D1" w:rsidRDefault="00EA77D1" w14:paraId="7C2C91AC" w14:textId="772E2313">
      <w:pPr>
        <w:pStyle w:val="Numberedlist"/>
        <w:pBdr>
          <w:top w:val="single" w:color="auto" w:sz="4" w:space="1"/>
          <w:left w:val="single" w:color="auto" w:sz="4" w:space="4"/>
          <w:bottom w:val="single" w:color="auto" w:sz="4" w:space="1"/>
          <w:right w:val="single" w:color="auto" w:sz="4" w:space="4"/>
        </w:pBdr>
      </w:pPr>
      <w:proofErr w:type="spellStart"/>
      <w:r w:rsidRPr="00BB67C7">
        <w:t>Pijpers</w:t>
      </w:r>
      <w:proofErr w:type="spellEnd"/>
      <w:r w:rsidRPr="00BB67C7">
        <w:t>, AGH, et al, Hypothyroidism in infants after enteral administration of iodinated contrast media: a rare but serious complication. Hormone research in paediatrics, Feb 2025</w:t>
      </w:r>
    </w:p>
    <w:p w:rsidR="005757A3" w:rsidP="005757A3" w:rsidRDefault="00925141" w14:paraId="797F3935" w14:textId="3EC08EA1">
      <w:pPr>
        <w:pStyle w:val="BodyCopy"/>
      </w:pPr>
      <w:hyperlink w:history="1" w:anchor="_top">
        <w:r w:rsidRPr="00481A6C">
          <w:rPr>
            <w:rStyle w:val="Hyperlink"/>
            <w:iCs w:val="0"/>
          </w:rPr>
          <w:t>Back to Contents</w:t>
        </w:r>
      </w:hyperlink>
    </w:p>
    <w:p w:rsidR="00BB67C7" w:rsidP="005757A3" w:rsidRDefault="005757A3" w14:paraId="340C8F53" w14:textId="151248CA">
      <w:pPr>
        <w:pStyle w:val="Heading4"/>
      </w:pPr>
      <w:r w:rsidRPr="005757A3">
        <w:t>Lidocaine (Lignocaine) for seizures</w:t>
      </w:r>
    </w:p>
    <w:tbl>
      <w:tblPr>
        <w:tblW w:w="101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78"/>
        <w:gridCol w:w="737"/>
        <w:gridCol w:w="855"/>
        <w:gridCol w:w="956"/>
        <w:gridCol w:w="728"/>
        <w:gridCol w:w="144"/>
        <w:gridCol w:w="833"/>
        <w:gridCol w:w="1134"/>
        <w:gridCol w:w="992"/>
        <w:gridCol w:w="1134"/>
        <w:gridCol w:w="992"/>
      </w:tblGrid>
      <w:tr w:rsidRPr="00DA3C19" w:rsidR="005757A3" w:rsidTr="00F35645" w14:paraId="7223165F" w14:textId="77777777">
        <w:trPr>
          <w:cantSplit/>
          <w:trHeight w:val="655"/>
          <w:jc w:val="center"/>
        </w:trPr>
        <w:tc>
          <w:tcPr>
            <w:tcW w:w="1678" w:type="dxa"/>
            <w:tcBorders>
              <w:top w:val="single" w:color="auto" w:sz="4" w:space="0"/>
              <w:left w:val="single" w:color="auto" w:sz="4" w:space="0"/>
              <w:bottom w:val="single" w:color="auto" w:sz="4" w:space="0"/>
              <w:right w:val="single" w:color="auto" w:sz="4" w:space="0"/>
            </w:tcBorders>
          </w:tcPr>
          <w:p w:rsidRPr="004E4B6C" w:rsidR="005757A3" w:rsidP="004E4B6C" w:rsidRDefault="005757A3" w14:paraId="47FC484D" w14:textId="77777777">
            <w:pPr>
              <w:pStyle w:val="Tablebody"/>
              <w:rPr>
                <w:b/>
                <w:bCs w:val="0"/>
              </w:rPr>
            </w:pPr>
            <w:r w:rsidRPr="004E4B6C">
              <w:rPr>
                <w:b/>
                <w:bCs w:val="0"/>
              </w:rPr>
              <w:t>Alert</w:t>
            </w:r>
          </w:p>
        </w:tc>
        <w:tc>
          <w:tcPr>
            <w:tcW w:w="8505" w:type="dxa"/>
            <w:gridSpan w:val="10"/>
            <w:tcBorders>
              <w:top w:val="single" w:color="auto" w:sz="4" w:space="0"/>
              <w:left w:val="single" w:color="auto" w:sz="4" w:space="0"/>
              <w:bottom w:val="single" w:color="auto" w:sz="4" w:space="0"/>
              <w:right w:val="single" w:color="auto" w:sz="4" w:space="0"/>
            </w:tcBorders>
          </w:tcPr>
          <w:p w:rsidRPr="004E4B6C" w:rsidR="005757A3" w:rsidP="004E4B6C" w:rsidRDefault="005757A3" w14:paraId="346E8F1C" w14:textId="77074C0B">
            <w:pPr>
              <w:pStyle w:val="Tablebody"/>
              <w:rPr>
                <w:rFonts w:eastAsia="Calibri"/>
              </w:rPr>
            </w:pPr>
            <w:r w:rsidRPr="004E4B6C">
              <w:rPr>
                <w:rFonts w:eastAsia="Calibri"/>
              </w:rPr>
              <w:t>Incorrect dosing with respect to rate and weight may result in severe cardiovascular complications</w:t>
            </w:r>
            <w:r w:rsidR="004E4B6C">
              <w:rPr>
                <w:rFonts w:eastAsia="Calibri"/>
              </w:rPr>
              <w:t>.</w:t>
            </w:r>
          </w:p>
          <w:p w:rsidRPr="004E4B6C" w:rsidR="005757A3" w:rsidP="004E4B6C" w:rsidRDefault="005757A3" w14:paraId="1074F68C" w14:textId="2B307776">
            <w:pPr>
              <w:pStyle w:val="Tablebody"/>
              <w:rPr>
                <w:rFonts w:eastAsia="Calibri"/>
              </w:rPr>
            </w:pPr>
            <w:r w:rsidRPr="004E4B6C">
              <w:rPr>
                <w:rFonts w:eastAsia="Calibri"/>
              </w:rPr>
              <w:t>Due to potential cardiotoxicity and arrhythmias, lignocaine should not be administered for seizures outside of an intensive care environment with continuous cardiorespiratory monitoring</w:t>
            </w:r>
            <w:r w:rsidR="004E4B6C">
              <w:rPr>
                <w:rFonts w:eastAsia="Calibri"/>
              </w:rPr>
              <w:t>.</w:t>
            </w:r>
          </w:p>
        </w:tc>
      </w:tr>
      <w:tr w:rsidRPr="00DA3C19" w:rsidR="005757A3" w:rsidTr="00F35645" w14:paraId="26D8B682" w14:textId="77777777">
        <w:trPr>
          <w:cantSplit/>
          <w:trHeight w:val="655"/>
          <w:jc w:val="center"/>
        </w:trPr>
        <w:tc>
          <w:tcPr>
            <w:tcW w:w="1678" w:type="dxa"/>
            <w:tcBorders>
              <w:top w:val="single" w:color="auto" w:sz="4" w:space="0"/>
              <w:left w:val="single" w:color="auto" w:sz="4" w:space="0"/>
              <w:bottom w:val="single" w:color="auto" w:sz="4" w:space="0"/>
              <w:right w:val="single" w:color="auto" w:sz="4" w:space="0"/>
            </w:tcBorders>
          </w:tcPr>
          <w:p w:rsidRPr="004E4B6C" w:rsidR="005757A3" w:rsidP="004E4B6C" w:rsidRDefault="005757A3" w14:paraId="471E3F96" w14:textId="77777777">
            <w:pPr>
              <w:pStyle w:val="Tablebody"/>
              <w:rPr>
                <w:b/>
                <w:bCs w:val="0"/>
              </w:rPr>
            </w:pPr>
            <w:r w:rsidRPr="004E4B6C">
              <w:rPr>
                <w:b/>
                <w:bCs w:val="0"/>
              </w:rPr>
              <w:t>Indication</w:t>
            </w:r>
          </w:p>
        </w:tc>
        <w:tc>
          <w:tcPr>
            <w:tcW w:w="8505" w:type="dxa"/>
            <w:gridSpan w:val="10"/>
            <w:tcBorders>
              <w:top w:val="single" w:color="auto" w:sz="4" w:space="0"/>
              <w:left w:val="single" w:color="auto" w:sz="4" w:space="0"/>
              <w:bottom w:val="single" w:color="auto" w:sz="4" w:space="0"/>
              <w:right w:val="single" w:color="auto" w:sz="4" w:space="0"/>
            </w:tcBorders>
          </w:tcPr>
          <w:p w:rsidRPr="004E4B6C" w:rsidR="005757A3" w:rsidP="004E4B6C" w:rsidRDefault="005757A3" w14:paraId="6E7A27BE" w14:textId="77777777">
            <w:pPr>
              <w:pStyle w:val="Tablebody"/>
              <w:rPr>
                <w:rFonts w:eastAsia="Calibri"/>
              </w:rPr>
            </w:pPr>
            <w:r w:rsidRPr="004E4B6C">
              <w:rPr>
                <w:rFonts w:eastAsia="Calibri"/>
              </w:rPr>
              <w:t>Treatment of seizures not responsive to first-line therapy</w:t>
            </w:r>
          </w:p>
          <w:p w:rsidRPr="004E4B6C" w:rsidR="005757A3" w:rsidP="004E4B6C" w:rsidRDefault="005757A3" w14:paraId="5F53A473" w14:textId="77777777">
            <w:pPr>
              <w:pStyle w:val="Tablebody"/>
              <w:rPr>
                <w:rFonts w:eastAsia="Calibri"/>
              </w:rPr>
            </w:pPr>
            <w:r w:rsidRPr="004E4B6C">
              <w:rPr>
                <w:rFonts w:eastAsia="Calibri"/>
              </w:rPr>
              <w:t>At TCH Lignocaine is second line therapy in the neonatal neurology guideline but is some cases may be used as the third or fourth agent</w:t>
            </w:r>
          </w:p>
        </w:tc>
      </w:tr>
      <w:tr w:rsidRPr="00DA3C19" w:rsidR="005757A3" w:rsidTr="00F35645" w14:paraId="496BDE90" w14:textId="77777777">
        <w:trPr>
          <w:cantSplit/>
          <w:trHeight w:val="948"/>
          <w:jc w:val="center"/>
        </w:trPr>
        <w:tc>
          <w:tcPr>
            <w:tcW w:w="1678" w:type="dxa"/>
            <w:tcBorders>
              <w:top w:val="single" w:color="auto" w:sz="4" w:space="0"/>
              <w:left w:val="single" w:color="auto" w:sz="4" w:space="0"/>
              <w:bottom w:val="single" w:color="auto" w:sz="4" w:space="0"/>
              <w:right w:val="single" w:color="auto" w:sz="4" w:space="0"/>
            </w:tcBorders>
          </w:tcPr>
          <w:p w:rsidRPr="004E4B6C" w:rsidR="005757A3" w:rsidP="004E4B6C" w:rsidRDefault="005757A3" w14:paraId="62DE4DD3" w14:textId="77777777">
            <w:pPr>
              <w:pStyle w:val="Tablebody"/>
              <w:rPr>
                <w:b/>
                <w:bCs w:val="0"/>
              </w:rPr>
            </w:pPr>
            <w:r w:rsidRPr="004E4B6C">
              <w:rPr>
                <w:b/>
                <w:bCs w:val="0"/>
              </w:rPr>
              <w:t>Action</w:t>
            </w:r>
          </w:p>
        </w:tc>
        <w:tc>
          <w:tcPr>
            <w:tcW w:w="8505" w:type="dxa"/>
            <w:gridSpan w:val="10"/>
            <w:tcBorders>
              <w:top w:val="single" w:color="auto" w:sz="4" w:space="0"/>
              <w:left w:val="single" w:color="auto" w:sz="4" w:space="0"/>
              <w:bottom w:val="single" w:color="auto" w:sz="4" w:space="0"/>
              <w:right w:val="single" w:color="auto" w:sz="4" w:space="0"/>
            </w:tcBorders>
          </w:tcPr>
          <w:p w:rsidRPr="004E4B6C" w:rsidR="005757A3" w:rsidP="004E4B6C" w:rsidRDefault="005757A3" w14:paraId="055C8520" w14:textId="7D63C19B">
            <w:pPr>
              <w:pStyle w:val="Tablebody"/>
              <w:rPr>
                <w:rFonts w:eastAsia="Calibri"/>
              </w:rPr>
            </w:pPr>
            <w:r w:rsidRPr="004E4B6C">
              <w:t xml:space="preserve">Lidocaine </w:t>
            </w:r>
            <w:proofErr w:type="spellStart"/>
            <w:r w:rsidRPr="004E4B6C">
              <w:t>stabilises</w:t>
            </w:r>
            <w:proofErr w:type="spellEnd"/>
            <w:r w:rsidRPr="004E4B6C">
              <w:t xml:space="preserve"> all potentially excitable membranes and prevents the initiation and transmission of nerve impulses. </w:t>
            </w:r>
            <w:r w:rsidRPr="004E4B6C">
              <w:rPr>
                <w:rFonts w:eastAsia="Calibri"/>
              </w:rPr>
              <w:t xml:space="preserve">The mode of action for lidocaine as an anticonvulsant drug is unknown it is likely via these membrane </w:t>
            </w:r>
            <w:proofErr w:type="spellStart"/>
            <w:r w:rsidRPr="004E4B6C">
              <w:rPr>
                <w:rFonts w:eastAsia="Calibri"/>
              </w:rPr>
              <w:t>stabilising</w:t>
            </w:r>
            <w:proofErr w:type="spellEnd"/>
            <w:r w:rsidRPr="004E4B6C">
              <w:rPr>
                <w:rFonts w:eastAsia="Calibri"/>
              </w:rPr>
              <w:t xml:space="preserve"> effects</w:t>
            </w:r>
            <w:r w:rsidR="004E4B6C">
              <w:rPr>
                <w:rFonts w:eastAsia="Calibri"/>
              </w:rPr>
              <w:t>.</w:t>
            </w:r>
          </w:p>
        </w:tc>
      </w:tr>
      <w:tr w:rsidRPr="00DA3C19" w:rsidR="005757A3" w:rsidTr="00F35645" w14:paraId="7EDCC27B" w14:textId="77777777">
        <w:trPr>
          <w:cantSplit/>
          <w:trHeight w:val="655"/>
          <w:jc w:val="center"/>
        </w:trPr>
        <w:tc>
          <w:tcPr>
            <w:tcW w:w="167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4A460E28" w14:textId="77777777">
            <w:pPr>
              <w:rPr>
                <w:b/>
                <w:bCs/>
              </w:rPr>
            </w:pPr>
            <w:r w:rsidRPr="00BB67C7">
              <w:rPr>
                <w:b/>
                <w:bCs/>
              </w:rPr>
              <w:t>Drug Type</w:t>
            </w:r>
          </w:p>
        </w:tc>
        <w:tc>
          <w:tcPr>
            <w:tcW w:w="8505" w:type="dxa"/>
            <w:gridSpan w:val="10"/>
            <w:tcBorders>
              <w:top w:val="single" w:color="auto" w:sz="4" w:space="0"/>
              <w:left w:val="single" w:color="auto" w:sz="4" w:space="0"/>
              <w:bottom w:val="single" w:color="auto" w:sz="4" w:space="0"/>
              <w:right w:val="single" w:color="auto" w:sz="4" w:space="0"/>
            </w:tcBorders>
          </w:tcPr>
          <w:p w:rsidRPr="00DA3C19" w:rsidR="005757A3" w:rsidP="00F35645" w:rsidRDefault="005757A3" w14:paraId="7C99F82F" w14:textId="77777777">
            <w:pPr>
              <w:pStyle w:val="Tablebody"/>
              <w:rPr>
                <w:lang w:val="en-AU"/>
              </w:rPr>
            </w:pPr>
            <w:r w:rsidRPr="00DA3C19">
              <w:rPr>
                <w:lang w:val="en-AU"/>
              </w:rPr>
              <w:t>Anticonvulsant</w:t>
            </w:r>
          </w:p>
          <w:p w:rsidRPr="00DA3C19" w:rsidR="005757A3" w:rsidP="00F35645" w:rsidRDefault="005757A3" w14:paraId="39D3133E" w14:textId="77777777">
            <w:pPr>
              <w:pStyle w:val="Tablebody"/>
              <w:rPr>
                <w:lang w:val="en-AU"/>
              </w:rPr>
            </w:pPr>
            <w:r w:rsidRPr="00DA3C19">
              <w:rPr>
                <w:lang w:val="en-AU"/>
              </w:rPr>
              <w:t>Also:</w:t>
            </w:r>
          </w:p>
          <w:p w:rsidRPr="004E4B6C" w:rsidR="005757A3" w:rsidP="004E4B6C" w:rsidRDefault="005757A3" w14:paraId="71960836" w14:textId="77777777">
            <w:pPr>
              <w:pStyle w:val="Tablebullet1"/>
              <w:framePr w:wrap="around"/>
              <w:rPr>
                <w:rFonts w:eastAsia="Calibri"/>
              </w:rPr>
            </w:pPr>
            <w:r w:rsidRPr="004E4B6C">
              <w:rPr>
                <w:rFonts w:eastAsia="Calibri"/>
              </w:rPr>
              <w:t xml:space="preserve">Local </w:t>
            </w:r>
            <w:proofErr w:type="spellStart"/>
            <w:r w:rsidRPr="004E4B6C">
              <w:rPr>
                <w:rFonts w:eastAsia="Calibri"/>
              </w:rPr>
              <w:t>anaesthetic</w:t>
            </w:r>
            <w:proofErr w:type="spellEnd"/>
            <w:r w:rsidRPr="004E4B6C">
              <w:rPr>
                <w:rFonts w:eastAsia="Calibri"/>
              </w:rPr>
              <w:t xml:space="preserve"> (see ANMF monograph Lidocaine (Lignocaine) for local </w:t>
            </w:r>
            <w:proofErr w:type="spellStart"/>
            <w:r w:rsidRPr="004E4B6C">
              <w:rPr>
                <w:rFonts w:eastAsia="Calibri"/>
              </w:rPr>
              <w:t>anaesthesia</w:t>
            </w:r>
            <w:proofErr w:type="spellEnd"/>
            <w:r w:rsidRPr="004E4B6C">
              <w:rPr>
                <w:rFonts w:eastAsia="Calibri"/>
              </w:rPr>
              <w:t xml:space="preserve">), </w:t>
            </w:r>
          </w:p>
          <w:p w:rsidRPr="00DA3C19" w:rsidR="005757A3" w:rsidP="004E4B6C" w:rsidRDefault="005757A3" w14:paraId="23C605E4" w14:textId="2DF0DFBE">
            <w:pPr>
              <w:pStyle w:val="Tablebullet1"/>
              <w:framePr w:wrap="around"/>
              <w:rPr>
                <w:rFonts w:eastAsia="Calibri"/>
                <w:lang w:val="en-AU"/>
              </w:rPr>
            </w:pPr>
            <w:r w:rsidRPr="004E4B6C">
              <w:rPr>
                <w:rFonts w:eastAsia="Calibri"/>
              </w:rPr>
              <w:t>Antiarrhythmic (not included in this monograph or ANMF: seek cardiology advice)</w:t>
            </w:r>
            <w:r w:rsidR="004E4B6C">
              <w:rPr>
                <w:rFonts w:eastAsia="Calibri"/>
              </w:rPr>
              <w:t>.</w:t>
            </w:r>
          </w:p>
        </w:tc>
      </w:tr>
      <w:tr w:rsidRPr="00DA3C19" w:rsidR="005757A3" w:rsidTr="00F35645" w14:paraId="2B118BDA" w14:textId="77777777">
        <w:trPr>
          <w:cantSplit/>
          <w:trHeight w:val="365"/>
          <w:jc w:val="center"/>
        </w:trPr>
        <w:tc>
          <w:tcPr>
            <w:tcW w:w="167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761DF3E6" w14:textId="77777777">
            <w:pPr>
              <w:rPr>
                <w:b/>
                <w:bCs/>
              </w:rPr>
            </w:pPr>
            <w:r w:rsidRPr="00BB67C7">
              <w:rPr>
                <w:b/>
                <w:bCs/>
              </w:rPr>
              <w:t>Trade Name</w:t>
            </w:r>
          </w:p>
        </w:tc>
        <w:tc>
          <w:tcPr>
            <w:tcW w:w="8505" w:type="dxa"/>
            <w:gridSpan w:val="10"/>
            <w:tcBorders>
              <w:top w:val="single" w:color="auto" w:sz="4" w:space="0"/>
              <w:left w:val="single" w:color="auto" w:sz="4" w:space="0"/>
              <w:bottom w:val="single" w:color="auto" w:sz="4" w:space="0"/>
              <w:right w:val="single" w:color="auto" w:sz="4" w:space="0"/>
            </w:tcBorders>
          </w:tcPr>
          <w:p w:rsidRPr="00DA3C19" w:rsidR="005757A3" w:rsidP="00F35645" w:rsidRDefault="005757A3" w14:paraId="7622AB46" w14:textId="0CC43A71">
            <w:pPr>
              <w:pStyle w:val="Tablebody"/>
              <w:rPr>
                <w:lang w:val="en-AU"/>
              </w:rPr>
            </w:pPr>
            <w:proofErr w:type="spellStart"/>
            <w:r w:rsidRPr="00DA3C19">
              <w:rPr>
                <w:lang w:val="en-AU"/>
              </w:rPr>
              <w:t>Xylocard</w:t>
            </w:r>
            <w:proofErr w:type="spellEnd"/>
            <w:r w:rsidRPr="00DA3C19">
              <w:rPr>
                <w:lang w:val="en-AU"/>
              </w:rPr>
              <w:t xml:space="preserve"> 10% Lidocaine hydrochloride</w:t>
            </w:r>
            <w:r w:rsidR="004E4B6C">
              <w:rPr>
                <w:lang w:val="en-AU"/>
              </w:rPr>
              <w:t>.</w:t>
            </w:r>
          </w:p>
        </w:tc>
      </w:tr>
      <w:tr w:rsidRPr="00BB67C7" w:rsidR="005757A3" w:rsidTr="00F35645" w14:paraId="2CEA173D" w14:textId="77777777">
        <w:trPr>
          <w:cantSplit/>
          <w:trHeight w:val="413"/>
          <w:jc w:val="center"/>
        </w:trPr>
        <w:tc>
          <w:tcPr>
            <w:tcW w:w="167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5B2EE191" w14:textId="77777777">
            <w:pPr>
              <w:rPr>
                <w:b/>
                <w:bCs/>
              </w:rPr>
            </w:pPr>
            <w:r w:rsidRPr="00BB67C7">
              <w:rPr>
                <w:b/>
                <w:bCs/>
              </w:rPr>
              <w:t>Presentation</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5757A3" w:rsidP="00F35645" w:rsidRDefault="005757A3" w14:paraId="30905A6F" w14:textId="5F02C04A">
            <w:r w:rsidRPr="00BB67C7">
              <w:t xml:space="preserve">Lidocaine Injection 10% (500 mg in 5mL) </w:t>
            </w:r>
            <w:proofErr w:type="spellStart"/>
            <w:r w:rsidRPr="00BB67C7">
              <w:t>Steriamps</w:t>
            </w:r>
            <w:proofErr w:type="spellEnd"/>
            <w:r w:rsidRPr="00BB67C7">
              <w:t xml:space="preserve"> (clear,</w:t>
            </w:r>
            <w:r w:rsidRPr="00DA3C19">
              <w:t xml:space="preserve"> </w:t>
            </w:r>
            <w:r w:rsidRPr="00BB67C7">
              <w:t>colourless, sterile) [also available Lidocaine Injection 1% (50mg/5mL), 2% (100mg/5mL)]</w:t>
            </w:r>
            <w:r w:rsidR="004E4B6C">
              <w:t>.</w:t>
            </w:r>
          </w:p>
        </w:tc>
      </w:tr>
      <w:tr w:rsidRPr="00DA3C19" w:rsidR="005757A3" w:rsidTr="00F35645" w14:paraId="3F865569" w14:textId="77777777">
        <w:trPr>
          <w:cantSplit/>
          <w:jc w:val="center"/>
        </w:trPr>
        <w:tc>
          <w:tcPr>
            <w:tcW w:w="1678" w:type="dxa"/>
            <w:vMerge w:val="restart"/>
            <w:tcBorders>
              <w:top w:val="single" w:color="auto" w:sz="4" w:space="0"/>
              <w:left w:val="single" w:color="auto" w:sz="4" w:space="0"/>
              <w:bottom w:val="single" w:color="auto" w:sz="4" w:space="0"/>
              <w:right w:val="single" w:color="auto" w:sz="4" w:space="0"/>
            </w:tcBorders>
          </w:tcPr>
          <w:p w:rsidRPr="004E4B6C" w:rsidR="005757A3" w:rsidP="00F35645" w:rsidRDefault="005757A3" w14:paraId="2B8A3A81" w14:textId="77777777">
            <w:pPr>
              <w:pStyle w:val="Tablebody"/>
              <w:rPr>
                <w:b/>
                <w:bCs w:val="0"/>
                <w:lang w:val="en-AU"/>
              </w:rPr>
            </w:pPr>
            <w:r w:rsidRPr="004E4B6C">
              <w:rPr>
                <w:b/>
                <w:bCs w:val="0"/>
                <w:lang w:val="en-AU"/>
              </w:rPr>
              <w:t>Dose</w:t>
            </w:r>
          </w:p>
        </w:tc>
        <w:tc>
          <w:tcPr>
            <w:tcW w:w="737" w:type="dxa"/>
            <w:vMerge w:val="restart"/>
            <w:tcBorders>
              <w:top w:val="single" w:color="auto" w:sz="4" w:space="0"/>
              <w:left w:val="single" w:color="auto" w:sz="4" w:space="0"/>
              <w:bottom w:val="single" w:color="auto" w:sz="4" w:space="0"/>
              <w:right w:val="single" w:color="auto" w:sz="4" w:space="0"/>
            </w:tcBorders>
          </w:tcPr>
          <w:p w:rsidRPr="00DA3C19" w:rsidR="005757A3" w:rsidP="00F35645" w:rsidRDefault="005757A3" w14:paraId="70F33B4E" w14:textId="77777777">
            <w:pPr>
              <w:pStyle w:val="Tablebody"/>
              <w:rPr>
                <w:sz w:val="20"/>
                <w:szCs w:val="20"/>
                <w:lang w:val="en-AU"/>
              </w:rPr>
            </w:pPr>
          </w:p>
        </w:tc>
        <w:tc>
          <w:tcPr>
            <w:tcW w:w="1811" w:type="dxa"/>
            <w:gridSpan w:val="2"/>
            <w:tcBorders>
              <w:top w:val="single" w:color="auto" w:sz="4" w:space="0"/>
              <w:left w:val="single" w:color="auto" w:sz="4" w:space="0"/>
              <w:bottom w:val="single" w:color="auto" w:sz="4" w:space="0"/>
              <w:right w:val="single" w:color="auto" w:sz="4" w:space="0"/>
            </w:tcBorders>
          </w:tcPr>
          <w:p w:rsidRPr="00DA3C19" w:rsidR="005757A3" w:rsidP="00F35645" w:rsidRDefault="005757A3" w14:paraId="3E371460" w14:textId="77777777">
            <w:pPr>
              <w:pStyle w:val="Tablebody"/>
              <w:rPr>
                <w:sz w:val="19"/>
                <w:szCs w:val="19"/>
                <w:lang w:val="en-AU"/>
              </w:rPr>
            </w:pPr>
            <w:r w:rsidRPr="00DA3C19">
              <w:rPr>
                <w:sz w:val="19"/>
                <w:szCs w:val="19"/>
                <w:lang w:val="en-AU"/>
              </w:rPr>
              <w:t>Loading bolus</w:t>
            </w:r>
          </w:p>
        </w:tc>
        <w:tc>
          <w:tcPr>
            <w:tcW w:w="1705" w:type="dxa"/>
            <w:gridSpan w:val="3"/>
            <w:tcBorders>
              <w:top w:val="single" w:color="auto" w:sz="4" w:space="0"/>
              <w:left w:val="single" w:color="auto" w:sz="4" w:space="0"/>
              <w:bottom w:val="single" w:color="auto" w:sz="4" w:space="0"/>
              <w:right w:val="single" w:color="auto" w:sz="4" w:space="0"/>
            </w:tcBorders>
          </w:tcPr>
          <w:p w:rsidRPr="00BB67C7" w:rsidR="005757A3" w:rsidP="00F35645" w:rsidRDefault="005757A3" w14:paraId="62157639" w14:textId="77777777">
            <w:pPr>
              <w:rPr>
                <w:sz w:val="19"/>
                <w:szCs w:val="19"/>
              </w:rPr>
            </w:pPr>
            <w:r w:rsidRPr="00BB67C7">
              <w:rPr>
                <w:sz w:val="19"/>
                <w:szCs w:val="19"/>
              </w:rPr>
              <w:t>Loading infusion</w:t>
            </w:r>
          </w:p>
        </w:tc>
        <w:tc>
          <w:tcPr>
            <w:tcW w:w="2126" w:type="dxa"/>
            <w:gridSpan w:val="2"/>
            <w:tcBorders>
              <w:top w:val="single" w:color="auto" w:sz="4" w:space="0"/>
              <w:left w:val="single" w:color="auto" w:sz="4" w:space="0"/>
              <w:bottom w:val="single" w:color="auto" w:sz="4" w:space="0"/>
              <w:right w:val="single" w:color="auto" w:sz="4" w:space="0"/>
            </w:tcBorders>
          </w:tcPr>
          <w:p w:rsidRPr="00DA3C19" w:rsidR="005757A3" w:rsidP="00F35645" w:rsidRDefault="005757A3" w14:paraId="6C655041" w14:textId="77777777">
            <w:pPr>
              <w:pStyle w:val="Tablebody"/>
              <w:rPr>
                <w:rFonts w:eastAsia="Calibri"/>
                <w:sz w:val="19"/>
                <w:szCs w:val="19"/>
                <w:lang w:val="en-AU"/>
              </w:rPr>
            </w:pPr>
            <w:r w:rsidRPr="00DA3C19">
              <w:rPr>
                <w:rFonts w:eastAsia="Calibri"/>
                <w:sz w:val="19"/>
                <w:szCs w:val="19"/>
                <w:lang w:val="en-AU"/>
              </w:rPr>
              <w:t xml:space="preserve">Maintenance </w:t>
            </w:r>
          </w:p>
          <w:p w:rsidRPr="00DA3C19" w:rsidR="005757A3" w:rsidP="00F35645" w:rsidRDefault="005757A3" w14:paraId="05C4CEDE" w14:textId="77777777">
            <w:pPr>
              <w:pStyle w:val="Tablebody"/>
              <w:rPr>
                <w:rFonts w:eastAsia="Calibri"/>
                <w:sz w:val="19"/>
                <w:szCs w:val="19"/>
                <w:lang w:val="en-AU"/>
              </w:rPr>
            </w:pPr>
            <w:r w:rsidRPr="00DA3C19">
              <w:rPr>
                <w:rFonts w:eastAsia="Calibri"/>
                <w:sz w:val="19"/>
                <w:szCs w:val="19"/>
                <w:lang w:val="en-AU"/>
              </w:rPr>
              <w:t>Phase 1</w:t>
            </w:r>
          </w:p>
        </w:tc>
        <w:tc>
          <w:tcPr>
            <w:tcW w:w="2126" w:type="dxa"/>
            <w:gridSpan w:val="2"/>
            <w:tcBorders>
              <w:top w:val="single" w:color="auto" w:sz="4" w:space="0"/>
              <w:left w:val="single" w:color="auto" w:sz="4" w:space="0"/>
              <w:bottom w:val="single" w:color="auto" w:sz="4" w:space="0"/>
              <w:right w:val="single" w:color="auto" w:sz="4" w:space="0"/>
            </w:tcBorders>
          </w:tcPr>
          <w:p w:rsidRPr="00DA3C19" w:rsidR="005757A3" w:rsidP="00F35645" w:rsidRDefault="005757A3" w14:paraId="6A40DADC" w14:textId="77777777">
            <w:pPr>
              <w:pStyle w:val="Tablebody"/>
              <w:rPr>
                <w:rFonts w:eastAsia="Calibri"/>
                <w:sz w:val="19"/>
                <w:szCs w:val="19"/>
                <w:lang w:val="en-AU"/>
              </w:rPr>
            </w:pPr>
            <w:r w:rsidRPr="00DA3C19">
              <w:rPr>
                <w:rFonts w:eastAsia="Calibri"/>
                <w:sz w:val="19"/>
                <w:szCs w:val="19"/>
                <w:lang w:val="en-AU"/>
              </w:rPr>
              <w:t xml:space="preserve">Maintenance </w:t>
            </w:r>
          </w:p>
          <w:p w:rsidRPr="00DA3C19" w:rsidR="005757A3" w:rsidP="00F35645" w:rsidRDefault="005757A3" w14:paraId="55191D4F" w14:textId="77777777">
            <w:pPr>
              <w:pStyle w:val="Tablebody"/>
              <w:rPr>
                <w:rFonts w:eastAsia="Calibri"/>
                <w:sz w:val="19"/>
                <w:szCs w:val="19"/>
                <w:lang w:val="en-AU"/>
              </w:rPr>
            </w:pPr>
            <w:r w:rsidRPr="00DA3C19">
              <w:rPr>
                <w:rFonts w:eastAsia="Calibri"/>
                <w:sz w:val="19"/>
                <w:szCs w:val="19"/>
                <w:lang w:val="en-AU"/>
              </w:rPr>
              <w:t>Phase 2</w:t>
            </w:r>
          </w:p>
        </w:tc>
      </w:tr>
      <w:tr w:rsidRPr="00BB67C7" w:rsidR="005757A3" w:rsidTr="00F35645" w14:paraId="1EBF5636" w14:textId="77777777">
        <w:trPr>
          <w:cantSplit/>
          <w:trHeight w:val="300"/>
          <w:jc w:val="center"/>
        </w:trPr>
        <w:tc>
          <w:tcPr>
            <w:tcW w:w="1678" w:type="dxa"/>
            <w:vMerge/>
          </w:tcPr>
          <w:p w:rsidRPr="00DA3C19" w:rsidR="005757A3" w:rsidP="00F35645" w:rsidRDefault="005757A3" w14:paraId="1F8784B3" w14:textId="77777777">
            <w:pPr>
              <w:pStyle w:val="Tablebody"/>
              <w:rPr>
                <w:lang w:val="en-AU"/>
              </w:rPr>
            </w:pPr>
          </w:p>
        </w:tc>
        <w:tc>
          <w:tcPr>
            <w:tcW w:w="737" w:type="dxa"/>
            <w:vMerge/>
          </w:tcPr>
          <w:p w:rsidRPr="00DA3C19" w:rsidR="005757A3" w:rsidP="00F35645" w:rsidRDefault="005757A3" w14:paraId="2CFA7B8E" w14:textId="77777777">
            <w:pPr>
              <w:pStyle w:val="Tablebody"/>
              <w:rPr>
                <w:sz w:val="20"/>
                <w:szCs w:val="20"/>
                <w:lang w:val="en-AU"/>
              </w:rPr>
            </w:pPr>
          </w:p>
        </w:tc>
        <w:tc>
          <w:tcPr>
            <w:tcW w:w="855"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2062B6BA" w14:textId="77777777">
            <w:pPr>
              <w:pStyle w:val="Tablebody"/>
              <w:rPr>
                <w:rFonts w:eastAsia="Calibri"/>
                <w:sz w:val="19"/>
                <w:szCs w:val="19"/>
                <w:lang w:val="en-AU"/>
              </w:rPr>
            </w:pPr>
            <w:r w:rsidRPr="00DA3C19">
              <w:rPr>
                <w:rFonts w:eastAsia="Calibri"/>
                <w:sz w:val="19"/>
                <w:szCs w:val="19"/>
                <w:lang w:val="en-AU"/>
              </w:rPr>
              <w:t>Dose</w:t>
            </w:r>
          </w:p>
        </w:tc>
        <w:tc>
          <w:tcPr>
            <w:tcW w:w="956"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0608C3A2" w14:textId="77777777">
            <w:pPr>
              <w:pStyle w:val="Tablebody"/>
              <w:rPr>
                <w:rFonts w:eastAsia="Calibri"/>
                <w:sz w:val="19"/>
                <w:szCs w:val="19"/>
                <w:lang w:val="en-AU"/>
              </w:rPr>
            </w:pPr>
            <w:r w:rsidRPr="00DA3C19">
              <w:rPr>
                <w:rFonts w:eastAsia="Calibri"/>
                <w:sz w:val="19"/>
                <w:szCs w:val="19"/>
                <w:lang w:val="en-AU"/>
              </w:rPr>
              <w:t>Duration</w:t>
            </w:r>
          </w:p>
        </w:tc>
        <w:tc>
          <w:tcPr>
            <w:tcW w:w="72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1945CAF6" w14:textId="77777777">
            <w:pPr>
              <w:rPr>
                <w:sz w:val="19"/>
                <w:szCs w:val="19"/>
              </w:rPr>
            </w:pPr>
            <w:r w:rsidRPr="00BB67C7">
              <w:rPr>
                <w:sz w:val="19"/>
                <w:szCs w:val="19"/>
              </w:rPr>
              <w:t>Dose</w:t>
            </w:r>
          </w:p>
        </w:tc>
        <w:tc>
          <w:tcPr>
            <w:tcW w:w="977" w:type="dxa"/>
            <w:gridSpan w:val="2"/>
            <w:tcBorders>
              <w:top w:val="single" w:color="auto" w:sz="4" w:space="0"/>
              <w:left w:val="single" w:color="auto" w:sz="4" w:space="0"/>
              <w:bottom w:val="single" w:color="auto" w:sz="4" w:space="0"/>
              <w:right w:val="single" w:color="auto" w:sz="4" w:space="0"/>
            </w:tcBorders>
          </w:tcPr>
          <w:p w:rsidRPr="00BB67C7" w:rsidR="005757A3" w:rsidP="00F35645" w:rsidRDefault="005757A3" w14:paraId="2588002F" w14:textId="77777777">
            <w:pPr>
              <w:rPr>
                <w:sz w:val="19"/>
                <w:szCs w:val="19"/>
              </w:rPr>
            </w:pPr>
            <w:r w:rsidRPr="00BB67C7">
              <w:rPr>
                <w:sz w:val="19"/>
                <w:szCs w:val="19"/>
              </w:rPr>
              <w:t>Duration</w:t>
            </w:r>
          </w:p>
        </w:tc>
        <w:tc>
          <w:tcPr>
            <w:tcW w:w="1134"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6D7BC31E" w14:textId="77777777">
            <w:pPr>
              <w:rPr>
                <w:sz w:val="19"/>
                <w:szCs w:val="19"/>
              </w:rPr>
            </w:pPr>
            <w:r w:rsidRPr="00BB67C7">
              <w:rPr>
                <w:sz w:val="19"/>
                <w:szCs w:val="19"/>
              </w:rPr>
              <w:t>Dose</w:t>
            </w:r>
          </w:p>
        </w:tc>
        <w:tc>
          <w:tcPr>
            <w:tcW w:w="992"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3FF95102" w14:textId="77777777">
            <w:pPr>
              <w:rPr>
                <w:sz w:val="19"/>
                <w:szCs w:val="19"/>
              </w:rPr>
            </w:pPr>
            <w:r w:rsidRPr="00BB67C7">
              <w:rPr>
                <w:sz w:val="19"/>
                <w:szCs w:val="19"/>
              </w:rPr>
              <w:t>Duration</w:t>
            </w:r>
          </w:p>
        </w:tc>
        <w:tc>
          <w:tcPr>
            <w:tcW w:w="1134"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5AA57DFC" w14:textId="77777777">
            <w:pPr>
              <w:rPr>
                <w:sz w:val="19"/>
                <w:szCs w:val="19"/>
              </w:rPr>
            </w:pPr>
            <w:r w:rsidRPr="00BB67C7">
              <w:rPr>
                <w:sz w:val="19"/>
                <w:szCs w:val="19"/>
              </w:rPr>
              <w:t>Dose</w:t>
            </w:r>
          </w:p>
        </w:tc>
        <w:tc>
          <w:tcPr>
            <w:tcW w:w="992"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19DF1899" w14:textId="77777777">
            <w:pPr>
              <w:rPr>
                <w:sz w:val="19"/>
                <w:szCs w:val="19"/>
              </w:rPr>
            </w:pPr>
            <w:r w:rsidRPr="00BB67C7">
              <w:rPr>
                <w:sz w:val="19"/>
                <w:szCs w:val="19"/>
              </w:rPr>
              <w:t>Duration</w:t>
            </w:r>
          </w:p>
        </w:tc>
      </w:tr>
      <w:tr w:rsidRPr="00DA3C19" w:rsidR="005757A3" w:rsidTr="00F35645" w14:paraId="0B86C931" w14:textId="77777777">
        <w:trPr>
          <w:cantSplit/>
          <w:trHeight w:val="300"/>
          <w:jc w:val="center"/>
        </w:trPr>
        <w:tc>
          <w:tcPr>
            <w:tcW w:w="1678" w:type="dxa"/>
            <w:vMerge/>
          </w:tcPr>
          <w:p w:rsidRPr="00DA3C19" w:rsidR="005757A3" w:rsidP="00F35645" w:rsidRDefault="005757A3" w14:paraId="2D5B2B09" w14:textId="77777777">
            <w:pPr>
              <w:pStyle w:val="Tablebody"/>
              <w:rPr>
                <w:lang w:val="en-AU"/>
              </w:rPr>
            </w:pPr>
          </w:p>
        </w:tc>
        <w:tc>
          <w:tcPr>
            <w:tcW w:w="8505" w:type="dxa"/>
            <w:gridSpan w:val="10"/>
            <w:tcBorders>
              <w:top w:val="single" w:color="auto" w:sz="4" w:space="0"/>
              <w:left w:val="single" w:color="auto" w:sz="4" w:space="0"/>
              <w:bottom w:val="single" w:color="auto" w:sz="4" w:space="0"/>
              <w:right w:val="single" w:color="auto" w:sz="4" w:space="0"/>
            </w:tcBorders>
          </w:tcPr>
          <w:p w:rsidRPr="00DA3C19" w:rsidR="005757A3" w:rsidP="00F35645" w:rsidRDefault="005757A3" w14:paraId="1D8ED4CF" w14:textId="77777777">
            <w:pPr>
              <w:pStyle w:val="Tablebody"/>
              <w:rPr>
                <w:rFonts w:eastAsia="Calibri"/>
                <w:sz w:val="19"/>
                <w:szCs w:val="19"/>
                <w:lang w:val="en-AU"/>
              </w:rPr>
            </w:pPr>
            <w:r w:rsidRPr="00DA3C19">
              <w:rPr>
                <w:rFonts w:eastAsia="Calibri"/>
                <w:sz w:val="19"/>
                <w:szCs w:val="19"/>
                <w:lang w:val="en-AU"/>
              </w:rPr>
              <w:t>Normothermia</w:t>
            </w:r>
          </w:p>
        </w:tc>
      </w:tr>
      <w:tr w:rsidRPr="00DA3C19" w:rsidR="005757A3" w:rsidTr="00F35645" w14:paraId="70971A14" w14:textId="77777777">
        <w:trPr>
          <w:cantSplit/>
          <w:trHeight w:val="733"/>
          <w:jc w:val="center"/>
        </w:trPr>
        <w:tc>
          <w:tcPr>
            <w:tcW w:w="1678" w:type="dxa"/>
            <w:vMerge/>
          </w:tcPr>
          <w:p w:rsidRPr="00DA3C19" w:rsidR="005757A3" w:rsidP="00F35645" w:rsidRDefault="005757A3" w14:paraId="4CE114EC" w14:textId="77777777">
            <w:pPr>
              <w:pStyle w:val="Tablebody"/>
              <w:rPr>
                <w:lang w:val="en-AU"/>
              </w:rPr>
            </w:pPr>
          </w:p>
        </w:tc>
        <w:tc>
          <w:tcPr>
            <w:tcW w:w="737"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71EC7D72" w14:textId="77777777">
            <w:pPr>
              <w:pStyle w:val="Tablebody"/>
              <w:rPr>
                <w:rFonts w:eastAsia="Calibri"/>
                <w:sz w:val="19"/>
                <w:szCs w:val="19"/>
                <w:lang w:val="en-AU"/>
              </w:rPr>
            </w:pPr>
            <w:r w:rsidRPr="00DA3C19">
              <w:rPr>
                <w:rFonts w:eastAsia="Calibri"/>
                <w:sz w:val="19"/>
                <w:szCs w:val="19"/>
                <w:lang w:val="en-AU"/>
              </w:rPr>
              <w:t>&lt; 1.6kg</w:t>
            </w:r>
          </w:p>
        </w:tc>
        <w:tc>
          <w:tcPr>
            <w:tcW w:w="855"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189564D8" w14:textId="77777777">
            <w:pPr>
              <w:pStyle w:val="Tablebody"/>
              <w:rPr>
                <w:rFonts w:eastAsia="Calibri"/>
                <w:sz w:val="19"/>
                <w:szCs w:val="19"/>
                <w:lang w:val="en-AU"/>
              </w:rPr>
            </w:pPr>
            <w:r w:rsidRPr="00DA3C19">
              <w:rPr>
                <w:rFonts w:eastAsia="Calibri"/>
                <w:sz w:val="19"/>
                <w:szCs w:val="19"/>
                <w:lang w:val="en-AU"/>
              </w:rPr>
              <w:t>2mg/kg</w:t>
            </w:r>
          </w:p>
        </w:tc>
        <w:tc>
          <w:tcPr>
            <w:tcW w:w="956"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364A71A2" w14:textId="77777777">
            <w:pPr>
              <w:pStyle w:val="Tablebody"/>
              <w:rPr>
                <w:rFonts w:eastAsia="Calibri"/>
                <w:sz w:val="19"/>
                <w:szCs w:val="19"/>
                <w:lang w:val="en-AU"/>
              </w:rPr>
            </w:pPr>
            <w:r w:rsidRPr="00DA3C19">
              <w:rPr>
                <w:rFonts w:eastAsia="Calibri"/>
                <w:sz w:val="19"/>
                <w:szCs w:val="19"/>
                <w:lang w:val="en-AU"/>
              </w:rPr>
              <w:t>10min</w:t>
            </w:r>
          </w:p>
        </w:tc>
        <w:tc>
          <w:tcPr>
            <w:tcW w:w="728"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60F63269" w14:textId="77777777">
            <w:pPr>
              <w:pStyle w:val="Tablebody"/>
              <w:rPr>
                <w:rFonts w:eastAsia="Calibri"/>
                <w:sz w:val="19"/>
                <w:szCs w:val="19"/>
                <w:lang w:val="en-AU"/>
              </w:rPr>
            </w:pPr>
            <w:r w:rsidRPr="00DA3C19">
              <w:rPr>
                <w:rFonts w:eastAsia="Calibri"/>
                <w:sz w:val="19"/>
                <w:szCs w:val="19"/>
                <w:lang w:val="en-AU"/>
              </w:rPr>
              <w:t>5mg/kg/hr</w:t>
            </w:r>
          </w:p>
        </w:tc>
        <w:tc>
          <w:tcPr>
            <w:tcW w:w="977" w:type="dxa"/>
            <w:gridSpan w:val="2"/>
            <w:tcBorders>
              <w:top w:val="single" w:color="auto" w:sz="4" w:space="0"/>
              <w:left w:val="single" w:color="auto" w:sz="4" w:space="0"/>
              <w:bottom w:val="single" w:color="auto" w:sz="4" w:space="0"/>
              <w:right w:val="single" w:color="auto" w:sz="4" w:space="0"/>
            </w:tcBorders>
          </w:tcPr>
          <w:p w:rsidRPr="00DA3C19" w:rsidR="005757A3" w:rsidP="00F35645" w:rsidRDefault="005757A3" w14:paraId="5FF8C8D3" w14:textId="77777777">
            <w:pPr>
              <w:pStyle w:val="Tablebody"/>
              <w:rPr>
                <w:rFonts w:eastAsia="Calibri"/>
                <w:sz w:val="19"/>
                <w:szCs w:val="19"/>
                <w:lang w:val="en-AU"/>
              </w:rPr>
            </w:pPr>
            <w:r w:rsidRPr="00DA3C19">
              <w:rPr>
                <w:rFonts w:eastAsia="Calibri"/>
                <w:sz w:val="19"/>
                <w:szCs w:val="19"/>
                <w:lang w:val="en-AU"/>
              </w:rPr>
              <w:t>4hr</w:t>
            </w:r>
          </w:p>
        </w:tc>
        <w:tc>
          <w:tcPr>
            <w:tcW w:w="1134"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663D28F5" w14:textId="77777777">
            <w:pPr>
              <w:pStyle w:val="Tablebody"/>
              <w:rPr>
                <w:rFonts w:eastAsia="Calibri"/>
                <w:sz w:val="19"/>
                <w:szCs w:val="19"/>
                <w:lang w:val="en-AU"/>
              </w:rPr>
            </w:pPr>
            <w:r w:rsidRPr="00DA3C19">
              <w:rPr>
                <w:rFonts w:eastAsia="Calibri"/>
                <w:sz w:val="19"/>
                <w:szCs w:val="19"/>
                <w:lang w:val="en-AU"/>
              </w:rPr>
              <w:t>2.5 mg/kg/hr</w:t>
            </w:r>
          </w:p>
        </w:tc>
        <w:tc>
          <w:tcPr>
            <w:tcW w:w="992"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535924D5" w14:textId="77777777">
            <w:pPr>
              <w:pStyle w:val="Tablebody"/>
              <w:rPr>
                <w:rFonts w:eastAsia="Calibri"/>
                <w:sz w:val="19"/>
                <w:szCs w:val="19"/>
                <w:lang w:val="en-AU"/>
              </w:rPr>
            </w:pPr>
            <w:r w:rsidRPr="00DA3C19">
              <w:rPr>
                <w:rFonts w:eastAsia="Calibri"/>
                <w:sz w:val="19"/>
                <w:szCs w:val="19"/>
                <w:lang w:val="en-AU"/>
              </w:rPr>
              <w:t>12hr</w:t>
            </w:r>
          </w:p>
        </w:tc>
        <w:tc>
          <w:tcPr>
            <w:tcW w:w="1134"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1DE6D373" w14:textId="77777777">
            <w:pPr>
              <w:pStyle w:val="Tablebody"/>
              <w:rPr>
                <w:rFonts w:eastAsia="Calibri"/>
                <w:sz w:val="19"/>
                <w:szCs w:val="19"/>
                <w:lang w:val="en-AU"/>
              </w:rPr>
            </w:pPr>
            <w:r w:rsidRPr="00DA3C19">
              <w:rPr>
                <w:rFonts w:eastAsia="Calibri"/>
                <w:sz w:val="19"/>
                <w:szCs w:val="19"/>
                <w:lang w:val="en-AU"/>
              </w:rPr>
              <w:t>1.25</w:t>
            </w:r>
          </w:p>
          <w:p w:rsidRPr="00DA3C19" w:rsidR="005757A3" w:rsidP="00F35645" w:rsidRDefault="005757A3" w14:paraId="3B4AB4F9" w14:textId="77777777">
            <w:pPr>
              <w:pStyle w:val="Tablebody"/>
              <w:rPr>
                <w:rFonts w:eastAsia="Calibri"/>
                <w:sz w:val="19"/>
                <w:szCs w:val="19"/>
                <w:lang w:val="en-AU"/>
              </w:rPr>
            </w:pPr>
            <w:r w:rsidRPr="00DA3C19">
              <w:rPr>
                <w:rFonts w:eastAsia="Calibri"/>
                <w:sz w:val="19"/>
                <w:szCs w:val="19"/>
                <w:lang w:val="en-AU"/>
              </w:rPr>
              <w:t>mg/kg/hr</w:t>
            </w:r>
          </w:p>
        </w:tc>
        <w:tc>
          <w:tcPr>
            <w:tcW w:w="992"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3C0D9843" w14:textId="77777777">
            <w:pPr>
              <w:pStyle w:val="Tablebody"/>
              <w:rPr>
                <w:rFonts w:eastAsia="Calibri"/>
                <w:sz w:val="19"/>
                <w:szCs w:val="19"/>
                <w:lang w:val="en-AU"/>
              </w:rPr>
            </w:pPr>
            <w:r w:rsidRPr="00DA3C19">
              <w:rPr>
                <w:rFonts w:eastAsia="Calibri"/>
                <w:sz w:val="19"/>
                <w:szCs w:val="19"/>
                <w:lang w:val="en-AU"/>
              </w:rPr>
              <w:t>12hr</w:t>
            </w:r>
          </w:p>
        </w:tc>
      </w:tr>
      <w:tr w:rsidRPr="00DA3C19" w:rsidR="005757A3" w:rsidTr="00F35645" w14:paraId="2E7B09DE" w14:textId="77777777">
        <w:trPr>
          <w:cantSplit/>
          <w:trHeight w:val="300"/>
          <w:jc w:val="center"/>
        </w:trPr>
        <w:tc>
          <w:tcPr>
            <w:tcW w:w="1678" w:type="dxa"/>
            <w:vMerge/>
          </w:tcPr>
          <w:p w:rsidRPr="00DA3C19" w:rsidR="005757A3" w:rsidP="00F35645" w:rsidRDefault="005757A3" w14:paraId="6FD06600" w14:textId="77777777">
            <w:pPr>
              <w:pStyle w:val="Tablebody"/>
              <w:rPr>
                <w:lang w:val="en-AU"/>
              </w:rPr>
            </w:pPr>
          </w:p>
        </w:tc>
        <w:tc>
          <w:tcPr>
            <w:tcW w:w="737"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28E60E34" w14:textId="77777777">
            <w:pPr>
              <w:pStyle w:val="Tablebody"/>
              <w:rPr>
                <w:rFonts w:eastAsia="Calibri"/>
                <w:sz w:val="19"/>
                <w:szCs w:val="19"/>
                <w:lang w:val="en-AU"/>
              </w:rPr>
            </w:pPr>
            <w:r w:rsidRPr="00DA3C19">
              <w:rPr>
                <w:rFonts w:eastAsia="Calibri"/>
                <w:sz w:val="19"/>
                <w:szCs w:val="19"/>
                <w:lang w:val="en-AU"/>
              </w:rPr>
              <w:t>1.6-2.6kg</w:t>
            </w:r>
          </w:p>
        </w:tc>
        <w:tc>
          <w:tcPr>
            <w:tcW w:w="855"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1CBBB2A4" w14:textId="77777777">
            <w:pPr>
              <w:pStyle w:val="Tablebody"/>
              <w:rPr>
                <w:rFonts w:eastAsia="Calibri"/>
                <w:sz w:val="19"/>
                <w:szCs w:val="19"/>
                <w:lang w:val="en-AU"/>
              </w:rPr>
            </w:pPr>
            <w:r w:rsidRPr="00DA3C19">
              <w:rPr>
                <w:rFonts w:eastAsia="Calibri"/>
                <w:sz w:val="19"/>
                <w:szCs w:val="19"/>
                <w:lang w:val="en-AU"/>
              </w:rPr>
              <w:t>2mg/kg</w:t>
            </w:r>
          </w:p>
        </w:tc>
        <w:tc>
          <w:tcPr>
            <w:tcW w:w="956"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67C0F792" w14:textId="77777777">
            <w:pPr>
              <w:pStyle w:val="Tablebody"/>
              <w:rPr>
                <w:rFonts w:eastAsia="Calibri"/>
                <w:sz w:val="19"/>
                <w:szCs w:val="19"/>
                <w:lang w:val="en-AU"/>
              </w:rPr>
            </w:pPr>
            <w:r w:rsidRPr="00DA3C19">
              <w:rPr>
                <w:rFonts w:eastAsia="Calibri"/>
                <w:sz w:val="19"/>
                <w:szCs w:val="19"/>
                <w:lang w:val="en-AU"/>
              </w:rPr>
              <w:t>10min</w:t>
            </w:r>
          </w:p>
        </w:tc>
        <w:tc>
          <w:tcPr>
            <w:tcW w:w="728"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70E68C81" w14:textId="77777777">
            <w:pPr>
              <w:pStyle w:val="Tablebody"/>
              <w:rPr>
                <w:rFonts w:eastAsia="Calibri"/>
                <w:sz w:val="19"/>
                <w:szCs w:val="19"/>
                <w:lang w:val="en-AU"/>
              </w:rPr>
            </w:pPr>
            <w:r w:rsidRPr="00DA3C19">
              <w:rPr>
                <w:rFonts w:eastAsia="Calibri"/>
                <w:sz w:val="19"/>
                <w:szCs w:val="19"/>
                <w:lang w:val="en-AU"/>
              </w:rPr>
              <w:t>6mg/kg/hr</w:t>
            </w:r>
          </w:p>
        </w:tc>
        <w:tc>
          <w:tcPr>
            <w:tcW w:w="977" w:type="dxa"/>
            <w:gridSpan w:val="2"/>
            <w:tcBorders>
              <w:top w:val="single" w:color="auto" w:sz="4" w:space="0"/>
              <w:left w:val="single" w:color="auto" w:sz="4" w:space="0"/>
              <w:bottom w:val="single" w:color="auto" w:sz="4" w:space="0"/>
              <w:right w:val="single" w:color="auto" w:sz="4" w:space="0"/>
            </w:tcBorders>
          </w:tcPr>
          <w:p w:rsidRPr="00DA3C19" w:rsidR="005757A3" w:rsidP="00F35645" w:rsidRDefault="005757A3" w14:paraId="57A9235A" w14:textId="77777777">
            <w:pPr>
              <w:pStyle w:val="Tablebody"/>
              <w:rPr>
                <w:rFonts w:eastAsia="Calibri"/>
                <w:sz w:val="19"/>
                <w:szCs w:val="19"/>
                <w:lang w:val="en-AU"/>
              </w:rPr>
            </w:pPr>
            <w:r w:rsidRPr="00DA3C19">
              <w:rPr>
                <w:rFonts w:eastAsia="Calibri"/>
                <w:sz w:val="19"/>
                <w:szCs w:val="19"/>
                <w:lang w:val="en-AU"/>
              </w:rPr>
              <w:t>4hr</w:t>
            </w:r>
          </w:p>
        </w:tc>
        <w:tc>
          <w:tcPr>
            <w:tcW w:w="1134"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0EBE2285" w14:textId="77777777">
            <w:pPr>
              <w:pStyle w:val="Tablebody"/>
              <w:rPr>
                <w:rFonts w:eastAsia="Calibri"/>
                <w:sz w:val="19"/>
                <w:szCs w:val="19"/>
                <w:lang w:val="en-AU"/>
              </w:rPr>
            </w:pPr>
            <w:r w:rsidRPr="00DA3C19">
              <w:rPr>
                <w:rFonts w:eastAsia="Calibri"/>
                <w:sz w:val="19"/>
                <w:szCs w:val="19"/>
                <w:lang w:val="en-AU"/>
              </w:rPr>
              <w:t>3mg/kg/hr</w:t>
            </w:r>
          </w:p>
        </w:tc>
        <w:tc>
          <w:tcPr>
            <w:tcW w:w="992"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2F3EEE3B" w14:textId="77777777">
            <w:pPr>
              <w:pStyle w:val="Tablebody"/>
              <w:rPr>
                <w:rFonts w:eastAsia="Calibri"/>
                <w:sz w:val="19"/>
                <w:szCs w:val="19"/>
                <w:lang w:val="en-AU"/>
              </w:rPr>
            </w:pPr>
            <w:r w:rsidRPr="00DA3C19">
              <w:rPr>
                <w:rFonts w:eastAsia="Calibri"/>
                <w:sz w:val="19"/>
                <w:szCs w:val="19"/>
                <w:lang w:val="en-AU"/>
              </w:rPr>
              <w:t>12hr</w:t>
            </w:r>
          </w:p>
        </w:tc>
        <w:tc>
          <w:tcPr>
            <w:tcW w:w="1134"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1C4623D4" w14:textId="77777777">
            <w:pPr>
              <w:pStyle w:val="Tablebody"/>
              <w:rPr>
                <w:rFonts w:eastAsia="Calibri"/>
                <w:sz w:val="19"/>
                <w:szCs w:val="19"/>
                <w:lang w:val="en-AU"/>
              </w:rPr>
            </w:pPr>
            <w:r w:rsidRPr="00DA3C19">
              <w:rPr>
                <w:rFonts w:eastAsia="Calibri"/>
                <w:sz w:val="19"/>
                <w:szCs w:val="19"/>
                <w:lang w:val="en-AU"/>
              </w:rPr>
              <w:t>1.5mg/kg/hr</w:t>
            </w:r>
          </w:p>
        </w:tc>
        <w:tc>
          <w:tcPr>
            <w:tcW w:w="992"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49D9400D" w14:textId="77777777">
            <w:pPr>
              <w:pStyle w:val="Tablebody"/>
              <w:rPr>
                <w:rFonts w:eastAsia="Calibri"/>
                <w:sz w:val="19"/>
                <w:szCs w:val="19"/>
                <w:lang w:val="en-AU"/>
              </w:rPr>
            </w:pPr>
            <w:r w:rsidRPr="00DA3C19">
              <w:rPr>
                <w:rFonts w:eastAsia="Calibri"/>
                <w:sz w:val="19"/>
                <w:szCs w:val="19"/>
                <w:lang w:val="en-AU"/>
              </w:rPr>
              <w:t>12hr</w:t>
            </w:r>
          </w:p>
        </w:tc>
      </w:tr>
      <w:tr w:rsidRPr="00DA3C19" w:rsidR="005757A3" w:rsidTr="00F35645" w14:paraId="26A9B6BF" w14:textId="77777777">
        <w:trPr>
          <w:cantSplit/>
          <w:trHeight w:val="300"/>
          <w:jc w:val="center"/>
        </w:trPr>
        <w:tc>
          <w:tcPr>
            <w:tcW w:w="1678" w:type="dxa"/>
            <w:vMerge/>
          </w:tcPr>
          <w:p w:rsidRPr="00DA3C19" w:rsidR="005757A3" w:rsidP="00F35645" w:rsidRDefault="005757A3" w14:paraId="413646A4" w14:textId="77777777">
            <w:pPr>
              <w:pStyle w:val="Tablebody"/>
              <w:rPr>
                <w:lang w:val="en-AU"/>
              </w:rPr>
            </w:pPr>
          </w:p>
        </w:tc>
        <w:tc>
          <w:tcPr>
            <w:tcW w:w="737"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5A40D5DF" w14:textId="77777777">
            <w:pPr>
              <w:pStyle w:val="Tablebody"/>
              <w:rPr>
                <w:rFonts w:eastAsia="Calibri"/>
                <w:sz w:val="19"/>
                <w:szCs w:val="19"/>
                <w:lang w:val="en-AU"/>
              </w:rPr>
            </w:pPr>
            <w:r w:rsidRPr="00DA3C19">
              <w:rPr>
                <w:rFonts w:eastAsia="Calibri"/>
                <w:sz w:val="19"/>
                <w:szCs w:val="19"/>
                <w:lang w:val="en-AU"/>
              </w:rPr>
              <w:t>&gt; 2.6kg</w:t>
            </w:r>
          </w:p>
        </w:tc>
        <w:tc>
          <w:tcPr>
            <w:tcW w:w="855"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0459B31E" w14:textId="77777777">
            <w:pPr>
              <w:pStyle w:val="Tablebody"/>
              <w:rPr>
                <w:rFonts w:eastAsia="Calibri"/>
                <w:sz w:val="19"/>
                <w:szCs w:val="19"/>
                <w:lang w:val="en-AU"/>
              </w:rPr>
            </w:pPr>
            <w:r w:rsidRPr="00DA3C19">
              <w:rPr>
                <w:rFonts w:eastAsia="Calibri"/>
                <w:sz w:val="19"/>
                <w:szCs w:val="19"/>
                <w:lang w:val="en-AU"/>
              </w:rPr>
              <w:t>2mg/kg</w:t>
            </w:r>
          </w:p>
          <w:p w:rsidRPr="00DA3C19" w:rsidR="005757A3" w:rsidP="00F35645" w:rsidRDefault="005757A3" w14:paraId="003936FB" w14:textId="77777777">
            <w:pPr>
              <w:pStyle w:val="Tablebody"/>
              <w:rPr>
                <w:rFonts w:eastAsia="Calibri"/>
                <w:sz w:val="19"/>
                <w:szCs w:val="19"/>
                <w:lang w:val="en-AU"/>
              </w:rPr>
            </w:pPr>
          </w:p>
        </w:tc>
        <w:tc>
          <w:tcPr>
            <w:tcW w:w="956"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2DFEEDB0" w14:textId="77777777">
            <w:pPr>
              <w:pStyle w:val="Tablebody"/>
              <w:rPr>
                <w:rFonts w:eastAsia="Calibri"/>
                <w:sz w:val="19"/>
                <w:szCs w:val="19"/>
                <w:lang w:val="en-AU"/>
              </w:rPr>
            </w:pPr>
            <w:r w:rsidRPr="00DA3C19">
              <w:rPr>
                <w:rFonts w:eastAsia="Calibri"/>
                <w:sz w:val="19"/>
                <w:szCs w:val="19"/>
                <w:lang w:val="en-AU"/>
              </w:rPr>
              <w:t>10min</w:t>
            </w:r>
          </w:p>
          <w:p w:rsidRPr="00DA3C19" w:rsidR="005757A3" w:rsidP="00F35645" w:rsidRDefault="005757A3" w14:paraId="27F13CC0" w14:textId="77777777">
            <w:pPr>
              <w:pStyle w:val="Tablebody"/>
              <w:rPr>
                <w:rFonts w:eastAsia="Calibri"/>
                <w:sz w:val="19"/>
                <w:szCs w:val="19"/>
                <w:lang w:val="en-AU"/>
              </w:rPr>
            </w:pPr>
          </w:p>
        </w:tc>
        <w:tc>
          <w:tcPr>
            <w:tcW w:w="728"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6CB4625F" w14:textId="77777777">
            <w:pPr>
              <w:pStyle w:val="Tablebody"/>
              <w:rPr>
                <w:rFonts w:eastAsia="Calibri"/>
                <w:sz w:val="19"/>
                <w:szCs w:val="19"/>
                <w:lang w:val="en-AU"/>
              </w:rPr>
            </w:pPr>
            <w:r w:rsidRPr="00DA3C19">
              <w:rPr>
                <w:rFonts w:eastAsia="Calibri"/>
                <w:sz w:val="19"/>
                <w:szCs w:val="19"/>
                <w:lang w:val="en-AU"/>
              </w:rPr>
              <w:t>7mg/kg/hr</w:t>
            </w:r>
          </w:p>
        </w:tc>
        <w:tc>
          <w:tcPr>
            <w:tcW w:w="977" w:type="dxa"/>
            <w:gridSpan w:val="2"/>
            <w:tcBorders>
              <w:top w:val="single" w:color="auto" w:sz="4" w:space="0"/>
              <w:left w:val="single" w:color="auto" w:sz="4" w:space="0"/>
              <w:bottom w:val="single" w:color="auto" w:sz="4" w:space="0"/>
              <w:right w:val="single" w:color="auto" w:sz="4" w:space="0"/>
            </w:tcBorders>
          </w:tcPr>
          <w:p w:rsidRPr="00DA3C19" w:rsidR="005757A3" w:rsidP="00F35645" w:rsidRDefault="005757A3" w14:paraId="5F2EC16F" w14:textId="77777777">
            <w:pPr>
              <w:pStyle w:val="Tablebody"/>
              <w:rPr>
                <w:rFonts w:eastAsia="Calibri"/>
                <w:sz w:val="19"/>
                <w:szCs w:val="19"/>
                <w:lang w:val="en-AU"/>
              </w:rPr>
            </w:pPr>
            <w:r w:rsidRPr="00DA3C19">
              <w:rPr>
                <w:rFonts w:eastAsia="Calibri"/>
                <w:sz w:val="19"/>
                <w:szCs w:val="19"/>
                <w:lang w:val="en-AU"/>
              </w:rPr>
              <w:t>4hr</w:t>
            </w:r>
          </w:p>
          <w:p w:rsidRPr="00DA3C19" w:rsidR="005757A3" w:rsidP="00F35645" w:rsidRDefault="005757A3" w14:paraId="1FBFA0F5" w14:textId="77777777">
            <w:pPr>
              <w:pStyle w:val="Tablebody"/>
              <w:rPr>
                <w:rFonts w:eastAsia="Calibri"/>
                <w:sz w:val="19"/>
                <w:szCs w:val="19"/>
                <w:lang w:val="en-AU"/>
              </w:rPr>
            </w:pPr>
          </w:p>
        </w:tc>
        <w:tc>
          <w:tcPr>
            <w:tcW w:w="1134"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158EA47C" w14:textId="77777777">
            <w:pPr>
              <w:pStyle w:val="Tablebody"/>
              <w:rPr>
                <w:rFonts w:eastAsia="Calibri"/>
                <w:sz w:val="19"/>
                <w:szCs w:val="19"/>
                <w:lang w:val="en-AU"/>
              </w:rPr>
            </w:pPr>
            <w:r w:rsidRPr="00DA3C19">
              <w:rPr>
                <w:rFonts w:eastAsia="Calibri"/>
                <w:sz w:val="19"/>
                <w:szCs w:val="19"/>
                <w:lang w:val="en-AU"/>
              </w:rPr>
              <w:t>3.5 mg/kg/hr</w:t>
            </w:r>
          </w:p>
        </w:tc>
        <w:tc>
          <w:tcPr>
            <w:tcW w:w="992"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1C48D57B" w14:textId="77777777">
            <w:pPr>
              <w:pStyle w:val="Tablebody"/>
              <w:rPr>
                <w:rFonts w:eastAsia="Calibri"/>
                <w:sz w:val="19"/>
                <w:szCs w:val="19"/>
                <w:lang w:val="en-AU"/>
              </w:rPr>
            </w:pPr>
            <w:r w:rsidRPr="00DA3C19">
              <w:rPr>
                <w:rFonts w:eastAsia="Calibri"/>
                <w:sz w:val="19"/>
                <w:szCs w:val="19"/>
                <w:lang w:val="en-AU"/>
              </w:rPr>
              <w:t>12hr</w:t>
            </w:r>
          </w:p>
          <w:p w:rsidRPr="00DA3C19" w:rsidR="005757A3" w:rsidP="00F35645" w:rsidRDefault="005757A3" w14:paraId="31329E82" w14:textId="77777777">
            <w:pPr>
              <w:pStyle w:val="Tablebody"/>
              <w:rPr>
                <w:rFonts w:eastAsia="Calibri"/>
                <w:sz w:val="19"/>
                <w:szCs w:val="19"/>
                <w:lang w:val="en-AU"/>
              </w:rPr>
            </w:pPr>
          </w:p>
        </w:tc>
        <w:tc>
          <w:tcPr>
            <w:tcW w:w="1134"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7DF7BE5C" w14:textId="77777777">
            <w:pPr>
              <w:pStyle w:val="Tablebody"/>
              <w:rPr>
                <w:rFonts w:eastAsia="Calibri"/>
                <w:sz w:val="19"/>
                <w:szCs w:val="19"/>
                <w:lang w:val="en-AU"/>
              </w:rPr>
            </w:pPr>
            <w:r w:rsidRPr="00DA3C19">
              <w:rPr>
                <w:rFonts w:eastAsia="Calibri"/>
                <w:sz w:val="19"/>
                <w:szCs w:val="19"/>
                <w:lang w:val="en-AU"/>
              </w:rPr>
              <w:t>1.75</w:t>
            </w:r>
          </w:p>
          <w:p w:rsidRPr="00DA3C19" w:rsidR="005757A3" w:rsidP="00F35645" w:rsidRDefault="005757A3" w14:paraId="244EC729" w14:textId="77777777">
            <w:pPr>
              <w:pStyle w:val="Tablebody"/>
              <w:rPr>
                <w:rFonts w:eastAsia="Calibri"/>
                <w:sz w:val="19"/>
                <w:szCs w:val="19"/>
                <w:lang w:val="en-AU"/>
              </w:rPr>
            </w:pPr>
            <w:r w:rsidRPr="00DA3C19">
              <w:rPr>
                <w:rFonts w:eastAsia="Calibri"/>
                <w:sz w:val="19"/>
                <w:szCs w:val="19"/>
                <w:lang w:val="en-AU"/>
              </w:rPr>
              <w:t>mg/kg/hr</w:t>
            </w:r>
          </w:p>
        </w:tc>
        <w:tc>
          <w:tcPr>
            <w:tcW w:w="992" w:type="dxa"/>
            <w:tcBorders>
              <w:top w:val="single" w:color="auto" w:sz="4" w:space="0"/>
              <w:left w:val="single" w:color="auto" w:sz="4" w:space="0"/>
              <w:bottom w:val="single" w:color="auto" w:sz="4" w:space="0"/>
              <w:right w:val="single" w:color="auto" w:sz="4" w:space="0"/>
            </w:tcBorders>
          </w:tcPr>
          <w:p w:rsidRPr="00DA3C19" w:rsidR="005757A3" w:rsidP="00F35645" w:rsidRDefault="005757A3" w14:paraId="7D3B2D8F" w14:textId="77777777">
            <w:pPr>
              <w:pStyle w:val="Tablebody"/>
              <w:rPr>
                <w:rFonts w:eastAsia="Calibri"/>
                <w:sz w:val="19"/>
                <w:szCs w:val="19"/>
                <w:lang w:val="en-AU"/>
              </w:rPr>
            </w:pPr>
            <w:r w:rsidRPr="00DA3C19">
              <w:rPr>
                <w:rFonts w:eastAsia="Calibri"/>
                <w:sz w:val="19"/>
                <w:szCs w:val="19"/>
                <w:lang w:val="en-AU"/>
              </w:rPr>
              <w:t>12hr</w:t>
            </w:r>
          </w:p>
          <w:p w:rsidRPr="00DA3C19" w:rsidR="005757A3" w:rsidP="00F35645" w:rsidRDefault="005757A3" w14:paraId="624FB398" w14:textId="77777777">
            <w:pPr>
              <w:pStyle w:val="Tablebody"/>
              <w:rPr>
                <w:rFonts w:eastAsia="Calibri"/>
                <w:sz w:val="19"/>
                <w:szCs w:val="19"/>
                <w:lang w:val="en-AU"/>
              </w:rPr>
            </w:pPr>
          </w:p>
        </w:tc>
      </w:tr>
      <w:tr w:rsidRPr="00D766A6" w:rsidR="005757A3" w:rsidTr="00F35645" w14:paraId="6193A3A2" w14:textId="77777777">
        <w:trPr>
          <w:cantSplit/>
          <w:trHeight w:val="300"/>
          <w:jc w:val="center"/>
        </w:trPr>
        <w:tc>
          <w:tcPr>
            <w:tcW w:w="1678" w:type="dxa"/>
            <w:vMerge/>
          </w:tcPr>
          <w:p w:rsidRPr="00BB67C7" w:rsidR="005757A3" w:rsidP="00F35645" w:rsidRDefault="005757A3" w14:paraId="57D47FC6" w14:textId="77777777">
            <w:pPr>
              <w:pStyle w:val="Tablebody"/>
            </w:pPr>
          </w:p>
        </w:tc>
        <w:tc>
          <w:tcPr>
            <w:tcW w:w="8505" w:type="dxa"/>
            <w:gridSpan w:val="10"/>
            <w:tcBorders>
              <w:top w:val="single" w:color="auto" w:sz="4" w:space="0"/>
              <w:left w:val="single" w:color="auto" w:sz="4" w:space="0"/>
              <w:bottom w:val="single" w:color="auto" w:sz="4" w:space="0"/>
              <w:right w:val="single" w:color="auto" w:sz="4" w:space="0"/>
            </w:tcBorders>
          </w:tcPr>
          <w:p w:rsidRPr="00D766A6" w:rsidR="005757A3" w:rsidP="00F35645" w:rsidRDefault="005757A3" w14:paraId="0E36A639" w14:textId="77777777">
            <w:pPr>
              <w:pStyle w:val="Tablebody"/>
              <w:rPr>
                <w:rFonts w:eastAsia="Calibri"/>
                <w:sz w:val="19"/>
                <w:szCs w:val="19"/>
              </w:rPr>
            </w:pPr>
            <w:r w:rsidRPr="00D766A6">
              <w:rPr>
                <w:rFonts w:eastAsia="Calibri"/>
                <w:sz w:val="19"/>
                <w:szCs w:val="19"/>
              </w:rPr>
              <w:t>Hypothermia</w:t>
            </w:r>
          </w:p>
        </w:tc>
      </w:tr>
      <w:tr w:rsidRPr="00D766A6" w:rsidR="005757A3" w:rsidTr="00F35645" w14:paraId="6965C943" w14:textId="77777777">
        <w:trPr>
          <w:cantSplit/>
          <w:trHeight w:val="300"/>
          <w:jc w:val="center"/>
        </w:trPr>
        <w:tc>
          <w:tcPr>
            <w:tcW w:w="1678" w:type="dxa"/>
            <w:vMerge/>
          </w:tcPr>
          <w:p w:rsidRPr="00BB67C7" w:rsidR="005757A3" w:rsidP="00F35645" w:rsidRDefault="005757A3" w14:paraId="77F97044" w14:textId="77777777">
            <w:pPr>
              <w:pStyle w:val="Tablebody"/>
            </w:pPr>
          </w:p>
        </w:tc>
        <w:tc>
          <w:tcPr>
            <w:tcW w:w="737"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3754C88E" w14:textId="77777777">
            <w:pPr>
              <w:pStyle w:val="Tablebody"/>
              <w:rPr>
                <w:rFonts w:eastAsia="Calibri"/>
                <w:sz w:val="19"/>
                <w:szCs w:val="19"/>
              </w:rPr>
            </w:pPr>
            <w:r w:rsidRPr="00D766A6">
              <w:rPr>
                <w:rFonts w:eastAsia="Calibri"/>
                <w:sz w:val="19"/>
                <w:szCs w:val="19"/>
              </w:rPr>
              <w:t>&lt; 2.5kg</w:t>
            </w:r>
          </w:p>
        </w:tc>
        <w:tc>
          <w:tcPr>
            <w:tcW w:w="855"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4A9EC022" w14:textId="77777777">
            <w:pPr>
              <w:pStyle w:val="Tablebody"/>
              <w:rPr>
                <w:rFonts w:eastAsia="Calibri"/>
                <w:sz w:val="19"/>
                <w:szCs w:val="19"/>
              </w:rPr>
            </w:pPr>
            <w:r w:rsidRPr="00D766A6">
              <w:rPr>
                <w:rFonts w:eastAsia="Calibri"/>
                <w:sz w:val="19"/>
                <w:szCs w:val="19"/>
              </w:rPr>
              <w:t>2mg/kg</w:t>
            </w:r>
          </w:p>
          <w:p w:rsidRPr="00D766A6" w:rsidR="005757A3" w:rsidP="00F35645" w:rsidRDefault="005757A3" w14:paraId="473DBC4E" w14:textId="77777777">
            <w:pPr>
              <w:pStyle w:val="Tablebody"/>
              <w:rPr>
                <w:rFonts w:eastAsia="Calibri"/>
                <w:sz w:val="19"/>
                <w:szCs w:val="19"/>
              </w:rPr>
            </w:pPr>
          </w:p>
        </w:tc>
        <w:tc>
          <w:tcPr>
            <w:tcW w:w="956"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266DE204" w14:textId="77777777">
            <w:pPr>
              <w:pStyle w:val="Tablebody"/>
              <w:rPr>
                <w:rFonts w:eastAsia="Calibri"/>
                <w:sz w:val="19"/>
                <w:szCs w:val="19"/>
              </w:rPr>
            </w:pPr>
            <w:r w:rsidRPr="00D766A6">
              <w:rPr>
                <w:rFonts w:eastAsia="Calibri"/>
                <w:sz w:val="19"/>
                <w:szCs w:val="19"/>
              </w:rPr>
              <w:t>10min</w:t>
            </w:r>
          </w:p>
          <w:p w:rsidRPr="00D766A6" w:rsidR="005757A3" w:rsidP="00F35645" w:rsidRDefault="005757A3" w14:paraId="60847996" w14:textId="77777777">
            <w:pPr>
              <w:pStyle w:val="Tablebody"/>
              <w:rPr>
                <w:rFonts w:eastAsia="Calibri"/>
                <w:sz w:val="19"/>
                <w:szCs w:val="19"/>
              </w:rPr>
            </w:pPr>
          </w:p>
        </w:tc>
        <w:tc>
          <w:tcPr>
            <w:tcW w:w="728"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553949EE" w14:textId="77777777">
            <w:pPr>
              <w:pStyle w:val="Tablebody"/>
              <w:rPr>
                <w:rFonts w:eastAsia="Calibri"/>
                <w:sz w:val="19"/>
                <w:szCs w:val="19"/>
              </w:rPr>
            </w:pPr>
            <w:r w:rsidRPr="00D766A6">
              <w:rPr>
                <w:rFonts w:eastAsia="Calibri"/>
                <w:sz w:val="19"/>
                <w:szCs w:val="19"/>
              </w:rPr>
              <w:t>6mg/kg/</w:t>
            </w:r>
            <w:proofErr w:type="spellStart"/>
            <w:r w:rsidRPr="00D766A6">
              <w:rPr>
                <w:rFonts w:eastAsia="Calibri"/>
                <w:sz w:val="19"/>
                <w:szCs w:val="19"/>
              </w:rPr>
              <w:t>hr</w:t>
            </w:r>
            <w:proofErr w:type="spellEnd"/>
          </w:p>
        </w:tc>
        <w:tc>
          <w:tcPr>
            <w:tcW w:w="977" w:type="dxa"/>
            <w:gridSpan w:val="2"/>
            <w:tcBorders>
              <w:top w:val="single" w:color="auto" w:sz="4" w:space="0"/>
              <w:left w:val="single" w:color="auto" w:sz="4" w:space="0"/>
              <w:bottom w:val="single" w:color="auto" w:sz="4" w:space="0"/>
              <w:right w:val="single" w:color="auto" w:sz="4" w:space="0"/>
            </w:tcBorders>
          </w:tcPr>
          <w:p w:rsidRPr="00D766A6" w:rsidR="005757A3" w:rsidP="00F35645" w:rsidRDefault="005757A3" w14:paraId="11D61285" w14:textId="77777777">
            <w:pPr>
              <w:pStyle w:val="Tablebody"/>
              <w:rPr>
                <w:rFonts w:eastAsia="Calibri"/>
                <w:sz w:val="19"/>
                <w:szCs w:val="19"/>
              </w:rPr>
            </w:pPr>
            <w:r w:rsidRPr="00D766A6">
              <w:rPr>
                <w:rFonts w:eastAsia="Calibri"/>
                <w:sz w:val="19"/>
                <w:szCs w:val="19"/>
              </w:rPr>
              <w:t>3.5hr</w:t>
            </w:r>
          </w:p>
        </w:tc>
        <w:tc>
          <w:tcPr>
            <w:tcW w:w="1134"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5C9130BC" w14:textId="77777777">
            <w:pPr>
              <w:pStyle w:val="Tablebody"/>
              <w:rPr>
                <w:rFonts w:eastAsia="Calibri"/>
                <w:sz w:val="19"/>
                <w:szCs w:val="19"/>
              </w:rPr>
            </w:pPr>
            <w:r w:rsidRPr="00D766A6">
              <w:rPr>
                <w:rFonts w:eastAsia="Calibri"/>
                <w:sz w:val="19"/>
                <w:szCs w:val="19"/>
              </w:rPr>
              <w:t>3mg/kg/</w:t>
            </w:r>
            <w:proofErr w:type="spellStart"/>
            <w:r w:rsidRPr="00D766A6">
              <w:rPr>
                <w:rFonts w:eastAsia="Calibri"/>
                <w:sz w:val="19"/>
                <w:szCs w:val="19"/>
              </w:rPr>
              <w:t>hr</w:t>
            </w:r>
            <w:proofErr w:type="spellEnd"/>
          </w:p>
        </w:tc>
        <w:tc>
          <w:tcPr>
            <w:tcW w:w="992"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490793E2" w14:textId="77777777">
            <w:pPr>
              <w:pStyle w:val="Tablebody"/>
              <w:rPr>
                <w:rFonts w:eastAsia="Calibri"/>
                <w:sz w:val="19"/>
                <w:szCs w:val="19"/>
              </w:rPr>
            </w:pPr>
            <w:r w:rsidRPr="00D766A6">
              <w:rPr>
                <w:rFonts w:eastAsia="Calibri"/>
                <w:sz w:val="19"/>
                <w:szCs w:val="19"/>
              </w:rPr>
              <w:t>12hr</w:t>
            </w:r>
          </w:p>
          <w:p w:rsidRPr="00D766A6" w:rsidR="005757A3" w:rsidP="00F35645" w:rsidRDefault="005757A3" w14:paraId="42C11B0B" w14:textId="77777777">
            <w:pPr>
              <w:pStyle w:val="Tablebody"/>
              <w:rPr>
                <w:rFonts w:eastAsia="Calibri"/>
                <w:sz w:val="19"/>
                <w:szCs w:val="19"/>
              </w:rPr>
            </w:pPr>
          </w:p>
        </w:tc>
        <w:tc>
          <w:tcPr>
            <w:tcW w:w="1134"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05375BF4" w14:textId="77777777">
            <w:pPr>
              <w:pStyle w:val="Tablebody"/>
              <w:rPr>
                <w:rFonts w:eastAsia="Calibri"/>
                <w:sz w:val="19"/>
                <w:szCs w:val="19"/>
              </w:rPr>
            </w:pPr>
            <w:r w:rsidRPr="00D766A6">
              <w:rPr>
                <w:rFonts w:eastAsia="Calibri"/>
                <w:sz w:val="19"/>
                <w:szCs w:val="19"/>
              </w:rPr>
              <w:t>1.5mg/kg/</w:t>
            </w:r>
            <w:proofErr w:type="spellStart"/>
            <w:r w:rsidRPr="00D766A6">
              <w:rPr>
                <w:rFonts w:eastAsia="Calibri"/>
                <w:sz w:val="19"/>
                <w:szCs w:val="19"/>
              </w:rPr>
              <w:t>hr</w:t>
            </w:r>
            <w:proofErr w:type="spellEnd"/>
          </w:p>
        </w:tc>
        <w:tc>
          <w:tcPr>
            <w:tcW w:w="992"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37CF42C8" w14:textId="77777777">
            <w:pPr>
              <w:pStyle w:val="Tablebody"/>
              <w:rPr>
                <w:rFonts w:eastAsia="Calibri"/>
                <w:sz w:val="19"/>
                <w:szCs w:val="19"/>
              </w:rPr>
            </w:pPr>
            <w:r w:rsidRPr="00D766A6">
              <w:rPr>
                <w:rFonts w:eastAsia="Calibri"/>
                <w:sz w:val="19"/>
                <w:szCs w:val="19"/>
              </w:rPr>
              <w:t>12hr</w:t>
            </w:r>
          </w:p>
          <w:p w:rsidRPr="00D766A6" w:rsidR="005757A3" w:rsidP="00F35645" w:rsidRDefault="005757A3" w14:paraId="2541D3C4" w14:textId="77777777">
            <w:pPr>
              <w:pStyle w:val="Tablebody"/>
              <w:rPr>
                <w:rFonts w:eastAsia="Calibri"/>
                <w:sz w:val="19"/>
                <w:szCs w:val="19"/>
              </w:rPr>
            </w:pPr>
          </w:p>
        </w:tc>
      </w:tr>
      <w:tr w:rsidRPr="00D766A6" w:rsidR="005757A3" w:rsidTr="00F35645" w14:paraId="4FBC1B73" w14:textId="77777777">
        <w:trPr>
          <w:cantSplit/>
          <w:trHeight w:val="300"/>
          <w:jc w:val="center"/>
        </w:trPr>
        <w:tc>
          <w:tcPr>
            <w:tcW w:w="1678" w:type="dxa"/>
            <w:vMerge/>
          </w:tcPr>
          <w:p w:rsidRPr="00BB67C7" w:rsidR="005757A3" w:rsidP="00F35645" w:rsidRDefault="005757A3" w14:paraId="00E6FEFD" w14:textId="77777777">
            <w:pPr>
              <w:pStyle w:val="Tablebody"/>
            </w:pPr>
          </w:p>
        </w:tc>
        <w:tc>
          <w:tcPr>
            <w:tcW w:w="737"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38D0D5C0" w14:textId="77777777">
            <w:pPr>
              <w:pStyle w:val="Tablebody"/>
              <w:rPr>
                <w:rFonts w:eastAsia="Calibri"/>
                <w:sz w:val="19"/>
                <w:szCs w:val="19"/>
              </w:rPr>
            </w:pPr>
            <w:r w:rsidRPr="00D766A6">
              <w:rPr>
                <w:rFonts w:eastAsia="Calibri"/>
                <w:sz w:val="19"/>
                <w:szCs w:val="19"/>
              </w:rPr>
              <w:t>≥ 2.5kg</w:t>
            </w:r>
          </w:p>
        </w:tc>
        <w:tc>
          <w:tcPr>
            <w:tcW w:w="855"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3EA4F62D" w14:textId="77777777">
            <w:pPr>
              <w:pStyle w:val="Tablebody"/>
              <w:rPr>
                <w:rFonts w:eastAsia="Calibri"/>
                <w:sz w:val="19"/>
                <w:szCs w:val="19"/>
              </w:rPr>
            </w:pPr>
            <w:r w:rsidRPr="00D766A6">
              <w:rPr>
                <w:rFonts w:eastAsia="Calibri"/>
                <w:sz w:val="19"/>
                <w:szCs w:val="19"/>
              </w:rPr>
              <w:t>2mg/kg</w:t>
            </w:r>
          </w:p>
          <w:p w:rsidRPr="00D766A6" w:rsidR="005757A3" w:rsidP="00F35645" w:rsidRDefault="005757A3" w14:paraId="5984EFF7" w14:textId="77777777">
            <w:pPr>
              <w:pStyle w:val="Tablebody"/>
              <w:rPr>
                <w:rFonts w:eastAsia="Calibri"/>
                <w:sz w:val="19"/>
                <w:szCs w:val="19"/>
              </w:rPr>
            </w:pPr>
          </w:p>
        </w:tc>
        <w:tc>
          <w:tcPr>
            <w:tcW w:w="956"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5BF6CBD8" w14:textId="77777777">
            <w:pPr>
              <w:pStyle w:val="Tablebody"/>
              <w:rPr>
                <w:rFonts w:eastAsia="Calibri"/>
                <w:sz w:val="19"/>
                <w:szCs w:val="19"/>
              </w:rPr>
            </w:pPr>
            <w:r w:rsidRPr="00D766A6">
              <w:rPr>
                <w:rFonts w:eastAsia="Calibri"/>
                <w:sz w:val="19"/>
                <w:szCs w:val="19"/>
              </w:rPr>
              <w:t>10min</w:t>
            </w:r>
          </w:p>
          <w:p w:rsidRPr="00D766A6" w:rsidR="005757A3" w:rsidP="00F35645" w:rsidRDefault="005757A3" w14:paraId="25F6F3A3" w14:textId="77777777">
            <w:pPr>
              <w:pStyle w:val="Tablebody"/>
              <w:rPr>
                <w:rFonts w:eastAsia="Calibri"/>
                <w:sz w:val="19"/>
                <w:szCs w:val="19"/>
              </w:rPr>
            </w:pPr>
          </w:p>
        </w:tc>
        <w:tc>
          <w:tcPr>
            <w:tcW w:w="728"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0DED89B6" w14:textId="77777777">
            <w:pPr>
              <w:pStyle w:val="Tablebody"/>
              <w:rPr>
                <w:rFonts w:eastAsia="Calibri"/>
                <w:sz w:val="19"/>
                <w:szCs w:val="19"/>
              </w:rPr>
            </w:pPr>
            <w:r w:rsidRPr="00D766A6">
              <w:rPr>
                <w:rFonts w:eastAsia="Calibri"/>
                <w:sz w:val="19"/>
                <w:szCs w:val="19"/>
              </w:rPr>
              <w:t>7mg/kg/</w:t>
            </w:r>
            <w:proofErr w:type="spellStart"/>
            <w:r w:rsidRPr="00D766A6">
              <w:rPr>
                <w:rFonts w:eastAsia="Calibri"/>
                <w:sz w:val="19"/>
                <w:szCs w:val="19"/>
              </w:rPr>
              <w:t>hr</w:t>
            </w:r>
            <w:proofErr w:type="spellEnd"/>
          </w:p>
        </w:tc>
        <w:tc>
          <w:tcPr>
            <w:tcW w:w="977" w:type="dxa"/>
            <w:gridSpan w:val="2"/>
            <w:tcBorders>
              <w:top w:val="single" w:color="auto" w:sz="4" w:space="0"/>
              <w:left w:val="single" w:color="auto" w:sz="4" w:space="0"/>
              <w:bottom w:val="single" w:color="auto" w:sz="4" w:space="0"/>
              <w:right w:val="single" w:color="auto" w:sz="4" w:space="0"/>
            </w:tcBorders>
          </w:tcPr>
          <w:p w:rsidRPr="00D766A6" w:rsidR="005757A3" w:rsidP="00F35645" w:rsidRDefault="005757A3" w14:paraId="6CC8C842" w14:textId="77777777">
            <w:pPr>
              <w:pStyle w:val="Tablebody"/>
              <w:rPr>
                <w:rFonts w:eastAsia="Calibri"/>
                <w:sz w:val="19"/>
                <w:szCs w:val="19"/>
              </w:rPr>
            </w:pPr>
            <w:r w:rsidRPr="00D766A6">
              <w:rPr>
                <w:rFonts w:eastAsia="Calibri"/>
                <w:sz w:val="19"/>
                <w:szCs w:val="19"/>
              </w:rPr>
              <w:t>3.5hr</w:t>
            </w:r>
          </w:p>
          <w:p w:rsidRPr="00D766A6" w:rsidR="005757A3" w:rsidP="00F35645" w:rsidRDefault="005757A3" w14:paraId="6DB76E35" w14:textId="77777777">
            <w:pPr>
              <w:pStyle w:val="Tablebody"/>
              <w:rPr>
                <w:rFonts w:eastAsia="Calibri"/>
                <w:sz w:val="19"/>
                <w:szCs w:val="19"/>
              </w:rPr>
            </w:pPr>
          </w:p>
        </w:tc>
        <w:tc>
          <w:tcPr>
            <w:tcW w:w="1134"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310BC630" w14:textId="77777777">
            <w:pPr>
              <w:pStyle w:val="Tablebody"/>
              <w:rPr>
                <w:rFonts w:eastAsia="Calibri"/>
                <w:sz w:val="19"/>
                <w:szCs w:val="19"/>
              </w:rPr>
            </w:pPr>
            <w:r w:rsidRPr="00D766A6">
              <w:rPr>
                <w:rFonts w:eastAsia="Calibri"/>
                <w:sz w:val="19"/>
                <w:szCs w:val="19"/>
              </w:rPr>
              <w:t>3.5 mg/kg/</w:t>
            </w:r>
            <w:proofErr w:type="spellStart"/>
            <w:r w:rsidRPr="00D766A6">
              <w:rPr>
                <w:rFonts w:eastAsia="Calibri"/>
                <w:sz w:val="19"/>
                <w:szCs w:val="19"/>
              </w:rPr>
              <w:t>hr</w:t>
            </w:r>
            <w:proofErr w:type="spellEnd"/>
          </w:p>
        </w:tc>
        <w:tc>
          <w:tcPr>
            <w:tcW w:w="992"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2BBEFEAC" w14:textId="77777777">
            <w:pPr>
              <w:pStyle w:val="Tablebody"/>
              <w:rPr>
                <w:rFonts w:eastAsia="Calibri"/>
                <w:sz w:val="19"/>
                <w:szCs w:val="19"/>
              </w:rPr>
            </w:pPr>
            <w:r w:rsidRPr="00D766A6">
              <w:rPr>
                <w:rFonts w:eastAsia="Calibri"/>
                <w:sz w:val="19"/>
                <w:szCs w:val="19"/>
              </w:rPr>
              <w:t>12hr</w:t>
            </w:r>
          </w:p>
          <w:p w:rsidRPr="00D766A6" w:rsidR="005757A3" w:rsidP="00F35645" w:rsidRDefault="005757A3" w14:paraId="593CE127" w14:textId="77777777">
            <w:pPr>
              <w:pStyle w:val="Tablebody"/>
              <w:rPr>
                <w:rFonts w:eastAsia="Calibri"/>
                <w:sz w:val="19"/>
                <w:szCs w:val="19"/>
              </w:rPr>
            </w:pPr>
          </w:p>
        </w:tc>
        <w:tc>
          <w:tcPr>
            <w:tcW w:w="1134"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0F9678C0" w14:textId="77777777">
            <w:pPr>
              <w:pStyle w:val="Tablebody"/>
              <w:rPr>
                <w:rFonts w:eastAsia="Calibri"/>
                <w:sz w:val="19"/>
                <w:szCs w:val="19"/>
              </w:rPr>
            </w:pPr>
            <w:r w:rsidRPr="00D766A6">
              <w:rPr>
                <w:rFonts w:eastAsia="Calibri"/>
                <w:sz w:val="19"/>
                <w:szCs w:val="19"/>
              </w:rPr>
              <w:t>1.75</w:t>
            </w:r>
          </w:p>
          <w:p w:rsidRPr="00D766A6" w:rsidR="005757A3" w:rsidP="00F35645" w:rsidRDefault="005757A3" w14:paraId="1AA32097" w14:textId="77777777">
            <w:pPr>
              <w:pStyle w:val="Tablebody"/>
              <w:rPr>
                <w:rFonts w:eastAsia="Calibri"/>
                <w:sz w:val="19"/>
                <w:szCs w:val="19"/>
              </w:rPr>
            </w:pPr>
            <w:r w:rsidRPr="00D766A6">
              <w:rPr>
                <w:rFonts w:eastAsia="Calibri"/>
                <w:sz w:val="19"/>
                <w:szCs w:val="19"/>
              </w:rPr>
              <w:t>mg/kg/</w:t>
            </w:r>
            <w:proofErr w:type="spellStart"/>
            <w:r w:rsidRPr="00D766A6">
              <w:rPr>
                <w:rFonts w:eastAsia="Calibri"/>
                <w:sz w:val="19"/>
                <w:szCs w:val="19"/>
              </w:rPr>
              <w:t>hr</w:t>
            </w:r>
            <w:proofErr w:type="spellEnd"/>
          </w:p>
        </w:tc>
        <w:tc>
          <w:tcPr>
            <w:tcW w:w="992" w:type="dxa"/>
            <w:tcBorders>
              <w:top w:val="single" w:color="auto" w:sz="4" w:space="0"/>
              <w:left w:val="single" w:color="auto" w:sz="4" w:space="0"/>
              <w:bottom w:val="single" w:color="auto" w:sz="4" w:space="0"/>
              <w:right w:val="single" w:color="auto" w:sz="4" w:space="0"/>
            </w:tcBorders>
          </w:tcPr>
          <w:p w:rsidRPr="00D766A6" w:rsidR="005757A3" w:rsidP="00F35645" w:rsidRDefault="005757A3" w14:paraId="7F25F53A" w14:textId="77777777">
            <w:pPr>
              <w:pStyle w:val="Tablebody"/>
              <w:rPr>
                <w:rFonts w:eastAsia="Calibri"/>
                <w:sz w:val="19"/>
                <w:szCs w:val="19"/>
              </w:rPr>
            </w:pPr>
            <w:r w:rsidRPr="00D766A6">
              <w:rPr>
                <w:rFonts w:eastAsia="Calibri"/>
                <w:sz w:val="19"/>
                <w:szCs w:val="19"/>
              </w:rPr>
              <w:t>12hr</w:t>
            </w:r>
          </w:p>
          <w:p w:rsidRPr="00D766A6" w:rsidR="005757A3" w:rsidP="00F35645" w:rsidRDefault="005757A3" w14:paraId="6E3DB0FF" w14:textId="77777777">
            <w:pPr>
              <w:pStyle w:val="Tablebody"/>
              <w:rPr>
                <w:rFonts w:eastAsia="Calibri"/>
                <w:sz w:val="19"/>
                <w:szCs w:val="19"/>
              </w:rPr>
            </w:pPr>
          </w:p>
        </w:tc>
      </w:tr>
      <w:tr w:rsidRPr="00D766A6" w:rsidR="005757A3" w:rsidTr="00F35645" w14:paraId="6EC2B514" w14:textId="77777777">
        <w:trPr>
          <w:cantSplit/>
          <w:trHeight w:val="300"/>
          <w:jc w:val="center"/>
        </w:trPr>
        <w:tc>
          <w:tcPr>
            <w:tcW w:w="1678" w:type="dxa"/>
            <w:vMerge/>
          </w:tcPr>
          <w:p w:rsidRPr="00BB67C7" w:rsidR="005757A3" w:rsidP="00F35645" w:rsidRDefault="005757A3" w14:paraId="7E75EB82" w14:textId="77777777">
            <w:pPr>
              <w:pStyle w:val="Tablebody"/>
            </w:pPr>
          </w:p>
        </w:tc>
        <w:tc>
          <w:tcPr>
            <w:tcW w:w="8505" w:type="dxa"/>
            <w:gridSpan w:val="10"/>
            <w:tcBorders>
              <w:top w:val="single" w:color="auto" w:sz="4" w:space="0"/>
              <w:left w:val="single" w:color="auto" w:sz="4" w:space="0"/>
              <w:bottom w:val="single" w:color="auto" w:sz="4" w:space="0"/>
              <w:right w:val="single" w:color="auto" w:sz="4" w:space="0"/>
            </w:tcBorders>
          </w:tcPr>
          <w:p w:rsidRPr="00D766A6" w:rsidR="005757A3" w:rsidP="00F35645" w:rsidRDefault="005757A3" w14:paraId="0CD8C72D" w14:textId="77777777">
            <w:pPr>
              <w:pStyle w:val="Tablebody"/>
              <w:rPr>
                <w:rFonts w:eastAsia="Calibri"/>
                <w:sz w:val="19"/>
                <w:szCs w:val="19"/>
              </w:rPr>
            </w:pPr>
            <w:r w:rsidRPr="00D766A6">
              <w:rPr>
                <w:rFonts w:eastAsia="Calibri"/>
                <w:sz w:val="19"/>
                <w:szCs w:val="19"/>
              </w:rPr>
              <w:t xml:space="preserve">Alternative dosing regimens exist, generally with a longer loading phase </w:t>
            </w:r>
          </w:p>
          <w:p w:rsidRPr="00D766A6" w:rsidR="005757A3" w:rsidP="00F35645" w:rsidRDefault="005757A3" w14:paraId="735DC104" w14:textId="77777777">
            <w:pPr>
              <w:pStyle w:val="Tablebody"/>
              <w:rPr>
                <w:rFonts w:eastAsia="Calibri"/>
                <w:sz w:val="19"/>
                <w:szCs w:val="19"/>
              </w:rPr>
            </w:pPr>
            <w:r w:rsidRPr="00D766A6">
              <w:rPr>
                <w:rFonts w:eastAsia="Calibri"/>
                <w:sz w:val="19"/>
                <w:szCs w:val="19"/>
              </w:rPr>
              <w:t>These are not presented here due to higher risk of development of cardiotoxicity (rare)</w:t>
            </w:r>
          </w:p>
        </w:tc>
      </w:tr>
      <w:tr w:rsidRPr="00BB67C7" w:rsidR="005757A3" w:rsidTr="00F35645" w14:paraId="7540F896"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3EA9BF92" w14:textId="77777777">
            <w:pPr>
              <w:rPr>
                <w:b/>
                <w:bCs/>
              </w:rPr>
            </w:pPr>
            <w:r w:rsidRPr="00BB67C7">
              <w:rPr>
                <w:b/>
                <w:bCs/>
              </w:rPr>
              <w:t>Dose Adjustment</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5757A3" w:rsidP="00F35645" w:rsidRDefault="005757A3" w14:paraId="11270EE5" w14:textId="77777777">
            <w:pPr>
              <w:pStyle w:val="Tablebody"/>
              <w:rPr>
                <w:rFonts w:eastAsia="Calibri"/>
              </w:rPr>
            </w:pPr>
            <w:r w:rsidRPr="00BB67C7">
              <w:rPr>
                <w:rFonts w:eastAsia="Calibri"/>
              </w:rPr>
              <w:t>Therapeutic hypothermia - Yes- Hepatic metabolism reduced by approx. 20%, Renal clearance of active metabolites does not appear to be affected. See dose section.</w:t>
            </w:r>
          </w:p>
          <w:p w:rsidRPr="00BB67C7" w:rsidR="005757A3" w:rsidP="00F35645" w:rsidRDefault="005757A3" w14:paraId="22732C47" w14:textId="65FBB268">
            <w:pPr>
              <w:pStyle w:val="Tablebody"/>
              <w:rPr>
                <w:rFonts w:eastAsia="Calibri"/>
              </w:rPr>
            </w:pPr>
            <w:r w:rsidRPr="00BB67C7">
              <w:rPr>
                <w:rFonts w:eastAsia="Calibri"/>
              </w:rPr>
              <w:t xml:space="preserve">ECMO </w:t>
            </w:r>
            <w:r w:rsidR="004E4B6C">
              <w:rPr>
                <w:rFonts w:eastAsia="Calibri"/>
              </w:rPr>
              <w:t>–</w:t>
            </w:r>
            <w:r w:rsidRPr="00BB67C7">
              <w:rPr>
                <w:rFonts w:eastAsia="Calibri"/>
              </w:rPr>
              <w:t xml:space="preserve"> unknown</w:t>
            </w:r>
            <w:r w:rsidR="004E4B6C">
              <w:rPr>
                <w:rFonts w:eastAsia="Calibri"/>
              </w:rPr>
              <w:t>.</w:t>
            </w:r>
          </w:p>
          <w:p w:rsidRPr="00BB67C7" w:rsidR="005757A3" w:rsidP="00F35645" w:rsidRDefault="005757A3" w14:paraId="37766567" w14:textId="553016D8">
            <w:pPr>
              <w:pStyle w:val="Tablebody"/>
              <w:rPr>
                <w:rFonts w:eastAsia="Calibri"/>
              </w:rPr>
            </w:pPr>
            <w:r w:rsidRPr="00BB67C7">
              <w:rPr>
                <w:rFonts w:eastAsia="Calibri"/>
              </w:rPr>
              <w:t>Renal impairment – accumulation of lignocaine and especially of active metabolites may occur</w:t>
            </w:r>
            <w:r w:rsidR="004E4B6C">
              <w:rPr>
                <w:rFonts w:eastAsia="Calibri"/>
              </w:rPr>
              <w:t>.</w:t>
            </w:r>
          </w:p>
          <w:p w:rsidRPr="00BB67C7" w:rsidR="005757A3" w:rsidP="00F35645" w:rsidRDefault="005757A3" w14:paraId="541CF071" w14:textId="73566A12">
            <w:pPr>
              <w:pStyle w:val="Tablebody"/>
            </w:pPr>
            <w:r w:rsidRPr="00BB67C7">
              <w:rPr>
                <w:rFonts w:eastAsia="Calibri"/>
              </w:rPr>
              <w:t>Hepatic impairment – lignocaine will have a longer half-life and a lower clearance</w:t>
            </w:r>
            <w:r w:rsidR="004E4B6C">
              <w:t>.</w:t>
            </w:r>
          </w:p>
        </w:tc>
      </w:tr>
      <w:tr w:rsidRPr="00BB67C7" w:rsidR="005757A3" w:rsidTr="00F35645" w14:paraId="29A4B6FC"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588D9504" w14:textId="77777777">
            <w:pPr>
              <w:rPr>
                <w:b/>
                <w:bCs/>
              </w:rPr>
            </w:pPr>
            <w:r w:rsidRPr="00BB67C7">
              <w:rPr>
                <w:b/>
                <w:bCs/>
              </w:rPr>
              <w:t>Total Daily Dose</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5757A3" w:rsidP="00F35645" w:rsidRDefault="005757A3" w14:paraId="4A9AA47A" w14:textId="77777777">
            <w:pPr>
              <w:pStyle w:val="Tablebody"/>
            </w:pPr>
            <w:r w:rsidRPr="00BB67C7">
              <w:rPr>
                <w:rFonts w:eastAsia="Calibri"/>
              </w:rPr>
              <w:t xml:space="preserve">Unclear. Higher doses (longer loading phase) than recommended above have been used in studies and clinical practice in the past. Many studies reported no cardiotoxicity despite plasma levels </w:t>
            </w:r>
            <w:r>
              <w:rPr>
                <w:rFonts w:eastAsia="Calibri"/>
              </w:rPr>
              <w:t xml:space="preserve">greater than </w:t>
            </w:r>
            <w:r w:rsidRPr="00BB67C7">
              <w:rPr>
                <w:rFonts w:eastAsia="Calibri"/>
              </w:rPr>
              <w:t xml:space="preserve">9mg/L but cardiotoxicity has been reported, most commonly with loading phases </w:t>
            </w:r>
            <w:r>
              <w:rPr>
                <w:rFonts w:eastAsia="Calibri"/>
              </w:rPr>
              <w:t xml:space="preserve">greater than </w:t>
            </w:r>
            <w:r w:rsidRPr="00BB67C7">
              <w:rPr>
                <w:rFonts w:eastAsia="Calibri"/>
              </w:rPr>
              <w:t xml:space="preserve">6hrs long.  </w:t>
            </w:r>
          </w:p>
        </w:tc>
      </w:tr>
      <w:tr w:rsidRPr="00BB67C7" w:rsidR="005757A3" w:rsidTr="00F35645" w14:paraId="08C744A3"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5757A3" w:rsidP="00F35645" w:rsidRDefault="005757A3" w14:paraId="2F0CB325" w14:textId="77777777">
            <w:pPr>
              <w:rPr>
                <w:b/>
                <w:bCs/>
              </w:rPr>
            </w:pPr>
            <w:r w:rsidRPr="00BB67C7">
              <w:rPr>
                <w:b/>
                <w:bCs/>
              </w:rPr>
              <w:t>Route</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5757A3" w:rsidP="00F35645" w:rsidRDefault="005757A3" w14:paraId="154164DE" w14:textId="0797BC6A">
            <w:pPr>
              <w:pStyle w:val="Tablebody"/>
            </w:pPr>
            <w:r w:rsidRPr="00BB67C7">
              <w:t>Intravenous infusion</w:t>
            </w:r>
            <w:r w:rsidR="004E4B6C">
              <w:t>.</w:t>
            </w:r>
          </w:p>
        </w:tc>
      </w:tr>
      <w:tr w:rsidRPr="00BB67C7" w:rsidR="00912AE5" w:rsidTr="00F35645" w14:paraId="7D81D286"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912AE5" w:rsidP="00912AE5" w:rsidRDefault="00912AE5" w14:paraId="122E3042" w14:textId="7956BFA0">
            <w:pPr>
              <w:rPr>
                <w:b/>
                <w:bCs/>
              </w:rPr>
            </w:pPr>
            <w:r w:rsidRPr="00BB67C7">
              <w:rPr>
                <w:b/>
                <w:bCs/>
              </w:rPr>
              <w:t>Preparation</w:t>
            </w:r>
          </w:p>
        </w:tc>
        <w:tc>
          <w:tcPr>
            <w:tcW w:w="8505" w:type="dxa"/>
            <w:gridSpan w:val="10"/>
            <w:tcBorders>
              <w:top w:val="single" w:color="auto" w:sz="4" w:space="0"/>
              <w:left w:val="single" w:color="auto" w:sz="4" w:space="0"/>
              <w:bottom w:val="single" w:color="auto" w:sz="4" w:space="0"/>
              <w:right w:val="single" w:color="auto" w:sz="4" w:space="0"/>
            </w:tcBorders>
          </w:tcPr>
          <w:p w:rsidR="00912AE5" w:rsidP="00912AE5" w:rsidRDefault="00912AE5" w14:paraId="10024C06" w14:textId="77777777">
            <w:pPr>
              <w:pStyle w:val="Tablebody"/>
            </w:pPr>
            <w:r w:rsidRPr="00BB67C7">
              <w:t>Separate syringes should be prepared for the loading bolus and the infusion to reduce risk of accidental overdose. All 3 infusion phases may be delivered from the same syringe (with appropriate pump programming) although a syringe should not be used on a patient for more than 24hrs.</w:t>
            </w:r>
          </w:p>
          <w:p w:rsidRPr="00BB67C7" w:rsidR="00912AE5" w:rsidP="00912AE5" w:rsidRDefault="00912AE5" w14:paraId="432B2F10" w14:textId="77777777">
            <w:pPr>
              <w:pStyle w:val="Tablebody"/>
            </w:pPr>
          </w:p>
          <w:p w:rsidRPr="00C01EDF" w:rsidR="00912AE5" w:rsidP="00912AE5" w:rsidRDefault="00912AE5" w14:paraId="6AB94B15" w14:textId="77777777">
            <w:pPr>
              <w:pStyle w:val="Tablebody"/>
              <w:rPr>
                <w:b/>
                <w:bCs w:val="0"/>
                <w:u w:val="single"/>
              </w:rPr>
            </w:pPr>
            <w:r w:rsidRPr="00C01EDF">
              <w:rPr>
                <w:b/>
                <w:bCs w:val="0"/>
                <w:u w:val="single"/>
              </w:rPr>
              <w:t>Using 10% Lidocaine ampule (preferred)</w:t>
            </w:r>
          </w:p>
          <w:p w:rsidRPr="00C01EDF" w:rsidR="00912AE5" w:rsidP="00912AE5" w:rsidRDefault="00912AE5" w14:paraId="61824F66" w14:textId="77777777">
            <w:pPr>
              <w:pStyle w:val="Tablebody"/>
              <w:rPr>
                <w:rFonts w:eastAsia="Calibri"/>
                <w:b/>
                <w:bCs w:val="0"/>
              </w:rPr>
            </w:pPr>
            <w:r w:rsidRPr="00C01EDF">
              <w:rPr>
                <w:rFonts w:eastAsia="Calibri"/>
                <w:b/>
                <w:bCs w:val="0"/>
              </w:rPr>
              <w:t>Loading Bolus Dose</w:t>
            </w:r>
          </w:p>
          <w:p w:rsidRPr="00BB67C7" w:rsidR="00912AE5" w:rsidP="00912AE5" w:rsidRDefault="00912AE5" w14:paraId="5F2CF609" w14:textId="77777777">
            <w:pPr>
              <w:pStyle w:val="Tablebody"/>
              <w:rPr>
                <w:rFonts w:eastAsia="Calibri"/>
              </w:rPr>
            </w:pPr>
            <w:r w:rsidRPr="00BB67C7">
              <w:rPr>
                <w:rFonts w:eastAsia="Calibri"/>
              </w:rPr>
              <w:t>Add 1.6mL (160mg) of 10% (100mg/mL) lidocaine to sodium chloride 0.9% or glucose 5% to make a final volume of 20 mL with a concentration of 8mg/mL</w:t>
            </w:r>
          </w:p>
          <w:p w:rsidRPr="00C01EDF" w:rsidR="00912AE5" w:rsidP="00912AE5" w:rsidRDefault="00912AE5" w14:paraId="5AE7AC62" w14:textId="77777777">
            <w:pPr>
              <w:pStyle w:val="Tablebody"/>
              <w:rPr>
                <w:rFonts w:eastAsia="Calibri"/>
                <w:b/>
                <w:bCs w:val="0"/>
              </w:rPr>
            </w:pPr>
            <w:r w:rsidRPr="00C01EDF">
              <w:rPr>
                <w:rFonts w:eastAsia="Calibri"/>
                <w:b/>
                <w:bCs w:val="0"/>
              </w:rPr>
              <w:t>Infusion syringes</w:t>
            </w:r>
          </w:p>
          <w:p w:rsidRPr="00BB67C7" w:rsidR="00912AE5" w:rsidP="00912AE5" w:rsidRDefault="00912AE5" w14:paraId="04CD01C6" w14:textId="77777777">
            <w:pPr>
              <w:pStyle w:val="Tablebody"/>
              <w:rPr>
                <w:rFonts w:eastAsia="Calibri"/>
              </w:rPr>
            </w:pPr>
            <w:r w:rsidRPr="00BB67C7">
              <w:rPr>
                <w:rFonts w:eastAsia="Calibri"/>
              </w:rPr>
              <w:t xml:space="preserve">Add 1.6mL (160mg) of 10% (100mg/mL) lidocaine to sodium chloride 0.9% or glucose 5% to make a final volume of 20 mL with a concentration of 8mg/mL </w:t>
            </w:r>
          </w:p>
          <w:p w:rsidRPr="00BB67C7" w:rsidR="00912AE5" w:rsidP="00912AE5" w:rsidRDefault="00912AE5" w14:paraId="47C9B80F" w14:textId="77777777">
            <w:pPr>
              <w:pStyle w:val="Tablebody"/>
              <w:rPr>
                <w:rFonts w:eastAsia="Calibri"/>
              </w:rPr>
            </w:pPr>
            <w:r w:rsidRPr="00BB67C7">
              <w:rPr>
                <w:rFonts w:eastAsia="Calibri"/>
              </w:rPr>
              <w:t>OR</w:t>
            </w:r>
          </w:p>
          <w:p w:rsidRPr="00BB67C7" w:rsidR="00912AE5" w:rsidP="00912AE5" w:rsidRDefault="00912AE5" w14:paraId="20A6FAF5" w14:textId="77777777">
            <w:pPr>
              <w:pStyle w:val="Tablebody"/>
              <w:rPr>
                <w:rFonts w:eastAsia="Calibri"/>
              </w:rPr>
            </w:pPr>
            <w:r w:rsidRPr="00BB67C7">
              <w:rPr>
                <w:rFonts w:eastAsia="Calibri"/>
              </w:rPr>
              <w:t>Add 4mL (400mg) of 10% (100mg/mL) lidocaine to sodium chloride 0.9% or glucose 5% to make a final volume of 50 mL with a concentration of 8mg/mL</w:t>
            </w:r>
          </w:p>
          <w:p w:rsidR="00912AE5" w:rsidP="00912AE5" w:rsidRDefault="00912AE5" w14:paraId="40F644DF" w14:textId="77777777">
            <w:pPr>
              <w:pStyle w:val="Tablebody"/>
            </w:pPr>
          </w:p>
          <w:p w:rsidRPr="00C01EDF" w:rsidR="00912AE5" w:rsidP="00912AE5" w:rsidRDefault="00912AE5" w14:paraId="42BCFDDF" w14:textId="77777777">
            <w:pPr>
              <w:pStyle w:val="Tablebody"/>
              <w:rPr>
                <w:rFonts w:eastAsia="Calibri"/>
                <w:b/>
                <w:bCs w:val="0"/>
                <w:u w:val="single"/>
              </w:rPr>
            </w:pPr>
            <w:r w:rsidRPr="00C01EDF">
              <w:rPr>
                <w:rFonts w:eastAsia="Calibri"/>
                <w:b/>
                <w:bCs w:val="0"/>
                <w:u w:val="single"/>
              </w:rPr>
              <w:t>Using a 1% Lidocaine ampoule</w:t>
            </w:r>
          </w:p>
          <w:p w:rsidRPr="00C01EDF" w:rsidR="00912AE5" w:rsidP="00912AE5" w:rsidRDefault="00912AE5" w14:paraId="67642C33" w14:textId="77777777">
            <w:pPr>
              <w:pStyle w:val="Tablebody"/>
              <w:rPr>
                <w:rFonts w:eastAsia="Calibri"/>
                <w:b/>
                <w:bCs w:val="0"/>
              </w:rPr>
            </w:pPr>
            <w:r w:rsidRPr="00C01EDF">
              <w:rPr>
                <w:rFonts w:eastAsia="Calibri"/>
                <w:b/>
                <w:bCs w:val="0"/>
              </w:rPr>
              <w:t>Loading Bolus Dose</w:t>
            </w:r>
          </w:p>
          <w:p w:rsidRPr="00BB67C7" w:rsidR="00912AE5" w:rsidP="00912AE5" w:rsidRDefault="00912AE5" w14:paraId="090098B7" w14:textId="77777777">
            <w:pPr>
              <w:pStyle w:val="Tablebody"/>
              <w:rPr>
                <w:rFonts w:eastAsia="Calibri"/>
              </w:rPr>
            </w:pPr>
            <w:r w:rsidRPr="00BB67C7">
              <w:rPr>
                <w:rFonts w:eastAsia="Calibri"/>
              </w:rPr>
              <w:t>Add 16mL (160mg) of 1% (10mg/mL) lidocaine to sodium chloride 0.9% or glucose 5% to make a final volume of 20 mL with a concentration of 8mg/mL</w:t>
            </w:r>
          </w:p>
          <w:p w:rsidRPr="00C01EDF" w:rsidR="00912AE5" w:rsidP="00912AE5" w:rsidRDefault="00912AE5" w14:paraId="76EF6571" w14:textId="77777777">
            <w:pPr>
              <w:pStyle w:val="Tablebody"/>
              <w:rPr>
                <w:rFonts w:eastAsia="Calibri"/>
                <w:b/>
                <w:bCs w:val="0"/>
              </w:rPr>
            </w:pPr>
            <w:r w:rsidRPr="00C01EDF">
              <w:rPr>
                <w:rFonts w:eastAsia="Calibri"/>
                <w:b/>
                <w:bCs w:val="0"/>
              </w:rPr>
              <w:t>Infusion syringes</w:t>
            </w:r>
          </w:p>
          <w:p w:rsidRPr="00BB67C7" w:rsidR="00912AE5" w:rsidP="00912AE5" w:rsidRDefault="00912AE5" w14:paraId="59138C65" w14:textId="77777777">
            <w:pPr>
              <w:pStyle w:val="Tablebody"/>
              <w:rPr>
                <w:rFonts w:eastAsia="Calibri"/>
              </w:rPr>
            </w:pPr>
            <w:r w:rsidRPr="00BB67C7">
              <w:rPr>
                <w:rFonts w:eastAsia="Calibri"/>
              </w:rPr>
              <w:t xml:space="preserve">Add 16mL (160mg) of 1% (10mg/mL) lidocaine to sodium chloride 0.9% or glucose 5% to make a final volume of 20 mL with a concentration of 8mg/mL </w:t>
            </w:r>
          </w:p>
          <w:p w:rsidRPr="00BB67C7" w:rsidR="00912AE5" w:rsidP="00912AE5" w:rsidRDefault="00912AE5" w14:paraId="5DFDF1B4" w14:textId="77777777">
            <w:pPr>
              <w:pStyle w:val="Tablebody"/>
              <w:rPr>
                <w:rFonts w:eastAsia="Calibri"/>
              </w:rPr>
            </w:pPr>
            <w:r w:rsidRPr="00BB67C7">
              <w:rPr>
                <w:rFonts w:eastAsia="Calibri"/>
              </w:rPr>
              <w:t>OR</w:t>
            </w:r>
          </w:p>
          <w:p w:rsidRPr="00BB67C7" w:rsidR="00912AE5" w:rsidP="00912AE5" w:rsidRDefault="00912AE5" w14:paraId="722E7F9F" w14:textId="77777777">
            <w:pPr>
              <w:pStyle w:val="Tablebody"/>
              <w:rPr>
                <w:rFonts w:eastAsia="Calibri"/>
              </w:rPr>
            </w:pPr>
            <w:r w:rsidRPr="00BB67C7">
              <w:rPr>
                <w:rFonts w:eastAsia="Calibri"/>
              </w:rPr>
              <w:t>Add 40mL (400mg) of 1% (10mg/mL) lidocaine to sodium chloride 0.9% or glucose 5% to make a final volume of 50 mL with a concentration of 8mg/mL</w:t>
            </w:r>
          </w:p>
          <w:p w:rsidRPr="00BB67C7" w:rsidR="00912AE5" w:rsidP="00912AE5" w:rsidRDefault="00912AE5" w14:paraId="7CE2F2EA" w14:textId="77777777">
            <w:pPr>
              <w:pStyle w:val="Tablebody"/>
              <w:rPr>
                <w:rFonts w:eastAsia="Calibri"/>
              </w:rPr>
            </w:pPr>
          </w:p>
          <w:p w:rsidRPr="00C01EDF" w:rsidR="00912AE5" w:rsidP="00912AE5" w:rsidRDefault="00912AE5" w14:paraId="298DFA76" w14:textId="77777777">
            <w:pPr>
              <w:pStyle w:val="Tablebody"/>
              <w:rPr>
                <w:rFonts w:eastAsia="Calibri"/>
                <w:b/>
                <w:bCs w:val="0"/>
                <w:u w:val="single"/>
              </w:rPr>
            </w:pPr>
            <w:r w:rsidRPr="00C01EDF">
              <w:rPr>
                <w:rFonts w:eastAsia="Calibri"/>
                <w:b/>
                <w:bCs w:val="0"/>
                <w:u w:val="single"/>
              </w:rPr>
              <w:t>Using a 2% Lidocaine ampoule</w:t>
            </w:r>
          </w:p>
          <w:p w:rsidRPr="00C01EDF" w:rsidR="00912AE5" w:rsidP="00912AE5" w:rsidRDefault="00912AE5" w14:paraId="46CE59A8" w14:textId="77777777">
            <w:pPr>
              <w:pStyle w:val="Tablebody"/>
              <w:rPr>
                <w:rFonts w:eastAsia="Calibri"/>
                <w:b/>
                <w:bCs w:val="0"/>
              </w:rPr>
            </w:pPr>
            <w:r w:rsidRPr="00C01EDF">
              <w:rPr>
                <w:rFonts w:eastAsia="Calibri"/>
                <w:b/>
                <w:bCs w:val="0"/>
              </w:rPr>
              <w:t>Loading Bolus Dose</w:t>
            </w:r>
          </w:p>
          <w:p w:rsidRPr="00BB67C7" w:rsidR="00912AE5" w:rsidP="00912AE5" w:rsidRDefault="00912AE5" w14:paraId="7552653C" w14:textId="77777777">
            <w:pPr>
              <w:pStyle w:val="Tablebody"/>
              <w:rPr>
                <w:rFonts w:eastAsia="Calibri"/>
              </w:rPr>
            </w:pPr>
            <w:r w:rsidRPr="00BB67C7">
              <w:rPr>
                <w:rFonts w:eastAsia="Calibri"/>
              </w:rPr>
              <w:t>Add 8mL (160mg) of 2% (20mg/mL) lidocaine to sodium chloride 0.9% or glucose 5% to make a final volume of 20 mL with a concentration of 8mg/mL</w:t>
            </w:r>
          </w:p>
          <w:p w:rsidRPr="00C01EDF" w:rsidR="00912AE5" w:rsidP="00912AE5" w:rsidRDefault="00912AE5" w14:paraId="75029B84" w14:textId="77777777">
            <w:pPr>
              <w:pStyle w:val="Tablebody"/>
              <w:rPr>
                <w:rFonts w:eastAsia="Calibri"/>
                <w:b/>
                <w:bCs w:val="0"/>
              </w:rPr>
            </w:pPr>
            <w:r w:rsidRPr="00C01EDF">
              <w:rPr>
                <w:rFonts w:eastAsia="Calibri"/>
                <w:b/>
                <w:bCs w:val="0"/>
              </w:rPr>
              <w:t>Infusion syringes</w:t>
            </w:r>
          </w:p>
          <w:p w:rsidRPr="00BB67C7" w:rsidR="00912AE5" w:rsidP="00912AE5" w:rsidRDefault="00912AE5" w14:paraId="00150660" w14:textId="77777777">
            <w:pPr>
              <w:pStyle w:val="Tablebody"/>
              <w:rPr>
                <w:rFonts w:eastAsia="Calibri"/>
              </w:rPr>
            </w:pPr>
            <w:r w:rsidRPr="00BB67C7">
              <w:rPr>
                <w:rFonts w:eastAsia="Calibri"/>
              </w:rPr>
              <w:t xml:space="preserve">Add 8mL (160mg) of 2% (20mg/mL) lidocaine to sodium chloride 0.9% or glucose 5% to make a final volume of 20 mL with a concentration of 8mg/mL </w:t>
            </w:r>
          </w:p>
          <w:p w:rsidRPr="00BB67C7" w:rsidR="00912AE5" w:rsidP="00912AE5" w:rsidRDefault="00912AE5" w14:paraId="41A2483F" w14:textId="77777777">
            <w:pPr>
              <w:pStyle w:val="Tablebody"/>
              <w:rPr>
                <w:rFonts w:eastAsia="Calibri"/>
              </w:rPr>
            </w:pPr>
            <w:r w:rsidRPr="00BB67C7">
              <w:rPr>
                <w:rFonts w:eastAsia="Calibri"/>
              </w:rPr>
              <w:t>OR</w:t>
            </w:r>
          </w:p>
          <w:p w:rsidRPr="00BB67C7" w:rsidR="00912AE5" w:rsidP="00912AE5" w:rsidRDefault="00912AE5" w14:paraId="10FE0E93" w14:textId="09BA7BA6">
            <w:pPr>
              <w:pStyle w:val="Tablebody"/>
            </w:pPr>
            <w:r w:rsidRPr="00BB67C7">
              <w:rPr>
                <w:rFonts w:eastAsia="Calibri"/>
              </w:rPr>
              <w:t>Add 20mL (400mg) of 2% (20mg/mL) lidocaine to sodium chloride 0.9% or glucose 5% to make a final volume of 50 mL with a concentration of 8mg/mL</w:t>
            </w:r>
          </w:p>
        </w:tc>
      </w:tr>
      <w:tr w:rsidRPr="00BB67C7" w:rsidR="00C71E86" w:rsidTr="00F35645" w14:paraId="24F09B03"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C71E86" w:rsidP="00C71E86" w:rsidRDefault="00C71E86" w14:paraId="32E7FC88" w14:textId="409B2296">
            <w:pPr>
              <w:rPr>
                <w:b/>
                <w:bCs/>
              </w:rPr>
            </w:pPr>
            <w:r w:rsidRPr="00BB67C7">
              <w:rPr>
                <w:b/>
                <w:bCs/>
              </w:rPr>
              <w:t>Administration</w:t>
            </w:r>
          </w:p>
        </w:tc>
        <w:tc>
          <w:tcPr>
            <w:tcW w:w="8505" w:type="dxa"/>
            <w:gridSpan w:val="10"/>
            <w:tcBorders>
              <w:top w:val="single" w:color="auto" w:sz="4" w:space="0"/>
              <w:left w:val="single" w:color="auto" w:sz="4" w:space="0"/>
              <w:bottom w:val="single" w:color="auto" w:sz="4" w:space="0"/>
              <w:right w:val="single" w:color="auto" w:sz="4" w:space="0"/>
            </w:tcBorders>
          </w:tcPr>
          <w:p w:rsidRPr="00C01EDF" w:rsidR="00C71E86" w:rsidP="00C71E86" w:rsidRDefault="00C71E86" w14:paraId="1A8A9D40" w14:textId="77777777">
            <w:pPr>
              <w:pStyle w:val="Tablebody"/>
              <w:rPr>
                <w:b/>
                <w:bCs w:val="0"/>
              </w:rPr>
            </w:pPr>
            <w:r w:rsidRPr="00C01EDF">
              <w:rPr>
                <w:b/>
                <w:bCs w:val="0"/>
              </w:rPr>
              <w:t>A dedicated line for lidocaine should be used where possible</w:t>
            </w:r>
          </w:p>
          <w:p w:rsidRPr="00BB67C7" w:rsidR="00C71E86" w:rsidP="00C71E86" w:rsidRDefault="00C71E86" w14:paraId="52BF6209" w14:textId="77777777">
            <w:pPr>
              <w:pStyle w:val="Tablebody"/>
            </w:pPr>
            <w:r w:rsidRPr="00C01EDF">
              <w:rPr>
                <w:b/>
                <w:bCs w:val="0"/>
              </w:rPr>
              <w:t>Loading dose</w:t>
            </w:r>
            <w:r w:rsidRPr="00BB67C7">
              <w:t>: Administer over 10 minutes, then administer loading infusion immediately after.</w:t>
            </w:r>
          </w:p>
          <w:p w:rsidRPr="00BB67C7" w:rsidR="00C71E86" w:rsidP="00C71E86" w:rsidRDefault="00C71E86" w14:paraId="1320DF8B" w14:textId="77777777">
            <w:pPr>
              <w:pStyle w:val="Tablebody"/>
            </w:pPr>
            <w:r w:rsidRPr="00C01EDF">
              <w:rPr>
                <w:b/>
                <w:bCs w:val="0"/>
              </w:rPr>
              <w:t>Loading infusion</w:t>
            </w:r>
            <w:r w:rsidRPr="00BB67C7">
              <w:t>: Administer loading infusion at the required rate and duration (as per the dose table above), then administer maintenance phase 1 infusion immediately after.</w:t>
            </w:r>
          </w:p>
          <w:p w:rsidRPr="00BB67C7" w:rsidR="00C71E86" w:rsidP="00C71E86" w:rsidRDefault="00C71E86" w14:paraId="6F2C9D07" w14:textId="77777777">
            <w:pPr>
              <w:pStyle w:val="Tablebody"/>
            </w:pPr>
            <w:r w:rsidRPr="00C01EDF">
              <w:rPr>
                <w:b/>
                <w:bCs w:val="0"/>
              </w:rPr>
              <w:t>Maintenance phase 1 infusion</w:t>
            </w:r>
            <w:r w:rsidRPr="00BB67C7">
              <w:t>: Administer maintenance phase 1 infusion at the required rate for 12hrs (as per the dose table above), then administer maintenance phase 2 infusion immediately after.</w:t>
            </w:r>
          </w:p>
          <w:p w:rsidRPr="00BB67C7" w:rsidR="00C71E86" w:rsidP="00C71E86" w:rsidRDefault="00C71E86" w14:paraId="08CFBF75" w14:textId="1D9104F7">
            <w:pPr>
              <w:pStyle w:val="Tablebody"/>
            </w:pPr>
            <w:r w:rsidRPr="00C01EDF">
              <w:rPr>
                <w:b/>
                <w:bCs w:val="0"/>
              </w:rPr>
              <w:t>Maintenance phase 2 infusion</w:t>
            </w:r>
            <w:r w:rsidRPr="00BB67C7">
              <w:t>: Administer maintenance phase 2 infusion at the required rate for 12hrs (as per the dose table above), then cease all lidocaine</w:t>
            </w:r>
          </w:p>
        </w:tc>
      </w:tr>
      <w:tr w:rsidRPr="00BB67C7" w:rsidR="00FF3CBB" w:rsidTr="00F35645" w14:paraId="114D9D56"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FF3CBB" w:rsidP="00FF3CBB" w:rsidRDefault="00FF3CBB" w14:paraId="2928D3C2" w14:textId="0EAC3778">
            <w:pPr>
              <w:rPr>
                <w:b/>
                <w:bCs/>
              </w:rPr>
            </w:pPr>
            <w:r w:rsidRPr="00BB67C7">
              <w:rPr>
                <w:b/>
                <w:bCs/>
              </w:rPr>
              <w:t>Monitoring</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FF3CBB" w:rsidP="00FF3CBB" w:rsidRDefault="00FF3CBB" w14:paraId="7FD8A4BF" w14:textId="77777777">
            <w:pPr>
              <w:pStyle w:val="Tablebody"/>
              <w:rPr>
                <w:rFonts w:eastAsia="Calibri"/>
              </w:rPr>
            </w:pPr>
            <w:r w:rsidRPr="00BB67C7">
              <w:rPr>
                <w:rFonts w:eastAsia="Calibri"/>
              </w:rPr>
              <w:t>Continuous ECG monitoring is essential during intravenous administration of lignocaine. If signs of depression of cardiac conductivity (e.g. prolongation of the PR interval or QRS complex), aggravation of arrhythmias or other severe reactions occur, lignocaine should be promptly discontinued.</w:t>
            </w:r>
          </w:p>
          <w:p w:rsidRPr="00BB67C7" w:rsidR="00FF3CBB" w:rsidP="00FF3CBB" w:rsidRDefault="00FF3CBB" w14:paraId="1E508010" w14:textId="35352F65">
            <w:pPr>
              <w:pStyle w:val="Tablebody"/>
            </w:pPr>
            <w:r w:rsidRPr="00BB67C7">
              <w:rPr>
                <w:rFonts w:eastAsia="Calibri"/>
              </w:rPr>
              <w:t>Lignocaine levels are not routinely performed, and results may not be available in a timeframe that is clinically useful. Levels above 9mg/L are associated with cardiac toxicity in adults, but there is little information regarding levels in neonates.</w:t>
            </w:r>
          </w:p>
        </w:tc>
      </w:tr>
      <w:tr w:rsidRPr="00BB67C7" w:rsidR="00FF3CBB" w:rsidTr="00F35645" w14:paraId="1EA35376"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FF3CBB" w:rsidP="00FF3CBB" w:rsidRDefault="00FF3CBB" w14:paraId="4E89F4FF" w14:textId="546800D8">
            <w:pPr>
              <w:rPr>
                <w:b/>
                <w:bCs/>
              </w:rPr>
            </w:pPr>
            <w:r w:rsidRPr="00BB67C7">
              <w:rPr>
                <w:b/>
                <w:bCs/>
              </w:rPr>
              <w:t>Contraindications</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FF3CBB" w:rsidP="00FF3CBB" w:rsidRDefault="00FF3CBB" w14:paraId="34F53F6D" w14:textId="77777777">
            <w:pPr>
              <w:pStyle w:val="Tablebody"/>
              <w:rPr>
                <w:rFonts w:eastAsia="Calibri"/>
              </w:rPr>
            </w:pPr>
            <w:r w:rsidRPr="00BB67C7">
              <w:rPr>
                <w:rFonts w:eastAsia="Calibri"/>
              </w:rPr>
              <w:t xml:space="preserve">Known hypersensitivity to local </w:t>
            </w:r>
            <w:proofErr w:type="spellStart"/>
            <w:r w:rsidRPr="00BB67C7">
              <w:rPr>
                <w:rFonts w:eastAsia="Calibri"/>
              </w:rPr>
              <w:t>anaesthetics</w:t>
            </w:r>
            <w:proofErr w:type="spellEnd"/>
            <w:r w:rsidRPr="00BB67C7">
              <w:rPr>
                <w:rFonts w:eastAsia="Calibri"/>
              </w:rPr>
              <w:t xml:space="preserve"> of the amide type. </w:t>
            </w:r>
          </w:p>
          <w:p w:rsidRPr="00BB67C7" w:rsidR="00FF3CBB" w:rsidP="00FF3CBB" w:rsidRDefault="00FF3CBB" w14:paraId="3F8F1416" w14:textId="77777777">
            <w:pPr>
              <w:pStyle w:val="Tablebody"/>
              <w:rPr>
                <w:rFonts w:eastAsia="Calibri"/>
              </w:rPr>
            </w:pPr>
            <w:r w:rsidRPr="00BB67C7">
              <w:rPr>
                <w:rFonts w:eastAsia="Calibri"/>
              </w:rPr>
              <w:t>Lidocaine is contraindicated in infants with congenital heart disease and in those who have already received </w:t>
            </w:r>
            <w:hyperlink r:id="rId15">
              <w:r w:rsidRPr="00BB67C7">
                <w:rPr>
                  <w:rStyle w:val="Hyperlink"/>
                  <w:rFonts w:eastAsia="Calibri"/>
                </w:rPr>
                <w:t>phenytoin</w:t>
              </w:r>
            </w:hyperlink>
            <w:r w:rsidRPr="00BB67C7">
              <w:rPr>
                <w:rFonts w:eastAsia="Calibri"/>
              </w:rPr>
              <w:t>, due to the heightened risk for arrhythmia.</w:t>
            </w:r>
          </w:p>
          <w:p w:rsidRPr="00BB67C7" w:rsidR="00FF3CBB" w:rsidP="00FF3CBB" w:rsidRDefault="00FF3CBB" w14:paraId="1D88A80A" w14:textId="6F026183">
            <w:pPr>
              <w:pStyle w:val="Tablebody"/>
            </w:pPr>
            <w:r w:rsidRPr="00BB67C7">
              <w:rPr>
                <w:rFonts w:eastAsia="Calibri"/>
              </w:rPr>
              <w:t xml:space="preserve">All grades of atrioventricular block; severe myocardial depression; </w:t>
            </w:r>
            <w:proofErr w:type="spellStart"/>
            <w:r w:rsidRPr="00BB67C7">
              <w:rPr>
                <w:rFonts w:eastAsia="Calibri"/>
              </w:rPr>
              <w:t>sino</w:t>
            </w:r>
            <w:proofErr w:type="spellEnd"/>
            <w:r w:rsidRPr="00BB67C7">
              <w:rPr>
                <w:rFonts w:eastAsia="Calibri"/>
              </w:rPr>
              <w:t>-atrial disorders.</w:t>
            </w:r>
          </w:p>
        </w:tc>
      </w:tr>
      <w:tr w:rsidRPr="00BB67C7" w:rsidR="00FF3CBB" w:rsidTr="00F35645" w14:paraId="294A024E"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FF3CBB" w:rsidP="00FF3CBB" w:rsidRDefault="00FF3CBB" w14:paraId="2D811533" w14:textId="4963D068">
            <w:pPr>
              <w:rPr>
                <w:b/>
                <w:bCs/>
              </w:rPr>
            </w:pPr>
            <w:r w:rsidRPr="00BB67C7">
              <w:rPr>
                <w:b/>
                <w:bCs/>
              </w:rPr>
              <w:t>Precautions</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FF3CBB" w:rsidP="00FF3CBB" w:rsidRDefault="00FF3CBB" w14:paraId="153EFC54" w14:textId="77777777">
            <w:pPr>
              <w:pStyle w:val="Tablebody"/>
              <w:rPr>
                <w:rFonts w:eastAsia="Calibri"/>
              </w:rPr>
            </w:pPr>
            <w:r w:rsidRPr="00BB67C7">
              <w:rPr>
                <w:rFonts w:eastAsia="Calibri"/>
              </w:rPr>
              <w:t xml:space="preserve">Use with caution in hepatic disease, renal disease, congestive cardiac failure, marked hypoxia, severe respiratory depression, severe shock or </w:t>
            </w:r>
            <w:proofErr w:type="spellStart"/>
            <w:r w:rsidRPr="00BB67C7">
              <w:rPr>
                <w:rFonts w:eastAsia="Calibri"/>
              </w:rPr>
              <w:t>hypovolaemia</w:t>
            </w:r>
            <w:proofErr w:type="spellEnd"/>
            <w:r w:rsidRPr="00BB67C7">
              <w:rPr>
                <w:rFonts w:eastAsia="Calibri"/>
              </w:rPr>
              <w:t xml:space="preserve">. </w:t>
            </w:r>
            <w:proofErr w:type="spellStart"/>
            <w:r w:rsidRPr="00BB67C7">
              <w:rPr>
                <w:rFonts w:eastAsia="Calibri"/>
              </w:rPr>
              <w:t>Hypokalaemia</w:t>
            </w:r>
            <w:proofErr w:type="spellEnd"/>
            <w:r w:rsidRPr="00BB67C7">
              <w:rPr>
                <w:rFonts w:eastAsia="Calibri"/>
              </w:rPr>
              <w:t>, hypoxia and disorders of acid/ base balance should be corrected before treatment with lignocaine.</w:t>
            </w:r>
          </w:p>
          <w:p w:rsidRPr="00BB67C7" w:rsidR="00FF3CBB" w:rsidP="00FF3CBB" w:rsidRDefault="00FF3CBB" w14:paraId="2C62CE20" w14:textId="77777777">
            <w:pPr>
              <w:pStyle w:val="Tablebody"/>
              <w:rPr>
                <w:rFonts w:eastAsia="Calibri"/>
              </w:rPr>
            </w:pPr>
            <w:r w:rsidRPr="00BB67C7">
              <w:rPr>
                <w:rFonts w:eastAsia="Calibri"/>
              </w:rPr>
              <w:t xml:space="preserve">Lignocaine may increase ventricular rate when it is administered to patients with atrial fibrillation. </w:t>
            </w:r>
          </w:p>
          <w:p w:rsidRPr="00BB67C7" w:rsidR="00FF3CBB" w:rsidP="00FF3CBB" w:rsidRDefault="00FF3CBB" w14:paraId="4C16FF39" w14:textId="658A7086">
            <w:pPr>
              <w:pStyle w:val="Tablebody"/>
            </w:pPr>
            <w:r w:rsidRPr="00BB67C7">
              <w:rPr>
                <w:rFonts w:eastAsia="Calibri"/>
              </w:rPr>
              <w:t>Lidocaine may rarely lead to extravasation injury with tissue necrosis due to exaggerated vasoconstrictor response</w:t>
            </w:r>
          </w:p>
        </w:tc>
      </w:tr>
      <w:tr w:rsidRPr="00BB67C7" w:rsidR="00571446" w:rsidTr="00F35645" w14:paraId="55A1762A"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571446" w:rsidP="00571446" w:rsidRDefault="00571446" w14:paraId="5C0AD324" w14:textId="31CFFE6F">
            <w:pPr>
              <w:rPr>
                <w:b/>
                <w:bCs/>
              </w:rPr>
            </w:pPr>
            <w:r w:rsidRPr="00BB67C7">
              <w:rPr>
                <w:b/>
                <w:bCs/>
              </w:rPr>
              <w:t>Drug Interactions</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571446" w:rsidP="00571446" w:rsidRDefault="00571446" w14:paraId="2652E82B" w14:textId="1360AE76">
            <w:pPr>
              <w:pStyle w:val="Tablebody"/>
            </w:pPr>
            <w:r w:rsidRPr="00BB67C7">
              <w:rPr>
                <w:rFonts w:eastAsia="Calibri"/>
              </w:rPr>
              <w:t>Phenytoin, phenobarbitone, primidone and carbamazepine appear to enhance the metabolism of lignocaine possibly due to an induction of microsomal enzymes, but the significance is unknown. Phenytoin and lignocaine have additive cardiac depressant effects.</w:t>
            </w:r>
          </w:p>
        </w:tc>
      </w:tr>
      <w:tr w:rsidRPr="00BB67C7" w:rsidR="00571446" w:rsidTr="00F35645" w14:paraId="683FF0D4"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571446" w:rsidP="00571446" w:rsidRDefault="00571446" w14:paraId="463CCDA0" w14:textId="7F1198F0">
            <w:pPr>
              <w:rPr>
                <w:b/>
                <w:bCs/>
              </w:rPr>
            </w:pPr>
            <w:r w:rsidRPr="00BB67C7">
              <w:rPr>
                <w:b/>
                <w:bCs/>
              </w:rPr>
              <w:t>Adverse Reactions</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571446" w:rsidP="00571446" w:rsidRDefault="00571446" w14:paraId="6125389B" w14:textId="77777777">
            <w:pPr>
              <w:pStyle w:val="Tablebody"/>
              <w:rPr>
                <w:rFonts w:eastAsia="Calibri"/>
              </w:rPr>
            </w:pPr>
            <w:r w:rsidRPr="00BB67C7">
              <w:rPr>
                <w:rFonts w:eastAsia="Calibri"/>
              </w:rPr>
              <w:t xml:space="preserve">Allergic: cutaneous lesions, urticaria, oedema or anaphylactoid reactions </w:t>
            </w:r>
          </w:p>
          <w:p w:rsidRPr="00BB67C7" w:rsidR="00571446" w:rsidP="00571446" w:rsidRDefault="00571446" w14:paraId="6BF9713E" w14:textId="77777777">
            <w:pPr>
              <w:pStyle w:val="Tablebody"/>
              <w:rPr>
                <w:rFonts w:eastAsia="Calibri"/>
              </w:rPr>
            </w:pPr>
            <w:r w:rsidRPr="00BB67C7">
              <w:rPr>
                <w:rFonts w:eastAsia="Calibri"/>
              </w:rPr>
              <w:t>Circulatory: hypotension, collapse, ventricular tachycardias/fibrillation, heart block, bradycardia, cardiac arrest</w:t>
            </w:r>
          </w:p>
          <w:p w:rsidRPr="00BB67C7" w:rsidR="00571446" w:rsidP="00571446" w:rsidRDefault="00571446" w14:paraId="25A93AC2" w14:textId="5B7A36AE">
            <w:pPr>
              <w:pStyle w:val="Tablebody"/>
            </w:pPr>
            <w:r w:rsidRPr="00BB67C7">
              <w:rPr>
                <w:rFonts w:eastAsia="Calibri"/>
              </w:rPr>
              <w:t>Central nervous: agitation, drowsiness, vomiting, tremors, seizures, coma, respiratory depression</w:t>
            </w:r>
          </w:p>
        </w:tc>
      </w:tr>
      <w:tr w:rsidRPr="00BB67C7" w:rsidR="008C22DB" w:rsidTr="00F35645" w14:paraId="51CB40B9"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8C22DB" w:rsidP="008C22DB" w:rsidRDefault="008C22DB" w14:paraId="753716C2" w14:textId="47A7D7D2">
            <w:pPr>
              <w:rPr>
                <w:b/>
                <w:bCs/>
              </w:rPr>
            </w:pPr>
            <w:r w:rsidRPr="00BB67C7">
              <w:rPr>
                <w:b/>
                <w:bCs/>
              </w:rPr>
              <w:t>Compatibility</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8C22DB" w:rsidP="008C22DB" w:rsidRDefault="008C22DB" w14:paraId="0D0F6484" w14:textId="77777777">
            <w:pPr>
              <w:pStyle w:val="Tablebody"/>
              <w:rPr>
                <w:rFonts w:eastAsia="Calibri"/>
              </w:rPr>
            </w:pPr>
            <w:r w:rsidRPr="00BB67C7">
              <w:rPr>
                <w:rFonts w:eastAsia="Calibri"/>
              </w:rPr>
              <w:t>Fluids:</w:t>
            </w:r>
            <w:r w:rsidRPr="00BB67C7">
              <w:rPr>
                <w:rFonts w:eastAsia="Calibri"/>
                <w:vertAlign w:val="superscript"/>
              </w:rPr>
              <w:t xml:space="preserve"> </w:t>
            </w:r>
            <w:r w:rsidRPr="00BB67C7">
              <w:rPr>
                <w:rFonts w:eastAsia="Calibri"/>
              </w:rPr>
              <w:t>0.9% sodium chloride, 5% Dextrose,10% Dextrose</w:t>
            </w:r>
          </w:p>
          <w:p w:rsidRPr="00BB67C7" w:rsidR="008C22DB" w:rsidP="008C22DB" w:rsidRDefault="008C22DB" w14:paraId="228FCB89" w14:textId="77777777">
            <w:pPr>
              <w:pStyle w:val="Tablebody"/>
              <w:rPr>
                <w:rFonts w:eastAsia="Calibri"/>
              </w:rPr>
            </w:pPr>
            <w:r w:rsidRPr="00BB67C7">
              <w:rPr>
                <w:rFonts w:eastAsia="Calibri"/>
              </w:rPr>
              <w:t>PN at Y-site: Yes (no lipids)</w:t>
            </w:r>
          </w:p>
          <w:p w:rsidRPr="00BB67C7" w:rsidR="008C22DB" w:rsidP="008C22DB" w:rsidRDefault="008C22DB" w14:paraId="0180075D" w14:textId="77777777">
            <w:pPr>
              <w:pStyle w:val="Tablebody"/>
              <w:rPr>
                <w:rFonts w:eastAsia="Calibri"/>
              </w:rPr>
            </w:pPr>
            <w:r w:rsidRPr="00BB67C7">
              <w:rPr>
                <w:rFonts w:eastAsia="Calibri"/>
              </w:rPr>
              <w:t>Y-site:</w:t>
            </w:r>
            <w:r w:rsidRPr="00BB67C7">
              <w:rPr>
                <w:rFonts w:eastAsia="Calibri"/>
                <w:b/>
              </w:rPr>
              <w:t xml:space="preserve"> </w:t>
            </w:r>
          </w:p>
          <w:p w:rsidRPr="00BB67C7" w:rsidR="008C22DB" w:rsidP="008C22DB" w:rsidRDefault="008C22DB" w14:paraId="27A71DEE" w14:textId="77777777">
            <w:pPr>
              <w:pStyle w:val="Tablebody"/>
            </w:pPr>
            <w:r w:rsidRPr="00BB67C7">
              <w:rPr>
                <w:rFonts w:eastAsia="Calibri"/>
                <w:b/>
              </w:rPr>
              <w:t>Compatible at the Y site only:</w:t>
            </w:r>
            <w:r w:rsidRPr="00BB67C7">
              <w:rPr>
                <w:rFonts w:eastAsia="Calibri"/>
              </w:rPr>
              <w:t xml:space="preserve"> amikacin, amiodarone, ampicillin, caffeine citrate, calcium chloride, calcium gluconate, cefazolin, cefotaxime, cimetidine, dexamethasone, digoxin, dobutamine, dopamine, fentanyl, flumazenil, fluconazole, furosemide, gentamicin, heparin, hydrocortisone succinate, insulin, linezolid, magnesium sulphate, meropenem, morphine, nitroglycerin, paracetamol, penicillin G, potassium chloride, ranitidine, sodium nitroprusside, vancomycin.</w:t>
            </w:r>
            <w:r w:rsidRPr="00BB67C7">
              <w:t xml:space="preserve"> </w:t>
            </w:r>
          </w:p>
          <w:p w:rsidRPr="00BB67C7" w:rsidR="008C22DB" w:rsidP="008C22DB" w:rsidRDefault="008C22DB" w14:paraId="5D70F747" w14:textId="5133EE35">
            <w:pPr>
              <w:pStyle w:val="Tablebody"/>
            </w:pPr>
            <w:r w:rsidRPr="00BB67C7">
              <w:t>Use dedicated line for lignocaine infusion where possible</w:t>
            </w:r>
          </w:p>
        </w:tc>
      </w:tr>
      <w:tr w:rsidRPr="00BB67C7" w:rsidR="008C22DB" w:rsidTr="00F35645" w14:paraId="6D9CFEC4"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8C22DB" w:rsidP="008C22DB" w:rsidRDefault="008C22DB" w14:paraId="5D1BBCBD" w14:textId="504635D1">
            <w:pPr>
              <w:rPr>
                <w:b/>
                <w:bCs/>
              </w:rPr>
            </w:pPr>
            <w:r w:rsidRPr="00BB67C7">
              <w:rPr>
                <w:b/>
                <w:bCs/>
              </w:rPr>
              <w:t>Incompatibility</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8C22DB" w:rsidP="008C22DB" w:rsidRDefault="008C22DB" w14:paraId="308B6AE5" w14:textId="77777777">
            <w:pPr>
              <w:pStyle w:val="Tablebody"/>
              <w:rPr>
                <w:rFonts w:eastAsia="Calibri"/>
              </w:rPr>
            </w:pPr>
            <w:r w:rsidRPr="00BB67C7">
              <w:rPr>
                <w:rFonts w:eastAsia="Calibri"/>
              </w:rPr>
              <w:t xml:space="preserve">Fluids: </w:t>
            </w:r>
          </w:p>
          <w:p w:rsidRPr="00BB67C7" w:rsidR="008C22DB" w:rsidP="008C22DB" w:rsidRDefault="008C22DB" w14:paraId="6F90901B" w14:textId="77777777">
            <w:pPr>
              <w:pStyle w:val="Tablebody"/>
              <w:rPr>
                <w:rFonts w:eastAsia="Calibri"/>
              </w:rPr>
            </w:pPr>
            <w:r w:rsidRPr="00BB67C7">
              <w:rPr>
                <w:rFonts w:eastAsia="Calibri"/>
              </w:rPr>
              <w:t>PN at Y-site: Lipid emulsions incompatible</w:t>
            </w:r>
          </w:p>
          <w:p w:rsidRPr="00BB67C7" w:rsidR="008C22DB" w:rsidP="008C22DB" w:rsidRDefault="008C22DB" w14:paraId="17F54F80" w14:textId="77777777">
            <w:pPr>
              <w:pStyle w:val="Tablebody"/>
              <w:rPr>
                <w:rFonts w:eastAsia="Calibri"/>
              </w:rPr>
            </w:pPr>
            <w:r w:rsidRPr="00BB67C7">
              <w:rPr>
                <w:rFonts w:eastAsia="Calibri"/>
              </w:rPr>
              <w:t xml:space="preserve">Y site: </w:t>
            </w:r>
          </w:p>
          <w:p w:rsidRPr="00BB67C7" w:rsidR="008C22DB" w:rsidP="008C22DB" w:rsidRDefault="008C22DB" w14:paraId="0C2474AE" w14:textId="38F7A65C">
            <w:pPr>
              <w:pStyle w:val="Tablebody"/>
            </w:pPr>
            <w:proofErr w:type="spellStart"/>
            <w:r w:rsidRPr="00BB67C7">
              <w:t>Aciclovir</w:t>
            </w:r>
            <w:proofErr w:type="spellEnd"/>
            <w:r w:rsidRPr="00BB67C7">
              <w:t xml:space="preserve">, Milrinone, Phenobarbitone, Phenytoin, sodium bicarbonate </w:t>
            </w:r>
          </w:p>
        </w:tc>
      </w:tr>
      <w:tr w:rsidRPr="00BB67C7" w:rsidR="008C22DB" w:rsidTr="00F35645" w14:paraId="19412547"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8C22DB" w:rsidP="008C22DB" w:rsidRDefault="008C22DB" w14:paraId="3491071F" w14:textId="0FB5EE7E">
            <w:pPr>
              <w:rPr>
                <w:b/>
                <w:bCs/>
              </w:rPr>
            </w:pPr>
            <w:r w:rsidRPr="00BB67C7">
              <w:rPr>
                <w:b/>
                <w:bCs/>
              </w:rPr>
              <w:t>Stability</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8C22DB" w:rsidP="008C22DB" w:rsidRDefault="008C22DB" w14:paraId="518B0DCC" w14:textId="77777777">
            <w:pPr>
              <w:pStyle w:val="Tablebody"/>
              <w:rPr>
                <w:rFonts w:eastAsia="Calibri"/>
              </w:rPr>
            </w:pPr>
            <w:proofErr w:type="spellStart"/>
            <w:r w:rsidRPr="00BB67C7">
              <w:rPr>
                <w:rFonts w:eastAsia="Calibri"/>
              </w:rPr>
              <w:t>Steriamps</w:t>
            </w:r>
            <w:proofErr w:type="spellEnd"/>
            <w:r w:rsidRPr="00BB67C7">
              <w:rPr>
                <w:rFonts w:eastAsia="Calibri"/>
              </w:rPr>
              <w:t xml:space="preserve"> for single use only. Discard unused portion. </w:t>
            </w:r>
          </w:p>
          <w:p w:rsidRPr="00BB67C7" w:rsidR="008C22DB" w:rsidP="008C22DB" w:rsidRDefault="008C22DB" w14:paraId="3ACB030F" w14:textId="5E9D2386">
            <w:pPr>
              <w:pStyle w:val="Tablebody"/>
            </w:pPr>
            <w:r w:rsidRPr="00BB67C7">
              <w:rPr>
                <w:rFonts w:eastAsia="Calibri"/>
              </w:rPr>
              <w:t>Infusion syringes are stable for 48 hours once prepared, but may only be used on patient for 24 hours.</w:t>
            </w:r>
          </w:p>
        </w:tc>
      </w:tr>
      <w:tr w:rsidRPr="00BB67C7" w:rsidR="008C22DB" w:rsidTr="00F35645" w14:paraId="044F49EC"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8C22DB" w:rsidP="008C22DB" w:rsidRDefault="008C22DB" w14:paraId="2258EF64" w14:textId="4D68B268">
            <w:pPr>
              <w:rPr>
                <w:b/>
                <w:bCs/>
              </w:rPr>
            </w:pPr>
            <w:r w:rsidRPr="00BB67C7">
              <w:rPr>
                <w:b/>
                <w:bCs/>
              </w:rPr>
              <w:t>Storage</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8C22DB" w:rsidP="008C22DB" w:rsidRDefault="008C22DB" w14:paraId="48E495B0" w14:textId="44911ABF">
            <w:pPr>
              <w:pStyle w:val="Tablebody"/>
            </w:pPr>
            <w:proofErr w:type="spellStart"/>
            <w:r w:rsidRPr="00BB67C7">
              <w:rPr>
                <w:rFonts w:eastAsia="Calibri"/>
              </w:rPr>
              <w:t>Steriamps</w:t>
            </w:r>
            <w:proofErr w:type="spellEnd"/>
            <w:r w:rsidRPr="00BB67C7">
              <w:rPr>
                <w:rFonts w:eastAsia="Calibri"/>
              </w:rPr>
              <w:t xml:space="preserve">: store below 25 deg. C.  </w:t>
            </w:r>
          </w:p>
        </w:tc>
      </w:tr>
      <w:tr w:rsidRPr="00BB67C7" w:rsidR="00FC1B90" w:rsidTr="00F35645" w14:paraId="39E13528"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FC1B90" w:rsidP="00FC1B90" w:rsidRDefault="00FC1B90" w14:paraId="2A97FBDE" w14:textId="27C8DF0B">
            <w:pPr>
              <w:rPr>
                <w:b/>
                <w:bCs/>
              </w:rPr>
            </w:pPr>
            <w:r w:rsidRPr="00BB67C7">
              <w:rPr>
                <w:b/>
                <w:bCs/>
              </w:rPr>
              <w:t>Excipients</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FC1B90" w:rsidP="00FC1B90" w:rsidRDefault="00FC1B90" w14:paraId="23A63237" w14:textId="60216251">
            <w:pPr>
              <w:pStyle w:val="Tablebody"/>
            </w:pPr>
            <w:r w:rsidRPr="00BB67C7">
              <w:t>Water, sodium hydroxide</w:t>
            </w:r>
          </w:p>
        </w:tc>
      </w:tr>
      <w:tr w:rsidRPr="00BB67C7" w:rsidR="00FC1B90" w:rsidTr="00F35645" w14:paraId="2278D11A"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FC1B90" w:rsidP="00FC1B90" w:rsidRDefault="00FC1B90" w14:paraId="5DB4A26F" w14:textId="7BC5958A">
            <w:pPr>
              <w:rPr>
                <w:b/>
                <w:bCs/>
              </w:rPr>
            </w:pPr>
            <w:r w:rsidRPr="00BB67C7">
              <w:rPr>
                <w:b/>
                <w:bCs/>
              </w:rPr>
              <w:t>Comments:</w:t>
            </w:r>
          </w:p>
        </w:tc>
        <w:tc>
          <w:tcPr>
            <w:tcW w:w="8505" w:type="dxa"/>
            <w:gridSpan w:val="10"/>
            <w:tcBorders>
              <w:top w:val="single" w:color="auto" w:sz="4" w:space="0"/>
              <w:left w:val="single" w:color="auto" w:sz="4" w:space="0"/>
              <w:bottom w:val="single" w:color="auto" w:sz="4" w:space="0"/>
              <w:right w:val="single" w:color="auto" w:sz="4" w:space="0"/>
            </w:tcBorders>
          </w:tcPr>
          <w:p w:rsidRPr="00BB67C7" w:rsidR="00FC1B90" w:rsidP="00FC1B90" w:rsidRDefault="00FC1B90" w14:paraId="75C85BDB" w14:textId="6606C059">
            <w:pPr>
              <w:pStyle w:val="Tablebody"/>
            </w:pPr>
            <w:r w:rsidRPr="00BB67C7">
              <w:t xml:space="preserve">Lidocaine is </w:t>
            </w:r>
            <w:proofErr w:type="spellStart"/>
            <w:r w:rsidRPr="00BB67C7">
              <w:t>metabolised</w:t>
            </w:r>
            <w:proofErr w:type="spellEnd"/>
            <w:r w:rsidRPr="00BB67C7">
              <w:t xml:space="preserve"> in the liver. Metabolites (which may possess activity) are renally excreted.</w:t>
            </w:r>
          </w:p>
        </w:tc>
      </w:tr>
      <w:tr w:rsidRPr="00BB67C7" w:rsidR="00FC1B90" w:rsidTr="00F35645" w14:paraId="45A24CD4" w14:textId="77777777">
        <w:trPr>
          <w:cantSplit/>
          <w:trHeight w:val="480"/>
          <w:jc w:val="center"/>
        </w:trPr>
        <w:tc>
          <w:tcPr>
            <w:tcW w:w="1678" w:type="dxa"/>
            <w:tcBorders>
              <w:top w:val="single" w:color="auto" w:sz="4" w:space="0"/>
              <w:left w:val="single" w:color="auto" w:sz="4" w:space="0"/>
              <w:bottom w:val="single" w:color="auto" w:sz="4" w:space="0"/>
              <w:right w:val="single" w:color="auto" w:sz="4" w:space="0"/>
            </w:tcBorders>
          </w:tcPr>
          <w:p w:rsidRPr="00BB67C7" w:rsidR="00FC1B90" w:rsidP="00FC1B90" w:rsidRDefault="00FC1B90" w14:paraId="2C0E01DB" w14:textId="77777777">
            <w:pPr>
              <w:rPr>
                <w:b/>
                <w:bCs/>
              </w:rPr>
            </w:pPr>
            <w:r w:rsidRPr="00BB67C7">
              <w:rPr>
                <w:b/>
                <w:bCs/>
              </w:rPr>
              <w:t>References:</w:t>
            </w:r>
          </w:p>
          <w:p w:rsidRPr="00BB67C7" w:rsidR="00FC1B90" w:rsidP="00FC1B90" w:rsidRDefault="00FC1B90" w14:paraId="021A50D1" w14:textId="77777777">
            <w:pPr>
              <w:rPr>
                <w:b/>
                <w:bCs/>
              </w:rPr>
            </w:pPr>
          </w:p>
        </w:tc>
        <w:tc>
          <w:tcPr>
            <w:tcW w:w="8505" w:type="dxa"/>
            <w:gridSpan w:val="10"/>
            <w:tcBorders>
              <w:top w:val="single" w:color="auto" w:sz="4" w:space="0"/>
              <w:left w:val="single" w:color="auto" w:sz="4" w:space="0"/>
              <w:bottom w:val="single" w:color="auto" w:sz="4" w:space="0"/>
              <w:right w:val="single" w:color="auto" w:sz="4" w:space="0"/>
            </w:tcBorders>
          </w:tcPr>
          <w:p w:rsidRPr="00BB67C7" w:rsidR="00FC1B90" w:rsidP="00FC1B90" w:rsidRDefault="00FC1B90" w14:paraId="3069FB23" w14:textId="77777777">
            <w:pPr>
              <w:pStyle w:val="Numberedlist"/>
              <w:numPr>
                <w:ilvl w:val="0"/>
                <w:numId w:val="24"/>
              </w:numPr>
            </w:pPr>
            <w:proofErr w:type="spellStart"/>
            <w:r w:rsidRPr="00BB67C7">
              <w:t>Favie</w:t>
            </w:r>
            <w:proofErr w:type="spellEnd"/>
            <w:r w:rsidRPr="00BB67C7">
              <w:t>, LMA, et al. Lidocaine as treatment for neonatal seizures: Evaluation of previously developed population pharmacokinetic models and dosing regimen. Br J Clin Parmacol, 2020:86: 75-84</w:t>
            </w:r>
          </w:p>
          <w:p w:rsidRPr="00BB67C7" w:rsidR="00FC1B90" w:rsidP="00FC1B90" w:rsidRDefault="00FC1B90" w14:paraId="6CD4399D" w14:textId="77777777">
            <w:pPr>
              <w:pStyle w:val="Numberedlist"/>
            </w:pPr>
            <w:r w:rsidRPr="00BB67C7">
              <w:t xml:space="preserve">Lidocaine. In: IBM Micromedex® </w:t>
            </w:r>
            <w:proofErr w:type="spellStart"/>
            <w:r w:rsidRPr="00BB67C7">
              <w:t>NeoFax</w:t>
            </w:r>
            <w:proofErr w:type="spellEnd"/>
            <w:r w:rsidRPr="00BB67C7">
              <w:t>®/</w:t>
            </w:r>
            <w:proofErr w:type="spellStart"/>
            <w:r w:rsidRPr="00BB67C7">
              <w:t>Pediatrics</w:t>
            </w:r>
            <w:proofErr w:type="spellEnd"/>
            <w:r w:rsidRPr="00BB67C7">
              <w:t xml:space="preserve"> (electronic version). IBM Watson Health, Greenwood Village, Colorado, USA. 2023 [accessed 20/09/2023]. Available from: </w:t>
            </w:r>
            <w:hyperlink r:id="rId16">
              <w:r w:rsidRPr="00BB67C7">
                <w:rPr>
                  <w:rStyle w:val="Hyperlink"/>
                </w:rPr>
                <w:t>https://www.micromedexsolutions.com</w:t>
              </w:r>
            </w:hyperlink>
            <w:r w:rsidRPr="00BB67C7">
              <w:t>.</w:t>
            </w:r>
          </w:p>
          <w:p w:rsidRPr="00BB67C7" w:rsidR="00FC1B90" w:rsidP="00FC1B90" w:rsidRDefault="00FC1B90" w14:paraId="469B0F2F" w14:textId="24B33C50">
            <w:pPr>
              <w:pStyle w:val="Tablebody"/>
            </w:pPr>
            <w:r w:rsidRPr="00BB67C7">
              <w:t>Australian Injectable Drugs Handbook 9</w:t>
            </w:r>
            <w:r w:rsidRPr="00BB67C7">
              <w:rPr>
                <w:vertAlign w:val="superscript"/>
              </w:rPr>
              <w:t>th</w:t>
            </w:r>
            <w:r w:rsidRPr="00BB67C7">
              <w:t xml:space="preserve"> edition, Advanced Pharmacy Australia 2026, accessed online 28/2/2026</w:t>
            </w:r>
          </w:p>
        </w:tc>
      </w:tr>
      <w:tr w:rsidRPr="00BB67C7" w:rsidR="00F6275A" w:rsidTr="00F6275A" w14:paraId="5006C8C4" w14:textId="77777777">
        <w:trPr>
          <w:cantSplit/>
          <w:trHeight w:val="480"/>
          <w:jc w:val="center"/>
        </w:trPr>
        <w:tc>
          <w:tcPr>
            <w:tcW w:w="5098" w:type="dxa"/>
            <w:gridSpan w:val="6"/>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4B386198" w14:textId="06670DD2">
            <w:pPr>
              <w:rPr>
                <w:b/>
                <w:bCs/>
              </w:rPr>
            </w:pPr>
            <w:r w:rsidRPr="00BB67C7">
              <w:t>Original version Date: 2014</w:t>
            </w:r>
          </w:p>
        </w:tc>
        <w:tc>
          <w:tcPr>
            <w:tcW w:w="5085" w:type="dxa"/>
            <w:gridSpan w:val="5"/>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4D04E660" w14:textId="3A89DCE6">
            <w:pPr>
              <w:pStyle w:val="Tablebody"/>
            </w:pPr>
            <w:r w:rsidRPr="00BB67C7">
              <w:t xml:space="preserve">Author: </w:t>
            </w:r>
          </w:p>
        </w:tc>
      </w:tr>
      <w:tr w:rsidRPr="00BB67C7" w:rsidR="00F6275A" w:rsidTr="00F6275A" w14:paraId="558338DB" w14:textId="77777777">
        <w:trPr>
          <w:cantSplit/>
          <w:trHeight w:val="480"/>
          <w:jc w:val="center"/>
        </w:trPr>
        <w:tc>
          <w:tcPr>
            <w:tcW w:w="5098" w:type="dxa"/>
            <w:gridSpan w:val="6"/>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07C303E8" w14:textId="55EC3274">
            <w:pPr>
              <w:rPr>
                <w:b/>
                <w:bCs/>
              </w:rPr>
            </w:pPr>
            <w:r w:rsidRPr="00BB67C7">
              <w:t>Current Version number:  2</w:t>
            </w:r>
          </w:p>
        </w:tc>
        <w:tc>
          <w:tcPr>
            <w:tcW w:w="5085" w:type="dxa"/>
            <w:gridSpan w:val="5"/>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5F798F81" w14:textId="6158703E">
            <w:pPr>
              <w:pStyle w:val="Tablebody"/>
            </w:pPr>
            <w:r w:rsidRPr="00BB67C7">
              <w:t>Version Date: 29/09/2023</w:t>
            </w:r>
          </w:p>
        </w:tc>
      </w:tr>
      <w:tr w:rsidRPr="00BB67C7" w:rsidR="00F6275A" w:rsidTr="00F6275A" w14:paraId="54491ABC" w14:textId="77777777">
        <w:trPr>
          <w:cantSplit/>
          <w:trHeight w:val="480"/>
          <w:jc w:val="center"/>
        </w:trPr>
        <w:tc>
          <w:tcPr>
            <w:tcW w:w="5098" w:type="dxa"/>
            <w:gridSpan w:val="6"/>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268A52C6" w14:textId="18D6EE24">
            <w:pPr>
              <w:rPr>
                <w:b/>
                <w:bCs/>
              </w:rPr>
            </w:pPr>
            <w:r w:rsidRPr="00BB67C7">
              <w:t xml:space="preserve">Updated Authors: </w:t>
            </w:r>
            <w:proofErr w:type="spellStart"/>
            <w:r w:rsidRPr="00BB67C7">
              <w:t>TCo</w:t>
            </w:r>
            <w:proofErr w:type="spellEnd"/>
            <w:r w:rsidRPr="00BB67C7">
              <w:t>, SB</w:t>
            </w:r>
          </w:p>
        </w:tc>
        <w:tc>
          <w:tcPr>
            <w:tcW w:w="5085" w:type="dxa"/>
            <w:gridSpan w:val="5"/>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239633AC" w14:textId="087A98F9">
            <w:pPr>
              <w:pStyle w:val="Tablebody"/>
            </w:pPr>
            <w:r w:rsidRPr="00BB67C7">
              <w:t xml:space="preserve">Approved: </w:t>
            </w:r>
            <w:proofErr w:type="spellStart"/>
            <w:r w:rsidRPr="00BB67C7">
              <w:t>TCo</w:t>
            </w:r>
            <w:proofErr w:type="spellEnd"/>
            <w:r w:rsidRPr="00BB67C7">
              <w:t>, SB, COB</w:t>
            </w:r>
          </w:p>
        </w:tc>
      </w:tr>
      <w:tr w:rsidRPr="00BB67C7" w:rsidR="00F6275A" w:rsidTr="00F6275A" w14:paraId="6844688F" w14:textId="77777777">
        <w:trPr>
          <w:cantSplit/>
          <w:trHeight w:val="480"/>
          <w:jc w:val="center"/>
        </w:trPr>
        <w:tc>
          <w:tcPr>
            <w:tcW w:w="5098" w:type="dxa"/>
            <w:gridSpan w:val="6"/>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45A83628" w14:textId="624B3D48">
            <w:pPr>
              <w:rPr>
                <w:b/>
                <w:bCs/>
              </w:rPr>
            </w:pPr>
            <w:r w:rsidRPr="00BB67C7">
              <w:t>Risk Rating: Low</w:t>
            </w:r>
          </w:p>
        </w:tc>
        <w:tc>
          <w:tcPr>
            <w:tcW w:w="5085" w:type="dxa"/>
            <w:gridSpan w:val="5"/>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61327877" w14:textId="7B7ACF2A">
            <w:pPr>
              <w:pStyle w:val="Tablebody"/>
            </w:pPr>
            <w:r w:rsidRPr="00BB67C7">
              <w:t>Due for Review: 13/12/2025</w:t>
            </w:r>
          </w:p>
        </w:tc>
      </w:tr>
      <w:tr w:rsidRPr="00BB67C7" w:rsidR="00F6275A" w:rsidTr="00F6275A" w14:paraId="538DCBD9" w14:textId="77777777">
        <w:trPr>
          <w:cantSplit/>
          <w:trHeight w:val="480"/>
          <w:jc w:val="center"/>
        </w:trPr>
        <w:tc>
          <w:tcPr>
            <w:tcW w:w="5098" w:type="dxa"/>
            <w:gridSpan w:val="6"/>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651EB996" w14:textId="316A808F">
            <w:pPr>
              <w:rPr>
                <w:b/>
                <w:bCs/>
              </w:rPr>
            </w:pPr>
            <w:r w:rsidRPr="00BB67C7">
              <w:t>Approved by: DTC</w:t>
            </w:r>
          </w:p>
        </w:tc>
        <w:tc>
          <w:tcPr>
            <w:tcW w:w="5085" w:type="dxa"/>
            <w:gridSpan w:val="5"/>
            <w:tcBorders>
              <w:top w:val="single" w:color="auto" w:sz="4" w:space="0"/>
              <w:left w:val="single" w:color="auto" w:sz="4" w:space="0"/>
              <w:bottom w:val="single" w:color="auto" w:sz="4" w:space="0"/>
              <w:right w:val="single" w:color="auto" w:sz="4" w:space="0"/>
            </w:tcBorders>
            <w:vAlign w:val="center"/>
          </w:tcPr>
          <w:p w:rsidRPr="00BB67C7" w:rsidR="00F6275A" w:rsidP="00F6275A" w:rsidRDefault="00F6275A" w14:paraId="66C2A055" w14:textId="5DD2C2FE">
            <w:pPr>
              <w:pStyle w:val="Tablebody"/>
            </w:pPr>
            <w:r w:rsidRPr="00BB67C7">
              <w:t>Approval Date: 13/12/2023</w:t>
            </w:r>
          </w:p>
        </w:tc>
      </w:tr>
    </w:tbl>
    <w:p w:rsidR="005757A3" w:rsidP="005757A3" w:rsidRDefault="005757A3" w14:paraId="47A65BEE" w14:textId="5421A309">
      <w:pPr>
        <w:pStyle w:val="Heading4"/>
      </w:pPr>
      <w:r w:rsidRPr="005757A3">
        <w:t xml:space="preserve">Recombinant Factor </w:t>
      </w:r>
      <w:proofErr w:type="spellStart"/>
      <w:r w:rsidRPr="005757A3">
        <w:t>VIIa</w:t>
      </w:r>
      <w:proofErr w:type="spellEnd"/>
      <w:r w:rsidRPr="005757A3">
        <w:t xml:space="preserve">  </w:t>
      </w:r>
    </w:p>
    <w:tbl>
      <w:tblPr>
        <w:tblStyle w:val="TableGrid"/>
        <w:tblW w:w="0" w:type="auto"/>
        <w:tblLook w:val="04A0" w:firstRow="1" w:lastRow="0" w:firstColumn="1" w:lastColumn="0" w:noHBand="0" w:noVBand="1"/>
      </w:tblPr>
      <w:tblGrid>
        <w:gridCol w:w="3539"/>
        <w:gridCol w:w="6655"/>
      </w:tblGrid>
      <w:tr w:rsidR="004E4B6C" w:rsidTr="004E4B6C" w14:paraId="6DBAE3E7" w14:textId="77777777">
        <w:tc>
          <w:tcPr>
            <w:tcW w:w="3539" w:type="dxa"/>
          </w:tcPr>
          <w:p w:rsidR="004E4B6C" w:rsidP="004E4B6C" w:rsidRDefault="004E4B6C" w14:paraId="2D86B0E3" w14:textId="4B6224A1">
            <w:r w:rsidRPr="00C01EDF">
              <w:t xml:space="preserve">Revision Date: 6/2/26 </w:t>
            </w:r>
          </w:p>
        </w:tc>
        <w:tc>
          <w:tcPr>
            <w:tcW w:w="6655" w:type="dxa"/>
          </w:tcPr>
          <w:p w:rsidR="004E4B6C" w:rsidP="004E4B6C" w:rsidRDefault="004E4B6C" w14:paraId="233CC76A" w14:textId="0F23FF58">
            <w:r w:rsidRPr="00C01EDF">
              <w:t xml:space="preserve">Approved: TC </w:t>
            </w:r>
          </w:p>
        </w:tc>
      </w:tr>
      <w:tr w:rsidR="004E4B6C" w:rsidTr="004E4B6C" w14:paraId="3AEF984D" w14:textId="77777777">
        <w:tc>
          <w:tcPr>
            <w:tcW w:w="3539" w:type="dxa"/>
          </w:tcPr>
          <w:p w:rsidRPr="00C01EDF" w:rsidR="004E4B6C" w:rsidP="004E4B6C" w:rsidRDefault="004E4B6C" w14:paraId="7307980D" w14:textId="77777777">
            <w:r w:rsidRPr="00C01EDF">
              <w:rPr>
                <w:b/>
                <w:bCs/>
              </w:rPr>
              <w:t xml:space="preserve">Indication (Off label)  </w:t>
            </w:r>
            <w:r w:rsidRPr="00C01EDF">
              <w:t xml:space="preserve"> </w:t>
            </w:r>
          </w:p>
          <w:p w:rsidR="004E4B6C" w:rsidP="004E4B6C" w:rsidRDefault="004E4B6C" w14:paraId="35C6102D" w14:textId="056116B3">
            <w:r w:rsidRPr="00C01EDF">
              <w:t xml:space="preserve"> </w:t>
            </w:r>
          </w:p>
        </w:tc>
        <w:tc>
          <w:tcPr>
            <w:tcW w:w="6655" w:type="dxa"/>
          </w:tcPr>
          <w:p w:rsidRPr="00C01EDF" w:rsidR="004E4B6C" w:rsidP="004E4B6C" w:rsidRDefault="004E4B6C" w14:paraId="78B07AC2" w14:textId="77777777">
            <w:pPr>
              <w:pStyle w:val="Tablebody"/>
            </w:pPr>
            <w:r w:rsidRPr="00C01EDF">
              <w:rPr>
                <w:rFonts w:eastAsia="Calibri"/>
              </w:rPr>
              <w:t xml:space="preserve">Use only for </w:t>
            </w:r>
            <w:r w:rsidRPr="00325843">
              <w:rPr>
                <w:rFonts w:eastAsia="Calibri"/>
                <w:b/>
                <w:bCs w:val="0"/>
              </w:rPr>
              <w:t>life</w:t>
            </w:r>
            <w:r w:rsidRPr="00325843">
              <w:rPr>
                <w:rFonts w:ascii="Cambria Math" w:hAnsi="Cambria Math" w:eastAsia="Calibri" w:cs="Cambria Math"/>
                <w:b/>
                <w:bCs w:val="0"/>
              </w:rPr>
              <w:t>‑</w:t>
            </w:r>
            <w:r w:rsidRPr="00325843">
              <w:rPr>
                <w:rFonts w:eastAsia="Calibri"/>
                <w:b/>
                <w:bCs w:val="0"/>
              </w:rPr>
              <w:t xml:space="preserve">threatening neonatal </w:t>
            </w:r>
            <w:proofErr w:type="spellStart"/>
            <w:r w:rsidRPr="00325843">
              <w:rPr>
                <w:rFonts w:eastAsia="Calibri"/>
                <w:b/>
                <w:bCs w:val="0"/>
              </w:rPr>
              <w:t>haemorrhage</w:t>
            </w:r>
            <w:proofErr w:type="spellEnd"/>
            <w:r w:rsidRPr="00C01EDF">
              <w:rPr>
                <w:rFonts w:eastAsia="Calibri"/>
              </w:rPr>
              <w:t xml:space="preserve"> refractory to </w:t>
            </w:r>
            <w:proofErr w:type="spellStart"/>
            <w:r w:rsidRPr="00C01EDF">
              <w:rPr>
                <w:rFonts w:eastAsia="Calibri"/>
              </w:rPr>
              <w:t>optimised</w:t>
            </w:r>
            <w:proofErr w:type="spellEnd"/>
            <w:r w:rsidRPr="00C01EDF">
              <w:rPr>
                <w:rFonts w:eastAsia="Calibri"/>
              </w:rPr>
              <w:t xml:space="preserve"> conventional therapy.</w:t>
            </w:r>
            <w:r w:rsidRPr="00C01EDF">
              <w:br/>
            </w:r>
            <w:r w:rsidRPr="00C01EDF">
              <w:rPr>
                <w:rFonts w:eastAsia="Calibri"/>
              </w:rPr>
              <w:t xml:space="preserve">Requires active involvement of a </w:t>
            </w:r>
            <w:r w:rsidRPr="00325843">
              <w:rPr>
                <w:rFonts w:eastAsia="Calibri"/>
                <w:b/>
                <w:bCs w:val="0"/>
              </w:rPr>
              <w:t>Consultant Neonatologist</w:t>
            </w:r>
            <w:r w:rsidRPr="00C01EDF">
              <w:rPr>
                <w:rFonts w:eastAsia="Calibri"/>
              </w:rPr>
              <w:t xml:space="preserve"> and the </w:t>
            </w:r>
            <w:r w:rsidRPr="00325843">
              <w:rPr>
                <w:rFonts w:eastAsia="Calibri"/>
                <w:b/>
                <w:bCs w:val="0"/>
              </w:rPr>
              <w:t>On</w:t>
            </w:r>
            <w:r w:rsidRPr="00325843">
              <w:rPr>
                <w:rFonts w:ascii="Cambria Math" w:hAnsi="Cambria Math" w:eastAsia="Calibri" w:cs="Cambria Math"/>
                <w:b/>
                <w:bCs w:val="0"/>
              </w:rPr>
              <w:t>‑</w:t>
            </w:r>
            <w:r w:rsidRPr="00325843">
              <w:rPr>
                <w:rFonts w:eastAsia="Calibri"/>
                <w:b/>
                <w:bCs w:val="0"/>
              </w:rPr>
              <w:t xml:space="preserve">Call </w:t>
            </w:r>
            <w:proofErr w:type="spellStart"/>
            <w:r w:rsidRPr="00325843">
              <w:rPr>
                <w:rFonts w:eastAsia="Calibri"/>
                <w:b/>
                <w:bCs w:val="0"/>
              </w:rPr>
              <w:t>Haematologist</w:t>
            </w:r>
            <w:proofErr w:type="spellEnd"/>
            <w:r w:rsidRPr="00C01EDF">
              <w:rPr>
                <w:rFonts w:eastAsia="Calibri"/>
              </w:rPr>
              <w:t xml:space="preserve">, and must occur </w:t>
            </w:r>
            <w:r w:rsidRPr="00325843">
              <w:rPr>
                <w:rFonts w:eastAsia="Calibri"/>
                <w:b/>
                <w:bCs w:val="0"/>
              </w:rPr>
              <w:t>within an activated Paediatric Massive Transfusion Protocol (MTP).</w:t>
            </w:r>
            <w:r w:rsidRPr="00C01EDF">
              <w:br/>
            </w:r>
            <w:r w:rsidRPr="00C01EDF">
              <w:rPr>
                <w:rFonts w:eastAsia="Calibri"/>
              </w:rPr>
              <w:t>Supplies must be obtained from the transfusion service.</w:t>
            </w:r>
          </w:p>
          <w:p w:rsidR="004E4B6C" w:rsidP="004E4B6C" w:rsidRDefault="004E4B6C" w14:paraId="0A67608C" w14:textId="25626B59">
            <w:proofErr w:type="spellStart"/>
            <w:r w:rsidRPr="00C01EDF">
              <w:rPr>
                <w:rFonts w:eastAsia="Calibri"/>
              </w:rPr>
              <w:t>rFVIIa</w:t>
            </w:r>
            <w:proofErr w:type="spellEnd"/>
            <w:r w:rsidRPr="00C01EDF">
              <w:rPr>
                <w:rFonts w:eastAsia="Calibri"/>
              </w:rPr>
              <w:t xml:space="preserve"> use is a </w:t>
            </w:r>
            <w:r w:rsidRPr="00325843">
              <w:rPr>
                <w:rFonts w:eastAsia="Calibri"/>
                <w:b/>
              </w:rPr>
              <w:t>rare rescue measure</w:t>
            </w:r>
            <w:r w:rsidRPr="00C01EDF">
              <w:rPr>
                <w:rFonts w:eastAsia="Calibri"/>
              </w:rPr>
              <w:t xml:space="preserve"> and is </w:t>
            </w:r>
            <w:r w:rsidRPr="00325843">
              <w:rPr>
                <w:rFonts w:eastAsia="Calibri"/>
                <w:b/>
              </w:rPr>
              <w:t>not routine</w:t>
            </w:r>
            <w:r w:rsidRPr="00C01EDF">
              <w:rPr>
                <w:rFonts w:eastAsia="Calibri"/>
              </w:rPr>
              <w:t xml:space="preserve">, consistent with NSW-ACT Critical Bleeding Protocol Neonate (CBP) in neonates and the CHS Massive Transfusion Protocol (MTP) guidance that it should </w:t>
            </w:r>
            <w:r w:rsidRPr="00325843">
              <w:rPr>
                <w:rFonts w:eastAsia="Calibri"/>
                <w:b/>
              </w:rPr>
              <w:t>only</w:t>
            </w:r>
            <w:r w:rsidRPr="00C01EDF">
              <w:rPr>
                <w:rFonts w:eastAsia="Calibri"/>
              </w:rPr>
              <w:t xml:space="preserve"> be considered when all standard therapies and procedural options have failed.</w:t>
            </w:r>
          </w:p>
        </w:tc>
      </w:tr>
      <w:tr w:rsidR="004E4B6C" w:rsidTr="004E4B6C" w14:paraId="3395DE40" w14:textId="77777777">
        <w:tc>
          <w:tcPr>
            <w:tcW w:w="3539" w:type="dxa"/>
          </w:tcPr>
          <w:p w:rsidR="004E4B6C" w:rsidP="004E4B6C" w:rsidRDefault="004E4B6C" w14:paraId="14B299B7" w14:textId="4BBD0D5F">
            <w:r w:rsidRPr="00C01EDF">
              <w:rPr>
                <w:b/>
                <w:bCs/>
              </w:rPr>
              <w:t>Dose</w:t>
            </w:r>
          </w:p>
        </w:tc>
        <w:tc>
          <w:tcPr>
            <w:tcW w:w="6655" w:type="dxa"/>
          </w:tcPr>
          <w:p w:rsidR="004E4B6C" w:rsidP="004E4B6C" w:rsidRDefault="004E4B6C" w14:paraId="22BFCFDC" w14:textId="2EB6DFC3">
            <w:r w:rsidRPr="00C01EDF">
              <w:rPr>
                <w:rFonts w:eastAsia="Calibri"/>
              </w:rPr>
              <w:t xml:space="preserve">90 micrograms/kg. </w:t>
            </w:r>
          </w:p>
        </w:tc>
      </w:tr>
      <w:tr w:rsidR="004E4B6C" w:rsidTr="004E4B6C" w14:paraId="7D53A32F" w14:textId="77777777">
        <w:tc>
          <w:tcPr>
            <w:tcW w:w="3539" w:type="dxa"/>
          </w:tcPr>
          <w:p w:rsidR="004E4B6C" w:rsidP="004E4B6C" w:rsidRDefault="004E4B6C" w14:paraId="177C00FD" w14:textId="38B3050C">
            <w:r w:rsidRPr="00C01EDF">
              <w:rPr>
                <w:b/>
                <w:bCs/>
              </w:rPr>
              <w:t>Interval</w:t>
            </w:r>
            <w:r w:rsidRPr="00C01EDF">
              <w:t xml:space="preserve"> </w:t>
            </w:r>
          </w:p>
        </w:tc>
        <w:tc>
          <w:tcPr>
            <w:tcW w:w="6655" w:type="dxa"/>
          </w:tcPr>
          <w:p w:rsidR="004E4B6C" w:rsidP="004E4B6C" w:rsidRDefault="004E4B6C" w14:paraId="0B3EA52F" w14:textId="23B9E230">
            <w:r w:rsidRPr="00C01EDF">
              <w:rPr>
                <w:rFonts w:eastAsia="Calibri"/>
              </w:rPr>
              <w:t>Usually a single dose.</w:t>
            </w:r>
            <w:r w:rsidRPr="00C01EDF">
              <w:br/>
            </w:r>
            <w:r w:rsidRPr="00C01EDF">
              <w:rPr>
                <w:rFonts w:eastAsia="Calibri"/>
              </w:rPr>
              <w:t xml:space="preserve">May be repeated </w:t>
            </w:r>
            <w:r w:rsidRPr="00C01EDF">
              <w:rPr>
                <w:rFonts w:eastAsia="Calibri"/>
                <w:b/>
              </w:rPr>
              <w:t>2</w:t>
            </w:r>
            <w:r w:rsidRPr="00C01EDF">
              <w:rPr>
                <w:rFonts w:ascii="Cambria Math" w:hAnsi="Cambria Math" w:eastAsia="Calibri" w:cs="Cambria Math"/>
                <w:b/>
              </w:rPr>
              <w:t>‑</w:t>
            </w:r>
            <w:r w:rsidRPr="00C01EDF">
              <w:rPr>
                <w:rFonts w:eastAsia="Calibri"/>
                <w:b/>
              </w:rPr>
              <w:t>hourly</w:t>
            </w:r>
            <w:r w:rsidRPr="00C01EDF">
              <w:rPr>
                <w:rFonts w:eastAsia="Calibri"/>
              </w:rPr>
              <w:t xml:space="preserve"> if bleeding persists and treatment futility has not been reached</w:t>
            </w:r>
            <w:r w:rsidR="00AA75D7">
              <w:rPr>
                <w:rFonts w:eastAsia="Calibri"/>
              </w:rPr>
              <w:t>.</w:t>
            </w:r>
          </w:p>
        </w:tc>
      </w:tr>
      <w:tr w:rsidR="004E4B6C" w:rsidTr="004E4B6C" w14:paraId="56FFFFC4" w14:textId="77777777">
        <w:tc>
          <w:tcPr>
            <w:tcW w:w="3539" w:type="dxa"/>
          </w:tcPr>
          <w:p w:rsidR="004E4B6C" w:rsidP="004E4B6C" w:rsidRDefault="004E4B6C" w14:paraId="0CA83B3D" w14:textId="033434C5">
            <w:r w:rsidRPr="00C01EDF">
              <w:rPr>
                <w:b/>
                <w:bCs/>
              </w:rPr>
              <w:t xml:space="preserve">Route </w:t>
            </w:r>
          </w:p>
        </w:tc>
        <w:tc>
          <w:tcPr>
            <w:tcW w:w="6655" w:type="dxa"/>
          </w:tcPr>
          <w:p w:rsidR="004E4B6C" w:rsidP="004E4B6C" w:rsidRDefault="004E4B6C" w14:paraId="2CF53BB3" w14:textId="14B94C89">
            <w:r w:rsidRPr="00C01EDF">
              <w:rPr>
                <w:rFonts w:eastAsia="Calibri"/>
              </w:rPr>
              <w:t>I.V. bolus injection over 2-5 minutes. DO NOT filter</w:t>
            </w:r>
            <w:r w:rsidR="00AA75D7">
              <w:rPr>
                <w:rFonts w:eastAsia="Calibri"/>
              </w:rPr>
              <w:t>.</w:t>
            </w:r>
            <w:r w:rsidRPr="00C01EDF">
              <w:rPr>
                <w:rFonts w:eastAsia="Calibri"/>
              </w:rPr>
              <w:t xml:space="preserve"> </w:t>
            </w:r>
          </w:p>
        </w:tc>
      </w:tr>
      <w:tr w:rsidR="004E4B6C" w:rsidTr="004E4B6C" w14:paraId="2A23BAE6" w14:textId="77777777">
        <w:tc>
          <w:tcPr>
            <w:tcW w:w="3539" w:type="dxa"/>
          </w:tcPr>
          <w:p w:rsidR="004E4B6C" w:rsidP="004E4B6C" w:rsidRDefault="004E4B6C" w14:paraId="3603F5D2" w14:textId="15873FD7">
            <w:r w:rsidRPr="00C01EDF">
              <w:rPr>
                <w:b/>
                <w:bCs/>
              </w:rPr>
              <w:t>Total Daily Dose</w:t>
            </w:r>
            <w:r w:rsidRPr="00C01EDF">
              <w:t xml:space="preserve"> </w:t>
            </w:r>
          </w:p>
        </w:tc>
        <w:tc>
          <w:tcPr>
            <w:tcW w:w="6655" w:type="dxa"/>
          </w:tcPr>
          <w:p w:rsidR="004E4B6C" w:rsidP="004E4B6C" w:rsidRDefault="004E4B6C" w14:paraId="50FA372E" w14:textId="00A8E0DC">
            <w:r w:rsidRPr="00C01EDF">
              <w:rPr>
                <w:rFonts w:eastAsia="Calibri"/>
              </w:rPr>
              <w:t xml:space="preserve">Guided by </w:t>
            </w:r>
            <w:proofErr w:type="spellStart"/>
            <w:r w:rsidRPr="00C01EDF">
              <w:rPr>
                <w:rFonts w:eastAsia="Calibri"/>
              </w:rPr>
              <w:t>Haematologist</w:t>
            </w:r>
            <w:proofErr w:type="spellEnd"/>
            <w:r w:rsidRPr="00C01EDF">
              <w:rPr>
                <w:rFonts w:eastAsia="Calibri"/>
              </w:rPr>
              <w:t>.</w:t>
            </w:r>
            <w:r w:rsidRPr="00C01EDF">
              <w:br/>
            </w:r>
            <w:r w:rsidRPr="00C01EDF">
              <w:rPr>
                <w:rFonts w:eastAsia="Calibri"/>
              </w:rPr>
              <w:t xml:space="preserve"> Repeated dosing may be considered only if bleeding persists after reassessment of futility.</w:t>
            </w:r>
          </w:p>
        </w:tc>
      </w:tr>
      <w:tr w:rsidR="004E4B6C" w:rsidTr="004E4B6C" w14:paraId="63892C0B" w14:textId="77777777">
        <w:tc>
          <w:tcPr>
            <w:tcW w:w="3539" w:type="dxa"/>
          </w:tcPr>
          <w:p w:rsidR="004E4B6C" w:rsidP="004E4B6C" w:rsidRDefault="004E4B6C" w14:paraId="60229832" w14:textId="69C70045">
            <w:r w:rsidRPr="00C01EDF">
              <w:rPr>
                <w:b/>
                <w:bCs/>
              </w:rPr>
              <w:t xml:space="preserve">Comments </w:t>
            </w:r>
          </w:p>
        </w:tc>
        <w:tc>
          <w:tcPr>
            <w:tcW w:w="6655" w:type="dxa"/>
          </w:tcPr>
          <w:p w:rsidRPr="00C01EDF" w:rsidR="004E4B6C" w:rsidP="004E4B6C" w:rsidRDefault="004E4B6C" w14:paraId="12623CF0" w14:textId="77777777">
            <w:pPr>
              <w:pStyle w:val="Tablebody"/>
            </w:pPr>
            <w:r w:rsidRPr="00C01EDF">
              <w:rPr>
                <w:rFonts w:eastAsia="Calibri"/>
              </w:rPr>
              <w:t xml:space="preserve">Complications to </w:t>
            </w:r>
            <w:proofErr w:type="spellStart"/>
            <w:r w:rsidRPr="00C01EDF">
              <w:rPr>
                <w:rFonts w:eastAsia="Calibri"/>
              </w:rPr>
              <w:t>rFVIIa</w:t>
            </w:r>
            <w:proofErr w:type="spellEnd"/>
            <w:r w:rsidRPr="00C01EDF">
              <w:rPr>
                <w:rFonts w:eastAsia="Calibri"/>
              </w:rPr>
              <w:t xml:space="preserve"> are uncommon. Thrombosis is rare but reported.</w:t>
            </w:r>
            <w:r w:rsidRPr="00C01EDF">
              <w:br/>
            </w:r>
            <w:r w:rsidRPr="00C01EDF">
              <w:rPr>
                <w:rFonts w:eastAsia="Calibri"/>
              </w:rPr>
              <w:t xml:space="preserve"> Hypersensitivity reactions may occur including rash, fever, nausea, and elevated LFTs.</w:t>
            </w:r>
          </w:p>
          <w:p w:rsidRPr="00325843" w:rsidR="004E4B6C" w:rsidP="004E4B6C" w:rsidRDefault="004E4B6C" w14:paraId="5DC86CB2" w14:textId="77777777">
            <w:pPr>
              <w:pStyle w:val="Tablebody"/>
              <w:rPr>
                <w:b/>
                <w:bCs w:val="0"/>
              </w:rPr>
            </w:pPr>
            <w:proofErr w:type="spellStart"/>
            <w:r w:rsidRPr="00325843">
              <w:rPr>
                <w:rFonts w:eastAsia="Calibri"/>
                <w:b/>
                <w:bCs w:val="0"/>
              </w:rPr>
              <w:t>rFVIIa</w:t>
            </w:r>
            <w:proofErr w:type="spellEnd"/>
            <w:r w:rsidRPr="00325843">
              <w:rPr>
                <w:rFonts w:eastAsia="Calibri"/>
                <w:b/>
                <w:bCs w:val="0"/>
              </w:rPr>
              <w:t xml:space="preserve"> should only be considered when there is ongoing bleeding (failure to obtain </w:t>
            </w:r>
            <w:proofErr w:type="spellStart"/>
            <w:r w:rsidRPr="00325843">
              <w:rPr>
                <w:rFonts w:eastAsia="Calibri"/>
                <w:b/>
                <w:bCs w:val="0"/>
              </w:rPr>
              <w:t>haemostasis</w:t>
            </w:r>
            <w:proofErr w:type="spellEnd"/>
            <w:r w:rsidRPr="00325843">
              <w:rPr>
                <w:rFonts w:eastAsia="Calibri"/>
                <w:b/>
                <w:bCs w:val="0"/>
              </w:rPr>
              <w:t>), AND all of the following criteria have been met:</w:t>
            </w:r>
          </w:p>
          <w:p w:rsidRPr="00325843" w:rsidR="004E4B6C" w:rsidP="004E4B6C" w:rsidRDefault="004E4B6C" w14:paraId="6CFEDAA1" w14:textId="77777777">
            <w:pPr>
              <w:pStyle w:val="Numberedlist"/>
              <w:numPr>
                <w:ilvl w:val="0"/>
                <w:numId w:val="21"/>
              </w:numPr>
              <w:rPr>
                <w:rFonts w:eastAsia="Calibri"/>
                <w:b/>
                <w:bCs/>
              </w:rPr>
            </w:pPr>
            <w:proofErr w:type="spellStart"/>
            <w:r w:rsidRPr="00325843">
              <w:rPr>
                <w:rFonts w:eastAsia="Calibri"/>
                <w:b/>
                <w:bCs/>
              </w:rPr>
              <w:t>Haemostatic</w:t>
            </w:r>
            <w:proofErr w:type="spellEnd"/>
            <w:r w:rsidRPr="00325843">
              <w:rPr>
                <w:rFonts w:eastAsia="Calibri"/>
                <w:b/>
                <w:bCs/>
              </w:rPr>
              <w:t xml:space="preserve"> parameters </w:t>
            </w:r>
            <w:proofErr w:type="spellStart"/>
            <w:r w:rsidRPr="00325843">
              <w:rPr>
                <w:rFonts w:eastAsia="Calibri"/>
                <w:b/>
                <w:bCs/>
              </w:rPr>
              <w:t>optimised</w:t>
            </w:r>
            <w:proofErr w:type="spellEnd"/>
            <w:r w:rsidRPr="00325843">
              <w:rPr>
                <w:rFonts w:eastAsia="Calibri"/>
                <w:b/>
                <w:bCs/>
              </w:rPr>
              <w:t>:</w:t>
            </w:r>
          </w:p>
          <w:p w:rsidRPr="00325843" w:rsidR="004E4B6C" w:rsidP="004E4B6C" w:rsidRDefault="004E4B6C" w14:paraId="081636E5" w14:textId="77777777">
            <w:pPr>
              <w:pStyle w:val="Tablebullet1"/>
              <w:framePr w:hSpace="0" w:wrap="auto" w:hAnchor="text" w:vAnchor="margin" w:yAlign="inline"/>
              <w:numPr>
                <w:ilvl w:val="1"/>
                <w:numId w:val="6"/>
              </w:numPr>
              <w:rPr>
                <w:rFonts w:eastAsia="Calibri"/>
                <w:b/>
                <w:bCs/>
              </w:rPr>
            </w:pPr>
            <w:r w:rsidRPr="00325843">
              <w:rPr>
                <w:rFonts w:eastAsia="Calibri"/>
                <w:b/>
                <w:bCs/>
              </w:rPr>
              <w:t xml:space="preserve">Platelets </w:t>
            </w:r>
            <w:r>
              <w:rPr>
                <w:rFonts w:eastAsia="Calibri"/>
                <w:b/>
                <w:bCs/>
              </w:rPr>
              <w:t xml:space="preserve">greater than </w:t>
            </w:r>
            <w:r w:rsidRPr="00325843">
              <w:rPr>
                <w:rFonts w:eastAsia="Calibri"/>
                <w:b/>
                <w:bCs/>
              </w:rPr>
              <w:t xml:space="preserve">50 × 10⁹/L </w:t>
            </w:r>
          </w:p>
          <w:p w:rsidRPr="00325843" w:rsidR="004E4B6C" w:rsidP="004E4B6C" w:rsidRDefault="004E4B6C" w14:paraId="5744B1F4" w14:textId="77777777">
            <w:pPr>
              <w:pStyle w:val="Tablebullet1"/>
              <w:framePr w:hSpace="0" w:wrap="auto" w:hAnchor="text" w:vAnchor="margin" w:yAlign="inline"/>
              <w:numPr>
                <w:ilvl w:val="1"/>
                <w:numId w:val="6"/>
              </w:numPr>
              <w:rPr>
                <w:rFonts w:eastAsia="Calibri"/>
                <w:b/>
                <w:bCs/>
              </w:rPr>
            </w:pPr>
            <w:r w:rsidRPr="00325843">
              <w:rPr>
                <w:rFonts w:eastAsia="Calibri"/>
                <w:b/>
                <w:bCs/>
              </w:rPr>
              <w:t xml:space="preserve">Fibrinogen </w:t>
            </w:r>
            <w:r>
              <w:rPr>
                <w:rFonts w:eastAsia="Calibri"/>
                <w:b/>
                <w:bCs/>
              </w:rPr>
              <w:t xml:space="preserve">greater than </w:t>
            </w:r>
            <w:r w:rsidRPr="00325843">
              <w:rPr>
                <w:rFonts w:eastAsia="Calibri"/>
                <w:b/>
                <w:bCs/>
              </w:rPr>
              <w:t xml:space="preserve">2 g/L </w:t>
            </w:r>
          </w:p>
          <w:p w:rsidRPr="00325843" w:rsidR="004E4B6C" w:rsidP="004E4B6C" w:rsidRDefault="004E4B6C" w14:paraId="016BB16A" w14:textId="77777777">
            <w:pPr>
              <w:pStyle w:val="Tablebullet1"/>
              <w:framePr w:hSpace="0" w:wrap="auto" w:hAnchor="text" w:vAnchor="margin" w:yAlign="inline"/>
              <w:numPr>
                <w:ilvl w:val="1"/>
                <w:numId w:val="6"/>
              </w:numPr>
              <w:rPr>
                <w:rFonts w:eastAsia="Calibri"/>
                <w:b/>
                <w:bCs/>
              </w:rPr>
            </w:pPr>
            <w:r w:rsidRPr="00325843">
              <w:rPr>
                <w:rFonts w:eastAsia="Calibri"/>
                <w:b/>
                <w:bCs/>
              </w:rPr>
              <w:t>Coagulation corrected as far as possible with FFP/cryoprecipitate</w:t>
            </w:r>
          </w:p>
          <w:p w:rsidRPr="00325843" w:rsidR="004E4B6C" w:rsidP="004E4B6C" w:rsidRDefault="004E4B6C" w14:paraId="1B81E5D5" w14:textId="08648E71">
            <w:pPr>
              <w:pStyle w:val="Tablebullet1"/>
              <w:framePr w:hSpace="0" w:wrap="auto" w:hAnchor="text" w:vAnchor="margin" w:yAlign="inline"/>
              <w:numPr>
                <w:ilvl w:val="1"/>
                <w:numId w:val="6"/>
              </w:numPr>
              <w:rPr>
                <w:rFonts w:eastAsia="Calibri"/>
                <w:b/>
                <w:bCs/>
              </w:rPr>
            </w:pPr>
            <w:proofErr w:type="spellStart"/>
            <w:r w:rsidRPr="00325843">
              <w:rPr>
                <w:rFonts w:eastAsia="Calibri"/>
                <w:b/>
                <w:bCs/>
              </w:rPr>
              <w:t>Ionised</w:t>
            </w:r>
            <w:proofErr w:type="spellEnd"/>
            <w:r w:rsidRPr="00325843">
              <w:rPr>
                <w:rFonts w:eastAsia="Calibri"/>
                <w:b/>
                <w:bCs/>
              </w:rPr>
              <w:t xml:space="preserve"> calcium </w:t>
            </w:r>
            <w:r>
              <w:rPr>
                <w:rFonts w:eastAsia="Calibri"/>
                <w:b/>
                <w:bCs/>
              </w:rPr>
              <w:t xml:space="preserve">greater than </w:t>
            </w:r>
            <w:r w:rsidRPr="00325843">
              <w:rPr>
                <w:rFonts w:eastAsia="Calibri"/>
                <w:b/>
                <w:bCs/>
              </w:rPr>
              <w:t>1.0 mmol/L</w:t>
            </w:r>
            <w:r w:rsidR="00AA75D7">
              <w:rPr>
                <w:rFonts w:eastAsia="Calibri"/>
                <w:b/>
                <w:bCs/>
              </w:rPr>
              <w:t>.</w:t>
            </w:r>
            <w:r w:rsidRPr="00325843">
              <w:rPr>
                <w:rFonts w:eastAsia="Calibri"/>
                <w:b/>
                <w:bCs/>
              </w:rPr>
              <w:t xml:space="preserve"> </w:t>
            </w:r>
          </w:p>
          <w:p w:rsidRPr="00325843" w:rsidR="004E4B6C" w:rsidP="004E4B6C" w:rsidRDefault="004E4B6C" w14:paraId="615AEA4E" w14:textId="77777777">
            <w:pPr>
              <w:pStyle w:val="Numberedlist"/>
              <w:rPr>
                <w:rFonts w:eastAsia="Calibri"/>
                <w:b/>
                <w:bCs/>
              </w:rPr>
            </w:pPr>
            <w:r w:rsidRPr="00325843">
              <w:rPr>
                <w:rFonts w:eastAsia="Calibri"/>
                <w:b/>
                <w:bCs/>
              </w:rPr>
              <w:t>Physiological parameters corrected (as per both guidelines):</w:t>
            </w:r>
          </w:p>
          <w:p w:rsidRPr="00325843" w:rsidR="004E4B6C" w:rsidP="004E4B6C" w:rsidRDefault="004E4B6C" w14:paraId="77DB9414" w14:textId="77777777">
            <w:pPr>
              <w:pStyle w:val="Tablebullet1"/>
              <w:framePr w:hSpace="0" w:wrap="auto" w:hAnchor="text" w:vAnchor="margin" w:yAlign="inline"/>
              <w:numPr>
                <w:ilvl w:val="1"/>
                <w:numId w:val="6"/>
              </w:numPr>
              <w:rPr>
                <w:rFonts w:eastAsia="Calibri"/>
                <w:b/>
                <w:bCs/>
              </w:rPr>
            </w:pPr>
            <w:r w:rsidRPr="00325843">
              <w:rPr>
                <w:rFonts w:eastAsia="Calibri"/>
                <w:b/>
                <w:bCs/>
              </w:rPr>
              <w:t xml:space="preserve">pH </w:t>
            </w:r>
            <w:r>
              <w:rPr>
                <w:rFonts w:eastAsia="Calibri"/>
                <w:b/>
                <w:bCs/>
              </w:rPr>
              <w:t>greater than</w:t>
            </w:r>
            <w:r w:rsidRPr="00325843">
              <w:rPr>
                <w:rFonts w:eastAsia="Calibri"/>
                <w:b/>
                <w:bCs/>
              </w:rPr>
              <w:t xml:space="preserve"> 7.2</w:t>
            </w:r>
          </w:p>
          <w:p w:rsidRPr="00325843" w:rsidR="004E4B6C" w:rsidP="004E4B6C" w:rsidRDefault="004E4B6C" w14:paraId="3DCCAE6A" w14:textId="77777777">
            <w:pPr>
              <w:pStyle w:val="Tablebullet1"/>
              <w:framePr w:hSpace="0" w:wrap="auto" w:hAnchor="text" w:vAnchor="margin" w:yAlign="inline"/>
              <w:numPr>
                <w:ilvl w:val="1"/>
                <w:numId w:val="6"/>
              </w:numPr>
              <w:rPr>
                <w:rFonts w:eastAsia="Calibri"/>
                <w:b/>
                <w:bCs/>
              </w:rPr>
            </w:pPr>
            <w:r w:rsidRPr="00325843">
              <w:rPr>
                <w:rFonts w:eastAsia="Calibri"/>
                <w:b/>
                <w:bCs/>
              </w:rPr>
              <w:t xml:space="preserve">Temperature </w:t>
            </w:r>
            <w:r>
              <w:rPr>
                <w:rFonts w:eastAsia="Calibri"/>
                <w:b/>
                <w:bCs/>
              </w:rPr>
              <w:t>greater than</w:t>
            </w:r>
            <w:r w:rsidRPr="00325843">
              <w:rPr>
                <w:rFonts w:eastAsia="Calibri"/>
                <w:b/>
                <w:bCs/>
              </w:rPr>
              <w:t xml:space="preserve"> 34°C</w:t>
            </w:r>
          </w:p>
          <w:p w:rsidRPr="00325843" w:rsidR="004E4B6C" w:rsidP="004E4B6C" w:rsidRDefault="004E4B6C" w14:paraId="704BE8C1" w14:textId="56EACA6D">
            <w:pPr>
              <w:pStyle w:val="Tablebullet1"/>
              <w:framePr w:hSpace="0" w:wrap="auto" w:hAnchor="text" w:vAnchor="margin" w:yAlign="inline"/>
              <w:numPr>
                <w:ilvl w:val="1"/>
                <w:numId w:val="6"/>
              </w:numPr>
              <w:rPr>
                <w:rFonts w:eastAsia="Calibri"/>
              </w:rPr>
            </w:pPr>
            <w:r w:rsidRPr="00325843">
              <w:rPr>
                <w:rFonts w:eastAsia="Calibri"/>
              </w:rPr>
              <w:t>Correction of</w:t>
            </w:r>
            <w:r w:rsidRPr="00325843">
              <w:rPr>
                <w:rFonts w:eastAsia="Calibri"/>
                <w:b/>
                <w:bCs/>
              </w:rPr>
              <w:t xml:space="preserve"> acidosis </w:t>
            </w:r>
            <w:r w:rsidRPr="00325843">
              <w:rPr>
                <w:rFonts w:eastAsia="Calibri"/>
              </w:rPr>
              <w:t xml:space="preserve">and </w:t>
            </w:r>
            <w:r w:rsidRPr="00325843">
              <w:rPr>
                <w:rFonts w:eastAsia="Calibri"/>
                <w:b/>
                <w:bCs/>
              </w:rPr>
              <w:t>hypothermia</w:t>
            </w:r>
            <w:r w:rsidRPr="00325843">
              <w:rPr>
                <w:rFonts w:eastAsia="Calibri"/>
              </w:rPr>
              <w:t xml:space="preserve"> prior to administration</w:t>
            </w:r>
            <w:r w:rsidR="00AA75D7">
              <w:rPr>
                <w:rFonts w:eastAsia="Calibri"/>
              </w:rPr>
              <w:t>.</w:t>
            </w:r>
          </w:p>
          <w:p w:rsidRPr="00325843" w:rsidR="004E4B6C" w:rsidP="004E4B6C" w:rsidRDefault="004E4B6C" w14:paraId="2B2D228F" w14:textId="77777777">
            <w:pPr>
              <w:pStyle w:val="Numberedlist"/>
              <w:rPr>
                <w:rFonts w:eastAsia="Calibri"/>
                <w:b/>
                <w:bCs/>
              </w:rPr>
            </w:pPr>
            <w:r w:rsidRPr="00325843">
              <w:rPr>
                <w:rFonts w:eastAsia="Calibri"/>
                <w:b/>
                <w:bCs/>
              </w:rPr>
              <w:t>All definitive measures attempted:</w:t>
            </w:r>
          </w:p>
          <w:p w:rsidRPr="00325843" w:rsidR="004E4B6C" w:rsidP="004E4B6C" w:rsidRDefault="004E4B6C" w14:paraId="7D9397E5" w14:textId="544B9FC2">
            <w:pPr>
              <w:pStyle w:val="Tablebullet1"/>
              <w:framePr w:hSpace="0" w:wrap="auto" w:hAnchor="text" w:vAnchor="margin" w:yAlign="inline"/>
              <w:numPr>
                <w:ilvl w:val="1"/>
                <w:numId w:val="6"/>
              </w:numPr>
              <w:rPr>
                <w:rFonts w:eastAsia="Calibri"/>
              </w:rPr>
            </w:pPr>
            <w:r w:rsidRPr="00325843">
              <w:rPr>
                <w:rFonts w:eastAsia="Calibri"/>
              </w:rPr>
              <w:t>All appropriate surgical or interventional radiology procedures have been attempted</w:t>
            </w:r>
            <w:r w:rsidR="00AA75D7">
              <w:rPr>
                <w:rFonts w:eastAsia="Calibri"/>
              </w:rPr>
              <w:t>.</w:t>
            </w:r>
          </w:p>
          <w:p w:rsidRPr="00325843" w:rsidR="004E4B6C" w:rsidP="004E4B6C" w:rsidRDefault="004E4B6C" w14:paraId="22372521" w14:textId="77777777">
            <w:pPr>
              <w:pStyle w:val="Numberedlist"/>
              <w:rPr>
                <w:rFonts w:eastAsia="Calibri"/>
                <w:b/>
                <w:bCs/>
              </w:rPr>
            </w:pPr>
            <w:r w:rsidRPr="00325843">
              <w:rPr>
                <w:rFonts w:eastAsia="Calibri"/>
                <w:b/>
                <w:bCs/>
              </w:rPr>
              <w:t>Standard MTP therapies have been exhausted:</w:t>
            </w:r>
          </w:p>
          <w:p w:rsidRPr="00C01EDF" w:rsidR="004E4B6C" w:rsidP="004E4B6C" w:rsidRDefault="004E4B6C" w14:paraId="38981D0F" w14:textId="77777777">
            <w:pPr>
              <w:pStyle w:val="Tablebullet1"/>
              <w:framePr w:hSpace="0" w:wrap="auto" w:hAnchor="text" w:vAnchor="margin" w:yAlign="inline"/>
              <w:numPr>
                <w:ilvl w:val="1"/>
                <w:numId w:val="6"/>
              </w:numPr>
              <w:rPr>
                <w:rFonts w:eastAsia="Calibri"/>
              </w:rPr>
            </w:pPr>
            <w:r w:rsidRPr="00C01EDF">
              <w:rPr>
                <w:rFonts w:eastAsia="Calibri"/>
              </w:rPr>
              <w:t xml:space="preserve">Adequate </w:t>
            </w:r>
            <w:r>
              <w:rPr>
                <w:rFonts w:eastAsia="Calibri"/>
              </w:rPr>
              <w:t>red blood cells (</w:t>
            </w:r>
            <w:r w:rsidRPr="00C01EDF">
              <w:rPr>
                <w:rFonts w:eastAsia="Calibri"/>
              </w:rPr>
              <w:t>RB</w:t>
            </w:r>
            <w:r>
              <w:rPr>
                <w:rFonts w:eastAsia="Calibri"/>
              </w:rPr>
              <w:t>C)</w:t>
            </w:r>
            <w:r w:rsidRPr="00C01EDF">
              <w:rPr>
                <w:rFonts w:eastAsia="Calibri"/>
              </w:rPr>
              <w:t xml:space="preserve">, platelet, </w:t>
            </w:r>
            <w:r>
              <w:rPr>
                <w:rFonts w:eastAsia="Calibri"/>
              </w:rPr>
              <w:t>fresh frozen plasma (</w:t>
            </w:r>
            <w:r w:rsidRPr="00C01EDF">
              <w:rPr>
                <w:rFonts w:eastAsia="Calibri"/>
              </w:rPr>
              <w:t>FFP</w:t>
            </w:r>
            <w:r>
              <w:rPr>
                <w:rFonts w:eastAsia="Calibri"/>
              </w:rPr>
              <w:t>)</w:t>
            </w:r>
            <w:r w:rsidRPr="00C01EDF">
              <w:rPr>
                <w:rFonts w:eastAsia="Calibri"/>
              </w:rPr>
              <w:t xml:space="preserve"> and cryoprecipitate replacement per MTP pack structure</w:t>
            </w:r>
          </w:p>
          <w:p w:rsidRPr="00C01EDF" w:rsidR="004E4B6C" w:rsidP="004E4B6C" w:rsidRDefault="004E4B6C" w14:paraId="3E9F9986" w14:textId="77777777">
            <w:pPr>
              <w:pStyle w:val="Tablebullet1"/>
              <w:framePr w:hSpace="0" w:wrap="auto" w:hAnchor="text" w:vAnchor="margin" w:yAlign="inline"/>
              <w:numPr>
                <w:ilvl w:val="1"/>
                <w:numId w:val="6"/>
              </w:numPr>
              <w:rPr>
                <w:rFonts w:eastAsia="Calibri"/>
              </w:rPr>
            </w:pPr>
            <w:r w:rsidRPr="00C01EDF">
              <w:rPr>
                <w:rFonts w:eastAsia="Calibri"/>
                <w:b/>
                <w:bCs/>
              </w:rPr>
              <w:t>Tranexamic acid</w:t>
            </w:r>
            <w:r w:rsidRPr="00C01EDF">
              <w:rPr>
                <w:rFonts w:eastAsia="Calibri"/>
              </w:rPr>
              <w:t xml:space="preserve"> has been administered</w:t>
            </w:r>
          </w:p>
          <w:p w:rsidRPr="00C01EDF" w:rsidR="004E4B6C" w:rsidP="004E4B6C" w:rsidRDefault="004E4B6C" w14:paraId="0BD171B0" w14:textId="743CADF7">
            <w:pPr>
              <w:pStyle w:val="Tablebullet1"/>
              <w:framePr w:hSpace="0" w:wrap="auto" w:hAnchor="text" w:vAnchor="margin" w:yAlign="inline"/>
              <w:numPr>
                <w:ilvl w:val="1"/>
                <w:numId w:val="6"/>
              </w:numPr>
              <w:rPr>
                <w:rFonts w:eastAsia="Calibri"/>
              </w:rPr>
            </w:pPr>
            <w:r w:rsidRPr="00C01EDF">
              <w:rPr>
                <w:rFonts w:eastAsia="Calibri"/>
              </w:rPr>
              <w:t>Vitamin K administered (NSW)</w:t>
            </w:r>
            <w:r w:rsidR="00AA75D7">
              <w:rPr>
                <w:rFonts w:eastAsia="Calibri"/>
              </w:rPr>
              <w:t>.</w:t>
            </w:r>
          </w:p>
          <w:p w:rsidRPr="00325843" w:rsidR="004E4B6C" w:rsidP="004E4B6C" w:rsidRDefault="004E4B6C" w14:paraId="7D0335C4" w14:textId="77777777">
            <w:pPr>
              <w:pStyle w:val="Numberedlist"/>
              <w:rPr>
                <w:rFonts w:eastAsia="Calibri"/>
                <w:b/>
                <w:bCs/>
              </w:rPr>
            </w:pPr>
            <w:r w:rsidRPr="00325843">
              <w:rPr>
                <w:rFonts w:eastAsia="Calibri"/>
                <w:b/>
                <w:bCs/>
              </w:rPr>
              <w:t>Treatment is not futile:</w:t>
            </w:r>
          </w:p>
          <w:p w:rsidR="004E4B6C" w:rsidP="004E4B6C" w:rsidRDefault="004E4B6C" w14:paraId="2A358DAF" w14:textId="7F328F51">
            <w:r w:rsidRPr="00C01EDF">
              <w:rPr>
                <w:rFonts w:eastAsia="Calibri"/>
              </w:rPr>
              <w:t>Patient must have a treatable condition where ongoing intervention is appropriate.</w:t>
            </w:r>
          </w:p>
        </w:tc>
      </w:tr>
      <w:tr w:rsidR="004E4B6C" w:rsidTr="004E4B6C" w14:paraId="0510A3A2" w14:textId="77777777">
        <w:tc>
          <w:tcPr>
            <w:tcW w:w="3539" w:type="dxa"/>
          </w:tcPr>
          <w:p w:rsidR="004E4B6C" w:rsidP="004E4B6C" w:rsidRDefault="004E4B6C" w14:paraId="6E253213" w14:textId="5D04643F">
            <w:r w:rsidRPr="00C01EDF">
              <w:rPr>
                <w:b/>
                <w:bCs/>
              </w:rPr>
              <w:t xml:space="preserve">Supplied as </w:t>
            </w:r>
            <w:r w:rsidRPr="00C01EDF">
              <w:t xml:space="preserve"> </w:t>
            </w:r>
          </w:p>
        </w:tc>
        <w:tc>
          <w:tcPr>
            <w:tcW w:w="6655" w:type="dxa"/>
          </w:tcPr>
          <w:p w:rsidR="004E4B6C" w:rsidP="004E4B6C" w:rsidRDefault="004E4B6C" w14:paraId="23FEE7D5" w14:textId="7B38FCEA">
            <w:proofErr w:type="spellStart"/>
            <w:r w:rsidRPr="00C01EDF">
              <w:rPr>
                <w:rFonts w:eastAsia="Calibri"/>
              </w:rPr>
              <w:t>Novoseven</w:t>
            </w:r>
            <w:r w:rsidRPr="00C01EDF">
              <w:rPr>
                <w:rFonts w:eastAsia="Symbol"/>
              </w:rPr>
              <w:t>â</w:t>
            </w:r>
            <w:proofErr w:type="spellEnd"/>
            <w:r w:rsidRPr="00C01EDF">
              <w:rPr>
                <w:rFonts w:eastAsia="Calibri"/>
              </w:rPr>
              <w:t xml:space="preserve"> or </w:t>
            </w:r>
            <w:proofErr w:type="spellStart"/>
            <w:r w:rsidRPr="00C01EDF">
              <w:rPr>
                <w:rFonts w:eastAsia="Calibri"/>
              </w:rPr>
              <w:t>Eptacog</w:t>
            </w:r>
            <w:proofErr w:type="spellEnd"/>
            <w:r w:rsidRPr="00C01EDF">
              <w:rPr>
                <w:rFonts w:eastAsia="Calibri"/>
              </w:rPr>
              <w:t xml:space="preserve"> alfa 1mg vial (powder) plus prefilled solvent syringe (1mg = 50,000units)</w:t>
            </w:r>
            <w:r w:rsidR="00AA75D7">
              <w:rPr>
                <w:rFonts w:eastAsia="Calibri"/>
              </w:rPr>
              <w:t>.</w:t>
            </w:r>
            <w:r w:rsidRPr="00C01EDF">
              <w:rPr>
                <w:rFonts w:eastAsia="Calibri"/>
              </w:rPr>
              <w:t xml:space="preserve"> </w:t>
            </w:r>
          </w:p>
        </w:tc>
      </w:tr>
      <w:tr w:rsidR="004E4B6C" w:rsidTr="004E4B6C" w14:paraId="4A2C5091" w14:textId="77777777">
        <w:tc>
          <w:tcPr>
            <w:tcW w:w="3539" w:type="dxa"/>
          </w:tcPr>
          <w:p w:rsidR="004E4B6C" w:rsidP="004E4B6C" w:rsidRDefault="004E4B6C" w14:paraId="2D3FCAA1" w14:textId="2721AD9A">
            <w:r w:rsidRPr="00C01EDF">
              <w:rPr>
                <w:b/>
                <w:bCs/>
              </w:rPr>
              <w:t xml:space="preserve">Dilution </w:t>
            </w:r>
            <w:r w:rsidRPr="00C01EDF">
              <w:t xml:space="preserve"> </w:t>
            </w:r>
          </w:p>
        </w:tc>
        <w:tc>
          <w:tcPr>
            <w:tcW w:w="6655" w:type="dxa"/>
          </w:tcPr>
          <w:p w:rsidRPr="00C01EDF" w:rsidR="004E4B6C" w:rsidP="004E4B6C" w:rsidRDefault="004E4B6C" w14:paraId="520DAFB5" w14:textId="77777777">
            <w:pPr>
              <w:pStyle w:val="Tablebody"/>
            </w:pPr>
            <w:r w:rsidRPr="00C01EDF">
              <w:rPr>
                <w:rFonts w:eastAsia="Calibri"/>
              </w:rPr>
              <w:t xml:space="preserve">Reconstitute 1 mg vial with supplied solvent to a final concentration of </w:t>
            </w:r>
            <w:r w:rsidRPr="00C01EDF">
              <w:rPr>
                <w:rFonts w:eastAsia="Calibri"/>
                <w:b/>
              </w:rPr>
              <w:t>1 mg/</w:t>
            </w:r>
            <w:proofErr w:type="spellStart"/>
            <w:r w:rsidRPr="00C01EDF">
              <w:rPr>
                <w:rFonts w:eastAsia="Calibri"/>
                <w:b/>
              </w:rPr>
              <w:t>mL</w:t>
            </w:r>
            <w:r w:rsidRPr="00C01EDF">
              <w:rPr>
                <w:rFonts w:eastAsia="Calibri"/>
              </w:rPr>
              <w:t>.</w:t>
            </w:r>
            <w:proofErr w:type="spellEnd"/>
            <w:r w:rsidRPr="00C01EDF">
              <w:br/>
            </w:r>
            <w:r w:rsidRPr="00C01EDF">
              <w:rPr>
                <w:rFonts w:eastAsia="Calibri"/>
              </w:rPr>
              <w:t xml:space="preserve"> Swirl gently—do not shake.</w:t>
            </w:r>
            <w:r w:rsidRPr="00C01EDF">
              <w:br/>
            </w:r>
            <w:r w:rsidRPr="00C01EDF">
              <w:rPr>
                <w:rFonts w:eastAsia="Calibri"/>
              </w:rPr>
              <w:t xml:space="preserve"> Draw up </w:t>
            </w:r>
            <w:r w:rsidRPr="00C01EDF">
              <w:rPr>
                <w:rFonts w:eastAsia="Calibri"/>
                <w:b/>
              </w:rPr>
              <w:t>0.09 mL/kg</w:t>
            </w:r>
            <w:r w:rsidRPr="00C01EDF">
              <w:rPr>
                <w:rFonts w:eastAsia="Calibri"/>
              </w:rPr>
              <w:t xml:space="preserve"> to deliver 90 micrograms/kg.</w:t>
            </w:r>
          </w:p>
          <w:p w:rsidR="004E4B6C" w:rsidP="004E4B6C" w:rsidRDefault="004E4B6C" w14:paraId="034D5E6E" w14:textId="721A8685">
            <w:r w:rsidRPr="00C01EDF">
              <w:rPr>
                <w:rFonts w:eastAsia="Calibri"/>
              </w:rPr>
              <w:t xml:space="preserve">Remaining solution may be used for up to </w:t>
            </w:r>
            <w:r w:rsidRPr="00C01EDF">
              <w:rPr>
                <w:rFonts w:eastAsia="Calibri"/>
                <w:b/>
              </w:rPr>
              <w:t>24 hours</w:t>
            </w:r>
            <w:r w:rsidRPr="00C01EDF">
              <w:rPr>
                <w:rFonts w:eastAsia="Calibri"/>
              </w:rPr>
              <w:t xml:space="preserve"> if repeat doses required.</w:t>
            </w:r>
          </w:p>
        </w:tc>
      </w:tr>
      <w:tr w:rsidR="004E4B6C" w:rsidTr="004E4B6C" w14:paraId="2BD27F06" w14:textId="77777777">
        <w:tc>
          <w:tcPr>
            <w:tcW w:w="3539" w:type="dxa"/>
          </w:tcPr>
          <w:p w:rsidR="004E4B6C" w:rsidP="004E4B6C" w:rsidRDefault="004E4B6C" w14:paraId="442C81E8" w14:textId="7EA79F5D">
            <w:r w:rsidRPr="00C01EDF">
              <w:rPr>
                <w:b/>
                <w:bCs/>
              </w:rPr>
              <w:t xml:space="preserve">Stability </w:t>
            </w:r>
            <w:r w:rsidRPr="00C01EDF">
              <w:t xml:space="preserve"> </w:t>
            </w:r>
          </w:p>
        </w:tc>
        <w:tc>
          <w:tcPr>
            <w:tcW w:w="6655" w:type="dxa"/>
          </w:tcPr>
          <w:p w:rsidR="004E4B6C" w:rsidP="004E4B6C" w:rsidRDefault="004E4B6C" w14:paraId="7A806C95" w14:textId="19876BA3">
            <w:r w:rsidRPr="00C01EDF">
              <w:rPr>
                <w:rFonts w:eastAsia="Calibri"/>
              </w:rPr>
              <w:t>24 hours after reconstitution</w:t>
            </w:r>
            <w:r w:rsidR="00AA75D7">
              <w:rPr>
                <w:rFonts w:eastAsia="Calibri"/>
              </w:rPr>
              <w:t>.</w:t>
            </w:r>
            <w:r w:rsidRPr="00C01EDF">
              <w:rPr>
                <w:rFonts w:eastAsia="Calibri"/>
              </w:rPr>
              <w:t xml:space="preserve"> </w:t>
            </w:r>
          </w:p>
        </w:tc>
      </w:tr>
      <w:tr w:rsidR="004E4B6C" w:rsidTr="004E4B6C" w14:paraId="6BC9A04E" w14:textId="77777777">
        <w:tc>
          <w:tcPr>
            <w:tcW w:w="3539" w:type="dxa"/>
          </w:tcPr>
          <w:p w:rsidR="004E4B6C" w:rsidP="004E4B6C" w:rsidRDefault="004E4B6C" w14:paraId="2A3F166C" w14:textId="44AE3A17">
            <w:r w:rsidRPr="00C01EDF">
              <w:rPr>
                <w:b/>
                <w:bCs/>
              </w:rPr>
              <w:t xml:space="preserve">Storage </w:t>
            </w:r>
          </w:p>
        </w:tc>
        <w:tc>
          <w:tcPr>
            <w:tcW w:w="6655" w:type="dxa"/>
          </w:tcPr>
          <w:p w:rsidR="004E4B6C" w:rsidP="004E4B6C" w:rsidRDefault="004E4B6C" w14:paraId="514C00DB" w14:textId="6AF763BD">
            <w:r w:rsidRPr="00C01EDF">
              <w:rPr>
                <w:rFonts w:eastAsia="Calibri"/>
              </w:rPr>
              <w:t xml:space="preserve">Store in refrigerator. Protect from light. Do not freeze. Do not use after expiry date. </w:t>
            </w:r>
          </w:p>
        </w:tc>
      </w:tr>
      <w:tr w:rsidR="004E4B6C" w:rsidTr="004E4B6C" w14:paraId="51C23C6D" w14:textId="77777777">
        <w:tc>
          <w:tcPr>
            <w:tcW w:w="3539" w:type="dxa"/>
          </w:tcPr>
          <w:p w:rsidR="004E4B6C" w:rsidP="004E4B6C" w:rsidRDefault="004E4B6C" w14:paraId="23FEA654" w14:textId="2FBA2C44">
            <w:r w:rsidRPr="00C01EDF">
              <w:rPr>
                <w:b/>
                <w:bCs/>
              </w:rPr>
              <w:t xml:space="preserve">Incompatibility </w:t>
            </w:r>
          </w:p>
        </w:tc>
        <w:tc>
          <w:tcPr>
            <w:tcW w:w="6655" w:type="dxa"/>
          </w:tcPr>
          <w:p w:rsidR="004E4B6C" w:rsidP="004E4B6C" w:rsidRDefault="004E4B6C" w14:paraId="7B3F984A" w14:textId="3360897E">
            <w:r w:rsidRPr="00C01EDF">
              <w:rPr>
                <w:rFonts w:eastAsia="Calibri"/>
              </w:rPr>
              <w:t>Do not mix with infusion solutions, bolus injection only as close to patient as feasible</w:t>
            </w:r>
            <w:r w:rsidR="00AA75D7">
              <w:rPr>
                <w:rFonts w:eastAsia="Calibri"/>
              </w:rPr>
              <w:t>.</w:t>
            </w:r>
          </w:p>
        </w:tc>
      </w:tr>
      <w:tr w:rsidR="004E4B6C" w:rsidTr="004E4B6C" w14:paraId="3911EF68" w14:textId="77777777">
        <w:tc>
          <w:tcPr>
            <w:tcW w:w="3539" w:type="dxa"/>
          </w:tcPr>
          <w:p w:rsidR="004E4B6C" w:rsidP="004E4B6C" w:rsidRDefault="004E4B6C" w14:paraId="1B36C853" w14:textId="1DDE5195">
            <w:r w:rsidRPr="00C01EDF">
              <w:rPr>
                <w:b/>
                <w:bCs/>
              </w:rPr>
              <w:t xml:space="preserve">Serum Levels </w:t>
            </w:r>
          </w:p>
        </w:tc>
        <w:tc>
          <w:tcPr>
            <w:tcW w:w="6655" w:type="dxa"/>
          </w:tcPr>
          <w:p w:rsidR="004E4B6C" w:rsidP="004E4B6C" w:rsidRDefault="004E4B6C" w14:paraId="1FAFDF30" w14:textId="790007BB">
            <w:r w:rsidRPr="00C01EDF">
              <w:rPr>
                <w:rFonts w:eastAsia="Calibri"/>
              </w:rPr>
              <w:t>Not applicable</w:t>
            </w:r>
            <w:r w:rsidR="00AA75D7">
              <w:rPr>
                <w:rFonts w:eastAsia="Calibri"/>
              </w:rPr>
              <w:t>.</w:t>
            </w:r>
            <w:r w:rsidRPr="00C01EDF">
              <w:rPr>
                <w:rFonts w:eastAsia="Calibri"/>
              </w:rPr>
              <w:t xml:space="preserve"> </w:t>
            </w:r>
          </w:p>
        </w:tc>
      </w:tr>
      <w:tr w:rsidR="004E4B6C" w:rsidTr="004E4B6C" w14:paraId="2E652E71" w14:textId="77777777">
        <w:tc>
          <w:tcPr>
            <w:tcW w:w="3539" w:type="dxa"/>
          </w:tcPr>
          <w:p w:rsidR="004E4B6C" w:rsidP="004E4B6C" w:rsidRDefault="004E4B6C" w14:paraId="5862E773" w14:textId="3316385F">
            <w:r w:rsidRPr="00C01EDF">
              <w:rPr>
                <w:b/>
                <w:bCs/>
              </w:rPr>
              <w:t>References</w:t>
            </w:r>
            <w:r w:rsidRPr="00C01EDF">
              <w:t xml:space="preserve"> </w:t>
            </w:r>
          </w:p>
        </w:tc>
        <w:tc>
          <w:tcPr>
            <w:tcW w:w="6655" w:type="dxa"/>
          </w:tcPr>
          <w:p w:rsidRPr="00DA3C19" w:rsidR="004E4B6C" w:rsidP="004E4B6C" w:rsidRDefault="004E4B6C" w14:paraId="767D668E" w14:textId="4F21DCA1">
            <w:pPr>
              <w:pStyle w:val="Numberedlist"/>
              <w:numPr>
                <w:ilvl w:val="0"/>
                <w:numId w:val="25"/>
              </w:numPr>
              <w:rPr>
                <w:rFonts w:eastAsia="Calibri"/>
                <w:u w:val="single"/>
              </w:rPr>
            </w:pPr>
            <w:r w:rsidRPr="00DA3C19">
              <w:rPr>
                <w:rFonts w:eastAsia="Calibri"/>
              </w:rPr>
              <w:t xml:space="preserve">Coagulation Factor </w:t>
            </w:r>
            <w:proofErr w:type="spellStart"/>
            <w:r w:rsidRPr="00DA3C19">
              <w:rPr>
                <w:rFonts w:eastAsia="Calibri"/>
              </w:rPr>
              <w:t>VIIa</w:t>
            </w:r>
            <w:proofErr w:type="spellEnd"/>
            <w:r w:rsidRPr="00DA3C19">
              <w:rPr>
                <w:rFonts w:eastAsia="Calibri"/>
              </w:rPr>
              <w:t xml:space="preserve"> (</w:t>
            </w:r>
            <w:proofErr w:type="spellStart"/>
            <w:r w:rsidRPr="00DA3C19">
              <w:rPr>
                <w:rFonts w:eastAsia="Calibri"/>
              </w:rPr>
              <w:t>rFVIIa</w:t>
            </w:r>
            <w:proofErr w:type="spellEnd"/>
            <w:r w:rsidRPr="00DA3C19">
              <w:rPr>
                <w:rFonts w:eastAsia="Calibri"/>
              </w:rPr>
              <w:t>) Dosing Guide. Drugs.com (2024–2025).</w:t>
            </w:r>
            <w:r w:rsidRPr="00C01EDF">
              <w:br/>
            </w:r>
            <w:r w:rsidRPr="00DA3C19">
              <w:rPr>
                <w:rFonts w:eastAsia="Calibri"/>
              </w:rPr>
              <w:t xml:space="preserve"> </w:t>
            </w:r>
            <w:hyperlink r:id="rId17">
              <w:r w:rsidRPr="00DA3C19">
                <w:rPr>
                  <w:rStyle w:val="Hyperlink"/>
                  <w:rFonts w:eastAsia="Calibri"/>
                </w:rPr>
                <w:t>https://www.drugs.com/dosage/coagulation-factor-viia.html</w:t>
              </w:r>
            </w:hyperlink>
            <w:r w:rsidR="00AA75D7">
              <w:t>.</w:t>
            </w:r>
          </w:p>
          <w:p w:rsidRPr="00D02FDD" w:rsidR="00D02FDD" w:rsidP="004E4B6C" w:rsidRDefault="004E4B6C" w14:paraId="565F30A1" w14:textId="77777777">
            <w:pPr>
              <w:pStyle w:val="Numberedlist"/>
              <w:rPr>
                <w:rFonts w:eastAsia="Calibri"/>
                <w:u w:val="single"/>
              </w:rPr>
            </w:pPr>
            <w:r w:rsidRPr="00325843">
              <w:rPr>
                <w:rFonts w:eastAsia="Calibri"/>
              </w:rPr>
              <w:t>Procedure. CHS massive transfusion protocol</w:t>
            </w:r>
            <w:r w:rsidRPr="00325843">
              <w:rPr>
                <w:rFonts w:eastAsia="Aptos"/>
              </w:rPr>
              <w:t xml:space="preserve"> </w:t>
            </w:r>
            <w:r w:rsidRPr="00325843">
              <w:rPr>
                <w:rFonts w:eastAsia="Calibri"/>
              </w:rPr>
              <w:t xml:space="preserve">CHS25/21. </w:t>
            </w:r>
            <w:hyperlink r:id="rId18">
              <w:r w:rsidRPr="00325843">
                <w:rPr>
                  <w:rStyle w:val="Hyperlink"/>
                  <w:rFonts w:eastAsia="Calibri"/>
                </w:rPr>
                <w:t>Massive Transfusion Protocol.DOC</w:t>
              </w:r>
            </w:hyperlink>
            <w:r w:rsidR="00AA75D7">
              <w:t>.</w:t>
            </w:r>
          </w:p>
          <w:p w:rsidRPr="00D02FDD" w:rsidR="004E4B6C" w:rsidP="004E4B6C" w:rsidRDefault="004E4B6C" w14:paraId="6555FA03" w14:textId="79EEB9EA">
            <w:pPr>
              <w:pStyle w:val="Numberedlist"/>
              <w:rPr>
                <w:rFonts w:eastAsia="Calibri"/>
                <w:u w:val="single"/>
              </w:rPr>
            </w:pPr>
            <w:r w:rsidRPr="00D02FDD">
              <w:rPr>
                <w:rFonts w:eastAsia="Calibri"/>
              </w:rPr>
              <w:t xml:space="preserve">Royal Hospital for Women (RHW) Critical Bleeding Protocol Neonate (CTP). RHW CLIN106.  </w:t>
            </w:r>
          </w:p>
        </w:tc>
      </w:tr>
      <w:tr w:rsidR="004E4B6C" w:rsidTr="004E4B6C" w14:paraId="122478FA" w14:textId="77777777">
        <w:tc>
          <w:tcPr>
            <w:tcW w:w="3539" w:type="dxa"/>
            <w:vAlign w:val="center"/>
          </w:tcPr>
          <w:p w:rsidR="004E4B6C" w:rsidP="004E4B6C" w:rsidRDefault="004E4B6C" w14:paraId="0F2FA039" w14:textId="0992E26C">
            <w:pPr>
              <w:pStyle w:val="Tablebody"/>
            </w:pPr>
            <w:r w:rsidRPr="00C01EDF">
              <w:rPr>
                <w:rFonts w:eastAsia="Calibri"/>
              </w:rPr>
              <w:t xml:space="preserve">Original version Date: 9/1/2014 </w:t>
            </w:r>
          </w:p>
        </w:tc>
        <w:tc>
          <w:tcPr>
            <w:tcW w:w="6655" w:type="dxa"/>
            <w:vAlign w:val="center"/>
          </w:tcPr>
          <w:p w:rsidR="004E4B6C" w:rsidP="004E4B6C" w:rsidRDefault="004E4B6C" w14:paraId="31227663" w14:textId="63050D7E">
            <w:pPr>
              <w:pStyle w:val="Tablebody"/>
            </w:pPr>
            <w:r w:rsidRPr="00C01EDF">
              <w:rPr>
                <w:rFonts w:eastAsia="Calibri"/>
              </w:rPr>
              <w:t xml:space="preserve">Author: TC </w:t>
            </w:r>
          </w:p>
        </w:tc>
      </w:tr>
      <w:tr w:rsidR="004E4B6C" w:rsidTr="004E4B6C" w14:paraId="124DDCBA" w14:textId="77777777">
        <w:tc>
          <w:tcPr>
            <w:tcW w:w="3539" w:type="dxa"/>
            <w:vAlign w:val="center"/>
          </w:tcPr>
          <w:p w:rsidR="004E4B6C" w:rsidP="004E4B6C" w:rsidRDefault="004E4B6C" w14:paraId="3397D841" w14:textId="53E386D2">
            <w:pPr>
              <w:pStyle w:val="Tablebody"/>
            </w:pPr>
            <w:r w:rsidRPr="00C01EDF">
              <w:rPr>
                <w:rFonts w:eastAsia="Calibri"/>
              </w:rPr>
              <w:t xml:space="preserve">Current Version number:  3 </w:t>
            </w:r>
          </w:p>
        </w:tc>
        <w:tc>
          <w:tcPr>
            <w:tcW w:w="6655" w:type="dxa"/>
            <w:vAlign w:val="center"/>
          </w:tcPr>
          <w:p w:rsidR="004E4B6C" w:rsidP="004E4B6C" w:rsidRDefault="004E4B6C" w14:paraId="6350154B" w14:textId="5AB7FD48">
            <w:pPr>
              <w:pStyle w:val="Tablebody"/>
            </w:pPr>
            <w:r w:rsidRPr="00C01EDF">
              <w:rPr>
                <w:rFonts w:eastAsia="Calibri"/>
              </w:rPr>
              <w:t xml:space="preserve">Current Version Date: 6/2/2026 </w:t>
            </w:r>
          </w:p>
        </w:tc>
      </w:tr>
      <w:tr w:rsidR="004E4B6C" w:rsidTr="004E4B6C" w14:paraId="62C96229" w14:textId="77777777">
        <w:tc>
          <w:tcPr>
            <w:tcW w:w="3539" w:type="dxa"/>
            <w:vAlign w:val="center"/>
          </w:tcPr>
          <w:p w:rsidR="004E4B6C" w:rsidP="004E4B6C" w:rsidRDefault="004E4B6C" w14:paraId="786A372E" w14:textId="5F7C8893">
            <w:pPr>
              <w:pStyle w:val="Tablebody"/>
            </w:pPr>
            <w:r w:rsidRPr="00C01EDF">
              <w:rPr>
                <w:rFonts w:eastAsia="Calibri"/>
              </w:rPr>
              <w:t xml:space="preserve">Risk Rating: Medium </w:t>
            </w:r>
          </w:p>
        </w:tc>
        <w:tc>
          <w:tcPr>
            <w:tcW w:w="6655" w:type="dxa"/>
            <w:vAlign w:val="center"/>
          </w:tcPr>
          <w:p w:rsidR="004E4B6C" w:rsidP="004E4B6C" w:rsidRDefault="004E4B6C" w14:paraId="1DD3D61A" w14:textId="47904BF0">
            <w:pPr>
              <w:pStyle w:val="Tablebody"/>
            </w:pPr>
            <w:r w:rsidRPr="00C01EDF">
              <w:rPr>
                <w:rFonts w:eastAsia="Calibri"/>
              </w:rPr>
              <w:t>Due for Review: 6/2/2031</w:t>
            </w:r>
          </w:p>
        </w:tc>
      </w:tr>
      <w:tr w:rsidR="004E4B6C" w:rsidTr="004E4B6C" w14:paraId="19E9F175" w14:textId="77777777">
        <w:tc>
          <w:tcPr>
            <w:tcW w:w="3539" w:type="dxa"/>
            <w:vAlign w:val="center"/>
          </w:tcPr>
          <w:p w:rsidR="004E4B6C" w:rsidP="004E4B6C" w:rsidRDefault="004E4B6C" w14:paraId="333F4CA0" w14:textId="05BE1C8B">
            <w:pPr>
              <w:pStyle w:val="Tablebody"/>
            </w:pPr>
            <w:r w:rsidRPr="00C01EDF">
              <w:rPr>
                <w:rFonts w:eastAsia="Calibri"/>
              </w:rPr>
              <w:t xml:space="preserve">Approval by: DTC </w:t>
            </w:r>
          </w:p>
        </w:tc>
        <w:tc>
          <w:tcPr>
            <w:tcW w:w="6655" w:type="dxa"/>
            <w:vAlign w:val="center"/>
          </w:tcPr>
          <w:p w:rsidR="004E4B6C" w:rsidP="004E4B6C" w:rsidRDefault="004E4B6C" w14:paraId="1E6B6AB9" w14:textId="6959B89D">
            <w:pPr>
              <w:pStyle w:val="Tablebody"/>
            </w:pPr>
            <w:r w:rsidRPr="00C01EDF">
              <w:rPr>
                <w:rFonts w:eastAsia="Calibri"/>
              </w:rPr>
              <w:t xml:space="preserve">Approval Date: TBA </w:t>
            </w:r>
          </w:p>
        </w:tc>
      </w:tr>
    </w:tbl>
    <w:p w:rsidR="004E4B6C" w:rsidP="004E4B6C" w:rsidRDefault="004E4B6C" w14:paraId="2566062C" w14:textId="77777777">
      <w:pPr>
        <w:pStyle w:val="Heading4"/>
      </w:pPr>
      <w:r w:rsidRPr="00325843">
        <w:t>Zoster Immunoglobulin (ZIG)</w:t>
      </w:r>
    </w:p>
    <w:tbl>
      <w:tblPr>
        <w:tblStyle w:val="TableGrid"/>
        <w:tblW w:w="0" w:type="auto"/>
        <w:tblLook w:val="04A0" w:firstRow="1" w:lastRow="0" w:firstColumn="1" w:lastColumn="0" w:noHBand="0" w:noVBand="1"/>
      </w:tblPr>
      <w:tblGrid>
        <w:gridCol w:w="2405"/>
        <w:gridCol w:w="2692"/>
        <w:gridCol w:w="5097"/>
      </w:tblGrid>
      <w:tr w:rsidR="004E4B6C" w:rsidTr="004E4B6C" w14:paraId="35FAD5B5" w14:textId="77777777">
        <w:tc>
          <w:tcPr>
            <w:tcW w:w="5097" w:type="dxa"/>
            <w:gridSpan w:val="2"/>
          </w:tcPr>
          <w:p w:rsidR="004E4B6C" w:rsidP="004E4B6C" w:rsidRDefault="004E4B6C" w14:paraId="09102CAE" w14:textId="77777777">
            <w:pPr>
              <w:pStyle w:val="Tablebody"/>
            </w:pPr>
            <w:r w:rsidRPr="00325843">
              <w:t>Revision Date: 2/3/2025</w:t>
            </w:r>
          </w:p>
          <w:p w:rsidR="004E4B6C" w:rsidP="004E4B6C" w:rsidRDefault="004E4B6C" w14:paraId="2289D7B6" w14:textId="70D31139">
            <w:pPr>
              <w:pStyle w:val="Tablebody"/>
            </w:pPr>
          </w:p>
        </w:tc>
        <w:tc>
          <w:tcPr>
            <w:tcW w:w="5097" w:type="dxa"/>
          </w:tcPr>
          <w:p w:rsidR="004E4B6C" w:rsidP="004E4B6C" w:rsidRDefault="004E4B6C" w14:paraId="1D252B4C" w14:textId="6C489FC8">
            <w:pPr>
              <w:pStyle w:val="Tablebody"/>
            </w:pPr>
            <w:r w:rsidRPr="00325843">
              <w:t xml:space="preserve">Approved: </w:t>
            </w:r>
          </w:p>
        </w:tc>
      </w:tr>
      <w:tr w:rsidR="004E4B6C" w:rsidTr="004E4B6C" w14:paraId="4E422FAC" w14:textId="77777777">
        <w:tc>
          <w:tcPr>
            <w:tcW w:w="2405" w:type="dxa"/>
          </w:tcPr>
          <w:p w:rsidR="004E4B6C" w:rsidP="004E4B6C" w:rsidRDefault="004E4B6C" w14:paraId="72E54516" w14:textId="3926A109">
            <w:pPr>
              <w:pStyle w:val="Tablebody"/>
            </w:pPr>
            <w:r w:rsidRPr="00325843">
              <w:rPr>
                <w:b/>
              </w:rPr>
              <w:t>Indication</w:t>
            </w:r>
          </w:p>
        </w:tc>
        <w:tc>
          <w:tcPr>
            <w:tcW w:w="7789" w:type="dxa"/>
            <w:gridSpan w:val="2"/>
          </w:tcPr>
          <w:p w:rsidRPr="00325843" w:rsidR="004E4B6C" w:rsidP="004E4B6C" w:rsidRDefault="004E4B6C" w14:paraId="19FCA6F8" w14:textId="77777777">
            <w:pPr>
              <w:pStyle w:val="Tablebody"/>
            </w:pPr>
            <w:r w:rsidRPr="00325843">
              <w:t xml:space="preserve">Prevention of Varicella infection in babies or young infants with family contacts recently developing chicken pox or shingles.  </w:t>
            </w:r>
          </w:p>
          <w:p w:rsidR="004E4B6C" w:rsidP="004E4B6C" w:rsidRDefault="004E4B6C" w14:paraId="60985001" w14:textId="0C9E43A0">
            <w:pPr>
              <w:pStyle w:val="Tablebody"/>
            </w:pPr>
            <w:r w:rsidRPr="00325843">
              <w:t>Post exposure prophylaxis for babies of mothers who have developed chicken pox from 7 days prior to 7 days after delivery.</w:t>
            </w:r>
          </w:p>
        </w:tc>
      </w:tr>
      <w:tr w:rsidR="004E4B6C" w:rsidTr="004E4B6C" w14:paraId="2E2FC1C7" w14:textId="77777777">
        <w:tc>
          <w:tcPr>
            <w:tcW w:w="2405" w:type="dxa"/>
          </w:tcPr>
          <w:p w:rsidR="004E4B6C" w:rsidP="004E4B6C" w:rsidRDefault="004E4B6C" w14:paraId="5C2BB63F" w14:textId="2E950833">
            <w:pPr>
              <w:pStyle w:val="Tablebody"/>
            </w:pPr>
            <w:r w:rsidRPr="00325843">
              <w:rPr>
                <w:b/>
              </w:rPr>
              <w:t>Dose</w:t>
            </w:r>
          </w:p>
        </w:tc>
        <w:tc>
          <w:tcPr>
            <w:tcW w:w="7789" w:type="dxa"/>
            <w:gridSpan w:val="2"/>
          </w:tcPr>
          <w:p w:rsidR="004E4B6C" w:rsidP="004E4B6C" w:rsidRDefault="004E4B6C" w14:paraId="13FB63C9" w14:textId="26685369">
            <w:pPr>
              <w:pStyle w:val="Tablebody"/>
            </w:pPr>
            <w:r w:rsidRPr="00325843">
              <w:t>125 units</w:t>
            </w:r>
          </w:p>
        </w:tc>
      </w:tr>
      <w:tr w:rsidR="004E4B6C" w:rsidTr="004E4B6C" w14:paraId="46801E58" w14:textId="77777777">
        <w:tc>
          <w:tcPr>
            <w:tcW w:w="2405" w:type="dxa"/>
          </w:tcPr>
          <w:p w:rsidR="004E4B6C" w:rsidP="004E4B6C" w:rsidRDefault="004E4B6C" w14:paraId="7929CC20" w14:textId="0B54B68B">
            <w:pPr>
              <w:pStyle w:val="Tablebody"/>
            </w:pPr>
            <w:r w:rsidRPr="00325843">
              <w:rPr>
                <w:b/>
              </w:rPr>
              <w:t>Interval</w:t>
            </w:r>
          </w:p>
        </w:tc>
        <w:tc>
          <w:tcPr>
            <w:tcW w:w="7789" w:type="dxa"/>
            <w:gridSpan w:val="2"/>
          </w:tcPr>
          <w:p w:rsidR="004E4B6C" w:rsidP="004E4B6C" w:rsidRDefault="004E4B6C" w14:paraId="5388E9D9" w14:textId="4BEBAC57">
            <w:pPr>
              <w:pStyle w:val="Tablebody"/>
            </w:pPr>
            <w:r w:rsidRPr="00325843">
              <w:t>Once only, but the dose may be repeated if a second exposure occurs more than 3 weeks after the first dose.</w:t>
            </w:r>
          </w:p>
        </w:tc>
      </w:tr>
      <w:tr w:rsidR="004E4B6C" w:rsidTr="004E4B6C" w14:paraId="666F3624" w14:textId="77777777">
        <w:tc>
          <w:tcPr>
            <w:tcW w:w="2405" w:type="dxa"/>
          </w:tcPr>
          <w:p w:rsidR="004E4B6C" w:rsidP="004E4B6C" w:rsidRDefault="004E4B6C" w14:paraId="3C19011E" w14:textId="2B3F6823">
            <w:pPr>
              <w:pStyle w:val="Tablebody"/>
            </w:pPr>
            <w:r w:rsidRPr="00325843">
              <w:rPr>
                <w:b/>
              </w:rPr>
              <w:t>Route</w:t>
            </w:r>
          </w:p>
        </w:tc>
        <w:tc>
          <w:tcPr>
            <w:tcW w:w="7789" w:type="dxa"/>
            <w:gridSpan w:val="2"/>
          </w:tcPr>
          <w:p w:rsidR="004E4B6C" w:rsidP="004E4B6C" w:rsidRDefault="004E4B6C" w14:paraId="264CAC00" w14:textId="3A8ADB16">
            <w:pPr>
              <w:pStyle w:val="Tablebody"/>
            </w:pPr>
            <w:r w:rsidRPr="00325843">
              <w:t>I.M.</w:t>
            </w:r>
          </w:p>
        </w:tc>
      </w:tr>
      <w:tr w:rsidR="004E4B6C" w:rsidTr="004E4B6C" w14:paraId="16310C4C" w14:textId="77777777">
        <w:tc>
          <w:tcPr>
            <w:tcW w:w="2405" w:type="dxa"/>
          </w:tcPr>
          <w:p w:rsidRPr="00325843" w:rsidR="004E4B6C" w:rsidP="004E4B6C" w:rsidRDefault="004E4B6C" w14:paraId="4699AF92" w14:textId="72B18AD6">
            <w:pPr>
              <w:pStyle w:val="Tablebody"/>
              <w:rPr>
                <w:b/>
              </w:rPr>
            </w:pPr>
            <w:r w:rsidRPr="00325843">
              <w:rPr>
                <w:b/>
              </w:rPr>
              <w:t>Total Daily Dose</w:t>
            </w:r>
          </w:p>
        </w:tc>
        <w:tc>
          <w:tcPr>
            <w:tcW w:w="7789" w:type="dxa"/>
            <w:gridSpan w:val="2"/>
          </w:tcPr>
          <w:p w:rsidRPr="00325843" w:rsidR="004E4B6C" w:rsidP="004E4B6C" w:rsidRDefault="004E4B6C" w14:paraId="10F15AB2" w14:textId="20281BAC">
            <w:pPr>
              <w:pStyle w:val="Tablebody"/>
            </w:pPr>
            <w:r w:rsidRPr="00325843">
              <w:t>Once only</w:t>
            </w:r>
          </w:p>
        </w:tc>
      </w:tr>
      <w:tr w:rsidR="004E4B6C" w:rsidTr="004E4B6C" w14:paraId="06B2B5F4" w14:textId="77777777">
        <w:tc>
          <w:tcPr>
            <w:tcW w:w="2405" w:type="dxa"/>
          </w:tcPr>
          <w:p w:rsidRPr="00325843" w:rsidR="004E4B6C" w:rsidP="004E4B6C" w:rsidRDefault="004E4B6C" w14:paraId="20F7965E" w14:textId="65AD1444">
            <w:pPr>
              <w:pStyle w:val="Tablebody"/>
              <w:rPr>
                <w:b/>
              </w:rPr>
            </w:pPr>
            <w:r w:rsidRPr="00325843">
              <w:rPr>
                <w:b/>
              </w:rPr>
              <w:t>Comments</w:t>
            </w:r>
          </w:p>
        </w:tc>
        <w:tc>
          <w:tcPr>
            <w:tcW w:w="7789" w:type="dxa"/>
            <w:gridSpan w:val="2"/>
          </w:tcPr>
          <w:p w:rsidRPr="00325843" w:rsidR="004E4B6C" w:rsidP="004E4B6C" w:rsidRDefault="004E4B6C" w14:paraId="3BEF7189" w14:textId="77777777">
            <w:pPr>
              <w:pStyle w:val="Tablebullet1"/>
              <w:framePr w:wrap="around"/>
            </w:pPr>
            <w:r w:rsidRPr="00325843">
              <w:t xml:space="preserve">Not useful in the management of established infection. </w:t>
            </w:r>
          </w:p>
          <w:p w:rsidRPr="00325843" w:rsidR="004E4B6C" w:rsidP="004E4B6C" w:rsidRDefault="004E4B6C" w14:paraId="6BE35FC5" w14:textId="77777777">
            <w:pPr>
              <w:pStyle w:val="Tablebullet1"/>
              <w:framePr w:wrap="around"/>
            </w:pPr>
            <w:r w:rsidRPr="00325843">
              <w:t>ZIG must be given as early as possible in the incubation period within 96 hours of exposure if possible but may be given up to 10 days post exposure.</w:t>
            </w:r>
          </w:p>
          <w:p w:rsidRPr="00325843" w:rsidR="004E4B6C" w:rsidP="004E4B6C" w:rsidRDefault="004E4B6C" w14:paraId="0CDE01F4" w14:textId="6C6123D3">
            <w:pPr>
              <w:pStyle w:val="Tablebullet1"/>
              <w:framePr w:wrap="around"/>
            </w:pPr>
            <w:r w:rsidRPr="00325843">
              <w:t>Side effects include Injection site pain, fever, vomiting, rash, fatigue and sweating</w:t>
            </w:r>
            <w:r>
              <w:t>.</w:t>
            </w:r>
          </w:p>
          <w:p w:rsidRPr="00325843" w:rsidR="004E4B6C" w:rsidP="004E4B6C" w:rsidRDefault="004E4B6C" w14:paraId="3BFDAB02" w14:textId="77777777">
            <w:pPr>
              <w:pStyle w:val="Tablebullet1"/>
              <w:framePr w:wrap="around"/>
            </w:pPr>
            <w:r w:rsidRPr="00325843">
              <w:t>ZIG as a specialist blood product may be in short supply.</w:t>
            </w:r>
          </w:p>
          <w:p w:rsidR="00D02FDD" w:rsidP="004E4B6C" w:rsidRDefault="004E4B6C" w14:paraId="75A1798F" w14:textId="77777777">
            <w:pPr>
              <w:pStyle w:val="Tablebullet1"/>
              <w:framePr w:wrap="around"/>
            </w:pPr>
            <w:r w:rsidRPr="00325843">
              <w:t xml:space="preserve">IVIG also contains Zoster immunoglobulins at varying </w:t>
            </w:r>
            <w:proofErr w:type="spellStart"/>
            <w:r w:rsidRPr="00325843">
              <w:t>titres</w:t>
            </w:r>
            <w:proofErr w:type="spellEnd"/>
            <w:r w:rsidRPr="00325843">
              <w:t xml:space="preserve"> and is considered as an alternative (albeit with less evidence supporting its use) when specific Zoster Immunoglobulin is unavailable. Recommended dose (up to date) is 400mg/kg</w:t>
            </w:r>
            <w:r>
              <w:t>.</w:t>
            </w:r>
          </w:p>
          <w:p w:rsidRPr="00325843" w:rsidR="004E4B6C" w:rsidP="004E4B6C" w:rsidRDefault="004E4B6C" w14:paraId="55505AA8" w14:textId="4C9E72A8">
            <w:pPr>
              <w:pStyle w:val="Tablebullet1"/>
              <w:framePr w:wrap="around"/>
            </w:pPr>
            <w:r w:rsidRPr="00325843">
              <w:t xml:space="preserve">Dosage stated above is from the Australian </w:t>
            </w:r>
            <w:proofErr w:type="spellStart"/>
            <w:r w:rsidRPr="00325843">
              <w:t>Immunisation</w:t>
            </w:r>
            <w:proofErr w:type="spellEnd"/>
            <w:r w:rsidRPr="00325843">
              <w:t xml:space="preserve"> Handbook for neonates and infants 0-10kg. The Australian product information dosage table and other resources have variable recommendations with 125IU for most neonates and infants. Up to date recommends 62.5IU for infants </w:t>
            </w:r>
            <w:r>
              <w:t xml:space="preserve">less than </w:t>
            </w:r>
            <w:r w:rsidRPr="00325843">
              <w:t>2kg although no Australian reference recommends this. Most Australian state-based guidelines available online follow the dosing as recommended in the AIH</w:t>
            </w:r>
          </w:p>
        </w:tc>
      </w:tr>
      <w:tr w:rsidR="004E4B6C" w:rsidTr="004E4B6C" w14:paraId="0F92AE1B" w14:textId="77777777">
        <w:tc>
          <w:tcPr>
            <w:tcW w:w="2405" w:type="dxa"/>
          </w:tcPr>
          <w:p w:rsidRPr="00325843" w:rsidR="004E4B6C" w:rsidP="004E4B6C" w:rsidRDefault="004E4B6C" w14:paraId="6B45D80C" w14:textId="0F142BF4">
            <w:pPr>
              <w:pStyle w:val="Tablebody"/>
              <w:rPr>
                <w:b/>
              </w:rPr>
            </w:pPr>
            <w:r w:rsidRPr="00325843">
              <w:rPr>
                <w:b/>
              </w:rPr>
              <w:t>Supplied as</w:t>
            </w:r>
          </w:p>
        </w:tc>
        <w:tc>
          <w:tcPr>
            <w:tcW w:w="7789" w:type="dxa"/>
            <w:gridSpan w:val="2"/>
          </w:tcPr>
          <w:p w:rsidRPr="00325843" w:rsidR="004E4B6C" w:rsidP="004E4B6C" w:rsidRDefault="004E4B6C" w14:paraId="717E265D" w14:textId="13E6F6E7">
            <w:pPr>
              <w:pStyle w:val="Tablebody"/>
            </w:pPr>
            <w:r w:rsidRPr="00325843">
              <w:t>ZIG - CSL. Available from blood bank.</w:t>
            </w:r>
          </w:p>
        </w:tc>
      </w:tr>
      <w:tr w:rsidR="004E4B6C" w:rsidTr="004E4B6C" w14:paraId="7CA3136D" w14:textId="77777777">
        <w:tc>
          <w:tcPr>
            <w:tcW w:w="2405" w:type="dxa"/>
          </w:tcPr>
          <w:p w:rsidRPr="00325843" w:rsidR="004E4B6C" w:rsidP="004E4B6C" w:rsidRDefault="004E4B6C" w14:paraId="6F139871" w14:textId="1E9AA56E">
            <w:pPr>
              <w:pStyle w:val="Tablebody"/>
              <w:rPr>
                <w:b/>
              </w:rPr>
            </w:pPr>
            <w:r w:rsidRPr="00325843">
              <w:rPr>
                <w:b/>
              </w:rPr>
              <w:t>Dilution</w:t>
            </w:r>
          </w:p>
        </w:tc>
        <w:tc>
          <w:tcPr>
            <w:tcW w:w="7789" w:type="dxa"/>
            <w:gridSpan w:val="2"/>
          </w:tcPr>
          <w:p w:rsidRPr="00325843" w:rsidR="004E4B6C" w:rsidP="004E4B6C" w:rsidRDefault="004E4B6C" w14:paraId="5DCC2B39" w14:textId="2DC93891">
            <w:pPr>
              <w:pStyle w:val="Tablebody"/>
            </w:pPr>
            <w:r w:rsidRPr="00325843">
              <w:t>Nil.</w:t>
            </w:r>
          </w:p>
        </w:tc>
      </w:tr>
      <w:tr w:rsidR="004E4B6C" w:rsidTr="004E4B6C" w14:paraId="6751162F" w14:textId="77777777">
        <w:tc>
          <w:tcPr>
            <w:tcW w:w="2405" w:type="dxa"/>
          </w:tcPr>
          <w:p w:rsidRPr="00325843" w:rsidR="004E4B6C" w:rsidP="004E4B6C" w:rsidRDefault="004E4B6C" w14:paraId="57BDD810" w14:textId="1B8BD0B8">
            <w:pPr>
              <w:pStyle w:val="Tablebody"/>
              <w:rPr>
                <w:b/>
              </w:rPr>
            </w:pPr>
            <w:r w:rsidRPr="00325843">
              <w:rPr>
                <w:b/>
              </w:rPr>
              <w:t>Stability</w:t>
            </w:r>
          </w:p>
        </w:tc>
        <w:tc>
          <w:tcPr>
            <w:tcW w:w="7789" w:type="dxa"/>
            <w:gridSpan w:val="2"/>
          </w:tcPr>
          <w:p w:rsidRPr="00325843" w:rsidR="004E4B6C" w:rsidP="004E4B6C" w:rsidRDefault="004E4B6C" w14:paraId="2916B601" w14:textId="5DD2E59A">
            <w:pPr>
              <w:pStyle w:val="Tablebody"/>
            </w:pPr>
            <w:r w:rsidRPr="00325843">
              <w:t>Use immediately after reconstitution.</w:t>
            </w:r>
          </w:p>
        </w:tc>
      </w:tr>
      <w:tr w:rsidR="004E4B6C" w:rsidTr="004E4B6C" w14:paraId="0E3D2429" w14:textId="77777777">
        <w:tc>
          <w:tcPr>
            <w:tcW w:w="2405" w:type="dxa"/>
          </w:tcPr>
          <w:p w:rsidRPr="00325843" w:rsidR="004E4B6C" w:rsidP="004E4B6C" w:rsidRDefault="004E4B6C" w14:paraId="2E51ECEC" w14:textId="7EBF3F13">
            <w:pPr>
              <w:pStyle w:val="Tablebody"/>
              <w:rPr>
                <w:b/>
              </w:rPr>
            </w:pPr>
            <w:r w:rsidRPr="00325843">
              <w:rPr>
                <w:b/>
              </w:rPr>
              <w:t>Storage</w:t>
            </w:r>
          </w:p>
        </w:tc>
        <w:tc>
          <w:tcPr>
            <w:tcW w:w="7789" w:type="dxa"/>
            <w:gridSpan w:val="2"/>
          </w:tcPr>
          <w:p w:rsidRPr="00325843" w:rsidR="004E4B6C" w:rsidP="004E4B6C" w:rsidRDefault="004E4B6C" w14:paraId="09E3BEF5" w14:textId="77777777">
            <w:pPr>
              <w:pStyle w:val="Tablebody"/>
            </w:pPr>
            <w:r w:rsidRPr="00325843">
              <w:t>Refrigerate at 2 - 8</w:t>
            </w:r>
            <w:r w:rsidRPr="00DA3C19">
              <w:rPr>
                <w:vertAlign w:val="superscript"/>
              </w:rPr>
              <w:t>o</w:t>
            </w:r>
            <w:r w:rsidRPr="00325843">
              <w:t xml:space="preserve">C. </w:t>
            </w:r>
            <w:r w:rsidRPr="00325843">
              <w:rPr>
                <w:b/>
              </w:rPr>
              <w:t>Do not freeze</w:t>
            </w:r>
            <w:r w:rsidRPr="00325843">
              <w:t>. Protect from light.</w:t>
            </w:r>
          </w:p>
          <w:p w:rsidRPr="00325843" w:rsidR="004E4B6C" w:rsidP="004E4B6C" w:rsidRDefault="004E4B6C" w14:paraId="17FADEAC" w14:textId="012164A5">
            <w:pPr>
              <w:pStyle w:val="Tablebody"/>
            </w:pPr>
            <w:r w:rsidRPr="00325843">
              <w:t>Bring to room temperature before deep intramuscular administration.</w:t>
            </w:r>
          </w:p>
        </w:tc>
      </w:tr>
      <w:tr w:rsidR="004E4B6C" w:rsidTr="004E4B6C" w14:paraId="74FDD694" w14:textId="77777777">
        <w:tc>
          <w:tcPr>
            <w:tcW w:w="2405" w:type="dxa"/>
          </w:tcPr>
          <w:p w:rsidRPr="00325843" w:rsidR="004E4B6C" w:rsidP="004E4B6C" w:rsidRDefault="004E4B6C" w14:paraId="76CA96C2" w14:textId="791EC4C9">
            <w:pPr>
              <w:pStyle w:val="Tablebody"/>
              <w:rPr>
                <w:b/>
              </w:rPr>
            </w:pPr>
            <w:r w:rsidRPr="00325843">
              <w:rPr>
                <w:b/>
              </w:rPr>
              <w:t>Incompatibility</w:t>
            </w:r>
          </w:p>
        </w:tc>
        <w:tc>
          <w:tcPr>
            <w:tcW w:w="7789" w:type="dxa"/>
            <w:gridSpan w:val="2"/>
          </w:tcPr>
          <w:p w:rsidRPr="00325843" w:rsidR="004E4B6C" w:rsidP="004E4B6C" w:rsidRDefault="004E4B6C" w14:paraId="55067D32" w14:textId="40D88EA8">
            <w:pPr>
              <w:pStyle w:val="Tablebody"/>
            </w:pPr>
            <w:r w:rsidRPr="00325843">
              <w:t>N</w:t>
            </w:r>
            <w:r>
              <w:t>/</w:t>
            </w:r>
            <w:r w:rsidRPr="00325843">
              <w:t>A</w:t>
            </w:r>
            <w:r>
              <w:t>.</w:t>
            </w:r>
          </w:p>
        </w:tc>
      </w:tr>
      <w:tr w:rsidR="004E4B6C" w:rsidTr="004E4B6C" w14:paraId="6F564463" w14:textId="77777777">
        <w:tc>
          <w:tcPr>
            <w:tcW w:w="2405" w:type="dxa"/>
          </w:tcPr>
          <w:p w:rsidRPr="00325843" w:rsidR="004E4B6C" w:rsidP="004E4B6C" w:rsidRDefault="004E4B6C" w14:paraId="339DC2C2" w14:textId="6BFC1194">
            <w:pPr>
              <w:pStyle w:val="Tablebody"/>
              <w:rPr>
                <w:b/>
              </w:rPr>
            </w:pPr>
            <w:r w:rsidRPr="00325843">
              <w:rPr>
                <w:b/>
              </w:rPr>
              <w:t>Serum Levels</w:t>
            </w:r>
          </w:p>
        </w:tc>
        <w:tc>
          <w:tcPr>
            <w:tcW w:w="7789" w:type="dxa"/>
            <w:gridSpan w:val="2"/>
          </w:tcPr>
          <w:p w:rsidRPr="00325843" w:rsidR="004E4B6C" w:rsidP="004E4B6C" w:rsidRDefault="004E4B6C" w14:paraId="46456591" w14:textId="6C6D86C8">
            <w:pPr>
              <w:pStyle w:val="Tablebody"/>
            </w:pPr>
            <w:r w:rsidRPr="00325843">
              <w:t>N</w:t>
            </w:r>
            <w:r>
              <w:t>/</w:t>
            </w:r>
            <w:r w:rsidRPr="00325843">
              <w:t>A</w:t>
            </w:r>
            <w:r>
              <w:t>.</w:t>
            </w:r>
          </w:p>
        </w:tc>
      </w:tr>
      <w:tr w:rsidR="004E4B6C" w:rsidTr="004E4B6C" w14:paraId="5453648E" w14:textId="77777777">
        <w:tc>
          <w:tcPr>
            <w:tcW w:w="2405" w:type="dxa"/>
          </w:tcPr>
          <w:p w:rsidRPr="00325843" w:rsidR="004E4B6C" w:rsidP="004E4B6C" w:rsidRDefault="004E4B6C" w14:paraId="3381E402" w14:textId="3C0A3CB6">
            <w:pPr>
              <w:pStyle w:val="Tablebody"/>
              <w:rPr>
                <w:b/>
              </w:rPr>
            </w:pPr>
            <w:r w:rsidRPr="00325843">
              <w:rPr>
                <w:b/>
              </w:rPr>
              <w:t xml:space="preserve">References: </w:t>
            </w:r>
          </w:p>
        </w:tc>
        <w:tc>
          <w:tcPr>
            <w:tcW w:w="7789" w:type="dxa"/>
            <w:gridSpan w:val="2"/>
          </w:tcPr>
          <w:p w:rsidRPr="00325843" w:rsidR="004E4B6C" w:rsidP="004E4B6C" w:rsidRDefault="004E4B6C" w14:paraId="6FC7EB47" w14:textId="3DABA1D7">
            <w:pPr>
              <w:pStyle w:val="Tablebody"/>
              <w:numPr>
                <w:ilvl w:val="0"/>
                <w:numId w:val="23"/>
              </w:numPr>
            </w:pPr>
            <w:r w:rsidRPr="00325843">
              <w:t xml:space="preserve">Australian </w:t>
            </w:r>
            <w:proofErr w:type="spellStart"/>
            <w:r w:rsidRPr="00325843">
              <w:t>Immunisation</w:t>
            </w:r>
            <w:proofErr w:type="spellEnd"/>
            <w:r w:rsidRPr="00325843">
              <w:t xml:space="preserve"> Handbook</w:t>
            </w:r>
            <w:r>
              <w:t>.</w:t>
            </w:r>
          </w:p>
          <w:p w:rsidRPr="00325843" w:rsidR="004E4B6C" w:rsidP="004E4B6C" w:rsidRDefault="004E4B6C" w14:paraId="639A08D6" w14:textId="6CF993E5">
            <w:pPr>
              <w:pStyle w:val="Tablebody"/>
              <w:numPr>
                <w:ilvl w:val="0"/>
                <w:numId w:val="23"/>
              </w:numPr>
            </w:pPr>
            <w:r w:rsidRPr="00325843">
              <w:t>Australian Product Information- Zoster Immunoglobulin- VF CSL-Behring</w:t>
            </w:r>
            <w:r>
              <w:t>.</w:t>
            </w:r>
          </w:p>
          <w:p w:rsidRPr="00325843" w:rsidR="004E4B6C" w:rsidP="004E4B6C" w:rsidRDefault="004E4B6C" w14:paraId="2751F84C" w14:textId="77777777">
            <w:pPr>
              <w:pStyle w:val="Tablebody"/>
              <w:numPr>
                <w:ilvl w:val="0"/>
                <w:numId w:val="23"/>
              </w:numPr>
            </w:pPr>
            <w:r w:rsidRPr="00325843">
              <w:t xml:space="preserve">Levin MJ, Duchon JM, Swamy GK, Gershon AA. Varicella zoster immune globulin (VARIZIG) administration up to 10 days after varicella exposure in pregnant women, immunocompromised participants, and infants: Varicella outcomes and safety results from a large, open-label, expanded-access program. </w:t>
            </w:r>
            <w:proofErr w:type="spellStart"/>
            <w:r w:rsidRPr="00325843">
              <w:t>PLoS</w:t>
            </w:r>
            <w:proofErr w:type="spellEnd"/>
            <w:r w:rsidRPr="00325843">
              <w:t xml:space="preserve"> One. 2019 Jul 3;14(7):e0217749. </w:t>
            </w:r>
            <w:proofErr w:type="spellStart"/>
            <w:r w:rsidRPr="00325843">
              <w:t>doi</w:t>
            </w:r>
            <w:proofErr w:type="spellEnd"/>
            <w:r w:rsidRPr="00325843">
              <w:t>: 10.1371/journal.pone.0217749. PMID: 31269033; PMCID: PMC6608934.</w:t>
            </w:r>
          </w:p>
          <w:p w:rsidRPr="00325843" w:rsidR="004E4B6C" w:rsidP="004E4B6C" w:rsidRDefault="004E4B6C" w14:paraId="0EAF4D6F" w14:textId="77777777">
            <w:pPr>
              <w:pStyle w:val="Tablebody"/>
              <w:numPr>
                <w:ilvl w:val="0"/>
                <w:numId w:val="23"/>
              </w:numPr>
            </w:pPr>
            <w:proofErr w:type="spellStart"/>
            <w:r w:rsidRPr="00325843">
              <w:t>Tebruegge</w:t>
            </w:r>
            <w:proofErr w:type="spellEnd"/>
            <w:r w:rsidRPr="00325843">
              <w:t xml:space="preserve"> M, </w:t>
            </w:r>
            <w:proofErr w:type="spellStart"/>
            <w:r w:rsidRPr="00325843">
              <w:t>Pantazidou</w:t>
            </w:r>
            <w:proofErr w:type="spellEnd"/>
            <w:r w:rsidRPr="00325843">
              <w:t xml:space="preserve"> A, Curtis N. Towards evidence based medicine for </w:t>
            </w:r>
            <w:proofErr w:type="spellStart"/>
            <w:r w:rsidRPr="00325843">
              <w:t>paediatricians</w:t>
            </w:r>
            <w:proofErr w:type="spellEnd"/>
            <w:r w:rsidRPr="00325843">
              <w:t xml:space="preserve">. How effective is varicella-zoster immunoglobulin (VZIG) in preventing chickenpox in neonates following perinatal exposure? Arch Dis Child. 2009 Jul;94(7):559-61. </w:t>
            </w:r>
            <w:proofErr w:type="spellStart"/>
            <w:r w:rsidRPr="00325843">
              <w:t>doi</w:t>
            </w:r>
            <w:proofErr w:type="spellEnd"/>
            <w:r w:rsidRPr="00325843">
              <w:t>: 10.1136/adc.2008.154542. PMID: 19542068.</w:t>
            </w:r>
          </w:p>
          <w:p w:rsidRPr="00325843" w:rsidR="004E4B6C" w:rsidP="004E4B6C" w:rsidRDefault="004E4B6C" w14:paraId="763A5C49" w14:textId="0ACF2C68">
            <w:pPr>
              <w:pStyle w:val="Tablebody"/>
              <w:numPr>
                <w:ilvl w:val="0"/>
                <w:numId w:val="23"/>
              </w:numPr>
            </w:pPr>
            <w:r w:rsidRPr="00325843">
              <w:t>South Australian Neonatal Medication Guidelines</w:t>
            </w:r>
            <w:r>
              <w:t>.</w:t>
            </w:r>
            <w:r w:rsidRPr="00325843">
              <w:t xml:space="preserve"> </w:t>
            </w:r>
          </w:p>
          <w:p w:rsidRPr="00325843" w:rsidR="004E4B6C" w:rsidP="004E4B6C" w:rsidRDefault="004E4B6C" w14:paraId="37F348DE" w14:textId="48E7501F">
            <w:pPr>
              <w:pStyle w:val="Tablebody"/>
              <w:numPr>
                <w:ilvl w:val="0"/>
                <w:numId w:val="23"/>
              </w:numPr>
            </w:pPr>
            <w:r w:rsidRPr="00325843">
              <w:t>RCH Clinical Practice Guidelines : Chickenpox (Varicella)</w:t>
            </w:r>
            <w:r>
              <w:t>.</w:t>
            </w:r>
          </w:p>
          <w:p w:rsidR="00D02FDD" w:rsidP="004E4B6C" w:rsidRDefault="004E4B6C" w14:paraId="38D327EC" w14:textId="77777777">
            <w:pPr>
              <w:pStyle w:val="Tablebody"/>
              <w:numPr>
                <w:ilvl w:val="0"/>
                <w:numId w:val="23"/>
              </w:numPr>
            </w:pPr>
            <w:r w:rsidRPr="00325843">
              <w:t xml:space="preserve">Perth </w:t>
            </w:r>
            <w:proofErr w:type="spellStart"/>
            <w:r w:rsidRPr="00325843">
              <w:t>Childrens</w:t>
            </w:r>
            <w:proofErr w:type="spellEnd"/>
            <w:r w:rsidRPr="00325843">
              <w:t xml:space="preserve"> Hospital Emergency Department Guidelines- Varicella Zoster Virus</w:t>
            </w:r>
            <w:r>
              <w:t>.</w:t>
            </w:r>
          </w:p>
          <w:p w:rsidRPr="00325843" w:rsidR="004E4B6C" w:rsidP="004E4B6C" w:rsidRDefault="004E4B6C" w14:paraId="1914F6F9" w14:textId="6076637A">
            <w:pPr>
              <w:pStyle w:val="Tablebody"/>
              <w:numPr>
                <w:ilvl w:val="0"/>
                <w:numId w:val="23"/>
              </w:numPr>
            </w:pPr>
            <w:r w:rsidRPr="00325843">
              <w:t>UpToDate -Varicella-Zoster Immune Globulin (Human) Drug Information</w:t>
            </w:r>
            <w:r>
              <w:t>.</w:t>
            </w:r>
          </w:p>
        </w:tc>
      </w:tr>
      <w:tr w:rsidR="004E4B6C" w:rsidTr="00310CF3" w14:paraId="4FE64924" w14:textId="77777777">
        <w:tc>
          <w:tcPr>
            <w:tcW w:w="5097" w:type="dxa"/>
            <w:gridSpan w:val="2"/>
            <w:vAlign w:val="center"/>
          </w:tcPr>
          <w:p w:rsidRPr="00325843" w:rsidR="004E4B6C" w:rsidP="004E4B6C" w:rsidRDefault="004E4B6C" w14:paraId="7FBCD45D" w14:textId="19676144">
            <w:pPr>
              <w:pStyle w:val="Tablebody"/>
              <w:rPr>
                <w:b/>
              </w:rPr>
            </w:pPr>
            <w:r w:rsidRPr="00325843">
              <w:t>Original version Date: 2014</w:t>
            </w:r>
          </w:p>
        </w:tc>
        <w:tc>
          <w:tcPr>
            <w:tcW w:w="5097" w:type="dxa"/>
            <w:vAlign w:val="center"/>
          </w:tcPr>
          <w:p w:rsidRPr="00325843" w:rsidR="004E4B6C" w:rsidP="004E4B6C" w:rsidRDefault="004E4B6C" w14:paraId="0A2BDDBD" w14:textId="2E0B205B">
            <w:pPr>
              <w:pStyle w:val="Tablebody"/>
            </w:pPr>
            <w:r w:rsidRPr="00325843">
              <w:t>Author: DD</w:t>
            </w:r>
          </w:p>
        </w:tc>
      </w:tr>
      <w:tr w:rsidR="004E4B6C" w:rsidTr="00310CF3" w14:paraId="048603E5" w14:textId="77777777">
        <w:tc>
          <w:tcPr>
            <w:tcW w:w="5097" w:type="dxa"/>
            <w:gridSpan w:val="2"/>
            <w:vAlign w:val="center"/>
          </w:tcPr>
          <w:p w:rsidRPr="00325843" w:rsidR="004E4B6C" w:rsidP="004E4B6C" w:rsidRDefault="004E4B6C" w14:paraId="29800F10" w14:textId="7BE514CD">
            <w:pPr>
              <w:pStyle w:val="Tablebody"/>
              <w:rPr>
                <w:b/>
              </w:rPr>
            </w:pPr>
            <w:r w:rsidRPr="00325843">
              <w:t>Current Version number:  2.0</w:t>
            </w:r>
          </w:p>
        </w:tc>
        <w:tc>
          <w:tcPr>
            <w:tcW w:w="5097" w:type="dxa"/>
            <w:vAlign w:val="center"/>
          </w:tcPr>
          <w:p w:rsidRPr="00325843" w:rsidR="004E4B6C" w:rsidP="004E4B6C" w:rsidRDefault="004E4B6C" w14:paraId="30CEB1C1" w14:textId="1E5C0332">
            <w:pPr>
              <w:pStyle w:val="Tablebody"/>
            </w:pPr>
            <w:r w:rsidRPr="00325843">
              <w:t>Version Date: 1/3/2021</w:t>
            </w:r>
          </w:p>
        </w:tc>
      </w:tr>
      <w:tr w:rsidR="004E4B6C" w:rsidTr="00310CF3" w14:paraId="00F428B4" w14:textId="77777777">
        <w:tc>
          <w:tcPr>
            <w:tcW w:w="5097" w:type="dxa"/>
            <w:gridSpan w:val="2"/>
            <w:vAlign w:val="center"/>
          </w:tcPr>
          <w:p w:rsidRPr="00325843" w:rsidR="004E4B6C" w:rsidP="004E4B6C" w:rsidRDefault="004E4B6C" w14:paraId="23CB419D" w14:textId="4AF35F6B">
            <w:pPr>
              <w:pStyle w:val="Tablebody"/>
              <w:rPr>
                <w:b/>
              </w:rPr>
            </w:pPr>
            <w:r w:rsidRPr="00325843">
              <w:t>Risk Rating: Low</w:t>
            </w:r>
          </w:p>
        </w:tc>
        <w:tc>
          <w:tcPr>
            <w:tcW w:w="5097" w:type="dxa"/>
            <w:vAlign w:val="center"/>
          </w:tcPr>
          <w:p w:rsidRPr="00325843" w:rsidR="004E4B6C" w:rsidP="004E4B6C" w:rsidRDefault="004E4B6C" w14:paraId="47A0DABC" w14:textId="75A065EF">
            <w:pPr>
              <w:pStyle w:val="Tablebody"/>
            </w:pPr>
            <w:r w:rsidRPr="00325843">
              <w:t>Due for Review: 16/11/2026</w:t>
            </w:r>
          </w:p>
        </w:tc>
      </w:tr>
      <w:tr w:rsidR="004E4B6C" w:rsidTr="00310CF3" w14:paraId="0064D8F7" w14:textId="77777777">
        <w:tc>
          <w:tcPr>
            <w:tcW w:w="5097" w:type="dxa"/>
            <w:gridSpan w:val="2"/>
            <w:vAlign w:val="center"/>
          </w:tcPr>
          <w:p w:rsidRPr="00325843" w:rsidR="004E4B6C" w:rsidP="004E4B6C" w:rsidRDefault="004E4B6C" w14:paraId="683E2E03" w14:textId="25736867">
            <w:pPr>
              <w:pStyle w:val="Tablebody"/>
              <w:rPr>
                <w:b/>
              </w:rPr>
            </w:pPr>
            <w:r w:rsidRPr="00325843">
              <w:t>Approved by: DTC</w:t>
            </w:r>
          </w:p>
        </w:tc>
        <w:tc>
          <w:tcPr>
            <w:tcW w:w="5097" w:type="dxa"/>
            <w:vAlign w:val="center"/>
          </w:tcPr>
          <w:p w:rsidRPr="00325843" w:rsidR="004E4B6C" w:rsidP="004E4B6C" w:rsidRDefault="004E4B6C" w14:paraId="3478265F" w14:textId="57790485">
            <w:pPr>
              <w:pStyle w:val="Tablebody"/>
            </w:pPr>
            <w:r w:rsidRPr="00325843">
              <w:t>Approval Date: APRIL 2021</w:t>
            </w:r>
          </w:p>
        </w:tc>
      </w:tr>
    </w:tbl>
    <w:p w:rsidR="00AA75D7" w:rsidP="007C42FE" w:rsidRDefault="00AA75D7" w14:paraId="100D6697" w14:textId="77777777">
      <w:pPr>
        <w:pStyle w:val="Heading3"/>
        <w:rPr>
          <w:rStyle w:val="Bold"/>
        </w:rPr>
      </w:pPr>
    </w:p>
    <w:p w:rsidRPr="001B1D4D" w:rsidR="00954F7B" w:rsidP="007C42FE" w:rsidRDefault="00954F7B" w14:paraId="51CEB20C" w14:textId="208E5987">
      <w:pPr>
        <w:pStyle w:val="Heading3"/>
        <w:rPr>
          <w:rStyle w:val="Bold"/>
        </w:rPr>
      </w:pPr>
      <w:r w:rsidRPr="001B1D4D">
        <w:rPr>
          <w:rStyle w:val="Bold"/>
        </w:rPr>
        <w:t>For Policy Team to complete:</w:t>
      </w:r>
    </w:p>
    <w:tbl>
      <w:tblPr>
        <w:tblStyle w:val="CHSTable"/>
        <w:tblW w:w="0" w:type="auto"/>
        <w:tblLook w:val="0420" w:firstRow="1" w:lastRow="0" w:firstColumn="0" w:lastColumn="0" w:noHBand="0" w:noVBand="1"/>
      </w:tblPr>
      <w:tblGrid>
        <w:gridCol w:w="2548"/>
        <w:gridCol w:w="2548"/>
        <w:gridCol w:w="2549"/>
        <w:gridCol w:w="2549"/>
      </w:tblGrid>
      <w:tr w:rsidR="00954F7B" w:rsidTr="00954F7B" w14:paraId="04EB7746" w14:textId="77777777">
        <w:trPr>
          <w:cnfStyle w:val="100000000000" w:firstRow="1" w:lastRow="0" w:firstColumn="0" w:lastColumn="0" w:oddVBand="0" w:evenVBand="0" w:oddHBand="0" w:evenHBand="0" w:firstRowFirstColumn="0" w:firstRowLastColumn="0" w:lastRowFirstColumn="0" w:lastRowLastColumn="0"/>
        </w:trPr>
        <w:tc>
          <w:tcPr>
            <w:tcW w:w="2548" w:type="dxa"/>
          </w:tcPr>
          <w:bookmarkEnd w:id="5"/>
          <w:p w:rsidR="00954F7B" w:rsidP="00954F7B" w:rsidRDefault="00954F7B" w14:paraId="01915539" w14:textId="77777777">
            <w:pPr>
              <w:pStyle w:val="Tableheader"/>
            </w:pPr>
            <w:r>
              <w:t xml:space="preserve">Date </w:t>
            </w:r>
            <w:r w:rsidR="00CC0422">
              <w:t>a</w:t>
            </w:r>
            <w:r>
              <w:t>mended</w:t>
            </w:r>
          </w:p>
        </w:tc>
        <w:tc>
          <w:tcPr>
            <w:tcW w:w="2548" w:type="dxa"/>
          </w:tcPr>
          <w:p w:rsidR="00954F7B" w:rsidP="00954F7B" w:rsidRDefault="00954F7B" w14:paraId="3F7F1D89" w14:textId="77777777">
            <w:pPr>
              <w:pStyle w:val="Tableheader"/>
            </w:pPr>
            <w:r>
              <w:t xml:space="preserve">Section </w:t>
            </w:r>
            <w:r w:rsidR="00CC0422">
              <w:t>a</w:t>
            </w:r>
            <w:r>
              <w:t>mended</w:t>
            </w:r>
          </w:p>
        </w:tc>
        <w:tc>
          <w:tcPr>
            <w:tcW w:w="2549" w:type="dxa"/>
          </w:tcPr>
          <w:p w:rsidR="00954F7B" w:rsidP="00954F7B" w:rsidRDefault="00954F7B" w14:paraId="0A9CE299" w14:textId="77777777">
            <w:pPr>
              <w:pStyle w:val="Tableheader"/>
            </w:pPr>
            <w:r>
              <w:t xml:space="preserve">Divisional </w:t>
            </w:r>
            <w:r w:rsidR="00CC0422">
              <w:t>a</w:t>
            </w:r>
            <w:r>
              <w:t>pproval</w:t>
            </w:r>
          </w:p>
        </w:tc>
        <w:tc>
          <w:tcPr>
            <w:tcW w:w="2549" w:type="dxa"/>
          </w:tcPr>
          <w:p w:rsidR="00954F7B" w:rsidP="00954F7B" w:rsidRDefault="00954F7B" w14:paraId="3FADADA5" w14:textId="77777777">
            <w:pPr>
              <w:pStyle w:val="Tableheader"/>
            </w:pPr>
            <w:r>
              <w:t xml:space="preserve">Final </w:t>
            </w:r>
            <w:r w:rsidR="00CC0422">
              <w:t>a</w:t>
            </w:r>
            <w:r>
              <w:t>pproval</w:t>
            </w:r>
          </w:p>
        </w:tc>
      </w:tr>
      <w:tr w:rsidR="00954F7B" w:rsidTr="00954F7B" w14:paraId="1F0F2111" w14:textId="77777777">
        <w:tc>
          <w:tcPr>
            <w:tcW w:w="2548" w:type="dxa"/>
          </w:tcPr>
          <w:p w:rsidRPr="00A24D94" w:rsidR="00954F7B" w:rsidP="00A24D94" w:rsidRDefault="0087074A" w14:paraId="584B7439" w14:textId="2453781D">
            <w:pPr>
              <w:pStyle w:val="Tablebody"/>
            </w:pPr>
            <w:r>
              <w:t>29 May 2026</w:t>
            </w:r>
          </w:p>
        </w:tc>
        <w:tc>
          <w:tcPr>
            <w:tcW w:w="2548" w:type="dxa"/>
          </w:tcPr>
          <w:p w:rsidRPr="00A24D94" w:rsidR="00954F7B" w:rsidP="00A24D94" w:rsidRDefault="0087074A" w14:paraId="61B68699" w14:textId="4CE08312">
            <w:pPr>
              <w:pStyle w:val="Tablebody"/>
            </w:pPr>
            <w:r>
              <w:t>Complete review</w:t>
            </w:r>
          </w:p>
        </w:tc>
        <w:tc>
          <w:tcPr>
            <w:tcW w:w="2549" w:type="dxa"/>
          </w:tcPr>
          <w:p w:rsidRPr="00A24D94" w:rsidR="00954F7B" w:rsidP="00A24D94" w:rsidRDefault="0087074A" w14:paraId="325677E5" w14:textId="73A05025">
            <w:pPr>
              <w:pStyle w:val="Tablebody"/>
            </w:pPr>
            <w:r>
              <w:t>Katherine Wakefield, Executive Director of CH WY&amp;C</w:t>
            </w:r>
          </w:p>
        </w:tc>
        <w:tc>
          <w:tcPr>
            <w:tcW w:w="2549" w:type="dxa"/>
          </w:tcPr>
          <w:p w:rsidRPr="00A24D94" w:rsidR="00954F7B" w:rsidP="00A24D94" w:rsidRDefault="0087074A" w14:paraId="3A425DA4" w14:textId="29D47BB7">
            <w:pPr>
              <w:pStyle w:val="Tablebody"/>
            </w:pPr>
            <w:r>
              <w:t>Drugs and Therapeutics Committee</w:t>
            </w:r>
          </w:p>
        </w:tc>
      </w:tr>
      <w:tr w:rsidR="00954F7B" w:rsidTr="00954F7B" w14:paraId="58496DBA" w14:textId="77777777">
        <w:tc>
          <w:tcPr>
            <w:tcW w:w="2548" w:type="dxa"/>
          </w:tcPr>
          <w:p w:rsidRPr="00A24D94" w:rsidR="00954F7B" w:rsidP="00A24D94" w:rsidRDefault="00954F7B" w14:paraId="22743D67" w14:textId="77777777">
            <w:pPr>
              <w:pStyle w:val="Tablebody"/>
            </w:pPr>
          </w:p>
        </w:tc>
        <w:tc>
          <w:tcPr>
            <w:tcW w:w="2548" w:type="dxa"/>
          </w:tcPr>
          <w:p w:rsidRPr="00A24D94" w:rsidR="00954F7B" w:rsidP="00A24D94" w:rsidRDefault="00954F7B" w14:paraId="6064630B" w14:textId="77777777">
            <w:pPr>
              <w:pStyle w:val="Tablebody"/>
            </w:pPr>
          </w:p>
        </w:tc>
        <w:tc>
          <w:tcPr>
            <w:tcW w:w="2549" w:type="dxa"/>
          </w:tcPr>
          <w:p w:rsidRPr="00A24D94" w:rsidR="00954F7B" w:rsidP="00A24D94" w:rsidRDefault="00954F7B" w14:paraId="063899E8" w14:textId="77777777">
            <w:pPr>
              <w:pStyle w:val="Tablebody"/>
            </w:pPr>
          </w:p>
        </w:tc>
        <w:tc>
          <w:tcPr>
            <w:tcW w:w="2549" w:type="dxa"/>
          </w:tcPr>
          <w:p w:rsidRPr="00A24D94" w:rsidR="00954F7B" w:rsidP="00A24D94" w:rsidRDefault="00954F7B" w14:paraId="447504E4" w14:textId="77777777">
            <w:pPr>
              <w:pStyle w:val="Tablebody"/>
            </w:pPr>
          </w:p>
        </w:tc>
      </w:tr>
    </w:tbl>
    <w:p w:rsidR="00954F7B" w:rsidP="00421D62" w:rsidRDefault="00954F7B" w14:paraId="14035CAD" w14:textId="77777777">
      <w:pPr>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954F7B" w:rsidTr="00954F7B" w14:paraId="6F01CB6D" w14:textId="77777777">
        <w:trPr>
          <w:cnfStyle w:val="100000000000" w:firstRow="1" w:lastRow="0" w:firstColumn="0" w:lastColumn="0" w:oddVBand="0" w:evenVBand="0" w:oddHBand="0" w:evenHBand="0" w:firstRowFirstColumn="0" w:firstRowLastColumn="0" w:lastRowFirstColumn="0" w:lastRowLastColumn="0"/>
        </w:trPr>
        <w:tc>
          <w:tcPr>
            <w:tcW w:w="2548" w:type="dxa"/>
          </w:tcPr>
          <w:p w:rsidR="00954F7B" w:rsidP="00F9387A" w:rsidRDefault="00954F7B" w14:paraId="60072619" w14:textId="77777777">
            <w:pPr>
              <w:pStyle w:val="Tableheader"/>
            </w:pPr>
            <w:r>
              <w:t xml:space="preserve">Document </w:t>
            </w:r>
            <w:r w:rsidR="00CC0422">
              <w:t>n</w:t>
            </w:r>
            <w:r>
              <w:t>umber</w:t>
            </w:r>
          </w:p>
        </w:tc>
        <w:tc>
          <w:tcPr>
            <w:tcW w:w="7653" w:type="dxa"/>
          </w:tcPr>
          <w:p w:rsidR="00954F7B" w:rsidP="00F9387A" w:rsidRDefault="00954F7B" w14:paraId="0D4D7157" w14:textId="77777777">
            <w:pPr>
              <w:pStyle w:val="Tableheader"/>
            </w:pPr>
            <w:r>
              <w:t xml:space="preserve">Document </w:t>
            </w:r>
            <w:r w:rsidR="00CC0422">
              <w:t>n</w:t>
            </w:r>
            <w:r>
              <w:t>ame</w:t>
            </w:r>
          </w:p>
        </w:tc>
      </w:tr>
      <w:tr w:rsidR="00954F7B" w:rsidTr="00954F7B" w14:paraId="2DC339A9" w14:textId="77777777">
        <w:tc>
          <w:tcPr>
            <w:tcW w:w="2548" w:type="dxa"/>
          </w:tcPr>
          <w:p w:rsidRPr="00A24D94" w:rsidR="00954F7B" w:rsidP="00A24D94" w:rsidRDefault="0087074A" w14:paraId="32E616F9" w14:textId="662858E1">
            <w:pPr>
              <w:pStyle w:val="Tablebody"/>
            </w:pPr>
            <w:r w:rsidRPr="0087074A">
              <w:t>CHS24/008</w:t>
            </w:r>
          </w:p>
        </w:tc>
        <w:tc>
          <w:tcPr>
            <w:tcW w:w="7653" w:type="dxa"/>
          </w:tcPr>
          <w:p w:rsidRPr="00A24D94" w:rsidR="00954F7B" w:rsidP="00A24D94" w:rsidRDefault="0087074A" w14:paraId="400C2A65" w14:textId="77FBECC7">
            <w:pPr>
              <w:pStyle w:val="Tablebody"/>
            </w:pPr>
            <w:r w:rsidRPr="0087074A">
              <w:t>Neonatal Intensive Care Medication Guidance Australian Neonatal Medicines Formulary (ANMF)</w:t>
            </w:r>
          </w:p>
        </w:tc>
      </w:tr>
      <w:tr w:rsidR="00954F7B" w:rsidTr="00954F7B" w14:paraId="578F5713" w14:textId="77777777">
        <w:tc>
          <w:tcPr>
            <w:tcW w:w="2548" w:type="dxa"/>
          </w:tcPr>
          <w:p w:rsidRPr="00A24D94" w:rsidR="00954F7B" w:rsidP="00A24D94" w:rsidRDefault="00954F7B" w14:paraId="3587E17C" w14:textId="77777777">
            <w:pPr>
              <w:pStyle w:val="Tablebody"/>
            </w:pPr>
          </w:p>
        </w:tc>
        <w:tc>
          <w:tcPr>
            <w:tcW w:w="7653" w:type="dxa"/>
          </w:tcPr>
          <w:p w:rsidRPr="00A24D94" w:rsidR="00954F7B" w:rsidP="00A24D94" w:rsidRDefault="00954F7B" w14:paraId="38E22AC3" w14:textId="77777777">
            <w:pPr>
              <w:pStyle w:val="Tablebody"/>
            </w:pPr>
          </w:p>
        </w:tc>
      </w:tr>
    </w:tbl>
    <w:p w:rsidRPr="001B1D4D" w:rsidR="00421D62" w:rsidP="007C42FE" w:rsidRDefault="00421D62" w14:paraId="310C64BF" w14:textId="77777777">
      <w:pPr>
        <w:pStyle w:val="Heading3"/>
        <w:rPr>
          <w:rStyle w:val="Bold"/>
        </w:rPr>
      </w:pPr>
      <w:bookmarkStart w:name="_Toc166761028" w:id="6"/>
      <w:bookmarkStart w:name="_Toc166761347" w:id="7"/>
      <w:r w:rsidRPr="001B1D4D">
        <w:rPr>
          <w:rStyle w:val="Bold"/>
        </w:rPr>
        <w:t>Disclaimer</w:t>
      </w:r>
      <w:bookmarkEnd w:id="6"/>
      <w:bookmarkEnd w:id="7"/>
      <w:r w:rsidRPr="001B1D4D">
        <w:rPr>
          <w:rStyle w:val="Bold"/>
        </w:rPr>
        <w:t xml:space="preserve"> </w:t>
      </w:r>
    </w:p>
    <w:p w:rsidRPr="006B62B4" w:rsidR="006B62B4" w:rsidP="006B62B4" w:rsidRDefault="00421D62" w14:paraId="4381BBFE" w14:textId="77777777">
      <w:pPr>
        <w:rPr>
          <w:lang w:eastAsia="en-US"/>
        </w:rPr>
      </w:pPr>
      <w:r w:rsidRPr="00421D62">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4F3EE"/>
        <w:tblLook w:val="04A0" w:firstRow="1" w:lastRow="0" w:firstColumn="1" w:lastColumn="0" w:noHBand="0" w:noVBand="1"/>
        <w:tblCaption w:val="Table  title"/>
        <w:tblDescription w:val="Table description."/>
      </w:tblPr>
      <w:tblGrid>
        <w:gridCol w:w="5529"/>
        <w:gridCol w:w="4665"/>
      </w:tblGrid>
      <w:tr w:rsidR="009945C6" w:rsidTr="0086505E" w14:paraId="66D5A0AD" w14:textId="77777777">
        <w:tc>
          <w:tcPr>
            <w:tcW w:w="5529" w:type="dxa"/>
            <w:shd w:val="clear" w:color="auto" w:fill="F4F3EE"/>
            <w:tcMar>
              <w:top w:w="142" w:type="dxa"/>
              <w:left w:w="170" w:type="dxa"/>
              <w:bottom w:w="142" w:type="dxa"/>
              <w:right w:w="170" w:type="dxa"/>
            </w:tcMar>
          </w:tcPr>
          <w:bookmarkStart w:name="_Hlk160027189" w:displacedByCustomXml="next" w:id="8"/>
          <w:sdt>
            <w:sdtPr>
              <w:id w:val="643171884"/>
              <w:placeholder>
                <w:docPart w:val="A2D76AACFA134CEE89A8232B88399285"/>
              </w:placeholder>
            </w:sdtPr>
            <w:sdtContent>
              <w:p w:rsidRPr="00350211" w:rsidR="009945C6" w:rsidP="0086505E" w:rsidRDefault="009945C6" w14:paraId="6315D97C" w14:textId="77777777">
                <w:pPr>
                  <w:pStyle w:val="Bottomblocktext"/>
                  <w:rPr>
                    <w:b/>
                    <w:bCs w:val="0"/>
                    <w:sz w:val="20"/>
                    <w:szCs w:val="20"/>
                  </w:rPr>
                </w:pPr>
                <w:r>
                  <w:rPr>
                    <w:noProof/>
                    <w:sz w:val="20"/>
                    <w:szCs w:val="20"/>
                  </w:rPr>
                  <w:drawing>
                    <wp:inline distT="0" distB="0" distL="0" distR="0" wp14:anchorId="09A4C3F6" wp14:editId="10FE64A0">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9"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rsidR="009945C6" w:rsidP="0086505E" w:rsidRDefault="009945C6" w14:paraId="58455E8F" w14:textId="77777777">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rsidRPr="00350211" w:rsidR="009945C6" w:rsidP="0086505E" w:rsidRDefault="009945C6" w14:paraId="78497F18" w14:textId="687505D4">
                <w:pPr>
                  <w:pStyle w:val="Bottomblocktext"/>
                </w:pPr>
                <w:r w:rsidRPr="00AF532B">
                  <w:t>© Australian Capital Territory, C</w:t>
                </w:r>
                <w:r w:rsidRPr="003F6C0E">
                  <w:t>anberra 20</w:t>
                </w:r>
                <w:sdt>
                  <w:sdtPr>
                    <w:alias w:val="Year selector"/>
                    <w:tag w:val="Year selector"/>
                    <w:id w:val="1385675321"/>
                    <w:placeholder>
                      <w:docPart w:val="3899F9E9C83543A090BA575684923022"/>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Content>
                    <w:r w:rsidR="004E4B6C">
                      <w:t>26</w:t>
                    </w:r>
                  </w:sdtContent>
                </w:sdt>
              </w:p>
            </w:sdtContent>
          </w:sdt>
        </w:tc>
        <w:sdt>
          <w:sdtPr>
            <w:id w:val="637692764"/>
            <w:placeholder>
              <w:docPart w:val="2C289B58B87C4D498DCF3EDE817CC8E5"/>
            </w:placeholder>
            <w:showingPlcHdr/>
          </w:sdtPr>
          <w:sdtContent>
            <w:tc>
              <w:tcPr>
                <w:tcW w:w="4665" w:type="dxa"/>
                <w:shd w:val="clear" w:color="auto" w:fill="F4F3EE"/>
                <w:tcMar>
                  <w:top w:w="142" w:type="dxa"/>
                  <w:left w:w="170" w:type="dxa"/>
                  <w:bottom w:w="142" w:type="dxa"/>
                  <w:right w:w="170" w:type="dxa"/>
                </w:tcMar>
              </w:tcPr>
              <w:p w:rsidRPr="00F26C97" w:rsidR="009945C6" w:rsidP="0086505E" w:rsidRDefault="009945C6" w14:paraId="369DB22E" w14:textId="77777777">
                <w:pPr>
                  <w:pStyle w:val="Bottomblocktext"/>
                  <w:rPr>
                    <w:b/>
                    <w:bCs w:val="0"/>
                    <w:sz w:val="20"/>
                    <w:szCs w:val="20"/>
                  </w:rPr>
                </w:pPr>
                <w:r>
                  <w:rPr>
                    <w:b/>
                    <w:bCs w:val="0"/>
                    <w:noProof/>
                    <w:sz w:val="20"/>
                    <w:szCs w:val="20"/>
                  </w:rPr>
                  <w:drawing>
                    <wp:inline distT="0" distB="0" distL="0" distR="0" wp14:anchorId="0A6700B5" wp14:editId="2C92C42C">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20"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57C8A1A" wp14:editId="65CAD12C">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21"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Pr="00F26C97" w:rsidR="009945C6" w:rsidP="0086505E" w:rsidRDefault="009945C6" w14:paraId="5AC96F4B" w14:textId="77777777">
                <w:pPr>
                  <w:pStyle w:val="Bottomblocktext"/>
                  <w:rPr>
                    <w:b/>
                    <w:bCs w:val="0"/>
                    <w:sz w:val="20"/>
                    <w:szCs w:val="20"/>
                  </w:rPr>
                </w:pPr>
                <w:r>
                  <w:rPr>
                    <w:b/>
                    <w:bCs w:val="0"/>
                    <w:noProof/>
                    <w:sz w:val="20"/>
                    <w:szCs w:val="20"/>
                  </w:rPr>
                  <w:drawing>
                    <wp:inline distT="0" distB="0" distL="0" distR="0" wp14:anchorId="30C77AFF" wp14:editId="6FC665B2">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22"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9384E6F" wp14:editId="7025BA09">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21"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9945C6" w:rsidP="0086505E" w:rsidRDefault="009945C6" w14:paraId="7CBF6F40" w14:textId="77777777">
                <w:pPr>
                  <w:pStyle w:val="Bottomblocktext"/>
                  <w:rPr>
                    <w:sz w:val="20"/>
                    <w:szCs w:val="20"/>
                  </w:rPr>
                </w:pPr>
                <w:hyperlink w:history="1" r:id="rId23">
                  <w:r w:rsidRPr="00350211">
                    <w:rPr>
                      <w:rStyle w:val="Hyperlink"/>
                      <w:sz w:val="20"/>
                      <w:szCs w:val="20"/>
                    </w:rPr>
                    <w:t>canberrahealthservices.act.gov.au/accessibility</w:t>
                  </w:r>
                </w:hyperlink>
              </w:p>
              <w:p w:rsidR="009945C6" w:rsidP="0086505E" w:rsidRDefault="009945C6" w14:paraId="571BF6BD" w14:textId="77777777">
                <w:pPr>
                  <w:pStyle w:val="Bottomblocktext"/>
                </w:pPr>
                <w:r>
                  <w:rPr>
                    <w:b/>
                    <w:bCs w:val="0"/>
                    <w:noProof/>
                  </w:rPr>
                  <w:drawing>
                    <wp:inline distT="0" distB="0" distL="0" distR="0" wp14:anchorId="725ED092" wp14:editId="3A74610F">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24"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8"/>
    </w:tbl>
    <w:p w:rsidR="009945C6" w:rsidP="009945C6" w:rsidRDefault="009945C6" w14:paraId="2C81FBE5" w14:textId="77777777">
      <w:pPr>
        <w:pStyle w:val="BodyCopy"/>
        <w:rPr>
          <w:shd w:val="clear" w:color="auto" w:fill="FFFFFF"/>
        </w:rPr>
      </w:pPr>
    </w:p>
    <w:p w:rsidRPr="0093599C" w:rsidR="00A00B85" w:rsidP="004D27D5" w:rsidRDefault="00A00B85" w14:paraId="11A93B03" w14:textId="77777777">
      <w:pPr>
        <w:pStyle w:val="BodyCopy"/>
        <w:rPr>
          <w:shd w:val="clear" w:color="auto" w:fill="FFFFFF"/>
        </w:rPr>
      </w:pPr>
    </w:p>
    <w:sectPr w:rsidRPr="0093599C" w:rsidR="00A00B85" w:rsidSect="00D05BB6">
      <w:headerReference w:type="default" r:id="rId25"/>
      <w:footerReference w:type="even" r:id="rId26"/>
      <w:footerReference w:type="default" r:id="rId27"/>
      <w:headerReference w:type="first" r:id="rId28"/>
      <w:footerReference w:type="first" r:id="rId29"/>
      <w:pgSz w:w="11906" w:h="16838" w:orient="portrait"/>
      <w:pgMar w:top="970" w:right="851" w:bottom="1418" w:left="851"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B4260" w:rsidP="00225769" w:rsidRDefault="002B4260" w14:paraId="2B8842E8" w14:textId="77777777">
      <w:pPr>
        <w:spacing w:after="0" w:line="240" w:lineRule="auto"/>
      </w:pPr>
      <w:r>
        <w:separator/>
      </w:r>
    </w:p>
    <w:p w:rsidR="002B4260" w:rsidRDefault="002B4260" w14:paraId="257B81CB" w14:textId="77777777"/>
    <w:p w:rsidR="002B4260" w:rsidRDefault="002B4260" w14:paraId="0E2F157A" w14:textId="77777777"/>
  </w:endnote>
  <w:endnote w:type="continuationSeparator" w:id="0">
    <w:p w:rsidR="002B4260" w:rsidP="00225769" w:rsidRDefault="002B4260" w14:paraId="1F270FC9" w14:textId="77777777">
      <w:pPr>
        <w:spacing w:after="0" w:line="240" w:lineRule="auto"/>
      </w:pPr>
      <w:r>
        <w:continuationSeparator/>
      </w:r>
    </w:p>
    <w:p w:rsidR="002B4260" w:rsidRDefault="002B4260" w14:paraId="3895450C" w14:textId="77777777"/>
    <w:p w:rsidR="002B4260" w:rsidRDefault="002B4260" w14:paraId="5186AB9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color="auto" w:sz="4" w:space="0"/>
      </w:tblBorders>
      <w:tblLook w:val="00A0" w:firstRow="1" w:lastRow="0" w:firstColumn="1" w:lastColumn="0" w:noHBand="0" w:noVBand="0"/>
    </w:tblPr>
    <w:tblGrid>
      <w:gridCol w:w="1515"/>
      <w:gridCol w:w="965"/>
      <w:gridCol w:w="1552"/>
      <w:gridCol w:w="1456"/>
      <w:gridCol w:w="1746"/>
      <w:gridCol w:w="1836"/>
    </w:tblGrid>
    <w:tr w:rsidRPr="006B62B4" w:rsidR="00421D62" w:rsidTr="00F9387A" w14:paraId="4E313712" w14:textId="77777777">
      <w:trPr>
        <w:jc w:val="center"/>
      </w:trPr>
      <w:tc>
        <w:tcPr>
          <w:tcW w:w="1515" w:type="dxa"/>
        </w:tcPr>
        <w:p w:rsidRPr="006B62B4" w:rsidR="00421D62" w:rsidP="00421D62" w:rsidRDefault="00421D62" w14:paraId="770EFAE3" w14:textId="77777777">
          <w:pPr>
            <w:pStyle w:val="Footer"/>
            <w:jc w:val="center"/>
            <w:rPr>
              <w:rFonts w:cs="Arial"/>
              <w:b/>
              <w:bCs/>
              <w:iCs/>
              <w:sz w:val="20"/>
              <w:szCs w:val="20"/>
            </w:rPr>
          </w:pPr>
          <w:r w:rsidRPr="006B62B4">
            <w:rPr>
              <w:rFonts w:cs="Arial"/>
              <w:b/>
              <w:bCs/>
              <w:iCs/>
              <w:sz w:val="20"/>
              <w:szCs w:val="20"/>
            </w:rPr>
            <w:t>Doc Number</w:t>
          </w:r>
        </w:p>
      </w:tc>
      <w:tc>
        <w:tcPr>
          <w:tcW w:w="965" w:type="dxa"/>
        </w:tcPr>
        <w:p w:rsidRPr="006B62B4" w:rsidR="00421D62" w:rsidP="00421D62" w:rsidRDefault="00421D62" w14:paraId="14BBCE0E" w14:textId="77777777">
          <w:pPr>
            <w:pStyle w:val="Footer"/>
            <w:jc w:val="center"/>
            <w:rPr>
              <w:rFonts w:cs="Arial"/>
              <w:b/>
              <w:bCs/>
              <w:iCs/>
              <w:sz w:val="20"/>
              <w:szCs w:val="20"/>
            </w:rPr>
          </w:pPr>
          <w:r w:rsidRPr="006B62B4">
            <w:rPr>
              <w:rFonts w:cs="Arial"/>
              <w:b/>
              <w:bCs/>
              <w:iCs/>
              <w:sz w:val="20"/>
              <w:szCs w:val="20"/>
            </w:rPr>
            <w:t>Version</w:t>
          </w:r>
        </w:p>
      </w:tc>
      <w:tc>
        <w:tcPr>
          <w:tcW w:w="1552" w:type="dxa"/>
        </w:tcPr>
        <w:p w:rsidRPr="006B62B4" w:rsidR="00421D62" w:rsidP="00421D62" w:rsidRDefault="00421D62" w14:paraId="03DC9EAB" w14:textId="77777777">
          <w:pPr>
            <w:pStyle w:val="Footer"/>
            <w:jc w:val="center"/>
            <w:rPr>
              <w:rFonts w:cs="Arial"/>
              <w:b/>
              <w:bCs/>
              <w:iCs/>
              <w:sz w:val="20"/>
              <w:szCs w:val="20"/>
            </w:rPr>
          </w:pPr>
          <w:r w:rsidRPr="006B62B4">
            <w:rPr>
              <w:rFonts w:cs="Arial"/>
              <w:b/>
              <w:bCs/>
              <w:iCs/>
              <w:sz w:val="20"/>
              <w:szCs w:val="20"/>
            </w:rPr>
            <w:t>Issued</w:t>
          </w:r>
        </w:p>
      </w:tc>
      <w:tc>
        <w:tcPr>
          <w:tcW w:w="1456" w:type="dxa"/>
        </w:tcPr>
        <w:p w:rsidRPr="006B62B4" w:rsidR="00421D62" w:rsidP="00421D62" w:rsidRDefault="00421D62" w14:paraId="41BFC6B6" w14:textId="77777777">
          <w:pPr>
            <w:pStyle w:val="Footer"/>
            <w:jc w:val="center"/>
            <w:rPr>
              <w:rFonts w:cs="Arial"/>
              <w:b/>
              <w:bCs/>
              <w:iCs/>
              <w:sz w:val="20"/>
              <w:szCs w:val="20"/>
            </w:rPr>
          </w:pPr>
          <w:r w:rsidRPr="006B62B4">
            <w:rPr>
              <w:rFonts w:cs="Arial"/>
              <w:b/>
              <w:bCs/>
              <w:iCs/>
              <w:sz w:val="20"/>
              <w:szCs w:val="20"/>
            </w:rPr>
            <w:t>Review Date</w:t>
          </w:r>
        </w:p>
      </w:tc>
      <w:tc>
        <w:tcPr>
          <w:tcW w:w="1746" w:type="dxa"/>
        </w:tcPr>
        <w:p w:rsidRPr="006B62B4" w:rsidR="00421D62" w:rsidP="00421D62" w:rsidRDefault="00421D62" w14:paraId="7536FD9E" w14:textId="77777777">
          <w:pPr>
            <w:pStyle w:val="Footer"/>
            <w:jc w:val="center"/>
            <w:rPr>
              <w:rFonts w:cs="Arial"/>
              <w:b/>
              <w:bCs/>
              <w:iCs/>
              <w:sz w:val="20"/>
              <w:szCs w:val="20"/>
            </w:rPr>
          </w:pPr>
          <w:r w:rsidRPr="006B62B4">
            <w:rPr>
              <w:rFonts w:cs="Arial"/>
              <w:b/>
              <w:bCs/>
              <w:iCs/>
              <w:sz w:val="20"/>
              <w:szCs w:val="20"/>
            </w:rPr>
            <w:t xml:space="preserve">Area </w:t>
          </w:r>
        </w:p>
      </w:tc>
      <w:tc>
        <w:tcPr>
          <w:tcW w:w="1836" w:type="dxa"/>
        </w:tcPr>
        <w:p w:rsidRPr="006B62B4" w:rsidR="00421D62" w:rsidP="00421D62" w:rsidRDefault="00421D62" w14:paraId="59AC9DDE" w14:textId="77777777">
          <w:pPr>
            <w:pStyle w:val="Footer"/>
            <w:jc w:val="center"/>
            <w:rPr>
              <w:rFonts w:cs="Arial"/>
              <w:b/>
              <w:bCs/>
              <w:iCs/>
              <w:sz w:val="20"/>
              <w:szCs w:val="20"/>
            </w:rPr>
          </w:pPr>
          <w:r w:rsidRPr="006B62B4">
            <w:rPr>
              <w:rFonts w:cs="Arial"/>
              <w:b/>
              <w:bCs/>
              <w:iCs/>
              <w:sz w:val="20"/>
              <w:szCs w:val="20"/>
            </w:rPr>
            <w:t>Page</w:t>
          </w:r>
        </w:p>
      </w:tc>
    </w:tr>
    <w:tr w:rsidRPr="006B62B4" w:rsidR="00421D62" w:rsidTr="00F9387A" w14:paraId="2F647DAB" w14:textId="77777777">
      <w:trPr>
        <w:jc w:val="center"/>
      </w:trPr>
      <w:tc>
        <w:tcPr>
          <w:tcW w:w="1515" w:type="dxa"/>
        </w:tcPr>
        <w:p w:rsidRPr="006B62B4" w:rsidR="00421D62" w:rsidP="00421D62" w:rsidRDefault="00421D62" w14:paraId="511A9D2E" w14:textId="77777777">
          <w:pPr>
            <w:pStyle w:val="Footer"/>
            <w:jc w:val="center"/>
            <w:rPr>
              <w:rFonts w:cs="Arial"/>
              <w:b/>
              <w:bCs/>
              <w:iCs/>
              <w:sz w:val="20"/>
              <w:szCs w:val="20"/>
            </w:rPr>
          </w:pPr>
          <w:r w:rsidRPr="006B62B4">
            <w:rPr>
              <w:b/>
              <w:iCs/>
              <w:sz w:val="20"/>
              <w:szCs w:val="20"/>
            </w:rPr>
            <w:t>&lt;xxxx/xxx&gt;</w:t>
          </w:r>
        </w:p>
      </w:tc>
      <w:tc>
        <w:tcPr>
          <w:tcW w:w="965" w:type="dxa"/>
        </w:tcPr>
        <w:p w:rsidRPr="006B62B4" w:rsidR="00421D62" w:rsidP="00421D62" w:rsidRDefault="00421D62" w14:paraId="050CE048" w14:textId="77777777">
          <w:pPr>
            <w:pStyle w:val="Footer"/>
            <w:jc w:val="center"/>
            <w:rPr>
              <w:rFonts w:cs="Arial"/>
              <w:b/>
              <w:bCs/>
              <w:iCs/>
              <w:sz w:val="20"/>
              <w:szCs w:val="20"/>
            </w:rPr>
          </w:pPr>
          <w:r>
            <w:rPr>
              <w:rFonts w:cs="Arial"/>
              <w:b/>
              <w:bCs/>
              <w:iCs/>
              <w:sz w:val="20"/>
              <w:szCs w:val="20"/>
            </w:rPr>
            <w:t>x</w:t>
          </w:r>
        </w:p>
      </w:tc>
      <w:tc>
        <w:tcPr>
          <w:tcW w:w="1552" w:type="dxa"/>
        </w:tcPr>
        <w:p w:rsidRPr="006B62B4" w:rsidR="00421D62" w:rsidP="00421D62" w:rsidRDefault="00421D62" w14:paraId="5A04D337" w14:textId="77777777">
          <w:pPr>
            <w:pStyle w:val="Footer"/>
            <w:jc w:val="center"/>
            <w:rPr>
              <w:rFonts w:cs="Arial"/>
              <w:b/>
              <w:bCs/>
              <w:iCs/>
              <w:sz w:val="20"/>
              <w:szCs w:val="20"/>
            </w:rPr>
          </w:pPr>
          <w:r w:rsidRPr="006B62B4">
            <w:rPr>
              <w:rFonts w:cs="Arial"/>
              <w:b/>
              <w:bCs/>
              <w:iCs/>
              <w:sz w:val="20"/>
              <w:szCs w:val="20"/>
            </w:rPr>
            <w:t>&lt;</w:t>
          </w:r>
          <w:r>
            <w:rPr>
              <w:rFonts w:cs="Arial"/>
              <w:b/>
              <w:bCs/>
              <w:iCs/>
              <w:sz w:val="20"/>
              <w:szCs w:val="20"/>
            </w:rPr>
            <w:t>xx</w:t>
          </w:r>
          <w:r w:rsidRPr="006B62B4">
            <w:rPr>
              <w:rFonts w:cs="Arial"/>
              <w:b/>
              <w:bCs/>
              <w:iCs/>
              <w:sz w:val="20"/>
              <w:szCs w:val="20"/>
            </w:rPr>
            <w:t>/</w:t>
          </w:r>
          <w:r>
            <w:rPr>
              <w:rFonts w:cs="Arial"/>
              <w:b/>
              <w:bCs/>
              <w:iCs/>
              <w:sz w:val="20"/>
              <w:szCs w:val="20"/>
            </w:rPr>
            <w:t>xx</w:t>
          </w:r>
          <w:r w:rsidRPr="006B62B4">
            <w:rPr>
              <w:rFonts w:cs="Arial"/>
              <w:b/>
              <w:bCs/>
              <w:iCs/>
              <w:sz w:val="20"/>
              <w:szCs w:val="20"/>
            </w:rPr>
            <w:t>/</w:t>
          </w:r>
          <w:r>
            <w:rPr>
              <w:rFonts w:cs="Arial"/>
              <w:b/>
              <w:bCs/>
              <w:iCs/>
              <w:sz w:val="20"/>
              <w:szCs w:val="20"/>
            </w:rPr>
            <w:t>xxxx</w:t>
          </w:r>
          <w:r w:rsidRPr="006B62B4">
            <w:rPr>
              <w:rFonts w:cs="Arial"/>
              <w:b/>
              <w:bCs/>
              <w:iCs/>
              <w:sz w:val="20"/>
              <w:szCs w:val="20"/>
            </w:rPr>
            <w:t>&gt;</w:t>
          </w:r>
        </w:p>
      </w:tc>
      <w:tc>
        <w:tcPr>
          <w:tcW w:w="1456" w:type="dxa"/>
        </w:tcPr>
        <w:p w:rsidRPr="006B62B4" w:rsidR="00421D62" w:rsidP="00421D62" w:rsidRDefault="00421D62" w14:paraId="0627D381" w14:textId="77777777">
          <w:pPr>
            <w:pStyle w:val="Footer"/>
            <w:jc w:val="center"/>
            <w:rPr>
              <w:rFonts w:cs="Arial"/>
              <w:b/>
              <w:bCs/>
              <w:iCs/>
              <w:sz w:val="20"/>
              <w:szCs w:val="20"/>
            </w:rPr>
          </w:pPr>
          <w:r w:rsidRPr="006B62B4">
            <w:rPr>
              <w:rFonts w:cs="Arial"/>
              <w:b/>
              <w:bCs/>
              <w:iCs/>
              <w:sz w:val="20"/>
              <w:szCs w:val="20"/>
            </w:rPr>
            <w:t>&lt;</w:t>
          </w:r>
          <w:r>
            <w:rPr>
              <w:rFonts w:cs="Arial"/>
              <w:b/>
              <w:bCs/>
              <w:iCs/>
              <w:sz w:val="20"/>
              <w:szCs w:val="20"/>
            </w:rPr>
            <w:t>xx</w:t>
          </w:r>
          <w:r w:rsidRPr="006B62B4">
            <w:rPr>
              <w:rFonts w:cs="Arial"/>
              <w:b/>
              <w:bCs/>
              <w:iCs/>
              <w:sz w:val="20"/>
              <w:szCs w:val="20"/>
            </w:rPr>
            <w:t>/</w:t>
          </w:r>
          <w:r>
            <w:rPr>
              <w:rFonts w:cs="Arial"/>
              <w:b/>
              <w:bCs/>
              <w:iCs/>
              <w:sz w:val="20"/>
              <w:szCs w:val="20"/>
            </w:rPr>
            <w:t>xx</w:t>
          </w:r>
          <w:r w:rsidRPr="006B62B4">
            <w:rPr>
              <w:rFonts w:cs="Arial"/>
              <w:b/>
              <w:bCs/>
              <w:iCs/>
              <w:sz w:val="20"/>
              <w:szCs w:val="20"/>
            </w:rPr>
            <w:t>/</w:t>
          </w:r>
          <w:r>
            <w:rPr>
              <w:rFonts w:cs="Arial"/>
              <w:b/>
              <w:bCs/>
              <w:iCs/>
              <w:sz w:val="20"/>
              <w:szCs w:val="20"/>
            </w:rPr>
            <w:t>xxxx</w:t>
          </w:r>
          <w:r w:rsidRPr="006B62B4">
            <w:rPr>
              <w:rFonts w:cs="Arial"/>
              <w:b/>
              <w:bCs/>
              <w:iCs/>
              <w:sz w:val="20"/>
              <w:szCs w:val="20"/>
            </w:rPr>
            <w:t>&gt;</w:t>
          </w:r>
        </w:p>
      </w:tc>
      <w:tc>
        <w:tcPr>
          <w:tcW w:w="1746" w:type="dxa"/>
        </w:tcPr>
        <w:p w:rsidRPr="006B62B4" w:rsidR="00421D62" w:rsidP="00421D62" w:rsidRDefault="00421D62" w14:paraId="40E9AC44" w14:textId="77777777">
          <w:pPr>
            <w:pStyle w:val="Footer"/>
            <w:jc w:val="center"/>
            <w:rPr>
              <w:rFonts w:cs="Arial"/>
              <w:b/>
              <w:bCs/>
              <w:iCs/>
              <w:sz w:val="20"/>
              <w:szCs w:val="20"/>
            </w:rPr>
          </w:pPr>
          <w:r>
            <w:rPr>
              <w:rFonts w:cs="Arial"/>
              <w:b/>
              <w:bCs/>
              <w:iCs/>
              <w:sz w:val="20"/>
              <w:szCs w:val="20"/>
            </w:rPr>
            <w:t>xxx</w:t>
          </w:r>
        </w:p>
      </w:tc>
      <w:tc>
        <w:tcPr>
          <w:tcW w:w="1836" w:type="dxa"/>
        </w:tcPr>
        <w:p w:rsidRPr="006B62B4" w:rsidR="00421D62" w:rsidP="00421D62" w:rsidRDefault="00421D62" w14:paraId="5F829394" w14:textId="77777777">
          <w:pPr>
            <w:pStyle w:val="Footer"/>
            <w:jc w:val="center"/>
            <w:rPr>
              <w:iCs/>
              <w:sz w:val="20"/>
              <w:szCs w:val="20"/>
            </w:rPr>
          </w:pPr>
          <w:r w:rsidRPr="006B62B4">
            <w:rPr>
              <w:rStyle w:val="PageNumber"/>
              <w:iCs/>
              <w:sz w:val="20"/>
              <w:szCs w:val="20"/>
            </w:rPr>
            <w:fldChar w:fldCharType="begin"/>
          </w:r>
          <w:r w:rsidRPr="006B62B4">
            <w:rPr>
              <w:rStyle w:val="PageNumber"/>
              <w:iCs/>
              <w:sz w:val="20"/>
              <w:szCs w:val="20"/>
            </w:rPr>
            <w:instrText xml:space="preserve"> PAGE </w:instrText>
          </w:r>
          <w:r w:rsidRPr="006B62B4">
            <w:rPr>
              <w:rStyle w:val="PageNumber"/>
              <w:iCs/>
              <w:sz w:val="20"/>
              <w:szCs w:val="20"/>
            </w:rPr>
            <w:fldChar w:fldCharType="separate"/>
          </w:r>
          <w:r>
            <w:rPr>
              <w:rStyle w:val="PageNumber"/>
              <w:iCs/>
              <w:sz w:val="20"/>
              <w:szCs w:val="20"/>
            </w:rPr>
            <w:t>1</w:t>
          </w:r>
          <w:r w:rsidRPr="006B62B4">
            <w:rPr>
              <w:rStyle w:val="PageNumber"/>
              <w:iCs/>
              <w:sz w:val="20"/>
              <w:szCs w:val="20"/>
            </w:rPr>
            <w:fldChar w:fldCharType="end"/>
          </w:r>
          <w:r w:rsidRPr="006B62B4">
            <w:rPr>
              <w:rStyle w:val="PageNumber"/>
              <w:iCs/>
              <w:sz w:val="20"/>
              <w:szCs w:val="20"/>
            </w:rPr>
            <w:t xml:space="preserve"> of </w:t>
          </w:r>
          <w:r w:rsidRPr="006B62B4">
            <w:rPr>
              <w:rStyle w:val="PageNumber"/>
              <w:iCs/>
              <w:sz w:val="20"/>
              <w:szCs w:val="20"/>
            </w:rPr>
            <w:fldChar w:fldCharType="begin"/>
          </w:r>
          <w:r w:rsidRPr="006B62B4">
            <w:rPr>
              <w:rStyle w:val="PageNumber"/>
              <w:iCs/>
              <w:sz w:val="20"/>
              <w:szCs w:val="20"/>
            </w:rPr>
            <w:instrText xml:space="preserve"> NUMPAGES </w:instrText>
          </w:r>
          <w:r w:rsidRPr="006B62B4">
            <w:rPr>
              <w:rStyle w:val="PageNumber"/>
              <w:iCs/>
              <w:sz w:val="20"/>
              <w:szCs w:val="20"/>
            </w:rPr>
            <w:fldChar w:fldCharType="separate"/>
          </w:r>
          <w:r>
            <w:rPr>
              <w:rStyle w:val="PageNumber"/>
              <w:iCs/>
              <w:sz w:val="20"/>
              <w:szCs w:val="20"/>
            </w:rPr>
            <w:t>4</w:t>
          </w:r>
          <w:r w:rsidRPr="006B62B4">
            <w:rPr>
              <w:rStyle w:val="PageNumber"/>
              <w:iCs/>
              <w:sz w:val="20"/>
              <w:szCs w:val="20"/>
            </w:rPr>
            <w:fldChar w:fldCharType="end"/>
          </w:r>
        </w:p>
      </w:tc>
    </w:tr>
  </w:tbl>
  <w:p w:rsidR="00421D62" w:rsidP="00421D62" w:rsidRDefault="00421D62" w14:paraId="3D35C7FD" w14:textId="77777777">
    <w:pPr>
      <w:pStyle w:val="Footer"/>
      <w:jc w:val="center"/>
    </w:pPr>
    <w:r>
      <w:rPr>
        <w:iCs/>
        <w:sz w:val="16"/>
        <w:szCs w:val="16"/>
      </w:rPr>
      <w:br/>
    </w:r>
    <w:r w:rsidRPr="006B62B4">
      <w:rPr>
        <w:iCs/>
        <w:sz w:val="16"/>
        <w:szCs w:val="16"/>
      </w:rPr>
      <w:t xml:space="preserve">Do not refer to a </w:t>
    </w:r>
    <w:r w:rsidRPr="006B62B4" w:rsidR="0093599C">
      <w:rPr>
        <w:iCs/>
        <w:sz w:val="16"/>
        <w:szCs w:val="16"/>
      </w:rPr>
      <w:t>paper-based</w:t>
    </w:r>
    <w:r w:rsidRPr="006B62B4">
      <w:rPr>
        <w:iCs/>
        <w:sz w:val="16"/>
        <w:szCs w:val="16"/>
      </w:rPr>
      <w:t xml:space="preserve">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color="auto" w:sz="4" w:space="0"/>
      </w:tblBorders>
      <w:tblLook w:val="00A0" w:firstRow="1" w:lastRow="0" w:firstColumn="1" w:lastColumn="0" w:noHBand="0" w:noVBand="0"/>
    </w:tblPr>
    <w:tblGrid>
      <w:gridCol w:w="1515"/>
      <w:gridCol w:w="965"/>
      <w:gridCol w:w="1552"/>
      <w:gridCol w:w="1456"/>
      <w:gridCol w:w="2309"/>
      <w:gridCol w:w="1273"/>
    </w:tblGrid>
    <w:tr w:rsidRPr="006B62B4" w:rsidR="00421D62" w:rsidTr="0087074A" w14:paraId="5350E9EB" w14:textId="77777777">
      <w:trPr>
        <w:jc w:val="center"/>
      </w:trPr>
      <w:tc>
        <w:tcPr>
          <w:tcW w:w="1515" w:type="dxa"/>
        </w:tcPr>
        <w:p w:rsidRPr="006B62B4" w:rsidR="00421D62" w:rsidP="00421D62" w:rsidRDefault="00421D62" w14:paraId="3E387562" w14:textId="77777777">
          <w:pPr>
            <w:pStyle w:val="Footer"/>
            <w:jc w:val="center"/>
            <w:rPr>
              <w:rFonts w:cs="Arial"/>
              <w:b/>
              <w:bCs/>
              <w:iCs/>
              <w:sz w:val="20"/>
              <w:szCs w:val="20"/>
            </w:rPr>
          </w:pPr>
          <w:r w:rsidRPr="006B62B4">
            <w:rPr>
              <w:rFonts w:cs="Arial"/>
              <w:b/>
              <w:bCs/>
              <w:iCs/>
              <w:sz w:val="20"/>
              <w:szCs w:val="20"/>
            </w:rPr>
            <w:t xml:space="preserve">Doc </w:t>
          </w:r>
          <w:r w:rsidR="00CC0422">
            <w:rPr>
              <w:rFonts w:cs="Arial"/>
              <w:b/>
              <w:bCs/>
              <w:iCs/>
              <w:sz w:val="20"/>
              <w:szCs w:val="20"/>
            </w:rPr>
            <w:t>n</w:t>
          </w:r>
          <w:r w:rsidRPr="006B62B4">
            <w:rPr>
              <w:rFonts w:cs="Arial"/>
              <w:b/>
              <w:bCs/>
              <w:iCs/>
              <w:sz w:val="20"/>
              <w:szCs w:val="20"/>
            </w:rPr>
            <w:t>umber</w:t>
          </w:r>
        </w:p>
      </w:tc>
      <w:tc>
        <w:tcPr>
          <w:tcW w:w="965" w:type="dxa"/>
        </w:tcPr>
        <w:p w:rsidRPr="006B62B4" w:rsidR="00421D62" w:rsidP="00421D62" w:rsidRDefault="00421D62" w14:paraId="16FC1169" w14:textId="77777777">
          <w:pPr>
            <w:pStyle w:val="Footer"/>
            <w:jc w:val="center"/>
            <w:rPr>
              <w:rFonts w:cs="Arial"/>
              <w:b/>
              <w:bCs/>
              <w:iCs/>
              <w:sz w:val="20"/>
              <w:szCs w:val="20"/>
            </w:rPr>
          </w:pPr>
          <w:r w:rsidRPr="006B62B4">
            <w:rPr>
              <w:rFonts w:cs="Arial"/>
              <w:b/>
              <w:bCs/>
              <w:iCs/>
              <w:sz w:val="20"/>
              <w:szCs w:val="20"/>
            </w:rPr>
            <w:t>Version</w:t>
          </w:r>
        </w:p>
      </w:tc>
      <w:tc>
        <w:tcPr>
          <w:tcW w:w="1552" w:type="dxa"/>
        </w:tcPr>
        <w:p w:rsidRPr="006B62B4" w:rsidR="00421D62" w:rsidP="00421D62" w:rsidRDefault="00421D62" w14:paraId="5F34B6B2" w14:textId="77777777">
          <w:pPr>
            <w:pStyle w:val="Footer"/>
            <w:jc w:val="center"/>
            <w:rPr>
              <w:rFonts w:cs="Arial"/>
              <w:b/>
              <w:bCs/>
              <w:iCs/>
              <w:sz w:val="20"/>
              <w:szCs w:val="20"/>
            </w:rPr>
          </w:pPr>
          <w:r w:rsidRPr="006B62B4">
            <w:rPr>
              <w:rFonts w:cs="Arial"/>
              <w:b/>
              <w:bCs/>
              <w:iCs/>
              <w:sz w:val="20"/>
              <w:szCs w:val="20"/>
            </w:rPr>
            <w:t>Issued</w:t>
          </w:r>
        </w:p>
      </w:tc>
      <w:tc>
        <w:tcPr>
          <w:tcW w:w="1456" w:type="dxa"/>
        </w:tcPr>
        <w:p w:rsidRPr="006B62B4" w:rsidR="00421D62" w:rsidP="00421D62" w:rsidRDefault="00421D62" w14:paraId="0451A46F" w14:textId="77777777">
          <w:pPr>
            <w:pStyle w:val="Footer"/>
            <w:jc w:val="center"/>
            <w:rPr>
              <w:rFonts w:cs="Arial"/>
              <w:b/>
              <w:bCs/>
              <w:iCs/>
              <w:sz w:val="20"/>
              <w:szCs w:val="20"/>
            </w:rPr>
          </w:pPr>
          <w:r w:rsidRPr="006B62B4">
            <w:rPr>
              <w:rFonts w:cs="Arial"/>
              <w:b/>
              <w:bCs/>
              <w:iCs/>
              <w:sz w:val="20"/>
              <w:szCs w:val="20"/>
            </w:rPr>
            <w:t xml:space="preserve">Review </w:t>
          </w:r>
          <w:r w:rsidR="00CC0422">
            <w:rPr>
              <w:rFonts w:cs="Arial"/>
              <w:b/>
              <w:bCs/>
              <w:iCs/>
              <w:sz w:val="20"/>
              <w:szCs w:val="20"/>
            </w:rPr>
            <w:t>d</w:t>
          </w:r>
          <w:r w:rsidRPr="006B62B4">
            <w:rPr>
              <w:rFonts w:cs="Arial"/>
              <w:b/>
              <w:bCs/>
              <w:iCs/>
              <w:sz w:val="20"/>
              <w:szCs w:val="20"/>
            </w:rPr>
            <w:t>ate</w:t>
          </w:r>
        </w:p>
      </w:tc>
      <w:tc>
        <w:tcPr>
          <w:tcW w:w="2309" w:type="dxa"/>
        </w:tcPr>
        <w:p w:rsidRPr="006B62B4" w:rsidR="00421D62" w:rsidP="00421D62" w:rsidRDefault="00421D62" w14:paraId="4B1DDAAA" w14:textId="77777777">
          <w:pPr>
            <w:pStyle w:val="Footer"/>
            <w:jc w:val="center"/>
            <w:rPr>
              <w:rFonts w:cs="Arial"/>
              <w:b/>
              <w:bCs/>
              <w:iCs/>
              <w:sz w:val="20"/>
              <w:szCs w:val="20"/>
            </w:rPr>
          </w:pPr>
          <w:r w:rsidRPr="006B62B4">
            <w:rPr>
              <w:rFonts w:cs="Arial"/>
              <w:b/>
              <w:bCs/>
              <w:iCs/>
              <w:sz w:val="20"/>
              <w:szCs w:val="20"/>
            </w:rPr>
            <w:t xml:space="preserve">Area </w:t>
          </w:r>
        </w:p>
      </w:tc>
      <w:tc>
        <w:tcPr>
          <w:tcW w:w="1273" w:type="dxa"/>
        </w:tcPr>
        <w:p w:rsidRPr="006B62B4" w:rsidR="00421D62" w:rsidP="00421D62" w:rsidRDefault="00421D62" w14:paraId="535A8944" w14:textId="77777777">
          <w:pPr>
            <w:pStyle w:val="Footer"/>
            <w:jc w:val="center"/>
            <w:rPr>
              <w:rFonts w:cs="Arial"/>
              <w:b/>
              <w:bCs/>
              <w:iCs/>
              <w:sz w:val="20"/>
              <w:szCs w:val="20"/>
            </w:rPr>
          </w:pPr>
          <w:r w:rsidRPr="006B62B4">
            <w:rPr>
              <w:rFonts w:cs="Arial"/>
              <w:b/>
              <w:bCs/>
              <w:iCs/>
              <w:sz w:val="20"/>
              <w:szCs w:val="20"/>
            </w:rPr>
            <w:t>Page</w:t>
          </w:r>
        </w:p>
      </w:tc>
    </w:tr>
    <w:tr w:rsidRPr="006B62B4" w:rsidR="00421D62" w:rsidTr="0087074A" w14:paraId="5DAADDBD" w14:textId="77777777">
      <w:trPr>
        <w:jc w:val="center"/>
      </w:trPr>
      <w:tc>
        <w:tcPr>
          <w:tcW w:w="1515" w:type="dxa"/>
        </w:tcPr>
        <w:p w:rsidRPr="0093599C" w:rsidR="00421D62" w:rsidP="00421D62" w:rsidRDefault="0087074A" w14:paraId="622AABA5" w14:textId="1B0ECA79">
          <w:pPr>
            <w:pStyle w:val="Footer"/>
            <w:jc w:val="center"/>
            <w:rPr>
              <w:rFonts w:cs="Arial"/>
              <w:bCs/>
              <w:iCs/>
              <w:sz w:val="20"/>
              <w:szCs w:val="20"/>
            </w:rPr>
          </w:pPr>
          <w:r>
            <w:rPr>
              <w:rFonts w:cs="Arial"/>
              <w:bCs/>
              <w:iCs/>
              <w:sz w:val="20"/>
              <w:szCs w:val="20"/>
            </w:rPr>
            <w:t>CHS26/159</w:t>
          </w:r>
        </w:p>
      </w:tc>
      <w:tc>
        <w:tcPr>
          <w:tcW w:w="965" w:type="dxa"/>
        </w:tcPr>
        <w:p w:rsidRPr="0093599C" w:rsidR="00421D62" w:rsidP="00421D62" w:rsidRDefault="0087074A" w14:paraId="1A07B987" w14:textId="6AF214DF">
          <w:pPr>
            <w:pStyle w:val="Footer"/>
            <w:jc w:val="center"/>
            <w:rPr>
              <w:rFonts w:cs="Arial"/>
              <w:bCs/>
              <w:iCs/>
              <w:sz w:val="20"/>
              <w:szCs w:val="20"/>
            </w:rPr>
          </w:pPr>
          <w:r>
            <w:rPr>
              <w:rFonts w:cs="Arial"/>
              <w:bCs/>
              <w:iCs/>
              <w:sz w:val="20"/>
              <w:szCs w:val="20"/>
            </w:rPr>
            <w:t>1</w:t>
          </w:r>
        </w:p>
      </w:tc>
      <w:tc>
        <w:tcPr>
          <w:tcW w:w="1552" w:type="dxa"/>
        </w:tcPr>
        <w:p w:rsidRPr="0093599C" w:rsidR="00421D62" w:rsidP="00421D62" w:rsidRDefault="0087074A" w14:paraId="356528B1" w14:textId="2BE37987">
          <w:pPr>
            <w:pStyle w:val="Footer"/>
            <w:jc w:val="center"/>
            <w:rPr>
              <w:rFonts w:cs="Arial"/>
              <w:bCs/>
              <w:iCs/>
              <w:sz w:val="20"/>
              <w:szCs w:val="20"/>
            </w:rPr>
          </w:pPr>
          <w:r>
            <w:rPr>
              <w:rFonts w:cs="Arial"/>
              <w:bCs/>
              <w:iCs/>
              <w:sz w:val="20"/>
              <w:szCs w:val="20"/>
            </w:rPr>
            <w:t>29/05/2026</w:t>
          </w:r>
        </w:p>
      </w:tc>
      <w:tc>
        <w:tcPr>
          <w:tcW w:w="1456" w:type="dxa"/>
        </w:tcPr>
        <w:p w:rsidRPr="0093599C" w:rsidR="00421D62" w:rsidP="00421D62" w:rsidRDefault="0087074A" w14:paraId="04D6CE12" w14:textId="4EDE7D15">
          <w:pPr>
            <w:pStyle w:val="Footer"/>
            <w:jc w:val="center"/>
            <w:rPr>
              <w:rFonts w:cs="Arial"/>
              <w:bCs/>
              <w:iCs/>
              <w:sz w:val="20"/>
              <w:szCs w:val="20"/>
            </w:rPr>
          </w:pPr>
          <w:r>
            <w:rPr>
              <w:rFonts w:cs="Arial"/>
              <w:bCs/>
              <w:iCs/>
              <w:sz w:val="20"/>
              <w:szCs w:val="20"/>
            </w:rPr>
            <w:t>01/06/2029</w:t>
          </w:r>
        </w:p>
      </w:tc>
      <w:tc>
        <w:tcPr>
          <w:tcW w:w="2309" w:type="dxa"/>
        </w:tcPr>
        <w:p w:rsidRPr="0093599C" w:rsidR="00421D62" w:rsidP="00421D62" w:rsidRDefault="0087074A" w14:paraId="3FAC2BC1" w14:textId="7EEB776C">
          <w:pPr>
            <w:pStyle w:val="Footer"/>
            <w:jc w:val="center"/>
            <w:rPr>
              <w:rFonts w:cs="Arial"/>
              <w:bCs/>
              <w:iCs/>
              <w:sz w:val="20"/>
              <w:szCs w:val="20"/>
            </w:rPr>
          </w:pPr>
          <w:r>
            <w:rPr>
              <w:rFonts w:cs="Arial"/>
              <w:bCs/>
              <w:iCs/>
              <w:sz w:val="20"/>
              <w:szCs w:val="20"/>
            </w:rPr>
            <w:t>CH WY&amp;C - Neonatology</w:t>
          </w:r>
        </w:p>
      </w:tc>
      <w:tc>
        <w:tcPr>
          <w:tcW w:w="1273" w:type="dxa"/>
        </w:tcPr>
        <w:p w:rsidRPr="0093599C" w:rsidR="00421D62" w:rsidP="00421D62" w:rsidRDefault="00421D62" w14:paraId="4B177330" w14:textId="77777777">
          <w:pPr>
            <w:pStyle w:val="Footer"/>
            <w:jc w:val="center"/>
            <w:rPr>
              <w:bCs/>
              <w:iCs/>
              <w:sz w:val="20"/>
              <w:szCs w:val="20"/>
            </w:rPr>
          </w:pPr>
          <w:r w:rsidRPr="0093599C">
            <w:rPr>
              <w:rStyle w:val="PageNumber"/>
              <w:bCs/>
              <w:iCs/>
              <w:sz w:val="20"/>
              <w:szCs w:val="20"/>
            </w:rPr>
            <w:fldChar w:fldCharType="begin"/>
          </w:r>
          <w:r w:rsidRPr="0093599C">
            <w:rPr>
              <w:rStyle w:val="PageNumber"/>
              <w:bCs/>
              <w:iCs/>
              <w:sz w:val="20"/>
              <w:szCs w:val="20"/>
            </w:rPr>
            <w:instrText xml:space="preserve"> PAGE </w:instrText>
          </w:r>
          <w:r w:rsidRPr="0093599C">
            <w:rPr>
              <w:rStyle w:val="PageNumber"/>
              <w:bCs/>
              <w:iCs/>
              <w:sz w:val="20"/>
              <w:szCs w:val="20"/>
            </w:rPr>
            <w:fldChar w:fldCharType="separate"/>
          </w:r>
          <w:r w:rsidRPr="0093599C">
            <w:rPr>
              <w:rStyle w:val="PageNumber"/>
              <w:bCs/>
              <w:iCs/>
              <w:sz w:val="20"/>
              <w:szCs w:val="20"/>
            </w:rPr>
            <w:t>1</w:t>
          </w:r>
          <w:r w:rsidRPr="0093599C">
            <w:rPr>
              <w:rStyle w:val="PageNumber"/>
              <w:bCs/>
              <w:iCs/>
              <w:sz w:val="20"/>
              <w:szCs w:val="20"/>
            </w:rPr>
            <w:fldChar w:fldCharType="end"/>
          </w:r>
          <w:r w:rsidRPr="0093599C">
            <w:rPr>
              <w:rStyle w:val="PageNumber"/>
              <w:bCs/>
              <w:iCs/>
              <w:sz w:val="20"/>
              <w:szCs w:val="20"/>
            </w:rPr>
            <w:t xml:space="preserve"> of </w:t>
          </w:r>
          <w:r w:rsidRPr="0093599C">
            <w:rPr>
              <w:rStyle w:val="PageNumber"/>
              <w:bCs/>
              <w:iCs/>
              <w:sz w:val="20"/>
              <w:szCs w:val="20"/>
            </w:rPr>
            <w:fldChar w:fldCharType="begin"/>
          </w:r>
          <w:r w:rsidRPr="0093599C">
            <w:rPr>
              <w:rStyle w:val="PageNumber"/>
              <w:bCs/>
              <w:iCs/>
              <w:sz w:val="20"/>
              <w:szCs w:val="20"/>
            </w:rPr>
            <w:instrText xml:space="preserve"> NUMPAGES </w:instrText>
          </w:r>
          <w:r w:rsidRPr="0093599C">
            <w:rPr>
              <w:rStyle w:val="PageNumber"/>
              <w:bCs/>
              <w:iCs/>
              <w:sz w:val="20"/>
              <w:szCs w:val="20"/>
            </w:rPr>
            <w:fldChar w:fldCharType="separate"/>
          </w:r>
          <w:r w:rsidRPr="0093599C">
            <w:rPr>
              <w:rStyle w:val="PageNumber"/>
              <w:bCs/>
              <w:iCs/>
              <w:sz w:val="20"/>
              <w:szCs w:val="20"/>
            </w:rPr>
            <w:t>4</w:t>
          </w:r>
          <w:r w:rsidRPr="0093599C">
            <w:rPr>
              <w:rStyle w:val="PageNumber"/>
              <w:bCs/>
              <w:iCs/>
              <w:sz w:val="20"/>
              <w:szCs w:val="20"/>
            </w:rPr>
            <w:fldChar w:fldCharType="end"/>
          </w:r>
        </w:p>
      </w:tc>
    </w:tr>
  </w:tbl>
  <w:p w:rsidRPr="00421D62" w:rsidR="00885A76" w:rsidP="00421D62" w:rsidRDefault="00421D62" w14:paraId="7F098BAD" w14:textId="77777777">
    <w:pPr>
      <w:pStyle w:val="Footer"/>
      <w:jc w:val="center"/>
    </w:pPr>
    <w:r>
      <w:rPr>
        <w:iCs/>
        <w:sz w:val="16"/>
        <w:szCs w:val="16"/>
      </w:rPr>
      <w:br/>
    </w:r>
    <w:r w:rsidRPr="006B62B4">
      <w:rPr>
        <w:iCs/>
        <w:sz w:val="16"/>
        <w:szCs w:val="16"/>
      </w:rPr>
      <w:t xml:space="preserve">Do not refer to a </w:t>
    </w:r>
    <w:r w:rsidRPr="006B62B4" w:rsidR="0093599C">
      <w:rPr>
        <w:iCs/>
        <w:sz w:val="16"/>
        <w:szCs w:val="16"/>
      </w:rPr>
      <w:t>paper-based</w:t>
    </w:r>
    <w:r w:rsidRPr="006B62B4">
      <w:rPr>
        <w:iCs/>
        <w:sz w:val="16"/>
        <w:szCs w:val="16"/>
      </w:rPr>
      <w:t xml:space="preserve"> copy of this policy document. The most current version can be found on the CHS Policy Register</w:t>
    </w:r>
    <w:r>
      <w:rPr>
        <w:iCs/>
        <w:sz w:val="16"/>
        <w:szCs w:val="16"/>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color="auto" w:sz="4" w:space="0"/>
      </w:tblBorders>
      <w:tblLook w:val="00A0" w:firstRow="1" w:lastRow="0" w:firstColumn="1" w:lastColumn="0" w:noHBand="0" w:noVBand="0"/>
    </w:tblPr>
    <w:tblGrid>
      <w:gridCol w:w="1515"/>
      <w:gridCol w:w="965"/>
      <w:gridCol w:w="1552"/>
      <w:gridCol w:w="1456"/>
      <w:gridCol w:w="2450"/>
      <w:gridCol w:w="1132"/>
    </w:tblGrid>
    <w:tr w:rsidRPr="006B62B4" w:rsidR="006B62B4" w:rsidTr="0087074A" w14:paraId="3A25B1C0" w14:textId="77777777">
      <w:trPr>
        <w:jc w:val="center"/>
      </w:trPr>
      <w:tc>
        <w:tcPr>
          <w:tcW w:w="1515" w:type="dxa"/>
        </w:tcPr>
        <w:p w:rsidRPr="006B62B4" w:rsidR="006B62B4" w:rsidP="00421D62" w:rsidRDefault="006B62B4" w14:paraId="1BD99534" w14:textId="77777777">
          <w:pPr>
            <w:pStyle w:val="Footer"/>
            <w:jc w:val="center"/>
            <w:rPr>
              <w:rFonts w:cs="Arial"/>
              <w:b/>
              <w:bCs/>
              <w:iCs/>
              <w:sz w:val="20"/>
              <w:szCs w:val="20"/>
            </w:rPr>
          </w:pPr>
          <w:r w:rsidRPr="006B62B4">
            <w:rPr>
              <w:rFonts w:cs="Arial"/>
              <w:b/>
              <w:bCs/>
              <w:iCs/>
              <w:sz w:val="20"/>
              <w:szCs w:val="20"/>
            </w:rPr>
            <w:t>Doc Number</w:t>
          </w:r>
        </w:p>
      </w:tc>
      <w:tc>
        <w:tcPr>
          <w:tcW w:w="965" w:type="dxa"/>
        </w:tcPr>
        <w:p w:rsidRPr="006B62B4" w:rsidR="006B62B4" w:rsidP="00421D62" w:rsidRDefault="006B62B4" w14:paraId="053DB938" w14:textId="77777777">
          <w:pPr>
            <w:pStyle w:val="Footer"/>
            <w:jc w:val="center"/>
            <w:rPr>
              <w:rFonts w:cs="Arial"/>
              <w:b/>
              <w:bCs/>
              <w:iCs/>
              <w:sz w:val="20"/>
              <w:szCs w:val="20"/>
            </w:rPr>
          </w:pPr>
          <w:r w:rsidRPr="006B62B4">
            <w:rPr>
              <w:rFonts w:cs="Arial"/>
              <w:b/>
              <w:bCs/>
              <w:iCs/>
              <w:sz w:val="20"/>
              <w:szCs w:val="20"/>
            </w:rPr>
            <w:t>Version</w:t>
          </w:r>
        </w:p>
      </w:tc>
      <w:tc>
        <w:tcPr>
          <w:tcW w:w="1552" w:type="dxa"/>
        </w:tcPr>
        <w:p w:rsidRPr="006B62B4" w:rsidR="006B62B4" w:rsidP="00421D62" w:rsidRDefault="006B62B4" w14:paraId="2BF75E34" w14:textId="77777777">
          <w:pPr>
            <w:pStyle w:val="Footer"/>
            <w:jc w:val="center"/>
            <w:rPr>
              <w:rFonts w:cs="Arial"/>
              <w:b/>
              <w:bCs/>
              <w:iCs/>
              <w:sz w:val="20"/>
              <w:szCs w:val="20"/>
            </w:rPr>
          </w:pPr>
          <w:r w:rsidRPr="006B62B4">
            <w:rPr>
              <w:rFonts w:cs="Arial"/>
              <w:b/>
              <w:bCs/>
              <w:iCs/>
              <w:sz w:val="20"/>
              <w:szCs w:val="20"/>
            </w:rPr>
            <w:t>Issued</w:t>
          </w:r>
        </w:p>
      </w:tc>
      <w:tc>
        <w:tcPr>
          <w:tcW w:w="1456" w:type="dxa"/>
        </w:tcPr>
        <w:p w:rsidRPr="006B62B4" w:rsidR="006B62B4" w:rsidP="00421D62" w:rsidRDefault="006B62B4" w14:paraId="4BE5C7F5" w14:textId="77777777">
          <w:pPr>
            <w:pStyle w:val="Footer"/>
            <w:jc w:val="center"/>
            <w:rPr>
              <w:rFonts w:cs="Arial"/>
              <w:b/>
              <w:bCs/>
              <w:iCs/>
              <w:sz w:val="20"/>
              <w:szCs w:val="20"/>
            </w:rPr>
          </w:pPr>
          <w:r w:rsidRPr="006B62B4">
            <w:rPr>
              <w:rFonts w:cs="Arial"/>
              <w:b/>
              <w:bCs/>
              <w:iCs/>
              <w:sz w:val="20"/>
              <w:szCs w:val="20"/>
            </w:rPr>
            <w:t>Review Date</w:t>
          </w:r>
        </w:p>
      </w:tc>
      <w:tc>
        <w:tcPr>
          <w:tcW w:w="2450" w:type="dxa"/>
        </w:tcPr>
        <w:p w:rsidRPr="006B62B4" w:rsidR="006B62B4" w:rsidP="00421D62" w:rsidRDefault="006B62B4" w14:paraId="4934DE64" w14:textId="77777777">
          <w:pPr>
            <w:pStyle w:val="Footer"/>
            <w:jc w:val="center"/>
            <w:rPr>
              <w:rFonts w:cs="Arial"/>
              <w:b/>
              <w:bCs/>
              <w:iCs/>
              <w:sz w:val="20"/>
              <w:szCs w:val="20"/>
            </w:rPr>
          </w:pPr>
          <w:r w:rsidRPr="006B62B4">
            <w:rPr>
              <w:rFonts w:cs="Arial"/>
              <w:b/>
              <w:bCs/>
              <w:iCs/>
              <w:sz w:val="20"/>
              <w:szCs w:val="20"/>
            </w:rPr>
            <w:t xml:space="preserve">Area </w:t>
          </w:r>
        </w:p>
      </w:tc>
      <w:tc>
        <w:tcPr>
          <w:tcW w:w="1132" w:type="dxa"/>
        </w:tcPr>
        <w:p w:rsidRPr="006B62B4" w:rsidR="006B62B4" w:rsidP="00421D62" w:rsidRDefault="006B62B4" w14:paraId="0C447ABF" w14:textId="77777777">
          <w:pPr>
            <w:pStyle w:val="Footer"/>
            <w:jc w:val="center"/>
            <w:rPr>
              <w:rFonts w:cs="Arial"/>
              <w:b/>
              <w:bCs/>
              <w:iCs/>
              <w:sz w:val="20"/>
              <w:szCs w:val="20"/>
            </w:rPr>
          </w:pPr>
          <w:r w:rsidRPr="006B62B4">
            <w:rPr>
              <w:rFonts w:cs="Arial"/>
              <w:b/>
              <w:bCs/>
              <w:iCs/>
              <w:sz w:val="20"/>
              <w:szCs w:val="20"/>
            </w:rPr>
            <w:t>Page</w:t>
          </w:r>
        </w:p>
      </w:tc>
    </w:tr>
    <w:tr w:rsidRPr="006B62B4" w:rsidR="0087074A" w:rsidTr="0087074A" w14:paraId="7EF4D50C" w14:textId="77777777">
      <w:trPr>
        <w:jc w:val="center"/>
      </w:trPr>
      <w:tc>
        <w:tcPr>
          <w:tcW w:w="1515" w:type="dxa"/>
        </w:tcPr>
        <w:p w:rsidRPr="00954F7B" w:rsidR="0087074A" w:rsidP="0087074A" w:rsidRDefault="0087074A" w14:paraId="5320EDB6" w14:textId="49E802AD">
          <w:pPr>
            <w:pStyle w:val="Footer"/>
            <w:jc w:val="center"/>
            <w:rPr>
              <w:rFonts w:cs="Arial"/>
              <w:bCs/>
              <w:iCs/>
              <w:sz w:val="20"/>
              <w:szCs w:val="20"/>
            </w:rPr>
          </w:pPr>
          <w:r>
            <w:rPr>
              <w:rFonts w:cs="Arial"/>
              <w:bCs/>
              <w:iCs/>
              <w:sz w:val="20"/>
              <w:szCs w:val="20"/>
            </w:rPr>
            <w:t>CHS26/159</w:t>
          </w:r>
        </w:p>
      </w:tc>
      <w:tc>
        <w:tcPr>
          <w:tcW w:w="965" w:type="dxa"/>
        </w:tcPr>
        <w:p w:rsidRPr="00954F7B" w:rsidR="0087074A" w:rsidP="0087074A" w:rsidRDefault="0087074A" w14:paraId="314C4C97" w14:textId="0AA05674">
          <w:pPr>
            <w:pStyle w:val="Footer"/>
            <w:jc w:val="center"/>
            <w:rPr>
              <w:rFonts w:cs="Arial"/>
              <w:bCs/>
              <w:iCs/>
              <w:sz w:val="20"/>
              <w:szCs w:val="20"/>
            </w:rPr>
          </w:pPr>
          <w:r>
            <w:rPr>
              <w:rFonts w:cs="Arial"/>
              <w:bCs/>
              <w:iCs/>
              <w:sz w:val="20"/>
              <w:szCs w:val="20"/>
            </w:rPr>
            <w:t>1</w:t>
          </w:r>
        </w:p>
      </w:tc>
      <w:tc>
        <w:tcPr>
          <w:tcW w:w="1552" w:type="dxa"/>
        </w:tcPr>
        <w:p w:rsidRPr="00954F7B" w:rsidR="0087074A" w:rsidP="0087074A" w:rsidRDefault="0087074A" w14:paraId="5722FECB" w14:textId="500A099E">
          <w:pPr>
            <w:pStyle w:val="Footer"/>
            <w:jc w:val="center"/>
            <w:rPr>
              <w:rFonts w:cs="Arial"/>
              <w:bCs/>
              <w:iCs/>
              <w:sz w:val="20"/>
              <w:szCs w:val="20"/>
            </w:rPr>
          </w:pPr>
          <w:r>
            <w:rPr>
              <w:rFonts w:cs="Arial"/>
              <w:bCs/>
              <w:iCs/>
              <w:sz w:val="20"/>
              <w:szCs w:val="20"/>
            </w:rPr>
            <w:t>29/05/2026</w:t>
          </w:r>
        </w:p>
      </w:tc>
      <w:tc>
        <w:tcPr>
          <w:tcW w:w="1456" w:type="dxa"/>
        </w:tcPr>
        <w:p w:rsidRPr="00954F7B" w:rsidR="0087074A" w:rsidP="0087074A" w:rsidRDefault="0087074A" w14:paraId="74958597" w14:textId="5CF63A4B">
          <w:pPr>
            <w:pStyle w:val="Footer"/>
            <w:jc w:val="center"/>
            <w:rPr>
              <w:rFonts w:cs="Arial"/>
              <w:bCs/>
              <w:iCs/>
              <w:sz w:val="20"/>
              <w:szCs w:val="20"/>
            </w:rPr>
          </w:pPr>
          <w:r>
            <w:rPr>
              <w:rFonts w:cs="Arial"/>
              <w:bCs/>
              <w:iCs/>
              <w:sz w:val="20"/>
              <w:szCs w:val="20"/>
            </w:rPr>
            <w:t>01/06/2029</w:t>
          </w:r>
        </w:p>
      </w:tc>
      <w:tc>
        <w:tcPr>
          <w:tcW w:w="2450" w:type="dxa"/>
        </w:tcPr>
        <w:p w:rsidRPr="00954F7B" w:rsidR="0087074A" w:rsidP="0087074A" w:rsidRDefault="0087074A" w14:paraId="2732D583" w14:textId="14E3E5B3">
          <w:pPr>
            <w:pStyle w:val="Footer"/>
            <w:jc w:val="center"/>
            <w:rPr>
              <w:rFonts w:cs="Arial"/>
              <w:bCs/>
              <w:iCs/>
              <w:sz w:val="20"/>
              <w:szCs w:val="20"/>
            </w:rPr>
          </w:pPr>
          <w:r>
            <w:rPr>
              <w:rFonts w:cs="Arial"/>
              <w:bCs/>
              <w:iCs/>
              <w:sz w:val="20"/>
              <w:szCs w:val="20"/>
            </w:rPr>
            <w:t>CH WY&amp;C - Neonatology</w:t>
          </w:r>
        </w:p>
      </w:tc>
      <w:tc>
        <w:tcPr>
          <w:tcW w:w="1132" w:type="dxa"/>
        </w:tcPr>
        <w:p w:rsidRPr="00954F7B" w:rsidR="0087074A" w:rsidP="0087074A" w:rsidRDefault="0087074A" w14:paraId="6435CC8B" w14:textId="77777777">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sidRPr="00954F7B">
            <w:rPr>
              <w:rStyle w:val="PageNumber"/>
              <w:bCs/>
              <w:iCs/>
              <w:noProof/>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sidRPr="00954F7B">
            <w:rPr>
              <w:rStyle w:val="PageNumber"/>
              <w:bCs/>
              <w:iCs/>
              <w:noProof/>
              <w:sz w:val="20"/>
              <w:szCs w:val="20"/>
            </w:rPr>
            <w:t>3</w:t>
          </w:r>
          <w:r w:rsidRPr="00954F7B">
            <w:rPr>
              <w:rStyle w:val="PageNumber"/>
              <w:bCs/>
              <w:iCs/>
              <w:sz w:val="20"/>
              <w:szCs w:val="20"/>
            </w:rPr>
            <w:fldChar w:fldCharType="end"/>
          </w:r>
        </w:p>
      </w:tc>
    </w:tr>
  </w:tbl>
  <w:p w:rsidRPr="006B62B4" w:rsidR="0019193E" w:rsidP="00421D62" w:rsidRDefault="006B62B4" w14:paraId="119E246C" w14:textId="77777777">
    <w:pPr>
      <w:pStyle w:val="Footer"/>
      <w:jc w:val="center"/>
    </w:pPr>
    <w:r>
      <w:rPr>
        <w:iCs/>
        <w:sz w:val="16"/>
        <w:szCs w:val="16"/>
      </w:rPr>
      <w:br/>
    </w:r>
    <w:r w:rsidRPr="006B62B4">
      <w:rPr>
        <w:iCs/>
        <w:sz w:val="16"/>
        <w:szCs w:val="16"/>
      </w:rPr>
      <w:t xml:space="preserve">Do not refer to a </w:t>
    </w:r>
    <w:r w:rsidRPr="006B62B4" w:rsidR="0093599C">
      <w:rPr>
        <w:iCs/>
        <w:sz w:val="16"/>
        <w:szCs w:val="16"/>
      </w:rPr>
      <w:t>paper-based</w:t>
    </w:r>
    <w:r w:rsidRPr="006B62B4">
      <w:rPr>
        <w:iCs/>
        <w:sz w:val="16"/>
        <w:szCs w:val="16"/>
      </w:rPr>
      <w:t xml:space="preserve"> copy of this policy document. The most current version can be found on the CHS Policy Register</w:t>
    </w:r>
    <w:r w:rsidR="00421D62">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B4260" w:rsidP="00225769" w:rsidRDefault="002B4260" w14:paraId="26090A52" w14:textId="77777777">
      <w:pPr>
        <w:spacing w:after="0" w:line="240" w:lineRule="auto"/>
      </w:pPr>
      <w:r>
        <w:separator/>
      </w:r>
    </w:p>
    <w:p w:rsidR="002B4260" w:rsidRDefault="002B4260" w14:paraId="43DDB512" w14:textId="77777777"/>
    <w:p w:rsidR="002B4260" w:rsidRDefault="002B4260" w14:paraId="2B783FBE" w14:textId="77777777"/>
  </w:footnote>
  <w:footnote w:type="continuationSeparator" w:id="0">
    <w:p w:rsidR="002B4260" w:rsidP="00225769" w:rsidRDefault="002B4260" w14:paraId="02B9A2F0" w14:textId="77777777">
      <w:pPr>
        <w:spacing w:after="0" w:line="240" w:lineRule="auto"/>
      </w:pPr>
      <w:r>
        <w:continuationSeparator/>
      </w:r>
    </w:p>
    <w:p w:rsidR="002B4260" w:rsidRDefault="002B4260" w14:paraId="26AC8198" w14:textId="77777777"/>
    <w:p w:rsidR="002B4260" w:rsidRDefault="002B4260" w14:paraId="42F464B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F48B2" w:rsidP="007F48B2" w:rsidRDefault="007F48B2" w14:paraId="3DEC36D1" w14:textId="77777777">
    <w:pPr>
      <w:pStyle w:val="SecondaryHeader"/>
    </w:pPr>
  </w:p>
  <w:p w:rsidR="007F48B2" w:rsidP="007F48B2" w:rsidRDefault="007F48B2" w14:paraId="29FFCA5E" w14:textId="77777777">
    <w:pPr>
      <w:pStyle w:val="Secondary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B18B2" w:rsidRDefault="004C5A26" w14:paraId="3BEBBE29" w14:textId="77777777">
    <w:pPr>
      <w:pStyle w:val="Header"/>
    </w:pPr>
    <w:r>
      <w:rPr>
        <w:noProof/>
      </w:rPr>
      <w:drawing>
        <wp:inline distT="0" distB="0" distL="0" distR="0" wp14:anchorId="76D89348" wp14:editId="6D9739AC">
          <wp:extent cx="3308400" cy="1008000"/>
          <wp:effectExtent l="0" t="0" r="0" b="1905"/>
          <wp:docPr id="24" name="Picture 24" descr="Canberra Health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anberra Health Services logo"/>
                  <pic:cNvPicPr/>
                </pic:nvPicPr>
                <pic:blipFill rotWithShape="1">
                  <a:blip r:embed="rId1">
                    <a:extLst>
                      <a:ext uri="{28A0092B-C50C-407E-A947-70E740481C1C}">
                        <a14:useLocalDpi xmlns:a14="http://schemas.microsoft.com/office/drawing/2010/main" val="0"/>
                      </a:ext>
                    </a:extLst>
                  </a:blip>
                  <a:srcRect l="6187" t="15189" r="-4464" b="-582"/>
                  <a:stretch/>
                </pic:blipFill>
                <pic:spPr bwMode="auto">
                  <a:xfrm>
                    <a:off x="0" y="0"/>
                    <a:ext cx="3308400" cy="100800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D9875"/>
    <w:multiLevelType w:val="hybridMultilevel"/>
    <w:tmpl w:val="1EA62E10"/>
    <w:lvl w:ilvl="0" w:tplc="97007B28">
      <w:start w:val="1"/>
      <w:numFmt w:val="decimal"/>
      <w:lvlText w:val="%1."/>
      <w:lvlJc w:val="left"/>
      <w:pPr>
        <w:ind w:left="720" w:hanging="360"/>
      </w:pPr>
    </w:lvl>
    <w:lvl w:ilvl="1" w:tplc="139EFC20">
      <w:start w:val="1"/>
      <w:numFmt w:val="lowerLetter"/>
      <w:lvlText w:val="%2."/>
      <w:lvlJc w:val="left"/>
      <w:pPr>
        <w:ind w:left="1440" w:hanging="360"/>
      </w:pPr>
    </w:lvl>
    <w:lvl w:ilvl="2" w:tplc="054469C8">
      <w:start w:val="1"/>
      <w:numFmt w:val="lowerRoman"/>
      <w:lvlText w:val="%3."/>
      <w:lvlJc w:val="right"/>
      <w:pPr>
        <w:ind w:left="2160" w:hanging="180"/>
      </w:pPr>
    </w:lvl>
    <w:lvl w:ilvl="3" w:tplc="998287AA">
      <w:start w:val="1"/>
      <w:numFmt w:val="decimal"/>
      <w:lvlText w:val="%4."/>
      <w:lvlJc w:val="left"/>
      <w:pPr>
        <w:ind w:left="2880" w:hanging="360"/>
      </w:pPr>
    </w:lvl>
    <w:lvl w:ilvl="4" w:tplc="14C063AA">
      <w:start w:val="1"/>
      <w:numFmt w:val="lowerLetter"/>
      <w:lvlText w:val="%5."/>
      <w:lvlJc w:val="left"/>
      <w:pPr>
        <w:ind w:left="3600" w:hanging="360"/>
      </w:pPr>
    </w:lvl>
    <w:lvl w:ilvl="5" w:tplc="F3F6AA50">
      <w:start w:val="1"/>
      <w:numFmt w:val="lowerRoman"/>
      <w:lvlText w:val="%6."/>
      <w:lvlJc w:val="right"/>
      <w:pPr>
        <w:ind w:left="4320" w:hanging="180"/>
      </w:pPr>
    </w:lvl>
    <w:lvl w:ilvl="6" w:tplc="52ACFD36">
      <w:start w:val="1"/>
      <w:numFmt w:val="decimal"/>
      <w:lvlText w:val="%7."/>
      <w:lvlJc w:val="left"/>
      <w:pPr>
        <w:ind w:left="5040" w:hanging="360"/>
      </w:pPr>
    </w:lvl>
    <w:lvl w:ilvl="7" w:tplc="CC00D614">
      <w:start w:val="1"/>
      <w:numFmt w:val="lowerLetter"/>
      <w:lvlText w:val="%8."/>
      <w:lvlJc w:val="left"/>
      <w:pPr>
        <w:ind w:left="5760" w:hanging="360"/>
      </w:pPr>
    </w:lvl>
    <w:lvl w:ilvl="8" w:tplc="45E4ACCE">
      <w:start w:val="1"/>
      <w:numFmt w:val="lowerRoman"/>
      <w:lvlText w:val="%9."/>
      <w:lvlJc w:val="right"/>
      <w:pPr>
        <w:ind w:left="6480" w:hanging="180"/>
      </w:pPr>
    </w:lvl>
  </w:abstractNum>
  <w:abstractNum w:abstractNumId="1" w15:restartNumberingAfterBreak="0">
    <w:nsid w:val="1110A257"/>
    <w:multiLevelType w:val="hybridMultilevel"/>
    <w:tmpl w:val="AB32209A"/>
    <w:lvl w:ilvl="0" w:tplc="1300485C">
      <w:start w:val="1"/>
      <w:numFmt w:val="decimal"/>
      <w:lvlText w:val="%1."/>
      <w:lvlJc w:val="left"/>
      <w:pPr>
        <w:ind w:left="720" w:hanging="360"/>
      </w:pPr>
    </w:lvl>
    <w:lvl w:ilvl="1" w:tplc="7BB2E8B2">
      <w:start w:val="1"/>
      <w:numFmt w:val="lowerLetter"/>
      <w:lvlText w:val="%2."/>
      <w:lvlJc w:val="left"/>
      <w:pPr>
        <w:ind w:left="1440" w:hanging="360"/>
      </w:pPr>
    </w:lvl>
    <w:lvl w:ilvl="2" w:tplc="AA02BF9C">
      <w:start w:val="1"/>
      <w:numFmt w:val="lowerRoman"/>
      <w:lvlText w:val="%3."/>
      <w:lvlJc w:val="right"/>
      <w:pPr>
        <w:ind w:left="2160" w:hanging="180"/>
      </w:pPr>
    </w:lvl>
    <w:lvl w:ilvl="3" w:tplc="551CAE36">
      <w:start w:val="1"/>
      <w:numFmt w:val="decimal"/>
      <w:lvlText w:val="%4."/>
      <w:lvlJc w:val="left"/>
      <w:pPr>
        <w:ind w:left="2880" w:hanging="360"/>
      </w:pPr>
    </w:lvl>
    <w:lvl w:ilvl="4" w:tplc="C5609F10">
      <w:start w:val="1"/>
      <w:numFmt w:val="lowerLetter"/>
      <w:lvlText w:val="%5."/>
      <w:lvlJc w:val="left"/>
      <w:pPr>
        <w:ind w:left="3600" w:hanging="360"/>
      </w:pPr>
    </w:lvl>
    <w:lvl w:ilvl="5" w:tplc="D8D4DCDC">
      <w:start w:val="1"/>
      <w:numFmt w:val="lowerRoman"/>
      <w:lvlText w:val="%6."/>
      <w:lvlJc w:val="right"/>
      <w:pPr>
        <w:ind w:left="4320" w:hanging="180"/>
      </w:pPr>
    </w:lvl>
    <w:lvl w:ilvl="6" w:tplc="9C9A48D4">
      <w:start w:val="1"/>
      <w:numFmt w:val="decimal"/>
      <w:lvlText w:val="%7."/>
      <w:lvlJc w:val="left"/>
      <w:pPr>
        <w:ind w:left="5040" w:hanging="360"/>
      </w:pPr>
    </w:lvl>
    <w:lvl w:ilvl="7" w:tplc="59FC73A4">
      <w:start w:val="1"/>
      <w:numFmt w:val="lowerLetter"/>
      <w:lvlText w:val="%8."/>
      <w:lvlJc w:val="left"/>
      <w:pPr>
        <w:ind w:left="5760" w:hanging="360"/>
      </w:pPr>
    </w:lvl>
    <w:lvl w:ilvl="8" w:tplc="B64E8534">
      <w:start w:val="1"/>
      <w:numFmt w:val="lowerRoman"/>
      <w:lvlText w:val="%9."/>
      <w:lvlJc w:val="right"/>
      <w:pPr>
        <w:ind w:left="6480" w:hanging="180"/>
      </w:pPr>
    </w:lvl>
  </w:abstractNum>
  <w:abstractNum w:abstractNumId="2"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8B047D8"/>
    <w:multiLevelType w:val="hybridMultilevel"/>
    <w:tmpl w:val="7CD211E8"/>
    <w:lvl w:ilvl="0" w:tplc="1ABC2820">
      <w:start w:val="1"/>
      <w:numFmt w:val="bullet"/>
      <w:pStyle w:val="Tablebullet2"/>
      <w:lvlText w:val="-"/>
      <w:lvlJc w:val="left"/>
      <w:pPr>
        <w:ind w:left="785" w:hanging="360"/>
      </w:pPr>
      <w:rPr>
        <w:rFonts w:hint="default" w:ascii="Courier New" w:hAnsi="Courier New"/>
      </w:rPr>
    </w:lvl>
    <w:lvl w:ilvl="1" w:tplc="0C090003" w:tentative="1">
      <w:start w:val="1"/>
      <w:numFmt w:val="bullet"/>
      <w:lvlText w:val="o"/>
      <w:lvlJc w:val="left"/>
      <w:pPr>
        <w:ind w:left="2074" w:hanging="360"/>
      </w:pPr>
      <w:rPr>
        <w:rFonts w:hint="default" w:ascii="Courier New" w:hAnsi="Courier New" w:cs="Courier New"/>
      </w:rPr>
    </w:lvl>
    <w:lvl w:ilvl="2" w:tplc="0C090005" w:tentative="1">
      <w:start w:val="1"/>
      <w:numFmt w:val="bullet"/>
      <w:lvlText w:val=""/>
      <w:lvlJc w:val="left"/>
      <w:pPr>
        <w:ind w:left="2794" w:hanging="360"/>
      </w:pPr>
      <w:rPr>
        <w:rFonts w:hint="default" w:ascii="Wingdings" w:hAnsi="Wingdings"/>
      </w:rPr>
    </w:lvl>
    <w:lvl w:ilvl="3" w:tplc="0C090001" w:tentative="1">
      <w:start w:val="1"/>
      <w:numFmt w:val="bullet"/>
      <w:lvlText w:val=""/>
      <w:lvlJc w:val="left"/>
      <w:pPr>
        <w:ind w:left="3514" w:hanging="360"/>
      </w:pPr>
      <w:rPr>
        <w:rFonts w:hint="default" w:ascii="Symbol" w:hAnsi="Symbol"/>
      </w:rPr>
    </w:lvl>
    <w:lvl w:ilvl="4" w:tplc="0C090003" w:tentative="1">
      <w:start w:val="1"/>
      <w:numFmt w:val="bullet"/>
      <w:lvlText w:val="o"/>
      <w:lvlJc w:val="left"/>
      <w:pPr>
        <w:ind w:left="4234" w:hanging="360"/>
      </w:pPr>
      <w:rPr>
        <w:rFonts w:hint="default" w:ascii="Courier New" w:hAnsi="Courier New" w:cs="Courier New"/>
      </w:rPr>
    </w:lvl>
    <w:lvl w:ilvl="5" w:tplc="0C090005" w:tentative="1">
      <w:start w:val="1"/>
      <w:numFmt w:val="bullet"/>
      <w:lvlText w:val=""/>
      <w:lvlJc w:val="left"/>
      <w:pPr>
        <w:ind w:left="4954" w:hanging="360"/>
      </w:pPr>
      <w:rPr>
        <w:rFonts w:hint="default" w:ascii="Wingdings" w:hAnsi="Wingdings"/>
      </w:rPr>
    </w:lvl>
    <w:lvl w:ilvl="6" w:tplc="0C090001" w:tentative="1">
      <w:start w:val="1"/>
      <w:numFmt w:val="bullet"/>
      <w:lvlText w:val=""/>
      <w:lvlJc w:val="left"/>
      <w:pPr>
        <w:ind w:left="5674" w:hanging="360"/>
      </w:pPr>
      <w:rPr>
        <w:rFonts w:hint="default" w:ascii="Symbol" w:hAnsi="Symbol"/>
      </w:rPr>
    </w:lvl>
    <w:lvl w:ilvl="7" w:tplc="0C090003" w:tentative="1">
      <w:start w:val="1"/>
      <w:numFmt w:val="bullet"/>
      <w:lvlText w:val="o"/>
      <w:lvlJc w:val="left"/>
      <w:pPr>
        <w:ind w:left="6394" w:hanging="360"/>
      </w:pPr>
      <w:rPr>
        <w:rFonts w:hint="default" w:ascii="Courier New" w:hAnsi="Courier New" w:cs="Courier New"/>
      </w:rPr>
    </w:lvl>
    <w:lvl w:ilvl="8" w:tplc="0C090005" w:tentative="1">
      <w:start w:val="1"/>
      <w:numFmt w:val="bullet"/>
      <w:lvlText w:val=""/>
      <w:lvlJc w:val="left"/>
      <w:pPr>
        <w:ind w:left="7114" w:hanging="360"/>
      </w:pPr>
      <w:rPr>
        <w:rFonts w:hint="default" w:ascii="Wingdings" w:hAnsi="Wingdings"/>
      </w:rPr>
    </w:lvl>
  </w:abstractNum>
  <w:abstractNum w:abstractNumId="4" w15:restartNumberingAfterBreak="0">
    <w:nsid w:val="220F418A"/>
    <w:multiLevelType w:val="multilevel"/>
    <w:tmpl w:val="DF347036"/>
    <w:lvl w:ilvl="0">
      <w:start w:val="1"/>
      <w:numFmt w:val="bullet"/>
      <w:pStyle w:val="Bullet"/>
      <w:lvlText w:val=""/>
      <w:lvlJc w:val="left"/>
      <w:pPr>
        <w:ind w:left="425" w:hanging="425"/>
      </w:pPr>
      <w:rPr>
        <w:rFonts w:hint="default" w:ascii="Wingdings" w:hAnsi="Wingdings"/>
      </w:rPr>
    </w:lvl>
    <w:lvl w:ilvl="1">
      <w:start w:val="1"/>
      <w:numFmt w:val="bullet"/>
      <w:lvlText w:val="-"/>
      <w:lvlJc w:val="left"/>
      <w:pPr>
        <w:ind w:left="850" w:hanging="425"/>
      </w:pPr>
      <w:rPr>
        <w:rFonts w:hint="default" w:ascii="Courier New" w:hAnsi="Courier New"/>
      </w:rPr>
    </w:lvl>
    <w:lvl w:ilvl="2">
      <w:start w:val="1"/>
      <w:numFmt w:val="bullet"/>
      <w:lvlText w:val=""/>
      <w:lvlJc w:val="left"/>
      <w:pPr>
        <w:ind w:left="1275" w:hanging="425"/>
      </w:pPr>
      <w:rPr>
        <w:rFonts w:hint="default" w:ascii="Wingdings" w:hAnsi="Wingdings"/>
      </w:rPr>
    </w:lvl>
    <w:lvl w:ilvl="3">
      <w:start w:val="1"/>
      <w:numFmt w:val="bullet"/>
      <w:lvlText w:val=""/>
      <w:lvlJc w:val="left"/>
      <w:pPr>
        <w:ind w:left="1700" w:hanging="425"/>
      </w:pPr>
      <w:rPr>
        <w:rFonts w:hint="default" w:ascii="Symbol" w:hAnsi="Symbol"/>
      </w:rPr>
    </w:lvl>
    <w:lvl w:ilvl="4">
      <w:start w:val="1"/>
      <w:numFmt w:val="bullet"/>
      <w:lvlText w:val="-"/>
      <w:lvlJc w:val="left"/>
      <w:pPr>
        <w:ind w:left="2125" w:hanging="425"/>
      </w:pPr>
      <w:rPr>
        <w:rFonts w:hint="default" w:ascii="Arial" w:hAnsi="Arial"/>
      </w:rPr>
    </w:lvl>
    <w:lvl w:ilvl="5">
      <w:start w:val="1"/>
      <w:numFmt w:val="bullet"/>
      <w:lvlText w:val=""/>
      <w:lvlJc w:val="left"/>
      <w:pPr>
        <w:ind w:left="2550" w:hanging="425"/>
      </w:pPr>
      <w:rPr>
        <w:rFonts w:hint="default" w:ascii="Wingdings" w:hAnsi="Wingdings"/>
      </w:rPr>
    </w:lvl>
    <w:lvl w:ilvl="6">
      <w:start w:val="1"/>
      <w:numFmt w:val="bullet"/>
      <w:lvlText w:val=""/>
      <w:lvlJc w:val="left"/>
      <w:pPr>
        <w:ind w:left="2975" w:hanging="425"/>
      </w:pPr>
      <w:rPr>
        <w:rFonts w:hint="default" w:ascii="Symbol" w:hAnsi="Symbol"/>
      </w:rPr>
    </w:lvl>
    <w:lvl w:ilvl="7">
      <w:start w:val="1"/>
      <w:numFmt w:val="bullet"/>
      <w:lvlText w:val="-"/>
      <w:lvlJc w:val="left"/>
      <w:pPr>
        <w:ind w:left="3400" w:hanging="425"/>
      </w:pPr>
      <w:rPr>
        <w:rFonts w:hint="default" w:ascii="Arial" w:hAnsi="Arial"/>
      </w:rPr>
    </w:lvl>
    <w:lvl w:ilvl="8">
      <w:start w:val="1"/>
      <w:numFmt w:val="bullet"/>
      <w:lvlText w:val=""/>
      <w:lvlJc w:val="left"/>
      <w:pPr>
        <w:ind w:left="3825" w:hanging="425"/>
      </w:pPr>
      <w:rPr>
        <w:rFonts w:hint="default" w:ascii="Wingdings" w:hAnsi="Wingdings"/>
      </w:rPr>
    </w:lvl>
  </w:abstractNum>
  <w:abstractNum w:abstractNumId="5" w15:restartNumberingAfterBreak="0">
    <w:nsid w:val="28157150"/>
    <w:multiLevelType w:val="hybridMultilevel"/>
    <w:tmpl w:val="0818BCAA"/>
    <w:lvl w:ilvl="0" w:tplc="E5AEDE48">
      <w:numFmt w:val="bullet"/>
      <w:lvlText w:val=""/>
      <w:lvlJc w:val="left"/>
      <w:pPr>
        <w:ind w:left="720" w:hanging="360"/>
      </w:pPr>
      <w:rPr>
        <w:rFonts w:hint="default" w:ascii="Wingdings" w:hAnsi="Wingdings" w:eastAsia="Calibri" w:cs="Aria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abstractNum w:abstractNumId="6" w15:restartNumberingAfterBreak="0">
    <w:nsid w:val="28DE75F7"/>
    <w:multiLevelType w:val="hybridMultilevel"/>
    <w:tmpl w:val="82DA6F72"/>
    <w:lvl w:ilvl="0" w:tplc="FCAC0904">
      <w:start w:val="1"/>
      <w:numFmt w:val="bullet"/>
      <w:lvlText w:val=""/>
      <w:lvlJc w:val="left"/>
      <w:pPr>
        <w:ind w:left="720" w:hanging="360"/>
      </w:pPr>
      <w:rPr>
        <w:rFonts w:hint="default" w:ascii="Symbol" w:hAnsi="Symbol"/>
      </w:rPr>
    </w:lvl>
    <w:lvl w:ilvl="1" w:tplc="636EE882">
      <w:start w:val="1"/>
      <w:numFmt w:val="bullet"/>
      <w:lvlText w:val="o"/>
      <w:lvlJc w:val="left"/>
      <w:pPr>
        <w:ind w:left="1440" w:hanging="360"/>
      </w:pPr>
      <w:rPr>
        <w:rFonts w:hint="default" w:ascii="Courier New" w:hAnsi="Courier New"/>
      </w:rPr>
    </w:lvl>
    <w:lvl w:ilvl="2" w:tplc="48DEFA3E">
      <w:start w:val="1"/>
      <w:numFmt w:val="bullet"/>
      <w:lvlText w:val=""/>
      <w:lvlJc w:val="left"/>
      <w:pPr>
        <w:ind w:left="2160" w:hanging="360"/>
      </w:pPr>
      <w:rPr>
        <w:rFonts w:hint="default" w:ascii="Wingdings" w:hAnsi="Wingdings"/>
      </w:rPr>
    </w:lvl>
    <w:lvl w:ilvl="3" w:tplc="C8806F88">
      <w:start w:val="1"/>
      <w:numFmt w:val="bullet"/>
      <w:lvlText w:val=""/>
      <w:lvlJc w:val="left"/>
      <w:pPr>
        <w:ind w:left="2880" w:hanging="360"/>
      </w:pPr>
      <w:rPr>
        <w:rFonts w:hint="default" w:ascii="Symbol" w:hAnsi="Symbol"/>
      </w:rPr>
    </w:lvl>
    <w:lvl w:ilvl="4" w:tplc="3302196C">
      <w:start w:val="1"/>
      <w:numFmt w:val="bullet"/>
      <w:lvlText w:val="o"/>
      <w:lvlJc w:val="left"/>
      <w:pPr>
        <w:ind w:left="3600" w:hanging="360"/>
      </w:pPr>
      <w:rPr>
        <w:rFonts w:hint="default" w:ascii="Courier New" w:hAnsi="Courier New"/>
      </w:rPr>
    </w:lvl>
    <w:lvl w:ilvl="5" w:tplc="85E08CD2">
      <w:start w:val="1"/>
      <w:numFmt w:val="bullet"/>
      <w:lvlText w:val=""/>
      <w:lvlJc w:val="left"/>
      <w:pPr>
        <w:ind w:left="4320" w:hanging="360"/>
      </w:pPr>
      <w:rPr>
        <w:rFonts w:hint="default" w:ascii="Wingdings" w:hAnsi="Wingdings"/>
      </w:rPr>
    </w:lvl>
    <w:lvl w:ilvl="6" w:tplc="B68A566C">
      <w:start w:val="1"/>
      <w:numFmt w:val="bullet"/>
      <w:lvlText w:val=""/>
      <w:lvlJc w:val="left"/>
      <w:pPr>
        <w:ind w:left="5040" w:hanging="360"/>
      </w:pPr>
      <w:rPr>
        <w:rFonts w:hint="default" w:ascii="Symbol" w:hAnsi="Symbol"/>
      </w:rPr>
    </w:lvl>
    <w:lvl w:ilvl="7" w:tplc="DC707140">
      <w:start w:val="1"/>
      <w:numFmt w:val="bullet"/>
      <w:lvlText w:val="o"/>
      <w:lvlJc w:val="left"/>
      <w:pPr>
        <w:ind w:left="5760" w:hanging="360"/>
      </w:pPr>
      <w:rPr>
        <w:rFonts w:hint="default" w:ascii="Courier New" w:hAnsi="Courier New"/>
      </w:rPr>
    </w:lvl>
    <w:lvl w:ilvl="8" w:tplc="0D3C2F1C">
      <w:start w:val="1"/>
      <w:numFmt w:val="bullet"/>
      <w:lvlText w:val=""/>
      <w:lvlJc w:val="left"/>
      <w:pPr>
        <w:ind w:left="6480" w:hanging="360"/>
      </w:pPr>
      <w:rPr>
        <w:rFonts w:hint="default" w:ascii="Wingdings" w:hAnsi="Wingdings"/>
      </w:rPr>
    </w:lvl>
  </w:abstractNum>
  <w:abstractNum w:abstractNumId="7" w15:restartNumberingAfterBreak="0">
    <w:nsid w:val="34EA7685"/>
    <w:multiLevelType w:val="hybridMultilevel"/>
    <w:tmpl w:val="C336968E"/>
    <w:lvl w:ilvl="0" w:tplc="93B4CCCE">
      <w:start w:val="1"/>
      <w:numFmt w:val="decimal"/>
      <w:lvlText w:val="%1."/>
      <w:lvlJc w:val="left"/>
      <w:pPr>
        <w:ind w:left="720" w:hanging="360"/>
      </w:pPr>
    </w:lvl>
    <w:lvl w:ilvl="1" w:tplc="B83C54C2">
      <w:start w:val="1"/>
      <w:numFmt w:val="lowerLetter"/>
      <w:lvlText w:val="%2."/>
      <w:lvlJc w:val="left"/>
      <w:pPr>
        <w:ind w:left="1440" w:hanging="360"/>
      </w:pPr>
    </w:lvl>
    <w:lvl w:ilvl="2" w:tplc="3138B196">
      <w:start w:val="1"/>
      <w:numFmt w:val="lowerRoman"/>
      <w:lvlText w:val="%3."/>
      <w:lvlJc w:val="right"/>
      <w:pPr>
        <w:ind w:left="2160" w:hanging="180"/>
      </w:pPr>
    </w:lvl>
    <w:lvl w:ilvl="3" w:tplc="745ECFC8">
      <w:start w:val="1"/>
      <w:numFmt w:val="decimal"/>
      <w:lvlText w:val="%4."/>
      <w:lvlJc w:val="left"/>
      <w:pPr>
        <w:ind w:left="2880" w:hanging="360"/>
      </w:pPr>
    </w:lvl>
    <w:lvl w:ilvl="4" w:tplc="EA7425A2">
      <w:start w:val="1"/>
      <w:numFmt w:val="lowerLetter"/>
      <w:lvlText w:val="%5."/>
      <w:lvlJc w:val="left"/>
      <w:pPr>
        <w:ind w:left="3600" w:hanging="360"/>
      </w:pPr>
    </w:lvl>
    <w:lvl w:ilvl="5" w:tplc="4344096A">
      <w:start w:val="1"/>
      <w:numFmt w:val="lowerRoman"/>
      <w:lvlText w:val="%6."/>
      <w:lvlJc w:val="right"/>
      <w:pPr>
        <w:ind w:left="4320" w:hanging="180"/>
      </w:pPr>
    </w:lvl>
    <w:lvl w:ilvl="6" w:tplc="60EA725A">
      <w:start w:val="1"/>
      <w:numFmt w:val="decimal"/>
      <w:lvlText w:val="%7."/>
      <w:lvlJc w:val="left"/>
      <w:pPr>
        <w:ind w:left="5040" w:hanging="360"/>
      </w:pPr>
    </w:lvl>
    <w:lvl w:ilvl="7" w:tplc="48D80462">
      <w:start w:val="1"/>
      <w:numFmt w:val="lowerLetter"/>
      <w:lvlText w:val="%8."/>
      <w:lvlJc w:val="left"/>
      <w:pPr>
        <w:ind w:left="5760" w:hanging="360"/>
      </w:pPr>
    </w:lvl>
    <w:lvl w:ilvl="8" w:tplc="7376EA0E">
      <w:start w:val="1"/>
      <w:numFmt w:val="lowerRoman"/>
      <w:lvlText w:val="%9."/>
      <w:lvlJc w:val="right"/>
      <w:pPr>
        <w:ind w:left="6480" w:hanging="180"/>
      </w:pPr>
    </w:lvl>
  </w:abstractNum>
  <w:abstractNum w:abstractNumId="8" w15:restartNumberingAfterBreak="0">
    <w:nsid w:val="44AF3BCA"/>
    <w:multiLevelType w:val="hybridMultilevel"/>
    <w:tmpl w:val="2AF0C636"/>
    <w:lvl w:ilvl="0" w:tplc="AF363468">
      <w:start w:val="1"/>
      <w:numFmt w:val="decimal"/>
      <w:lvlText w:val="%1."/>
      <w:lvlJc w:val="left"/>
      <w:pPr>
        <w:ind w:left="720" w:hanging="360"/>
      </w:pPr>
    </w:lvl>
    <w:lvl w:ilvl="1" w:tplc="D3AAB29C">
      <w:start w:val="1"/>
      <w:numFmt w:val="lowerLetter"/>
      <w:lvlText w:val="%2."/>
      <w:lvlJc w:val="left"/>
      <w:pPr>
        <w:ind w:left="1440" w:hanging="360"/>
      </w:pPr>
    </w:lvl>
    <w:lvl w:ilvl="2" w:tplc="A9826FEA">
      <w:start w:val="1"/>
      <w:numFmt w:val="lowerRoman"/>
      <w:lvlText w:val="%3."/>
      <w:lvlJc w:val="right"/>
      <w:pPr>
        <w:ind w:left="2160" w:hanging="180"/>
      </w:pPr>
    </w:lvl>
    <w:lvl w:ilvl="3" w:tplc="C2B66650">
      <w:start w:val="1"/>
      <w:numFmt w:val="decimal"/>
      <w:lvlText w:val="%4."/>
      <w:lvlJc w:val="left"/>
      <w:pPr>
        <w:ind w:left="2880" w:hanging="360"/>
      </w:pPr>
    </w:lvl>
    <w:lvl w:ilvl="4" w:tplc="651C50C4">
      <w:start w:val="1"/>
      <w:numFmt w:val="lowerLetter"/>
      <w:lvlText w:val="%5."/>
      <w:lvlJc w:val="left"/>
      <w:pPr>
        <w:ind w:left="3600" w:hanging="360"/>
      </w:pPr>
    </w:lvl>
    <w:lvl w:ilvl="5" w:tplc="0038A00A">
      <w:start w:val="1"/>
      <w:numFmt w:val="lowerRoman"/>
      <w:lvlText w:val="%6."/>
      <w:lvlJc w:val="right"/>
      <w:pPr>
        <w:ind w:left="4320" w:hanging="180"/>
      </w:pPr>
    </w:lvl>
    <w:lvl w:ilvl="6" w:tplc="1EF60534">
      <w:start w:val="1"/>
      <w:numFmt w:val="decimal"/>
      <w:lvlText w:val="%7."/>
      <w:lvlJc w:val="left"/>
      <w:pPr>
        <w:ind w:left="5040" w:hanging="360"/>
      </w:pPr>
    </w:lvl>
    <w:lvl w:ilvl="7" w:tplc="E7288E3C">
      <w:start w:val="1"/>
      <w:numFmt w:val="lowerLetter"/>
      <w:lvlText w:val="%8."/>
      <w:lvlJc w:val="left"/>
      <w:pPr>
        <w:ind w:left="5760" w:hanging="360"/>
      </w:pPr>
    </w:lvl>
    <w:lvl w:ilvl="8" w:tplc="059EFCE2">
      <w:start w:val="1"/>
      <w:numFmt w:val="lowerRoman"/>
      <w:lvlText w:val="%9."/>
      <w:lvlJc w:val="right"/>
      <w:pPr>
        <w:ind w:left="6480" w:hanging="180"/>
      </w:pPr>
    </w:lvl>
  </w:abstractNum>
  <w:abstractNum w:abstractNumId="9"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hint="default" w:ascii="Courier New" w:hAnsi="Courier New"/>
      </w:rPr>
    </w:lvl>
    <w:lvl w:ilvl="2">
      <w:start w:val="1"/>
      <w:numFmt w:val="bullet"/>
      <w:lvlText w:val=""/>
      <w:lvlJc w:val="left"/>
      <w:pPr>
        <w:ind w:left="1275" w:hanging="425"/>
      </w:pPr>
      <w:rPr>
        <w:rFonts w:hint="default" w:ascii="Wingdings" w:hAnsi="Wingdings"/>
      </w:rPr>
    </w:lvl>
    <w:lvl w:ilvl="3">
      <w:start w:val="1"/>
      <w:numFmt w:val="bullet"/>
      <w:lvlText w:val=""/>
      <w:lvlJc w:val="left"/>
      <w:pPr>
        <w:ind w:left="1700" w:hanging="425"/>
      </w:pPr>
      <w:rPr>
        <w:rFonts w:hint="default" w:ascii="Symbol" w:hAnsi="Symbol"/>
      </w:rPr>
    </w:lvl>
    <w:lvl w:ilvl="4">
      <w:start w:val="1"/>
      <w:numFmt w:val="bullet"/>
      <w:lvlText w:val="-"/>
      <w:lvlJc w:val="left"/>
      <w:pPr>
        <w:ind w:left="2125" w:hanging="425"/>
      </w:pPr>
      <w:rPr>
        <w:rFonts w:hint="default" w:ascii="Arial" w:hAnsi="Arial"/>
      </w:rPr>
    </w:lvl>
    <w:lvl w:ilvl="5">
      <w:start w:val="1"/>
      <w:numFmt w:val="bullet"/>
      <w:lvlText w:val=""/>
      <w:lvlJc w:val="left"/>
      <w:pPr>
        <w:ind w:left="2550" w:hanging="425"/>
      </w:pPr>
      <w:rPr>
        <w:rFonts w:hint="default" w:ascii="Wingdings" w:hAnsi="Wingdings"/>
      </w:rPr>
    </w:lvl>
    <w:lvl w:ilvl="6">
      <w:start w:val="1"/>
      <w:numFmt w:val="bullet"/>
      <w:lvlText w:val=""/>
      <w:lvlJc w:val="left"/>
      <w:pPr>
        <w:ind w:left="2975" w:hanging="425"/>
      </w:pPr>
      <w:rPr>
        <w:rFonts w:hint="default" w:ascii="Symbol" w:hAnsi="Symbol"/>
      </w:rPr>
    </w:lvl>
    <w:lvl w:ilvl="7">
      <w:start w:val="1"/>
      <w:numFmt w:val="bullet"/>
      <w:lvlText w:val="-"/>
      <w:lvlJc w:val="left"/>
      <w:pPr>
        <w:ind w:left="3400" w:hanging="425"/>
      </w:pPr>
      <w:rPr>
        <w:rFonts w:hint="default" w:ascii="Arial" w:hAnsi="Arial"/>
      </w:rPr>
    </w:lvl>
    <w:lvl w:ilvl="8">
      <w:start w:val="1"/>
      <w:numFmt w:val="bullet"/>
      <w:lvlText w:val=""/>
      <w:lvlJc w:val="left"/>
      <w:pPr>
        <w:ind w:left="3825" w:hanging="425"/>
      </w:pPr>
      <w:rPr>
        <w:rFonts w:hint="default" w:ascii="Wingdings" w:hAnsi="Wingdings"/>
      </w:rPr>
    </w:lvl>
  </w:abstractNum>
  <w:abstractNum w:abstractNumId="10" w15:restartNumberingAfterBreak="0">
    <w:nsid w:val="4FEF7A13"/>
    <w:multiLevelType w:val="hybridMultilevel"/>
    <w:tmpl w:val="E4506B98"/>
    <w:lvl w:ilvl="0" w:tplc="1B84EB76">
      <w:start w:val="1"/>
      <w:numFmt w:val="bullet"/>
      <w:lvlText w:val=""/>
      <w:lvlJc w:val="left"/>
      <w:pPr>
        <w:ind w:left="720" w:hanging="360"/>
      </w:pPr>
      <w:rPr>
        <w:rFonts w:hint="default" w:ascii="Symbol" w:hAnsi="Symbol"/>
      </w:rPr>
    </w:lvl>
    <w:lvl w:ilvl="1" w:tplc="ABBCE768">
      <w:start w:val="1"/>
      <w:numFmt w:val="bullet"/>
      <w:lvlText w:val="o"/>
      <w:lvlJc w:val="left"/>
      <w:pPr>
        <w:ind w:left="1440" w:hanging="360"/>
      </w:pPr>
      <w:rPr>
        <w:rFonts w:hint="default" w:ascii="Courier New" w:hAnsi="Courier New"/>
      </w:rPr>
    </w:lvl>
    <w:lvl w:ilvl="2" w:tplc="222C7EA6">
      <w:start w:val="1"/>
      <w:numFmt w:val="bullet"/>
      <w:lvlText w:val=""/>
      <w:lvlJc w:val="left"/>
      <w:pPr>
        <w:ind w:left="2160" w:hanging="360"/>
      </w:pPr>
      <w:rPr>
        <w:rFonts w:hint="default" w:ascii="Wingdings" w:hAnsi="Wingdings"/>
      </w:rPr>
    </w:lvl>
    <w:lvl w:ilvl="3" w:tplc="4B66119E">
      <w:start w:val="1"/>
      <w:numFmt w:val="bullet"/>
      <w:lvlText w:val=""/>
      <w:lvlJc w:val="left"/>
      <w:pPr>
        <w:ind w:left="2880" w:hanging="360"/>
      </w:pPr>
      <w:rPr>
        <w:rFonts w:hint="default" w:ascii="Symbol" w:hAnsi="Symbol"/>
      </w:rPr>
    </w:lvl>
    <w:lvl w:ilvl="4" w:tplc="1B9EC9E0">
      <w:start w:val="1"/>
      <w:numFmt w:val="bullet"/>
      <w:lvlText w:val="o"/>
      <w:lvlJc w:val="left"/>
      <w:pPr>
        <w:ind w:left="3600" w:hanging="360"/>
      </w:pPr>
      <w:rPr>
        <w:rFonts w:hint="default" w:ascii="Courier New" w:hAnsi="Courier New"/>
      </w:rPr>
    </w:lvl>
    <w:lvl w:ilvl="5" w:tplc="35A09CE8">
      <w:start w:val="1"/>
      <w:numFmt w:val="bullet"/>
      <w:lvlText w:val=""/>
      <w:lvlJc w:val="left"/>
      <w:pPr>
        <w:ind w:left="4320" w:hanging="360"/>
      </w:pPr>
      <w:rPr>
        <w:rFonts w:hint="default" w:ascii="Wingdings" w:hAnsi="Wingdings"/>
      </w:rPr>
    </w:lvl>
    <w:lvl w:ilvl="6" w:tplc="1FEADDA8">
      <w:start w:val="1"/>
      <w:numFmt w:val="bullet"/>
      <w:lvlText w:val=""/>
      <w:lvlJc w:val="left"/>
      <w:pPr>
        <w:ind w:left="5040" w:hanging="360"/>
      </w:pPr>
      <w:rPr>
        <w:rFonts w:hint="default" w:ascii="Symbol" w:hAnsi="Symbol"/>
      </w:rPr>
    </w:lvl>
    <w:lvl w:ilvl="7" w:tplc="FAC85148">
      <w:start w:val="1"/>
      <w:numFmt w:val="bullet"/>
      <w:lvlText w:val="o"/>
      <w:lvlJc w:val="left"/>
      <w:pPr>
        <w:ind w:left="5760" w:hanging="360"/>
      </w:pPr>
      <w:rPr>
        <w:rFonts w:hint="default" w:ascii="Courier New" w:hAnsi="Courier New"/>
      </w:rPr>
    </w:lvl>
    <w:lvl w:ilvl="8" w:tplc="AD18E884">
      <w:start w:val="1"/>
      <w:numFmt w:val="bullet"/>
      <w:lvlText w:val=""/>
      <w:lvlJc w:val="left"/>
      <w:pPr>
        <w:ind w:left="6480" w:hanging="360"/>
      </w:pPr>
      <w:rPr>
        <w:rFonts w:hint="default" w:ascii="Wingdings" w:hAnsi="Wingdings"/>
      </w:rPr>
    </w:lvl>
  </w:abstractNum>
  <w:abstractNum w:abstractNumId="11" w15:restartNumberingAfterBreak="0">
    <w:nsid w:val="51783E2A"/>
    <w:multiLevelType w:val="hybridMultilevel"/>
    <w:tmpl w:val="4ED00ADC"/>
    <w:lvl w:ilvl="0" w:tplc="D3EE0FCA">
      <w:start w:val="1"/>
      <w:numFmt w:val="bullet"/>
      <w:lvlText w:val=""/>
      <w:lvlJc w:val="left"/>
      <w:pPr>
        <w:ind w:left="720" w:hanging="360"/>
      </w:pPr>
      <w:rPr>
        <w:rFonts w:hint="default" w:ascii="Symbol" w:hAnsi="Symbol"/>
      </w:rPr>
    </w:lvl>
    <w:lvl w:ilvl="1" w:tplc="3F169E30">
      <w:start w:val="1"/>
      <w:numFmt w:val="bullet"/>
      <w:lvlText w:val="o"/>
      <w:lvlJc w:val="left"/>
      <w:pPr>
        <w:ind w:left="1440" w:hanging="360"/>
      </w:pPr>
      <w:rPr>
        <w:rFonts w:hint="default" w:ascii="Courier New" w:hAnsi="Courier New"/>
      </w:rPr>
    </w:lvl>
    <w:lvl w:ilvl="2" w:tplc="3F72497E">
      <w:start w:val="1"/>
      <w:numFmt w:val="bullet"/>
      <w:lvlText w:val=""/>
      <w:lvlJc w:val="left"/>
      <w:pPr>
        <w:ind w:left="2160" w:hanging="360"/>
      </w:pPr>
      <w:rPr>
        <w:rFonts w:hint="default" w:ascii="Wingdings" w:hAnsi="Wingdings"/>
      </w:rPr>
    </w:lvl>
    <w:lvl w:ilvl="3" w:tplc="E924BF8C">
      <w:start w:val="1"/>
      <w:numFmt w:val="bullet"/>
      <w:lvlText w:val=""/>
      <w:lvlJc w:val="left"/>
      <w:pPr>
        <w:ind w:left="2880" w:hanging="360"/>
      </w:pPr>
      <w:rPr>
        <w:rFonts w:hint="default" w:ascii="Symbol" w:hAnsi="Symbol"/>
      </w:rPr>
    </w:lvl>
    <w:lvl w:ilvl="4" w:tplc="FA16DD50">
      <w:start w:val="1"/>
      <w:numFmt w:val="bullet"/>
      <w:lvlText w:val="o"/>
      <w:lvlJc w:val="left"/>
      <w:pPr>
        <w:ind w:left="3600" w:hanging="360"/>
      </w:pPr>
      <w:rPr>
        <w:rFonts w:hint="default" w:ascii="Courier New" w:hAnsi="Courier New"/>
      </w:rPr>
    </w:lvl>
    <w:lvl w:ilvl="5" w:tplc="076C0186">
      <w:start w:val="1"/>
      <w:numFmt w:val="bullet"/>
      <w:lvlText w:val=""/>
      <w:lvlJc w:val="left"/>
      <w:pPr>
        <w:ind w:left="4320" w:hanging="360"/>
      </w:pPr>
      <w:rPr>
        <w:rFonts w:hint="default" w:ascii="Wingdings" w:hAnsi="Wingdings"/>
      </w:rPr>
    </w:lvl>
    <w:lvl w:ilvl="6" w:tplc="C3646D50">
      <w:start w:val="1"/>
      <w:numFmt w:val="bullet"/>
      <w:lvlText w:val=""/>
      <w:lvlJc w:val="left"/>
      <w:pPr>
        <w:ind w:left="5040" w:hanging="360"/>
      </w:pPr>
      <w:rPr>
        <w:rFonts w:hint="default" w:ascii="Symbol" w:hAnsi="Symbol"/>
      </w:rPr>
    </w:lvl>
    <w:lvl w:ilvl="7" w:tplc="0B56492A">
      <w:start w:val="1"/>
      <w:numFmt w:val="bullet"/>
      <w:lvlText w:val="o"/>
      <w:lvlJc w:val="left"/>
      <w:pPr>
        <w:ind w:left="5760" w:hanging="360"/>
      </w:pPr>
      <w:rPr>
        <w:rFonts w:hint="default" w:ascii="Courier New" w:hAnsi="Courier New"/>
      </w:rPr>
    </w:lvl>
    <w:lvl w:ilvl="8" w:tplc="48D45C7C">
      <w:start w:val="1"/>
      <w:numFmt w:val="bullet"/>
      <w:lvlText w:val=""/>
      <w:lvlJc w:val="left"/>
      <w:pPr>
        <w:ind w:left="6480" w:hanging="360"/>
      </w:pPr>
      <w:rPr>
        <w:rFonts w:hint="default" w:ascii="Wingdings" w:hAnsi="Wingdings"/>
      </w:rPr>
    </w:lvl>
  </w:abstractNum>
  <w:abstractNum w:abstractNumId="12" w15:restartNumberingAfterBreak="0">
    <w:nsid w:val="5D72B42E"/>
    <w:multiLevelType w:val="hybridMultilevel"/>
    <w:tmpl w:val="E342D6A0"/>
    <w:lvl w:ilvl="0" w:tplc="5018334C">
      <w:start w:val="1"/>
      <w:numFmt w:val="bullet"/>
      <w:lvlText w:val=""/>
      <w:lvlJc w:val="left"/>
      <w:pPr>
        <w:ind w:left="720" w:hanging="360"/>
      </w:pPr>
      <w:rPr>
        <w:rFonts w:hint="default" w:ascii="Symbol" w:hAnsi="Symbol"/>
      </w:rPr>
    </w:lvl>
    <w:lvl w:ilvl="1" w:tplc="7A6CFCF0">
      <w:start w:val="1"/>
      <w:numFmt w:val="bullet"/>
      <w:lvlText w:val="o"/>
      <w:lvlJc w:val="left"/>
      <w:pPr>
        <w:ind w:left="1440" w:hanging="360"/>
      </w:pPr>
      <w:rPr>
        <w:rFonts w:hint="default" w:ascii="Courier New" w:hAnsi="Courier New"/>
      </w:rPr>
    </w:lvl>
    <w:lvl w:ilvl="2" w:tplc="3192F872">
      <w:start w:val="1"/>
      <w:numFmt w:val="bullet"/>
      <w:lvlText w:val=""/>
      <w:lvlJc w:val="left"/>
      <w:pPr>
        <w:ind w:left="2160" w:hanging="360"/>
      </w:pPr>
      <w:rPr>
        <w:rFonts w:hint="default" w:ascii="Wingdings" w:hAnsi="Wingdings"/>
      </w:rPr>
    </w:lvl>
    <w:lvl w:ilvl="3" w:tplc="DECE05EE">
      <w:start w:val="1"/>
      <w:numFmt w:val="bullet"/>
      <w:lvlText w:val=""/>
      <w:lvlJc w:val="left"/>
      <w:pPr>
        <w:ind w:left="2880" w:hanging="360"/>
      </w:pPr>
      <w:rPr>
        <w:rFonts w:hint="default" w:ascii="Symbol" w:hAnsi="Symbol"/>
      </w:rPr>
    </w:lvl>
    <w:lvl w:ilvl="4" w:tplc="E11202E0">
      <w:start w:val="1"/>
      <w:numFmt w:val="bullet"/>
      <w:lvlText w:val="o"/>
      <w:lvlJc w:val="left"/>
      <w:pPr>
        <w:ind w:left="3600" w:hanging="360"/>
      </w:pPr>
      <w:rPr>
        <w:rFonts w:hint="default" w:ascii="Courier New" w:hAnsi="Courier New"/>
      </w:rPr>
    </w:lvl>
    <w:lvl w:ilvl="5" w:tplc="BA1662D6">
      <w:start w:val="1"/>
      <w:numFmt w:val="bullet"/>
      <w:lvlText w:val=""/>
      <w:lvlJc w:val="left"/>
      <w:pPr>
        <w:ind w:left="4320" w:hanging="360"/>
      </w:pPr>
      <w:rPr>
        <w:rFonts w:hint="default" w:ascii="Wingdings" w:hAnsi="Wingdings"/>
      </w:rPr>
    </w:lvl>
    <w:lvl w:ilvl="6" w:tplc="0A769EE8">
      <w:start w:val="1"/>
      <w:numFmt w:val="bullet"/>
      <w:lvlText w:val=""/>
      <w:lvlJc w:val="left"/>
      <w:pPr>
        <w:ind w:left="5040" w:hanging="360"/>
      </w:pPr>
      <w:rPr>
        <w:rFonts w:hint="default" w:ascii="Symbol" w:hAnsi="Symbol"/>
      </w:rPr>
    </w:lvl>
    <w:lvl w:ilvl="7" w:tplc="D36C852E">
      <w:start w:val="1"/>
      <w:numFmt w:val="bullet"/>
      <w:lvlText w:val="o"/>
      <w:lvlJc w:val="left"/>
      <w:pPr>
        <w:ind w:left="5760" w:hanging="360"/>
      </w:pPr>
      <w:rPr>
        <w:rFonts w:hint="default" w:ascii="Courier New" w:hAnsi="Courier New"/>
      </w:rPr>
    </w:lvl>
    <w:lvl w:ilvl="8" w:tplc="CACEEC56">
      <w:start w:val="1"/>
      <w:numFmt w:val="bullet"/>
      <w:lvlText w:val=""/>
      <w:lvlJc w:val="left"/>
      <w:pPr>
        <w:ind w:left="6480" w:hanging="360"/>
      </w:pPr>
      <w:rPr>
        <w:rFonts w:hint="default" w:ascii="Wingdings" w:hAnsi="Wingdings"/>
      </w:rPr>
    </w:lvl>
  </w:abstractNum>
  <w:abstractNum w:abstractNumId="13" w15:restartNumberingAfterBreak="0">
    <w:nsid w:val="65EE4918"/>
    <w:multiLevelType w:val="hybridMultilevel"/>
    <w:tmpl w:val="F60A857E"/>
    <w:lvl w:ilvl="0" w:tplc="997CC402">
      <w:start w:val="1"/>
      <w:numFmt w:val="bullet"/>
      <w:lvlText w:val=""/>
      <w:lvlJc w:val="left"/>
      <w:pPr>
        <w:ind w:left="720" w:hanging="360"/>
      </w:pPr>
      <w:rPr>
        <w:rFonts w:hint="default" w:ascii="Symbol" w:hAnsi="Symbol"/>
      </w:rPr>
    </w:lvl>
    <w:lvl w:ilvl="1" w:tplc="3B0CC52E">
      <w:start w:val="1"/>
      <w:numFmt w:val="bullet"/>
      <w:lvlText w:val="o"/>
      <w:lvlJc w:val="left"/>
      <w:pPr>
        <w:ind w:left="1440" w:hanging="360"/>
      </w:pPr>
      <w:rPr>
        <w:rFonts w:hint="default" w:ascii="Courier New" w:hAnsi="Courier New"/>
      </w:rPr>
    </w:lvl>
    <w:lvl w:ilvl="2" w:tplc="0A8AB394">
      <w:start w:val="1"/>
      <w:numFmt w:val="bullet"/>
      <w:lvlText w:val=""/>
      <w:lvlJc w:val="left"/>
      <w:pPr>
        <w:ind w:left="2160" w:hanging="360"/>
      </w:pPr>
      <w:rPr>
        <w:rFonts w:hint="default" w:ascii="Wingdings" w:hAnsi="Wingdings"/>
      </w:rPr>
    </w:lvl>
    <w:lvl w:ilvl="3" w:tplc="AFE0A7DA">
      <w:start w:val="1"/>
      <w:numFmt w:val="bullet"/>
      <w:lvlText w:val=""/>
      <w:lvlJc w:val="left"/>
      <w:pPr>
        <w:ind w:left="2880" w:hanging="360"/>
      </w:pPr>
      <w:rPr>
        <w:rFonts w:hint="default" w:ascii="Symbol" w:hAnsi="Symbol"/>
      </w:rPr>
    </w:lvl>
    <w:lvl w:ilvl="4" w:tplc="D1C4DBDC">
      <w:start w:val="1"/>
      <w:numFmt w:val="bullet"/>
      <w:lvlText w:val="o"/>
      <w:lvlJc w:val="left"/>
      <w:pPr>
        <w:ind w:left="3600" w:hanging="360"/>
      </w:pPr>
      <w:rPr>
        <w:rFonts w:hint="default" w:ascii="Courier New" w:hAnsi="Courier New"/>
      </w:rPr>
    </w:lvl>
    <w:lvl w:ilvl="5" w:tplc="33C467AA">
      <w:start w:val="1"/>
      <w:numFmt w:val="bullet"/>
      <w:lvlText w:val=""/>
      <w:lvlJc w:val="left"/>
      <w:pPr>
        <w:ind w:left="4320" w:hanging="360"/>
      </w:pPr>
      <w:rPr>
        <w:rFonts w:hint="default" w:ascii="Wingdings" w:hAnsi="Wingdings"/>
      </w:rPr>
    </w:lvl>
    <w:lvl w:ilvl="6" w:tplc="558C65B8">
      <w:start w:val="1"/>
      <w:numFmt w:val="bullet"/>
      <w:lvlText w:val=""/>
      <w:lvlJc w:val="left"/>
      <w:pPr>
        <w:ind w:left="5040" w:hanging="360"/>
      </w:pPr>
      <w:rPr>
        <w:rFonts w:hint="default" w:ascii="Symbol" w:hAnsi="Symbol"/>
      </w:rPr>
    </w:lvl>
    <w:lvl w:ilvl="7" w:tplc="9AB0D340">
      <w:start w:val="1"/>
      <w:numFmt w:val="bullet"/>
      <w:lvlText w:val="o"/>
      <w:lvlJc w:val="left"/>
      <w:pPr>
        <w:ind w:left="5760" w:hanging="360"/>
      </w:pPr>
      <w:rPr>
        <w:rFonts w:hint="default" w:ascii="Courier New" w:hAnsi="Courier New"/>
      </w:rPr>
    </w:lvl>
    <w:lvl w:ilvl="8" w:tplc="DFB6E23C">
      <w:start w:val="1"/>
      <w:numFmt w:val="bullet"/>
      <w:lvlText w:val=""/>
      <w:lvlJc w:val="left"/>
      <w:pPr>
        <w:ind w:left="6480" w:hanging="360"/>
      </w:pPr>
      <w:rPr>
        <w:rFonts w:hint="default" w:ascii="Wingdings" w:hAnsi="Wingdings"/>
      </w:rPr>
    </w:lvl>
  </w:abstractNum>
  <w:abstractNum w:abstractNumId="14" w15:restartNumberingAfterBreak="0">
    <w:nsid w:val="668E2FA2"/>
    <w:multiLevelType w:val="multilevel"/>
    <w:tmpl w:val="7E2AAC36"/>
    <w:lvl w:ilvl="0">
      <w:start w:val="1"/>
      <w:numFmt w:val="decimal"/>
      <w:pStyle w:val="Numberedlist"/>
      <w:lvlText w:val="%1."/>
      <w:lvlJc w:val="left"/>
      <w:pPr>
        <w:ind w:left="425" w:hanging="425"/>
      </w:pPr>
      <w:rPr>
        <w:rFonts w:hint="default"/>
      </w:rPr>
    </w:lvl>
    <w:lvl w:ilvl="1">
      <w:start w:val="1"/>
      <w:numFmt w:val="bullet"/>
      <w:lvlText w:val="-"/>
      <w:lvlJc w:val="left"/>
      <w:pPr>
        <w:ind w:left="850" w:hanging="425"/>
      </w:pPr>
      <w:rPr>
        <w:rFonts w:hint="default" w:ascii="Courier New" w:hAnsi="Courier New"/>
      </w:rPr>
    </w:lvl>
    <w:lvl w:ilvl="2">
      <w:start w:val="1"/>
      <w:numFmt w:val="bullet"/>
      <w:lvlText w:val=""/>
      <w:lvlJc w:val="left"/>
      <w:pPr>
        <w:ind w:left="1275" w:hanging="425"/>
      </w:pPr>
      <w:rPr>
        <w:rFonts w:hint="default" w:ascii="Wingdings" w:hAnsi="Wingdings"/>
      </w:rPr>
    </w:lvl>
    <w:lvl w:ilvl="3">
      <w:start w:val="1"/>
      <w:numFmt w:val="bullet"/>
      <w:lvlText w:val=""/>
      <w:lvlJc w:val="left"/>
      <w:pPr>
        <w:ind w:left="1700" w:hanging="425"/>
      </w:pPr>
      <w:rPr>
        <w:rFonts w:hint="default" w:ascii="Symbol" w:hAnsi="Symbol"/>
      </w:rPr>
    </w:lvl>
    <w:lvl w:ilvl="4">
      <w:start w:val="1"/>
      <w:numFmt w:val="bullet"/>
      <w:lvlText w:val="-"/>
      <w:lvlJc w:val="left"/>
      <w:pPr>
        <w:ind w:left="2125" w:hanging="425"/>
      </w:pPr>
      <w:rPr>
        <w:rFonts w:hint="default" w:ascii="Arial" w:hAnsi="Arial"/>
      </w:rPr>
    </w:lvl>
    <w:lvl w:ilvl="5">
      <w:start w:val="1"/>
      <w:numFmt w:val="bullet"/>
      <w:lvlText w:val=""/>
      <w:lvlJc w:val="left"/>
      <w:pPr>
        <w:ind w:left="2550" w:hanging="425"/>
      </w:pPr>
      <w:rPr>
        <w:rFonts w:hint="default" w:ascii="Wingdings" w:hAnsi="Wingdings"/>
      </w:rPr>
    </w:lvl>
    <w:lvl w:ilvl="6">
      <w:start w:val="1"/>
      <w:numFmt w:val="bullet"/>
      <w:lvlText w:val=""/>
      <w:lvlJc w:val="left"/>
      <w:pPr>
        <w:ind w:left="2975" w:hanging="425"/>
      </w:pPr>
      <w:rPr>
        <w:rFonts w:hint="default" w:ascii="Symbol" w:hAnsi="Symbol"/>
      </w:rPr>
    </w:lvl>
    <w:lvl w:ilvl="7">
      <w:start w:val="1"/>
      <w:numFmt w:val="bullet"/>
      <w:lvlText w:val="-"/>
      <w:lvlJc w:val="left"/>
      <w:pPr>
        <w:ind w:left="3400" w:hanging="425"/>
      </w:pPr>
      <w:rPr>
        <w:rFonts w:hint="default" w:ascii="Arial" w:hAnsi="Arial"/>
      </w:rPr>
    </w:lvl>
    <w:lvl w:ilvl="8">
      <w:start w:val="1"/>
      <w:numFmt w:val="bullet"/>
      <w:lvlText w:val=""/>
      <w:lvlJc w:val="left"/>
      <w:pPr>
        <w:ind w:left="3825" w:hanging="425"/>
      </w:pPr>
      <w:rPr>
        <w:rFonts w:hint="default" w:ascii="Wingdings" w:hAnsi="Wingdings"/>
      </w:rPr>
    </w:lvl>
  </w:abstractNum>
  <w:abstractNum w:abstractNumId="15" w15:restartNumberingAfterBreak="0">
    <w:nsid w:val="709148BD"/>
    <w:multiLevelType w:val="hybridMultilevel"/>
    <w:tmpl w:val="C336968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F0F3E2E"/>
    <w:multiLevelType w:val="hybridMultilevel"/>
    <w:tmpl w:val="3E8AC524"/>
    <w:lvl w:ilvl="0" w:tplc="0C090001">
      <w:start w:val="1"/>
      <w:numFmt w:val="bullet"/>
      <w:lvlText w:val=""/>
      <w:lvlJc w:val="left"/>
      <w:pPr>
        <w:ind w:left="360" w:hanging="360"/>
      </w:pPr>
      <w:rPr>
        <w:rFonts w:hint="default" w:ascii="Symbol" w:hAnsi="Symbol"/>
      </w:rPr>
    </w:lvl>
    <w:lvl w:ilvl="1" w:tplc="0C090003" w:tentative="1">
      <w:start w:val="1"/>
      <w:numFmt w:val="bullet"/>
      <w:lvlText w:val="o"/>
      <w:lvlJc w:val="left"/>
      <w:pPr>
        <w:ind w:left="1080" w:hanging="360"/>
      </w:pPr>
      <w:rPr>
        <w:rFonts w:hint="default" w:ascii="Courier New" w:hAnsi="Courier New" w:cs="Courier New"/>
      </w:rPr>
    </w:lvl>
    <w:lvl w:ilvl="2" w:tplc="0C090005" w:tentative="1">
      <w:start w:val="1"/>
      <w:numFmt w:val="bullet"/>
      <w:lvlText w:val=""/>
      <w:lvlJc w:val="left"/>
      <w:pPr>
        <w:ind w:left="1800" w:hanging="360"/>
      </w:pPr>
      <w:rPr>
        <w:rFonts w:hint="default" w:ascii="Wingdings" w:hAnsi="Wingdings"/>
      </w:rPr>
    </w:lvl>
    <w:lvl w:ilvl="3" w:tplc="0C090001" w:tentative="1">
      <w:start w:val="1"/>
      <w:numFmt w:val="bullet"/>
      <w:lvlText w:val=""/>
      <w:lvlJc w:val="left"/>
      <w:pPr>
        <w:ind w:left="2520" w:hanging="360"/>
      </w:pPr>
      <w:rPr>
        <w:rFonts w:hint="default" w:ascii="Symbol" w:hAnsi="Symbol"/>
      </w:rPr>
    </w:lvl>
    <w:lvl w:ilvl="4" w:tplc="0C090003" w:tentative="1">
      <w:start w:val="1"/>
      <w:numFmt w:val="bullet"/>
      <w:lvlText w:val="o"/>
      <w:lvlJc w:val="left"/>
      <w:pPr>
        <w:ind w:left="3240" w:hanging="360"/>
      </w:pPr>
      <w:rPr>
        <w:rFonts w:hint="default" w:ascii="Courier New" w:hAnsi="Courier New" w:cs="Courier New"/>
      </w:rPr>
    </w:lvl>
    <w:lvl w:ilvl="5" w:tplc="0C090005" w:tentative="1">
      <w:start w:val="1"/>
      <w:numFmt w:val="bullet"/>
      <w:lvlText w:val=""/>
      <w:lvlJc w:val="left"/>
      <w:pPr>
        <w:ind w:left="3960" w:hanging="360"/>
      </w:pPr>
      <w:rPr>
        <w:rFonts w:hint="default" w:ascii="Wingdings" w:hAnsi="Wingdings"/>
      </w:rPr>
    </w:lvl>
    <w:lvl w:ilvl="6" w:tplc="0C090001" w:tentative="1">
      <w:start w:val="1"/>
      <w:numFmt w:val="bullet"/>
      <w:lvlText w:val=""/>
      <w:lvlJc w:val="left"/>
      <w:pPr>
        <w:ind w:left="4680" w:hanging="360"/>
      </w:pPr>
      <w:rPr>
        <w:rFonts w:hint="default" w:ascii="Symbol" w:hAnsi="Symbol"/>
      </w:rPr>
    </w:lvl>
    <w:lvl w:ilvl="7" w:tplc="0C090003" w:tentative="1">
      <w:start w:val="1"/>
      <w:numFmt w:val="bullet"/>
      <w:lvlText w:val="o"/>
      <w:lvlJc w:val="left"/>
      <w:pPr>
        <w:ind w:left="5400" w:hanging="360"/>
      </w:pPr>
      <w:rPr>
        <w:rFonts w:hint="default" w:ascii="Courier New" w:hAnsi="Courier New" w:cs="Courier New"/>
      </w:rPr>
    </w:lvl>
    <w:lvl w:ilvl="8" w:tplc="0C090005" w:tentative="1">
      <w:start w:val="1"/>
      <w:numFmt w:val="bullet"/>
      <w:lvlText w:val=""/>
      <w:lvlJc w:val="left"/>
      <w:pPr>
        <w:ind w:left="6120" w:hanging="360"/>
      </w:pPr>
      <w:rPr>
        <w:rFonts w:hint="default" w:ascii="Wingdings" w:hAnsi="Wingdings"/>
      </w:rPr>
    </w:lvl>
  </w:abstractNum>
  <w:num w:numId="1" w16cid:durableId="1648431774">
    <w:abstractNumId w:val="4"/>
  </w:num>
  <w:num w:numId="2" w16cid:durableId="842209657">
    <w:abstractNumId w:val="3"/>
  </w:num>
  <w:num w:numId="3" w16cid:durableId="660542573">
    <w:abstractNumId w:val="14"/>
  </w:num>
  <w:num w:numId="4" w16cid:durableId="1431437445">
    <w:abstractNumId w:val="2"/>
  </w:num>
  <w:num w:numId="5" w16cid:durableId="1500121526">
    <w:abstractNumId w:val="4"/>
  </w:num>
  <w:num w:numId="6" w16cid:durableId="2133278597">
    <w:abstractNumId w:val="4"/>
  </w:num>
  <w:num w:numId="7" w16cid:durableId="229577723">
    <w:abstractNumId w:val="3"/>
  </w:num>
  <w:num w:numId="8" w16cid:durableId="797258950">
    <w:abstractNumId w:val="14"/>
  </w:num>
  <w:num w:numId="9" w16cid:durableId="420297118">
    <w:abstractNumId w:val="9"/>
  </w:num>
  <w:num w:numId="10" w16cid:durableId="108161501">
    <w:abstractNumId w:val="16"/>
  </w:num>
  <w:num w:numId="11" w16cid:durableId="206068952">
    <w:abstractNumId w:val="1"/>
  </w:num>
  <w:num w:numId="12" w16cid:durableId="267735786">
    <w:abstractNumId w:val="7"/>
  </w:num>
  <w:num w:numId="13" w16cid:durableId="963192393">
    <w:abstractNumId w:val="5"/>
  </w:num>
  <w:num w:numId="14" w16cid:durableId="1875606950">
    <w:abstractNumId w:val="8"/>
  </w:num>
  <w:num w:numId="15" w16cid:durableId="1879662482">
    <w:abstractNumId w:val="6"/>
  </w:num>
  <w:num w:numId="16" w16cid:durableId="1539390187">
    <w:abstractNumId w:val="11"/>
  </w:num>
  <w:num w:numId="17" w16cid:durableId="246774276">
    <w:abstractNumId w:val="13"/>
  </w:num>
  <w:num w:numId="18" w16cid:durableId="647443667">
    <w:abstractNumId w:val="10"/>
  </w:num>
  <w:num w:numId="19" w16cid:durableId="401024299">
    <w:abstractNumId w:val="12"/>
  </w:num>
  <w:num w:numId="20" w16cid:durableId="892886546">
    <w:abstractNumId w:val="0"/>
  </w:num>
  <w:num w:numId="21" w16cid:durableId="14451515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2803683">
    <w:abstractNumId w:val="14"/>
  </w:num>
  <w:num w:numId="23" w16cid:durableId="1203400052">
    <w:abstractNumId w:val="15"/>
  </w:num>
  <w:num w:numId="24" w16cid:durableId="1377646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15585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960599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4"/>
  <w:proofState w:spelling="clean" w:grammar="dirty"/>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on="f" color="white"/>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5EE"/>
    <w:rsid w:val="00000822"/>
    <w:rsid w:val="00003728"/>
    <w:rsid w:val="00004B91"/>
    <w:rsid w:val="000068B9"/>
    <w:rsid w:val="000115AB"/>
    <w:rsid w:val="00011724"/>
    <w:rsid w:val="00012DA7"/>
    <w:rsid w:val="00014646"/>
    <w:rsid w:val="0001473F"/>
    <w:rsid w:val="00014D0A"/>
    <w:rsid w:val="00015018"/>
    <w:rsid w:val="000246D6"/>
    <w:rsid w:val="00025C12"/>
    <w:rsid w:val="000347FB"/>
    <w:rsid w:val="00035A11"/>
    <w:rsid w:val="00041918"/>
    <w:rsid w:val="00041D05"/>
    <w:rsid w:val="00042268"/>
    <w:rsid w:val="00043534"/>
    <w:rsid w:val="000457ED"/>
    <w:rsid w:val="00046D4C"/>
    <w:rsid w:val="00047707"/>
    <w:rsid w:val="00050A6B"/>
    <w:rsid w:val="000513FD"/>
    <w:rsid w:val="00052D11"/>
    <w:rsid w:val="00053BD7"/>
    <w:rsid w:val="00053CC3"/>
    <w:rsid w:val="00053D2F"/>
    <w:rsid w:val="0005461D"/>
    <w:rsid w:val="0005626F"/>
    <w:rsid w:val="0005685E"/>
    <w:rsid w:val="000570A6"/>
    <w:rsid w:val="00061582"/>
    <w:rsid w:val="0007056C"/>
    <w:rsid w:val="00070945"/>
    <w:rsid w:val="00074B4B"/>
    <w:rsid w:val="00075506"/>
    <w:rsid w:val="00080F06"/>
    <w:rsid w:val="00080FC2"/>
    <w:rsid w:val="000825CF"/>
    <w:rsid w:val="00082EB1"/>
    <w:rsid w:val="00083D66"/>
    <w:rsid w:val="000848B6"/>
    <w:rsid w:val="000858DB"/>
    <w:rsid w:val="000905E4"/>
    <w:rsid w:val="0009157D"/>
    <w:rsid w:val="00091E68"/>
    <w:rsid w:val="00096D01"/>
    <w:rsid w:val="000A3AA0"/>
    <w:rsid w:val="000A3F9B"/>
    <w:rsid w:val="000A4C7E"/>
    <w:rsid w:val="000A6268"/>
    <w:rsid w:val="000B4346"/>
    <w:rsid w:val="000B4DF9"/>
    <w:rsid w:val="000B6A88"/>
    <w:rsid w:val="000C0F4E"/>
    <w:rsid w:val="000C36A3"/>
    <w:rsid w:val="000C3973"/>
    <w:rsid w:val="000C48B1"/>
    <w:rsid w:val="000C57C6"/>
    <w:rsid w:val="000C76AA"/>
    <w:rsid w:val="000D713F"/>
    <w:rsid w:val="000D742A"/>
    <w:rsid w:val="000E058F"/>
    <w:rsid w:val="000E07C3"/>
    <w:rsid w:val="000E1D08"/>
    <w:rsid w:val="000E5739"/>
    <w:rsid w:val="000E77F0"/>
    <w:rsid w:val="000F1EB3"/>
    <w:rsid w:val="000F288B"/>
    <w:rsid w:val="000F3A4B"/>
    <w:rsid w:val="000F79EA"/>
    <w:rsid w:val="00100692"/>
    <w:rsid w:val="0010164B"/>
    <w:rsid w:val="00107118"/>
    <w:rsid w:val="00110D97"/>
    <w:rsid w:val="00112DAD"/>
    <w:rsid w:val="001171E4"/>
    <w:rsid w:val="0012007C"/>
    <w:rsid w:val="00120E2E"/>
    <w:rsid w:val="00121181"/>
    <w:rsid w:val="00122329"/>
    <w:rsid w:val="00124B00"/>
    <w:rsid w:val="00126471"/>
    <w:rsid w:val="00126ADF"/>
    <w:rsid w:val="00126BEE"/>
    <w:rsid w:val="00127D91"/>
    <w:rsid w:val="001324A3"/>
    <w:rsid w:val="0013675B"/>
    <w:rsid w:val="00136C50"/>
    <w:rsid w:val="00137347"/>
    <w:rsid w:val="00143C66"/>
    <w:rsid w:val="00144A90"/>
    <w:rsid w:val="00154D8C"/>
    <w:rsid w:val="001600FA"/>
    <w:rsid w:val="001616DD"/>
    <w:rsid w:val="00161AE4"/>
    <w:rsid w:val="00161FDC"/>
    <w:rsid w:val="00164AA5"/>
    <w:rsid w:val="001660FE"/>
    <w:rsid w:val="00167C17"/>
    <w:rsid w:val="0017051B"/>
    <w:rsid w:val="00172DE7"/>
    <w:rsid w:val="00174ECE"/>
    <w:rsid w:val="00175212"/>
    <w:rsid w:val="00175FF8"/>
    <w:rsid w:val="001767CA"/>
    <w:rsid w:val="00181729"/>
    <w:rsid w:val="001819E4"/>
    <w:rsid w:val="00184284"/>
    <w:rsid w:val="00184480"/>
    <w:rsid w:val="00184D6D"/>
    <w:rsid w:val="00184F59"/>
    <w:rsid w:val="00185C37"/>
    <w:rsid w:val="00186FB7"/>
    <w:rsid w:val="00187537"/>
    <w:rsid w:val="00191413"/>
    <w:rsid w:val="0019193E"/>
    <w:rsid w:val="00192C70"/>
    <w:rsid w:val="001935B4"/>
    <w:rsid w:val="00193907"/>
    <w:rsid w:val="00195EFB"/>
    <w:rsid w:val="001A1DD6"/>
    <w:rsid w:val="001A2273"/>
    <w:rsid w:val="001B0DC3"/>
    <w:rsid w:val="001B1D4D"/>
    <w:rsid w:val="001B3430"/>
    <w:rsid w:val="001C108E"/>
    <w:rsid w:val="001C263F"/>
    <w:rsid w:val="001D12A9"/>
    <w:rsid w:val="001D140D"/>
    <w:rsid w:val="001D150B"/>
    <w:rsid w:val="001D195F"/>
    <w:rsid w:val="001D780B"/>
    <w:rsid w:val="001D7907"/>
    <w:rsid w:val="001E0BEA"/>
    <w:rsid w:val="001E0BED"/>
    <w:rsid w:val="001E30A5"/>
    <w:rsid w:val="001E3D5B"/>
    <w:rsid w:val="001E4A13"/>
    <w:rsid w:val="001E4EF9"/>
    <w:rsid w:val="001E579B"/>
    <w:rsid w:val="001E5FF2"/>
    <w:rsid w:val="001E626E"/>
    <w:rsid w:val="001E7077"/>
    <w:rsid w:val="001E7A17"/>
    <w:rsid w:val="001F0765"/>
    <w:rsid w:val="001F29F4"/>
    <w:rsid w:val="001F4369"/>
    <w:rsid w:val="001F49DF"/>
    <w:rsid w:val="001F5AE3"/>
    <w:rsid w:val="001F656A"/>
    <w:rsid w:val="002012D2"/>
    <w:rsid w:val="0020360D"/>
    <w:rsid w:val="00211BFA"/>
    <w:rsid w:val="00212F1D"/>
    <w:rsid w:val="00221179"/>
    <w:rsid w:val="0022138F"/>
    <w:rsid w:val="00225769"/>
    <w:rsid w:val="00225E3B"/>
    <w:rsid w:val="00227104"/>
    <w:rsid w:val="00230054"/>
    <w:rsid w:val="0023668B"/>
    <w:rsid w:val="00236925"/>
    <w:rsid w:val="00237140"/>
    <w:rsid w:val="00240DC9"/>
    <w:rsid w:val="00242601"/>
    <w:rsid w:val="002427B0"/>
    <w:rsid w:val="00244149"/>
    <w:rsid w:val="00244AB1"/>
    <w:rsid w:val="00245BF4"/>
    <w:rsid w:val="00246EDC"/>
    <w:rsid w:val="00247BAF"/>
    <w:rsid w:val="00251D96"/>
    <w:rsid w:val="00253A48"/>
    <w:rsid w:val="00253EC8"/>
    <w:rsid w:val="0025483C"/>
    <w:rsid w:val="00256701"/>
    <w:rsid w:val="0026085A"/>
    <w:rsid w:val="002700D3"/>
    <w:rsid w:val="00271B80"/>
    <w:rsid w:val="0027262B"/>
    <w:rsid w:val="00281830"/>
    <w:rsid w:val="002827C4"/>
    <w:rsid w:val="00284D13"/>
    <w:rsid w:val="00292A6B"/>
    <w:rsid w:val="00293B6B"/>
    <w:rsid w:val="00294B76"/>
    <w:rsid w:val="00294F1A"/>
    <w:rsid w:val="0029655B"/>
    <w:rsid w:val="002A0163"/>
    <w:rsid w:val="002A295E"/>
    <w:rsid w:val="002B2713"/>
    <w:rsid w:val="002B3511"/>
    <w:rsid w:val="002B3D19"/>
    <w:rsid w:val="002B3F13"/>
    <w:rsid w:val="002B4260"/>
    <w:rsid w:val="002B5D29"/>
    <w:rsid w:val="002C39F9"/>
    <w:rsid w:val="002C58B8"/>
    <w:rsid w:val="002C7500"/>
    <w:rsid w:val="002C75BC"/>
    <w:rsid w:val="002D1CA0"/>
    <w:rsid w:val="002D22CF"/>
    <w:rsid w:val="002D56A1"/>
    <w:rsid w:val="002D59A9"/>
    <w:rsid w:val="002D5A00"/>
    <w:rsid w:val="002E1FA1"/>
    <w:rsid w:val="002E2C5F"/>
    <w:rsid w:val="002E63E1"/>
    <w:rsid w:val="002E6515"/>
    <w:rsid w:val="002E6517"/>
    <w:rsid w:val="002E6687"/>
    <w:rsid w:val="002F2A26"/>
    <w:rsid w:val="002F6957"/>
    <w:rsid w:val="002F6CB3"/>
    <w:rsid w:val="002F7DE5"/>
    <w:rsid w:val="002F7DF1"/>
    <w:rsid w:val="003007EA"/>
    <w:rsid w:val="003027B6"/>
    <w:rsid w:val="00306981"/>
    <w:rsid w:val="00307FDA"/>
    <w:rsid w:val="00312C39"/>
    <w:rsid w:val="00316881"/>
    <w:rsid w:val="00317101"/>
    <w:rsid w:val="003172CB"/>
    <w:rsid w:val="00317591"/>
    <w:rsid w:val="00317F10"/>
    <w:rsid w:val="003217E1"/>
    <w:rsid w:val="003218C1"/>
    <w:rsid w:val="0032423A"/>
    <w:rsid w:val="003247E9"/>
    <w:rsid w:val="00325843"/>
    <w:rsid w:val="00330A1E"/>
    <w:rsid w:val="00331E2B"/>
    <w:rsid w:val="003321DE"/>
    <w:rsid w:val="00333A73"/>
    <w:rsid w:val="00334700"/>
    <w:rsid w:val="003352BA"/>
    <w:rsid w:val="003366C8"/>
    <w:rsid w:val="0033770B"/>
    <w:rsid w:val="0034072B"/>
    <w:rsid w:val="003412E9"/>
    <w:rsid w:val="00341CBC"/>
    <w:rsid w:val="00342839"/>
    <w:rsid w:val="00343A44"/>
    <w:rsid w:val="003444DC"/>
    <w:rsid w:val="00350211"/>
    <w:rsid w:val="003518BF"/>
    <w:rsid w:val="0035392C"/>
    <w:rsid w:val="00354558"/>
    <w:rsid w:val="0036465D"/>
    <w:rsid w:val="003677A8"/>
    <w:rsid w:val="00372477"/>
    <w:rsid w:val="00372544"/>
    <w:rsid w:val="0037341B"/>
    <w:rsid w:val="00374E92"/>
    <w:rsid w:val="00376B5F"/>
    <w:rsid w:val="003817A2"/>
    <w:rsid w:val="00385359"/>
    <w:rsid w:val="00385468"/>
    <w:rsid w:val="00390CE7"/>
    <w:rsid w:val="00390DAE"/>
    <w:rsid w:val="00393FF3"/>
    <w:rsid w:val="0039618C"/>
    <w:rsid w:val="0039633A"/>
    <w:rsid w:val="00396B90"/>
    <w:rsid w:val="003A0BC9"/>
    <w:rsid w:val="003A0D26"/>
    <w:rsid w:val="003A21CD"/>
    <w:rsid w:val="003A2A9E"/>
    <w:rsid w:val="003A40A7"/>
    <w:rsid w:val="003A5ADA"/>
    <w:rsid w:val="003A6511"/>
    <w:rsid w:val="003A75DC"/>
    <w:rsid w:val="003B2735"/>
    <w:rsid w:val="003B28A5"/>
    <w:rsid w:val="003B3F9A"/>
    <w:rsid w:val="003B57A1"/>
    <w:rsid w:val="003B661D"/>
    <w:rsid w:val="003B720D"/>
    <w:rsid w:val="003B760C"/>
    <w:rsid w:val="003C218A"/>
    <w:rsid w:val="003C4430"/>
    <w:rsid w:val="003C5F3E"/>
    <w:rsid w:val="003C7810"/>
    <w:rsid w:val="003D10DD"/>
    <w:rsid w:val="003D3B16"/>
    <w:rsid w:val="003D60E0"/>
    <w:rsid w:val="003D709B"/>
    <w:rsid w:val="003D7463"/>
    <w:rsid w:val="003E0103"/>
    <w:rsid w:val="003E727F"/>
    <w:rsid w:val="003E7D3D"/>
    <w:rsid w:val="003F01DF"/>
    <w:rsid w:val="003F2C18"/>
    <w:rsid w:val="003F6C0E"/>
    <w:rsid w:val="00407C75"/>
    <w:rsid w:val="004132C5"/>
    <w:rsid w:val="00414064"/>
    <w:rsid w:val="00415DFF"/>
    <w:rsid w:val="00417745"/>
    <w:rsid w:val="00421D62"/>
    <w:rsid w:val="00423CA6"/>
    <w:rsid w:val="00430454"/>
    <w:rsid w:val="004326A8"/>
    <w:rsid w:val="004328A4"/>
    <w:rsid w:val="00436B86"/>
    <w:rsid w:val="0043706A"/>
    <w:rsid w:val="004401B0"/>
    <w:rsid w:val="00441154"/>
    <w:rsid w:val="00441D90"/>
    <w:rsid w:val="00442224"/>
    <w:rsid w:val="004444EE"/>
    <w:rsid w:val="004524CF"/>
    <w:rsid w:val="00452582"/>
    <w:rsid w:val="00454812"/>
    <w:rsid w:val="004549FE"/>
    <w:rsid w:val="00454D38"/>
    <w:rsid w:val="00455C81"/>
    <w:rsid w:val="00457272"/>
    <w:rsid w:val="00457DCC"/>
    <w:rsid w:val="00461A18"/>
    <w:rsid w:val="00462060"/>
    <w:rsid w:val="00463C1A"/>
    <w:rsid w:val="00463EEC"/>
    <w:rsid w:val="004640FF"/>
    <w:rsid w:val="00465490"/>
    <w:rsid w:val="00471019"/>
    <w:rsid w:val="00473FD3"/>
    <w:rsid w:val="00475AAB"/>
    <w:rsid w:val="00477432"/>
    <w:rsid w:val="00480DA2"/>
    <w:rsid w:val="00486165"/>
    <w:rsid w:val="0049014C"/>
    <w:rsid w:val="004920B8"/>
    <w:rsid w:val="00492356"/>
    <w:rsid w:val="004957A2"/>
    <w:rsid w:val="004A178D"/>
    <w:rsid w:val="004A1C33"/>
    <w:rsid w:val="004B031B"/>
    <w:rsid w:val="004B474F"/>
    <w:rsid w:val="004C221A"/>
    <w:rsid w:val="004C39F8"/>
    <w:rsid w:val="004C416A"/>
    <w:rsid w:val="004C55B7"/>
    <w:rsid w:val="004C5A26"/>
    <w:rsid w:val="004C5D35"/>
    <w:rsid w:val="004D0A68"/>
    <w:rsid w:val="004D20BF"/>
    <w:rsid w:val="004D27D5"/>
    <w:rsid w:val="004D2C70"/>
    <w:rsid w:val="004D31D0"/>
    <w:rsid w:val="004D31F1"/>
    <w:rsid w:val="004D4286"/>
    <w:rsid w:val="004D4733"/>
    <w:rsid w:val="004D4B45"/>
    <w:rsid w:val="004D6C3E"/>
    <w:rsid w:val="004D7B29"/>
    <w:rsid w:val="004E14DE"/>
    <w:rsid w:val="004E2562"/>
    <w:rsid w:val="004E28F9"/>
    <w:rsid w:val="004E4B6C"/>
    <w:rsid w:val="004E7CE8"/>
    <w:rsid w:val="004F1BEF"/>
    <w:rsid w:val="004F2430"/>
    <w:rsid w:val="004F2B91"/>
    <w:rsid w:val="004F3034"/>
    <w:rsid w:val="004F435E"/>
    <w:rsid w:val="00506D24"/>
    <w:rsid w:val="005077D2"/>
    <w:rsid w:val="005118F6"/>
    <w:rsid w:val="0051350A"/>
    <w:rsid w:val="00517604"/>
    <w:rsid w:val="00517DA5"/>
    <w:rsid w:val="00517FA4"/>
    <w:rsid w:val="00524BF3"/>
    <w:rsid w:val="00525801"/>
    <w:rsid w:val="00530F88"/>
    <w:rsid w:val="00532B1C"/>
    <w:rsid w:val="00532EB9"/>
    <w:rsid w:val="00534E1F"/>
    <w:rsid w:val="005412CE"/>
    <w:rsid w:val="005443C8"/>
    <w:rsid w:val="0054683B"/>
    <w:rsid w:val="00552527"/>
    <w:rsid w:val="005558E1"/>
    <w:rsid w:val="005564A4"/>
    <w:rsid w:val="0055674C"/>
    <w:rsid w:val="00563FD8"/>
    <w:rsid w:val="00564817"/>
    <w:rsid w:val="0056512E"/>
    <w:rsid w:val="0056561D"/>
    <w:rsid w:val="005706E9"/>
    <w:rsid w:val="00570849"/>
    <w:rsid w:val="00571446"/>
    <w:rsid w:val="005757A3"/>
    <w:rsid w:val="00576416"/>
    <w:rsid w:val="00577C65"/>
    <w:rsid w:val="00581121"/>
    <w:rsid w:val="005840B8"/>
    <w:rsid w:val="005867DF"/>
    <w:rsid w:val="005916F1"/>
    <w:rsid w:val="00592081"/>
    <w:rsid w:val="005A0348"/>
    <w:rsid w:val="005A1FA3"/>
    <w:rsid w:val="005A27C0"/>
    <w:rsid w:val="005A4691"/>
    <w:rsid w:val="005A74FF"/>
    <w:rsid w:val="005A7C67"/>
    <w:rsid w:val="005B194A"/>
    <w:rsid w:val="005B234E"/>
    <w:rsid w:val="005B3D8A"/>
    <w:rsid w:val="005B49A5"/>
    <w:rsid w:val="005C1D68"/>
    <w:rsid w:val="005C58FA"/>
    <w:rsid w:val="005D2629"/>
    <w:rsid w:val="005D54F1"/>
    <w:rsid w:val="005D5820"/>
    <w:rsid w:val="005E03EB"/>
    <w:rsid w:val="005E3D07"/>
    <w:rsid w:val="005E6B49"/>
    <w:rsid w:val="005E7252"/>
    <w:rsid w:val="005E7AA8"/>
    <w:rsid w:val="005F02C2"/>
    <w:rsid w:val="005F70F7"/>
    <w:rsid w:val="006046D3"/>
    <w:rsid w:val="00605E3B"/>
    <w:rsid w:val="006065E8"/>
    <w:rsid w:val="00607B4C"/>
    <w:rsid w:val="00610940"/>
    <w:rsid w:val="00612992"/>
    <w:rsid w:val="006155F0"/>
    <w:rsid w:val="00616766"/>
    <w:rsid w:val="00620386"/>
    <w:rsid w:val="006253B6"/>
    <w:rsid w:val="00625A15"/>
    <w:rsid w:val="00627BD8"/>
    <w:rsid w:val="0063178C"/>
    <w:rsid w:val="006349C4"/>
    <w:rsid w:val="00636177"/>
    <w:rsid w:val="006361D0"/>
    <w:rsid w:val="00637BE8"/>
    <w:rsid w:val="00637D76"/>
    <w:rsid w:val="00640A07"/>
    <w:rsid w:val="0064271E"/>
    <w:rsid w:val="006431FF"/>
    <w:rsid w:val="00644F89"/>
    <w:rsid w:val="006553EC"/>
    <w:rsid w:val="00655674"/>
    <w:rsid w:val="00656027"/>
    <w:rsid w:val="00656746"/>
    <w:rsid w:val="0067005A"/>
    <w:rsid w:val="00671C3C"/>
    <w:rsid w:val="00680130"/>
    <w:rsid w:val="006824E0"/>
    <w:rsid w:val="00691C90"/>
    <w:rsid w:val="0069388D"/>
    <w:rsid w:val="00693B79"/>
    <w:rsid w:val="00697859"/>
    <w:rsid w:val="006A0160"/>
    <w:rsid w:val="006A31AB"/>
    <w:rsid w:val="006B18B2"/>
    <w:rsid w:val="006B3640"/>
    <w:rsid w:val="006B61AC"/>
    <w:rsid w:val="006B62B4"/>
    <w:rsid w:val="006B6C90"/>
    <w:rsid w:val="006B7CA7"/>
    <w:rsid w:val="006C1521"/>
    <w:rsid w:val="006C39B7"/>
    <w:rsid w:val="006C3C89"/>
    <w:rsid w:val="006C4E7E"/>
    <w:rsid w:val="006C7001"/>
    <w:rsid w:val="006D11DF"/>
    <w:rsid w:val="006D24C9"/>
    <w:rsid w:val="006D3EF5"/>
    <w:rsid w:val="006D47A7"/>
    <w:rsid w:val="006E0951"/>
    <w:rsid w:val="006E4456"/>
    <w:rsid w:val="006E462E"/>
    <w:rsid w:val="006E71A5"/>
    <w:rsid w:val="006E73F9"/>
    <w:rsid w:val="006F0585"/>
    <w:rsid w:val="006F47AA"/>
    <w:rsid w:val="00700549"/>
    <w:rsid w:val="00700B1E"/>
    <w:rsid w:val="00702088"/>
    <w:rsid w:val="00702564"/>
    <w:rsid w:val="007033DE"/>
    <w:rsid w:val="00703969"/>
    <w:rsid w:val="00703CCF"/>
    <w:rsid w:val="00712F00"/>
    <w:rsid w:val="00713C39"/>
    <w:rsid w:val="00721B04"/>
    <w:rsid w:val="00721E2A"/>
    <w:rsid w:val="00723E7D"/>
    <w:rsid w:val="00724D61"/>
    <w:rsid w:val="007277AF"/>
    <w:rsid w:val="00735CAA"/>
    <w:rsid w:val="0073719C"/>
    <w:rsid w:val="00742E09"/>
    <w:rsid w:val="00745956"/>
    <w:rsid w:val="00746818"/>
    <w:rsid w:val="00747FC4"/>
    <w:rsid w:val="00752457"/>
    <w:rsid w:val="0075311C"/>
    <w:rsid w:val="0075415F"/>
    <w:rsid w:val="00754898"/>
    <w:rsid w:val="00754A51"/>
    <w:rsid w:val="00760169"/>
    <w:rsid w:val="007606B4"/>
    <w:rsid w:val="007640E0"/>
    <w:rsid w:val="00764FEC"/>
    <w:rsid w:val="0076541F"/>
    <w:rsid w:val="00766E67"/>
    <w:rsid w:val="007678AC"/>
    <w:rsid w:val="00770769"/>
    <w:rsid w:val="0077225F"/>
    <w:rsid w:val="00774042"/>
    <w:rsid w:val="00774FDE"/>
    <w:rsid w:val="00775D89"/>
    <w:rsid w:val="00777EE3"/>
    <w:rsid w:val="007812CF"/>
    <w:rsid w:val="00784D38"/>
    <w:rsid w:val="00785234"/>
    <w:rsid w:val="007876A3"/>
    <w:rsid w:val="0079272A"/>
    <w:rsid w:val="00794435"/>
    <w:rsid w:val="00794ACF"/>
    <w:rsid w:val="007A1603"/>
    <w:rsid w:val="007A682A"/>
    <w:rsid w:val="007A7F29"/>
    <w:rsid w:val="007B03DA"/>
    <w:rsid w:val="007B3138"/>
    <w:rsid w:val="007B40DC"/>
    <w:rsid w:val="007B6F78"/>
    <w:rsid w:val="007B75F4"/>
    <w:rsid w:val="007C10BA"/>
    <w:rsid w:val="007C2324"/>
    <w:rsid w:val="007C2806"/>
    <w:rsid w:val="007C42FE"/>
    <w:rsid w:val="007C5C1B"/>
    <w:rsid w:val="007D3448"/>
    <w:rsid w:val="007E04CD"/>
    <w:rsid w:val="007E4E9A"/>
    <w:rsid w:val="007F29F8"/>
    <w:rsid w:val="007F2D82"/>
    <w:rsid w:val="007F43F2"/>
    <w:rsid w:val="007F48B2"/>
    <w:rsid w:val="007F5C0E"/>
    <w:rsid w:val="007F5CFF"/>
    <w:rsid w:val="0081013E"/>
    <w:rsid w:val="008113B4"/>
    <w:rsid w:val="008114F0"/>
    <w:rsid w:val="00814D74"/>
    <w:rsid w:val="00814DE5"/>
    <w:rsid w:val="008248D1"/>
    <w:rsid w:val="0082586A"/>
    <w:rsid w:val="008261B4"/>
    <w:rsid w:val="00827EDE"/>
    <w:rsid w:val="00834742"/>
    <w:rsid w:val="008358B4"/>
    <w:rsid w:val="00842EF4"/>
    <w:rsid w:val="00845AA0"/>
    <w:rsid w:val="008510FF"/>
    <w:rsid w:val="008530BE"/>
    <w:rsid w:val="008540FA"/>
    <w:rsid w:val="00855B99"/>
    <w:rsid w:val="00861E1B"/>
    <w:rsid w:val="00863446"/>
    <w:rsid w:val="00863E4E"/>
    <w:rsid w:val="00867895"/>
    <w:rsid w:val="0087074A"/>
    <w:rsid w:val="0087684F"/>
    <w:rsid w:val="00876CAC"/>
    <w:rsid w:val="00885A76"/>
    <w:rsid w:val="00886079"/>
    <w:rsid w:val="00891F34"/>
    <w:rsid w:val="00895C04"/>
    <w:rsid w:val="008970B7"/>
    <w:rsid w:val="008A0530"/>
    <w:rsid w:val="008A1B21"/>
    <w:rsid w:val="008A3F85"/>
    <w:rsid w:val="008A44A5"/>
    <w:rsid w:val="008A51E8"/>
    <w:rsid w:val="008B0AC9"/>
    <w:rsid w:val="008B55D2"/>
    <w:rsid w:val="008B5955"/>
    <w:rsid w:val="008B5C21"/>
    <w:rsid w:val="008B791D"/>
    <w:rsid w:val="008C0C65"/>
    <w:rsid w:val="008C1C7C"/>
    <w:rsid w:val="008C208A"/>
    <w:rsid w:val="008C22DB"/>
    <w:rsid w:val="008D035C"/>
    <w:rsid w:val="008D0538"/>
    <w:rsid w:val="008D0D9A"/>
    <w:rsid w:val="008D2CA8"/>
    <w:rsid w:val="008E0CD4"/>
    <w:rsid w:val="008E2267"/>
    <w:rsid w:val="008E5A88"/>
    <w:rsid w:val="008F0F03"/>
    <w:rsid w:val="008F1341"/>
    <w:rsid w:val="008F2CF5"/>
    <w:rsid w:val="008F2D23"/>
    <w:rsid w:val="008F3034"/>
    <w:rsid w:val="008F5E84"/>
    <w:rsid w:val="008F65FF"/>
    <w:rsid w:val="00901E01"/>
    <w:rsid w:val="00904BC8"/>
    <w:rsid w:val="00905EEA"/>
    <w:rsid w:val="00906D5B"/>
    <w:rsid w:val="00907133"/>
    <w:rsid w:val="009071E8"/>
    <w:rsid w:val="009118F6"/>
    <w:rsid w:val="00911EB8"/>
    <w:rsid w:val="00912168"/>
    <w:rsid w:val="00912AE5"/>
    <w:rsid w:val="009139C7"/>
    <w:rsid w:val="009149B8"/>
    <w:rsid w:val="0091550B"/>
    <w:rsid w:val="0091658D"/>
    <w:rsid w:val="00917142"/>
    <w:rsid w:val="00920EF6"/>
    <w:rsid w:val="00921C0B"/>
    <w:rsid w:val="00921FF8"/>
    <w:rsid w:val="00922A50"/>
    <w:rsid w:val="00925141"/>
    <w:rsid w:val="00925F13"/>
    <w:rsid w:val="00926417"/>
    <w:rsid w:val="009277AD"/>
    <w:rsid w:val="009306ED"/>
    <w:rsid w:val="00932D30"/>
    <w:rsid w:val="00933BFA"/>
    <w:rsid w:val="0093599C"/>
    <w:rsid w:val="00936C28"/>
    <w:rsid w:val="00936E45"/>
    <w:rsid w:val="0093796A"/>
    <w:rsid w:val="00940816"/>
    <w:rsid w:val="00942585"/>
    <w:rsid w:val="0094333E"/>
    <w:rsid w:val="009448F7"/>
    <w:rsid w:val="00945A1D"/>
    <w:rsid w:val="00945CC4"/>
    <w:rsid w:val="00946533"/>
    <w:rsid w:val="00947A11"/>
    <w:rsid w:val="0095050A"/>
    <w:rsid w:val="0095266F"/>
    <w:rsid w:val="00953E59"/>
    <w:rsid w:val="00954F7B"/>
    <w:rsid w:val="0095533A"/>
    <w:rsid w:val="00957565"/>
    <w:rsid w:val="00964D8D"/>
    <w:rsid w:val="00964EDA"/>
    <w:rsid w:val="00965A01"/>
    <w:rsid w:val="00965EA8"/>
    <w:rsid w:val="0096731B"/>
    <w:rsid w:val="00970842"/>
    <w:rsid w:val="00971125"/>
    <w:rsid w:val="00972D70"/>
    <w:rsid w:val="0097363B"/>
    <w:rsid w:val="00975A13"/>
    <w:rsid w:val="00977BFB"/>
    <w:rsid w:val="00982385"/>
    <w:rsid w:val="009903CC"/>
    <w:rsid w:val="009945C6"/>
    <w:rsid w:val="00995B1B"/>
    <w:rsid w:val="009A1396"/>
    <w:rsid w:val="009A2981"/>
    <w:rsid w:val="009A336D"/>
    <w:rsid w:val="009A7037"/>
    <w:rsid w:val="009C11CF"/>
    <w:rsid w:val="009C2AED"/>
    <w:rsid w:val="009C3BB0"/>
    <w:rsid w:val="009D1FC0"/>
    <w:rsid w:val="009D2863"/>
    <w:rsid w:val="009D4238"/>
    <w:rsid w:val="009D5E09"/>
    <w:rsid w:val="009D5EE5"/>
    <w:rsid w:val="009D5F1E"/>
    <w:rsid w:val="009D7580"/>
    <w:rsid w:val="009E00C4"/>
    <w:rsid w:val="009E0E38"/>
    <w:rsid w:val="009E31CD"/>
    <w:rsid w:val="009E53F4"/>
    <w:rsid w:val="009E59FA"/>
    <w:rsid w:val="009F72C8"/>
    <w:rsid w:val="00A006D5"/>
    <w:rsid w:val="00A00B85"/>
    <w:rsid w:val="00A01509"/>
    <w:rsid w:val="00A02651"/>
    <w:rsid w:val="00A0337B"/>
    <w:rsid w:val="00A035E4"/>
    <w:rsid w:val="00A0459A"/>
    <w:rsid w:val="00A07C43"/>
    <w:rsid w:val="00A116EA"/>
    <w:rsid w:val="00A11739"/>
    <w:rsid w:val="00A14311"/>
    <w:rsid w:val="00A1579B"/>
    <w:rsid w:val="00A20CEA"/>
    <w:rsid w:val="00A24C42"/>
    <w:rsid w:val="00A24D94"/>
    <w:rsid w:val="00A2511B"/>
    <w:rsid w:val="00A2629A"/>
    <w:rsid w:val="00A26F1E"/>
    <w:rsid w:val="00A272D4"/>
    <w:rsid w:val="00A2737A"/>
    <w:rsid w:val="00A303C6"/>
    <w:rsid w:val="00A32B6F"/>
    <w:rsid w:val="00A34EAB"/>
    <w:rsid w:val="00A41E01"/>
    <w:rsid w:val="00A45D6C"/>
    <w:rsid w:val="00A470E3"/>
    <w:rsid w:val="00A51B2C"/>
    <w:rsid w:val="00A60EED"/>
    <w:rsid w:val="00A6232E"/>
    <w:rsid w:val="00A64430"/>
    <w:rsid w:val="00A721C0"/>
    <w:rsid w:val="00A7294C"/>
    <w:rsid w:val="00A7517C"/>
    <w:rsid w:val="00A774B1"/>
    <w:rsid w:val="00A815E5"/>
    <w:rsid w:val="00A84013"/>
    <w:rsid w:val="00A84E3E"/>
    <w:rsid w:val="00A856B1"/>
    <w:rsid w:val="00A875F3"/>
    <w:rsid w:val="00A90E16"/>
    <w:rsid w:val="00A94E61"/>
    <w:rsid w:val="00A957B0"/>
    <w:rsid w:val="00A96564"/>
    <w:rsid w:val="00A96CD8"/>
    <w:rsid w:val="00A979FD"/>
    <w:rsid w:val="00AA0CE5"/>
    <w:rsid w:val="00AA2D7A"/>
    <w:rsid w:val="00AA2E86"/>
    <w:rsid w:val="00AA3549"/>
    <w:rsid w:val="00AA75D7"/>
    <w:rsid w:val="00AB3BAC"/>
    <w:rsid w:val="00AC0797"/>
    <w:rsid w:val="00AC53AF"/>
    <w:rsid w:val="00AD50F2"/>
    <w:rsid w:val="00AD628A"/>
    <w:rsid w:val="00AE05E1"/>
    <w:rsid w:val="00AE0AC0"/>
    <w:rsid w:val="00AE1357"/>
    <w:rsid w:val="00AE2123"/>
    <w:rsid w:val="00AE486F"/>
    <w:rsid w:val="00AE59E5"/>
    <w:rsid w:val="00AE629D"/>
    <w:rsid w:val="00AE6DBC"/>
    <w:rsid w:val="00AF0A65"/>
    <w:rsid w:val="00AF223D"/>
    <w:rsid w:val="00AF22E7"/>
    <w:rsid w:val="00AF3F61"/>
    <w:rsid w:val="00AF532B"/>
    <w:rsid w:val="00AF5C4F"/>
    <w:rsid w:val="00AF62FB"/>
    <w:rsid w:val="00AF67A9"/>
    <w:rsid w:val="00B024D9"/>
    <w:rsid w:val="00B03FFF"/>
    <w:rsid w:val="00B0502D"/>
    <w:rsid w:val="00B058EF"/>
    <w:rsid w:val="00B10AB7"/>
    <w:rsid w:val="00B1151B"/>
    <w:rsid w:val="00B170A2"/>
    <w:rsid w:val="00B17F72"/>
    <w:rsid w:val="00B22277"/>
    <w:rsid w:val="00B22944"/>
    <w:rsid w:val="00B2758D"/>
    <w:rsid w:val="00B30482"/>
    <w:rsid w:val="00B31526"/>
    <w:rsid w:val="00B326A7"/>
    <w:rsid w:val="00B33322"/>
    <w:rsid w:val="00B33F30"/>
    <w:rsid w:val="00B33FA0"/>
    <w:rsid w:val="00B34124"/>
    <w:rsid w:val="00B3418C"/>
    <w:rsid w:val="00B34980"/>
    <w:rsid w:val="00B365EE"/>
    <w:rsid w:val="00B36C89"/>
    <w:rsid w:val="00B41CEE"/>
    <w:rsid w:val="00B420B6"/>
    <w:rsid w:val="00B47F44"/>
    <w:rsid w:val="00B500E8"/>
    <w:rsid w:val="00B55EF6"/>
    <w:rsid w:val="00B61582"/>
    <w:rsid w:val="00B6217E"/>
    <w:rsid w:val="00B625F2"/>
    <w:rsid w:val="00B627C5"/>
    <w:rsid w:val="00B64367"/>
    <w:rsid w:val="00B64C8C"/>
    <w:rsid w:val="00B65F91"/>
    <w:rsid w:val="00B66CFA"/>
    <w:rsid w:val="00B6769D"/>
    <w:rsid w:val="00B6772A"/>
    <w:rsid w:val="00B76C27"/>
    <w:rsid w:val="00B85090"/>
    <w:rsid w:val="00B853F1"/>
    <w:rsid w:val="00B8549D"/>
    <w:rsid w:val="00B91976"/>
    <w:rsid w:val="00B92CED"/>
    <w:rsid w:val="00B968C2"/>
    <w:rsid w:val="00BA028D"/>
    <w:rsid w:val="00BA1722"/>
    <w:rsid w:val="00BA6C5D"/>
    <w:rsid w:val="00BB1636"/>
    <w:rsid w:val="00BB1B98"/>
    <w:rsid w:val="00BB5BAF"/>
    <w:rsid w:val="00BB67C7"/>
    <w:rsid w:val="00BB6801"/>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559"/>
    <w:rsid w:val="00C01BE9"/>
    <w:rsid w:val="00C01EDF"/>
    <w:rsid w:val="00C049CA"/>
    <w:rsid w:val="00C055ED"/>
    <w:rsid w:val="00C07276"/>
    <w:rsid w:val="00C11030"/>
    <w:rsid w:val="00C111B1"/>
    <w:rsid w:val="00C11E48"/>
    <w:rsid w:val="00C15F4D"/>
    <w:rsid w:val="00C202F8"/>
    <w:rsid w:val="00C20D92"/>
    <w:rsid w:val="00C221C1"/>
    <w:rsid w:val="00C24670"/>
    <w:rsid w:val="00C25557"/>
    <w:rsid w:val="00C32FD3"/>
    <w:rsid w:val="00C3347F"/>
    <w:rsid w:val="00C338D7"/>
    <w:rsid w:val="00C33B14"/>
    <w:rsid w:val="00C34F92"/>
    <w:rsid w:val="00C36F3E"/>
    <w:rsid w:val="00C37A4C"/>
    <w:rsid w:val="00C40538"/>
    <w:rsid w:val="00C406D9"/>
    <w:rsid w:val="00C43EF4"/>
    <w:rsid w:val="00C4612C"/>
    <w:rsid w:val="00C50963"/>
    <w:rsid w:val="00C51E26"/>
    <w:rsid w:val="00C54D16"/>
    <w:rsid w:val="00C55135"/>
    <w:rsid w:val="00C57A55"/>
    <w:rsid w:val="00C62A0C"/>
    <w:rsid w:val="00C635E2"/>
    <w:rsid w:val="00C704CF"/>
    <w:rsid w:val="00C71E86"/>
    <w:rsid w:val="00C724D0"/>
    <w:rsid w:val="00C74397"/>
    <w:rsid w:val="00C74A04"/>
    <w:rsid w:val="00C76E2D"/>
    <w:rsid w:val="00C76FFF"/>
    <w:rsid w:val="00C77386"/>
    <w:rsid w:val="00C77BBB"/>
    <w:rsid w:val="00C80421"/>
    <w:rsid w:val="00C818BB"/>
    <w:rsid w:val="00C82214"/>
    <w:rsid w:val="00C84E28"/>
    <w:rsid w:val="00C90647"/>
    <w:rsid w:val="00C91310"/>
    <w:rsid w:val="00CA0192"/>
    <w:rsid w:val="00CA43F1"/>
    <w:rsid w:val="00CA70E7"/>
    <w:rsid w:val="00CB228A"/>
    <w:rsid w:val="00CB2E17"/>
    <w:rsid w:val="00CB3987"/>
    <w:rsid w:val="00CB7E08"/>
    <w:rsid w:val="00CC0422"/>
    <w:rsid w:val="00CC4F4F"/>
    <w:rsid w:val="00CC5AD8"/>
    <w:rsid w:val="00CD434F"/>
    <w:rsid w:val="00CE1D90"/>
    <w:rsid w:val="00CE2446"/>
    <w:rsid w:val="00CE5F47"/>
    <w:rsid w:val="00CE6986"/>
    <w:rsid w:val="00CE78F5"/>
    <w:rsid w:val="00CF2365"/>
    <w:rsid w:val="00CF24D4"/>
    <w:rsid w:val="00CF3925"/>
    <w:rsid w:val="00D027B9"/>
    <w:rsid w:val="00D02FDD"/>
    <w:rsid w:val="00D0489B"/>
    <w:rsid w:val="00D052B4"/>
    <w:rsid w:val="00D05BB6"/>
    <w:rsid w:val="00D07A8B"/>
    <w:rsid w:val="00D10F72"/>
    <w:rsid w:val="00D17891"/>
    <w:rsid w:val="00D223CA"/>
    <w:rsid w:val="00D228B8"/>
    <w:rsid w:val="00D25E0F"/>
    <w:rsid w:val="00D27637"/>
    <w:rsid w:val="00D30343"/>
    <w:rsid w:val="00D3635A"/>
    <w:rsid w:val="00D36920"/>
    <w:rsid w:val="00D36B09"/>
    <w:rsid w:val="00D434D3"/>
    <w:rsid w:val="00D4358F"/>
    <w:rsid w:val="00D443D7"/>
    <w:rsid w:val="00D5188B"/>
    <w:rsid w:val="00D520E7"/>
    <w:rsid w:val="00D56DA0"/>
    <w:rsid w:val="00D627BE"/>
    <w:rsid w:val="00D6578B"/>
    <w:rsid w:val="00D65905"/>
    <w:rsid w:val="00D71B35"/>
    <w:rsid w:val="00D727B7"/>
    <w:rsid w:val="00D766A6"/>
    <w:rsid w:val="00D80302"/>
    <w:rsid w:val="00D81A2D"/>
    <w:rsid w:val="00D81CB0"/>
    <w:rsid w:val="00D82211"/>
    <w:rsid w:val="00D8365B"/>
    <w:rsid w:val="00D863DB"/>
    <w:rsid w:val="00D87671"/>
    <w:rsid w:val="00D90346"/>
    <w:rsid w:val="00D931B6"/>
    <w:rsid w:val="00D95849"/>
    <w:rsid w:val="00D967DA"/>
    <w:rsid w:val="00D96A05"/>
    <w:rsid w:val="00D96ACC"/>
    <w:rsid w:val="00D974FB"/>
    <w:rsid w:val="00DA031B"/>
    <w:rsid w:val="00DA3C19"/>
    <w:rsid w:val="00DA48F8"/>
    <w:rsid w:val="00DA4EB3"/>
    <w:rsid w:val="00DA60A4"/>
    <w:rsid w:val="00DB207B"/>
    <w:rsid w:val="00DB3EC2"/>
    <w:rsid w:val="00DB6108"/>
    <w:rsid w:val="00DC008F"/>
    <w:rsid w:val="00DC0BC0"/>
    <w:rsid w:val="00DD4464"/>
    <w:rsid w:val="00DD6074"/>
    <w:rsid w:val="00DE125D"/>
    <w:rsid w:val="00DE5620"/>
    <w:rsid w:val="00DE6056"/>
    <w:rsid w:val="00DE6090"/>
    <w:rsid w:val="00DF1CBC"/>
    <w:rsid w:val="00DF3EFE"/>
    <w:rsid w:val="00E02685"/>
    <w:rsid w:val="00E17DC5"/>
    <w:rsid w:val="00E24495"/>
    <w:rsid w:val="00E25BA6"/>
    <w:rsid w:val="00E27141"/>
    <w:rsid w:val="00E272E4"/>
    <w:rsid w:val="00E31382"/>
    <w:rsid w:val="00E3510F"/>
    <w:rsid w:val="00E367AD"/>
    <w:rsid w:val="00E40792"/>
    <w:rsid w:val="00E43DCB"/>
    <w:rsid w:val="00E45226"/>
    <w:rsid w:val="00E45436"/>
    <w:rsid w:val="00E46EB3"/>
    <w:rsid w:val="00E47EAF"/>
    <w:rsid w:val="00E55664"/>
    <w:rsid w:val="00E563D9"/>
    <w:rsid w:val="00E5710E"/>
    <w:rsid w:val="00E63F4F"/>
    <w:rsid w:val="00E64DA3"/>
    <w:rsid w:val="00E675AA"/>
    <w:rsid w:val="00E679F9"/>
    <w:rsid w:val="00E710F2"/>
    <w:rsid w:val="00E72731"/>
    <w:rsid w:val="00E73A87"/>
    <w:rsid w:val="00E80B1C"/>
    <w:rsid w:val="00E870E4"/>
    <w:rsid w:val="00E8796B"/>
    <w:rsid w:val="00E90C07"/>
    <w:rsid w:val="00E93F27"/>
    <w:rsid w:val="00E94350"/>
    <w:rsid w:val="00E97B77"/>
    <w:rsid w:val="00EA060C"/>
    <w:rsid w:val="00EA3F2F"/>
    <w:rsid w:val="00EA4041"/>
    <w:rsid w:val="00EA4C6B"/>
    <w:rsid w:val="00EA7109"/>
    <w:rsid w:val="00EA77D1"/>
    <w:rsid w:val="00EB103A"/>
    <w:rsid w:val="00EB256E"/>
    <w:rsid w:val="00EB70EE"/>
    <w:rsid w:val="00EC0190"/>
    <w:rsid w:val="00EC08CA"/>
    <w:rsid w:val="00EC3146"/>
    <w:rsid w:val="00EC4BB0"/>
    <w:rsid w:val="00EC66AC"/>
    <w:rsid w:val="00EC7202"/>
    <w:rsid w:val="00ED2843"/>
    <w:rsid w:val="00ED2DE6"/>
    <w:rsid w:val="00ED4AAB"/>
    <w:rsid w:val="00EE285A"/>
    <w:rsid w:val="00EE3372"/>
    <w:rsid w:val="00EE5549"/>
    <w:rsid w:val="00EE5A45"/>
    <w:rsid w:val="00EE6F7A"/>
    <w:rsid w:val="00EF273A"/>
    <w:rsid w:val="00EF46D9"/>
    <w:rsid w:val="00EF6148"/>
    <w:rsid w:val="00EF7E3E"/>
    <w:rsid w:val="00F03A6B"/>
    <w:rsid w:val="00F04F4D"/>
    <w:rsid w:val="00F071B9"/>
    <w:rsid w:val="00F109DA"/>
    <w:rsid w:val="00F122F6"/>
    <w:rsid w:val="00F14625"/>
    <w:rsid w:val="00F15189"/>
    <w:rsid w:val="00F1598A"/>
    <w:rsid w:val="00F20F66"/>
    <w:rsid w:val="00F21E51"/>
    <w:rsid w:val="00F25056"/>
    <w:rsid w:val="00F26716"/>
    <w:rsid w:val="00F26C97"/>
    <w:rsid w:val="00F30FA6"/>
    <w:rsid w:val="00F3287A"/>
    <w:rsid w:val="00F34BCF"/>
    <w:rsid w:val="00F34F79"/>
    <w:rsid w:val="00F351DC"/>
    <w:rsid w:val="00F3576A"/>
    <w:rsid w:val="00F35EB0"/>
    <w:rsid w:val="00F373D8"/>
    <w:rsid w:val="00F4308C"/>
    <w:rsid w:val="00F43818"/>
    <w:rsid w:val="00F43B50"/>
    <w:rsid w:val="00F44AAE"/>
    <w:rsid w:val="00F53EE8"/>
    <w:rsid w:val="00F545A8"/>
    <w:rsid w:val="00F5475F"/>
    <w:rsid w:val="00F54857"/>
    <w:rsid w:val="00F56E41"/>
    <w:rsid w:val="00F571EC"/>
    <w:rsid w:val="00F57ABE"/>
    <w:rsid w:val="00F6275A"/>
    <w:rsid w:val="00F658A9"/>
    <w:rsid w:val="00F71652"/>
    <w:rsid w:val="00F74407"/>
    <w:rsid w:val="00F764BE"/>
    <w:rsid w:val="00F77117"/>
    <w:rsid w:val="00F826D8"/>
    <w:rsid w:val="00F84AF1"/>
    <w:rsid w:val="00F8558C"/>
    <w:rsid w:val="00F86E9A"/>
    <w:rsid w:val="00F879C4"/>
    <w:rsid w:val="00F87D53"/>
    <w:rsid w:val="00F9196B"/>
    <w:rsid w:val="00F942C6"/>
    <w:rsid w:val="00F94451"/>
    <w:rsid w:val="00F9448A"/>
    <w:rsid w:val="00F947D6"/>
    <w:rsid w:val="00F94CDC"/>
    <w:rsid w:val="00F9579E"/>
    <w:rsid w:val="00FA029F"/>
    <w:rsid w:val="00FA16AF"/>
    <w:rsid w:val="00FA5C1A"/>
    <w:rsid w:val="00FA6EFF"/>
    <w:rsid w:val="00FB0F2E"/>
    <w:rsid w:val="00FB4F23"/>
    <w:rsid w:val="00FC1860"/>
    <w:rsid w:val="00FC1B90"/>
    <w:rsid w:val="00FC1F3B"/>
    <w:rsid w:val="00FC4A8E"/>
    <w:rsid w:val="00FC5688"/>
    <w:rsid w:val="00FD13BC"/>
    <w:rsid w:val="00FD3169"/>
    <w:rsid w:val="00FD4961"/>
    <w:rsid w:val="00FE70A6"/>
    <w:rsid w:val="00FE7FF1"/>
    <w:rsid w:val="00FF0FE9"/>
    <w:rsid w:val="00FF248A"/>
    <w:rsid w:val="00FF3CBB"/>
    <w:rsid w:val="00FF3F96"/>
    <w:rsid w:val="00FF55B2"/>
    <w:rsid w:val="00FF674A"/>
    <w:rsid w:val="00FF680D"/>
    <w:rsid w:val="3BE74E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on="f" color="white"/>
      <v:stroke on="f"/>
    </o:shapedefaults>
    <o:shapelayout v:ext="edit">
      <o:idmap v:ext="edit" data="2"/>
    </o:shapelayout>
  </w:shapeDefaults>
  <w:decimalSymbol w:val="."/>
  <w:listSeparator w:val=","/>
  <w14:docId w14:val="7B721E71"/>
  <w15:docId w15:val="{AFB202B2-A8C6-4A30-B586-9FAA8C24BC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Calibri" w:cs="Times New Roman"/>
        <w:sz w:val="24"/>
        <w:szCs w:val="24"/>
        <w:lang w:val="en-AU" w:eastAsia="en-AU" w:bidi="ar-SA"/>
      </w:rPr>
    </w:rPrDefault>
    <w:pPrDefault>
      <w:pPr>
        <w:spacing w:before="120" w:after="240" w:line="276"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uiPriority="1" w:semiHidden="1" w:unhideWhenUsed="1" w:qFormat="1"/>
    <w:lsdException w:name="heading 3" w:locked="0" w:uiPriority="2" w:semiHidden="1" w:unhideWhenUsed="1" w:qFormat="1"/>
    <w:lsdException w:name="heading 4" w:uiPriority="3" w:semiHidden="1" w:unhideWhenUsed="1" w:qFormat="1"/>
    <w:lsdException w:name="heading 5" w:uiPriority="4"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uiPriority="39" w:semiHidden="1" w:unhideWhenUsed="1"/>
    <w:lsdException w:name="toc 2" w:locked="0" w:uiPriority="39" w:semiHidden="1" w:unhideWhenUsed="1"/>
    <w:lsdException w:name="toc 3" w:locked="0"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locked="0"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5757A3"/>
  </w:style>
  <w:style w:type="paragraph" w:styleId="Heading1">
    <w:name w:val="heading 1"/>
    <w:next w:val="Normal"/>
    <w:link w:val="Heading1Char"/>
    <w:qFormat/>
    <w:rsid w:val="007C42FE"/>
    <w:pPr>
      <w:widowControl w:val="0"/>
      <w:spacing w:before="100" w:beforeAutospacing="1" w:line="460" w:lineRule="exact"/>
      <w:outlineLvl w:val="0"/>
    </w:pPr>
    <w:rPr>
      <w:rFonts w:eastAsia="Times New Roman" w:cs="Arial"/>
      <w:color w:val="000000" w:themeColor="text1"/>
      <w:sz w:val="40"/>
      <w:szCs w:val="80"/>
      <w:lang w:eastAsia="en-US"/>
    </w:rPr>
  </w:style>
  <w:style w:type="paragraph" w:styleId="Heading2">
    <w:name w:val="heading 2"/>
    <w:basedOn w:val="Heading1"/>
    <w:next w:val="Normal"/>
    <w:link w:val="Heading2Char"/>
    <w:uiPriority w:val="1"/>
    <w:qFormat/>
    <w:rsid w:val="007C42FE"/>
    <w:pPr>
      <w:spacing w:after="160" w:line="360" w:lineRule="exact"/>
      <w:outlineLvl w:val="1"/>
    </w:pPr>
    <w:rPr>
      <w:bCs/>
      <w:iCs/>
      <w:color w:val="auto"/>
      <w:sz w:val="32"/>
      <w:szCs w:val="36"/>
    </w:rPr>
  </w:style>
  <w:style w:type="paragraph" w:styleId="Heading3">
    <w:name w:val="heading 3"/>
    <w:basedOn w:val="Normal"/>
    <w:next w:val="Normal"/>
    <w:link w:val="Heading3Char"/>
    <w:uiPriority w:val="2"/>
    <w:qFormat/>
    <w:rsid w:val="007C42FE"/>
    <w:pPr>
      <w:outlineLvl w:val="2"/>
    </w:pPr>
    <w:rPr>
      <w:lang w:eastAsia="en-US"/>
    </w:rPr>
  </w:style>
  <w:style w:type="paragraph" w:styleId="Heading4">
    <w:name w:val="heading 4"/>
    <w:next w:val="BodyText"/>
    <w:link w:val="Heading4Char"/>
    <w:autoRedefine/>
    <w:uiPriority w:val="3"/>
    <w:qFormat/>
    <w:locked/>
    <w:rsid w:val="005757A3"/>
    <w:pPr>
      <w:shd w:val="clear" w:color="auto" w:fill="3D2262" w:themeFill="accent1"/>
      <w:spacing w:before="100" w:beforeAutospacing="1" w:after="160" w:line="460" w:lineRule="exact"/>
      <w:outlineLvl w:val="3"/>
    </w:pPr>
    <w:rPr>
      <w:rFonts w:eastAsia="Times New Roman" w:cs="Arial"/>
      <w:b/>
      <w:bCs/>
      <w:iCs/>
      <w:color w:val="FFFFFF" w:themeColor="background1"/>
      <w:szCs w:val="32"/>
      <w:lang w:eastAsia="en-US"/>
    </w:rPr>
  </w:style>
  <w:style w:type="paragraph" w:styleId="Heading5">
    <w:name w:val="heading 5"/>
    <w:basedOn w:val="Heading3"/>
    <w:next w:val="Normal"/>
    <w:link w:val="Heading5Char"/>
    <w:autoRedefine/>
    <w:uiPriority w:val="4"/>
    <w:qFormat/>
    <w:locked/>
    <w:rsid w:val="00AA0CE5"/>
    <w:pPr>
      <w:spacing w:before="0" w:after="120" w:line="300" w:lineRule="exact"/>
      <w:outlineLvl w:val="4"/>
    </w:pPr>
    <w:rPr>
      <w:b/>
      <w:color w:val="3D2262" w:themeColor="accent1"/>
    </w:rPr>
  </w:style>
  <w:style w:type="paragraph" w:styleId="Heading6">
    <w:name w:val="heading 6"/>
    <w:basedOn w:val="Heading5"/>
    <w:next w:val="BodyCopy"/>
    <w:link w:val="Heading6Char"/>
    <w:autoRedefine/>
    <w:uiPriority w:val="4"/>
    <w:qFormat/>
    <w:locked/>
    <w:rsid w:val="0079272A"/>
    <w:pPr>
      <w:keepNext/>
      <w:keepLines/>
      <w:spacing w:before="40" w:after="0"/>
      <w:outlineLvl w:val="5"/>
    </w:pPr>
    <w:rPr>
      <w:rFonts w:eastAsiaTheme="majorEastAsia" w:cstheme="majorBidi"/>
      <w:b w:val="0"/>
      <w:color w:val="6E3894" w:themeColor="accent2"/>
    </w:rPr>
  </w:style>
  <w:style w:type="paragraph" w:styleId="Heading7">
    <w:name w:val="heading 7"/>
    <w:basedOn w:val="Heading5"/>
    <w:next w:val="Normal"/>
    <w:link w:val="Heading7Char"/>
    <w:uiPriority w:val="4"/>
    <w:qFormat/>
    <w:locked/>
    <w:rsid w:val="0079272A"/>
    <w:pPr>
      <w:keepNext/>
      <w:keepLines/>
      <w:spacing w:before="40" w:after="0"/>
      <w:outlineLvl w:val="6"/>
    </w:pPr>
    <w:rPr>
      <w:rFonts w:eastAsiaTheme="majorEastAsia" w:cstheme="majorBidi"/>
      <w:iCs/>
      <w:color w:val="1E1130" w:themeColor="accent1" w:themeShade="7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locked/>
    <w:rsid w:val="007C42F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C42FE"/>
    <w:rPr>
      <w:rFonts w:ascii="Tahoma" w:hAnsi="Tahoma" w:cs="Tahoma"/>
      <w:sz w:val="16"/>
      <w:szCs w:val="16"/>
    </w:rPr>
  </w:style>
  <w:style w:type="paragraph" w:styleId="Header">
    <w:name w:val="header"/>
    <w:basedOn w:val="Normal"/>
    <w:link w:val="HeaderChar"/>
    <w:uiPriority w:val="99"/>
    <w:unhideWhenUsed/>
    <w:rsid w:val="007C42F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42FE"/>
  </w:style>
  <w:style w:type="paragraph" w:styleId="Footer">
    <w:name w:val="footer"/>
    <w:basedOn w:val="Normal"/>
    <w:link w:val="FooterChar"/>
    <w:uiPriority w:val="99"/>
    <w:unhideWhenUsed/>
    <w:rsid w:val="007C42FE"/>
    <w:pPr>
      <w:tabs>
        <w:tab w:val="left" w:pos="709"/>
        <w:tab w:val="right" w:pos="10093"/>
      </w:tabs>
      <w:spacing w:before="0" w:after="0" w:line="240" w:lineRule="auto"/>
    </w:pPr>
    <w:rPr>
      <w:color w:val="000000" w:themeColor="text1"/>
      <w:sz w:val="18"/>
      <w:szCs w:val="18"/>
      <w:lang w:eastAsia="en-US"/>
    </w:rPr>
  </w:style>
  <w:style w:type="character" w:styleId="FooterChar" w:customStyle="1">
    <w:name w:val="Footer Char"/>
    <w:basedOn w:val="DefaultParagraphFont"/>
    <w:link w:val="Footer"/>
    <w:uiPriority w:val="99"/>
    <w:rsid w:val="007C42FE"/>
    <w:rPr>
      <w:color w:val="000000" w:themeColor="text1"/>
      <w:sz w:val="18"/>
      <w:szCs w:val="18"/>
      <w:lang w:eastAsia="en-US"/>
    </w:rPr>
  </w:style>
  <w:style w:type="character" w:styleId="Heading1Char" w:customStyle="1">
    <w:name w:val="Heading 1 Char"/>
    <w:basedOn w:val="DefaultParagraphFont"/>
    <w:link w:val="Heading1"/>
    <w:rsid w:val="007C42FE"/>
    <w:rPr>
      <w:rFonts w:eastAsia="Times New Roman" w:cs="Arial"/>
      <w:color w:val="000000" w:themeColor="text1"/>
      <w:sz w:val="40"/>
      <w:szCs w:val="80"/>
      <w:lang w:eastAsia="en-US"/>
    </w:rPr>
  </w:style>
  <w:style w:type="character" w:styleId="Heading2Char" w:customStyle="1">
    <w:name w:val="Heading 2 Char"/>
    <w:basedOn w:val="DefaultParagraphFont"/>
    <w:link w:val="Heading2"/>
    <w:uiPriority w:val="1"/>
    <w:rsid w:val="007C42FE"/>
    <w:rPr>
      <w:rFonts w:eastAsia="Times New Roman" w:cs="Arial"/>
      <w:bCs/>
      <w:iCs/>
      <w:sz w:val="32"/>
      <w:szCs w:val="36"/>
      <w:lang w:eastAsia="en-US"/>
    </w:rPr>
  </w:style>
  <w:style w:type="character" w:styleId="Heading3Char" w:customStyle="1">
    <w:name w:val="Heading 3 Char"/>
    <w:basedOn w:val="DefaultParagraphFont"/>
    <w:link w:val="Heading3"/>
    <w:uiPriority w:val="2"/>
    <w:rsid w:val="007C42FE"/>
    <w:rPr>
      <w:lang w:eastAsia="en-US"/>
    </w:rPr>
  </w:style>
  <w:style w:type="paragraph" w:styleId="Bullet" w:customStyle="1">
    <w:name w:val="Bullet"/>
    <w:basedOn w:val="BodyCopy"/>
    <w:uiPriority w:val="5"/>
    <w:qFormat/>
    <w:rsid w:val="007C42FE"/>
    <w:pPr>
      <w:numPr>
        <w:numId w:val="6"/>
      </w:numPr>
      <w:tabs>
        <w:tab w:val="left" w:pos="425"/>
      </w:tabs>
      <w:spacing w:after="120" w:line="300" w:lineRule="auto"/>
      <w:contextualSpacing/>
    </w:pPr>
    <w:rPr>
      <w:bCs w:val="0"/>
      <w:iCs w:val="0"/>
    </w:rPr>
  </w:style>
  <w:style w:type="paragraph" w:styleId="Tablebody" w:customStyle="1">
    <w:name w:val="Table body"/>
    <w:basedOn w:val="Normal"/>
    <w:uiPriority w:val="6"/>
    <w:qFormat/>
    <w:rsid w:val="007C42FE"/>
    <w:pPr>
      <w:spacing w:before="0" w:after="0" w:line="300" w:lineRule="exact"/>
    </w:pPr>
    <w:rPr>
      <w:rFonts w:eastAsia="Times New Roman" w:cs="Arial"/>
      <w:bCs/>
      <w:iCs/>
      <w:lang w:val="en-US"/>
    </w:rPr>
  </w:style>
  <w:style w:type="paragraph" w:styleId="Tablebullet1" w:customStyle="1">
    <w:name w:val="Table bullet 1"/>
    <w:basedOn w:val="Bullet"/>
    <w:uiPriority w:val="7"/>
    <w:qFormat/>
    <w:rsid w:val="007C42FE"/>
    <w:pPr>
      <w:framePr w:hSpace="181" w:wrap="around" w:hAnchor="margin" w:vAnchor="text" w:y="266"/>
      <w:spacing w:after="0" w:line="280" w:lineRule="exact"/>
    </w:pPr>
    <w:rPr>
      <w:lang w:val="en-US"/>
    </w:rPr>
  </w:style>
  <w:style w:type="paragraph" w:styleId="Tablebullet2" w:customStyle="1">
    <w:name w:val="Table bullet 2"/>
    <w:basedOn w:val="Normal"/>
    <w:uiPriority w:val="7"/>
    <w:qFormat/>
    <w:rsid w:val="007C42FE"/>
    <w:pPr>
      <w:framePr w:hSpace="181" w:wrap="around" w:hAnchor="text" w:vAnchor="text" w:y="1"/>
      <w:numPr>
        <w:numId w:val="7"/>
      </w:numPr>
      <w:tabs>
        <w:tab w:val="left" w:pos="425"/>
      </w:tabs>
      <w:spacing w:before="0" w:after="0" w:line="280" w:lineRule="exact"/>
      <w:ind w:right="-425"/>
      <w:contextualSpacing/>
    </w:pPr>
    <w:rPr>
      <w:rFonts w:eastAsia="Times New Roman" w:cs="Arial"/>
      <w:bCs/>
      <w:iCs/>
      <w:lang w:val="en-US"/>
    </w:rPr>
  </w:style>
  <w:style w:type="paragraph" w:styleId="Tableheader" w:customStyle="1">
    <w:name w:val="Table header"/>
    <w:basedOn w:val="BodyCopy"/>
    <w:next w:val="Tablebody"/>
    <w:uiPriority w:val="6"/>
    <w:qFormat/>
    <w:rsid w:val="007C42FE"/>
    <w:pPr>
      <w:spacing w:before="0" w:after="0" w:line="300" w:lineRule="exact"/>
    </w:pPr>
    <w:rPr>
      <w:b/>
      <w:bCs w:val="0"/>
      <w:iCs w:val="0"/>
      <w:color w:val="FFFFFF" w:themeColor="background1"/>
      <w:lang w:val="en-US" w:eastAsia="en-US"/>
    </w:rPr>
  </w:style>
  <w:style w:type="table" w:styleId="TableGrid">
    <w:name w:val="Table Grid"/>
    <w:basedOn w:val="TableNormal"/>
    <w:uiPriority w:val="59"/>
    <w:locked/>
    <w:rsid w:val="007C42FE"/>
    <w:rPr>
      <w:rFonts w:eastAsia="Times New Roman"/>
      <w:lang w:val="en-US"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uiPriority w:val="99"/>
    <w:rsid w:val="007C42FE"/>
    <w:rPr>
      <w:color w:val="auto"/>
      <w:u w:val="single"/>
    </w:rPr>
  </w:style>
  <w:style w:type="character" w:styleId="Heading4Char" w:customStyle="1">
    <w:name w:val="Heading 4 Char"/>
    <w:basedOn w:val="DefaultParagraphFont"/>
    <w:link w:val="Heading4"/>
    <w:uiPriority w:val="3"/>
    <w:rsid w:val="005757A3"/>
    <w:rPr>
      <w:rFonts w:eastAsia="Times New Roman" w:cs="Arial"/>
      <w:b/>
      <w:bCs/>
      <w:iCs/>
      <w:color w:val="FFFFFF" w:themeColor="background1"/>
      <w:szCs w:val="32"/>
      <w:shd w:val="clear" w:color="auto" w:fill="3D2262" w:themeFill="accent1"/>
      <w:lang w:eastAsia="en-US"/>
    </w:rPr>
  </w:style>
  <w:style w:type="paragraph" w:styleId="TOC1">
    <w:name w:val="toc 1"/>
    <w:basedOn w:val="Normal"/>
    <w:next w:val="Normal"/>
    <w:autoRedefine/>
    <w:uiPriority w:val="39"/>
    <w:unhideWhenUsed/>
    <w:rsid w:val="007C42FE"/>
    <w:pPr>
      <w:tabs>
        <w:tab w:val="right" w:leader="dot" w:pos="9016"/>
      </w:tabs>
      <w:spacing w:before="320" w:after="0" w:line="240" w:lineRule="auto"/>
    </w:pPr>
    <w:rPr>
      <w:noProof/>
    </w:rPr>
  </w:style>
  <w:style w:type="paragraph" w:styleId="CommentSubject">
    <w:name w:val="Comment Subject"/>
    <w:basedOn w:val="Normal"/>
    <w:next w:val="Normal"/>
    <w:link w:val="CommentSubjectChar"/>
    <w:uiPriority w:val="99"/>
    <w:semiHidden/>
    <w:unhideWhenUsed/>
    <w:locked/>
    <w:rsid w:val="007C42FE"/>
    <w:rPr>
      <w:b/>
      <w:bCs/>
    </w:rPr>
  </w:style>
  <w:style w:type="character" w:styleId="CommentSubjectChar" w:customStyle="1">
    <w:name w:val="Comment Subject Char"/>
    <w:basedOn w:val="DefaultParagraphFont"/>
    <w:link w:val="CommentSubject"/>
    <w:uiPriority w:val="99"/>
    <w:semiHidden/>
    <w:rsid w:val="007C42FE"/>
    <w:rPr>
      <w:b/>
      <w:bCs/>
    </w:rPr>
  </w:style>
  <w:style w:type="character" w:styleId="Heading5Char" w:customStyle="1">
    <w:name w:val="Heading 5 Char"/>
    <w:basedOn w:val="DefaultParagraphFont"/>
    <w:link w:val="Heading5"/>
    <w:uiPriority w:val="4"/>
    <w:rsid w:val="00AA0CE5"/>
    <w:rPr>
      <w:b/>
      <w:color w:val="3D2262" w:themeColor="accent1"/>
      <w:lang w:eastAsia="en-US"/>
    </w:rPr>
  </w:style>
  <w:style w:type="paragraph" w:styleId="TOC3">
    <w:name w:val="toc 3"/>
    <w:basedOn w:val="TOC1"/>
    <w:next w:val="Normal"/>
    <w:autoRedefine/>
    <w:uiPriority w:val="39"/>
    <w:unhideWhenUsed/>
    <w:rsid w:val="007C42FE"/>
    <w:pPr>
      <w:spacing w:after="100"/>
      <w:ind w:left="992"/>
    </w:pPr>
  </w:style>
  <w:style w:type="paragraph" w:styleId="TOCHeading">
    <w:name w:val="TOC Heading"/>
    <w:basedOn w:val="Heading1"/>
    <w:next w:val="Normal"/>
    <w:uiPriority w:val="39"/>
    <w:unhideWhenUsed/>
    <w:rsid w:val="007C42FE"/>
    <w:pPr>
      <w:spacing w:after="1000"/>
    </w:pPr>
    <w:rPr>
      <w:sz w:val="32"/>
    </w:rPr>
  </w:style>
  <w:style w:type="paragraph" w:styleId="TOClevel1" w:customStyle="1">
    <w:name w:val="TOC level 1"/>
    <w:basedOn w:val="TOC1"/>
    <w:semiHidden/>
    <w:rsid w:val="007C42FE"/>
    <w:pPr>
      <w:tabs>
        <w:tab w:val="clear" w:pos="9016"/>
        <w:tab w:val="right" w:leader="dot" w:pos="9043"/>
      </w:tabs>
      <w:spacing w:after="120"/>
    </w:pPr>
  </w:style>
  <w:style w:type="paragraph" w:styleId="TOCLevel2" w:customStyle="1">
    <w:name w:val="TOC Level 2"/>
    <w:basedOn w:val="TOC1"/>
    <w:semiHidden/>
    <w:rsid w:val="007C42FE"/>
    <w:pPr>
      <w:tabs>
        <w:tab w:val="clear" w:pos="9016"/>
        <w:tab w:val="right" w:leader="dot" w:pos="9043"/>
      </w:tabs>
      <w:spacing w:before="60" w:after="120"/>
    </w:pPr>
  </w:style>
  <w:style w:type="paragraph" w:styleId="TOClevel3" w:customStyle="1">
    <w:name w:val="TOC level 3"/>
    <w:basedOn w:val="TOCLevel2"/>
    <w:semiHidden/>
    <w:rsid w:val="007C42FE"/>
    <w:pPr>
      <w:ind w:left="992"/>
    </w:pPr>
  </w:style>
  <w:style w:type="paragraph" w:styleId="BodyCopy" w:customStyle="1">
    <w:name w:val="Body Copy"/>
    <w:basedOn w:val="Normal"/>
    <w:uiPriority w:val="5"/>
    <w:qFormat/>
    <w:rsid w:val="007C42FE"/>
    <w:rPr>
      <w:rFonts w:eastAsia="Times New Roman" w:cs="Arial"/>
      <w:bCs/>
      <w:iCs/>
      <w:color w:val="000000" w:themeColor="text1"/>
    </w:rPr>
  </w:style>
  <w:style w:type="paragraph" w:styleId="ABbottomtext" w:customStyle="1">
    <w:name w:val="AB bottom text"/>
    <w:basedOn w:val="Normal"/>
    <w:uiPriority w:val="99"/>
    <w:rsid w:val="007C42FE"/>
    <w:pPr>
      <w:suppressAutoHyphens/>
      <w:autoSpaceDE w:val="0"/>
      <w:autoSpaceDN w:val="0"/>
      <w:adjustRightInd w:val="0"/>
      <w:spacing w:before="113" w:after="57" w:line="200" w:lineRule="atLeast"/>
      <w:textAlignment w:val="center"/>
    </w:pPr>
    <w:rPr>
      <w:rFonts w:cs="Montserrat SemiBold"/>
      <w:bCs/>
      <w:color w:val="000000" w:themeColor="text1"/>
      <w:spacing w:val="-1"/>
      <w:sz w:val="16"/>
      <w:szCs w:val="16"/>
      <w:lang w:val="en-US"/>
    </w:rPr>
  </w:style>
  <w:style w:type="paragraph" w:styleId="Tabletitle" w:customStyle="1">
    <w:name w:val="Table title"/>
    <w:uiPriority w:val="6"/>
    <w:qFormat/>
    <w:rsid w:val="007C42FE"/>
    <w:pPr>
      <w:widowControl w:val="0"/>
      <w:spacing w:before="100" w:beforeAutospacing="1" w:after="120" w:line="280" w:lineRule="exact"/>
    </w:pPr>
    <w:rPr>
      <w:rFonts w:eastAsia="Times New Roman" w:cs="Arial"/>
      <w:b/>
      <w:bCs/>
      <w:iCs/>
      <w:lang w:val="en-US" w:eastAsia="en-US"/>
    </w:rPr>
  </w:style>
  <w:style w:type="table" w:styleId="CHSTable" w:customStyle="1">
    <w:name w:val="CHS Table"/>
    <w:basedOn w:val="TableNormal"/>
    <w:uiPriority w:val="99"/>
    <w:rsid w:val="007C42FE"/>
    <w:tblP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styleId="Bold" w:customStyle="1">
    <w:name w:val="Bold"/>
    <w:uiPriority w:val="5"/>
    <w:qFormat/>
    <w:rsid w:val="007C42FE"/>
    <w:rPr>
      <w:b/>
      <w:bCs/>
    </w:rPr>
  </w:style>
  <w:style w:type="character" w:styleId="Heading6Char" w:customStyle="1">
    <w:name w:val="Heading 6 Char"/>
    <w:basedOn w:val="DefaultParagraphFont"/>
    <w:link w:val="Heading6"/>
    <w:uiPriority w:val="4"/>
    <w:rsid w:val="0079272A"/>
    <w:rPr>
      <w:rFonts w:eastAsiaTheme="majorEastAsia" w:cstheme="majorBidi"/>
      <w:color w:val="6E3894" w:themeColor="accent2"/>
      <w:lang w:eastAsia="en-US"/>
    </w:rPr>
  </w:style>
  <w:style w:type="character" w:styleId="PlaceholderText">
    <w:name w:val="Placeholder Text"/>
    <w:basedOn w:val="DefaultParagraphFont"/>
    <w:uiPriority w:val="99"/>
    <w:semiHidden/>
    <w:locked/>
    <w:rsid w:val="007C42FE"/>
    <w:rPr>
      <w:color w:val="808080"/>
    </w:rPr>
  </w:style>
  <w:style w:type="character" w:styleId="UnresolvedMention">
    <w:name w:val="Unresolved Mention"/>
    <w:basedOn w:val="DefaultParagraphFont"/>
    <w:uiPriority w:val="99"/>
    <w:semiHidden/>
    <w:unhideWhenUsed/>
    <w:locked/>
    <w:rsid w:val="007C42FE"/>
    <w:rPr>
      <w:color w:val="605E5C"/>
      <w:shd w:val="clear" w:color="auto" w:fill="E1DFDD"/>
    </w:rPr>
  </w:style>
  <w:style w:type="table" w:styleId="PlainTable3">
    <w:name w:val="Plain Table 3"/>
    <w:basedOn w:val="TableNormal"/>
    <w:uiPriority w:val="43"/>
    <w:locked/>
    <w:rsid w:val="007C42FE"/>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SecondaryHeader" w:customStyle="1">
    <w:name w:val="Secondary Header"/>
    <w:basedOn w:val="Header"/>
    <w:semiHidden/>
    <w:rsid w:val="007C42FE"/>
    <w:pPr>
      <w:spacing w:after="120"/>
    </w:pPr>
  </w:style>
  <w:style w:type="table" w:styleId="PlainTable4">
    <w:name w:val="Plain Table 4"/>
    <w:basedOn w:val="TableNormal"/>
    <w:uiPriority w:val="44"/>
    <w:locked/>
    <w:rsid w:val="007C42F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7C42FE"/>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7C42FE"/>
    <w:tblPr>
      <w:tblStyleRowBandSize w:val="1"/>
      <w:tblStyleColBandSize w:val="1"/>
      <w:tblBorders>
        <w:top w:val="single" w:color="7BFFF3" w:themeColor="accent3" w:themeTint="66" w:sz="4" w:space="0"/>
        <w:left w:val="single" w:color="7BFFF3" w:themeColor="accent3" w:themeTint="66" w:sz="4" w:space="0"/>
        <w:bottom w:val="single" w:color="7BFFF3" w:themeColor="accent3" w:themeTint="66" w:sz="4" w:space="0"/>
        <w:right w:val="single" w:color="7BFFF3" w:themeColor="accent3" w:themeTint="66" w:sz="4" w:space="0"/>
        <w:insideH w:val="single" w:color="7BFFF3" w:themeColor="accent3" w:themeTint="66" w:sz="4" w:space="0"/>
        <w:insideV w:val="single" w:color="7BFFF3" w:themeColor="accent3" w:themeTint="66" w:sz="4" w:space="0"/>
      </w:tblBorders>
    </w:tblPr>
    <w:tblStylePr w:type="firstRow">
      <w:rPr>
        <w:b/>
        <w:bCs/>
      </w:rPr>
      <w:tblPr/>
      <w:tcPr>
        <w:tcBorders>
          <w:bottom w:val="single" w:color="39FFED" w:themeColor="accent3" w:themeTint="99" w:sz="12" w:space="0"/>
        </w:tcBorders>
      </w:tcPr>
    </w:tblStylePr>
    <w:tblStylePr w:type="lastRow">
      <w:rPr>
        <w:b/>
        <w:bCs/>
      </w:rPr>
      <w:tblPr/>
      <w:tcPr>
        <w:tcBorders>
          <w:top w:val="double" w:color="39FFE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7C42FE"/>
    <w:tblPr>
      <w:tblStyleRowBandSize w:val="1"/>
      <w:tblStyleColBandSize w:val="1"/>
      <w:tblBorders>
        <w:top w:val="single" w:color="A7E6F5" w:themeColor="accent4" w:themeTint="66" w:sz="4" w:space="0"/>
        <w:left w:val="single" w:color="A7E6F5" w:themeColor="accent4" w:themeTint="66" w:sz="4" w:space="0"/>
        <w:bottom w:val="single" w:color="A7E6F5" w:themeColor="accent4" w:themeTint="66" w:sz="4" w:space="0"/>
        <w:right w:val="single" w:color="A7E6F5" w:themeColor="accent4" w:themeTint="66" w:sz="4" w:space="0"/>
        <w:insideH w:val="single" w:color="A7E6F5" w:themeColor="accent4" w:themeTint="66" w:sz="4" w:space="0"/>
        <w:insideV w:val="single" w:color="A7E6F5" w:themeColor="accent4" w:themeTint="66" w:sz="4" w:space="0"/>
      </w:tblBorders>
    </w:tblPr>
    <w:tblStylePr w:type="firstRow">
      <w:rPr>
        <w:b/>
        <w:bCs/>
      </w:rPr>
      <w:tblPr/>
      <w:tcPr>
        <w:tcBorders>
          <w:bottom w:val="single" w:color="7BDAF1" w:themeColor="accent4" w:themeTint="99" w:sz="12" w:space="0"/>
        </w:tcBorders>
      </w:tcPr>
    </w:tblStylePr>
    <w:tblStylePr w:type="lastRow">
      <w:rPr>
        <w:b/>
        <w:bCs/>
      </w:rPr>
      <w:tblPr/>
      <w:tcPr>
        <w:tcBorders>
          <w:top w:val="double" w:color="7BDAF1"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7C42FE"/>
    <w:tblPr>
      <w:tblStyleRowBandSize w:val="1"/>
      <w:tblStyleColBandSize w:val="1"/>
      <w:tblBorders>
        <w:top w:val="single" w:color="F9C6DA" w:themeColor="accent5" w:themeTint="66" w:sz="4" w:space="0"/>
        <w:left w:val="single" w:color="F9C6DA" w:themeColor="accent5" w:themeTint="66" w:sz="4" w:space="0"/>
        <w:bottom w:val="single" w:color="F9C6DA" w:themeColor="accent5" w:themeTint="66" w:sz="4" w:space="0"/>
        <w:right w:val="single" w:color="F9C6DA" w:themeColor="accent5" w:themeTint="66" w:sz="4" w:space="0"/>
        <w:insideH w:val="single" w:color="F9C6DA" w:themeColor="accent5" w:themeTint="66" w:sz="4" w:space="0"/>
        <w:insideV w:val="single" w:color="F9C6DA" w:themeColor="accent5" w:themeTint="66" w:sz="4" w:space="0"/>
      </w:tblBorders>
    </w:tblPr>
    <w:tblStylePr w:type="firstRow">
      <w:rPr>
        <w:b/>
        <w:bCs/>
      </w:rPr>
      <w:tblPr/>
      <w:tcPr>
        <w:tcBorders>
          <w:bottom w:val="single" w:color="F6AAC8" w:themeColor="accent5" w:themeTint="99" w:sz="12" w:space="0"/>
        </w:tcBorders>
      </w:tcPr>
    </w:tblStylePr>
    <w:tblStylePr w:type="lastRow">
      <w:rPr>
        <w:b/>
        <w:bCs/>
      </w:rPr>
      <w:tblPr/>
      <w:tcPr>
        <w:tcBorders>
          <w:top w:val="double" w:color="F6AAC8" w:themeColor="accent5" w:themeTint="99" w:sz="2" w:space="0"/>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7C42FE"/>
    <w:rPr>
      <w:color w:val="000000" w:themeColor="text1"/>
    </w:rPr>
    <w:tblPr>
      <w:tblStyleRowBandSize w:val="1"/>
      <w:tblStyleColBandSize w:val="1"/>
      <w:tblBorders>
        <w:top w:val="single" w:color="F8AE9C" w:themeColor="accent6" w:themeTint="99" w:sz="4" w:space="0"/>
        <w:left w:val="single" w:color="F8AE9C" w:themeColor="accent6" w:themeTint="99" w:sz="4" w:space="0"/>
        <w:bottom w:val="single" w:color="F8AE9C" w:themeColor="accent6" w:themeTint="99" w:sz="4" w:space="0"/>
        <w:right w:val="single" w:color="F8AE9C" w:themeColor="accent6" w:themeTint="99" w:sz="4" w:space="0"/>
        <w:insideH w:val="single" w:color="F8AE9C" w:themeColor="accent6" w:themeTint="99" w:sz="4" w:space="0"/>
        <w:insideV w:val="single" w:color="F8AE9C" w:themeColor="accent6" w:themeTint="99" w:sz="4" w:space="0"/>
      </w:tblBorders>
    </w:tblPr>
    <w:tcPr>
      <w:shd w:val="clear" w:color="auto" w:fill="auto"/>
    </w:tcPr>
    <w:tblStylePr w:type="firstRow">
      <w:rPr>
        <w:rFonts w:ascii="Arial" w:hAnsi="Arial"/>
        <w:b/>
        <w:bCs/>
        <w:color w:val="auto"/>
        <w:sz w:val="24"/>
      </w:rPr>
      <w:tblPr/>
      <w:tcPr>
        <w:tcBorders>
          <w:top w:val="single" w:color="F47A5C" w:themeColor="accent6" w:sz="4" w:space="0"/>
          <w:left w:val="single" w:color="F47A5C" w:themeColor="accent6" w:sz="4" w:space="0"/>
          <w:bottom w:val="single" w:color="F47A5C" w:themeColor="accent6" w:sz="4" w:space="0"/>
          <w:right w:val="single" w:color="F47A5C" w:themeColor="accent6" w:sz="4" w:space="0"/>
          <w:insideH w:val="nil"/>
          <w:insideV w:val="nil"/>
        </w:tcBorders>
        <w:shd w:val="clear" w:color="auto" w:fill="F47A5C" w:themeFill="accent6"/>
      </w:tcPr>
    </w:tblStylePr>
    <w:tblStylePr w:type="lastRow">
      <w:rPr>
        <w:b/>
        <w:bCs/>
      </w:rPr>
      <w:tblPr/>
      <w:tcPr>
        <w:tcBorders>
          <w:top w:val="double" w:color="F47A5C" w:themeColor="accent6" w:sz="4" w:space="0"/>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7C42FE"/>
    <w:tblPr>
      <w:tblStyleRowBandSize w:val="1"/>
      <w:tblStyleColBandSize w:val="1"/>
    </w:tblPr>
    <w:tblStylePr w:type="firstRow">
      <w:rPr>
        <w:b/>
        <w:bCs/>
      </w:rPr>
      <w:tblPr/>
      <w:tcPr>
        <w:tcBorders>
          <w:bottom w:val="single" w:color="F8AE9C" w:themeColor="accent6" w:themeTint="99" w:sz="4" w:space="0"/>
        </w:tcBorders>
      </w:tcPr>
    </w:tblStylePr>
    <w:tblStylePr w:type="lastRow">
      <w:rPr>
        <w:b/>
        <w:bCs/>
      </w:rPr>
      <w:tblPr/>
      <w:tcPr>
        <w:tcBorders>
          <w:top w:val="single" w:color="F8AE9C" w:themeColor="accent6" w:themeTint="99" w:sz="4" w:space="0"/>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7C42FE"/>
    <w:tblPr>
      <w:tblStyleRowBandSize w:val="1"/>
      <w:tblStyleColBandSize w:val="1"/>
    </w:tblPr>
    <w:tblStylePr w:type="firstRow">
      <w:rPr>
        <w:b/>
        <w:bCs/>
      </w:rPr>
      <w:tblPr/>
      <w:tcPr>
        <w:tcBorders>
          <w:bottom w:val="single" w:color="8456C4" w:themeColor="accent1" w:themeTint="99" w:sz="4" w:space="0"/>
        </w:tcBorders>
      </w:tcPr>
    </w:tblStylePr>
    <w:tblStylePr w:type="lastRow">
      <w:rPr>
        <w:b/>
        <w:bCs/>
      </w:rPr>
      <w:tblPr/>
      <w:tcPr>
        <w:tcBorders>
          <w:top w:val="single" w:color="8456C4" w:themeColor="accent1" w:themeTint="99" w:sz="4" w:space="0"/>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styleId="Bottomblocktext" w:customStyle="1">
    <w:name w:val="Bottom block text"/>
    <w:basedOn w:val="Normal"/>
    <w:uiPriority w:val="99"/>
    <w:rsid w:val="007C42FE"/>
    <w:pPr>
      <w:suppressAutoHyphens/>
      <w:autoSpaceDE w:val="0"/>
      <w:autoSpaceDN w:val="0"/>
      <w:adjustRightInd w:val="0"/>
      <w:spacing w:before="113" w:after="57" w:line="200" w:lineRule="atLeast"/>
      <w:textAlignment w:val="center"/>
    </w:pPr>
    <w:rPr>
      <w:rFonts w:cs="Montserrat SemiBold"/>
      <w:bCs/>
      <w:color w:val="000000" w:themeColor="text1"/>
      <w:spacing w:val="-1"/>
      <w:sz w:val="16"/>
      <w:szCs w:val="16"/>
      <w:lang w:val="en-US"/>
    </w:rPr>
  </w:style>
  <w:style w:type="character" w:styleId="FollowedHyperlink">
    <w:name w:val="FollowedHyperlink"/>
    <w:basedOn w:val="DefaultParagraphFont"/>
    <w:uiPriority w:val="99"/>
    <w:semiHidden/>
    <w:unhideWhenUsed/>
    <w:locked/>
    <w:rsid w:val="007C42FE"/>
    <w:rPr>
      <w:color w:val="575757" w:themeColor="followedHyperlink"/>
      <w:u w:val="single"/>
    </w:rPr>
  </w:style>
  <w:style w:type="paragraph" w:styleId="Numberedlist" w:customStyle="1">
    <w:name w:val="Numbered list"/>
    <w:basedOn w:val="Bullet"/>
    <w:uiPriority w:val="6"/>
    <w:qFormat/>
    <w:rsid w:val="007C42FE"/>
    <w:pPr>
      <w:numPr>
        <w:numId w:val="22"/>
      </w:numPr>
    </w:pPr>
  </w:style>
  <w:style w:type="character" w:styleId="CommentReference">
    <w:name w:val="Comment Reference"/>
    <w:basedOn w:val="DefaultParagraphFont"/>
    <w:uiPriority w:val="99"/>
    <w:semiHidden/>
    <w:unhideWhenUsed/>
    <w:locked/>
    <w:rsid w:val="007C42FE"/>
    <w:rPr>
      <w:sz w:val="16"/>
      <w:szCs w:val="16"/>
    </w:rPr>
  </w:style>
  <w:style w:type="paragraph" w:styleId="CommentText">
    <w:name w:val="Comment Text"/>
    <w:basedOn w:val="Normal"/>
    <w:link w:val="CommentTextChar"/>
    <w:uiPriority w:val="99"/>
    <w:rsid w:val="007C42FE"/>
    <w:pPr>
      <w:spacing w:line="240" w:lineRule="auto"/>
    </w:pPr>
    <w:rPr>
      <w:sz w:val="20"/>
      <w:szCs w:val="20"/>
    </w:rPr>
  </w:style>
  <w:style w:type="character" w:styleId="CommentTextChar" w:customStyle="1">
    <w:name w:val="Comment Text Char"/>
    <w:basedOn w:val="DefaultParagraphFont"/>
    <w:link w:val="CommentText"/>
    <w:uiPriority w:val="99"/>
    <w:rsid w:val="00AA0CE5"/>
    <w:rPr>
      <w:sz w:val="20"/>
      <w:szCs w:val="20"/>
    </w:rPr>
  </w:style>
  <w:style w:type="character" w:styleId="PageNumber">
    <w:name w:val="page number"/>
    <w:basedOn w:val="DefaultParagraphFont"/>
    <w:uiPriority w:val="99"/>
    <w:locked/>
    <w:rsid w:val="007C42FE"/>
    <w:rPr>
      <w:rFonts w:cs="Times New Roman"/>
    </w:rPr>
  </w:style>
  <w:style w:type="paragraph" w:styleId="ListParagraph">
    <w:name w:val="List Paragraph"/>
    <w:basedOn w:val="Normal"/>
    <w:uiPriority w:val="34"/>
    <w:qFormat/>
    <w:locked/>
    <w:rsid w:val="007C42FE"/>
    <w:pPr>
      <w:ind w:left="720"/>
      <w:contextualSpacing/>
    </w:pPr>
  </w:style>
  <w:style w:type="paragraph" w:styleId="TOCHeading2" w:customStyle="1">
    <w:name w:val="TOC Heading 2"/>
    <w:basedOn w:val="TOCHeading"/>
    <w:uiPriority w:val="3"/>
    <w:rsid w:val="007C42FE"/>
    <w:pPr>
      <w:widowControl/>
      <w:spacing w:before="0" w:beforeAutospacing="0" w:after="240" w:line="240" w:lineRule="auto"/>
      <w:outlineLvl w:val="9"/>
    </w:pPr>
    <w:rPr>
      <w:b/>
      <w:color w:val="000000"/>
    </w:rPr>
  </w:style>
  <w:style w:type="paragraph" w:styleId="TOC2">
    <w:name w:val="toc 2"/>
    <w:basedOn w:val="Normal"/>
    <w:next w:val="Normal"/>
    <w:autoRedefine/>
    <w:uiPriority w:val="39"/>
    <w:unhideWhenUsed/>
    <w:rsid w:val="007C42FE"/>
    <w:pPr>
      <w:spacing w:before="0" w:after="100" w:line="259" w:lineRule="auto"/>
      <w:ind w:left="220"/>
    </w:pPr>
    <w:rPr>
      <w:rFonts w:asciiTheme="minorHAnsi" w:hAnsiTheme="minorHAnsi" w:eastAsiaTheme="minorEastAsia"/>
      <w:sz w:val="22"/>
      <w:szCs w:val="22"/>
      <w:lang w:val="en-US" w:eastAsia="en-US"/>
    </w:rPr>
  </w:style>
  <w:style w:type="paragraph" w:styleId="BodyText">
    <w:name w:val="Body Text"/>
    <w:basedOn w:val="Normal"/>
    <w:link w:val="BodyTextChar"/>
    <w:semiHidden/>
    <w:unhideWhenUsed/>
    <w:locked/>
    <w:rsid w:val="007C42FE"/>
    <w:pPr>
      <w:spacing w:after="120"/>
    </w:pPr>
  </w:style>
  <w:style w:type="character" w:styleId="BodyTextChar" w:customStyle="1">
    <w:name w:val="Body Text Char"/>
    <w:basedOn w:val="DefaultParagraphFont"/>
    <w:link w:val="BodyText"/>
    <w:semiHidden/>
    <w:rsid w:val="007C42FE"/>
  </w:style>
  <w:style w:type="paragraph" w:styleId="Revision">
    <w:name w:val="Revision"/>
    <w:hidden/>
    <w:uiPriority w:val="99"/>
    <w:semiHidden/>
    <w:rsid w:val="008B5955"/>
    <w:pPr>
      <w:spacing w:before="0" w:after="0" w:line="240" w:lineRule="auto"/>
    </w:pPr>
  </w:style>
  <w:style w:type="character" w:styleId="Heading7Char" w:customStyle="1">
    <w:name w:val="Heading 7 Char"/>
    <w:basedOn w:val="DefaultParagraphFont"/>
    <w:link w:val="Heading7"/>
    <w:uiPriority w:val="4"/>
    <w:rsid w:val="0079272A"/>
    <w:rPr>
      <w:rFonts w:eastAsiaTheme="majorEastAsia" w:cstheme="majorBidi"/>
      <w:b/>
      <w:iCs/>
      <w:color w:val="1E1130" w:themeColor="accent1" w:themeShade="7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kemh.health.wa.gov.au/For-Health-Professionals/Clinical-Guidelines/Neonatal" TargetMode="External" Id="rId13" /><Relationship Type="http://schemas.openxmlformats.org/officeDocument/2006/relationships/hyperlink" Target="https://actgovernment.sharepoint.com/:w:/r/sites/Intranet-CHS/PolicyRegister/Policy%20and%20Plans%20Register/Massive%20Transfusion%20Protocol.DOC?d=w891125cbbaaf4f5ab3f6e769547af8ed&amp;csf=1&amp;web=1&amp;e=b38q8d" TargetMode="External"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image" Target="media/image3.png" Id="rId21" /><Relationship Type="http://schemas.openxmlformats.org/officeDocument/2006/relationships/settings" Target="settings.xml" Id="rId7" /><Relationship Type="http://schemas.openxmlformats.org/officeDocument/2006/relationships/hyperlink" Target="https://pig.rch.org.au/pages/appendix-b-intravenous-fluid-additive-calculations-to-prepare-500-ml?_pos=2&amp;_psq=append&amp;_ss=e&amp;_v=1.0" TargetMode="External" Id="rId12" /><Relationship Type="http://schemas.openxmlformats.org/officeDocument/2006/relationships/hyperlink" Target="https://www.drugs.com/dosage/coagulation-factor-viia.html" TargetMode="External"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hyperlink" Target="https://www.micromedexsolutions.com" TargetMode="External" Id="rId16" /><Relationship Type="http://schemas.openxmlformats.org/officeDocument/2006/relationships/image" Target="media/image2.png" Id="rId20" /><Relationship Type="http://schemas.openxmlformats.org/officeDocument/2006/relationships/footer" Target="footer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anmfonline.org/clinical-resources/" TargetMode="External" Id="rId11" /><Relationship Type="http://schemas.openxmlformats.org/officeDocument/2006/relationships/image" Target="media/image5.png"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hyperlink" Target="https://www.uptodate.com/contents/phenytoin-pediatric-drug-information?search=lidocaine+for+neonatal+seizures&amp;topicRef=6201&amp;source=see_link" TargetMode="External" Id="rId15" /><Relationship Type="http://schemas.openxmlformats.org/officeDocument/2006/relationships/hyperlink" Target="https://www.canberrahealthservices.act.gov.au/accessibility" TargetMode="External" Id="rId23" /><Relationship Type="http://schemas.openxmlformats.org/officeDocument/2006/relationships/header" Target="header2.xml" Id="rId28" /><Relationship Type="http://schemas.openxmlformats.org/officeDocument/2006/relationships/endnotes" Target="endnotes.xml" Id="rId10" /><Relationship Type="http://schemas.openxmlformats.org/officeDocument/2006/relationships/image" Target="media/image1.png" Id="rId19" /><Relationship Type="http://schemas.openxmlformats.org/officeDocument/2006/relationships/glossaryDocument" Target="glossary/document.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ctgovernment.sharepoint.com/:w:/r/sites/Intranet-CHS/PolicyRegister/_layouts/15/Doc.aspx?sourcedoc=%7BCDCC249E-33D3-400C-86EA-F838C3A50ED8%7D&amp;file=Iodinated%20Contrast.docx&amp;action=default&amp;mobileredirect=true&amp;DefaultItemOpen=1" TargetMode="External" Id="rId14" /><Relationship Type="http://schemas.openxmlformats.org/officeDocument/2006/relationships/image" Target="media/image4.png" Id="rId22" /><Relationship Type="http://schemas.openxmlformats.org/officeDocument/2006/relationships/footer" Target="footer2.xml" Id="rId27" /><Relationship Type="http://schemas.openxmlformats.org/officeDocument/2006/relationships/fontTable" Target="fontTable.xml" Id="rId30" /></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issa%20Milward\Downloads\CHS%20Placeholder%20template%20(3).dotx" TargetMode="External"/></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docParts>
    <w:docPart>
      <w:docPartPr>
        <w:name w:val="A2D76AACFA134CEE89A8232B88399285"/>
        <w:category>
          <w:name w:val="General"/>
          <w:gallery w:val="placeholder"/>
        </w:category>
        <w:types>
          <w:type w:val="bbPlcHdr"/>
        </w:types>
        <w:behaviors>
          <w:behavior w:val="content"/>
        </w:behaviors>
        <w:guid w:val="{67CEC587-8979-4396-90C1-D7E9D5B38231}"/>
      </w:docPartPr>
      <w:docPartBody>
        <w:p xmlns:wp14="http://schemas.microsoft.com/office/word/2010/wordml" w:rsidR="003171C2" w:rsidRDefault="003171C2" w14:paraId="12490731" wp14:textId="77777777">
          <w:pPr>
            <w:pStyle w:val="A2D76AACFA134CEE89A8232B88399285"/>
          </w:pPr>
          <w:r>
            <w:rPr>
              <w:noProof/>
              <w:sz w:val="20"/>
              <w:szCs w:val="20"/>
            </w:rPr>
            <w:drawing>
              <wp:inline xmlns:wp14="http://schemas.microsoft.com/office/word/2010/wordprocessingDrawing" distT="0" distB="0" distL="0" distR="0" wp14:anchorId="3C5FD0E8" wp14:editId="3C5FD0E9">
                <wp:extent cx="282575" cy="285750"/>
                <wp:effectExtent l="0" t="0" r="3175" b="0"/>
                <wp:docPr id="1"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3899F9E9C83543A090BA575684923022"/>
        <w:category>
          <w:name w:val="General"/>
          <w:gallery w:val="placeholder"/>
        </w:category>
        <w:types>
          <w:type w:val="bbPlcHdr"/>
        </w:types>
        <w:behaviors>
          <w:behavior w:val="content"/>
        </w:behaviors>
        <w:guid w:val="{E49E00DB-5DD3-4BDF-A920-5037202ADEB9}"/>
      </w:docPartPr>
      <w:docPartBody>
        <w:p xmlns:wp14="http://schemas.microsoft.com/office/word/2010/wordml" w:rsidR="003171C2" w:rsidRDefault="003171C2" w14:paraId="54FBB16C" wp14:textId="77777777">
          <w:pPr>
            <w:pStyle w:val="3899F9E9C83543A090BA575684923022"/>
          </w:pPr>
          <w:r w:rsidRPr="00EE29F8">
            <w:rPr>
              <w:rStyle w:val="PlaceholderText"/>
            </w:rPr>
            <w:t>Choose an item.</w:t>
          </w:r>
        </w:p>
      </w:docPartBody>
    </w:docPart>
    <w:docPart>
      <w:docPartPr>
        <w:name w:val="2C289B58B87C4D498DCF3EDE817CC8E5"/>
        <w:category>
          <w:name w:val="General"/>
          <w:gallery w:val="placeholder"/>
        </w:category>
        <w:types>
          <w:type w:val="bbPlcHdr"/>
        </w:types>
        <w:behaviors>
          <w:behavior w:val="content"/>
        </w:behaviors>
        <w:guid w:val="{A1A9F172-A1B1-42AB-8F86-E07DED62D056}"/>
      </w:docPartPr>
      <w:docPartBody>
        <w:p xmlns:wp14="http://schemas.microsoft.com/office/word/2010/wordml" w:rsidRPr="00F26C97" w:rsidR="003171C2" w:rsidP="00185FE8" w:rsidRDefault="003171C2" w14:paraId="0FB09204" wp14:textId="77777777">
          <w:pPr>
            <w:pStyle w:val="Bottomblocktext"/>
            <w:rPr>
              <w:b/>
              <w:bCs w:val="0"/>
              <w:sz w:val="20"/>
              <w:szCs w:val="20"/>
            </w:rPr>
          </w:pPr>
          <w:r>
            <w:rPr>
              <w:b/>
              <w:bCs w:val="0"/>
              <w:noProof/>
              <w:sz w:val="20"/>
              <w:szCs w:val="20"/>
            </w:rPr>
            <w:drawing>
              <wp:inline xmlns:wp14="http://schemas.microsoft.com/office/word/2010/wordprocessingDrawing" distT="0" distB="0" distL="0" distR="0" wp14:anchorId="3C5FD0EA" wp14:editId="3C5FD0EB">
                <wp:extent cx="338275" cy="331065"/>
                <wp:effectExtent l="0" t="0" r="5080" b="0"/>
                <wp:docPr id="2"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xmlns:wp14="http://schemas.microsoft.com/office/word/2010/wordprocessingDrawing" distT="0" distB="0" distL="0" distR="0" wp14:anchorId="3C5FD0EC" wp14:editId="3C5FD0ED">
                <wp:extent cx="143919" cy="139700"/>
                <wp:effectExtent l="0" t="0" r="8890" b="0"/>
                <wp:docPr id="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xmlns:wp14="http://schemas.microsoft.com/office/word/2010/wordml" w:rsidRPr="00F26C97" w:rsidR="003171C2" w:rsidP="00185FE8" w:rsidRDefault="003171C2" w14:paraId="1B3206BC" wp14:textId="77777777">
          <w:pPr>
            <w:pStyle w:val="Bottomblocktext"/>
            <w:rPr>
              <w:b/>
              <w:bCs w:val="0"/>
              <w:sz w:val="20"/>
              <w:szCs w:val="20"/>
            </w:rPr>
          </w:pPr>
          <w:r>
            <w:rPr>
              <w:b/>
              <w:bCs w:val="0"/>
              <w:noProof/>
              <w:sz w:val="20"/>
              <w:szCs w:val="20"/>
            </w:rPr>
            <w:drawing>
              <wp:inline xmlns:wp14="http://schemas.microsoft.com/office/word/2010/wordprocessingDrawing" distT="0" distB="0" distL="0" distR="0" wp14:anchorId="3C5FD0EE" wp14:editId="3C5FD0EF">
                <wp:extent cx="326104" cy="323850"/>
                <wp:effectExtent l="0" t="0" r="0" b="0"/>
                <wp:docPr id="4"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xmlns:wp14="http://schemas.microsoft.com/office/word/2010/wordprocessingDrawing" distT="0" distB="0" distL="0" distR="0" wp14:anchorId="3C5FD0F0" wp14:editId="3C5FD0F1">
                <wp:extent cx="143919" cy="139700"/>
                <wp:effectExtent l="0" t="0" r="8890" b="0"/>
                <wp:docPr id="5"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xmlns:wp14="http://schemas.microsoft.com/office/word/2010/wordml" w:rsidR="003171C2" w:rsidP="00185FE8" w:rsidRDefault="003171C2" w14:paraId="0F2D3AD7" wp14:textId="77777777">
          <w:pPr>
            <w:pStyle w:val="Bottomblocktext"/>
            <w:rPr>
              <w:sz w:val="20"/>
              <w:szCs w:val="20"/>
            </w:rPr>
          </w:pPr>
          <w:hyperlink w:history="1" r:id="rId8">
            <w:r w:rsidRPr="00350211">
              <w:rPr>
                <w:rStyle w:val="Hyperlink"/>
                <w:sz w:val="20"/>
                <w:szCs w:val="20"/>
              </w:rPr>
              <w:t>canberrahealthservices.act.gov.au/accessibility</w:t>
            </w:r>
          </w:hyperlink>
        </w:p>
        <w:p xmlns:wp14="http://schemas.microsoft.com/office/word/2010/wordml" w:rsidR="003171C2" w:rsidRDefault="003171C2" w14:paraId="672A6659" wp14:textId="77777777">
          <w:pPr>
            <w:pStyle w:val="2C289B58B87C4D498DCF3EDE817CC8E5"/>
          </w:pPr>
          <w:r>
            <w:rPr>
              <w:b/>
              <w:bCs/>
              <w:noProof/>
            </w:rPr>
            <w:drawing>
              <wp:inline xmlns:wp14="http://schemas.microsoft.com/office/word/2010/wordprocessingDrawing" distT="0" distB="0" distL="0" distR="0" wp14:anchorId="3C5FD0F2" wp14:editId="3C5FD0F3">
                <wp:extent cx="1323833" cy="309418"/>
                <wp:effectExtent l="0" t="0" r="0" b="0"/>
                <wp:docPr id="6"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1C2"/>
    <w:rsid w:val="00100692"/>
    <w:rsid w:val="00236925"/>
    <w:rsid w:val="00271B80"/>
    <w:rsid w:val="002E2C5F"/>
    <w:rsid w:val="003171C2"/>
    <w:rsid w:val="00671C3C"/>
    <w:rsid w:val="008267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D76AACFA134CEE89A8232B88399285">
    <w:name w:val="A2D76AACFA134CEE89A8232B88399285"/>
  </w:style>
  <w:style w:type="character" w:styleId="PlaceholderText">
    <w:name w:val="Placeholder Text"/>
    <w:basedOn w:val="DefaultParagraphFont"/>
    <w:uiPriority w:val="99"/>
    <w:semiHidden/>
    <w:rPr>
      <w:color w:val="808080"/>
    </w:rPr>
  </w:style>
  <w:style w:type="paragraph" w:customStyle="1" w:styleId="3899F9E9C83543A090BA575684923022">
    <w:name w:val="3899F9E9C83543A090BA575684923022"/>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2C289B58B87C4D498DCF3EDE817CC8E5">
    <w:name w:val="2C289B58B87C4D498DCF3EDE817CC8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46B23B19A8774893278BE755DCE152" ma:contentTypeVersion="57" ma:contentTypeDescription="Create a new document." ma:contentTypeScope="" ma:versionID="303ca34eedff9ce780c56bed41b1a897">
  <xsd:schema xmlns:xsd="http://www.w3.org/2001/XMLSchema" xmlns:xs="http://www.w3.org/2001/XMLSchema" xmlns:p="http://schemas.microsoft.com/office/2006/metadata/properties" xmlns:ns2="690b2128-8961-48af-a473-22c34a9accba" xmlns:ns3="c0239a80-7f07-4ed7-82c3-24ad7d76ada5" targetNamespace="http://schemas.microsoft.com/office/2006/metadata/properties" ma:root="true" ma:fieldsID="872824f82ba42cb65bf7d7c8dfde39ef" ns2:_="" ns3:_="">
    <xsd:import namespace="690b2128-8961-48af-a473-22c34a9accba"/>
    <xsd:import namespace="c0239a80-7f07-4ed7-82c3-24ad7d76ada5"/>
    <xsd:element name="properties">
      <xsd:complexType>
        <xsd:sequence>
          <xsd:element name="documentManagement">
            <xsd:complexType>
              <xsd:all>
                <xsd:element ref="ns2:Description0" minOccurs="0"/>
                <xsd:element ref="ns2:Key_x0020_Words" minOccurs="0"/>
                <xsd:element ref="ns2:Decision_x0020_Number"/>
                <xsd:element ref="ns2:Version_x0020_Number" minOccurs="0"/>
                <xsd:element ref="ns2:Review_x0020_Date" minOccurs="0"/>
                <xsd:element ref="ns2:Status" minOccurs="0"/>
                <xsd:element ref="ns2:New_x0020_Applies_x0020_To" minOccurs="0"/>
                <xsd:element ref="ns2:New_x0020_Owner" minOccurs="0"/>
                <xsd:element ref="ns2:Type_x0020_of_x0020_Document" minOccurs="0"/>
                <xsd:element ref="ns2:Related_x0020_Documents" minOccurs="0"/>
                <xsd:element ref="ns2:Approval_x0020_Name_x007c_Committee" minOccurs="0"/>
                <xsd:element ref="ns2:Approval_x0020_Date" minOccurs="0"/>
                <xsd:element ref="ns2:Display_x0020_on_x0020_Internet" minOccurs="0"/>
                <xsd:element ref="ns2:Notes0" minOccurs="0"/>
                <xsd:element ref="ns2:Progress" minOccurs="0"/>
                <xsd:element ref="ns2:Replaces_x003a_" minOccurs="0"/>
                <xsd:element ref="ns2:Risk_x0020_Rating" minOccurs="0"/>
                <xsd:element ref="ns3:TaxCatchAll"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ISD_x0020_Submitted" minOccurs="0"/>
                <xsd:element ref="ns2:k0794e393e1f41c2810d090eedba34a0" minOccurs="0"/>
                <xsd:element ref="ns2:RelatedPolicies_x002c_ProceduresGuideline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0b2128-8961-48af-a473-22c34a9accba"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ma:readOnly="false">
      <xsd:simpleType>
        <xsd:restriction base="dms:Note">
          <xsd:maxLength value="255"/>
        </xsd:restriction>
      </xsd:simpleType>
    </xsd:element>
    <xsd:element name="Key_x0020_Words" ma:index="3" nillable="true" ma:displayName="Key Words" ma:indexed="true" ma:internalName="Key_x0020_Words" ma:readOnly="false">
      <xsd:simpleType>
        <xsd:restriction base="dms:Text">
          <xsd:maxLength value="255"/>
        </xsd:restriction>
      </xsd:simpleType>
    </xsd:element>
    <xsd:element name="Decision_x0020_Number" ma:index="4" ma:displayName="Decision Number" ma:internalName="Decision_x0020_Number" ma:readOnly="false">
      <xsd:simpleType>
        <xsd:restriction base="dms:Text">
          <xsd:maxLength value="15"/>
        </xsd:restriction>
      </xsd:simpleType>
    </xsd:element>
    <xsd:element name="Version_x0020_Number" ma:index="5" nillable="true" ma:displayName="Version Number" ma:internalName="Version_x0020_Number" ma:readOnly="false">
      <xsd:simpleType>
        <xsd:restriction base="dms:Text">
          <xsd:maxLength value="15"/>
        </xsd:restriction>
      </xsd:simpleType>
    </xsd:element>
    <xsd:element name="Review_x0020_Date" ma:index="6" nillable="true" ma:displayName="Review Date" ma:format="DateOnly" ma:internalName="Review_x0020_Date">
      <xsd:simpleType>
        <xsd:restriction base="dms:DateTime"/>
      </xsd:simpleType>
    </xsd:element>
    <xsd:element name="Status" ma:index="7" nillable="true" ma:displayName="Status" ma:format="RadioButtons" ma:internalName="Status" ma:readOnly="false">
      <xsd:simpleType>
        <xsd:union memberTypes="dms:Text">
          <xsd:simpleType>
            <xsd:restriction base="dms:Choice">
              <xsd:enumeration value="Approved"/>
              <xsd:enumeration value="Due for Review"/>
              <xsd:enumeration value="Overdue for Review"/>
              <xsd:enumeration value="Draft"/>
            </xsd:restriction>
          </xsd:simpleType>
        </xsd:union>
      </xsd:simpleType>
    </xsd:element>
    <xsd:element name="New_x0020_Applies_x0020_To" ma:index="8" nillable="true" ma:displayName="Applies To" ma:format="Dropdown" ma:internalName="New_x0020_Applies_x0020_To" ma:readOnly="false">
      <xsd:simpleType>
        <xsd:union memberTypes="dms:Text">
          <xsd:simpleType>
            <xsd:restriction base="dms:Choice">
              <xsd:enumeration value="Canberra Health Services"/>
              <xsd:enumeration value="Allied Health"/>
              <xsd:enumeration value="Allied Health - Physiotherapists"/>
              <xsd:enumeration value="Allied Health - Acute Support"/>
              <xsd:enumeration value="Allied Health - Education"/>
              <xsd:enumeration value="Allied Health - Interprofessional Learning"/>
              <xsd:enumeration value="Cancer and Ambulatory Support (CAS)"/>
              <xsd:enumeration value="Cancer and Ambulatory Support (CAS) - Advanced Care Planning"/>
              <xsd:enumeration value="Cancer and Ambulatory Support (CAS) - Ambulatory Care Support"/>
              <xsd:enumeration value="Cancer and Ambulatory Support (CAS) - Breastscreen"/>
              <xsd:enumeration value="Cancer and Ambulatory Support (CAS) - Haematology"/>
              <xsd:enumeration value="Cancer and Ambulatory Support (CAS) - Immunology"/>
              <xsd:enumeration value="Cancer and Ambulatory Support (CAS) - Medical Oncology"/>
              <xsd:enumeration value="Cancer and Ambulatory Support (CAS) - Medical Physics and Radiation Engineering"/>
              <xsd:enumeration value="Cancer and Ambulatory Support (CAS) - Palliative Care"/>
              <xsd:enumeration value="Cancer and Ambulatory Support (CAS) - Radiation Oncology"/>
              <xsd:enumeration value="Cancer and Ambulatory Support (CAS) - Walk-in Centres"/>
              <xsd:enumeration value="CEO"/>
              <xsd:enumeration value="CEO - Canberra Hospital Foundation"/>
              <xsd:enumeration value="CEO - Office of Research and Education (ORE)"/>
              <xsd:enumeration value="COO"/>
              <xsd:enumeration value="COO - DonateLife"/>
              <xsd:enumeration value="COO - Emergency Management Coordination"/>
              <xsd:enumeration value="COO - Patient Flow"/>
              <xsd:enumeration value="DCEO"/>
              <xsd:enumeration value="DCEO - Communications and Engagement"/>
              <xsd:enumeration value="DCEO - Government Relations"/>
              <xsd:enumeration value="DCEO - Strategy, Policy and Planning"/>
              <xsd:enumeration value="DCEO - Territory Wide Surgical Services"/>
              <xsd:enumeration value="Finance and Business Intelligence (FBI)"/>
              <xsd:enumeration value="Finance and Business Intelligence (FBI) - Data and Reporting"/>
              <xsd:enumeration value="Finance and Business Intelligence (FBI) - Finance and Procurement"/>
              <xsd:enumeration value="Finance and Business Intelligence (FBI) - Health Information Services"/>
              <xsd:enumeration value="Infrastructure and Health Support Services (IHSS)"/>
              <xsd:enumeration value="Infrastructure and Health Support Services (IHSS) - Accommodation and Leasing"/>
              <xsd:enumeration value="Infrastructure and Health Support Services (IHSS) - Logistics Support Services"/>
              <xsd:enumeration value="Infrastructure and Health Support Services (IHSS) - Operation Support Services"/>
              <xsd:enumeration value="Medical Services Group"/>
              <xsd:enumeration value="Medical Services Group - ACT Blood Counts"/>
              <xsd:enumeration value="Medical Services Group - GP Liaison Unit"/>
              <xsd:enumeration value="Medical Services Group - Healthcare Technology Management"/>
              <xsd:enumeration value="Medical Services Group - Library and Multimedia Services"/>
              <xsd:enumeration value="Medical Services Group - Medical Imaging"/>
              <xsd:enumeration value="Medical Services Group - MOSCETU"/>
              <xsd:enumeration value="Medical Services Group - Pharmacy"/>
              <xsd:enumeration value="Medicine"/>
              <xsd:enumeration value="Medicine - ACT Diabetes Service"/>
              <xsd:enumeration value="Medicine - Canberra Sexual Health Clinic"/>
              <xsd:enumeration value="Medicine - Cardiology"/>
              <xsd:enumeration value="Medicine - Chronic Disease"/>
              <xsd:enumeration value="Medicine - Clinical Forensic Medicine"/>
              <xsd:enumeration value="Medicine - Emergency Department"/>
              <xsd:enumeration value="Medicine - Endocrinology"/>
              <xsd:enumeration value="Medicine - Gastroenterology and Hepatology"/>
              <xsd:enumeration value="Medicine - General Medicine"/>
              <xsd:enumeration value="Medicine - HITH"/>
              <xsd:enumeration value="Medicine - Infectious Diseases"/>
              <xsd:enumeration value="Medicine - Neurology"/>
              <xsd:enumeration value="Medicine - Renal"/>
              <xsd:enumeration value="Medicine - Respiratory and Sleep Medicine"/>
              <xsd:enumeration value="Medicine - Rheumatology"/>
              <xsd:enumeration value="Mental Health, Justice Health and Alcohol and Drug Services (MHJHADS)"/>
              <xsd:enumeration value="Mental Health, Justice Health and Alcohol and Drug Services (MHJHADS) - Adult Acute Mental Health Services"/>
              <xsd:enumeration value="Mental Health, Justice Health and Alcohol and Drug Services (MHJHADS) - Adult Community Mental Health Services"/>
              <xsd:enumeration value="Mental Health, Justice Health and Alcohol and Drug Services (MHJHADS) - Alcohol and Drug Services"/>
              <xsd:enumeration value="Mental Health, Justice Health and Alcohol and Drug Services (MHJHADS) - Child and Adolescent Mental Health Service"/>
              <xsd:enumeration value="Mental Health, Justice Health and Alcohol and Drug Services (MHJHADS) - Justice Health Service"/>
              <xsd:enumeration value="Mental Health, Justice Health and Alcohol and Drug Services (MHJHADS) - Rehabilitation and Speciality Mental Health Services"/>
              <xsd:enumeration value="NMPSS"/>
              <xsd:enumeration value="NMPSS - Infection Prevention and Control"/>
              <xsd:enumeration value="NMPSS - Nursing Administration"/>
              <xsd:enumeration value="NMPSS - Nursing Clinical Support"/>
              <xsd:enumeration value="NMPSS - Spiritual Services"/>
              <xsd:enumeration value="NMPSS - Ward Support Services"/>
              <xsd:enumeration value="North Canberra Hospital"/>
              <xsd:enumeration value="Pathology"/>
              <xsd:enumeration value="People and Culture"/>
              <xsd:enumeration value="People and Culture - Work Health and Safety"/>
              <xsd:enumeration value="People and Culture - Workforce Capability"/>
              <xsd:enumeration value="People and Culture - Workforce Culture and Leadership"/>
              <xsd:enumeration value="People and Culture - Workforce Planning"/>
              <xsd:enumeration value="People and Culture - Workforce Relations"/>
              <xsd:enumeration value="Quality, Safety, Innovation and Improvement - Consumer Participation"/>
              <xsd:enumeration value="Quality, Safety, Innovation and Improvement - Incident Management"/>
              <xsd:enumeration value="Quality, Safety, Innovation and Improvement - National Standards and Accreditation"/>
              <xsd:enumeration value="Quality, Safety, Innovation and Improvement - Patient Experience"/>
              <xsd:enumeration value="Quality, Safety, Innovation and Improvement - Quality Assurance"/>
              <xsd:enumeration value="Quality, Safety, Innovation and Improvement - Quality Improvement"/>
              <xsd:enumeration value="Rehabilitation, Aged and Community Services (RACS)"/>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Community Health Centres"/>
              <xsd:enumeration value="Rehabilitation, Aged and Community Services (RACS) - Oral Health Services"/>
              <xsd:enumeration value="Rehabilitation, Aged and Community Services (RACS) - Geriatric Medicine"/>
              <xsd:enumeration value="Rehabilitation, Aged and Community Services (RACS) - Rehabilitation"/>
              <xsd:enumeration value="Rehabilitation, Aged and Community Services (RACS) - Nursing"/>
              <xsd:enumeration value="Rehabilitation, Aged and Community Services (RACS) - University of Canberra Hospital"/>
              <xsd:enumeration value="Surgery"/>
              <xsd:enumeration value="Surgery - ACT Trauma Service"/>
              <xsd:enumeration value="Surgery - ICU/MET Service"/>
              <xsd:enumeration value="Surgery - Pain Management Unit"/>
              <xsd:enumeration value="Surgery - Perioperative Services/Operating Rooms"/>
              <xsd:enumeration value="Surgery - Retrieval Service"/>
              <xsd:enumeration value="Surgery - Surgical Bookings and Preadmission Clinic"/>
              <xsd:enumeration value="Women, Youth and Children (WY&amp;C)"/>
              <xsd:enumeration value="Women, Youth and Children (WY&amp;C) - Maternity"/>
              <xsd:enumeration value="Women, Youth and Children (WY&amp;C) - Child at Risk Health Unit (CARHU)"/>
              <xsd:enumeration value="Women, Youth and Children (WY&amp;C) - Community Health Program"/>
              <xsd:enumeration value="Women, Youth and Children (WY&amp;C) - Dept of Neonatology"/>
              <xsd:enumeration value="Women, Youth and Children (WY&amp;C) - Maternal and Child Health (MACH)"/>
              <xsd:enumeration value="Women, Youth and Children (WY&amp;C) - Paediatrics"/>
              <xsd:enumeration value="Women, Youth and Children (WY&amp;C) - Women's and Babies"/>
            </xsd:restriction>
          </xsd:simpleType>
        </xsd:union>
      </xsd:simpleType>
    </xsd:element>
    <xsd:element name="New_x0020_Owner" ma:index="9" nillable="true" ma:displayName="Owner" ma:format="Dropdown" ma:internalName="New_x0020_Owner">
      <xsd:simpleType>
        <xsd:union memberTypes="dms:Text">
          <xsd:simpleType>
            <xsd:restriction base="dms:Choice">
              <xsd:enumeration value="Campus Modernisation"/>
              <xsd:enumeration value="CH - Anaesthesia"/>
              <xsd:enumeration value="CH - Cancer and Ambulatory Support"/>
              <xsd:enumeration value="CH - Cancer and Ambulatory Support - Advanced Care Planning"/>
              <xsd:enumeration value="CH - Cancer and Ambulatory Support - Ambulatory Care Support"/>
              <xsd:enumeration value="CH - Cancer and Ambulatory Support - Haematology"/>
              <xsd:enumeration value="CH - Cancer and Ambulatory Support - Immunology"/>
              <xsd:enumeration value="CH - Cancer and Ambulatory Support - Medical Oncology"/>
              <xsd:enumeration value="CH - Cancer and Ambulatory Support - Medical Physics and Radiation Engineering"/>
              <xsd:enumeration value="CH - Cancer and Ambulatory Support - Palliative Care"/>
              <xsd:enumeration value="CH - Cancer and Ambulatory Support - Radiation Oncology"/>
              <xsd:enumeration value="CH - Director of Allied Health"/>
              <xsd:enumeration value="CH - Director of Allied Health - Acute Allied Health Services"/>
              <xsd:enumeration value="CH – Director of Allied Health - Acute Support"/>
              <xsd:enumeration value="CH - Director of Allied Health - Social Work"/>
              <xsd:enumeration value="CH - Director Allied Health - Tracheostomy Assessment and Consultancy Service"/>
              <xsd:enumeration value="CH - Director of Medical Services"/>
              <xsd:enumeration value="CH - Director of Medical Services - HTM"/>
              <xsd:enumeration value="CH - Director of Medical Services - Medical Imaging"/>
              <xsd:enumeration value="CH - Director of Medical Services - Pharmacy"/>
              <xsd:enumeration value="CH - Director Nursing &amp; Midwifery"/>
              <xsd:enumeration value="CH - Director Nursing &amp; Midwifery - Workforce Support Services"/>
              <xsd:enumeration value="CH - Director of Nursing &amp; Midwifery - Patient Support Services"/>
              <xsd:enumeration value="CH - Infrastructure and Health Support Services"/>
              <xsd:enumeration value="CH - Infrastructure and Health Support Services - Accommodation and Leasing"/>
              <xsd:enumeration value="CH - Infrastructure and Health Support Services - Operation Support Services"/>
              <xsd:enumeration value="CH - Infrastructure and Health Support Services - Sterilising Services"/>
              <xsd:enumeration value="CH - Integrated Operations Centre"/>
              <xsd:enumeration value="CH - Integrated Operations Centre - Emergency Management Coordination"/>
              <xsd:enumeration value="CH - Integrated Operations Centre - Planned Care"/>
              <xsd:enumeration value="CH - Integrated Operations Centre - Surgery Intake &amp; Bookings"/>
              <xsd:enumeration value="CH - Integrated Operations Centre - Surgical Bookings"/>
              <xsd:enumeration value="CH - Medicine"/>
              <xsd:enumeration value="CH - Medicine - ACT Diabetes Service"/>
              <xsd:enumeration value="CH - Medicine - Canberra Sexual Health Clinic"/>
              <xsd:enumeration value="CH - Medicine - Cardiology"/>
              <xsd:enumeration value="CH – Medicine - Clinical Forensic Medicine"/>
              <xsd:enumeration value="CH - Medicine - DRSM"/>
              <xsd:enumeration value="CH - Medicine - Emergency Department"/>
              <xsd:enumeration value="CH - Medicine - Endocrinology"/>
              <xsd:enumeration value="CH - Medicine - Gastroenterology and Hepatology"/>
              <xsd:enumeration value="CH - Medicine - General Medicine"/>
              <xsd:enumeration value="CH - Medicine - HITH"/>
              <xsd:enumeration value="CH - Medicine - Infectious Diseases"/>
              <xsd:enumeration value="CH - Medicine - Neurology"/>
              <xsd:enumeration value="CH - Medicine - Respiratory and Sleep Medicine"/>
              <xsd:enumeration value="CH - Perioperative Services/Operating Rooms"/>
              <xsd:enumeration value="CH - Surgery"/>
              <xsd:enumeration value="CH - Surgery - ACT Trauma Service"/>
              <xsd:enumeration value="CH - Surgery - ICU/MET Service"/>
              <xsd:enumeration value="CH - Surgery - Neurosurgery"/>
              <xsd:enumeration value="CH – Surgery - PACU"/>
              <xsd:enumeration value="CH - Surgery - Retrieval Service"/>
              <xsd:enumeration value="CH - Surgery - Surgical Bookings and Preadmission Clinic"/>
              <xsd:enumeration value="CH - Women, Youth and Children"/>
              <xsd:enumeration value="CH - Women, Youth and Children - Allied Health"/>
              <xsd:enumeration value="CH - Women, Youth and Children - Community Health Program"/>
              <xsd:enumeration value="CH - Women, Youth and Children - Dept of Neonatology"/>
              <xsd:enumeration value="CH - Women, Youth and Children – Early Pregnancy Service"/>
              <xsd:enumeration value="CH - Women, Youth and Children - Enhanced Child Health Service"/>
              <xsd:enumeration value="CH - Women, Youth and Children - Maternal and Child Health (MACH)"/>
              <xsd:enumeration value="CH - Women, Youth and Children - Maternity and Gynaecology"/>
              <xsd:enumeration value="CH - Women, Youth and Children – Paediatrics"/>
              <xsd:enumeration value="CH - Women, Youth and Children - Women's and Babies"/>
              <xsd:enumeration value="CH - Women, Youth and Children - Women's Health Service"/>
              <xsd:enumeration value="CHIC - Women, Youth and Children"/>
              <xsd:enumeration value="Community - Allied Health"/>
              <xsd:enumeration value="Community - Breastscreen"/>
              <xsd:enumeration value="Community - Client Support Services"/>
              <xsd:enumeration value="Community - Community Care"/>
              <xsd:enumeration value="Community - Geriatrics"/>
              <xsd:enumeration value="Community - Dental Services"/>
              <xsd:enumeration value="Community - Integrated Care Program"/>
              <xsd:enumeration value="Community – NDIS Support Unit"/>
              <xsd:enumeration value="Community – RADAR"/>
              <xsd:enumeration value="Community - Rehabilitation"/>
              <xsd:enumeration value="Community - Rehabilitation Psychology &amp; Counselling Services"/>
              <xsd:enumeration value="Community - Renal Services"/>
              <xsd:enumeration value="Community - Spinal Pain Service"/>
              <xsd:enumeration value="Community - TTCP"/>
              <xsd:enumeration value="Community - University of Canberra Hospital"/>
              <xsd:enumeration value="Community - University of Canberra Hospital – Brindabella"/>
              <xsd:enumeration value="Community - Walk-in Centres"/>
              <xsd:enumeration value="MHJHADS - Mental Health, Justice Health and Alcohol and Drug Services"/>
              <xsd:enumeration value="MHJHADS - Adult Acute Mental Health Services"/>
              <xsd:enumeration value="MHJHADS - Alcohol and Drug Services"/>
              <xsd:enumeration value="MHJHADS - Child and Adolescent Mental Health Service"/>
              <xsd:enumeration value="MHJHADS - Justice Health Service"/>
              <xsd:enumeration value="NCH - Allied Health &amp; Palliative Care - Allied Health"/>
              <xsd:enumeration value="NCH - Allied Health &amp; Palliative Care - Medical Imaging"/>
              <xsd:enumeration value="NCH - Allied Health &amp; Palliative Care - Palliative Care"/>
              <xsd:enumeration value="NCH - Allied Health &amp; Palliative Care - Pastoral Care"/>
              <xsd:enumeration value="NCH - Allied Health &amp; Palliative Care - Pharmacy"/>
              <xsd:enumeration value="NCH - Infrastructure and Facility Services"/>
              <xsd:enumeration value="NCH - Medicine &amp; Critical Care - ICU/CCU"/>
              <xsd:enumeration value="NCH - Medicine &amp; Critical Care - Medical"/>
              <xsd:enumeration value="NCH - Medical Services"/>
              <xsd:enumeration value="NCH - Medical Services - Clinical Governance"/>
              <xsd:enumeration value="NCH - Medical Services - Medical Administration"/>
              <xsd:enumeration value="NCH - Nursing &amp; Midwifery - IPC"/>
              <xsd:enumeration value="NCH - Nursing &amp; Midwifery - Patient Flow"/>
              <xsd:enumeration value="NCH - Nursing &amp; Midwifery - Professional Functions"/>
              <xsd:enumeration value="NCH - Nursing &amp; Midwifery - Patient Support Services"/>
              <xsd:enumeration value="NCH - Nursing &amp; Midwifery - Quality &amp; Safety"/>
              <xsd:enumeration value="NCH - Patient Accounts"/>
              <xsd:enumeration value="NCH - Surgical Division"/>
              <xsd:enumeration value="NCH - Surgical Division - Anaesthetics/Acute Pain Service"/>
              <xsd:enumeration value="NCH - Surgical Division - ICU/CCU"/>
              <xsd:enumeration value="NCH - Surgical Division - Preadmission"/>
              <xsd:enumeration value="NCH - Surgical Division - Perioperative Suite"/>
              <xsd:enumeration value="NCH - Women &amp; Children"/>
              <xsd:enumeration value="CEO"/>
              <xsd:enumeration value="CEO - Canberra Hospital Foundation"/>
              <xsd:enumeration value="Chief Financial Officer Group (CFO) - Revenue and Hospital Financial Services"/>
              <xsd:enumeration value="Chief Financial Officer Group (CFO) - Procurement and Supply"/>
              <xsd:enumeration value="CHS ED Allied Health"/>
              <xsd:enumeration value="CHS ED Allied Health - Acute Support"/>
              <xsd:enumeration value="CHS ED Medical Services"/>
              <xsd:enumeration value="CHS ED Medical Services - ACT Blood Counts"/>
              <xsd:enumeration value="CHS ED Medical Services - Donate Life"/>
              <xsd:enumeration value="CHS ED Medical Services - GPLU"/>
              <xsd:enumeration value="CHS ED Medical Services - MOSCETU"/>
              <xsd:enumeration value="CHS ED Medical Services - ORE"/>
              <xsd:enumeration value="CHS ED Nursing &amp; Midwifery"/>
              <xsd:enumeration value="CHS ED Nursing &amp; Midwifery - IPCU"/>
              <xsd:enumeration value="CHS ED Nursing &amp; Midwifery - OMU"/>
              <xsd:enumeration value="CHS ED Nursing &amp; Midwifery - Tissue Viability"/>
              <xsd:enumeration value="COO"/>
              <xsd:enumeration value="DCEO"/>
              <xsd:enumeration value="Decision Support Unit - Health Information Services"/>
              <xsd:enumeration value="Decision Support Unit - IT Team"/>
              <xsd:enumeration value="Decision Support Unit - Data Quality Team"/>
              <xsd:enumeration value="HSSU - CFET"/>
              <xsd:enumeration value="Pathology"/>
              <xsd:enumeration value="People and Culture"/>
              <xsd:enumeration value="People and Culture - Organisational Development"/>
              <xsd:enumeration value="People and Culture - Talent Acquisition"/>
              <xsd:enumeration value="People and Culture - Work Health and Safety"/>
              <xsd:enumeration value="People and Culture - Workforce Capability"/>
              <xsd:enumeration value="People and Culture - Workforce Culture and Leadership"/>
              <xsd:enumeration value="People and Culture - Workforce Relations"/>
              <xsd:enumeration value="QSG"/>
              <xsd:enumeration value="QSG - Clinical Analytics and Insight"/>
              <xsd:enumeration value="QSG - Consumer Participation"/>
              <xsd:enumeration value="QSG - IARC"/>
              <xsd:enumeration value="QSG - Incident Management"/>
              <xsd:enumeration value="QSG - Medicolegal"/>
              <xsd:enumeration value="QSG - National Standards"/>
              <xsd:enumeration value="QSG - Patient Experience Lead/National Standards and Improvement"/>
              <xsd:enumeration value="QSG - Policy and Consumer Handouts"/>
              <xsd:enumeration value="QSG - Quality and Safety"/>
              <xsd:enumeration value="QSG - Strategic Communication and Engagement"/>
              <xsd:enumeration value="Rehabilitation, Aged and Community Services (RACS) - Allied Health"/>
              <xsd:enumeration value="Rehabilitation, Aged and Community Services (RACS) - Client Support Services"/>
              <xsd:enumeration value="Rehabilitation, Aged and Community Services (RACS) - Community Care"/>
              <xsd:enumeration value="Rehabilitation, Aged and Community Services (RACS) - Geriatric Medicine"/>
              <xsd:enumeration value="Rehabilitation, Aged and Community Services (RACS) - Oral Health Services"/>
              <xsd:enumeration value="Rehabilitation, Aged and Community Services (RACS) - Rehabilitation"/>
              <xsd:enumeration value="Rehabilitation, Aged and Community Services (RACS) - Rehabilitation Psychology &amp; Counselling Services"/>
              <xsd:enumeration value="Rehabilitation, Aged and Community Services (RACS) - University of Canberra Hospital"/>
            </xsd:restriction>
          </xsd:simpleType>
        </xsd:union>
      </xsd:simpleType>
    </xsd:element>
    <xsd:element name="Type_x0020_of_x0020_Document" ma:index="10" nillable="true" ma:displayName="Type of Document" ma:format="Dropdown" ma:internalName="Type_x0020_of_x0020_Document" ma:readOnly="false">
      <xsd:simpleType>
        <xsd:union memberTypes="dms:Text">
          <xsd:simpleType>
            <xsd:restriction base="dms:Choice">
              <xsd:enumeration value="ACT Government"/>
              <xsd:enumeration value="Health Information Sheet"/>
              <xsd:enumeration value="Framework"/>
              <xsd:enumeration value="Guideline"/>
              <xsd:enumeration value="Manual"/>
              <xsd:enumeration value="Medication Guideline"/>
              <xsd:enumeration value="Medication Standing Order (MSO)"/>
              <xsd:enumeration value="Placeholder"/>
              <xsd:enumeration value="Plan"/>
              <xsd:enumeration value="Policy"/>
              <xsd:enumeration value="Procedure"/>
              <xsd:enumeration value="Strategy"/>
            </xsd:restriction>
          </xsd:simpleType>
        </xsd:union>
      </xsd:simpleType>
    </xsd:element>
    <xsd:element name="Related_x0020_Documents" ma:index="11" nillable="true" ma:displayName="Related Documents" ma:list="{690b2128-8961-48af-a473-22c34a9accba}" ma:internalName="Related_x0020_Documents" ma:readOnly="false" ma:showField="Title">
      <xsd:complexType>
        <xsd:complexContent>
          <xsd:extension base="dms:MultiChoiceLookup">
            <xsd:sequence>
              <xsd:element name="Value" type="dms:Lookup" maxOccurs="unbounded" minOccurs="0" nillable="true"/>
            </xsd:sequence>
          </xsd:extension>
        </xsd:complexContent>
      </xsd:complexType>
    </xsd:element>
    <xsd:element name="Approval_x0020_Name_x007c_Committee" ma:index="12" nillable="true" ma:displayName="Approval Name|Committee" ma:internalName="Approval_x0020_Name_x007c_Committee" ma:readOnly="false">
      <xsd:simpleType>
        <xsd:restriction base="dms:Text">
          <xsd:maxLength value="255"/>
        </xsd:restriction>
      </xsd:simpleType>
    </xsd:element>
    <xsd:element name="Approval_x0020_Date" ma:index="13" nillable="true" ma:displayName="Approval Date" ma:format="DateOnly" ma:internalName="Approval_x0020_Date" ma:readOnly="false">
      <xsd:simpleType>
        <xsd:restriction base="dms:DateTime"/>
      </xsd:simpleType>
    </xsd:element>
    <xsd:element name="Display_x0020_on_x0020_Internet" ma:index="14" nillable="true" ma:displayName="Display on Internet" ma:default="0" ma:indexed="true" ma:internalName="Display_x0020_on_x0020_Internet" ma:readOnly="false">
      <xsd:simpleType>
        <xsd:restriction base="dms:Boolean"/>
      </xsd:simpleType>
    </xsd:element>
    <xsd:element name="Notes0" ma:index="15" nillable="true" ma:displayName="Notes" ma:internalName="Notes0" ma:readOnly="false">
      <xsd:simpleType>
        <xsd:restriction base="dms:Note">
          <xsd:maxLength value="255"/>
        </xsd:restriction>
      </xsd:simpleType>
    </xsd:element>
    <xsd:element name="Progress" ma:index="16" nillable="true" ma:displayName="Progress" ma:internalName="Progress" ma:readOnly="false">
      <xsd:simpleType>
        <xsd:restriction base="dms:Note"/>
      </xsd:simpleType>
    </xsd:element>
    <xsd:element name="Replaces_x003a_" ma:index="20" nillable="true" ma:displayName="Replaces:" ma:internalName="Replaces_x003a_" ma:readOnly="false">
      <xsd:simpleType>
        <xsd:restriction base="dms:Note"/>
      </xsd:simpleType>
    </xsd:element>
    <xsd:element name="Risk_x0020_Rating" ma:index="21" nillable="true" ma:displayName="Risk Rating" ma:format="Dropdown" ma:internalName="Risk_x0020_Rating" ma:readOnly="false">
      <xsd:simpleType>
        <xsd:restriction base="dms:Choice">
          <xsd:enumeration value="Low"/>
          <xsd:enumeration value="Medium"/>
          <xsd:enumeration value="High"/>
          <xsd:enumeration value="Extreme"/>
          <xsd:enumeration value="Major"/>
          <xsd:enumeration value="Minor"/>
          <xsd:enumeration value="Insignificant"/>
        </xsd:restriction>
      </xsd:simpleType>
    </xsd:element>
    <xsd:element name="MediaServiceMetadata" ma:index="24" nillable="true" ma:displayName="MediaServiceMetadata" ma:hidden="true" ma:internalName="MediaServiceMetadata" ma:readOnly="true">
      <xsd:simpleType>
        <xsd:restriction base="dms:Note"/>
      </xsd:simpleType>
    </xsd:element>
    <xsd:element name="MediaServiceFastMetadata" ma:index="25" nillable="true" ma:displayName="MediaServiceFastMetadata" ma:hidden="true" ma:internalName="MediaServiceFast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ISD_x0020_Submitted" ma:index="38" nillable="true" ma:displayName="ISD Submitted" ma:default="Not Required" ma:format="Dropdown" ma:internalName="ISD_x0020_Submitted">
      <xsd:simpleType>
        <xsd:restriction base="dms:Choice">
          <xsd:enumeration value="Yes"/>
          <xsd:enumeration value="Not Required"/>
        </xsd:restriction>
      </xsd:simpleType>
    </xsd:element>
    <xsd:element name="k0794e393e1f41c2810d090eedba34a0" ma:index="40" nillable="true" ma:taxonomy="true" ma:internalName="k0794e393e1f41c2810d090eedba34a0" ma:taxonomyFieldName="Related_x0020_Legislation_x0020__x0026__x0020_Guidelines" ma:displayName="Related Legislation" ma:default="" ma:fieldId="{40794e39-3e1f-41c2-810d-090eedba34a0}" ma:taxonomyMulti="true" ma:sspId="a32ba9fb-117d-4a5c-9dda-ba27611682cc" ma:termSetId="49344749-ac97-47db-a832-94a6952cd0d1" ma:anchorId="00000000-0000-0000-0000-000000000000" ma:open="false" ma:isKeyword="false">
      <xsd:complexType>
        <xsd:sequence>
          <xsd:element ref="pc:Terms" minOccurs="0" maxOccurs="1"/>
        </xsd:sequence>
      </xsd:complexType>
    </xsd:element>
    <xsd:element name="RelatedPolicies_x002c_ProceduresGuidelines" ma:index="41" nillable="true" ma:displayName="Related Policies, Procedures, Guidelines and Industry Standards" ma:format="Dropdown" ma:list="690b2128-8961-48af-a473-22c34a9accba" ma:internalName="RelatedPolicies_x002c_ProceduresGuidelines" ma:showField="Title">
      <xsd:complexType>
        <xsd:complexContent>
          <xsd:extension base="dms:MultiChoiceLookup">
            <xsd:sequence>
              <xsd:element name="Value" type="dms:Lookup" maxOccurs="unbounded" minOccurs="0" nillable="true"/>
            </xsd:sequence>
          </xsd:extension>
        </xsd:complexContent>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239a80-7f07-4ed7-82c3-24ad7d76ada5"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e3d9c0df-42c0-4395-97bb-7bb7077d361a}" ma:internalName="TaxCatchAll" ma:showField="CatchAllData" ma:web="c0239a80-7f07-4ed7-82c3-24ad7d76ada5">
      <xsd:complexType>
        <xsd:complexContent>
          <xsd:extension base="dms:MultiChoiceLookup">
            <xsd:sequence>
              <xsd:element name="Value" type="dms:Lookup" maxOccurs="unbounded" minOccurs="0" nillable="true"/>
            </xsd:sequence>
          </xsd:extension>
        </xsd:complexContent>
      </xsd:complex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8" ma:displayName="Content Type"/>
        <xsd:element ref="dc:title" minOccurs="0" maxOccurs="1" ma:index="1" ma:displayName="Title"/>
        <xsd:element ref="dc:subject" minOccurs="0" maxOccurs="1" ma:index="19" ma:displayName="Subjects"/>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rogress xmlns="690b2128-8961-48af-a473-22c34a9accba" xsi:nil="true"/>
    <Approval_x0020_Date xmlns="690b2128-8961-48af-a473-22c34a9accba">2026-05-26T14:00:00+00:00</Approval_x0020_Date>
    <Review_x0020_Date xmlns="690b2128-8961-48af-a473-22c34a9accba">2029-05-31T14:00:00+00:00</Review_x0020_Date>
    <TaxCatchAll xmlns="c0239a80-7f07-4ed7-82c3-24ad7d76ada5" xsi:nil="true"/>
    <Version_x0020_Number xmlns="690b2128-8961-48af-a473-22c34a9accba">1</Version_x0020_Number>
    <Notes0 xmlns="690b2128-8961-48af-a473-22c34a9accba" xsi:nil="true"/>
    <Key_x0020_Words xmlns="690b2128-8961-48af-a473-22c34a9accba">Neonate, NICU, neonatal intensive care unit, medicine, medication, drug, medicines, medications, drugs, paediatric, ANMF, neomed, baby, infant, , Iodinated contrast, lidocaine, recombinant factor VIIa, zoster immunoglobulin, baby, neonatal, neonatology. </Key_x0020_Words>
    <Type_x0020_of_x0020_Document xmlns="690b2128-8961-48af-a473-22c34a9accba">Placeholder</Type_x0020_of_x0020_Document>
    <Approval_x0020_Name_x007c_Committee xmlns="690b2128-8961-48af-a473-22c34a9accba">Drugs and Therapeutics Committee</Approval_x0020_Name_x007c_Committee>
    <Status xmlns="690b2128-8961-48af-a473-22c34a9accba">Approved</Status>
    <New_x0020_Applies_x0020_To xmlns="690b2128-8961-48af-a473-22c34a9accba">Canberra Health Services</New_x0020_Applies_x0020_To>
    <Replaces_x003a_ xmlns="690b2128-8961-48af-a473-22c34a9accba">CHS24/008	Neonatal Intensive Care Medication Guidance Australian Neonatal Medicines Formulary (ANMF)</Replaces_x003a_>
    <ISD_x0020_Submitted xmlns="690b2128-8961-48af-a473-22c34a9accba">Not Required</ISD_x0020_Submitted>
    <Risk_x0020_Rating xmlns="690b2128-8961-48af-a473-22c34a9accba">High</Risk_x0020_Rating>
    <Description0 xmlns="690b2128-8961-48af-a473-22c34a9accba">The medicine guidelines included in the Australasian Neonatal Medicines Formulary (ANMF) are produced after thorough review of the literature relevant to the use of each medicine in the neonate.</Description0>
    <Display_x0020_on_x0020_Internet xmlns="690b2128-8961-48af-a473-22c34a9accba">true</Display_x0020_on_x0020_Internet>
    <Related_x0020_Documents xmlns="690b2128-8961-48af-a473-22c34a9accba" xsi:nil="true"/>
    <Decision_x0020_Number xmlns="690b2128-8961-48af-a473-22c34a9accba">CHS26/159</Decision_x0020_Number>
    <RelatedPolicies_x002c_ProceduresGuidelines xmlns="690b2128-8961-48af-a473-22c34a9accba" xsi:nil="true"/>
    <k0794e393e1f41c2810d090eedba34a0 xmlns="690b2128-8961-48af-a473-22c34a9accba">
      <Terms xmlns="http://schemas.microsoft.com/office/infopath/2007/PartnerControls"/>
    </k0794e393e1f41c2810d090eedba34a0>
    <New_x0020_Owner xmlns="690b2128-8961-48af-a473-22c34a9accba">CH - Women, Youth and Children - Dept of Neonatology</New_x0020_Owner>
  </documentManagement>
</p:properties>
</file>

<file path=customXml/itemProps1.xml><?xml version="1.0" encoding="utf-8"?>
<ds:datastoreItem xmlns:ds="http://schemas.openxmlformats.org/officeDocument/2006/customXml" ds:itemID="{5C25D1C0-4968-4B4C-A07D-5B629C4761DB}"/>
</file>

<file path=customXml/itemProps2.xml><?xml version="1.0" encoding="utf-8"?>
<ds:datastoreItem xmlns:ds="http://schemas.openxmlformats.org/officeDocument/2006/customXml" ds:itemID="{09F0A133-48FE-4981-A87C-04527F72422A}">
  <ds:schemaRefs>
    <ds:schemaRef ds:uri="http://schemas.microsoft.com/sharepoint/v3/contenttype/forms"/>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4.xml><?xml version="1.0" encoding="utf-8"?>
<ds:datastoreItem xmlns:ds="http://schemas.openxmlformats.org/officeDocument/2006/customXml" ds:itemID="{16E44BE0-8504-40A8-A5E4-15353C5C82F9}">
  <ds:schemaRefs>
    <ds:schemaRef ds:uri="http://schemas.microsoft.com/office/2006/metadata/properties"/>
    <ds:schemaRef ds:uri="http://schemas.microsoft.com/office/infopath/2007/PartnerControls"/>
    <ds:schemaRef ds:uri="690b2128-8961-48af-a473-22c34a9accba"/>
    <ds:schemaRef ds:uri="c0239a80-7f07-4ed7-82c3-24ad7d76ada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CHS Placeholder template (3)</ap:Template>
  <ap:Application>Microsoft Word for the web</ap:Application>
  <ap:DocSecurity>0</ap:DocSecurity>
  <ap:ScaleCrop>false</ap:ScaleCrop>
  <ap:Company>Canberra Health Services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Neonatal Intensive Care Medication Guidance: Australian Neonatal Medicines Formulary (ANMF) </dc:title>
  <dc:creator>Cantwell, Melissa (Health)</dc:creator>
  <cp:lastModifiedBy>Rusanov, Zoia</cp:lastModifiedBy>
  <cp:revision>19</cp:revision>
  <cp:lastPrinted>2026-04-02T00:12:00Z</cp:lastPrinted>
  <dcterms:created xsi:type="dcterms:W3CDTF">2026-05-11T00:26:00Z</dcterms:created>
  <dcterms:modified xsi:type="dcterms:W3CDTF">2026-06-08T22:20:28Z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2024-05-16T04:05:09Z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8af95a9c-0355-4eea-aefd-08168f59a58b</vt:lpwstr>
  </property>
  <property fmtid="{D5CDD505-2E9C-101B-9397-08002B2CF9AE}" pid="8" name="MSIP_Label_69af8531-eb46-4968-8cb3-105d2f5ea87e_ContentBits">
    <vt:lpwstr>0</vt:lpwstr>
  </property>
  <property fmtid="{D5CDD505-2E9C-101B-9397-08002B2CF9AE}" pid="9" name="ContentTypeId">
    <vt:lpwstr>0x0101002046B23B19A8774893278BE755DCE152</vt:lpwstr>
  </property>
  <property fmtid="{D5CDD505-2E9C-101B-9397-08002B2CF9AE}" pid="10" name="Related Legislation &amp; Guidelines">
    <vt:lpwstr/>
  </property>
  <property fmtid="{D5CDD505-2E9C-101B-9397-08002B2CF9AE}" pid="11" name="Related_x0020_Legislation_x0020__x0026__x0020_Guidelines">
    <vt:lpwstr/>
  </property>
</Properties>
</file>