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702885" w:rsidRDefault="009A534C" w:rsidP="000A7932">
      <w:pPr>
        <w:rPr>
          <w:rFonts w:asciiTheme="minorHAnsi" w:hAnsiTheme="minorHAnsi" w:cstheme="minorHAnsi"/>
          <w:b/>
          <w:sz w:val="40"/>
          <w:szCs w:val="40"/>
        </w:rPr>
      </w:pPr>
      <w:r w:rsidRPr="00702885">
        <w:rPr>
          <w:rFonts w:asciiTheme="minorHAnsi" w:hAnsiTheme="minorHAnsi" w:cstheme="minorHAnsi"/>
          <w:b/>
          <w:sz w:val="40"/>
          <w:szCs w:val="40"/>
        </w:rPr>
        <w:t>Canberra Health Services</w:t>
      </w:r>
    </w:p>
    <w:p w14:paraId="086829D1" w14:textId="27B1A707" w:rsidR="009A534C" w:rsidRPr="00702885" w:rsidRDefault="009A534C" w:rsidP="000A7932">
      <w:pPr>
        <w:rPr>
          <w:rFonts w:asciiTheme="minorHAnsi" w:hAnsiTheme="minorHAnsi" w:cstheme="minorHAnsi"/>
          <w:b/>
          <w:sz w:val="40"/>
          <w:szCs w:val="40"/>
        </w:rPr>
      </w:pPr>
      <w:r w:rsidRPr="00702885">
        <w:rPr>
          <w:rFonts w:asciiTheme="minorHAnsi" w:hAnsiTheme="minorHAnsi" w:cstheme="minorHAnsi"/>
          <w:b/>
          <w:sz w:val="40"/>
          <w:szCs w:val="40"/>
        </w:rPr>
        <w:t>Guideline</w:t>
      </w:r>
      <w:r w:rsidR="00B10F87" w:rsidRPr="00702885">
        <w:rPr>
          <w:rFonts w:asciiTheme="minorHAnsi" w:hAnsiTheme="minorHAnsi" w:cstheme="minorHAnsi"/>
          <w:b/>
          <w:sz w:val="40"/>
          <w:szCs w:val="40"/>
        </w:rPr>
        <w:t xml:space="preserve"> </w:t>
      </w:r>
    </w:p>
    <w:p w14:paraId="086829D2" w14:textId="779930B3" w:rsidR="009A534C" w:rsidRPr="000A7932" w:rsidRDefault="00A44832" w:rsidP="000A7932">
      <w:pPr>
        <w:rPr>
          <w:rFonts w:asciiTheme="minorHAnsi" w:hAnsiTheme="minorHAnsi" w:cstheme="minorHAnsi"/>
          <w:b/>
          <w:iCs/>
          <w:sz w:val="36"/>
          <w:szCs w:val="36"/>
        </w:rPr>
      </w:pPr>
      <w:r w:rsidRPr="000A7932">
        <w:rPr>
          <w:rFonts w:asciiTheme="minorHAnsi" w:hAnsiTheme="minorHAnsi" w:cstheme="minorHAnsi"/>
          <w:b/>
          <w:iCs/>
          <w:sz w:val="36"/>
          <w:szCs w:val="36"/>
        </w:rPr>
        <w:t xml:space="preserve">Medical Imaging </w:t>
      </w:r>
      <w:r w:rsidR="00785ACD" w:rsidRPr="000A7932">
        <w:rPr>
          <w:rFonts w:asciiTheme="minorHAnsi" w:hAnsiTheme="minorHAnsi" w:cstheme="minorHAnsi"/>
          <w:b/>
          <w:iCs/>
          <w:sz w:val="36"/>
          <w:szCs w:val="36"/>
        </w:rPr>
        <w:t xml:space="preserve">Use of Urokinase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9D4" w14:textId="77777777" w:rsidTr="008E74FD">
        <w:trPr>
          <w:cantSplit/>
          <w:trHeight w:val="285"/>
        </w:trPr>
        <w:tc>
          <w:tcPr>
            <w:tcW w:w="9158" w:type="dxa"/>
            <w:shd w:val="clear" w:color="auto" w:fill="D9D9D9" w:themeFill="background1" w:themeFillShade="D9"/>
          </w:tcPr>
          <w:p w14:paraId="086829D3" w14:textId="77777777" w:rsidR="009A534C" w:rsidRPr="00702885" w:rsidRDefault="009A534C" w:rsidP="00702885">
            <w:pPr>
              <w:pStyle w:val="Heading1"/>
              <w:spacing w:line="276" w:lineRule="auto"/>
              <w:rPr>
                <w:rFonts w:asciiTheme="minorHAnsi" w:hAnsiTheme="minorHAnsi" w:cstheme="minorHAnsi"/>
              </w:rPr>
            </w:pPr>
            <w:bookmarkStart w:id="0" w:name="_Toc389473273"/>
            <w:bookmarkStart w:id="1" w:name="_Toc393203330"/>
            <w:bookmarkStart w:id="2" w:name="Contents"/>
            <w:bookmarkStart w:id="3" w:name="_Toc112666729"/>
            <w:r w:rsidRPr="00702885">
              <w:rPr>
                <w:rFonts w:asciiTheme="minorHAnsi" w:hAnsiTheme="minorHAnsi" w:cstheme="minorHAnsi"/>
              </w:rPr>
              <w:t>Contents</w:t>
            </w:r>
            <w:bookmarkEnd w:id="0"/>
            <w:bookmarkEnd w:id="1"/>
            <w:bookmarkEnd w:id="2"/>
            <w:bookmarkEnd w:id="3"/>
          </w:p>
        </w:tc>
      </w:tr>
    </w:tbl>
    <w:p w14:paraId="086829D5" w14:textId="77777777" w:rsidR="009A534C" w:rsidRPr="00702885" w:rsidRDefault="009A534C" w:rsidP="00702885">
      <w:pPr>
        <w:spacing w:line="276" w:lineRule="auto"/>
        <w:rPr>
          <w:rFonts w:asciiTheme="minorHAnsi" w:hAnsiTheme="minorHAnsi" w:cstheme="minorHAnsi"/>
        </w:rPr>
      </w:pPr>
    </w:p>
    <w:p w14:paraId="21C05F37" w14:textId="0A55C81C" w:rsidR="000D2998" w:rsidRDefault="00A063FE">
      <w:pPr>
        <w:pStyle w:val="TOC1"/>
        <w:tabs>
          <w:tab w:val="right" w:leader="dot" w:pos="9060"/>
        </w:tabs>
        <w:rPr>
          <w:rFonts w:eastAsiaTheme="minorEastAsia" w:cstheme="minorBidi"/>
          <w:noProof/>
          <w:sz w:val="22"/>
          <w:szCs w:val="22"/>
          <w:lang w:eastAsia="en-AU"/>
        </w:rPr>
      </w:pPr>
      <w:r w:rsidRPr="00702885">
        <w:rPr>
          <w:rFonts w:cstheme="minorHAnsi"/>
          <w:b/>
          <w:sz w:val="36"/>
          <w:szCs w:val="36"/>
        </w:rPr>
        <w:fldChar w:fldCharType="begin"/>
      </w:r>
      <w:r w:rsidR="005743AC" w:rsidRPr="00702885">
        <w:rPr>
          <w:rFonts w:cstheme="minorHAnsi"/>
          <w:b/>
          <w:sz w:val="36"/>
          <w:szCs w:val="36"/>
        </w:rPr>
        <w:instrText xml:space="preserve"> TOC \h \z \t "Heading 1,1" </w:instrText>
      </w:r>
      <w:r w:rsidRPr="00702885">
        <w:rPr>
          <w:rFonts w:cstheme="minorHAnsi"/>
          <w:b/>
          <w:sz w:val="36"/>
          <w:szCs w:val="36"/>
        </w:rPr>
        <w:fldChar w:fldCharType="separate"/>
      </w:r>
      <w:hyperlink w:anchor="_Toc112666729" w:history="1">
        <w:r w:rsidR="000D2998" w:rsidRPr="002A1780">
          <w:rPr>
            <w:rStyle w:val="Hyperlink"/>
            <w:rFonts w:cstheme="minorHAnsi"/>
            <w:noProof/>
          </w:rPr>
          <w:t>Contents</w:t>
        </w:r>
        <w:r w:rsidR="000D2998">
          <w:rPr>
            <w:noProof/>
            <w:webHidden/>
          </w:rPr>
          <w:tab/>
        </w:r>
        <w:r w:rsidR="000D2998">
          <w:rPr>
            <w:noProof/>
            <w:webHidden/>
          </w:rPr>
          <w:fldChar w:fldCharType="begin"/>
        </w:r>
        <w:r w:rsidR="000D2998">
          <w:rPr>
            <w:noProof/>
            <w:webHidden/>
          </w:rPr>
          <w:instrText xml:space="preserve"> PAGEREF _Toc112666729 \h </w:instrText>
        </w:r>
        <w:r w:rsidR="000D2998">
          <w:rPr>
            <w:noProof/>
            <w:webHidden/>
          </w:rPr>
        </w:r>
        <w:r w:rsidR="000D2998">
          <w:rPr>
            <w:noProof/>
            <w:webHidden/>
          </w:rPr>
          <w:fldChar w:fldCharType="separate"/>
        </w:r>
        <w:r w:rsidR="000D2998">
          <w:rPr>
            <w:noProof/>
            <w:webHidden/>
          </w:rPr>
          <w:t>1</w:t>
        </w:r>
        <w:r w:rsidR="000D2998">
          <w:rPr>
            <w:noProof/>
            <w:webHidden/>
          </w:rPr>
          <w:fldChar w:fldCharType="end"/>
        </w:r>
      </w:hyperlink>
    </w:p>
    <w:p w14:paraId="6C119379" w14:textId="2E0FDD23" w:rsidR="000D2998" w:rsidRDefault="00CB581B">
      <w:pPr>
        <w:pStyle w:val="TOC1"/>
        <w:tabs>
          <w:tab w:val="right" w:leader="dot" w:pos="9060"/>
        </w:tabs>
        <w:rPr>
          <w:rFonts w:eastAsiaTheme="minorEastAsia" w:cstheme="minorBidi"/>
          <w:noProof/>
          <w:sz w:val="22"/>
          <w:szCs w:val="22"/>
          <w:lang w:eastAsia="en-AU"/>
        </w:rPr>
      </w:pPr>
      <w:hyperlink w:anchor="_Toc112666730" w:history="1">
        <w:r w:rsidR="000D2998" w:rsidRPr="002A1780">
          <w:rPr>
            <w:rStyle w:val="Hyperlink"/>
            <w:rFonts w:cstheme="minorHAnsi"/>
            <w:noProof/>
          </w:rPr>
          <w:t>Guideline Statement</w:t>
        </w:r>
        <w:r w:rsidR="000D2998">
          <w:rPr>
            <w:noProof/>
            <w:webHidden/>
          </w:rPr>
          <w:tab/>
        </w:r>
        <w:r w:rsidR="000D2998">
          <w:rPr>
            <w:noProof/>
            <w:webHidden/>
          </w:rPr>
          <w:fldChar w:fldCharType="begin"/>
        </w:r>
        <w:r w:rsidR="000D2998">
          <w:rPr>
            <w:noProof/>
            <w:webHidden/>
          </w:rPr>
          <w:instrText xml:space="preserve"> PAGEREF _Toc112666730 \h </w:instrText>
        </w:r>
        <w:r w:rsidR="000D2998">
          <w:rPr>
            <w:noProof/>
            <w:webHidden/>
          </w:rPr>
        </w:r>
        <w:r w:rsidR="000D2998">
          <w:rPr>
            <w:noProof/>
            <w:webHidden/>
          </w:rPr>
          <w:fldChar w:fldCharType="separate"/>
        </w:r>
        <w:r w:rsidR="000D2998">
          <w:rPr>
            <w:noProof/>
            <w:webHidden/>
          </w:rPr>
          <w:t>2</w:t>
        </w:r>
        <w:r w:rsidR="000D2998">
          <w:rPr>
            <w:noProof/>
            <w:webHidden/>
          </w:rPr>
          <w:fldChar w:fldCharType="end"/>
        </w:r>
      </w:hyperlink>
    </w:p>
    <w:p w14:paraId="795388A2" w14:textId="1DE0A678" w:rsidR="000D2998" w:rsidRDefault="00CB581B">
      <w:pPr>
        <w:pStyle w:val="TOC1"/>
        <w:tabs>
          <w:tab w:val="right" w:leader="dot" w:pos="9060"/>
        </w:tabs>
        <w:rPr>
          <w:rFonts w:eastAsiaTheme="minorEastAsia" w:cstheme="minorBidi"/>
          <w:noProof/>
          <w:sz w:val="22"/>
          <w:szCs w:val="22"/>
          <w:lang w:eastAsia="en-AU"/>
        </w:rPr>
      </w:pPr>
      <w:hyperlink w:anchor="_Toc112666731" w:history="1">
        <w:r w:rsidR="000D2998" w:rsidRPr="002A1780">
          <w:rPr>
            <w:rStyle w:val="Hyperlink"/>
            <w:rFonts w:cstheme="minorHAnsi"/>
            <w:noProof/>
          </w:rPr>
          <w:t>Scope</w:t>
        </w:r>
        <w:r w:rsidR="000D2998">
          <w:rPr>
            <w:noProof/>
            <w:webHidden/>
          </w:rPr>
          <w:tab/>
        </w:r>
        <w:r w:rsidR="000D2998">
          <w:rPr>
            <w:noProof/>
            <w:webHidden/>
          </w:rPr>
          <w:fldChar w:fldCharType="begin"/>
        </w:r>
        <w:r w:rsidR="000D2998">
          <w:rPr>
            <w:noProof/>
            <w:webHidden/>
          </w:rPr>
          <w:instrText xml:space="preserve"> PAGEREF _Toc112666731 \h </w:instrText>
        </w:r>
        <w:r w:rsidR="000D2998">
          <w:rPr>
            <w:noProof/>
            <w:webHidden/>
          </w:rPr>
        </w:r>
        <w:r w:rsidR="000D2998">
          <w:rPr>
            <w:noProof/>
            <w:webHidden/>
          </w:rPr>
          <w:fldChar w:fldCharType="separate"/>
        </w:r>
        <w:r w:rsidR="000D2998">
          <w:rPr>
            <w:noProof/>
            <w:webHidden/>
          </w:rPr>
          <w:t>2</w:t>
        </w:r>
        <w:r w:rsidR="000D2998">
          <w:rPr>
            <w:noProof/>
            <w:webHidden/>
          </w:rPr>
          <w:fldChar w:fldCharType="end"/>
        </w:r>
      </w:hyperlink>
    </w:p>
    <w:p w14:paraId="14AD9C7A" w14:textId="36998B96" w:rsidR="000D2998" w:rsidRDefault="00CB581B">
      <w:pPr>
        <w:pStyle w:val="TOC1"/>
        <w:tabs>
          <w:tab w:val="right" w:leader="dot" w:pos="9060"/>
        </w:tabs>
        <w:rPr>
          <w:rFonts w:eastAsiaTheme="minorEastAsia" w:cstheme="minorBidi"/>
          <w:noProof/>
          <w:sz w:val="22"/>
          <w:szCs w:val="22"/>
          <w:lang w:eastAsia="en-AU"/>
        </w:rPr>
      </w:pPr>
      <w:hyperlink w:anchor="_Toc112666732" w:history="1">
        <w:r w:rsidR="000D2998" w:rsidRPr="002A1780">
          <w:rPr>
            <w:rStyle w:val="Hyperlink"/>
            <w:rFonts w:cstheme="minorHAnsi"/>
            <w:noProof/>
          </w:rPr>
          <w:t>Section 1 – Contraindications</w:t>
        </w:r>
        <w:r w:rsidR="000D2998">
          <w:rPr>
            <w:noProof/>
            <w:webHidden/>
          </w:rPr>
          <w:tab/>
        </w:r>
        <w:r w:rsidR="000D2998">
          <w:rPr>
            <w:noProof/>
            <w:webHidden/>
          </w:rPr>
          <w:fldChar w:fldCharType="begin"/>
        </w:r>
        <w:r w:rsidR="000D2998">
          <w:rPr>
            <w:noProof/>
            <w:webHidden/>
          </w:rPr>
          <w:instrText xml:space="preserve"> PAGEREF _Toc112666732 \h </w:instrText>
        </w:r>
        <w:r w:rsidR="000D2998">
          <w:rPr>
            <w:noProof/>
            <w:webHidden/>
          </w:rPr>
        </w:r>
        <w:r w:rsidR="000D2998">
          <w:rPr>
            <w:noProof/>
            <w:webHidden/>
          </w:rPr>
          <w:fldChar w:fldCharType="separate"/>
        </w:r>
        <w:r w:rsidR="000D2998">
          <w:rPr>
            <w:noProof/>
            <w:webHidden/>
          </w:rPr>
          <w:t>2</w:t>
        </w:r>
        <w:r w:rsidR="000D2998">
          <w:rPr>
            <w:noProof/>
            <w:webHidden/>
          </w:rPr>
          <w:fldChar w:fldCharType="end"/>
        </w:r>
      </w:hyperlink>
    </w:p>
    <w:p w14:paraId="63589DE7" w14:textId="3A6BB05C" w:rsidR="000D2998" w:rsidRDefault="00CB581B">
      <w:pPr>
        <w:pStyle w:val="TOC1"/>
        <w:tabs>
          <w:tab w:val="right" w:leader="dot" w:pos="9060"/>
        </w:tabs>
        <w:rPr>
          <w:rFonts w:eastAsiaTheme="minorEastAsia" w:cstheme="minorBidi"/>
          <w:noProof/>
          <w:sz w:val="22"/>
          <w:szCs w:val="22"/>
          <w:lang w:eastAsia="en-AU"/>
        </w:rPr>
      </w:pPr>
      <w:hyperlink w:anchor="_Toc112666733" w:history="1">
        <w:r w:rsidR="000D2998" w:rsidRPr="002A1780">
          <w:rPr>
            <w:rStyle w:val="Hyperlink"/>
            <w:rFonts w:cstheme="minorHAnsi"/>
            <w:noProof/>
          </w:rPr>
          <w:t>Section 2 – Procedure Preparation</w:t>
        </w:r>
        <w:r w:rsidR="000D2998">
          <w:rPr>
            <w:noProof/>
            <w:webHidden/>
          </w:rPr>
          <w:tab/>
        </w:r>
        <w:r w:rsidR="000D2998">
          <w:rPr>
            <w:noProof/>
            <w:webHidden/>
          </w:rPr>
          <w:fldChar w:fldCharType="begin"/>
        </w:r>
        <w:r w:rsidR="000D2998">
          <w:rPr>
            <w:noProof/>
            <w:webHidden/>
          </w:rPr>
          <w:instrText xml:space="preserve"> PAGEREF _Toc112666733 \h </w:instrText>
        </w:r>
        <w:r w:rsidR="000D2998">
          <w:rPr>
            <w:noProof/>
            <w:webHidden/>
          </w:rPr>
        </w:r>
        <w:r w:rsidR="000D2998">
          <w:rPr>
            <w:noProof/>
            <w:webHidden/>
          </w:rPr>
          <w:fldChar w:fldCharType="separate"/>
        </w:r>
        <w:r w:rsidR="000D2998">
          <w:rPr>
            <w:noProof/>
            <w:webHidden/>
          </w:rPr>
          <w:t>4</w:t>
        </w:r>
        <w:r w:rsidR="000D2998">
          <w:rPr>
            <w:noProof/>
            <w:webHidden/>
          </w:rPr>
          <w:fldChar w:fldCharType="end"/>
        </w:r>
      </w:hyperlink>
    </w:p>
    <w:p w14:paraId="59AE9FDA" w14:textId="54EC4C4B" w:rsidR="000D2998" w:rsidRDefault="00CB581B">
      <w:pPr>
        <w:pStyle w:val="TOC1"/>
        <w:tabs>
          <w:tab w:val="right" w:leader="dot" w:pos="9060"/>
        </w:tabs>
        <w:rPr>
          <w:rFonts w:eastAsiaTheme="minorEastAsia" w:cstheme="minorBidi"/>
          <w:noProof/>
          <w:sz w:val="22"/>
          <w:szCs w:val="22"/>
          <w:lang w:eastAsia="en-AU"/>
        </w:rPr>
      </w:pPr>
      <w:hyperlink w:anchor="_Toc112666734" w:history="1">
        <w:r w:rsidR="000D2998" w:rsidRPr="002A1780">
          <w:rPr>
            <w:rStyle w:val="Hyperlink"/>
            <w:rFonts w:cstheme="minorHAnsi"/>
            <w:noProof/>
          </w:rPr>
          <w:t>Section 3 – Declotting Procedure</w:t>
        </w:r>
        <w:r w:rsidR="000D2998">
          <w:rPr>
            <w:noProof/>
            <w:webHidden/>
          </w:rPr>
          <w:tab/>
        </w:r>
        <w:r w:rsidR="000D2998">
          <w:rPr>
            <w:noProof/>
            <w:webHidden/>
          </w:rPr>
          <w:fldChar w:fldCharType="begin"/>
        </w:r>
        <w:r w:rsidR="000D2998">
          <w:rPr>
            <w:noProof/>
            <w:webHidden/>
          </w:rPr>
          <w:instrText xml:space="preserve"> PAGEREF _Toc112666734 \h </w:instrText>
        </w:r>
        <w:r w:rsidR="000D2998">
          <w:rPr>
            <w:noProof/>
            <w:webHidden/>
          </w:rPr>
        </w:r>
        <w:r w:rsidR="000D2998">
          <w:rPr>
            <w:noProof/>
            <w:webHidden/>
          </w:rPr>
          <w:fldChar w:fldCharType="separate"/>
        </w:r>
        <w:r w:rsidR="000D2998">
          <w:rPr>
            <w:noProof/>
            <w:webHidden/>
          </w:rPr>
          <w:t>4</w:t>
        </w:r>
        <w:r w:rsidR="000D2998">
          <w:rPr>
            <w:noProof/>
            <w:webHidden/>
          </w:rPr>
          <w:fldChar w:fldCharType="end"/>
        </w:r>
      </w:hyperlink>
    </w:p>
    <w:p w14:paraId="1B374E7B" w14:textId="1AB98708" w:rsidR="000D2998" w:rsidRDefault="00CB581B">
      <w:pPr>
        <w:pStyle w:val="TOC1"/>
        <w:tabs>
          <w:tab w:val="right" w:leader="dot" w:pos="9060"/>
        </w:tabs>
        <w:rPr>
          <w:rFonts w:eastAsiaTheme="minorEastAsia" w:cstheme="minorBidi"/>
          <w:noProof/>
          <w:sz w:val="22"/>
          <w:szCs w:val="22"/>
          <w:lang w:eastAsia="en-AU"/>
        </w:rPr>
      </w:pPr>
      <w:hyperlink w:anchor="_Toc112666735" w:history="1">
        <w:r w:rsidR="000D2998" w:rsidRPr="002A1780">
          <w:rPr>
            <w:rStyle w:val="Hyperlink"/>
            <w:rFonts w:cstheme="minorHAnsi"/>
            <w:noProof/>
          </w:rPr>
          <w:t>Section 4 – Adverse Effects</w:t>
        </w:r>
        <w:r w:rsidR="000D2998">
          <w:rPr>
            <w:noProof/>
            <w:webHidden/>
          </w:rPr>
          <w:tab/>
        </w:r>
        <w:r w:rsidR="000D2998">
          <w:rPr>
            <w:noProof/>
            <w:webHidden/>
          </w:rPr>
          <w:fldChar w:fldCharType="begin"/>
        </w:r>
        <w:r w:rsidR="000D2998">
          <w:rPr>
            <w:noProof/>
            <w:webHidden/>
          </w:rPr>
          <w:instrText xml:space="preserve"> PAGEREF _Toc112666735 \h </w:instrText>
        </w:r>
        <w:r w:rsidR="000D2998">
          <w:rPr>
            <w:noProof/>
            <w:webHidden/>
          </w:rPr>
        </w:r>
        <w:r w:rsidR="000D2998">
          <w:rPr>
            <w:noProof/>
            <w:webHidden/>
          </w:rPr>
          <w:fldChar w:fldCharType="separate"/>
        </w:r>
        <w:r w:rsidR="000D2998">
          <w:rPr>
            <w:noProof/>
            <w:webHidden/>
          </w:rPr>
          <w:t>5</w:t>
        </w:r>
        <w:r w:rsidR="000D2998">
          <w:rPr>
            <w:noProof/>
            <w:webHidden/>
          </w:rPr>
          <w:fldChar w:fldCharType="end"/>
        </w:r>
      </w:hyperlink>
    </w:p>
    <w:p w14:paraId="33CA87D2" w14:textId="0181FFCD" w:rsidR="000D2998" w:rsidRDefault="00CB581B">
      <w:pPr>
        <w:pStyle w:val="TOC1"/>
        <w:tabs>
          <w:tab w:val="right" w:leader="dot" w:pos="9060"/>
        </w:tabs>
        <w:rPr>
          <w:rFonts w:eastAsiaTheme="minorEastAsia" w:cstheme="minorBidi"/>
          <w:noProof/>
          <w:sz w:val="22"/>
          <w:szCs w:val="22"/>
          <w:lang w:eastAsia="en-AU"/>
        </w:rPr>
      </w:pPr>
      <w:hyperlink w:anchor="_Toc112666736" w:history="1">
        <w:r w:rsidR="000D2998" w:rsidRPr="002A1780">
          <w:rPr>
            <w:rStyle w:val="Hyperlink"/>
            <w:rFonts w:cstheme="minorHAnsi"/>
            <w:noProof/>
          </w:rPr>
          <w:t>Evaluation</w:t>
        </w:r>
        <w:r w:rsidR="000D2998">
          <w:rPr>
            <w:noProof/>
            <w:webHidden/>
          </w:rPr>
          <w:tab/>
        </w:r>
        <w:r w:rsidR="000D2998">
          <w:rPr>
            <w:noProof/>
            <w:webHidden/>
          </w:rPr>
          <w:fldChar w:fldCharType="begin"/>
        </w:r>
        <w:r w:rsidR="000D2998">
          <w:rPr>
            <w:noProof/>
            <w:webHidden/>
          </w:rPr>
          <w:instrText xml:space="preserve"> PAGEREF _Toc112666736 \h </w:instrText>
        </w:r>
        <w:r w:rsidR="000D2998">
          <w:rPr>
            <w:noProof/>
            <w:webHidden/>
          </w:rPr>
        </w:r>
        <w:r w:rsidR="000D2998">
          <w:rPr>
            <w:noProof/>
            <w:webHidden/>
          </w:rPr>
          <w:fldChar w:fldCharType="separate"/>
        </w:r>
        <w:r w:rsidR="000D2998">
          <w:rPr>
            <w:noProof/>
            <w:webHidden/>
          </w:rPr>
          <w:t>6</w:t>
        </w:r>
        <w:r w:rsidR="000D2998">
          <w:rPr>
            <w:noProof/>
            <w:webHidden/>
          </w:rPr>
          <w:fldChar w:fldCharType="end"/>
        </w:r>
      </w:hyperlink>
    </w:p>
    <w:p w14:paraId="7BC95389" w14:textId="3210D9DB" w:rsidR="000D2998" w:rsidRDefault="00CB581B">
      <w:pPr>
        <w:pStyle w:val="TOC1"/>
        <w:tabs>
          <w:tab w:val="right" w:leader="dot" w:pos="9060"/>
        </w:tabs>
        <w:rPr>
          <w:rFonts w:eastAsiaTheme="minorEastAsia" w:cstheme="minorBidi"/>
          <w:noProof/>
          <w:sz w:val="22"/>
          <w:szCs w:val="22"/>
          <w:lang w:eastAsia="en-AU"/>
        </w:rPr>
      </w:pPr>
      <w:hyperlink w:anchor="_Toc112666737" w:history="1">
        <w:r w:rsidR="000D2998" w:rsidRPr="002A1780">
          <w:rPr>
            <w:rStyle w:val="Hyperlink"/>
            <w:rFonts w:cstheme="minorHAnsi"/>
            <w:noProof/>
          </w:rPr>
          <w:t>Related Policies, Procedures, Guidelines and Legislation</w:t>
        </w:r>
        <w:r w:rsidR="000D2998">
          <w:rPr>
            <w:noProof/>
            <w:webHidden/>
          </w:rPr>
          <w:tab/>
        </w:r>
        <w:r w:rsidR="000D2998">
          <w:rPr>
            <w:noProof/>
            <w:webHidden/>
          </w:rPr>
          <w:fldChar w:fldCharType="begin"/>
        </w:r>
        <w:r w:rsidR="000D2998">
          <w:rPr>
            <w:noProof/>
            <w:webHidden/>
          </w:rPr>
          <w:instrText xml:space="preserve"> PAGEREF _Toc112666737 \h </w:instrText>
        </w:r>
        <w:r w:rsidR="000D2998">
          <w:rPr>
            <w:noProof/>
            <w:webHidden/>
          </w:rPr>
        </w:r>
        <w:r w:rsidR="000D2998">
          <w:rPr>
            <w:noProof/>
            <w:webHidden/>
          </w:rPr>
          <w:fldChar w:fldCharType="separate"/>
        </w:r>
        <w:r w:rsidR="000D2998">
          <w:rPr>
            <w:noProof/>
            <w:webHidden/>
          </w:rPr>
          <w:t>7</w:t>
        </w:r>
        <w:r w:rsidR="000D2998">
          <w:rPr>
            <w:noProof/>
            <w:webHidden/>
          </w:rPr>
          <w:fldChar w:fldCharType="end"/>
        </w:r>
      </w:hyperlink>
    </w:p>
    <w:p w14:paraId="75969D36" w14:textId="59DD6C1E" w:rsidR="000D2998" w:rsidRDefault="00CB581B">
      <w:pPr>
        <w:pStyle w:val="TOC1"/>
        <w:tabs>
          <w:tab w:val="right" w:leader="dot" w:pos="9060"/>
        </w:tabs>
        <w:rPr>
          <w:rFonts w:eastAsiaTheme="minorEastAsia" w:cstheme="minorBidi"/>
          <w:noProof/>
          <w:sz w:val="22"/>
          <w:szCs w:val="22"/>
          <w:lang w:eastAsia="en-AU"/>
        </w:rPr>
      </w:pPr>
      <w:hyperlink w:anchor="_Toc112666738" w:history="1">
        <w:r w:rsidR="000D2998" w:rsidRPr="002A1780">
          <w:rPr>
            <w:rStyle w:val="Hyperlink"/>
            <w:rFonts w:cstheme="minorHAnsi"/>
            <w:noProof/>
          </w:rPr>
          <w:t>References</w:t>
        </w:r>
        <w:r w:rsidR="000D2998">
          <w:rPr>
            <w:noProof/>
            <w:webHidden/>
          </w:rPr>
          <w:tab/>
        </w:r>
        <w:r w:rsidR="000D2998">
          <w:rPr>
            <w:noProof/>
            <w:webHidden/>
          </w:rPr>
          <w:fldChar w:fldCharType="begin"/>
        </w:r>
        <w:r w:rsidR="000D2998">
          <w:rPr>
            <w:noProof/>
            <w:webHidden/>
          </w:rPr>
          <w:instrText xml:space="preserve"> PAGEREF _Toc112666738 \h </w:instrText>
        </w:r>
        <w:r w:rsidR="000D2998">
          <w:rPr>
            <w:noProof/>
            <w:webHidden/>
          </w:rPr>
        </w:r>
        <w:r w:rsidR="000D2998">
          <w:rPr>
            <w:noProof/>
            <w:webHidden/>
          </w:rPr>
          <w:fldChar w:fldCharType="separate"/>
        </w:r>
        <w:r w:rsidR="000D2998">
          <w:rPr>
            <w:noProof/>
            <w:webHidden/>
          </w:rPr>
          <w:t>7</w:t>
        </w:r>
        <w:r w:rsidR="000D2998">
          <w:rPr>
            <w:noProof/>
            <w:webHidden/>
          </w:rPr>
          <w:fldChar w:fldCharType="end"/>
        </w:r>
      </w:hyperlink>
    </w:p>
    <w:p w14:paraId="2E1A16EE" w14:textId="16705AD1" w:rsidR="000D2998" w:rsidRDefault="00CB581B">
      <w:pPr>
        <w:pStyle w:val="TOC1"/>
        <w:tabs>
          <w:tab w:val="right" w:leader="dot" w:pos="9060"/>
        </w:tabs>
        <w:rPr>
          <w:rFonts w:eastAsiaTheme="minorEastAsia" w:cstheme="minorBidi"/>
          <w:noProof/>
          <w:sz w:val="22"/>
          <w:szCs w:val="22"/>
          <w:lang w:eastAsia="en-AU"/>
        </w:rPr>
      </w:pPr>
      <w:hyperlink w:anchor="_Toc112666739" w:history="1">
        <w:r w:rsidR="000D2998" w:rsidRPr="002A1780">
          <w:rPr>
            <w:rStyle w:val="Hyperlink"/>
            <w:rFonts w:cstheme="minorHAnsi"/>
            <w:noProof/>
          </w:rPr>
          <w:t>Definition of Terms</w:t>
        </w:r>
        <w:r w:rsidR="000D2998">
          <w:rPr>
            <w:noProof/>
            <w:webHidden/>
          </w:rPr>
          <w:tab/>
        </w:r>
        <w:r w:rsidR="000D2998">
          <w:rPr>
            <w:noProof/>
            <w:webHidden/>
          </w:rPr>
          <w:fldChar w:fldCharType="begin"/>
        </w:r>
        <w:r w:rsidR="000D2998">
          <w:rPr>
            <w:noProof/>
            <w:webHidden/>
          </w:rPr>
          <w:instrText xml:space="preserve"> PAGEREF _Toc112666739 \h </w:instrText>
        </w:r>
        <w:r w:rsidR="000D2998">
          <w:rPr>
            <w:noProof/>
            <w:webHidden/>
          </w:rPr>
        </w:r>
        <w:r w:rsidR="000D2998">
          <w:rPr>
            <w:noProof/>
            <w:webHidden/>
          </w:rPr>
          <w:fldChar w:fldCharType="separate"/>
        </w:r>
        <w:r w:rsidR="000D2998">
          <w:rPr>
            <w:noProof/>
            <w:webHidden/>
          </w:rPr>
          <w:t>8</w:t>
        </w:r>
        <w:r w:rsidR="000D2998">
          <w:rPr>
            <w:noProof/>
            <w:webHidden/>
          </w:rPr>
          <w:fldChar w:fldCharType="end"/>
        </w:r>
      </w:hyperlink>
    </w:p>
    <w:p w14:paraId="39EE7B1C" w14:textId="37640124" w:rsidR="000D2998" w:rsidRDefault="00CB581B">
      <w:pPr>
        <w:pStyle w:val="TOC1"/>
        <w:tabs>
          <w:tab w:val="right" w:leader="dot" w:pos="9060"/>
        </w:tabs>
        <w:rPr>
          <w:rFonts w:eastAsiaTheme="minorEastAsia" w:cstheme="minorBidi"/>
          <w:noProof/>
          <w:sz w:val="22"/>
          <w:szCs w:val="22"/>
          <w:lang w:eastAsia="en-AU"/>
        </w:rPr>
      </w:pPr>
      <w:hyperlink w:anchor="_Toc112666740" w:history="1">
        <w:r w:rsidR="000D2998" w:rsidRPr="002A1780">
          <w:rPr>
            <w:rStyle w:val="Hyperlink"/>
            <w:rFonts w:cstheme="minorHAnsi"/>
            <w:noProof/>
          </w:rPr>
          <w:t>Search Terms</w:t>
        </w:r>
        <w:r w:rsidR="000D2998">
          <w:rPr>
            <w:noProof/>
            <w:webHidden/>
          </w:rPr>
          <w:tab/>
        </w:r>
        <w:r w:rsidR="000D2998">
          <w:rPr>
            <w:noProof/>
            <w:webHidden/>
          </w:rPr>
          <w:fldChar w:fldCharType="begin"/>
        </w:r>
        <w:r w:rsidR="000D2998">
          <w:rPr>
            <w:noProof/>
            <w:webHidden/>
          </w:rPr>
          <w:instrText xml:space="preserve"> PAGEREF _Toc112666740 \h </w:instrText>
        </w:r>
        <w:r w:rsidR="000D2998">
          <w:rPr>
            <w:noProof/>
            <w:webHidden/>
          </w:rPr>
        </w:r>
        <w:r w:rsidR="000D2998">
          <w:rPr>
            <w:noProof/>
            <w:webHidden/>
          </w:rPr>
          <w:fldChar w:fldCharType="separate"/>
        </w:r>
        <w:r w:rsidR="000D2998">
          <w:rPr>
            <w:noProof/>
            <w:webHidden/>
          </w:rPr>
          <w:t>8</w:t>
        </w:r>
        <w:r w:rsidR="000D2998">
          <w:rPr>
            <w:noProof/>
            <w:webHidden/>
          </w:rPr>
          <w:fldChar w:fldCharType="end"/>
        </w:r>
      </w:hyperlink>
    </w:p>
    <w:p w14:paraId="0CF5A210" w14:textId="55ACC158" w:rsidR="000D2998" w:rsidRDefault="00CB581B">
      <w:pPr>
        <w:pStyle w:val="TOC1"/>
        <w:tabs>
          <w:tab w:val="right" w:leader="dot" w:pos="9060"/>
        </w:tabs>
        <w:rPr>
          <w:rFonts w:eastAsiaTheme="minorEastAsia" w:cstheme="minorBidi"/>
          <w:noProof/>
          <w:sz w:val="22"/>
          <w:szCs w:val="22"/>
          <w:lang w:eastAsia="en-AU"/>
        </w:rPr>
      </w:pPr>
      <w:hyperlink w:anchor="_Toc112666741" w:history="1">
        <w:r w:rsidR="000D2998" w:rsidRPr="002A1780">
          <w:rPr>
            <w:rStyle w:val="Hyperlink"/>
            <w:rFonts w:cstheme="minorHAnsi"/>
            <w:noProof/>
          </w:rPr>
          <w:t>Attachments</w:t>
        </w:r>
        <w:r w:rsidR="000D2998">
          <w:rPr>
            <w:noProof/>
            <w:webHidden/>
          </w:rPr>
          <w:tab/>
        </w:r>
        <w:r w:rsidR="000D2998">
          <w:rPr>
            <w:noProof/>
            <w:webHidden/>
          </w:rPr>
          <w:fldChar w:fldCharType="begin"/>
        </w:r>
        <w:r w:rsidR="000D2998">
          <w:rPr>
            <w:noProof/>
            <w:webHidden/>
          </w:rPr>
          <w:instrText xml:space="preserve"> PAGEREF _Toc112666741 \h </w:instrText>
        </w:r>
        <w:r w:rsidR="000D2998">
          <w:rPr>
            <w:noProof/>
            <w:webHidden/>
          </w:rPr>
        </w:r>
        <w:r w:rsidR="000D2998">
          <w:rPr>
            <w:noProof/>
            <w:webHidden/>
          </w:rPr>
          <w:fldChar w:fldCharType="separate"/>
        </w:r>
        <w:r w:rsidR="000D2998">
          <w:rPr>
            <w:noProof/>
            <w:webHidden/>
          </w:rPr>
          <w:t>9</w:t>
        </w:r>
        <w:r w:rsidR="000D2998">
          <w:rPr>
            <w:noProof/>
            <w:webHidden/>
          </w:rPr>
          <w:fldChar w:fldCharType="end"/>
        </w:r>
      </w:hyperlink>
    </w:p>
    <w:p w14:paraId="086829E2" w14:textId="4656FED4" w:rsidR="009A534C" w:rsidRPr="00702885" w:rsidRDefault="00A063FE" w:rsidP="00702885">
      <w:pPr>
        <w:spacing w:line="276" w:lineRule="auto"/>
        <w:rPr>
          <w:rFonts w:asciiTheme="minorHAnsi" w:hAnsiTheme="minorHAnsi" w:cstheme="minorHAnsi"/>
        </w:rPr>
      </w:pPr>
      <w:r w:rsidRPr="00702885">
        <w:rPr>
          <w:rFonts w:asciiTheme="minorHAnsi" w:hAnsiTheme="minorHAnsi" w:cstheme="minorHAnsi"/>
        </w:rPr>
        <w:fldChar w:fldCharType="end"/>
      </w:r>
    </w:p>
    <w:p w14:paraId="086829E3" w14:textId="77777777" w:rsidR="009A534C" w:rsidRPr="00702885" w:rsidRDefault="009A534C" w:rsidP="00702885">
      <w:pPr>
        <w:spacing w:line="276" w:lineRule="auto"/>
        <w:rPr>
          <w:rFonts w:asciiTheme="minorHAnsi" w:hAnsiTheme="minorHAnsi" w:cstheme="minorHAnsi"/>
        </w:rPr>
      </w:pPr>
      <w:r w:rsidRPr="00702885">
        <w:rPr>
          <w:rFonts w:asciiTheme="minorHAnsi" w:hAnsiTheme="minorHAnsi" w:cs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9E5" w14:textId="77777777" w:rsidTr="008E74FD">
        <w:trPr>
          <w:cantSplit/>
          <w:trHeight w:val="285"/>
        </w:trPr>
        <w:tc>
          <w:tcPr>
            <w:tcW w:w="9158" w:type="dxa"/>
            <w:shd w:val="clear" w:color="auto" w:fill="D9D9D9" w:themeFill="background1" w:themeFillShade="D9"/>
          </w:tcPr>
          <w:p w14:paraId="086829E4" w14:textId="77777777" w:rsidR="009A534C" w:rsidRPr="00702885" w:rsidRDefault="00010E74" w:rsidP="00702885">
            <w:pPr>
              <w:pStyle w:val="Heading1"/>
              <w:spacing w:line="276" w:lineRule="auto"/>
              <w:rPr>
                <w:rFonts w:asciiTheme="minorHAnsi" w:hAnsiTheme="minorHAnsi" w:cstheme="minorHAnsi"/>
              </w:rPr>
            </w:pPr>
            <w:bookmarkStart w:id="4" w:name="_Toc112666730"/>
            <w:r w:rsidRPr="00702885">
              <w:rPr>
                <w:rFonts w:asciiTheme="minorHAnsi" w:hAnsiTheme="minorHAnsi" w:cstheme="minorHAnsi"/>
              </w:rPr>
              <w:lastRenderedPageBreak/>
              <w:t>Guideline Statement</w:t>
            </w:r>
            <w:bookmarkEnd w:id="4"/>
          </w:p>
        </w:tc>
      </w:tr>
    </w:tbl>
    <w:p w14:paraId="086829E6" w14:textId="77777777" w:rsidR="009A534C" w:rsidRPr="00702885" w:rsidRDefault="009A534C" w:rsidP="000A7932">
      <w:pPr>
        <w:rPr>
          <w:rFonts w:asciiTheme="minorHAnsi" w:hAnsiTheme="minorHAnsi" w:cstheme="minorHAnsi"/>
          <w:b/>
          <w:szCs w:val="24"/>
        </w:rPr>
      </w:pPr>
    </w:p>
    <w:p w14:paraId="66DE7152" w14:textId="77777777" w:rsidR="006F095D" w:rsidRPr="00B147EA" w:rsidRDefault="006F095D" w:rsidP="000A7932">
      <w:pPr>
        <w:rPr>
          <w:rFonts w:asciiTheme="minorHAnsi" w:hAnsiTheme="minorHAnsi" w:cstheme="minorHAnsi"/>
          <w:szCs w:val="24"/>
        </w:rPr>
      </w:pPr>
      <w:r w:rsidRPr="00B147EA">
        <w:rPr>
          <w:rFonts w:asciiTheme="minorHAnsi" w:hAnsiTheme="minorHAnsi" w:cstheme="minorHAnsi"/>
          <w:szCs w:val="24"/>
        </w:rPr>
        <w:t>Urokinase is a thrombolytic drug extracted from human urine. It directly converts plasminogen to form plasmin, the proteolytic enzyme responsible for the breakdown of fibrin into small peptide molecules. It is used to eradicate vascular occlusions which can be the result of an embolus or an acute thrombosis.</w:t>
      </w:r>
    </w:p>
    <w:p w14:paraId="70380808" w14:textId="77777777" w:rsidR="00A314EC" w:rsidRPr="00702885" w:rsidRDefault="00A314EC" w:rsidP="000A7932">
      <w:pPr>
        <w:rPr>
          <w:rFonts w:asciiTheme="minorHAnsi" w:hAnsiTheme="minorHAnsi" w:cstheme="minorHAnsi"/>
          <w:b/>
          <w:szCs w:val="24"/>
        </w:rPr>
      </w:pPr>
    </w:p>
    <w:p w14:paraId="086829E9" w14:textId="77777777" w:rsidR="00010E74" w:rsidRPr="00702885" w:rsidRDefault="00010E74" w:rsidP="000A7932">
      <w:pPr>
        <w:pStyle w:val="Heading2"/>
        <w:rPr>
          <w:rFonts w:asciiTheme="minorHAnsi" w:hAnsiTheme="minorHAnsi" w:cstheme="minorHAnsi"/>
        </w:rPr>
      </w:pPr>
      <w:r w:rsidRPr="00702885">
        <w:rPr>
          <w:rFonts w:asciiTheme="minorHAnsi" w:hAnsiTheme="minorHAnsi" w:cstheme="minorHAnsi"/>
        </w:rPr>
        <w:t>Background</w:t>
      </w:r>
    </w:p>
    <w:tbl>
      <w:tblPr>
        <w:tblW w:w="10317" w:type="dxa"/>
        <w:tblInd w:w="-108" w:type="dxa"/>
        <w:tblBorders>
          <w:top w:val="nil"/>
          <w:left w:val="nil"/>
          <w:bottom w:val="nil"/>
          <w:right w:val="nil"/>
        </w:tblBorders>
        <w:tblLayout w:type="fixed"/>
        <w:tblLook w:val="0000" w:firstRow="0" w:lastRow="0" w:firstColumn="0" w:lastColumn="0" w:noHBand="0" w:noVBand="0"/>
      </w:tblPr>
      <w:tblGrid>
        <w:gridCol w:w="10317"/>
      </w:tblGrid>
      <w:tr w:rsidR="00A314EC" w:rsidRPr="00A314EC" w14:paraId="6BBB53E1" w14:textId="77777777" w:rsidTr="000A7932">
        <w:trPr>
          <w:trHeight w:val="277"/>
        </w:trPr>
        <w:tc>
          <w:tcPr>
            <w:tcW w:w="10317" w:type="dxa"/>
          </w:tcPr>
          <w:p w14:paraId="6A8E2F59" w14:textId="59DB05D7" w:rsidR="00A314EC" w:rsidRPr="00A314EC" w:rsidRDefault="00A314EC" w:rsidP="000A7932">
            <w:pPr>
              <w:autoSpaceDE w:val="0"/>
              <w:autoSpaceDN w:val="0"/>
              <w:adjustRightInd w:val="0"/>
              <w:rPr>
                <w:rFonts w:asciiTheme="minorHAnsi" w:eastAsiaTheme="minorHAnsi" w:hAnsiTheme="minorHAnsi" w:cstheme="minorHAnsi"/>
                <w:color w:val="000000"/>
                <w:szCs w:val="24"/>
              </w:rPr>
            </w:pPr>
            <w:r w:rsidRPr="00A314EC">
              <w:rPr>
                <w:rFonts w:asciiTheme="minorHAnsi" w:eastAsiaTheme="minorHAnsi" w:hAnsiTheme="minorHAnsi" w:cstheme="minorHAnsi"/>
                <w:color w:val="000000"/>
                <w:szCs w:val="24"/>
              </w:rPr>
              <w:t>Th</w:t>
            </w:r>
            <w:r w:rsidRPr="00702885">
              <w:rPr>
                <w:rFonts w:asciiTheme="minorHAnsi" w:eastAsiaTheme="minorHAnsi" w:hAnsiTheme="minorHAnsi" w:cstheme="minorHAnsi"/>
                <w:color w:val="000000"/>
                <w:szCs w:val="24"/>
              </w:rPr>
              <w:t>is</w:t>
            </w:r>
            <w:r w:rsidRPr="00A314EC">
              <w:rPr>
                <w:rFonts w:asciiTheme="minorHAnsi" w:eastAsiaTheme="minorHAnsi" w:hAnsiTheme="minorHAnsi" w:cstheme="minorHAnsi"/>
                <w:color w:val="000000"/>
                <w:szCs w:val="24"/>
              </w:rPr>
              <w:t xml:space="preserve"> guideline has been established to </w:t>
            </w:r>
            <w:r w:rsidRPr="00702885">
              <w:rPr>
                <w:rFonts w:asciiTheme="minorHAnsi" w:hAnsiTheme="minorHAnsi" w:cstheme="minorHAnsi"/>
                <w:szCs w:val="24"/>
              </w:rPr>
              <w:t xml:space="preserve">serve as a reference for the safe and effective administration of </w:t>
            </w:r>
            <w:r w:rsidRPr="00A314EC">
              <w:rPr>
                <w:rFonts w:asciiTheme="minorHAnsi" w:eastAsiaTheme="minorHAnsi" w:hAnsiTheme="minorHAnsi" w:cstheme="minorHAnsi"/>
                <w:color w:val="000000"/>
                <w:szCs w:val="24"/>
              </w:rPr>
              <w:t xml:space="preserve">urokinase in </w:t>
            </w:r>
            <w:r w:rsidRPr="00702885">
              <w:rPr>
                <w:rFonts w:asciiTheme="minorHAnsi" w:eastAsiaTheme="minorHAnsi" w:hAnsiTheme="minorHAnsi" w:cstheme="minorHAnsi"/>
                <w:color w:val="000000"/>
                <w:szCs w:val="24"/>
              </w:rPr>
              <w:t>the Angiography Suite of the Medical Imaging Department.</w:t>
            </w:r>
            <w:r w:rsidRPr="00A314EC">
              <w:rPr>
                <w:rFonts w:asciiTheme="minorHAnsi" w:eastAsiaTheme="minorHAnsi" w:hAnsiTheme="minorHAnsi" w:cstheme="minorHAnsi"/>
                <w:color w:val="000000"/>
                <w:szCs w:val="24"/>
              </w:rPr>
              <w:t xml:space="preserve"> </w:t>
            </w:r>
          </w:p>
        </w:tc>
      </w:tr>
    </w:tbl>
    <w:p w14:paraId="086829EB" w14:textId="77777777" w:rsidR="00010E74" w:rsidRPr="00702885" w:rsidRDefault="00010E74" w:rsidP="000A7932">
      <w:pPr>
        <w:rPr>
          <w:rFonts w:asciiTheme="minorHAnsi" w:hAnsiTheme="minorHAnsi" w:cstheme="minorHAnsi"/>
          <w:i/>
        </w:rPr>
      </w:pPr>
    </w:p>
    <w:p w14:paraId="086829EC" w14:textId="21CAFC3A" w:rsidR="00010E74" w:rsidRPr="00702885" w:rsidRDefault="00010E74" w:rsidP="000A7932">
      <w:pPr>
        <w:pStyle w:val="Heading2"/>
        <w:rPr>
          <w:rFonts w:asciiTheme="minorHAnsi" w:hAnsiTheme="minorHAnsi" w:cstheme="minorHAnsi"/>
        </w:rPr>
      </w:pPr>
      <w:r w:rsidRPr="00702885">
        <w:rPr>
          <w:rFonts w:asciiTheme="minorHAnsi" w:hAnsiTheme="minorHAnsi" w:cstheme="minorHAnsi"/>
        </w:rPr>
        <w:t>Key Objective</w:t>
      </w:r>
    </w:p>
    <w:p w14:paraId="086829EF" w14:textId="7CA69FBB" w:rsidR="009A534C" w:rsidRPr="00702885" w:rsidRDefault="00785ACD" w:rsidP="000A7932">
      <w:pPr>
        <w:rPr>
          <w:rFonts w:asciiTheme="minorHAnsi" w:hAnsiTheme="minorHAnsi" w:cstheme="minorHAnsi"/>
        </w:rPr>
      </w:pPr>
      <w:r w:rsidRPr="00702885">
        <w:rPr>
          <w:rFonts w:asciiTheme="minorHAnsi" w:hAnsiTheme="minorHAnsi" w:cstheme="minorHAnsi"/>
        </w:rPr>
        <w:t xml:space="preserve">To facilitate safe use of Urokinase </w:t>
      </w:r>
      <w:r w:rsidR="00EA25F2" w:rsidRPr="00702885">
        <w:rPr>
          <w:rFonts w:asciiTheme="minorHAnsi" w:hAnsiTheme="minorHAnsi" w:cstheme="minorHAnsi"/>
        </w:rPr>
        <w:t xml:space="preserve">in the Medical Imaging Department </w:t>
      </w:r>
    </w:p>
    <w:p w14:paraId="1E7C1A95" w14:textId="77777777" w:rsidR="00C1765C" w:rsidRPr="00702885" w:rsidRDefault="00C1765C" w:rsidP="000A7932">
      <w:pPr>
        <w:rPr>
          <w:rFonts w:asciiTheme="minorHAnsi" w:hAnsiTheme="minorHAnsi" w:cstheme="minorHAnsi"/>
        </w:rPr>
      </w:pPr>
    </w:p>
    <w:p w14:paraId="086829F1" w14:textId="70C49A26" w:rsidR="00010E74" w:rsidRPr="00702885" w:rsidRDefault="000A7932" w:rsidP="000A7932">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Pr>
          <w:rFonts w:asciiTheme="minorHAnsi" w:hAnsiTheme="minorHAnsi" w:cstheme="minorHAnsi"/>
          <w:b/>
          <w:bCs/>
          <w:szCs w:val="24"/>
        </w:rPr>
        <w:t xml:space="preserve">Alert: </w:t>
      </w:r>
      <w:r w:rsidR="00C1765C" w:rsidRPr="000A7932">
        <w:rPr>
          <w:rFonts w:asciiTheme="minorHAnsi" w:hAnsiTheme="minorHAnsi" w:cstheme="minorHAnsi"/>
          <w:szCs w:val="24"/>
        </w:rPr>
        <w:t>If any signs or symptoms of adverse reaction develop, the infusion is to be stopped immediately and medical assistance called for.</w:t>
      </w:r>
      <w:r w:rsidR="00674551">
        <w:rPr>
          <w:rFonts w:asciiTheme="minorHAnsi" w:hAnsiTheme="minorHAnsi" w:cstheme="minorHAnsi"/>
          <w:szCs w:val="24"/>
        </w:rPr>
        <w:t xml:space="preserve"> Refer to Section 4 for more information. </w:t>
      </w:r>
    </w:p>
    <w:p w14:paraId="12D9596A" w14:textId="77777777" w:rsidR="000A7932" w:rsidRDefault="000A7932" w:rsidP="000A7932">
      <w:pPr>
        <w:jc w:val="right"/>
      </w:pPr>
    </w:p>
    <w:p w14:paraId="086829F2" w14:textId="3540D287" w:rsidR="0098579F" w:rsidRPr="00702885" w:rsidRDefault="00CB581B" w:rsidP="000A7932">
      <w:pPr>
        <w:jc w:val="right"/>
        <w:rPr>
          <w:rFonts w:asciiTheme="minorHAnsi" w:hAnsiTheme="minorHAnsi" w:cstheme="minorHAnsi"/>
        </w:rPr>
      </w:pPr>
      <w:hyperlink w:anchor="Contents" w:history="1">
        <w:r w:rsidR="009A534C" w:rsidRPr="00702885">
          <w:rPr>
            <w:rStyle w:val="Hyperlink"/>
            <w:rFonts w:asciiTheme="minorHAnsi" w:eastAsiaTheme="majorEastAsia"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702885" w14:paraId="086829F4" w14:textId="77777777" w:rsidTr="008E74FD">
        <w:trPr>
          <w:cantSplit/>
          <w:trHeight w:val="285"/>
        </w:trPr>
        <w:tc>
          <w:tcPr>
            <w:tcW w:w="9158" w:type="dxa"/>
            <w:shd w:val="clear" w:color="auto" w:fill="D9D9D9" w:themeFill="background1" w:themeFillShade="D9"/>
          </w:tcPr>
          <w:p w14:paraId="086829F3" w14:textId="77777777" w:rsidR="0098579F" w:rsidRPr="00702885" w:rsidRDefault="0098579F" w:rsidP="000A7932">
            <w:pPr>
              <w:pStyle w:val="Heading1"/>
              <w:rPr>
                <w:rFonts w:asciiTheme="minorHAnsi" w:hAnsiTheme="minorHAnsi" w:cstheme="minorHAnsi"/>
              </w:rPr>
            </w:pPr>
            <w:bookmarkStart w:id="5" w:name="_Toc112666731"/>
            <w:r w:rsidRPr="00702885">
              <w:rPr>
                <w:rFonts w:asciiTheme="minorHAnsi" w:hAnsiTheme="minorHAnsi" w:cstheme="minorHAnsi"/>
              </w:rPr>
              <w:t>Scope</w:t>
            </w:r>
            <w:bookmarkEnd w:id="5"/>
          </w:p>
        </w:tc>
      </w:tr>
    </w:tbl>
    <w:p w14:paraId="086829F5" w14:textId="77777777" w:rsidR="0098579F" w:rsidRPr="00702885" w:rsidRDefault="0098579F" w:rsidP="000A7932">
      <w:pPr>
        <w:rPr>
          <w:rFonts w:asciiTheme="minorHAnsi" w:hAnsiTheme="minorHAnsi" w:cstheme="minorHAnsi"/>
        </w:rPr>
      </w:pPr>
    </w:p>
    <w:p w14:paraId="086829F7" w14:textId="6B72BE3B" w:rsidR="00010E74" w:rsidRPr="00702885" w:rsidRDefault="00921E27" w:rsidP="000A7932">
      <w:pPr>
        <w:rPr>
          <w:rFonts w:asciiTheme="minorHAnsi" w:hAnsiTheme="minorHAnsi" w:cstheme="minorHAnsi"/>
          <w:szCs w:val="24"/>
        </w:rPr>
      </w:pPr>
      <w:r w:rsidRPr="00702885">
        <w:rPr>
          <w:rFonts w:asciiTheme="minorHAnsi" w:hAnsiTheme="minorHAnsi" w:cstheme="minorHAnsi"/>
          <w:szCs w:val="24"/>
        </w:rPr>
        <w:t xml:space="preserve">This guideline </w:t>
      </w:r>
      <w:r w:rsidR="000A7932">
        <w:rPr>
          <w:rFonts w:asciiTheme="minorHAnsi" w:hAnsiTheme="minorHAnsi" w:cstheme="minorHAnsi"/>
          <w:szCs w:val="24"/>
        </w:rPr>
        <w:t xml:space="preserve">applies to </w:t>
      </w:r>
      <w:r w:rsidRPr="00702885">
        <w:rPr>
          <w:rFonts w:asciiTheme="minorHAnsi" w:hAnsiTheme="minorHAnsi" w:cstheme="minorHAnsi"/>
          <w:szCs w:val="24"/>
        </w:rPr>
        <w:t>the use of urokinase primarily for the indication of dialysis arteriovenous (AV) fistula</w:t>
      </w:r>
      <w:r w:rsidR="00617EA8" w:rsidRPr="00702885">
        <w:rPr>
          <w:rFonts w:asciiTheme="minorHAnsi" w:hAnsiTheme="minorHAnsi" w:cstheme="minorHAnsi"/>
          <w:szCs w:val="24"/>
        </w:rPr>
        <w:t>/</w:t>
      </w:r>
      <w:r w:rsidRPr="00702885">
        <w:rPr>
          <w:rFonts w:asciiTheme="minorHAnsi" w:hAnsiTheme="minorHAnsi" w:cstheme="minorHAnsi"/>
          <w:szCs w:val="24"/>
        </w:rPr>
        <w:t>graft thrombolysis (declotting) performed by Interventional Radiologists (IR’s) and Vascular Surgeons in the Medical Imaging Angiography Suite</w:t>
      </w:r>
      <w:r w:rsidR="00982E12">
        <w:rPr>
          <w:rFonts w:asciiTheme="minorHAnsi" w:hAnsiTheme="minorHAnsi" w:cstheme="minorHAnsi"/>
          <w:szCs w:val="24"/>
        </w:rPr>
        <w:t xml:space="preserve"> only</w:t>
      </w:r>
      <w:r w:rsidRPr="00702885">
        <w:rPr>
          <w:rFonts w:asciiTheme="minorHAnsi" w:hAnsiTheme="minorHAnsi" w:cstheme="minorHAnsi"/>
          <w:szCs w:val="24"/>
        </w:rPr>
        <w:t>.</w:t>
      </w:r>
    </w:p>
    <w:p w14:paraId="086829FE" w14:textId="2BF8DE9D" w:rsidR="00C13D33" w:rsidRDefault="00C13D33" w:rsidP="000A7932">
      <w:pPr>
        <w:rPr>
          <w:rFonts w:asciiTheme="minorHAnsi" w:hAnsiTheme="minorHAnsi" w:cstheme="minorHAnsi"/>
          <w:szCs w:val="24"/>
        </w:rPr>
      </w:pPr>
    </w:p>
    <w:p w14:paraId="0580E636" w14:textId="3C959C81" w:rsidR="000A7932" w:rsidRDefault="000A7932" w:rsidP="000A7932">
      <w:pPr>
        <w:rPr>
          <w:rFonts w:asciiTheme="minorHAnsi" w:hAnsiTheme="minorHAnsi" w:cstheme="minorHAnsi"/>
          <w:szCs w:val="24"/>
        </w:rPr>
      </w:pPr>
      <w:r>
        <w:rPr>
          <w:rFonts w:asciiTheme="minorHAnsi" w:hAnsiTheme="minorHAnsi" w:cstheme="minorHAnsi"/>
          <w:szCs w:val="24"/>
        </w:rPr>
        <w:t>This guideline applies to the following staff working within their scope of practice:</w:t>
      </w:r>
    </w:p>
    <w:p w14:paraId="52A1D4EF" w14:textId="2D081721" w:rsidR="000A7932" w:rsidRDefault="000A7932" w:rsidP="000A7932">
      <w:pPr>
        <w:pStyle w:val="ListBullet"/>
      </w:pPr>
      <w:r>
        <w:t>Medical Officers</w:t>
      </w:r>
    </w:p>
    <w:p w14:paraId="2A6C24BB" w14:textId="428BC308" w:rsidR="000A7932" w:rsidRDefault="000A7932" w:rsidP="000A7932">
      <w:pPr>
        <w:pStyle w:val="ListBullet"/>
      </w:pPr>
      <w:r>
        <w:t>Nurses</w:t>
      </w:r>
    </w:p>
    <w:p w14:paraId="07805C7D" w14:textId="64A2646A" w:rsidR="000A7932" w:rsidRDefault="000A7932" w:rsidP="000A7932">
      <w:pPr>
        <w:pStyle w:val="ListBullet"/>
      </w:pPr>
      <w:r>
        <w:t>Allied Health professionals</w:t>
      </w:r>
    </w:p>
    <w:p w14:paraId="3ED8FF17" w14:textId="06C5DC2E" w:rsidR="000A7932" w:rsidRDefault="000A7932" w:rsidP="000A7932">
      <w:pPr>
        <w:pStyle w:val="ListBullet"/>
      </w:pPr>
      <w:r>
        <w:t>Students under direct supervision.</w:t>
      </w:r>
    </w:p>
    <w:p w14:paraId="6F9C951E" w14:textId="77777777" w:rsidR="000A7932" w:rsidRPr="000A7932" w:rsidRDefault="000A7932" w:rsidP="000A7932">
      <w:pPr>
        <w:rPr>
          <w:rFonts w:asciiTheme="minorHAnsi" w:hAnsiTheme="minorHAnsi" w:cstheme="minorHAnsi"/>
          <w:szCs w:val="24"/>
        </w:rPr>
      </w:pPr>
    </w:p>
    <w:p w14:paraId="086829FF" w14:textId="77777777" w:rsidR="00C13D33" w:rsidRPr="00702885" w:rsidRDefault="00CB581B" w:rsidP="000A7932">
      <w:pPr>
        <w:jc w:val="right"/>
        <w:rPr>
          <w:rFonts w:asciiTheme="minorHAnsi" w:hAnsiTheme="minorHAnsi" w:cstheme="minorHAnsi"/>
          <w:szCs w:val="24"/>
        </w:rPr>
      </w:pPr>
      <w:hyperlink w:anchor="Contents" w:history="1">
        <w:r w:rsidR="00C13D33" w:rsidRPr="00702885">
          <w:rPr>
            <w:rStyle w:val="Hyperlink"/>
            <w:rFonts w:asciiTheme="minorHAnsi" w:eastAsiaTheme="majorEastAsia"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01" w14:textId="77777777" w:rsidTr="008E74FD">
        <w:trPr>
          <w:cantSplit/>
          <w:trHeight w:val="285"/>
        </w:trPr>
        <w:tc>
          <w:tcPr>
            <w:tcW w:w="9158" w:type="dxa"/>
            <w:shd w:val="clear" w:color="auto" w:fill="D9D9D9" w:themeFill="background1" w:themeFillShade="D9"/>
          </w:tcPr>
          <w:p w14:paraId="08682A00" w14:textId="27AE8A25" w:rsidR="009A534C" w:rsidRPr="00702885" w:rsidRDefault="009A534C" w:rsidP="000A7932">
            <w:pPr>
              <w:pStyle w:val="Heading1"/>
              <w:rPr>
                <w:rFonts w:asciiTheme="minorHAnsi" w:hAnsiTheme="minorHAnsi" w:cstheme="minorHAnsi"/>
              </w:rPr>
            </w:pPr>
            <w:bookmarkStart w:id="6" w:name="_Toc389473278"/>
            <w:bookmarkStart w:id="7" w:name="_Toc393203334"/>
            <w:bookmarkStart w:id="8" w:name="_Toc112666732"/>
            <w:r w:rsidRPr="00702885">
              <w:rPr>
                <w:rFonts w:asciiTheme="minorHAnsi" w:hAnsiTheme="minorHAnsi" w:cstheme="minorHAnsi"/>
              </w:rPr>
              <w:t xml:space="preserve">Section 1 – </w:t>
            </w:r>
            <w:bookmarkEnd w:id="6"/>
            <w:bookmarkEnd w:id="7"/>
            <w:r w:rsidR="00C1765C" w:rsidRPr="00702885">
              <w:rPr>
                <w:rFonts w:asciiTheme="minorHAnsi" w:hAnsiTheme="minorHAnsi" w:cstheme="minorHAnsi"/>
              </w:rPr>
              <w:t>Contraindications</w:t>
            </w:r>
            <w:bookmarkEnd w:id="8"/>
          </w:p>
        </w:tc>
      </w:tr>
    </w:tbl>
    <w:p w14:paraId="08682A02" w14:textId="6DF674D8" w:rsidR="009A534C" w:rsidRPr="00702885" w:rsidRDefault="009A534C" w:rsidP="000A7932">
      <w:pPr>
        <w:outlineLvl w:val="0"/>
        <w:rPr>
          <w:rFonts w:asciiTheme="minorHAnsi" w:hAnsiTheme="minorHAnsi" w:cstheme="minorHAnsi"/>
          <w:szCs w:val="24"/>
        </w:rPr>
      </w:pPr>
    </w:p>
    <w:p w14:paraId="22ED86A5" w14:textId="63608A1E" w:rsidR="00C1765C" w:rsidRPr="000A7932" w:rsidRDefault="00C1765C" w:rsidP="000A7932">
      <w:pPr>
        <w:outlineLvl w:val="0"/>
        <w:rPr>
          <w:rFonts w:asciiTheme="minorHAnsi" w:hAnsiTheme="minorHAnsi" w:cstheme="minorHAnsi"/>
          <w:b/>
          <w:bCs/>
          <w:szCs w:val="24"/>
        </w:rPr>
      </w:pPr>
      <w:r w:rsidRPr="000A7932">
        <w:rPr>
          <w:rFonts w:asciiTheme="minorHAnsi" w:hAnsiTheme="minorHAnsi" w:cstheme="minorHAnsi"/>
          <w:b/>
          <w:bCs/>
          <w:szCs w:val="24"/>
        </w:rPr>
        <w:t>ABSOLUTE</w:t>
      </w:r>
    </w:p>
    <w:p w14:paraId="31EB1C25" w14:textId="6CC887E9" w:rsidR="00C1765C" w:rsidRPr="00702885" w:rsidRDefault="00C1765C" w:rsidP="000A7932">
      <w:pPr>
        <w:pStyle w:val="ListBullet"/>
      </w:pPr>
      <w:r w:rsidRPr="00702885">
        <w:t>Hypersensitivity to agent or excipient</w:t>
      </w:r>
    </w:p>
    <w:p w14:paraId="23A39315" w14:textId="444F1019" w:rsidR="00C1765C" w:rsidRPr="00702885" w:rsidRDefault="00C1765C" w:rsidP="000A7932">
      <w:pPr>
        <w:pStyle w:val="ListBullet"/>
      </w:pPr>
      <w:r w:rsidRPr="00702885">
        <w:t>Recent or active clinically relevant bleeding</w:t>
      </w:r>
    </w:p>
    <w:p w14:paraId="554E45B9" w14:textId="302EF98D" w:rsidR="00C1765C" w:rsidRPr="00702885" w:rsidRDefault="00C1765C" w:rsidP="007A3E21">
      <w:pPr>
        <w:pStyle w:val="ListBullet"/>
      </w:pPr>
      <w:r w:rsidRPr="00702885">
        <w:t>Impaired coagulation (haemorrhagic diathesis,</w:t>
      </w:r>
      <w:r w:rsidR="007A3E21">
        <w:t xml:space="preserve"> s</w:t>
      </w:r>
      <w:r w:rsidRPr="00702885">
        <w:t>pontaneous fibrinolysis) and severe thrombocytopenia</w:t>
      </w:r>
    </w:p>
    <w:p w14:paraId="36D5B3C8" w14:textId="3E60F9A9" w:rsidR="00C1765C" w:rsidRPr="00702885" w:rsidRDefault="00C1765C" w:rsidP="000A7932">
      <w:pPr>
        <w:pStyle w:val="ListBullet"/>
      </w:pPr>
      <w:r w:rsidRPr="00702885">
        <w:t>Recent major trauma incl</w:t>
      </w:r>
      <w:r w:rsidR="00EA25F2" w:rsidRPr="00702885">
        <w:t>u</w:t>
      </w:r>
      <w:r w:rsidRPr="00702885">
        <w:t>d</w:t>
      </w:r>
      <w:r w:rsidR="00EA25F2" w:rsidRPr="00702885">
        <w:t>ing cardiopulmonary resuscitation</w:t>
      </w:r>
      <w:r w:rsidRPr="00702885">
        <w:t xml:space="preserve"> </w:t>
      </w:r>
      <w:r w:rsidR="00EA25F2" w:rsidRPr="00702885">
        <w:t>(</w:t>
      </w:r>
      <w:r w:rsidRPr="00702885">
        <w:t>CPR</w:t>
      </w:r>
      <w:r w:rsidR="00EA25F2" w:rsidRPr="00702885">
        <w:t>)</w:t>
      </w:r>
      <w:r w:rsidRPr="00702885">
        <w:t>; thoracic surgery or neurosurgery (within 60 days)</w:t>
      </w:r>
    </w:p>
    <w:p w14:paraId="3F5ED6E0" w14:textId="6EAC3B19" w:rsidR="00C1765C" w:rsidRPr="00702885" w:rsidRDefault="00C1765C" w:rsidP="000A7932">
      <w:pPr>
        <w:pStyle w:val="ListBullet"/>
      </w:pPr>
      <w:r w:rsidRPr="00702885">
        <w:lastRenderedPageBreak/>
        <w:t xml:space="preserve">Recent major surgery until primary wound </w:t>
      </w:r>
      <w:r w:rsidR="00EA25F2" w:rsidRPr="00702885">
        <w:t>healing,</w:t>
      </w:r>
      <w:r w:rsidRPr="00702885">
        <w:t xml:space="preserve"> recent organ biopsy;</w:t>
      </w:r>
      <w:r w:rsidR="00F64DB5">
        <w:t xml:space="preserve"> </w:t>
      </w:r>
      <w:r w:rsidR="00EA25F2" w:rsidRPr="00702885">
        <w:t>lumbar puncture (</w:t>
      </w:r>
      <w:r w:rsidRPr="00702885">
        <w:t>LP</w:t>
      </w:r>
      <w:r w:rsidR="00EA25F2" w:rsidRPr="00702885">
        <w:t>)</w:t>
      </w:r>
      <w:r w:rsidR="006B17F7">
        <w:rPr>
          <w:color w:val="FF0000"/>
        </w:rPr>
        <w:t xml:space="preserve"> </w:t>
      </w:r>
      <w:r w:rsidR="00EA25F2" w:rsidRPr="00702885">
        <w:t>trans-lumbar</w:t>
      </w:r>
      <w:r w:rsidRPr="00702885">
        <w:t xml:space="preserve"> aortography (within 10</w:t>
      </w:r>
      <w:r w:rsidR="00EA25F2" w:rsidRPr="00702885">
        <w:t xml:space="preserve"> </w:t>
      </w:r>
      <w:r w:rsidRPr="00702885">
        <w:t>days)</w:t>
      </w:r>
    </w:p>
    <w:p w14:paraId="34661356" w14:textId="77C51AF1" w:rsidR="00C1765C" w:rsidRPr="00702885" w:rsidRDefault="00C1765C" w:rsidP="000A7932">
      <w:pPr>
        <w:pStyle w:val="ListBullet"/>
      </w:pPr>
      <w:r w:rsidRPr="00702885">
        <w:t>Ischaemic or haemorrhagic CVA in last 60</w:t>
      </w:r>
      <w:r w:rsidR="00F64DB5">
        <w:t xml:space="preserve"> </w:t>
      </w:r>
      <w:r w:rsidRPr="00702885">
        <w:t>d</w:t>
      </w:r>
      <w:r w:rsidR="00FA1BDC">
        <w:t>ays</w:t>
      </w:r>
      <w:r w:rsidR="006B17F7">
        <w:t xml:space="preserve">. </w:t>
      </w:r>
    </w:p>
    <w:p w14:paraId="4B009A6A" w14:textId="13CB0D30" w:rsidR="00C1765C" w:rsidRPr="00702885" w:rsidRDefault="00C1765C" w:rsidP="000A7932">
      <w:pPr>
        <w:pStyle w:val="ListBullet"/>
      </w:pPr>
      <w:r w:rsidRPr="00702885">
        <w:t xml:space="preserve">Intracranial </w:t>
      </w:r>
      <w:r w:rsidR="00EA25F2" w:rsidRPr="00702885">
        <w:t>neoplasm,</w:t>
      </w:r>
      <w:r w:rsidRPr="00702885">
        <w:t xml:space="preserve"> or other neoplasm prone to haemorrhage</w:t>
      </w:r>
    </w:p>
    <w:p w14:paraId="7130BBFB" w14:textId="7D9B6056" w:rsidR="00C1765C" w:rsidRPr="00702885" w:rsidRDefault="00D3226D" w:rsidP="000A7932">
      <w:pPr>
        <w:pStyle w:val="ListBullet"/>
      </w:pPr>
      <w:r>
        <w:t xml:space="preserve">Intracranial </w:t>
      </w:r>
      <w:r w:rsidR="00C1765C" w:rsidRPr="00702885">
        <w:t>Aneurysm and arteriovenous malformation (AVM)</w:t>
      </w:r>
      <w:r w:rsidR="006B17F7">
        <w:t xml:space="preserve"> </w:t>
      </w:r>
    </w:p>
    <w:p w14:paraId="75A88677" w14:textId="5BD74594" w:rsidR="00C1765C" w:rsidRPr="00702885" w:rsidRDefault="00C1765C" w:rsidP="000A7932">
      <w:pPr>
        <w:pStyle w:val="ListBullet"/>
      </w:pPr>
      <w:r w:rsidRPr="00702885">
        <w:t xml:space="preserve">Severe uncontrolled </w:t>
      </w:r>
      <w:r w:rsidR="00EA25F2" w:rsidRPr="00702885">
        <w:t>arterial hypertension</w:t>
      </w:r>
      <w:r w:rsidRPr="00702885">
        <w:t xml:space="preserve"> (systolic &gt;200mmHg, diastolic &gt; 100mmHg, grade III/IV hypertensive retinopathy)</w:t>
      </w:r>
    </w:p>
    <w:p w14:paraId="02F6F3AA" w14:textId="77777777" w:rsidR="000A7932" w:rsidRDefault="000A7932" w:rsidP="000A7932">
      <w:pPr>
        <w:outlineLvl w:val="0"/>
        <w:rPr>
          <w:rFonts w:asciiTheme="minorHAnsi" w:hAnsiTheme="minorHAnsi" w:cstheme="minorHAnsi"/>
          <w:szCs w:val="24"/>
        </w:rPr>
      </w:pPr>
    </w:p>
    <w:p w14:paraId="134D263A" w14:textId="77777777" w:rsidR="000A7932" w:rsidRDefault="00EA25F2" w:rsidP="000A7932">
      <w:pPr>
        <w:outlineLvl w:val="0"/>
        <w:rPr>
          <w:rFonts w:asciiTheme="minorHAnsi" w:hAnsiTheme="minorHAnsi" w:cstheme="minorHAnsi"/>
          <w:szCs w:val="24"/>
        </w:rPr>
      </w:pPr>
      <w:r w:rsidRPr="000A7932">
        <w:rPr>
          <w:rFonts w:asciiTheme="minorHAnsi" w:hAnsiTheme="minorHAnsi" w:cstheme="minorHAnsi"/>
          <w:b/>
          <w:bCs/>
          <w:szCs w:val="24"/>
        </w:rPr>
        <w:t>RELATIVE</w:t>
      </w:r>
      <w:r w:rsidRPr="00702885">
        <w:rPr>
          <w:rFonts w:asciiTheme="minorHAnsi" w:hAnsiTheme="minorHAnsi" w:cstheme="minorHAnsi"/>
          <w:szCs w:val="24"/>
        </w:rPr>
        <w:t xml:space="preserve"> </w:t>
      </w:r>
    </w:p>
    <w:p w14:paraId="099F89A7" w14:textId="16516BAC" w:rsidR="00C1765C" w:rsidRPr="00702885" w:rsidRDefault="00EA25F2" w:rsidP="000A7932">
      <w:pPr>
        <w:outlineLvl w:val="0"/>
        <w:rPr>
          <w:rFonts w:asciiTheme="minorHAnsi" w:hAnsiTheme="minorHAnsi" w:cstheme="minorHAnsi"/>
          <w:szCs w:val="24"/>
        </w:rPr>
      </w:pPr>
      <w:r w:rsidRPr="00702885">
        <w:rPr>
          <w:rFonts w:asciiTheme="minorHAnsi" w:hAnsiTheme="minorHAnsi" w:cstheme="minorHAnsi"/>
          <w:szCs w:val="24"/>
        </w:rPr>
        <w:t>In the following conditions, the risk of bleeding may be increased and should be weighed against the anticipated benefits:</w:t>
      </w:r>
    </w:p>
    <w:p w14:paraId="45F51394" w14:textId="4278C366" w:rsidR="00EA25F2" w:rsidRPr="00702885" w:rsidRDefault="00EA25F2" w:rsidP="000A7932">
      <w:pPr>
        <w:pStyle w:val="ListBullet"/>
      </w:pPr>
      <w:r w:rsidRPr="00702885">
        <w:t>Recent surgery other than thoracic or neurosurgery; first 18/40 of pregnancy or recent obstetric delivery; puncture of non-compressible vessel</w:t>
      </w:r>
    </w:p>
    <w:p w14:paraId="65FCFB7E" w14:textId="72DE4674" w:rsidR="00EA25F2" w:rsidRDefault="00EA25F2" w:rsidP="000A7932">
      <w:pPr>
        <w:pStyle w:val="ListBullet"/>
      </w:pPr>
      <w:r w:rsidRPr="00702885">
        <w:t>Moderate coagulation defects incl</w:t>
      </w:r>
      <w:r w:rsidR="00A072FD" w:rsidRPr="00702885">
        <w:t>u</w:t>
      </w:r>
      <w:r w:rsidRPr="00702885">
        <w:t>d</w:t>
      </w:r>
      <w:r w:rsidR="00A072FD" w:rsidRPr="00702885">
        <w:t>ing</w:t>
      </w:r>
      <w:r w:rsidRPr="00702885">
        <w:t xml:space="preserve"> secondary to hepatic and renal disease</w:t>
      </w:r>
    </w:p>
    <w:p w14:paraId="77C0C8F9" w14:textId="730A8B07" w:rsidR="00D3226D" w:rsidRPr="00702885" w:rsidRDefault="00D3226D" w:rsidP="000A7932">
      <w:pPr>
        <w:pStyle w:val="ListBullet"/>
      </w:pPr>
      <w:r>
        <w:t>Concomitant anticoagulation and antiaggregant therapy</w:t>
      </w:r>
    </w:p>
    <w:p w14:paraId="3548EBBD" w14:textId="6BD7D52B" w:rsidR="00EA25F2" w:rsidRPr="00702885" w:rsidRDefault="00EA25F2" w:rsidP="000A7932">
      <w:pPr>
        <w:pStyle w:val="ListBullet"/>
      </w:pPr>
      <w:r w:rsidRPr="00702885">
        <w:t>Cavitating pulmonary disease</w:t>
      </w:r>
    </w:p>
    <w:p w14:paraId="498878C4" w14:textId="071B1444" w:rsidR="00EA25F2" w:rsidRPr="00702885" w:rsidRDefault="00EA25F2" w:rsidP="000A7932">
      <w:pPr>
        <w:pStyle w:val="ListBullet"/>
      </w:pPr>
      <w:r w:rsidRPr="00702885">
        <w:t>Genitourinary tract disease with existing or potential source of bleeding (e</w:t>
      </w:r>
      <w:r w:rsidR="00A072FD" w:rsidRPr="00702885">
        <w:t>.</w:t>
      </w:r>
      <w:r w:rsidRPr="00702885">
        <w:t>g. indwelling bladder catheter)</w:t>
      </w:r>
    </w:p>
    <w:p w14:paraId="138DDF82" w14:textId="34E52ABA" w:rsidR="00EA25F2" w:rsidRPr="00702885" w:rsidRDefault="00EA25F2" w:rsidP="000A7932">
      <w:pPr>
        <w:pStyle w:val="ListBullet"/>
      </w:pPr>
      <w:r w:rsidRPr="00702885">
        <w:t>Likelihood of left heart thrombus (e</w:t>
      </w:r>
      <w:r w:rsidR="00A072FD" w:rsidRPr="00702885">
        <w:t>.</w:t>
      </w:r>
      <w:r w:rsidRPr="00702885">
        <w:t>g. mitral stenosis with AF) with potential risk of cerebral embolism</w:t>
      </w:r>
    </w:p>
    <w:p w14:paraId="44C42BB5" w14:textId="4CCBBA14" w:rsidR="00EA25F2" w:rsidRPr="00702885" w:rsidRDefault="00EA25F2" w:rsidP="000A7932">
      <w:pPr>
        <w:pStyle w:val="ListBullet"/>
      </w:pPr>
      <w:r w:rsidRPr="00702885">
        <w:t>Severe cerebrovascular disease</w:t>
      </w:r>
      <w:r w:rsidR="006B17F7">
        <w:t xml:space="preserve">. </w:t>
      </w:r>
    </w:p>
    <w:p w14:paraId="34CDA269" w14:textId="76340F34" w:rsidR="00EA25F2" w:rsidRPr="00702885" w:rsidRDefault="00EA25F2" w:rsidP="000A7932">
      <w:pPr>
        <w:pStyle w:val="ListBullet"/>
      </w:pPr>
      <w:r w:rsidRPr="00702885">
        <w:t>Known septic thrombotic disease</w:t>
      </w:r>
    </w:p>
    <w:p w14:paraId="50B138CC" w14:textId="3EAE6E67" w:rsidR="00A072FD" w:rsidRPr="00702885" w:rsidRDefault="00EA25F2" w:rsidP="000A7932">
      <w:pPr>
        <w:pStyle w:val="ListBullet"/>
      </w:pPr>
      <w:r w:rsidRPr="00702885">
        <w:t>Elderly patients &gt;75yrs</w:t>
      </w:r>
      <w:r w:rsidR="006B17F7">
        <w:t xml:space="preserve">. </w:t>
      </w:r>
    </w:p>
    <w:p w14:paraId="4268E3E3" w14:textId="30DEC89E" w:rsidR="00CF4EEE" w:rsidRDefault="00CF4EEE" w:rsidP="000A7932">
      <w:pPr>
        <w:autoSpaceDE w:val="0"/>
        <w:autoSpaceDN w:val="0"/>
        <w:adjustRightInd w:val="0"/>
        <w:outlineLvl w:val="0"/>
        <w:rPr>
          <w:rFonts w:asciiTheme="minorHAnsi" w:hAnsiTheme="minorHAnsi" w:cstheme="minorHAnsi"/>
          <w:sz w:val="22"/>
          <w:szCs w:val="22"/>
        </w:rPr>
      </w:pPr>
    </w:p>
    <w:p w14:paraId="4BD5B5EA" w14:textId="77777777" w:rsidR="000A7932" w:rsidRDefault="00CF4EEE" w:rsidP="000A7932">
      <w:pPr>
        <w:pBdr>
          <w:top w:val="single" w:sz="4" w:space="1" w:color="auto"/>
          <w:left w:val="single" w:sz="4" w:space="4" w:color="auto"/>
          <w:bottom w:val="single" w:sz="4" w:space="1" w:color="auto"/>
          <w:right w:val="single" w:sz="4" w:space="4" w:color="auto"/>
        </w:pBdr>
        <w:outlineLvl w:val="0"/>
        <w:rPr>
          <w:szCs w:val="22"/>
        </w:rPr>
      </w:pPr>
      <w:r w:rsidRPr="000A7932">
        <w:rPr>
          <w:b/>
          <w:bCs/>
          <w:szCs w:val="24"/>
        </w:rPr>
        <w:t>Note</w:t>
      </w:r>
      <w:r>
        <w:rPr>
          <w:szCs w:val="24"/>
        </w:rPr>
        <w:t xml:space="preserve">: </w:t>
      </w:r>
      <w:r>
        <w:rPr>
          <w:szCs w:val="22"/>
        </w:rPr>
        <w:t>It may be appropriate to deviate from the above recommendations in specific clinical circumstances, including, but not limited to:</w:t>
      </w:r>
    </w:p>
    <w:p w14:paraId="75F9A746" w14:textId="77777777" w:rsidR="000A7932" w:rsidRPr="000A7932" w:rsidRDefault="00CF4EEE" w:rsidP="000A7932">
      <w:pPr>
        <w:pStyle w:val="ListBullet"/>
        <w:pBdr>
          <w:top w:val="single" w:sz="4" w:space="1" w:color="auto"/>
          <w:left w:val="single" w:sz="4" w:space="4" w:color="auto"/>
          <w:bottom w:val="single" w:sz="4" w:space="1" w:color="auto"/>
          <w:right w:val="single" w:sz="4" w:space="4" w:color="auto"/>
        </w:pBdr>
        <w:rPr>
          <w:szCs w:val="24"/>
        </w:rPr>
      </w:pPr>
      <w:r>
        <w:t xml:space="preserve"> uncomplicated lumbar puncture, </w:t>
      </w:r>
    </w:p>
    <w:p w14:paraId="6DC321F9" w14:textId="60B0B416" w:rsidR="00CF4EEE" w:rsidRPr="00CF4EEE" w:rsidRDefault="00CF4EEE" w:rsidP="000A7932">
      <w:pPr>
        <w:pStyle w:val="ListBullet"/>
        <w:pBdr>
          <w:top w:val="single" w:sz="4" w:space="1" w:color="auto"/>
          <w:left w:val="single" w:sz="4" w:space="4" w:color="auto"/>
          <w:bottom w:val="single" w:sz="4" w:space="1" w:color="auto"/>
          <w:right w:val="single" w:sz="4" w:space="4" w:color="auto"/>
        </w:pBdr>
        <w:rPr>
          <w:szCs w:val="24"/>
        </w:rPr>
      </w:pPr>
      <w:r>
        <w:t>thrombolysis following rib resection for Thoracic Outlet Syndrome.</w:t>
      </w:r>
    </w:p>
    <w:p w14:paraId="7401E79E" w14:textId="45E15984" w:rsidR="00540585" w:rsidRPr="00702885" w:rsidRDefault="00540585" w:rsidP="000A7932">
      <w:pPr>
        <w:pStyle w:val="ListParagraph"/>
        <w:autoSpaceDE w:val="0"/>
        <w:autoSpaceDN w:val="0"/>
        <w:adjustRightInd w:val="0"/>
        <w:outlineLvl w:val="0"/>
        <w:rPr>
          <w:rFonts w:asciiTheme="minorHAnsi" w:hAnsiTheme="minorHAnsi" w:cstheme="minorHAnsi"/>
          <w:sz w:val="22"/>
          <w:szCs w:val="22"/>
        </w:rPr>
      </w:pPr>
    </w:p>
    <w:p w14:paraId="3233A392" w14:textId="081F90F6" w:rsidR="00EA25F2" w:rsidRPr="000A7932" w:rsidRDefault="00540585" w:rsidP="000A7932">
      <w:pPr>
        <w:outlineLvl w:val="0"/>
        <w:rPr>
          <w:rFonts w:asciiTheme="minorHAnsi" w:hAnsiTheme="minorHAnsi" w:cstheme="minorHAnsi"/>
          <w:b/>
          <w:bCs/>
          <w:szCs w:val="24"/>
        </w:rPr>
      </w:pPr>
      <w:r w:rsidRPr="000A7932">
        <w:rPr>
          <w:rFonts w:asciiTheme="minorHAnsi" w:hAnsiTheme="minorHAnsi" w:cstheme="minorHAnsi"/>
          <w:b/>
          <w:bCs/>
          <w:szCs w:val="24"/>
        </w:rPr>
        <w:t>INTERACTIONS</w:t>
      </w:r>
    </w:p>
    <w:p w14:paraId="27FC5B11" w14:textId="1E16BFD8" w:rsidR="00540585" w:rsidRPr="00702885" w:rsidRDefault="00540585" w:rsidP="000A7932">
      <w:pPr>
        <w:rPr>
          <w:rFonts w:asciiTheme="minorHAnsi" w:hAnsiTheme="minorHAnsi" w:cstheme="minorHAnsi"/>
        </w:rPr>
      </w:pPr>
      <w:r w:rsidRPr="00702885">
        <w:rPr>
          <w:rFonts w:asciiTheme="minorHAnsi" w:hAnsiTheme="minorHAnsi" w:cstheme="minorHAnsi"/>
        </w:rPr>
        <w:t xml:space="preserve">Concomitant anticoagulant use increases risk of bleeding </w:t>
      </w:r>
      <w:r w:rsidR="00EA6C0E" w:rsidRPr="00702885">
        <w:rPr>
          <w:rFonts w:asciiTheme="minorHAnsi" w:hAnsiTheme="minorHAnsi" w:cstheme="minorHAnsi"/>
        </w:rPr>
        <w:t>i.e.,</w:t>
      </w:r>
      <w:r w:rsidRPr="00702885">
        <w:rPr>
          <w:rFonts w:asciiTheme="minorHAnsi" w:hAnsiTheme="minorHAnsi" w:cstheme="minorHAnsi"/>
        </w:rPr>
        <w:t xml:space="preserve"> fibrin and fibrinogen fissure products can potentiate heparin up to 12-24 h</w:t>
      </w:r>
      <w:r w:rsidR="00ED1DF5">
        <w:rPr>
          <w:rFonts w:asciiTheme="minorHAnsi" w:hAnsiTheme="minorHAnsi" w:cstheme="minorHAnsi"/>
        </w:rPr>
        <w:t>ou</w:t>
      </w:r>
      <w:r w:rsidRPr="00702885">
        <w:rPr>
          <w:rFonts w:asciiTheme="minorHAnsi" w:hAnsiTheme="minorHAnsi" w:cstheme="minorHAnsi"/>
        </w:rPr>
        <w:t>rs after cessation of urokinase.</w:t>
      </w:r>
    </w:p>
    <w:p w14:paraId="173E625C" w14:textId="5F823B7D" w:rsidR="00540585" w:rsidRDefault="00540585" w:rsidP="000A7932">
      <w:pPr>
        <w:rPr>
          <w:rFonts w:asciiTheme="minorHAnsi" w:hAnsiTheme="minorHAnsi" w:cstheme="minorHAnsi"/>
        </w:rPr>
      </w:pPr>
      <w:r w:rsidRPr="00702885">
        <w:rPr>
          <w:rFonts w:asciiTheme="minorHAnsi" w:hAnsiTheme="minorHAnsi" w:cstheme="minorHAnsi"/>
        </w:rPr>
        <w:t>Anti-fibrinolytics (</w:t>
      </w:r>
      <w:r w:rsidR="00EA6C0E" w:rsidRPr="00702885">
        <w:rPr>
          <w:rFonts w:asciiTheme="minorHAnsi" w:hAnsiTheme="minorHAnsi" w:cstheme="minorHAnsi"/>
        </w:rPr>
        <w:t>e.g.</w:t>
      </w:r>
      <w:r w:rsidRPr="00702885">
        <w:rPr>
          <w:rFonts w:asciiTheme="minorHAnsi" w:hAnsiTheme="minorHAnsi" w:cstheme="minorHAnsi"/>
        </w:rPr>
        <w:t xml:space="preserve"> aprotonin, tranexamic acid) reduce efficacy of urokinase.</w:t>
      </w:r>
    </w:p>
    <w:p w14:paraId="0F6598EB" w14:textId="77777777" w:rsidR="00982E12" w:rsidRDefault="00982E12" w:rsidP="000A7932">
      <w:pPr>
        <w:rPr>
          <w:rFonts w:asciiTheme="minorHAnsi" w:hAnsiTheme="minorHAnsi" w:cstheme="minorHAnsi"/>
        </w:rPr>
      </w:pPr>
    </w:p>
    <w:p w14:paraId="0611463D" w14:textId="47A81CB4" w:rsidR="00982E12" w:rsidRPr="00702885" w:rsidRDefault="00982E12" w:rsidP="000A7932">
      <w:pPr>
        <w:rPr>
          <w:rFonts w:asciiTheme="minorHAnsi" w:hAnsiTheme="minorHAnsi" w:cstheme="minorHAnsi"/>
        </w:rPr>
      </w:pPr>
      <w:r w:rsidRPr="00702885">
        <w:rPr>
          <w:rFonts w:asciiTheme="minorHAnsi" w:hAnsiTheme="minorHAnsi" w:cstheme="minorHAnsi"/>
        </w:rPr>
        <w:t xml:space="preserve">Appropriate dose adjustment </w:t>
      </w:r>
      <w:r>
        <w:rPr>
          <w:rFonts w:asciiTheme="minorHAnsi" w:hAnsiTheme="minorHAnsi" w:cstheme="minorHAnsi"/>
        </w:rPr>
        <w:t xml:space="preserve">must be </w:t>
      </w:r>
      <w:r w:rsidRPr="00702885">
        <w:rPr>
          <w:rFonts w:asciiTheme="minorHAnsi" w:hAnsiTheme="minorHAnsi" w:cstheme="minorHAnsi"/>
        </w:rPr>
        <w:t>considered if the patient is currently on anticoagulation and/or intraprocedural heparin is opted for e.g. halving the bolus dose of heparin.</w:t>
      </w:r>
    </w:p>
    <w:p w14:paraId="08682A06" w14:textId="01682C62" w:rsidR="009A534C" w:rsidRPr="00702885" w:rsidRDefault="009A534C" w:rsidP="000A7932">
      <w:pPr>
        <w:rPr>
          <w:rFonts w:asciiTheme="minorHAnsi" w:hAnsiTheme="minorHAnsi" w:cstheme="minorHAnsi"/>
          <w:i/>
          <w:szCs w:val="24"/>
        </w:rPr>
      </w:pPr>
    </w:p>
    <w:p w14:paraId="6D932EC8" w14:textId="031E7CFC" w:rsidR="000A7932" w:rsidRDefault="00CB581B" w:rsidP="000A7932">
      <w:pPr>
        <w:jc w:val="right"/>
        <w:rPr>
          <w:rFonts w:asciiTheme="minorHAnsi" w:hAnsiTheme="minorHAnsi" w:cstheme="minorHAnsi"/>
          <w:i/>
          <w:szCs w:val="24"/>
        </w:rPr>
      </w:pPr>
      <w:hyperlink w:anchor="Contents" w:history="1">
        <w:r w:rsidR="009A534C" w:rsidRPr="00702885">
          <w:rPr>
            <w:rStyle w:val="Hyperlink"/>
            <w:rFonts w:asciiTheme="minorHAnsi" w:eastAsiaTheme="majorEastAsia" w:hAnsiTheme="minorHAnsi" w:cstheme="minorHAnsi"/>
            <w:i/>
            <w:szCs w:val="24"/>
          </w:rPr>
          <w:t>Back to Table of Contents</w:t>
        </w:r>
      </w:hyperlink>
      <w:r w:rsidR="009A534C" w:rsidRPr="00702885">
        <w:rPr>
          <w:rFonts w:asciiTheme="minorHAnsi" w:hAnsiTheme="minorHAnsi" w:cstheme="minorHAnsi"/>
          <w:i/>
          <w:szCs w:val="24"/>
        </w:rPr>
        <w:t xml:space="preserve"> </w:t>
      </w:r>
    </w:p>
    <w:p w14:paraId="62E4EB29" w14:textId="6FD66DE4" w:rsidR="004B1C6C" w:rsidRPr="00702885" w:rsidRDefault="000A7932" w:rsidP="000A7932">
      <w:pPr>
        <w:spacing w:after="200" w:line="276" w:lineRule="auto"/>
        <w:rPr>
          <w:rFonts w:asciiTheme="minorHAnsi" w:hAnsiTheme="minorHAnsi" w:cstheme="minorHAnsi"/>
          <w:i/>
          <w:szCs w:val="24"/>
        </w:rPr>
      </w:pPr>
      <w:r>
        <w:rPr>
          <w:rFonts w:asciiTheme="minorHAnsi" w:hAnsiTheme="minorHAnsi" w:cstheme="minorHAnsi"/>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09" w14:textId="77777777" w:rsidTr="008E74FD">
        <w:trPr>
          <w:cantSplit/>
          <w:trHeight w:val="285"/>
        </w:trPr>
        <w:tc>
          <w:tcPr>
            <w:tcW w:w="9158" w:type="dxa"/>
            <w:shd w:val="clear" w:color="auto" w:fill="D9D9D9" w:themeFill="background1" w:themeFillShade="D9"/>
          </w:tcPr>
          <w:p w14:paraId="08682A08" w14:textId="43172D55" w:rsidR="009A534C" w:rsidRPr="00702885" w:rsidRDefault="009A534C" w:rsidP="000A7932">
            <w:pPr>
              <w:pStyle w:val="Heading1"/>
              <w:rPr>
                <w:rFonts w:asciiTheme="minorHAnsi" w:hAnsiTheme="minorHAnsi" w:cstheme="minorHAnsi"/>
              </w:rPr>
            </w:pPr>
            <w:bookmarkStart w:id="9" w:name="_Toc389473281"/>
            <w:bookmarkStart w:id="10" w:name="_Toc393203337"/>
            <w:bookmarkStart w:id="11" w:name="_Toc112666733"/>
            <w:r w:rsidRPr="00702885">
              <w:rPr>
                <w:rFonts w:asciiTheme="minorHAnsi" w:hAnsiTheme="minorHAnsi" w:cstheme="minorHAnsi"/>
              </w:rPr>
              <w:lastRenderedPageBreak/>
              <w:t xml:space="preserve">Section 2 – </w:t>
            </w:r>
            <w:bookmarkEnd w:id="9"/>
            <w:bookmarkEnd w:id="10"/>
            <w:r w:rsidR="00135BB7" w:rsidRPr="00702885">
              <w:rPr>
                <w:rFonts w:asciiTheme="minorHAnsi" w:hAnsiTheme="minorHAnsi" w:cstheme="minorHAnsi"/>
              </w:rPr>
              <w:t>Procedure</w:t>
            </w:r>
            <w:r w:rsidR="007E192C" w:rsidRPr="00702885">
              <w:rPr>
                <w:rFonts w:asciiTheme="minorHAnsi" w:hAnsiTheme="minorHAnsi" w:cstheme="minorHAnsi"/>
              </w:rPr>
              <w:t xml:space="preserve"> </w:t>
            </w:r>
            <w:r w:rsidR="00540585" w:rsidRPr="00702885">
              <w:rPr>
                <w:rFonts w:asciiTheme="minorHAnsi" w:hAnsiTheme="minorHAnsi" w:cstheme="minorHAnsi"/>
              </w:rPr>
              <w:t>Preparation</w:t>
            </w:r>
            <w:bookmarkEnd w:id="11"/>
          </w:p>
        </w:tc>
      </w:tr>
    </w:tbl>
    <w:p w14:paraId="08682A0B" w14:textId="77777777" w:rsidR="008E74FD" w:rsidRPr="00702885" w:rsidRDefault="008E74FD" w:rsidP="000A7932">
      <w:pPr>
        <w:rPr>
          <w:rFonts w:asciiTheme="minorHAnsi" w:hAnsiTheme="minorHAnsi" w:cstheme="minorHAnsi"/>
          <w:i/>
          <w:szCs w:val="24"/>
        </w:rPr>
      </w:pPr>
    </w:p>
    <w:p w14:paraId="4249F151" w14:textId="5AE60E2F" w:rsidR="007E192C" w:rsidRDefault="00C00FD1" w:rsidP="00054A08">
      <w:pPr>
        <w:rPr>
          <w:rFonts w:asciiTheme="minorHAnsi" w:hAnsiTheme="minorHAnsi" w:cstheme="minorHAnsi"/>
          <w:szCs w:val="24"/>
        </w:rPr>
      </w:pPr>
      <w:r w:rsidRPr="00702885">
        <w:rPr>
          <w:rFonts w:asciiTheme="minorHAnsi" w:hAnsiTheme="minorHAnsi" w:cstheme="minorHAnsi"/>
          <w:szCs w:val="24"/>
        </w:rPr>
        <w:t xml:space="preserve">Before the procedure can be booked </w:t>
      </w:r>
      <w:r w:rsidR="007E192C" w:rsidRPr="00702885">
        <w:rPr>
          <w:rFonts w:asciiTheme="minorHAnsi" w:hAnsiTheme="minorHAnsi" w:cstheme="minorHAnsi"/>
          <w:szCs w:val="24"/>
        </w:rPr>
        <w:t xml:space="preserve">in Medical Imaging </w:t>
      </w:r>
      <w:r w:rsidRPr="00702885">
        <w:rPr>
          <w:rFonts w:asciiTheme="minorHAnsi" w:hAnsiTheme="minorHAnsi" w:cstheme="minorHAnsi"/>
          <w:szCs w:val="24"/>
        </w:rPr>
        <w:t>a</w:t>
      </w:r>
      <w:r w:rsidR="000A7932">
        <w:rPr>
          <w:rFonts w:asciiTheme="minorHAnsi" w:hAnsiTheme="minorHAnsi" w:cstheme="minorHAnsi"/>
          <w:szCs w:val="24"/>
        </w:rPr>
        <w:t>n</w:t>
      </w:r>
      <w:r w:rsidRPr="00702885">
        <w:rPr>
          <w:rFonts w:asciiTheme="minorHAnsi" w:hAnsiTheme="minorHAnsi" w:cstheme="minorHAnsi"/>
          <w:szCs w:val="24"/>
        </w:rPr>
        <w:t xml:space="preserve"> </w:t>
      </w:r>
      <w:r w:rsidRPr="004A3572">
        <w:rPr>
          <w:rFonts w:asciiTheme="minorHAnsi" w:hAnsiTheme="minorHAnsi" w:cstheme="minorHAnsi"/>
          <w:i/>
          <w:iCs/>
          <w:szCs w:val="24"/>
        </w:rPr>
        <w:t xml:space="preserve">Interventional </w:t>
      </w:r>
      <w:r w:rsidR="0089623E">
        <w:rPr>
          <w:rFonts w:asciiTheme="minorHAnsi" w:hAnsiTheme="minorHAnsi" w:cstheme="minorHAnsi"/>
          <w:i/>
          <w:iCs/>
          <w:szCs w:val="24"/>
        </w:rPr>
        <w:t>Pre-</w:t>
      </w:r>
      <w:r w:rsidRPr="004A3572">
        <w:rPr>
          <w:rFonts w:asciiTheme="minorHAnsi" w:hAnsiTheme="minorHAnsi" w:cstheme="minorHAnsi"/>
          <w:i/>
          <w:iCs/>
          <w:szCs w:val="24"/>
        </w:rPr>
        <w:t xml:space="preserve">Procedure Form </w:t>
      </w:r>
      <w:r w:rsidRPr="00702885">
        <w:rPr>
          <w:rFonts w:asciiTheme="minorHAnsi" w:hAnsiTheme="minorHAnsi" w:cstheme="minorHAnsi"/>
          <w:szCs w:val="24"/>
        </w:rPr>
        <w:t>must be completed and sent to Medical Imaging by the treating team</w:t>
      </w:r>
      <w:r w:rsidR="007E192C" w:rsidRPr="00702885">
        <w:rPr>
          <w:rFonts w:asciiTheme="minorHAnsi" w:hAnsiTheme="minorHAnsi" w:cstheme="minorHAnsi"/>
          <w:szCs w:val="24"/>
        </w:rPr>
        <w:t>. This will be reviewed by the proceduralist and the booking made.</w:t>
      </w:r>
    </w:p>
    <w:p w14:paraId="49125520" w14:textId="50175111" w:rsidR="0089623E" w:rsidRDefault="00DA7F2E" w:rsidP="000A7932">
      <w:pPr>
        <w:spacing w:before="240"/>
        <w:rPr>
          <w:rFonts w:asciiTheme="minorHAnsi" w:hAnsiTheme="minorHAnsi" w:cstheme="minorHAnsi"/>
          <w:szCs w:val="24"/>
        </w:rPr>
      </w:pPr>
      <w:r>
        <w:rPr>
          <w:rFonts w:asciiTheme="minorHAnsi" w:hAnsiTheme="minorHAnsi" w:cstheme="minorHAnsi"/>
          <w:szCs w:val="24"/>
        </w:rPr>
        <w:t xml:space="preserve">The </w:t>
      </w:r>
      <w:r>
        <w:rPr>
          <w:rFonts w:asciiTheme="minorHAnsi" w:hAnsiTheme="minorHAnsi" w:cstheme="minorHAnsi"/>
          <w:i/>
          <w:iCs/>
          <w:szCs w:val="24"/>
        </w:rPr>
        <w:t xml:space="preserve">Use of a Drug for an Unapproved Indication </w:t>
      </w:r>
      <w:r>
        <w:rPr>
          <w:rFonts w:asciiTheme="minorHAnsi" w:hAnsiTheme="minorHAnsi" w:cstheme="minorHAnsi"/>
          <w:szCs w:val="24"/>
        </w:rPr>
        <w:t>form should be completed</w:t>
      </w:r>
      <w:r>
        <w:rPr>
          <w:rFonts w:asciiTheme="minorHAnsi" w:hAnsiTheme="minorHAnsi" w:cstheme="minorHAnsi"/>
          <w:i/>
          <w:iCs/>
          <w:szCs w:val="24"/>
        </w:rPr>
        <w:t xml:space="preserve"> </w:t>
      </w:r>
      <w:r w:rsidRPr="00702885">
        <w:rPr>
          <w:rFonts w:asciiTheme="minorHAnsi" w:hAnsiTheme="minorHAnsi" w:cstheme="minorHAnsi"/>
          <w:szCs w:val="24"/>
        </w:rPr>
        <w:t>prior to performing the procedure</w:t>
      </w:r>
      <w:r>
        <w:rPr>
          <w:rFonts w:asciiTheme="minorHAnsi" w:hAnsiTheme="minorHAnsi" w:cstheme="minorHAnsi"/>
          <w:szCs w:val="24"/>
        </w:rPr>
        <w:t>, as part of the consent process</w:t>
      </w:r>
      <w:r w:rsidRPr="00702885">
        <w:rPr>
          <w:rFonts w:asciiTheme="minorHAnsi" w:hAnsiTheme="minorHAnsi" w:cstheme="minorHAnsi"/>
          <w:szCs w:val="24"/>
        </w:rPr>
        <w:t>.</w:t>
      </w:r>
    </w:p>
    <w:p w14:paraId="20A64E61" w14:textId="46BAFB23" w:rsidR="0089623E" w:rsidRDefault="0089623E" w:rsidP="0089623E">
      <w:pPr>
        <w:rPr>
          <w:rFonts w:asciiTheme="minorHAnsi" w:hAnsiTheme="minorHAnsi" w:cstheme="minorHAnsi"/>
          <w:szCs w:val="24"/>
        </w:rPr>
      </w:pPr>
      <w:r w:rsidRPr="00702885">
        <w:rPr>
          <w:rFonts w:asciiTheme="minorHAnsi" w:hAnsiTheme="minorHAnsi" w:cstheme="minorHAnsi"/>
          <w:szCs w:val="24"/>
        </w:rPr>
        <w:t xml:space="preserve">Urokinase is not registered for use in Australia and requires a </w:t>
      </w:r>
      <w:r>
        <w:rPr>
          <w:rFonts w:asciiTheme="minorHAnsi" w:hAnsiTheme="minorHAnsi" w:cstheme="minorHAnsi"/>
          <w:szCs w:val="24"/>
        </w:rPr>
        <w:t>S</w:t>
      </w:r>
      <w:r w:rsidRPr="00702885">
        <w:rPr>
          <w:rFonts w:asciiTheme="minorHAnsi" w:hAnsiTheme="minorHAnsi" w:cstheme="minorHAnsi"/>
          <w:szCs w:val="24"/>
        </w:rPr>
        <w:t xml:space="preserve">pecial </w:t>
      </w:r>
      <w:r>
        <w:rPr>
          <w:rFonts w:asciiTheme="minorHAnsi" w:hAnsiTheme="minorHAnsi" w:cstheme="minorHAnsi"/>
          <w:szCs w:val="24"/>
        </w:rPr>
        <w:t>A</w:t>
      </w:r>
      <w:r w:rsidRPr="00702885">
        <w:rPr>
          <w:rFonts w:asciiTheme="minorHAnsi" w:hAnsiTheme="minorHAnsi" w:cstheme="minorHAnsi"/>
          <w:szCs w:val="24"/>
        </w:rPr>
        <w:t xml:space="preserve">ccess </w:t>
      </w:r>
      <w:r>
        <w:rPr>
          <w:rFonts w:asciiTheme="minorHAnsi" w:hAnsiTheme="minorHAnsi" w:cstheme="minorHAnsi"/>
          <w:szCs w:val="24"/>
        </w:rPr>
        <w:t>S</w:t>
      </w:r>
      <w:r w:rsidRPr="00702885">
        <w:rPr>
          <w:rFonts w:asciiTheme="minorHAnsi" w:hAnsiTheme="minorHAnsi" w:cstheme="minorHAnsi"/>
          <w:szCs w:val="24"/>
        </w:rPr>
        <w:t xml:space="preserve">cheme (SAS) form to be completed by the senior </w:t>
      </w:r>
      <w:r w:rsidR="00E63F93">
        <w:rPr>
          <w:rFonts w:asciiTheme="minorHAnsi" w:hAnsiTheme="minorHAnsi" w:cstheme="minorHAnsi"/>
          <w:szCs w:val="24"/>
        </w:rPr>
        <w:t>P</w:t>
      </w:r>
      <w:r w:rsidRPr="00702885">
        <w:rPr>
          <w:rFonts w:asciiTheme="minorHAnsi" w:hAnsiTheme="minorHAnsi" w:cstheme="minorHAnsi"/>
          <w:szCs w:val="24"/>
        </w:rPr>
        <w:t xml:space="preserve">roceduralist </w:t>
      </w:r>
      <w:r w:rsidR="00E63F93">
        <w:rPr>
          <w:rFonts w:asciiTheme="minorHAnsi" w:hAnsiTheme="minorHAnsi" w:cstheme="minorHAnsi"/>
          <w:szCs w:val="24"/>
        </w:rPr>
        <w:t xml:space="preserve">/ Interventional fellow / senior Registrar </w:t>
      </w:r>
      <w:r>
        <w:rPr>
          <w:rFonts w:asciiTheme="minorHAnsi" w:hAnsiTheme="minorHAnsi" w:cstheme="minorHAnsi"/>
          <w:szCs w:val="24"/>
        </w:rPr>
        <w:t>when Urokinase is used during the procedure. The SAS form can be completed prior or post procedure.</w:t>
      </w:r>
    </w:p>
    <w:p w14:paraId="5E28D297" w14:textId="77777777" w:rsidR="0089623E" w:rsidRPr="00702885" w:rsidRDefault="0089623E" w:rsidP="00FF54D5">
      <w:pPr>
        <w:rPr>
          <w:rFonts w:asciiTheme="minorHAnsi" w:hAnsiTheme="minorHAnsi" w:cstheme="minorHAnsi"/>
          <w:szCs w:val="24"/>
        </w:rPr>
      </w:pPr>
    </w:p>
    <w:p w14:paraId="1A78C1BA" w14:textId="77777777" w:rsidR="000A7932" w:rsidRDefault="000A7932" w:rsidP="00054A08">
      <w:pPr>
        <w:rPr>
          <w:rFonts w:asciiTheme="minorHAnsi" w:hAnsiTheme="minorHAnsi" w:cstheme="minorHAnsi"/>
          <w:szCs w:val="24"/>
        </w:rPr>
      </w:pPr>
      <w:r>
        <w:rPr>
          <w:rFonts w:asciiTheme="minorHAnsi" w:hAnsiTheme="minorHAnsi" w:cstheme="minorHAnsi"/>
          <w:szCs w:val="24"/>
        </w:rPr>
        <w:t xml:space="preserve">The patient must have </w:t>
      </w:r>
      <w:r w:rsidR="007E192C" w:rsidRPr="00702885">
        <w:rPr>
          <w:rFonts w:asciiTheme="minorHAnsi" w:hAnsiTheme="minorHAnsi" w:cstheme="minorHAnsi"/>
          <w:szCs w:val="24"/>
        </w:rPr>
        <w:t>Pathology</w:t>
      </w:r>
      <w:r w:rsidR="00651872">
        <w:rPr>
          <w:rFonts w:asciiTheme="minorHAnsi" w:hAnsiTheme="minorHAnsi" w:cstheme="minorHAnsi"/>
          <w:szCs w:val="24"/>
        </w:rPr>
        <w:t xml:space="preserve"> tests</w:t>
      </w:r>
      <w:r w:rsidR="007E192C" w:rsidRPr="00702885">
        <w:rPr>
          <w:rFonts w:asciiTheme="minorHAnsi" w:hAnsiTheme="minorHAnsi" w:cstheme="minorHAnsi"/>
          <w:szCs w:val="24"/>
        </w:rPr>
        <w:t xml:space="preserve"> prior to the administration of urokinase</w:t>
      </w:r>
      <w:r>
        <w:rPr>
          <w:rFonts w:asciiTheme="minorHAnsi" w:hAnsiTheme="minorHAnsi" w:cstheme="minorHAnsi"/>
          <w:szCs w:val="24"/>
        </w:rPr>
        <w:t>.  Pathology tests</w:t>
      </w:r>
      <w:r w:rsidR="007E192C" w:rsidRPr="00702885">
        <w:rPr>
          <w:rFonts w:asciiTheme="minorHAnsi" w:hAnsiTheme="minorHAnsi" w:cstheme="minorHAnsi"/>
          <w:szCs w:val="24"/>
        </w:rPr>
        <w:t xml:space="preserve"> </w:t>
      </w:r>
      <w:r w:rsidR="00651872">
        <w:rPr>
          <w:rFonts w:asciiTheme="minorHAnsi" w:hAnsiTheme="minorHAnsi" w:cstheme="minorHAnsi"/>
          <w:szCs w:val="24"/>
        </w:rPr>
        <w:t>are</w:t>
      </w:r>
      <w:r w:rsidR="007E192C" w:rsidRPr="00702885">
        <w:rPr>
          <w:rFonts w:asciiTheme="minorHAnsi" w:hAnsiTheme="minorHAnsi" w:cstheme="minorHAnsi"/>
          <w:szCs w:val="24"/>
        </w:rPr>
        <w:t xml:space="preserve"> to include</w:t>
      </w:r>
      <w:r>
        <w:rPr>
          <w:rFonts w:asciiTheme="minorHAnsi" w:hAnsiTheme="minorHAnsi" w:cstheme="minorHAnsi"/>
          <w:szCs w:val="24"/>
        </w:rPr>
        <w:t>:</w:t>
      </w:r>
    </w:p>
    <w:p w14:paraId="7090C3FF" w14:textId="5E45893A" w:rsidR="000A7932" w:rsidRDefault="007E192C" w:rsidP="000A7932">
      <w:pPr>
        <w:pStyle w:val="ListBullet"/>
      </w:pPr>
      <w:r w:rsidRPr="00702885">
        <w:t>full blood count (FBC)</w:t>
      </w:r>
    </w:p>
    <w:p w14:paraId="55DBDDE2" w14:textId="3958AB7E" w:rsidR="000A7932" w:rsidRDefault="007E192C" w:rsidP="000A7932">
      <w:pPr>
        <w:pStyle w:val="ListBullet"/>
      </w:pPr>
      <w:r w:rsidRPr="00702885">
        <w:t>fibrinogen</w:t>
      </w:r>
    </w:p>
    <w:p w14:paraId="0A0E645D" w14:textId="77777777" w:rsidR="000A7932" w:rsidRDefault="007E192C" w:rsidP="000A7932">
      <w:pPr>
        <w:pStyle w:val="ListBullet"/>
      </w:pPr>
      <w:r w:rsidRPr="00702885">
        <w:t xml:space="preserve">prothrombin time (PT) and </w:t>
      </w:r>
    </w:p>
    <w:p w14:paraId="5F148DAC" w14:textId="77777777" w:rsidR="00984FCE" w:rsidRDefault="007E192C" w:rsidP="000A7932">
      <w:pPr>
        <w:pStyle w:val="ListBullet"/>
      </w:pPr>
      <w:r w:rsidRPr="00702885">
        <w:t xml:space="preserve">activated partial thromboplastin (APTT). </w:t>
      </w:r>
    </w:p>
    <w:p w14:paraId="69F51DCC" w14:textId="17F498A5" w:rsidR="007E192C" w:rsidRPr="00702885" w:rsidRDefault="00651872" w:rsidP="00984FCE">
      <w:pPr>
        <w:pStyle w:val="ListBullet"/>
        <w:numPr>
          <w:ilvl w:val="0"/>
          <w:numId w:val="0"/>
        </w:numPr>
      </w:pPr>
      <w:r>
        <w:t>The results</w:t>
      </w:r>
      <w:r w:rsidR="00984FCE">
        <w:t xml:space="preserve"> of the pathology tests</w:t>
      </w:r>
      <w:r>
        <w:t xml:space="preserve"> will be</w:t>
      </w:r>
      <w:r w:rsidR="007E192C" w:rsidRPr="00702885">
        <w:t xml:space="preserve"> reviewed by the proceduralist as part of the booking process.</w:t>
      </w:r>
    </w:p>
    <w:p w14:paraId="464F7F75" w14:textId="16494565" w:rsidR="00E5325F" w:rsidRPr="00702885" w:rsidRDefault="00E5325F" w:rsidP="000A7932">
      <w:pPr>
        <w:spacing w:before="240"/>
        <w:rPr>
          <w:rFonts w:asciiTheme="minorHAnsi" w:hAnsiTheme="minorHAnsi" w:cstheme="minorHAnsi"/>
          <w:szCs w:val="24"/>
        </w:rPr>
      </w:pPr>
      <w:r w:rsidRPr="00ED1DF5">
        <w:rPr>
          <w:rFonts w:asciiTheme="minorHAnsi" w:hAnsiTheme="minorHAnsi" w:cstheme="minorHAnsi"/>
          <w:szCs w:val="24"/>
        </w:rPr>
        <w:t>The</w:t>
      </w:r>
      <w:r w:rsidR="00984FCE">
        <w:rPr>
          <w:rFonts w:asciiTheme="minorHAnsi" w:hAnsiTheme="minorHAnsi" w:cstheme="minorHAnsi"/>
          <w:szCs w:val="24"/>
        </w:rPr>
        <w:t xml:space="preserve"> proceduralist will discuss </w:t>
      </w:r>
      <w:r w:rsidR="00D60F4D">
        <w:rPr>
          <w:rFonts w:asciiTheme="minorHAnsi" w:hAnsiTheme="minorHAnsi" w:cstheme="minorHAnsi"/>
          <w:szCs w:val="24"/>
        </w:rPr>
        <w:t>with the</w:t>
      </w:r>
      <w:r w:rsidRPr="00ED1DF5">
        <w:rPr>
          <w:rFonts w:asciiTheme="minorHAnsi" w:hAnsiTheme="minorHAnsi" w:cstheme="minorHAnsi"/>
          <w:szCs w:val="24"/>
        </w:rPr>
        <w:t xml:space="preserve"> patient the intended use of the urokinase and any potential side effects as part of the </w:t>
      </w:r>
      <w:r w:rsidRPr="004A3572">
        <w:rPr>
          <w:rFonts w:asciiTheme="minorHAnsi" w:hAnsiTheme="minorHAnsi" w:cstheme="minorHAnsi"/>
          <w:i/>
          <w:iCs/>
          <w:szCs w:val="24"/>
        </w:rPr>
        <w:t>Informed Consent</w:t>
      </w:r>
      <w:r w:rsidR="00D60F4D">
        <w:rPr>
          <w:rFonts w:asciiTheme="minorHAnsi" w:hAnsiTheme="minorHAnsi" w:cstheme="minorHAnsi"/>
          <w:i/>
          <w:iCs/>
          <w:szCs w:val="24"/>
        </w:rPr>
        <w:t xml:space="preserve"> policy</w:t>
      </w:r>
      <w:r w:rsidRPr="00ED1DF5">
        <w:rPr>
          <w:rFonts w:asciiTheme="minorHAnsi" w:hAnsiTheme="minorHAnsi" w:cstheme="minorHAnsi"/>
          <w:szCs w:val="24"/>
        </w:rPr>
        <w:t xml:space="preserve"> process</w:t>
      </w:r>
      <w:r w:rsidR="00651872" w:rsidRPr="00ED1DF5">
        <w:rPr>
          <w:rFonts w:asciiTheme="minorHAnsi" w:hAnsiTheme="minorHAnsi" w:cstheme="minorHAnsi"/>
          <w:szCs w:val="24"/>
        </w:rPr>
        <w:t>.</w:t>
      </w:r>
      <w:r w:rsidRPr="00ED1DF5">
        <w:rPr>
          <w:rFonts w:asciiTheme="minorHAnsi" w:hAnsiTheme="minorHAnsi" w:cstheme="minorHAnsi"/>
          <w:szCs w:val="24"/>
        </w:rPr>
        <w:t xml:space="preserve"> The proceduralist is required to complete both the </w:t>
      </w:r>
      <w:r w:rsidRPr="004A3572">
        <w:rPr>
          <w:rFonts w:asciiTheme="minorHAnsi" w:hAnsiTheme="minorHAnsi" w:cstheme="minorHAnsi"/>
          <w:i/>
          <w:iCs/>
          <w:szCs w:val="24"/>
        </w:rPr>
        <w:t>Informed Consent Form</w:t>
      </w:r>
      <w:r w:rsidRPr="00ED1DF5">
        <w:rPr>
          <w:rFonts w:asciiTheme="minorHAnsi" w:hAnsiTheme="minorHAnsi" w:cstheme="minorHAnsi"/>
          <w:szCs w:val="24"/>
        </w:rPr>
        <w:t xml:space="preserve"> </w:t>
      </w:r>
      <w:r w:rsidR="00D60F4D">
        <w:rPr>
          <w:rFonts w:asciiTheme="minorHAnsi" w:hAnsiTheme="minorHAnsi" w:cstheme="minorHAnsi"/>
          <w:szCs w:val="24"/>
        </w:rPr>
        <w:t xml:space="preserve">(15270) </w:t>
      </w:r>
      <w:r w:rsidRPr="00ED1DF5">
        <w:rPr>
          <w:rFonts w:asciiTheme="minorHAnsi" w:hAnsiTheme="minorHAnsi" w:cstheme="minorHAnsi"/>
          <w:szCs w:val="24"/>
        </w:rPr>
        <w:t xml:space="preserve">and the </w:t>
      </w:r>
      <w:r w:rsidRPr="004A3572">
        <w:rPr>
          <w:rFonts w:asciiTheme="minorHAnsi" w:hAnsiTheme="minorHAnsi" w:cstheme="minorHAnsi"/>
          <w:i/>
          <w:iCs/>
          <w:szCs w:val="24"/>
        </w:rPr>
        <w:t>Patient Consent Use of a Drug for an Unapproved Indication</w:t>
      </w:r>
      <w:r w:rsidR="00D60F4D">
        <w:rPr>
          <w:rFonts w:asciiTheme="minorHAnsi" w:hAnsiTheme="minorHAnsi" w:cstheme="minorHAnsi"/>
          <w:i/>
          <w:iCs/>
          <w:szCs w:val="24"/>
        </w:rPr>
        <w:t xml:space="preserve"> form</w:t>
      </w:r>
      <w:r w:rsidR="00D60F4D">
        <w:rPr>
          <w:rFonts w:asciiTheme="minorHAnsi" w:hAnsiTheme="minorHAnsi" w:cstheme="minorHAnsi"/>
          <w:szCs w:val="24"/>
        </w:rPr>
        <w:t xml:space="preserve"> (15312)</w:t>
      </w:r>
      <w:r w:rsidRPr="00ED1DF5">
        <w:rPr>
          <w:rFonts w:asciiTheme="minorHAnsi" w:hAnsiTheme="minorHAnsi" w:cstheme="minorHAnsi"/>
          <w:szCs w:val="24"/>
        </w:rPr>
        <w:t xml:space="preserve"> with the patient prior to commencement of the procedure.</w:t>
      </w:r>
    </w:p>
    <w:p w14:paraId="05515367" w14:textId="4D070239" w:rsidR="00E5325F" w:rsidRPr="00702885" w:rsidRDefault="00135BB7" w:rsidP="000A7932">
      <w:pPr>
        <w:spacing w:before="240"/>
        <w:rPr>
          <w:rFonts w:asciiTheme="minorHAnsi" w:hAnsiTheme="minorHAnsi" w:cstheme="minorHAnsi"/>
          <w:szCs w:val="24"/>
        </w:rPr>
      </w:pPr>
      <w:r w:rsidRPr="00702885">
        <w:rPr>
          <w:rFonts w:asciiTheme="minorHAnsi" w:hAnsiTheme="minorHAnsi" w:cstheme="minorHAnsi"/>
          <w:szCs w:val="24"/>
        </w:rPr>
        <w:t xml:space="preserve">It is the responsibility of the </w:t>
      </w:r>
      <w:r w:rsidR="004B1C6C" w:rsidRPr="00702885">
        <w:rPr>
          <w:rFonts w:asciiTheme="minorHAnsi" w:hAnsiTheme="minorHAnsi" w:cstheme="minorHAnsi"/>
          <w:szCs w:val="24"/>
        </w:rPr>
        <w:t xml:space="preserve">Interventional Radiologist/Vascular Surgeon to confirm the correct patient identification, correct procedure, and correct site as per </w:t>
      </w:r>
      <w:r w:rsidR="004B1C6C" w:rsidRPr="004A3572">
        <w:rPr>
          <w:rFonts w:asciiTheme="minorHAnsi" w:hAnsiTheme="minorHAnsi" w:cstheme="minorHAnsi"/>
          <w:i/>
          <w:iCs/>
          <w:szCs w:val="24"/>
        </w:rPr>
        <w:t>Patient Identification and Procedure Matching</w:t>
      </w:r>
      <w:r w:rsidR="00D60F4D">
        <w:rPr>
          <w:rFonts w:asciiTheme="minorHAnsi" w:hAnsiTheme="minorHAnsi" w:cstheme="minorHAnsi"/>
          <w:i/>
          <w:iCs/>
          <w:szCs w:val="24"/>
        </w:rPr>
        <w:t xml:space="preserve"> Procedure</w:t>
      </w:r>
      <w:r w:rsidR="004B1C6C" w:rsidRPr="004A3572">
        <w:rPr>
          <w:rFonts w:asciiTheme="minorHAnsi" w:hAnsiTheme="minorHAnsi" w:cstheme="minorHAnsi"/>
          <w:i/>
          <w:iCs/>
          <w:szCs w:val="24"/>
        </w:rPr>
        <w:t>.</w:t>
      </w:r>
    </w:p>
    <w:p w14:paraId="785B1792" w14:textId="77777777" w:rsidR="00540585" w:rsidRPr="00702885" w:rsidRDefault="00540585" w:rsidP="000A7932">
      <w:pPr>
        <w:rPr>
          <w:rFonts w:asciiTheme="minorHAnsi" w:hAnsiTheme="minorHAnsi" w:cstheme="minorHAnsi"/>
          <w:b/>
          <w:szCs w:val="24"/>
        </w:rPr>
      </w:pPr>
    </w:p>
    <w:p w14:paraId="08682A10" w14:textId="5EDE3B56" w:rsidR="009A534C" w:rsidRPr="00702885" w:rsidRDefault="00CB581B" w:rsidP="000A7932">
      <w:pPr>
        <w:jc w:val="right"/>
        <w:rPr>
          <w:rFonts w:asciiTheme="minorHAnsi" w:hAnsiTheme="minorHAnsi" w:cstheme="minorHAnsi"/>
          <w:i/>
          <w:szCs w:val="24"/>
        </w:rPr>
      </w:pPr>
      <w:hyperlink w:anchor="Contents" w:history="1">
        <w:r w:rsidR="009A534C" w:rsidRPr="00702885">
          <w:rPr>
            <w:rStyle w:val="Hyperlink"/>
            <w:rFonts w:asciiTheme="minorHAnsi" w:eastAsiaTheme="majorEastAsia" w:hAnsiTheme="minorHAnsi" w:cstheme="minorHAnsi"/>
            <w:i/>
            <w:szCs w:val="24"/>
          </w:rPr>
          <w:t>Back to Table of Contents</w:t>
        </w:r>
      </w:hyperlink>
      <w:r w:rsidR="009A534C" w:rsidRPr="00702885">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B1575" w:rsidRPr="00702885" w14:paraId="3DF6BA9B" w14:textId="77777777" w:rsidTr="00A97EAD">
        <w:trPr>
          <w:cantSplit/>
          <w:trHeight w:val="285"/>
        </w:trPr>
        <w:tc>
          <w:tcPr>
            <w:tcW w:w="9158" w:type="dxa"/>
            <w:shd w:val="clear" w:color="auto" w:fill="D9D9D9" w:themeFill="background1" w:themeFillShade="D9"/>
          </w:tcPr>
          <w:p w14:paraId="79C2B716" w14:textId="2CEA01D1" w:rsidR="009B1575" w:rsidRPr="00702885" w:rsidRDefault="009B1575" w:rsidP="000A7932">
            <w:pPr>
              <w:pStyle w:val="Heading1"/>
              <w:rPr>
                <w:rFonts w:asciiTheme="minorHAnsi" w:hAnsiTheme="minorHAnsi" w:cstheme="minorHAnsi"/>
              </w:rPr>
            </w:pPr>
            <w:bookmarkStart w:id="12" w:name="_Toc112666734"/>
            <w:r w:rsidRPr="00702885">
              <w:rPr>
                <w:rFonts w:asciiTheme="minorHAnsi" w:hAnsiTheme="minorHAnsi" w:cstheme="minorHAnsi"/>
              </w:rPr>
              <w:t xml:space="preserve">Section 3 – </w:t>
            </w:r>
            <w:r w:rsidR="00653F21" w:rsidRPr="00702885">
              <w:rPr>
                <w:rFonts w:asciiTheme="minorHAnsi" w:hAnsiTheme="minorHAnsi" w:cstheme="minorHAnsi"/>
              </w:rPr>
              <w:t>Declotting Procedure</w:t>
            </w:r>
            <w:bookmarkEnd w:id="12"/>
          </w:p>
        </w:tc>
      </w:tr>
    </w:tbl>
    <w:p w14:paraId="52C5B347" w14:textId="77777777" w:rsidR="00653F21" w:rsidRPr="00702885" w:rsidRDefault="00653F21" w:rsidP="000A7932">
      <w:pPr>
        <w:rPr>
          <w:rFonts w:asciiTheme="minorHAnsi" w:hAnsiTheme="minorHAnsi" w:cstheme="minorHAnsi"/>
        </w:rPr>
      </w:pPr>
    </w:p>
    <w:p w14:paraId="31BE4146" w14:textId="28547AAE" w:rsidR="00653F21" w:rsidRPr="00702885" w:rsidRDefault="00653F21" w:rsidP="000A7932">
      <w:pPr>
        <w:rPr>
          <w:rFonts w:asciiTheme="minorHAnsi" w:hAnsiTheme="minorHAnsi" w:cstheme="minorHAnsi"/>
        </w:rPr>
      </w:pPr>
      <w:r w:rsidRPr="00702885">
        <w:rPr>
          <w:rFonts w:asciiTheme="minorHAnsi" w:hAnsiTheme="minorHAnsi" w:cstheme="minorHAnsi"/>
        </w:rPr>
        <w:t>There has been an evolution of the declotting procedure, from a basic pharmacologic technique reliant solely on fibrinolytic agents like urokinase (usually at higher doses and administered as bolus or infusion), to more complex pharmaco-mechanical strategies supported by an ever-increasing array of available mechanical tools, in an effort to reduce the haemorrhagic complications associated with the use of higher doses of fibrinolytic</w:t>
      </w:r>
      <w:r w:rsidR="00FA78DE">
        <w:rPr>
          <w:rFonts w:asciiTheme="minorHAnsi" w:hAnsiTheme="minorHAnsi" w:cstheme="minorHAnsi"/>
        </w:rPr>
        <w:t>s</w:t>
      </w:r>
      <w:r w:rsidRPr="00702885">
        <w:rPr>
          <w:rFonts w:asciiTheme="minorHAnsi" w:hAnsiTheme="minorHAnsi" w:cstheme="minorHAnsi"/>
        </w:rPr>
        <w:t xml:space="preserve"> and improve long term dialysis access patency.</w:t>
      </w:r>
    </w:p>
    <w:p w14:paraId="2D0CFE70" w14:textId="77777777" w:rsidR="00653F21" w:rsidRPr="00702885" w:rsidRDefault="00653F21" w:rsidP="000A7932">
      <w:pPr>
        <w:rPr>
          <w:rFonts w:asciiTheme="minorHAnsi" w:hAnsiTheme="minorHAnsi" w:cstheme="minorHAnsi"/>
        </w:rPr>
      </w:pPr>
    </w:p>
    <w:p w14:paraId="4E112F05" w14:textId="26F1B6EA" w:rsidR="00982E12" w:rsidRDefault="00653F21" w:rsidP="000A7932">
      <w:r w:rsidRPr="00702885">
        <w:rPr>
          <w:rFonts w:asciiTheme="minorHAnsi" w:hAnsiTheme="minorHAnsi" w:cstheme="minorHAnsi"/>
        </w:rPr>
        <w:lastRenderedPageBreak/>
        <w:t>Historical publications suggest an upper limit dosage of 500 000iu in a single session, however more recent literature suggests 150</w:t>
      </w:r>
      <w:r w:rsidR="00C448D8">
        <w:rPr>
          <w:rFonts w:asciiTheme="minorHAnsi" w:hAnsiTheme="minorHAnsi" w:cstheme="minorHAnsi"/>
        </w:rPr>
        <w:t xml:space="preserve"> 000</w:t>
      </w:r>
      <w:r w:rsidRPr="00702885">
        <w:rPr>
          <w:rFonts w:asciiTheme="minorHAnsi" w:hAnsiTheme="minorHAnsi" w:cstheme="minorHAnsi"/>
        </w:rPr>
        <w:t xml:space="preserve"> -250 000iu with adjunct mechanical techniques</w:t>
      </w:r>
      <w:r w:rsidR="000759EF" w:rsidRPr="000759EF">
        <w:t xml:space="preserve"> </w:t>
      </w:r>
      <w:r w:rsidR="000759EF">
        <w:t>Allowing for acceptable variations in proceduralists’ techniques, availability of mechanical devices and individual patient characteristics (</w:t>
      </w:r>
      <w:r w:rsidR="00CC47C8">
        <w:t>e.g.,</w:t>
      </w:r>
      <w:r w:rsidR="000759EF">
        <w:t xml:space="preserve"> mega-fistula</w:t>
      </w:r>
      <w:r w:rsidR="00CC47C8">
        <w:t>, height, weight or age</w:t>
      </w:r>
      <w:r w:rsidR="000759EF">
        <w:t>), a maximum of 300</w:t>
      </w:r>
      <w:r w:rsidR="00C448D8">
        <w:t xml:space="preserve"> 000</w:t>
      </w:r>
      <w:r w:rsidR="000759EF">
        <w:t>-350 000iu is recommended, for the purposes of this guideline document.</w:t>
      </w:r>
    </w:p>
    <w:p w14:paraId="69072819" w14:textId="14F695F7" w:rsidR="000759EF" w:rsidRPr="004A3572" w:rsidRDefault="00982E12" w:rsidP="000A7932">
      <w:pPr>
        <w:rPr>
          <w:rFonts w:asciiTheme="minorHAnsi" w:hAnsiTheme="minorHAnsi" w:cstheme="minorHAnsi"/>
        </w:rPr>
      </w:pPr>
      <w:r w:rsidRPr="00ED1DF5">
        <w:t>At times the maximum dose might be higher, which may be acceptable in specific clinical circumstances.</w:t>
      </w:r>
    </w:p>
    <w:p w14:paraId="09D4D5BE" w14:textId="225A6D24" w:rsidR="00653F21" w:rsidRPr="004A3572" w:rsidRDefault="00653F21" w:rsidP="000A7932">
      <w:pPr>
        <w:rPr>
          <w:rFonts w:asciiTheme="minorHAnsi" w:hAnsiTheme="minorHAnsi" w:cstheme="minorHAnsi"/>
        </w:rPr>
      </w:pPr>
    </w:p>
    <w:p w14:paraId="0219CA36" w14:textId="5D75FB05" w:rsidR="00982E12" w:rsidRDefault="00D60F4D" w:rsidP="00D60F4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60F4D">
        <w:rPr>
          <w:rFonts w:asciiTheme="minorHAnsi" w:hAnsiTheme="minorHAnsi" w:cstheme="minorHAnsi"/>
          <w:b/>
          <w:bCs/>
        </w:rPr>
        <w:t>Alert</w:t>
      </w:r>
      <w:r>
        <w:rPr>
          <w:rFonts w:asciiTheme="minorHAnsi" w:hAnsiTheme="minorHAnsi" w:cstheme="minorHAnsi"/>
        </w:rPr>
        <w:t xml:space="preserve">: </w:t>
      </w:r>
      <w:r w:rsidR="00982E12" w:rsidRPr="004A3572">
        <w:rPr>
          <w:rFonts w:asciiTheme="minorHAnsi" w:hAnsiTheme="minorHAnsi" w:cstheme="minorHAnsi"/>
        </w:rPr>
        <w:t xml:space="preserve">It is </w:t>
      </w:r>
      <w:r>
        <w:rPr>
          <w:rFonts w:asciiTheme="minorHAnsi" w:hAnsiTheme="minorHAnsi" w:cstheme="minorHAnsi"/>
        </w:rPr>
        <w:t>essential</w:t>
      </w:r>
      <w:r w:rsidR="00982E12" w:rsidRPr="004A3572">
        <w:rPr>
          <w:rFonts w:asciiTheme="minorHAnsi" w:hAnsiTheme="minorHAnsi" w:cstheme="minorHAnsi"/>
        </w:rPr>
        <w:t xml:space="preserve"> that the nurse drawing up Urokinase reiterates clearly to the </w:t>
      </w:r>
      <w:r w:rsidR="000E6A5A" w:rsidRPr="004A3572">
        <w:rPr>
          <w:rFonts w:asciiTheme="minorHAnsi" w:hAnsiTheme="minorHAnsi" w:cstheme="minorHAnsi"/>
        </w:rPr>
        <w:t xml:space="preserve">Proceduralist and other </w:t>
      </w:r>
      <w:r w:rsidR="00982E12" w:rsidRPr="00ED1DF5">
        <w:rPr>
          <w:rFonts w:asciiTheme="minorHAnsi" w:hAnsiTheme="minorHAnsi" w:cstheme="minorHAnsi"/>
        </w:rPr>
        <w:t>team</w:t>
      </w:r>
      <w:r w:rsidR="000E6A5A" w:rsidRPr="004A3572">
        <w:rPr>
          <w:rFonts w:asciiTheme="minorHAnsi" w:hAnsiTheme="minorHAnsi" w:cstheme="minorHAnsi"/>
        </w:rPr>
        <w:t xml:space="preserve"> members</w:t>
      </w:r>
      <w:r w:rsidR="00982E12" w:rsidRPr="00ED1DF5">
        <w:rPr>
          <w:rFonts w:asciiTheme="minorHAnsi" w:hAnsiTheme="minorHAnsi" w:cstheme="minorHAnsi"/>
        </w:rPr>
        <w:t>, the total dose administered at each increment</w:t>
      </w:r>
      <w:r w:rsidR="000E6A5A" w:rsidRPr="004A3572">
        <w:rPr>
          <w:rFonts w:asciiTheme="minorHAnsi" w:hAnsiTheme="minorHAnsi" w:cstheme="minorHAnsi"/>
        </w:rPr>
        <w:t>, and re</w:t>
      </w:r>
      <w:r>
        <w:rPr>
          <w:rFonts w:asciiTheme="minorHAnsi" w:hAnsiTheme="minorHAnsi" w:cstheme="minorHAnsi"/>
        </w:rPr>
        <w:t>-</w:t>
      </w:r>
      <w:r w:rsidR="000E6A5A" w:rsidRPr="004A3572">
        <w:rPr>
          <w:rFonts w:asciiTheme="minorHAnsi" w:hAnsiTheme="minorHAnsi" w:cstheme="minorHAnsi"/>
        </w:rPr>
        <w:t>specify when the level of 350,000 units is reached</w:t>
      </w:r>
      <w:r w:rsidR="00982E12" w:rsidRPr="00ED1DF5">
        <w:rPr>
          <w:rFonts w:asciiTheme="minorHAnsi" w:hAnsiTheme="minorHAnsi" w:cstheme="minorHAnsi"/>
        </w:rPr>
        <w:t>.</w:t>
      </w:r>
      <w:r w:rsidR="000E6A5A">
        <w:rPr>
          <w:rFonts w:asciiTheme="minorHAnsi" w:hAnsiTheme="minorHAnsi" w:cstheme="minorHAnsi"/>
        </w:rPr>
        <w:t xml:space="preserve"> Verbal understanding must be given by Proceduralist when this level is reached.</w:t>
      </w:r>
      <w:r w:rsidR="00982E12">
        <w:rPr>
          <w:rFonts w:asciiTheme="minorHAnsi" w:hAnsiTheme="minorHAnsi" w:cstheme="minorHAnsi"/>
        </w:rPr>
        <w:t xml:space="preserve"> </w:t>
      </w:r>
    </w:p>
    <w:p w14:paraId="38F4CC9D" w14:textId="77777777" w:rsidR="00982E12" w:rsidRPr="00702885" w:rsidRDefault="00982E12" w:rsidP="000A7932">
      <w:pPr>
        <w:rPr>
          <w:rFonts w:asciiTheme="minorHAnsi" w:hAnsiTheme="minorHAnsi" w:cstheme="minorHAnsi"/>
        </w:rPr>
      </w:pPr>
    </w:p>
    <w:p w14:paraId="685C0077" w14:textId="52E3DD60" w:rsidR="00653F21" w:rsidRPr="00702885" w:rsidRDefault="00653F21" w:rsidP="000A7932">
      <w:pPr>
        <w:rPr>
          <w:rFonts w:asciiTheme="minorHAnsi" w:hAnsiTheme="minorHAnsi" w:cstheme="minorHAnsi"/>
        </w:rPr>
      </w:pPr>
      <w:r w:rsidRPr="00702885">
        <w:rPr>
          <w:rFonts w:asciiTheme="minorHAnsi" w:hAnsiTheme="minorHAnsi" w:cstheme="minorHAnsi"/>
        </w:rPr>
        <w:t xml:space="preserve">Appropriate dose adjustment </w:t>
      </w:r>
      <w:r w:rsidR="00754BD6">
        <w:rPr>
          <w:rFonts w:asciiTheme="minorHAnsi" w:hAnsiTheme="minorHAnsi" w:cstheme="minorHAnsi"/>
        </w:rPr>
        <w:t xml:space="preserve">must be </w:t>
      </w:r>
      <w:r w:rsidRPr="00702885">
        <w:rPr>
          <w:rFonts w:asciiTheme="minorHAnsi" w:hAnsiTheme="minorHAnsi" w:cstheme="minorHAnsi"/>
        </w:rPr>
        <w:t>considered if the patient is currently on anticoagulation and/or intraprocedural heparin is opted for e.g. halving the bolus dose of heparin.</w:t>
      </w:r>
    </w:p>
    <w:p w14:paraId="4256942F" w14:textId="77777777" w:rsidR="00653F21" w:rsidRPr="00702885" w:rsidRDefault="00653F21" w:rsidP="000A7932">
      <w:pPr>
        <w:rPr>
          <w:rFonts w:asciiTheme="minorHAnsi" w:hAnsiTheme="minorHAnsi" w:cstheme="minorHAnsi"/>
        </w:rPr>
      </w:pPr>
    </w:p>
    <w:p w14:paraId="2C8AD3F0" w14:textId="713405B3" w:rsidR="00653F21" w:rsidRPr="006B17F7" w:rsidRDefault="00653F21" w:rsidP="000A7932">
      <w:pPr>
        <w:rPr>
          <w:rFonts w:asciiTheme="minorHAnsi" w:hAnsiTheme="minorHAnsi" w:cstheme="minorHAnsi"/>
          <w:color w:val="FF0000"/>
        </w:rPr>
      </w:pPr>
      <w:r w:rsidRPr="00702885">
        <w:rPr>
          <w:rFonts w:asciiTheme="minorHAnsi" w:hAnsiTheme="minorHAnsi" w:cstheme="minorHAnsi"/>
        </w:rPr>
        <w:t>There is also a recommendation that the absence of evidence of luminal recanalization after 45-60</w:t>
      </w:r>
      <w:r w:rsidR="00ED1DF5">
        <w:rPr>
          <w:rFonts w:asciiTheme="minorHAnsi" w:hAnsiTheme="minorHAnsi" w:cstheme="minorHAnsi"/>
        </w:rPr>
        <w:t xml:space="preserve"> </w:t>
      </w:r>
      <w:r w:rsidR="00CF4EEE">
        <w:rPr>
          <w:rFonts w:asciiTheme="minorHAnsi" w:hAnsiTheme="minorHAnsi" w:cstheme="minorHAnsi"/>
        </w:rPr>
        <w:t xml:space="preserve">procedural / treatment </w:t>
      </w:r>
      <w:r w:rsidRPr="00702885">
        <w:rPr>
          <w:rFonts w:asciiTheme="minorHAnsi" w:hAnsiTheme="minorHAnsi" w:cstheme="minorHAnsi"/>
        </w:rPr>
        <w:t>min</w:t>
      </w:r>
      <w:r w:rsidR="00ED1DF5">
        <w:rPr>
          <w:rFonts w:asciiTheme="minorHAnsi" w:hAnsiTheme="minorHAnsi" w:cstheme="minorHAnsi"/>
        </w:rPr>
        <w:t>ute</w:t>
      </w:r>
      <w:r w:rsidRPr="00702885">
        <w:rPr>
          <w:rFonts w:asciiTheme="minorHAnsi" w:hAnsiTheme="minorHAnsi" w:cstheme="minorHAnsi"/>
        </w:rPr>
        <w:t xml:space="preserve">s, should prompt a re-evaluation of the merits of proceeding further with the procedure or that it be abandoned altogether. </w:t>
      </w:r>
    </w:p>
    <w:p w14:paraId="13EBBD74" w14:textId="55CFB925" w:rsidR="00653F21" w:rsidRPr="00702885" w:rsidRDefault="00653F21" w:rsidP="000A7932">
      <w:pPr>
        <w:rPr>
          <w:rFonts w:asciiTheme="minorHAnsi" w:hAnsiTheme="minorHAnsi" w:cstheme="minorHAnsi"/>
        </w:rPr>
      </w:pPr>
    </w:p>
    <w:p w14:paraId="7179AAE8" w14:textId="17D54796" w:rsidR="00653F21" w:rsidRPr="00702885" w:rsidRDefault="00653F21" w:rsidP="000A7932">
      <w:pPr>
        <w:rPr>
          <w:rFonts w:asciiTheme="minorHAnsi" w:hAnsiTheme="minorHAnsi" w:cstheme="minorHAnsi"/>
        </w:rPr>
      </w:pPr>
      <w:r w:rsidRPr="00702885">
        <w:rPr>
          <w:rFonts w:asciiTheme="minorHAnsi" w:hAnsiTheme="minorHAnsi" w:cstheme="minorHAnsi"/>
        </w:rPr>
        <w:t xml:space="preserve">The </w:t>
      </w:r>
      <w:r w:rsidR="00C448D8">
        <w:rPr>
          <w:rFonts w:asciiTheme="minorHAnsi" w:hAnsiTheme="minorHAnsi" w:cstheme="minorHAnsi"/>
        </w:rPr>
        <w:t>strategy</w:t>
      </w:r>
      <w:r w:rsidRPr="00702885">
        <w:rPr>
          <w:rFonts w:asciiTheme="minorHAnsi" w:hAnsiTheme="minorHAnsi" w:cstheme="minorHAnsi"/>
        </w:rPr>
        <w:t xml:space="preserve"> of </w:t>
      </w:r>
      <w:r w:rsidR="00C448D8">
        <w:rPr>
          <w:rFonts w:asciiTheme="minorHAnsi" w:hAnsiTheme="minorHAnsi" w:cstheme="minorHAnsi"/>
        </w:rPr>
        <w:t xml:space="preserve">continuous </w:t>
      </w:r>
      <w:r w:rsidRPr="00702885">
        <w:rPr>
          <w:rFonts w:asciiTheme="minorHAnsi" w:hAnsiTheme="minorHAnsi" w:cstheme="minorHAnsi"/>
        </w:rPr>
        <w:t>urokinase infusion in a high-care setting is not favoured</w:t>
      </w:r>
      <w:r w:rsidR="00C448D8">
        <w:rPr>
          <w:rFonts w:asciiTheme="minorHAnsi" w:hAnsiTheme="minorHAnsi" w:cstheme="minorHAnsi"/>
        </w:rPr>
        <w:t xml:space="preserve"> in the Canberra Hospital. </w:t>
      </w:r>
    </w:p>
    <w:p w14:paraId="34A8C370" w14:textId="495E7D7F" w:rsidR="006E401C" w:rsidRPr="00702885" w:rsidRDefault="006E401C" w:rsidP="000A7932">
      <w:pPr>
        <w:rPr>
          <w:rFonts w:asciiTheme="minorHAnsi" w:hAnsiTheme="minorHAnsi" w:cstheme="minorHAnsi"/>
        </w:rPr>
      </w:pPr>
    </w:p>
    <w:p w14:paraId="49015ADC" w14:textId="40581146" w:rsidR="006E401C" w:rsidRDefault="006E401C" w:rsidP="000A7932">
      <w:pPr>
        <w:rPr>
          <w:rFonts w:asciiTheme="minorHAnsi" w:hAnsiTheme="minorHAnsi" w:cstheme="minorHAnsi"/>
        </w:rPr>
      </w:pPr>
      <w:r w:rsidRPr="00702885">
        <w:rPr>
          <w:rFonts w:asciiTheme="minorHAnsi" w:hAnsiTheme="minorHAnsi" w:cstheme="minorHAnsi"/>
        </w:rPr>
        <w:t>All dosages of urokinase and other anticoagulants used during the procedure must be documented in the</w:t>
      </w:r>
      <w:r w:rsidR="00B7390A">
        <w:rPr>
          <w:rFonts w:asciiTheme="minorHAnsi" w:hAnsiTheme="minorHAnsi" w:cstheme="minorHAnsi"/>
        </w:rPr>
        <w:t xml:space="preserve"> medical record</w:t>
      </w:r>
      <w:r w:rsidRPr="00702885">
        <w:rPr>
          <w:rFonts w:asciiTheme="minorHAnsi" w:hAnsiTheme="minorHAnsi" w:cstheme="minorHAnsi"/>
        </w:rPr>
        <w:t xml:space="preserve">. Any specific post procedural instructions must be clearly documented </w:t>
      </w:r>
      <w:r w:rsidR="00B7390A">
        <w:rPr>
          <w:rFonts w:asciiTheme="minorHAnsi" w:hAnsiTheme="minorHAnsi" w:cstheme="minorHAnsi"/>
        </w:rPr>
        <w:t xml:space="preserve">by the radiologist or surgeon in the medical record </w:t>
      </w:r>
      <w:r w:rsidRPr="00702885">
        <w:rPr>
          <w:rFonts w:asciiTheme="minorHAnsi" w:hAnsiTheme="minorHAnsi" w:cstheme="minorHAnsi"/>
        </w:rPr>
        <w:t>and communicated to the treating team.</w:t>
      </w:r>
    </w:p>
    <w:p w14:paraId="0D9B81CD" w14:textId="77777777" w:rsidR="00D60F4D" w:rsidRPr="00702885" w:rsidRDefault="00D60F4D" w:rsidP="000A7932">
      <w:pPr>
        <w:rPr>
          <w:rFonts w:asciiTheme="minorHAnsi" w:hAnsiTheme="minorHAnsi" w:cstheme="minorHAnsi"/>
        </w:rPr>
      </w:pPr>
    </w:p>
    <w:p w14:paraId="10F2F6E6" w14:textId="21CF4102" w:rsidR="00653F21" w:rsidRPr="00702885" w:rsidRDefault="00CB581B" w:rsidP="00D60F4D">
      <w:pPr>
        <w:jc w:val="right"/>
        <w:rPr>
          <w:rFonts w:asciiTheme="minorHAnsi" w:hAnsiTheme="minorHAnsi" w:cstheme="minorHAnsi"/>
          <w:i/>
          <w:szCs w:val="24"/>
        </w:rPr>
      </w:pPr>
      <w:hyperlink w:anchor="Contents" w:history="1">
        <w:r w:rsidR="00D60F4D" w:rsidRPr="00702885">
          <w:rPr>
            <w:rStyle w:val="Hyperlink"/>
            <w:rFonts w:asciiTheme="minorHAnsi" w:eastAsiaTheme="majorEastAsia" w:hAnsiTheme="minorHAnsi" w:cstheme="minorHAnsi"/>
            <w:i/>
            <w:szCs w:val="24"/>
          </w:rPr>
          <w:t>Back to Table of Contents</w:t>
        </w:r>
      </w:hyperlink>
      <w:r w:rsidR="00D60F4D" w:rsidRPr="00702885">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B1C6C" w:rsidRPr="00702885" w14:paraId="62B10B99" w14:textId="77777777" w:rsidTr="00A97EAD">
        <w:trPr>
          <w:cantSplit/>
          <w:trHeight w:val="285"/>
        </w:trPr>
        <w:tc>
          <w:tcPr>
            <w:tcW w:w="9158" w:type="dxa"/>
            <w:shd w:val="clear" w:color="auto" w:fill="D9D9D9" w:themeFill="background1" w:themeFillShade="D9"/>
          </w:tcPr>
          <w:p w14:paraId="7D13264B" w14:textId="7CD90534" w:rsidR="004B1C6C" w:rsidRPr="00702885" w:rsidRDefault="004B1C6C" w:rsidP="000A7932">
            <w:pPr>
              <w:pStyle w:val="Heading1"/>
              <w:rPr>
                <w:rFonts w:asciiTheme="minorHAnsi" w:hAnsiTheme="minorHAnsi" w:cstheme="minorHAnsi"/>
              </w:rPr>
            </w:pPr>
            <w:bookmarkStart w:id="13" w:name="_Toc112666735"/>
            <w:r w:rsidRPr="00702885">
              <w:rPr>
                <w:rFonts w:asciiTheme="minorHAnsi" w:hAnsiTheme="minorHAnsi" w:cstheme="minorHAnsi"/>
              </w:rPr>
              <w:t xml:space="preserve">Section </w:t>
            </w:r>
            <w:r w:rsidR="00DA3122" w:rsidRPr="00702885">
              <w:rPr>
                <w:rFonts w:asciiTheme="minorHAnsi" w:hAnsiTheme="minorHAnsi" w:cstheme="minorHAnsi"/>
              </w:rPr>
              <w:t>4</w:t>
            </w:r>
            <w:r w:rsidRPr="00702885">
              <w:rPr>
                <w:rFonts w:asciiTheme="minorHAnsi" w:hAnsiTheme="minorHAnsi" w:cstheme="minorHAnsi"/>
              </w:rPr>
              <w:t xml:space="preserve"> – Adverse Effects</w:t>
            </w:r>
            <w:bookmarkEnd w:id="13"/>
          </w:p>
        </w:tc>
      </w:tr>
    </w:tbl>
    <w:p w14:paraId="6BE42AC9" w14:textId="77777777" w:rsidR="004B1C6C" w:rsidRPr="00702885" w:rsidRDefault="004B1C6C" w:rsidP="000A7932">
      <w:pPr>
        <w:rPr>
          <w:rFonts w:asciiTheme="minorHAnsi" w:hAnsiTheme="minorHAnsi" w:cstheme="minorHAnsi"/>
        </w:rPr>
      </w:pPr>
    </w:p>
    <w:p w14:paraId="4347CC10" w14:textId="6DE03A75" w:rsidR="004B1C6C" w:rsidRPr="00702885" w:rsidRDefault="004B1C6C" w:rsidP="000A7932">
      <w:pPr>
        <w:rPr>
          <w:rFonts w:asciiTheme="minorHAnsi" w:hAnsiTheme="minorHAnsi" w:cstheme="minorHAnsi"/>
          <w:b/>
          <w:bCs/>
        </w:rPr>
      </w:pPr>
      <w:r w:rsidRPr="00702885">
        <w:rPr>
          <w:rFonts w:asciiTheme="minorHAnsi" w:hAnsiTheme="minorHAnsi" w:cstheme="minorHAnsi"/>
          <w:b/>
          <w:bCs/>
        </w:rPr>
        <w:t>Haemorrhage</w:t>
      </w:r>
    </w:p>
    <w:p w14:paraId="4B019D32" w14:textId="178560F1" w:rsidR="004B1C6C" w:rsidRPr="00702885" w:rsidRDefault="004B1C6C" w:rsidP="000A7932">
      <w:pPr>
        <w:rPr>
          <w:rFonts w:asciiTheme="minorHAnsi" w:hAnsiTheme="minorHAnsi" w:cstheme="minorHAnsi"/>
        </w:rPr>
      </w:pPr>
      <w:r w:rsidRPr="00702885">
        <w:rPr>
          <w:rFonts w:asciiTheme="minorHAnsi" w:hAnsiTheme="minorHAnsi" w:cstheme="minorHAnsi"/>
        </w:rPr>
        <w:t>This is the most frequent and severe adverse effect of urokinase therapy. The haemostatic status of the patient may be more profoundly altered with urokinase therapy than with heparin or coumarin-derivative anticoagulant therapy.</w:t>
      </w:r>
    </w:p>
    <w:p w14:paraId="3A2D7C8D" w14:textId="72E4BD9D" w:rsidR="004B1C6C" w:rsidRPr="00702885" w:rsidRDefault="004B1C6C" w:rsidP="000A7932">
      <w:pPr>
        <w:spacing w:before="240"/>
        <w:rPr>
          <w:rFonts w:asciiTheme="minorHAnsi" w:hAnsiTheme="minorHAnsi" w:cstheme="minorHAnsi"/>
        </w:rPr>
      </w:pPr>
      <w:r w:rsidRPr="00702885">
        <w:rPr>
          <w:rFonts w:asciiTheme="minorHAnsi" w:hAnsiTheme="minorHAnsi" w:cstheme="minorHAnsi"/>
        </w:rPr>
        <w:t>Severe spontaneous bleeding, including fatal intracranial haemorrhage, may occur with 1% frequency. Less severe bleeding is twice as common compared with heparin therapy. Patients with pre-existing haemostatic defects have the greatest risk.</w:t>
      </w:r>
    </w:p>
    <w:p w14:paraId="7E0FF7EC" w14:textId="78CA07DF" w:rsidR="004B1C6C" w:rsidRDefault="004B1C6C" w:rsidP="000A7932">
      <w:pPr>
        <w:rPr>
          <w:rFonts w:asciiTheme="minorHAnsi" w:hAnsiTheme="minorHAnsi" w:cstheme="minorHAnsi"/>
        </w:rPr>
      </w:pPr>
    </w:p>
    <w:p w14:paraId="799CE3DA" w14:textId="77777777" w:rsidR="00054A08" w:rsidRPr="00702885" w:rsidRDefault="00054A08" w:rsidP="000A7932">
      <w:pPr>
        <w:rPr>
          <w:rFonts w:asciiTheme="minorHAnsi" w:hAnsiTheme="minorHAnsi" w:cstheme="minorHAnsi"/>
        </w:rPr>
      </w:pPr>
    </w:p>
    <w:p w14:paraId="45A71C9C" w14:textId="2049FF7F" w:rsidR="004B1C6C" w:rsidRPr="00702885" w:rsidRDefault="004B1C6C" w:rsidP="000A7932">
      <w:pPr>
        <w:rPr>
          <w:rFonts w:asciiTheme="minorHAnsi" w:hAnsiTheme="minorHAnsi" w:cstheme="minorHAnsi"/>
          <w:b/>
          <w:bCs/>
        </w:rPr>
      </w:pPr>
      <w:r w:rsidRPr="00702885">
        <w:rPr>
          <w:rFonts w:asciiTheme="minorHAnsi" w:hAnsiTheme="minorHAnsi" w:cstheme="minorHAnsi"/>
          <w:b/>
          <w:bCs/>
        </w:rPr>
        <w:lastRenderedPageBreak/>
        <w:t>Hypersensitivity reactions</w:t>
      </w:r>
    </w:p>
    <w:p w14:paraId="35F418BD" w14:textId="12DE2D7D" w:rsidR="00D60F4D" w:rsidRDefault="004B1C6C" w:rsidP="000A7932">
      <w:pPr>
        <w:rPr>
          <w:rFonts w:asciiTheme="minorHAnsi" w:hAnsiTheme="minorHAnsi" w:cstheme="minorHAnsi"/>
        </w:rPr>
      </w:pPr>
      <w:r w:rsidRPr="00702885">
        <w:rPr>
          <w:rFonts w:asciiTheme="minorHAnsi" w:hAnsiTheme="minorHAnsi" w:cstheme="minorHAnsi"/>
        </w:rPr>
        <w:t xml:space="preserve">In contrast to streptokinase, </w:t>
      </w:r>
      <w:r w:rsidR="009B1575" w:rsidRPr="00702885">
        <w:rPr>
          <w:rFonts w:asciiTheme="minorHAnsi" w:hAnsiTheme="minorHAnsi" w:cstheme="minorHAnsi"/>
        </w:rPr>
        <w:t>urokinase</w:t>
      </w:r>
      <w:r w:rsidRPr="00702885">
        <w:rPr>
          <w:rFonts w:asciiTheme="minorHAnsi" w:hAnsiTheme="minorHAnsi" w:cstheme="minorHAnsi"/>
        </w:rPr>
        <w:t xml:space="preserve"> is largely non-antigenic. Mild allergic reactions</w:t>
      </w:r>
      <w:r w:rsidR="009B1575" w:rsidRPr="00702885">
        <w:rPr>
          <w:rFonts w:asciiTheme="minorHAnsi" w:hAnsiTheme="minorHAnsi" w:cstheme="minorHAnsi"/>
        </w:rPr>
        <w:t xml:space="preserve"> includ</w:t>
      </w:r>
      <w:r w:rsidR="00ED1DF5">
        <w:rPr>
          <w:rFonts w:asciiTheme="minorHAnsi" w:hAnsiTheme="minorHAnsi" w:cstheme="minorHAnsi"/>
        </w:rPr>
        <w:t>ing</w:t>
      </w:r>
      <w:r w:rsidRPr="00702885">
        <w:rPr>
          <w:rFonts w:asciiTheme="minorHAnsi" w:hAnsiTheme="minorHAnsi" w:cstheme="minorHAnsi"/>
        </w:rPr>
        <w:t xml:space="preserve"> bronchospasm and rash have been reported rarely. Anaphylaxis is extremely rare.</w:t>
      </w:r>
    </w:p>
    <w:p w14:paraId="0C753CC9" w14:textId="77777777" w:rsidR="00D60F4D" w:rsidRPr="00702885" w:rsidRDefault="00D60F4D" w:rsidP="000A7932">
      <w:pPr>
        <w:rPr>
          <w:rFonts w:asciiTheme="minorHAnsi" w:hAnsiTheme="minorHAnsi" w:cstheme="minorHAnsi"/>
        </w:rPr>
      </w:pPr>
    </w:p>
    <w:p w14:paraId="139173B8" w14:textId="65FA720E" w:rsidR="004B1C6C" w:rsidRPr="00702885" w:rsidRDefault="004B1C6C" w:rsidP="000A7932">
      <w:pPr>
        <w:rPr>
          <w:rFonts w:asciiTheme="minorHAnsi" w:hAnsiTheme="minorHAnsi" w:cstheme="minorHAnsi"/>
          <w:b/>
          <w:bCs/>
        </w:rPr>
      </w:pPr>
      <w:r w:rsidRPr="00702885">
        <w:rPr>
          <w:rFonts w:asciiTheme="minorHAnsi" w:hAnsiTheme="minorHAnsi" w:cstheme="minorHAnsi"/>
          <w:b/>
          <w:bCs/>
        </w:rPr>
        <w:t>Overdosage</w:t>
      </w:r>
    </w:p>
    <w:p w14:paraId="4E11199B" w14:textId="18F68001" w:rsidR="004B1C6C" w:rsidRPr="00702885" w:rsidRDefault="004B1C6C" w:rsidP="000A7932">
      <w:pPr>
        <w:rPr>
          <w:rFonts w:asciiTheme="minorHAnsi" w:hAnsiTheme="minorHAnsi" w:cstheme="minorHAnsi"/>
        </w:rPr>
      </w:pPr>
      <w:r w:rsidRPr="00702885">
        <w:rPr>
          <w:rFonts w:asciiTheme="minorHAnsi" w:hAnsiTheme="minorHAnsi" w:cstheme="minorHAnsi"/>
        </w:rPr>
        <w:t xml:space="preserve">If haemorrhage that occurs during treatment with </w:t>
      </w:r>
      <w:r w:rsidR="009B1575" w:rsidRPr="00702885">
        <w:rPr>
          <w:rFonts w:asciiTheme="minorHAnsi" w:hAnsiTheme="minorHAnsi" w:cstheme="minorHAnsi"/>
        </w:rPr>
        <w:t>urokinase</w:t>
      </w:r>
      <w:r w:rsidRPr="00702885">
        <w:rPr>
          <w:rFonts w:asciiTheme="minorHAnsi" w:hAnsiTheme="minorHAnsi" w:cstheme="minorHAnsi"/>
        </w:rPr>
        <w:t xml:space="preserve"> can be controlled with local pressure, then treatment maybe continued.</w:t>
      </w:r>
    </w:p>
    <w:p w14:paraId="33BBA092" w14:textId="52EF10A9" w:rsidR="004B1C6C" w:rsidRPr="00702885" w:rsidRDefault="004B1C6C" w:rsidP="000A7932">
      <w:pPr>
        <w:rPr>
          <w:rFonts w:asciiTheme="minorHAnsi" w:hAnsiTheme="minorHAnsi" w:cstheme="minorHAnsi"/>
        </w:rPr>
      </w:pPr>
      <w:r w:rsidRPr="00702885">
        <w:rPr>
          <w:rFonts w:asciiTheme="minorHAnsi" w:hAnsiTheme="minorHAnsi" w:cstheme="minorHAnsi"/>
        </w:rPr>
        <w:t xml:space="preserve">If severe bleeding occurs, treatment with </w:t>
      </w:r>
      <w:r w:rsidR="009B1575" w:rsidRPr="00702885">
        <w:rPr>
          <w:rFonts w:asciiTheme="minorHAnsi" w:hAnsiTheme="minorHAnsi" w:cstheme="minorHAnsi"/>
        </w:rPr>
        <w:t>urokinase</w:t>
      </w:r>
      <w:r w:rsidRPr="00702885">
        <w:rPr>
          <w:rFonts w:asciiTheme="minorHAnsi" w:hAnsiTheme="minorHAnsi" w:cstheme="minorHAnsi"/>
        </w:rPr>
        <w:t xml:space="preserve"> must be ceased and inhibitors (</w:t>
      </w:r>
      <w:r w:rsidR="009B1575" w:rsidRPr="00702885">
        <w:rPr>
          <w:rFonts w:asciiTheme="minorHAnsi" w:hAnsiTheme="minorHAnsi" w:cstheme="minorHAnsi"/>
        </w:rPr>
        <w:t>e.g.</w:t>
      </w:r>
      <w:r w:rsidRPr="00702885">
        <w:rPr>
          <w:rFonts w:asciiTheme="minorHAnsi" w:hAnsiTheme="minorHAnsi" w:cstheme="minorHAnsi"/>
        </w:rPr>
        <w:t xml:space="preserve"> aprotinin, e-aminocaproic or tranexamic acid) can be administered. In serious cases, human fibrinogen, factor </w:t>
      </w:r>
      <w:r w:rsidR="009B1575" w:rsidRPr="00702885">
        <w:rPr>
          <w:rFonts w:asciiTheme="minorHAnsi" w:hAnsiTheme="minorHAnsi" w:cstheme="minorHAnsi"/>
        </w:rPr>
        <w:t>XII,</w:t>
      </w:r>
      <w:r w:rsidRPr="00702885">
        <w:rPr>
          <w:rFonts w:asciiTheme="minorHAnsi" w:hAnsiTheme="minorHAnsi" w:cstheme="minorHAnsi"/>
        </w:rPr>
        <w:t xml:space="preserve"> </w:t>
      </w:r>
      <w:r w:rsidR="009B1575" w:rsidRPr="00702885">
        <w:rPr>
          <w:rFonts w:asciiTheme="minorHAnsi" w:hAnsiTheme="minorHAnsi" w:cstheme="minorHAnsi"/>
        </w:rPr>
        <w:t>packed red cells,</w:t>
      </w:r>
      <w:r w:rsidRPr="00702885">
        <w:rPr>
          <w:rFonts w:asciiTheme="minorHAnsi" w:hAnsiTheme="minorHAnsi" w:cstheme="minorHAnsi"/>
        </w:rPr>
        <w:t xml:space="preserve"> or whole blood </w:t>
      </w:r>
      <w:r w:rsidR="009B1575" w:rsidRPr="00702885">
        <w:rPr>
          <w:rFonts w:asciiTheme="minorHAnsi" w:hAnsiTheme="minorHAnsi" w:cstheme="minorHAnsi"/>
        </w:rPr>
        <w:t xml:space="preserve">should be </w:t>
      </w:r>
      <w:r w:rsidRPr="00702885">
        <w:rPr>
          <w:rFonts w:asciiTheme="minorHAnsi" w:hAnsiTheme="minorHAnsi" w:cstheme="minorHAnsi"/>
        </w:rPr>
        <w:t>given as appropriate. For correction of volume deficiency</w:t>
      </w:r>
      <w:r w:rsidR="009B1575" w:rsidRPr="00702885">
        <w:rPr>
          <w:rFonts w:asciiTheme="minorHAnsi" w:hAnsiTheme="minorHAnsi" w:cstheme="minorHAnsi"/>
        </w:rPr>
        <w:t>,</w:t>
      </w:r>
      <w:r w:rsidRPr="00702885">
        <w:rPr>
          <w:rFonts w:asciiTheme="minorHAnsi" w:hAnsiTheme="minorHAnsi" w:cstheme="minorHAnsi"/>
        </w:rPr>
        <w:t xml:space="preserve"> dextrans should be avoided</w:t>
      </w:r>
      <w:r w:rsidR="009B1575" w:rsidRPr="00702885">
        <w:rPr>
          <w:rFonts w:asciiTheme="minorHAnsi" w:hAnsiTheme="minorHAnsi" w:cstheme="minorHAnsi"/>
        </w:rPr>
        <w:t>.</w:t>
      </w:r>
    </w:p>
    <w:p w14:paraId="5B4183AE" w14:textId="03CD5117" w:rsidR="004B1C6C" w:rsidRPr="00702885" w:rsidRDefault="004B1C6C" w:rsidP="000A7932">
      <w:pPr>
        <w:rPr>
          <w:rFonts w:asciiTheme="minorHAnsi" w:hAnsiTheme="minorHAnsi" w:cstheme="minorHAnsi"/>
          <w:i/>
          <w:szCs w:val="24"/>
        </w:rPr>
      </w:pPr>
    </w:p>
    <w:p w14:paraId="6993DD54" w14:textId="77777777" w:rsidR="004A1EC9" w:rsidRPr="00702885" w:rsidRDefault="009B1575" w:rsidP="000A7932">
      <w:pPr>
        <w:rPr>
          <w:rFonts w:asciiTheme="minorHAnsi" w:hAnsiTheme="minorHAnsi" w:cstheme="minorHAnsi"/>
          <w:b/>
          <w:bCs/>
          <w:iCs/>
          <w:szCs w:val="24"/>
        </w:rPr>
      </w:pPr>
      <w:r w:rsidRPr="00702885">
        <w:rPr>
          <w:rFonts w:asciiTheme="minorHAnsi" w:hAnsiTheme="minorHAnsi" w:cstheme="minorHAnsi"/>
          <w:b/>
          <w:bCs/>
          <w:iCs/>
          <w:szCs w:val="24"/>
        </w:rPr>
        <w:t>Reporting of Suspected Adverse Reactions</w:t>
      </w:r>
    </w:p>
    <w:p w14:paraId="13606BB2" w14:textId="02253CA3" w:rsidR="004A1EC9" w:rsidRPr="00702885" w:rsidRDefault="004A1EC9" w:rsidP="000A7932">
      <w:pPr>
        <w:rPr>
          <w:rFonts w:asciiTheme="minorHAnsi" w:hAnsiTheme="minorHAnsi" w:cstheme="minorHAnsi"/>
          <w:b/>
          <w:bCs/>
          <w:iCs/>
          <w:szCs w:val="24"/>
        </w:rPr>
      </w:pPr>
      <w:r w:rsidRPr="00702885">
        <w:rPr>
          <w:rFonts w:asciiTheme="minorHAnsi" w:hAnsiTheme="minorHAnsi" w:cstheme="minorHAnsi"/>
        </w:rPr>
        <w:t>The World Health Organisation defines an adverse drug reaction (ADR) as an action which is noxious and unintended, and which occurs at doses normally used for the prevention, diagnosis, or treatment of disease or for modification of a physiological function. An adverse reaction does not include the toxic effects of an overdose.</w:t>
      </w:r>
    </w:p>
    <w:p w14:paraId="438410E4" w14:textId="5441C6FA" w:rsidR="004A1EC9" w:rsidRPr="00702885" w:rsidRDefault="009B1575" w:rsidP="000A7932">
      <w:pPr>
        <w:spacing w:before="240"/>
        <w:rPr>
          <w:rFonts w:asciiTheme="minorHAnsi" w:hAnsiTheme="minorHAnsi" w:cstheme="minorHAnsi"/>
        </w:rPr>
      </w:pPr>
      <w:r w:rsidRPr="00702885">
        <w:rPr>
          <w:rFonts w:asciiTheme="minorHAnsi" w:hAnsiTheme="minorHAnsi" w:cstheme="minorHAnsi"/>
        </w:rPr>
        <w:t xml:space="preserve">Reporting suspected adverse reactions after authorised use of </w:t>
      </w:r>
      <w:r w:rsidR="0002784D" w:rsidRPr="00702885">
        <w:rPr>
          <w:rFonts w:asciiTheme="minorHAnsi" w:hAnsiTheme="minorHAnsi" w:cstheme="minorHAnsi"/>
        </w:rPr>
        <w:t>urokinase</w:t>
      </w:r>
      <w:r w:rsidRPr="00702885">
        <w:rPr>
          <w:rFonts w:asciiTheme="minorHAnsi" w:hAnsiTheme="minorHAnsi" w:cstheme="minorHAnsi"/>
        </w:rPr>
        <w:t xml:space="preserve"> is important. It allows continued monitoring of the benefit/risk balance of the product</w:t>
      </w:r>
    </w:p>
    <w:p w14:paraId="1A41269E" w14:textId="1578D7B9" w:rsidR="004A1EC9" w:rsidRPr="00702885" w:rsidRDefault="004A1EC9" w:rsidP="00D60F4D">
      <w:pPr>
        <w:pStyle w:val="NormalWeb"/>
        <w:spacing w:after="0" w:afterAutospacing="0"/>
        <w:rPr>
          <w:rFonts w:asciiTheme="minorHAnsi" w:hAnsiTheme="minorHAnsi" w:cstheme="minorHAnsi"/>
        </w:rPr>
      </w:pPr>
      <w:r w:rsidRPr="00702885">
        <w:rPr>
          <w:rFonts w:asciiTheme="minorHAnsi" w:hAnsiTheme="minorHAnsi" w:cstheme="minorHAnsi"/>
        </w:rPr>
        <w:t xml:space="preserve">All adverse drug reactions must be: </w:t>
      </w:r>
    </w:p>
    <w:p w14:paraId="507349C6" w14:textId="3EC7D5D5" w:rsidR="004A1EC9" w:rsidRPr="00702885" w:rsidRDefault="004A1EC9" w:rsidP="00D60F4D">
      <w:pPr>
        <w:pStyle w:val="ListBullet"/>
      </w:pPr>
      <w:r w:rsidRPr="00702885">
        <w:t xml:space="preserve">Recorded in the patient’s clinical record </w:t>
      </w:r>
    </w:p>
    <w:p w14:paraId="4D929664" w14:textId="77777777" w:rsidR="004A1EC9" w:rsidRPr="00702885" w:rsidRDefault="004A1EC9" w:rsidP="00D60F4D">
      <w:pPr>
        <w:pStyle w:val="ListBullet"/>
      </w:pPr>
      <w:r w:rsidRPr="00702885">
        <w:t xml:space="preserve">Reported to the Adverse Drug Reaction Reporting Committee (ADRRC) </w:t>
      </w:r>
    </w:p>
    <w:p w14:paraId="07BE3980" w14:textId="51D75988" w:rsidR="004A1EC9" w:rsidRPr="00702885" w:rsidRDefault="004A1EC9" w:rsidP="00D60F4D">
      <w:pPr>
        <w:pStyle w:val="ListBullet"/>
      </w:pPr>
      <w:r w:rsidRPr="00702885">
        <w:t xml:space="preserve">Clearly documented in the relevant section of the patient’s discharge summary. </w:t>
      </w:r>
    </w:p>
    <w:p w14:paraId="27B09EC5" w14:textId="33B4050E" w:rsidR="004A1EC9" w:rsidRPr="00702885" w:rsidRDefault="004A1EC9" w:rsidP="000A7932">
      <w:pPr>
        <w:pStyle w:val="NormalWeb"/>
        <w:rPr>
          <w:rFonts w:asciiTheme="minorHAnsi" w:hAnsiTheme="minorHAnsi" w:cstheme="minorHAnsi"/>
        </w:rPr>
      </w:pPr>
      <w:r w:rsidRPr="00702885">
        <w:rPr>
          <w:rFonts w:asciiTheme="minorHAnsi" w:hAnsiTheme="minorHAnsi" w:cstheme="minorHAnsi"/>
        </w:rPr>
        <w:t>Adverse drug reactions may be reported by any health professional by</w:t>
      </w:r>
      <w:r w:rsidR="00D60F4D">
        <w:rPr>
          <w:rFonts w:asciiTheme="minorHAnsi" w:hAnsiTheme="minorHAnsi" w:cstheme="minorHAnsi"/>
        </w:rPr>
        <w:t xml:space="preserve"> c</w:t>
      </w:r>
      <w:r w:rsidRPr="00702885">
        <w:rPr>
          <w:rFonts w:asciiTheme="minorHAnsi" w:hAnsiTheme="minorHAnsi" w:cstheme="minorHAnsi"/>
        </w:rPr>
        <w:t xml:space="preserve">ompleting the online reporting form available via the </w:t>
      </w:r>
      <w:r w:rsidR="00D60F4D">
        <w:rPr>
          <w:rFonts w:asciiTheme="minorHAnsi" w:hAnsiTheme="minorHAnsi" w:cstheme="minorHAnsi"/>
        </w:rPr>
        <w:t>CHS</w:t>
      </w:r>
      <w:r w:rsidRPr="00702885">
        <w:rPr>
          <w:rFonts w:asciiTheme="minorHAnsi" w:hAnsiTheme="minorHAnsi" w:cstheme="minorHAnsi"/>
        </w:rPr>
        <w:t xml:space="preserve"> </w:t>
      </w:r>
      <w:r w:rsidR="00D60F4D">
        <w:rPr>
          <w:rFonts w:asciiTheme="minorHAnsi" w:hAnsiTheme="minorHAnsi" w:cstheme="minorHAnsi"/>
        </w:rPr>
        <w:t>Healthhub</w:t>
      </w:r>
      <w:r w:rsidRPr="00702885">
        <w:rPr>
          <w:rFonts w:asciiTheme="minorHAnsi" w:hAnsiTheme="minorHAnsi" w:cstheme="minorHAnsi"/>
        </w:rPr>
        <w:t xml:space="preserve"> &gt; </w:t>
      </w:r>
      <w:r w:rsidR="00D60F4D">
        <w:rPr>
          <w:rFonts w:asciiTheme="minorHAnsi" w:hAnsiTheme="minorHAnsi" w:cstheme="minorHAnsi"/>
        </w:rPr>
        <w:t>Clinical Apps</w:t>
      </w:r>
      <w:r w:rsidRPr="00702885">
        <w:rPr>
          <w:rFonts w:asciiTheme="minorHAnsi" w:hAnsiTheme="minorHAnsi" w:cstheme="minorHAnsi"/>
        </w:rPr>
        <w:t xml:space="preserve"> &gt; Adverse drug reaction</w:t>
      </w:r>
      <w:r w:rsidR="00D60F4D">
        <w:rPr>
          <w:rFonts w:asciiTheme="minorHAnsi" w:hAnsiTheme="minorHAnsi" w:cstheme="minorHAnsi"/>
        </w:rPr>
        <w:t xml:space="preserve">s. </w:t>
      </w:r>
      <w:r w:rsidRPr="00702885">
        <w:rPr>
          <w:rFonts w:asciiTheme="minorHAnsi" w:hAnsiTheme="minorHAnsi" w:cstheme="minorHAnsi"/>
        </w:rPr>
        <w:t xml:space="preserve">Completed forms will automatically be forwarded to the ADRRC secretariat email account. </w:t>
      </w:r>
    </w:p>
    <w:p w14:paraId="3DC7B90B" w14:textId="47A57621" w:rsidR="004A1EC9" w:rsidRDefault="004A1EC9" w:rsidP="00D60F4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D60F4D">
        <w:rPr>
          <w:rFonts w:asciiTheme="minorHAnsi" w:hAnsiTheme="minorHAnsi" w:cstheme="minorHAnsi"/>
          <w:b/>
          <w:bCs/>
        </w:rPr>
        <w:t>Note</w:t>
      </w:r>
      <w:r w:rsidRPr="00702885">
        <w:rPr>
          <w:rFonts w:asciiTheme="minorHAnsi" w:hAnsiTheme="minorHAnsi" w:cstheme="minorHAnsi"/>
        </w:rPr>
        <w:t>: Some ADR will also be classified as incidents. When this occurs, a RiskMan</w:t>
      </w:r>
      <w:r w:rsidR="00FA78DE">
        <w:rPr>
          <w:rFonts w:asciiTheme="minorHAnsi" w:hAnsiTheme="minorHAnsi" w:cstheme="minorHAnsi"/>
        </w:rPr>
        <w:t xml:space="preserve"> Clinical Incident</w:t>
      </w:r>
      <w:r w:rsidRPr="00702885">
        <w:rPr>
          <w:rFonts w:asciiTheme="minorHAnsi" w:hAnsiTheme="minorHAnsi" w:cstheme="minorHAnsi"/>
        </w:rPr>
        <w:t xml:space="preserve"> will need to be completed in addition to reporting to the ADRRC. </w:t>
      </w:r>
    </w:p>
    <w:p w14:paraId="31B19FA3" w14:textId="2D31C7D2" w:rsidR="0010454D" w:rsidRPr="0010454D" w:rsidRDefault="0010454D" w:rsidP="00D60F4D">
      <w:pPr>
        <w:pStyle w:val="NormalWeb"/>
        <w:spacing w:after="0" w:afterAutospacing="0"/>
        <w:rPr>
          <w:rFonts w:asciiTheme="minorHAnsi" w:hAnsiTheme="minorHAnsi" w:cstheme="minorHAnsi"/>
        </w:rPr>
      </w:pPr>
      <w:r>
        <w:rPr>
          <w:rFonts w:asciiTheme="minorHAnsi" w:hAnsiTheme="minorHAnsi" w:cstheme="minorHAnsi"/>
        </w:rPr>
        <w:t xml:space="preserve">Refer to </w:t>
      </w:r>
      <w:r>
        <w:rPr>
          <w:rFonts w:asciiTheme="minorHAnsi" w:hAnsiTheme="minorHAnsi" w:cstheme="minorHAnsi"/>
          <w:i/>
          <w:iCs/>
        </w:rPr>
        <w:t xml:space="preserve">Incident Management – Clinical Policy and Procedure </w:t>
      </w:r>
      <w:r>
        <w:rPr>
          <w:rFonts w:asciiTheme="minorHAnsi" w:hAnsiTheme="minorHAnsi" w:cstheme="minorHAnsi"/>
        </w:rPr>
        <w:t xml:space="preserve">and </w:t>
      </w:r>
      <w:r>
        <w:rPr>
          <w:rFonts w:asciiTheme="minorHAnsi" w:hAnsiTheme="minorHAnsi" w:cstheme="minorHAnsi"/>
          <w:i/>
          <w:iCs/>
        </w:rPr>
        <w:t xml:space="preserve">Medication Handling Policy </w:t>
      </w:r>
      <w:r>
        <w:rPr>
          <w:rFonts w:asciiTheme="minorHAnsi" w:hAnsiTheme="minorHAnsi" w:cstheme="minorHAnsi"/>
        </w:rPr>
        <w:t>for more information.</w:t>
      </w:r>
    </w:p>
    <w:p w14:paraId="35A0C492" w14:textId="065423ED" w:rsidR="009B1575" w:rsidRPr="00702885" w:rsidRDefault="009B1575" w:rsidP="000A7932">
      <w:pPr>
        <w:rPr>
          <w:rFonts w:asciiTheme="minorHAnsi" w:hAnsiTheme="minorHAnsi" w:cstheme="minorHAnsi"/>
          <w:iCs/>
          <w:szCs w:val="24"/>
        </w:rPr>
      </w:pPr>
    </w:p>
    <w:p w14:paraId="08682A18" w14:textId="1968F7DA" w:rsidR="009A534C" w:rsidRPr="00702885" w:rsidRDefault="00CB581B" w:rsidP="000A7932">
      <w:pPr>
        <w:jc w:val="right"/>
        <w:rPr>
          <w:rFonts w:asciiTheme="minorHAnsi" w:hAnsiTheme="minorHAnsi" w:cstheme="minorHAnsi"/>
          <w:b/>
          <w:szCs w:val="24"/>
        </w:rPr>
      </w:pPr>
      <w:hyperlink w:anchor="Contents" w:history="1">
        <w:r w:rsidR="009B1575" w:rsidRPr="00702885">
          <w:rPr>
            <w:rStyle w:val="Hyperlink"/>
            <w:rFonts w:asciiTheme="minorHAnsi" w:eastAsiaTheme="majorEastAsia" w:hAnsiTheme="minorHAnsi" w:cstheme="minorHAnsi"/>
            <w:i/>
            <w:szCs w:val="24"/>
          </w:rPr>
          <w:t>Back to Table of Contents</w:t>
        </w:r>
      </w:hyperlink>
      <w:r w:rsidR="009B1575" w:rsidRPr="00702885">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1A" w14:textId="77777777" w:rsidTr="008E74FD">
        <w:trPr>
          <w:cantSplit/>
          <w:trHeight w:val="285"/>
        </w:trPr>
        <w:tc>
          <w:tcPr>
            <w:tcW w:w="9158" w:type="dxa"/>
            <w:shd w:val="clear" w:color="auto" w:fill="D9D9D9" w:themeFill="background1" w:themeFillShade="D9"/>
          </w:tcPr>
          <w:p w14:paraId="08682A19" w14:textId="07436912" w:rsidR="009A534C" w:rsidRPr="00702885" w:rsidRDefault="002B478A" w:rsidP="000A7932">
            <w:pPr>
              <w:pStyle w:val="Heading1"/>
              <w:rPr>
                <w:rFonts w:asciiTheme="minorHAnsi" w:hAnsiTheme="minorHAnsi" w:cstheme="minorHAnsi"/>
              </w:rPr>
            </w:pPr>
            <w:bookmarkStart w:id="14" w:name="_Toc112666736"/>
            <w:r w:rsidRPr="00702885">
              <w:rPr>
                <w:rFonts w:asciiTheme="minorHAnsi" w:hAnsiTheme="minorHAnsi" w:cstheme="minorHAnsi"/>
              </w:rPr>
              <w:t>Evaluation</w:t>
            </w:r>
            <w:bookmarkEnd w:id="14"/>
            <w:r w:rsidR="009A534C" w:rsidRPr="00702885">
              <w:rPr>
                <w:rFonts w:asciiTheme="minorHAnsi" w:hAnsiTheme="minorHAnsi" w:cstheme="minorHAnsi"/>
              </w:rPr>
              <w:t xml:space="preserve"> </w:t>
            </w:r>
          </w:p>
        </w:tc>
      </w:tr>
    </w:tbl>
    <w:p w14:paraId="61082B88" w14:textId="77777777" w:rsidR="00D006EF" w:rsidRPr="00702885" w:rsidRDefault="00D006EF" w:rsidP="000A7932">
      <w:pPr>
        <w:pStyle w:val="Default"/>
        <w:rPr>
          <w:rFonts w:asciiTheme="minorHAnsi" w:hAnsiTheme="minorHAnsi" w:cstheme="minorHAnsi"/>
        </w:rPr>
      </w:pPr>
    </w:p>
    <w:p w14:paraId="043A1299" w14:textId="77777777" w:rsidR="00D006EF" w:rsidRPr="00702885" w:rsidRDefault="00D006EF" w:rsidP="000A7932">
      <w:pPr>
        <w:pStyle w:val="Default"/>
        <w:rPr>
          <w:rFonts w:asciiTheme="minorHAnsi" w:hAnsiTheme="minorHAnsi" w:cstheme="minorHAnsi"/>
          <w:b/>
          <w:bCs/>
          <w:iCs/>
          <w:color w:val="auto"/>
          <w:lang w:eastAsia="en-US"/>
        </w:rPr>
      </w:pPr>
      <w:r w:rsidRPr="00702885">
        <w:rPr>
          <w:rFonts w:asciiTheme="minorHAnsi" w:hAnsiTheme="minorHAnsi" w:cstheme="minorHAnsi"/>
          <w:b/>
          <w:bCs/>
          <w:iCs/>
          <w:color w:val="auto"/>
          <w:lang w:eastAsia="en-US"/>
        </w:rPr>
        <w:t>Outcome</w:t>
      </w:r>
    </w:p>
    <w:p w14:paraId="42E81A80" w14:textId="744D179C" w:rsidR="00D006EF" w:rsidRPr="004A3572" w:rsidRDefault="002179DF" w:rsidP="00D60F4D">
      <w:pPr>
        <w:pStyle w:val="NormalWeb"/>
        <w:spacing w:before="0" w:beforeAutospacing="0" w:after="0" w:afterAutospacing="0"/>
        <w:rPr>
          <w:rFonts w:asciiTheme="minorHAnsi" w:hAnsiTheme="minorHAnsi" w:cstheme="minorHAnsi"/>
        </w:rPr>
      </w:pPr>
      <w:r>
        <w:rPr>
          <w:rFonts w:asciiTheme="minorHAnsi" w:hAnsiTheme="minorHAnsi" w:cstheme="minorHAnsi"/>
        </w:rPr>
        <w:t>Safe administration of Urokinase to patients</w:t>
      </w:r>
      <w:r w:rsidR="00DD3B7A">
        <w:rPr>
          <w:rFonts w:asciiTheme="minorHAnsi" w:hAnsiTheme="minorHAnsi" w:cstheme="minorHAnsi"/>
        </w:rPr>
        <w:t xml:space="preserve"> in medical imaging angiography suite</w:t>
      </w:r>
      <w:r>
        <w:rPr>
          <w:rFonts w:asciiTheme="minorHAnsi" w:hAnsiTheme="minorHAnsi" w:cstheme="minorHAnsi"/>
        </w:rPr>
        <w:t xml:space="preserve"> who clinically require it. </w:t>
      </w:r>
    </w:p>
    <w:p w14:paraId="2ECAFF5A" w14:textId="77777777" w:rsidR="002179DF" w:rsidRPr="00702885" w:rsidRDefault="002179DF" w:rsidP="000A7932">
      <w:pPr>
        <w:pStyle w:val="Default"/>
        <w:rPr>
          <w:rFonts w:asciiTheme="minorHAnsi" w:hAnsiTheme="minorHAnsi" w:cstheme="minorHAnsi"/>
          <w:b/>
          <w:bCs/>
          <w:iCs/>
          <w:color w:val="auto"/>
          <w:lang w:eastAsia="en-US"/>
        </w:rPr>
      </w:pPr>
    </w:p>
    <w:p w14:paraId="5D4D6CB3" w14:textId="348F29D0" w:rsidR="00D006EF" w:rsidRDefault="00D006EF" w:rsidP="000A7932">
      <w:pPr>
        <w:pStyle w:val="Default"/>
        <w:rPr>
          <w:rFonts w:asciiTheme="minorHAnsi" w:hAnsiTheme="minorHAnsi" w:cstheme="minorHAnsi"/>
          <w:b/>
          <w:bCs/>
          <w:iCs/>
          <w:color w:val="auto"/>
          <w:lang w:eastAsia="en-US"/>
        </w:rPr>
      </w:pPr>
      <w:r w:rsidRPr="00702885">
        <w:rPr>
          <w:rFonts w:asciiTheme="minorHAnsi" w:hAnsiTheme="minorHAnsi" w:cstheme="minorHAnsi"/>
          <w:b/>
          <w:bCs/>
          <w:iCs/>
          <w:color w:val="auto"/>
          <w:lang w:eastAsia="en-US"/>
        </w:rPr>
        <w:lastRenderedPageBreak/>
        <w:t>Measures</w:t>
      </w:r>
    </w:p>
    <w:p w14:paraId="7343DD23" w14:textId="6074C988" w:rsidR="002179DF" w:rsidRDefault="002179DF" w:rsidP="000A7932">
      <w:pPr>
        <w:pStyle w:val="Default"/>
        <w:rPr>
          <w:rFonts w:asciiTheme="minorHAnsi" w:hAnsiTheme="minorHAnsi" w:cstheme="minorHAnsi"/>
        </w:rPr>
      </w:pPr>
      <w:r>
        <w:rPr>
          <w:rFonts w:asciiTheme="minorHAnsi" w:hAnsiTheme="minorHAnsi" w:cstheme="minorHAnsi"/>
        </w:rPr>
        <w:t xml:space="preserve">Review of Clinical Incidents related to Urokinase Administration in Medical Imaging which is routinely performed in the Morbidity and </w:t>
      </w:r>
      <w:r w:rsidR="00A3234B">
        <w:rPr>
          <w:rFonts w:asciiTheme="minorHAnsi" w:hAnsiTheme="minorHAnsi" w:cstheme="minorHAnsi"/>
        </w:rPr>
        <w:t xml:space="preserve">Mortality </w:t>
      </w:r>
      <w:r>
        <w:rPr>
          <w:rFonts w:asciiTheme="minorHAnsi" w:hAnsiTheme="minorHAnsi" w:cstheme="minorHAnsi"/>
        </w:rPr>
        <w:t>Meeting.</w:t>
      </w:r>
    </w:p>
    <w:p w14:paraId="60F9A81F" w14:textId="77777777" w:rsidR="002179DF" w:rsidRPr="00702885" w:rsidRDefault="002179DF" w:rsidP="000A7932">
      <w:pPr>
        <w:pStyle w:val="Default"/>
        <w:rPr>
          <w:rFonts w:asciiTheme="minorHAnsi" w:hAnsiTheme="minorHAnsi" w:cstheme="minorHAnsi"/>
          <w:b/>
          <w:bCs/>
          <w:iCs/>
          <w:color w:val="auto"/>
          <w:lang w:eastAsia="en-US"/>
        </w:rPr>
      </w:pPr>
    </w:p>
    <w:p w14:paraId="5ED58E15" w14:textId="77777777" w:rsidR="00D006EF" w:rsidRPr="00702885" w:rsidRDefault="00CB581B" w:rsidP="000A7932">
      <w:pPr>
        <w:jc w:val="right"/>
        <w:rPr>
          <w:rFonts w:asciiTheme="minorHAnsi" w:hAnsiTheme="minorHAnsi" w:cstheme="minorHAnsi"/>
        </w:rPr>
      </w:pPr>
      <w:hyperlink r:id="rId12" w:anchor="Contents" w:history="1">
        <w:r w:rsidR="00D006EF" w:rsidRPr="00702885">
          <w:rPr>
            <w:rStyle w:val="Hyperlink"/>
            <w:rFonts w:asciiTheme="minorHAnsi" w:eastAsiaTheme="majorEastAsia"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20" w14:textId="77777777" w:rsidTr="008E74FD">
        <w:trPr>
          <w:cantSplit/>
          <w:trHeight w:val="285"/>
        </w:trPr>
        <w:tc>
          <w:tcPr>
            <w:tcW w:w="9158" w:type="dxa"/>
            <w:shd w:val="clear" w:color="auto" w:fill="D9D9D9" w:themeFill="background1" w:themeFillShade="D9"/>
          </w:tcPr>
          <w:p w14:paraId="08682A1F" w14:textId="77777777" w:rsidR="009A534C" w:rsidRPr="00702885" w:rsidRDefault="009A534C" w:rsidP="000A7932">
            <w:pPr>
              <w:pStyle w:val="Heading1"/>
              <w:rPr>
                <w:rFonts w:asciiTheme="minorHAnsi" w:hAnsiTheme="minorHAnsi" w:cstheme="minorHAnsi"/>
              </w:rPr>
            </w:pPr>
            <w:bookmarkStart w:id="15" w:name="_Toc389473287"/>
            <w:bookmarkStart w:id="16" w:name="_Toc393203347"/>
            <w:bookmarkStart w:id="17" w:name="_Toc112666737"/>
            <w:r w:rsidRPr="00702885">
              <w:rPr>
                <w:rFonts w:asciiTheme="minorHAnsi" w:hAnsiTheme="minorHAnsi" w:cstheme="minorHAnsi"/>
              </w:rPr>
              <w:t>Related Policies, Procedures</w:t>
            </w:r>
            <w:bookmarkEnd w:id="15"/>
            <w:r w:rsidRPr="00702885">
              <w:rPr>
                <w:rFonts w:asciiTheme="minorHAnsi" w:hAnsiTheme="minorHAnsi" w:cstheme="minorHAnsi"/>
              </w:rPr>
              <w:t>, Guidelines and Legislation</w:t>
            </w:r>
            <w:bookmarkEnd w:id="16"/>
            <w:bookmarkEnd w:id="17"/>
          </w:p>
        </w:tc>
      </w:tr>
    </w:tbl>
    <w:p w14:paraId="08682A23" w14:textId="77777777" w:rsidR="00D16211" w:rsidRPr="00702885" w:rsidRDefault="00D16211" w:rsidP="000A7932">
      <w:pPr>
        <w:rPr>
          <w:rFonts w:asciiTheme="minorHAnsi" w:hAnsiTheme="minorHAnsi" w:cstheme="minorHAnsi"/>
        </w:rPr>
      </w:pPr>
    </w:p>
    <w:p w14:paraId="08682A24" w14:textId="77777777" w:rsidR="00B61F35" w:rsidRPr="00702885" w:rsidRDefault="00B61F35" w:rsidP="000A7932">
      <w:pPr>
        <w:rPr>
          <w:rFonts w:asciiTheme="minorHAnsi" w:hAnsiTheme="minorHAnsi" w:cstheme="minorHAnsi"/>
          <w:b/>
        </w:rPr>
      </w:pPr>
      <w:r w:rsidRPr="00702885">
        <w:rPr>
          <w:rFonts w:asciiTheme="minorHAnsi" w:hAnsiTheme="minorHAnsi" w:cstheme="minorHAnsi"/>
          <w:b/>
        </w:rPr>
        <w:t>Policies</w:t>
      </w:r>
    </w:p>
    <w:p w14:paraId="08682A26" w14:textId="7C24677B" w:rsidR="00B61F35" w:rsidRPr="00702885" w:rsidRDefault="00DA3122" w:rsidP="000A7932">
      <w:pPr>
        <w:pStyle w:val="ListBullet"/>
        <w:rPr>
          <w:rFonts w:asciiTheme="minorHAnsi" w:hAnsiTheme="minorHAnsi" w:cstheme="minorHAnsi"/>
        </w:rPr>
      </w:pPr>
      <w:r w:rsidRPr="00702885">
        <w:rPr>
          <w:rFonts w:asciiTheme="minorHAnsi" w:hAnsiTheme="minorHAnsi" w:cstheme="minorHAnsi"/>
        </w:rPr>
        <w:t>Informed Consent</w:t>
      </w:r>
      <w:r w:rsidR="004A1EC9" w:rsidRPr="00702885">
        <w:rPr>
          <w:rFonts w:asciiTheme="minorHAnsi" w:hAnsiTheme="minorHAnsi" w:cstheme="minorHAnsi"/>
        </w:rPr>
        <w:t xml:space="preserve"> (Clinical)</w:t>
      </w:r>
    </w:p>
    <w:p w14:paraId="0D5AF497" w14:textId="2502F966" w:rsidR="00DA3122" w:rsidRPr="00702885" w:rsidRDefault="00DA3122" w:rsidP="000A7932">
      <w:pPr>
        <w:pStyle w:val="ListBullet"/>
        <w:rPr>
          <w:rFonts w:asciiTheme="minorHAnsi" w:hAnsiTheme="minorHAnsi" w:cstheme="minorHAnsi"/>
        </w:rPr>
      </w:pPr>
      <w:r w:rsidRPr="00702885">
        <w:rPr>
          <w:rFonts w:asciiTheme="minorHAnsi" w:hAnsiTheme="minorHAnsi" w:cstheme="minorHAnsi"/>
        </w:rPr>
        <w:t xml:space="preserve">Medication </w:t>
      </w:r>
      <w:r w:rsidR="0002784D" w:rsidRPr="00702885">
        <w:rPr>
          <w:rFonts w:asciiTheme="minorHAnsi" w:hAnsiTheme="minorHAnsi" w:cstheme="minorHAnsi"/>
        </w:rPr>
        <w:t xml:space="preserve">Handling </w:t>
      </w:r>
    </w:p>
    <w:p w14:paraId="47D3C091" w14:textId="155D2033" w:rsidR="00000DEB" w:rsidRPr="00702885" w:rsidRDefault="00000DEB" w:rsidP="000A7932">
      <w:pPr>
        <w:pStyle w:val="ListBullet"/>
        <w:rPr>
          <w:rFonts w:asciiTheme="minorHAnsi" w:hAnsiTheme="minorHAnsi" w:cstheme="minorHAnsi"/>
        </w:rPr>
      </w:pPr>
      <w:r w:rsidRPr="00702885">
        <w:rPr>
          <w:rFonts w:asciiTheme="minorHAnsi" w:hAnsiTheme="minorHAnsi" w:cstheme="minorHAnsi"/>
        </w:rPr>
        <w:t xml:space="preserve">Incident Management </w:t>
      </w:r>
      <w:r w:rsidR="00DD3B7A">
        <w:rPr>
          <w:rFonts w:asciiTheme="minorHAnsi" w:hAnsiTheme="minorHAnsi" w:cstheme="minorHAnsi"/>
        </w:rPr>
        <w:t>(Clinical)</w:t>
      </w:r>
    </w:p>
    <w:p w14:paraId="14D6F411" w14:textId="479ECA7C" w:rsidR="00000DEB" w:rsidRPr="00702885" w:rsidRDefault="00000DEB" w:rsidP="000A7932">
      <w:pPr>
        <w:pStyle w:val="ListBullet"/>
        <w:rPr>
          <w:rFonts w:asciiTheme="minorHAnsi" w:hAnsiTheme="minorHAnsi" w:cstheme="minorHAnsi"/>
        </w:rPr>
      </w:pPr>
      <w:r w:rsidRPr="00702885">
        <w:rPr>
          <w:rFonts w:asciiTheme="minorHAnsi" w:hAnsiTheme="minorHAnsi" w:cstheme="minorHAnsi"/>
        </w:rPr>
        <w:t xml:space="preserve">Surgical Safety Checklist </w:t>
      </w:r>
    </w:p>
    <w:p w14:paraId="08682A27" w14:textId="77777777" w:rsidR="00B61F35" w:rsidRPr="00702885" w:rsidRDefault="00B61F35" w:rsidP="000A7932">
      <w:pPr>
        <w:rPr>
          <w:rFonts w:asciiTheme="minorHAnsi" w:hAnsiTheme="minorHAnsi" w:cstheme="minorHAnsi"/>
          <w:szCs w:val="24"/>
        </w:rPr>
      </w:pPr>
    </w:p>
    <w:p w14:paraId="08682A28" w14:textId="77777777" w:rsidR="00B61F35" w:rsidRPr="00702885" w:rsidRDefault="00B61F35" w:rsidP="000A7932">
      <w:pPr>
        <w:rPr>
          <w:rFonts w:asciiTheme="minorHAnsi" w:hAnsiTheme="minorHAnsi" w:cstheme="minorHAnsi"/>
          <w:b/>
        </w:rPr>
      </w:pPr>
      <w:r w:rsidRPr="00702885">
        <w:rPr>
          <w:rFonts w:asciiTheme="minorHAnsi" w:hAnsiTheme="minorHAnsi" w:cstheme="minorHAnsi"/>
          <w:b/>
        </w:rPr>
        <w:t>Procedures</w:t>
      </w:r>
    </w:p>
    <w:p w14:paraId="19097E66" w14:textId="377A56A2" w:rsidR="0002784D" w:rsidRPr="00702885" w:rsidRDefault="0002784D" w:rsidP="000A7932">
      <w:pPr>
        <w:pStyle w:val="ListBullet"/>
        <w:rPr>
          <w:rFonts w:asciiTheme="minorHAnsi" w:hAnsiTheme="minorHAnsi" w:cstheme="minorHAnsi"/>
        </w:rPr>
      </w:pPr>
      <w:r w:rsidRPr="00702885">
        <w:rPr>
          <w:rFonts w:asciiTheme="minorHAnsi" w:hAnsiTheme="minorHAnsi" w:cstheme="minorHAnsi"/>
        </w:rPr>
        <w:t xml:space="preserve">Patient Identification and Procedure Matching </w:t>
      </w:r>
    </w:p>
    <w:p w14:paraId="308B7A06" w14:textId="66EA258B" w:rsidR="00000DEB" w:rsidRPr="00702885" w:rsidRDefault="00000DEB" w:rsidP="000A7932">
      <w:pPr>
        <w:pStyle w:val="ListBullet"/>
        <w:rPr>
          <w:rFonts w:asciiTheme="minorHAnsi" w:hAnsiTheme="minorHAnsi" w:cstheme="minorHAnsi"/>
        </w:rPr>
      </w:pPr>
      <w:r w:rsidRPr="00702885">
        <w:rPr>
          <w:rFonts w:asciiTheme="minorHAnsi" w:hAnsiTheme="minorHAnsi" w:cstheme="minorHAnsi"/>
        </w:rPr>
        <w:t xml:space="preserve">Incident Management </w:t>
      </w:r>
      <w:r w:rsidR="00DD3B7A">
        <w:rPr>
          <w:rFonts w:asciiTheme="minorHAnsi" w:hAnsiTheme="minorHAnsi" w:cstheme="minorHAnsi"/>
        </w:rPr>
        <w:t>(Clinical)</w:t>
      </w:r>
    </w:p>
    <w:p w14:paraId="7D9CCB3F" w14:textId="3FAF2541" w:rsidR="00DD3B7A" w:rsidRDefault="00DD3B7A" w:rsidP="00DD3B7A">
      <w:pPr>
        <w:pStyle w:val="ListBullet"/>
        <w:rPr>
          <w:rFonts w:asciiTheme="minorHAnsi" w:hAnsiTheme="minorHAnsi" w:cstheme="minorHAnsi"/>
        </w:rPr>
      </w:pPr>
      <w:r w:rsidRPr="00702885">
        <w:rPr>
          <w:rFonts w:asciiTheme="minorHAnsi" w:hAnsiTheme="minorHAnsi" w:cstheme="minorHAnsi"/>
        </w:rPr>
        <w:t xml:space="preserve">Clinical Handover </w:t>
      </w:r>
    </w:p>
    <w:p w14:paraId="3D350DB3" w14:textId="6A9747FF" w:rsidR="00DD3B7A" w:rsidRPr="00702885" w:rsidRDefault="00DD3B7A" w:rsidP="00DD3B7A">
      <w:pPr>
        <w:pStyle w:val="ListBullet"/>
        <w:rPr>
          <w:rFonts w:asciiTheme="minorHAnsi" w:hAnsiTheme="minorHAnsi" w:cstheme="minorHAnsi"/>
        </w:rPr>
      </w:pPr>
      <w:r>
        <w:rPr>
          <w:rFonts w:asciiTheme="minorHAnsi" w:hAnsiTheme="minorHAnsi" w:cstheme="minorHAnsi"/>
        </w:rPr>
        <w:t>Medical Imaging Reporting and Procedures</w:t>
      </w:r>
    </w:p>
    <w:p w14:paraId="08682A2B" w14:textId="77777777" w:rsidR="00B61F35" w:rsidRPr="00702885" w:rsidRDefault="00B61F35" w:rsidP="000A7932">
      <w:pPr>
        <w:ind w:left="360"/>
        <w:rPr>
          <w:rFonts w:asciiTheme="minorHAnsi" w:hAnsiTheme="minorHAnsi" w:cstheme="minorHAnsi"/>
          <w:szCs w:val="24"/>
        </w:rPr>
      </w:pPr>
    </w:p>
    <w:p w14:paraId="08682A2C" w14:textId="77777777" w:rsidR="00B61F35" w:rsidRPr="00702885" w:rsidRDefault="00B61F35" w:rsidP="000A7932">
      <w:pPr>
        <w:rPr>
          <w:rFonts w:asciiTheme="minorHAnsi" w:hAnsiTheme="minorHAnsi" w:cstheme="minorHAnsi"/>
          <w:b/>
        </w:rPr>
      </w:pPr>
      <w:r w:rsidRPr="00702885">
        <w:rPr>
          <w:rFonts w:asciiTheme="minorHAnsi" w:hAnsiTheme="minorHAnsi" w:cstheme="minorHAnsi"/>
          <w:b/>
        </w:rPr>
        <w:t xml:space="preserve">Guidelines </w:t>
      </w:r>
    </w:p>
    <w:p w14:paraId="08682A2D" w14:textId="6FB59345" w:rsidR="00B61F35" w:rsidRDefault="00B61F35" w:rsidP="000A7932">
      <w:pPr>
        <w:pStyle w:val="ListBullet"/>
        <w:rPr>
          <w:rFonts w:asciiTheme="minorHAnsi" w:hAnsiTheme="minorHAnsi" w:cstheme="minorHAnsi"/>
        </w:rPr>
      </w:pPr>
      <w:r w:rsidRPr="00702885">
        <w:rPr>
          <w:rFonts w:asciiTheme="minorHAnsi" w:hAnsiTheme="minorHAnsi" w:cstheme="minorHAnsi"/>
        </w:rPr>
        <w:t>Fasting Guidelines</w:t>
      </w:r>
      <w:r w:rsidR="00DD3B7A">
        <w:rPr>
          <w:rFonts w:asciiTheme="minorHAnsi" w:hAnsiTheme="minorHAnsi" w:cstheme="minorHAnsi"/>
        </w:rPr>
        <w:t xml:space="preserve"> for Patients requiring Sedation or Anaesthesia</w:t>
      </w:r>
    </w:p>
    <w:p w14:paraId="6E9BD6AF" w14:textId="003B6166" w:rsidR="00DD3B7A" w:rsidRPr="00702885" w:rsidRDefault="00DD3B7A" w:rsidP="000A7932">
      <w:pPr>
        <w:pStyle w:val="ListBullet"/>
        <w:rPr>
          <w:rFonts w:asciiTheme="minorHAnsi" w:hAnsiTheme="minorHAnsi" w:cstheme="minorHAnsi"/>
        </w:rPr>
      </w:pPr>
      <w:r>
        <w:rPr>
          <w:rFonts w:asciiTheme="minorHAnsi" w:hAnsiTheme="minorHAnsi" w:cstheme="minorHAnsi"/>
        </w:rPr>
        <w:t>ANZCA Sedation and or Analgesia for Diagnostic and Interventional Medical Dental or Surgical Procedures (PS09) 2014 in Adults, Adolescents and Children</w:t>
      </w:r>
    </w:p>
    <w:p w14:paraId="08682A2E" w14:textId="77777777" w:rsidR="00B61F35" w:rsidRPr="00702885" w:rsidRDefault="00B61F35" w:rsidP="000A7932">
      <w:pPr>
        <w:rPr>
          <w:rFonts w:asciiTheme="minorHAnsi" w:hAnsiTheme="minorHAnsi" w:cstheme="minorHAnsi"/>
        </w:rPr>
      </w:pPr>
    </w:p>
    <w:p w14:paraId="08682A2F" w14:textId="007BADBF" w:rsidR="00B61F35" w:rsidRPr="00702885" w:rsidRDefault="00DA3122" w:rsidP="000A7932">
      <w:pPr>
        <w:rPr>
          <w:rFonts w:asciiTheme="minorHAnsi" w:hAnsiTheme="minorHAnsi" w:cstheme="minorHAnsi"/>
          <w:b/>
        </w:rPr>
      </w:pPr>
      <w:r w:rsidRPr="00702885">
        <w:rPr>
          <w:rFonts w:asciiTheme="minorHAnsi" w:hAnsiTheme="minorHAnsi" w:cstheme="minorHAnsi"/>
          <w:b/>
        </w:rPr>
        <w:t>Forms</w:t>
      </w:r>
    </w:p>
    <w:p w14:paraId="08682A30" w14:textId="366F78DE" w:rsidR="00B61F35" w:rsidRPr="00702885" w:rsidRDefault="00DA3122" w:rsidP="000A7932">
      <w:pPr>
        <w:pStyle w:val="ListBullet"/>
        <w:rPr>
          <w:rFonts w:asciiTheme="minorHAnsi" w:hAnsiTheme="minorHAnsi" w:cstheme="minorHAnsi"/>
          <w:iCs/>
        </w:rPr>
      </w:pPr>
      <w:r w:rsidRPr="00702885">
        <w:rPr>
          <w:rFonts w:asciiTheme="minorHAnsi" w:hAnsiTheme="minorHAnsi" w:cstheme="minorHAnsi"/>
          <w:iCs/>
        </w:rPr>
        <w:t xml:space="preserve">Interventional Procedures Booking </w:t>
      </w:r>
    </w:p>
    <w:p w14:paraId="08682A31" w14:textId="334A0426" w:rsidR="00B61F35" w:rsidRPr="00702885" w:rsidRDefault="00DA3122" w:rsidP="000A7932">
      <w:pPr>
        <w:pStyle w:val="ListBullet"/>
        <w:rPr>
          <w:rFonts w:asciiTheme="minorHAnsi" w:hAnsiTheme="minorHAnsi" w:cstheme="minorHAnsi"/>
          <w:iCs/>
        </w:rPr>
      </w:pPr>
      <w:r w:rsidRPr="00702885">
        <w:rPr>
          <w:rFonts w:asciiTheme="minorHAnsi" w:hAnsiTheme="minorHAnsi" w:cstheme="minorHAnsi"/>
          <w:iCs/>
        </w:rPr>
        <w:t>Informed Consent</w:t>
      </w:r>
    </w:p>
    <w:p w14:paraId="5B02D161" w14:textId="51C5B6D7" w:rsidR="00DA3122" w:rsidRPr="00702885" w:rsidRDefault="0002784D" w:rsidP="000A7932">
      <w:pPr>
        <w:pStyle w:val="ListBullet"/>
        <w:rPr>
          <w:rFonts w:asciiTheme="minorHAnsi" w:hAnsiTheme="minorHAnsi" w:cstheme="minorHAnsi"/>
          <w:iCs/>
        </w:rPr>
      </w:pPr>
      <w:r w:rsidRPr="00702885">
        <w:rPr>
          <w:rFonts w:asciiTheme="minorHAnsi" w:hAnsiTheme="minorHAnsi" w:cstheme="minorHAnsi"/>
          <w:iCs/>
        </w:rPr>
        <w:t>Consent Use of a Drug for Unapproved Indication</w:t>
      </w:r>
    </w:p>
    <w:p w14:paraId="290444A0" w14:textId="23C984E5" w:rsidR="007D2D8D" w:rsidRPr="00702885" w:rsidRDefault="007D2D8D" w:rsidP="000A7932">
      <w:pPr>
        <w:pStyle w:val="ListBullet"/>
        <w:numPr>
          <w:ilvl w:val="0"/>
          <w:numId w:val="0"/>
        </w:numPr>
        <w:ind w:left="426" w:hanging="426"/>
        <w:rPr>
          <w:rFonts w:asciiTheme="minorHAnsi" w:hAnsiTheme="minorHAnsi" w:cstheme="minorHAnsi"/>
          <w:iCs/>
        </w:rPr>
      </w:pPr>
    </w:p>
    <w:p w14:paraId="5373B34A" w14:textId="12F8F980" w:rsidR="007D2D8D" w:rsidRPr="00702885" w:rsidRDefault="007D2D8D" w:rsidP="000A7932">
      <w:pPr>
        <w:rPr>
          <w:rFonts w:asciiTheme="minorHAnsi" w:hAnsiTheme="minorHAnsi" w:cstheme="minorHAnsi"/>
          <w:b/>
        </w:rPr>
      </w:pPr>
      <w:r w:rsidRPr="00702885">
        <w:rPr>
          <w:rFonts w:asciiTheme="minorHAnsi" w:hAnsiTheme="minorHAnsi" w:cstheme="minorHAnsi"/>
          <w:b/>
        </w:rPr>
        <w:t>Legislation</w:t>
      </w:r>
    </w:p>
    <w:p w14:paraId="74884E35" w14:textId="692973CD" w:rsidR="007D2D8D" w:rsidRPr="00DD3B7A" w:rsidRDefault="007D2D8D" w:rsidP="00DD3B7A">
      <w:pPr>
        <w:pStyle w:val="ListBullet"/>
        <w:rPr>
          <w:i/>
          <w:iCs/>
        </w:rPr>
      </w:pPr>
      <w:r w:rsidRPr="00DD3B7A">
        <w:rPr>
          <w:i/>
          <w:iCs/>
        </w:rPr>
        <w:t>Medicines, Poisons and Therapeutic Goods Act 2008</w:t>
      </w:r>
    </w:p>
    <w:p w14:paraId="764C775B" w14:textId="5FEDE7BA" w:rsidR="007D2D8D" w:rsidRPr="00DD3B7A" w:rsidRDefault="007D2D8D" w:rsidP="00DD3B7A">
      <w:pPr>
        <w:pStyle w:val="ListBullet"/>
        <w:rPr>
          <w:i/>
          <w:iCs/>
        </w:rPr>
      </w:pPr>
      <w:r w:rsidRPr="00DD3B7A">
        <w:rPr>
          <w:i/>
          <w:iCs/>
        </w:rPr>
        <w:t>Medical Treatment (Health Directions) Act 2006</w:t>
      </w:r>
    </w:p>
    <w:p w14:paraId="5D9042C4" w14:textId="5C98F22A" w:rsidR="007D2D8D" w:rsidRPr="00DD3B7A" w:rsidRDefault="007D2D8D" w:rsidP="00DD3B7A">
      <w:pPr>
        <w:pStyle w:val="ListBullet"/>
        <w:rPr>
          <w:i/>
          <w:iCs/>
        </w:rPr>
      </w:pPr>
      <w:r w:rsidRPr="00DD3B7A">
        <w:rPr>
          <w:i/>
          <w:iCs/>
        </w:rPr>
        <w:t>Human Rights Act 2004</w:t>
      </w:r>
    </w:p>
    <w:p w14:paraId="04FC05B5" w14:textId="77777777" w:rsidR="007D2D8D" w:rsidRPr="00702885" w:rsidRDefault="007D2D8D" w:rsidP="000A7932">
      <w:pPr>
        <w:pStyle w:val="ListBullet"/>
        <w:numPr>
          <w:ilvl w:val="0"/>
          <w:numId w:val="0"/>
        </w:numPr>
        <w:ind w:left="426" w:hanging="426"/>
        <w:rPr>
          <w:rFonts w:asciiTheme="minorHAnsi" w:hAnsiTheme="minorHAnsi" w:cstheme="minorHAnsi"/>
          <w:iCs/>
        </w:rPr>
      </w:pPr>
    </w:p>
    <w:p w14:paraId="08682A33" w14:textId="7511CAFD" w:rsidR="009A534C" w:rsidRPr="00DD3B7A" w:rsidRDefault="00DD3B7A" w:rsidP="00DD3B7A">
      <w:pPr>
        <w:rPr>
          <w:rFonts w:asciiTheme="minorHAnsi" w:hAnsiTheme="minorHAnsi" w:cstheme="minorHAnsi"/>
          <w:b/>
          <w:bCs/>
          <w:iCs/>
          <w:szCs w:val="24"/>
        </w:rPr>
      </w:pPr>
      <w:r>
        <w:rPr>
          <w:rFonts w:asciiTheme="minorHAnsi" w:hAnsiTheme="minorHAnsi" w:cstheme="minorHAnsi"/>
          <w:b/>
          <w:bCs/>
          <w:iCs/>
          <w:szCs w:val="24"/>
        </w:rPr>
        <w:t>Other</w:t>
      </w:r>
    </w:p>
    <w:p w14:paraId="607538FE" w14:textId="7258110B" w:rsidR="00DD3B7A" w:rsidRPr="00DD3B7A" w:rsidRDefault="00DD3B7A" w:rsidP="00DD3B7A">
      <w:pPr>
        <w:pStyle w:val="ListBullet"/>
      </w:pPr>
      <w:r>
        <w:t xml:space="preserve">Australian Charter of Healthcare Rights </w:t>
      </w:r>
    </w:p>
    <w:p w14:paraId="08682A34" w14:textId="77777777" w:rsidR="009A534C" w:rsidRPr="00702885" w:rsidRDefault="00CB581B" w:rsidP="000A7932">
      <w:pPr>
        <w:pStyle w:val="ListParagraph"/>
        <w:jc w:val="right"/>
        <w:rPr>
          <w:rFonts w:asciiTheme="minorHAnsi" w:hAnsiTheme="minorHAnsi" w:cstheme="minorHAnsi"/>
          <w:szCs w:val="24"/>
        </w:rPr>
      </w:pPr>
      <w:hyperlink w:anchor="Contents" w:history="1">
        <w:r w:rsidR="009A534C" w:rsidRPr="00702885">
          <w:rPr>
            <w:rStyle w:val="Hyperlink"/>
            <w:rFonts w:asciiTheme="minorHAnsi" w:eastAsiaTheme="majorEastAsia"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36" w14:textId="77777777" w:rsidTr="008E74FD">
        <w:trPr>
          <w:cantSplit/>
          <w:trHeight w:val="285"/>
        </w:trPr>
        <w:tc>
          <w:tcPr>
            <w:tcW w:w="9158" w:type="dxa"/>
            <w:shd w:val="clear" w:color="auto" w:fill="D9D9D9" w:themeFill="background1" w:themeFillShade="D9"/>
          </w:tcPr>
          <w:p w14:paraId="08682A35" w14:textId="77777777" w:rsidR="009A534C" w:rsidRPr="00702885" w:rsidRDefault="009A534C" w:rsidP="000A7932">
            <w:pPr>
              <w:pStyle w:val="Heading1"/>
              <w:rPr>
                <w:rFonts w:asciiTheme="minorHAnsi" w:hAnsiTheme="minorHAnsi" w:cstheme="minorHAnsi"/>
                <w:szCs w:val="24"/>
              </w:rPr>
            </w:pPr>
            <w:bookmarkStart w:id="18" w:name="_Toc112666738"/>
            <w:r w:rsidRPr="00702885">
              <w:rPr>
                <w:rFonts w:asciiTheme="minorHAnsi" w:hAnsiTheme="minorHAnsi" w:cstheme="minorHAnsi"/>
                <w:szCs w:val="24"/>
              </w:rPr>
              <w:t>References</w:t>
            </w:r>
            <w:bookmarkEnd w:id="18"/>
          </w:p>
        </w:tc>
      </w:tr>
    </w:tbl>
    <w:p w14:paraId="2A55324D" w14:textId="3DE5AA74" w:rsidR="003B77C7" w:rsidRPr="00DD3B7A" w:rsidRDefault="00FE1AEA" w:rsidP="000A7932">
      <w:pPr>
        <w:pStyle w:val="dx-doi"/>
        <w:numPr>
          <w:ilvl w:val="0"/>
          <w:numId w:val="7"/>
        </w:numPr>
        <w:spacing w:before="0" w:after="0"/>
        <w:rPr>
          <w:rFonts w:asciiTheme="minorHAnsi" w:hAnsiTheme="minorHAnsi" w:cstheme="minorHAnsi"/>
          <w:color w:val="333333"/>
        </w:rPr>
      </w:pPr>
      <w:r w:rsidRPr="00DD3B7A">
        <w:rPr>
          <w:rStyle w:val="authors"/>
          <w:rFonts w:asciiTheme="minorHAnsi" w:hAnsiTheme="minorHAnsi" w:cstheme="minorHAnsi"/>
          <w:color w:val="333333"/>
          <w:shd w:val="clear" w:color="auto" w:fill="FFFFFF"/>
        </w:rPr>
        <w:t>Panagiotis M. Kitrou, Konstantinos Katsanos, Panagiotis Papadimatos, Stavros Spiliopoulos &amp; Dimitris Karnabatidis</w:t>
      </w:r>
      <w:r w:rsidRPr="00DD3B7A">
        <w:rPr>
          <w:rFonts w:asciiTheme="minorHAnsi" w:hAnsiTheme="minorHAnsi" w:cstheme="minorHAnsi"/>
          <w:color w:val="333333"/>
          <w:shd w:val="clear" w:color="auto" w:fill="FFFFFF"/>
        </w:rPr>
        <w:t xml:space="preserve"> </w:t>
      </w:r>
      <w:r w:rsidRPr="00DD3B7A">
        <w:rPr>
          <w:rStyle w:val="Date1"/>
          <w:rFonts w:asciiTheme="minorHAnsi" w:hAnsiTheme="minorHAnsi" w:cstheme="minorHAnsi"/>
          <w:color w:val="333333"/>
          <w:shd w:val="clear" w:color="auto" w:fill="FFFFFF"/>
        </w:rPr>
        <w:t>(2018)</w:t>
      </w:r>
      <w:r w:rsidRPr="00DD3B7A">
        <w:rPr>
          <w:rFonts w:asciiTheme="minorHAnsi" w:hAnsiTheme="minorHAnsi" w:cstheme="minorHAnsi"/>
          <w:color w:val="333333"/>
          <w:shd w:val="clear" w:color="auto" w:fill="FFFFFF"/>
        </w:rPr>
        <w:t xml:space="preserve"> </w:t>
      </w:r>
      <w:r w:rsidRPr="00DD3B7A">
        <w:rPr>
          <w:rStyle w:val="arttitle"/>
          <w:rFonts w:asciiTheme="minorHAnsi" w:hAnsiTheme="minorHAnsi" w:cstheme="minorHAnsi"/>
          <w:i/>
          <w:iCs/>
          <w:color w:val="333333"/>
          <w:shd w:val="clear" w:color="auto" w:fill="FFFFFF"/>
        </w:rPr>
        <w:t>A survival guide for endovascular declotting in dialysis access: procedures, devices, and a statistical analysis of 3,000 cases,</w:t>
      </w:r>
      <w:r w:rsidRPr="00DD3B7A">
        <w:rPr>
          <w:rFonts w:asciiTheme="minorHAnsi" w:hAnsiTheme="minorHAnsi" w:cstheme="minorHAnsi"/>
          <w:i/>
          <w:iCs/>
          <w:color w:val="333333"/>
          <w:shd w:val="clear" w:color="auto" w:fill="FFFFFF"/>
        </w:rPr>
        <w:t xml:space="preserve"> </w:t>
      </w:r>
      <w:r w:rsidRPr="00DD3B7A">
        <w:rPr>
          <w:rStyle w:val="serialtitle"/>
          <w:rFonts w:asciiTheme="minorHAnsi" w:hAnsiTheme="minorHAnsi" w:cstheme="minorHAnsi"/>
          <w:i/>
          <w:iCs/>
          <w:color w:val="333333"/>
          <w:shd w:val="clear" w:color="auto" w:fill="FFFFFF"/>
        </w:rPr>
        <w:t>Expert Review of Medical Devices</w:t>
      </w:r>
      <w:r w:rsidRPr="00DD3B7A">
        <w:rPr>
          <w:rStyle w:val="serialtitle"/>
          <w:rFonts w:asciiTheme="minorHAnsi" w:hAnsiTheme="minorHAnsi" w:cstheme="minorHAnsi"/>
          <w:color w:val="333333"/>
          <w:shd w:val="clear" w:color="auto" w:fill="FFFFFF"/>
        </w:rPr>
        <w:t>,</w:t>
      </w:r>
      <w:r w:rsidR="003B77C7" w:rsidRPr="00DD3B7A">
        <w:rPr>
          <w:rFonts w:asciiTheme="minorHAnsi" w:hAnsiTheme="minorHAnsi" w:cstheme="minorHAnsi"/>
          <w:b/>
          <w:bCs/>
          <w:color w:val="333333"/>
        </w:rPr>
        <w:t xml:space="preserve"> </w:t>
      </w:r>
      <w:hyperlink r:id="rId13" w:history="1">
        <w:r w:rsidR="003B77C7" w:rsidRPr="00DD3B7A">
          <w:rPr>
            <w:rStyle w:val="Hyperlink"/>
            <w:rFonts w:asciiTheme="minorHAnsi" w:hAnsiTheme="minorHAnsi" w:cstheme="minorHAnsi"/>
          </w:rPr>
          <w:t>https://doi.org/10.1080/17434440.2018.1454311</w:t>
        </w:r>
      </w:hyperlink>
    </w:p>
    <w:p w14:paraId="0D9B075C" w14:textId="01FBC61F" w:rsidR="00263FD1" w:rsidRPr="00DD3B7A" w:rsidRDefault="00263FD1" w:rsidP="000A7932">
      <w:pPr>
        <w:pStyle w:val="ListParagraph"/>
        <w:numPr>
          <w:ilvl w:val="0"/>
          <w:numId w:val="7"/>
        </w:numPr>
        <w:shd w:val="clear" w:color="auto" w:fill="FFFFFF"/>
        <w:wordWrap w:val="0"/>
        <w:textAlignment w:val="baseline"/>
        <w:rPr>
          <w:rFonts w:asciiTheme="minorHAnsi" w:hAnsiTheme="minorHAnsi" w:cstheme="minorHAnsi"/>
          <w:szCs w:val="24"/>
          <w:lang w:eastAsia="en-AU"/>
        </w:rPr>
      </w:pPr>
      <w:r w:rsidRPr="00DD3B7A">
        <w:rPr>
          <w:rFonts w:asciiTheme="minorHAnsi" w:hAnsiTheme="minorHAnsi" w:cstheme="minorHAnsi"/>
          <w:szCs w:val="24"/>
          <w:lang w:eastAsia="en-AU"/>
        </w:rPr>
        <w:lastRenderedPageBreak/>
        <w:t xml:space="preserve">Wan, Z., Xiang, R., Wang, H., Zhong, Q., &amp; Tu, B. (2019). </w:t>
      </w:r>
      <w:r w:rsidRPr="00DD3B7A">
        <w:rPr>
          <w:rFonts w:asciiTheme="minorHAnsi" w:hAnsiTheme="minorHAnsi" w:cstheme="minorHAnsi"/>
          <w:i/>
          <w:iCs/>
          <w:szCs w:val="24"/>
          <w:lang w:eastAsia="en-AU"/>
        </w:rPr>
        <w:t>Comparative efficacy and safety of local and peripheral venous thrombolytic therapy with urokinase for thrombosed hemodialysis arteriovenous fistulas</w:t>
      </w:r>
      <w:r w:rsidRPr="00DD3B7A">
        <w:rPr>
          <w:rFonts w:asciiTheme="minorHAnsi" w:hAnsiTheme="minorHAnsi" w:cstheme="minorHAnsi"/>
          <w:szCs w:val="24"/>
          <w:lang w:eastAsia="en-AU"/>
        </w:rPr>
        <w:t>. Experimental and Therapeutic Medicine</w:t>
      </w:r>
      <w:r w:rsidR="007973AF" w:rsidRPr="00DD3B7A">
        <w:rPr>
          <w:rFonts w:asciiTheme="minorHAnsi" w:hAnsiTheme="minorHAnsi" w:cstheme="minorHAnsi"/>
          <w:szCs w:val="24"/>
          <w:lang w:eastAsia="en-AU"/>
        </w:rPr>
        <w:t>:</w:t>
      </w:r>
      <w:r w:rsidRPr="00DD3B7A">
        <w:rPr>
          <w:rFonts w:asciiTheme="minorHAnsi" w:hAnsiTheme="minorHAnsi" w:cstheme="minorHAnsi"/>
          <w:szCs w:val="24"/>
          <w:lang w:eastAsia="en-AU"/>
        </w:rPr>
        <w:t xml:space="preserve"> 17, 4279-4284. https://doi.org/10.3892/etm.2019.7415</w:t>
      </w:r>
    </w:p>
    <w:p w14:paraId="01770D3F" w14:textId="2F7E44C5" w:rsidR="003B77C7" w:rsidRPr="00DD3B7A" w:rsidRDefault="009C535B" w:rsidP="000A7932">
      <w:pPr>
        <w:pStyle w:val="ListParagraph"/>
        <w:numPr>
          <w:ilvl w:val="0"/>
          <w:numId w:val="7"/>
        </w:numPr>
        <w:shd w:val="clear" w:color="auto" w:fill="FFFFFF"/>
        <w:spacing w:before="100" w:beforeAutospacing="1" w:after="100" w:afterAutospacing="1"/>
        <w:outlineLvl w:val="0"/>
        <w:rPr>
          <w:rStyle w:val="Hyperlink"/>
          <w:rFonts w:asciiTheme="minorHAnsi" w:hAnsiTheme="minorHAnsi" w:cstheme="minorHAnsi"/>
          <w:color w:val="212121"/>
          <w:szCs w:val="24"/>
          <w:u w:val="none"/>
          <w:lang w:eastAsia="en-AU"/>
        </w:rPr>
      </w:pPr>
      <w:r w:rsidRPr="00DD3B7A">
        <w:rPr>
          <w:rFonts w:asciiTheme="minorHAnsi" w:hAnsiTheme="minorHAnsi" w:cstheme="minorHAnsi"/>
          <w:szCs w:val="24"/>
        </w:rPr>
        <w:t xml:space="preserve">Falk A, Trerotola S, Valji K (2013) </w:t>
      </w:r>
      <w:r w:rsidR="007973AF" w:rsidRPr="00DD3B7A">
        <w:rPr>
          <w:rFonts w:asciiTheme="minorHAnsi" w:hAnsiTheme="minorHAnsi" w:cstheme="minorHAnsi"/>
          <w:i/>
          <w:iCs/>
          <w:szCs w:val="24"/>
        </w:rPr>
        <w:t>Roundtable: A</w:t>
      </w:r>
      <w:r w:rsidRPr="00DD3B7A">
        <w:rPr>
          <w:rFonts w:asciiTheme="minorHAnsi" w:hAnsiTheme="minorHAnsi" w:cstheme="minorHAnsi"/>
          <w:i/>
          <w:iCs/>
          <w:szCs w:val="24"/>
        </w:rPr>
        <w:t>ddressing the Clotted Access.</w:t>
      </w:r>
      <w:r w:rsidRPr="00DD3B7A">
        <w:rPr>
          <w:rFonts w:asciiTheme="minorHAnsi" w:hAnsiTheme="minorHAnsi" w:cstheme="minorHAnsi"/>
          <w:szCs w:val="24"/>
        </w:rPr>
        <w:t xml:space="preserve"> Endovascular Today,</w:t>
      </w:r>
      <w:r w:rsidR="007973AF" w:rsidRPr="00DD3B7A">
        <w:rPr>
          <w:rFonts w:asciiTheme="minorHAnsi" w:hAnsiTheme="minorHAnsi" w:cstheme="minorHAnsi"/>
          <w:szCs w:val="24"/>
        </w:rPr>
        <w:t xml:space="preserve"> 2013 June: 52-58.</w:t>
      </w:r>
      <w:r w:rsidRPr="00DD3B7A">
        <w:rPr>
          <w:rFonts w:asciiTheme="minorHAnsi" w:hAnsiTheme="minorHAnsi" w:cstheme="minorHAnsi"/>
          <w:szCs w:val="24"/>
        </w:rPr>
        <w:t xml:space="preserve"> </w:t>
      </w:r>
      <w:hyperlink r:id="rId14" w:history="1">
        <w:r w:rsidR="003B77C7" w:rsidRPr="00DD3B7A">
          <w:rPr>
            <w:rStyle w:val="Hyperlink"/>
            <w:rFonts w:asciiTheme="minorHAnsi" w:hAnsiTheme="minorHAnsi" w:cstheme="minorHAnsi"/>
            <w:szCs w:val="24"/>
          </w:rPr>
          <w:t>et0613_f1_roundtable.pdf (evtoday.com)</w:t>
        </w:r>
      </w:hyperlink>
    </w:p>
    <w:p w14:paraId="1168FFCF" w14:textId="3732E71B" w:rsidR="003B77C7" w:rsidRPr="00DD3B7A" w:rsidRDefault="007973AF" w:rsidP="000A7932">
      <w:pPr>
        <w:pStyle w:val="ListParagraph"/>
        <w:numPr>
          <w:ilvl w:val="0"/>
          <w:numId w:val="7"/>
        </w:numPr>
        <w:shd w:val="clear" w:color="auto" w:fill="FFFFFF"/>
        <w:spacing w:before="100" w:beforeAutospacing="1" w:after="100" w:afterAutospacing="1"/>
        <w:outlineLvl w:val="0"/>
        <w:rPr>
          <w:rFonts w:asciiTheme="minorHAnsi" w:hAnsiTheme="minorHAnsi" w:cstheme="minorHAnsi"/>
          <w:szCs w:val="24"/>
        </w:rPr>
      </w:pPr>
      <w:r w:rsidRPr="00DD3B7A">
        <w:rPr>
          <w:rFonts w:asciiTheme="minorHAnsi" w:hAnsiTheme="minorHAnsi" w:cstheme="minorHAnsi"/>
        </w:rPr>
        <w:t xml:space="preserve">Schon D, Mishler R (2000) </w:t>
      </w:r>
      <w:r w:rsidRPr="00DD3B7A">
        <w:rPr>
          <w:rFonts w:asciiTheme="minorHAnsi" w:hAnsiTheme="minorHAnsi" w:cstheme="minorHAnsi"/>
          <w:i/>
          <w:iCs/>
        </w:rPr>
        <w:t>Salvage of occluded autologous arteriovenous fistulae</w:t>
      </w:r>
      <w:r w:rsidRPr="00DD3B7A">
        <w:rPr>
          <w:rFonts w:asciiTheme="minorHAnsi" w:hAnsiTheme="minorHAnsi" w:cstheme="minorHAnsi"/>
          <w:i/>
          <w:iCs/>
          <w:szCs w:val="24"/>
        </w:rPr>
        <w:t xml:space="preserve">. </w:t>
      </w:r>
      <w:r w:rsidRPr="00DD3B7A">
        <w:rPr>
          <w:rFonts w:asciiTheme="minorHAnsi" w:hAnsiTheme="minorHAnsi" w:cstheme="minorHAnsi"/>
          <w:szCs w:val="24"/>
        </w:rPr>
        <w:t>American Journal of Kidney Diseases, 2000</w:t>
      </w:r>
      <w:r w:rsidR="00FE1113" w:rsidRPr="00DD3B7A">
        <w:rPr>
          <w:rFonts w:asciiTheme="minorHAnsi" w:hAnsiTheme="minorHAnsi" w:cstheme="minorHAnsi"/>
          <w:szCs w:val="24"/>
        </w:rPr>
        <w:t xml:space="preserve"> </w:t>
      </w:r>
      <w:r w:rsidRPr="00DD3B7A">
        <w:rPr>
          <w:rFonts w:asciiTheme="minorHAnsi" w:hAnsiTheme="minorHAnsi" w:cstheme="minorHAnsi"/>
          <w:szCs w:val="24"/>
        </w:rPr>
        <w:t xml:space="preserve">Volume 36, Issue 4, 200: 804-810, </w:t>
      </w:r>
      <w:hyperlink r:id="rId15" w:history="1">
        <w:r w:rsidRPr="00DD3B7A">
          <w:rPr>
            <w:rStyle w:val="Hyperlink"/>
            <w:rFonts w:asciiTheme="minorHAnsi" w:hAnsiTheme="minorHAnsi" w:cstheme="minorHAnsi"/>
            <w:szCs w:val="24"/>
          </w:rPr>
          <w:t>https://doi.org/10.1053/ajkd.2000.17671</w:t>
        </w:r>
      </w:hyperlink>
    </w:p>
    <w:p w14:paraId="6FC9D11C" w14:textId="72AF6E38" w:rsidR="003B77C7" w:rsidRPr="00DD3B7A" w:rsidRDefault="00FE1113" w:rsidP="000A7932">
      <w:pPr>
        <w:pStyle w:val="ListParagraph"/>
        <w:numPr>
          <w:ilvl w:val="0"/>
          <w:numId w:val="7"/>
        </w:numPr>
        <w:rPr>
          <w:rFonts w:asciiTheme="minorHAnsi" w:hAnsiTheme="minorHAnsi" w:cstheme="minorHAnsi"/>
        </w:rPr>
      </w:pPr>
      <w:r w:rsidRPr="00DD3B7A">
        <w:rPr>
          <w:rFonts w:asciiTheme="minorHAnsi" w:hAnsiTheme="minorHAnsi" w:cstheme="minorHAnsi"/>
        </w:rPr>
        <w:t>SESLHD Clinical Stream Nurse Manager Surgery, Anaesthetics Peri operative Services, SGH Clinical Nurse Educator, Medical Imaging Department, POW Clinical Nurse Consultant, Medical Imaging Department, SGH Medical Director, Medical Imaging, POW Director Intensive Care, POW &amp; SG, Department of Vascular Surgery, SGH &amp; POW Clinical Nurse Consultant Clinical Nurse Educator ICU, SGH Clinical Nurse Educator, Radiology Department (2020)</w:t>
      </w:r>
      <w:r w:rsidRPr="00DD3B7A">
        <w:rPr>
          <w:rFonts w:asciiTheme="minorHAnsi" w:hAnsiTheme="minorHAnsi" w:cstheme="minorHAnsi"/>
          <w:i/>
          <w:iCs/>
        </w:rPr>
        <w:t xml:space="preserve"> Administration of Urokinase in Specific Clinical Areas. </w:t>
      </w:r>
      <w:hyperlink r:id="rId16" w:history="1">
        <w:r w:rsidR="003B77C7" w:rsidRPr="00DD3B7A">
          <w:rPr>
            <w:rStyle w:val="Hyperlink"/>
            <w:rFonts w:asciiTheme="minorHAnsi" w:hAnsiTheme="minorHAnsi" w:cstheme="minorHAnsi"/>
            <w:szCs w:val="24"/>
          </w:rPr>
          <w:t>SESIH P&amp;P Framework (nsw.gov.au)</w:t>
        </w:r>
      </w:hyperlink>
    </w:p>
    <w:p w14:paraId="08682A3C" w14:textId="77777777" w:rsidR="000728F3" w:rsidRPr="00702885" w:rsidRDefault="000728F3" w:rsidP="000A7932">
      <w:pPr>
        <w:rPr>
          <w:rFonts w:asciiTheme="minorHAnsi" w:hAnsiTheme="minorHAnsi" w:cstheme="minorHAnsi"/>
        </w:rPr>
      </w:pPr>
    </w:p>
    <w:p w14:paraId="08682A3D" w14:textId="77777777" w:rsidR="00E41A47" w:rsidRPr="00702885" w:rsidRDefault="00CB581B" w:rsidP="000A7932">
      <w:pPr>
        <w:jc w:val="right"/>
        <w:rPr>
          <w:rFonts w:asciiTheme="minorHAnsi" w:hAnsiTheme="minorHAnsi" w:cstheme="minorHAnsi"/>
        </w:rPr>
      </w:pPr>
      <w:hyperlink w:anchor="Contents" w:history="1">
        <w:r w:rsidR="00E41A47" w:rsidRPr="00702885">
          <w:rPr>
            <w:rStyle w:val="Hyperlink"/>
            <w:rFonts w:asciiTheme="minorHAnsi" w:eastAsiaTheme="majorEastAsia"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702885" w14:paraId="08682A3F" w14:textId="77777777" w:rsidTr="008E74FD">
        <w:trPr>
          <w:cantSplit/>
          <w:trHeight w:val="285"/>
        </w:trPr>
        <w:tc>
          <w:tcPr>
            <w:tcW w:w="9158" w:type="dxa"/>
            <w:shd w:val="clear" w:color="auto" w:fill="D9D9D9" w:themeFill="background1" w:themeFillShade="D9"/>
          </w:tcPr>
          <w:p w14:paraId="08682A3E" w14:textId="69550D23" w:rsidR="004A6A76" w:rsidRPr="00702885" w:rsidRDefault="004A6A76" w:rsidP="000A7932">
            <w:pPr>
              <w:pStyle w:val="Heading1"/>
              <w:rPr>
                <w:rFonts w:asciiTheme="minorHAnsi" w:hAnsiTheme="minorHAnsi" w:cstheme="minorHAnsi"/>
              </w:rPr>
            </w:pPr>
            <w:bookmarkStart w:id="19" w:name="_Toc112666739"/>
            <w:bookmarkStart w:id="20" w:name="_Toc396290588"/>
            <w:r w:rsidRPr="00702885">
              <w:rPr>
                <w:rFonts w:asciiTheme="minorHAnsi" w:hAnsiTheme="minorHAnsi" w:cstheme="minorHAnsi"/>
              </w:rPr>
              <w:t>Definition of Terms</w:t>
            </w:r>
            <w:bookmarkEnd w:id="19"/>
            <w:r w:rsidRPr="00702885">
              <w:rPr>
                <w:rFonts w:asciiTheme="minorHAnsi" w:hAnsiTheme="minorHAnsi" w:cstheme="minorHAnsi"/>
              </w:rPr>
              <w:t xml:space="preserve"> </w:t>
            </w:r>
            <w:bookmarkEnd w:id="20"/>
            <w:r w:rsidRPr="00702885">
              <w:rPr>
                <w:rFonts w:asciiTheme="minorHAnsi" w:hAnsiTheme="minorHAnsi" w:cstheme="minorHAnsi"/>
              </w:rPr>
              <w:t xml:space="preserve"> </w:t>
            </w:r>
          </w:p>
        </w:tc>
      </w:tr>
    </w:tbl>
    <w:p w14:paraId="33306452" w14:textId="77777777" w:rsidR="00000DEB" w:rsidRPr="00702885" w:rsidRDefault="00000DEB" w:rsidP="000A7932">
      <w:pPr>
        <w:rPr>
          <w:rFonts w:asciiTheme="minorHAnsi" w:hAnsiTheme="minorHAnsi" w:cstheme="minorHAnsi"/>
          <w:b/>
          <w:bCs/>
          <w:szCs w:val="24"/>
        </w:rPr>
      </w:pPr>
    </w:p>
    <w:p w14:paraId="67F70B8B" w14:textId="6BFB15B0" w:rsidR="00000DEB" w:rsidRPr="00702885" w:rsidRDefault="00000DEB" w:rsidP="000A7932">
      <w:pPr>
        <w:rPr>
          <w:rFonts w:asciiTheme="minorHAnsi" w:hAnsiTheme="minorHAnsi" w:cstheme="minorHAnsi"/>
          <w:szCs w:val="24"/>
        </w:rPr>
      </w:pPr>
      <w:r w:rsidRPr="00000DEB">
        <w:rPr>
          <w:rFonts w:asciiTheme="minorHAnsi" w:hAnsiTheme="minorHAnsi" w:cstheme="minorHAnsi"/>
          <w:b/>
          <w:bCs/>
          <w:szCs w:val="24"/>
        </w:rPr>
        <w:t>Clinical Handover</w:t>
      </w:r>
      <w:r w:rsidRPr="00000DEB">
        <w:rPr>
          <w:rFonts w:asciiTheme="minorHAnsi" w:hAnsiTheme="minorHAnsi" w:cstheme="minorHAnsi"/>
          <w:szCs w:val="24"/>
        </w:rPr>
        <w:t xml:space="preserve"> - Is the communication process that enables the ‘transfer of professional responsibility and accountability for some or all aspects of care for a patient, or group of patients, to another person or professional group on a temporary or permanent basis’. This is an all-encompassing statement intended to include all interactions relating to the care of an individual patient.</w:t>
      </w:r>
    </w:p>
    <w:p w14:paraId="1A7BECC4" w14:textId="77777777" w:rsidR="00000DEB" w:rsidRPr="00000DEB" w:rsidRDefault="00000DEB" w:rsidP="000A7932">
      <w:pPr>
        <w:rPr>
          <w:rFonts w:asciiTheme="minorHAnsi" w:hAnsiTheme="minorHAnsi" w:cstheme="minorHAnsi"/>
          <w:b/>
          <w:bCs/>
          <w:szCs w:val="24"/>
        </w:rPr>
      </w:pPr>
    </w:p>
    <w:p w14:paraId="3F2D7FD2" w14:textId="26EA6CEE" w:rsidR="00000DEB" w:rsidRPr="00702885" w:rsidRDefault="00000DEB" w:rsidP="000A7932">
      <w:pPr>
        <w:rPr>
          <w:rFonts w:asciiTheme="minorHAnsi" w:hAnsiTheme="minorHAnsi" w:cstheme="minorHAnsi"/>
          <w:szCs w:val="24"/>
        </w:rPr>
      </w:pPr>
      <w:r w:rsidRPr="00000DEB">
        <w:rPr>
          <w:rFonts w:asciiTheme="minorHAnsi" w:hAnsiTheme="minorHAnsi" w:cstheme="minorHAnsi"/>
          <w:b/>
          <w:bCs/>
          <w:szCs w:val="24"/>
        </w:rPr>
        <w:t>Incident</w:t>
      </w:r>
      <w:r w:rsidRPr="00000DEB">
        <w:rPr>
          <w:rFonts w:asciiTheme="minorHAnsi" w:hAnsiTheme="minorHAnsi" w:cstheme="minorHAnsi"/>
          <w:szCs w:val="24"/>
        </w:rPr>
        <w:t xml:space="preserve"> </w:t>
      </w:r>
      <w:r w:rsidRPr="00702885">
        <w:rPr>
          <w:rFonts w:asciiTheme="minorHAnsi" w:hAnsiTheme="minorHAnsi" w:cstheme="minorHAnsi"/>
          <w:szCs w:val="24"/>
        </w:rPr>
        <w:t>-</w:t>
      </w:r>
      <w:r w:rsidRPr="00000DEB">
        <w:rPr>
          <w:rFonts w:asciiTheme="minorHAnsi" w:hAnsiTheme="minorHAnsi" w:cstheme="minorHAnsi"/>
          <w:szCs w:val="24"/>
        </w:rPr>
        <w:t xml:space="preserve"> </w:t>
      </w:r>
      <w:r w:rsidRPr="00702885">
        <w:rPr>
          <w:rFonts w:asciiTheme="minorHAnsi" w:hAnsiTheme="minorHAnsi" w:cstheme="minorHAnsi"/>
          <w:szCs w:val="24"/>
        </w:rPr>
        <w:t>A clinical incident is an event or circumstance that did result in unintended harm or could have resulted in unintended harm (near miss) to a patient/client/consumer resulting from, or contributed to, by health care provided by Canberra Health Services and outside the natural disease process. This resultant harm differed from the expected outcome of the patient/client/consumer management.</w:t>
      </w:r>
    </w:p>
    <w:p w14:paraId="1EC048F2" w14:textId="77777777" w:rsidR="00000DEB" w:rsidRPr="00000DEB" w:rsidRDefault="00000DEB" w:rsidP="000A7932">
      <w:pPr>
        <w:rPr>
          <w:rFonts w:asciiTheme="minorHAnsi" w:hAnsiTheme="minorHAnsi" w:cstheme="minorHAnsi"/>
          <w:szCs w:val="24"/>
        </w:rPr>
      </w:pPr>
    </w:p>
    <w:p w14:paraId="08682A40" w14:textId="295DFF13" w:rsidR="004A6A76" w:rsidRPr="00702885" w:rsidRDefault="00000DEB" w:rsidP="000A7932">
      <w:pPr>
        <w:rPr>
          <w:rFonts w:asciiTheme="minorHAnsi" w:hAnsiTheme="minorHAnsi" w:cstheme="minorHAnsi"/>
          <w:szCs w:val="24"/>
        </w:rPr>
      </w:pPr>
      <w:r w:rsidRPr="00702885">
        <w:rPr>
          <w:rFonts w:asciiTheme="minorHAnsi" w:hAnsiTheme="minorHAnsi" w:cstheme="minorHAnsi"/>
          <w:b/>
          <w:bCs/>
          <w:szCs w:val="24"/>
        </w:rPr>
        <w:t xml:space="preserve">Declotting </w:t>
      </w:r>
      <w:r w:rsidRPr="00702885">
        <w:rPr>
          <w:rFonts w:asciiTheme="minorHAnsi" w:hAnsiTheme="minorHAnsi" w:cstheme="minorHAnsi"/>
          <w:szCs w:val="24"/>
        </w:rPr>
        <w:t xml:space="preserve">- </w:t>
      </w:r>
      <w:r w:rsidR="00617EA8" w:rsidRPr="00702885">
        <w:rPr>
          <w:rFonts w:asciiTheme="minorHAnsi" w:hAnsiTheme="minorHAnsi" w:cstheme="minorHAnsi"/>
          <w:szCs w:val="24"/>
        </w:rPr>
        <w:t>Dialysis fistula/graft declotting and interventions are minimally invasive procedures performed to improve or restore blood flow in the fistula and grafts placed in the blood vessels of dialysis patients.</w:t>
      </w:r>
    </w:p>
    <w:p w14:paraId="7E628A57" w14:textId="00853EE2" w:rsidR="003B77C7" w:rsidRPr="00702885" w:rsidRDefault="003B77C7" w:rsidP="000A7932">
      <w:pPr>
        <w:rPr>
          <w:rFonts w:asciiTheme="minorHAnsi" w:hAnsiTheme="minorHAnsi" w:cstheme="minorHAnsi"/>
          <w:szCs w:val="24"/>
        </w:rPr>
      </w:pPr>
    </w:p>
    <w:p w14:paraId="08682A43" w14:textId="77777777" w:rsidR="004A6A76" w:rsidRPr="00702885" w:rsidRDefault="00CB581B" w:rsidP="000A7932">
      <w:pPr>
        <w:jc w:val="right"/>
        <w:rPr>
          <w:rFonts w:asciiTheme="minorHAnsi" w:hAnsiTheme="minorHAnsi" w:cstheme="minorHAnsi"/>
        </w:rPr>
      </w:pPr>
      <w:hyperlink w:anchor="Contents" w:history="1">
        <w:r w:rsidR="004A6A76" w:rsidRPr="00702885">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702885" w14:paraId="08682A45" w14:textId="77777777" w:rsidTr="008E74FD">
        <w:trPr>
          <w:cantSplit/>
          <w:trHeight w:val="285"/>
        </w:trPr>
        <w:tc>
          <w:tcPr>
            <w:tcW w:w="9158" w:type="dxa"/>
            <w:shd w:val="clear" w:color="auto" w:fill="D9D9D9" w:themeFill="background1" w:themeFillShade="D9"/>
          </w:tcPr>
          <w:p w14:paraId="08682A44" w14:textId="77777777" w:rsidR="004A6A76" w:rsidRPr="00702885" w:rsidRDefault="004A6A76" w:rsidP="000A7932">
            <w:pPr>
              <w:pStyle w:val="Heading1"/>
              <w:rPr>
                <w:rFonts w:asciiTheme="minorHAnsi" w:hAnsiTheme="minorHAnsi" w:cstheme="minorHAnsi"/>
              </w:rPr>
            </w:pPr>
            <w:bookmarkStart w:id="21" w:name="_Toc389473290"/>
            <w:bookmarkStart w:id="22" w:name="_Toc396290589"/>
            <w:bookmarkStart w:id="23" w:name="_Toc112666740"/>
            <w:r w:rsidRPr="00702885">
              <w:rPr>
                <w:rFonts w:asciiTheme="minorHAnsi" w:hAnsiTheme="minorHAnsi" w:cstheme="minorHAnsi"/>
              </w:rPr>
              <w:t>Search Terms</w:t>
            </w:r>
            <w:bookmarkEnd w:id="21"/>
            <w:bookmarkEnd w:id="22"/>
            <w:bookmarkEnd w:id="23"/>
            <w:r w:rsidRPr="00702885">
              <w:rPr>
                <w:rFonts w:asciiTheme="minorHAnsi" w:hAnsiTheme="minorHAnsi" w:cstheme="minorHAnsi"/>
              </w:rPr>
              <w:t xml:space="preserve"> </w:t>
            </w:r>
          </w:p>
        </w:tc>
      </w:tr>
    </w:tbl>
    <w:p w14:paraId="08682A46" w14:textId="77777777" w:rsidR="004A6A76" w:rsidRPr="00702885" w:rsidRDefault="004A6A76" w:rsidP="000A7932">
      <w:pPr>
        <w:rPr>
          <w:rFonts w:asciiTheme="minorHAnsi" w:hAnsiTheme="minorHAnsi" w:cstheme="minorHAnsi"/>
          <w:bCs/>
          <w:i/>
          <w:szCs w:val="24"/>
          <w:lang w:eastAsia="en-AU"/>
        </w:rPr>
      </w:pPr>
    </w:p>
    <w:p w14:paraId="08682A47" w14:textId="6BFBCECC" w:rsidR="00D42B85" w:rsidRPr="00DD3B7A" w:rsidRDefault="00DA3122" w:rsidP="000A7932">
      <w:pPr>
        <w:rPr>
          <w:rFonts w:asciiTheme="minorHAnsi" w:hAnsiTheme="minorHAnsi" w:cstheme="minorHAnsi"/>
          <w:bCs/>
          <w:iCs/>
          <w:szCs w:val="24"/>
          <w:lang w:eastAsia="en-AU"/>
        </w:rPr>
      </w:pPr>
      <w:r w:rsidRPr="00DD3B7A">
        <w:rPr>
          <w:rFonts w:asciiTheme="minorHAnsi" w:hAnsiTheme="minorHAnsi" w:cstheme="minorHAnsi"/>
          <w:bCs/>
          <w:iCs/>
          <w:szCs w:val="24"/>
          <w:lang w:eastAsia="en-AU"/>
        </w:rPr>
        <w:t>Urokinase, Interventional, declotting, thrombolysis, dialysis</w:t>
      </w:r>
      <w:r w:rsidR="00617EA8" w:rsidRPr="00DD3B7A">
        <w:rPr>
          <w:rFonts w:asciiTheme="minorHAnsi" w:hAnsiTheme="minorHAnsi" w:cstheme="minorHAnsi"/>
          <w:bCs/>
          <w:iCs/>
          <w:szCs w:val="24"/>
          <w:lang w:eastAsia="en-AU"/>
        </w:rPr>
        <w:t>, fistula, graft, arteriovenous</w:t>
      </w:r>
    </w:p>
    <w:p w14:paraId="08682A48" w14:textId="77777777" w:rsidR="004A6A76" w:rsidRPr="00702885" w:rsidRDefault="004A6A76" w:rsidP="000A7932">
      <w:pPr>
        <w:jc w:val="both"/>
        <w:rPr>
          <w:rFonts w:asciiTheme="minorHAnsi" w:hAnsiTheme="minorHAnsi" w:cstheme="minorHAnsi"/>
          <w:b/>
          <w:i/>
          <w:sz w:val="22"/>
          <w:szCs w:val="22"/>
        </w:rPr>
      </w:pPr>
    </w:p>
    <w:p w14:paraId="08682A49" w14:textId="77777777" w:rsidR="004A6A76" w:rsidRPr="00702885" w:rsidRDefault="00CB581B" w:rsidP="000A7932">
      <w:pPr>
        <w:jc w:val="right"/>
        <w:rPr>
          <w:rFonts w:asciiTheme="minorHAnsi" w:hAnsiTheme="minorHAnsi" w:cstheme="minorHAnsi"/>
        </w:rPr>
      </w:pPr>
      <w:hyperlink w:anchor="_top" w:history="1">
        <w:r w:rsidR="004A6A76" w:rsidRPr="00702885">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702885" w14:paraId="08682A4B" w14:textId="77777777" w:rsidTr="008E74FD">
        <w:trPr>
          <w:cantSplit/>
          <w:trHeight w:val="285"/>
        </w:trPr>
        <w:tc>
          <w:tcPr>
            <w:tcW w:w="9158" w:type="dxa"/>
            <w:shd w:val="clear" w:color="auto" w:fill="D9D9D9" w:themeFill="background1" w:themeFillShade="D9"/>
          </w:tcPr>
          <w:p w14:paraId="08682A4A" w14:textId="77777777" w:rsidR="009A534C" w:rsidRPr="00702885" w:rsidRDefault="009A534C" w:rsidP="000A7932">
            <w:pPr>
              <w:pStyle w:val="Heading1"/>
              <w:rPr>
                <w:rFonts w:asciiTheme="minorHAnsi" w:hAnsiTheme="minorHAnsi" w:cstheme="minorHAnsi"/>
                <w:szCs w:val="24"/>
              </w:rPr>
            </w:pPr>
            <w:bookmarkStart w:id="24" w:name="_Toc112666741"/>
            <w:r w:rsidRPr="00702885">
              <w:rPr>
                <w:rFonts w:asciiTheme="minorHAnsi" w:hAnsiTheme="minorHAnsi" w:cstheme="minorHAnsi"/>
                <w:szCs w:val="24"/>
              </w:rPr>
              <w:lastRenderedPageBreak/>
              <w:t>Attachments</w:t>
            </w:r>
            <w:bookmarkEnd w:id="24"/>
          </w:p>
        </w:tc>
      </w:tr>
    </w:tbl>
    <w:p w14:paraId="08682A4E" w14:textId="77777777" w:rsidR="009A534C" w:rsidRPr="00702885" w:rsidRDefault="009A534C" w:rsidP="000A7932">
      <w:pPr>
        <w:rPr>
          <w:rFonts w:asciiTheme="minorHAnsi" w:hAnsiTheme="minorHAnsi" w:cstheme="minorHAnsi"/>
          <w:iCs/>
          <w:sz w:val="20"/>
        </w:rPr>
      </w:pPr>
    </w:p>
    <w:p w14:paraId="08682A4F" w14:textId="77777777" w:rsidR="009A534C" w:rsidRPr="00702885" w:rsidRDefault="009A534C" w:rsidP="000A7932">
      <w:pPr>
        <w:rPr>
          <w:rFonts w:asciiTheme="minorHAnsi" w:hAnsiTheme="minorHAnsi" w:cstheme="minorHAnsi"/>
          <w:iCs/>
          <w:sz w:val="20"/>
        </w:rPr>
      </w:pPr>
    </w:p>
    <w:p w14:paraId="08682A50" w14:textId="2AE7F3B4" w:rsidR="00153FB3" w:rsidRPr="00702885" w:rsidRDefault="00153FB3" w:rsidP="000A7932">
      <w:pPr>
        <w:rPr>
          <w:rFonts w:asciiTheme="minorHAnsi" w:hAnsiTheme="minorHAnsi" w:cstheme="minorHAnsi"/>
          <w:i/>
          <w:iCs/>
          <w:sz w:val="20"/>
        </w:rPr>
      </w:pPr>
      <w:r w:rsidRPr="00702885">
        <w:rPr>
          <w:rFonts w:asciiTheme="minorHAnsi" w:hAnsiTheme="minorHAnsi" w:cstheme="minorHAnsi"/>
          <w:b/>
          <w:sz w:val="20"/>
        </w:rPr>
        <w:t>Disclaimer</w:t>
      </w:r>
      <w:r w:rsidRPr="00702885">
        <w:rPr>
          <w:rFonts w:asciiTheme="minorHAnsi" w:hAnsiTheme="minorHAnsi" w:cstheme="minorHAnsi"/>
          <w:sz w:val="20"/>
        </w:rPr>
        <w:t xml:space="preserve">: </w:t>
      </w:r>
      <w:r w:rsidRPr="00702885">
        <w:rPr>
          <w:rFonts w:asciiTheme="minorHAnsi" w:hAnsiTheme="minorHAnsi" w:cstheme="minorHAnsi"/>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sidRPr="00702885">
        <w:rPr>
          <w:rFonts w:asciiTheme="minorHAnsi" w:hAnsiTheme="minorHAnsi" w:cstheme="minorHAnsi"/>
          <w:i/>
          <w:iCs/>
          <w:sz w:val="20"/>
        </w:rPr>
        <w:t>Canberra Health Services</w:t>
      </w:r>
      <w:r w:rsidRPr="00702885">
        <w:rPr>
          <w:rFonts w:asciiTheme="minorHAnsi" w:hAnsiTheme="minorHAnsi" w:cstheme="minorHAnsi"/>
          <w:i/>
          <w:iCs/>
          <w:sz w:val="20"/>
        </w:rPr>
        <w:t xml:space="preserve"> assumes no responsibility whatsoever.</w:t>
      </w:r>
    </w:p>
    <w:p w14:paraId="08682A51" w14:textId="77777777" w:rsidR="00153FB3" w:rsidRPr="00702885" w:rsidRDefault="00153FB3" w:rsidP="000A7932">
      <w:pPr>
        <w:rPr>
          <w:rFonts w:asciiTheme="minorHAnsi" w:hAnsiTheme="minorHAnsi" w:cstheme="minorHAnsi"/>
          <w:i/>
          <w:iCs/>
          <w:sz w:val="20"/>
        </w:rPr>
      </w:pPr>
    </w:p>
    <w:p w14:paraId="08682A52" w14:textId="77777777" w:rsidR="00153FB3" w:rsidRPr="00702885" w:rsidRDefault="00153FB3" w:rsidP="000A7932">
      <w:pPr>
        <w:rPr>
          <w:rFonts w:asciiTheme="minorHAnsi" w:hAnsiTheme="minorHAnsi" w:cstheme="minorHAnsi"/>
          <w:i/>
          <w:iCs/>
          <w:sz w:val="20"/>
        </w:rPr>
      </w:pPr>
      <w:r w:rsidRPr="00702885">
        <w:rPr>
          <w:rFonts w:asciiTheme="minorHAnsi" w:hAnsiTheme="minorHAnsi" w:cstheme="minorHAnsi"/>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702885" w14:paraId="08682A57" w14:textId="77777777" w:rsidTr="005B3A1A">
        <w:tc>
          <w:tcPr>
            <w:tcW w:w="2265" w:type="dxa"/>
          </w:tcPr>
          <w:p w14:paraId="08682A53"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Date Amended</w:t>
            </w:r>
          </w:p>
        </w:tc>
        <w:tc>
          <w:tcPr>
            <w:tcW w:w="2265" w:type="dxa"/>
          </w:tcPr>
          <w:p w14:paraId="08682A54"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Section Amended</w:t>
            </w:r>
          </w:p>
        </w:tc>
        <w:tc>
          <w:tcPr>
            <w:tcW w:w="2265" w:type="dxa"/>
          </w:tcPr>
          <w:p w14:paraId="08682A55"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Divisional Approval</w:t>
            </w:r>
          </w:p>
        </w:tc>
        <w:tc>
          <w:tcPr>
            <w:tcW w:w="2265" w:type="dxa"/>
          </w:tcPr>
          <w:p w14:paraId="08682A56"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 xml:space="preserve">Final Approval </w:t>
            </w:r>
          </w:p>
        </w:tc>
      </w:tr>
      <w:tr w:rsidR="00153FB3" w:rsidRPr="00702885" w14:paraId="08682A5C" w14:textId="77777777" w:rsidTr="005B3A1A">
        <w:tc>
          <w:tcPr>
            <w:tcW w:w="2265" w:type="dxa"/>
          </w:tcPr>
          <w:p w14:paraId="08682A58" w14:textId="1CD1EF49" w:rsidR="00153FB3" w:rsidRPr="00702885" w:rsidRDefault="00054A08" w:rsidP="000A7932">
            <w:pPr>
              <w:rPr>
                <w:rFonts w:asciiTheme="minorHAnsi" w:hAnsiTheme="minorHAnsi" w:cstheme="minorHAnsi"/>
                <w:i/>
                <w:sz w:val="20"/>
              </w:rPr>
            </w:pPr>
            <w:r>
              <w:rPr>
                <w:rFonts w:asciiTheme="minorHAnsi" w:hAnsiTheme="minorHAnsi" w:cstheme="minorHAnsi"/>
                <w:i/>
                <w:sz w:val="20"/>
              </w:rPr>
              <w:t>16/09/2022</w:t>
            </w:r>
          </w:p>
        </w:tc>
        <w:tc>
          <w:tcPr>
            <w:tcW w:w="2265" w:type="dxa"/>
          </w:tcPr>
          <w:p w14:paraId="08682A59" w14:textId="16A96DC9" w:rsidR="00153FB3" w:rsidRPr="00702885" w:rsidRDefault="00054A08" w:rsidP="000A7932">
            <w:pPr>
              <w:rPr>
                <w:rFonts w:asciiTheme="minorHAnsi" w:hAnsiTheme="minorHAnsi" w:cstheme="minorHAnsi"/>
                <w:i/>
                <w:sz w:val="20"/>
              </w:rPr>
            </w:pPr>
            <w:r>
              <w:rPr>
                <w:rFonts w:asciiTheme="minorHAnsi" w:hAnsiTheme="minorHAnsi" w:cstheme="minorHAnsi"/>
                <w:i/>
                <w:sz w:val="20"/>
              </w:rPr>
              <w:t>New Documents</w:t>
            </w:r>
          </w:p>
        </w:tc>
        <w:tc>
          <w:tcPr>
            <w:tcW w:w="2265" w:type="dxa"/>
          </w:tcPr>
          <w:p w14:paraId="08682A5A" w14:textId="66AB786C" w:rsidR="00153FB3" w:rsidRPr="00702885" w:rsidRDefault="00CB581B" w:rsidP="000A7932">
            <w:pPr>
              <w:rPr>
                <w:rFonts w:asciiTheme="minorHAnsi" w:hAnsiTheme="minorHAnsi" w:cstheme="minorHAnsi"/>
                <w:i/>
                <w:sz w:val="20"/>
              </w:rPr>
            </w:pPr>
            <w:r>
              <w:rPr>
                <w:rFonts w:asciiTheme="minorHAnsi" w:hAnsiTheme="minorHAnsi" w:cstheme="minorHAnsi"/>
                <w:i/>
                <w:sz w:val="20"/>
              </w:rPr>
              <w:t>Ashwin Swaminathan A/g ED Medical Services</w:t>
            </w:r>
          </w:p>
        </w:tc>
        <w:tc>
          <w:tcPr>
            <w:tcW w:w="2265" w:type="dxa"/>
          </w:tcPr>
          <w:p w14:paraId="08682A5B" w14:textId="1B5E61CC" w:rsidR="00153FB3" w:rsidRPr="00702885" w:rsidRDefault="00CB581B" w:rsidP="000A7932">
            <w:pPr>
              <w:rPr>
                <w:rFonts w:asciiTheme="minorHAnsi" w:hAnsiTheme="minorHAnsi" w:cstheme="minorHAnsi"/>
                <w:i/>
                <w:sz w:val="20"/>
              </w:rPr>
            </w:pPr>
            <w:r>
              <w:rPr>
                <w:rFonts w:asciiTheme="minorHAnsi" w:hAnsiTheme="minorHAnsi" w:cstheme="minorHAnsi"/>
                <w:i/>
                <w:sz w:val="20"/>
              </w:rPr>
              <w:t>CHS Policy Committee</w:t>
            </w:r>
          </w:p>
        </w:tc>
      </w:tr>
      <w:tr w:rsidR="00153FB3" w:rsidRPr="00702885" w14:paraId="08682A61" w14:textId="77777777" w:rsidTr="005B3A1A">
        <w:tc>
          <w:tcPr>
            <w:tcW w:w="2265" w:type="dxa"/>
          </w:tcPr>
          <w:p w14:paraId="08682A5D" w14:textId="77777777" w:rsidR="00153FB3" w:rsidRPr="00702885" w:rsidRDefault="00153FB3" w:rsidP="000A7932">
            <w:pPr>
              <w:rPr>
                <w:rFonts w:asciiTheme="minorHAnsi" w:hAnsiTheme="minorHAnsi" w:cstheme="minorHAnsi"/>
                <w:i/>
                <w:sz w:val="20"/>
              </w:rPr>
            </w:pPr>
          </w:p>
        </w:tc>
        <w:tc>
          <w:tcPr>
            <w:tcW w:w="2265" w:type="dxa"/>
          </w:tcPr>
          <w:p w14:paraId="08682A5E" w14:textId="77777777" w:rsidR="00153FB3" w:rsidRPr="00702885" w:rsidRDefault="00153FB3" w:rsidP="000A7932">
            <w:pPr>
              <w:rPr>
                <w:rFonts w:asciiTheme="minorHAnsi" w:hAnsiTheme="minorHAnsi" w:cstheme="minorHAnsi"/>
                <w:i/>
                <w:sz w:val="20"/>
              </w:rPr>
            </w:pPr>
          </w:p>
        </w:tc>
        <w:tc>
          <w:tcPr>
            <w:tcW w:w="2265" w:type="dxa"/>
          </w:tcPr>
          <w:p w14:paraId="08682A5F" w14:textId="77777777" w:rsidR="00153FB3" w:rsidRPr="00702885" w:rsidRDefault="00153FB3" w:rsidP="000A7932">
            <w:pPr>
              <w:rPr>
                <w:rFonts w:asciiTheme="minorHAnsi" w:hAnsiTheme="minorHAnsi" w:cstheme="minorHAnsi"/>
                <w:i/>
                <w:sz w:val="20"/>
              </w:rPr>
            </w:pPr>
          </w:p>
        </w:tc>
        <w:tc>
          <w:tcPr>
            <w:tcW w:w="2265" w:type="dxa"/>
          </w:tcPr>
          <w:p w14:paraId="08682A60" w14:textId="77777777" w:rsidR="00153FB3" w:rsidRPr="00702885" w:rsidRDefault="00153FB3" w:rsidP="000A7932">
            <w:pPr>
              <w:rPr>
                <w:rFonts w:asciiTheme="minorHAnsi" w:hAnsiTheme="minorHAnsi" w:cstheme="minorHAnsi"/>
                <w:i/>
                <w:sz w:val="20"/>
              </w:rPr>
            </w:pPr>
          </w:p>
        </w:tc>
      </w:tr>
    </w:tbl>
    <w:p w14:paraId="08682A62" w14:textId="77777777" w:rsidR="00153FB3" w:rsidRPr="00702885" w:rsidRDefault="00153FB3" w:rsidP="000A7932">
      <w:pPr>
        <w:rPr>
          <w:rFonts w:asciiTheme="minorHAnsi" w:hAnsiTheme="minorHAnsi" w:cstheme="minorHAnsi"/>
          <w:sz w:val="20"/>
        </w:rPr>
      </w:pPr>
    </w:p>
    <w:p w14:paraId="08682A63"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702885" w14:paraId="08682A66" w14:textId="77777777" w:rsidTr="005B3A1A">
        <w:tc>
          <w:tcPr>
            <w:tcW w:w="2122" w:type="dxa"/>
          </w:tcPr>
          <w:p w14:paraId="08682A64"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Document Number</w:t>
            </w:r>
          </w:p>
        </w:tc>
        <w:tc>
          <w:tcPr>
            <w:tcW w:w="6938" w:type="dxa"/>
          </w:tcPr>
          <w:p w14:paraId="08682A65" w14:textId="77777777" w:rsidR="00153FB3" w:rsidRPr="00702885" w:rsidRDefault="00153FB3" w:rsidP="000A7932">
            <w:pPr>
              <w:rPr>
                <w:rFonts w:asciiTheme="minorHAnsi" w:hAnsiTheme="minorHAnsi" w:cstheme="minorHAnsi"/>
                <w:i/>
                <w:sz w:val="20"/>
              </w:rPr>
            </w:pPr>
            <w:r w:rsidRPr="00702885">
              <w:rPr>
                <w:rFonts w:asciiTheme="minorHAnsi" w:hAnsiTheme="minorHAnsi" w:cstheme="minorHAnsi"/>
                <w:i/>
                <w:sz w:val="20"/>
              </w:rPr>
              <w:t>Document Name</w:t>
            </w:r>
          </w:p>
        </w:tc>
      </w:tr>
      <w:tr w:rsidR="00153FB3" w:rsidRPr="00702885" w14:paraId="08682A69" w14:textId="77777777" w:rsidTr="005B3A1A">
        <w:tc>
          <w:tcPr>
            <w:tcW w:w="2122" w:type="dxa"/>
          </w:tcPr>
          <w:p w14:paraId="08682A67" w14:textId="77777777" w:rsidR="00153FB3" w:rsidRPr="00702885" w:rsidRDefault="00153FB3" w:rsidP="000A7932">
            <w:pPr>
              <w:rPr>
                <w:rFonts w:asciiTheme="minorHAnsi" w:hAnsiTheme="minorHAnsi" w:cstheme="minorHAnsi"/>
                <w:i/>
                <w:sz w:val="20"/>
              </w:rPr>
            </w:pPr>
          </w:p>
        </w:tc>
        <w:tc>
          <w:tcPr>
            <w:tcW w:w="6938" w:type="dxa"/>
          </w:tcPr>
          <w:p w14:paraId="08682A68" w14:textId="77777777" w:rsidR="00153FB3" w:rsidRPr="00702885" w:rsidRDefault="00153FB3" w:rsidP="000A7932">
            <w:pPr>
              <w:rPr>
                <w:rFonts w:asciiTheme="minorHAnsi" w:hAnsiTheme="minorHAnsi" w:cstheme="minorHAnsi"/>
                <w:i/>
                <w:sz w:val="20"/>
              </w:rPr>
            </w:pPr>
          </w:p>
        </w:tc>
      </w:tr>
      <w:tr w:rsidR="00153FB3" w:rsidRPr="00702885" w14:paraId="08682A6C" w14:textId="77777777" w:rsidTr="005B3A1A">
        <w:tc>
          <w:tcPr>
            <w:tcW w:w="2122" w:type="dxa"/>
          </w:tcPr>
          <w:p w14:paraId="08682A6A" w14:textId="77777777" w:rsidR="00153FB3" w:rsidRPr="00702885" w:rsidRDefault="00153FB3" w:rsidP="000A7932">
            <w:pPr>
              <w:rPr>
                <w:rFonts w:asciiTheme="minorHAnsi" w:hAnsiTheme="minorHAnsi" w:cstheme="minorHAnsi"/>
                <w:i/>
                <w:sz w:val="20"/>
              </w:rPr>
            </w:pPr>
          </w:p>
        </w:tc>
        <w:tc>
          <w:tcPr>
            <w:tcW w:w="6938" w:type="dxa"/>
          </w:tcPr>
          <w:p w14:paraId="08682A6B" w14:textId="77777777" w:rsidR="00153FB3" w:rsidRPr="00702885" w:rsidRDefault="00153FB3" w:rsidP="000A7932">
            <w:pPr>
              <w:rPr>
                <w:rFonts w:asciiTheme="minorHAnsi" w:hAnsiTheme="minorHAnsi" w:cstheme="minorHAnsi"/>
                <w:i/>
                <w:sz w:val="20"/>
              </w:rPr>
            </w:pPr>
          </w:p>
        </w:tc>
      </w:tr>
    </w:tbl>
    <w:p w14:paraId="08682A6D" w14:textId="77777777" w:rsidR="00010E74" w:rsidRPr="00702885" w:rsidRDefault="00010E74" w:rsidP="000A7932">
      <w:pPr>
        <w:rPr>
          <w:rFonts w:asciiTheme="minorHAnsi" w:hAnsiTheme="minorHAnsi" w:cstheme="minorHAnsi"/>
          <w:i/>
          <w:sz w:val="20"/>
          <w:szCs w:val="24"/>
        </w:rPr>
      </w:pPr>
    </w:p>
    <w:sectPr w:rsidR="00010E74" w:rsidRPr="00702885" w:rsidSect="00B10F87">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5F44" w14:textId="77777777" w:rsidR="00272328" w:rsidRDefault="00272328" w:rsidP="00F66CB0">
      <w:r>
        <w:separator/>
      </w:r>
    </w:p>
  </w:endnote>
  <w:endnote w:type="continuationSeparator" w:id="0">
    <w:p w14:paraId="1F0D10E3" w14:textId="77777777" w:rsidR="00272328" w:rsidRDefault="00272328" w:rsidP="00F66CB0">
      <w:r>
        <w:continuationSeparator/>
      </w:r>
    </w:p>
  </w:endnote>
  <w:endnote w:type="continuationNotice" w:id="1">
    <w:p w14:paraId="296FC14D" w14:textId="77777777" w:rsidR="00272328" w:rsidRDefault="0027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5B9C2E3F" w:rsidR="001670BB" w:rsidRPr="00542EE6" w:rsidRDefault="00054A08" w:rsidP="00B10F87">
          <w:pPr>
            <w:pStyle w:val="Footer"/>
            <w:rPr>
              <w:rFonts w:cs="Arial"/>
              <w:b/>
              <w:bCs/>
              <w:sz w:val="20"/>
            </w:rPr>
          </w:pPr>
          <w:r>
            <w:rPr>
              <w:b/>
              <w:sz w:val="20"/>
            </w:rPr>
            <w:t>CHS22/360</w:t>
          </w:r>
        </w:p>
      </w:tc>
      <w:tc>
        <w:tcPr>
          <w:tcW w:w="965" w:type="dxa"/>
        </w:tcPr>
        <w:p w14:paraId="08682A7E" w14:textId="525768C3" w:rsidR="001670BB" w:rsidRPr="00B3752F" w:rsidRDefault="00054A08" w:rsidP="00B10F87">
          <w:pPr>
            <w:pStyle w:val="Footer"/>
            <w:rPr>
              <w:rFonts w:cs="Arial"/>
              <w:b/>
              <w:bCs/>
              <w:sz w:val="20"/>
            </w:rPr>
          </w:pPr>
          <w:r>
            <w:rPr>
              <w:rFonts w:cs="Arial"/>
              <w:b/>
              <w:bCs/>
              <w:sz w:val="20"/>
            </w:rPr>
            <w:t>1</w:t>
          </w:r>
        </w:p>
      </w:tc>
      <w:tc>
        <w:tcPr>
          <w:tcW w:w="1552" w:type="dxa"/>
        </w:tcPr>
        <w:p w14:paraId="08682A7F" w14:textId="5F5651AC" w:rsidR="001670BB" w:rsidRPr="00B3752F" w:rsidRDefault="00054A08" w:rsidP="00B10F87">
          <w:pPr>
            <w:pStyle w:val="Footer"/>
            <w:rPr>
              <w:rFonts w:cs="Arial"/>
              <w:b/>
              <w:bCs/>
              <w:sz w:val="20"/>
            </w:rPr>
          </w:pPr>
          <w:r>
            <w:rPr>
              <w:rFonts w:cs="Arial"/>
              <w:b/>
              <w:bCs/>
              <w:sz w:val="20"/>
            </w:rPr>
            <w:t>16/09/2022</w:t>
          </w:r>
        </w:p>
      </w:tc>
      <w:tc>
        <w:tcPr>
          <w:tcW w:w="1456" w:type="dxa"/>
        </w:tcPr>
        <w:p w14:paraId="08682A80" w14:textId="7B47316A" w:rsidR="001670BB" w:rsidRPr="00B3752F" w:rsidRDefault="00054A08" w:rsidP="00470E63">
          <w:pPr>
            <w:pStyle w:val="Footer"/>
            <w:rPr>
              <w:rFonts w:cs="Arial"/>
              <w:b/>
              <w:bCs/>
              <w:sz w:val="20"/>
            </w:rPr>
          </w:pPr>
          <w:r>
            <w:rPr>
              <w:rFonts w:cs="Arial"/>
              <w:b/>
              <w:bCs/>
              <w:sz w:val="20"/>
            </w:rPr>
            <w:t>1/10/2023</w:t>
          </w:r>
        </w:p>
      </w:tc>
      <w:tc>
        <w:tcPr>
          <w:tcW w:w="1746" w:type="dxa"/>
        </w:tcPr>
        <w:p w14:paraId="08682A81" w14:textId="23F7AE28" w:rsidR="001670BB" w:rsidRPr="00B3752F" w:rsidRDefault="00054A08" w:rsidP="00B10F87">
          <w:pPr>
            <w:pStyle w:val="Footer"/>
            <w:rPr>
              <w:rFonts w:cs="Arial"/>
              <w:b/>
              <w:bCs/>
              <w:sz w:val="20"/>
            </w:rPr>
          </w:pPr>
          <w:r>
            <w:rPr>
              <w:rFonts w:cs="Arial"/>
              <w:b/>
              <w:bCs/>
              <w:sz w:val="20"/>
            </w:rPr>
            <w:t>MSG- Medical Imaging</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CC26" w14:textId="77777777" w:rsidR="00272328" w:rsidRDefault="00272328" w:rsidP="00F66CB0">
      <w:r>
        <w:separator/>
      </w:r>
    </w:p>
  </w:footnote>
  <w:footnote w:type="continuationSeparator" w:id="0">
    <w:p w14:paraId="7345A2A4" w14:textId="77777777" w:rsidR="00272328" w:rsidRDefault="00272328" w:rsidP="00F66CB0">
      <w:r>
        <w:continuationSeparator/>
      </w:r>
    </w:p>
  </w:footnote>
  <w:footnote w:type="continuationNotice" w:id="1">
    <w:p w14:paraId="31741A43" w14:textId="77777777" w:rsidR="00272328" w:rsidRDefault="00272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41827C1C" w:rsidR="00A939DF" w:rsidRDefault="00054A08" w:rsidP="00A939DF">
          <w:pPr>
            <w:pStyle w:val="Header"/>
            <w:tabs>
              <w:tab w:val="left" w:pos="720"/>
            </w:tabs>
            <w:jc w:val="right"/>
            <w:rPr>
              <w:sz w:val="20"/>
            </w:rPr>
          </w:pPr>
          <w:bookmarkStart w:id="25" w:name="_top"/>
          <w:bookmarkEnd w:id="25"/>
          <w:r>
            <w:rPr>
              <w:sz w:val="20"/>
            </w:rPr>
            <w:t>CHS22/360</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D094F06"/>
    <w:multiLevelType w:val="hybridMultilevel"/>
    <w:tmpl w:val="A87AC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3625AC6"/>
    <w:multiLevelType w:val="hybridMultilevel"/>
    <w:tmpl w:val="DC12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723A7D"/>
    <w:multiLevelType w:val="hybridMultilevel"/>
    <w:tmpl w:val="35348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2C5D6E"/>
    <w:multiLevelType w:val="hybridMultilevel"/>
    <w:tmpl w:val="0DF4A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C76BF"/>
    <w:multiLevelType w:val="hybridMultilevel"/>
    <w:tmpl w:val="02A4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2E1376"/>
    <w:multiLevelType w:val="hybridMultilevel"/>
    <w:tmpl w:val="4B509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3" w15:restartNumberingAfterBreak="0">
    <w:nsid w:val="51550336"/>
    <w:multiLevelType w:val="hybridMultilevel"/>
    <w:tmpl w:val="D0725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592C6E"/>
    <w:multiLevelType w:val="hybridMultilevel"/>
    <w:tmpl w:val="12CA2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C621EF5"/>
    <w:multiLevelType w:val="hybridMultilevel"/>
    <w:tmpl w:val="B6045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5"/>
  </w:num>
  <w:num w:numId="5">
    <w:abstractNumId w:val="6"/>
  </w:num>
  <w:num w:numId="6">
    <w:abstractNumId w:val="3"/>
  </w:num>
  <w:num w:numId="7">
    <w:abstractNumId w:val="16"/>
  </w:num>
  <w:num w:numId="8">
    <w:abstractNumId w:val="12"/>
  </w:num>
  <w:num w:numId="9">
    <w:abstractNumId w:val="10"/>
  </w:num>
  <w:num w:numId="10">
    <w:abstractNumId w:val="10"/>
  </w:num>
  <w:num w:numId="11">
    <w:abstractNumId w:val="2"/>
  </w:num>
  <w:num w:numId="12">
    <w:abstractNumId w:val="13"/>
  </w:num>
  <w:num w:numId="13">
    <w:abstractNumId w:val="9"/>
  </w:num>
  <w:num w:numId="14">
    <w:abstractNumId w:val="11"/>
  </w:num>
  <w:num w:numId="15">
    <w:abstractNumId w:val="4"/>
  </w:num>
  <w:num w:numId="16">
    <w:abstractNumId w:val="8"/>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DEB"/>
    <w:rsid w:val="00010E74"/>
    <w:rsid w:val="000121C3"/>
    <w:rsid w:val="00015B90"/>
    <w:rsid w:val="0001607A"/>
    <w:rsid w:val="00023E49"/>
    <w:rsid w:val="0002784D"/>
    <w:rsid w:val="00051E7F"/>
    <w:rsid w:val="00054A08"/>
    <w:rsid w:val="000728F3"/>
    <w:rsid w:val="000759EF"/>
    <w:rsid w:val="000A3D5E"/>
    <w:rsid w:val="000A7932"/>
    <w:rsid w:val="000B5C8C"/>
    <w:rsid w:val="000C59E2"/>
    <w:rsid w:val="000C7B2D"/>
    <w:rsid w:val="000D2998"/>
    <w:rsid w:val="000E6A5A"/>
    <w:rsid w:val="000F7B7E"/>
    <w:rsid w:val="0010015B"/>
    <w:rsid w:val="00103EEA"/>
    <w:rsid w:val="0010454D"/>
    <w:rsid w:val="00121CAB"/>
    <w:rsid w:val="00135BB7"/>
    <w:rsid w:val="00153FB3"/>
    <w:rsid w:val="001661E3"/>
    <w:rsid w:val="001670BB"/>
    <w:rsid w:val="0018239D"/>
    <w:rsid w:val="00191109"/>
    <w:rsid w:val="001A0053"/>
    <w:rsid w:val="001B2465"/>
    <w:rsid w:val="001E64DB"/>
    <w:rsid w:val="001F2829"/>
    <w:rsid w:val="001F50D2"/>
    <w:rsid w:val="001F6D2D"/>
    <w:rsid w:val="00205AF9"/>
    <w:rsid w:val="002179DF"/>
    <w:rsid w:val="00240B97"/>
    <w:rsid w:val="00242500"/>
    <w:rsid w:val="0025382D"/>
    <w:rsid w:val="00253F5A"/>
    <w:rsid w:val="00263BA6"/>
    <w:rsid w:val="00263FD1"/>
    <w:rsid w:val="00264894"/>
    <w:rsid w:val="00266379"/>
    <w:rsid w:val="0026690C"/>
    <w:rsid w:val="00272328"/>
    <w:rsid w:val="0027264D"/>
    <w:rsid w:val="002757CD"/>
    <w:rsid w:val="00293E43"/>
    <w:rsid w:val="002B478A"/>
    <w:rsid w:val="002B5F43"/>
    <w:rsid w:val="002B78A2"/>
    <w:rsid w:val="002C05A8"/>
    <w:rsid w:val="002D61A9"/>
    <w:rsid w:val="002F0CB7"/>
    <w:rsid w:val="002F7AFC"/>
    <w:rsid w:val="00313707"/>
    <w:rsid w:val="00317A4E"/>
    <w:rsid w:val="00342059"/>
    <w:rsid w:val="003428B8"/>
    <w:rsid w:val="00355235"/>
    <w:rsid w:val="00364759"/>
    <w:rsid w:val="00376A6D"/>
    <w:rsid w:val="00380B98"/>
    <w:rsid w:val="00391E52"/>
    <w:rsid w:val="00396023"/>
    <w:rsid w:val="00396F11"/>
    <w:rsid w:val="003B77C7"/>
    <w:rsid w:val="003C1B1D"/>
    <w:rsid w:val="003C4BB5"/>
    <w:rsid w:val="003E167B"/>
    <w:rsid w:val="003E4CC0"/>
    <w:rsid w:val="003F3D8F"/>
    <w:rsid w:val="00412CED"/>
    <w:rsid w:val="00427139"/>
    <w:rsid w:val="004358E9"/>
    <w:rsid w:val="00447B55"/>
    <w:rsid w:val="00461A81"/>
    <w:rsid w:val="00465C91"/>
    <w:rsid w:val="00470E63"/>
    <w:rsid w:val="00487DD5"/>
    <w:rsid w:val="004A1EC9"/>
    <w:rsid w:val="004A2E02"/>
    <w:rsid w:val="004A3572"/>
    <w:rsid w:val="004A6A76"/>
    <w:rsid w:val="004B1C6C"/>
    <w:rsid w:val="004B7C43"/>
    <w:rsid w:val="004C2B20"/>
    <w:rsid w:val="004C7C85"/>
    <w:rsid w:val="004E28AD"/>
    <w:rsid w:val="004F1D05"/>
    <w:rsid w:val="0050147B"/>
    <w:rsid w:val="00503F75"/>
    <w:rsid w:val="0052443C"/>
    <w:rsid w:val="0052775E"/>
    <w:rsid w:val="00536015"/>
    <w:rsid w:val="00540585"/>
    <w:rsid w:val="00542514"/>
    <w:rsid w:val="00546AED"/>
    <w:rsid w:val="00561B51"/>
    <w:rsid w:val="005621E4"/>
    <w:rsid w:val="005736DB"/>
    <w:rsid w:val="005743AC"/>
    <w:rsid w:val="00596FD7"/>
    <w:rsid w:val="005A3625"/>
    <w:rsid w:val="005B4738"/>
    <w:rsid w:val="005C212D"/>
    <w:rsid w:val="005C3CB0"/>
    <w:rsid w:val="005C48A3"/>
    <w:rsid w:val="0060659F"/>
    <w:rsid w:val="00612231"/>
    <w:rsid w:val="00614380"/>
    <w:rsid w:val="00617EA8"/>
    <w:rsid w:val="00635EB1"/>
    <w:rsid w:val="006473BB"/>
    <w:rsid w:val="00651872"/>
    <w:rsid w:val="0065246A"/>
    <w:rsid w:val="00653F21"/>
    <w:rsid w:val="0066495D"/>
    <w:rsid w:val="006743DB"/>
    <w:rsid w:val="00674551"/>
    <w:rsid w:val="00695EB6"/>
    <w:rsid w:val="006A4D46"/>
    <w:rsid w:val="006A6024"/>
    <w:rsid w:val="006B17F7"/>
    <w:rsid w:val="006C31FF"/>
    <w:rsid w:val="006C6B6C"/>
    <w:rsid w:val="006C704D"/>
    <w:rsid w:val="006E2D18"/>
    <w:rsid w:val="006E401C"/>
    <w:rsid w:val="006F095D"/>
    <w:rsid w:val="00702885"/>
    <w:rsid w:val="0070331D"/>
    <w:rsid w:val="00734EF0"/>
    <w:rsid w:val="00741B43"/>
    <w:rsid w:val="00754BD6"/>
    <w:rsid w:val="00756537"/>
    <w:rsid w:val="00775280"/>
    <w:rsid w:val="00785ACD"/>
    <w:rsid w:val="007973AF"/>
    <w:rsid w:val="007A0EBC"/>
    <w:rsid w:val="007A3E21"/>
    <w:rsid w:val="007B4ABB"/>
    <w:rsid w:val="007B6904"/>
    <w:rsid w:val="007D2D8D"/>
    <w:rsid w:val="007E192C"/>
    <w:rsid w:val="007F6C2A"/>
    <w:rsid w:val="00816782"/>
    <w:rsid w:val="0082141D"/>
    <w:rsid w:val="00827F24"/>
    <w:rsid w:val="00846D6A"/>
    <w:rsid w:val="00855DA8"/>
    <w:rsid w:val="00865480"/>
    <w:rsid w:val="008732E4"/>
    <w:rsid w:val="00883785"/>
    <w:rsid w:val="00886399"/>
    <w:rsid w:val="0089623E"/>
    <w:rsid w:val="008974CA"/>
    <w:rsid w:val="008B46FC"/>
    <w:rsid w:val="008C625B"/>
    <w:rsid w:val="008E1F7F"/>
    <w:rsid w:val="008E3427"/>
    <w:rsid w:val="008E74FD"/>
    <w:rsid w:val="008E7509"/>
    <w:rsid w:val="008F00E8"/>
    <w:rsid w:val="008F6921"/>
    <w:rsid w:val="009045C2"/>
    <w:rsid w:val="00905595"/>
    <w:rsid w:val="009105C7"/>
    <w:rsid w:val="00921E27"/>
    <w:rsid w:val="00933EED"/>
    <w:rsid w:val="00940CDE"/>
    <w:rsid w:val="0097742A"/>
    <w:rsid w:val="00980AE7"/>
    <w:rsid w:val="00980EED"/>
    <w:rsid w:val="00982E12"/>
    <w:rsid w:val="0098312B"/>
    <w:rsid w:val="00984FCE"/>
    <w:rsid w:val="0098579F"/>
    <w:rsid w:val="00991670"/>
    <w:rsid w:val="00994E11"/>
    <w:rsid w:val="009A534C"/>
    <w:rsid w:val="009B0E44"/>
    <w:rsid w:val="009B1575"/>
    <w:rsid w:val="009B4A8F"/>
    <w:rsid w:val="009B6C8C"/>
    <w:rsid w:val="009B6F42"/>
    <w:rsid w:val="009C0FCA"/>
    <w:rsid w:val="009C3963"/>
    <w:rsid w:val="009C535B"/>
    <w:rsid w:val="009D323C"/>
    <w:rsid w:val="009F0D58"/>
    <w:rsid w:val="00A063FE"/>
    <w:rsid w:val="00A072FD"/>
    <w:rsid w:val="00A13087"/>
    <w:rsid w:val="00A314EC"/>
    <w:rsid w:val="00A3234B"/>
    <w:rsid w:val="00A3469C"/>
    <w:rsid w:val="00A350E5"/>
    <w:rsid w:val="00A35E2D"/>
    <w:rsid w:val="00A36832"/>
    <w:rsid w:val="00A44832"/>
    <w:rsid w:val="00A60A0B"/>
    <w:rsid w:val="00A74B8A"/>
    <w:rsid w:val="00A85F61"/>
    <w:rsid w:val="00A86A9D"/>
    <w:rsid w:val="00A86DB3"/>
    <w:rsid w:val="00A87941"/>
    <w:rsid w:val="00A939DF"/>
    <w:rsid w:val="00A957F6"/>
    <w:rsid w:val="00AA25DC"/>
    <w:rsid w:val="00AE56AA"/>
    <w:rsid w:val="00B07E6F"/>
    <w:rsid w:val="00B10F87"/>
    <w:rsid w:val="00B11471"/>
    <w:rsid w:val="00B17115"/>
    <w:rsid w:val="00B21043"/>
    <w:rsid w:val="00B306EA"/>
    <w:rsid w:val="00B30DA2"/>
    <w:rsid w:val="00B34B58"/>
    <w:rsid w:val="00B44CAC"/>
    <w:rsid w:val="00B453FC"/>
    <w:rsid w:val="00B573D6"/>
    <w:rsid w:val="00B61F35"/>
    <w:rsid w:val="00B634F1"/>
    <w:rsid w:val="00B7390A"/>
    <w:rsid w:val="00B81455"/>
    <w:rsid w:val="00B823E7"/>
    <w:rsid w:val="00B9627F"/>
    <w:rsid w:val="00BA0A1B"/>
    <w:rsid w:val="00BA2415"/>
    <w:rsid w:val="00BA4F95"/>
    <w:rsid w:val="00BA5B60"/>
    <w:rsid w:val="00BB33F9"/>
    <w:rsid w:val="00BC3CE6"/>
    <w:rsid w:val="00BD03DB"/>
    <w:rsid w:val="00BE5E41"/>
    <w:rsid w:val="00C00FD1"/>
    <w:rsid w:val="00C11AF9"/>
    <w:rsid w:val="00C13435"/>
    <w:rsid w:val="00C13D33"/>
    <w:rsid w:val="00C1765C"/>
    <w:rsid w:val="00C24EDC"/>
    <w:rsid w:val="00C25A76"/>
    <w:rsid w:val="00C31BD5"/>
    <w:rsid w:val="00C32206"/>
    <w:rsid w:val="00C448D8"/>
    <w:rsid w:val="00C45443"/>
    <w:rsid w:val="00C45B40"/>
    <w:rsid w:val="00C45C67"/>
    <w:rsid w:val="00C4711E"/>
    <w:rsid w:val="00C523FF"/>
    <w:rsid w:val="00C532D4"/>
    <w:rsid w:val="00C5344B"/>
    <w:rsid w:val="00C606F3"/>
    <w:rsid w:val="00C71C3C"/>
    <w:rsid w:val="00C9490E"/>
    <w:rsid w:val="00CA593D"/>
    <w:rsid w:val="00CB581B"/>
    <w:rsid w:val="00CC47C8"/>
    <w:rsid w:val="00CC7376"/>
    <w:rsid w:val="00CF4EEE"/>
    <w:rsid w:val="00D006EF"/>
    <w:rsid w:val="00D05F1E"/>
    <w:rsid w:val="00D06786"/>
    <w:rsid w:val="00D16211"/>
    <w:rsid w:val="00D21780"/>
    <w:rsid w:val="00D23346"/>
    <w:rsid w:val="00D243B8"/>
    <w:rsid w:val="00D3226D"/>
    <w:rsid w:val="00D34794"/>
    <w:rsid w:val="00D42B85"/>
    <w:rsid w:val="00D4502D"/>
    <w:rsid w:val="00D530CE"/>
    <w:rsid w:val="00D536C4"/>
    <w:rsid w:val="00D53E3C"/>
    <w:rsid w:val="00D54ED5"/>
    <w:rsid w:val="00D60F4D"/>
    <w:rsid w:val="00D7517E"/>
    <w:rsid w:val="00D77950"/>
    <w:rsid w:val="00D97466"/>
    <w:rsid w:val="00DA1A4E"/>
    <w:rsid w:val="00DA3122"/>
    <w:rsid w:val="00DA7F2E"/>
    <w:rsid w:val="00DB3A21"/>
    <w:rsid w:val="00DC3762"/>
    <w:rsid w:val="00DC739E"/>
    <w:rsid w:val="00DD3B7A"/>
    <w:rsid w:val="00DD616A"/>
    <w:rsid w:val="00DE0465"/>
    <w:rsid w:val="00E049ED"/>
    <w:rsid w:val="00E34E6D"/>
    <w:rsid w:val="00E37CD4"/>
    <w:rsid w:val="00E41A47"/>
    <w:rsid w:val="00E4244A"/>
    <w:rsid w:val="00E5325F"/>
    <w:rsid w:val="00E53B9C"/>
    <w:rsid w:val="00E565C5"/>
    <w:rsid w:val="00E57848"/>
    <w:rsid w:val="00E63F93"/>
    <w:rsid w:val="00E94FE8"/>
    <w:rsid w:val="00EA1A1E"/>
    <w:rsid w:val="00EA25F2"/>
    <w:rsid w:val="00EA6C0E"/>
    <w:rsid w:val="00EB662F"/>
    <w:rsid w:val="00ED1DF5"/>
    <w:rsid w:val="00ED21C3"/>
    <w:rsid w:val="00ED30C9"/>
    <w:rsid w:val="00ED388C"/>
    <w:rsid w:val="00ED4043"/>
    <w:rsid w:val="00EF02B0"/>
    <w:rsid w:val="00EF3DDD"/>
    <w:rsid w:val="00EF7979"/>
    <w:rsid w:val="00F01B61"/>
    <w:rsid w:val="00F10EFD"/>
    <w:rsid w:val="00F13DD8"/>
    <w:rsid w:val="00F149FD"/>
    <w:rsid w:val="00F307D1"/>
    <w:rsid w:val="00F32D70"/>
    <w:rsid w:val="00F4262F"/>
    <w:rsid w:val="00F53719"/>
    <w:rsid w:val="00F565DA"/>
    <w:rsid w:val="00F57291"/>
    <w:rsid w:val="00F64DB5"/>
    <w:rsid w:val="00F66CB0"/>
    <w:rsid w:val="00F72D0E"/>
    <w:rsid w:val="00F76C89"/>
    <w:rsid w:val="00F83FBF"/>
    <w:rsid w:val="00F90951"/>
    <w:rsid w:val="00FA1BDC"/>
    <w:rsid w:val="00FA29B8"/>
    <w:rsid w:val="00FA78DE"/>
    <w:rsid w:val="00FC6AA4"/>
    <w:rsid w:val="00FD3D92"/>
    <w:rsid w:val="00FE1113"/>
    <w:rsid w:val="00FE1AEA"/>
    <w:rsid w:val="00FF389E"/>
    <w:rsid w:val="00FF54D5"/>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unhideWhenUsed/>
    <w:rsid w:val="004A1EC9"/>
    <w:pPr>
      <w:spacing w:before="100" w:beforeAutospacing="1" w:after="100" w:afterAutospacing="1"/>
    </w:pPr>
    <w:rPr>
      <w:rFonts w:ascii="Times New Roman" w:hAnsi="Times New Roman"/>
      <w:szCs w:val="24"/>
      <w:lang w:eastAsia="en-AU"/>
    </w:rPr>
  </w:style>
  <w:style w:type="paragraph" w:customStyle="1" w:styleId="dx-doi">
    <w:name w:val="dx-doi"/>
    <w:basedOn w:val="Normal"/>
    <w:rsid w:val="003B77C7"/>
    <w:pPr>
      <w:spacing w:before="100" w:beforeAutospacing="1" w:after="100" w:afterAutospacing="1"/>
    </w:pPr>
    <w:rPr>
      <w:rFonts w:ascii="Times New Roman" w:hAnsi="Times New Roman"/>
      <w:szCs w:val="24"/>
      <w:lang w:eastAsia="en-AU"/>
    </w:rPr>
  </w:style>
  <w:style w:type="character" w:customStyle="1" w:styleId="authors">
    <w:name w:val="authors"/>
    <w:basedOn w:val="DefaultParagraphFont"/>
    <w:rsid w:val="00FE1AEA"/>
  </w:style>
  <w:style w:type="character" w:customStyle="1" w:styleId="Date1">
    <w:name w:val="Date1"/>
    <w:basedOn w:val="DefaultParagraphFont"/>
    <w:rsid w:val="00FE1AEA"/>
  </w:style>
  <w:style w:type="character" w:customStyle="1" w:styleId="arttitle">
    <w:name w:val="art_title"/>
    <w:basedOn w:val="DefaultParagraphFont"/>
    <w:rsid w:val="00FE1AEA"/>
  </w:style>
  <w:style w:type="character" w:customStyle="1" w:styleId="serialtitle">
    <w:name w:val="serial_title"/>
    <w:basedOn w:val="DefaultParagraphFont"/>
    <w:rsid w:val="00FE1AEA"/>
  </w:style>
  <w:style w:type="character" w:customStyle="1" w:styleId="volumeissue">
    <w:name w:val="volume_issue"/>
    <w:basedOn w:val="DefaultParagraphFont"/>
    <w:rsid w:val="00FE1AEA"/>
  </w:style>
  <w:style w:type="character" w:customStyle="1" w:styleId="pagerange">
    <w:name w:val="page_range"/>
    <w:basedOn w:val="DefaultParagraphFont"/>
    <w:rsid w:val="00FE1AEA"/>
  </w:style>
  <w:style w:type="character" w:customStyle="1" w:styleId="doilink">
    <w:name w:val="doi_link"/>
    <w:basedOn w:val="DefaultParagraphFont"/>
    <w:rsid w:val="00FE1AEA"/>
  </w:style>
  <w:style w:type="paragraph" w:styleId="Revision">
    <w:name w:val="Revision"/>
    <w:hidden/>
    <w:uiPriority w:val="99"/>
    <w:semiHidden/>
    <w:rsid w:val="00EB662F"/>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546">
      <w:bodyDiv w:val="1"/>
      <w:marLeft w:val="0"/>
      <w:marRight w:val="0"/>
      <w:marTop w:val="0"/>
      <w:marBottom w:val="0"/>
      <w:divBdr>
        <w:top w:val="none" w:sz="0" w:space="0" w:color="auto"/>
        <w:left w:val="none" w:sz="0" w:space="0" w:color="auto"/>
        <w:bottom w:val="none" w:sz="0" w:space="0" w:color="auto"/>
        <w:right w:val="none" w:sz="0" w:space="0" w:color="auto"/>
      </w:divBdr>
    </w:div>
    <w:div w:id="56167286">
      <w:bodyDiv w:val="1"/>
      <w:marLeft w:val="0"/>
      <w:marRight w:val="0"/>
      <w:marTop w:val="0"/>
      <w:marBottom w:val="0"/>
      <w:divBdr>
        <w:top w:val="none" w:sz="0" w:space="0" w:color="auto"/>
        <w:left w:val="none" w:sz="0" w:space="0" w:color="auto"/>
        <w:bottom w:val="none" w:sz="0" w:space="0" w:color="auto"/>
        <w:right w:val="none" w:sz="0" w:space="0" w:color="auto"/>
      </w:divBdr>
    </w:div>
    <w:div w:id="815495051">
      <w:bodyDiv w:val="1"/>
      <w:marLeft w:val="0"/>
      <w:marRight w:val="0"/>
      <w:marTop w:val="0"/>
      <w:marBottom w:val="0"/>
      <w:divBdr>
        <w:top w:val="none" w:sz="0" w:space="0" w:color="auto"/>
        <w:left w:val="none" w:sz="0" w:space="0" w:color="auto"/>
        <w:bottom w:val="none" w:sz="0" w:space="0" w:color="auto"/>
        <w:right w:val="none" w:sz="0" w:space="0" w:color="auto"/>
      </w:divBdr>
      <w:divsChild>
        <w:div w:id="623390081">
          <w:marLeft w:val="0"/>
          <w:marRight w:val="0"/>
          <w:marTop w:val="0"/>
          <w:marBottom w:val="0"/>
          <w:divBdr>
            <w:top w:val="none" w:sz="0" w:space="0" w:color="auto"/>
            <w:left w:val="none" w:sz="0" w:space="0" w:color="auto"/>
            <w:bottom w:val="none" w:sz="0" w:space="0" w:color="auto"/>
            <w:right w:val="none" w:sz="0" w:space="0" w:color="auto"/>
          </w:divBdr>
          <w:divsChild>
            <w:div w:id="4000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355501727">
      <w:bodyDiv w:val="1"/>
      <w:marLeft w:val="0"/>
      <w:marRight w:val="0"/>
      <w:marTop w:val="0"/>
      <w:marBottom w:val="0"/>
      <w:divBdr>
        <w:top w:val="none" w:sz="0" w:space="0" w:color="auto"/>
        <w:left w:val="none" w:sz="0" w:space="0" w:color="auto"/>
        <w:bottom w:val="none" w:sz="0" w:space="0" w:color="auto"/>
        <w:right w:val="none" w:sz="0" w:space="0" w:color="auto"/>
      </w:divBdr>
    </w:div>
    <w:div w:id="1402292636">
      <w:bodyDiv w:val="1"/>
      <w:marLeft w:val="0"/>
      <w:marRight w:val="0"/>
      <w:marTop w:val="0"/>
      <w:marBottom w:val="0"/>
      <w:divBdr>
        <w:top w:val="none" w:sz="0" w:space="0" w:color="auto"/>
        <w:left w:val="none" w:sz="0" w:space="0" w:color="auto"/>
        <w:bottom w:val="none" w:sz="0" w:space="0" w:color="auto"/>
        <w:right w:val="none" w:sz="0" w:space="0" w:color="auto"/>
      </w:divBdr>
    </w:div>
    <w:div w:id="1760711386">
      <w:bodyDiv w:val="1"/>
      <w:marLeft w:val="0"/>
      <w:marRight w:val="0"/>
      <w:marTop w:val="0"/>
      <w:marBottom w:val="0"/>
      <w:divBdr>
        <w:top w:val="none" w:sz="0" w:space="0" w:color="auto"/>
        <w:left w:val="none" w:sz="0" w:space="0" w:color="auto"/>
        <w:bottom w:val="none" w:sz="0" w:space="0" w:color="auto"/>
        <w:right w:val="none" w:sz="0" w:space="0" w:color="auto"/>
      </w:divBdr>
    </w:div>
    <w:div w:id="19949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80/17434440.2018.145431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Q:/Quality%20and%20Safety/CET/Policy%20Team/CHS%20PC/Resources/Templates/CHS%20Procedure%20Templat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slhd.health.nsw.gov.au/sites/default/files/documents/SESLHDGL%20038%20Urokinase%20Administration%20of%20Intra-Arterial%20Urokinase%20In%20Specific%20Clinical%20Are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53/ajkd.2000.1767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today.com/pdfs/et0613_f1_roundtab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D37CC8F1FE24DA21BB58CDF079D4A" ma:contentTypeVersion="7" ma:contentTypeDescription="Create a new document." ma:contentTypeScope="" ma:versionID="6ee7de7f633a07d101bc4fad3c27258d">
  <xsd:schema xmlns:xsd="http://www.w3.org/2001/XMLSchema" xmlns:xs="http://www.w3.org/2001/XMLSchema" xmlns:p="http://schemas.microsoft.com/office/2006/metadata/properties" xmlns:ns2="0c8e588b-9c83-49d3-a6c8-a54de8f95e6a" xmlns:ns3="3a20ae6d-faeb-4fb7-a10f-722643f1ac14" targetNamespace="http://schemas.microsoft.com/office/2006/metadata/properties" ma:root="true" ma:fieldsID="2d1cb319c5cec1052a025f9130f9688a" ns2:_="" ns3:_="">
    <xsd:import namespace="0c8e588b-9c83-49d3-a6c8-a54de8f95e6a"/>
    <xsd:import namespace="3a20ae6d-faeb-4fb7-a10f-722643f1ac14"/>
    <xsd:element name="properties">
      <xsd:complexType>
        <xsd:sequence>
          <xsd:element name="documentManagement">
            <xsd:complexType>
              <xsd:all>
                <xsd:element ref="ns2:Barcode_x0020_New"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0ae6d-faeb-4fb7-a10f-722643f1ac1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E7B17897-B04E-4D0D-9AC1-6A3973360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3a20ae6d-faeb-4fb7-a10f-722643f1a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9E67B-BDEC-41CB-93CE-E2BD7106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customXml/itemProps5.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7</cp:revision>
  <cp:lastPrinted>2022-08-28T23:29:00Z</cp:lastPrinted>
  <dcterms:created xsi:type="dcterms:W3CDTF">2022-08-29T00:48:00Z</dcterms:created>
  <dcterms:modified xsi:type="dcterms:W3CDTF">2022-09-16T00:35:00Z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0x0101003B6D37CC8F1FE24DA21BB58CDF079D4A</vt:lpwstr>
  </property>
</Properties>
</file>