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8C4F6"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7168F791" w14:textId="305946B6" w:rsidR="00197F2E" w:rsidRDefault="00983ABD" w:rsidP="00197F2E">
      <w:pPr>
        <w:pStyle w:val="Heading2"/>
      </w:pPr>
      <w:r w:rsidRPr="00983ABD">
        <w:rPr>
          <w:b/>
          <w:bCs/>
        </w:rPr>
        <w:t>Rabies virus and other lyssavirus (including Australian bat Lyssavirus) exposures</w:t>
      </w:r>
    </w:p>
    <w:p w14:paraId="62EE6C96" w14:textId="25963520" w:rsidR="00CA4FDE" w:rsidRPr="00C34A10" w:rsidRDefault="00E31596" w:rsidP="00C34A10">
      <w:pPr>
        <w:pStyle w:val="BodyCopy"/>
        <w:spacing w:before="0" w:line="240" w:lineRule="auto"/>
        <w:rPr>
          <w:color w:val="575757" w:themeColor="text2"/>
        </w:rPr>
      </w:pPr>
      <w:r w:rsidRPr="00197F2E">
        <w:t>CHS</w:t>
      </w:r>
      <w:r w:rsidR="00CD2F0D">
        <w:t>25/361</w:t>
      </w:r>
      <w:bookmarkStart w:id="0" w:name="_Hlk157074578"/>
    </w:p>
    <w:sdt>
      <w:sdtPr>
        <w:rPr>
          <w:sz w:val="32"/>
          <w:szCs w:val="32"/>
        </w:rPr>
        <w:id w:val="-1206019646"/>
        <w:docPartObj>
          <w:docPartGallery w:val="Table of Contents"/>
          <w:docPartUnique/>
        </w:docPartObj>
      </w:sdtPr>
      <w:sdtEndPr>
        <w:rPr>
          <w:noProof/>
        </w:rPr>
      </w:sdtEndPr>
      <w:sdtContent>
        <w:p w14:paraId="6FC89A85" w14:textId="77777777" w:rsidR="00A731B8" w:rsidRPr="000E7683" w:rsidRDefault="00A731B8">
          <w:pPr>
            <w:pStyle w:val="TOCHeading"/>
            <w:rPr>
              <w:rStyle w:val="Heading3Char"/>
              <w:b/>
              <w:bCs w:val="0"/>
            </w:rPr>
          </w:pPr>
          <w:r w:rsidRPr="007B1A7B">
            <w:rPr>
              <w:rStyle w:val="Heading3Char"/>
              <w:b/>
              <w:bCs w:val="0"/>
            </w:rPr>
            <w:t>Contents</w:t>
          </w:r>
        </w:p>
        <w:p w14:paraId="3815A358" w14:textId="17139D94" w:rsidR="00085993" w:rsidRDefault="00A621FE">
          <w:pPr>
            <w:pStyle w:val="TOC1"/>
            <w:rPr>
              <w:rFonts w:asciiTheme="minorHAnsi" w:eastAsiaTheme="minorEastAsia" w:hAnsiTheme="minorHAnsi" w:cstheme="minorBidi"/>
              <w:color w:val="auto"/>
              <w:kern w:val="2"/>
              <w:lang w:val="en-GB" w:eastAsia="ja-JP"/>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08948534" w:history="1">
            <w:r w:rsidR="00085993" w:rsidRPr="00EB431F">
              <w:rPr>
                <w:rStyle w:val="Hyperlink"/>
              </w:rPr>
              <w:t>Purpose</w:t>
            </w:r>
            <w:r w:rsidR="00085993">
              <w:rPr>
                <w:webHidden/>
              </w:rPr>
              <w:tab/>
            </w:r>
            <w:r w:rsidR="00085993">
              <w:rPr>
                <w:webHidden/>
              </w:rPr>
              <w:fldChar w:fldCharType="begin"/>
            </w:r>
            <w:r w:rsidR="00085993">
              <w:rPr>
                <w:webHidden/>
              </w:rPr>
              <w:instrText xml:space="preserve"> PAGEREF _Toc208948534 \h </w:instrText>
            </w:r>
            <w:r w:rsidR="00085993">
              <w:rPr>
                <w:webHidden/>
              </w:rPr>
            </w:r>
            <w:r w:rsidR="00085993">
              <w:rPr>
                <w:webHidden/>
              </w:rPr>
              <w:fldChar w:fldCharType="separate"/>
            </w:r>
            <w:r w:rsidR="00085993">
              <w:rPr>
                <w:webHidden/>
              </w:rPr>
              <w:t>2</w:t>
            </w:r>
            <w:r w:rsidR="00085993">
              <w:rPr>
                <w:webHidden/>
              </w:rPr>
              <w:fldChar w:fldCharType="end"/>
            </w:r>
          </w:hyperlink>
        </w:p>
        <w:p w14:paraId="31282B4E" w14:textId="5F57AB20"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35" w:history="1">
            <w:r w:rsidRPr="00EB431F">
              <w:rPr>
                <w:rStyle w:val="Hyperlink"/>
              </w:rPr>
              <w:t>Clinical summary</w:t>
            </w:r>
            <w:r>
              <w:rPr>
                <w:webHidden/>
              </w:rPr>
              <w:tab/>
            </w:r>
            <w:r>
              <w:rPr>
                <w:webHidden/>
              </w:rPr>
              <w:fldChar w:fldCharType="begin"/>
            </w:r>
            <w:r>
              <w:rPr>
                <w:webHidden/>
              </w:rPr>
              <w:instrText xml:space="preserve"> PAGEREF _Toc208948535 \h </w:instrText>
            </w:r>
            <w:r>
              <w:rPr>
                <w:webHidden/>
              </w:rPr>
            </w:r>
            <w:r>
              <w:rPr>
                <w:webHidden/>
              </w:rPr>
              <w:fldChar w:fldCharType="separate"/>
            </w:r>
            <w:r>
              <w:rPr>
                <w:webHidden/>
              </w:rPr>
              <w:t>2</w:t>
            </w:r>
            <w:r>
              <w:rPr>
                <w:webHidden/>
              </w:rPr>
              <w:fldChar w:fldCharType="end"/>
            </w:r>
          </w:hyperlink>
        </w:p>
        <w:p w14:paraId="6D121BFC" w14:textId="3D4CEA89"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36" w:history="1">
            <w:r w:rsidRPr="00EB431F">
              <w:rPr>
                <w:rStyle w:val="Hyperlink"/>
              </w:rPr>
              <w:t>Scope</w:t>
            </w:r>
            <w:r>
              <w:rPr>
                <w:webHidden/>
              </w:rPr>
              <w:tab/>
            </w:r>
            <w:r>
              <w:rPr>
                <w:webHidden/>
              </w:rPr>
              <w:fldChar w:fldCharType="begin"/>
            </w:r>
            <w:r>
              <w:rPr>
                <w:webHidden/>
              </w:rPr>
              <w:instrText xml:space="preserve"> PAGEREF _Toc208948536 \h </w:instrText>
            </w:r>
            <w:r>
              <w:rPr>
                <w:webHidden/>
              </w:rPr>
            </w:r>
            <w:r>
              <w:rPr>
                <w:webHidden/>
              </w:rPr>
              <w:fldChar w:fldCharType="separate"/>
            </w:r>
            <w:r>
              <w:rPr>
                <w:webHidden/>
              </w:rPr>
              <w:t>2</w:t>
            </w:r>
            <w:r>
              <w:rPr>
                <w:webHidden/>
              </w:rPr>
              <w:fldChar w:fldCharType="end"/>
            </w:r>
          </w:hyperlink>
        </w:p>
        <w:p w14:paraId="6AC88BC7" w14:textId="69BC35C2"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37" w:history="1">
            <w:r w:rsidRPr="00EB431F">
              <w:rPr>
                <w:rStyle w:val="Hyperlink"/>
              </w:rPr>
              <w:t>Procedure</w:t>
            </w:r>
            <w:r>
              <w:rPr>
                <w:webHidden/>
              </w:rPr>
              <w:tab/>
            </w:r>
            <w:r>
              <w:rPr>
                <w:webHidden/>
              </w:rPr>
              <w:fldChar w:fldCharType="begin"/>
            </w:r>
            <w:r>
              <w:rPr>
                <w:webHidden/>
              </w:rPr>
              <w:instrText xml:space="preserve"> PAGEREF _Toc208948537 \h </w:instrText>
            </w:r>
            <w:r>
              <w:rPr>
                <w:webHidden/>
              </w:rPr>
            </w:r>
            <w:r>
              <w:rPr>
                <w:webHidden/>
              </w:rPr>
              <w:fldChar w:fldCharType="separate"/>
            </w:r>
            <w:r>
              <w:rPr>
                <w:webHidden/>
              </w:rPr>
              <w:t>3</w:t>
            </w:r>
            <w:r>
              <w:rPr>
                <w:webHidden/>
              </w:rPr>
              <w:fldChar w:fldCharType="end"/>
            </w:r>
          </w:hyperlink>
        </w:p>
        <w:p w14:paraId="2AA74D9A" w14:textId="36FCFA2F"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38" w:history="1">
            <w:r w:rsidRPr="00EB431F">
              <w:rPr>
                <w:rStyle w:val="Hyperlink"/>
              </w:rPr>
              <w:t>Evaluation</w:t>
            </w:r>
            <w:r>
              <w:rPr>
                <w:webHidden/>
              </w:rPr>
              <w:tab/>
            </w:r>
            <w:r>
              <w:rPr>
                <w:webHidden/>
              </w:rPr>
              <w:fldChar w:fldCharType="begin"/>
            </w:r>
            <w:r>
              <w:rPr>
                <w:webHidden/>
              </w:rPr>
              <w:instrText xml:space="preserve"> PAGEREF _Toc208948538 \h </w:instrText>
            </w:r>
            <w:r>
              <w:rPr>
                <w:webHidden/>
              </w:rPr>
            </w:r>
            <w:r>
              <w:rPr>
                <w:webHidden/>
              </w:rPr>
              <w:fldChar w:fldCharType="separate"/>
            </w:r>
            <w:r>
              <w:rPr>
                <w:webHidden/>
              </w:rPr>
              <w:t>5</w:t>
            </w:r>
            <w:r>
              <w:rPr>
                <w:webHidden/>
              </w:rPr>
              <w:fldChar w:fldCharType="end"/>
            </w:r>
          </w:hyperlink>
        </w:p>
        <w:p w14:paraId="6F58CD9B" w14:textId="5943A568"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39" w:history="1">
            <w:r w:rsidRPr="00EB431F">
              <w:rPr>
                <w:rStyle w:val="Hyperlink"/>
              </w:rPr>
              <w:t>Related policies, procedures, guidelines and legislation</w:t>
            </w:r>
            <w:r>
              <w:rPr>
                <w:webHidden/>
              </w:rPr>
              <w:tab/>
            </w:r>
            <w:r>
              <w:rPr>
                <w:webHidden/>
              </w:rPr>
              <w:fldChar w:fldCharType="begin"/>
            </w:r>
            <w:r>
              <w:rPr>
                <w:webHidden/>
              </w:rPr>
              <w:instrText xml:space="preserve"> PAGEREF _Toc208948539 \h </w:instrText>
            </w:r>
            <w:r>
              <w:rPr>
                <w:webHidden/>
              </w:rPr>
            </w:r>
            <w:r>
              <w:rPr>
                <w:webHidden/>
              </w:rPr>
              <w:fldChar w:fldCharType="separate"/>
            </w:r>
            <w:r>
              <w:rPr>
                <w:webHidden/>
              </w:rPr>
              <w:t>5</w:t>
            </w:r>
            <w:r>
              <w:rPr>
                <w:webHidden/>
              </w:rPr>
              <w:fldChar w:fldCharType="end"/>
            </w:r>
          </w:hyperlink>
        </w:p>
        <w:p w14:paraId="3CD4AA25" w14:textId="51BAA496"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40" w:history="1">
            <w:r w:rsidRPr="00EB431F">
              <w:rPr>
                <w:rStyle w:val="Hyperlink"/>
              </w:rPr>
              <w:t>References</w:t>
            </w:r>
            <w:r>
              <w:rPr>
                <w:webHidden/>
              </w:rPr>
              <w:tab/>
            </w:r>
            <w:r>
              <w:rPr>
                <w:webHidden/>
              </w:rPr>
              <w:fldChar w:fldCharType="begin"/>
            </w:r>
            <w:r>
              <w:rPr>
                <w:webHidden/>
              </w:rPr>
              <w:instrText xml:space="preserve"> PAGEREF _Toc208948540 \h </w:instrText>
            </w:r>
            <w:r>
              <w:rPr>
                <w:webHidden/>
              </w:rPr>
            </w:r>
            <w:r>
              <w:rPr>
                <w:webHidden/>
              </w:rPr>
              <w:fldChar w:fldCharType="separate"/>
            </w:r>
            <w:r>
              <w:rPr>
                <w:webHidden/>
              </w:rPr>
              <w:t>6</w:t>
            </w:r>
            <w:r>
              <w:rPr>
                <w:webHidden/>
              </w:rPr>
              <w:fldChar w:fldCharType="end"/>
            </w:r>
          </w:hyperlink>
        </w:p>
        <w:p w14:paraId="45902A94" w14:textId="0650EA36" w:rsidR="00085993" w:rsidRDefault="00085993">
          <w:pPr>
            <w:pStyle w:val="TOC1"/>
            <w:rPr>
              <w:rFonts w:asciiTheme="minorHAnsi" w:eastAsiaTheme="minorEastAsia" w:hAnsiTheme="minorHAnsi" w:cstheme="minorBidi"/>
              <w:color w:val="auto"/>
              <w:kern w:val="2"/>
              <w:lang w:val="en-GB" w:eastAsia="ja-JP"/>
              <w14:ligatures w14:val="standardContextual"/>
            </w:rPr>
          </w:pPr>
          <w:hyperlink w:anchor="_Toc208948541" w:history="1">
            <w:r w:rsidRPr="00EB431F">
              <w:rPr>
                <w:rStyle w:val="Hyperlink"/>
              </w:rPr>
              <w:t>Search terms</w:t>
            </w:r>
            <w:r>
              <w:rPr>
                <w:webHidden/>
              </w:rPr>
              <w:tab/>
            </w:r>
            <w:r>
              <w:rPr>
                <w:webHidden/>
              </w:rPr>
              <w:fldChar w:fldCharType="begin"/>
            </w:r>
            <w:r>
              <w:rPr>
                <w:webHidden/>
              </w:rPr>
              <w:instrText xml:space="preserve"> PAGEREF _Toc208948541 \h </w:instrText>
            </w:r>
            <w:r>
              <w:rPr>
                <w:webHidden/>
              </w:rPr>
            </w:r>
            <w:r>
              <w:rPr>
                <w:webHidden/>
              </w:rPr>
              <w:fldChar w:fldCharType="separate"/>
            </w:r>
            <w:r>
              <w:rPr>
                <w:webHidden/>
              </w:rPr>
              <w:t>6</w:t>
            </w:r>
            <w:r>
              <w:rPr>
                <w:webHidden/>
              </w:rPr>
              <w:fldChar w:fldCharType="end"/>
            </w:r>
          </w:hyperlink>
        </w:p>
        <w:p w14:paraId="240E945A" w14:textId="46BE4123"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5E5E1942" w14:textId="77777777" w:rsidR="00FE46F1" w:rsidRDefault="00FE46F1">
      <w:pPr>
        <w:spacing w:before="0" w:after="0" w:line="240" w:lineRule="auto"/>
        <w:rPr>
          <w:rFonts w:eastAsia="Times New Roman"/>
          <w:b/>
          <w:color w:val="FFFFFF" w:themeColor="background1"/>
          <w:szCs w:val="80"/>
          <w:lang w:eastAsia="en-US"/>
        </w:rPr>
      </w:pPr>
    </w:p>
    <w:p w14:paraId="5AFBEDA3" w14:textId="77777777" w:rsidR="00201AF6" w:rsidRDefault="00201AF6">
      <w:pPr>
        <w:spacing w:before="0" w:after="0" w:line="240" w:lineRule="auto"/>
        <w:rPr>
          <w:rFonts w:eastAsia="Times New Roman"/>
          <w:b/>
          <w:bCs/>
          <w:iCs/>
          <w:color w:val="FFFFFF" w:themeColor="background1"/>
          <w:lang w:eastAsia="en-US"/>
        </w:rPr>
      </w:pPr>
      <w:r>
        <w:br w:type="page"/>
      </w:r>
    </w:p>
    <w:p w14:paraId="0DD87F4D" w14:textId="0D8E8229" w:rsidR="0078367D" w:rsidRPr="00036249" w:rsidRDefault="003254E1" w:rsidP="00036249">
      <w:pPr>
        <w:pStyle w:val="Heading4"/>
      </w:pPr>
      <w:bookmarkStart w:id="1" w:name="_Toc208948534"/>
      <w:r>
        <w:lastRenderedPageBreak/>
        <w:t>Purpose</w:t>
      </w:r>
      <w:bookmarkEnd w:id="1"/>
    </w:p>
    <w:p w14:paraId="2560FDC4" w14:textId="77777777" w:rsidR="00983ABD" w:rsidRPr="00983ABD" w:rsidRDefault="00983ABD" w:rsidP="00983ABD">
      <w:pPr>
        <w:pStyle w:val="BodyCopy"/>
      </w:pPr>
      <w:r w:rsidRPr="00983ABD">
        <w:t>The purpose of this document is to outline the procedure for patients presenting for treatment and post exposure prophylaxis (PEP) of: </w:t>
      </w:r>
    </w:p>
    <w:p w14:paraId="14F41190" w14:textId="77777777" w:rsidR="00983ABD" w:rsidRPr="00983ABD" w:rsidRDefault="00983ABD" w:rsidP="00515118">
      <w:pPr>
        <w:pStyle w:val="Bullet"/>
      </w:pPr>
      <w:r w:rsidRPr="00983ABD">
        <w:t>bat bite, scratch or bat saliva exposure to broken skin or mucosa from a bat anywhere in Australia due to the risk of Australian Bat Lyssavirus (ABL) or bats worldwide (lyssavirus) </w:t>
      </w:r>
    </w:p>
    <w:p w14:paraId="72526E1E" w14:textId="77777777" w:rsidR="00983ABD" w:rsidRPr="00983ABD" w:rsidRDefault="00983ABD" w:rsidP="00515118">
      <w:pPr>
        <w:pStyle w:val="Bullet"/>
      </w:pPr>
      <w:r w:rsidRPr="00983ABD">
        <w:t>animal bites/scratches from terrestrial animals that occurred in a country where rabies occurs.  </w:t>
      </w:r>
    </w:p>
    <w:p w14:paraId="6012CA05"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4BDD0D7D" w14:textId="7363F164" w:rsidR="0078367D" w:rsidRPr="00AC2EDE" w:rsidRDefault="00983ABD" w:rsidP="00197F2E">
      <w:pPr>
        <w:pStyle w:val="Heading4"/>
      </w:pPr>
      <w:bookmarkStart w:id="2" w:name="_Toc208948535"/>
      <w:r>
        <w:rPr>
          <w:rStyle w:val="Hyperlink"/>
          <w:color w:val="FFFFFF" w:themeColor="background1"/>
          <w:u w:val="none"/>
        </w:rPr>
        <w:t>Clinical summary</w:t>
      </w:r>
      <w:bookmarkEnd w:id="2"/>
    </w:p>
    <w:p w14:paraId="30C93E36" w14:textId="22803BE5" w:rsidR="00983ABD" w:rsidRPr="00983ABD" w:rsidRDefault="00983ABD" w:rsidP="00515118">
      <w:pPr>
        <w:pStyle w:val="Bullet"/>
      </w:pPr>
      <w:r w:rsidRPr="00983ABD">
        <w:t>Consider all bat bites and scratches or bat saliva exposures to broken skin or mucosa as potential exposures to Australian Bat Lyssavirus or rabies/lyssavirus if exposure occurred from a terrestrial animal or a bat in a rabies endemic country </w:t>
      </w:r>
    </w:p>
    <w:p w14:paraId="304D54EB" w14:textId="6D727E7E" w:rsidR="00983ABD" w:rsidRPr="00983ABD" w:rsidRDefault="00983ABD" w:rsidP="00515118">
      <w:pPr>
        <w:pStyle w:val="Bullet"/>
      </w:pPr>
      <w:r w:rsidRPr="00983ABD">
        <w:t>Thoroughly wash all wounds with soap and water for a minimum of 15 minutes followed by povidone iodine solution</w:t>
      </w:r>
      <w:r w:rsidR="001D1E84">
        <w:t>.</w:t>
      </w:r>
    </w:p>
    <w:p w14:paraId="4C7E994A" w14:textId="5C6B9445" w:rsidR="00983ABD" w:rsidRPr="00983ABD" w:rsidRDefault="00983ABD" w:rsidP="00515118">
      <w:pPr>
        <w:pStyle w:val="Bullet"/>
      </w:pPr>
      <w:r w:rsidRPr="00983ABD">
        <w:t>Almost all patients exposed will require post exposure rabies vaccination</w:t>
      </w:r>
      <w:r w:rsidR="001D1E84">
        <w:t>.</w:t>
      </w:r>
      <w:r w:rsidRPr="00983ABD">
        <w:t> </w:t>
      </w:r>
    </w:p>
    <w:p w14:paraId="306AFE23" w14:textId="681E73BD" w:rsidR="00983ABD" w:rsidRPr="00983ABD" w:rsidRDefault="00983ABD" w:rsidP="00515118">
      <w:pPr>
        <w:pStyle w:val="Bullet"/>
      </w:pPr>
      <w:r>
        <w:t>Many patients with exposure will require Human Rabies Immunoglobulin</w:t>
      </w:r>
      <w:r w:rsidR="001D1E84">
        <w:t xml:space="preserve"> (HRIG).</w:t>
      </w:r>
      <w:r>
        <w:t>  </w:t>
      </w:r>
    </w:p>
    <w:p w14:paraId="1FAA6EDA" w14:textId="5ECC197F" w:rsidR="00983ABD" w:rsidRPr="00983ABD" w:rsidRDefault="00983ABD" w:rsidP="00515118">
      <w:pPr>
        <w:pStyle w:val="Bullet"/>
      </w:pPr>
      <w:r w:rsidRPr="00983ABD">
        <w:t xml:space="preserve">Contact the </w:t>
      </w:r>
      <w:r w:rsidR="001D1E84">
        <w:t>Health and Community Services Directorate</w:t>
      </w:r>
      <w:r w:rsidRPr="00983ABD">
        <w:t xml:space="preserve"> Public Health Response Unit (PHRU) early to discuss the case and to arrange delivery of HRIG and vaccines </w:t>
      </w:r>
      <w:r w:rsidR="00253854">
        <w:t>(</w:t>
      </w:r>
      <w:r w:rsidRPr="00983ABD">
        <w:t>02 5124 9213</w:t>
      </w:r>
      <w:r w:rsidR="00253854">
        <w:t>)</w:t>
      </w:r>
      <w:r w:rsidR="001D1E84">
        <w:t>.</w:t>
      </w:r>
      <w:r w:rsidRPr="00983ABD">
        <w:t> </w:t>
      </w:r>
    </w:p>
    <w:p w14:paraId="7B98B9C1" w14:textId="4C8E38EB" w:rsidR="00983ABD" w:rsidRPr="00983ABD" w:rsidRDefault="00983ABD" w:rsidP="00515118">
      <w:pPr>
        <w:pStyle w:val="Bullet"/>
      </w:pPr>
      <w:r w:rsidRPr="00983ABD">
        <w:t>HRIG should be injected into the bite site</w:t>
      </w:r>
      <w:r w:rsidR="001D1E84">
        <w:t>.</w:t>
      </w:r>
      <w:r w:rsidRPr="00983ABD">
        <w:t>  </w:t>
      </w:r>
    </w:p>
    <w:p w14:paraId="2D1B0AD7" w14:textId="04B40677" w:rsidR="00983ABD" w:rsidRPr="00983ABD" w:rsidRDefault="00983ABD" w:rsidP="00515118">
      <w:pPr>
        <w:pStyle w:val="Bullet"/>
      </w:pPr>
      <w:r w:rsidRPr="00983ABD">
        <w:t>PHRU will organise ongoing vaccinations post discharge with the patient</w:t>
      </w:r>
      <w:r w:rsidR="001D1E84">
        <w:t>’</w:t>
      </w:r>
      <w:r w:rsidRPr="00983ABD">
        <w:t>s GP</w:t>
      </w:r>
      <w:r w:rsidR="001D1E84">
        <w:t>.</w:t>
      </w:r>
      <w:r w:rsidRPr="00983ABD">
        <w:t> </w:t>
      </w:r>
    </w:p>
    <w:p w14:paraId="2B89748C" w14:textId="43080CC5" w:rsidR="00481A6C" w:rsidRDefault="00481A6C" w:rsidP="00481A6C">
      <w:pPr>
        <w:pStyle w:val="BodyCopy"/>
        <w:rPr>
          <w:rStyle w:val="Hyperlink"/>
          <w:iCs w:val="0"/>
        </w:rPr>
      </w:pPr>
      <w:hyperlink w:anchor="_top" w:history="1">
        <w:r w:rsidRPr="00481A6C">
          <w:rPr>
            <w:rStyle w:val="Hyperlink"/>
            <w:iCs w:val="0"/>
          </w:rPr>
          <w:t>Back to Contents</w:t>
        </w:r>
      </w:hyperlink>
    </w:p>
    <w:p w14:paraId="5348ED29" w14:textId="77777777" w:rsidR="003254E1" w:rsidRDefault="003254E1" w:rsidP="003254E1">
      <w:pPr>
        <w:pStyle w:val="Heading4"/>
      </w:pPr>
      <w:bookmarkStart w:id="3" w:name="_Toc208948536"/>
      <w:r>
        <w:t>Scope</w:t>
      </w:r>
      <w:bookmarkEnd w:id="3"/>
    </w:p>
    <w:p w14:paraId="3615CF03" w14:textId="32F9A5BB" w:rsidR="003254E1" w:rsidRDefault="49F480C7" w:rsidP="003254E1">
      <w:pPr>
        <w:pStyle w:val="BodyCopy"/>
      </w:pPr>
      <w:r>
        <w:t>This</w:t>
      </w:r>
      <w:r w:rsidR="003254E1">
        <w:t xml:space="preserve"> document applies to the following </w:t>
      </w:r>
      <w:r w:rsidR="005855AD">
        <w:t xml:space="preserve">CHS Network </w:t>
      </w:r>
      <w:r w:rsidR="003254E1">
        <w:t>staff working within their scope of practice:</w:t>
      </w:r>
    </w:p>
    <w:p w14:paraId="7DB36720" w14:textId="04F71F82" w:rsidR="003254E1" w:rsidRPr="00BA236B" w:rsidRDefault="003254E1" w:rsidP="00515118">
      <w:pPr>
        <w:pStyle w:val="Bullet"/>
      </w:pPr>
      <w:r w:rsidRPr="00BA236B">
        <w:t xml:space="preserve">Medical </w:t>
      </w:r>
      <w:r w:rsidR="00B73B69">
        <w:t>o</w:t>
      </w:r>
      <w:r w:rsidRPr="00BA236B">
        <w:t>fficers</w:t>
      </w:r>
    </w:p>
    <w:p w14:paraId="668829F0" w14:textId="2A50A5AD" w:rsidR="003254E1" w:rsidRPr="00BA236B" w:rsidRDefault="003254E1" w:rsidP="00515118">
      <w:pPr>
        <w:pStyle w:val="Bullet"/>
      </w:pPr>
      <w:r>
        <w:t>Nurses</w:t>
      </w:r>
    </w:p>
    <w:p w14:paraId="10BDCB02" w14:textId="6C401F87" w:rsidR="003254E1" w:rsidRDefault="003254E1" w:rsidP="00515118">
      <w:pPr>
        <w:pStyle w:val="Bullet"/>
      </w:pPr>
      <w:r>
        <w:t>Student</w:t>
      </w:r>
      <w:r w:rsidR="000D1F50">
        <w:t>s</w:t>
      </w:r>
      <w:r>
        <w:t xml:space="preserve"> under direct supervision.</w:t>
      </w:r>
    </w:p>
    <w:p w14:paraId="2D95DBCD" w14:textId="65B1A406" w:rsidR="005855AD" w:rsidRDefault="005855AD" w:rsidP="005855AD">
      <w:pPr>
        <w:pStyle w:val="BodyCopy"/>
      </w:pPr>
      <w:r>
        <w:t>The CHS Network includes the inpatient and outpatient facilities at the Canberra Hospital, Clare Holland House, North Canberra Hospital, University of Canberra Hospital and community-based services.</w:t>
      </w:r>
    </w:p>
    <w:p w14:paraId="77E5E523" w14:textId="64207D3A" w:rsidR="00272A73" w:rsidRPr="00BA236B" w:rsidRDefault="00272A73" w:rsidP="005855AD">
      <w:pPr>
        <w:pStyle w:val="BodyCopy"/>
      </w:pPr>
      <w:r>
        <w:t>This document applies to adult and paediatric patients (but not neonates).</w:t>
      </w:r>
    </w:p>
    <w:p w14:paraId="5C21D801"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28849428" w14:textId="254A17AF" w:rsidR="0078367D" w:rsidRDefault="00983ABD" w:rsidP="00A6051F">
      <w:pPr>
        <w:pStyle w:val="Heading4"/>
      </w:pPr>
      <w:bookmarkStart w:id="4" w:name="_Toc208948537"/>
      <w:r>
        <w:lastRenderedPageBreak/>
        <w:t>Procedure</w:t>
      </w:r>
      <w:bookmarkEnd w:id="4"/>
    </w:p>
    <w:p w14:paraId="2F25F740" w14:textId="77777777" w:rsidR="00983ABD" w:rsidRPr="00983ABD" w:rsidRDefault="00983ABD" w:rsidP="00515118">
      <w:pPr>
        <w:pStyle w:val="Numberedlist"/>
      </w:pPr>
      <w:r w:rsidRPr="00983ABD">
        <w:t>Triage and Registration of the patient in the patient’s clinical record </w:t>
      </w:r>
    </w:p>
    <w:p w14:paraId="5E8B263E" w14:textId="311F3369" w:rsidR="00983ABD" w:rsidRPr="00983ABD" w:rsidRDefault="00983ABD" w:rsidP="00515118">
      <w:pPr>
        <w:pStyle w:val="Numberedlist"/>
      </w:pPr>
      <w:r w:rsidRPr="00983ABD">
        <w:t>Assess wound and seek consent from the patient to treat wound</w:t>
      </w:r>
      <w:r w:rsidR="00706F75">
        <w:t xml:space="preserve"> (</w:t>
      </w:r>
      <w:r w:rsidRPr="00983ABD">
        <w:t xml:space="preserve">refer to </w:t>
      </w:r>
      <w:r w:rsidR="001D1E84">
        <w:t xml:space="preserve">the </w:t>
      </w:r>
      <w:r w:rsidR="001D1E84" w:rsidRPr="001D1E84">
        <w:rPr>
          <w:i/>
          <w:iCs/>
        </w:rPr>
        <w:t>Consent for Healthcare Treatment Guideline</w:t>
      </w:r>
      <w:r w:rsidR="001D1E84">
        <w:t xml:space="preserve">, available on the Policy and Guidance </w:t>
      </w:r>
      <w:r w:rsidR="00706F75">
        <w:t>D</w:t>
      </w:r>
      <w:r w:rsidR="001D1E84">
        <w:t>ocuments Register</w:t>
      </w:r>
      <w:r w:rsidR="00706F75">
        <w:t>)</w:t>
      </w:r>
      <w:r w:rsidR="001D1E84">
        <w:t>.</w:t>
      </w:r>
      <w:r w:rsidRPr="00983ABD">
        <w:t> </w:t>
      </w:r>
    </w:p>
    <w:p w14:paraId="1B470A1E" w14:textId="1D836D66" w:rsidR="00983ABD" w:rsidRPr="00983ABD" w:rsidRDefault="00983ABD" w:rsidP="00515118">
      <w:pPr>
        <w:pStyle w:val="Numberedlist"/>
      </w:pPr>
      <w:r w:rsidRPr="00983ABD">
        <w:t>Thorough washing of the wound with soap/detergent and water for at least 15 minutes, followed by the application of povidone-iodine solution</w:t>
      </w:r>
      <w:r w:rsidR="00706F75">
        <w:t>.</w:t>
      </w:r>
      <w:r w:rsidRPr="00983ABD">
        <w:t>   </w:t>
      </w:r>
    </w:p>
    <w:p w14:paraId="0F5BE277" w14:textId="06FDCA74" w:rsidR="00983ABD" w:rsidRPr="00983ABD" w:rsidRDefault="00983ABD" w:rsidP="00515118">
      <w:pPr>
        <w:pStyle w:val="Numberedlist"/>
      </w:pPr>
      <w:r w:rsidRPr="00983ABD">
        <w:t xml:space="preserve">Standard wound care and treatment of secondary infection as per </w:t>
      </w:r>
      <w:r w:rsidR="00706F75">
        <w:t xml:space="preserve">the </w:t>
      </w:r>
      <w:r w:rsidR="00706F75" w:rsidRPr="00706F75">
        <w:rPr>
          <w:i/>
          <w:iCs/>
        </w:rPr>
        <w:t>Wound Assessment</w:t>
      </w:r>
      <w:r w:rsidR="00706F75">
        <w:rPr>
          <w:i/>
          <w:iCs/>
        </w:rPr>
        <w:t>, Prevention</w:t>
      </w:r>
      <w:r w:rsidR="00706F75" w:rsidRPr="00706F75">
        <w:rPr>
          <w:i/>
          <w:iCs/>
        </w:rPr>
        <w:t xml:space="preserve"> and Treatment Procedure</w:t>
      </w:r>
      <w:r w:rsidR="00706F75">
        <w:t>, available on the Policy and Guidance Documents Register.</w:t>
      </w:r>
    </w:p>
    <w:p w14:paraId="530BA03C" w14:textId="0B580FF0" w:rsidR="00983ABD" w:rsidRPr="00983ABD" w:rsidRDefault="00983ABD" w:rsidP="00515118">
      <w:pPr>
        <w:pStyle w:val="Numberedlist"/>
      </w:pPr>
      <w:r w:rsidRPr="00983ABD">
        <w:t xml:space="preserve">Administer </w:t>
      </w:r>
      <w:r w:rsidR="00706F75">
        <w:t>t</w:t>
      </w:r>
      <w:r w:rsidRPr="00983ABD">
        <w:t xml:space="preserve">etanus vaccination as indicated, refer to </w:t>
      </w:r>
      <w:r w:rsidR="00706F75">
        <w:t xml:space="preserve">the </w:t>
      </w:r>
      <w:r w:rsidRPr="00983ABD">
        <w:t>Australian Immunisation Handbook</w:t>
      </w:r>
      <w:r w:rsidR="00706F75">
        <w:t>.</w:t>
      </w:r>
      <w:r w:rsidR="00706F75">
        <w:rPr>
          <w:vertAlign w:val="superscript"/>
        </w:rPr>
        <w:t>1</w:t>
      </w:r>
      <w:r w:rsidRPr="00983ABD">
        <w:t> </w:t>
      </w:r>
    </w:p>
    <w:p w14:paraId="6CAE68DE" w14:textId="1BA3C181" w:rsidR="000C5131" w:rsidRDefault="00983ABD" w:rsidP="00515118">
      <w:pPr>
        <w:pStyle w:val="Numberedlist"/>
      </w:pPr>
      <w:r w:rsidRPr="00983ABD">
        <w:t xml:space="preserve">Rabies/lyssavirus </w:t>
      </w:r>
      <w:r w:rsidR="00706F75">
        <w:t>PEP:</w:t>
      </w:r>
      <w:r w:rsidRPr="00983ABD">
        <w:t xml:space="preserve"> </w:t>
      </w:r>
    </w:p>
    <w:p w14:paraId="000EEFB3" w14:textId="74434362" w:rsidR="00983ABD" w:rsidRPr="00983ABD" w:rsidRDefault="00983ABD" w:rsidP="00515118">
      <w:pPr>
        <w:pStyle w:val="Bullet"/>
        <w:numPr>
          <w:ilvl w:val="1"/>
          <w:numId w:val="1"/>
        </w:numPr>
      </w:pPr>
      <w:r w:rsidRPr="00983ABD">
        <w:t xml:space="preserve">This should be started as soon as possible after the exposure occurs. Very long incubation periods have been reported, so </w:t>
      </w:r>
      <w:r w:rsidR="00706F75">
        <w:t>PEP</w:t>
      </w:r>
      <w:r w:rsidRPr="00983ABD">
        <w:t xml:space="preserve"> may be given, if indicated, to patients who present late. </w:t>
      </w:r>
    </w:p>
    <w:p w14:paraId="580E4798" w14:textId="04FD8084" w:rsidR="00983ABD" w:rsidRPr="00983ABD" w:rsidRDefault="00983ABD" w:rsidP="00272A73">
      <w:pPr>
        <w:pStyle w:val="Bullet"/>
        <w:numPr>
          <w:ilvl w:val="1"/>
          <w:numId w:val="1"/>
        </w:numPr>
      </w:pPr>
      <w:r>
        <w:t xml:space="preserve">Contact the PHRU. During business hours phone (02) 5124 9213 or after hours phone (02) 9962 4155 to page the on-call officer. The PHRU staff member will assess whether the patient requires </w:t>
      </w:r>
      <w:r w:rsidR="00EA4A7F">
        <w:t xml:space="preserve">a </w:t>
      </w:r>
      <w:r>
        <w:t xml:space="preserve">Rabies Vaccine and/or </w:t>
      </w:r>
      <w:r w:rsidR="00EA4A7F">
        <w:t>HRIG</w:t>
      </w:r>
      <w:r>
        <w:t xml:space="preserve"> in line with the Communicable Disease Network Australia National Guidelines</w:t>
      </w:r>
      <w:r w:rsidR="00EA4A7F">
        <w:t xml:space="preserve"> (</w:t>
      </w:r>
      <w:hyperlink r:id="rId10">
        <w:r w:rsidR="00B73B69" w:rsidRPr="16D67CE6">
          <w:rPr>
            <w:rStyle w:val="Hyperlink"/>
          </w:rPr>
          <w:t>Rabies and other lyssavirus – CDNA National Guidelines for Public Health Units | Australian Government Department of Health, Disability and Ageing</w:t>
        </w:r>
      </w:hyperlink>
      <w:r w:rsidR="00EA4A7F">
        <w:t>)</w:t>
      </w:r>
      <w:r>
        <w:t>. </w:t>
      </w:r>
    </w:p>
    <w:p w14:paraId="36DD7A72" w14:textId="432D5B09" w:rsidR="00983ABD" w:rsidRPr="00983ABD" w:rsidRDefault="00983ABD" w:rsidP="00272A73">
      <w:pPr>
        <w:pStyle w:val="Bullet"/>
        <w:numPr>
          <w:ilvl w:val="1"/>
          <w:numId w:val="1"/>
        </w:numPr>
      </w:pPr>
      <w:r>
        <w:t>Treatment may vary if pre-exposure rabies vaccines have been given or the course of PEP has commenced overseas</w:t>
      </w:r>
      <w:r w:rsidR="00EA4A7F">
        <w:t>,</w:t>
      </w:r>
      <w:r>
        <w:t xml:space="preserve"> and this should be discussed with </w:t>
      </w:r>
      <w:r w:rsidR="00EA4A7F">
        <w:t xml:space="preserve">the </w:t>
      </w:r>
      <w:r>
        <w:t>PHRU medical officer</w:t>
      </w:r>
      <w:r w:rsidR="00EA4A7F">
        <w:t>.</w:t>
      </w:r>
      <w:r>
        <w:t>  </w:t>
      </w:r>
    </w:p>
    <w:p w14:paraId="69AF41ED" w14:textId="15F3F625" w:rsidR="00983ABD" w:rsidRPr="00983ABD" w:rsidRDefault="00983ABD" w:rsidP="00515118">
      <w:pPr>
        <w:pStyle w:val="Bullet"/>
        <w:numPr>
          <w:ilvl w:val="1"/>
          <w:numId w:val="1"/>
        </w:numPr>
      </w:pPr>
      <w:r w:rsidRPr="00983ABD">
        <w:t>Rabies vaccine and immunoglobulin is stored at the Health Protection Service in Holder and will be transported to</w:t>
      </w:r>
      <w:r w:rsidR="00EA4A7F">
        <w:t xml:space="preserve"> the Emergency Department (</w:t>
      </w:r>
      <w:r w:rsidRPr="00983ABD">
        <w:t>ED</w:t>
      </w:r>
      <w:r w:rsidR="00EA4A7F">
        <w:t>)</w:t>
      </w:r>
      <w:r w:rsidRPr="00983ABD">
        <w:t xml:space="preserve"> at any time if indicated, along with information for the patient and the treating doctor regarding PEP and their recommended treatment schedule. </w:t>
      </w:r>
    </w:p>
    <w:p w14:paraId="03810B20" w14:textId="2895869A" w:rsidR="00983ABD" w:rsidRPr="00983ABD" w:rsidRDefault="00983ABD" w:rsidP="00515118">
      <w:pPr>
        <w:pStyle w:val="Bullet"/>
        <w:numPr>
          <w:ilvl w:val="1"/>
          <w:numId w:val="1"/>
        </w:numPr>
      </w:pPr>
      <w:r w:rsidRPr="00983ABD">
        <w:t xml:space="preserve">Administration of the vaccine and immunoglobulin is the responsibility of the treating ED </w:t>
      </w:r>
      <w:r w:rsidR="00B73B69">
        <w:t xml:space="preserve">medical officer </w:t>
      </w:r>
      <w:r w:rsidRPr="00983ABD">
        <w:t xml:space="preserve">and should be administered as per the rabies section of the Australian Immunisation Handbook </w:t>
      </w:r>
      <w:r w:rsidR="00EA4A7F">
        <w:t>(</w:t>
      </w:r>
      <w:r w:rsidRPr="00983ABD">
        <w:t xml:space="preserve">found at: </w:t>
      </w:r>
      <w:hyperlink r:id="rId11" w:tgtFrame="_blank" w:history="1">
        <w:r w:rsidRPr="00983ABD">
          <w:rPr>
            <w:rStyle w:val="Hyperlink"/>
          </w:rPr>
          <w:t>Rabies and other lyssaviruses | The Australian Immunisation Handbook (health.gov.au)</w:t>
        </w:r>
      </w:hyperlink>
      <w:r w:rsidR="00EA4A7F">
        <w:t>).</w:t>
      </w:r>
    </w:p>
    <w:p w14:paraId="08947EEE" w14:textId="77777777" w:rsidR="00983ABD" w:rsidRPr="00983ABD" w:rsidRDefault="00983ABD" w:rsidP="00515118">
      <w:pPr>
        <w:pStyle w:val="Bullet"/>
        <w:numPr>
          <w:ilvl w:val="1"/>
          <w:numId w:val="1"/>
        </w:numPr>
      </w:pPr>
      <w:r w:rsidRPr="00983ABD">
        <w:t>Rabies vaccine should never be given in the buttocks. </w:t>
      </w:r>
    </w:p>
    <w:p w14:paraId="43D61BB2" w14:textId="3A159A77" w:rsidR="00983ABD" w:rsidRPr="00983ABD" w:rsidRDefault="00983ABD" w:rsidP="00272A73">
      <w:pPr>
        <w:pStyle w:val="Bullet"/>
        <w:numPr>
          <w:ilvl w:val="1"/>
          <w:numId w:val="1"/>
        </w:numPr>
      </w:pPr>
      <w:r>
        <w:t xml:space="preserve">The immunoglobulin should be injected at the bite site as much as possible with any remaining </w:t>
      </w:r>
      <w:r w:rsidR="00B73B69">
        <w:t xml:space="preserve">HRIG </w:t>
      </w:r>
      <w:r>
        <w:t xml:space="preserve">given by </w:t>
      </w:r>
      <w:r w:rsidR="00B73B69">
        <w:t xml:space="preserve">intramuscular </w:t>
      </w:r>
      <w:r>
        <w:t>injection at a site away from the rabies vaccine injection site.  </w:t>
      </w:r>
    </w:p>
    <w:p w14:paraId="07F14E17" w14:textId="712AAEE1" w:rsidR="00983ABD" w:rsidRPr="00983ABD" w:rsidRDefault="00983ABD" w:rsidP="00272A73">
      <w:pPr>
        <w:pStyle w:val="Bullet"/>
        <w:numPr>
          <w:ilvl w:val="1"/>
          <w:numId w:val="1"/>
        </w:numPr>
      </w:pPr>
      <w:r>
        <w:t xml:space="preserve">If the wound requires closure the </w:t>
      </w:r>
      <w:r w:rsidR="00B73B69">
        <w:t>HRIG</w:t>
      </w:r>
      <w:r>
        <w:t xml:space="preserve"> should be injected into the wound prior to closure</w:t>
      </w:r>
      <w:r w:rsidR="00B73B69">
        <w:t>.</w:t>
      </w:r>
      <w:r>
        <w:t> </w:t>
      </w:r>
    </w:p>
    <w:p w14:paraId="6974F8FB" w14:textId="769CF52F" w:rsidR="00983ABD" w:rsidRDefault="00983ABD" w:rsidP="00515118">
      <w:pPr>
        <w:pStyle w:val="Numberedlist"/>
      </w:pPr>
      <w:r w:rsidRPr="00983ABD">
        <w:lastRenderedPageBreak/>
        <w:t>Any patient presenting to ED displaying clinical features suggestive of rabies must immediately be discussed with the ED and Infectious Diseases consultants. </w:t>
      </w:r>
    </w:p>
    <w:p w14:paraId="43E1C0A8" w14:textId="6BF6E239" w:rsidR="000C5131" w:rsidRDefault="000C5131" w:rsidP="00515118">
      <w:pPr>
        <w:pStyle w:val="Bullet"/>
        <w:numPr>
          <w:ilvl w:val="1"/>
          <w:numId w:val="1"/>
        </w:numPr>
      </w:pPr>
      <w:r>
        <w:t>Rabies</w:t>
      </w:r>
      <w:r w:rsidR="00253854">
        <w:t>/lyssavirus are clinically indistinguishable. They</w:t>
      </w:r>
      <w:r>
        <w:t xml:space="preserve"> typically present with non-specific viral like prodrome lasting up to 10 days followed by an encephalopathy (classic “furious rabies”)</w:t>
      </w:r>
      <w:r w:rsidR="00B73B69">
        <w:t>.</w:t>
      </w:r>
    </w:p>
    <w:p w14:paraId="4D2FCE30" w14:textId="79519339" w:rsidR="00253854" w:rsidRDefault="00253854" w:rsidP="00515118">
      <w:pPr>
        <w:pStyle w:val="Bullet"/>
        <w:numPr>
          <w:ilvl w:val="1"/>
          <w:numId w:val="1"/>
        </w:numPr>
      </w:pPr>
      <w:r>
        <w:t>P</w:t>
      </w:r>
      <w:r w:rsidRPr="00253854">
        <w:t>araesthesiae</w:t>
      </w:r>
      <w:r>
        <w:t xml:space="preserve"> and muscle fasciculation are the wound site may be present</w:t>
      </w:r>
      <w:r w:rsidR="00B73B69">
        <w:t>.</w:t>
      </w:r>
    </w:p>
    <w:p w14:paraId="091C99C1" w14:textId="4989EEE9" w:rsidR="000C5131" w:rsidRDefault="00253854" w:rsidP="00515118">
      <w:pPr>
        <w:pStyle w:val="Bullet"/>
        <w:numPr>
          <w:ilvl w:val="1"/>
          <w:numId w:val="1"/>
        </w:numPr>
      </w:pPr>
      <w:r>
        <w:t>Neurological signs include aerophobia, hydrophobia, autonomic instability and behavioural changes</w:t>
      </w:r>
      <w:r w:rsidR="00B73B69">
        <w:t>.</w:t>
      </w:r>
    </w:p>
    <w:p w14:paraId="2EF581C8" w14:textId="4B9F4E90" w:rsidR="00253854" w:rsidRDefault="00253854" w:rsidP="00515118">
      <w:pPr>
        <w:pStyle w:val="Bullet"/>
        <w:numPr>
          <w:ilvl w:val="1"/>
          <w:numId w:val="1"/>
        </w:numPr>
      </w:pPr>
      <w:r>
        <w:t>Rapid deterioration in neurological status and coma follow</w:t>
      </w:r>
      <w:r w:rsidR="00B73B69">
        <w:t>.</w:t>
      </w:r>
    </w:p>
    <w:p w14:paraId="6270651B" w14:textId="3995D60F" w:rsidR="00253854" w:rsidRPr="00983ABD" w:rsidRDefault="00253854" w:rsidP="00515118">
      <w:pPr>
        <w:pStyle w:val="Bullet"/>
        <w:numPr>
          <w:ilvl w:val="1"/>
          <w:numId w:val="1"/>
        </w:numPr>
      </w:pPr>
      <w:r>
        <w:t>Rabies and lyssavirus are almost universally fatal</w:t>
      </w:r>
      <w:r w:rsidR="00B73B69">
        <w:t>.</w:t>
      </w:r>
      <w:r>
        <w:t xml:space="preserve"> </w:t>
      </w:r>
    </w:p>
    <w:p w14:paraId="4780AB0C" w14:textId="77777777" w:rsidR="00983ABD" w:rsidRPr="00983ABD" w:rsidRDefault="00983ABD" w:rsidP="00515118">
      <w:pPr>
        <w:pStyle w:val="Numberedlist"/>
      </w:pPr>
      <w:r w:rsidRPr="00983ABD">
        <w:t>If the patient is not displaying any clinical features they can be discharged into the care of their General Practitioner (GP). PHRU will arrange for the patient to receive any subsequent doses of the vaccine that are required at their GP’s practice. </w:t>
      </w:r>
    </w:p>
    <w:p w14:paraId="2E2EBA7C" w14:textId="77777777" w:rsidR="00983ABD" w:rsidRPr="00983ABD" w:rsidRDefault="00983ABD" w:rsidP="00515118">
      <w:pPr>
        <w:pStyle w:val="Numberedlist"/>
      </w:pPr>
      <w:r w:rsidRPr="00983ABD">
        <w:t>Document care and treatment of patient in the clinical record. Complete a discharge summary, give a copy to the patient, and seek consent to send directly to their GP. </w:t>
      </w:r>
    </w:p>
    <w:p w14:paraId="51B4F9B1" w14:textId="202354CC" w:rsidR="00983ABD" w:rsidRPr="00983ABD" w:rsidRDefault="00983ABD" w:rsidP="00515118">
      <w:pPr>
        <w:pStyle w:val="Numberedlist"/>
      </w:pPr>
      <w:r>
        <w:t>Please complete and</w:t>
      </w:r>
      <w:r w:rsidR="6F9B32F1">
        <w:t xml:space="preserve"> email</w:t>
      </w:r>
      <w:r>
        <w:t xml:space="preserve"> the </w:t>
      </w:r>
      <w:hyperlink r:id="rId12">
        <w:r w:rsidRPr="16D67CE6">
          <w:rPr>
            <w:rStyle w:val="Hyperlink"/>
          </w:rPr>
          <w:t>PEP treatment forms</w:t>
        </w:r>
      </w:hyperlink>
      <w:r>
        <w:t xml:space="preserve"> </w:t>
      </w:r>
      <w:r w:rsidR="00B73B69">
        <w:t xml:space="preserve">(found in the Rabies and Other Lyssavirus - CDNA National Guidelines) </w:t>
      </w:r>
      <w:r>
        <w:t>to PHRU@act.gov.au. </w:t>
      </w:r>
    </w:p>
    <w:p w14:paraId="5612CBB7" w14:textId="77777777" w:rsidR="00481A6C" w:rsidRDefault="00481A6C" w:rsidP="0091462B">
      <w:pPr>
        <w:pStyle w:val="BodyCopy"/>
      </w:pPr>
      <w:hyperlink w:anchor="_top" w:history="1">
        <w:r w:rsidRPr="00481A6C">
          <w:rPr>
            <w:rStyle w:val="Hyperlink"/>
            <w:iCs w:val="0"/>
          </w:rPr>
          <w:t>Back to Contents</w:t>
        </w:r>
      </w:hyperlink>
    </w:p>
    <w:p w14:paraId="2A1E0A58" w14:textId="6E47214B" w:rsidR="0078367D" w:rsidRDefault="0078367D" w:rsidP="00A6051F">
      <w:pPr>
        <w:pStyle w:val="Heading4"/>
      </w:pPr>
      <w:bookmarkStart w:id="5" w:name="_Toc176348490"/>
      <w:bookmarkStart w:id="6" w:name="_Toc208948538"/>
      <w:r>
        <w:t>Evaluation</w:t>
      </w:r>
      <w:bookmarkStart w:id="7" w:name="_Hlk43366294"/>
      <w:bookmarkEnd w:id="5"/>
      <w:bookmarkEnd w:id="6"/>
    </w:p>
    <w:p w14:paraId="79F73829" w14:textId="77777777" w:rsidR="00983ABD" w:rsidRPr="00983ABD" w:rsidRDefault="00983ABD" w:rsidP="00983ABD">
      <w:pPr>
        <w:pStyle w:val="BodyCopy"/>
        <w:rPr>
          <w:rFonts w:eastAsiaTheme="majorEastAsia" w:cstheme="majorBidi"/>
          <w:b/>
          <w:color w:val="3D2262" w:themeColor="accent1"/>
          <w:szCs w:val="36"/>
        </w:rPr>
      </w:pPr>
      <w:r w:rsidRPr="00983ABD">
        <w:rPr>
          <w:rFonts w:eastAsiaTheme="majorEastAsia" w:cstheme="majorBidi"/>
          <w:b/>
          <w:color w:val="3D2262" w:themeColor="accent1"/>
          <w:szCs w:val="36"/>
        </w:rPr>
        <w:t>Outcome </w:t>
      </w:r>
    </w:p>
    <w:p w14:paraId="1C32657F" w14:textId="4F977991" w:rsidR="00983ABD" w:rsidRPr="00983ABD" w:rsidRDefault="00983ABD" w:rsidP="00983ABD">
      <w:pPr>
        <w:pStyle w:val="BodyCopy"/>
      </w:pPr>
      <w:r w:rsidRPr="00983ABD">
        <w:t>Patients presenting to CHS ED</w:t>
      </w:r>
      <w:r w:rsidR="00DC0BFF">
        <w:t>s</w:t>
      </w:r>
      <w:r w:rsidRPr="00983ABD">
        <w:t xml:space="preserve"> with a rabies or lyssavirus exposure are managed as per this procedure. </w:t>
      </w:r>
    </w:p>
    <w:p w14:paraId="61D6EEF1" w14:textId="5D15D851" w:rsidR="00983ABD" w:rsidRPr="00983ABD" w:rsidRDefault="00983ABD" w:rsidP="00983ABD">
      <w:pPr>
        <w:pStyle w:val="BodyCopy"/>
        <w:rPr>
          <w:rFonts w:eastAsiaTheme="majorEastAsia" w:cstheme="majorBidi"/>
          <w:b/>
          <w:color w:val="3D2262" w:themeColor="accent1"/>
          <w:szCs w:val="36"/>
        </w:rPr>
      </w:pPr>
      <w:r w:rsidRPr="00983ABD">
        <w:rPr>
          <w:rFonts w:eastAsiaTheme="majorEastAsia" w:cstheme="majorBidi"/>
          <w:b/>
          <w:color w:val="3D2262" w:themeColor="accent1"/>
          <w:szCs w:val="36"/>
        </w:rPr>
        <w:t> Measure </w:t>
      </w:r>
    </w:p>
    <w:p w14:paraId="0D998538" w14:textId="77777777" w:rsidR="00983ABD" w:rsidRPr="00983ABD" w:rsidRDefault="00983ABD" w:rsidP="00515118">
      <w:pPr>
        <w:pStyle w:val="Bullet"/>
      </w:pPr>
      <w:r>
        <w:t>Review of a selection of patient clinical records of patients who were treated for a rabies or lyssavirus to ensure procedure was followed. </w:t>
      </w:r>
    </w:p>
    <w:p w14:paraId="217B0A69" w14:textId="011F8686" w:rsidR="00253854" w:rsidRPr="00983ABD" w:rsidRDefault="00983ABD" w:rsidP="00515118">
      <w:pPr>
        <w:pStyle w:val="Bullet"/>
      </w:pPr>
      <w:r w:rsidRPr="00983ABD">
        <w:t>Review of consumer feedback relating to treatment and provision of PEP for rabies or lyssavirus ex</w:t>
      </w:r>
      <w:r>
        <w:t>p</w:t>
      </w:r>
      <w:r w:rsidRPr="00983ABD">
        <w:t>osures</w:t>
      </w:r>
      <w:r w:rsidR="00DC0BFF">
        <w:t>.</w:t>
      </w:r>
      <w:r w:rsidRPr="00983ABD">
        <w:t> </w:t>
      </w:r>
    </w:p>
    <w:bookmarkEnd w:id="7"/>
    <w:p w14:paraId="1A8BCF16" w14:textId="77777777" w:rsidR="00481A6C" w:rsidRDefault="00481A6C" w:rsidP="002D7682">
      <w:pPr>
        <w:pStyle w:val="BodyCopy"/>
        <w:spacing w:after="120"/>
        <w:rPr>
          <w:rStyle w:val="Hyperlink"/>
          <w:iCs w:val="0"/>
        </w:rPr>
      </w:pPr>
      <w:r>
        <w:fldChar w:fldCharType="begin"/>
      </w:r>
      <w:r>
        <w:instrText>HYPERLINK \l "_top"</w:instrText>
      </w:r>
      <w:r>
        <w:fldChar w:fldCharType="separate"/>
      </w:r>
      <w:r w:rsidRPr="00481A6C">
        <w:rPr>
          <w:rStyle w:val="Hyperlink"/>
          <w:iCs w:val="0"/>
        </w:rPr>
        <w:t>Back to Contents</w:t>
      </w:r>
      <w:r>
        <w:fldChar w:fldCharType="end"/>
      </w:r>
    </w:p>
    <w:p w14:paraId="00942EA7" w14:textId="77777777" w:rsidR="00A6051F" w:rsidRDefault="00A6051F" w:rsidP="00A6051F">
      <w:pPr>
        <w:pStyle w:val="Heading4"/>
      </w:pPr>
      <w:bookmarkStart w:id="8" w:name="_Toc208948539"/>
      <w:r>
        <w:t>Related policies, procedures, guidelines and legislation</w:t>
      </w:r>
      <w:bookmarkEnd w:id="8"/>
    </w:p>
    <w:p w14:paraId="3AF3ACAC" w14:textId="77777777" w:rsidR="00481A6C" w:rsidRPr="00A66966" w:rsidRDefault="00481A6C" w:rsidP="00A6051F">
      <w:pPr>
        <w:pStyle w:val="Heading5"/>
      </w:pPr>
      <w:r w:rsidRPr="00A66966">
        <w:t>Policies</w:t>
      </w:r>
    </w:p>
    <w:p w14:paraId="07F8DD0E" w14:textId="77777777" w:rsidR="00A86197" w:rsidRDefault="00A86197" w:rsidP="00253854">
      <w:pPr>
        <w:pStyle w:val="Bullet"/>
        <w:numPr>
          <w:ilvl w:val="0"/>
          <w:numId w:val="8"/>
        </w:numPr>
      </w:pPr>
      <w:r>
        <w:t>Nursing and Midwifery Board of Australia (NMBA) Requirements for Practice</w:t>
      </w:r>
    </w:p>
    <w:p w14:paraId="7CE4C323" w14:textId="77777777" w:rsidR="00481A6C" w:rsidRDefault="00481A6C" w:rsidP="00A6051F">
      <w:pPr>
        <w:pStyle w:val="Heading5"/>
      </w:pPr>
      <w:r>
        <w:t>Procedures</w:t>
      </w:r>
    </w:p>
    <w:p w14:paraId="6F1F1D1C" w14:textId="77777777" w:rsidR="00481A6C" w:rsidRPr="000E7683" w:rsidRDefault="00635114" w:rsidP="000E7683">
      <w:pPr>
        <w:pStyle w:val="Bullet"/>
      </w:pPr>
      <w:r>
        <w:t>Infection Prevention and Control</w:t>
      </w:r>
    </w:p>
    <w:p w14:paraId="5527F487" w14:textId="07FD799A" w:rsidR="00706F75" w:rsidRDefault="00706F75" w:rsidP="000E7683">
      <w:pPr>
        <w:pStyle w:val="Bullet"/>
      </w:pPr>
      <w:r>
        <w:lastRenderedPageBreak/>
        <w:t xml:space="preserve">Wound Assessment, Prevention and Treatment </w:t>
      </w:r>
    </w:p>
    <w:p w14:paraId="17AC9DB5" w14:textId="6B11AD29" w:rsidR="00481A6C" w:rsidRPr="000E7683" w:rsidRDefault="00481A6C" w:rsidP="000E7683">
      <w:pPr>
        <w:pStyle w:val="Bullet"/>
      </w:pPr>
      <w:r w:rsidRPr="000E7683">
        <w:t xml:space="preserve">Patient Identification and </w:t>
      </w:r>
      <w:r w:rsidR="00DC0BFF">
        <w:t xml:space="preserve">Health Care Activity </w:t>
      </w:r>
      <w:r w:rsidRPr="000E7683">
        <w:t xml:space="preserve">Matching </w:t>
      </w:r>
    </w:p>
    <w:p w14:paraId="542AD6D5" w14:textId="77777777" w:rsidR="00481A6C" w:rsidRDefault="00481A6C" w:rsidP="00A6051F">
      <w:pPr>
        <w:pStyle w:val="Heading5"/>
      </w:pPr>
      <w:r>
        <w:t xml:space="preserve">Guidelines </w:t>
      </w:r>
    </w:p>
    <w:p w14:paraId="0A809E6C" w14:textId="77777777" w:rsidR="009746B1" w:rsidRDefault="009746B1" w:rsidP="009746B1">
      <w:pPr>
        <w:pStyle w:val="Bullet"/>
      </w:pPr>
      <w:r>
        <w:t>Consent for Healthcare Treatment</w:t>
      </w:r>
    </w:p>
    <w:p w14:paraId="523C1227" w14:textId="77777777" w:rsidR="00481A6C" w:rsidRDefault="00481A6C" w:rsidP="00A6051F">
      <w:pPr>
        <w:pStyle w:val="Heading5"/>
      </w:pPr>
      <w:r>
        <w:t>Legislation</w:t>
      </w:r>
    </w:p>
    <w:p w14:paraId="6591454C" w14:textId="77777777" w:rsidR="00481A6C" w:rsidRPr="000E7683" w:rsidRDefault="00481A6C" w:rsidP="000E7683">
      <w:pPr>
        <w:pStyle w:val="Bullet"/>
      </w:pPr>
      <w:r w:rsidRPr="00FE46F1">
        <w:rPr>
          <w:i/>
          <w:iCs/>
        </w:rPr>
        <w:t>Health Records (Privacy and Access) Act</w:t>
      </w:r>
      <w:r w:rsidRPr="000E7683">
        <w:t xml:space="preserve"> 1997</w:t>
      </w:r>
    </w:p>
    <w:p w14:paraId="111C715E" w14:textId="77777777" w:rsidR="00481A6C" w:rsidRPr="000E7683" w:rsidRDefault="00481A6C" w:rsidP="000E7683">
      <w:pPr>
        <w:pStyle w:val="Bullet"/>
      </w:pPr>
      <w:r w:rsidRPr="00FE46F1">
        <w:rPr>
          <w:i/>
          <w:iCs/>
        </w:rPr>
        <w:t>Human Rights Act</w:t>
      </w:r>
      <w:r w:rsidRPr="000E7683">
        <w:t xml:space="preserve"> 2004</w:t>
      </w:r>
    </w:p>
    <w:p w14:paraId="0B35E730" w14:textId="77777777" w:rsidR="00481A6C" w:rsidRPr="000E7683" w:rsidRDefault="00481A6C" w:rsidP="000E7683">
      <w:pPr>
        <w:pStyle w:val="Bullet"/>
      </w:pPr>
      <w:r w:rsidRPr="00FE46F1">
        <w:rPr>
          <w:i/>
          <w:iCs/>
        </w:rPr>
        <w:t>Work Health and Safety Act</w:t>
      </w:r>
      <w:r w:rsidRPr="000E7683">
        <w:t xml:space="preserve"> 2011</w:t>
      </w:r>
    </w:p>
    <w:p w14:paraId="2DF2CD38" w14:textId="77777777" w:rsidR="00481A6C" w:rsidRPr="000E7683" w:rsidRDefault="00481A6C" w:rsidP="000E7683">
      <w:pPr>
        <w:pStyle w:val="Bullet"/>
      </w:pPr>
      <w:r w:rsidRPr="00FE46F1">
        <w:rPr>
          <w:i/>
          <w:iCs/>
        </w:rPr>
        <w:t>Carers Recognition Act</w:t>
      </w:r>
      <w:r w:rsidRPr="000E7683">
        <w:t xml:space="preserve"> 2021</w:t>
      </w:r>
    </w:p>
    <w:p w14:paraId="56B79A56" w14:textId="77777777" w:rsidR="00481A6C" w:rsidRDefault="00481A6C" w:rsidP="00A6051F">
      <w:pPr>
        <w:pStyle w:val="Heading5"/>
      </w:pPr>
      <w:r>
        <w:t>Other</w:t>
      </w:r>
    </w:p>
    <w:p w14:paraId="7C4BBF79" w14:textId="28656067" w:rsidR="00481A6C" w:rsidRDefault="00481A6C" w:rsidP="75B8309C">
      <w:pPr>
        <w:pStyle w:val="Bullet"/>
      </w:pPr>
      <w:r>
        <w:t>Australian Charter of Healthcare Right</w:t>
      </w:r>
      <w:r w:rsidR="00280C5D">
        <w:t>s</w:t>
      </w:r>
    </w:p>
    <w:p w14:paraId="4D7CD3DF" w14:textId="77777777" w:rsidR="000E7683" w:rsidRPr="000E7683" w:rsidRDefault="000E7683" w:rsidP="002D7682">
      <w:pPr>
        <w:pStyle w:val="BodyCopy"/>
      </w:pPr>
      <w:hyperlink w:anchor="_top">
        <w:r w:rsidRPr="75B8309C">
          <w:rPr>
            <w:rStyle w:val="Hyperlink"/>
          </w:rPr>
          <w:t>Back to Contents</w:t>
        </w:r>
      </w:hyperlink>
    </w:p>
    <w:p w14:paraId="48D8E974" w14:textId="77777777" w:rsidR="0078367D" w:rsidRPr="0078367D" w:rsidRDefault="0078367D" w:rsidP="00A6051F">
      <w:pPr>
        <w:pStyle w:val="Heading4"/>
      </w:pPr>
      <w:bookmarkStart w:id="9" w:name="_Toc208948540"/>
      <w:r w:rsidRPr="0078367D">
        <w:t>References</w:t>
      </w:r>
      <w:bookmarkEnd w:id="9"/>
    </w:p>
    <w:p w14:paraId="1AA8710D" w14:textId="21BE8577" w:rsidR="00983ABD" w:rsidRPr="00983ABD" w:rsidRDefault="000C5131" w:rsidP="00515118">
      <w:pPr>
        <w:pStyle w:val="Numberedlist"/>
        <w:numPr>
          <w:ilvl w:val="0"/>
          <w:numId w:val="28"/>
        </w:numPr>
        <w:rPr>
          <w:lang w:eastAsia="en-US"/>
        </w:rPr>
      </w:pPr>
      <w:r w:rsidRPr="000C5131">
        <w:rPr>
          <w:lang w:eastAsia="en-US"/>
        </w:rPr>
        <w:t>Australian Technical Advisory Group on Immunisation (ATAGI). Australian Immunisation Handbook, Australian Government Department of Health and Aged Care, Canberra, 2022, immunisationhandbook.health.gov.au.</w:t>
      </w:r>
      <w:r w:rsidR="00983ABD" w:rsidRPr="00983ABD">
        <w:rPr>
          <w:lang w:eastAsia="en-US"/>
        </w:rPr>
        <w:t xml:space="preserve">. </w:t>
      </w:r>
      <w:hyperlink r:id="rId13" w:history="1">
        <w:r w:rsidRPr="00740751">
          <w:rPr>
            <w:rStyle w:val="Hyperlink"/>
            <w:lang w:eastAsia="en-US"/>
          </w:rPr>
          <w:t>https://immunisationhandbook.health.gov.au/contents/vaccine-preventable-diseases/rabies-and-other-lyssaviruses</w:t>
        </w:r>
      </w:hyperlink>
      <w:r>
        <w:rPr>
          <w:lang w:eastAsia="en-US"/>
        </w:rPr>
        <w:t xml:space="preserve"> </w:t>
      </w:r>
      <w:r w:rsidR="00983ABD" w:rsidRPr="00983ABD">
        <w:rPr>
          <w:lang w:eastAsia="en-US"/>
        </w:rPr>
        <w:t xml:space="preserve">Accessed </w:t>
      </w:r>
      <w:r>
        <w:rPr>
          <w:lang w:eastAsia="en-US"/>
        </w:rPr>
        <w:t>17/09/2025</w:t>
      </w:r>
      <w:r w:rsidR="00983ABD" w:rsidRPr="00983ABD">
        <w:rPr>
          <w:lang w:eastAsia="en-US"/>
        </w:rPr>
        <w:t> </w:t>
      </w:r>
    </w:p>
    <w:p w14:paraId="342303ED" w14:textId="42722A54" w:rsidR="00983ABD" w:rsidRPr="00983ABD" w:rsidRDefault="00983ABD" w:rsidP="00515118">
      <w:pPr>
        <w:pStyle w:val="Numberedlist"/>
        <w:numPr>
          <w:ilvl w:val="0"/>
          <w:numId w:val="28"/>
        </w:numPr>
        <w:rPr>
          <w:lang w:eastAsia="en-US"/>
        </w:rPr>
      </w:pPr>
      <w:r w:rsidRPr="00983ABD">
        <w:rPr>
          <w:lang w:eastAsia="en-US"/>
        </w:rPr>
        <w:t xml:space="preserve">PEP treatment form: </w:t>
      </w:r>
      <w:bookmarkStart w:id="10" w:name="_Hlk209008716"/>
      <w:r w:rsidR="000C5131">
        <w:rPr>
          <w:lang w:eastAsia="en-US"/>
        </w:rPr>
        <w:fldChar w:fldCharType="begin"/>
      </w:r>
      <w:r w:rsidR="000C5131">
        <w:rPr>
          <w:lang w:eastAsia="en-US"/>
        </w:rPr>
        <w:instrText>HYPERLINK "</w:instrText>
      </w:r>
      <w:r w:rsidR="000C5131" w:rsidRPr="000C5131">
        <w:rPr>
          <w:lang w:eastAsia="en-US"/>
        </w:rPr>
        <w:instrText>https://www.act.gov.au/__data/assets/word_doc/0010/2184796/Rabies-and-Australian-Bat-Lyssavirus-Post-Exposure-Prophylaxis.docx</w:instrText>
      </w:r>
      <w:r w:rsidR="000C5131">
        <w:rPr>
          <w:lang w:eastAsia="en-US"/>
        </w:rPr>
        <w:instrText>"</w:instrText>
      </w:r>
      <w:r w:rsidR="000C5131">
        <w:rPr>
          <w:lang w:eastAsia="en-US"/>
        </w:rPr>
      </w:r>
      <w:r w:rsidR="000C5131">
        <w:rPr>
          <w:lang w:eastAsia="en-US"/>
        </w:rPr>
        <w:fldChar w:fldCharType="separate"/>
      </w:r>
      <w:r w:rsidR="000C5131" w:rsidRPr="00740751">
        <w:rPr>
          <w:rStyle w:val="Hyperlink"/>
          <w:lang w:eastAsia="en-US"/>
        </w:rPr>
        <w:t>https://www.act.gov.au/__data/assets/word_doc/0010/2184796/Rabies-and-Australian-Bat-Lyssavirus-Post-Exposure-Prophylaxis.docx</w:t>
      </w:r>
      <w:r w:rsidR="000C5131">
        <w:rPr>
          <w:lang w:eastAsia="en-US"/>
        </w:rPr>
        <w:fldChar w:fldCharType="end"/>
      </w:r>
      <w:bookmarkEnd w:id="10"/>
      <w:r w:rsidR="000C5131">
        <w:rPr>
          <w:lang w:eastAsia="en-US"/>
        </w:rPr>
        <w:t xml:space="preserve"> </w:t>
      </w:r>
      <w:r w:rsidRPr="00983ABD">
        <w:rPr>
          <w:lang w:eastAsia="en-US"/>
        </w:rPr>
        <w:t xml:space="preserve">Accessed </w:t>
      </w:r>
      <w:r w:rsidR="000C5131">
        <w:rPr>
          <w:lang w:eastAsia="en-US"/>
        </w:rPr>
        <w:t>17/09/25</w:t>
      </w:r>
      <w:r w:rsidRPr="00983ABD">
        <w:rPr>
          <w:lang w:eastAsia="en-US"/>
        </w:rPr>
        <w:t> </w:t>
      </w:r>
    </w:p>
    <w:p w14:paraId="66500B76"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66E717F5" w14:textId="77777777" w:rsidR="0078367D" w:rsidRDefault="0078367D" w:rsidP="00A6051F">
      <w:pPr>
        <w:pStyle w:val="Heading4"/>
      </w:pPr>
      <w:bookmarkStart w:id="11" w:name="_Toc208948541"/>
      <w:r>
        <w:t>Search terms</w:t>
      </w:r>
      <w:bookmarkEnd w:id="11"/>
    </w:p>
    <w:p w14:paraId="4A8F0DDC" w14:textId="06329F6D" w:rsidR="00280C5D" w:rsidRDefault="00983ABD" w:rsidP="0078367D">
      <w:pPr>
        <w:pStyle w:val="BodyCopy"/>
        <w:rPr>
          <w:lang w:eastAsia="en-US"/>
        </w:rPr>
      </w:pPr>
      <w:r w:rsidRPr="00983ABD">
        <w:rPr>
          <w:lang w:eastAsia="en-US"/>
        </w:rPr>
        <w:t>Bat, rabies, animal bite, ABL, lyssavirus, post exposure prophylaxis (PEP), scratch</w:t>
      </w:r>
      <w:r w:rsidR="00706F75">
        <w:rPr>
          <w:lang w:eastAsia="en-US"/>
        </w:rPr>
        <w:t>, north</w:t>
      </w:r>
      <w:r w:rsidR="00280C5D">
        <w:rPr>
          <w:lang w:eastAsia="en-US"/>
        </w:rPr>
        <w:t xml:space="preserve"> </w:t>
      </w:r>
    </w:p>
    <w:p w14:paraId="6D13946D"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3ADEB095" w14:textId="70E01366" w:rsidR="007B1A7B" w:rsidRDefault="007B1A7B" w:rsidP="002D7682">
      <w:pPr>
        <w:pStyle w:val="Bullet"/>
        <w:numPr>
          <w:ilvl w:val="0"/>
          <w:numId w:val="0"/>
        </w:numPr>
        <w:spacing w:after="240"/>
        <w:rPr>
          <w:rStyle w:val="Hyperlink"/>
        </w:rPr>
      </w:pPr>
    </w:p>
    <w:p w14:paraId="21191D23" w14:textId="5703390F" w:rsidR="009A5010" w:rsidRPr="001F3ED6" w:rsidRDefault="007B1A7B" w:rsidP="00253854">
      <w:pPr>
        <w:spacing w:before="0" w:after="0" w:line="240" w:lineRule="auto"/>
        <w:rPr>
          <w:rStyle w:val="Bold"/>
        </w:rPr>
      </w:pPr>
      <w:r>
        <w:rPr>
          <w:rStyle w:val="Hyperlink"/>
        </w:rPr>
        <w:br w:type="page"/>
      </w:r>
      <w:r w:rsidR="00280C5D"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53D0BE94"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5B7F9424" w14:textId="77777777" w:rsidR="00280C5D" w:rsidRDefault="00280C5D" w:rsidP="003B0E72">
            <w:pPr>
              <w:pStyle w:val="Tableheader"/>
            </w:pPr>
            <w:r>
              <w:t>Date amended</w:t>
            </w:r>
          </w:p>
        </w:tc>
        <w:tc>
          <w:tcPr>
            <w:tcW w:w="2477" w:type="dxa"/>
          </w:tcPr>
          <w:p w14:paraId="48630D68" w14:textId="77777777" w:rsidR="00280C5D" w:rsidRDefault="00280C5D" w:rsidP="003B0E72">
            <w:pPr>
              <w:pStyle w:val="Tableheader"/>
            </w:pPr>
            <w:r>
              <w:t>Section amended</w:t>
            </w:r>
          </w:p>
        </w:tc>
        <w:tc>
          <w:tcPr>
            <w:tcW w:w="2555" w:type="dxa"/>
          </w:tcPr>
          <w:p w14:paraId="1B0630F1" w14:textId="77777777" w:rsidR="00280C5D" w:rsidRDefault="00280C5D" w:rsidP="003B0E72">
            <w:pPr>
              <w:pStyle w:val="Tableheader"/>
            </w:pPr>
            <w:r>
              <w:t>Divisional approval</w:t>
            </w:r>
          </w:p>
        </w:tc>
        <w:tc>
          <w:tcPr>
            <w:tcW w:w="2403" w:type="dxa"/>
          </w:tcPr>
          <w:p w14:paraId="57903F14" w14:textId="77777777" w:rsidR="00280C5D" w:rsidRDefault="00280C5D" w:rsidP="003B0E72">
            <w:pPr>
              <w:pStyle w:val="Tableheader"/>
            </w:pPr>
            <w:r>
              <w:t>Final approval</w:t>
            </w:r>
          </w:p>
        </w:tc>
      </w:tr>
      <w:tr w:rsidR="00280C5D" w14:paraId="4A468DEA" w14:textId="77777777" w:rsidTr="003B0E72">
        <w:tc>
          <w:tcPr>
            <w:tcW w:w="2476" w:type="dxa"/>
          </w:tcPr>
          <w:p w14:paraId="0A2C0537" w14:textId="266B721C" w:rsidR="00280C5D" w:rsidRDefault="00CD2F0D" w:rsidP="003B0E72">
            <w:pPr>
              <w:pStyle w:val="Tablebody"/>
              <w:rPr>
                <w:lang w:eastAsia="en-US"/>
              </w:rPr>
            </w:pPr>
            <w:r>
              <w:rPr>
                <w:lang w:eastAsia="en-US"/>
              </w:rPr>
              <w:t>28 October 2025</w:t>
            </w:r>
          </w:p>
        </w:tc>
        <w:tc>
          <w:tcPr>
            <w:tcW w:w="2477" w:type="dxa"/>
          </w:tcPr>
          <w:p w14:paraId="55D0D377" w14:textId="55D5F654" w:rsidR="00280C5D" w:rsidRDefault="00CD2F0D" w:rsidP="003B0E72">
            <w:pPr>
              <w:pStyle w:val="Tablebody"/>
              <w:rPr>
                <w:lang w:eastAsia="en-US"/>
              </w:rPr>
            </w:pPr>
            <w:r>
              <w:rPr>
                <w:lang w:eastAsia="en-US"/>
              </w:rPr>
              <w:t>Complete review</w:t>
            </w:r>
          </w:p>
        </w:tc>
        <w:tc>
          <w:tcPr>
            <w:tcW w:w="2555" w:type="dxa"/>
          </w:tcPr>
          <w:p w14:paraId="474D56D2" w14:textId="1C5CA479" w:rsidR="00280C5D" w:rsidRDefault="00CD2F0D" w:rsidP="003B0E72">
            <w:pPr>
              <w:pStyle w:val="Tablebody"/>
              <w:rPr>
                <w:lang w:eastAsia="en-US"/>
              </w:rPr>
            </w:pPr>
            <w:r>
              <w:rPr>
                <w:lang w:eastAsia="en-US"/>
              </w:rPr>
              <w:t>Rebekah Ogilvie, ED Medicine</w:t>
            </w:r>
          </w:p>
        </w:tc>
        <w:tc>
          <w:tcPr>
            <w:tcW w:w="2403" w:type="dxa"/>
          </w:tcPr>
          <w:p w14:paraId="7D0880EA" w14:textId="3F10D010" w:rsidR="00280C5D" w:rsidRDefault="00CD2F0D" w:rsidP="003B0E72">
            <w:pPr>
              <w:pStyle w:val="Tablebody"/>
              <w:rPr>
                <w:lang w:eastAsia="en-US"/>
              </w:rPr>
            </w:pPr>
            <w:r>
              <w:rPr>
                <w:lang w:eastAsia="en-US"/>
              </w:rPr>
              <w:t>CHS Policy Document Review Panel</w:t>
            </w:r>
          </w:p>
        </w:tc>
      </w:tr>
      <w:tr w:rsidR="00280C5D" w14:paraId="7115637B" w14:textId="77777777" w:rsidTr="003B0E72">
        <w:tc>
          <w:tcPr>
            <w:tcW w:w="2476" w:type="dxa"/>
          </w:tcPr>
          <w:p w14:paraId="0FBF1C0F" w14:textId="77777777" w:rsidR="00280C5D" w:rsidRDefault="00280C5D" w:rsidP="003B0E72">
            <w:pPr>
              <w:pStyle w:val="Tablebody"/>
              <w:rPr>
                <w:lang w:eastAsia="en-US"/>
              </w:rPr>
            </w:pPr>
          </w:p>
        </w:tc>
        <w:tc>
          <w:tcPr>
            <w:tcW w:w="2477" w:type="dxa"/>
          </w:tcPr>
          <w:p w14:paraId="31A41AF4" w14:textId="77777777" w:rsidR="00280C5D" w:rsidRDefault="00280C5D" w:rsidP="003B0E72">
            <w:pPr>
              <w:pStyle w:val="Tablebody"/>
              <w:rPr>
                <w:lang w:eastAsia="en-US"/>
              </w:rPr>
            </w:pPr>
          </w:p>
        </w:tc>
        <w:tc>
          <w:tcPr>
            <w:tcW w:w="2555" w:type="dxa"/>
          </w:tcPr>
          <w:p w14:paraId="7FAAE29F" w14:textId="77777777" w:rsidR="00280C5D" w:rsidRDefault="00280C5D" w:rsidP="003B0E72">
            <w:pPr>
              <w:pStyle w:val="Tablebody"/>
              <w:rPr>
                <w:lang w:eastAsia="en-US"/>
              </w:rPr>
            </w:pPr>
          </w:p>
        </w:tc>
        <w:tc>
          <w:tcPr>
            <w:tcW w:w="2403" w:type="dxa"/>
          </w:tcPr>
          <w:p w14:paraId="59C4E1C0" w14:textId="77777777" w:rsidR="00280C5D" w:rsidRDefault="00280C5D" w:rsidP="003B0E72">
            <w:pPr>
              <w:pStyle w:val="Tablebody"/>
              <w:rPr>
                <w:lang w:eastAsia="en-US"/>
              </w:rPr>
            </w:pPr>
          </w:p>
        </w:tc>
      </w:tr>
    </w:tbl>
    <w:p w14:paraId="5C9652A1"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4FBFE0B4"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0DECC887" w14:textId="77777777" w:rsidR="00280C5D" w:rsidRDefault="00280C5D" w:rsidP="003B0E72">
            <w:pPr>
              <w:pStyle w:val="Tableheader"/>
            </w:pPr>
            <w:r>
              <w:t>Document number</w:t>
            </w:r>
          </w:p>
        </w:tc>
        <w:tc>
          <w:tcPr>
            <w:tcW w:w="7653" w:type="dxa"/>
          </w:tcPr>
          <w:p w14:paraId="4FD594F2" w14:textId="77777777" w:rsidR="00280C5D" w:rsidRDefault="00280C5D" w:rsidP="003B0E72">
            <w:pPr>
              <w:pStyle w:val="Tableheader"/>
            </w:pPr>
            <w:r>
              <w:t>Document name</w:t>
            </w:r>
          </w:p>
        </w:tc>
      </w:tr>
      <w:tr w:rsidR="00280C5D" w14:paraId="3D320988" w14:textId="77777777" w:rsidTr="003B0E72">
        <w:tc>
          <w:tcPr>
            <w:tcW w:w="2548" w:type="dxa"/>
          </w:tcPr>
          <w:p w14:paraId="0F1C3C99" w14:textId="4B29DFCD" w:rsidR="00280C5D" w:rsidRDefault="00CD2F0D" w:rsidP="003B0E72">
            <w:pPr>
              <w:pStyle w:val="Tablebody"/>
              <w:rPr>
                <w:lang w:eastAsia="en-US"/>
              </w:rPr>
            </w:pPr>
            <w:r w:rsidRPr="00CD2F0D">
              <w:rPr>
                <w:lang w:eastAsia="en-US"/>
              </w:rPr>
              <w:t>CHS21/475</w:t>
            </w:r>
          </w:p>
        </w:tc>
        <w:tc>
          <w:tcPr>
            <w:tcW w:w="7653" w:type="dxa"/>
          </w:tcPr>
          <w:p w14:paraId="494D7FF1" w14:textId="1AC32331" w:rsidR="00280C5D" w:rsidRDefault="00CD2F0D" w:rsidP="003B0E72">
            <w:pPr>
              <w:pStyle w:val="Tablebody"/>
              <w:rPr>
                <w:lang w:eastAsia="en-US"/>
              </w:rPr>
            </w:pPr>
            <w:r w:rsidRPr="00CD2F0D">
              <w:rPr>
                <w:lang w:eastAsia="en-US"/>
              </w:rPr>
              <w:t>Treatment for Bat Bites in Australia or Animal Bites From Countries Where Rabies Occurs</w:t>
            </w:r>
          </w:p>
        </w:tc>
      </w:tr>
      <w:tr w:rsidR="00280C5D" w14:paraId="371F61EF" w14:textId="77777777" w:rsidTr="003B0E72">
        <w:tc>
          <w:tcPr>
            <w:tcW w:w="2548" w:type="dxa"/>
          </w:tcPr>
          <w:p w14:paraId="43A47D19" w14:textId="77777777" w:rsidR="00280C5D" w:rsidRDefault="00280C5D" w:rsidP="003B0E72">
            <w:pPr>
              <w:pStyle w:val="Tablebody"/>
              <w:rPr>
                <w:lang w:eastAsia="en-US"/>
              </w:rPr>
            </w:pPr>
          </w:p>
        </w:tc>
        <w:tc>
          <w:tcPr>
            <w:tcW w:w="7653" w:type="dxa"/>
          </w:tcPr>
          <w:p w14:paraId="186007FE" w14:textId="77777777" w:rsidR="00280C5D" w:rsidRDefault="00280C5D" w:rsidP="003B0E72">
            <w:pPr>
              <w:pStyle w:val="Tablebody"/>
              <w:rPr>
                <w:lang w:eastAsia="en-US"/>
              </w:rPr>
            </w:pPr>
          </w:p>
        </w:tc>
      </w:tr>
    </w:tbl>
    <w:p w14:paraId="49FCCC50" w14:textId="77777777" w:rsidR="00280C5D" w:rsidRPr="001F3ED6" w:rsidRDefault="00280C5D" w:rsidP="001F3ED6">
      <w:pPr>
        <w:pStyle w:val="BodyCopy"/>
        <w:rPr>
          <w:rStyle w:val="Bold"/>
        </w:rPr>
      </w:pPr>
      <w:r w:rsidRPr="001F3ED6">
        <w:rPr>
          <w:rStyle w:val="Bold"/>
        </w:rPr>
        <w:t>Disclaimer</w:t>
      </w:r>
    </w:p>
    <w:p w14:paraId="023705A3"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13DFF943"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126A37EB"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0C0B0CFA" w14:textId="77777777" w:rsidTr="003B0E72">
        <w:tc>
          <w:tcPr>
            <w:tcW w:w="5529" w:type="dxa"/>
            <w:shd w:val="clear" w:color="auto" w:fill="F4F3EE"/>
            <w:tcMar>
              <w:top w:w="142" w:type="dxa"/>
              <w:left w:w="170" w:type="dxa"/>
              <w:bottom w:w="142" w:type="dxa"/>
              <w:right w:w="170" w:type="dxa"/>
            </w:tcMar>
          </w:tcPr>
          <w:bookmarkStart w:id="12" w:name="_Hlk160027189" w:displacedByCustomXml="next"/>
          <w:sdt>
            <w:sdtPr>
              <w:rPr>
                <w:color w:val="auto"/>
                <w:u w:val="single"/>
              </w:rPr>
              <w:id w:val="643171884"/>
              <w:placeholder>
                <w:docPart w:val="CA2BD00E7F024F428C9A32523AB78153"/>
              </w:placeholder>
            </w:sdtPr>
            <w:sdtEndPr>
              <w:rPr>
                <w:color w:val="000000" w:themeColor="text1"/>
                <w:u w:val="none"/>
              </w:rPr>
            </w:sdtEndPr>
            <w:sdtContent>
              <w:p w14:paraId="0FEFDBCF" w14:textId="77777777" w:rsidR="00280C5D" w:rsidRPr="00350211" w:rsidRDefault="00280C5D" w:rsidP="003B0E72">
                <w:pPr>
                  <w:pStyle w:val="Bottomblocktext"/>
                  <w:rPr>
                    <w:b/>
                    <w:bCs w:val="0"/>
                    <w:sz w:val="20"/>
                    <w:szCs w:val="20"/>
                  </w:rPr>
                </w:pPr>
                <w:r>
                  <w:rPr>
                    <w:noProof/>
                    <w:sz w:val="20"/>
                    <w:szCs w:val="20"/>
                  </w:rPr>
                  <w:drawing>
                    <wp:inline distT="0" distB="0" distL="0" distR="0" wp14:anchorId="2B0572FA" wp14:editId="0B18B139">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7FD058D4"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76ECCBE7"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329C8CF3D04041B58A74EB8BA4775394"/>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22F533D35607456B9F9CA4BF748F0D0B"/>
            </w:placeholder>
            <w:showingPlcHdr/>
          </w:sdtPr>
          <w:sdtEndPr/>
          <w:sdtContent>
            <w:tc>
              <w:tcPr>
                <w:tcW w:w="4665" w:type="dxa"/>
                <w:shd w:val="clear" w:color="auto" w:fill="F4F3EE"/>
                <w:tcMar>
                  <w:top w:w="142" w:type="dxa"/>
                  <w:left w:w="170" w:type="dxa"/>
                  <w:bottom w:w="142" w:type="dxa"/>
                  <w:right w:w="170" w:type="dxa"/>
                </w:tcMar>
              </w:tcPr>
              <w:p w14:paraId="755745BD"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4D5394FF" wp14:editId="1A87EACF">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B47B773" wp14:editId="3955B615">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301B685C"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28370E7C" wp14:editId="63337021">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7618DF6" wp14:editId="048FE665">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267F5F46" w14:textId="77777777" w:rsidR="00280C5D" w:rsidRDefault="00280C5D" w:rsidP="003B0E72">
                <w:pPr>
                  <w:pStyle w:val="Bottomblocktext"/>
                  <w:rPr>
                    <w:sz w:val="20"/>
                    <w:szCs w:val="20"/>
                  </w:rPr>
                </w:pPr>
                <w:hyperlink r:id="rId18" w:history="1">
                  <w:r w:rsidRPr="00350211">
                    <w:rPr>
                      <w:rStyle w:val="Hyperlink"/>
                      <w:sz w:val="20"/>
                      <w:szCs w:val="20"/>
                    </w:rPr>
                    <w:t>canberrahealthservices.act.gov.au/accessibility</w:t>
                  </w:r>
                </w:hyperlink>
              </w:p>
              <w:p w14:paraId="7F76CFB3" w14:textId="77777777" w:rsidR="00280C5D" w:rsidRDefault="00280C5D" w:rsidP="003B0E72">
                <w:pPr>
                  <w:pStyle w:val="Bottomblocktext"/>
                </w:pPr>
                <w:r>
                  <w:rPr>
                    <w:b/>
                    <w:bCs w:val="0"/>
                    <w:noProof/>
                  </w:rPr>
                  <w:drawing>
                    <wp:inline distT="0" distB="0" distL="0" distR="0" wp14:anchorId="1F8663DF" wp14:editId="01B217D0">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12"/>
    </w:tbl>
    <w:p w14:paraId="1EFD8B8B" w14:textId="77777777" w:rsidR="00201AF6" w:rsidRDefault="00201AF6" w:rsidP="000E7683">
      <w:pPr>
        <w:rPr>
          <w:lang w:eastAsia="en-US"/>
        </w:rPr>
      </w:pPr>
    </w:p>
    <w:p w14:paraId="7FDF1A3A" w14:textId="2A92F988" w:rsidR="00201AF6" w:rsidRDefault="00201AF6">
      <w:pPr>
        <w:spacing w:before="0" w:after="0" w:line="240" w:lineRule="auto"/>
        <w:rPr>
          <w:lang w:eastAsia="en-US"/>
        </w:rPr>
      </w:pPr>
    </w:p>
    <w:sectPr w:rsidR="00201AF6" w:rsidSect="0007270D">
      <w:footerReference w:type="default" r:id="rId20"/>
      <w:headerReference w:type="first" r:id="rId21"/>
      <w:footerReference w:type="first" r:id="rId22"/>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4C4DB" w14:textId="77777777" w:rsidR="006C0039" w:rsidRDefault="006C0039" w:rsidP="00225769">
      <w:pPr>
        <w:spacing w:after="0" w:line="240" w:lineRule="auto"/>
      </w:pPr>
      <w:r>
        <w:separator/>
      </w:r>
    </w:p>
    <w:p w14:paraId="3310CEFD" w14:textId="77777777" w:rsidR="006C0039" w:rsidRDefault="006C0039"/>
    <w:p w14:paraId="26E19A0D" w14:textId="77777777" w:rsidR="006C0039" w:rsidRDefault="006C0039"/>
    <w:p w14:paraId="37DFABE8" w14:textId="77777777" w:rsidR="006C0039" w:rsidRDefault="006C0039"/>
    <w:p w14:paraId="1AD2AC30" w14:textId="77777777" w:rsidR="006C0039" w:rsidRDefault="006C0039"/>
    <w:p w14:paraId="1F247D2A" w14:textId="77777777" w:rsidR="006C0039" w:rsidRDefault="006C0039"/>
    <w:p w14:paraId="55E271EC" w14:textId="77777777" w:rsidR="006C0039" w:rsidRDefault="006C0039"/>
  </w:endnote>
  <w:endnote w:type="continuationSeparator" w:id="0">
    <w:p w14:paraId="11DA0C9E" w14:textId="77777777" w:rsidR="006C0039" w:rsidRDefault="006C0039" w:rsidP="00225769">
      <w:pPr>
        <w:spacing w:after="0" w:line="240" w:lineRule="auto"/>
      </w:pPr>
      <w:r>
        <w:continuationSeparator/>
      </w:r>
    </w:p>
    <w:p w14:paraId="7522BDEC" w14:textId="77777777" w:rsidR="006C0039" w:rsidRDefault="006C0039"/>
    <w:p w14:paraId="50DCED3C" w14:textId="77777777" w:rsidR="006C0039" w:rsidRDefault="006C0039"/>
    <w:p w14:paraId="46860338" w14:textId="77777777" w:rsidR="006C0039" w:rsidRDefault="006C0039"/>
    <w:p w14:paraId="1E364ED1" w14:textId="77777777" w:rsidR="006C0039" w:rsidRDefault="006C0039"/>
    <w:p w14:paraId="247A68BE" w14:textId="77777777" w:rsidR="006C0039" w:rsidRDefault="006C0039"/>
    <w:p w14:paraId="0710F913" w14:textId="77777777" w:rsidR="006C0039" w:rsidRDefault="006C00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734"/>
      <w:gridCol w:w="848"/>
    </w:tblGrid>
    <w:tr w:rsidR="00481A6C" w:rsidRPr="006B62B4" w14:paraId="7CA34AAA" w14:textId="77777777" w:rsidTr="00CD2F0D">
      <w:trPr>
        <w:jc w:val="center"/>
      </w:trPr>
      <w:tc>
        <w:tcPr>
          <w:tcW w:w="1515" w:type="dxa"/>
        </w:tcPr>
        <w:p w14:paraId="18EE40B5"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7351E79"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BDEBCB6"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AFA40CC"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734" w:type="dxa"/>
        </w:tcPr>
        <w:p w14:paraId="7D94B22A"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848" w:type="dxa"/>
        </w:tcPr>
        <w:p w14:paraId="4C83F037"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25D28AB6" w14:textId="77777777" w:rsidTr="00CD2F0D">
      <w:trPr>
        <w:jc w:val="center"/>
      </w:trPr>
      <w:tc>
        <w:tcPr>
          <w:tcW w:w="1515" w:type="dxa"/>
        </w:tcPr>
        <w:p w14:paraId="1F74500D" w14:textId="776AA9FF" w:rsidR="00481A6C" w:rsidRPr="00954F7B" w:rsidRDefault="00CD2F0D" w:rsidP="00481A6C">
          <w:pPr>
            <w:pStyle w:val="Footer"/>
            <w:jc w:val="center"/>
            <w:rPr>
              <w:bCs/>
              <w:iCs/>
              <w:sz w:val="20"/>
              <w:szCs w:val="20"/>
            </w:rPr>
          </w:pPr>
          <w:r>
            <w:rPr>
              <w:bCs/>
              <w:iCs/>
              <w:sz w:val="20"/>
              <w:szCs w:val="20"/>
            </w:rPr>
            <w:t>CHS25/361</w:t>
          </w:r>
        </w:p>
      </w:tc>
      <w:tc>
        <w:tcPr>
          <w:tcW w:w="965" w:type="dxa"/>
        </w:tcPr>
        <w:p w14:paraId="4C2FB29A" w14:textId="2D836D8C" w:rsidR="00481A6C" w:rsidRPr="00954F7B" w:rsidRDefault="00CD2F0D" w:rsidP="00481A6C">
          <w:pPr>
            <w:pStyle w:val="Footer"/>
            <w:jc w:val="center"/>
            <w:rPr>
              <w:bCs/>
              <w:iCs/>
              <w:sz w:val="20"/>
              <w:szCs w:val="20"/>
            </w:rPr>
          </w:pPr>
          <w:r>
            <w:rPr>
              <w:bCs/>
              <w:iCs/>
              <w:sz w:val="20"/>
              <w:szCs w:val="20"/>
            </w:rPr>
            <w:t>1</w:t>
          </w:r>
        </w:p>
      </w:tc>
      <w:tc>
        <w:tcPr>
          <w:tcW w:w="1552" w:type="dxa"/>
        </w:tcPr>
        <w:p w14:paraId="5CE39A68" w14:textId="12BE1C0F" w:rsidR="00481A6C" w:rsidRPr="00954F7B" w:rsidRDefault="00CD2F0D" w:rsidP="00481A6C">
          <w:pPr>
            <w:pStyle w:val="Footer"/>
            <w:jc w:val="center"/>
            <w:rPr>
              <w:bCs/>
              <w:iCs/>
              <w:sz w:val="20"/>
              <w:szCs w:val="20"/>
            </w:rPr>
          </w:pPr>
          <w:r>
            <w:rPr>
              <w:bCs/>
              <w:iCs/>
              <w:sz w:val="20"/>
              <w:szCs w:val="20"/>
            </w:rPr>
            <w:t>28/10/2025</w:t>
          </w:r>
        </w:p>
      </w:tc>
      <w:tc>
        <w:tcPr>
          <w:tcW w:w="1456" w:type="dxa"/>
        </w:tcPr>
        <w:p w14:paraId="22A7672B" w14:textId="7F974E32" w:rsidR="00481A6C" w:rsidRPr="00954F7B" w:rsidRDefault="00CD2F0D" w:rsidP="00481A6C">
          <w:pPr>
            <w:pStyle w:val="Footer"/>
            <w:jc w:val="center"/>
            <w:rPr>
              <w:bCs/>
              <w:iCs/>
              <w:sz w:val="20"/>
              <w:szCs w:val="20"/>
            </w:rPr>
          </w:pPr>
          <w:r>
            <w:rPr>
              <w:bCs/>
              <w:iCs/>
              <w:sz w:val="20"/>
              <w:szCs w:val="20"/>
            </w:rPr>
            <w:t>01/11/2029</w:t>
          </w:r>
        </w:p>
      </w:tc>
      <w:tc>
        <w:tcPr>
          <w:tcW w:w="2734" w:type="dxa"/>
        </w:tcPr>
        <w:p w14:paraId="0B2D98DE" w14:textId="33D2942C" w:rsidR="00481A6C" w:rsidRPr="00954F7B" w:rsidRDefault="00CD2F0D" w:rsidP="00481A6C">
          <w:pPr>
            <w:pStyle w:val="Footer"/>
            <w:jc w:val="center"/>
            <w:rPr>
              <w:bCs/>
              <w:iCs/>
              <w:sz w:val="20"/>
              <w:szCs w:val="20"/>
            </w:rPr>
          </w:pPr>
          <w:r>
            <w:rPr>
              <w:bCs/>
              <w:iCs/>
              <w:sz w:val="20"/>
              <w:szCs w:val="20"/>
            </w:rPr>
            <w:t>Medicine – Emergency Department</w:t>
          </w:r>
        </w:p>
      </w:tc>
      <w:tc>
        <w:tcPr>
          <w:tcW w:w="848" w:type="dxa"/>
        </w:tcPr>
        <w:p w14:paraId="6F4E319F"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9203BF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734"/>
      <w:gridCol w:w="848"/>
    </w:tblGrid>
    <w:tr w:rsidR="008A3DD8" w:rsidRPr="006B62B4" w14:paraId="55E616FB" w14:textId="77777777" w:rsidTr="00CD2F0D">
      <w:trPr>
        <w:jc w:val="center"/>
      </w:trPr>
      <w:tc>
        <w:tcPr>
          <w:tcW w:w="1515" w:type="dxa"/>
        </w:tcPr>
        <w:p w14:paraId="3D106D33"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A3A084E"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5F5D7CD0"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08A27A8"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734" w:type="dxa"/>
        </w:tcPr>
        <w:p w14:paraId="6F2027AD"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848" w:type="dxa"/>
        </w:tcPr>
        <w:p w14:paraId="3F9F1B46"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CD2F0D" w:rsidRPr="006B62B4" w14:paraId="514686FE" w14:textId="77777777" w:rsidTr="00CD2F0D">
      <w:trPr>
        <w:jc w:val="center"/>
      </w:trPr>
      <w:tc>
        <w:tcPr>
          <w:tcW w:w="1515" w:type="dxa"/>
        </w:tcPr>
        <w:p w14:paraId="770C911E" w14:textId="61A1F4FE" w:rsidR="00CD2F0D" w:rsidRPr="00954F7B" w:rsidRDefault="00CD2F0D" w:rsidP="00CD2F0D">
          <w:pPr>
            <w:pStyle w:val="Footer"/>
            <w:jc w:val="center"/>
            <w:rPr>
              <w:bCs/>
              <w:iCs/>
              <w:sz w:val="20"/>
              <w:szCs w:val="20"/>
            </w:rPr>
          </w:pPr>
          <w:r>
            <w:rPr>
              <w:bCs/>
              <w:iCs/>
              <w:sz w:val="20"/>
              <w:szCs w:val="20"/>
            </w:rPr>
            <w:t>CHS25/361</w:t>
          </w:r>
        </w:p>
      </w:tc>
      <w:tc>
        <w:tcPr>
          <w:tcW w:w="965" w:type="dxa"/>
        </w:tcPr>
        <w:p w14:paraId="3828285B" w14:textId="518FF516" w:rsidR="00CD2F0D" w:rsidRPr="00954F7B" w:rsidRDefault="00CD2F0D" w:rsidP="00CD2F0D">
          <w:pPr>
            <w:pStyle w:val="Footer"/>
            <w:jc w:val="center"/>
            <w:rPr>
              <w:bCs/>
              <w:iCs/>
              <w:sz w:val="20"/>
              <w:szCs w:val="20"/>
            </w:rPr>
          </w:pPr>
          <w:r>
            <w:rPr>
              <w:bCs/>
              <w:iCs/>
              <w:sz w:val="20"/>
              <w:szCs w:val="20"/>
            </w:rPr>
            <w:t>1</w:t>
          </w:r>
        </w:p>
      </w:tc>
      <w:tc>
        <w:tcPr>
          <w:tcW w:w="1552" w:type="dxa"/>
        </w:tcPr>
        <w:p w14:paraId="77A0F9A8" w14:textId="71009B9A" w:rsidR="00CD2F0D" w:rsidRPr="00954F7B" w:rsidRDefault="00CD2F0D" w:rsidP="00CD2F0D">
          <w:pPr>
            <w:pStyle w:val="Footer"/>
            <w:jc w:val="center"/>
            <w:rPr>
              <w:bCs/>
              <w:iCs/>
              <w:sz w:val="20"/>
              <w:szCs w:val="20"/>
            </w:rPr>
          </w:pPr>
          <w:r>
            <w:rPr>
              <w:bCs/>
              <w:iCs/>
              <w:sz w:val="20"/>
              <w:szCs w:val="20"/>
            </w:rPr>
            <w:t>28/10/2025</w:t>
          </w:r>
        </w:p>
      </w:tc>
      <w:tc>
        <w:tcPr>
          <w:tcW w:w="1456" w:type="dxa"/>
        </w:tcPr>
        <w:p w14:paraId="7596909F" w14:textId="218D4BE2" w:rsidR="00CD2F0D" w:rsidRPr="00954F7B" w:rsidRDefault="00CD2F0D" w:rsidP="00CD2F0D">
          <w:pPr>
            <w:pStyle w:val="Footer"/>
            <w:jc w:val="center"/>
            <w:rPr>
              <w:bCs/>
              <w:iCs/>
              <w:sz w:val="20"/>
              <w:szCs w:val="20"/>
            </w:rPr>
          </w:pPr>
          <w:r>
            <w:rPr>
              <w:bCs/>
              <w:iCs/>
              <w:sz w:val="20"/>
              <w:szCs w:val="20"/>
            </w:rPr>
            <w:t>01/11/2029</w:t>
          </w:r>
        </w:p>
      </w:tc>
      <w:tc>
        <w:tcPr>
          <w:tcW w:w="2734" w:type="dxa"/>
        </w:tcPr>
        <w:p w14:paraId="2C3727DD" w14:textId="05214A11" w:rsidR="00CD2F0D" w:rsidRPr="00954F7B" w:rsidRDefault="00CD2F0D" w:rsidP="00CD2F0D">
          <w:pPr>
            <w:pStyle w:val="Footer"/>
            <w:jc w:val="center"/>
            <w:rPr>
              <w:bCs/>
              <w:iCs/>
              <w:sz w:val="20"/>
              <w:szCs w:val="20"/>
            </w:rPr>
          </w:pPr>
          <w:r>
            <w:rPr>
              <w:bCs/>
              <w:iCs/>
              <w:sz w:val="20"/>
              <w:szCs w:val="20"/>
            </w:rPr>
            <w:t>Medicine – Emergency Department</w:t>
          </w:r>
        </w:p>
      </w:tc>
      <w:tc>
        <w:tcPr>
          <w:tcW w:w="848" w:type="dxa"/>
        </w:tcPr>
        <w:p w14:paraId="5B0105C0" w14:textId="77777777" w:rsidR="00CD2F0D" w:rsidRPr="00954F7B" w:rsidRDefault="00CD2F0D" w:rsidP="00CD2F0D">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9B59BDD"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84A13" w14:textId="77777777" w:rsidR="006C0039" w:rsidRDefault="006C0039" w:rsidP="009D493B">
      <w:pPr>
        <w:spacing w:after="0" w:line="240" w:lineRule="auto"/>
      </w:pPr>
      <w:r>
        <w:separator/>
      </w:r>
    </w:p>
  </w:footnote>
  <w:footnote w:type="continuationSeparator" w:id="0">
    <w:p w14:paraId="77B61C54" w14:textId="77777777" w:rsidR="006C0039" w:rsidRDefault="006C0039" w:rsidP="00A9080B">
      <w:pPr>
        <w:spacing w:after="0" w:line="240" w:lineRule="auto"/>
      </w:pPr>
      <w:r>
        <w:continuationSeparator/>
      </w:r>
    </w:p>
    <w:p w14:paraId="2069B1A3" w14:textId="77777777" w:rsidR="006C0039" w:rsidRDefault="006C0039"/>
    <w:p w14:paraId="11D07C14" w14:textId="77777777" w:rsidR="006C0039" w:rsidRDefault="006C00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41FFB" w14:textId="77777777" w:rsidR="008A3DD8" w:rsidRDefault="008A3DD8">
    <w:pPr>
      <w:pStyle w:val="Header"/>
    </w:pPr>
    <w:r w:rsidRPr="00324CF9">
      <w:rPr>
        <w:noProof/>
      </w:rPr>
      <w:drawing>
        <wp:inline distT="0" distB="0" distL="0" distR="0" wp14:anchorId="165E864F" wp14:editId="435339D3">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21ED"/>
    <w:multiLevelType w:val="multilevel"/>
    <w:tmpl w:val="468E49B8"/>
    <w:lvl w:ilvl="0">
      <w:start w:val="7"/>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24626D"/>
    <w:multiLevelType w:val="multilevel"/>
    <w:tmpl w:val="57665F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20DC9"/>
    <w:multiLevelType w:val="multilevel"/>
    <w:tmpl w:val="03147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71B00"/>
    <w:multiLevelType w:val="multilevel"/>
    <w:tmpl w:val="1CCC00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1F6C2935"/>
    <w:multiLevelType w:val="multilevel"/>
    <w:tmpl w:val="3574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2A2706"/>
    <w:multiLevelType w:val="multilevel"/>
    <w:tmpl w:val="B3AA280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54877B2"/>
    <w:multiLevelType w:val="multilevel"/>
    <w:tmpl w:val="6CD6B9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3D3281"/>
    <w:multiLevelType w:val="hybridMultilevel"/>
    <w:tmpl w:val="5E6EFBB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F766CE"/>
    <w:multiLevelType w:val="multilevel"/>
    <w:tmpl w:val="5A5AC360"/>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38763E4A"/>
    <w:multiLevelType w:val="multilevel"/>
    <w:tmpl w:val="CAF46E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8D5343"/>
    <w:multiLevelType w:val="multilevel"/>
    <w:tmpl w:val="F63AC0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01C2767"/>
    <w:multiLevelType w:val="multilevel"/>
    <w:tmpl w:val="BB08D9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544326"/>
    <w:multiLevelType w:val="multilevel"/>
    <w:tmpl w:val="B8B6C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9" w15:restartNumberingAfterBreak="0">
    <w:nsid w:val="469D354E"/>
    <w:multiLevelType w:val="multilevel"/>
    <w:tmpl w:val="7AEAEF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2501D8"/>
    <w:multiLevelType w:val="multilevel"/>
    <w:tmpl w:val="C548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1A7DE1"/>
    <w:multiLevelType w:val="multilevel"/>
    <w:tmpl w:val="E56A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2A74C4"/>
    <w:multiLevelType w:val="multilevel"/>
    <w:tmpl w:val="BB8A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C42AAF"/>
    <w:multiLevelType w:val="hybridMultilevel"/>
    <w:tmpl w:val="797E5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5" w15:restartNumberingAfterBreak="0">
    <w:nsid w:val="6E3B1829"/>
    <w:multiLevelType w:val="multilevel"/>
    <w:tmpl w:val="4FE207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648431774">
    <w:abstractNumId w:val="7"/>
  </w:num>
  <w:num w:numId="2" w16cid:durableId="842209657">
    <w:abstractNumId w:val="4"/>
  </w:num>
  <w:num w:numId="3" w16cid:durableId="1971085616">
    <w:abstractNumId w:val="14"/>
  </w:num>
  <w:num w:numId="4" w16cid:durableId="252517802">
    <w:abstractNumId w:val="15"/>
  </w:num>
  <w:num w:numId="5" w16cid:durableId="258952063">
    <w:abstractNumId w:val="24"/>
  </w:num>
  <w:num w:numId="6" w16cid:durableId="681904122">
    <w:abstractNumId w:val="10"/>
  </w:num>
  <w:num w:numId="7" w16cid:durableId="836698820">
    <w:abstractNumId w:val="18"/>
  </w:num>
  <w:num w:numId="8" w16cid:durableId="913591473">
    <w:abstractNumId w:val="7"/>
  </w:num>
  <w:num w:numId="9" w16cid:durableId="526792594">
    <w:abstractNumId w:val="20"/>
  </w:num>
  <w:num w:numId="10" w16cid:durableId="1669287858">
    <w:abstractNumId w:val="5"/>
  </w:num>
  <w:num w:numId="11" w16cid:durableId="1862551610">
    <w:abstractNumId w:val="17"/>
  </w:num>
  <w:num w:numId="12" w16cid:durableId="1390303828">
    <w:abstractNumId w:val="2"/>
  </w:num>
  <w:num w:numId="13" w16cid:durableId="893006738">
    <w:abstractNumId w:val="1"/>
  </w:num>
  <w:num w:numId="14" w16cid:durableId="29650909">
    <w:abstractNumId w:val="12"/>
  </w:num>
  <w:num w:numId="15" w16cid:durableId="932128610">
    <w:abstractNumId w:val="19"/>
  </w:num>
  <w:num w:numId="16" w16cid:durableId="2040157107">
    <w:abstractNumId w:val="3"/>
  </w:num>
  <w:num w:numId="17" w16cid:durableId="1191917963">
    <w:abstractNumId w:val="6"/>
  </w:num>
  <w:num w:numId="18" w16cid:durableId="502352541">
    <w:abstractNumId w:val="13"/>
  </w:num>
  <w:num w:numId="19" w16cid:durableId="1449158974">
    <w:abstractNumId w:val="8"/>
  </w:num>
  <w:num w:numId="20" w16cid:durableId="1487747290">
    <w:abstractNumId w:val="16"/>
  </w:num>
  <w:num w:numId="21" w16cid:durableId="1598127373">
    <w:abstractNumId w:val="21"/>
  </w:num>
  <w:num w:numId="22" w16cid:durableId="1202127563">
    <w:abstractNumId w:val="22"/>
  </w:num>
  <w:num w:numId="23" w16cid:durableId="132604430">
    <w:abstractNumId w:val="25"/>
  </w:num>
  <w:num w:numId="24" w16cid:durableId="1140152844">
    <w:abstractNumId w:val="11"/>
  </w:num>
  <w:num w:numId="25" w16cid:durableId="1747602976">
    <w:abstractNumId w:val="23"/>
  </w:num>
  <w:num w:numId="26" w16cid:durableId="1899854360">
    <w:abstractNumId w:val="9"/>
  </w:num>
  <w:num w:numId="27" w16cid:durableId="697778447">
    <w:abstractNumId w:val="0"/>
  </w:num>
  <w:num w:numId="28" w16cid:durableId="11896378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039"/>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85993"/>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131"/>
    <w:rsid w:val="000C57C6"/>
    <w:rsid w:val="000C76AA"/>
    <w:rsid w:val="000D0A42"/>
    <w:rsid w:val="000D1F50"/>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6DCD"/>
    <w:rsid w:val="00137347"/>
    <w:rsid w:val="00143C66"/>
    <w:rsid w:val="00144A90"/>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D12A9"/>
    <w:rsid w:val="001D140D"/>
    <w:rsid w:val="001D150B"/>
    <w:rsid w:val="001D195F"/>
    <w:rsid w:val="001D1E84"/>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854"/>
    <w:rsid w:val="00253A48"/>
    <w:rsid w:val="00253EC8"/>
    <w:rsid w:val="0025483C"/>
    <w:rsid w:val="00256701"/>
    <w:rsid w:val="0026085A"/>
    <w:rsid w:val="002700D3"/>
    <w:rsid w:val="0027262B"/>
    <w:rsid w:val="00272A73"/>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5C1"/>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28CE"/>
    <w:rsid w:val="0037341B"/>
    <w:rsid w:val="00376B5F"/>
    <w:rsid w:val="00377AD9"/>
    <w:rsid w:val="00380288"/>
    <w:rsid w:val="003817A2"/>
    <w:rsid w:val="00385359"/>
    <w:rsid w:val="00385468"/>
    <w:rsid w:val="00390255"/>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30B"/>
    <w:rsid w:val="003B760C"/>
    <w:rsid w:val="003C218A"/>
    <w:rsid w:val="003C4430"/>
    <w:rsid w:val="003C5F3E"/>
    <w:rsid w:val="003C7810"/>
    <w:rsid w:val="003D10DD"/>
    <w:rsid w:val="003D1C0C"/>
    <w:rsid w:val="003D2CD5"/>
    <w:rsid w:val="003D3B16"/>
    <w:rsid w:val="003D60E0"/>
    <w:rsid w:val="003D709B"/>
    <w:rsid w:val="003D7463"/>
    <w:rsid w:val="003E0103"/>
    <w:rsid w:val="003E0A22"/>
    <w:rsid w:val="003E62C8"/>
    <w:rsid w:val="003E727F"/>
    <w:rsid w:val="003E7D3D"/>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2356"/>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5118"/>
    <w:rsid w:val="00517604"/>
    <w:rsid w:val="00517DA5"/>
    <w:rsid w:val="00517FA4"/>
    <w:rsid w:val="005216E4"/>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66B2C"/>
    <w:rsid w:val="005706E9"/>
    <w:rsid w:val="00570849"/>
    <w:rsid w:val="0057158C"/>
    <w:rsid w:val="00576416"/>
    <w:rsid w:val="005778BD"/>
    <w:rsid w:val="00577C65"/>
    <w:rsid w:val="00581121"/>
    <w:rsid w:val="005840B8"/>
    <w:rsid w:val="005855AD"/>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06F75"/>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369"/>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29D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228"/>
    <w:rsid w:val="00945A1D"/>
    <w:rsid w:val="00945CC4"/>
    <w:rsid w:val="00946533"/>
    <w:rsid w:val="00947A11"/>
    <w:rsid w:val="0095050A"/>
    <w:rsid w:val="0095266F"/>
    <w:rsid w:val="00953E59"/>
    <w:rsid w:val="0095533A"/>
    <w:rsid w:val="0095646B"/>
    <w:rsid w:val="00957565"/>
    <w:rsid w:val="00957A99"/>
    <w:rsid w:val="00962D6E"/>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83ABD"/>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E3E"/>
    <w:rsid w:val="00A856B1"/>
    <w:rsid w:val="00A86197"/>
    <w:rsid w:val="00A875F3"/>
    <w:rsid w:val="00A9080B"/>
    <w:rsid w:val="00A90E16"/>
    <w:rsid w:val="00A94E61"/>
    <w:rsid w:val="00A957B0"/>
    <w:rsid w:val="00A96564"/>
    <w:rsid w:val="00A96CD8"/>
    <w:rsid w:val="00A979FD"/>
    <w:rsid w:val="00AA15EB"/>
    <w:rsid w:val="00AA2D49"/>
    <w:rsid w:val="00AA2D7A"/>
    <w:rsid w:val="00AA2E86"/>
    <w:rsid w:val="00AA3549"/>
    <w:rsid w:val="00AA5307"/>
    <w:rsid w:val="00AB3BAC"/>
    <w:rsid w:val="00AB4AD3"/>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73B69"/>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E72C6"/>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2F0D"/>
    <w:rsid w:val="00CD434F"/>
    <w:rsid w:val="00CE1D90"/>
    <w:rsid w:val="00CE2446"/>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0BFF"/>
    <w:rsid w:val="00DC1EC0"/>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4041"/>
    <w:rsid w:val="00EA4A7F"/>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E0C5F"/>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AB0"/>
    <w:rsid w:val="00F53EE8"/>
    <w:rsid w:val="00F545A8"/>
    <w:rsid w:val="00F5475F"/>
    <w:rsid w:val="00F54857"/>
    <w:rsid w:val="00F5666F"/>
    <w:rsid w:val="00F56E41"/>
    <w:rsid w:val="00F571EC"/>
    <w:rsid w:val="00F57ABE"/>
    <w:rsid w:val="00F622D7"/>
    <w:rsid w:val="00F658A9"/>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 w:val="08D74785"/>
    <w:rsid w:val="16D67CE6"/>
    <w:rsid w:val="2A30D89B"/>
    <w:rsid w:val="2D79200B"/>
    <w:rsid w:val="3022D8EB"/>
    <w:rsid w:val="35560A5C"/>
    <w:rsid w:val="3A2BCA49"/>
    <w:rsid w:val="42BAC432"/>
    <w:rsid w:val="49F480C7"/>
    <w:rsid w:val="4B6E4FB3"/>
    <w:rsid w:val="4CA8B328"/>
    <w:rsid w:val="533ABA6C"/>
    <w:rsid w:val="5598ADC2"/>
    <w:rsid w:val="65811EF8"/>
    <w:rsid w:val="6DA3CD29"/>
    <w:rsid w:val="6F9B32F1"/>
    <w:rsid w:val="71E8A7B8"/>
    <w:rsid w:val="75B8309C"/>
    <w:rsid w:val="791AF8E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744FACC"/>
  <w15:docId w15:val="{75078279-9E5C-4402-A53A-8348377D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38786">
      <w:bodyDiv w:val="1"/>
      <w:marLeft w:val="0"/>
      <w:marRight w:val="0"/>
      <w:marTop w:val="0"/>
      <w:marBottom w:val="0"/>
      <w:divBdr>
        <w:top w:val="none" w:sz="0" w:space="0" w:color="auto"/>
        <w:left w:val="none" w:sz="0" w:space="0" w:color="auto"/>
        <w:bottom w:val="none" w:sz="0" w:space="0" w:color="auto"/>
        <w:right w:val="none" w:sz="0" w:space="0" w:color="auto"/>
      </w:divBdr>
      <w:divsChild>
        <w:div w:id="1223252279">
          <w:marLeft w:val="0"/>
          <w:marRight w:val="0"/>
          <w:marTop w:val="0"/>
          <w:marBottom w:val="0"/>
          <w:divBdr>
            <w:top w:val="none" w:sz="0" w:space="0" w:color="auto"/>
            <w:left w:val="none" w:sz="0" w:space="0" w:color="auto"/>
            <w:bottom w:val="none" w:sz="0" w:space="0" w:color="auto"/>
            <w:right w:val="none" w:sz="0" w:space="0" w:color="auto"/>
          </w:divBdr>
        </w:div>
        <w:div w:id="760955012">
          <w:marLeft w:val="0"/>
          <w:marRight w:val="0"/>
          <w:marTop w:val="0"/>
          <w:marBottom w:val="0"/>
          <w:divBdr>
            <w:top w:val="none" w:sz="0" w:space="0" w:color="auto"/>
            <w:left w:val="none" w:sz="0" w:space="0" w:color="auto"/>
            <w:bottom w:val="none" w:sz="0" w:space="0" w:color="auto"/>
            <w:right w:val="none" w:sz="0" w:space="0" w:color="auto"/>
          </w:divBdr>
        </w:div>
        <w:div w:id="1170363336">
          <w:marLeft w:val="0"/>
          <w:marRight w:val="0"/>
          <w:marTop w:val="0"/>
          <w:marBottom w:val="0"/>
          <w:divBdr>
            <w:top w:val="none" w:sz="0" w:space="0" w:color="auto"/>
            <w:left w:val="none" w:sz="0" w:space="0" w:color="auto"/>
            <w:bottom w:val="none" w:sz="0" w:space="0" w:color="auto"/>
            <w:right w:val="none" w:sz="0" w:space="0" w:color="auto"/>
          </w:divBdr>
        </w:div>
        <w:div w:id="2127770172">
          <w:marLeft w:val="0"/>
          <w:marRight w:val="0"/>
          <w:marTop w:val="0"/>
          <w:marBottom w:val="0"/>
          <w:divBdr>
            <w:top w:val="none" w:sz="0" w:space="0" w:color="auto"/>
            <w:left w:val="none" w:sz="0" w:space="0" w:color="auto"/>
            <w:bottom w:val="none" w:sz="0" w:space="0" w:color="auto"/>
            <w:right w:val="none" w:sz="0" w:space="0" w:color="auto"/>
          </w:divBdr>
        </w:div>
        <w:div w:id="1790590045">
          <w:marLeft w:val="0"/>
          <w:marRight w:val="0"/>
          <w:marTop w:val="0"/>
          <w:marBottom w:val="0"/>
          <w:divBdr>
            <w:top w:val="none" w:sz="0" w:space="0" w:color="auto"/>
            <w:left w:val="none" w:sz="0" w:space="0" w:color="auto"/>
            <w:bottom w:val="none" w:sz="0" w:space="0" w:color="auto"/>
            <w:right w:val="none" w:sz="0" w:space="0" w:color="auto"/>
          </w:divBdr>
        </w:div>
        <w:div w:id="1244338803">
          <w:marLeft w:val="0"/>
          <w:marRight w:val="0"/>
          <w:marTop w:val="0"/>
          <w:marBottom w:val="0"/>
          <w:divBdr>
            <w:top w:val="none" w:sz="0" w:space="0" w:color="auto"/>
            <w:left w:val="none" w:sz="0" w:space="0" w:color="auto"/>
            <w:bottom w:val="none" w:sz="0" w:space="0" w:color="auto"/>
            <w:right w:val="none" w:sz="0" w:space="0" w:color="auto"/>
          </w:divBdr>
        </w:div>
        <w:div w:id="849296042">
          <w:marLeft w:val="0"/>
          <w:marRight w:val="0"/>
          <w:marTop w:val="0"/>
          <w:marBottom w:val="0"/>
          <w:divBdr>
            <w:top w:val="none" w:sz="0" w:space="0" w:color="auto"/>
            <w:left w:val="none" w:sz="0" w:space="0" w:color="auto"/>
            <w:bottom w:val="none" w:sz="0" w:space="0" w:color="auto"/>
            <w:right w:val="none" w:sz="0" w:space="0" w:color="auto"/>
          </w:divBdr>
        </w:div>
        <w:div w:id="689842076">
          <w:marLeft w:val="0"/>
          <w:marRight w:val="0"/>
          <w:marTop w:val="0"/>
          <w:marBottom w:val="0"/>
          <w:divBdr>
            <w:top w:val="none" w:sz="0" w:space="0" w:color="auto"/>
            <w:left w:val="none" w:sz="0" w:space="0" w:color="auto"/>
            <w:bottom w:val="none" w:sz="0" w:space="0" w:color="auto"/>
            <w:right w:val="none" w:sz="0" w:space="0" w:color="auto"/>
          </w:divBdr>
        </w:div>
        <w:div w:id="1025256308">
          <w:marLeft w:val="0"/>
          <w:marRight w:val="0"/>
          <w:marTop w:val="0"/>
          <w:marBottom w:val="0"/>
          <w:divBdr>
            <w:top w:val="none" w:sz="0" w:space="0" w:color="auto"/>
            <w:left w:val="none" w:sz="0" w:space="0" w:color="auto"/>
            <w:bottom w:val="none" w:sz="0" w:space="0" w:color="auto"/>
            <w:right w:val="none" w:sz="0" w:space="0" w:color="auto"/>
          </w:divBdr>
        </w:div>
        <w:div w:id="10763388">
          <w:marLeft w:val="0"/>
          <w:marRight w:val="0"/>
          <w:marTop w:val="0"/>
          <w:marBottom w:val="0"/>
          <w:divBdr>
            <w:top w:val="none" w:sz="0" w:space="0" w:color="auto"/>
            <w:left w:val="none" w:sz="0" w:space="0" w:color="auto"/>
            <w:bottom w:val="none" w:sz="0" w:space="0" w:color="auto"/>
            <w:right w:val="none" w:sz="0" w:space="0" w:color="auto"/>
          </w:divBdr>
        </w:div>
        <w:div w:id="1649478280">
          <w:marLeft w:val="0"/>
          <w:marRight w:val="0"/>
          <w:marTop w:val="0"/>
          <w:marBottom w:val="0"/>
          <w:divBdr>
            <w:top w:val="none" w:sz="0" w:space="0" w:color="auto"/>
            <w:left w:val="none" w:sz="0" w:space="0" w:color="auto"/>
            <w:bottom w:val="none" w:sz="0" w:space="0" w:color="auto"/>
            <w:right w:val="none" w:sz="0" w:space="0" w:color="auto"/>
          </w:divBdr>
        </w:div>
        <w:div w:id="2095470321">
          <w:marLeft w:val="0"/>
          <w:marRight w:val="0"/>
          <w:marTop w:val="0"/>
          <w:marBottom w:val="0"/>
          <w:divBdr>
            <w:top w:val="none" w:sz="0" w:space="0" w:color="auto"/>
            <w:left w:val="none" w:sz="0" w:space="0" w:color="auto"/>
            <w:bottom w:val="none" w:sz="0" w:space="0" w:color="auto"/>
            <w:right w:val="none" w:sz="0" w:space="0" w:color="auto"/>
          </w:divBdr>
        </w:div>
        <w:div w:id="1976253284">
          <w:marLeft w:val="0"/>
          <w:marRight w:val="0"/>
          <w:marTop w:val="0"/>
          <w:marBottom w:val="0"/>
          <w:divBdr>
            <w:top w:val="none" w:sz="0" w:space="0" w:color="auto"/>
            <w:left w:val="none" w:sz="0" w:space="0" w:color="auto"/>
            <w:bottom w:val="none" w:sz="0" w:space="0" w:color="auto"/>
            <w:right w:val="none" w:sz="0" w:space="0" w:color="auto"/>
          </w:divBdr>
        </w:div>
        <w:div w:id="1758866567">
          <w:marLeft w:val="0"/>
          <w:marRight w:val="0"/>
          <w:marTop w:val="0"/>
          <w:marBottom w:val="0"/>
          <w:divBdr>
            <w:top w:val="none" w:sz="0" w:space="0" w:color="auto"/>
            <w:left w:val="none" w:sz="0" w:space="0" w:color="auto"/>
            <w:bottom w:val="none" w:sz="0" w:space="0" w:color="auto"/>
            <w:right w:val="none" w:sz="0" w:space="0" w:color="auto"/>
          </w:divBdr>
        </w:div>
        <w:div w:id="1202740731">
          <w:marLeft w:val="0"/>
          <w:marRight w:val="0"/>
          <w:marTop w:val="0"/>
          <w:marBottom w:val="0"/>
          <w:divBdr>
            <w:top w:val="none" w:sz="0" w:space="0" w:color="auto"/>
            <w:left w:val="none" w:sz="0" w:space="0" w:color="auto"/>
            <w:bottom w:val="none" w:sz="0" w:space="0" w:color="auto"/>
            <w:right w:val="none" w:sz="0" w:space="0" w:color="auto"/>
          </w:divBdr>
        </w:div>
        <w:div w:id="1090278251">
          <w:marLeft w:val="0"/>
          <w:marRight w:val="0"/>
          <w:marTop w:val="0"/>
          <w:marBottom w:val="0"/>
          <w:divBdr>
            <w:top w:val="none" w:sz="0" w:space="0" w:color="auto"/>
            <w:left w:val="none" w:sz="0" w:space="0" w:color="auto"/>
            <w:bottom w:val="none" w:sz="0" w:space="0" w:color="auto"/>
            <w:right w:val="none" w:sz="0" w:space="0" w:color="auto"/>
          </w:divBdr>
        </w:div>
        <w:div w:id="134688638">
          <w:marLeft w:val="0"/>
          <w:marRight w:val="0"/>
          <w:marTop w:val="0"/>
          <w:marBottom w:val="0"/>
          <w:divBdr>
            <w:top w:val="none" w:sz="0" w:space="0" w:color="auto"/>
            <w:left w:val="none" w:sz="0" w:space="0" w:color="auto"/>
            <w:bottom w:val="none" w:sz="0" w:space="0" w:color="auto"/>
            <w:right w:val="none" w:sz="0" w:space="0" w:color="auto"/>
          </w:divBdr>
        </w:div>
      </w:divsChild>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725301171">
      <w:bodyDiv w:val="1"/>
      <w:marLeft w:val="0"/>
      <w:marRight w:val="0"/>
      <w:marTop w:val="0"/>
      <w:marBottom w:val="0"/>
      <w:divBdr>
        <w:top w:val="none" w:sz="0" w:space="0" w:color="auto"/>
        <w:left w:val="none" w:sz="0" w:space="0" w:color="auto"/>
        <w:bottom w:val="none" w:sz="0" w:space="0" w:color="auto"/>
        <w:right w:val="none" w:sz="0" w:space="0" w:color="auto"/>
      </w:divBdr>
    </w:div>
    <w:div w:id="950552410">
      <w:bodyDiv w:val="1"/>
      <w:marLeft w:val="0"/>
      <w:marRight w:val="0"/>
      <w:marTop w:val="0"/>
      <w:marBottom w:val="0"/>
      <w:divBdr>
        <w:top w:val="none" w:sz="0" w:space="0" w:color="auto"/>
        <w:left w:val="none" w:sz="0" w:space="0" w:color="auto"/>
        <w:bottom w:val="none" w:sz="0" w:space="0" w:color="auto"/>
        <w:right w:val="none" w:sz="0" w:space="0" w:color="auto"/>
      </w:divBdr>
    </w:div>
    <w:div w:id="1130127155">
      <w:bodyDiv w:val="1"/>
      <w:marLeft w:val="0"/>
      <w:marRight w:val="0"/>
      <w:marTop w:val="0"/>
      <w:marBottom w:val="0"/>
      <w:divBdr>
        <w:top w:val="none" w:sz="0" w:space="0" w:color="auto"/>
        <w:left w:val="none" w:sz="0" w:space="0" w:color="auto"/>
        <w:bottom w:val="none" w:sz="0" w:space="0" w:color="auto"/>
        <w:right w:val="none" w:sz="0" w:space="0" w:color="auto"/>
      </w:divBdr>
    </w:div>
    <w:div w:id="1133787918">
      <w:bodyDiv w:val="1"/>
      <w:marLeft w:val="0"/>
      <w:marRight w:val="0"/>
      <w:marTop w:val="0"/>
      <w:marBottom w:val="0"/>
      <w:divBdr>
        <w:top w:val="none" w:sz="0" w:space="0" w:color="auto"/>
        <w:left w:val="none" w:sz="0" w:space="0" w:color="auto"/>
        <w:bottom w:val="none" w:sz="0" w:space="0" w:color="auto"/>
        <w:right w:val="none" w:sz="0" w:space="0" w:color="auto"/>
      </w:divBdr>
      <w:divsChild>
        <w:div w:id="171652115">
          <w:marLeft w:val="0"/>
          <w:marRight w:val="0"/>
          <w:marTop w:val="0"/>
          <w:marBottom w:val="0"/>
          <w:divBdr>
            <w:top w:val="none" w:sz="0" w:space="0" w:color="auto"/>
            <w:left w:val="none" w:sz="0" w:space="0" w:color="auto"/>
            <w:bottom w:val="none" w:sz="0" w:space="0" w:color="auto"/>
            <w:right w:val="none" w:sz="0" w:space="0" w:color="auto"/>
          </w:divBdr>
        </w:div>
        <w:div w:id="1531257170">
          <w:marLeft w:val="0"/>
          <w:marRight w:val="0"/>
          <w:marTop w:val="0"/>
          <w:marBottom w:val="0"/>
          <w:divBdr>
            <w:top w:val="none" w:sz="0" w:space="0" w:color="auto"/>
            <w:left w:val="none" w:sz="0" w:space="0" w:color="auto"/>
            <w:bottom w:val="none" w:sz="0" w:space="0" w:color="auto"/>
            <w:right w:val="none" w:sz="0" w:space="0" w:color="auto"/>
          </w:divBdr>
        </w:div>
        <w:div w:id="1952929240">
          <w:marLeft w:val="0"/>
          <w:marRight w:val="0"/>
          <w:marTop w:val="0"/>
          <w:marBottom w:val="0"/>
          <w:divBdr>
            <w:top w:val="none" w:sz="0" w:space="0" w:color="auto"/>
            <w:left w:val="none" w:sz="0" w:space="0" w:color="auto"/>
            <w:bottom w:val="none" w:sz="0" w:space="0" w:color="auto"/>
            <w:right w:val="none" w:sz="0" w:space="0" w:color="auto"/>
          </w:divBdr>
        </w:div>
        <w:div w:id="1519612981">
          <w:marLeft w:val="0"/>
          <w:marRight w:val="0"/>
          <w:marTop w:val="0"/>
          <w:marBottom w:val="0"/>
          <w:divBdr>
            <w:top w:val="none" w:sz="0" w:space="0" w:color="auto"/>
            <w:left w:val="none" w:sz="0" w:space="0" w:color="auto"/>
            <w:bottom w:val="none" w:sz="0" w:space="0" w:color="auto"/>
            <w:right w:val="none" w:sz="0" w:space="0" w:color="auto"/>
          </w:divBdr>
        </w:div>
        <w:div w:id="959340003">
          <w:marLeft w:val="0"/>
          <w:marRight w:val="0"/>
          <w:marTop w:val="0"/>
          <w:marBottom w:val="0"/>
          <w:divBdr>
            <w:top w:val="none" w:sz="0" w:space="0" w:color="auto"/>
            <w:left w:val="none" w:sz="0" w:space="0" w:color="auto"/>
            <w:bottom w:val="none" w:sz="0" w:space="0" w:color="auto"/>
            <w:right w:val="none" w:sz="0" w:space="0" w:color="auto"/>
          </w:divBdr>
        </w:div>
        <w:div w:id="1898124455">
          <w:marLeft w:val="0"/>
          <w:marRight w:val="0"/>
          <w:marTop w:val="0"/>
          <w:marBottom w:val="0"/>
          <w:divBdr>
            <w:top w:val="none" w:sz="0" w:space="0" w:color="auto"/>
            <w:left w:val="none" w:sz="0" w:space="0" w:color="auto"/>
            <w:bottom w:val="none" w:sz="0" w:space="0" w:color="auto"/>
            <w:right w:val="none" w:sz="0" w:space="0" w:color="auto"/>
          </w:divBdr>
        </w:div>
        <w:div w:id="776172543">
          <w:marLeft w:val="0"/>
          <w:marRight w:val="0"/>
          <w:marTop w:val="0"/>
          <w:marBottom w:val="0"/>
          <w:divBdr>
            <w:top w:val="none" w:sz="0" w:space="0" w:color="auto"/>
            <w:left w:val="none" w:sz="0" w:space="0" w:color="auto"/>
            <w:bottom w:val="none" w:sz="0" w:space="0" w:color="auto"/>
            <w:right w:val="none" w:sz="0" w:space="0" w:color="auto"/>
          </w:divBdr>
        </w:div>
        <w:div w:id="668099885">
          <w:marLeft w:val="0"/>
          <w:marRight w:val="0"/>
          <w:marTop w:val="0"/>
          <w:marBottom w:val="0"/>
          <w:divBdr>
            <w:top w:val="none" w:sz="0" w:space="0" w:color="auto"/>
            <w:left w:val="none" w:sz="0" w:space="0" w:color="auto"/>
            <w:bottom w:val="none" w:sz="0" w:space="0" w:color="auto"/>
            <w:right w:val="none" w:sz="0" w:space="0" w:color="auto"/>
          </w:divBdr>
        </w:div>
        <w:div w:id="238102299">
          <w:marLeft w:val="0"/>
          <w:marRight w:val="0"/>
          <w:marTop w:val="0"/>
          <w:marBottom w:val="0"/>
          <w:divBdr>
            <w:top w:val="none" w:sz="0" w:space="0" w:color="auto"/>
            <w:left w:val="none" w:sz="0" w:space="0" w:color="auto"/>
            <w:bottom w:val="none" w:sz="0" w:space="0" w:color="auto"/>
            <w:right w:val="none" w:sz="0" w:space="0" w:color="auto"/>
          </w:divBdr>
        </w:div>
        <w:div w:id="1071540137">
          <w:marLeft w:val="0"/>
          <w:marRight w:val="0"/>
          <w:marTop w:val="0"/>
          <w:marBottom w:val="0"/>
          <w:divBdr>
            <w:top w:val="none" w:sz="0" w:space="0" w:color="auto"/>
            <w:left w:val="none" w:sz="0" w:space="0" w:color="auto"/>
            <w:bottom w:val="none" w:sz="0" w:space="0" w:color="auto"/>
            <w:right w:val="none" w:sz="0" w:space="0" w:color="auto"/>
          </w:divBdr>
        </w:div>
        <w:div w:id="443580079">
          <w:marLeft w:val="0"/>
          <w:marRight w:val="0"/>
          <w:marTop w:val="0"/>
          <w:marBottom w:val="0"/>
          <w:divBdr>
            <w:top w:val="none" w:sz="0" w:space="0" w:color="auto"/>
            <w:left w:val="none" w:sz="0" w:space="0" w:color="auto"/>
            <w:bottom w:val="none" w:sz="0" w:space="0" w:color="auto"/>
            <w:right w:val="none" w:sz="0" w:space="0" w:color="auto"/>
          </w:divBdr>
        </w:div>
        <w:div w:id="581525547">
          <w:marLeft w:val="0"/>
          <w:marRight w:val="0"/>
          <w:marTop w:val="0"/>
          <w:marBottom w:val="0"/>
          <w:divBdr>
            <w:top w:val="none" w:sz="0" w:space="0" w:color="auto"/>
            <w:left w:val="none" w:sz="0" w:space="0" w:color="auto"/>
            <w:bottom w:val="none" w:sz="0" w:space="0" w:color="auto"/>
            <w:right w:val="none" w:sz="0" w:space="0" w:color="auto"/>
          </w:divBdr>
        </w:div>
        <w:div w:id="247272821">
          <w:marLeft w:val="0"/>
          <w:marRight w:val="0"/>
          <w:marTop w:val="0"/>
          <w:marBottom w:val="0"/>
          <w:divBdr>
            <w:top w:val="none" w:sz="0" w:space="0" w:color="auto"/>
            <w:left w:val="none" w:sz="0" w:space="0" w:color="auto"/>
            <w:bottom w:val="none" w:sz="0" w:space="0" w:color="auto"/>
            <w:right w:val="none" w:sz="0" w:space="0" w:color="auto"/>
          </w:divBdr>
        </w:div>
      </w:divsChild>
    </w:div>
    <w:div w:id="1241526990">
      <w:bodyDiv w:val="1"/>
      <w:marLeft w:val="0"/>
      <w:marRight w:val="0"/>
      <w:marTop w:val="0"/>
      <w:marBottom w:val="0"/>
      <w:divBdr>
        <w:top w:val="none" w:sz="0" w:space="0" w:color="auto"/>
        <w:left w:val="none" w:sz="0" w:space="0" w:color="auto"/>
        <w:bottom w:val="none" w:sz="0" w:space="0" w:color="auto"/>
        <w:right w:val="none" w:sz="0" w:space="0" w:color="auto"/>
      </w:divBdr>
    </w:div>
    <w:div w:id="1340087021">
      <w:bodyDiv w:val="1"/>
      <w:marLeft w:val="0"/>
      <w:marRight w:val="0"/>
      <w:marTop w:val="0"/>
      <w:marBottom w:val="0"/>
      <w:divBdr>
        <w:top w:val="none" w:sz="0" w:space="0" w:color="auto"/>
        <w:left w:val="none" w:sz="0" w:space="0" w:color="auto"/>
        <w:bottom w:val="none" w:sz="0" w:space="0" w:color="auto"/>
        <w:right w:val="none" w:sz="0" w:space="0" w:color="auto"/>
      </w:divBdr>
      <w:divsChild>
        <w:div w:id="1839419447">
          <w:marLeft w:val="0"/>
          <w:marRight w:val="0"/>
          <w:marTop w:val="0"/>
          <w:marBottom w:val="0"/>
          <w:divBdr>
            <w:top w:val="none" w:sz="0" w:space="0" w:color="auto"/>
            <w:left w:val="none" w:sz="0" w:space="0" w:color="auto"/>
            <w:bottom w:val="none" w:sz="0" w:space="0" w:color="auto"/>
            <w:right w:val="none" w:sz="0" w:space="0" w:color="auto"/>
          </w:divBdr>
        </w:div>
        <w:div w:id="1841579174">
          <w:marLeft w:val="0"/>
          <w:marRight w:val="0"/>
          <w:marTop w:val="0"/>
          <w:marBottom w:val="0"/>
          <w:divBdr>
            <w:top w:val="none" w:sz="0" w:space="0" w:color="auto"/>
            <w:left w:val="none" w:sz="0" w:space="0" w:color="auto"/>
            <w:bottom w:val="none" w:sz="0" w:space="0" w:color="auto"/>
            <w:right w:val="none" w:sz="0" w:space="0" w:color="auto"/>
          </w:divBdr>
        </w:div>
        <w:div w:id="784346134">
          <w:marLeft w:val="0"/>
          <w:marRight w:val="0"/>
          <w:marTop w:val="0"/>
          <w:marBottom w:val="0"/>
          <w:divBdr>
            <w:top w:val="none" w:sz="0" w:space="0" w:color="auto"/>
            <w:left w:val="none" w:sz="0" w:space="0" w:color="auto"/>
            <w:bottom w:val="none" w:sz="0" w:space="0" w:color="auto"/>
            <w:right w:val="none" w:sz="0" w:space="0" w:color="auto"/>
          </w:divBdr>
        </w:div>
        <w:div w:id="1780367667">
          <w:marLeft w:val="0"/>
          <w:marRight w:val="0"/>
          <w:marTop w:val="0"/>
          <w:marBottom w:val="0"/>
          <w:divBdr>
            <w:top w:val="none" w:sz="0" w:space="0" w:color="auto"/>
            <w:left w:val="none" w:sz="0" w:space="0" w:color="auto"/>
            <w:bottom w:val="none" w:sz="0" w:space="0" w:color="auto"/>
            <w:right w:val="none" w:sz="0" w:space="0" w:color="auto"/>
          </w:divBdr>
        </w:div>
        <w:div w:id="909266024">
          <w:marLeft w:val="0"/>
          <w:marRight w:val="0"/>
          <w:marTop w:val="0"/>
          <w:marBottom w:val="0"/>
          <w:divBdr>
            <w:top w:val="none" w:sz="0" w:space="0" w:color="auto"/>
            <w:left w:val="none" w:sz="0" w:space="0" w:color="auto"/>
            <w:bottom w:val="none" w:sz="0" w:space="0" w:color="auto"/>
            <w:right w:val="none" w:sz="0" w:space="0" w:color="auto"/>
          </w:divBdr>
        </w:div>
        <w:div w:id="1224951962">
          <w:marLeft w:val="0"/>
          <w:marRight w:val="0"/>
          <w:marTop w:val="0"/>
          <w:marBottom w:val="0"/>
          <w:divBdr>
            <w:top w:val="none" w:sz="0" w:space="0" w:color="auto"/>
            <w:left w:val="none" w:sz="0" w:space="0" w:color="auto"/>
            <w:bottom w:val="none" w:sz="0" w:space="0" w:color="auto"/>
            <w:right w:val="none" w:sz="0" w:space="0" w:color="auto"/>
          </w:divBdr>
        </w:div>
      </w:divsChild>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88406950">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mmunisationhandbook.health.gov.au/contents/vaccine-preventable-diseases/rabies-and-other-lyssaviruses" TargetMode="External"/><Relationship Id="rId18" Type="http://schemas.openxmlformats.org/officeDocument/2006/relationships/hyperlink" Target="https://www.canberrahealthservices.act.gov.au/accessibility"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act.gov.au/__data/assets/word_doc/0010/2184796/Rabies-and-Australian-Bat-Lyssavirus-Post-Exposure-Prophylaxis.docx"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mmunisationhandbook.health.gov.au/vaccine-preventable-diseases/rabies-and-other-lyssaviruses"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health.gov.au/resources/publications/rabies-and-other-lyssavirus-cdna-national-guidelines-for-public-health-units?language=en"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2BD00E7F024F428C9A32523AB78153"/>
        <w:category>
          <w:name w:val="General"/>
          <w:gallery w:val="placeholder"/>
        </w:category>
        <w:types>
          <w:type w:val="bbPlcHdr"/>
        </w:types>
        <w:behaviors>
          <w:behavior w:val="content"/>
        </w:behaviors>
        <w:guid w:val="{C1C8F49D-2370-4D3E-A682-AB805C23E0FF}"/>
      </w:docPartPr>
      <w:docPartBody>
        <w:p w:rsidR="003145C1" w:rsidRDefault="003145C1">
          <w:pPr>
            <w:pStyle w:val="CA2BD00E7F024F428C9A32523AB78153"/>
          </w:pPr>
          <w:r>
            <w:rPr>
              <w:noProof/>
              <w:sz w:val="20"/>
              <w:szCs w:val="20"/>
            </w:rPr>
            <w:drawing>
              <wp:inline distT="0" distB="0" distL="0" distR="0" wp14:anchorId="60F2404A" wp14:editId="60F2404B">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329C8CF3D04041B58A74EB8BA4775394"/>
        <w:category>
          <w:name w:val="General"/>
          <w:gallery w:val="placeholder"/>
        </w:category>
        <w:types>
          <w:type w:val="bbPlcHdr"/>
        </w:types>
        <w:behaviors>
          <w:behavior w:val="content"/>
        </w:behaviors>
        <w:guid w:val="{60F5A3E1-5B2E-458C-97F5-AB6F4C034D94}"/>
      </w:docPartPr>
      <w:docPartBody>
        <w:p w:rsidR="003145C1" w:rsidRDefault="003145C1">
          <w:pPr>
            <w:pStyle w:val="329C8CF3D04041B58A74EB8BA4775394"/>
          </w:pPr>
          <w:r w:rsidRPr="00EE29F8">
            <w:rPr>
              <w:rStyle w:val="PlaceholderText"/>
            </w:rPr>
            <w:t>Choose an item.</w:t>
          </w:r>
        </w:p>
      </w:docPartBody>
    </w:docPart>
    <w:docPart>
      <w:docPartPr>
        <w:name w:val="22F533D35607456B9F9CA4BF748F0D0B"/>
        <w:category>
          <w:name w:val="General"/>
          <w:gallery w:val="placeholder"/>
        </w:category>
        <w:types>
          <w:type w:val="bbPlcHdr"/>
        </w:types>
        <w:behaviors>
          <w:behavior w:val="content"/>
        </w:behaviors>
        <w:guid w:val="{408DB056-CCFD-4CF8-87DE-D5BA7E55B1A5}"/>
      </w:docPartPr>
      <w:docPartBody>
        <w:p w:rsidR="003145C1" w:rsidRPr="00F26C97" w:rsidRDefault="003145C1" w:rsidP="003B0E72">
          <w:pPr>
            <w:pStyle w:val="Bottomblocktext"/>
            <w:rPr>
              <w:b/>
              <w:bCs w:val="0"/>
              <w:sz w:val="20"/>
              <w:szCs w:val="20"/>
            </w:rPr>
          </w:pPr>
          <w:r>
            <w:rPr>
              <w:b/>
              <w:bCs w:val="0"/>
              <w:noProof/>
              <w:sz w:val="20"/>
              <w:szCs w:val="20"/>
            </w:rPr>
            <w:drawing>
              <wp:inline distT="0" distB="0" distL="0" distR="0" wp14:anchorId="60F2404C" wp14:editId="60F2404D">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0F2404E" wp14:editId="60F2404F">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3145C1" w:rsidRPr="00F26C97" w:rsidRDefault="003145C1" w:rsidP="003B0E72">
          <w:pPr>
            <w:pStyle w:val="Bottomblocktext"/>
            <w:rPr>
              <w:b/>
              <w:bCs w:val="0"/>
              <w:sz w:val="20"/>
              <w:szCs w:val="20"/>
            </w:rPr>
          </w:pPr>
          <w:r>
            <w:rPr>
              <w:b/>
              <w:bCs w:val="0"/>
              <w:noProof/>
              <w:sz w:val="20"/>
              <w:szCs w:val="20"/>
            </w:rPr>
            <w:drawing>
              <wp:inline distT="0" distB="0" distL="0" distR="0" wp14:anchorId="60F24050" wp14:editId="60F24051">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0F24052" wp14:editId="60F24053">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3145C1" w:rsidRDefault="003145C1" w:rsidP="003B0E72">
          <w:pPr>
            <w:pStyle w:val="Bottomblocktext"/>
            <w:rPr>
              <w:sz w:val="20"/>
              <w:szCs w:val="20"/>
            </w:rPr>
          </w:pPr>
          <w:hyperlink r:id="rId8" w:history="1">
            <w:r w:rsidRPr="00350211">
              <w:rPr>
                <w:rStyle w:val="Hyperlink"/>
                <w:sz w:val="20"/>
                <w:szCs w:val="20"/>
              </w:rPr>
              <w:t>canberrahealthservices.act.gov.au/accessibility</w:t>
            </w:r>
          </w:hyperlink>
        </w:p>
        <w:p w:rsidR="003145C1" w:rsidRDefault="003145C1">
          <w:pPr>
            <w:pStyle w:val="22F533D35607456B9F9CA4BF748F0D0B"/>
          </w:pPr>
          <w:r>
            <w:rPr>
              <w:b/>
              <w:bCs/>
              <w:noProof/>
            </w:rPr>
            <w:drawing>
              <wp:inline distT="0" distB="0" distL="0" distR="0" wp14:anchorId="60F24054" wp14:editId="60F24055">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C1"/>
    <w:rsid w:val="003145C1"/>
    <w:rsid w:val="00390255"/>
    <w:rsid w:val="003B730B"/>
    <w:rsid w:val="003D2CD5"/>
    <w:rsid w:val="00566B2C"/>
    <w:rsid w:val="00766369"/>
    <w:rsid w:val="008729D5"/>
    <w:rsid w:val="00945228"/>
    <w:rsid w:val="00BE72C6"/>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2BD00E7F024F428C9A32523AB78153">
    <w:name w:val="CA2BD00E7F024F428C9A32523AB78153"/>
  </w:style>
  <w:style w:type="character" w:styleId="PlaceholderText">
    <w:name w:val="Placeholder Text"/>
    <w:basedOn w:val="DefaultParagraphFont"/>
    <w:uiPriority w:val="99"/>
    <w:semiHidden/>
    <w:rPr>
      <w:color w:val="808080"/>
    </w:rPr>
  </w:style>
  <w:style w:type="paragraph" w:customStyle="1" w:styleId="329C8CF3D04041B58A74EB8BA4775394">
    <w:name w:val="329C8CF3D04041B58A74EB8BA4775394"/>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22F533D35607456B9F9CA4BF748F0D0B">
    <w:name w:val="22F533D35607456B9F9CA4BF748F0D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baa89489f6f64e41f55b3cdda9719f36">
  <xsd:schema xmlns:xsd="http://www.w3.org/2001/XMLSchema" xmlns:xs="http://www.w3.org/2001/XMLSchema" xmlns:p="http://schemas.microsoft.com/office/2006/metadata/properties" xmlns:ns2="9452bbcf-1ed2-48a4-a338-c9ad680dbbbb" targetNamespace="http://schemas.microsoft.com/office/2006/metadata/properties" ma:root="true" ma:fieldsID="1246dfdb60b0296429c319c6df19386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B78EA-5DFC-42A9-B099-B2370380E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1484</Words>
  <Characters>8465</Characters>
  <Application>Microsoft Office Word</Application>
  <DocSecurity>0</DocSecurity>
  <Lines>70</Lines>
  <Paragraphs>19</Paragraphs>
  <ScaleCrop>false</ScaleCrop>
  <Company>Canberra Health Services</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Golley, Pip (Health)</dc:creator>
  <cp:lastModifiedBy>Rusanov, Zoia</cp:lastModifiedBy>
  <cp:revision>10</cp:revision>
  <cp:lastPrinted>2017-05-22T07:29:00Z</cp:lastPrinted>
  <dcterms:created xsi:type="dcterms:W3CDTF">2025-09-23T07:08:00Z</dcterms:created>
  <dcterms:modified xsi:type="dcterms:W3CDTF">2025-10-28T00:07:00Z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