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1E978" w14:textId="77777777" w:rsidR="00197F2E" w:rsidRPr="0007270D" w:rsidRDefault="00EE0C5F" w:rsidP="00241A68">
      <w:pPr>
        <w:pStyle w:val="Heading1"/>
      </w:pPr>
      <w:r>
        <w:t>Procedure</w:t>
      </w:r>
      <w:r w:rsidR="008606A0" w:rsidRPr="0007270D">
        <w:t xml:space="preserve"> </w:t>
      </w:r>
      <w:r w:rsidR="008606A0" w:rsidRPr="00241A68">
        <w:rPr>
          <w:b w:val="0"/>
          <w:bCs w:val="0"/>
        </w:rPr>
        <w:t xml:space="preserve">| </w:t>
      </w:r>
      <w:r w:rsidR="00481A6C" w:rsidRPr="00241A68">
        <w:rPr>
          <w:b w:val="0"/>
          <w:bCs w:val="0"/>
        </w:rPr>
        <w:t>Canberra Health Services</w:t>
      </w:r>
    </w:p>
    <w:p w14:paraId="70966946" w14:textId="046B24D9" w:rsidR="00197F2E" w:rsidRDefault="00F74AEB" w:rsidP="00197F2E">
      <w:pPr>
        <w:pStyle w:val="Heading2"/>
      </w:pPr>
      <w:r>
        <w:t>Intrathecal Chemotherapy Administration (Adults and Adolescents)</w:t>
      </w:r>
      <w:r w:rsidR="006106B3">
        <w:t xml:space="preserve"> </w:t>
      </w:r>
      <w:r w:rsidR="00545DEB">
        <w:t xml:space="preserve">at </w:t>
      </w:r>
      <w:r w:rsidR="006106B3">
        <w:t>Canberra Hospital</w:t>
      </w:r>
    </w:p>
    <w:p w14:paraId="5551839C" w14:textId="0D6762D5" w:rsidR="00CA4FDE" w:rsidRPr="00C34A10" w:rsidRDefault="00E31596" w:rsidP="00C34A10">
      <w:pPr>
        <w:pStyle w:val="BodyCopy"/>
        <w:spacing w:before="0" w:line="240" w:lineRule="auto"/>
        <w:rPr>
          <w:color w:val="575757" w:themeColor="text2"/>
        </w:rPr>
      </w:pPr>
      <w:r w:rsidRPr="00197F2E">
        <w:t>CHS</w:t>
      </w:r>
      <w:r w:rsidR="00F1433A">
        <w:t>25/099</w:t>
      </w:r>
      <w:bookmarkStart w:id="0" w:name="_Hlk157074578"/>
    </w:p>
    <w:sdt>
      <w:sdtPr>
        <w:rPr>
          <w:sz w:val="32"/>
        </w:rPr>
        <w:id w:val="-1206019646"/>
        <w:docPartObj>
          <w:docPartGallery w:val="Table of Contents"/>
          <w:docPartUnique/>
        </w:docPartObj>
      </w:sdtPr>
      <w:sdtEndPr>
        <w:rPr>
          <w:noProof/>
        </w:rPr>
      </w:sdtEndPr>
      <w:sdtContent>
        <w:p w14:paraId="3332E824" w14:textId="77777777" w:rsidR="00A731B8" w:rsidRPr="000E7683" w:rsidRDefault="00A731B8">
          <w:pPr>
            <w:pStyle w:val="TOCHeading"/>
            <w:rPr>
              <w:rStyle w:val="Heading3Char"/>
              <w:b/>
              <w:bCs w:val="0"/>
            </w:rPr>
          </w:pPr>
          <w:r w:rsidRPr="007B1A7B">
            <w:rPr>
              <w:rStyle w:val="Heading3Char"/>
              <w:b/>
              <w:bCs w:val="0"/>
            </w:rPr>
            <w:t>Contents</w:t>
          </w:r>
        </w:p>
        <w:p w14:paraId="28324522" w14:textId="1071BBF3" w:rsidR="009A6075" w:rsidRDefault="00A621FE">
          <w:pPr>
            <w:pStyle w:val="TOC1"/>
            <w:rPr>
              <w:rFonts w:asciiTheme="minorHAnsi" w:eastAsiaTheme="minorEastAsia" w:hAnsiTheme="minorHAnsi" w:cstheme="minorBidi"/>
              <w:color w:val="auto"/>
              <w:kern w:val="2"/>
              <w14:ligatures w14:val="standardContextual"/>
            </w:rPr>
          </w:pPr>
          <w:r>
            <w:rPr>
              <w:rFonts w:cs="Times New Roman"/>
              <w:b/>
            </w:rPr>
            <w:fldChar w:fldCharType="begin"/>
          </w:r>
          <w:r>
            <w:rPr>
              <w:rFonts w:cs="Times New Roman"/>
              <w:b/>
            </w:rPr>
            <w:instrText xml:space="preserve"> TOC \h \z \u \t "Heading 4,1" </w:instrText>
          </w:r>
          <w:r>
            <w:rPr>
              <w:rFonts w:cs="Times New Roman"/>
              <w:b/>
            </w:rPr>
            <w:fldChar w:fldCharType="separate"/>
          </w:r>
          <w:hyperlink w:anchor="_Toc185934725" w:history="1">
            <w:r w:rsidR="009A6075" w:rsidRPr="002A7D84">
              <w:rPr>
                <w:rStyle w:val="Hyperlink"/>
              </w:rPr>
              <w:t>Purpose</w:t>
            </w:r>
            <w:r w:rsidR="009A6075">
              <w:rPr>
                <w:webHidden/>
              </w:rPr>
              <w:tab/>
            </w:r>
            <w:r w:rsidR="009A6075">
              <w:rPr>
                <w:webHidden/>
              </w:rPr>
              <w:fldChar w:fldCharType="begin"/>
            </w:r>
            <w:r w:rsidR="009A6075">
              <w:rPr>
                <w:webHidden/>
              </w:rPr>
              <w:instrText xml:space="preserve"> PAGEREF _Toc185934725 \h </w:instrText>
            </w:r>
            <w:r w:rsidR="009A6075">
              <w:rPr>
                <w:webHidden/>
              </w:rPr>
            </w:r>
            <w:r w:rsidR="009A6075">
              <w:rPr>
                <w:webHidden/>
              </w:rPr>
              <w:fldChar w:fldCharType="separate"/>
            </w:r>
            <w:r w:rsidR="00B57B60">
              <w:rPr>
                <w:webHidden/>
              </w:rPr>
              <w:t>2</w:t>
            </w:r>
            <w:r w:rsidR="009A6075">
              <w:rPr>
                <w:webHidden/>
              </w:rPr>
              <w:fldChar w:fldCharType="end"/>
            </w:r>
          </w:hyperlink>
        </w:p>
        <w:p w14:paraId="2B92FD59" w14:textId="61DA7371" w:rsidR="009A6075" w:rsidRDefault="00C27FE2">
          <w:pPr>
            <w:pStyle w:val="TOC1"/>
            <w:rPr>
              <w:rFonts w:asciiTheme="minorHAnsi" w:eastAsiaTheme="minorEastAsia" w:hAnsiTheme="minorHAnsi" w:cstheme="minorBidi"/>
              <w:color w:val="auto"/>
              <w:kern w:val="2"/>
              <w14:ligatures w14:val="standardContextual"/>
            </w:rPr>
          </w:pPr>
          <w:hyperlink w:anchor="_Toc185934726" w:history="1">
            <w:r w:rsidR="009A6075" w:rsidRPr="002A7D84">
              <w:rPr>
                <w:rStyle w:val="Hyperlink"/>
              </w:rPr>
              <w:t>Alerts</w:t>
            </w:r>
            <w:r w:rsidR="009A6075">
              <w:rPr>
                <w:webHidden/>
              </w:rPr>
              <w:tab/>
            </w:r>
            <w:r w:rsidR="009A6075">
              <w:rPr>
                <w:webHidden/>
              </w:rPr>
              <w:fldChar w:fldCharType="begin"/>
            </w:r>
            <w:r w:rsidR="009A6075">
              <w:rPr>
                <w:webHidden/>
              </w:rPr>
              <w:instrText xml:space="preserve"> PAGEREF _Toc185934726 \h </w:instrText>
            </w:r>
            <w:r w:rsidR="009A6075">
              <w:rPr>
                <w:webHidden/>
              </w:rPr>
            </w:r>
            <w:r w:rsidR="009A6075">
              <w:rPr>
                <w:webHidden/>
              </w:rPr>
              <w:fldChar w:fldCharType="separate"/>
            </w:r>
            <w:r w:rsidR="00B57B60">
              <w:rPr>
                <w:webHidden/>
              </w:rPr>
              <w:t>2</w:t>
            </w:r>
            <w:r w:rsidR="009A6075">
              <w:rPr>
                <w:webHidden/>
              </w:rPr>
              <w:fldChar w:fldCharType="end"/>
            </w:r>
          </w:hyperlink>
        </w:p>
        <w:p w14:paraId="410E0A8F" w14:textId="6A6AB811" w:rsidR="009A6075" w:rsidRDefault="00C27FE2">
          <w:pPr>
            <w:pStyle w:val="TOC1"/>
            <w:rPr>
              <w:rFonts w:asciiTheme="minorHAnsi" w:eastAsiaTheme="minorEastAsia" w:hAnsiTheme="minorHAnsi" w:cstheme="minorBidi"/>
              <w:color w:val="auto"/>
              <w:kern w:val="2"/>
              <w14:ligatures w14:val="standardContextual"/>
            </w:rPr>
          </w:pPr>
          <w:hyperlink w:anchor="_Toc185934727" w:history="1">
            <w:r w:rsidR="009A6075" w:rsidRPr="002A7D84">
              <w:rPr>
                <w:rStyle w:val="Hyperlink"/>
              </w:rPr>
              <w:t>Scope</w:t>
            </w:r>
            <w:r w:rsidR="009A6075">
              <w:rPr>
                <w:webHidden/>
              </w:rPr>
              <w:tab/>
            </w:r>
            <w:r w:rsidR="009A6075">
              <w:rPr>
                <w:webHidden/>
              </w:rPr>
              <w:fldChar w:fldCharType="begin"/>
            </w:r>
            <w:r w:rsidR="009A6075">
              <w:rPr>
                <w:webHidden/>
              </w:rPr>
              <w:instrText xml:space="preserve"> PAGEREF _Toc185934727 \h </w:instrText>
            </w:r>
            <w:r w:rsidR="009A6075">
              <w:rPr>
                <w:webHidden/>
              </w:rPr>
            </w:r>
            <w:r w:rsidR="009A6075">
              <w:rPr>
                <w:webHidden/>
              </w:rPr>
              <w:fldChar w:fldCharType="separate"/>
            </w:r>
            <w:r w:rsidR="00B57B60">
              <w:rPr>
                <w:webHidden/>
              </w:rPr>
              <w:t>2</w:t>
            </w:r>
            <w:r w:rsidR="009A6075">
              <w:rPr>
                <w:webHidden/>
              </w:rPr>
              <w:fldChar w:fldCharType="end"/>
            </w:r>
          </w:hyperlink>
        </w:p>
        <w:p w14:paraId="52B7F7E0" w14:textId="2EFAEC72" w:rsidR="009A6075" w:rsidRDefault="00C27FE2">
          <w:pPr>
            <w:pStyle w:val="TOC1"/>
            <w:rPr>
              <w:rFonts w:asciiTheme="minorHAnsi" w:eastAsiaTheme="minorEastAsia" w:hAnsiTheme="minorHAnsi" w:cstheme="minorBidi"/>
              <w:color w:val="auto"/>
              <w:kern w:val="2"/>
              <w14:ligatures w14:val="standardContextual"/>
            </w:rPr>
          </w:pPr>
          <w:hyperlink w:anchor="_Toc185934728" w:history="1">
            <w:r w:rsidR="009A6075" w:rsidRPr="002A7D84">
              <w:rPr>
                <w:rStyle w:val="Hyperlink"/>
              </w:rPr>
              <w:t>Section 1 – Induction and Training</w:t>
            </w:r>
            <w:r w:rsidR="009A6075">
              <w:rPr>
                <w:webHidden/>
              </w:rPr>
              <w:tab/>
            </w:r>
            <w:r w:rsidR="009A6075">
              <w:rPr>
                <w:webHidden/>
              </w:rPr>
              <w:fldChar w:fldCharType="begin"/>
            </w:r>
            <w:r w:rsidR="009A6075">
              <w:rPr>
                <w:webHidden/>
              </w:rPr>
              <w:instrText xml:space="preserve"> PAGEREF _Toc185934728 \h </w:instrText>
            </w:r>
            <w:r w:rsidR="009A6075">
              <w:rPr>
                <w:webHidden/>
              </w:rPr>
            </w:r>
            <w:r w:rsidR="009A6075">
              <w:rPr>
                <w:webHidden/>
              </w:rPr>
              <w:fldChar w:fldCharType="separate"/>
            </w:r>
            <w:r w:rsidR="00B57B60">
              <w:rPr>
                <w:webHidden/>
              </w:rPr>
              <w:t>2</w:t>
            </w:r>
            <w:r w:rsidR="009A6075">
              <w:rPr>
                <w:webHidden/>
              </w:rPr>
              <w:fldChar w:fldCharType="end"/>
            </w:r>
          </w:hyperlink>
        </w:p>
        <w:p w14:paraId="76AD23BD" w14:textId="1D276954" w:rsidR="009A6075" w:rsidRDefault="00C27FE2">
          <w:pPr>
            <w:pStyle w:val="TOC1"/>
            <w:rPr>
              <w:rFonts w:asciiTheme="minorHAnsi" w:eastAsiaTheme="minorEastAsia" w:hAnsiTheme="minorHAnsi" w:cstheme="minorBidi"/>
              <w:color w:val="auto"/>
              <w:kern w:val="2"/>
              <w14:ligatures w14:val="standardContextual"/>
            </w:rPr>
          </w:pPr>
          <w:hyperlink w:anchor="_Toc185934729" w:history="1">
            <w:r w:rsidR="009A6075" w:rsidRPr="002A7D84">
              <w:rPr>
                <w:rStyle w:val="Hyperlink"/>
              </w:rPr>
              <w:t>Section 2 – Prescription of intrathecal chemotherapy</w:t>
            </w:r>
            <w:r w:rsidR="009A6075">
              <w:rPr>
                <w:webHidden/>
              </w:rPr>
              <w:tab/>
            </w:r>
            <w:r w:rsidR="009A6075">
              <w:rPr>
                <w:webHidden/>
              </w:rPr>
              <w:fldChar w:fldCharType="begin"/>
            </w:r>
            <w:r w:rsidR="009A6075">
              <w:rPr>
                <w:webHidden/>
              </w:rPr>
              <w:instrText xml:space="preserve"> PAGEREF _Toc185934729 \h </w:instrText>
            </w:r>
            <w:r w:rsidR="009A6075">
              <w:rPr>
                <w:webHidden/>
              </w:rPr>
            </w:r>
            <w:r w:rsidR="009A6075">
              <w:rPr>
                <w:webHidden/>
              </w:rPr>
              <w:fldChar w:fldCharType="separate"/>
            </w:r>
            <w:r w:rsidR="00B57B60">
              <w:rPr>
                <w:webHidden/>
              </w:rPr>
              <w:t>3</w:t>
            </w:r>
            <w:r w:rsidR="009A6075">
              <w:rPr>
                <w:webHidden/>
              </w:rPr>
              <w:fldChar w:fldCharType="end"/>
            </w:r>
          </w:hyperlink>
        </w:p>
        <w:p w14:paraId="6B4101EB" w14:textId="024549A0" w:rsidR="009A6075" w:rsidRDefault="00C27FE2">
          <w:pPr>
            <w:pStyle w:val="TOC1"/>
            <w:rPr>
              <w:rFonts w:asciiTheme="minorHAnsi" w:eastAsiaTheme="minorEastAsia" w:hAnsiTheme="minorHAnsi" w:cstheme="minorBidi"/>
              <w:color w:val="auto"/>
              <w:kern w:val="2"/>
              <w14:ligatures w14:val="standardContextual"/>
            </w:rPr>
          </w:pPr>
          <w:hyperlink w:anchor="_Toc185934730" w:history="1">
            <w:r w:rsidR="009A6075" w:rsidRPr="002A7D84">
              <w:rPr>
                <w:rStyle w:val="Hyperlink"/>
              </w:rPr>
              <w:t>Section 3 – Staff, timing and location</w:t>
            </w:r>
            <w:r w:rsidR="009A6075">
              <w:rPr>
                <w:webHidden/>
              </w:rPr>
              <w:tab/>
            </w:r>
            <w:r w:rsidR="009A6075">
              <w:rPr>
                <w:webHidden/>
              </w:rPr>
              <w:fldChar w:fldCharType="begin"/>
            </w:r>
            <w:r w:rsidR="009A6075">
              <w:rPr>
                <w:webHidden/>
              </w:rPr>
              <w:instrText xml:space="preserve"> PAGEREF _Toc185934730 \h </w:instrText>
            </w:r>
            <w:r w:rsidR="009A6075">
              <w:rPr>
                <w:webHidden/>
              </w:rPr>
            </w:r>
            <w:r w:rsidR="009A6075">
              <w:rPr>
                <w:webHidden/>
              </w:rPr>
              <w:fldChar w:fldCharType="separate"/>
            </w:r>
            <w:r w:rsidR="00B57B60">
              <w:rPr>
                <w:webHidden/>
              </w:rPr>
              <w:t>3</w:t>
            </w:r>
            <w:r w:rsidR="009A6075">
              <w:rPr>
                <w:webHidden/>
              </w:rPr>
              <w:fldChar w:fldCharType="end"/>
            </w:r>
          </w:hyperlink>
        </w:p>
        <w:p w14:paraId="37F382BE" w14:textId="386DA150" w:rsidR="009A6075" w:rsidRDefault="00C27FE2">
          <w:pPr>
            <w:pStyle w:val="TOC1"/>
            <w:rPr>
              <w:rFonts w:asciiTheme="minorHAnsi" w:eastAsiaTheme="minorEastAsia" w:hAnsiTheme="minorHAnsi" w:cstheme="minorBidi"/>
              <w:color w:val="auto"/>
              <w:kern w:val="2"/>
              <w14:ligatures w14:val="standardContextual"/>
            </w:rPr>
          </w:pPr>
          <w:hyperlink w:anchor="_Toc185934731" w:history="1">
            <w:r w:rsidR="009A6075" w:rsidRPr="002A7D84">
              <w:rPr>
                <w:rStyle w:val="Hyperlink"/>
              </w:rPr>
              <w:t>Section 4 – Procedural consideration</w:t>
            </w:r>
            <w:r w:rsidR="009A6075">
              <w:rPr>
                <w:webHidden/>
              </w:rPr>
              <w:tab/>
            </w:r>
            <w:r w:rsidR="009A6075">
              <w:rPr>
                <w:webHidden/>
              </w:rPr>
              <w:fldChar w:fldCharType="begin"/>
            </w:r>
            <w:r w:rsidR="009A6075">
              <w:rPr>
                <w:webHidden/>
              </w:rPr>
              <w:instrText xml:space="preserve"> PAGEREF _Toc185934731 \h </w:instrText>
            </w:r>
            <w:r w:rsidR="009A6075">
              <w:rPr>
                <w:webHidden/>
              </w:rPr>
            </w:r>
            <w:r w:rsidR="009A6075">
              <w:rPr>
                <w:webHidden/>
              </w:rPr>
              <w:fldChar w:fldCharType="separate"/>
            </w:r>
            <w:r w:rsidR="00B57B60">
              <w:rPr>
                <w:webHidden/>
              </w:rPr>
              <w:t>4</w:t>
            </w:r>
            <w:r w:rsidR="009A6075">
              <w:rPr>
                <w:webHidden/>
              </w:rPr>
              <w:fldChar w:fldCharType="end"/>
            </w:r>
          </w:hyperlink>
        </w:p>
        <w:p w14:paraId="13EB7BEF" w14:textId="0CBDC071" w:rsidR="009A6075" w:rsidRDefault="00C27FE2">
          <w:pPr>
            <w:pStyle w:val="TOC1"/>
            <w:rPr>
              <w:rFonts w:asciiTheme="minorHAnsi" w:eastAsiaTheme="minorEastAsia" w:hAnsiTheme="minorHAnsi" w:cstheme="minorBidi"/>
              <w:color w:val="auto"/>
              <w:kern w:val="2"/>
              <w14:ligatures w14:val="standardContextual"/>
            </w:rPr>
          </w:pPr>
          <w:hyperlink w:anchor="_Toc185934732" w:history="1">
            <w:r w:rsidR="009A6075" w:rsidRPr="002A7D84">
              <w:rPr>
                <w:rStyle w:val="Hyperlink"/>
              </w:rPr>
              <w:t>Section 5 – Procedure for administering intrathecal chemotherapy</w:t>
            </w:r>
            <w:r w:rsidR="009A6075">
              <w:rPr>
                <w:webHidden/>
              </w:rPr>
              <w:tab/>
            </w:r>
            <w:r w:rsidR="009A6075">
              <w:rPr>
                <w:webHidden/>
              </w:rPr>
              <w:fldChar w:fldCharType="begin"/>
            </w:r>
            <w:r w:rsidR="009A6075">
              <w:rPr>
                <w:webHidden/>
              </w:rPr>
              <w:instrText xml:space="preserve"> PAGEREF _Toc185934732 \h </w:instrText>
            </w:r>
            <w:r w:rsidR="009A6075">
              <w:rPr>
                <w:webHidden/>
              </w:rPr>
            </w:r>
            <w:r w:rsidR="009A6075">
              <w:rPr>
                <w:webHidden/>
              </w:rPr>
              <w:fldChar w:fldCharType="separate"/>
            </w:r>
            <w:r w:rsidR="00B57B60">
              <w:rPr>
                <w:webHidden/>
              </w:rPr>
              <w:t>6</w:t>
            </w:r>
            <w:r w:rsidR="009A6075">
              <w:rPr>
                <w:webHidden/>
              </w:rPr>
              <w:fldChar w:fldCharType="end"/>
            </w:r>
          </w:hyperlink>
        </w:p>
        <w:p w14:paraId="4BFE292F" w14:textId="04FA1EB1" w:rsidR="009A6075" w:rsidRDefault="00C27FE2">
          <w:pPr>
            <w:pStyle w:val="TOC1"/>
            <w:rPr>
              <w:rFonts w:asciiTheme="minorHAnsi" w:eastAsiaTheme="minorEastAsia" w:hAnsiTheme="minorHAnsi" w:cstheme="minorBidi"/>
              <w:color w:val="auto"/>
              <w:kern w:val="2"/>
              <w14:ligatures w14:val="standardContextual"/>
            </w:rPr>
          </w:pPr>
          <w:hyperlink w:anchor="_Toc185934733" w:history="1">
            <w:r w:rsidR="009A6075" w:rsidRPr="002A7D84">
              <w:rPr>
                <w:rStyle w:val="Hyperlink"/>
              </w:rPr>
              <w:t>Section 6 – Post procedure</w:t>
            </w:r>
            <w:r w:rsidR="009A6075">
              <w:rPr>
                <w:webHidden/>
              </w:rPr>
              <w:tab/>
            </w:r>
            <w:r w:rsidR="009A6075">
              <w:rPr>
                <w:webHidden/>
              </w:rPr>
              <w:fldChar w:fldCharType="begin"/>
            </w:r>
            <w:r w:rsidR="009A6075">
              <w:rPr>
                <w:webHidden/>
              </w:rPr>
              <w:instrText xml:space="preserve"> PAGEREF _Toc185934733 \h </w:instrText>
            </w:r>
            <w:r w:rsidR="009A6075">
              <w:rPr>
                <w:webHidden/>
              </w:rPr>
            </w:r>
            <w:r w:rsidR="009A6075">
              <w:rPr>
                <w:webHidden/>
              </w:rPr>
              <w:fldChar w:fldCharType="separate"/>
            </w:r>
            <w:r w:rsidR="00B57B60">
              <w:rPr>
                <w:webHidden/>
              </w:rPr>
              <w:t>9</w:t>
            </w:r>
            <w:r w:rsidR="009A6075">
              <w:rPr>
                <w:webHidden/>
              </w:rPr>
              <w:fldChar w:fldCharType="end"/>
            </w:r>
          </w:hyperlink>
        </w:p>
        <w:p w14:paraId="707ED41A" w14:textId="4737F7CC" w:rsidR="009A6075" w:rsidRDefault="00C27FE2">
          <w:pPr>
            <w:pStyle w:val="TOC1"/>
            <w:rPr>
              <w:rFonts w:asciiTheme="minorHAnsi" w:eastAsiaTheme="minorEastAsia" w:hAnsiTheme="minorHAnsi" w:cstheme="minorBidi"/>
              <w:color w:val="auto"/>
              <w:kern w:val="2"/>
              <w14:ligatures w14:val="standardContextual"/>
            </w:rPr>
          </w:pPr>
          <w:hyperlink w:anchor="_Toc185934734" w:history="1">
            <w:r w:rsidR="009A6075" w:rsidRPr="002A7D84">
              <w:rPr>
                <w:rStyle w:val="Hyperlink"/>
              </w:rPr>
              <w:t>Section 7 – Unsuccessful procedure</w:t>
            </w:r>
            <w:r w:rsidR="009A6075">
              <w:rPr>
                <w:webHidden/>
              </w:rPr>
              <w:tab/>
            </w:r>
            <w:r w:rsidR="009A6075">
              <w:rPr>
                <w:webHidden/>
              </w:rPr>
              <w:fldChar w:fldCharType="begin"/>
            </w:r>
            <w:r w:rsidR="009A6075">
              <w:rPr>
                <w:webHidden/>
              </w:rPr>
              <w:instrText xml:space="preserve"> PAGEREF _Toc185934734 \h </w:instrText>
            </w:r>
            <w:r w:rsidR="009A6075">
              <w:rPr>
                <w:webHidden/>
              </w:rPr>
            </w:r>
            <w:r w:rsidR="009A6075">
              <w:rPr>
                <w:webHidden/>
              </w:rPr>
              <w:fldChar w:fldCharType="separate"/>
            </w:r>
            <w:r w:rsidR="00B57B60">
              <w:rPr>
                <w:webHidden/>
              </w:rPr>
              <w:t>9</w:t>
            </w:r>
            <w:r w:rsidR="009A6075">
              <w:rPr>
                <w:webHidden/>
              </w:rPr>
              <w:fldChar w:fldCharType="end"/>
            </w:r>
          </w:hyperlink>
        </w:p>
        <w:p w14:paraId="4C9BD617" w14:textId="7D5D7BA7" w:rsidR="009A6075" w:rsidRDefault="00C27FE2">
          <w:pPr>
            <w:pStyle w:val="TOC1"/>
            <w:rPr>
              <w:rFonts w:asciiTheme="minorHAnsi" w:eastAsiaTheme="minorEastAsia" w:hAnsiTheme="minorHAnsi" w:cstheme="minorBidi"/>
              <w:color w:val="auto"/>
              <w:kern w:val="2"/>
              <w14:ligatures w14:val="standardContextual"/>
            </w:rPr>
          </w:pPr>
          <w:hyperlink w:anchor="_Toc185934735" w:history="1">
            <w:r w:rsidR="009A6075" w:rsidRPr="002A7D84">
              <w:rPr>
                <w:rStyle w:val="Hyperlink"/>
              </w:rPr>
              <w:t>Evaluation</w:t>
            </w:r>
            <w:r w:rsidR="009A6075">
              <w:rPr>
                <w:webHidden/>
              </w:rPr>
              <w:tab/>
            </w:r>
            <w:r w:rsidR="009A6075">
              <w:rPr>
                <w:webHidden/>
              </w:rPr>
              <w:fldChar w:fldCharType="begin"/>
            </w:r>
            <w:r w:rsidR="009A6075">
              <w:rPr>
                <w:webHidden/>
              </w:rPr>
              <w:instrText xml:space="preserve"> PAGEREF _Toc185934735 \h </w:instrText>
            </w:r>
            <w:r w:rsidR="009A6075">
              <w:rPr>
                <w:webHidden/>
              </w:rPr>
            </w:r>
            <w:r w:rsidR="009A6075">
              <w:rPr>
                <w:webHidden/>
              </w:rPr>
              <w:fldChar w:fldCharType="separate"/>
            </w:r>
            <w:r w:rsidR="00B57B60">
              <w:rPr>
                <w:webHidden/>
              </w:rPr>
              <w:t>9</w:t>
            </w:r>
            <w:r w:rsidR="009A6075">
              <w:rPr>
                <w:webHidden/>
              </w:rPr>
              <w:fldChar w:fldCharType="end"/>
            </w:r>
          </w:hyperlink>
        </w:p>
        <w:p w14:paraId="117118E2" w14:textId="137609DD" w:rsidR="009A6075" w:rsidRDefault="00C27FE2">
          <w:pPr>
            <w:pStyle w:val="TOC1"/>
            <w:rPr>
              <w:rFonts w:asciiTheme="minorHAnsi" w:eastAsiaTheme="minorEastAsia" w:hAnsiTheme="minorHAnsi" w:cstheme="minorBidi"/>
              <w:color w:val="auto"/>
              <w:kern w:val="2"/>
              <w14:ligatures w14:val="standardContextual"/>
            </w:rPr>
          </w:pPr>
          <w:hyperlink w:anchor="_Toc185934736" w:history="1">
            <w:r w:rsidR="009A6075" w:rsidRPr="002A7D84">
              <w:rPr>
                <w:rStyle w:val="Hyperlink"/>
              </w:rPr>
              <w:t>Related policies, procedures, guidelines and legislation</w:t>
            </w:r>
            <w:r w:rsidR="009A6075">
              <w:rPr>
                <w:webHidden/>
              </w:rPr>
              <w:tab/>
            </w:r>
            <w:r w:rsidR="009A6075">
              <w:rPr>
                <w:webHidden/>
              </w:rPr>
              <w:fldChar w:fldCharType="begin"/>
            </w:r>
            <w:r w:rsidR="009A6075">
              <w:rPr>
                <w:webHidden/>
              </w:rPr>
              <w:instrText xml:space="preserve"> PAGEREF _Toc185934736 \h </w:instrText>
            </w:r>
            <w:r w:rsidR="009A6075">
              <w:rPr>
                <w:webHidden/>
              </w:rPr>
            </w:r>
            <w:r w:rsidR="009A6075">
              <w:rPr>
                <w:webHidden/>
              </w:rPr>
              <w:fldChar w:fldCharType="separate"/>
            </w:r>
            <w:r w:rsidR="00B57B60">
              <w:rPr>
                <w:webHidden/>
              </w:rPr>
              <w:t>10</w:t>
            </w:r>
            <w:r w:rsidR="009A6075">
              <w:rPr>
                <w:webHidden/>
              </w:rPr>
              <w:fldChar w:fldCharType="end"/>
            </w:r>
          </w:hyperlink>
        </w:p>
        <w:p w14:paraId="3AD4587D" w14:textId="31679598" w:rsidR="009A6075" w:rsidRDefault="00C27FE2">
          <w:pPr>
            <w:pStyle w:val="TOC1"/>
            <w:rPr>
              <w:rFonts w:asciiTheme="minorHAnsi" w:eastAsiaTheme="minorEastAsia" w:hAnsiTheme="minorHAnsi" w:cstheme="minorBidi"/>
              <w:color w:val="auto"/>
              <w:kern w:val="2"/>
              <w14:ligatures w14:val="standardContextual"/>
            </w:rPr>
          </w:pPr>
          <w:hyperlink w:anchor="_Toc185934737" w:history="1">
            <w:r w:rsidR="009A6075" w:rsidRPr="002A7D84">
              <w:rPr>
                <w:rStyle w:val="Hyperlink"/>
              </w:rPr>
              <w:t>References</w:t>
            </w:r>
            <w:r w:rsidR="009A6075">
              <w:rPr>
                <w:webHidden/>
              </w:rPr>
              <w:tab/>
            </w:r>
            <w:r w:rsidR="009A6075">
              <w:rPr>
                <w:webHidden/>
              </w:rPr>
              <w:fldChar w:fldCharType="begin"/>
            </w:r>
            <w:r w:rsidR="009A6075">
              <w:rPr>
                <w:webHidden/>
              </w:rPr>
              <w:instrText xml:space="preserve"> PAGEREF _Toc185934737 \h </w:instrText>
            </w:r>
            <w:r w:rsidR="009A6075">
              <w:rPr>
                <w:webHidden/>
              </w:rPr>
            </w:r>
            <w:r w:rsidR="009A6075">
              <w:rPr>
                <w:webHidden/>
              </w:rPr>
              <w:fldChar w:fldCharType="separate"/>
            </w:r>
            <w:r w:rsidR="00B57B60">
              <w:rPr>
                <w:webHidden/>
              </w:rPr>
              <w:t>11</w:t>
            </w:r>
            <w:r w:rsidR="009A6075">
              <w:rPr>
                <w:webHidden/>
              </w:rPr>
              <w:fldChar w:fldCharType="end"/>
            </w:r>
          </w:hyperlink>
        </w:p>
        <w:p w14:paraId="7F538AB3" w14:textId="6BFA8866" w:rsidR="009A6075" w:rsidRDefault="00C27FE2">
          <w:pPr>
            <w:pStyle w:val="TOC1"/>
            <w:rPr>
              <w:rFonts w:asciiTheme="minorHAnsi" w:eastAsiaTheme="minorEastAsia" w:hAnsiTheme="minorHAnsi" w:cstheme="minorBidi"/>
              <w:color w:val="auto"/>
              <w:kern w:val="2"/>
              <w14:ligatures w14:val="standardContextual"/>
            </w:rPr>
          </w:pPr>
          <w:hyperlink w:anchor="_Toc185934738" w:history="1">
            <w:r w:rsidR="009A6075" w:rsidRPr="002A7D84">
              <w:rPr>
                <w:rStyle w:val="Hyperlink"/>
              </w:rPr>
              <w:t>Search terms</w:t>
            </w:r>
            <w:r w:rsidR="009A6075">
              <w:rPr>
                <w:webHidden/>
              </w:rPr>
              <w:tab/>
            </w:r>
            <w:r w:rsidR="009A6075">
              <w:rPr>
                <w:webHidden/>
              </w:rPr>
              <w:fldChar w:fldCharType="begin"/>
            </w:r>
            <w:r w:rsidR="009A6075">
              <w:rPr>
                <w:webHidden/>
              </w:rPr>
              <w:instrText xml:space="preserve"> PAGEREF _Toc185934738 \h </w:instrText>
            </w:r>
            <w:r w:rsidR="009A6075">
              <w:rPr>
                <w:webHidden/>
              </w:rPr>
            </w:r>
            <w:r w:rsidR="009A6075">
              <w:rPr>
                <w:webHidden/>
              </w:rPr>
              <w:fldChar w:fldCharType="separate"/>
            </w:r>
            <w:r w:rsidR="00B57B60">
              <w:rPr>
                <w:webHidden/>
              </w:rPr>
              <w:t>11</w:t>
            </w:r>
            <w:r w:rsidR="009A6075">
              <w:rPr>
                <w:webHidden/>
              </w:rPr>
              <w:fldChar w:fldCharType="end"/>
            </w:r>
          </w:hyperlink>
        </w:p>
        <w:p w14:paraId="27E4B08A" w14:textId="42FCE652" w:rsidR="00481A6C" w:rsidRDefault="00A621FE" w:rsidP="00481A6C">
          <w:pPr>
            <w:pStyle w:val="TOCHeading2"/>
          </w:pPr>
          <w:r>
            <w:rPr>
              <w:rFonts w:eastAsia="Calibri" w:cs="Times New Roman"/>
              <w:b w:val="0"/>
              <w:noProof/>
              <w:color w:val="000000" w:themeColor="text1"/>
              <w:sz w:val="24"/>
              <w:szCs w:val="24"/>
              <w:lang w:eastAsia="en-AU"/>
            </w:rPr>
            <w:fldChar w:fldCharType="end"/>
          </w:r>
        </w:p>
      </w:sdtContent>
    </w:sdt>
    <w:p w14:paraId="0B556DC9" w14:textId="77777777" w:rsidR="00FE46F1" w:rsidRDefault="00FE46F1">
      <w:pPr>
        <w:spacing w:before="0" w:after="0" w:line="240" w:lineRule="auto"/>
        <w:rPr>
          <w:rFonts w:eastAsia="Times New Roman"/>
          <w:b/>
          <w:color w:val="FFFFFF" w:themeColor="background1"/>
          <w:szCs w:val="80"/>
          <w:lang w:eastAsia="en-US"/>
        </w:rPr>
      </w:pPr>
    </w:p>
    <w:p w14:paraId="67616EB7" w14:textId="77777777" w:rsidR="00201AF6" w:rsidRDefault="00201AF6">
      <w:pPr>
        <w:spacing w:before="0" w:after="0" w:line="240" w:lineRule="auto"/>
        <w:rPr>
          <w:rFonts w:eastAsia="Times New Roman"/>
          <w:b/>
          <w:bCs/>
          <w:iCs/>
          <w:color w:val="FFFFFF" w:themeColor="background1"/>
          <w:lang w:eastAsia="en-US"/>
        </w:rPr>
      </w:pPr>
      <w:r>
        <w:br w:type="page"/>
      </w:r>
    </w:p>
    <w:p w14:paraId="1FE15340" w14:textId="05976DF0" w:rsidR="0078367D" w:rsidRPr="00036249" w:rsidRDefault="003254E1" w:rsidP="00036249">
      <w:pPr>
        <w:pStyle w:val="Heading4"/>
      </w:pPr>
      <w:bookmarkStart w:id="1" w:name="_Toc185934725"/>
      <w:r>
        <w:lastRenderedPageBreak/>
        <w:t>Purpose</w:t>
      </w:r>
      <w:bookmarkEnd w:id="1"/>
    </w:p>
    <w:p w14:paraId="356CE011" w14:textId="18570F9C" w:rsidR="00ED4B8A" w:rsidRDefault="00ED4B8A" w:rsidP="003254E1">
      <w:pPr>
        <w:pStyle w:val="BodyCopy"/>
      </w:pPr>
      <w:r>
        <w:t xml:space="preserve">To outline the expected practice for safe administration of intrathecal chemotherapy within Canberra </w:t>
      </w:r>
      <w:r w:rsidR="006106B3">
        <w:t>Hospital.</w:t>
      </w:r>
    </w:p>
    <w:p w14:paraId="173F1B64" w14:textId="77777777" w:rsidR="00481A6C" w:rsidRDefault="00C27FE2" w:rsidP="00481A6C">
      <w:pPr>
        <w:pStyle w:val="BodyCopy"/>
        <w:rPr>
          <w:rStyle w:val="Hyperlink"/>
          <w:iCs w:val="0"/>
        </w:rPr>
      </w:pPr>
      <w:hyperlink w:anchor="_top" w:history="1">
        <w:r w:rsidR="00481A6C" w:rsidRPr="00481A6C">
          <w:rPr>
            <w:rStyle w:val="Hyperlink"/>
            <w:iCs w:val="0"/>
          </w:rPr>
          <w:t>Back to Contents</w:t>
        </w:r>
      </w:hyperlink>
    </w:p>
    <w:p w14:paraId="6B0A8A7E" w14:textId="151B2303" w:rsidR="0078367D" w:rsidRPr="00AC2EDE" w:rsidRDefault="003254E1" w:rsidP="00197F2E">
      <w:pPr>
        <w:pStyle w:val="Heading4"/>
      </w:pPr>
      <w:bookmarkStart w:id="2" w:name="_Toc185934726"/>
      <w:r>
        <w:rPr>
          <w:rStyle w:val="Hyperlink"/>
          <w:color w:val="FFFFFF" w:themeColor="background1"/>
          <w:u w:val="none"/>
        </w:rPr>
        <w:t>Alerts</w:t>
      </w:r>
      <w:bookmarkEnd w:id="2"/>
    </w:p>
    <w:p w14:paraId="155EFE4E" w14:textId="7088AD14" w:rsidR="00ED4B8A" w:rsidRPr="00ED4B8A" w:rsidRDefault="00ED4B8A" w:rsidP="00ED4B8A">
      <w:pPr>
        <w:pStyle w:val="BodyCopy"/>
      </w:pPr>
      <w:r>
        <w:t xml:space="preserve">Inadvertent intrathecal chemotherapy </w:t>
      </w:r>
      <w:r w:rsidRPr="00ED4B8A">
        <w:t xml:space="preserve">administration of some medicines, such as vinca alkaloids (vincristine, vinblastine, vinorelbine) is </w:t>
      </w:r>
      <w:r w:rsidR="00E25B52" w:rsidRPr="00642519">
        <w:rPr>
          <w:b/>
        </w:rPr>
        <w:t xml:space="preserve">fatal </w:t>
      </w:r>
      <w:r w:rsidRPr="00ED4B8A">
        <w:t>to the patient. If there is any doubt over the suitability of any injection for intrathecal use, do not administer. Seek clarification from the treating or on call Haematologist.</w:t>
      </w:r>
    </w:p>
    <w:p w14:paraId="7F258797" w14:textId="77777777" w:rsidR="00ED4B8A" w:rsidRPr="00ED4B8A" w:rsidRDefault="00ED4B8A" w:rsidP="00ED4B8A">
      <w:pPr>
        <w:pStyle w:val="BodyCopy"/>
      </w:pPr>
      <w:r w:rsidRPr="00ED4B8A">
        <w:t xml:space="preserve">There is a risk of </w:t>
      </w:r>
      <w:r w:rsidRPr="00642519">
        <w:rPr>
          <w:b/>
          <w:bCs w:val="0"/>
        </w:rPr>
        <w:t>spinal haematoma</w:t>
      </w:r>
      <w:r w:rsidRPr="00ED4B8A">
        <w:t xml:space="preserve"> for patients with coagulopathy, severe thrombocytopenia or current use of antiplatelet agents and/or anticoagulants. Ensure that antiplatelet/anticoagulant medications have been ceased within the appropriate recommended time frame prior to lumbar puncture. The Consultant Haematologist may authorise continuation of such medications, e.g., ibrutinib, in exceptional cases. This should be explained to the patient and documented in the medical record. Prothrombin time (PT) activated partial thromboplastin time (APTT), fibrinogen and platelet count must be checked within 24 hours prior to lumbar puncture. Consider platelet transfusion immediately prior to the procedure if platelet count is less than 50 x10</w:t>
      </w:r>
      <w:r w:rsidRPr="00ED4B8A">
        <w:rPr>
          <w:vertAlign w:val="superscript"/>
        </w:rPr>
        <w:t>9</w:t>
      </w:r>
      <w:r w:rsidRPr="00ED4B8A">
        <w:t>/L.</w:t>
      </w:r>
    </w:p>
    <w:p w14:paraId="5EECE1BF" w14:textId="77777777" w:rsidR="00545DEB" w:rsidRDefault="00ED4B8A" w:rsidP="004D3D60">
      <w:pPr>
        <w:pStyle w:val="BodyCopy"/>
      </w:pPr>
      <w:r w:rsidRPr="00E25B52">
        <w:t>Complications should be recorded in the clinical incident reporting system as soon as practicable.</w:t>
      </w:r>
    </w:p>
    <w:p w14:paraId="343AC860" w14:textId="09AA2227" w:rsidR="00481A6C" w:rsidRPr="00545DEB" w:rsidRDefault="00C27FE2" w:rsidP="004D3D60">
      <w:pPr>
        <w:pStyle w:val="BodyCopy"/>
        <w:rPr>
          <w:rStyle w:val="Hyperlink"/>
          <w:color w:val="000000" w:themeColor="text1"/>
          <w:u w:val="none"/>
        </w:rPr>
      </w:pPr>
      <w:hyperlink w:anchor="_top" w:history="1">
        <w:r w:rsidR="00481A6C" w:rsidRPr="00481A6C">
          <w:rPr>
            <w:rStyle w:val="Hyperlink"/>
            <w:iCs w:val="0"/>
          </w:rPr>
          <w:t>Back to Contents</w:t>
        </w:r>
      </w:hyperlink>
    </w:p>
    <w:p w14:paraId="4E25C744" w14:textId="77777777" w:rsidR="003254E1" w:rsidRDefault="003254E1" w:rsidP="003254E1">
      <w:pPr>
        <w:pStyle w:val="Heading4"/>
      </w:pPr>
      <w:bookmarkStart w:id="3" w:name="_Toc185934727"/>
      <w:r>
        <w:t>Scope</w:t>
      </w:r>
      <w:bookmarkEnd w:id="3"/>
    </w:p>
    <w:p w14:paraId="409CC66B" w14:textId="3DD2D073" w:rsidR="003254E1" w:rsidRDefault="00C73D38" w:rsidP="00C73D38">
      <w:pPr>
        <w:pStyle w:val="BodyCopy"/>
      </w:pPr>
      <w:r w:rsidRPr="00C73D38">
        <w:t xml:space="preserve">This procedure applies to all </w:t>
      </w:r>
      <w:r w:rsidR="00E25B52">
        <w:t>C</w:t>
      </w:r>
      <w:r w:rsidR="006106B3">
        <w:t xml:space="preserve">anberra </w:t>
      </w:r>
      <w:r w:rsidR="00E25B52">
        <w:t>H</w:t>
      </w:r>
      <w:r w:rsidR="006106B3">
        <w:t xml:space="preserve">ealth </w:t>
      </w:r>
      <w:r w:rsidR="00E25B52">
        <w:t>S</w:t>
      </w:r>
      <w:r w:rsidR="006106B3">
        <w:t>ervices</w:t>
      </w:r>
      <w:r w:rsidR="00E25B52">
        <w:t xml:space="preserve"> </w:t>
      </w:r>
      <w:r w:rsidRPr="00C73D38">
        <w:t xml:space="preserve">staff </w:t>
      </w:r>
      <w:r w:rsidR="006106B3">
        <w:t xml:space="preserve">working at Canberra Hospital </w:t>
      </w:r>
      <w:r w:rsidRPr="00C73D38">
        <w:t>within Clinical Haematology, Nursing, and Pharmacy</w:t>
      </w:r>
      <w:r w:rsidR="009E465A">
        <w:t>,</w:t>
      </w:r>
      <w:r w:rsidRPr="00C73D38">
        <w:t xml:space="preserve"> </w:t>
      </w:r>
      <w:r w:rsidR="00755F95">
        <w:t xml:space="preserve">working within their scope of practice </w:t>
      </w:r>
      <w:r w:rsidR="009E465A">
        <w:t xml:space="preserve">and </w:t>
      </w:r>
      <w:r w:rsidRPr="00C73D38">
        <w:t xml:space="preserve">who may be involved with the prescription, preparation or administration of intrathecal chemotherapy. For the purposes of this document, the term intrathecal chemotherapy is understood to include that which is administered via intraventricular access devices, e.g., Ommaya reservoir or </w:t>
      </w:r>
      <w:proofErr w:type="spellStart"/>
      <w:r w:rsidRPr="00C73D38">
        <w:t>Rickham</w:t>
      </w:r>
      <w:proofErr w:type="spellEnd"/>
      <w:r w:rsidRPr="00C73D38">
        <w:t xml:space="preserve"> reservoir.</w:t>
      </w:r>
    </w:p>
    <w:p w14:paraId="5974DD5F" w14:textId="77777777" w:rsidR="003254E1" w:rsidRPr="003254E1" w:rsidRDefault="00C27FE2" w:rsidP="003254E1">
      <w:pPr>
        <w:pStyle w:val="BodyCopy"/>
        <w:spacing w:before="240"/>
      </w:pPr>
      <w:hyperlink w:anchor="_top" w:history="1">
        <w:r w:rsidR="003254E1" w:rsidRPr="00481A6C">
          <w:rPr>
            <w:rStyle w:val="Hyperlink"/>
            <w:iCs w:val="0"/>
          </w:rPr>
          <w:t>Back to Contents</w:t>
        </w:r>
      </w:hyperlink>
    </w:p>
    <w:p w14:paraId="735D71EE" w14:textId="3A9B1C52" w:rsidR="0078367D" w:rsidRDefault="0078367D" w:rsidP="00197F2E">
      <w:pPr>
        <w:pStyle w:val="Heading4"/>
      </w:pPr>
      <w:bookmarkStart w:id="4" w:name="_Toc185934728"/>
      <w:bookmarkStart w:id="5" w:name="_Hlk184731373"/>
      <w:r>
        <w:t xml:space="preserve">Section 1 </w:t>
      </w:r>
      <w:r w:rsidR="00ED4B8A">
        <w:t>–</w:t>
      </w:r>
      <w:r>
        <w:t xml:space="preserve"> </w:t>
      </w:r>
      <w:r w:rsidR="00ED4B8A">
        <w:t>Induction and Training</w:t>
      </w:r>
      <w:bookmarkEnd w:id="4"/>
    </w:p>
    <w:bookmarkEnd w:id="5"/>
    <w:p w14:paraId="5C26991E" w14:textId="6E9D22FC" w:rsidR="00C73D38" w:rsidRPr="00C73D38" w:rsidRDefault="00C73D38" w:rsidP="00C73D38">
      <w:pPr>
        <w:pStyle w:val="BodyCopy"/>
        <w:spacing w:before="240"/>
      </w:pPr>
      <w:r w:rsidRPr="00C73D38">
        <w:t xml:space="preserve">Induction training should be given to all staff, appropriate to their needs with regards to prescribing, checking and practical administration of intrathecal chemotherapy. This should cover potential hazards associated with chemotherapy, particularly the risks associated with inappropriate or incorrect intrathecal drug administration. </w:t>
      </w:r>
    </w:p>
    <w:p w14:paraId="4FCCED70" w14:textId="54AD5B4F" w:rsidR="00C73D38" w:rsidRPr="00C73D38" w:rsidRDefault="00C73D38" w:rsidP="00C73D38">
      <w:pPr>
        <w:pStyle w:val="BodyCopy"/>
        <w:spacing w:before="240"/>
        <w:rPr>
          <w:b/>
        </w:rPr>
      </w:pPr>
      <w:r w:rsidRPr="00C73D38">
        <w:lastRenderedPageBreak/>
        <w:t xml:space="preserve">Staff involved with chemotherapy </w:t>
      </w:r>
      <w:r w:rsidR="00C855A2">
        <w:rPr>
          <w:b/>
        </w:rPr>
        <w:t xml:space="preserve">must </w:t>
      </w:r>
      <w:r w:rsidRPr="00C73D38">
        <w:t xml:space="preserve">have access to </w:t>
      </w:r>
      <w:r w:rsidR="00C855A2">
        <w:t xml:space="preserve">the Policy and Guidance Documents Register to obtain </w:t>
      </w:r>
      <w:r w:rsidRPr="00C73D38">
        <w:t xml:space="preserve">a </w:t>
      </w:r>
      <w:r w:rsidR="00C855A2">
        <w:t xml:space="preserve">current </w:t>
      </w:r>
      <w:r w:rsidRPr="00C73D38">
        <w:t>copy of this document together with accompanying protocols and guidance.</w:t>
      </w:r>
    </w:p>
    <w:bookmarkStart w:id="6" w:name="_Hlk184731401"/>
    <w:p w14:paraId="5AA59C64" w14:textId="77777777" w:rsidR="00481A6C" w:rsidRPr="00481A6C" w:rsidRDefault="007202C5" w:rsidP="005C5F49">
      <w:pPr>
        <w:pStyle w:val="BodyCopy"/>
        <w:spacing w:before="240"/>
      </w:pPr>
      <w:r>
        <w:fldChar w:fldCharType="begin"/>
      </w:r>
      <w:r>
        <w:instrText>HYPERLINK \l "_top"</w:instrText>
      </w:r>
      <w:r>
        <w:fldChar w:fldCharType="separate"/>
      </w:r>
      <w:r w:rsidR="00481A6C" w:rsidRPr="00481A6C">
        <w:rPr>
          <w:rStyle w:val="Hyperlink"/>
          <w:iCs w:val="0"/>
        </w:rPr>
        <w:t>Back to Contents</w:t>
      </w:r>
      <w:r>
        <w:rPr>
          <w:rStyle w:val="Hyperlink"/>
          <w:iCs w:val="0"/>
        </w:rPr>
        <w:fldChar w:fldCharType="end"/>
      </w:r>
    </w:p>
    <w:p w14:paraId="1E6D7F8C" w14:textId="5284449B" w:rsidR="0078367D" w:rsidRDefault="0078367D" w:rsidP="00A6051F">
      <w:pPr>
        <w:pStyle w:val="Heading4"/>
      </w:pPr>
      <w:bookmarkStart w:id="7" w:name="_Toc185934729"/>
      <w:bookmarkEnd w:id="6"/>
      <w:r>
        <w:t xml:space="preserve">Section 2 </w:t>
      </w:r>
      <w:r w:rsidR="00ED4B8A">
        <w:t>– Prescription of intrathecal chemotherapy</w:t>
      </w:r>
      <w:bookmarkEnd w:id="7"/>
    </w:p>
    <w:p w14:paraId="712C0CF3" w14:textId="508B599F" w:rsidR="001B63DB" w:rsidRPr="00E25B52" w:rsidRDefault="001B63DB" w:rsidP="00E25B52">
      <w:pPr>
        <w:pStyle w:val="BodyCopy"/>
      </w:pPr>
      <w:r w:rsidRPr="00E25B52">
        <w:t xml:space="preserve">Intrathecal chemotherapy may only be prescribed by Consultant Haematologists and Haematology Advanced Trainees. The drug, dose and route of administration </w:t>
      </w:r>
      <w:r w:rsidR="00E25B52">
        <w:rPr>
          <w:b/>
          <w:bCs w:val="0"/>
        </w:rPr>
        <w:t>must</w:t>
      </w:r>
      <w:r w:rsidR="00E25B52" w:rsidRPr="00642519">
        <w:t xml:space="preserve"> </w:t>
      </w:r>
      <w:r w:rsidRPr="00E25B52">
        <w:t xml:space="preserve">be clearly written in full on the chemotherapy prescription and the route of administration must be written as </w:t>
      </w:r>
      <w:r w:rsidRPr="00E25B52">
        <w:rPr>
          <w:b/>
          <w:bCs w:val="0"/>
        </w:rPr>
        <w:t>'INTRATHECAL'</w:t>
      </w:r>
      <w:r w:rsidRPr="00E25B52">
        <w:t xml:space="preserve"> on all prescriptions; the abbreviation 'IT' is not</w:t>
      </w:r>
      <w:r w:rsidRPr="00642519">
        <w:t xml:space="preserve"> </w:t>
      </w:r>
      <w:r w:rsidRPr="00E25B52">
        <w:t>acceptable. Under no circumstances will phone orders for intrathecal chemotherapy be accepted. Orders must be placed on DHR and signed before administration.</w:t>
      </w:r>
    </w:p>
    <w:p w14:paraId="25B634A4" w14:textId="77777777" w:rsidR="001B63DB" w:rsidRPr="00E25B52" w:rsidRDefault="001B63DB" w:rsidP="00E25B52">
      <w:pPr>
        <w:pStyle w:val="BodyCopy"/>
      </w:pPr>
      <w:r w:rsidRPr="00E25B52">
        <w:t>Intrathecal Injections must be collected from Pharmacy and transported in a designated container and stored separately from other medications prior to use.</w:t>
      </w:r>
    </w:p>
    <w:p w14:paraId="6E769428" w14:textId="77777777" w:rsidR="001B63DB" w:rsidRPr="00E25B52" w:rsidRDefault="001B63DB" w:rsidP="00E25B52">
      <w:pPr>
        <w:pStyle w:val="BodyCopy"/>
      </w:pPr>
      <w:bookmarkStart w:id="8" w:name="_Hlk184373430"/>
      <w:r w:rsidRPr="00E25B52">
        <w:t xml:space="preserve">The </w:t>
      </w:r>
      <w:r w:rsidRPr="00E25B52">
        <w:rPr>
          <w:b/>
          <w:bCs w:val="0"/>
        </w:rPr>
        <w:t>only</w:t>
      </w:r>
      <w:r w:rsidRPr="00E25B52">
        <w:t xml:space="preserve"> medications approved for administration via the intrathecal route at Canberra Hospital are:</w:t>
      </w:r>
    </w:p>
    <w:p w14:paraId="561EC49B" w14:textId="77777777" w:rsidR="001B63DB" w:rsidRPr="001B63DB" w:rsidRDefault="001B63DB" w:rsidP="00642519">
      <w:pPr>
        <w:pStyle w:val="Bullet"/>
      </w:pPr>
      <w:r w:rsidRPr="001B63DB">
        <w:t xml:space="preserve">methotrexate </w:t>
      </w:r>
    </w:p>
    <w:p w14:paraId="756954BC" w14:textId="77777777" w:rsidR="001B63DB" w:rsidRPr="001B63DB" w:rsidRDefault="001B63DB" w:rsidP="00642519">
      <w:pPr>
        <w:pStyle w:val="Bullet"/>
      </w:pPr>
      <w:r w:rsidRPr="001B63DB">
        <w:t xml:space="preserve">cytarabine </w:t>
      </w:r>
    </w:p>
    <w:p w14:paraId="64E495BF" w14:textId="77777777" w:rsidR="001B63DB" w:rsidRPr="001B63DB" w:rsidRDefault="001B63DB" w:rsidP="00642519">
      <w:pPr>
        <w:pStyle w:val="Bullet"/>
      </w:pPr>
      <w:r w:rsidRPr="001B63DB">
        <w:t xml:space="preserve">dexamethasone  </w:t>
      </w:r>
    </w:p>
    <w:p w14:paraId="0F775CB4" w14:textId="650F1FDB" w:rsidR="001B63DB" w:rsidRDefault="001B63DB" w:rsidP="00642519">
      <w:pPr>
        <w:pStyle w:val="Bullet"/>
      </w:pPr>
      <w:r w:rsidRPr="001B63DB">
        <w:t>hydrocortisone.</w:t>
      </w:r>
      <w:bookmarkEnd w:id="8"/>
    </w:p>
    <w:p w14:paraId="7296C4F5" w14:textId="561219DF" w:rsidR="00481A6C" w:rsidRDefault="00C27FE2" w:rsidP="0091462B">
      <w:pPr>
        <w:pStyle w:val="BodyCopy"/>
      </w:pPr>
      <w:hyperlink w:anchor="_top" w:history="1">
        <w:r w:rsidR="00481A6C" w:rsidRPr="00481A6C">
          <w:rPr>
            <w:rStyle w:val="Hyperlink"/>
            <w:iCs w:val="0"/>
          </w:rPr>
          <w:t>Back to Contents</w:t>
        </w:r>
      </w:hyperlink>
    </w:p>
    <w:p w14:paraId="1D0ED2EF" w14:textId="1045F272" w:rsidR="0078367D" w:rsidRDefault="0078367D" w:rsidP="00A6051F">
      <w:pPr>
        <w:pStyle w:val="Heading4"/>
      </w:pPr>
      <w:bookmarkStart w:id="9" w:name="_Toc185934730"/>
      <w:r w:rsidRPr="0078367D">
        <w:t xml:space="preserve">Section </w:t>
      </w:r>
      <w:r w:rsidR="00ED4B8A">
        <w:t>3</w:t>
      </w:r>
      <w:r w:rsidRPr="0078367D">
        <w:t xml:space="preserve"> </w:t>
      </w:r>
      <w:r w:rsidR="00DC2D73">
        <w:t xml:space="preserve">– </w:t>
      </w:r>
      <w:r w:rsidR="00ED4B8A">
        <w:t>Staff, timing and location</w:t>
      </w:r>
      <w:bookmarkEnd w:id="9"/>
    </w:p>
    <w:p w14:paraId="5D9330F9" w14:textId="5F5DD358" w:rsidR="00F15A99" w:rsidRPr="00F15A99" w:rsidRDefault="00F15A99" w:rsidP="00F15A99">
      <w:pPr>
        <w:pStyle w:val="BodyCopy"/>
      </w:pPr>
      <w:r w:rsidRPr="00F15A99">
        <w:t>Lumbar punctures must be performed with aseptic technique by appropriately trained Haematology Advanced Trainees or Consultant Haematologists, or by appropriately supervised Basic Physician Trainees or Resident Medical Officer</w:t>
      </w:r>
      <w:r w:rsidR="00C855A2">
        <w:t>s</w:t>
      </w:r>
      <w:r w:rsidRPr="00F15A99">
        <w:t>.</w:t>
      </w:r>
    </w:p>
    <w:p w14:paraId="667C0E81" w14:textId="77777777" w:rsidR="00F15A99" w:rsidRPr="00F15A99" w:rsidRDefault="00F15A99" w:rsidP="00F15A99">
      <w:pPr>
        <w:pStyle w:val="BodyCopy"/>
      </w:pPr>
      <w:r w:rsidRPr="00F15A99">
        <w:t xml:space="preserve">Intrathecal chemotherapy must only be administered by an appropriately trained Haematology Advanced Trainee or Consultant Haematologist. A suitably trained nurse is </w:t>
      </w:r>
      <w:proofErr w:type="gramStart"/>
      <w:r w:rsidRPr="00F15A99">
        <w:t>required at all times</w:t>
      </w:r>
      <w:proofErr w:type="gramEnd"/>
      <w:r w:rsidRPr="00F15A99">
        <w:t xml:space="preserve"> during the procedure for the checking of chemotherapy, patient identification, patient assessment and post-procedural care.</w:t>
      </w:r>
    </w:p>
    <w:p w14:paraId="413207F8" w14:textId="01ECA83D" w:rsidR="00F15A99" w:rsidRPr="00F15A99" w:rsidRDefault="00F15A99" w:rsidP="00F15A99">
      <w:pPr>
        <w:pStyle w:val="BodyCopy"/>
      </w:pPr>
      <w:r w:rsidRPr="00F15A99">
        <w:t>Intrathecal chemotherapy should be administered during the normal working hours, and preferably in the morning, when a full range of specialist expertise, knowledge and support is readily available. Only in exceptional circumstances (such as C</w:t>
      </w:r>
      <w:r w:rsidR="00581F7D">
        <w:t xml:space="preserve">entral </w:t>
      </w:r>
      <w:r w:rsidRPr="00F15A99">
        <w:t>N</w:t>
      </w:r>
      <w:r w:rsidR="00581F7D">
        <w:t xml:space="preserve">ervous </w:t>
      </w:r>
      <w:r w:rsidRPr="00F15A99">
        <w:t>S</w:t>
      </w:r>
      <w:r w:rsidR="00581F7D">
        <w:t>ystem</w:t>
      </w:r>
      <w:r w:rsidRPr="00F15A99">
        <w:t xml:space="preserve"> leukaemia requiring emergency treatment), should intrathecal chemotherapy be administered after-hours or over a weekend or public holiday and must be approved by the </w:t>
      </w:r>
      <w:r w:rsidR="00581F7D">
        <w:t>Unit Director</w:t>
      </w:r>
      <w:r w:rsidRPr="00F15A99">
        <w:t xml:space="preserve">. Best practice involves the administration of intrathecal chemotherapy at a time point separate to the administration of intravenous chemotherapy. This may not be possible for patients </w:t>
      </w:r>
      <w:r w:rsidRPr="00F15A99">
        <w:lastRenderedPageBreak/>
        <w:t>receiving continuous intravenous infusion delivery of chemotherapy or if required by clinical trials or protocols.</w:t>
      </w:r>
      <w:r w:rsidR="000A24AB">
        <w:t xml:space="preserve"> If intrathecal chemotherapy and intravenous chemotherapy is to be given on the same day, the intrathecal chemotherapy is to be given first and the intravenous chemotherapy will be held in pharmacy until the intrathecal is noted as completed </w:t>
      </w:r>
      <w:r w:rsidR="00545DEB">
        <w:t>in the patient’s clinical record.</w:t>
      </w:r>
    </w:p>
    <w:p w14:paraId="4FAC34D8" w14:textId="00FF65FB" w:rsidR="00F15A99" w:rsidRPr="00F15A99" w:rsidRDefault="00F15A99" w:rsidP="00F15A99">
      <w:pPr>
        <w:pStyle w:val="BodyCopy"/>
      </w:pPr>
      <w:r w:rsidRPr="00F15A99">
        <w:t>Intrathecal chemotherapy must only be administered in the following locations</w:t>
      </w:r>
      <w:r w:rsidR="00581F7D">
        <w:t xml:space="preserve"> at the Canberra Hospital only</w:t>
      </w:r>
      <w:r w:rsidRPr="00F15A99">
        <w:t>:</w:t>
      </w:r>
      <w:r w:rsidR="00581F7D">
        <w:t xml:space="preserve"> </w:t>
      </w:r>
    </w:p>
    <w:p w14:paraId="1C7415CB" w14:textId="47F0D132" w:rsidR="00F15A99" w:rsidRPr="00F15A99" w:rsidRDefault="00C855A2" w:rsidP="00642519">
      <w:pPr>
        <w:pStyle w:val="Bullet"/>
      </w:pPr>
      <w:r>
        <w:t>p</w:t>
      </w:r>
      <w:r w:rsidR="00F15A99" w:rsidRPr="00F15A99">
        <w:t>rocedure rooms of the Canberra Region Cancer Centre (Building 19)</w:t>
      </w:r>
    </w:p>
    <w:p w14:paraId="2C74BFA0" w14:textId="7C96582E" w:rsidR="00F15A99" w:rsidRPr="00F15A99" w:rsidRDefault="00C855A2" w:rsidP="00642519">
      <w:pPr>
        <w:pStyle w:val="Bullet"/>
      </w:pPr>
      <w:r>
        <w:t>i</w:t>
      </w:r>
      <w:r w:rsidR="00F15A99" w:rsidRPr="00F15A99">
        <w:t>npatient wards 14A &amp; 14B and the Intensive Care Unit</w:t>
      </w:r>
    </w:p>
    <w:p w14:paraId="15E81D6B" w14:textId="77777777" w:rsidR="00F15A99" w:rsidRPr="00F15A99" w:rsidRDefault="00F15A99" w:rsidP="00642519">
      <w:pPr>
        <w:pStyle w:val="Bullet"/>
      </w:pPr>
      <w:r w:rsidRPr="00F15A99">
        <w:t>Radiology Department (when imaging-guided needle placement is required)</w:t>
      </w:r>
    </w:p>
    <w:p w14:paraId="04BD3F82" w14:textId="77777777" w:rsidR="00F15A99" w:rsidRPr="00F15A99" w:rsidRDefault="00F15A99" w:rsidP="00642519">
      <w:pPr>
        <w:pStyle w:val="Bullet"/>
      </w:pPr>
      <w:r w:rsidRPr="00F15A99">
        <w:t xml:space="preserve">The Emergency Department or Operating Theatres, in clinically urgent situations only. </w:t>
      </w:r>
    </w:p>
    <w:p w14:paraId="2B957148" w14:textId="77777777" w:rsidR="00F15A99" w:rsidRPr="00F15A99" w:rsidRDefault="00F15A99" w:rsidP="00F15A99">
      <w:pPr>
        <w:pStyle w:val="BodyCopy"/>
      </w:pPr>
      <w:r w:rsidRPr="00F15A99">
        <w:t>Appropriate cytotoxic bins and spill equipment must be available at the patient’s bedside.</w:t>
      </w:r>
    </w:p>
    <w:bookmarkStart w:id="10" w:name="_Hlk184731413"/>
    <w:p w14:paraId="2210CE36" w14:textId="77777777" w:rsidR="00481A6C" w:rsidRDefault="007202C5" w:rsidP="0091462B">
      <w:pPr>
        <w:pStyle w:val="BodyCopy"/>
        <w:rPr>
          <w:rStyle w:val="Hyperlink"/>
          <w:iCs w:val="0"/>
        </w:rPr>
      </w:pPr>
      <w:r>
        <w:fldChar w:fldCharType="begin"/>
      </w:r>
      <w:r>
        <w:instrText>HYPERLINK \l "_top"</w:instrText>
      </w:r>
      <w:r>
        <w:fldChar w:fldCharType="separate"/>
      </w:r>
      <w:r w:rsidR="00481A6C" w:rsidRPr="00481A6C">
        <w:rPr>
          <w:rStyle w:val="Hyperlink"/>
          <w:iCs w:val="0"/>
        </w:rPr>
        <w:t>Back to Contents</w:t>
      </w:r>
      <w:r>
        <w:rPr>
          <w:rStyle w:val="Hyperlink"/>
          <w:iCs w:val="0"/>
        </w:rPr>
        <w:fldChar w:fldCharType="end"/>
      </w:r>
    </w:p>
    <w:p w14:paraId="5323242B" w14:textId="5294D201" w:rsidR="00ED4B8A" w:rsidRDefault="00ED4B8A" w:rsidP="00ED4B8A">
      <w:pPr>
        <w:pStyle w:val="Heading4"/>
      </w:pPr>
      <w:bookmarkStart w:id="11" w:name="_Toc185934731"/>
      <w:r>
        <w:t>Section 4 – Procedural consideration</w:t>
      </w:r>
      <w:bookmarkEnd w:id="11"/>
    </w:p>
    <w:p w14:paraId="062F61F0" w14:textId="06D911CC" w:rsidR="00ED4B8A" w:rsidRDefault="00817165" w:rsidP="00ED4B8A">
      <w:pPr>
        <w:pStyle w:val="Heading5"/>
      </w:pPr>
      <w:r>
        <w:t>4.1</w:t>
      </w:r>
      <w:r>
        <w:tab/>
        <w:t>Prior to procedure</w:t>
      </w:r>
    </w:p>
    <w:p w14:paraId="2C7B1C7C" w14:textId="77777777" w:rsidR="00817165" w:rsidRPr="00817165" w:rsidRDefault="00817165" w:rsidP="00817165">
      <w:pPr>
        <w:pStyle w:val="BodyCopy"/>
      </w:pPr>
      <w:r w:rsidRPr="00817165">
        <w:t>The following should be performed prior to the procedure:</w:t>
      </w:r>
    </w:p>
    <w:p w14:paraId="0A008F80" w14:textId="17D5859C" w:rsidR="00817165" w:rsidRPr="00817165" w:rsidRDefault="00817165" w:rsidP="00642519">
      <w:pPr>
        <w:pStyle w:val="Bullet"/>
      </w:pPr>
      <w:r w:rsidRPr="00817165">
        <w:t xml:space="preserve">All patients should be given an Identification Band and/or Allergy Band (refer to the </w:t>
      </w:r>
      <w:r w:rsidRPr="009E465A">
        <w:rPr>
          <w:i/>
          <w:iCs/>
        </w:rPr>
        <w:t xml:space="preserve">Patient Identification and </w:t>
      </w:r>
      <w:r w:rsidR="00C855A2" w:rsidRPr="009E465A">
        <w:rPr>
          <w:i/>
          <w:iCs/>
        </w:rPr>
        <w:t xml:space="preserve">Health Care Activity </w:t>
      </w:r>
      <w:r w:rsidRPr="009E465A">
        <w:rPr>
          <w:i/>
          <w:iCs/>
        </w:rPr>
        <w:t xml:space="preserve">Matching </w:t>
      </w:r>
      <w:r w:rsidR="00C855A2" w:rsidRPr="009E465A">
        <w:rPr>
          <w:i/>
          <w:iCs/>
        </w:rPr>
        <w:t>P</w:t>
      </w:r>
      <w:r w:rsidRPr="009E465A">
        <w:rPr>
          <w:i/>
          <w:iCs/>
        </w:rPr>
        <w:t>rocedure</w:t>
      </w:r>
      <w:r w:rsidR="00C855A2">
        <w:t xml:space="preserve"> located on the Policy and Guidance Documents Register</w:t>
      </w:r>
      <w:r w:rsidRPr="00817165">
        <w:t>)</w:t>
      </w:r>
      <w:r w:rsidR="00C855A2">
        <w:t>.</w:t>
      </w:r>
    </w:p>
    <w:p w14:paraId="528DDBCB" w14:textId="41A7C125" w:rsidR="00817165" w:rsidRPr="00817165" w:rsidRDefault="00817165" w:rsidP="00642519">
      <w:pPr>
        <w:pStyle w:val="Bullet"/>
      </w:pPr>
      <w:r w:rsidRPr="00817165">
        <w:t>Patients should be dressed in a hospital gown to allow for ready access to Electrocardiogram (ECG) monitoring, airway management and resuscitation if required</w:t>
      </w:r>
      <w:r w:rsidR="00C855A2">
        <w:t>.</w:t>
      </w:r>
    </w:p>
    <w:p w14:paraId="2735E0BA" w14:textId="11B81150" w:rsidR="00817165" w:rsidRPr="00817165" w:rsidRDefault="00817165" w:rsidP="00642519">
      <w:pPr>
        <w:pStyle w:val="Bullet"/>
      </w:pPr>
      <w:r w:rsidRPr="00817165">
        <w:t>Baseline vital observations are to be performed and recorded (</w:t>
      </w:r>
      <w:r w:rsidR="00C855A2">
        <w:t>blood pressure (</w:t>
      </w:r>
      <w:r w:rsidRPr="00817165">
        <w:t>BP</w:t>
      </w:r>
      <w:r w:rsidR="00C855A2">
        <w:t>)</w:t>
      </w:r>
      <w:r w:rsidRPr="00817165">
        <w:t xml:space="preserve">, Pulse, </w:t>
      </w:r>
      <w:r w:rsidR="00C855A2">
        <w:t>oxygen saturation (</w:t>
      </w:r>
      <w:r w:rsidRPr="00817165">
        <w:t>SpO2</w:t>
      </w:r>
      <w:r w:rsidR="00C855A2">
        <w:t>)</w:t>
      </w:r>
      <w:r w:rsidRPr="00817165">
        <w:t xml:space="preserve">, </w:t>
      </w:r>
      <w:r w:rsidR="00C855A2">
        <w:t>respiratory rate (</w:t>
      </w:r>
      <w:r w:rsidRPr="00817165">
        <w:t>RR)</w:t>
      </w:r>
      <w:r w:rsidR="00C855A2">
        <w:t xml:space="preserve">). Refer </w:t>
      </w:r>
      <w:r w:rsidRPr="00817165">
        <w:t xml:space="preserve">to </w:t>
      </w:r>
      <w:r w:rsidRPr="009E465A">
        <w:rPr>
          <w:i/>
          <w:iCs/>
        </w:rPr>
        <w:t xml:space="preserve">Vital Signs and Early Warning Scores </w:t>
      </w:r>
      <w:r w:rsidR="006E32D1">
        <w:rPr>
          <w:i/>
          <w:iCs/>
        </w:rPr>
        <w:t xml:space="preserve">– The Canberra Hospital Inpatients </w:t>
      </w:r>
      <w:r w:rsidR="00C855A2" w:rsidRPr="009E465A">
        <w:rPr>
          <w:i/>
          <w:iCs/>
        </w:rPr>
        <w:t>P</w:t>
      </w:r>
      <w:r w:rsidRPr="009E465A">
        <w:rPr>
          <w:i/>
          <w:iCs/>
        </w:rPr>
        <w:t>rocedure</w:t>
      </w:r>
      <w:r w:rsidR="00C855A2">
        <w:t xml:space="preserve"> located on the Policy and Guidance Documents Register. </w:t>
      </w:r>
    </w:p>
    <w:p w14:paraId="58FAFB36" w14:textId="54F183D2" w:rsidR="00817165" w:rsidRPr="00817165" w:rsidRDefault="00817165" w:rsidP="00642519">
      <w:pPr>
        <w:pStyle w:val="Bullet"/>
      </w:pPr>
      <w:r w:rsidRPr="00817165">
        <w:t xml:space="preserve">Written informed consent must be obtained (refer to the </w:t>
      </w:r>
      <w:r w:rsidRPr="009E465A">
        <w:rPr>
          <w:i/>
          <w:iCs/>
        </w:rPr>
        <w:t>Consent for Healthcare Treatment Guideline</w:t>
      </w:r>
      <w:r w:rsidR="00C855A2">
        <w:t xml:space="preserve"> on the Policy and Guidance Documents Register</w:t>
      </w:r>
      <w:r w:rsidRPr="00817165">
        <w:t>). Patients must be informed of the risks of the procedure, including pain, bleeding, infection and headache</w:t>
      </w:r>
      <w:r w:rsidR="00C855A2">
        <w:t>.</w:t>
      </w:r>
    </w:p>
    <w:p w14:paraId="2F8436F0" w14:textId="75B2A3A9" w:rsidR="00817165" w:rsidRPr="00817165" w:rsidRDefault="00817165" w:rsidP="00642519">
      <w:pPr>
        <w:pStyle w:val="Bullet"/>
      </w:pPr>
      <w:r w:rsidRPr="00817165">
        <w:t xml:space="preserve">On the rare occasion that procedural sedation is required, written or electronic DHR consent for sedation must be obtained and the necessary </w:t>
      </w:r>
      <w:r w:rsidR="00C855A2">
        <w:t>intravenous (</w:t>
      </w:r>
      <w:r w:rsidRPr="00817165">
        <w:t>IV</w:t>
      </w:r>
      <w:r w:rsidR="00C855A2">
        <w:t>)</w:t>
      </w:r>
      <w:r w:rsidRPr="00817165">
        <w:t xml:space="preserve"> access, medications and resuscitation equipment made available. Refer to the </w:t>
      </w:r>
      <w:r w:rsidRPr="009E465A">
        <w:rPr>
          <w:i/>
          <w:iCs/>
        </w:rPr>
        <w:t>ANZCA Sedation and or Analgesia for Diagnostic and Interventional Medical Dental or Surgical Procedures Guidelines (PS09)</w:t>
      </w:r>
      <w:r w:rsidR="00C855A2">
        <w:rPr>
          <w:i/>
          <w:iCs/>
        </w:rPr>
        <w:t xml:space="preserve"> </w:t>
      </w:r>
      <w:r w:rsidR="00C855A2" w:rsidRPr="009E465A">
        <w:t>available</w:t>
      </w:r>
      <w:r w:rsidR="00C855A2">
        <w:rPr>
          <w:i/>
          <w:iCs/>
        </w:rPr>
        <w:t xml:space="preserve"> </w:t>
      </w:r>
      <w:r w:rsidR="00C855A2">
        <w:t>on the Policy and Guidance Documents Register</w:t>
      </w:r>
      <w:r w:rsidRPr="00817165">
        <w:t>.</w:t>
      </w:r>
    </w:p>
    <w:p w14:paraId="7E3C5360" w14:textId="6AA44EBB" w:rsidR="00817165" w:rsidRPr="00817165" w:rsidRDefault="00817165" w:rsidP="00642519">
      <w:pPr>
        <w:pStyle w:val="Bullet"/>
      </w:pPr>
      <w:r w:rsidRPr="00817165">
        <w:t>Blood product transfusion, if required, should be completed prior to the procedure</w:t>
      </w:r>
      <w:r w:rsidR="00C855A2">
        <w:t>.</w:t>
      </w:r>
    </w:p>
    <w:p w14:paraId="6B5780EF" w14:textId="77777777" w:rsidR="00817165" w:rsidRPr="00817165" w:rsidRDefault="00817165" w:rsidP="00642519">
      <w:pPr>
        <w:pStyle w:val="Bullet"/>
      </w:pPr>
      <w:r w:rsidRPr="00817165">
        <w:t>Highly anxious patients may be offered low dose oral lorazepam prior to the procedure.</w:t>
      </w:r>
    </w:p>
    <w:p w14:paraId="19E123DD" w14:textId="1B3A5E13" w:rsidR="00817165" w:rsidRPr="00817165" w:rsidRDefault="00817165" w:rsidP="00817165">
      <w:pPr>
        <w:pStyle w:val="BodyCopy"/>
      </w:pPr>
      <w:r w:rsidRPr="00817165">
        <w:lastRenderedPageBreak/>
        <w:t>A “Time Out” for “Positive Identification” is to occur prior to the procedure. Two staff members involved in the procedure (doctor and</w:t>
      </w:r>
      <w:r w:rsidR="00F67F69">
        <w:t xml:space="preserve"> Registered Nurse</w:t>
      </w:r>
      <w:r w:rsidRPr="00817165">
        <w:t>) will:</w:t>
      </w:r>
    </w:p>
    <w:p w14:paraId="6D299F03" w14:textId="3971178B" w:rsidR="00817165" w:rsidRPr="00817165" w:rsidRDefault="001C583C" w:rsidP="009E465A">
      <w:pPr>
        <w:pStyle w:val="Bullet"/>
      </w:pPr>
      <w:r>
        <w:t>check p</w:t>
      </w:r>
      <w:r w:rsidR="00817165" w:rsidRPr="00817165">
        <w:t>atient’s identity against the identification band and confirmed via positive identification e.g., verbal</w:t>
      </w:r>
    </w:p>
    <w:p w14:paraId="70C62C19" w14:textId="42A10058" w:rsidR="00817165" w:rsidRPr="00817165" w:rsidRDefault="001C583C" w:rsidP="009E465A">
      <w:pPr>
        <w:pStyle w:val="Bullet"/>
      </w:pPr>
      <w:r>
        <w:t>c</w:t>
      </w:r>
      <w:r w:rsidR="00817165" w:rsidRPr="00817165">
        <w:t>onfirm allergies and confirm that written consent has been obtained</w:t>
      </w:r>
    </w:p>
    <w:p w14:paraId="7D96BE94" w14:textId="3597096F" w:rsidR="00817165" w:rsidRPr="00817165" w:rsidRDefault="001C583C" w:rsidP="009E465A">
      <w:pPr>
        <w:pStyle w:val="Bullet"/>
      </w:pPr>
      <w:r>
        <w:t>c</w:t>
      </w:r>
      <w:r w:rsidR="00817165" w:rsidRPr="00817165">
        <w:t>onfirm the procedure to be performed</w:t>
      </w:r>
    </w:p>
    <w:p w14:paraId="1B1A2B94" w14:textId="7E51BC84" w:rsidR="00817165" w:rsidRPr="00817165" w:rsidRDefault="001C583C" w:rsidP="009E465A">
      <w:pPr>
        <w:pStyle w:val="Bullet"/>
      </w:pPr>
      <w:bookmarkStart w:id="12" w:name="_Hlk184378290"/>
      <w:r>
        <w:t>r</w:t>
      </w:r>
      <w:r w:rsidR="00817165" w:rsidRPr="00817165">
        <w:t>ecord platelet count and date of blood test. If a platelet transfusion has been given prior to the procedure, document in DHR that instead of platelet count</w:t>
      </w:r>
      <w:r>
        <w:t>.</w:t>
      </w:r>
    </w:p>
    <w:bookmarkEnd w:id="12"/>
    <w:p w14:paraId="56069153" w14:textId="20BA01F3" w:rsidR="00817165" w:rsidRPr="00817165" w:rsidRDefault="001C583C" w:rsidP="009E465A">
      <w:pPr>
        <w:pStyle w:val="Bullet"/>
      </w:pPr>
      <w:r>
        <w:t>r</w:t>
      </w:r>
      <w:r w:rsidR="00817165" w:rsidRPr="00817165">
        <w:t>ecord antiplatelet/anticoagulant medications and time of last dose</w:t>
      </w:r>
      <w:r>
        <w:t>.</w:t>
      </w:r>
    </w:p>
    <w:p w14:paraId="689E44E9" w14:textId="32A88621" w:rsidR="00ED4B8A" w:rsidRDefault="00817165" w:rsidP="00ED4B8A">
      <w:pPr>
        <w:pStyle w:val="Heading5"/>
      </w:pPr>
      <w:bookmarkStart w:id="13" w:name="_Hlk184732112"/>
      <w:r>
        <w:t>4.2</w:t>
      </w:r>
      <w:r>
        <w:tab/>
        <w:t>Clinical Documentation</w:t>
      </w:r>
    </w:p>
    <w:bookmarkEnd w:id="13"/>
    <w:p w14:paraId="2C68827D" w14:textId="77777777" w:rsidR="00C54B93" w:rsidRPr="00C54B93" w:rsidRDefault="00C54B93" w:rsidP="00C54B93">
      <w:pPr>
        <w:pStyle w:val="BodyCopy"/>
      </w:pPr>
      <w:r w:rsidRPr="00C54B93">
        <w:t>The following documentation should be completed:</w:t>
      </w:r>
    </w:p>
    <w:p w14:paraId="4062C06A" w14:textId="0DD164DA" w:rsidR="00C54B93" w:rsidRPr="00C54B93" w:rsidRDefault="00C54B93" w:rsidP="00642519">
      <w:pPr>
        <w:pStyle w:val="Bullet"/>
      </w:pPr>
      <w:r w:rsidRPr="00C54B93">
        <w:t>consent form</w:t>
      </w:r>
      <w:r w:rsidR="001C583C">
        <w:t xml:space="preserve">, written </w:t>
      </w:r>
      <w:r w:rsidRPr="00C54B93">
        <w:t>or electronically in DHR</w:t>
      </w:r>
    </w:p>
    <w:p w14:paraId="277C7588" w14:textId="77777777" w:rsidR="00C54B93" w:rsidRPr="00C54B93" w:rsidRDefault="00C54B93" w:rsidP="00642519">
      <w:pPr>
        <w:pStyle w:val="Bullet"/>
      </w:pPr>
      <w:r w:rsidRPr="00C54B93">
        <w:t>ACT Pathology Request Form ordered through DHR may include the following tests:</w:t>
      </w:r>
    </w:p>
    <w:p w14:paraId="6CB59FC5" w14:textId="614CB294" w:rsidR="00C54B93" w:rsidRPr="00C54B93" w:rsidRDefault="001C583C" w:rsidP="00642519">
      <w:pPr>
        <w:pStyle w:val="Bullet"/>
        <w:numPr>
          <w:ilvl w:val="1"/>
          <w:numId w:val="1"/>
        </w:numPr>
      </w:pPr>
      <w:r>
        <w:t>c</w:t>
      </w:r>
      <w:r w:rsidR="00C54B93" w:rsidRPr="00C54B93">
        <w:t>erebrospinal fluid (CSF) protein &amp; glucose</w:t>
      </w:r>
    </w:p>
    <w:p w14:paraId="0EBF3FB5" w14:textId="77777777" w:rsidR="00C54B93" w:rsidRPr="00C54B93" w:rsidRDefault="00C54B93" w:rsidP="00642519">
      <w:pPr>
        <w:pStyle w:val="Bullet"/>
        <w:numPr>
          <w:ilvl w:val="1"/>
          <w:numId w:val="1"/>
        </w:numPr>
      </w:pPr>
      <w:r w:rsidRPr="00C54B93">
        <w:t xml:space="preserve">CSF cell count (+/- microscopy, culture &amp; sensitivities - </w:t>
      </w:r>
    </w:p>
    <w:p w14:paraId="59FBAF09" w14:textId="77777777" w:rsidR="00C54B93" w:rsidRPr="00C54B93" w:rsidRDefault="00C54B93" w:rsidP="00642519">
      <w:pPr>
        <w:pStyle w:val="Bullet"/>
        <w:numPr>
          <w:ilvl w:val="1"/>
          <w:numId w:val="1"/>
        </w:numPr>
      </w:pPr>
      <w:r w:rsidRPr="00C54B93">
        <w:t xml:space="preserve">CSF </w:t>
      </w:r>
      <w:proofErr w:type="spellStart"/>
      <w:r w:rsidRPr="00C54B93">
        <w:t>cytospin</w:t>
      </w:r>
      <w:proofErr w:type="spellEnd"/>
    </w:p>
    <w:p w14:paraId="2776D386" w14:textId="5FB12D07" w:rsidR="00C54B93" w:rsidRPr="00C54B93" w:rsidRDefault="00C54B93" w:rsidP="00642519">
      <w:pPr>
        <w:pStyle w:val="Bullet"/>
        <w:numPr>
          <w:ilvl w:val="1"/>
          <w:numId w:val="1"/>
        </w:numPr>
      </w:pPr>
      <w:r w:rsidRPr="00C54B93">
        <w:t>CSF flow cytometry (state the required panel, e.g., acute myeloid leukemia (AML), acute lymphoblastic leukemia (ALL), lymphoid, plasma cells) If flow cytometry is required, the procedure must be completed before 2</w:t>
      </w:r>
      <w:r w:rsidR="001C583C">
        <w:t>:00</w:t>
      </w:r>
      <w:r w:rsidRPr="00C54B93">
        <w:t>pm for analysis reasons</w:t>
      </w:r>
    </w:p>
    <w:p w14:paraId="796E8CB4" w14:textId="756574B5" w:rsidR="00E25B52" w:rsidRDefault="00C54B93" w:rsidP="00C54B93">
      <w:pPr>
        <w:pStyle w:val="BodyCopy"/>
        <w:pBdr>
          <w:top w:val="single" w:sz="4" w:space="1" w:color="auto"/>
          <w:left w:val="single" w:sz="4" w:space="4" w:color="auto"/>
          <w:bottom w:val="single" w:sz="4" w:space="1" w:color="auto"/>
          <w:right w:val="single" w:sz="4" w:space="4" w:color="auto"/>
        </w:pBdr>
      </w:pPr>
      <w:r w:rsidRPr="00C54B93">
        <w:rPr>
          <w:b/>
        </w:rPr>
        <w:t>Note</w:t>
      </w:r>
      <w:r w:rsidRPr="00C54B93">
        <w:t xml:space="preserve"> </w:t>
      </w:r>
    </w:p>
    <w:p w14:paraId="149D7AB3" w14:textId="503B2755" w:rsidR="00C54B93" w:rsidRPr="00C54B93" w:rsidRDefault="00E25B52" w:rsidP="00C54B93">
      <w:pPr>
        <w:pStyle w:val="BodyCopy"/>
        <w:pBdr>
          <w:top w:val="single" w:sz="4" w:space="1" w:color="auto"/>
          <w:left w:val="single" w:sz="4" w:space="4" w:color="auto"/>
          <w:bottom w:val="single" w:sz="4" w:space="1" w:color="auto"/>
          <w:right w:val="single" w:sz="4" w:space="4" w:color="auto"/>
        </w:pBdr>
      </w:pPr>
      <w:r>
        <w:t>W</w:t>
      </w:r>
      <w:r w:rsidR="00C54B93" w:rsidRPr="00C54B93">
        <w:t xml:space="preserve">hen assessing for central nervous system (CNS) leukaemia/lymphoma, CSF </w:t>
      </w:r>
      <w:proofErr w:type="spellStart"/>
      <w:r w:rsidR="00C54B93" w:rsidRPr="00C54B93">
        <w:t>cytospin</w:t>
      </w:r>
      <w:proofErr w:type="spellEnd"/>
      <w:r w:rsidR="00C54B93" w:rsidRPr="00C54B93">
        <w:t xml:space="preserve"> and flow cytometry are generally not required once the patient has had two consecutive negative results. If there is any doubt, review the previous pathology results and clarify the need for the tests with the treating Haematologist prior to the procedure.</w:t>
      </w:r>
    </w:p>
    <w:p w14:paraId="7878CF49" w14:textId="77777777" w:rsidR="00C54B93" w:rsidRPr="00C54B93" w:rsidRDefault="00C54B93" w:rsidP="00642519">
      <w:pPr>
        <w:pStyle w:val="Bullet"/>
        <w:numPr>
          <w:ilvl w:val="1"/>
          <w:numId w:val="1"/>
        </w:numPr>
      </w:pPr>
      <w:r w:rsidRPr="00C54B93">
        <w:t>Viral PCR assays (if required)</w:t>
      </w:r>
    </w:p>
    <w:p w14:paraId="4DB50E71" w14:textId="77777777" w:rsidR="00C54B93" w:rsidRPr="00C54B93" w:rsidRDefault="00C54B93" w:rsidP="00C54B93">
      <w:pPr>
        <w:pStyle w:val="BodyCopy"/>
        <w:numPr>
          <w:ilvl w:val="0"/>
          <w:numId w:val="33"/>
        </w:numPr>
        <w:ind w:left="426" w:hanging="426"/>
      </w:pPr>
      <w:bookmarkStart w:id="14" w:name="_Hlk184379730"/>
      <w:r w:rsidRPr="00C54B93">
        <w:t>Document the procedure in the patient's clinical record DHR and mark this as intrathecal chemotherapy has been given. This is checked by the administering haematology registrar/consultant along with either a chemotherapy trained nurse, pharmacist or a second Haematology Advanced Trainee or Consultant Haematologist.</w:t>
      </w:r>
    </w:p>
    <w:bookmarkEnd w:id="14"/>
    <w:p w14:paraId="54CB00BC" w14:textId="1894A016" w:rsidR="00817165" w:rsidRDefault="00817165" w:rsidP="00817165">
      <w:pPr>
        <w:pStyle w:val="Heading5"/>
      </w:pPr>
      <w:r>
        <w:lastRenderedPageBreak/>
        <w:t>4.3</w:t>
      </w:r>
      <w:r>
        <w:tab/>
        <w:t>Equipment</w:t>
      </w:r>
    </w:p>
    <w:tbl>
      <w:tblPr>
        <w:tblW w:w="0" w:type="auto"/>
        <w:tblCellMar>
          <w:top w:w="57" w:type="dxa"/>
          <w:left w:w="0" w:type="dxa"/>
          <w:right w:w="0" w:type="dxa"/>
        </w:tblCellMar>
        <w:tblLook w:val="01E0" w:firstRow="1" w:lastRow="1" w:firstColumn="1" w:lastColumn="1" w:noHBand="0" w:noVBand="0"/>
      </w:tblPr>
      <w:tblGrid>
        <w:gridCol w:w="2560"/>
        <w:gridCol w:w="6683"/>
      </w:tblGrid>
      <w:tr w:rsidR="008D38A2" w:rsidRPr="008D38A2" w14:paraId="6D5152CD" w14:textId="77777777" w:rsidTr="00642519">
        <w:trPr>
          <w:trHeight w:hRule="exact" w:val="503"/>
        </w:trPr>
        <w:tc>
          <w:tcPr>
            <w:tcW w:w="0" w:type="auto"/>
            <w:tcBorders>
              <w:top w:val="single" w:sz="5" w:space="0" w:color="000000"/>
              <w:left w:val="single" w:sz="5" w:space="0" w:color="000000"/>
              <w:bottom w:val="single" w:sz="5" w:space="0" w:color="000000"/>
              <w:right w:val="single" w:sz="5" w:space="0" w:color="000000"/>
            </w:tcBorders>
          </w:tcPr>
          <w:bookmarkEnd w:id="10"/>
          <w:p w14:paraId="6BD2A02E" w14:textId="77777777" w:rsidR="008D38A2" w:rsidRPr="008D38A2" w:rsidRDefault="008D38A2" w:rsidP="00B852BF">
            <w:pPr>
              <w:pStyle w:val="Heading5"/>
              <w:spacing w:before="120" w:beforeAutospacing="0" w:line="300" w:lineRule="auto"/>
              <w:rPr>
                <w:color w:val="auto"/>
              </w:rPr>
            </w:pPr>
            <w:r w:rsidRPr="008D38A2">
              <w:rPr>
                <w:color w:val="auto"/>
              </w:rPr>
              <w:t>Procedure component</w:t>
            </w:r>
          </w:p>
        </w:tc>
        <w:tc>
          <w:tcPr>
            <w:tcW w:w="0" w:type="auto"/>
            <w:tcBorders>
              <w:top w:val="single" w:sz="5" w:space="0" w:color="000000"/>
              <w:left w:val="single" w:sz="5" w:space="0" w:color="000000"/>
              <w:bottom w:val="single" w:sz="5" w:space="0" w:color="000000"/>
              <w:right w:val="single" w:sz="5" w:space="0" w:color="000000"/>
            </w:tcBorders>
          </w:tcPr>
          <w:p w14:paraId="0A5801FF" w14:textId="77777777" w:rsidR="008D38A2" w:rsidRPr="008D38A2" w:rsidRDefault="008D38A2" w:rsidP="00B852BF">
            <w:pPr>
              <w:pStyle w:val="Heading5"/>
              <w:spacing w:before="120" w:beforeAutospacing="0" w:line="300" w:lineRule="auto"/>
              <w:rPr>
                <w:color w:val="auto"/>
              </w:rPr>
            </w:pPr>
            <w:r w:rsidRPr="008D38A2">
              <w:rPr>
                <w:color w:val="auto"/>
              </w:rPr>
              <w:t>Equipment required</w:t>
            </w:r>
          </w:p>
        </w:tc>
      </w:tr>
      <w:tr w:rsidR="008D38A2" w:rsidRPr="008D38A2" w14:paraId="4A9E086F" w14:textId="77777777" w:rsidTr="00642519">
        <w:trPr>
          <w:trHeight w:hRule="exact" w:val="4244"/>
        </w:trPr>
        <w:tc>
          <w:tcPr>
            <w:tcW w:w="0" w:type="auto"/>
            <w:tcBorders>
              <w:top w:val="single" w:sz="5" w:space="0" w:color="000000"/>
              <w:left w:val="single" w:sz="5" w:space="0" w:color="000000"/>
              <w:bottom w:val="single" w:sz="5" w:space="0" w:color="000000"/>
              <w:right w:val="single" w:sz="5" w:space="0" w:color="000000"/>
            </w:tcBorders>
          </w:tcPr>
          <w:p w14:paraId="63E26108" w14:textId="77777777" w:rsidR="008D38A2" w:rsidRPr="008D38A2" w:rsidRDefault="008D38A2" w:rsidP="00642519">
            <w:pPr>
              <w:pStyle w:val="BodyCopy"/>
              <w:rPr>
                <w:b/>
              </w:rPr>
            </w:pPr>
            <w:r w:rsidRPr="008D38A2">
              <w:t>Procedural Trolley</w:t>
            </w:r>
          </w:p>
        </w:tc>
        <w:tc>
          <w:tcPr>
            <w:tcW w:w="0" w:type="auto"/>
            <w:tcBorders>
              <w:top w:val="single" w:sz="5" w:space="0" w:color="000000"/>
              <w:left w:val="single" w:sz="5" w:space="0" w:color="000000"/>
              <w:bottom w:val="single" w:sz="5" w:space="0" w:color="000000"/>
              <w:right w:val="single" w:sz="5" w:space="0" w:color="000000"/>
            </w:tcBorders>
          </w:tcPr>
          <w:p w14:paraId="7EB152BC" w14:textId="75C978F0" w:rsidR="008D38A2" w:rsidRPr="008D38A2" w:rsidRDefault="001C583C" w:rsidP="00642519">
            <w:pPr>
              <w:pStyle w:val="Bullet"/>
              <w:rPr>
                <w:b/>
                <w:bCs/>
              </w:rPr>
            </w:pPr>
            <w:r>
              <w:t>s</w:t>
            </w:r>
            <w:r w:rsidR="008D38A2" w:rsidRPr="008D38A2">
              <w:t xml:space="preserve">terile green drapes </w:t>
            </w:r>
          </w:p>
          <w:p w14:paraId="73BFE689" w14:textId="0FC68C52" w:rsidR="008D38A2" w:rsidRPr="008D38A2" w:rsidRDefault="001C583C" w:rsidP="00642519">
            <w:pPr>
              <w:pStyle w:val="Bullet"/>
              <w:rPr>
                <w:b/>
                <w:bCs/>
              </w:rPr>
            </w:pPr>
            <w:r>
              <w:t>l</w:t>
            </w:r>
            <w:r w:rsidR="008D38A2" w:rsidRPr="008D38A2">
              <w:t>umbar puncture kit</w:t>
            </w:r>
          </w:p>
          <w:p w14:paraId="23FC19DF" w14:textId="5CE2118D" w:rsidR="008D38A2" w:rsidRPr="008D38A2" w:rsidRDefault="001C583C" w:rsidP="00642519">
            <w:pPr>
              <w:pStyle w:val="Bullet"/>
              <w:rPr>
                <w:b/>
                <w:bCs/>
              </w:rPr>
            </w:pPr>
            <w:r>
              <w:t>f</w:t>
            </w:r>
            <w:r w:rsidR="008D38A2" w:rsidRPr="008D38A2">
              <w:t>enestrated drape</w:t>
            </w:r>
          </w:p>
          <w:p w14:paraId="19793C7B" w14:textId="77777777" w:rsidR="008D38A2" w:rsidRPr="008D38A2" w:rsidRDefault="008D38A2" w:rsidP="00642519">
            <w:pPr>
              <w:pStyle w:val="Bullet"/>
              <w:rPr>
                <w:b/>
                <w:bCs/>
              </w:rPr>
            </w:pPr>
            <w:r w:rsidRPr="008D38A2">
              <w:t>1 x 5mL syringe</w:t>
            </w:r>
          </w:p>
          <w:p w14:paraId="5B120490" w14:textId="77777777" w:rsidR="008D38A2" w:rsidRPr="008D38A2" w:rsidRDefault="008D38A2" w:rsidP="00642519">
            <w:pPr>
              <w:pStyle w:val="Bullet"/>
              <w:rPr>
                <w:b/>
                <w:bCs/>
              </w:rPr>
            </w:pPr>
            <w:r w:rsidRPr="008D38A2">
              <w:t>1 x 25G needle, 1 x 23G needle, 1x drawing up needle</w:t>
            </w:r>
          </w:p>
          <w:p w14:paraId="5D45E5E5" w14:textId="3A02E0C1" w:rsidR="008D38A2" w:rsidRPr="008D38A2" w:rsidRDefault="008D38A2" w:rsidP="00642519">
            <w:pPr>
              <w:pStyle w:val="Bullet"/>
              <w:rPr>
                <w:b/>
                <w:bCs/>
              </w:rPr>
            </w:pPr>
            <w:r w:rsidRPr="008D38A2">
              <w:t xml:space="preserve">1% or 2% 5mL </w:t>
            </w:r>
            <w:r w:rsidR="00545DEB">
              <w:t>lidocaine</w:t>
            </w:r>
            <w:r w:rsidRPr="008D38A2">
              <w:t xml:space="preserve"> ampoules x2 </w:t>
            </w:r>
          </w:p>
          <w:p w14:paraId="5D917D5F" w14:textId="7CF2AF50" w:rsidR="008D38A2" w:rsidRPr="008D38A2" w:rsidRDefault="001C583C" w:rsidP="00642519">
            <w:pPr>
              <w:pStyle w:val="Bullet"/>
              <w:rPr>
                <w:b/>
                <w:bCs/>
              </w:rPr>
            </w:pPr>
            <w:r>
              <w:t>c</w:t>
            </w:r>
            <w:r w:rsidR="008D38A2" w:rsidRPr="008D38A2">
              <w:t>hlorhexidine</w:t>
            </w:r>
            <w:r w:rsidR="00E25B52">
              <w:t xml:space="preserve"> </w:t>
            </w:r>
            <w:r w:rsidR="008D38A2" w:rsidRPr="008D38A2">
              <w:t xml:space="preserve">solution </w:t>
            </w:r>
          </w:p>
          <w:p w14:paraId="31839707" w14:textId="77777777" w:rsidR="008D38A2" w:rsidRPr="008D38A2" w:rsidRDefault="008D38A2" w:rsidP="00642519">
            <w:pPr>
              <w:pStyle w:val="Bullet"/>
              <w:rPr>
                <w:b/>
                <w:bCs/>
              </w:rPr>
            </w:pPr>
            <w:r w:rsidRPr="008D38A2">
              <w:t>22G lumbar puncture needle</w:t>
            </w:r>
          </w:p>
          <w:p w14:paraId="2045C881" w14:textId="053C954A" w:rsidR="008D38A2" w:rsidRPr="008D38A2" w:rsidRDefault="001C583C" w:rsidP="00642519">
            <w:pPr>
              <w:pStyle w:val="Bullet"/>
              <w:rPr>
                <w:b/>
                <w:bCs/>
              </w:rPr>
            </w:pPr>
            <w:r>
              <w:t>s</w:t>
            </w:r>
            <w:r w:rsidR="008D38A2" w:rsidRPr="008D38A2">
              <w:t>terile gauze</w:t>
            </w:r>
          </w:p>
          <w:p w14:paraId="3029B1FD" w14:textId="0037E9DD" w:rsidR="008D38A2" w:rsidRPr="008D38A2" w:rsidRDefault="001C583C" w:rsidP="00642519">
            <w:pPr>
              <w:pStyle w:val="Bullet"/>
              <w:rPr>
                <w:b/>
                <w:bCs/>
              </w:rPr>
            </w:pPr>
            <w:r>
              <w:t>d</w:t>
            </w:r>
            <w:r w:rsidR="008D38A2" w:rsidRPr="008D38A2">
              <w:t>ressing</w:t>
            </w:r>
            <w:r>
              <w:t>.</w:t>
            </w:r>
          </w:p>
        </w:tc>
      </w:tr>
      <w:tr w:rsidR="008D38A2" w:rsidRPr="008D38A2" w14:paraId="5446D2B1" w14:textId="77777777" w:rsidTr="00642519">
        <w:trPr>
          <w:trHeight w:hRule="exact" w:val="2278"/>
        </w:trPr>
        <w:tc>
          <w:tcPr>
            <w:tcW w:w="0" w:type="auto"/>
            <w:tcBorders>
              <w:top w:val="single" w:sz="5" w:space="0" w:color="000000"/>
              <w:left w:val="single" w:sz="5" w:space="0" w:color="000000"/>
              <w:bottom w:val="single" w:sz="5" w:space="0" w:color="000000"/>
              <w:right w:val="single" w:sz="5" w:space="0" w:color="000000"/>
            </w:tcBorders>
          </w:tcPr>
          <w:p w14:paraId="2BB655C7" w14:textId="77777777" w:rsidR="008D38A2" w:rsidRPr="008D38A2" w:rsidRDefault="008D38A2" w:rsidP="00642519">
            <w:pPr>
              <w:pStyle w:val="BodyCopy"/>
              <w:rPr>
                <w:b/>
              </w:rPr>
            </w:pPr>
            <w:bookmarkStart w:id="15" w:name="PPE_Trolley"/>
            <w:bookmarkEnd w:id="15"/>
            <w:r w:rsidRPr="008D38A2">
              <w:t>PPE Trolley</w:t>
            </w:r>
          </w:p>
        </w:tc>
        <w:tc>
          <w:tcPr>
            <w:tcW w:w="0" w:type="auto"/>
            <w:tcBorders>
              <w:top w:val="single" w:sz="5" w:space="0" w:color="000000"/>
              <w:left w:val="single" w:sz="5" w:space="0" w:color="000000"/>
              <w:bottom w:val="single" w:sz="5" w:space="0" w:color="000000"/>
              <w:right w:val="single" w:sz="5" w:space="0" w:color="000000"/>
            </w:tcBorders>
          </w:tcPr>
          <w:p w14:paraId="0D0589C3" w14:textId="6543D418" w:rsidR="008D38A2" w:rsidRPr="008D38A2" w:rsidRDefault="001C583C" w:rsidP="00642519">
            <w:pPr>
              <w:pStyle w:val="Bullet"/>
              <w:rPr>
                <w:b/>
                <w:bCs/>
              </w:rPr>
            </w:pPr>
            <w:r>
              <w:t>s</w:t>
            </w:r>
            <w:r w:rsidR="008D38A2" w:rsidRPr="008D38A2">
              <w:t>terile gown</w:t>
            </w:r>
          </w:p>
          <w:p w14:paraId="2882C8D8" w14:textId="762C8491" w:rsidR="008D38A2" w:rsidRPr="008D38A2" w:rsidRDefault="001C583C" w:rsidP="00642519">
            <w:pPr>
              <w:pStyle w:val="Bullet"/>
              <w:rPr>
                <w:b/>
                <w:bCs/>
              </w:rPr>
            </w:pPr>
            <w:r>
              <w:t>s</w:t>
            </w:r>
            <w:r w:rsidR="008D38A2" w:rsidRPr="008D38A2">
              <w:t>terile gloves</w:t>
            </w:r>
          </w:p>
          <w:p w14:paraId="3C5FD97D" w14:textId="77777777" w:rsidR="008D38A2" w:rsidRPr="008D38A2" w:rsidRDefault="008D38A2" w:rsidP="00642519">
            <w:pPr>
              <w:pStyle w:val="Bullet"/>
              <w:rPr>
                <w:b/>
                <w:bCs/>
              </w:rPr>
            </w:pPr>
            <w:r w:rsidRPr="008D38A2">
              <w:t>N95/P2 mask</w:t>
            </w:r>
          </w:p>
          <w:p w14:paraId="44277424" w14:textId="24E6A570" w:rsidR="008D38A2" w:rsidRPr="008D38A2" w:rsidRDefault="001C583C" w:rsidP="00642519">
            <w:pPr>
              <w:pStyle w:val="Bullet"/>
              <w:rPr>
                <w:b/>
                <w:bCs/>
              </w:rPr>
            </w:pPr>
            <w:r>
              <w:t>p</w:t>
            </w:r>
            <w:r w:rsidR="008D38A2" w:rsidRPr="008D38A2">
              <w:t>rotective eye wear</w:t>
            </w:r>
          </w:p>
          <w:p w14:paraId="389F59DA" w14:textId="3F658FC8" w:rsidR="008D38A2" w:rsidRPr="008D38A2" w:rsidRDefault="001C583C" w:rsidP="00642519">
            <w:pPr>
              <w:pStyle w:val="Bullet"/>
              <w:rPr>
                <w:b/>
                <w:bCs/>
              </w:rPr>
            </w:pPr>
            <w:r>
              <w:t>c</w:t>
            </w:r>
            <w:r w:rsidR="008D38A2" w:rsidRPr="008D38A2">
              <w:t>ytotoxic sharps bin</w:t>
            </w:r>
          </w:p>
        </w:tc>
      </w:tr>
      <w:tr w:rsidR="008D38A2" w:rsidRPr="008D38A2" w14:paraId="292DE7C5" w14:textId="77777777" w:rsidTr="00642519">
        <w:trPr>
          <w:cantSplit/>
          <w:trHeight w:hRule="exact" w:val="998"/>
        </w:trPr>
        <w:tc>
          <w:tcPr>
            <w:tcW w:w="0" w:type="auto"/>
            <w:tcBorders>
              <w:top w:val="single" w:sz="5" w:space="0" w:color="000000"/>
              <w:left w:val="single" w:sz="5" w:space="0" w:color="000000"/>
              <w:bottom w:val="single" w:sz="5" w:space="0" w:color="000000"/>
              <w:right w:val="single" w:sz="5" w:space="0" w:color="000000"/>
            </w:tcBorders>
          </w:tcPr>
          <w:p w14:paraId="3C0DA99E" w14:textId="77777777" w:rsidR="008D38A2" w:rsidRPr="008D38A2" w:rsidRDefault="008D38A2" w:rsidP="00642519">
            <w:pPr>
              <w:pStyle w:val="BodyCopy"/>
              <w:rPr>
                <w:b/>
              </w:rPr>
            </w:pPr>
            <w:r w:rsidRPr="008D38A2">
              <w:t xml:space="preserve">Patient bed </w:t>
            </w:r>
            <w:r w:rsidRPr="008D38A2">
              <w:rPr>
                <w:i/>
              </w:rPr>
              <w:t>or</w:t>
            </w:r>
          </w:p>
          <w:p w14:paraId="7330D9A7" w14:textId="77777777" w:rsidR="008D38A2" w:rsidRPr="008D38A2" w:rsidRDefault="008D38A2" w:rsidP="00642519">
            <w:pPr>
              <w:pStyle w:val="BodyCopy"/>
              <w:rPr>
                <w:b/>
              </w:rPr>
            </w:pPr>
            <w:r w:rsidRPr="008D38A2">
              <w:t>Patient chair</w:t>
            </w:r>
          </w:p>
        </w:tc>
        <w:tc>
          <w:tcPr>
            <w:tcW w:w="0" w:type="auto"/>
            <w:tcBorders>
              <w:top w:val="single" w:sz="5" w:space="0" w:color="000000"/>
              <w:left w:val="single" w:sz="5" w:space="0" w:color="000000"/>
              <w:bottom w:val="single" w:sz="5" w:space="0" w:color="000000"/>
              <w:right w:val="single" w:sz="5" w:space="0" w:color="000000"/>
            </w:tcBorders>
          </w:tcPr>
          <w:p w14:paraId="341AD1E8" w14:textId="13A47496" w:rsidR="008D38A2" w:rsidRPr="008D38A2" w:rsidRDefault="001C583C" w:rsidP="00642519">
            <w:pPr>
              <w:pStyle w:val="Bullet"/>
              <w:rPr>
                <w:b/>
                <w:bCs/>
              </w:rPr>
            </w:pPr>
            <w:proofErr w:type="spellStart"/>
            <w:r>
              <w:t>u</w:t>
            </w:r>
            <w:r w:rsidR="008D38A2" w:rsidRPr="008D38A2">
              <w:t>nderpad</w:t>
            </w:r>
            <w:proofErr w:type="spellEnd"/>
            <w:r w:rsidR="008D38A2" w:rsidRPr="008D38A2">
              <w:t xml:space="preserve"> (bluey)</w:t>
            </w:r>
          </w:p>
          <w:p w14:paraId="2F108E40" w14:textId="27194BFA" w:rsidR="008D38A2" w:rsidRPr="008D38A2" w:rsidRDefault="001C583C" w:rsidP="00642519">
            <w:pPr>
              <w:pStyle w:val="Bullet"/>
              <w:rPr>
                <w:b/>
                <w:bCs/>
              </w:rPr>
            </w:pPr>
            <w:r>
              <w:t>s</w:t>
            </w:r>
            <w:r w:rsidR="008D38A2" w:rsidRPr="008D38A2">
              <w:t>table chair with no arms and no wheels for patient to sit on</w:t>
            </w:r>
          </w:p>
        </w:tc>
      </w:tr>
    </w:tbl>
    <w:p w14:paraId="153ADC80" w14:textId="02019F4A" w:rsidR="00ED4B8A" w:rsidRPr="007002B2" w:rsidRDefault="00C27FE2" w:rsidP="00817165">
      <w:pPr>
        <w:pStyle w:val="Heading5"/>
        <w:rPr>
          <w:b w:val="0"/>
          <w:bCs w:val="0"/>
        </w:rPr>
      </w:pPr>
      <w:hyperlink w:anchor="_top" w:history="1">
        <w:r w:rsidR="00ED4B8A" w:rsidRPr="007002B2">
          <w:rPr>
            <w:rStyle w:val="Hyperlink"/>
            <w:b w:val="0"/>
            <w:bCs w:val="0"/>
            <w:iCs w:val="0"/>
          </w:rPr>
          <w:t>Back to Contents</w:t>
        </w:r>
      </w:hyperlink>
    </w:p>
    <w:p w14:paraId="26B82C87" w14:textId="4E29CDF1" w:rsidR="00ED4B8A" w:rsidRDefault="00ED4B8A" w:rsidP="00ED4B8A">
      <w:pPr>
        <w:pStyle w:val="Heading4"/>
      </w:pPr>
      <w:bookmarkStart w:id="16" w:name="_Toc185934732"/>
      <w:r>
        <w:t>Section 5 – Procedure for administering intrathecal chemotherapy</w:t>
      </w:r>
      <w:bookmarkEnd w:id="16"/>
    </w:p>
    <w:p w14:paraId="0290FBD5" w14:textId="7F68291C" w:rsidR="00ED4B8A" w:rsidRDefault="00214DAE" w:rsidP="00ED4B8A">
      <w:pPr>
        <w:pStyle w:val="Heading5"/>
      </w:pPr>
      <w:r>
        <w:t>5.1</w:t>
      </w:r>
      <w:r>
        <w:tab/>
        <w:t>Chemotherapy Check</w:t>
      </w:r>
    </w:p>
    <w:p w14:paraId="5E9F7555" w14:textId="77777777" w:rsidR="00214DAE" w:rsidRPr="00214DAE" w:rsidRDefault="00214DAE" w:rsidP="00642519">
      <w:pPr>
        <w:pStyle w:val="Bullet"/>
        <w:rPr>
          <w:lang w:val="en-US"/>
        </w:rPr>
      </w:pPr>
      <w:r w:rsidRPr="00214DAE">
        <w:t xml:space="preserve">Intrathecal chemotherapy is provided by Pharmacy in small volume syringes (generally 1-6mL in volume) and will be delivered in distinctive specially labelled containers, </w:t>
      </w:r>
      <w:r w:rsidRPr="00214DAE">
        <w:rPr>
          <w:lang w:val="en-US"/>
        </w:rPr>
        <w:t>immediately prior to the administration time.</w:t>
      </w:r>
    </w:p>
    <w:p w14:paraId="266515FF" w14:textId="77777777" w:rsidR="00214DAE" w:rsidRPr="00214DAE" w:rsidRDefault="00214DAE" w:rsidP="00642519">
      <w:pPr>
        <w:pStyle w:val="Bullet"/>
        <w:rPr>
          <w:lang w:val="en-US"/>
        </w:rPr>
      </w:pPr>
      <w:r w:rsidRPr="00214DAE">
        <w:rPr>
          <w:lang w:val="en-US"/>
        </w:rPr>
        <w:t>Prior to administration, the chemotherapy must be stored separately, and it must not be stored with other chemotherapy for administration to the same patient. It should only be held in Oncology Pharmacy until the time of administration and only released to the person performing the administration of the intrathecal chemotherapy.</w:t>
      </w:r>
    </w:p>
    <w:p w14:paraId="0F09A27E" w14:textId="223DFAE6" w:rsidR="00214DAE" w:rsidRPr="00214DAE" w:rsidRDefault="00214DAE" w:rsidP="00642519">
      <w:pPr>
        <w:pStyle w:val="Bullet"/>
      </w:pPr>
      <w:r w:rsidRPr="00214DAE">
        <w:t xml:space="preserve">The chemotherapy prescription in the patient’s clinical record </w:t>
      </w:r>
      <w:r w:rsidR="00DC2D73">
        <w:rPr>
          <w:b/>
        </w:rPr>
        <w:t>must</w:t>
      </w:r>
      <w:r w:rsidR="00DC2D73" w:rsidRPr="00214DAE">
        <w:t xml:space="preserve"> </w:t>
      </w:r>
      <w:r w:rsidRPr="00214DAE">
        <w:t>be checked against the syringes containing the intrathecal chemotherapy to ensure:</w:t>
      </w:r>
    </w:p>
    <w:p w14:paraId="7FAB80DB" w14:textId="3ECF081F" w:rsidR="00214DAE" w:rsidRPr="00214DAE" w:rsidRDefault="001C583C" w:rsidP="00642519">
      <w:pPr>
        <w:pStyle w:val="Bullet"/>
        <w:numPr>
          <w:ilvl w:val="1"/>
          <w:numId w:val="1"/>
        </w:numPr>
      </w:pPr>
      <w:r>
        <w:t>c</w:t>
      </w:r>
      <w:r w:rsidR="00214DAE" w:rsidRPr="00214DAE">
        <w:t>orrect patient name, date of birth and unit record number (URN)</w:t>
      </w:r>
    </w:p>
    <w:p w14:paraId="717B3D87" w14:textId="27775A71" w:rsidR="00214DAE" w:rsidRPr="00214DAE" w:rsidRDefault="001C583C" w:rsidP="00642519">
      <w:pPr>
        <w:pStyle w:val="Bullet"/>
        <w:numPr>
          <w:ilvl w:val="1"/>
          <w:numId w:val="1"/>
        </w:numPr>
      </w:pPr>
      <w:r>
        <w:lastRenderedPageBreak/>
        <w:t>c</w:t>
      </w:r>
      <w:r w:rsidR="00214DAE" w:rsidRPr="00214DAE">
        <w:t>orrect medication, dose, volume, route and expiry date</w:t>
      </w:r>
      <w:r>
        <w:t>.</w:t>
      </w:r>
    </w:p>
    <w:p w14:paraId="1FF45A82" w14:textId="77777777" w:rsidR="00214DAE" w:rsidRPr="00214DAE" w:rsidRDefault="00214DAE" w:rsidP="00642519">
      <w:pPr>
        <w:pStyle w:val="Bullet"/>
      </w:pPr>
      <w:r w:rsidRPr="00214DAE">
        <w:t xml:space="preserve">The two staff members performing this check </w:t>
      </w:r>
      <w:bookmarkStart w:id="17" w:name="_Hlk184730615"/>
      <w:r w:rsidRPr="00214DAE">
        <w:t>must include the administering haematology registrar/consultant along with either a chemotherapy trained nurse, pharmacist or a second Haematology Advanced Trainee or Consultant Haematologist</w:t>
      </w:r>
      <w:bookmarkEnd w:id="17"/>
      <w:r w:rsidRPr="00214DAE">
        <w:t>.</w:t>
      </w:r>
    </w:p>
    <w:p w14:paraId="7C40E771" w14:textId="1B9CCAC5" w:rsidR="00214DAE" w:rsidRPr="00214DAE" w:rsidRDefault="00214DAE" w:rsidP="00642519">
      <w:pPr>
        <w:pStyle w:val="Bullet"/>
      </w:pPr>
      <w:r w:rsidRPr="00214DAE">
        <w:t xml:space="preserve">Immediately before the dose is administered, labelled syringes containing intrathecal chemotherapy </w:t>
      </w:r>
      <w:r w:rsidR="00DC2D73">
        <w:rPr>
          <w:b/>
        </w:rPr>
        <w:t>must</w:t>
      </w:r>
      <w:r w:rsidR="00DC2D73" w:rsidRPr="00214DAE">
        <w:t xml:space="preserve"> </w:t>
      </w:r>
      <w:r w:rsidRPr="00214DAE">
        <w:t xml:space="preserve">be checked again as per the above procedure. </w:t>
      </w:r>
    </w:p>
    <w:p w14:paraId="60FBDF6C" w14:textId="77777777" w:rsidR="00214DAE" w:rsidRPr="00214DAE" w:rsidRDefault="00214DAE" w:rsidP="00642519">
      <w:pPr>
        <w:pStyle w:val="Bullet"/>
      </w:pPr>
      <w:r w:rsidRPr="00214DAE">
        <w:t>The patient should be offered an opportunity to participate in the check if they wish.</w:t>
      </w:r>
    </w:p>
    <w:p w14:paraId="6A856D0B" w14:textId="58F10133" w:rsidR="00ED4B8A" w:rsidRDefault="00214DAE" w:rsidP="00ED4B8A">
      <w:pPr>
        <w:pStyle w:val="Heading5"/>
      </w:pPr>
      <w:bookmarkStart w:id="18" w:name="_Hlk184732885"/>
      <w:r>
        <w:t>5.2</w:t>
      </w:r>
      <w:r>
        <w:tab/>
        <w:t>Positioning</w:t>
      </w:r>
    </w:p>
    <w:bookmarkEnd w:id="18"/>
    <w:p w14:paraId="36DE72EC" w14:textId="3516BF1C" w:rsidR="00214DAE" w:rsidRPr="00214DAE" w:rsidRDefault="001C583C" w:rsidP="00642519">
      <w:pPr>
        <w:pStyle w:val="Bullet"/>
      </w:pPr>
      <w:r>
        <w:t>A s</w:t>
      </w:r>
      <w:r w:rsidR="00214DAE" w:rsidRPr="00214DAE">
        <w:t>eated upright position is recommended</w:t>
      </w:r>
      <w:r>
        <w:t>.</w:t>
      </w:r>
    </w:p>
    <w:p w14:paraId="0EEB8ED8" w14:textId="371C1DE7" w:rsidR="00214DAE" w:rsidRPr="00214DAE" w:rsidRDefault="00214DAE" w:rsidP="00642519">
      <w:pPr>
        <w:pStyle w:val="Bullet"/>
        <w:numPr>
          <w:ilvl w:val="1"/>
          <w:numId w:val="1"/>
        </w:numPr>
      </w:pPr>
      <w:r w:rsidRPr="00214DAE">
        <w:t>Seat the patient on a stable chair with no arms and no wheels</w:t>
      </w:r>
      <w:r w:rsidR="001C583C">
        <w:t>.</w:t>
      </w:r>
    </w:p>
    <w:p w14:paraId="7DD3B667" w14:textId="7D57E644" w:rsidR="00214DAE" w:rsidRPr="00214DAE" w:rsidRDefault="00214DAE" w:rsidP="00642519">
      <w:pPr>
        <w:pStyle w:val="Bullet"/>
        <w:numPr>
          <w:ilvl w:val="1"/>
          <w:numId w:val="1"/>
        </w:numPr>
      </w:pPr>
      <w:r w:rsidRPr="00214DAE">
        <w:t>Place a pillow on the patient's lap</w:t>
      </w:r>
      <w:r w:rsidR="001C583C">
        <w:t>.</w:t>
      </w:r>
    </w:p>
    <w:p w14:paraId="3E0987A0" w14:textId="4BBE1630" w:rsidR="00214DAE" w:rsidRPr="00214DAE" w:rsidRDefault="00214DAE" w:rsidP="00642519">
      <w:pPr>
        <w:pStyle w:val="Bullet"/>
        <w:numPr>
          <w:ilvl w:val="1"/>
          <w:numId w:val="1"/>
        </w:numPr>
      </w:pPr>
      <w:r w:rsidRPr="00214DAE">
        <w:t>Patient leans forward with forehead resting on folded arms against chair back</w:t>
      </w:r>
      <w:r w:rsidR="001C583C">
        <w:t>.</w:t>
      </w:r>
    </w:p>
    <w:p w14:paraId="0EA4E8DC" w14:textId="6C5A5F29" w:rsidR="00214DAE" w:rsidRPr="00214DAE" w:rsidRDefault="00214DAE" w:rsidP="00642519">
      <w:pPr>
        <w:pStyle w:val="Bullet"/>
        <w:numPr>
          <w:ilvl w:val="1"/>
          <w:numId w:val="1"/>
        </w:numPr>
      </w:pPr>
      <w:r w:rsidRPr="00214DAE">
        <w:t>This position minimises lateral curvature of the spine which can occur when lying on a soft mattress</w:t>
      </w:r>
      <w:r w:rsidR="001C583C">
        <w:t>.</w:t>
      </w:r>
    </w:p>
    <w:p w14:paraId="6785EA54" w14:textId="00D6409D" w:rsidR="00214DAE" w:rsidRPr="00214DAE" w:rsidRDefault="00214DAE" w:rsidP="00642519">
      <w:pPr>
        <w:pStyle w:val="Bullet"/>
      </w:pPr>
      <w:r w:rsidRPr="00214DAE">
        <w:t>Alternatively, the lateral decubitus position may be used, particularly if opening pressures need to be documented (sometimes necessary in haematology patients)</w:t>
      </w:r>
      <w:r w:rsidR="001C583C">
        <w:t>.</w:t>
      </w:r>
    </w:p>
    <w:p w14:paraId="2BFD3101" w14:textId="433F73EB" w:rsidR="00214DAE" w:rsidRDefault="00214DAE" w:rsidP="00214DAE">
      <w:pPr>
        <w:pStyle w:val="Heading5"/>
      </w:pPr>
      <w:r>
        <w:t>5.3</w:t>
      </w:r>
      <w:r>
        <w:tab/>
        <w:t>Landmarks</w:t>
      </w:r>
    </w:p>
    <w:p w14:paraId="511DA436" w14:textId="7A86C42D" w:rsidR="00400AA4" w:rsidRPr="00400AA4" w:rsidRDefault="00400AA4" w:rsidP="00642519">
      <w:pPr>
        <w:pStyle w:val="Bullet"/>
      </w:pPr>
      <w:r w:rsidRPr="00400AA4">
        <w:t>Palpate the superior aspects of the iliac crests and identify the point of midline intersection at the L4 spinous process</w:t>
      </w:r>
      <w:r w:rsidR="001C583C">
        <w:t>.</w:t>
      </w:r>
    </w:p>
    <w:p w14:paraId="79318BE6" w14:textId="06FC802B" w:rsidR="00400AA4" w:rsidRPr="00400AA4" w:rsidRDefault="00400AA4" w:rsidP="00642519">
      <w:pPr>
        <w:pStyle w:val="Bullet"/>
      </w:pPr>
      <w:r w:rsidRPr="00400AA4">
        <w:t>The lumbar puncture needle can be inserted in the interspace between L3/L4 or L4/L5</w:t>
      </w:r>
      <w:r w:rsidR="001C583C">
        <w:t>.</w:t>
      </w:r>
    </w:p>
    <w:p w14:paraId="7CD0E00D" w14:textId="541B7B67" w:rsidR="00400AA4" w:rsidRPr="00400AA4" w:rsidRDefault="00400AA4" w:rsidP="00642519">
      <w:pPr>
        <w:pStyle w:val="Bullet"/>
      </w:pPr>
      <w:r w:rsidRPr="00400AA4">
        <w:t>Examine the overlying skin at the site of LP to ensure it is not infected</w:t>
      </w:r>
      <w:r w:rsidR="001C583C">
        <w:t>.</w:t>
      </w:r>
    </w:p>
    <w:p w14:paraId="74304955" w14:textId="3117AFD6" w:rsidR="00400AA4" w:rsidRPr="00400AA4" w:rsidRDefault="00400AA4" w:rsidP="00642519">
      <w:pPr>
        <w:pStyle w:val="Bullet"/>
      </w:pPr>
      <w:r w:rsidRPr="00400AA4">
        <w:t>Mark these two sites with the circular end of a clean blood tube</w:t>
      </w:r>
      <w:r w:rsidR="001C583C">
        <w:t>.</w:t>
      </w:r>
    </w:p>
    <w:p w14:paraId="7F588521" w14:textId="7FC1FEBB" w:rsidR="00214DAE" w:rsidRDefault="00214DAE" w:rsidP="00214DAE">
      <w:pPr>
        <w:pStyle w:val="Heading5"/>
      </w:pPr>
      <w:r>
        <w:t>5.4</w:t>
      </w:r>
      <w:r>
        <w:tab/>
        <w:t>Preparation</w:t>
      </w:r>
    </w:p>
    <w:p w14:paraId="401241BF" w14:textId="063ABB51" w:rsidR="000F72A0" w:rsidRPr="000F72A0" w:rsidRDefault="000F72A0" w:rsidP="00642519">
      <w:pPr>
        <w:pStyle w:val="Bullet"/>
      </w:pPr>
      <w:r w:rsidRPr="000F72A0">
        <w:t>Put on N95/P2 mask and eye protection</w:t>
      </w:r>
      <w:r w:rsidR="001C583C">
        <w:t>.</w:t>
      </w:r>
    </w:p>
    <w:p w14:paraId="17711CE6" w14:textId="62C97352" w:rsidR="000F72A0" w:rsidRPr="000F72A0" w:rsidRDefault="000F72A0" w:rsidP="00642519">
      <w:pPr>
        <w:pStyle w:val="Bullet"/>
      </w:pPr>
      <w:r w:rsidRPr="000F72A0">
        <w:t>Wash hands the</w:t>
      </w:r>
      <w:r w:rsidR="00434059">
        <w:t>n</w:t>
      </w:r>
      <w:r w:rsidRPr="000F72A0">
        <w:t xml:space="preserve"> dry with sterile towel, then put on sterile gown and gloves</w:t>
      </w:r>
      <w:r w:rsidR="001C583C">
        <w:t>.</w:t>
      </w:r>
    </w:p>
    <w:p w14:paraId="696E553B" w14:textId="77777777" w:rsidR="000F72A0" w:rsidRPr="000F72A0" w:rsidRDefault="000F72A0" w:rsidP="00642519">
      <w:pPr>
        <w:pStyle w:val="Bullet"/>
      </w:pPr>
      <w:r w:rsidRPr="000F72A0">
        <w:t>Clean the overlying skin with a chlorhexidine swab/wand, in widening concentric circles.</w:t>
      </w:r>
    </w:p>
    <w:p w14:paraId="48C8A2AF" w14:textId="77777777" w:rsidR="000F72A0" w:rsidRPr="000F72A0" w:rsidRDefault="000F72A0" w:rsidP="00642519">
      <w:pPr>
        <w:pStyle w:val="Bullet"/>
      </w:pPr>
      <w:r w:rsidRPr="000F72A0">
        <w:t xml:space="preserve">Apply sterile fenestrated drape. </w:t>
      </w:r>
    </w:p>
    <w:p w14:paraId="16311BD7" w14:textId="18A80EF9" w:rsidR="00214DAE" w:rsidRDefault="00214DAE" w:rsidP="00214DAE">
      <w:pPr>
        <w:pStyle w:val="Heading5"/>
      </w:pPr>
      <w:r>
        <w:t>5.5</w:t>
      </w:r>
      <w:r>
        <w:tab/>
        <w:t>Lumbar puncture and intrathecal chemotherapy</w:t>
      </w:r>
    </w:p>
    <w:p w14:paraId="0BBB5F02" w14:textId="45A1D3CA" w:rsidR="000F72A0" w:rsidRPr="000F72A0" w:rsidRDefault="000F72A0" w:rsidP="00642519">
      <w:pPr>
        <w:pStyle w:val="Bullet"/>
      </w:pPr>
      <w:r w:rsidRPr="000F72A0">
        <w:t xml:space="preserve">Using 25G needle (note if in fridge bring to room temperature), insert in one swift motion into the skin at the pre-identified L3/L4 or L4/L5 interspinous space. Infiltrate up to 5mL of 1% or 2% </w:t>
      </w:r>
      <w:r w:rsidR="00545DEB">
        <w:t>lidocaine</w:t>
      </w:r>
      <w:r w:rsidRPr="000F72A0">
        <w:t xml:space="preserve"> whilst slowly withdrawing the needle, making sure to leave a small subcutaneous bleb of local anaesthetic. Wait 30-60 seconds before proceeding with the lumbar puncture needle.</w:t>
      </w:r>
    </w:p>
    <w:p w14:paraId="2E388CDF" w14:textId="07D59EF9" w:rsidR="000F72A0" w:rsidRPr="000F72A0" w:rsidRDefault="000F72A0" w:rsidP="00642519">
      <w:pPr>
        <w:pStyle w:val="Bullet"/>
      </w:pPr>
      <w:r w:rsidRPr="000F72A0">
        <w:t>Reconfirm the landmarks, then insert the lumbar puncture needle with stylet firmly in place, at the superior aspect of the inferior spinous process, in the midline, approximately 15 degrees cephalic, aiming at the patient’s umbilicus</w:t>
      </w:r>
      <w:r w:rsidR="001C583C">
        <w:t>.</w:t>
      </w:r>
    </w:p>
    <w:p w14:paraId="4A8102E1" w14:textId="6C46D521" w:rsidR="000F72A0" w:rsidRPr="000F72A0" w:rsidRDefault="000F72A0" w:rsidP="00642519">
      <w:pPr>
        <w:pStyle w:val="Bullet"/>
      </w:pPr>
      <w:r w:rsidRPr="000F72A0">
        <w:lastRenderedPageBreak/>
        <w:t>The bevel of the needle should be in the sagittal plane, to spread, rather th</w:t>
      </w:r>
      <w:r w:rsidR="00434059">
        <w:t>an</w:t>
      </w:r>
      <w:r w:rsidRPr="000F72A0">
        <w:t xml:space="preserve"> cut fibres of the dural sac</w:t>
      </w:r>
      <w:r w:rsidR="001C583C">
        <w:t>.</w:t>
      </w:r>
    </w:p>
    <w:p w14:paraId="52585099" w14:textId="251B4BBC" w:rsidR="000F72A0" w:rsidRPr="000F72A0" w:rsidRDefault="000F72A0" w:rsidP="00642519">
      <w:pPr>
        <w:pStyle w:val="Bullet"/>
      </w:pPr>
      <w:r w:rsidRPr="000F72A0">
        <w:t>A popping sensation may be felt when the needle passes the ligamentum flavum</w:t>
      </w:r>
      <w:r w:rsidR="001C583C">
        <w:t>.</w:t>
      </w:r>
    </w:p>
    <w:p w14:paraId="2118D5C6" w14:textId="397C00CF" w:rsidR="000F72A0" w:rsidRPr="000F72A0" w:rsidRDefault="000F72A0" w:rsidP="00642519">
      <w:pPr>
        <w:pStyle w:val="Bullet"/>
      </w:pPr>
      <w:r w:rsidRPr="000F72A0">
        <w:t>After this point, withdraw the stylet in 2mm intervals to assess for CSF flow</w:t>
      </w:r>
      <w:r w:rsidR="001C583C">
        <w:t>.</w:t>
      </w:r>
    </w:p>
    <w:p w14:paraId="50CDDEC0" w14:textId="1FBC1707" w:rsidR="000F72A0" w:rsidRPr="000F72A0" w:rsidRDefault="000F72A0" w:rsidP="00642519">
      <w:pPr>
        <w:pStyle w:val="Bullet"/>
      </w:pPr>
      <w:r w:rsidRPr="000F72A0">
        <w:t>If the attempt is unsuccessful and bone is encountered, withdraw the needle to the subcutaneous tissue without exiting the skin, and redirect the needle</w:t>
      </w:r>
      <w:r w:rsidR="001C583C">
        <w:t>.</w:t>
      </w:r>
    </w:p>
    <w:p w14:paraId="04E75314" w14:textId="2455E048" w:rsidR="000F72A0" w:rsidRPr="000F72A0" w:rsidRDefault="000F72A0" w:rsidP="00642519">
      <w:pPr>
        <w:pStyle w:val="Bullet"/>
      </w:pPr>
      <w:r w:rsidRPr="000F72A0">
        <w:t>CSF will flow once subarachnoid space has been entered</w:t>
      </w:r>
      <w:r w:rsidR="001C583C">
        <w:t>.</w:t>
      </w:r>
    </w:p>
    <w:p w14:paraId="396AEC40" w14:textId="4942319A" w:rsidR="000F72A0" w:rsidRPr="000F72A0" w:rsidRDefault="000F72A0" w:rsidP="00642519">
      <w:pPr>
        <w:pStyle w:val="Bullet"/>
      </w:pPr>
      <w:r w:rsidRPr="000F72A0">
        <w:t>If the lumbar puncture was traumatic, the CSF may be discoloured with blood. The blood should clear as CSF is collected, unless the cause of blood is a subarachnoid haemorrhage</w:t>
      </w:r>
      <w:r w:rsidR="001C583C">
        <w:t>.</w:t>
      </w:r>
    </w:p>
    <w:p w14:paraId="55F61FC0" w14:textId="77777777" w:rsidR="000F72A0" w:rsidRPr="000F72A0" w:rsidRDefault="000F72A0" w:rsidP="00642519">
      <w:pPr>
        <w:pStyle w:val="Bullet"/>
      </w:pPr>
      <w:r w:rsidRPr="000F72A0">
        <w:t>If CSF flow is poor, rotate the needle 90 degrees, a nerve root may be obstructing the opening.</w:t>
      </w:r>
    </w:p>
    <w:p w14:paraId="5E2CF40C" w14:textId="07141784" w:rsidR="000F72A0" w:rsidRPr="000F72A0" w:rsidRDefault="000F72A0" w:rsidP="00642519">
      <w:pPr>
        <w:pStyle w:val="Bullet"/>
      </w:pPr>
      <w:r w:rsidRPr="000F72A0">
        <w:t>Allow CSF to drip into the collection tubes. Do not aspirate CSF; small amounts of pressure can cause haemorrhage</w:t>
      </w:r>
      <w:r w:rsidR="001C583C">
        <w:t>.</w:t>
      </w:r>
    </w:p>
    <w:p w14:paraId="7D9B4E64" w14:textId="54896191" w:rsidR="000F72A0" w:rsidRPr="000F72A0" w:rsidRDefault="000F72A0" w:rsidP="00642519">
      <w:pPr>
        <w:pStyle w:val="Bullet"/>
      </w:pPr>
      <w:r w:rsidRPr="000F72A0">
        <w:t>The amount of fluid collected varies depending on the indication for lumbar puncture. Minimal samples should always be collected and sent to the laboratory for analysis. If intrathecal chemotherapy is to be administered, the volume collected should approximate the volume of intrathecal chemotherapy to be administered</w:t>
      </w:r>
      <w:r w:rsidR="001C583C">
        <w:t>.</w:t>
      </w:r>
    </w:p>
    <w:p w14:paraId="4A1B50F5" w14:textId="3CD29CB9" w:rsidR="000F72A0" w:rsidRPr="000F72A0" w:rsidRDefault="000F72A0" w:rsidP="00642519">
      <w:pPr>
        <w:pStyle w:val="Bullet"/>
      </w:pPr>
      <w:r w:rsidRPr="000F72A0">
        <w:t xml:space="preserve">The chemotherapy drugs should be administered with a </w:t>
      </w:r>
      <w:r w:rsidR="001C583C">
        <w:rPr>
          <w:b/>
        </w:rPr>
        <w:t xml:space="preserve">slow </w:t>
      </w:r>
      <w:r w:rsidRPr="000F72A0">
        <w:t xml:space="preserve">push, </w:t>
      </w:r>
      <w:r w:rsidR="001C583C">
        <w:rPr>
          <w:b/>
        </w:rPr>
        <w:t xml:space="preserve">not </w:t>
      </w:r>
      <w:r w:rsidRPr="000F72A0">
        <w:rPr>
          <w:b/>
        </w:rPr>
        <w:t>with a rapid push.</w:t>
      </w:r>
      <w:r w:rsidRPr="000F72A0">
        <w:t xml:space="preserve"> Start with either methotrexate or cytarabine and end with dexamethasone or hydrocortisone.</w:t>
      </w:r>
    </w:p>
    <w:p w14:paraId="14FD9FF2" w14:textId="414766D9" w:rsidR="000F72A0" w:rsidRPr="000F72A0" w:rsidRDefault="000F72A0" w:rsidP="00642519">
      <w:pPr>
        <w:pStyle w:val="Bullet"/>
      </w:pPr>
      <w:r w:rsidRPr="000F72A0">
        <w:t>After collection of samples and administration of chemotherapy (if required), replace the stylet and remove the needle after the last chemotherapeutic agent has been administered</w:t>
      </w:r>
      <w:r w:rsidR="001C583C">
        <w:t>.</w:t>
      </w:r>
    </w:p>
    <w:p w14:paraId="60EDD1B1" w14:textId="77777777" w:rsidR="000F72A0" w:rsidRPr="000F72A0" w:rsidRDefault="000F72A0" w:rsidP="00642519">
      <w:pPr>
        <w:pStyle w:val="Bullet"/>
      </w:pPr>
      <w:r w:rsidRPr="000F72A0">
        <w:t>The site should be cleaned, and a dressing applied.</w:t>
      </w:r>
    </w:p>
    <w:p w14:paraId="1E9257C8" w14:textId="23C0657A" w:rsidR="000F72A0" w:rsidRPr="000F72A0" w:rsidRDefault="000F72A0" w:rsidP="00642519">
      <w:pPr>
        <w:pStyle w:val="Bullet"/>
      </w:pPr>
      <w:r w:rsidRPr="000F72A0">
        <w:t xml:space="preserve">All sharps, infectious and chemotherapy waste should be disposed of according to the </w:t>
      </w:r>
      <w:r w:rsidRPr="000F72A0">
        <w:rPr>
          <w:i/>
        </w:rPr>
        <w:t>Waste Management Plan</w:t>
      </w:r>
      <w:r w:rsidR="001C583C">
        <w:rPr>
          <w:iCs/>
        </w:rPr>
        <w:t xml:space="preserve"> located on the Policy and Guidance Documents Register</w:t>
      </w:r>
      <w:r w:rsidR="001C583C">
        <w:rPr>
          <w:i/>
        </w:rPr>
        <w:t>.</w:t>
      </w:r>
    </w:p>
    <w:p w14:paraId="6F3E5D62" w14:textId="5BBBDB02" w:rsidR="000F72A0" w:rsidRPr="000F72A0" w:rsidRDefault="000F72A0" w:rsidP="00642519">
      <w:pPr>
        <w:pStyle w:val="Bullet"/>
      </w:pPr>
      <w:r w:rsidRPr="000F72A0">
        <w:t xml:space="preserve">Ensure all specimens are appropriately labelled and dispatched to Pathology with an appropriate pathology request form. Refer to </w:t>
      </w:r>
      <w:r w:rsidRPr="000F72A0">
        <w:rPr>
          <w:i/>
        </w:rPr>
        <w:t xml:space="preserve">Pathology Specimen </w:t>
      </w:r>
      <w:r w:rsidR="000E4502">
        <w:rPr>
          <w:i/>
        </w:rPr>
        <w:t xml:space="preserve">Management </w:t>
      </w:r>
      <w:r w:rsidRPr="000F72A0">
        <w:rPr>
          <w:i/>
        </w:rPr>
        <w:t>Procedure</w:t>
      </w:r>
      <w:r w:rsidR="000E4502">
        <w:rPr>
          <w:iCs/>
        </w:rPr>
        <w:t xml:space="preserve"> located on the Policy and Guidance Documents Register</w:t>
      </w:r>
      <w:r w:rsidRPr="000F72A0">
        <w:t xml:space="preserve">. </w:t>
      </w:r>
    </w:p>
    <w:p w14:paraId="68F3FEA1" w14:textId="77ACF297" w:rsidR="00214DAE" w:rsidRDefault="00214DAE" w:rsidP="00214DAE">
      <w:pPr>
        <w:pStyle w:val="Heading5"/>
      </w:pPr>
      <w:r>
        <w:t>5.6</w:t>
      </w:r>
      <w:r>
        <w:tab/>
        <w:t>Administration of chemotherapy using a Ventricular Reservoir System (e.g. Ommaya reservoir, Rickman reservoir)</w:t>
      </w:r>
    </w:p>
    <w:p w14:paraId="7CB52A1F" w14:textId="77777777" w:rsidR="00302830" w:rsidRPr="00302830" w:rsidRDefault="00302830" w:rsidP="00642519">
      <w:pPr>
        <w:pStyle w:val="Bullet"/>
      </w:pPr>
      <w:bookmarkStart w:id="19" w:name="_Hlk116991045"/>
      <w:r w:rsidRPr="00302830">
        <w:t xml:space="preserve">The Neurosurgeon or Neurosurgery Registrar must approve the use of the Ventricular Reservoir </w:t>
      </w:r>
      <w:proofErr w:type="gramStart"/>
      <w:r w:rsidRPr="00302830">
        <w:t>System</w:t>
      </w:r>
      <w:proofErr w:type="gramEnd"/>
      <w:r w:rsidRPr="00302830">
        <w:t xml:space="preserve"> and this must be documented in the patient’s clinical record.</w:t>
      </w:r>
    </w:p>
    <w:p w14:paraId="4D1DEC42" w14:textId="77777777" w:rsidR="00302830" w:rsidRPr="00302830" w:rsidRDefault="00302830" w:rsidP="00642519">
      <w:pPr>
        <w:pStyle w:val="Bullet"/>
      </w:pPr>
      <w:r w:rsidRPr="00302830">
        <w:t>Perform hand hygiene, apply sterile gloves, set up aseptic key parts.</w:t>
      </w:r>
    </w:p>
    <w:p w14:paraId="0FFD89B4" w14:textId="77777777" w:rsidR="00302830" w:rsidRPr="00302830" w:rsidRDefault="00302830" w:rsidP="00642519">
      <w:pPr>
        <w:pStyle w:val="Bullet"/>
      </w:pPr>
      <w:r w:rsidRPr="00302830">
        <w:t>Prepare skin key site using antiseptic solution over the reservoir site in a 5cm radius and allow skin disinfectant to dry.</w:t>
      </w:r>
    </w:p>
    <w:p w14:paraId="0C987D2F" w14:textId="2D3512BA" w:rsidR="00302830" w:rsidRPr="00302830" w:rsidRDefault="00302830" w:rsidP="00642519">
      <w:pPr>
        <w:pStyle w:val="Bullet"/>
      </w:pPr>
      <w:r w:rsidRPr="00302830">
        <w:t xml:space="preserve">Insert 25G butterfly needle (with syringe attached) at an angle of 45 degrees through the skin into the bladder of the reservoir and then move into a </w:t>
      </w:r>
      <w:proofErr w:type="gramStart"/>
      <w:r w:rsidRPr="00302830">
        <w:t>90 degree</w:t>
      </w:r>
      <w:proofErr w:type="gramEnd"/>
      <w:r w:rsidRPr="00302830">
        <w:t xml:space="preserve"> position</w:t>
      </w:r>
      <w:r w:rsidR="000E4502">
        <w:t>.</w:t>
      </w:r>
    </w:p>
    <w:p w14:paraId="51072FCB" w14:textId="0ADBF255" w:rsidR="00302830" w:rsidRPr="00302830" w:rsidRDefault="00302830" w:rsidP="00642519">
      <w:pPr>
        <w:pStyle w:val="Bullet"/>
      </w:pPr>
      <w:r w:rsidRPr="00302830">
        <w:lastRenderedPageBreak/>
        <w:t xml:space="preserve">Slowly aspirate 10mL CSF over </w:t>
      </w:r>
      <w:r w:rsidR="000E4502">
        <w:t xml:space="preserve">five to ten </w:t>
      </w:r>
      <w:r w:rsidRPr="00302830">
        <w:t>minutes.</w:t>
      </w:r>
    </w:p>
    <w:p w14:paraId="1BC14FAC" w14:textId="5C75A1D3" w:rsidR="00302830" w:rsidRPr="00302830" w:rsidRDefault="00302830" w:rsidP="00642519">
      <w:pPr>
        <w:pStyle w:val="Bullet"/>
      </w:pPr>
      <w:r w:rsidRPr="00302830">
        <w:t xml:space="preserve">Remove needle and apply pressure over insertion site for </w:t>
      </w:r>
      <w:r w:rsidR="000E4502">
        <w:t xml:space="preserve">two to five </w:t>
      </w:r>
      <w:r w:rsidRPr="00302830">
        <w:t>minutes until haemostasis is achieved</w:t>
      </w:r>
      <w:r w:rsidR="000E4502">
        <w:t>.</w:t>
      </w:r>
    </w:p>
    <w:p w14:paraId="0C108DD6" w14:textId="03EEFB91" w:rsidR="00214DAE" w:rsidRPr="00A6051F" w:rsidRDefault="00302830" w:rsidP="00642519">
      <w:pPr>
        <w:pStyle w:val="Bullet"/>
      </w:pPr>
      <w:r w:rsidRPr="00302830">
        <w:t xml:space="preserve">Intrathecal chemotherapy drug/s need to be administered following the same steps as in 5.5 above following </w:t>
      </w:r>
      <w:proofErr w:type="spellStart"/>
      <w:r w:rsidRPr="00302830">
        <w:t>eVIQ</w:t>
      </w:r>
      <w:proofErr w:type="spellEnd"/>
      <w:r w:rsidRPr="00302830">
        <w:t xml:space="preserve"> </w:t>
      </w:r>
      <w:r w:rsidR="000E4502">
        <w:t>seven</w:t>
      </w:r>
      <w:r w:rsidRPr="00302830">
        <w:t xml:space="preserve"> days safe handling precautions.</w:t>
      </w:r>
      <w:bookmarkEnd w:id="19"/>
    </w:p>
    <w:p w14:paraId="7657596A" w14:textId="77777777" w:rsidR="00ED4B8A" w:rsidRDefault="00C27FE2" w:rsidP="00ED4B8A">
      <w:pPr>
        <w:pStyle w:val="BodyCopy"/>
        <w:rPr>
          <w:rStyle w:val="Hyperlink"/>
          <w:iCs w:val="0"/>
        </w:rPr>
      </w:pPr>
      <w:hyperlink w:anchor="_top" w:history="1">
        <w:r w:rsidR="00ED4B8A" w:rsidRPr="00481A6C">
          <w:rPr>
            <w:rStyle w:val="Hyperlink"/>
            <w:iCs w:val="0"/>
          </w:rPr>
          <w:t>Back to Contents</w:t>
        </w:r>
      </w:hyperlink>
    </w:p>
    <w:p w14:paraId="0B334785" w14:textId="3B38A9AA" w:rsidR="00ED4B8A" w:rsidRDefault="00ED4B8A" w:rsidP="00ED4B8A">
      <w:pPr>
        <w:pStyle w:val="Heading4"/>
      </w:pPr>
      <w:bookmarkStart w:id="20" w:name="_Toc185934733"/>
      <w:r>
        <w:t>Section 6 – Post procedure</w:t>
      </w:r>
      <w:bookmarkEnd w:id="20"/>
    </w:p>
    <w:p w14:paraId="37C14F23" w14:textId="368F5958" w:rsidR="00485584" w:rsidRPr="00485584" w:rsidRDefault="00485584" w:rsidP="00485584">
      <w:pPr>
        <w:pStyle w:val="BodyCopy"/>
      </w:pPr>
      <w:r w:rsidRPr="00485584">
        <w:t>The patient should be monitored for complications from the procedure and the proceduralist notified</w:t>
      </w:r>
      <w:r w:rsidR="00E7529D">
        <w:t xml:space="preserve"> if</w:t>
      </w:r>
      <w:r w:rsidRPr="00485584">
        <w:t xml:space="preserve"> there are any concerns. This includes headache, back pain, ANY neurological symptoms (or signs) or bleeding.</w:t>
      </w:r>
    </w:p>
    <w:p w14:paraId="0C931877" w14:textId="77777777" w:rsidR="00485584" w:rsidRPr="00485584" w:rsidRDefault="00485584" w:rsidP="00485584">
      <w:pPr>
        <w:pStyle w:val="BodyCopy"/>
      </w:pPr>
      <w:r w:rsidRPr="00485584">
        <w:t>Possible complications include:</w:t>
      </w:r>
    </w:p>
    <w:p w14:paraId="021E3698" w14:textId="3C1E149C" w:rsidR="00485584" w:rsidRPr="00485584" w:rsidRDefault="000E4502" w:rsidP="00642519">
      <w:pPr>
        <w:pStyle w:val="Bullet"/>
      </w:pPr>
      <w:r>
        <w:t>h</w:t>
      </w:r>
      <w:r w:rsidR="00485584" w:rsidRPr="00485584">
        <w:t>erniation</w:t>
      </w:r>
    </w:p>
    <w:p w14:paraId="5C2122E2" w14:textId="69096BED" w:rsidR="00485584" w:rsidRPr="00485584" w:rsidRDefault="000E4502" w:rsidP="00642519">
      <w:pPr>
        <w:pStyle w:val="Bullet"/>
      </w:pPr>
      <w:r>
        <w:t>l</w:t>
      </w:r>
      <w:r w:rsidR="00485584" w:rsidRPr="00485584">
        <w:t>ocal or referred pain</w:t>
      </w:r>
    </w:p>
    <w:p w14:paraId="7E4424BF" w14:textId="297E5956" w:rsidR="00485584" w:rsidRPr="00485584" w:rsidRDefault="000E4502" w:rsidP="00642519">
      <w:pPr>
        <w:pStyle w:val="Bullet"/>
      </w:pPr>
      <w:r>
        <w:t>h</w:t>
      </w:r>
      <w:r w:rsidR="00485584" w:rsidRPr="00485584">
        <w:t>eadache</w:t>
      </w:r>
    </w:p>
    <w:p w14:paraId="1742B2C5" w14:textId="6F3603D8" w:rsidR="00485584" w:rsidRPr="00485584" w:rsidRDefault="000E4502" w:rsidP="00642519">
      <w:pPr>
        <w:pStyle w:val="Bullet"/>
      </w:pPr>
      <w:r>
        <w:t>b</w:t>
      </w:r>
      <w:r w:rsidR="00485584" w:rsidRPr="00485584">
        <w:t>leeding</w:t>
      </w:r>
    </w:p>
    <w:p w14:paraId="74D0DAF2" w14:textId="063E59E0" w:rsidR="00485584" w:rsidRPr="00485584" w:rsidRDefault="000E4502" w:rsidP="00642519">
      <w:pPr>
        <w:pStyle w:val="Bullet"/>
      </w:pPr>
      <w:r>
        <w:t>i</w:t>
      </w:r>
      <w:r w:rsidR="00485584" w:rsidRPr="00485584">
        <w:t>nfection</w:t>
      </w:r>
    </w:p>
    <w:p w14:paraId="0B6C7CA4" w14:textId="210AA923" w:rsidR="00485584" w:rsidRPr="00485584" w:rsidRDefault="000E4502" w:rsidP="00642519">
      <w:pPr>
        <w:pStyle w:val="Bullet"/>
      </w:pPr>
      <w:r>
        <w:t>l</w:t>
      </w:r>
      <w:r w:rsidR="00485584" w:rsidRPr="00485584">
        <w:t>eakage of CSF</w:t>
      </w:r>
      <w:r>
        <w:t>.</w:t>
      </w:r>
    </w:p>
    <w:p w14:paraId="11872CA9" w14:textId="77777777" w:rsidR="00485584" w:rsidRPr="00485584" w:rsidRDefault="00485584" w:rsidP="00485584">
      <w:pPr>
        <w:pStyle w:val="BodyCopy"/>
      </w:pPr>
      <w:r w:rsidRPr="00485584">
        <w:t xml:space="preserve">Patients should be instructed to lie flat (one pillow) for </w:t>
      </w:r>
      <w:proofErr w:type="gramStart"/>
      <w:r w:rsidRPr="00485584">
        <w:t>one hour</w:t>
      </w:r>
      <w:proofErr w:type="gramEnd"/>
      <w:r w:rsidRPr="00485584">
        <w:t xml:space="preserve"> post-procedure, in order to minimise the risk of post-lumbar puncture headache. It is permissible for patients to be briefly upright for eating/drinking or a toilet break.</w:t>
      </w:r>
    </w:p>
    <w:p w14:paraId="0168A0B4" w14:textId="01421041" w:rsidR="00485584" w:rsidRPr="00485584" w:rsidRDefault="00485584" w:rsidP="00485584">
      <w:pPr>
        <w:pStyle w:val="BodyCopy"/>
      </w:pPr>
      <w:r w:rsidRPr="00485584">
        <w:t xml:space="preserve">Staff should follow Section </w:t>
      </w:r>
      <w:r w:rsidR="000E4502">
        <w:t>8</w:t>
      </w:r>
      <w:r w:rsidRPr="00485584">
        <w:t xml:space="preserve"> of the </w:t>
      </w:r>
      <w:r w:rsidRPr="00485584">
        <w:rPr>
          <w:i/>
        </w:rPr>
        <w:t>Admission to Dischar</w:t>
      </w:r>
      <w:r w:rsidRPr="000E4502">
        <w:rPr>
          <w:i/>
        </w:rPr>
        <w:t>ge</w:t>
      </w:r>
      <w:r w:rsidRPr="00545DEB">
        <w:rPr>
          <w:i/>
        </w:rPr>
        <w:t xml:space="preserve"> </w:t>
      </w:r>
      <w:r w:rsidR="000E4502" w:rsidRPr="00545DEB">
        <w:rPr>
          <w:i/>
        </w:rPr>
        <w:t>(Adults and Children) Procedure</w:t>
      </w:r>
      <w:r w:rsidR="000E4502">
        <w:t xml:space="preserve"> </w:t>
      </w:r>
      <w:r w:rsidRPr="00485584">
        <w:t xml:space="preserve">on the Policy </w:t>
      </w:r>
      <w:r w:rsidR="000E4502">
        <w:t xml:space="preserve">and Guidance Documents </w:t>
      </w:r>
      <w:r w:rsidRPr="00485584">
        <w:t>Register in relation to the discharge process.</w:t>
      </w:r>
    </w:p>
    <w:p w14:paraId="465BC171" w14:textId="702050D4" w:rsidR="00ED4B8A" w:rsidRDefault="00C27FE2" w:rsidP="00ED4B8A">
      <w:pPr>
        <w:pStyle w:val="BodyCopy"/>
        <w:rPr>
          <w:rStyle w:val="Hyperlink"/>
          <w:iCs w:val="0"/>
        </w:rPr>
      </w:pPr>
      <w:hyperlink w:anchor="_top" w:history="1">
        <w:r w:rsidR="00ED4B8A" w:rsidRPr="00481A6C">
          <w:rPr>
            <w:rStyle w:val="Hyperlink"/>
            <w:iCs w:val="0"/>
          </w:rPr>
          <w:t>Back to Contents</w:t>
        </w:r>
      </w:hyperlink>
    </w:p>
    <w:p w14:paraId="558AECFE" w14:textId="355C7D04" w:rsidR="00ED4B8A" w:rsidRDefault="00ED4B8A" w:rsidP="00ED4B8A">
      <w:pPr>
        <w:pStyle w:val="Heading4"/>
      </w:pPr>
      <w:bookmarkStart w:id="21" w:name="_Toc185934734"/>
      <w:r>
        <w:t>Section 7 – Unsuccessful procedure</w:t>
      </w:r>
      <w:bookmarkEnd w:id="21"/>
    </w:p>
    <w:p w14:paraId="7768C6D3" w14:textId="77777777" w:rsidR="00126AA5" w:rsidRPr="00126AA5" w:rsidRDefault="00126AA5" w:rsidP="00126AA5">
      <w:pPr>
        <w:pStyle w:val="BodyCopy"/>
      </w:pPr>
      <w:r w:rsidRPr="00126AA5">
        <w:t xml:space="preserve">Obesity, osteoarthritis, ankylosing spondylitis, kyphoscoliosis, previous lumbar surgery, and degenerative disc disease may make the procedure more difficult. If unable to successfully obtain CSF and enter the subarachnoid space, alternative arrangements should be made for the procedure to be re-attempted, including a more experienced Medical Officer or radiology guided procedure. </w:t>
      </w:r>
    </w:p>
    <w:p w14:paraId="09A083DE" w14:textId="77777777" w:rsidR="00126AA5" w:rsidRPr="00126AA5" w:rsidRDefault="00126AA5" w:rsidP="00126AA5">
      <w:pPr>
        <w:pStyle w:val="BodyCopy"/>
      </w:pPr>
      <w:r w:rsidRPr="00126AA5">
        <w:t xml:space="preserve">Any unused/residual chemotherapy must be returned to pharmacy immediately to be discarded. The pharmacist will check that this occurs. </w:t>
      </w:r>
    </w:p>
    <w:p w14:paraId="0D88C24D" w14:textId="777D2472" w:rsidR="00ED4B8A" w:rsidRDefault="00C27FE2" w:rsidP="00ED4B8A">
      <w:pPr>
        <w:pStyle w:val="BodyCopy"/>
        <w:rPr>
          <w:rStyle w:val="Hyperlink"/>
          <w:iCs w:val="0"/>
        </w:rPr>
      </w:pPr>
      <w:hyperlink w:anchor="_top" w:history="1">
        <w:r w:rsidR="00ED4B8A" w:rsidRPr="00481A6C">
          <w:rPr>
            <w:rStyle w:val="Hyperlink"/>
            <w:iCs w:val="0"/>
          </w:rPr>
          <w:t>Back to Contents</w:t>
        </w:r>
      </w:hyperlink>
    </w:p>
    <w:p w14:paraId="79C3B65F" w14:textId="77777777" w:rsidR="0078367D" w:rsidRDefault="0078367D" w:rsidP="00A6051F">
      <w:pPr>
        <w:pStyle w:val="Heading4"/>
      </w:pPr>
      <w:bookmarkStart w:id="22" w:name="_Toc176348490"/>
      <w:bookmarkStart w:id="23" w:name="_Toc185934735"/>
      <w:r>
        <w:t>Evaluation</w:t>
      </w:r>
      <w:bookmarkStart w:id="24" w:name="_Hlk43366294"/>
      <w:bookmarkEnd w:id="22"/>
      <w:bookmarkEnd w:id="23"/>
    </w:p>
    <w:p w14:paraId="3020920F" w14:textId="77777777" w:rsidR="00481A6C" w:rsidRDefault="00481A6C" w:rsidP="00C34A10">
      <w:pPr>
        <w:pStyle w:val="Heading5"/>
      </w:pPr>
      <w:bookmarkStart w:id="25" w:name="_Hlk170467190"/>
      <w:bookmarkEnd w:id="24"/>
      <w:r w:rsidRPr="00C34A10">
        <w:lastRenderedPageBreak/>
        <w:t>Outcome</w:t>
      </w:r>
    </w:p>
    <w:p w14:paraId="6F46A16C" w14:textId="77777777" w:rsidR="00126AA5" w:rsidRPr="00126AA5" w:rsidRDefault="00126AA5" w:rsidP="00126AA5">
      <w:pPr>
        <w:pStyle w:val="Bullet"/>
        <w:numPr>
          <w:ilvl w:val="0"/>
          <w:numId w:val="0"/>
        </w:numPr>
      </w:pPr>
      <w:bookmarkStart w:id="26" w:name="_Hlk170467240"/>
      <w:bookmarkEnd w:id="25"/>
      <w:r w:rsidRPr="00126AA5">
        <w:t>There should be no significant incidents relating to an intrathecal chemotherapy administration including lumbar puncture.</w:t>
      </w:r>
    </w:p>
    <w:p w14:paraId="584A62BF" w14:textId="77777777" w:rsidR="00481A6C" w:rsidRPr="00C34A10" w:rsidRDefault="00C34A10" w:rsidP="00C34A10">
      <w:pPr>
        <w:pStyle w:val="Heading5"/>
      </w:pPr>
      <w:r>
        <w:t>Measures</w:t>
      </w:r>
    </w:p>
    <w:bookmarkEnd w:id="26"/>
    <w:p w14:paraId="4D3D8EFB" w14:textId="77777777" w:rsidR="00126AA5" w:rsidRPr="00126AA5" w:rsidRDefault="00126AA5" w:rsidP="00126AA5">
      <w:pPr>
        <w:pStyle w:val="Bullet"/>
        <w:numPr>
          <w:ilvl w:val="0"/>
          <w:numId w:val="0"/>
        </w:numPr>
        <w:rPr>
          <w:iCs/>
        </w:rPr>
      </w:pPr>
      <w:r w:rsidRPr="00126AA5">
        <w:rPr>
          <w:iCs/>
        </w:rPr>
        <w:t>Clinical Incident data will be reported to and regularly reviewed by the Lead Clinician and divisional Executive Director. The procedure will also be reviewed by:</w:t>
      </w:r>
    </w:p>
    <w:p w14:paraId="4DA3089A" w14:textId="77777777" w:rsidR="00126AA5" w:rsidRPr="00126AA5" w:rsidRDefault="00126AA5" w:rsidP="00126AA5">
      <w:pPr>
        <w:pStyle w:val="Bullet"/>
      </w:pPr>
      <w:r w:rsidRPr="00126AA5">
        <w:t>CAS Clinical Governance Committee</w:t>
      </w:r>
    </w:p>
    <w:p w14:paraId="028DD87C" w14:textId="77777777" w:rsidR="00126AA5" w:rsidRPr="00126AA5" w:rsidRDefault="00126AA5" w:rsidP="00126AA5">
      <w:pPr>
        <w:pStyle w:val="Bullet"/>
      </w:pPr>
      <w:r w:rsidRPr="00126AA5">
        <w:t>Haematology Unit Meeting</w:t>
      </w:r>
    </w:p>
    <w:p w14:paraId="16B6CD0A" w14:textId="49CACEFC" w:rsidR="00126AA5" w:rsidRPr="00126AA5" w:rsidRDefault="00126AA5" w:rsidP="00126AA5">
      <w:pPr>
        <w:pStyle w:val="Bullet"/>
      </w:pPr>
      <w:r w:rsidRPr="00126AA5">
        <w:t>Medical Oncology Unit Meeting</w:t>
      </w:r>
      <w:r w:rsidR="00F521BB">
        <w:t>.</w:t>
      </w:r>
    </w:p>
    <w:p w14:paraId="6636A716" w14:textId="549689BC" w:rsidR="00481A6C" w:rsidRDefault="00481A6C" w:rsidP="00126AA5">
      <w:pPr>
        <w:pStyle w:val="Bullet"/>
        <w:numPr>
          <w:ilvl w:val="0"/>
          <w:numId w:val="0"/>
        </w:numPr>
        <w:ind w:left="360" w:hanging="360"/>
      </w:pPr>
    </w:p>
    <w:p w14:paraId="59B4F64B" w14:textId="77777777" w:rsidR="00481A6C" w:rsidRDefault="00C27FE2" w:rsidP="002D7682">
      <w:pPr>
        <w:pStyle w:val="BodyCopy"/>
        <w:spacing w:after="120"/>
        <w:rPr>
          <w:rStyle w:val="Hyperlink"/>
          <w:iCs w:val="0"/>
        </w:rPr>
      </w:pPr>
      <w:hyperlink w:anchor="_top" w:history="1">
        <w:r w:rsidR="00481A6C" w:rsidRPr="00481A6C">
          <w:rPr>
            <w:rStyle w:val="Hyperlink"/>
            <w:iCs w:val="0"/>
          </w:rPr>
          <w:t>Back to Contents</w:t>
        </w:r>
      </w:hyperlink>
    </w:p>
    <w:p w14:paraId="0E598C64" w14:textId="77777777" w:rsidR="00A6051F" w:rsidRDefault="00A6051F" w:rsidP="00A6051F">
      <w:pPr>
        <w:pStyle w:val="Heading4"/>
      </w:pPr>
      <w:bookmarkStart w:id="27" w:name="_Toc185934736"/>
      <w:r>
        <w:t>Related policies, procedures, guidelines and legislation</w:t>
      </w:r>
      <w:bookmarkEnd w:id="27"/>
    </w:p>
    <w:p w14:paraId="66775D24" w14:textId="77777777" w:rsidR="00481A6C" w:rsidRPr="00A66966" w:rsidRDefault="00481A6C" w:rsidP="00A6051F">
      <w:pPr>
        <w:pStyle w:val="Heading5"/>
      </w:pPr>
      <w:r w:rsidRPr="00A66966">
        <w:t>Policies</w:t>
      </w:r>
    </w:p>
    <w:p w14:paraId="0C3D2418" w14:textId="77777777" w:rsidR="00A86197" w:rsidRDefault="00A86197" w:rsidP="00A86197">
      <w:pPr>
        <w:pStyle w:val="Bullet"/>
        <w:numPr>
          <w:ilvl w:val="0"/>
          <w:numId w:val="26"/>
        </w:numPr>
      </w:pPr>
      <w:r>
        <w:t>Nursing and Midwifery Board of Australia (NMBA) Requirements for Practice</w:t>
      </w:r>
    </w:p>
    <w:p w14:paraId="6BA8E055" w14:textId="08DE3803" w:rsidR="001E2FC7" w:rsidRDefault="001E2FC7" w:rsidP="00A86197">
      <w:pPr>
        <w:pStyle w:val="Bullet"/>
        <w:numPr>
          <w:ilvl w:val="0"/>
          <w:numId w:val="26"/>
        </w:numPr>
      </w:pPr>
      <w:r>
        <w:t>Medication Handling</w:t>
      </w:r>
    </w:p>
    <w:p w14:paraId="33676F6E" w14:textId="5E763A1F" w:rsidR="001E2FC7" w:rsidRDefault="001E2FC7" w:rsidP="00A86197">
      <w:pPr>
        <w:pStyle w:val="Bullet"/>
        <w:numPr>
          <w:ilvl w:val="0"/>
          <w:numId w:val="26"/>
        </w:numPr>
      </w:pPr>
      <w:r>
        <w:t xml:space="preserve">Clinical Records Management </w:t>
      </w:r>
    </w:p>
    <w:p w14:paraId="38E56225" w14:textId="60DC9EE7" w:rsidR="00F521BB" w:rsidRDefault="00F521BB" w:rsidP="00A86197">
      <w:pPr>
        <w:pStyle w:val="Bullet"/>
        <w:numPr>
          <w:ilvl w:val="0"/>
          <w:numId w:val="26"/>
        </w:numPr>
      </w:pPr>
      <w:r>
        <w:t>Preventing and Controlling Healthcare Associated Infections</w:t>
      </w:r>
    </w:p>
    <w:p w14:paraId="209E636B" w14:textId="77777777" w:rsidR="00481A6C" w:rsidRDefault="00481A6C" w:rsidP="00A6051F">
      <w:pPr>
        <w:pStyle w:val="Heading5"/>
      </w:pPr>
      <w:r>
        <w:t>Procedures</w:t>
      </w:r>
    </w:p>
    <w:p w14:paraId="7758CA46" w14:textId="77777777" w:rsidR="00481A6C" w:rsidRPr="000E7683" w:rsidRDefault="00635114" w:rsidP="000E7683">
      <w:pPr>
        <w:pStyle w:val="Bullet"/>
      </w:pPr>
      <w:r>
        <w:t>Infection Prevention and Control</w:t>
      </w:r>
    </w:p>
    <w:p w14:paraId="2454C76F" w14:textId="78A08D0D" w:rsidR="00481A6C" w:rsidRDefault="00481A6C" w:rsidP="000E7683">
      <w:pPr>
        <w:pStyle w:val="Bullet"/>
      </w:pPr>
      <w:r w:rsidRPr="000E7683">
        <w:t xml:space="preserve">Patient Identification and </w:t>
      </w:r>
      <w:r w:rsidR="00F521BB">
        <w:t xml:space="preserve">Health Care Activity </w:t>
      </w:r>
      <w:r w:rsidRPr="000E7683">
        <w:t xml:space="preserve">Matching </w:t>
      </w:r>
    </w:p>
    <w:p w14:paraId="3CD11690" w14:textId="42A26029" w:rsidR="004B71A4" w:rsidRDefault="004B71A4" w:rsidP="004B71A4">
      <w:pPr>
        <w:pStyle w:val="Bullet"/>
      </w:pPr>
      <w:r>
        <w:t>Anticoagulation Therapeutic Management</w:t>
      </w:r>
      <w:r w:rsidR="00F521BB">
        <w:t xml:space="preserve"> (Adults only)</w:t>
      </w:r>
    </w:p>
    <w:p w14:paraId="3C5B6183" w14:textId="77777777" w:rsidR="004B71A4" w:rsidRDefault="004B71A4" w:rsidP="004B71A4">
      <w:pPr>
        <w:pStyle w:val="Bullet"/>
      </w:pPr>
      <w:r>
        <w:t>Aseptic Technique</w:t>
      </w:r>
    </w:p>
    <w:p w14:paraId="18B8B835" w14:textId="29199F4D" w:rsidR="004B71A4" w:rsidRDefault="004B71A4" w:rsidP="004B71A4">
      <w:pPr>
        <w:pStyle w:val="Bullet"/>
      </w:pPr>
      <w:r>
        <w:t>Admission to Discharge (</w:t>
      </w:r>
      <w:r w:rsidR="00F521BB">
        <w:t>A</w:t>
      </w:r>
      <w:r>
        <w:t xml:space="preserve">dults and </w:t>
      </w:r>
      <w:r w:rsidR="00F521BB">
        <w:t>C</w:t>
      </w:r>
      <w:r>
        <w:t>hildren)</w:t>
      </w:r>
    </w:p>
    <w:p w14:paraId="017F8606" w14:textId="62184CC9" w:rsidR="004B71A4" w:rsidRDefault="004B71A4" w:rsidP="004B71A4">
      <w:pPr>
        <w:pStyle w:val="Bullet"/>
      </w:pPr>
      <w:r>
        <w:t>Central Venous Access Device (CVAD) Management – Children, Adolescents and Adults (</w:t>
      </w:r>
      <w:r w:rsidR="00F521BB">
        <w:t>N</w:t>
      </w:r>
      <w:r>
        <w:t xml:space="preserve">ot </w:t>
      </w:r>
      <w:r w:rsidR="00F521BB">
        <w:t>N</w:t>
      </w:r>
      <w:r>
        <w:t>eonates)</w:t>
      </w:r>
    </w:p>
    <w:p w14:paraId="14455392" w14:textId="77777777" w:rsidR="004B71A4" w:rsidRDefault="004B71A4" w:rsidP="004B71A4">
      <w:pPr>
        <w:pStyle w:val="Bullet"/>
      </w:pPr>
      <w:r>
        <w:t>Clinical Handover</w:t>
      </w:r>
    </w:p>
    <w:p w14:paraId="42A3D524" w14:textId="59469F7F" w:rsidR="004B71A4" w:rsidRDefault="004B71A4" w:rsidP="004B71A4">
      <w:pPr>
        <w:pStyle w:val="Bullet"/>
      </w:pPr>
      <w:r>
        <w:t xml:space="preserve">Clinical Records Management </w:t>
      </w:r>
    </w:p>
    <w:p w14:paraId="2234A7E6" w14:textId="77777777" w:rsidR="004B71A4" w:rsidRDefault="004B71A4" w:rsidP="004B71A4">
      <w:pPr>
        <w:pStyle w:val="Bullet"/>
      </w:pPr>
      <w:r>
        <w:t>Critical Bleeding Massive Transfusion</w:t>
      </w:r>
    </w:p>
    <w:p w14:paraId="5919EE3B" w14:textId="77777777" w:rsidR="004B71A4" w:rsidRDefault="004B71A4" w:rsidP="004B71A4">
      <w:pPr>
        <w:pStyle w:val="Bullet"/>
      </w:pPr>
      <w:r>
        <w:t>Fresh Blood Products Administration (Adults, Paediatrics and Neonates)</w:t>
      </w:r>
    </w:p>
    <w:p w14:paraId="52D538CE" w14:textId="12FE9680" w:rsidR="004B71A4" w:rsidRDefault="004B71A4" w:rsidP="004B71A4">
      <w:pPr>
        <w:pStyle w:val="Bullet"/>
      </w:pPr>
      <w:r>
        <w:t xml:space="preserve">Immunoglobulin Authorisation and Administration </w:t>
      </w:r>
      <w:r w:rsidR="00F521BB">
        <w:t>(</w:t>
      </w:r>
      <w:r>
        <w:t>Adults, Paediatrics and Neonates</w:t>
      </w:r>
      <w:r w:rsidR="00F521BB">
        <w:t>)</w:t>
      </w:r>
    </w:p>
    <w:p w14:paraId="58F11BD7" w14:textId="77777777" w:rsidR="004B71A4" w:rsidRDefault="004B71A4" w:rsidP="004B71A4">
      <w:pPr>
        <w:pStyle w:val="Bullet"/>
      </w:pPr>
      <w:r>
        <w:t>ANZCA Sedation and or Analgesia for Diagnostic and Interventional Medical Dental or Surgical procedures Guidelines (PS09) 2014 in Adults Adolescents and Children</w:t>
      </w:r>
    </w:p>
    <w:p w14:paraId="34C5DB40" w14:textId="11589616" w:rsidR="004B71A4" w:rsidRDefault="004B71A4" w:rsidP="004B71A4">
      <w:pPr>
        <w:pStyle w:val="Bullet"/>
      </w:pPr>
      <w:r>
        <w:t xml:space="preserve">Pathology Specimen </w:t>
      </w:r>
      <w:r w:rsidR="00F521BB">
        <w:t xml:space="preserve">Management </w:t>
      </w:r>
    </w:p>
    <w:p w14:paraId="744B09F8" w14:textId="2878E7AA" w:rsidR="004B71A4" w:rsidRPr="000E7683" w:rsidRDefault="004B71A4" w:rsidP="00606880">
      <w:pPr>
        <w:pStyle w:val="Bullet"/>
      </w:pPr>
      <w:r>
        <w:t xml:space="preserve">Vital Signs and Early Warning Scores – </w:t>
      </w:r>
      <w:r w:rsidR="00F521BB">
        <w:t>T</w:t>
      </w:r>
      <w:r>
        <w:t>he Canberra Hospital Inpatient</w:t>
      </w:r>
      <w:r w:rsidR="00F521BB">
        <w:t>s</w:t>
      </w:r>
    </w:p>
    <w:p w14:paraId="6373A54B" w14:textId="77777777" w:rsidR="00481A6C" w:rsidRDefault="00481A6C" w:rsidP="00A6051F">
      <w:pPr>
        <w:pStyle w:val="Heading5"/>
      </w:pPr>
      <w:r>
        <w:lastRenderedPageBreak/>
        <w:t xml:space="preserve">Guidelines </w:t>
      </w:r>
    </w:p>
    <w:p w14:paraId="66992262" w14:textId="77777777" w:rsidR="009746B1" w:rsidRDefault="009746B1" w:rsidP="009746B1">
      <w:pPr>
        <w:pStyle w:val="Bullet"/>
      </w:pPr>
      <w:r>
        <w:t>Consent for Healthcare Treatment</w:t>
      </w:r>
    </w:p>
    <w:p w14:paraId="1BC8F846" w14:textId="77777777" w:rsidR="00481A6C" w:rsidRDefault="00481A6C" w:rsidP="00A6051F">
      <w:pPr>
        <w:pStyle w:val="Heading5"/>
      </w:pPr>
      <w:r>
        <w:t>Legislation</w:t>
      </w:r>
    </w:p>
    <w:p w14:paraId="07E953C6" w14:textId="77777777" w:rsidR="00481A6C" w:rsidRPr="000E7683" w:rsidRDefault="00481A6C" w:rsidP="000E7683">
      <w:pPr>
        <w:pStyle w:val="Bullet"/>
      </w:pPr>
      <w:r w:rsidRPr="00FE46F1">
        <w:rPr>
          <w:i/>
          <w:iCs/>
        </w:rPr>
        <w:t>Health Records (Privacy and Access) Act</w:t>
      </w:r>
      <w:r w:rsidRPr="000E7683">
        <w:t xml:space="preserve"> 1997</w:t>
      </w:r>
    </w:p>
    <w:p w14:paraId="1D3F8B34" w14:textId="77777777" w:rsidR="00481A6C" w:rsidRPr="000E7683" w:rsidRDefault="00481A6C" w:rsidP="000E7683">
      <w:pPr>
        <w:pStyle w:val="Bullet"/>
      </w:pPr>
      <w:r w:rsidRPr="00FE46F1">
        <w:rPr>
          <w:i/>
          <w:iCs/>
        </w:rPr>
        <w:t>Human Rights Act</w:t>
      </w:r>
      <w:r w:rsidRPr="000E7683">
        <w:t xml:space="preserve"> 2004</w:t>
      </w:r>
    </w:p>
    <w:p w14:paraId="29CC0D2E" w14:textId="77777777" w:rsidR="00481A6C" w:rsidRPr="000E7683" w:rsidRDefault="00481A6C" w:rsidP="000E7683">
      <w:pPr>
        <w:pStyle w:val="Bullet"/>
      </w:pPr>
      <w:r w:rsidRPr="00FE46F1">
        <w:rPr>
          <w:i/>
          <w:iCs/>
        </w:rPr>
        <w:t>Work Health and Safety Act</w:t>
      </w:r>
      <w:r w:rsidRPr="000E7683">
        <w:t xml:space="preserve"> 2011</w:t>
      </w:r>
    </w:p>
    <w:p w14:paraId="14225589" w14:textId="77777777" w:rsidR="00481A6C" w:rsidRPr="000E7683" w:rsidRDefault="00481A6C" w:rsidP="000E7683">
      <w:pPr>
        <w:pStyle w:val="Bullet"/>
      </w:pPr>
      <w:r w:rsidRPr="00FE46F1">
        <w:rPr>
          <w:i/>
          <w:iCs/>
        </w:rPr>
        <w:t>Carers Recognition Act</w:t>
      </w:r>
      <w:r w:rsidRPr="000E7683">
        <w:t xml:space="preserve"> 2021</w:t>
      </w:r>
    </w:p>
    <w:p w14:paraId="0438289D" w14:textId="77777777" w:rsidR="00481A6C" w:rsidRDefault="00481A6C" w:rsidP="00A6051F">
      <w:pPr>
        <w:pStyle w:val="Heading5"/>
      </w:pPr>
      <w:r>
        <w:t>Other</w:t>
      </w:r>
    </w:p>
    <w:p w14:paraId="797AB937" w14:textId="77777777" w:rsidR="000E7683" w:rsidRDefault="00481A6C" w:rsidP="00A66966">
      <w:pPr>
        <w:pStyle w:val="Bullet"/>
      </w:pPr>
      <w:r w:rsidRPr="00A66966">
        <w:t>Australian</w:t>
      </w:r>
      <w:r w:rsidRPr="000E7683">
        <w:t xml:space="preserve"> Charter of Healthcare Right</w:t>
      </w:r>
      <w:r w:rsidR="00280C5D" w:rsidRPr="000E7683">
        <w:t>s</w:t>
      </w:r>
    </w:p>
    <w:p w14:paraId="74207D4C" w14:textId="77777777" w:rsidR="000E7683" w:rsidRPr="000E7683" w:rsidRDefault="00C27FE2" w:rsidP="002D7682">
      <w:pPr>
        <w:pStyle w:val="BodyCopy"/>
      </w:pPr>
      <w:hyperlink w:anchor="_top" w:history="1">
        <w:r w:rsidR="000E7683" w:rsidRPr="004A7A7F">
          <w:rPr>
            <w:rStyle w:val="Hyperlink"/>
          </w:rPr>
          <w:t>Back to Contents</w:t>
        </w:r>
      </w:hyperlink>
    </w:p>
    <w:p w14:paraId="1D73B270" w14:textId="77777777" w:rsidR="0078367D" w:rsidRPr="0078367D" w:rsidRDefault="0078367D" w:rsidP="00A6051F">
      <w:pPr>
        <w:pStyle w:val="Heading4"/>
      </w:pPr>
      <w:bookmarkStart w:id="28" w:name="_Toc185934737"/>
      <w:r w:rsidRPr="0078367D">
        <w:t>References</w:t>
      </w:r>
      <w:bookmarkEnd w:id="28"/>
    </w:p>
    <w:p w14:paraId="57986B0A" w14:textId="77777777" w:rsidR="005F6328" w:rsidRDefault="005F6328" w:rsidP="005F6328">
      <w:pPr>
        <w:pStyle w:val="Numberedlist"/>
        <w:rPr>
          <w:lang w:eastAsia="en-US"/>
        </w:rPr>
      </w:pPr>
      <w:r>
        <w:rPr>
          <w:lang w:eastAsia="en-US"/>
        </w:rPr>
        <w:t>Bayside Health Administration of Intrathecal Chemotherapy Guideline, Dr Sharon Avery, 2006</w:t>
      </w:r>
    </w:p>
    <w:p w14:paraId="0D4F51A7" w14:textId="77777777" w:rsidR="005F6328" w:rsidRDefault="005F6328" w:rsidP="005F6328">
      <w:pPr>
        <w:pStyle w:val="Numberedlist"/>
        <w:rPr>
          <w:lang w:eastAsia="en-US"/>
        </w:rPr>
      </w:pPr>
      <w:proofErr w:type="spellStart"/>
      <w:r>
        <w:rPr>
          <w:lang w:eastAsia="en-US"/>
        </w:rPr>
        <w:t>Ellenby</w:t>
      </w:r>
      <w:proofErr w:type="spellEnd"/>
      <w:r>
        <w:rPr>
          <w:lang w:eastAsia="en-US"/>
        </w:rPr>
        <w:t xml:space="preserve"> MS, </w:t>
      </w:r>
      <w:proofErr w:type="spellStart"/>
      <w:r>
        <w:rPr>
          <w:lang w:eastAsia="en-US"/>
        </w:rPr>
        <w:t>Tedtmeyer</w:t>
      </w:r>
      <w:proofErr w:type="spellEnd"/>
      <w:r>
        <w:rPr>
          <w:lang w:eastAsia="en-US"/>
        </w:rPr>
        <w:t xml:space="preserve"> K, Lai S and </w:t>
      </w:r>
      <w:proofErr w:type="spellStart"/>
      <w:r>
        <w:rPr>
          <w:lang w:eastAsia="en-US"/>
        </w:rPr>
        <w:t>Braner</w:t>
      </w:r>
      <w:proofErr w:type="spellEnd"/>
      <w:r>
        <w:rPr>
          <w:lang w:eastAsia="en-US"/>
        </w:rPr>
        <w:t xml:space="preserve"> D. Lumbar Puncture. New England Journal of Medicine. Sept 2006; 355: e12.</w:t>
      </w:r>
    </w:p>
    <w:p w14:paraId="36FC202D" w14:textId="77777777" w:rsidR="005F6328" w:rsidRDefault="005F6328" w:rsidP="005F6328">
      <w:pPr>
        <w:pStyle w:val="Numberedlist"/>
        <w:rPr>
          <w:lang w:eastAsia="en-US"/>
        </w:rPr>
      </w:pPr>
      <w:r>
        <w:rPr>
          <w:lang w:eastAsia="en-US"/>
        </w:rPr>
        <w:t xml:space="preserve">Johnson K and Sexton D.  Lumbar puncture: Technique, indications, contraindications, and complications in adults. UpToDate Feb 2016. </w:t>
      </w:r>
    </w:p>
    <w:p w14:paraId="016B3425" w14:textId="77777777" w:rsidR="005F6328" w:rsidRDefault="005F6328" w:rsidP="005F6328">
      <w:pPr>
        <w:pStyle w:val="Numberedlist"/>
        <w:rPr>
          <w:lang w:eastAsia="en-US"/>
        </w:rPr>
      </w:pPr>
      <w:proofErr w:type="spellStart"/>
      <w:r>
        <w:rPr>
          <w:lang w:eastAsia="en-US"/>
        </w:rPr>
        <w:t>Gilbar</w:t>
      </w:r>
      <w:proofErr w:type="spellEnd"/>
      <w:r>
        <w:rPr>
          <w:lang w:eastAsia="en-US"/>
        </w:rPr>
        <w:t xml:space="preserve"> P and Carrington C. Inadvertent intrathecal administration of vincristine.   Committee of Specialty Practice in Oncology, The Society of Hospital Pharmacists of Australia (SHPA).   COSA Abstracts, 168 (2004).</w:t>
      </w:r>
    </w:p>
    <w:p w14:paraId="08BC2219" w14:textId="77777777" w:rsidR="005F6328" w:rsidRDefault="005F6328" w:rsidP="005F6328">
      <w:pPr>
        <w:pStyle w:val="Numberedlist"/>
        <w:rPr>
          <w:lang w:eastAsia="en-US"/>
        </w:rPr>
      </w:pPr>
      <w:r>
        <w:rPr>
          <w:lang w:eastAsia="en-US"/>
        </w:rPr>
        <w:t xml:space="preserve">Angela </w:t>
      </w:r>
      <w:proofErr w:type="spellStart"/>
      <w:r>
        <w:rPr>
          <w:lang w:eastAsia="en-US"/>
        </w:rPr>
        <w:t>Stefanou</w:t>
      </w:r>
      <w:proofErr w:type="spellEnd"/>
      <w:r>
        <w:rPr>
          <w:lang w:eastAsia="en-US"/>
        </w:rPr>
        <w:t xml:space="preserve"> and Michael Dooley. Simple method to eliminate the risk of inadvertent intrathecal vincristine administration. JCO 21:2044, 2003. </w:t>
      </w:r>
    </w:p>
    <w:p w14:paraId="07EAFDA7" w14:textId="04153CF3" w:rsidR="00280C5D" w:rsidRDefault="005F6328" w:rsidP="005F6328">
      <w:pPr>
        <w:pStyle w:val="Numberedlist"/>
        <w:rPr>
          <w:lang w:eastAsia="en-US"/>
        </w:rPr>
      </w:pPr>
      <w:r>
        <w:rPr>
          <w:lang w:eastAsia="en-US"/>
        </w:rPr>
        <w:t xml:space="preserve">Updated National guidance on the safe administration of intrathecal chemotherapy. Department of Health. Available at </w:t>
      </w:r>
      <w:proofErr w:type="gramStart"/>
      <w:r>
        <w:rPr>
          <w:lang w:eastAsia="en-US"/>
        </w:rPr>
        <w:t xml:space="preserve">www.dh.gov.uk </w:t>
      </w:r>
      <w:r w:rsidR="00280C5D">
        <w:rPr>
          <w:lang w:eastAsia="en-US"/>
        </w:rPr>
        <w:t>.</w:t>
      </w:r>
      <w:proofErr w:type="gramEnd"/>
    </w:p>
    <w:p w14:paraId="5D11B580" w14:textId="77777777" w:rsidR="00280C5D" w:rsidRDefault="00C27FE2" w:rsidP="002D7682">
      <w:pPr>
        <w:pStyle w:val="Bullet"/>
        <w:numPr>
          <w:ilvl w:val="0"/>
          <w:numId w:val="0"/>
        </w:numPr>
        <w:tabs>
          <w:tab w:val="clear" w:pos="425"/>
        </w:tabs>
        <w:spacing w:after="240"/>
        <w:ind w:left="357" w:hanging="357"/>
        <w:rPr>
          <w:lang w:eastAsia="en-US"/>
        </w:rPr>
      </w:pPr>
      <w:hyperlink w:anchor="_top" w:history="1">
        <w:r w:rsidR="00280C5D" w:rsidRPr="004A7A7F">
          <w:rPr>
            <w:rStyle w:val="Hyperlink"/>
          </w:rPr>
          <w:t>Back to Contents</w:t>
        </w:r>
      </w:hyperlink>
    </w:p>
    <w:p w14:paraId="7B6C804E" w14:textId="77777777" w:rsidR="0078367D" w:rsidRDefault="0078367D" w:rsidP="00A6051F">
      <w:pPr>
        <w:pStyle w:val="Heading4"/>
      </w:pPr>
      <w:bookmarkStart w:id="29" w:name="_Toc185934738"/>
      <w:r>
        <w:t>Search terms</w:t>
      </w:r>
      <w:bookmarkEnd w:id="29"/>
    </w:p>
    <w:p w14:paraId="17EE97AF" w14:textId="77777777" w:rsidR="005F6328" w:rsidRPr="005F6328" w:rsidRDefault="005F6328" w:rsidP="005F6328">
      <w:pPr>
        <w:pStyle w:val="BodyCopy"/>
        <w:rPr>
          <w:lang w:eastAsia="en-US"/>
        </w:rPr>
      </w:pPr>
      <w:r w:rsidRPr="005F6328">
        <w:rPr>
          <w:lang w:eastAsia="en-US"/>
        </w:rPr>
        <w:t>Intrathecal, chemotherapy, lumbar puncture, intra-ventricular chemotherapy</w:t>
      </w:r>
    </w:p>
    <w:p w14:paraId="202EECC7" w14:textId="77777777" w:rsidR="00280C5D" w:rsidRDefault="00C27FE2" w:rsidP="002D7682">
      <w:pPr>
        <w:pStyle w:val="Bullet"/>
        <w:numPr>
          <w:ilvl w:val="0"/>
          <w:numId w:val="0"/>
        </w:numPr>
        <w:spacing w:after="240"/>
        <w:rPr>
          <w:lang w:eastAsia="en-US"/>
        </w:rPr>
      </w:pPr>
      <w:hyperlink w:anchor="_top" w:history="1">
        <w:r w:rsidR="00280C5D" w:rsidRPr="00481A6C">
          <w:rPr>
            <w:rStyle w:val="Hyperlink"/>
          </w:rPr>
          <w:t>Back to Contents</w:t>
        </w:r>
      </w:hyperlink>
    </w:p>
    <w:p w14:paraId="5B67E923" w14:textId="77777777" w:rsidR="009A5010" w:rsidRPr="001F3ED6" w:rsidRDefault="00280C5D" w:rsidP="001F3ED6">
      <w:pPr>
        <w:pStyle w:val="BodyCopy"/>
        <w:rPr>
          <w:rStyle w:val="Bold"/>
        </w:rPr>
      </w:pPr>
      <w:r w:rsidRPr="001F3ED6">
        <w:rPr>
          <w:rStyle w:val="Bold"/>
        </w:rPr>
        <w:t>For Policy Team to complete:</w:t>
      </w:r>
    </w:p>
    <w:tbl>
      <w:tblPr>
        <w:tblStyle w:val="CHSTable"/>
        <w:tblW w:w="0" w:type="auto"/>
        <w:tblLook w:val="0420" w:firstRow="1" w:lastRow="0" w:firstColumn="0" w:lastColumn="0" w:noHBand="0" w:noVBand="1"/>
      </w:tblPr>
      <w:tblGrid>
        <w:gridCol w:w="2476"/>
        <w:gridCol w:w="2477"/>
        <w:gridCol w:w="2555"/>
        <w:gridCol w:w="2403"/>
      </w:tblGrid>
      <w:tr w:rsidR="00280C5D" w14:paraId="4B27FD4E" w14:textId="77777777" w:rsidTr="003B0E72">
        <w:trPr>
          <w:cnfStyle w:val="100000000000" w:firstRow="1" w:lastRow="0" w:firstColumn="0" w:lastColumn="0" w:oddVBand="0" w:evenVBand="0" w:oddHBand="0" w:evenHBand="0" w:firstRowFirstColumn="0" w:firstRowLastColumn="0" w:lastRowFirstColumn="0" w:lastRowLastColumn="0"/>
        </w:trPr>
        <w:tc>
          <w:tcPr>
            <w:tcW w:w="2476" w:type="dxa"/>
          </w:tcPr>
          <w:p w14:paraId="3C67BFF4" w14:textId="77777777" w:rsidR="00280C5D" w:rsidRDefault="00280C5D" w:rsidP="003B0E72">
            <w:pPr>
              <w:pStyle w:val="Tableheader"/>
            </w:pPr>
            <w:r>
              <w:lastRenderedPageBreak/>
              <w:t>Date amended</w:t>
            </w:r>
          </w:p>
        </w:tc>
        <w:tc>
          <w:tcPr>
            <w:tcW w:w="2477" w:type="dxa"/>
          </w:tcPr>
          <w:p w14:paraId="733BBE1E" w14:textId="77777777" w:rsidR="00280C5D" w:rsidRDefault="00280C5D" w:rsidP="003B0E72">
            <w:pPr>
              <w:pStyle w:val="Tableheader"/>
            </w:pPr>
            <w:r>
              <w:t>Section amended</w:t>
            </w:r>
          </w:p>
        </w:tc>
        <w:tc>
          <w:tcPr>
            <w:tcW w:w="2555" w:type="dxa"/>
          </w:tcPr>
          <w:p w14:paraId="55F973DE" w14:textId="77777777" w:rsidR="00280C5D" w:rsidRDefault="00280C5D" w:rsidP="003B0E72">
            <w:pPr>
              <w:pStyle w:val="Tableheader"/>
            </w:pPr>
            <w:r>
              <w:t>Divisional approval</w:t>
            </w:r>
          </w:p>
        </w:tc>
        <w:tc>
          <w:tcPr>
            <w:tcW w:w="2403" w:type="dxa"/>
          </w:tcPr>
          <w:p w14:paraId="5DDEE5EF" w14:textId="77777777" w:rsidR="00280C5D" w:rsidRDefault="00280C5D" w:rsidP="003B0E72">
            <w:pPr>
              <w:pStyle w:val="Tableheader"/>
            </w:pPr>
            <w:r>
              <w:t>Final approval</w:t>
            </w:r>
          </w:p>
        </w:tc>
      </w:tr>
      <w:tr w:rsidR="00280C5D" w14:paraId="297A8262" w14:textId="77777777" w:rsidTr="003B0E72">
        <w:tc>
          <w:tcPr>
            <w:tcW w:w="2476" w:type="dxa"/>
          </w:tcPr>
          <w:p w14:paraId="582D805C" w14:textId="7C712D1C" w:rsidR="00280C5D" w:rsidRDefault="00F1433A" w:rsidP="003B0E72">
            <w:pPr>
              <w:pStyle w:val="Tablebody"/>
              <w:rPr>
                <w:lang w:eastAsia="en-US"/>
              </w:rPr>
            </w:pPr>
            <w:r>
              <w:rPr>
                <w:lang w:eastAsia="en-US"/>
              </w:rPr>
              <w:t>10/02/2025</w:t>
            </w:r>
          </w:p>
        </w:tc>
        <w:tc>
          <w:tcPr>
            <w:tcW w:w="2477" w:type="dxa"/>
          </w:tcPr>
          <w:p w14:paraId="64A24042" w14:textId="01D966AC" w:rsidR="00280C5D" w:rsidRDefault="00F1433A" w:rsidP="003B0E72">
            <w:pPr>
              <w:pStyle w:val="Tablebody"/>
              <w:rPr>
                <w:lang w:eastAsia="en-US"/>
              </w:rPr>
            </w:pPr>
            <w:r>
              <w:rPr>
                <w:lang w:eastAsia="en-US"/>
              </w:rPr>
              <w:t>Complete review</w:t>
            </w:r>
          </w:p>
        </w:tc>
        <w:tc>
          <w:tcPr>
            <w:tcW w:w="2555" w:type="dxa"/>
          </w:tcPr>
          <w:p w14:paraId="3F8800F7" w14:textId="4873CFF3" w:rsidR="00280C5D" w:rsidRDefault="00F1433A" w:rsidP="003B0E72">
            <w:pPr>
              <w:pStyle w:val="Tablebody"/>
              <w:rPr>
                <w:lang w:eastAsia="en-US"/>
              </w:rPr>
            </w:pPr>
            <w:r>
              <w:rPr>
                <w:lang w:eastAsia="en-US"/>
              </w:rPr>
              <w:t>Melissa O’Brien, ED CAS</w:t>
            </w:r>
          </w:p>
        </w:tc>
        <w:tc>
          <w:tcPr>
            <w:tcW w:w="2403" w:type="dxa"/>
          </w:tcPr>
          <w:p w14:paraId="5F99C72A" w14:textId="7B0AE12E" w:rsidR="00280C5D" w:rsidRDefault="00F1433A" w:rsidP="003B0E72">
            <w:pPr>
              <w:pStyle w:val="Tablebody"/>
              <w:rPr>
                <w:lang w:eastAsia="en-US"/>
              </w:rPr>
            </w:pPr>
            <w:r>
              <w:rPr>
                <w:lang w:eastAsia="en-US"/>
              </w:rPr>
              <w:t>Policy Document Review Panel</w:t>
            </w:r>
          </w:p>
        </w:tc>
      </w:tr>
      <w:tr w:rsidR="00280C5D" w14:paraId="397DDD53" w14:textId="77777777" w:rsidTr="003B0E72">
        <w:tc>
          <w:tcPr>
            <w:tcW w:w="2476" w:type="dxa"/>
          </w:tcPr>
          <w:p w14:paraId="5BE8A132" w14:textId="77777777" w:rsidR="00280C5D" w:rsidRDefault="00280C5D" w:rsidP="003B0E72">
            <w:pPr>
              <w:pStyle w:val="Tablebody"/>
              <w:rPr>
                <w:lang w:eastAsia="en-US"/>
              </w:rPr>
            </w:pPr>
          </w:p>
        </w:tc>
        <w:tc>
          <w:tcPr>
            <w:tcW w:w="2477" w:type="dxa"/>
          </w:tcPr>
          <w:p w14:paraId="067CF2D4" w14:textId="77777777" w:rsidR="00280C5D" w:rsidRDefault="00280C5D" w:rsidP="003B0E72">
            <w:pPr>
              <w:pStyle w:val="Tablebody"/>
              <w:rPr>
                <w:lang w:eastAsia="en-US"/>
              </w:rPr>
            </w:pPr>
          </w:p>
        </w:tc>
        <w:tc>
          <w:tcPr>
            <w:tcW w:w="2555" w:type="dxa"/>
          </w:tcPr>
          <w:p w14:paraId="027C6591" w14:textId="77777777" w:rsidR="00280C5D" w:rsidRDefault="00280C5D" w:rsidP="003B0E72">
            <w:pPr>
              <w:pStyle w:val="Tablebody"/>
              <w:rPr>
                <w:lang w:eastAsia="en-US"/>
              </w:rPr>
            </w:pPr>
          </w:p>
        </w:tc>
        <w:tc>
          <w:tcPr>
            <w:tcW w:w="2403" w:type="dxa"/>
          </w:tcPr>
          <w:p w14:paraId="79512824" w14:textId="77777777" w:rsidR="00280C5D" w:rsidRDefault="00280C5D" w:rsidP="003B0E72">
            <w:pPr>
              <w:pStyle w:val="Tablebody"/>
              <w:rPr>
                <w:lang w:eastAsia="en-US"/>
              </w:rPr>
            </w:pPr>
          </w:p>
        </w:tc>
      </w:tr>
    </w:tbl>
    <w:p w14:paraId="2CA08774" w14:textId="77777777" w:rsidR="00280C5D" w:rsidRDefault="00280C5D" w:rsidP="00A6051F">
      <w:pPr>
        <w:spacing w:after="120"/>
        <w:rPr>
          <w:lang w:eastAsia="en-US"/>
        </w:rPr>
      </w:pPr>
      <w:r>
        <w:rPr>
          <w:lang w:eastAsia="en-US"/>
        </w:rPr>
        <w:t>This document supersedes the following:</w:t>
      </w:r>
    </w:p>
    <w:tbl>
      <w:tblPr>
        <w:tblStyle w:val="CHSTable"/>
        <w:tblW w:w="10201" w:type="dxa"/>
        <w:tblLook w:val="0420" w:firstRow="1" w:lastRow="0" w:firstColumn="0" w:lastColumn="0" w:noHBand="0" w:noVBand="1"/>
      </w:tblPr>
      <w:tblGrid>
        <w:gridCol w:w="2548"/>
        <w:gridCol w:w="7653"/>
      </w:tblGrid>
      <w:tr w:rsidR="00280C5D" w14:paraId="3B984B56" w14:textId="77777777" w:rsidTr="003B0E72">
        <w:trPr>
          <w:cnfStyle w:val="100000000000" w:firstRow="1" w:lastRow="0" w:firstColumn="0" w:lastColumn="0" w:oddVBand="0" w:evenVBand="0" w:oddHBand="0" w:evenHBand="0" w:firstRowFirstColumn="0" w:firstRowLastColumn="0" w:lastRowFirstColumn="0" w:lastRowLastColumn="0"/>
        </w:trPr>
        <w:tc>
          <w:tcPr>
            <w:tcW w:w="2548" w:type="dxa"/>
          </w:tcPr>
          <w:p w14:paraId="25793FDD" w14:textId="77777777" w:rsidR="00280C5D" w:rsidRDefault="00280C5D" w:rsidP="003B0E72">
            <w:pPr>
              <w:pStyle w:val="Tableheader"/>
            </w:pPr>
            <w:r>
              <w:t>Document number</w:t>
            </w:r>
          </w:p>
        </w:tc>
        <w:tc>
          <w:tcPr>
            <w:tcW w:w="7653" w:type="dxa"/>
          </w:tcPr>
          <w:p w14:paraId="3793C924" w14:textId="77777777" w:rsidR="00280C5D" w:rsidRDefault="00280C5D" w:rsidP="003B0E72">
            <w:pPr>
              <w:pStyle w:val="Tableheader"/>
            </w:pPr>
            <w:r>
              <w:t>Document name</w:t>
            </w:r>
          </w:p>
        </w:tc>
      </w:tr>
      <w:tr w:rsidR="00280C5D" w14:paraId="3A6A2B44" w14:textId="77777777" w:rsidTr="003B0E72">
        <w:tc>
          <w:tcPr>
            <w:tcW w:w="2548" w:type="dxa"/>
          </w:tcPr>
          <w:p w14:paraId="5C8EF33D" w14:textId="09743B3E" w:rsidR="00280C5D" w:rsidRDefault="00F1433A" w:rsidP="003B0E72">
            <w:pPr>
              <w:pStyle w:val="Tablebody"/>
              <w:rPr>
                <w:lang w:eastAsia="en-US"/>
              </w:rPr>
            </w:pPr>
            <w:r>
              <w:rPr>
                <w:lang w:eastAsia="en-US"/>
              </w:rPr>
              <w:t>CHS21/506</w:t>
            </w:r>
          </w:p>
        </w:tc>
        <w:tc>
          <w:tcPr>
            <w:tcW w:w="7653" w:type="dxa"/>
          </w:tcPr>
          <w:p w14:paraId="7316528F" w14:textId="7C3667F1" w:rsidR="00280C5D" w:rsidRDefault="00F1433A" w:rsidP="003B0E72">
            <w:pPr>
              <w:pStyle w:val="Tablebody"/>
              <w:rPr>
                <w:lang w:eastAsia="en-US"/>
              </w:rPr>
            </w:pPr>
            <w:r>
              <w:rPr>
                <w:lang w:eastAsia="en-US"/>
              </w:rPr>
              <w:t>Intrathecal Chemotherapy Administration (Adults and Adolescents) Procedure</w:t>
            </w:r>
          </w:p>
        </w:tc>
      </w:tr>
      <w:tr w:rsidR="00280C5D" w14:paraId="49445360" w14:textId="77777777" w:rsidTr="003B0E72">
        <w:tc>
          <w:tcPr>
            <w:tcW w:w="2548" w:type="dxa"/>
          </w:tcPr>
          <w:p w14:paraId="160A9829" w14:textId="77777777" w:rsidR="00280C5D" w:rsidRDefault="00280C5D" w:rsidP="003B0E72">
            <w:pPr>
              <w:pStyle w:val="Tablebody"/>
              <w:rPr>
                <w:lang w:eastAsia="en-US"/>
              </w:rPr>
            </w:pPr>
          </w:p>
        </w:tc>
        <w:tc>
          <w:tcPr>
            <w:tcW w:w="7653" w:type="dxa"/>
          </w:tcPr>
          <w:p w14:paraId="2F7C292C" w14:textId="77777777" w:rsidR="00280C5D" w:rsidRDefault="00280C5D" w:rsidP="003B0E72">
            <w:pPr>
              <w:pStyle w:val="Tablebody"/>
              <w:rPr>
                <w:lang w:eastAsia="en-US"/>
              </w:rPr>
            </w:pPr>
          </w:p>
        </w:tc>
      </w:tr>
    </w:tbl>
    <w:p w14:paraId="5D3F7446" w14:textId="77777777" w:rsidR="00280C5D" w:rsidRPr="001F3ED6" w:rsidRDefault="00280C5D" w:rsidP="001F3ED6">
      <w:pPr>
        <w:pStyle w:val="BodyCopy"/>
        <w:rPr>
          <w:rStyle w:val="Bold"/>
        </w:rPr>
      </w:pPr>
      <w:r w:rsidRPr="001F3ED6">
        <w:rPr>
          <w:rStyle w:val="Bold"/>
        </w:rPr>
        <w:t>Disclaimer</w:t>
      </w:r>
    </w:p>
    <w:p w14:paraId="665C7892" w14:textId="77777777" w:rsidR="00280C5D" w:rsidRDefault="00280C5D" w:rsidP="00280C5D">
      <w:pPr>
        <w:rPr>
          <w:lang w:eastAsia="en-US"/>
        </w:rPr>
      </w:pPr>
      <w:r w:rsidRPr="00481A6C">
        <w:rPr>
          <w:lang w:eastAsia="en-US"/>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p w14:paraId="048A5C66" w14:textId="77777777" w:rsidR="00280C5D" w:rsidRDefault="00C27FE2" w:rsidP="00280C5D">
      <w:pPr>
        <w:pStyle w:val="Bullet"/>
        <w:numPr>
          <w:ilvl w:val="0"/>
          <w:numId w:val="0"/>
        </w:numPr>
        <w:rPr>
          <w:rStyle w:val="Hyperlink"/>
        </w:rPr>
      </w:pPr>
      <w:hyperlink w:anchor="_top" w:history="1">
        <w:r w:rsidR="00280C5D" w:rsidRPr="00481A6C">
          <w:rPr>
            <w:rStyle w:val="Hyperlink"/>
          </w:rPr>
          <w:t>Back to Contents</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F3EE"/>
        <w:tblLook w:val="04A0" w:firstRow="1" w:lastRow="0" w:firstColumn="1" w:lastColumn="0" w:noHBand="0" w:noVBand="1"/>
        <w:tblCaption w:val="Table  title"/>
        <w:tblDescription w:val="Table description."/>
      </w:tblPr>
      <w:tblGrid>
        <w:gridCol w:w="5271"/>
        <w:gridCol w:w="4650"/>
      </w:tblGrid>
      <w:tr w:rsidR="00280C5D" w14:paraId="715AEF30" w14:textId="77777777" w:rsidTr="007202C5">
        <w:tc>
          <w:tcPr>
            <w:tcW w:w="5271" w:type="dxa"/>
            <w:shd w:val="clear" w:color="auto" w:fill="F4F3EE"/>
            <w:tcMar>
              <w:top w:w="142" w:type="dxa"/>
              <w:left w:w="170" w:type="dxa"/>
              <w:bottom w:w="142" w:type="dxa"/>
              <w:right w:w="170" w:type="dxa"/>
            </w:tcMar>
          </w:tcPr>
          <w:bookmarkStart w:id="30" w:name="_Hlk160027189" w:displacedByCustomXml="next"/>
          <w:sdt>
            <w:sdtPr>
              <w:rPr>
                <w:color w:val="auto"/>
                <w:u w:val="single"/>
              </w:rPr>
              <w:id w:val="643171884"/>
              <w:placeholder>
                <w:docPart w:val="CF5EFA31ECC44B2297107563352624C8"/>
              </w:placeholder>
            </w:sdtPr>
            <w:sdtEndPr>
              <w:rPr>
                <w:color w:val="000000" w:themeColor="text1"/>
                <w:u w:val="none"/>
              </w:rPr>
            </w:sdtEndPr>
            <w:sdtContent>
              <w:p w14:paraId="756D44A5" w14:textId="77777777" w:rsidR="00280C5D" w:rsidRPr="00350211" w:rsidRDefault="00280C5D" w:rsidP="003B0E72">
                <w:pPr>
                  <w:pStyle w:val="Bottomblocktext"/>
                  <w:rPr>
                    <w:b/>
                    <w:bCs w:val="0"/>
                    <w:sz w:val="20"/>
                    <w:szCs w:val="20"/>
                  </w:rPr>
                </w:pPr>
                <w:r>
                  <w:rPr>
                    <w:noProof/>
                    <w:sz w:val="20"/>
                    <w:szCs w:val="20"/>
                  </w:rPr>
                  <w:drawing>
                    <wp:inline distT="0" distB="0" distL="0" distR="0" wp14:anchorId="41C33994" wp14:editId="7984B555">
                      <wp:extent cx="282575" cy="285750"/>
                      <wp:effectExtent l="0" t="0" r="3175" b="0"/>
                      <wp:docPr id="16" name="Picture 16"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11"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Acknowledgement of Country</w:t>
                </w:r>
                <w:r>
                  <w:rPr>
                    <w:b/>
                    <w:bCs w:val="0"/>
                    <w:sz w:val="20"/>
                    <w:szCs w:val="20"/>
                  </w:rPr>
                  <w:t xml:space="preserve"> </w:t>
                </w:r>
              </w:p>
              <w:p w14:paraId="7BEF6BBE" w14:textId="77777777" w:rsidR="00280C5D" w:rsidRDefault="00280C5D" w:rsidP="003B0E72">
                <w:pPr>
                  <w:pStyle w:val="Bottomblocktext"/>
                  <w:rPr>
                    <w:sz w:val="20"/>
                    <w:szCs w:val="20"/>
                  </w:rPr>
                </w:pPr>
                <w:r w:rsidRPr="00350211">
                  <w:rPr>
                    <w:sz w:val="20"/>
                    <w:szCs w:val="20"/>
                  </w:rPr>
                  <w:t>Canberra Health Services acknowledges the Ngunnawal people as traditional custodians of the ACT and recognises any other people or families with connection to the lands of the ACT and region. We acknowledge and respect their continuing culture and contribution to the life of this region.</w:t>
                </w:r>
              </w:p>
              <w:p w14:paraId="2B055754" w14:textId="77777777" w:rsidR="00280C5D" w:rsidRPr="00350211" w:rsidRDefault="00280C5D" w:rsidP="003B0E72">
                <w:pPr>
                  <w:pStyle w:val="Bottomblocktext"/>
                </w:pPr>
                <w:r w:rsidRPr="00AF532B">
                  <w:t>© Australian Capital Territory, C</w:t>
                </w:r>
                <w:r w:rsidRPr="003F6C0E">
                  <w:t>anberra 20</w:t>
                </w:r>
                <w:sdt>
                  <w:sdtPr>
                    <w:alias w:val="Year selector"/>
                    <w:tag w:val="Year selector"/>
                    <w:id w:val="1385675321"/>
                    <w:placeholder>
                      <w:docPart w:val="6D6DF7A945474FDD93512A87380C0175"/>
                    </w:placeholder>
                    <w:dropDownList>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Pr="003F6C0E">
                      <w:t>24</w:t>
                    </w:r>
                  </w:sdtContent>
                </w:sdt>
              </w:p>
            </w:sdtContent>
          </w:sdt>
        </w:tc>
        <w:sdt>
          <w:sdtPr>
            <w:id w:val="637692764"/>
            <w:placeholder>
              <w:docPart w:val="3B5602A05254435E8D7DBC778B21ED81"/>
            </w:placeholder>
            <w:showingPlcHdr/>
          </w:sdtPr>
          <w:sdtEndPr/>
          <w:sdtContent>
            <w:tc>
              <w:tcPr>
                <w:tcW w:w="4650" w:type="dxa"/>
                <w:shd w:val="clear" w:color="auto" w:fill="F4F3EE"/>
                <w:tcMar>
                  <w:top w:w="142" w:type="dxa"/>
                  <w:left w:w="170" w:type="dxa"/>
                  <w:bottom w:w="142" w:type="dxa"/>
                  <w:right w:w="170" w:type="dxa"/>
                </w:tcMar>
              </w:tcPr>
              <w:p w14:paraId="06F3FC5F" w14:textId="77777777" w:rsidR="00280C5D" w:rsidRPr="00F26C97" w:rsidRDefault="00280C5D" w:rsidP="003B0E72">
                <w:pPr>
                  <w:pStyle w:val="Bottomblocktext"/>
                  <w:rPr>
                    <w:b/>
                    <w:bCs w:val="0"/>
                    <w:sz w:val="20"/>
                    <w:szCs w:val="20"/>
                  </w:rPr>
                </w:pPr>
                <w:r>
                  <w:rPr>
                    <w:b/>
                    <w:bCs w:val="0"/>
                    <w:noProof/>
                    <w:sz w:val="20"/>
                    <w:szCs w:val="20"/>
                  </w:rPr>
                  <w:drawing>
                    <wp:inline distT="0" distB="0" distL="0" distR="0" wp14:anchorId="732D8486" wp14:editId="3441F241">
                      <wp:extent cx="338275" cy="331065"/>
                      <wp:effectExtent l="0" t="0" r="5080" b="0"/>
                      <wp:docPr id="17" name="Picture 17"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12"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60F77EE7" wp14:editId="11CC5536">
                      <wp:extent cx="143919" cy="139700"/>
                      <wp:effectExtent l="0" t="0" r="8890" b="0"/>
                      <wp:docPr id="18" name="Picture 1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13"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14:paraId="59258D98" w14:textId="77777777" w:rsidR="00280C5D" w:rsidRPr="00F26C97" w:rsidRDefault="00280C5D" w:rsidP="003B0E72">
                <w:pPr>
                  <w:pStyle w:val="Bottomblocktext"/>
                  <w:rPr>
                    <w:b/>
                    <w:bCs w:val="0"/>
                    <w:sz w:val="20"/>
                    <w:szCs w:val="20"/>
                  </w:rPr>
                </w:pPr>
                <w:r>
                  <w:rPr>
                    <w:b/>
                    <w:bCs w:val="0"/>
                    <w:noProof/>
                    <w:sz w:val="20"/>
                    <w:szCs w:val="20"/>
                  </w:rPr>
                  <w:drawing>
                    <wp:inline distT="0" distB="0" distL="0" distR="0" wp14:anchorId="66EDC4AB" wp14:editId="4A9EBBF9">
                      <wp:extent cx="326104" cy="323850"/>
                      <wp:effectExtent l="0" t="0" r="0" b="0"/>
                      <wp:docPr id="19" name="Picture 19"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14"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469E0FDB" wp14:editId="38D31A94">
                      <wp:extent cx="143919" cy="139700"/>
                      <wp:effectExtent l="0" t="0" r="8890" b="0"/>
                      <wp:docPr id="20" name="Picture 20"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13"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14:paraId="10B5EC32" w14:textId="77777777" w:rsidR="00280C5D" w:rsidRDefault="00C27FE2" w:rsidP="003B0E72">
                <w:pPr>
                  <w:pStyle w:val="Bottomblocktext"/>
                  <w:rPr>
                    <w:sz w:val="20"/>
                    <w:szCs w:val="20"/>
                  </w:rPr>
                </w:pPr>
                <w:hyperlink r:id="rId15" w:history="1">
                  <w:r w:rsidR="00280C5D" w:rsidRPr="00350211">
                    <w:rPr>
                      <w:rStyle w:val="Hyperlink"/>
                      <w:sz w:val="20"/>
                      <w:szCs w:val="20"/>
                    </w:rPr>
                    <w:t>canberrahealthservices.act.gov.au/accessibility</w:t>
                  </w:r>
                </w:hyperlink>
              </w:p>
              <w:p w14:paraId="2E32E3D3" w14:textId="77777777" w:rsidR="00280C5D" w:rsidRDefault="00280C5D" w:rsidP="003B0E72">
                <w:pPr>
                  <w:pStyle w:val="Bottomblocktext"/>
                </w:pPr>
                <w:r>
                  <w:rPr>
                    <w:b/>
                    <w:bCs w:val="0"/>
                    <w:noProof/>
                  </w:rPr>
                  <w:drawing>
                    <wp:inline distT="0" distB="0" distL="0" distR="0" wp14:anchorId="15AF6753" wp14:editId="051BA08A">
                      <wp:extent cx="1323833" cy="309418"/>
                      <wp:effectExtent l="0" t="0" r="0" b="0"/>
                      <wp:docPr id="21" name="Picture 21"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16"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tc>
          </w:sdtContent>
        </w:sdt>
      </w:tr>
      <w:bookmarkEnd w:id="0"/>
      <w:bookmarkEnd w:id="30"/>
    </w:tbl>
    <w:p w14:paraId="0F441416" w14:textId="77777777" w:rsidR="00A513AA" w:rsidRDefault="00A513AA" w:rsidP="00201AF6">
      <w:pPr>
        <w:pStyle w:val="BodyCopy"/>
      </w:pPr>
    </w:p>
    <w:sectPr w:rsidR="00A513AA" w:rsidSect="0007270D">
      <w:footerReference w:type="default" r:id="rId17"/>
      <w:headerReference w:type="first" r:id="rId18"/>
      <w:footerReference w:type="first" r:id="rId19"/>
      <w:pgSz w:w="11906" w:h="16838" w:code="9"/>
      <w:pgMar w:top="970" w:right="1134" w:bottom="1134" w:left="851" w:header="284" w:footer="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930A7" w14:textId="77777777" w:rsidR="007A2563" w:rsidRDefault="007A2563" w:rsidP="00225769">
      <w:pPr>
        <w:spacing w:after="0" w:line="240" w:lineRule="auto"/>
      </w:pPr>
      <w:r>
        <w:separator/>
      </w:r>
    </w:p>
    <w:p w14:paraId="322C18B0" w14:textId="77777777" w:rsidR="007A2563" w:rsidRDefault="007A2563"/>
    <w:p w14:paraId="60BBDD3F" w14:textId="77777777" w:rsidR="007A2563" w:rsidRDefault="007A2563"/>
    <w:p w14:paraId="22239467" w14:textId="77777777" w:rsidR="007A2563" w:rsidRDefault="007A2563"/>
    <w:p w14:paraId="4A00F714" w14:textId="77777777" w:rsidR="007A2563" w:rsidRDefault="007A2563"/>
    <w:p w14:paraId="221394EE" w14:textId="77777777" w:rsidR="007A2563" w:rsidRDefault="007A2563"/>
    <w:p w14:paraId="6445400E" w14:textId="77777777" w:rsidR="007A2563" w:rsidRDefault="007A2563"/>
  </w:endnote>
  <w:endnote w:type="continuationSeparator" w:id="0">
    <w:p w14:paraId="46CCAA5C" w14:textId="77777777" w:rsidR="007A2563" w:rsidRDefault="007A2563" w:rsidP="00225769">
      <w:pPr>
        <w:spacing w:after="0" w:line="240" w:lineRule="auto"/>
      </w:pPr>
      <w:r>
        <w:continuationSeparator/>
      </w:r>
    </w:p>
    <w:p w14:paraId="34B056CD" w14:textId="77777777" w:rsidR="007A2563" w:rsidRDefault="007A2563"/>
    <w:p w14:paraId="6BFEC5F8" w14:textId="77777777" w:rsidR="007A2563" w:rsidRDefault="007A2563"/>
    <w:p w14:paraId="27FDB095" w14:textId="77777777" w:rsidR="007A2563" w:rsidRDefault="007A2563"/>
    <w:p w14:paraId="4A6C16C6" w14:textId="77777777" w:rsidR="007A2563" w:rsidRDefault="007A2563"/>
    <w:p w14:paraId="2FB2912F" w14:textId="77777777" w:rsidR="007A2563" w:rsidRDefault="007A2563"/>
    <w:p w14:paraId="70787716" w14:textId="77777777" w:rsidR="007A2563" w:rsidRDefault="007A25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481A6C" w:rsidRPr="006B62B4" w14:paraId="01A196AB" w14:textId="77777777" w:rsidTr="003B0E72">
      <w:trPr>
        <w:jc w:val="center"/>
      </w:trPr>
      <w:tc>
        <w:tcPr>
          <w:tcW w:w="1515" w:type="dxa"/>
        </w:tcPr>
        <w:p w14:paraId="5907AACB" w14:textId="77777777" w:rsidR="00481A6C" w:rsidRPr="006B62B4" w:rsidRDefault="00481A6C" w:rsidP="00481A6C">
          <w:pPr>
            <w:pStyle w:val="Footer"/>
            <w:jc w:val="center"/>
            <w:rPr>
              <w:b/>
              <w:bCs/>
              <w:iCs/>
              <w:sz w:val="20"/>
              <w:szCs w:val="20"/>
            </w:rPr>
          </w:pPr>
          <w:r w:rsidRPr="006B62B4">
            <w:rPr>
              <w:b/>
              <w:bCs/>
              <w:iCs/>
              <w:sz w:val="20"/>
              <w:szCs w:val="20"/>
            </w:rPr>
            <w:t>Doc Number</w:t>
          </w:r>
        </w:p>
      </w:tc>
      <w:tc>
        <w:tcPr>
          <w:tcW w:w="965" w:type="dxa"/>
        </w:tcPr>
        <w:p w14:paraId="163017C6" w14:textId="77777777" w:rsidR="00481A6C" w:rsidRPr="006B62B4" w:rsidRDefault="00481A6C" w:rsidP="00481A6C">
          <w:pPr>
            <w:pStyle w:val="Footer"/>
            <w:jc w:val="center"/>
            <w:rPr>
              <w:b/>
              <w:bCs/>
              <w:iCs/>
              <w:sz w:val="20"/>
              <w:szCs w:val="20"/>
            </w:rPr>
          </w:pPr>
          <w:r w:rsidRPr="006B62B4">
            <w:rPr>
              <w:b/>
              <w:bCs/>
              <w:iCs/>
              <w:sz w:val="20"/>
              <w:szCs w:val="20"/>
            </w:rPr>
            <w:t>Version</w:t>
          </w:r>
        </w:p>
      </w:tc>
      <w:tc>
        <w:tcPr>
          <w:tcW w:w="1552" w:type="dxa"/>
        </w:tcPr>
        <w:p w14:paraId="4E0CBB3B" w14:textId="77777777" w:rsidR="00481A6C" w:rsidRPr="006B62B4" w:rsidRDefault="00481A6C" w:rsidP="00481A6C">
          <w:pPr>
            <w:pStyle w:val="Footer"/>
            <w:jc w:val="center"/>
            <w:rPr>
              <w:b/>
              <w:bCs/>
              <w:iCs/>
              <w:sz w:val="20"/>
              <w:szCs w:val="20"/>
            </w:rPr>
          </w:pPr>
          <w:r w:rsidRPr="006B62B4">
            <w:rPr>
              <w:b/>
              <w:bCs/>
              <w:iCs/>
              <w:sz w:val="20"/>
              <w:szCs w:val="20"/>
            </w:rPr>
            <w:t>Issued</w:t>
          </w:r>
        </w:p>
      </w:tc>
      <w:tc>
        <w:tcPr>
          <w:tcW w:w="1456" w:type="dxa"/>
        </w:tcPr>
        <w:p w14:paraId="59779807" w14:textId="77777777" w:rsidR="00481A6C" w:rsidRPr="006B62B4" w:rsidRDefault="00481A6C" w:rsidP="00481A6C">
          <w:pPr>
            <w:pStyle w:val="Footer"/>
            <w:jc w:val="center"/>
            <w:rPr>
              <w:b/>
              <w:bCs/>
              <w:iCs/>
              <w:sz w:val="20"/>
              <w:szCs w:val="20"/>
            </w:rPr>
          </w:pPr>
          <w:r w:rsidRPr="006B62B4">
            <w:rPr>
              <w:b/>
              <w:bCs/>
              <w:iCs/>
              <w:sz w:val="20"/>
              <w:szCs w:val="20"/>
            </w:rPr>
            <w:t>Review Date</w:t>
          </w:r>
        </w:p>
      </w:tc>
      <w:tc>
        <w:tcPr>
          <w:tcW w:w="1746" w:type="dxa"/>
        </w:tcPr>
        <w:p w14:paraId="5C103D53" w14:textId="77777777" w:rsidR="00481A6C" w:rsidRPr="006B62B4" w:rsidRDefault="00481A6C" w:rsidP="00481A6C">
          <w:pPr>
            <w:pStyle w:val="Footer"/>
            <w:jc w:val="center"/>
            <w:rPr>
              <w:b/>
              <w:bCs/>
              <w:iCs/>
              <w:sz w:val="20"/>
              <w:szCs w:val="20"/>
            </w:rPr>
          </w:pPr>
          <w:r w:rsidRPr="006B62B4">
            <w:rPr>
              <w:b/>
              <w:bCs/>
              <w:iCs/>
              <w:sz w:val="20"/>
              <w:szCs w:val="20"/>
            </w:rPr>
            <w:t xml:space="preserve">Area </w:t>
          </w:r>
        </w:p>
      </w:tc>
      <w:tc>
        <w:tcPr>
          <w:tcW w:w="1836" w:type="dxa"/>
        </w:tcPr>
        <w:p w14:paraId="760D91DC" w14:textId="77777777" w:rsidR="00481A6C" w:rsidRPr="006B62B4" w:rsidRDefault="00481A6C" w:rsidP="00481A6C">
          <w:pPr>
            <w:pStyle w:val="Footer"/>
            <w:jc w:val="center"/>
            <w:rPr>
              <w:b/>
              <w:bCs/>
              <w:iCs/>
              <w:sz w:val="20"/>
              <w:szCs w:val="20"/>
            </w:rPr>
          </w:pPr>
          <w:r w:rsidRPr="006B62B4">
            <w:rPr>
              <w:b/>
              <w:bCs/>
              <w:iCs/>
              <w:sz w:val="20"/>
              <w:szCs w:val="20"/>
            </w:rPr>
            <w:t>Page</w:t>
          </w:r>
        </w:p>
      </w:tc>
    </w:tr>
    <w:tr w:rsidR="00C27FE2" w:rsidRPr="006B62B4" w14:paraId="66F24E41" w14:textId="77777777" w:rsidTr="003B0E72">
      <w:trPr>
        <w:jc w:val="center"/>
      </w:trPr>
      <w:tc>
        <w:tcPr>
          <w:tcW w:w="1515" w:type="dxa"/>
        </w:tcPr>
        <w:p w14:paraId="2F1DC768" w14:textId="15037FBD" w:rsidR="00C27FE2" w:rsidRPr="00954F7B" w:rsidRDefault="00C27FE2" w:rsidP="00C27FE2">
          <w:pPr>
            <w:pStyle w:val="Footer"/>
            <w:jc w:val="center"/>
            <w:rPr>
              <w:bCs/>
              <w:iCs/>
              <w:sz w:val="20"/>
              <w:szCs w:val="20"/>
            </w:rPr>
          </w:pPr>
          <w:r>
            <w:rPr>
              <w:bCs/>
              <w:iCs/>
              <w:sz w:val="20"/>
              <w:szCs w:val="20"/>
            </w:rPr>
            <w:t>CHS25/099</w:t>
          </w:r>
        </w:p>
      </w:tc>
      <w:tc>
        <w:tcPr>
          <w:tcW w:w="965" w:type="dxa"/>
        </w:tcPr>
        <w:p w14:paraId="2477BDD8" w14:textId="656794FF" w:rsidR="00C27FE2" w:rsidRPr="00954F7B" w:rsidRDefault="00C27FE2" w:rsidP="00C27FE2">
          <w:pPr>
            <w:pStyle w:val="Footer"/>
            <w:jc w:val="center"/>
            <w:rPr>
              <w:bCs/>
              <w:iCs/>
              <w:sz w:val="20"/>
              <w:szCs w:val="20"/>
            </w:rPr>
          </w:pPr>
          <w:r>
            <w:rPr>
              <w:bCs/>
              <w:iCs/>
              <w:sz w:val="20"/>
              <w:szCs w:val="20"/>
            </w:rPr>
            <w:t>V1</w:t>
          </w:r>
        </w:p>
      </w:tc>
      <w:tc>
        <w:tcPr>
          <w:tcW w:w="1552" w:type="dxa"/>
        </w:tcPr>
        <w:p w14:paraId="20BADD60" w14:textId="177751E5" w:rsidR="00C27FE2" w:rsidRPr="00954F7B" w:rsidRDefault="00C27FE2" w:rsidP="00C27FE2">
          <w:pPr>
            <w:pStyle w:val="Footer"/>
            <w:jc w:val="center"/>
            <w:rPr>
              <w:bCs/>
              <w:iCs/>
              <w:sz w:val="20"/>
              <w:szCs w:val="20"/>
            </w:rPr>
          </w:pPr>
          <w:r>
            <w:rPr>
              <w:bCs/>
              <w:iCs/>
              <w:sz w:val="20"/>
              <w:szCs w:val="20"/>
            </w:rPr>
            <w:t>10/02/2025</w:t>
          </w:r>
        </w:p>
      </w:tc>
      <w:tc>
        <w:tcPr>
          <w:tcW w:w="1456" w:type="dxa"/>
        </w:tcPr>
        <w:p w14:paraId="3BCB7C29" w14:textId="6A5C8720" w:rsidR="00C27FE2" w:rsidRPr="00954F7B" w:rsidRDefault="00C27FE2" w:rsidP="00C27FE2">
          <w:pPr>
            <w:pStyle w:val="Footer"/>
            <w:jc w:val="center"/>
            <w:rPr>
              <w:bCs/>
              <w:iCs/>
              <w:sz w:val="20"/>
              <w:szCs w:val="20"/>
            </w:rPr>
          </w:pPr>
          <w:r>
            <w:rPr>
              <w:bCs/>
              <w:iCs/>
              <w:sz w:val="20"/>
              <w:szCs w:val="20"/>
            </w:rPr>
            <w:t>01/02/2028</w:t>
          </w:r>
        </w:p>
      </w:tc>
      <w:tc>
        <w:tcPr>
          <w:tcW w:w="1746" w:type="dxa"/>
        </w:tcPr>
        <w:p w14:paraId="08670FA5" w14:textId="1C3C610C" w:rsidR="00C27FE2" w:rsidRPr="00954F7B" w:rsidRDefault="00C27FE2" w:rsidP="00C27FE2">
          <w:pPr>
            <w:pStyle w:val="Footer"/>
            <w:jc w:val="center"/>
            <w:rPr>
              <w:bCs/>
              <w:iCs/>
              <w:sz w:val="20"/>
              <w:szCs w:val="20"/>
            </w:rPr>
          </w:pPr>
          <w:r>
            <w:rPr>
              <w:bCs/>
              <w:iCs/>
              <w:sz w:val="20"/>
              <w:szCs w:val="20"/>
            </w:rPr>
            <w:t>CAS – Haematology</w:t>
          </w:r>
        </w:p>
      </w:tc>
      <w:tc>
        <w:tcPr>
          <w:tcW w:w="1836" w:type="dxa"/>
        </w:tcPr>
        <w:p w14:paraId="74CFE788" w14:textId="77777777" w:rsidR="00C27FE2" w:rsidRPr="00954F7B" w:rsidRDefault="00C27FE2" w:rsidP="00C27FE2">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3</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4</w:t>
          </w:r>
          <w:r w:rsidRPr="00954F7B">
            <w:rPr>
              <w:rStyle w:val="PageNumber"/>
              <w:bCs/>
              <w:iCs/>
              <w:sz w:val="20"/>
              <w:szCs w:val="20"/>
            </w:rPr>
            <w:fldChar w:fldCharType="end"/>
          </w:r>
        </w:p>
      </w:tc>
    </w:tr>
  </w:tbl>
  <w:p w14:paraId="78B10B92" w14:textId="77777777" w:rsidR="005C71BC" w:rsidRPr="00481A6C" w:rsidRDefault="00481A6C" w:rsidP="00481A6C">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8A3DD8" w:rsidRPr="006B62B4" w14:paraId="461B8FE2" w14:textId="77777777" w:rsidTr="008E1ED9">
      <w:trPr>
        <w:jc w:val="center"/>
      </w:trPr>
      <w:tc>
        <w:tcPr>
          <w:tcW w:w="1515" w:type="dxa"/>
        </w:tcPr>
        <w:p w14:paraId="096208BE" w14:textId="77777777" w:rsidR="008A3DD8" w:rsidRPr="006B62B4" w:rsidRDefault="008A3DD8" w:rsidP="008A3DD8">
          <w:pPr>
            <w:pStyle w:val="Footer"/>
            <w:jc w:val="center"/>
            <w:rPr>
              <w:b/>
              <w:bCs/>
              <w:iCs/>
              <w:sz w:val="20"/>
              <w:szCs w:val="20"/>
            </w:rPr>
          </w:pPr>
          <w:r>
            <w:rPr>
              <w:b/>
              <w:bCs/>
              <w:iCs/>
              <w:sz w:val="20"/>
              <w:szCs w:val="20"/>
            </w:rPr>
            <w:t xml:space="preserve"> </w:t>
          </w:r>
          <w:r w:rsidRPr="006B62B4">
            <w:rPr>
              <w:b/>
              <w:bCs/>
              <w:iCs/>
              <w:sz w:val="20"/>
              <w:szCs w:val="20"/>
            </w:rPr>
            <w:t>Doc Number</w:t>
          </w:r>
        </w:p>
      </w:tc>
      <w:tc>
        <w:tcPr>
          <w:tcW w:w="965" w:type="dxa"/>
        </w:tcPr>
        <w:p w14:paraId="10F609CA" w14:textId="77777777" w:rsidR="008A3DD8" w:rsidRPr="006B62B4" w:rsidRDefault="008A3DD8" w:rsidP="008A3DD8">
          <w:pPr>
            <w:pStyle w:val="Footer"/>
            <w:jc w:val="center"/>
            <w:rPr>
              <w:b/>
              <w:bCs/>
              <w:iCs/>
              <w:sz w:val="20"/>
              <w:szCs w:val="20"/>
            </w:rPr>
          </w:pPr>
          <w:r w:rsidRPr="006B62B4">
            <w:rPr>
              <w:b/>
              <w:bCs/>
              <w:iCs/>
              <w:sz w:val="20"/>
              <w:szCs w:val="20"/>
            </w:rPr>
            <w:t>Version</w:t>
          </w:r>
        </w:p>
      </w:tc>
      <w:tc>
        <w:tcPr>
          <w:tcW w:w="1552" w:type="dxa"/>
        </w:tcPr>
        <w:p w14:paraId="49E236AA" w14:textId="77777777" w:rsidR="008A3DD8" w:rsidRPr="006B62B4" w:rsidRDefault="008A3DD8" w:rsidP="008A3DD8">
          <w:pPr>
            <w:pStyle w:val="Footer"/>
            <w:jc w:val="center"/>
            <w:rPr>
              <w:b/>
              <w:bCs/>
              <w:iCs/>
              <w:sz w:val="20"/>
              <w:szCs w:val="20"/>
            </w:rPr>
          </w:pPr>
          <w:r w:rsidRPr="006B62B4">
            <w:rPr>
              <w:b/>
              <w:bCs/>
              <w:iCs/>
              <w:sz w:val="20"/>
              <w:szCs w:val="20"/>
            </w:rPr>
            <w:t>Issued</w:t>
          </w:r>
        </w:p>
      </w:tc>
      <w:tc>
        <w:tcPr>
          <w:tcW w:w="1456" w:type="dxa"/>
        </w:tcPr>
        <w:p w14:paraId="0657FF03" w14:textId="77777777" w:rsidR="008A3DD8" w:rsidRPr="006B62B4" w:rsidRDefault="008A3DD8" w:rsidP="008A3DD8">
          <w:pPr>
            <w:pStyle w:val="Footer"/>
            <w:jc w:val="center"/>
            <w:rPr>
              <w:b/>
              <w:bCs/>
              <w:iCs/>
              <w:sz w:val="20"/>
              <w:szCs w:val="20"/>
            </w:rPr>
          </w:pPr>
          <w:r w:rsidRPr="006B62B4">
            <w:rPr>
              <w:b/>
              <w:bCs/>
              <w:iCs/>
              <w:sz w:val="20"/>
              <w:szCs w:val="20"/>
            </w:rPr>
            <w:t>Review Date</w:t>
          </w:r>
        </w:p>
      </w:tc>
      <w:tc>
        <w:tcPr>
          <w:tcW w:w="1746" w:type="dxa"/>
        </w:tcPr>
        <w:p w14:paraId="78DED51A" w14:textId="77777777" w:rsidR="008A3DD8" w:rsidRPr="006B62B4" w:rsidRDefault="008A3DD8" w:rsidP="008A3DD8">
          <w:pPr>
            <w:pStyle w:val="Footer"/>
            <w:jc w:val="center"/>
            <w:rPr>
              <w:b/>
              <w:bCs/>
              <w:iCs/>
              <w:sz w:val="20"/>
              <w:szCs w:val="20"/>
            </w:rPr>
          </w:pPr>
          <w:r w:rsidRPr="006B62B4">
            <w:rPr>
              <w:b/>
              <w:bCs/>
              <w:iCs/>
              <w:sz w:val="20"/>
              <w:szCs w:val="20"/>
            </w:rPr>
            <w:t xml:space="preserve">Area </w:t>
          </w:r>
        </w:p>
      </w:tc>
      <w:tc>
        <w:tcPr>
          <w:tcW w:w="1836" w:type="dxa"/>
        </w:tcPr>
        <w:p w14:paraId="17A23D6F" w14:textId="77777777" w:rsidR="008A3DD8" w:rsidRPr="006B62B4" w:rsidRDefault="008A3DD8" w:rsidP="008A3DD8">
          <w:pPr>
            <w:pStyle w:val="Footer"/>
            <w:jc w:val="center"/>
            <w:rPr>
              <w:b/>
              <w:bCs/>
              <w:iCs/>
              <w:sz w:val="20"/>
              <w:szCs w:val="20"/>
            </w:rPr>
          </w:pPr>
          <w:r w:rsidRPr="006B62B4">
            <w:rPr>
              <w:b/>
              <w:bCs/>
              <w:iCs/>
              <w:sz w:val="20"/>
              <w:szCs w:val="20"/>
            </w:rPr>
            <w:t>Page</w:t>
          </w:r>
        </w:p>
      </w:tc>
    </w:tr>
    <w:tr w:rsidR="008A3DD8" w:rsidRPr="006B62B4" w14:paraId="13DE22F7" w14:textId="77777777" w:rsidTr="008E1ED9">
      <w:trPr>
        <w:jc w:val="center"/>
      </w:trPr>
      <w:tc>
        <w:tcPr>
          <w:tcW w:w="1515" w:type="dxa"/>
        </w:tcPr>
        <w:p w14:paraId="2A6BB2A9" w14:textId="56B203A5" w:rsidR="008A3DD8" w:rsidRPr="00954F7B" w:rsidRDefault="00F1433A" w:rsidP="008A3DD8">
          <w:pPr>
            <w:pStyle w:val="Footer"/>
            <w:jc w:val="center"/>
            <w:rPr>
              <w:bCs/>
              <w:iCs/>
              <w:sz w:val="20"/>
              <w:szCs w:val="20"/>
            </w:rPr>
          </w:pPr>
          <w:r>
            <w:rPr>
              <w:bCs/>
              <w:iCs/>
              <w:sz w:val="20"/>
              <w:szCs w:val="20"/>
            </w:rPr>
            <w:t>CHS25/099</w:t>
          </w:r>
        </w:p>
      </w:tc>
      <w:tc>
        <w:tcPr>
          <w:tcW w:w="965" w:type="dxa"/>
        </w:tcPr>
        <w:p w14:paraId="00B1C3E8" w14:textId="3D6F60D1" w:rsidR="008A3DD8" w:rsidRPr="00954F7B" w:rsidRDefault="00F1433A" w:rsidP="008A3DD8">
          <w:pPr>
            <w:pStyle w:val="Footer"/>
            <w:jc w:val="center"/>
            <w:rPr>
              <w:bCs/>
              <w:iCs/>
              <w:sz w:val="20"/>
              <w:szCs w:val="20"/>
            </w:rPr>
          </w:pPr>
          <w:r>
            <w:rPr>
              <w:bCs/>
              <w:iCs/>
              <w:sz w:val="20"/>
              <w:szCs w:val="20"/>
            </w:rPr>
            <w:t>V1</w:t>
          </w:r>
        </w:p>
      </w:tc>
      <w:tc>
        <w:tcPr>
          <w:tcW w:w="1552" w:type="dxa"/>
        </w:tcPr>
        <w:p w14:paraId="3EB54BD6" w14:textId="6A4A5D21" w:rsidR="008A3DD8" w:rsidRPr="00954F7B" w:rsidRDefault="00F1433A" w:rsidP="008A3DD8">
          <w:pPr>
            <w:pStyle w:val="Footer"/>
            <w:jc w:val="center"/>
            <w:rPr>
              <w:bCs/>
              <w:iCs/>
              <w:sz w:val="20"/>
              <w:szCs w:val="20"/>
            </w:rPr>
          </w:pPr>
          <w:r>
            <w:rPr>
              <w:bCs/>
              <w:iCs/>
              <w:sz w:val="20"/>
              <w:szCs w:val="20"/>
            </w:rPr>
            <w:t>10/02/2025</w:t>
          </w:r>
        </w:p>
      </w:tc>
      <w:tc>
        <w:tcPr>
          <w:tcW w:w="1456" w:type="dxa"/>
        </w:tcPr>
        <w:p w14:paraId="4C2B1F31" w14:textId="5051439C" w:rsidR="008A3DD8" w:rsidRPr="00954F7B" w:rsidRDefault="00F1433A" w:rsidP="008A3DD8">
          <w:pPr>
            <w:pStyle w:val="Footer"/>
            <w:jc w:val="center"/>
            <w:rPr>
              <w:bCs/>
              <w:iCs/>
              <w:sz w:val="20"/>
              <w:szCs w:val="20"/>
            </w:rPr>
          </w:pPr>
          <w:r>
            <w:rPr>
              <w:bCs/>
              <w:iCs/>
              <w:sz w:val="20"/>
              <w:szCs w:val="20"/>
            </w:rPr>
            <w:t>01/02/2028</w:t>
          </w:r>
        </w:p>
      </w:tc>
      <w:tc>
        <w:tcPr>
          <w:tcW w:w="1746" w:type="dxa"/>
        </w:tcPr>
        <w:p w14:paraId="2D5886EC" w14:textId="26FD6F40" w:rsidR="008A3DD8" w:rsidRPr="00954F7B" w:rsidRDefault="00F1433A" w:rsidP="008A3DD8">
          <w:pPr>
            <w:pStyle w:val="Footer"/>
            <w:jc w:val="center"/>
            <w:rPr>
              <w:bCs/>
              <w:iCs/>
              <w:sz w:val="20"/>
              <w:szCs w:val="20"/>
            </w:rPr>
          </w:pPr>
          <w:r>
            <w:rPr>
              <w:bCs/>
              <w:iCs/>
              <w:sz w:val="20"/>
              <w:szCs w:val="20"/>
            </w:rPr>
            <w:t>CAS – Haematology</w:t>
          </w:r>
        </w:p>
      </w:tc>
      <w:tc>
        <w:tcPr>
          <w:tcW w:w="1836" w:type="dxa"/>
        </w:tcPr>
        <w:p w14:paraId="383CE9B2" w14:textId="77777777" w:rsidR="008A3DD8" w:rsidRPr="00954F7B" w:rsidRDefault="008A3DD8" w:rsidP="008A3DD8">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2</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5</w:t>
          </w:r>
          <w:r w:rsidRPr="00954F7B">
            <w:rPr>
              <w:rStyle w:val="PageNumber"/>
              <w:bCs/>
              <w:iCs/>
              <w:sz w:val="20"/>
              <w:szCs w:val="20"/>
            </w:rPr>
            <w:fldChar w:fldCharType="end"/>
          </w:r>
        </w:p>
      </w:tc>
    </w:tr>
  </w:tbl>
  <w:p w14:paraId="4BF01447" w14:textId="77777777" w:rsidR="005C71BC" w:rsidRDefault="008A3DD8" w:rsidP="008A3DD8">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D34AE" w14:textId="77777777" w:rsidR="007A2563" w:rsidRDefault="007A2563" w:rsidP="009D493B">
      <w:pPr>
        <w:spacing w:after="0" w:line="240" w:lineRule="auto"/>
      </w:pPr>
      <w:r>
        <w:separator/>
      </w:r>
    </w:p>
  </w:footnote>
  <w:footnote w:type="continuationSeparator" w:id="0">
    <w:p w14:paraId="7983E1F6" w14:textId="77777777" w:rsidR="007A2563" w:rsidRDefault="007A2563" w:rsidP="00A9080B">
      <w:pPr>
        <w:spacing w:after="0" w:line="240" w:lineRule="auto"/>
      </w:pPr>
      <w:r>
        <w:continuationSeparator/>
      </w:r>
    </w:p>
    <w:p w14:paraId="5380A2D0" w14:textId="77777777" w:rsidR="007A2563" w:rsidRDefault="007A2563"/>
    <w:p w14:paraId="08F2D690" w14:textId="77777777" w:rsidR="007A2563" w:rsidRDefault="007A25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BE8FF" w14:textId="77777777" w:rsidR="008A3DD8" w:rsidRDefault="008A3DD8">
    <w:pPr>
      <w:pStyle w:val="Header"/>
    </w:pPr>
    <w:r w:rsidRPr="00324CF9">
      <w:rPr>
        <w:noProof/>
      </w:rPr>
      <w:drawing>
        <wp:inline distT="0" distB="0" distL="0" distR="0" wp14:anchorId="1136D1F4" wp14:editId="7F212C18">
          <wp:extent cx="3360385" cy="972000"/>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6856" t="16657" r="-5763" b="1643"/>
                  <a:stretch/>
                </pic:blipFill>
                <pic:spPr bwMode="auto">
                  <a:xfrm>
                    <a:off x="0" y="0"/>
                    <a:ext cx="3386087" cy="97943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7A03F5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342134"/>
    <w:multiLevelType w:val="hybridMultilevel"/>
    <w:tmpl w:val="F55C8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 w15:restartNumberingAfterBreak="0">
    <w:nsid w:val="15516622"/>
    <w:multiLevelType w:val="hybridMultilevel"/>
    <w:tmpl w:val="D89EC5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63234E9"/>
    <w:multiLevelType w:val="hybridMultilevel"/>
    <w:tmpl w:val="2EC23B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 w15:restartNumberingAfterBreak="0">
    <w:nsid w:val="18B047D8"/>
    <w:multiLevelType w:val="hybridMultilevel"/>
    <w:tmpl w:val="20D4B8F4"/>
    <w:lvl w:ilvl="0" w:tplc="ED9E8D48">
      <w:start w:val="1"/>
      <w:numFmt w:val="bullet"/>
      <w:pStyle w:val="Tablebullet2"/>
      <w:lvlText w:val="-"/>
      <w:lvlJc w:val="left"/>
      <w:pPr>
        <w:ind w:left="7448" w:hanging="360"/>
      </w:pPr>
      <w:rPr>
        <w:rFonts w:ascii="Courier New" w:hAnsi="Courier New" w:hint="default"/>
      </w:rPr>
    </w:lvl>
    <w:lvl w:ilvl="1" w:tplc="0C090003" w:tentative="1">
      <w:start w:val="1"/>
      <w:numFmt w:val="bullet"/>
      <w:lvlText w:val="o"/>
      <w:lvlJc w:val="left"/>
      <w:pPr>
        <w:ind w:left="2046" w:hanging="360"/>
      </w:pPr>
      <w:rPr>
        <w:rFonts w:ascii="Courier New" w:hAnsi="Courier New" w:cs="Courier New" w:hint="default"/>
      </w:rPr>
    </w:lvl>
    <w:lvl w:ilvl="2" w:tplc="0C090005" w:tentative="1">
      <w:start w:val="1"/>
      <w:numFmt w:val="bullet"/>
      <w:lvlText w:val=""/>
      <w:lvlJc w:val="left"/>
      <w:pPr>
        <w:ind w:left="2766" w:hanging="360"/>
      </w:pPr>
      <w:rPr>
        <w:rFonts w:ascii="Wingdings" w:hAnsi="Wingdings" w:hint="default"/>
      </w:rPr>
    </w:lvl>
    <w:lvl w:ilvl="3" w:tplc="0C090001" w:tentative="1">
      <w:start w:val="1"/>
      <w:numFmt w:val="bullet"/>
      <w:lvlText w:val=""/>
      <w:lvlJc w:val="left"/>
      <w:pPr>
        <w:ind w:left="3486" w:hanging="360"/>
      </w:pPr>
      <w:rPr>
        <w:rFonts w:ascii="Symbol" w:hAnsi="Symbol" w:hint="default"/>
      </w:rPr>
    </w:lvl>
    <w:lvl w:ilvl="4" w:tplc="0C090003" w:tentative="1">
      <w:start w:val="1"/>
      <w:numFmt w:val="bullet"/>
      <w:lvlText w:val="o"/>
      <w:lvlJc w:val="left"/>
      <w:pPr>
        <w:ind w:left="4206" w:hanging="360"/>
      </w:pPr>
      <w:rPr>
        <w:rFonts w:ascii="Courier New" w:hAnsi="Courier New" w:cs="Courier New" w:hint="default"/>
      </w:rPr>
    </w:lvl>
    <w:lvl w:ilvl="5" w:tplc="0C090005" w:tentative="1">
      <w:start w:val="1"/>
      <w:numFmt w:val="bullet"/>
      <w:lvlText w:val=""/>
      <w:lvlJc w:val="left"/>
      <w:pPr>
        <w:ind w:left="4926" w:hanging="360"/>
      </w:pPr>
      <w:rPr>
        <w:rFonts w:ascii="Wingdings" w:hAnsi="Wingdings" w:hint="default"/>
      </w:rPr>
    </w:lvl>
    <w:lvl w:ilvl="6" w:tplc="0C090001" w:tentative="1">
      <w:start w:val="1"/>
      <w:numFmt w:val="bullet"/>
      <w:lvlText w:val=""/>
      <w:lvlJc w:val="left"/>
      <w:pPr>
        <w:ind w:left="5646" w:hanging="360"/>
      </w:pPr>
      <w:rPr>
        <w:rFonts w:ascii="Symbol" w:hAnsi="Symbol" w:hint="default"/>
      </w:rPr>
    </w:lvl>
    <w:lvl w:ilvl="7" w:tplc="0C090003" w:tentative="1">
      <w:start w:val="1"/>
      <w:numFmt w:val="bullet"/>
      <w:lvlText w:val="o"/>
      <w:lvlJc w:val="left"/>
      <w:pPr>
        <w:ind w:left="6366" w:hanging="360"/>
      </w:pPr>
      <w:rPr>
        <w:rFonts w:ascii="Courier New" w:hAnsi="Courier New" w:cs="Courier New" w:hint="default"/>
      </w:rPr>
    </w:lvl>
    <w:lvl w:ilvl="8" w:tplc="0C090005" w:tentative="1">
      <w:start w:val="1"/>
      <w:numFmt w:val="bullet"/>
      <w:lvlText w:val=""/>
      <w:lvlJc w:val="left"/>
      <w:pPr>
        <w:ind w:left="7086" w:hanging="360"/>
      </w:pPr>
      <w:rPr>
        <w:rFonts w:ascii="Wingdings" w:hAnsi="Wingdings" w:hint="default"/>
      </w:rPr>
    </w:lvl>
  </w:abstractNum>
  <w:abstractNum w:abstractNumId="5" w15:restartNumberingAfterBreak="0">
    <w:nsid w:val="18BA4673"/>
    <w:multiLevelType w:val="hybridMultilevel"/>
    <w:tmpl w:val="D1DA34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0F418A"/>
    <w:multiLevelType w:val="multilevel"/>
    <w:tmpl w:val="13F4FC1E"/>
    <w:lvl w:ilvl="0">
      <w:start w:val="1"/>
      <w:numFmt w:val="bullet"/>
      <w:pStyle w:val="Bullet"/>
      <w:lvlText w:val=""/>
      <w:lvlJc w:val="left"/>
      <w:pPr>
        <w:ind w:left="360" w:hanging="360"/>
      </w:pPr>
      <w:rPr>
        <w:rFonts w:ascii="Symbol" w:hAnsi="Symbol"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7" w15:restartNumberingAfterBreak="0">
    <w:nsid w:val="23400B10"/>
    <w:multiLevelType w:val="hybridMultilevel"/>
    <w:tmpl w:val="24C4CF6E"/>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8" w15:restartNumberingAfterBreak="0">
    <w:nsid w:val="259620C3"/>
    <w:multiLevelType w:val="hybridMultilevel"/>
    <w:tmpl w:val="3992E0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9D45E0F"/>
    <w:multiLevelType w:val="hybridMultilevel"/>
    <w:tmpl w:val="63FADB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5CD2D06"/>
    <w:multiLevelType w:val="hybridMultilevel"/>
    <w:tmpl w:val="D19600FA"/>
    <w:lvl w:ilvl="0" w:tplc="E4762A46">
      <w:start w:val="1"/>
      <w:numFmt w:val="decimal"/>
      <w:pStyle w:val="Tabletitle-numbered"/>
      <w:lvlText w:val="Table %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C973852"/>
    <w:multiLevelType w:val="hybridMultilevel"/>
    <w:tmpl w:val="AC04BE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F9A499E"/>
    <w:multiLevelType w:val="hybridMultilevel"/>
    <w:tmpl w:val="05A4D758"/>
    <w:lvl w:ilvl="0" w:tplc="09F2CE36">
      <w:start w:val="1"/>
      <w:numFmt w:val="lowerLetter"/>
      <w:pStyle w:val="Alpha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FB3691D"/>
    <w:multiLevelType w:val="hybridMultilevel"/>
    <w:tmpl w:val="3ED4D976"/>
    <w:lvl w:ilvl="0" w:tplc="17D0EBC2">
      <w:start w:val="1"/>
      <w:numFmt w:val="lowerRoman"/>
      <w:pStyle w:val="Roman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500502F"/>
    <w:multiLevelType w:val="hybridMultilevel"/>
    <w:tmpl w:val="E29E57D4"/>
    <w:lvl w:ilvl="0" w:tplc="D668E1EC">
      <w:start w:val="1"/>
      <w:numFmt w:val="decimal"/>
      <w:pStyle w:val="Figuretitle-numbered"/>
      <w:lvlText w:val="Figure %1."/>
      <w:lvlJc w:val="left"/>
      <w:pPr>
        <w:ind w:left="360" w:hanging="360"/>
      </w:pPr>
      <w:rPr>
        <w:rFonts w:hint="default"/>
      </w:rPr>
    </w:lvl>
    <w:lvl w:ilvl="1" w:tplc="0C090019" w:tentative="1">
      <w:start w:val="1"/>
      <w:numFmt w:val="lowerLetter"/>
      <w:lvlText w:val="%2."/>
      <w:lvlJc w:val="left"/>
      <w:pPr>
        <w:ind w:left="1441" w:hanging="360"/>
      </w:pPr>
    </w:lvl>
    <w:lvl w:ilvl="2" w:tplc="0C09001B" w:tentative="1">
      <w:start w:val="1"/>
      <w:numFmt w:val="lowerRoman"/>
      <w:lvlText w:val="%3."/>
      <w:lvlJc w:val="right"/>
      <w:pPr>
        <w:ind w:left="2161" w:hanging="180"/>
      </w:pPr>
    </w:lvl>
    <w:lvl w:ilvl="3" w:tplc="0C09000F" w:tentative="1">
      <w:start w:val="1"/>
      <w:numFmt w:val="decimal"/>
      <w:lvlText w:val="%4."/>
      <w:lvlJc w:val="left"/>
      <w:pPr>
        <w:ind w:left="2881" w:hanging="360"/>
      </w:pPr>
    </w:lvl>
    <w:lvl w:ilvl="4" w:tplc="0C090019" w:tentative="1">
      <w:start w:val="1"/>
      <w:numFmt w:val="lowerLetter"/>
      <w:lvlText w:val="%5."/>
      <w:lvlJc w:val="left"/>
      <w:pPr>
        <w:ind w:left="3601" w:hanging="360"/>
      </w:pPr>
    </w:lvl>
    <w:lvl w:ilvl="5" w:tplc="0C09001B" w:tentative="1">
      <w:start w:val="1"/>
      <w:numFmt w:val="lowerRoman"/>
      <w:lvlText w:val="%6."/>
      <w:lvlJc w:val="right"/>
      <w:pPr>
        <w:ind w:left="4321" w:hanging="180"/>
      </w:pPr>
    </w:lvl>
    <w:lvl w:ilvl="6" w:tplc="0C09000F" w:tentative="1">
      <w:start w:val="1"/>
      <w:numFmt w:val="decimal"/>
      <w:lvlText w:val="%7."/>
      <w:lvlJc w:val="left"/>
      <w:pPr>
        <w:ind w:left="5041" w:hanging="360"/>
      </w:pPr>
    </w:lvl>
    <w:lvl w:ilvl="7" w:tplc="0C090019" w:tentative="1">
      <w:start w:val="1"/>
      <w:numFmt w:val="lowerLetter"/>
      <w:lvlText w:val="%8."/>
      <w:lvlJc w:val="left"/>
      <w:pPr>
        <w:ind w:left="5761" w:hanging="360"/>
      </w:pPr>
    </w:lvl>
    <w:lvl w:ilvl="8" w:tplc="0C09001B" w:tentative="1">
      <w:start w:val="1"/>
      <w:numFmt w:val="lowerRoman"/>
      <w:lvlText w:val="%9."/>
      <w:lvlJc w:val="right"/>
      <w:pPr>
        <w:ind w:left="6481" w:hanging="180"/>
      </w:pPr>
    </w:lvl>
  </w:abstractNum>
  <w:abstractNum w:abstractNumId="15"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7C63291"/>
    <w:multiLevelType w:val="multilevel"/>
    <w:tmpl w:val="1DFEE884"/>
    <w:lvl w:ilvl="0">
      <w:start w:val="1"/>
      <w:numFmt w:val="lowerLetter"/>
      <w:lvlText w:val="%1)"/>
      <w:lvlJc w:val="left"/>
      <w:pPr>
        <w:ind w:left="425" w:hanging="425"/>
      </w:pPr>
      <w:rPr>
        <w:rFonts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17" w15:restartNumberingAfterBreak="0">
    <w:nsid w:val="4D765E58"/>
    <w:multiLevelType w:val="hybridMultilevel"/>
    <w:tmpl w:val="41C804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5567EF4"/>
    <w:multiLevelType w:val="hybridMultilevel"/>
    <w:tmpl w:val="F52424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CF1574A"/>
    <w:multiLevelType w:val="hybridMultilevel"/>
    <w:tmpl w:val="DE96CD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DDB6AA5"/>
    <w:multiLevelType w:val="hybridMultilevel"/>
    <w:tmpl w:val="F710DD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0090C9F"/>
    <w:multiLevelType w:val="hybridMultilevel"/>
    <w:tmpl w:val="E3DABE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68E2FA2"/>
    <w:multiLevelType w:val="multilevel"/>
    <w:tmpl w:val="A1329452"/>
    <w:lvl w:ilvl="0">
      <w:start w:val="1"/>
      <w:numFmt w:val="decimal"/>
      <w:pStyle w:val="Numberedlist"/>
      <w:lvlText w:val="%1."/>
      <w:lvlJc w:val="left"/>
      <w:pPr>
        <w:ind w:left="425" w:hanging="425"/>
      </w:pPr>
      <w:rPr>
        <w:rFonts w:hint="default"/>
      </w:rPr>
    </w:lvl>
    <w:lvl w:ilvl="1">
      <w:start w:val="1"/>
      <w:numFmt w:val="decimal"/>
      <w:lvlText w:val="%1.%2."/>
      <w:lvlJc w:val="left"/>
      <w:pPr>
        <w:ind w:left="1021" w:hanging="596"/>
      </w:pPr>
      <w:rPr>
        <w:rFonts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23" w15:restartNumberingAfterBreak="0">
    <w:nsid w:val="6FE45374"/>
    <w:multiLevelType w:val="hybridMultilevel"/>
    <w:tmpl w:val="85A0D2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4315348"/>
    <w:multiLevelType w:val="hybridMultilevel"/>
    <w:tmpl w:val="ED5A4C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7F7007E"/>
    <w:multiLevelType w:val="hybridMultilevel"/>
    <w:tmpl w:val="3B5C8C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8135052"/>
    <w:multiLevelType w:val="hybridMultilevel"/>
    <w:tmpl w:val="4DAEA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48431774">
    <w:abstractNumId w:val="6"/>
  </w:num>
  <w:num w:numId="2" w16cid:durableId="842209657">
    <w:abstractNumId w:val="4"/>
  </w:num>
  <w:num w:numId="3" w16cid:durableId="660542573">
    <w:abstractNumId w:val="22"/>
  </w:num>
  <w:num w:numId="4" w16cid:durableId="1971085616">
    <w:abstractNumId w:val="12"/>
  </w:num>
  <w:num w:numId="5" w16cid:durableId="252517802">
    <w:abstractNumId w:val="13"/>
  </w:num>
  <w:num w:numId="6" w16cid:durableId="420297118">
    <w:abstractNumId w:val="16"/>
  </w:num>
  <w:num w:numId="7" w16cid:durableId="35338807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6466022">
    <w:abstractNumId w:val="12"/>
    <w:lvlOverride w:ilvl="0">
      <w:startOverride w:val="1"/>
    </w:lvlOverride>
  </w:num>
  <w:num w:numId="9" w16cid:durableId="1747920389">
    <w:abstractNumId w:val="13"/>
    <w:lvlOverride w:ilvl="0">
      <w:startOverride w:val="1"/>
    </w:lvlOverride>
  </w:num>
  <w:num w:numId="10" w16cid:durableId="1001813381">
    <w:abstractNumId w:val="12"/>
    <w:lvlOverride w:ilvl="0">
      <w:startOverride w:val="1"/>
    </w:lvlOverride>
  </w:num>
  <w:num w:numId="11" w16cid:durableId="1103450744">
    <w:abstractNumId w:val="13"/>
    <w:lvlOverride w:ilvl="0">
      <w:startOverride w:val="1"/>
    </w:lvlOverride>
  </w:num>
  <w:num w:numId="12" w16cid:durableId="1549294228">
    <w:abstractNumId w:val="12"/>
    <w:lvlOverride w:ilvl="0">
      <w:startOverride w:val="1"/>
    </w:lvlOverride>
  </w:num>
  <w:num w:numId="13" w16cid:durableId="87585497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45462943">
    <w:abstractNumId w:val="13"/>
    <w:lvlOverride w:ilvl="0">
      <w:startOverride w:val="1"/>
    </w:lvlOverride>
  </w:num>
  <w:num w:numId="15" w16cid:durableId="12464539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58952063">
    <w:abstractNumId w:val="22"/>
  </w:num>
  <w:num w:numId="17" w16cid:durableId="434129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81904122">
    <w:abstractNumId w:val="10"/>
  </w:num>
  <w:num w:numId="19" w16cid:durableId="836698820">
    <w:abstractNumId w:val="14"/>
  </w:num>
  <w:num w:numId="20" w16cid:durableId="40280384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01174775">
    <w:abstractNumId w:val="15"/>
  </w:num>
  <w:num w:numId="22" w16cid:durableId="200242115">
    <w:abstractNumId w:val="1"/>
  </w:num>
  <w:num w:numId="23" w16cid:durableId="585068731">
    <w:abstractNumId w:val="3"/>
  </w:num>
  <w:num w:numId="24" w16cid:durableId="1431437445">
    <w:abstractNumId w:val="2"/>
  </w:num>
  <w:num w:numId="25" w16cid:durableId="507214046">
    <w:abstractNumId w:val="11"/>
  </w:num>
  <w:num w:numId="26" w16cid:durableId="913591473">
    <w:abstractNumId w:val="6"/>
  </w:num>
  <w:num w:numId="27" w16cid:durableId="643778555">
    <w:abstractNumId w:val="0"/>
  </w:num>
  <w:num w:numId="28" w16cid:durableId="1785150067">
    <w:abstractNumId w:val="5"/>
  </w:num>
  <w:num w:numId="29" w16cid:durableId="439448258">
    <w:abstractNumId w:val="19"/>
  </w:num>
  <w:num w:numId="30" w16cid:durableId="2032294593">
    <w:abstractNumId w:val="20"/>
  </w:num>
  <w:num w:numId="31" w16cid:durableId="2081444488">
    <w:abstractNumId w:val="25"/>
  </w:num>
  <w:num w:numId="32" w16cid:durableId="474374316">
    <w:abstractNumId w:val="24"/>
  </w:num>
  <w:num w:numId="33" w16cid:durableId="624040585">
    <w:abstractNumId w:val="7"/>
  </w:num>
  <w:num w:numId="34" w16cid:durableId="1119571137">
    <w:abstractNumId w:val="21"/>
  </w:num>
  <w:num w:numId="35" w16cid:durableId="1868787661">
    <w:abstractNumId w:val="18"/>
  </w:num>
  <w:num w:numId="36" w16cid:durableId="874273934">
    <w:abstractNumId w:val="26"/>
  </w:num>
  <w:num w:numId="37" w16cid:durableId="1620452811">
    <w:abstractNumId w:val="8"/>
  </w:num>
  <w:num w:numId="38" w16cid:durableId="395931283">
    <w:abstractNumId w:val="17"/>
  </w:num>
  <w:num w:numId="39" w16cid:durableId="589969889">
    <w:abstractNumId w:val="9"/>
  </w:num>
  <w:num w:numId="40" w16cid:durableId="1787962939">
    <w:abstractNumId w:val="2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EB"/>
    <w:rsid w:val="00000822"/>
    <w:rsid w:val="00003728"/>
    <w:rsid w:val="00004B91"/>
    <w:rsid w:val="00006344"/>
    <w:rsid w:val="000068B9"/>
    <w:rsid w:val="000115AB"/>
    <w:rsid w:val="00012DA7"/>
    <w:rsid w:val="00014646"/>
    <w:rsid w:val="0001473F"/>
    <w:rsid w:val="00014D0A"/>
    <w:rsid w:val="00015018"/>
    <w:rsid w:val="000246D6"/>
    <w:rsid w:val="00025C12"/>
    <w:rsid w:val="000347FB"/>
    <w:rsid w:val="00035A11"/>
    <w:rsid w:val="00036249"/>
    <w:rsid w:val="00041D05"/>
    <w:rsid w:val="00042268"/>
    <w:rsid w:val="00043534"/>
    <w:rsid w:val="00046D4C"/>
    <w:rsid w:val="00047707"/>
    <w:rsid w:val="00050A6B"/>
    <w:rsid w:val="000513FD"/>
    <w:rsid w:val="00051F2B"/>
    <w:rsid w:val="00052D11"/>
    <w:rsid w:val="00053BD7"/>
    <w:rsid w:val="00053CC3"/>
    <w:rsid w:val="00053D2F"/>
    <w:rsid w:val="0005461D"/>
    <w:rsid w:val="0005626F"/>
    <w:rsid w:val="0005685E"/>
    <w:rsid w:val="000570A6"/>
    <w:rsid w:val="00061582"/>
    <w:rsid w:val="000707E9"/>
    <w:rsid w:val="00070945"/>
    <w:rsid w:val="000717BA"/>
    <w:rsid w:val="0007270D"/>
    <w:rsid w:val="000737AD"/>
    <w:rsid w:val="00075506"/>
    <w:rsid w:val="00080F06"/>
    <w:rsid w:val="00080FC2"/>
    <w:rsid w:val="000825CF"/>
    <w:rsid w:val="00082C60"/>
    <w:rsid w:val="00082EB1"/>
    <w:rsid w:val="00083D66"/>
    <w:rsid w:val="000848B6"/>
    <w:rsid w:val="000858DB"/>
    <w:rsid w:val="000905E4"/>
    <w:rsid w:val="0009157D"/>
    <w:rsid w:val="00096D01"/>
    <w:rsid w:val="00097F70"/>
    <w:rsid w:val="000A0B44"/>
    <w:rsid w:val="000A0C18"/>
    <w:rsid w:val="000A24AB"/>
    <w:rsid w:val="000A3AA0"/>
    <w:rsid w:val="000A3F9B"/>
    <w:rsid w:val="000A4C7E"/>
    <w:rsid w:val="000A6268"/>
    <w:rsid w:val="000B04DE"/>
    <w:rsid w:val="000B4346"/>
    <w:rsid w:val="000B4DF9"/>
    <w:rsid w:val="000B6A88"/>
    <w:rsid w:val="000C36A3"/>
    <w:rsid w:val="000C3973"/>
    <w:rsid w:val="000C48B1"/>
    <w:rsid w:val="000C57C6"/>
    <w:rsid w:val="000C76AA"/>
    <w:rsid w:val="000D0A42"/>
    <w:rsid w:val="000D1F50"/>
    <w:rsid w:val="000D713F"/>
    <w:rsid w:val="000D742A"/>
    <w:rsid w:val="000E058F"/>
    <w:rsid w:val="000E07C3"/>
    <w:rsid w:val="000E1D08"/>
    <w:rsid w:val="000E4502"/>
    <w:rsid w:val="000E5739"/>
    <w:rsid w:val="000E7683"/>
    <w:rsid w:val="000E77F0"/>
    <w:rsid w:val="000F1EB3"/>
    <w:rsid w:val="000F288B"/>
    <w:rsid w:val="000F300A"/>
    <w:rsid w:val="000F3A4B"/>
    <w:rsid w:val="000F5C20"/>
    <w:rsid w:val="000F72A0"/>
    <w:rsid w:val="000F79EA"/>
    <w:rsid w:val="0010164B"/>
    <w:rsid w:val="00107118"/>
    <w:rsid w:val="00110D97"/>
    <w:rsid w:val="00112DAD"/>
    <w:rsid w:val="001171E4"/>
    <w:rsid w:val="0012007C"/>
    <w:rsid w:val="00120E2E"/>
    <w:rsid w:val="00121181"/>
    <w:rsid w:val="00122329"/>
    <w:rsid w:val="001232C3"/>
    <w:rsid w:val="00124B00"/>
    <w:rsid w:val="00126471"/>
    <w:rsid w:val="00126AA5"/>
    <w:rsid w:val="00126ADF"/>
    <w:rsid w:val="00126BEE"/>
    <w:rsid w:val="00127D91"/>
    <w:rsid w:val="001324A3"/>
    <w:rsid w:val="00135EF0"/>
    <w:rsid w:val="0013675B"/>
    <w:rsid w:val="00136C50"/>
    <w:rsid w:val="00137347"/>
    <w:rsid w:val="00140B20"/>
    <w:rsid w:val="00143C66"/>
    <w:rsid w:val="00144A90"/>
    <w:rsid w:val="00154D8C"/>
    <w:rsid w:val="001575C5"/>
    <w:rsid w:val="001600FA"/>
    <w:rsid w:val="001616DD"/>
    <w:rsid w:val="00161AE4"/>
    <w:rsid w:val="00161FDC"/>
    <w:rsid w:val="00164AA5"/>
    <w:rsid w:val="00166052"/>
    <w:rsid w:val="001660FE"/>
    <w:rsid w:val="00167C17"/>
    <w:rsid w:val="0017051B"/>
    <w:rsid w:val="00173EDD"/>
    <w:rsid w:val="00174ECE"/>
    <w:rsid w:val="00175212"/>
    <w:rsid w:val="00175FF8"/>
    <w:rsid w:val="001767CA"/>
    <w:rsid w:val="00181504"/>
    <w:rsid w:val="00181729"/>
    <w:rsid w:val="001819E4"/>
    <w:rsid w:val="00183E97"/>
    <w:rsid w:val="00184284"/>
    <w:rsid w:val="00184480"/>
    <w:rsid w:val="00184D6D"/>
    <w:rsid w:val="00184F59"/>
    <w:rsid w:val="00185C37"/>
    <w:rsid w:val="00186FB7"/>
    <w:rsid w:val="00187537"/>
    <w:rsid w:val="00191413"/>
    <w:rsid w:val="0019193E"/>
    <w:rsid w:val="00192C70"/>
    <w:rsid w:val="001935B4"/>
    <w:rsid w:val="00193907"/>
    <w:rsid w:val="00195EFB"/>
    <w:rsid w:val="00197F2E"/>
    <w:rsid w:val="001A0124"/>
    <w:rsid w:val="001A1DD6"/>
    <w:rsid w:val="001A2273"/>
    <w:rsid w:val="001B0DC3"/>
    <w:rsid w:val="001B1A6A"/>
    <w:rsid w:val="001B3430"/>
    <w:rsid w:val="001B63DB"/>
    <w:rsid w:val="001C0F5C"/>
    <w:rsid w:val="001C108E"/>
    <w:rsid w:val="001C223C"/>
    <w:rsid w:val="001C24A7"/>
    <w:rsid w:val="001C263F"/>
    <w:rsid w:val="001C583C"/>
    <w:rsid w:val="001C5958"/>
    <w:rsid w:val="001D12A9"/>
    <w:rsid w:val="001D140D"/>
    <w:rsid w:val="001D150B"/>
    <w:rsid w:val="001D195F"/>
    <w:rsid w:val="001D780B"/>
    <w:rsid w:val="001D7907"/>
    <w:rsid w:val="001E0BEA"/>
    <w:rsid w:val="001E0BED"/>
    <w:rsid w:val="001E2C6F"/>
    <w:rsid w:val="001E2FC7"/>
    <w:rsid w:val="001E30A5"/>
    <w:rsid w:val="001E3D5B"/>
    <w:rsid w:val="001E4A13"/>
    <w:rsid w:val="001E4EF9"/>
    <w:rsid w:val="001E579B"/>
    <w:rsid w:val="001E5FF2"/>
    <w:rsid w:val="001E626E"/>
    <w:rsid w:val="001E7077"/>
    <w:rsid w:val="001E7A17"/>
    <w:rsid w:val="001F0765"/>
    <w:rsid w:val="001F26B1"/>
    <w:rsid w:val="001F29F4"/>
    <w:rsid w:val="001F3ED6"/>
    <w:rsid w:val="001F4369"/>
    <w:rsid w:val="001F49DF"/>
    <w:rsid w:val="001F5AE3"/>
    <w:rsid w:val="001F656A"/>
    <w:rsid w:val="001F68D1"/>
    <w:rsid w:val="001F6D1A"/>
    <w:rsid w:val="001F6E03"/>
    <w:rsid w:val="002012D2"/>
    <w:rsid w:val="00201AF6"/>
    <w:rsid w:val="0020360D"/>
    <w:rsid w:val="00206027"/>
    <w:rsid w:val="0020612C"/>
    <w:rsid w:val="00211BFA"/>
    <w:rsid w:val="00212F1D"/>
    <w:rsid w:val="002140AE"/>
    <w:rsid w:val="00214DAE"/>
    <w:rsid w:val="0022138F"/>
    <w:rsid w:val="00225769"/>
    <w:rsid w:val="00225E3B"/>
    <w:rsid w:val="00227104"/>
    <w:rsid w:val="00230054"/>
    <w:rsid w:val="0023668B"/>
    <w:rsid w:val="00240DC9"/>
    <w:rsid w:val="00241A68"/>
    <w:rsid w:val="00242601"/>
    <w:rsid w:val="002427B0"/>
    <w:rsid w:val="00244149"/>
    <w:rsid w:val="00245BF4"/>
    <w:rsid w:val="00246EDC"/>
    <w:rsid w:val="00247BAF"/>
    <w:rsid w:val="00251D96"/>
    <w:rsid w:val="00253A48"/>
    <w:rsid w:val="00253EC8"/>
    <w:rsid w:val="0025483C"/>
    <w:rsid w:val="00256701"/>
    <w:rsid w:val="0026085A"/>
    <w:rsid w:val="002700D3"/>
    <w:rsid w:val="0027262B"/>
    <w:rsid w:val="00274308"/>
    <w:rsid w:val="00280051"/>
    <w:rsid w:val="00280C5D"/>
    <w:rsid w:val="00281798"/>
    <w:rsid w:val="00281830"/>
    <w:rsid w:val="002827C4"/>
    <w:rsid w:val="00284D13"/>
    <w:rsid w:val="00287524"/>
    <w:rsid w:val="00292A6B"/>
    <w:rsid w:val="00293B6B"/>
    <w:rsid w:val="00294B76"/>
    <w:rsid w:val="00294F1A"/>
    <w:rsid w:val="00295D79"/>
    <w:rsid w:val="0029655B"/>
    <w:rsid w:val="002965DC"/>
    <w:rsid w:val="002A0163"/>
    <w:rsid w:val="002A295E"/>
    <w:rsid w:val="002B2713"/>
    <w:rsid w:val="002B3511"/>
    <w:rsid w:val="002B3D19"/>
    <w:rsid w:val="002B3F13"/>
    <w:rsid w:val="002B434C"/>
    <w:rsid w:val="002B5D29"/>
    <w:rsid w:val="002C39F9"/>
    <w:rsid w:val="002C58B8"/>
    <w:rsid w:val="002C7500"/>
    <w:rsid w:val="002C75BC"/>
    <w:rsid w:val="002D1CA0"/>
    <w:rsid w:val="002D22CF"/>
    <w:rsid w:val="002D4BB3"/>
    <w:rsid w:val="002D56A1"/>
    <w:rsid w:val="002D59A9"/>
    <w:rsid w:val="002D5A00"/>
    <w:rsid w:val="002D7682"/>
    <w:rsid w:val="002E1E63"/>
    <w:rsid w:val="002E1FA1"/>
    <w:rsid w:val="002E63E1"/>
    <w:rsid w:val="002E6515"/>
    <w:rsid w:val="002E6517"/>
    <w:rsid w:val="002E6687"/>
    <w:rsid w:val="002F2A26"/>
    <w:rsid w:val="002F6957"/>
    <w:rsid w:val="002F6CB3"/>
    <w:rsid w:val="002F7DE5"/>
    <w:rsid w:val="002F7DF1"/>
    <w:rsid w:val="003007EA"/>
    <w:rsid w:val="003027B6"/>
    <w:rsid w:val="00302830"/>
    <w:rsid w:val="00306981"/>
    <w:rsid w:val="00307FDA"/>
    <w:rsid w:val="0031196F"/>
    <w:rsid w:val="00312B51"/>
    <w:rsid w:val="00312C39"/>
    <w:rsid w:val="00314716"/>
    <w:rsid w:val="00316881"/>
    <w:rsid w:val="00317020"/>
    <w:rsid w:val="00317101"/>
    <w:rsid w:val="003172CB"/>
    <w:rsid w:val="00317F10"/>
    <w:rsid w:val="003217E1"/>
    <w:rsid w:val="003218C1"/>
    <w:rsid w:val="0032423A"/>
    <w:rsid w:val="003247E9"/>
    <w:rsid w:val="003254E1"/>
    <w:rsid w:val="00330349"/>
    <w:rsid w:val="003303F9"/>
    <w:rsid w:val="00330A1E"/>
    <w:rsid w:val="00331E2B"/>
    <w:rsid w:val="003321DE"/>
    <w:rsid w:val="00333A73"/>
    <w:rsid w:val="00334700"/>
    <w:rsid w:val="003352BA"/>
    <w:rsid w:val="003366C8"/>
    <w:rsid w:val="0033770B"/>
    <w:rsid w:val="0034072B"/>
    <w:rsid w:val="003412E9"/>
    <w:rsid w:val="00342839"/>
    <w:rsid w:val="00343A44"/>
    <w:rsid w:val="003444DC"/>
    <w:rsid w:val="00350211"/>
    <w:rsid w:val="003518BF"/>
    <w:rsid w:val="00352DA1"/>
    <w:rsid w:val="0035392C"/>
    <w:rsid w:val="00354558"/>
    <w:rsid w:val="00363564"/>
    <w:rsid w:val="0036465D"/>
    <w:rsid w:val="00372477"/>
    <w:rsid w:val="00372544"/>
    <w:rsid w:val="0037341B"/>
    <w:rsid w:val="00376B5F"/>
    <w:rsid w:val="00377AD9"/>
    <w:rsid w:val="00380288"/>
    <w:rsid w:val="003817A2"/>
    <w:rsid w:val="00385359"/>
    <w:rsid w:val="00385468"/>
    <w:rsid w:val="00390CE7"/>
    <w:rsid w:val="00390DAE"/>
    <w:rsid w:val="00393C61"/>
    <w:rsid w:val="00393FF3"/>
    <w:rsid w:val="0039618C"/>
    <w:rsid w:val="0039633A"/>
    <w:rsid w:val="00396B90"/>
    <w:rsid w:val="003A0BC9"/>
    <w:rsid w:val="003A0D26"/>
    <w:rsid w:val="003A21CD"/>
    <w:rsid w:val="003A2A9E"/>
    <w:rsid w:val="003A40A7"/>
    <w:rsid w:val="003A55FF"/>
    <w:rsid w:val="003A5ADA"/>
    <w:rsid w:val="003A6511"/>
    <w:rsid w:val="003B28A5"/>
    <w:rsid w:val="003B3F9A"/>
    <w:rsid w:val="003B57A1"/>
    <w:rsid w:val="003B661D"/>
    <w:rsid w:val="003B720D"/>
    <w:rsid w:val="003B760C"/>
    <w:rsid w:val="003C218A"/>
    <w:rsid w:val="003C4430"/>
    <w:rsid w:val="003C5F3E"/>
    <w:rsid w:val="003C7810"/>
    <w:rsid w:val="003D10DD"/>
    <w:rsid w:val="003D1C0C"/>
    <w:rsid w:val="003D3B16"/>
    <w:rsid w:val="003D60E0"/>
    <w:rsid w:val="003D709B"/>
    <w:rsid w:val="003D7463"/>
    <w:rsid w:val="003E0103"/>
    <w:rsid w:val="003E0A22"/>
    <w:rsid w:val="003E727F"/>
    <w:rsid w:val="003E7D3D"/>
    <w:rsid w:val="003F01DF"/>
    <w:rsid w:val="003F2C18"/>
    <w:rsid w:val="003F6C0E"/>
    <w:rsid w:val="00400AA4"/>
    <w:rsid w:val="00407C75"/>
    <w:rsid w:val="00411B14"/>
    <w:rsid w:val="00412C91"/>
    <w:rsid w:val="004132C5"/>
    <w:rsid w:val="00414064"/>
    <w:rsid w:val="00415DFF"/>
    <w:rsid w:val="00417745"/>
    <w:rsid w:val="00423CA6"/>
    <w:rsid w:val="00430454"/>
    <w:rsid w:val="004318D6"/>
    <w:rsid w:val="004326A8"/>
    <w:rsid w:val="004328A4"/>
    <w:rsid w:val="00434059"/>
    <w:rsid w:val="00436B86"/>
    <w:rsid w:val="0043706A"/>
    <w:rsid w:val="004401B0"/>
    <w:rsid w:val="00440351"/>
    <w:rsid w:val="00441154"/>
    <w:rsid w:val="00441D90"/>
    <w:rsid w:val="00442224"/>
    <w:rsid w:val="004444EE"/>
    <w:rsid w:val="0044611A"/>
    <w:rsid w:val="0045191D"/>
    <w:rsid w:val="004524CF"/>
    <w:rsid w:val="00452582"/>
    <w:rsid w:val="00454812"/>
    <w:rsid w:val="004549FE"/>
    <w:rsid w:val="00454D38"/>
    <w:rsid w:val="00455C81"/>
    <w:rsid w:val="00457272"/>
    <w:rsid w:val="00457D10"/>
    <w:rsid w:val="00457DCC"/>
    <w:rsid w:val="00461A18"/>
    <w:rsid w:val="00462060"/>
    <w:rsid w:val="00463C1A"/>
    <w:rsid w:val="00463EEC"/>
    <w:rsid w:val="004640FF"/>
    <w:rsid w:val="00465490"/>
    <w:rsid w:val="00473FD3"/>
    <w:rsid w:val="00474746"/>
    <w:rsid w:val="00474A6A"/>
    <w:rsid w:val="00475AAB"/>
    <w:rsid w:val="00477432"/>
    <w:rsid w:val="00480537"/>
    <w:rsid w:val="00480DA2"/>
    <w:rsid w:val="00481A6C"/>
    <w:rsid w:val="0048389D"/>
    <w:rsid w:val="00485584"/>
    <w:rsid w:val="00485FE5"/>
    <w:rsid w:val="00486165"/>
    <w:rsid w:val="0049014C"/>
    <w:rsid w:val="00492356"/>
    <w:rsid w:val="004957A2"/>
    <w:rsid w:val="004A0201"/>
    <w:rsid w:val="004A178D"/>
    <w:rsid w:val="004A1C33"/>
    <w:rsid w:val="004A7A7F"/>
    <w:rsid w:val="004B031B"/>
    <w:rsid w:val="004B3D9C"/>
    <w:rsid w:val="004B474F"/>
    <w:rsid w:val="004B71A4"/>
    <w:rsid w:val="004C221A"/>
    <w:rsid w:val="004C39F8"/>
    <w:rsid w:val="004C416A"/>
    <w:rsid w:val="004C55B7"/>
    <w:rsid w:val="004C5D35"/>
    <w:rsid w:val="004D0A68"/>
    <w:rsid w:val="004D20BF"/>
    <w:rsid w:val="004D2C70"/>
    <w:rsid w:val="004D31D0"/>
    <w:rsid w:val="004D31F1"/>
    <w:rsid w:val="004D3D60"/>
    <w:rsid w:val="004D4286"/>
    <w:rsid w:val="004D4733"/>
    <w:rsid w:val="004D4B45"/>
    <w:rsid w:val="004D6C3E"/>
    <w:rsid w:val="004D7B29"/>
    <w:rsid w:val="004E14DE"/>
    <w:rsid w:val="004E2562"/>
    <w:rsid w:val="004E2E2F"/>
    <w:rsid w:val="004E7CE8"/>
    <w:rsid w:val="004F1BEF"/>
    <w:rsid w:val="004F2430"/>
    <w:rsid w:val="004F2B91"/>
    <w:rsid w:val="004F3034"/>
    <w:rsid w:val="004F435E"/>
    <w:rsid w:val="00506D24"/>
    <w:rsid w:val="005077D2"/>
    <w:rsid w:val="00510244"/>
    <w:rsid w:val="005118F6"/>
    <w:rsid w:val="0051350A"/>
    <w:rsid w:val="00517604"/>
    <w:rsid w:val="00517DA5"/>
    <w:rsid w:val="00517FA4"/>
    <w:rsid w:val="005216E4"/>
    <w:rsid w:val="00525801"/>
    <w:rsid w:val="00530642"/>
    <w:rsid w:val="00530F88"/>
    <w:rsid w:val="00532B1C"/>
    <w:rsid w:val="00532EB9"/>
    <w:rsid w:val="00533388"/>
    <w:rsid w:val="00534E1F"/>
    <w:rsid w:val="00537269"/>
    <w:rsid w:val="005412CE"/>
    <w:rsid w:val="005443C8"/>
    <w:rsid w:val="00545DEB"/>
    <w:rsid w:val="0054683B"/>
    <w:rsid w:val="00552527"/>
    <w:rsid w:val="005558E1"/>
    <w:rsid w:val="005564A4"/>
    <w:rsid w:val="0055674C"/>
    <w:rsid w:val="005606CB"/>
    <w:rsid w:val="00563265"/>
    <w:rsid w:val="00563FD8"/>
    <w:rsid w:val="00564817"/>
    <w:rsid w:val="0056512E"/>
    <w:rsid w:val="0056561D"/>
    <w:rsid w:val="005706E9"/>
    <w:rsid w:val="00570849"/>
    <w:rsid w:val="0057158C"/>
    <w:rsid w:val="00574738"/>
    <w:rsid w:val="00576416"/>
    <w:rsid w:val="005778BD"/>
    <w:rsid w:val="00577C65"/>
    <w:rsid w:val="00581121"/>
    <w:rsid w:val="00581F7D"/>
    <w:rsid w:val="005840B8"/>
    <w:rsid w:val="005867DF"/>
    <w:rsid w:val="005900D8"/>
    <w:rsid w:val="005916F1"/>
    <w:rsid w:val="00592081"/>
    <w:rsid w:val="005A0348"/>
    <w:rsid w:val="005A1FA3"/>
    <w:rsid w:val="005A27C0"/>
    <w:rsid w:val="005A4691"/>
    <w:rsid w:val="005A662D"/>
    <w:rsid w:val="005A74FF"/>
    <w:rsid w:val="005A7C67"/>
    <w:rsid w:val="005B194A"/>
    <w:rsid w:val="005B234E"/>
    <w:rsid w:val="005B3D8A"/>
    <w:rsid w:val="005B3EC2"/>
    <w:rsid w:val="005C1D68"/>
    <w:rsid w:val="005C3397"/>
    <w:rsid w:val="005C58FA"/>
    <w:rsid w:val="005C5F49"/>
    <w:rsid w:val="005C71BC"/>
    <w:rsid w:val="005D2629"/>
    <w:rsid w:val="005D4A78"/>
    <w:rsid w:val="005D4AFD"/>
    <w:rsid w:val="005D54F1"/>
    <w:rsid w:val="005D5820"/>
    <w:rsid w:val="005E03EB"/>
    <w:rsid w:val="005E3D07"/>
    <w:rsid w:val="005E6B49"/>
    <w:rsid w:val="005E7252"/>
    <w:rsid w:val="005E7AA8"/>
    <w:rsid w:val="005F02C2"/>
    <w:rsid w:val="005F6328"/>
    <w:rsid w:val="005F70F7"/>
    <w:rsid w:val="005F797F"/>
    <w:rsid w:val="006046D3"/>
    <w:rsid w:val="00605E3B"/>
    <w:rsid w:val="006065E8"/>
    <w:rsid w:val="00607B4C"/>
    <w:rsid w:val="006106B3"/>
    <w:rsid w:val="00610940"/>
    <w:rsid w:val="006155F0"/>
    <w:rsid w:val="00616766"/>
    <w:rsid w:val="00620386"/>
    <w:rsid w:val="006253B6"/>
    <w:rsid w:val="00625A15"/>
    <w:rsid w:val="00626ED3"/>
    <w:rsid w:val="00627BD8"/>
    <w:rsid w:val="0063178C"/>
    <w:rsid w:val="006349C4"/>
    <w:rsid w:val="00635114"/>
    <w:rsid w:val="00636177"/>
    <w:rsid w:val="006361D0"/>
    <w:rsid w:val="00637BE8"/>
    <w:rsid w:val="00637C90"/>
    <w:rsid w:val="00637D76"/>
    <w:rsid w:val="006408BF"/>
    <w:rsid w:val="00640A07"/>
    <w:rsid w:val="00642519"/>
    <w:rsid w:val="0064271E"/>
    <w:rsid w:val="006431FF"/>
    <w:rsid w:val="0064333A"/>
    <w:rsid w:val="00644F89"/>
    <w:rsid w:val="006553EC"/>
    <w:rsid w:val="00655674"/>
    <w:rsid w:val="00656027"/>
    <w:rsid w:val="00656746"/>
    <w:rsid w:val="006623D2"/>
    <w:rsid w:val="0067005A"/>
    <w:rsid w:val="00680130"/>
    <w:rsid w:val="006824E0"/>
    <w:rsid w:val="00684A68"/>
    <w:rsid w:val="00685883"/>
    <w:rsid w:val="00691C90"/>
    <w:rsid w:val="00692458"/>
    <w:rsid w:val="0069388D"/>
    <w:rsid w:val="006A0160"/>
    <w:rsid w:val="006A31AB"/>
    <w:rsid w:val="006A5215"/>
    <w:rsid w:val="006B18B2"/>
    <w:rsid w:val="006B3640"/>
    <w:rsid w:val="006B61AC"/>
    <w:rsid w:val="006B6C90"/>
    <w:rsid w:val="006B7CA7"/>
    <w:rsid w:val="006C0039"/>
    <w:rsid w:val="006C1521"/>
    <w:rsid w:val="006C39B7"/>
    <w:rsid w:val="006C3C89"/>
    <w:rsid w:val="006C4E7E"/>
    <w:rsid w:val="006C7001"/>
    <w:rsid w:val="006C7362"/>
    <w:rsid w:val="006D11DF"/>
    <w:rsid w:val="006D2547"/>
    <w:rsid w:val="006D3EF5"/>
    <w:rsid w:val="006D47A7"/>
    <w:rsid w:val="006E0951"/>
    <w:rsid w:val="006E10A6"/>
    <w:rsid w:val="006E32D1"/>
    <w:rsid w:val="006E4456"/>
    <w:rsid w:val="006E462E"/>
    <w:rsid w:val="006E5856"/>
    <w:rsid w:val="006E71A5"/>
    <w:rsid w:val="006E73F9"/>
    <w:rsid w:val="006F0585"/>
    <w:rsid w:val="006F47AA"/>
    <w:rsid w:val="006F73C8"/>
    <w:rsid w:val="007002B2"/>
    <w:rsid w:val="00700549"/>
    <w:rsid w:val="00700B1E"/>
    <w:rsid w:val="00700B46"/>
    <w:rsid w:val="00702088"/>
    <w:rsid w:val="00702564"/>
    <w:rsid w:val="007033DE"/>
    <w:rsid w:val="00703CCF"/>
    <w:rsid w:val="00705460"/>
    <w:rsid w:val="00712F00"/>
    <w:rsid w:val="007202C5"/>
    <w:rsid w:val="00721B04"/>
    <w:rsid w:val="00721E2A"/>
    <w:rsid w:val="00724D61"/>
    <w:rsid w:val="007277AF"/>
    <w:rsid w:val="00735CAA"/>
    <w:rsid w:val="0073719C"/>
    <w:rsid w:val="00742E09"/>
    <w:rsid w:val="00745452"/>
    <w:rsid w:val="00745956"/>
    <w:rsid w:val="00746818"/>
    <w:rsid w:val="00747FC4"/>
    <w:rsid w:val="00752457"/>
    <w:rsid w:val="0075311C"/>
    <w:rsid w:val="0075415F"/>
    <w:rsid w:val="00754898"/>
    <w:rsid w:val="00754A51"/>
    <w:rsid w:val="00755F95"/>
    <w:rsid w:val="00760169"/>
    <w:rsid w:val="007606B4"/>
    <w:rsid w:val="00760845"/>
    <w:rsid w:val="007640E0"/>
    <w:rsid w:val="00766E67"/>
    <w:rsid w:val="007678AC"/>
    <w:rsid w:val="00770769"/>
    <w:rsid w:val="0077225F"/>
    <w:rsid w:val="00774042"/>
    <w:rsid w:val="007741B9"/>
    <w:rsid w:val="00774FDE"/>
    <w:rsid w:val="00775D89"/>
    <w:rsid w:val="00776186"/>
    <w:rsid w:val="00777EE3"/>
    <w:rsid w:val="007812CF"/>
    <w:rsid w:val="0078367D"/>
    <w:rsid w:val="00784CA8"/>
    <w:rsid w:val="00784D38"/>
    <w:rsid w:val="00785234"/>
    <w:rsid w:val="00794435"/>
    <w:rsid w:val="00794ACF"/>
    <w:rsid w:val="007A1603"/>
    <w:rsid w:val="007A2563"/>
    <w:rsid w:val="007A43AC"/>
    <w:rsid w:val="007A682A"/>
    <w:rsid w:val="007A7F29"/>
    <w:rsid w:val="007B03DA"/>
    <w:rsid w:val="007B1A7B"/>
    <w:rsid w:val="007B26D2"/>
    <w:rsid w:val="007B3138"/>
    <w:rsid w:val="007B40DC"/>
    <w:rsid w:val="007B6F78"/>
    <w:rsid w:val="007B75F4"/>
    <w:rsid w:val="007C10BA"/>
    <w:rsid w:val="007C2324"/>
    <w:rsid w:val="007C2806"/>
    <w:rsid w:val="007C5C1B"/>
    <w:rsid w:val="007D3448"/>
    <w:rsid w:val="007D6C12"/>
    <w:rsid w:val="007E04CD"/>
    <w:rsid w:val="007E4E9A"/>
    <w:rsid w:val="007E6EE6"/>
    <w:rsid w:val="007F29F8"/>
    <w:rsid w:val="007F2D82"/>
    <w:rsid w:val="007F43F2"/>
    <w:rsid w:val="007F48B2"/>
    <w:rsid w:val="007F4EF0"/>
    <w:rsid w:val="007F5CFF"/>
    <w:rsid w:val="0081013E"/>
    <w:rsid w:val="00810C0D"/>
    <w:rsid w:val="008113B4"/>
    <w:rsid w:val="008114F0"/>
    <w:rsid w:val="00814D74"/>
    <w:rsid w:val="00814DE5"/>
    <w:rsid w:val="00817165"/>
    <w:rsid w:val="00820942"/>
    <w:rsid w:val="008248D1"/>
    <w:rsid w:val="0082586A"/>
    <w:rsid w:val="008261B4"/>
    <w:rsid w:val="00827EDE"/>
    <w:rsid w:val="00832EAB"/>
    <w:rsid w:val="008358B4"/>
    <w:rsid w:val="00842EF4"/>
    <w:rsid w:val="00843D15"/>
    <w:rsid w:val="00845AA0"/>
    <w:rsid w:val="008510FF"/>
    <w:rsid w:val="008530BE"/>
    <w:rsid w:val="008540FA"/>
    <w:rsid w:val="008606A0"/>
    <w:rsid w:val="00861E1B"/>
    <w:rsid w:val="00863446"/>
    <w:rsid w:val="00863E4E"/>
    <w:rsid w:val="00867895"/>
    <w:rsid w:val="00875FE9"/>
    <w:rsid w:val="0087684F"/>
    <w:rsid w:val="00876CAC"/>
    <w:rsid w:val="00885A76"/>
    <w:rsid w:val="00886079"/>
    <w:rsid w:val="00891F34"/>
    <w:rsid w:val="00895C04"/>
    <w:rsid w:val="008970B7"/>
    <w:rsid w:val="0089785F"/>
    <w:rsid w:val="008A0530"/>
    <w:rsid w:val="008A1B21"/>
    <w:rsid w:val="008A3DD8"/>
    <w:rsid w:val="008A3F85"/>
    <w:rsid w:val="008A47BD"/>
    <w:rsid w:val="008A51E8"/>
    <w:rsid w:val="008B0AC9"/>
    <w:rsid w:val="008B0F37"/>
    <w:rsid w:val="008B55D2"/>
    <w:rsid w:val="008B5C21"/>
    <w:rsid w:val="008B791D"/>
    <w:rsid w:val="008C1C7C"/>
    <w:rsid w:val="008C208A"/>
    <w:rsid w:val="008D0538"/>
    <w:rsid w:val="008D0D9A"/>
    <w:rsid w:val="008D2CA8"/>
    <w:rsid w:val="008D38A2"/>
    <w:rsid w:val="008D4AA6"/>
    <w:rsid w:val="008E0CD4"/>
    <w:rsid w:val="008E2267"/>
    <w:rsid w:val="008E6827"/>
    <w:rsid w:val="008F0F03"/>
    <w:rsid w:val="008F1341"/>
    <w:rsid w:val="008F2CD9"/>
    <w:rsid w:val="008F2CF5"/>
    <w:rsid w:val="008F3034"/>
    <w:rsid w:val="008F3194"/>
    <w:rsid w:val="008F5E84"/>
    <w:rsid w:val="008F65FF"/>
    <w:rsid w:val="00901E01"/>
    <w:rsid w:val="00904BC8"/>
    <w:rsid w:val="00906D5B"/>
    <w:rsid w:val="00907133"/>
    <w:rsid w:val="009071E8"/>
    <w:rsid w:val="009118F6"/>
    <w:rsid w:val="00911EB8"/>
    <w:rsid w:val="00912168"/>
    <w:rsid w:val="009139C7"/>
    <w:rsid w:val="00913CAC"/>
    <w:rsid w:val="0091437D"/>
    <w:rsid w:val="0091462B"/>
    <w:rsid w:val="009149B8"/>
    <w:rsid w:val="0091550B"/>
    <w:rsid w:val="0091658D"/>
    <w:rsid w:val="00917142"/>
    <w:rsid w:val="00920EF6"/>
    <w:rsid w:val="00921C0B"/>
    <w:rsid w:val="00921FF8"/>
    <w:rsid w:val="00922A50"/>
    <w:rsid w:val="00923EC8"/>
    <w:rsid w:val="00925F13"/>
    <w:rsid w:val="00926417"/>
    <w:rsid w:val="009277AD"/>
    <w:rsid w:val="009306ED"/>
    <w:rsid w:val="00932D30"/>
    <w:rsid w:val="00933BFA"/>
    <w:rsid w:val="009369C2"/>
    <w:rsid w:val="00936C28"/>
    <w:rsid w:val="00936DC9"/>
    <w:rsid w:val="00936E45"/>
    <w:rsid w:val="00936F4C"/>
    <w:rsid w:val="0093796A"/>
    <w:rsid w:val="00940816"/>
    <w:rsid w:val="00942585"/>
    <w:rsid w:val="0094333E"/>
    <w:rsid w:val="009448F7"/>
    <w:rsid w:val="00945A1D"/>
    <w:rsid w:val="00945CC4"/>
    <w:rsid w:val="00946533"/>
    <w:rsid w:val="00947A11"/>
    <w:rsid w:val="0095050A"/>
    <w:rsid w:val="0095266F"/>
    <w:rsid w:val="00953E59"/>
    <w:rsid w:val="0095533A"/>
    <w:rsid w:val="0095646B"/>
    <w:rsid w:val="00957565"/>
    <w:rsid w:val="00957A99"/>
    <w:rsid w:val="00964D8D"/>
    <w:rsid w:val="00964EDA"/>
    <w:rsid w:val="00965A01"/>
    <w:rsid w:val="00965EA8"/>
    <w:rsid w:val="0096731B"/>
    <w:rsid w:val="0096785D"/>
    <w:rsid w:val="00970842"/>
    <w:rsid w:val="00971125"/>
    <w:rsid w:val="00971F4F"/>
    <w:rsid w:val="00972D70"/>
    <w:rsid w:val="0097363B"/>
    <w:rsid w:val="009746B1"/>
    <w:rsid w:val="00975A13"/>
    <w:rsid w:val="00977BFB"/>
    <w:rsid w:val="00982385"/>
    <w:rsid w:val="00982810"/>
    <w:rsid w:val="009903CC"/>
    <w:rsid w:val="00995B1B"/>
    <w:rsid w:val="009A1396"/>
    <w:rsid w:val="009A2981"/>
    <w:rsid w:val="009A336D"/>
    <w:rsid w:val="009A5010"/>
    <w:rsid w:val="009A6075"/>
    <w:rsid w:val="009A63B5"/>
    <w:rsid w:val="009A7037"/>
    <w:rsid w:val="009B3131"/>
    <w:rsid w:val="009C11CF"/>
    <w:rsid w:val="009C13FA"/>
    <w:rsid w:val="009C2AED"/>
    <w:rsid w:val="009C3490"/>
    <w:rsid w:val="009C3BB0"/>
    <w:rsid w:val="009C575D"/>
    <w:rsid w:val="009C72D3"/>
    <w:rsid w:val="009C74E7"/>
    <w:rsid w:val="009D1FC0"/>
    <w:rsid w:val="009D2863"/>
    <w:rsid w:val="009D4238"/>
    <w:rsid w:val="009D493B"/>
    <w:rsid w:val="009D5E09"/>
    <w:rsid w:val="009D5EE5"/>
    <w:rsid w:val="009D5F1E"/>
    <w:rsid w:val="009D7580"/>
    <w:rsid w:val="009E00C4"/>
    <w:rsid w:val="009E0C7A"/>
    <w:rsid w:val="009E0E38"/>
    <w:rsid w:val="009E31CD"/>
    <w:rsid w:val="009E465A"/>
    <w:rsid w:val="009E53F4"/>
    <w:rsid w:val="009E59FA"/>
    <w:rsid w:val="009F038F"/>
    <w:rsid w:val="009F72C8"/>
    <w:rsid w:val="00A006D5"/>
    <w:rsid w:val="00A01509"/>
    <w:rsid w:val="00A02651"/>
    <w:rsid w:val="00A0337B"/>
    <w:rsid w:val="00A035E4"/>
    <w:rsid w:val="00A03809"/>
    <w:rsid w:val="00A0459A"/>
    <w:rsid w:val="00A07C43"/>
    <w:rsid w:val="00A116EA"/>
    <w:rsid w:val="00A11739"/>
    <w:rsid w:val="00A14311"/>
    <w:rsid w:val="00A1579B"/>
    <w:rsid w:val="00A20CEA"/>
    <w:rsid w:val="00A24C42"/>
    <w:rsid w:val="00A2629A"/>
    <w:rsid w:val="00A26F1E"/>
    <w:rsid w:val="00A272D4"/>
    <w:rsid w:val="00A2737A"/>
    <w:rsid w:val="00A303C6"/>
    <w:rsid w:val="00A31E06"/>
    <w:rsid w:val="00A32873"/>
    <w:rsid w:val="00A32B6F"/>
    <w:rsid w:val="00A333F2"/>
    <w:rsid w:val="00A34EAB"/>
    <w:rsid w:val="00A41E01"/>
    <w:rsid w:val="00A435C8"/>
    <w:rsid w:val="00A45D6C"/>
    <w:rsid w:val="00A470E3"/>
    <w:rsid w:val="00A513AA"/>
    <w:rsid w:val="00A6051F"/>
    <w:rsid w:val="00A60EED"/>
    <w:rsid w:val="00A621FE"/>
    <w:rsid w:val="00A6232E"/>
    <w:rsid w:val="00A64430"/>
    <w:rsid w:val="00A65C0A"/>
    <w:rsid w:val="00A66966"/>
    <w:rsid w:val="00A721C0"/>
    <w:rsid w:val="00A7294C"/>
    <w:rsid w:val="00A731B8"/>
    <w:rsid w:val="00A7517C"/>
    <w:rsid w:val="00A774B1"/>
    <w:rsid w:val="00A84013"/>
    <w:rsid w:val="00A84E3E"/>
    <w:rsid w:val="00A856B1"/>
    <w:rsid w:val="00A86197"/>
    <w:rsid w:val="00A875F3"/>
    <w:rsid w:val="00A9080B"/>
    <w:rsid w:val="00A90E16"/>
    <w:rsid w:val="00A94E61"/>
    <w:rsid w:val="00A957B0"/>
    <w:rsid w:val="00A96564"/>
    <w:rsid w:val="00A96CD8"/>
    <w:rsid w:val="00A979FD"/>
    <w:rsid w:val="00AA15EB"/>
    <w:rsid w:val="00AA2D7A"/>
    <w:rsid w:val="00AA2E86"/>
    <w:rsid w:val="00AA3549"/>
    <w:rsid w:val="00AA5307"/>
    <w:rsid w:val="00AB3BAC"/>
    <w:rsid w:val="00AB4AD3"/>
    <w:rsid w:val="00AC0797"/>
    <w:rsid w:val="00AC2EDE"/>
    <w:rsid w:val="00AC53AF"/>
    <w:rsid w:val="00AD4F9D"/>
    <w:rsid w:val="00AD628A"/>
    <w:rsid w:val="00AE05E1"/>
    <w:rsid w:val="00AE0AC0"/>
    <w:rsid w:val="00AE2123"/>
    <w:rsid w:val="00AE486F"/>
    <w:rsid w:val="00AE59E5"/>
    <w:rsid w:val="00AE629D"/>
    <w:rsid w:val="00AE6938"/>
    <w:rsid w:val="00AE6DBC"/>
    <w:rsid w:val="00AF0A65"/>
    <w:rsid w:val="00AF223D"/>
    <w:rsid w:val="00AF22E7"/>
    <w:rsid w:val="00AF3F61"/>
    <w:rsid w:val="00AF532B"/>
    <w:rsid w:val="00AF5C4F"/>
    <w:rsid w:val="00AF62FB"/>
    <w:rsid w:val="00AF67A9"/>
    <w:rsid w:val="00B024D9"/>
    <w:rsid w:val="00B03FFF"/>
    <w:rsid w:val="00B0502D"/>
    <w:rsid w:val="00B058EF"/>
    <w:rsid w:val="00B07F75"/>
    <w:rsid w:val="00B10AB7"/>
    <w:rsid w:val="00B1151B"/>
    <w:rsid w:val="00B170A2"/>
    <w:rsid w:val="00B17F72"/>
    <w:rsid w:val="00B203FF"/>
    <w:rsid w:val="00B22277"/>
    <w:rsid w:val="00B22944"/>
    <w:rsid w:val="00B2758D"/>
    <w:rsid w:val="00B30482"/>
    <w:rsid w:val="00B31526"/>
    <w:rsid w:val="00B3226B"/>
    <w:rsid w:val="00B326A7"/>
    <w:rsid w:val="00B33322"/>
    <w:rsid w:val="00B33F30"/>
    <w:rsid w:val="00B33FA0"/>
    <w:rsid w:val="00B34124"/>
    <w:rsid w:val="00B3418C"/>
    <w:rsid w:val="00B34980"/>
    <w:rsid w:val="00B36C89"/>
    <w:rsid w:val="00B41CEE"/>
    <w:rsid w:val="00B420B6"/>
    <w:rsid w:val="00B450AD"/>
    <w:rsid w:val="00B47027"/>
    <w:rsid w:val="00B47E51"/>
    <w:rsid w:val="00B47F44"/>
    <w:rsid w:val="00B500E8"/>
    <w:rsid w:val="00B506B5"/>
    <w:rsid w:val="00B52163"/>
    <w:rsid w:val="00B55EF6"/>
    <w:rsid w:val="00B57B60"/>
    <w:rsid w:val="00B61582"/>
    <w:rsid w:val="00B6217E"/>
    <w:rsid w:val="00B625F2"/>
    <w:rsid w:val="00B627C5"/>
    <w:rsid w:val="00B64367"/>
    <w:rsid w:val="00B64C8C"/>
    <w:rsid w:val="00B65F91"/>
    <w:rsid w:val="00B6769D"/>
    <w:rsid w:val="00B6772A"/>
    <w:rsid w:val="00B83559"/>
    <w:rsid w:val="00B852BF"/>
    <w:rsid w:val="00B853F1"/>
    <w:rsid w:val="00B86A43"/>
    <w:rsid w:val="00B91976"/>
    <w:rsid w:val="00B92CED"/>
    <w:rsid w:val="00B94117"/>
    <w:rsid w:val="00B968C2"/>
    <w:rsid w:val="00BA028D"/>
    <w:rsid w:val="00BA1722"/>
    <w:rsid w:val="00BA3E7C"/>
    <w:rsid w:val="00BA62AA"/>
    <w:rsid w:val="00BA6C5D"/>
    <w:rsid w:val="00BA6DD4"/>
    <w:rsid w:val="00BB1636"/>
    <w:rsid w:val="00BB1B98"/>
    <w:rsid w:val="00BB5BAF"/>
    <w:rsid w:val="00BB6801"/>
    <w:rsid w:val="00BB7B1F"/>
    <w:rsid w:val="00BC12C5"/>
    <w:rsid w:val="00BC4D26"/>
    <w:rsid w:val="00BC5518"/>
    <w:rsid w:val="00BD054F"/>
    <w:rsid w:val="00BD078D"/>
    <w:rsid w:val="00BD429D"/>
    <w:rsid w:val="00BD44A9"/>
    <w:rsid w:val="00BD6D69"/>
    <w:rsid w:val="00BE1539"/>
    <w:rsid w:val="00BE4EDA"/>
    <w:rsid w:val="00BF27FA"/>
    <w:rsid w:val="00BF35EB"/>
    <w:rsid w:val="00BF36A0"/>
    <w:rsid w:val="00BF3884"/>
    <w:rsid w:val="00BF52DE"/>
    <w:rsid w:val="00BF6116"/>
    <w:rsid w:val="00C00318"/>
    <w:rsid w:val="00C01BE9"/>
    <w:rsid w:val="00C034D3"/>
    <w:rsid w:val="00C049CA"/>
    <w:rsid w:val="00C055ED"/>
    <w:rsid w:val="00C07276"/>
    <w:rsid w:val="00C11030"/>
    <w:rsid w:val="00C111B1"/>
    <w:rsid w:val="00C11E48"/>
    <w:rsid w:val="00C12554"/>
    <w:rsid w:val="00C15F4D"/>
    <w:rsid w:val="00C17963"/>
    <w:rsid w:val="00C202F8"/>
    <w:rsid w:val="00C20D92"/>
    <w:rsid w:val="00C221C1"/>
    <w:rsid w:val="00C24670"/>
    <w:rsid w:val="00C247EA"/>
    <w:rsid w:val="00C25557"/>
    <w:rsid w:val="00C27FE2"/>
    <w:rsid w:val="00C32FD3"/>
    <w:rsid w:val="00C3347F"/>
    <w:rsid w:val="00C338D7"/>
    <w:rsid w:val="00C33B14"/>
    <w:rsid w:val="00C34A10"/>
    <w:rsid w:val="00C34F92"/>
    <w:rsid w:val="00C36B93"/>
    <w:rsid w:val="00C36F3E"/>
    <w:rsid w:val="00C37A4C"/>
    <w:rsid w:val="00C40538"/>
    <w:rsid w:val="00C43EF4"/>
    <w:rsid w:val="00C4612C"/>
    <w:rsid w:val="00C47732"/>
    <w:rsid w:val="00C50963"/>
    <w:rsid w:val="00C50BD6"/>
    <w:rsid w:val="00C50FA2"/>
    <w:rsid w:val="00C51E26"/>
    <w:rsid w:val="00C54B93"/>
    <w:rsid w:val="00C54D16"/>
    <w:rsid w:val="00C55135"/>
    <w:rsid w:val="00C57A55"/>
    <w:rsid w:val="00C62A0C"/>
    <w:rsid w:val="00C635E2"/>
    <w:rsid w:val="00C704CF"/>
    <w:rsid w:val="00C724D0"/>
    <w:rsid w:val="00C72507"/>
    <w:rsid w:val="00C73D38"/>
    <w:rsid w:val="00C74397"/>
    <w:rsid w:val="00C74A04"/>
    <w:rsid w:val="00C76E2D"/>
    <w:rsid w:val="00C76FFF"/>
    <w:rsid w:val="00C77386"/>
    <w:rsid w:val="00C80421"/>
    <w:rsid w:val="00C807F1"/>
    <w:rsid w:val="00C818BB"/>
    <w:rsid w:val="00C81DFC"/>
    <w:rsid w:val="00C82214"/>
    <w:rsid w:val="00C84E28"/>
    <w:rsid w:val="00C84F08"/>
    <w:rsid w:val="00C855A2"/>
    <w:rsid w:val="00C90647"/>
    <w:rsid w:val="00C91310"/>
    <w:rsid w:val="00C936B0"/>
    <w:rsid w:val="00CA0192"/>
    <w:rsid w:val="00CA43F1"/>
    <w:rsid w:val="00CA4FDE"/>
    <w:rsid w:val="00CA70E7"/>
    <w:rsid w:val="00CB228A"/>
    <w:rsid w:val="00CB2E17"/>
    <w:rsid w:val="00CB3056"/>
    <w:rsid w:val="00CB3987"/>
    <w:rsid w:val="00CB7E08"/>
    <w:rsid w:val="00CC4F4F"/>
    <w:rsid w:val="00CC5AD8"/>
    <w:rsid w:val="00CD434F"/>
    <w:rsid w:val="00CE1D90"/>
    <w:rsid w:val="00CE2446"/>
    <w:rsid w:val="00CE5F47"/>
    <w:rsid w:val="00CE6986"/>
    <w:rsid w:val="00CE78F5"/>
    <w:rsid w:val="00CF24D4"/>
    <w:rsid w:val="00CF3925"/>
    <w:rsid w:val="00D01536"/>
    <w:rsid w:val="00D027B9"/>
    <w:rsid w:val="00D0489B"/>
    <w:rsid w:val="00D052B4"/>
    <w:rsid w:val="00D07A8B"/>
    <w:rsid w:val="00D10F72"/>
    <w:rsid w:val="00D17891"/>
    <w:rsid w:val="00D206E0"/>
    <w:rsid w:val="00D223CA"/>
    <w:rsid w:val="00D228B8"/>
    <w:rsid w:val="00D25E0F"/>
    <w:rsid w:val="00D27637"/>
    <w:rsid w:val="00D30343"/>
    <w:rsid w:val="00D3635A"/>
    <w:rsid w:val="00D36920"/>
    <w:rsid w:val="00D36B09"/>
    <w:rsid w:val="00D434D3"/>
    <w:rsid w:val="00D4358F"/>
    <w:rsid w:val="00D443D7"/>
    <w:rsid w:val="00D5188B"/>
    <w:rsid w:val="00D520E7"/>
    <w:rsid w:val="00D53C66"/>
    <w:rsid w:val="00D56DA0"/>
    <w:rsid w:val="00D609A1"/>
    <w:rsid w:val="00D62793"/>
    <w:rsid w:val="00D627BE"/>
    <w:rsid w:val="00D6578B"/>
    <w:rsid w:val="00D65905"/>
    <w:rsid w:val="00D67E6B"/>
    <w:rsid w:val="00D71B35"/>
    <w:rsid w:val="00D74DFD"/>
    <w:rsid w:val="00D76E47"/>
    <w:rsid w:val="00D770C8"/>
    <w:rsid w:val="00D80302"/>
    <w:rsid w:val="00D81A2D"/>
    <w:rsid w:val="00D81CB0"/>
    <w:rsid w:val="00D82211"/>
    <w:rsid w:val="00D8365B"/>
    <w:rsid w:val="00D8559E"/>
    <w:rsid w:val="00D863DB"/>
    <w:rsid w:val="00D87671"/>
    <w:rsid w:val="00D90346"/>
    <w:rsid w:val="00D92132"/>
    <w:rsid w:val="00D92CE7"/>
    <w:rsid w:val="00D931B6"/>
    <w:rsid w:val="00D95849"/>
    <w:rsid w:val="00D9595A"/>
    <w:rsid w:val="00D967DA"/>
    <w:rsid w:val="00D96A05"/>
    <w:rsid w:val="00D96ACC"/>
    <w:rsid w:val="00D974FB"/>
    <w:rsid w:val="00DA031B"/>
    <w:rsid w:val="00DA48F8"/>
    <w:rsid w:val="00DA5524"/>
    <w:rsid w:val="00DA60A4"/>
    <w:rsid w:val="00DB0295"/>
    <w:rsid w:val="00DB207B"/>
    <w:rsid w:val="00DB3285"/>
    <w:rsid w:val="00DB5138"/>
    <w:rsid w:val="00DB6108"/>
    <w:rsid w:val="00DC008F"/>
    <w:rsid w:val="00DC2D73"/>
    <w:rsid w:val="00DD4464"/>
    <w:rsid w:val="00DD6074"/>
    <w:rsid w:val="00DD693A"/>
    <w:rsid w:val="00DE125D"/>
    <w:rsid w:val="00DE5620"/>
    <w:rsid w:val="00DE5C6B"/>
    <w:rsid w:val="00DE6056"/>
    <w:rsid w:val="00DE6090"/>
    <w:rsid w:val="00DF1CBC"/>
    <w:rsid w:val="00DF3EFE"/>
    <w:rsid w:val="00E02685"/>
    <w:rsid w:val="00E04C56"/>
    <w:rsid w:val="00E0642F"/>
    <w:rsid w:val="00E104DF"/>
    <w:rsid w:val="00E17DC5"/>
    <w:rsid w:val="00E20D5A"/>
    <w:rsid w:val="00E21634"/>
    <w:rsid w:val="00E25B52"/>
    <w:rsid w:val="00E25BA6"/>
    <w:rsid w:val="00E27141"/>
    <w:rsid w:val="00E272E4"/>
    <w:rsid w:val="00E31382"/>
    <w:rsid w:val="00E31596"/>
    <w:rsid w:val="00E3510F"/>
    <w:rsid w:val="00E3663A"/>
    <w:rsid w:val="00E367AD"/>
    <w:rsid w:val="00E3733D"/>
    <w:rsid w:val="00E40792"/>
    <w:rsid w:val="00E41BFA"/>
    <w:rsid w:val="00E43DCB"/>
    <w:rsid w:val="00E45226"/>
    <w:rsid w:val="00E45436"/>
    <w:rsid w:val="00E47EAF"/>
    <w:rsid w:val="00E55664"/>
    <w:rsid w:val="00E563D9"/>
    <w:rsid w:val="00E56F2D"/>
    <w:rsid w:val="00E5710E"/>
    <w:rsid w:val="00E63F4F"/>
    <w:rsid w:val="00E64DA3"/>
    <w:rsid w:val="00E679F9"/>
    <w:rsid w:val="00E7101C"/>
    <w:rsid w:val="00E710F2"/>
    <w:rsid w:val="00E72731"/>
    <w:rsid w:val="00E73A87"/>
    <w:rsid w:val="00E7529D"/>
    <w:rsid w:val="00E76C52"/>
    <w:rsid w:val="00E80B1C"/>
    <w:rsid w:val="00E870E4"/>
    <w:rsid w:val="00E8796B"/>
    <w:rsid w:val="00E90C07"/>
    <w:rsid w:val="00E93F27"/>
    <w:rsid w:val="00E94350"/>
    <w:rsid w:val="00E97B77"/>
    <w:rsid w:val="00EA060C"/>
    <w:rsid w:val="00EA4041"/>
    <w:rsid w:val="00EA4C6B"/>
    <w:rsid w:val="00EA7109"/>
    <w:rsid w:val="00EB0EB1"/>
    <w:rsid w:val="00EB103A"/>
    <w:rsid w:val="00EB256E"/>
    <w:rsid w:val="00EB26B6"/>
    <w:rsid w:val="00EB44CD"/>
    <w:rsid w:val="00EB70EE"/>
    <w:rsid w:val="00EC0190"/>
    <w:rsid w:val="00EC3146"/>
    <w:rsid w:val="00EC4BB0"/>
    <w:rsid w:val="00EC4C64"/>
    <w:rsid w:val="00EC7202"/>
    <w:rsid w:val="00ED2843"/>
    <w:rsid w:val="00ED2DE6"/>
    <w:rsid w:val="00ED4AAB"/>
    <w:rsid w:val="00ED4B8A"/>
    <w:rsid w:val="00EE0C5F"/>
    <w:rsid w:val="00EE285A"/>
    <w:rsid w:val="00EE3372"/>
    <w:rsid w:val="00EE5549"/>
    <w:rsid w:val="00EE5A45"/>
    <w:rsid w:val="00EE6F7A"/>
    <w:rsid w:val="00EF1F94"/>
    <w:rsid w:val="00EF273A"/>
    <w:rsid w:val="00EF46D9"/>
    <w:rsid w:val="00EF6148"/>
    <w:rsid w:val="00EF7E3E"/>
    <w:rsid w:val="00F03A6B"/>
    <w:rsid w:val="00F04F4D"/>
    <w:rsid w:val="00F071B9"/>
    <w:rsid w:val="00F07604"/>
    <w:rsid w:val="00F109DA"/>
    <w:rsid w:val="00F122F6"/>
    <w:rsid w:val="00F1433A"/>
    <w:rsid w:val="00F14625"/>
    <w:rsid w:val="00F15189"/>
    <w:rsid w:val="00F1598A"/>
    <w:rsid w:val="00F15A99"/>
    <w:rsid w:val="00F20F66"/>
    <w:rsid w:val="00F21E51"/>
    <w:rsid w:val="00F25056"/>
    <w:rsid w:val="00F26716"/>
    <w:rsid w:val="00F26C97"/>
    <w:rsid w:val="00F30FA6"/>
    <w:rsid w:val="00F3287A"/>
    <w:rsid w:val="00F34BCF"/>
    <w:rsid w:val="00F351DC"/>
    <w:rsid w:val="00F3576A"/>
    <w:rsid w:val="00F35EB0"/>
    <w:rsid w:val="00F373D8"/>
    <w:rsid w:val="00F41308"/>
    <w:rsid w:val="00F41387"/>
    <w:rsid w:val="00F4308C"/>
    <w:rsid w:val="00F43818"/>
    <w:rsid w:val="00F43B50"/>
    <w:rsid w:val="00F44AAE"/>
    <w:rsid w:val="00F4545C"/>
    <w:rsid w:val="00F521BB"/>
    <w:rsid w:val="00F53EE8"/>
    <w:rsid w:val="00F545A8"/>
    <w:rsid w:val="00F5475F"/>
    <w:rsid w:val="00F54857"/>
    <w:rsid w:val="00F5666F"/>
    <w:rsid w:val="00F56E41"/>
    <w:rsid w:val="00F571EC"/>
    <w:rsid w:val="00F57ABE"/>
    <w:rsid w:val="00F622D7"/>
    <w:rsid w:val="00F658A9"/>
    <w:rsid w:val="00F67F69"/>
    <w:rsid w:val="00F71652"/>
    <w:rsid w:val="00F72EBA"/>
    <w:rsid w:val="00F74407"/>
    <w:rsid w:val="00F74AEB"/>
    <w:rsid w:val="00F764BE"/>
    <w:rsid w:val="00F77117"/>
    <w:rsid w:val="00F826D8"/>
    <w:rsid w:val="00F84AF1"/>
    <w:rsid w:val="00F86E9A"/>
    <w:rsid w:val="00F879C4"/>
    <w:rsid w:val="00F87D53"/>
    <w:rsid w:val="00F9196B"/>
    <w:rsid w:val="00F942C6"/>
    <w:rsid w:val="00F94451"/>
    <w:rsid w:val="00F9448A"/>
    <w:rsid w:val="00F947D6"/>
    <w:rsid w:val="00F94CDC"/>
    <w:rsid w:val="00F9579E"/>
    <w:rsid w:val="00F961BE"/>
    <w:rsid w:val="00FA029F"/>
    <w:rsid w:val="00FA16AF"/>
    <w:rsid w:val="00FA4E6F"/>
    <w:rsid w:val="00FA5C1A"/>
    <w:rsid w:val="00FA6EFF"/>
    <w:rsid w:val="00FB0F2E"/>
    <w:rsid w:val="00FB3E04"/>
    <w:rsid w:val="00FB4F23"/>
    <w:rsid w:val="00FB7092"/>
    <w:rsid w:val="00FC1860"/>
    <w:rsid w:val="00FC1B7F"/>
    <w:rsid w:val="00FC1F3B"/>
    <w:rsid w:val="00FC4A8E"/>
    <w:rsid w:val="00FC5688"/>
    <w:rsid w:val="00FC5BBD"/>
    <w:rsid w:val="00FD120A"/>
    <w:rsid w:val="00FD13BC"/>
    <w:rsid w:val="00FD3169"/>
    <w:rsid w:val="00FD4961"/>
    <w:rsid w:val="00FD7976"/>
    <w:rsid w:val="00FE0686"/>
    <w:rsid w:val="00FE46F1"/>
    <w:rsid w:val="00FE5081"/>
    <w:rsid w:val="00FE70A6"/>
    <w:rsid w:val="00FE7FF1"/>
    <w:rsid w:val="00FF0FE9"/>
    <w:rsid w:val="00FF248A"/>
    <w:rsid w:val="00FF3F96"/>
    <w:rsid w:val="00FF55B2"/>
    <w:rsid w:val="00FF674A"/>
    <w:rsid w:val="00FF68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white" stroke="f">
      <v:fill color="white" on="f"/>
      <v:stroke on="f"/>
    </o:shapedefaults>
    <o:shapelayout v:ext="edit">
      <o:idmap v:ext="edit" data="2"/>
    </o:shapelayout>
  </w:shapeDefaults>
  <w:decimalSymbol w:val="."/>
  <w:listSeparator w:val=","/>
  <w14:docId w14:val="071B8CD5"/>
  <w15:docId w15:val="{A1C4988B-8573-4103-9966-1B919D5E3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color w:val="000000" w:themeColor="text1"/>
        <w:sz w:val="24"/>
        <w:szCs w:val="24"/>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locked="1"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rsid w:val="00241A68"/>
    <w:pPr>
      <w:spacing w:before="120" w:after="240" w:line="276" w:lineRule="auto"/>
    </w:pPr>
  </w:style>
  <w:style w:type="paragraph" w:styleId="Heading1">
    <w:name w:val="heading 1"/>
    <w:basedOn w:val="Header"/>
    <w:next w:val="Normal"/>
    <w:link w:val="Heading1Char"/>
    <w:qFormat/>
    <w:rsid w:val="00036249"/>
    <w:pPr>
      <w:outlineLvl w:val="0"/>
    </w:pPr>
    <w:rPr>
      <w:b/>
      <w:bCs/>
      <w:sz w:val="40"/>
      <w:szCs w:val="40"/>
    </w:rPr>
  </w:style>
  <w:style w:type="paragraph" w:styleId="Heading2">
    <w:name w:val="heading 2"/>
    <w:basedOn w:val="Header"/>
    <w:next w:val="BodyCopy"/>
    <w:link w:val="Heading2Char"/>
    <w:unhideWhenUsed/>
    <w:qFormat/>
    <w:rsid w:val="00197F2E"/>
    <w:pPr>
      <w:outlineLvl w:val="1"/>
    </w:pPr>
    <w:rPr>
      <w:sz w:val="32"/>
    </w:rPr>
  </w:style>
  <w:style w:type="paragraph" w:styleId="Heading3">
    <w:name w:val="heading 3"/>
    <w:basedOn w:val="Heading2"/>
    <w:next w:val="BodyCopy"/>
    <w:link w:val="Heading3Char"/>
    <w:autoRedefine/>
    <w:unhideWhenUsed/>
    <w:qFormat/>
    <w:rsid w:val="007B1A7B"/>
    <w:pPr>
      <w:tabs>
        <w:tab w:val="center" w:leader="hyphen" w:pos="4513"/>
      </w:tabs>
      <w:spacing w:after="120" w:line="360" w:lineRule="exact"/>
      <w:outlineLvl w:val="2"/>
    </w:pPr>
    <w:rPr>
      <w:b/>
      <w:bCs/>
      <w:iCs/>
      <w:sz w:val="28"/>
      <w:szCs w:val="36"/>
    </w:rPr>
  </w:style>
  <w:style w:type="paragraph" w:styleId="Heading4">
    <w:name w:val="heading 4"/>
    <w:basedOn w:val="BodyCopy"/>
    <w:next w:val="BodyCopy"/>
    <w:link w:val="Heading4Char"/>
    <w:autoRedefine/>
    <w:unhideWhenUsed/>
    <w:qFormat/>
    <w:locked/>
    <w:rsid w:val="00C34A10"/>
    <w:pPr>
      <w:shd w:val="clear" w:color="auto" w:fill="3D2262" w:themeFill="accent1"/>
      <w:spacing w:before="0" w:after="120" w:line="460" w:lineRule="exact"/>
      <w:outlineLvl w:val="3"/>
    </w:pPr>
    <w:rPr>
      <w:b/>
      <w:color w:val="FFFFFF" w:themeColor="background1"/>
      <w:lang w:eastAsia="en-US"/>
    </w:rPr>
  </w:style>
  <w:style w:type="paragraph" w:styleId="Heading5">
    <w:name w:val="heading 5"/>
    <w:basedOn w:val="Heading6"/>
    <w:next w:val="BodyCopy"/>
    <w:link w:val="Heading5Char"/>
    <w:unhideWhenUsed/>
    <w:qFormat/>
    <w:locked/>
    <w:rsid w:val="00A6051F"/>
    <w:pPr>
      <w:spacing w:before="100" w:beforeAutospacing="1" w:line="300" w:lineRule="exact"/>
      <w:outlineLvl w:val="4"/>
    </w:pPr>
    <w:rPr>
      <w:b/>
      <w:bCs/>
      <w:iCs/>
      <w:color w:val="3D2262" w:themeColor="accent1"/>
      <w:szCs w:val="36"/>
    </w:rPr>
  </w:style>
  <w:style w:type="paragraph" w:styleId="Heading6">
    <w:name w:val="heading 6"/>
    <w:basedOn w:val="BodyText"/>
    <w:next w:val="BodyCopy"/>
    <w:link w:val="Heading6Char"/>
    <w:unhideWhenUsed/>
    <w:qFormat/>
    <w:locked/>
    <w:rsid w:val="009A5010"/>
    <w:pPr>
      <w:keepNext/>
      <w:keepLines/>
      <w:outlineLvl w:val="5"/>
    </w:pPr>
    <w:rPr>
      <w:rFonts w:eastAsiaTheme="majorEastAsia" w:cstheme="majorBidi"/>
      <w:color w:val="6E3894" w:themeColor="accent2"/>
    </w:rPr>
  </w:style>
  <w:style w:type="paragraph" w:styleId="Heading7">
    <w:name w:val="heading 7"/>
    <w:basedOn w:val="BodyText"/>
    <w:next w:val="BodyCopy"/>
    <w:link w:val="Heading7Char"/>
    <w:unhideWhenUsed/>
    <w:qFormat/>
    <w:locked/>
    <w:rsid w:val="00197F2E"/>
    <w:pPr>
      <w:keepNext/>
      <w:keepLines/>
      <w:spacing w:before="0" w:after="0" w:line="240" w:lineRule="auto"/>
      <w:outlineLvl w:val="6"/>
    </w:pPr>
    <w:rPr>
      <w:rFonts w:asciiTheme="majorHAnsi" w:eastAsiaTheme="majorEastAsia" w:hAnsiTheme="majorHAnsi" w:cstheme="majorBidi"/>
      <w:b/>
      <w:iCs/>
    </w:rPr>
  </w:style>
  <w:style w:type="paragraph" w:styleId="Heading8">
    <w:name w:val="heading 8"/>
    <w:basedOn w:val="Normal"/>
    <w:next w:val="Normal"/>
    <w:link w:val="Heading8Char"/>
    <w:unhideWhenUsed/>
    <w:rsid w:val="00E0642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rsid w:val="00E0642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57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769"/>
    <w:rPr>
      <w:rFonts w:ascii="Tahoma" w:hAnsi="Tahoma" w:cs="Tahoma"/>
      <w:sz w:val="16"/>
      <w:szCs w:val="16"/>
    </w:rPr>
  </w:style>
  <w:style w:type="paragraph" w:styleId="Header">
    <w:name w:val="header"/>
    <w:basedOn w:val="Normal"/>
    <w:link w:val="HeaderChar"/>
    <w:uiPriority w:val="99"/>
    <w:unhideWhenUsed/>
    <w:rsid w:val="00EB26B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B26B6"/>
  </w:style>
  <w:style w:type="paragraph" w:styleId="Footer">
    <w:name w:val="footer"/>
    <w:basedOn w:val="Normal"/>
    <w:link w:val="FooterChar"/>
    <w:uiPriority w:val="99"/>
    <w:unhideWhenUsed/>
    <w:rsid w:val="002B434C"/>
    <w:pPr>
      <w:tabs>
        <w:tab w:val="left" w:pos="709"/>
        <w:tab w:val="right" w:pos="14629"/>
      </w:tabs>
      <w:spacing w:before="100" w:beforeAutospacing="1" w:after="100" w:afterAutospacing="1" w:line="300" w:lineRule="atLeast"/>
    </w:pPr>
    <w:rPr>
      <w:sz w:val="18"/>
    </w:rPr>
  </w:style>
  <w:style w:type="character" w:customStyle="1" w:styleId="FooterChar">
    <w:name w:val="Footer Char"/>
    <w:basedOn w:val="DefaultParagraphFont"/>
    <w:link w:val="Footer"/>
    <w:uiPriority w:val="99"/>
    <w:rsid w:val="002B434C"/>
    <w:rPr>
      <w:sz w:val="18"/>
    </w:rPr>
  </w:style>
  <w:style w:type="character" w:customStyle="1" w:styleId="Heading1Char">
    <w:name w:val="Heading 1 Char"/>
    <w:basedOn w:val="DefaultParagraphFont"/>
    <w:link w:val="Heading1"/>
    <w:rsid w:val="00241A68"/>
    <w:rPr>
      <w:b/>
      <w:bCs/>
      <w:sz w:val="40"/>
      <w:szCs w:val="40"/>
    </w:rPr>
  </w:style>
  <w:style w:type="character" w:customStyle="1" w:styleId="Heading2Char">
    <w:name w:val="Heading 2 Char"/>
    <w:basedOn w:val="DefaultParagraphFont"/>
    <w:link w:val="Heading2"/>
    <w:rsid w:val="00197F2E"/>
    <w:rPr>
      <w:sz w:val="32"/>
    </w:rPr>
  </w:style>
  <w:style w:type="character" w:customStyle="1" w:styleId="Heading3Char">
    <w:name w:val="Heading 3 Char"/>
    <w:basedOn w:val="DefaultParagraphFont"/>
    <w:link w:val="Heading3"/>
    <w:rsid w:val="007B1A7B"/>
    <w:rPr>
      <w:b/>
      <w:bCs/>
      <w:iCs/>
      <w:sz w:val="28"/>
      <w:szCs w:val="36"/>
    </w:rPr>
  </w:style>
  <w:style w:type="paragraph" w:customStyle="1" w:styleId="Bullet">
    <w:name w:val="Bullet"/>
    <w:basedOn w:val="BodyCopy"/>
    <w:uiPriority w:val="1"/>
    <w:qFormat/>
    <w:rsid w:val="0095646B"/>
    <w:pPr>
      <w:numPr>
        <w:numId w:val="1"/>
      </w:numPr>
      <w:tabs>
        <w:tab w:val="left" w:pos="425"/>
      </w:tabs>
      <w:spacing w:after="120" w:line="300" w:lineRule="auto"/>
      <w:contextualSpacing/>
    </w:pPr>
    <w:rPr>
      <w:bCs w:val="0"/>
      <w:iCs w:val="0"/>
    </w:rPr>
  </w:style>
  <w:style w:type="paragraph" w:customStyle="1" w:styleId="Tablebody">
    <w:name w:val="Table body"/>
    <w:basedOn w:val="Normal"/>
    <w:uiPriority w:val="4"/>
    <w:qFormat/>
    <w:rsid w:val="00533388"/>
    <w:pPr>
      <w:spacing w:before="0" w:after="0" w:line="300" w:lineRule="exact"/>
    </w:pPr>
    <w:rPr>
      <w:rFonts w:eastAsia="Times New Roman"/>
      <w:bCs/>
      <w:iCs/>
      <w:lang w:val="en-US"/>
    </w:rPr>
  </w:style>
  <w:style w:type="paragraph" w:customStyle="1" w:styleId="Tablebullet1">
    <w:name w:val="Table bullet 1"/>
    <w:basedOn w:val="Bullet"/>
    <w:uiPriority w:val="3"/>
    <w:qFormat/>
    <w:rsid w:val="00FE46F1"/>
    <w:pPr>
      <w:spacing w:after="0" w:line="280" w:lineRule="exact"/>
      <w:ind w:left="357" w:hanging="357"/>
    </w:pPr>
    <w:rPr>
      <w:lang w:val="en-US"/>
    </w:rPr>
  </w:style>
  <w:style w:type="paragraph" w:customStyle="1" w:styleId="Tablebullet2">
    <w:name w:val="Table bullet 2"/>
    <w:basedOn w:val="Normal"/>
    <w:uiPriority w:val="3"/>
    <w:qFormat/>
    <w:rsid w:val="00E3663A"/>
    <w:pPr>
      <w:numPr>
        <w:numId w:val="2"/>
      </w:numPr>
      <w:tabs>
        <w:tab w:val="left" w:pos="425"/>
      </w:tabs>
      <w:spacing w:before="0" w:after="0" w:line="280" w:lineRule="exact"/>
      <w:ind w:left="850" w:right="-425" w:hanging="425"/>
      <w:contextualSpacing/>
    </w:pPr>
    <w:rPr>
      <w:rFonts w:eastAsia="Times New Roman"/>
      <w:bCs/>
      <w:iCs/>
      <w:lang w:val="en-US"/>
    </w:rPr>
  </w:style>
  <w:style w:type="paragraph" w:customStyle="1" w:styleId="Tableheader-white">
    <w:name w:val="Table header - white"/>
    <w:next w:val="Tablebody"/>
    <w:uiPriority w:val="3"/>
    <w:rsid w:val="00533388"/>
    <w:pPr>
      <w:spacing w:line="300" w:lineRule="exact"/>
    </w:pPr>
    <w:rPr>
      <w:rFonts w:eastAsia="Times New Roman"/>
      <w:b/>
      <w:bCs/>
      <w:iCs/>
      <w:color w:val="FFFFFF" w:themeColor="background1"/>
      <w:lang w:val="en-US" w:eastAsia="en-US"/>
    </w:rPr>
  </w:style>
  <w:style w:type="table" w:styleId="TableGrid">
    <w:name w:val="Table Grid"/>
    <w:basedOn w:val="TableNormal"/>
    <w:uiPriority w:val="59"/>
    <w:locked/>
    <w:rsid w:val="002F2A26"/>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63F4F"/>
    <w:rPr>
      <w:color w:val="auto"/>
      <w:u w:val="single"/>
    </w:rPr>
  </w:style>
  <w:style w:type="character" w:customStyle="1" w:styleId="Heading4Char">
    <w:name w:val="Heading 4 Char"/>
    <w:basedOn w:val="DefaultParagraphFont"/>
    <w:link w:val="Heading4"/>
    <w:rsid w:val="00C34A10"/>
    <w:rPr>
      <w:rFonts w:eastAsia="Times New Roman"/>
      <w:b/>
      <w:bCs/>
      <w:iCs/>
      <w:color w:val="FFFFFF" w:themeColor="background1"/>
      <w:shd w:val="clear" w:color="auto" w:fill="3D2262" w:themeFill="accent1"/>
      <w:lang w:eastAsia="en-US"/>
    </w:rPr>
  </w:style>
  <w:style w:type="paragraph" w:customStyle="1" w:styleId="TOC-Figures">
    <w:name w:val="TOC - Figures"/>
    <w:basedOn w:val="TOC-Tables"/>
    <w:uiPriority w:val="3"/>
    <w:rsid w:val="00D01536"/>
    <w:pPr>
      <w:tabs>
        <w:tab w:val="clear" w:pos="1134"/>
        <w:tab w:val="left" w:pos="1418"/>
      </w:tabs>
    </w:pPr>
  </w:style>
  <w:style w:type="paragraph" w:styleId="TOC1">
    <w:name w:val="toc 1"/>
    <w:basedOn w:val="Normal"/>
    <w:next w:val="Normal"/>
    <w:autoRedefine/>
    <w:uiPriority w:val="39"/>
    <w:unhideWhenUsed/>
    <w:rsid w:val="00E7101C"/>
    <w:pPr>
      <w:tabs>
        <w:tab w:val="right" w:leader="dot" w:pos="10206"/>
      </w:tabs>
      <w:spacing w:before="0" w:after="120" w:line="300" w:lineRule="atLeast"/>
    </w:pPr>
    <w:rPr>
      <w:noProof/>
    </w:rPr>
  </w:style>
  <w:style w:type="paragraph" w:styleId="CommentSubject">
    <w:name w:val="annotation subject"/>
    <w:basedOn w:val="Normal"/>
    <w:next w:val="Normal"/>
    <w:link w:val="CommentSubjectChar"/>
    <w:uiPriority w:val="99"/>
    <w:semiHidden/>
    <w:unhideWhenUsed/>
    <w:rsid w:val="000905E4"/>
    <w:rPr>
      <w:b/>
      <w:bCs/>
    </w:rPr>
  </w:style>
  <w:style w:type="character" w:customStyle="1" w:styleId="CommentSubjectChar">
    <w:name w:val="Comment Subject Char"/>
    <w:basedOn w:val="DefaultParagraphFont"/>
    <w:link w:val="CommentSubject"/>
    <w:uiPriority w:val="99"/>
    <w:semiHidden/>
    <w:rsid w:val="000905E4"/>
    <w:rPr>
      <w:rFonts w:eastAsia="Times New Roman"/>
      <w:b/>
      <w:bCs/>
      <w:lang w:val="en-US" w:eastAsia="en-US" w:bidi="en-US"/>
    </w:rPr>
  </w:style>
  <w:style w:type="character" w:customStyle="1" w:styleId="Heading5Char">
    <w:name w:val="Heading 5 Char"/>
    <w:basedOn w:val="DefaultParagraphFont"/>
    <w:link w:val="Heading5"/>
    <w:rsid w:val="00DA5524"/>
    <w:rPr>
      <w:rFonts w:eastAsiaTheme="majorEastAsia" w:cstheme="majorBidi"/>
      <w:b/>
      <w:bCs/>
      <w:iCs/>
      <w:color w:val="3D2262" w:themeColor="accent1"/>
      <w:szCs w:val="36"/>
    </w:rPr>
  </w:style>
  <w:style w:type="paragraph" w:styleId="TOCHeading">
    <w:name w:val="TOC Heading"/>
    <w:next w:val="Normal"/>
    <w:uiPriority w:val="39"/>
    <w:unhideWhenUsed/>
    <w:rsid w:val="00280051"/>
    <w:pPr>
      <w:spacing w:after="360"/>
    </w:pPr>
    <w:rPr>
      <w:rFonts w:eastAsia="Times New Roman"/>
      <w:b/>
      <w:color w:val="000000"/>
      <w:sz w:val="40"/>
      <w:szCs w:val="80"/>
      <w:lang w:eastAsia="en-US"/>
    </w:rPr>
  </w:style>
  <w:style w:type="paragraph" w:customStyle="1" w:styleId="BodyCopy">
    <w:name w:val="Body Copy"/>
    <w:basedOn w:val="Normal"/>
    <w:uiPriority w:val="1"/>
    <w:qFormat/>
    <w:rsid w:val="00533388"/>
    <w:rPr>
      <w:rFonts w:eastAsia="Times New Roman"/>
      <w:bCs/>
      <w:iCs/>
    </w:rPr>
  </w:style>
  <w:style w:type="paragraph" w:customStyle="1" w:styleId="ABbottomtext">
    <w:name w:val="AB bottom text"/>
    <w:basedOn w:val="Normal"/>
    <w:uiPriority w:val="99"/>
    <w:rsid w:val="000905E4"/>
    <w:pPr>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paragraph" w:customStyle="1" w:styleId="Tabletitle-numbered">
    <w:name w:val="Table title - numbered"/>
    <w:uiPriority w:val="2"/>
    <w:qFormat/>
    <w:rsid w:val="009C72D3"/>
    <w:pPr>
      <w:widowControl w:val="0"/>
      <w:numPr>
        <w:numId w:val="18"/>
      </w:numPr>
      <w:spacing w:before="100" w:beforeAutospacing="1" w:after="120" w:line="280" w:lineRule="exact"/>
      <w:ind w:left="993" w:hanging="992"/>
    </w:pPr>
    <w:rPr>
      <w:rFonts w:eastAsia="Times New Roman"/>
      <w:b/>
      <w:bCs/>
      <w:iCs/>
      <w:lang w:val="en-US" w:eastAsia="en-US"/>
    </w:rPr>
  </w:style>
  <w:style w:type="table" w:customStyle="1" w:styleId="CHSTable">
    <w:name w:val="CHS Table"/>
    <w:basedOn w:val="TableNormal"/>
    <w:uiPriority w:val="99"/>
    <w:rsid w:val="001C223C"/>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themeColor="background1"/>
      </w:rPr>
      <w:tblPr/>
      <w:tcPr>
        <w:shd w:val="clear" w:color="auto" w:fill="6E3894" w:themeFill="accent2"/>
      </w:tcPr>
    </w:tblStylePr>
    <w:tblStylePr w:type="firstCol">
      <w:rPr>
        <w:rFonts w:ascii="Arial" w:hAnsi="Arial"/>
        <w:color w:val="FFFFFF" w:themeColor="background1"/>
      </w:rPr>
      <w:tblPr/>
      <w:tcPr>
        <w:shd w:val="clear" w:color="auto" w:fill="3D2262" w:themeFill="accent1"/>
      </w:tcPr>
    </w:tblStylePr>
    <w:tblStylePr w:type="lastCol">
      <w:pPr>
        <w:wordWrap/>
        <w:jc w:val="left"/>
      </w:pPr>
      <w:tblPr/>
      <w:tcPr>
        <w:shd w:val="clear" w:color="auto" w:fill="3D2262" w:themeFill="accent1"/>
      </w:tcPr>
    </w:tblStylePr>
  </w:style>
  <w:style w:type="character" w:customStyle="1" w:styleId="Bold">
    <w:name w:val="Bold"/>
    <w:uiPriority w:val="1"/>
    <w:qFormat/>
    <w:rsid w:val="00C049CA"/>
    <w:rPr>
      <w:b/>
      <w:bCs/>
    </w:rPr>
  </w:style>
  <w:style w:type="character" w:customStyle="1" w:styleId="Heading6Char">
    <w:name w:val="Heading 6 Char"/>
    <w:basedOn w:val="DefaultParagraphFont"/>
    <w:link w:val="Heading6"/>
    <w:rsid w:val="009A5010"/>
    <w:rPr>
      <w:rFonts w:eastAsiaTheme="majorEastAsia" w:cstheme="majorBidi"/>
      <w:color w:val="6E3894" w:themeColor="accent2"/>
    </w:rPr>
  </w:style>
  <w:style w:type="character" w:styleId="PlaceholderText">
    <w:name w:val="Placeholder Text"/>
    <w:basedOn w:val="DefaultParagraphFont"/>
    <w:uiPriority w:val="99"/>
    <w:semiHidden/>
    <w:rsid w:val="00AF532B"/>
    <w:rPr>
      <w:color w:val="808080"/>
    </w:rPr>
  </w:style>
  <w:style w:type="character" w:styleId="UnresolvedMention">
    <w:name w:val="Unresolved Mention"/>
    <w:basedOn w:val="DefaultParagraphFont"/>
    <w:uiPriority w:val="99"/>
    <w:semiHidden/>
    <w:unhideWhenUsed/>
    <w:rsid w:val="00E63F4F"/>
    <w:rPr>
      <w:color w:val="605E5C"/>
      <w:shd w:val="clear" w:color="auto" w:fill="E1DFDD"/>
    </w:rPr>
  </w:style>
  <w:style w:type="table" w:styleId="PlainTable3">
    <w:name w:val="Plain Table 3"/>
    <w:basedOn w:val="TableNormal"/>
    <w:uiPriority w:val="43"/>
    <w:locked/>
    <w:rsid w:val="00154D8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econdaryHeader">
    <w:name w:val="Secondary Header"/>
    <w:basedOn w:val="Header"/>
    <w:uiPriority w:val="3"/>
    <w:rsid w:val="00530642"/>
    <w:pPr>
      <w:spacing w:after="120"/>
    </w:pPr>
    <w:rPr>
      <w:b/>
    </w:rPr>
  </w:style>
  <w:style w:type="table" w:styleId="PlainTable4">
    <w:name w:val="Plain Table 4"/>
    <w:basedOn w:val="TableNormal"/>
    <w:uiPriority w:val="44"/>
    <w:locked/>
    <w:rsid w:val="008C1C7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8C1C7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locked/>
    <w:rsid w:val="008C1C7C"/>
    <w:tblPr>
      <w:tblStyleRowBandSize w:val="1"/>
      <w:tblStyleColBandSize w:val="1"/>
      <w:tblBorders>
        <w:top w:val="single" w:sz="4" w:space="0" w:color="7BFFF3" w:themeColor="accent3" w:themeTint="66"/>
        <w:left w:val="single" w:sz="4" w:space="0" w:color="7BFFF3" w:themeColor="accent3" w:themeTint="66"/>
        <w:bottom w:val="single" w:sz="4" w:space="0" w:color="7BFFF3" w:themeColor="accent3" w:themeTint="66"/>
        <w:right w:val="single" w:sz="4" w:space="0" w:color="7BFFF3" w:themeColor="accent3" w:themeTint="66"/>
        <w:insideH w:val="single" w:sz="4" w:space="0" w:color="7BFFF3" w:themeColor="accent3" w:themeTint="66"/>
        <w:insideV w:val="single" w:sz="4" w:space="0" w:color="7BFFF3" w:themeColor="accent3" w:themeTint="66"/>
      </w:tblBorders>
    </w:tblPr>
    <w:tblStylePr w:type="firstRow">
      <w:rPr>
        <w:b/>
        <w:bCs/>
      </w:rPr>
      <w:tblPr/>
      <w:tcPr>
        <w:tcBorders>
          <w:bottom w:val="single" w:sz="12" w:space="0" w:color="39FFED" w:themeColor="accent3" w:themeTint="99"/>
        </w:tcBorders>
      </w:tcPr>
    </w:tblStylePr>
    <w:tblStylePr w:type="lastRow">
      <w:rPr>
        <w:b/>
        <w:bCs/>
      </w:rPr>
      <w:tblPr/>
      <w:tcPr>
        <w:tcBorders>
          <w:top w:val="double" w:sz="2" w:space="0" w:color="39FFE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8C1C7C"/>
    <w:tblPr>
      <w:tblStyleRowBandSize w:val="1"/>
      <w:tblStyleColBandSize w:val="1"/>
      <w:tblBorders>
        <w:top w:val="single" w:sz="4" w:space="0" w:color="A7E6F5" w:themeColor="accent4" w:themeTint="66"/>
        <w:left w:val="single" w:sz="4" w:space="0" w:color="A7E6F5" w:themeColor="accent4" w:themeTint="66"/>
        <w:bottom w:val="single" w:sz="4" w:space="0" w:color="A7E6F5" w:themeColor="accent4" w:themeTint="66"/>
        <w:right w:val="single" w:sz="4" w:space="0" w:color="A7E6F5" w:themeColor="accent4" w:themeTint="66"/>
        <w:insideH w:val="single" w:sz="4" w:space="0" w:color="A7E6F5" w:themeColor="accent4" w:themeTint="66"/>
        <w:insideV w:val="single" w:sz="4" w:space="0" w:color="A7E6F5" w:themeColor="accent4" w:themeTint="66"/>
      </w:tblBorders>
    </w:tblPr>
    <w:tblStylePr w:type="firstRow">
      <w:rPr>
        <w:b/>
        <w:bCs/>
      </w:rPr>
      <w:tblPr/>
      <w:tcPr>
        <w:tcBorders>
          <w:bottom w:val="single" w:sz="12" w:space="0" w:color="7BDAF1" w:themeColor="accent4" w:themeTint="99"/>
        </w:tcBorders>
      </w:tcPr>
    </w:tblStylePr>
    <w:tblStylePr w:type="lastRow">
      <w:rPr>
        <w:b/>
        <w:bCs/>
      </w:rPr>
      <w:tblPr/>
      <w:tcPr>
        <w:tcBorders>
          <w:top w:val="double" w:sz="2" w:space="0" w:color="7BDAF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8C1C7C"/>
    <w:tblPr>
      <w:tblStyleRowBandSize w:val="1"/>
      <w:tblStyleColBandSize w:val="1"/>
      <w:tblBorders>
        <w:top w:val="single" w:sz="4" w:space="0" w:color="F9C6DA" w:themeColor="accent5" w:themeTint="66"/>
        <w:left w:val="single" w:sz="4" w:space="0" w:color="F9C6DA" w:themeColor="accent5" w:themeTint="66"/>
        <w:bottom w:val="single" w:sz="4" w:space="0" w:color="F9C6DA" w:themeColor="accent5" w:themeTint="66"/>
        <w:right w:val="single" w:sz="4" w:space="0" w:color="F9C6DA" w:themeColor="accent5" w:themeTint="66"/>
        <w:insideH w:val="single" w:sz="4" w:space="0" w:color="F9C6DA" w:themeColor="accent5" w:themeTint="66"/>
        <w:insideV w:val="single" w:sz="4" w:space="0" w:color="F9C6DA" w:themeColor="accent5" w:themeTint="66"/>
      </w:tblBorders>
    </w:tblPr>
    <w:tblStylePr w:type="firstRow">
      <w:rPr>
        <w:b/>
        <w:bCs/>
      </w:rPr>
      <w:tblPr/>
      <w:tcPr>
        <w:tcBorders>
          <w:bottom w:val="single" w:sz="12" w:space="0" w:color="F6AAC8" w:themeColor="accent5" w:themeTint="99"/>
        </w:tcBorders>
      </w:tcPr>
    </w:tblStylePr>
    <w:tblStylePr w:type="lastRow">
      <w:rPr>
        <w:b/>
        <w:bCs/>
      </w:rPr>
      <w:tblPr/>
      <w:tcPr>
        <w:tcBorders>
          <w:top w:val="double" w:sz="2" w:space="0" w:color="F6AAC8" w:themeColor="accent5"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locked/>
    <w:rsid w:val="00230054"/>
    <w:tblPr>
      <w:tblStyleRowBandSize w:val="1"/>
      <w:tblStyleColBandSize w:val="1"/>
      <w:tblBorders>
        <w:top w:val="single" w:sz="4" w:space="0" w:color="F8AE9C" w:themeColor="accent6" w:themeTint="99"/>
        <w:left w:val="single" w:sz="4" w:space="0" w:color="F8AE9C" w:themeColor="accent6" w:themeTint="99"/>
        <w:bottom w:val="single" w:sz="4" w:space="0" w:color="F8AE9C" w:themeColor="accent6" w:themeTint="99"/>
        <w:right w:val="single" w:sz="4" w:space="0" w:color="F8AE9C" w:themeColor="accent6" w:themeTint="99"/>
        <w:insideH w:val="single" w:sz="4" w:space="0" w:color="F8AE9C" w:themeColor="accent6" w:themeTint="99"/>
        <w:insideV w:val="single" w:sz="4" w:space="0" w:color="F8AE9C" w:themeColor="accent6" w:themeTint="99"/>
      </w:tblBorders>
    </w:tblPr>
    <w:tcPr>
      <w:shd w:val="clear" w:color="auto" w:fill="auto"/>
    </w:tcPr>
    <w:tblStylePr w:type="firstRow">
      <w:rPr>
        <w:rFonts w:ascii="Arial" w:hAnsi="Arial"/>
        <w:b/>
        <w:bCs/>
        <w:color w:val="auto"/>
        <w:sz w:val="24"/>
      </w:rPr>
      <w:tblPr/>
      <w:tcPr>
        <w:tcBorders>
          <w:top w:val="single" w:sz="4" w:space="0" w:color="F47A5C" w:themeColor="accent6"/>
          <w:left w:val="single" w:sz="4" w:space="0" w:color="F47A5C" w:themeColor="accent6"/>
          <w:bottom w:val="single" w:sz="4" w:space="0" w:color="F47A5C" w:themeColor="accent6"/>
          <w:right w:val="single" w:sz="4" w:space="0" w:color="F47A5C" w:themeColor="accent6"/>
          <w:insideH w:val="nil"/>
          <w:insideV w:val="nil"/>
        </w:tcBorders>
        <w:shd w:val="clear" w:color="auto" w:fill="F47A5C" w:themeFill="accent6"/>
      </w:tcPr>
    </w:tblStylePr>
    <w:tblStylePr w:type="lastRow">
      <w:rPr>
        <w:b/>
        <w:bCs/>
      </w:rPr>
      <w:tblPr/>
      <w:tcPr>
        <w:tcBorders>
          <w:top w:val="double" w:sz="4" w:space="0" w:color="F47A5C" w:themeColor="accent6"/>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6">
    <w:name w:val="List Table 1 Light Accent 6"/>
    <w:basedOn w:val="TableNormal"/>
    <w:uiPriority w:val="46"/>
    <w:locked/>
    <w:rsid w:val="00230054"/>
    <w:tblPr>
      <w:tblStyleRowBandSize w:val="1"/>
      <w:tblStyleColBandSize w:val="1"/>
    </w:tblPr>
    <w:tblStylePr w:type="firstRow">
      <w:rPr>
        <w:b/>
        <w:bCs/>
      </w:rPr>
      <w:tblPr/>
      <w:tcPr>
        <w:tcBorders>
          <w:bottom w:val="single" w:sz="4" w:space="0" w:color="F8AE9C" w:themeColor="accent6" w:themeTint="99"/>
        </w:tcBorders>
      </w:tcPr>
    </w:tblStylePr>
    <w:tblStylePr w:type="lastRow">
      <w:rPr>
        <w:b/>
        <w:bCs/>
      </w:rPr>
      <w:tblPr/>
      <w:tcPr>
        <w:tcBorders>
          <w:top w:val="single" w:sz="4" w:space="0" w:color="F8AE9C" w:themeColor="accent6" w:themeTint="99"/>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1">
    <w:name w:val="List Table 1 Light Accent 1"/>
    <w:basedOn w:val="TableNormal"/>
    <w:uiPriority w:val="46"/>
    <w:locked/>
    <w:rsid w:val="00F071B9"/>
    <w:tblPr>
      <w:tblStyleRowBandSize w:val="1"/>
      <w:tblStyleColBandSize w:val="1"/>
    </w:tblPr>
    <w:tblStylePr w:type="firstRow">
      <w:rPr>
        <w:b/>
        <w:bCs/>
      </w:rPr>
      <w:tblPr/>
      <w:tcPr>
        <w:tcBorders>
          <w:bottom w:val="single" w:sz="4" w:space="0" w:color="8456C4" w:themeColor="accent1" w:themeTint="99"/>
        </w:tcBorders>
      </w:tcPr>
    </w:tblStylePr>
    <w:tblStylePr w:type="lastRow">
      <w:rPr>
        <w:b/>
        <w:bCs/>
      </w:rPr>
      <w:tblPr/>
      <w:tcPr>
        <w:tcBorders>
          <w:top w:val="single" w:sz="4" w:space="0" w:color="8456C4" w:themeColor="accent1" w:themeTint="99"/>
        </w:tcBorders>
      </w:tcPr>
    </w:tblStylePr>
    <w:tblStylePr w:type="firstCol">
      <w:rPr>
        <w:b/>
        <w:bCs/>
      </w:rPr>
    </w:tblStylePr>
    <w:tblStylePr w:type="lastCol">
      <w:rPr>
        <w:b/>
        <w:bCs/>
      </w:rPr>
    </w:tblStylePr>
    <w:tblStylePr w:type="band1Vert">
      <w:tblPr/>
      <w:tcPr>
        <w:shd w:val="clear" w:color="auto" w:fill="D6C6EB" w:themeFill="accent1" w:themeFillTint="33"/>
      </w:tcPr>
    </w:tblStylePr>
    <w:tblStylePr w:type="band1Horz">
      <w:tblPr/>
      <w:tcPr>
        <w:shd w:val="clear" w:color="auto" w:fill="D6C6EB" w:themeFill="accent1" w:themeFillTint="33"/>
      </w:tcPr>
    </w:tblStylePr>
  </w:style>
  <w:style w:type="paragraph" w:customStyle="1" w:styleId="Bottomblocktext">
    <w:name w:val="Bottom block text"/>
    <w:basedOn w:val="Normal"/>
    <w:uiPriority w:val="99"/>
    <w:rsid w:val="00537269"/>
    <w:pPr>
      <w:keepNext/>
      <w:keepLines/>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character" w:styleId="FollowedHyperlink">
    <w:name w:val="FollowedHyperlink"/>
    <w:basedOn w:val="DefaultParagraphFont"/>
    <w:uiPriority w:val="99"/>
    <w:semiHidden/>
    <w:unhideWhenUsed/>
    <w:rsid w:val="0027262B"/>
    <w:rPr>
      <w:color w:val="575757" w:themeColor="followedHyperlink"/>
      <w:u w:val="single"/>
    </w:rPr>
  </w:style>
  <w:style w:type="paragraph" w:customStyle="1" w:styleId="Numberedlist">
    <w:name w:val="Numbered list"/>
    <w:basedOn w:val="Bullet"/>
    <w:uiPriority w:val="3"/>
    <w:qFormat/>
    <w:rsid w:val="00B83559"/>
    <w:pPr>
      <w:numPr>
        <w:numId w:val="16"/>
      </w:numPr>
    </w:pPr>
  </w:style>
  <w:style w:type="character" w:styleId="CommentReference">
    <w:name w:val="annotation reference"/>
    <w:basedOn w:val="DefaultParagraphFont"/>
    <w:uiPriority w:val="99"/>
    <w:semiHidden/>
    <w:unhideWhenUsed/>
    <w:rsid w:val="00C50963"/>
    <w:rPr>
      <w:sz w:val="16"/>
      <w:szCs w:val="16"/>
    </w:rPr>
  </w:style>
  <w:style w:type="table" w:customStyle="1" w:styleId="CHSTable03">
    <w:name w:val="CHS Table 03"/>
    <w:basedOn w:val="TableNormal"/>
    <w:uiPriority w:val="99"/>
    <w:rsid w:val="00530642"/>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style>
  <w:style w:type="table" w:customStyle="1" w:styleId="CHSTable02">
    <w:name w:val="CHS Table 02"/>
    <w:basedOn w:val="TableNormal"/>
    <w:uiPriority w:val="99"/>
    <w:rsid w:val="00C84F08"/>
    <w:tblPr>
      <w:tblStyleRowBandSize w:val="1"/>
      <w:tblBorders>
        <w:bottom w:val="single" w:sz="4"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tblStylePr w:type="band2Horz">
      <w:tblPr/>
      <w:tcPr>
        <w:shd w:val="clear" w:color="auto" w:fill="D9D9D9"/>
      </w:tcPr>
    </w:tblStylePr>
  </w:style>
  <w:style w:type="paragraph" w:customStyle="1" w:styleId="Figuretitle-numbered">
    <w:name w:val="Figure title - numbered"/>
    <w:basedOn w:val="Tabletitle-numbered"/>
    <w:uiPriority w:val="2"/>
    <w:rsid w:val="009C72D3"/>
    <w:pPr>
      <w:numPr>
        <w:numId w:val="19"/>
      </w:numPr>
      <w:ind w:left="1134" w:hanging="1134"/>
    </w:pPr>
  </w:style>
  <w:style w:type="character" w:customStyle="1" w:styleId="Heading7Char">
    <w:name w:val="Heading 7 Char"/>
    <w:basedOn w:val="DefaultParagraphFont"/>
    <w:link w:val="Heading7"/>
    <w:rsid w:val="002140AE"/>
    <w:rPr>
      <w:rFonts w:asciiTheme="majorHAnsi" w:eastAsiaTheme="majorEastAsia" w:hAnsiTheme="majorHAnsi" w:cstheme="majorBidi"/>
      <w:b/>
      <w:iCs/>
    </w:rPr>
  </w:style>
  <w:style w:type="character" w:customStyle="1" w:styleId="Heading8Char">
    <w:name w:val="Heading 8 Char"/>
    <w:basedOn w:val="DefaultParagraphFont"/>
    <w:link w:val="Heading8"/>
    <w:rsid w:val="00C36B9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36B93"/>
    <w:rPr>
      <w:rFonts w:asciiTheme="majorHAnsi" w:eastAsiaTheme="majorEastAsia" w:hAnsiTheme="majorHAnsi" w:cstheme="majorBidi"/>
      <w:i/>
      <w:iCs/>
      <w:color w:val="272727" w:themeColor="text1" w:themeTint="D8"/>
      <w:sz w:val="21"/>
      <w:szCs w:val="21"/>
    </w:rPr>
  </w:style>
  <w:style w:type="paragraph" w:customStyle="1" w:styleId="NotesCaptionCitationSource">
    <w:name w:val="Notes/Caption/Citation/Source"/>
    <w:basedOn w:val="BodyCopy"/>
    <w:uiPriority w:val="3"/>
    <w:qFormat/>
    <w:rsid w:val="008A47BD"/>
    <w:pPr>
      <w:keepLines/>
      <w:spacing w:before="60" w:after="120" w:line="240" w:lineRule="auto"/>
    </w:pPr>
    <w:rPr>
      <w:sz w:val="18"/>
    </w:rPr>
  </w:style>
  <w:style w:type="paragraph" w:customStyle="1" w:styleId="AlphaList">
    <w:name w:val="Alpha List"/>
    <w:basedOn w:val="Numberedlist"/>
    <w:next w:val="BodyCopy"/>
    <w:uiPriority w:val="3"/>
    <w:qFormat/>
    <w:rsid w:val="00BA6DD4"/>
    <w:pPr>
      <w:numPr>
        <w:numId w:val="4"/>
      </w:numPr>
    </w:pPr>
    <w:rPr>
      <w:color w:val="000000"/>
    </w:rPr>
  </w:style>
  <w:style w:type="paragraph" w:customStyle="1" w:styleId="Romanlist">
    <w:name w:val="Roman list"/>
    <w:basedOn w:val="AlphaList"/>
    <w:uiPriority w:val="3"/>
    <w:qFormat/>
    <w:rsid w:val="00BA6DD4"/>
    <w:pPr>
      <w:numPr>
        <w:numId w:val="5"/>
      </w:numPr>
    </w:pPr>
  </w:style>
  <w:style w:type="paragraph" w:customStyle="1" w:styleId="Tableheader-black">
    <w:name w:val="Table header - black"/>
    <w:basedOn w:val="Tableheader-white"/>
    <w:uiPriority w:val="3"/>
    <w:qFormat/>
    <w:rsid w:val="00C84F08"/>
    <w:rPr>
      <w:color w:val="000000" w:themeColor="text1"/>
    </w:rPr>
  </w:style>
  <w:style w:type="paragraph" w:customStyle="1" w:styleId="TOC-Tables">
    <w:name w:val="TOC - Tables"/>
    <w:basedOn w:val="TOC1"/>
    <w:uiPriority w:val="3"/>
    <w:rsid w:val="00411B14"/>
    <w:pPr>
      <w:tabs>
        <w:tab w:val="left" w:pos="1134"/>
      </w:tabs>
      <w:ind w:left="1134" w:hanging="1134"/>
    </w:pPr>
  </w:style>
  <w:style w:type="paragraph" w:styleId="Subtitle">
    <w:name w:val="Subtitle"/>
    <w:basedOn w:val="BodyCopy"/>
    <w:next w:val="BodyCopy"/>
    <w:link w:val="SubtitleChar"/>
    <w:uiPriority w:val="11"/>
    <w:locked/>
    <w:rsid w:val="00936DC9"/>
    <w:pPr>
      <w:numPr>
        <w:ilvl w:val="1"/>
      </w:numPr>
      <w:spacing w:after="360"/>
      <w:ind w:right="1134"/>
    </w:pPr>
    <w:rPr>
      <w:rFonts w:eastAsiaTheme="minorEastAsia" w:cstheme="minorBidi"/>
      <w:sz w:val="36"/>
      <w:szCs w:val="36"/>
      <w:lang w:eastAsia="en-US"/>
    </w:rPr>
  </w:style>
  <w:style w:type="character" w:customStyle="1" w:styleId="SubtitleChar">
    <w:name w:val="Subtitle Char"/>
    <w:basedOn w:val="DefaultParagraphFont"/>
    <w:link w:val="Subtitle"/>
    <w:uiPriority w:val="11"/>
    <w:rsid w:val="00936DC9"/>
    <w:rPr>
      <w:rFonts w:eastAsiaTheme="minorEastAsia" w:cstheme="minorBidi"/>
      <w:bCs/>
      <w:iCs/>
      <w:color w:val="000000" w:themeColor="text1"/>
      <w:sz w:val="36"/>
      <w:szCs w:val="36"/>
      <w:lang w:eastAsia="en-US"/>
    </w:rPr>
  </w:style>
  <w:style w:type="paragraph" w:customStyle="1" w:styleId="Reportyeardate">
    <w:name w:val="Report year/date"/>
    <w:basedOn w:val="BodyCopy"/>
    <w:uiPriority w:val="3"/>
    <w:rsid w:val="00A435C8"/>
    <w:pPr>
      <w:spacing w:after="840"/>
    </w:pPr>
    <w:rPr>
      <w:lang w:eastAsia="en-US"/>
    </w:rPr>
  </w:style>
  <w:style w:type="paragraph" w:styleId="EndnoteText">
    <w:name w:val="endnote text"/>
    <w:basedOn w:val="Normal"/>
    <w:link w:val="EndnoteTextChar"/>
    <w:uiPriority w:val="99"/>
    <w:semiHidden/>
    <w:unhideWhenUsed/>
    <w:rsid w:val="00B86A43"/>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B86A43"/>
    <w:rPr>
      <w:sz w:val="20"/>
      <w:szCs w:val="20"/>
    </w:rPr>
  </w:style>
  <w:style w:type="paragraph" w:styleId="BodyText">
    <w:name w:val="Body Text"/>
    <w:basedOn w:val="Normal"/>
    <w:link w:val="BodyTextChar"/>
    <w:semiHidden/>
    <w:unhideWhenUsed/>
    <w:rsid w:val="008F3194"/>
    <w:pPr>
      <w:spacing w:after="120"/>
    </w:pPr>
  </w:style>
  <w:style w:type="character" w:customStyle="1" w:styleId="BodyTextChar">
    <w:name w:val="Body Text Char"/>
    <w:basedOn w:val="DefaultParagraphFont"/>
    <w:link w:val="BodyText"/>
    <w:semiHidden/>
    <w:rsid w:val="008F3194"/>
  </w:style>
  <w:style w:type="paragraph" w:customStyle="1" w:styleId="TOCHeading2">
    <w:name w:val="TOC Heading 2"/>
    <w:basedOn w:val="TOCHeading"/>
    <w:uiPriority w:val="3"/>
    <w:rsid w:val="00CA4FDE"/>
    <w:pPr>
      <w:spacing w:after="240"/>
    </w:pPr>
    <w:rPr>
      <w:sz w:val="32"/>
    </w:rPr>
  </w:style>
  <w:style w:type="paragraph" w:styleId="TableofFigures">
    <w:name w:val="table of figures"/>
    <w:basedOn w:val="Normal"/>
    <w:uiPriority w:val="99"/>
    <w:unhideWhenUsed/>
    <w:rsid w:val="004E2E2F"/>
    <w:pPr>
      <w:tabs>
        <w:tab w:val="right" w:leader="dot" w:pos="10206"/>
      </w:tabs>
      <w:spacing w:after="0"/>
    </w:pPr>
  </w:style>
  <w:style w:type="character" w:styleId="EndnoteReference">
    <w:name w:val="endnote reference"/>
    <w:basedOn w:val="DefaultParagraphFont"/>
    <w:uiPriority w:val="99"/>
    <w:semiHidden/>
    <w:unhideWhenUsed/>
    <w:rsid w:val="00B86A43"/>
    <w:rPr>
      <w:vertAlign w:val="superscript"/>
    </w:rPr>
  </w:style>
  <w:style w:type="paragraph" w:styleId="FootnoteText">
    <w:name w:val="footnote text"/>
    <w:basedOn w:val="Normal"/>
    <w:link w:val="FootnoteTextChar"/>
    <w:uiPriority w:val="99"/>
    <w:unhideWhenUsed/>
    <w:rsid w:val="00480537"/>
    <w:pPr>
      <w:spacing w:before="0" w:after="0" w:line="240" w:lineRule="auto"/>
    </w:pPr>
    <w:rPr>
      <w:sz w:val="20"/>
      <w:szCs w:val="20"/>
    </w:rPr>
  </w:style>
  <w:style w:type="character" w:customStyle="1" w:styleId="FootnoteTextChar">
    <w:name w:val="Footnote Text Char"/>
    <w:basedOn w:val="DefaultParagraphFont"/>
    <w:link w:val="FootnoteText"/>
    <w:uiPriority w:val="99"/>
    <w:rsid w:val="00480537"/>
    <w:rPr>
      <w:sz w:val="20"/>
      <w:szCs w:val="20"/>
    </w:rPr>
  </w:style>
  <w:style w:type="character" w:styleId="FootnoteReference">
    <w:name w:val="footnote reference"/>
    <w:basedOn w:val="DefaultParagraphFont"/>
    <w:uiPriority w:val="99"/>
    <w:semiHidden/>
    <w:unhideWhenUsed/>
    <w:rsid w:val="00B86A43"/>
    <w:rPr>
      <w:vertAlign w:val="superscript"/>
    </w:rPr>
  </w:style>
  <w:style w:type="character" w:customStyle="1" w:styleId="Instructionaltext">
    <w:name w:val="Instructional text"/>
    <w:basedOn w:val="DefaultParagraphFont"/>
    <w:uiPriority w:val="3"/>
    <w:rsid w:val="001F68D1"/>
    <w:rPr>
      <w:color w:val="575757"/>
    </w:rPr>
  </w:style>
  <w:style w:type="paragraph" w:styleId="CommentText">
    <w:name w:val="annotation text"/>
    <w:basedOn w:val="Normal"/>
    <w:link w:val="CommentTextChar"/>
    <w:unhideWhenUsed/>
    <w:rsid w:val="00CA4FDE"/>
    <w:pPr>
      <w:spacing w:line="240" w:lineRule="auto"/>
    </w:pPr>
    <w:rPr>
      <w:sz w:val="20"/>
      <w:szCs w:val="20"/>
    </w:rPr>
  </w:style>
  <w:style w:type="character" w:customStyle="1" w:styleId="CommentTextChar">
    <w:name w:val="Comment Text Char"/>
    <w:basedOn w:val="DefaultParagraphFont"/>
    <w:link w:val="CommentText"/>
    <w:rsid w:val="00CA4FDE"/>
    <w:rPr>
      <w:sz w:val="20"/>
      <w:szCs w:val="20"/>
    </w:rPr>
  </w:style>
  <w:style w:type="paragraph" w:styleId="TOC2">
    <w:name w:val="toc 2"/>
    <w:basedOn w:val="Normal"/>
    <w:next w:val="Normal"/>
    <w:autoRedefine/>
    <w:uiPriority w:val="39"/>
    <w:unhideWhenUsed/>
    <w:rsid w:val="001C24A7"/>
    <w:pPr>
      <w:tabs>
        <w:tab w:val="right" w:leader="dot" w:pos="9911"/>
      </w:tabs>
      <w:spacing w:after="100"/>
      <w:ind w:left="240"/>
    </w:pPr>
  </w:style>
  <w:style w:type="paragraph" w:styleId="TOC3">
    <w:name w:val="toc 3"/>
    <w:aliases w:val="TOC 3 - Tables and Figures"/>
    <w:basedOn w:val="Normal"/>
    <w:next w:val="Normal"/>
    <w:autoRedefine/>
    <w:uiPriority w:val="39"/>
    <w:unhideWhenUsed/>
    <w:rsid w:val="00E7101C"/>
    <w:pPr>
      <w:tabs>
        <w:tab w:val="left" w:pos="1134"/>
        <w:tab w:val="right" w:leader="dot" w:pos="10206"/>
      </w:tabs>
      <w:spacing w:before="0" w:after="0" w:line="360" w:lineRule="auto"/>
      <w:ind w:left="680"/>
    </w:pPr>
  </w:style>
  <w:style w:type="character" w:styleId="PageNumber">
    <w:name w:val="page number"/>
    <w:basedOn w:val="DefaultParagraphFont"/>
    <w:uiPriority w:val="99"/>
    <w:rsid w:val="00481A6C"/>
    <w:rPr>
      <w:rFonts w:cs="Times New Roman"/>
    </w:rPr>
  </w:style>
  <w:style w:type="paragraph" w:customStyle="1" w:styleId="Tableheader">
    <w:name w:val="Table header"/>
    <w:basedOn w:val="BodyCopy"/>
    <w:next w:val="Tablebody"/>
    <w:uiPriority w:val="3"/>
    <w:qFormat/>
    <w:rsid w:val="00481A6C"/>
    <w:pPr>
      <w:spacing w:before="0" w:after="0" w:line="300" w:lineRule="exact"/>
    </w:pPr>
    <w:rPr>
      <w:b/>
      <w:bCs w:val="0"/>
      <w:iCs w:val="0"/>
      <w:color w:val="FFFFFF" w:themeColor="background1"/>
      <w:lang w:val="en-US" w:eastAsia="en-US"/>
    </w:rPr>
  </w:style>
  <w:style w:type="paragraph" w:styleId="Revision">
    <w:name w:val="Revision"/>
    <w:hidden/>
    <w:uiPriority w:val="99"/>
    <w:semiHidden/>
    <w:rsid w:val="00913CAC"/>
  </w:style>
  <w:style w:type="paragraph" w:styleId="TOC4">
    <w:name w:val="toc 4"/>
    <w:basedOn w:val="Normal"/>
    <w:next w:val="Normal"/>
    <w:autoRedefine/>
    <w:uiPriority w:val="39"/>
    <w:unhideWhenUsed/>
    <w:rsid w:val="009C575D"/>
    <w:pPr>
      <w:spacing w:after="100"/>
      <w:ind w:left="720"/>
    </w:pPr>
  </w:style>
  <w:style w:type="paragraph" w:styleId="TOC5">
    <w:name w:val="toc 5"/>
    <w:basedOn w:val="Normal"/>
    <w:next w:val="Normal"/>
    <w:autoRedefine/>
    <w:uiPriority w:val="39"/>
    <w:unhideWhenUsed/>
    <w:rsid w:val="009C575D"/>
    <w:pPr>
      <w:spacing w:after="100"/>
      <w:ind w:left="960"/>
    </w:pPr>
  </w:style>
  <w:style w:type="paragraph" w:styleId="TOC6">
    <w:name w:val="toc 6"/>
    <w:basedOn w:val="Normal"/>
    <w:next w:val="Normal"/>
    <w:autoRedefine/>
    <w:uiPriority w:val="39"/>
    <w:unhideWhenUsed/>
    <w:rsid w:val="009C575D"/>
    <w:pPr>
      <w:spacing w:after="100"/>
      <w:ind w:left="1200"/>
    </w:pPr>
  </w:style>
  <w:style w:type="paragraph" w:styleId="TOC7">
    <w:name w:val="toc 7"/>
    <w:basedOn w:val="Normal"/>
    <w:next w:val="Normal"/>
    <w:autoRedefine/>
    <w:uiPriority w:val="39"/>
    <w:unhideWhenUsed/>
    <w:rsid w:val="009C575D"/>
    <w:pPr>
      <w:spacing w:after="100"/>
      <w:ind w:left="1440"/>
    </w:pPr>
  </w:style>
  <w:style w:type="paragraph" w:styleId="TOC9">
    <w:name w:val="toc 9"/>
    <w:basedOn w:val="Normal"/>
    <w:next w:val="Normal"/>
    <w:autoRedefine/>
    <w:uiPriority w:val="39"/>
    <w:semiHidden/>
    <w:unhideWhenUsed/>
    <w:rsid w:val="001C24A7"/>
    <w:pPr>
      <w:spacing w:after="100"/>
      <w:ind w:left="1920"/>
    </w:pPr>
  </w:style>
  <w:style w:type="paragraph" w:styleId="ListBullet">
    <w:name w:val="List Bullet"/>
    <w:basedOn w:val="Normal"/>
    <w:uiPriority w:val="99"/>
    <w:semiHidden/>
    <w:unhideWhenUsed/>
    <w:rsid w:val="00ED4B8A"/>
    <w:pPr>
      <w:numPr>
        <w:numId w:val="2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871002">
      <w:bodyDiv w:val="1"/>
      <w:marLeft w:val="0"/>
      <w:marRight w:val="0"/>
      <w:marTop w:val="0"/>
      <w:marBottom w:val="0"/>
      <w:divBdr>
        <w:top w:val="none" w:sz="0" w:space="0" w:color="auto"/>
        <w:left w:val="none" w:sz="0" w:space="0" w:color="auto"/>
        <w:bottom w:val="none" w:sz="0" w:space="0" w:color="auto"/>
        <w:right w:val="none" w:sz="0" w:space="0" w:color="auto"/>
      </w:divBdr>
    </w:div>
    <w:div w:id="1433547196">
      <w:bodyDiv w:val="1"/>
      <w:marLeft w:val="0"/>
      <w:marRight w:val="0"/>
      <w:marTop w:val="0"/>
      <w:marBottom w:val="0"/>
      <w:divBdr>
        <w:top w:val="none" w:sz="0" w:space="0" w:color="auto"/>
        <w:left w:val="none" w:sz="0" w:space="0" w:color="auto"/>
        <w:bottom w:val="none" w:sz="0" w:space="0" w:color="auto"/>
        <w:right w:val="none" w:sz="0" w:space="0" w:color="auto"/>
      </w:divBdr>
    </w:div>
    <w:div w:id="1558517122">
      <w:bodyDiv w:val="1"/>
      <w:marLeft w:val="0"/>
      <w:marRight w:val="0"/>
      <w:marTop w:val="0"/>
      <w:marBottom w:val="0"/>
      <w:divBdr>
        <w:top w:val="none" w:sz="0" w:space="0" w:color="auto"/>
        <w:left w:val="none" w:sz="0" w:space="0" w:color="auto"/>
        <w:bottom w:val="none" w:sz="0" w:space="0" w:color="auto"/>
        <w:right w:val="none" w:sz="0" w:space="0" w:color="auto"/>
      </w:divBdr>
    </w:div>
    <w:div w:id="1962606795">
      <w:bodyDiv w:val="1"/>
      <w:marLeft w:val="0"/>
      <w:marRight w:val="0"/>
      <w:marTop w:val="0"/>
      <w:marBottom w:val="0"/>
      <w:divBdr>
        <w:top w:val="none" w:sz="0" w:space="0" w:color="auto"/>
        <w:left w:val="none" w:sz="0" w:space="0" w:color="auto"/>
        <w:bottom w:val="none" w:sz="0" w:space="0" w:color="auto"/>
        <w:right w:val="none" w:sz="0" w:space="0" w:color="auto"/>
      </w:divBdr>
    </w:div>
    <w:div w:id="2123454322">
      <w:bodyDiv w:val="1"/>
      <w:marLeft w:val="0"/>
      <w:marRight w:val="0"/>
      <w:marTop w:val="0"/>
      <w:marBottom w:val="0"/>
      <w:divBdr>
        <w:top w:val="none" w:sz="0" w:space="0" w:color="auto"/>
        <w:left w:val="none" w:sz="0" w:space="0" w:color="auto"/>
        <w:bottom w:val="none" w:sz="0" w:space="0" w:color="auto"/>
        <w:right w:val="none" w:sz="0" w:space="0" w:color="auto"/>
      </w:divBdr>
    </w:div>
    <w:div w:id="21423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anberrahealthservices.act.gov.au/accessibility"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glossary/_rels/document.xml.rels><?xml version="1.0" encoding="UTF-8" standalone="yes"?>
<Relationships xmlns="http://schemas.openxmlformats.org/package/2006/relationships"><Relationship Id="rId8" Type="http://schemas.openxmlformats.org/officeDocument/2006/relationships/hyperlink" Target="https://www.canberrahealthservices.act.gov.au/accessibility" TargetMode="External"/><Relationship Id="rId3" Type="http://schemas.openxmlformats.org/officeDocument/2006/relationships/webSettings" Target="webSettings.xml"/><Relationship Id="rId7" Type="http://schemas.openxmlformats.org/officeDocument/2006/relationships/image" Target="../media/image10.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9.png"/><Relationship Id="rId5" Type="http://schemas.openxmlformats.org/officeDocument/2006/relationships/image" Target="../media/image8.png"/><Relationship Id="rId10" Type="http://schemas.openxmlformats.org/officeDocument/2006/relationships/fontTable" Target="fontTable.xml"/><Relationship Id="rId4" Type="http://schemas.openxmlformats.org/officeDocument/2006/relationships/image" Target="../media/image7.png"/><Relationship Id="rId9" Type="http://schemas.openxmlformats.org/officeDocument/2006/relationships/image" Target="../media/image11.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5EFA31ECC44B2297107563352624C8"/>
        <w:category>
          <w:name w:val="General"/>
          <w:gallery w:val="placeholder"/>
        </w:category>
        <w:types>
          <w:type w:val="bbPlcHdr"/>
        </w:types>
        <w:behaviors>
          <w:behavior w:val="content"/>
        </w:behaviors>
        <w:guid w:val="{5D97C712-45C4-4C72-899F-8CB7D3700950}"/>
      </w:docPartPr>
      <w:docPartBody>
        <w:p w:rsidR="00486DD9" w:rsidRDefault="00486DD9">
          <w:pPr>
            <w:pStyle w:val="CF5EFA31ECC44B2297107563352624C8"/>
          </w:pPr>
          <w:r>
            <w:rPr>
              <w:noProof/>
              <w:sz w:val="20"/>
              <w:szCs w:val="20"/>
            </w:rPr>
            <w:drawing>
              <wp:inline distT="0" distB="0" distL="0" distR="0" wp14:anchorId="29A61013" wp14:editId="29A61014">
                <wp:extent cx="282575" cy="285750"/>
                <wp:effectExtent l="0" t="0" r="3175" b="0"/>
                <wp:docPr id="7" name="Picture 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4"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sz w:val="20"/>
              <w:szCs w:val="20"/>
            </w:rPr>
            <w:t>Acknowledgement of Country</w:t>
          </w:r>
        </w:p>
      </w:docPartBody>
    </w:docPart>
    <w:docPart>
      <w:docPartPr>
        <w:name w:val="6D6DF7A945474FDD93512A87380C0175"/>
        <w:category>
          <w:name w:val="General"/>
          <w:gallery w:val="placeholder"/>
        </w:category>
        <w:types>
          <w:type w:val="bbPlcHdr"/>
        </w:types>
        <w:behaviors>
          <w:behavior w:val="content"/>
        </w:behaviors>
        <w:guid w:val="{670DDFDD-78A2-4C8F-B66D-5D05068043CE}"/>
      </w:docPartPr>
      <w:docPartBody>
        <w:p w:rsidR="00486DD9" w:rsidRDefault="00486DD9">
          <w:pPr>
            <w:pStyle w:val="6D6DF7A945474FDD93512A87380C0175"/>
          </w:pPr>
          <w:r w:rsidRPr="00EE29F8">
            <w:rPr>
              <w:rStyle w:val="PlaceholderText"/>
            </w:rPr>
            <w:t>Choose an item.</w:t>
          </w:r>
        </w:p>
      </w:docPartBody>
    </w:docPart>
    <w:docPart>
      <w:docPartPr>
        <w:name w:val="3B5602A05254435E8D7DBC778B21ED81"/>
        <w:category>
          <w:name w:val="General"/>
          <w:gallery w:val="placeholder"/>
        </w:category>
        <w:types>
          <w:type w:val="bbPlcHdr"/>
        </w:types>
        <w:behaviors>
          <w:behavior w:val="content"/>
        </w:behaviors>
        <w:guid w:val="{EF657764-841D-462A-BB47-62D7134F28EB}"/>
      </w:docPartPr>
      <w:docPartBody>
        <w:p w:rsidR="00486DD9" w:rsidRPr="00F26C97" w:rsidRDefault="00486DD9" w:rsidP="003B0E72">
          <w:pPr>
            <w:pStyle w:val="Bottomblocktext"/>
            <w:rPr>
              <w:b/>
              <w:bCs w:val="0"/>
              <w:sz w:val="20"/>
              <w:szCs w:val="20"/>
            </w:rPr>
          </w:pPr>
          <w:r>
            <w:rPr>
              <w:b/>
              <w:bCs w:val="0"/>
              <w:noProof/>
              <w:sz w:val="20"/>
              <w:szCs w:val="20"/>
            </w:rPr>
            <w:drawing>
              <wp:inline distT="0" distB="0" distL="0" distR="0" wp14:anchorId="29A61015" wp14:editId="29A61016">
                <wp:extent cx="338275" cy="331065"/>
                <wp:effectExtent l="0" t="0" r="5080" b="0"/>
                <wp:docPr id="17" name="Picture 1"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29A61017" wp14:editId="29A61018">
                <wp:extent cx="143919" cy="139700"/>
                <wp:effectExtent l="0" t="0" r="8890" b="0"/>
                <wp:docPr id="18" name="Picture 2"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rsidR="00486DD9" w:rsidRPr="00F26C97" w:rsidRDefault="00486DD9" w:rsidP="003B0E72">
          <w:pPr>
            <w:pStyle w:val="Bottomblocktext"/>
            <w:rPr>
              <w:b/>
              <w:bCs w:val="0"/>
              <w:sz w:val="20"/>
              <w:szCs w:val="20"/>
            </w:rPr>
          </w:pPr>
          <w:r>
            <w:rPr>
              <w:b/>
              <w:bCs w:val="0"/>
              <w:noProof/>
              <w:sz w:val="20"/>
              <w:szCs w:val="20"/>
            </w:rPr>
            <w:drawing>
              <wp:inline distT="0" distB="0" distL="0" distR="0" wp14:anchorId="29A61019" wp14:editId="29A6101A">
                <wp:extent cx="326104" cy="323850"/>
                <wp:effectExtent l="0" t="0" r="0" b="0"/>
                <wp:docPr id="19" name="Picture 3"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7"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29A6101B" wp14:editId="29A6101C">
                <wp:extent cx="143919" cy="139700"/>
                <wp:effectExtent l="0" t="0" r="8890" b="0"/>
                <wp:docPr id="20" name="Picture 4"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rsidR="00486DD9" w:rsidRDefault="005521B6" w:rsidP="003B0E72">
          <w:pPr>
            <w:pStyle w:val="Bottomblocktext"/>
            <w:rPr>
              <w:sz w:val="20"/>
              <w:szCs w:val="20"/>
            </w:rPr>
          </w:pPr>
          <w:hyperlink r:id="rId8" w:history="1">
            <w:r w:rsidR="00486DD9" w:rsidRPr="00350211">
              <w:rPr>
                <w:rStyle w:val="Hyperlink"/>
                <w:sz w:val="20"/>
                <w:szCs w:val="20"/>
              </w:rPr>
              <w:t>canberrahealthservices.act.gov.au/accessibility</w:t>
            </w:r>
          </w:hyperlink>
        </w:p>
        <w:p w:rsidR="00486DD9" w:rsidRDefault="00486DD9">
          <w:pPr>
            <w:pStyle w:val="3B5602A05254435E8D7DBC778B21ED81"/>
          </w:pPr>
          <w:r>
            <w:rPr>
              <w:b/>
              <w:bCs/>
              <w:noProof/>
            </w:rPr>
            <w:drawing>
              <wp:inline distT="0" distB="0" distL="0" distR="0" wp14:anchorId="29A6101D" wp14:editId="29A6101E">
                <wp:extent cx="1323833" cy="309418"/>
                <wp:effectExtent l="0" t="0" r="0" b="0"/>
                <wp:docPr id="21" name="Picture 5"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DD9"/>
    <w:rsid w:val="00024B6C"/>
    <w:rsid w:val="00051F2B"/>
    <w:rsid w:val="00206027"/>
    <w:rsid w:val="00212535"/>
    <w:rsid w:val="00287524"/>
    <w:rsid w:val="00437B04"/>
    <w:rsid w:val="00486DD9"/>
    <w:rsid w:val="004B3D9C"/>
    <w:rsid w:val="00510244"/>
    <w:rsid w:val="005659AC"/>
    <w:rsid w:val="005C3397"/>
    <w:rsid w:val="007B26D2"/>
    <w:rsid w:val="009B3131"/>
    <w:rsid w:val="00C936B0"/>
    <w:rsid w:val="00F82E7B"/>
    <w:rsid w:val="00F864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F5EFA31ECC44B2297107563352624C8">
    <w:name w:val="CF5EFA31ECC44B2297107563352624C8"/>
  </w:style>
  <w:style w:type="character" w:styleId="PlaceholderText">
    <w:name w:val="Placeholder Text"/>
    <w:basedOn w:val="DefaultParagraphFont"/>
    <w:uiPriority w:val="99"/>
    <w:semiHidden/>
    <w:rPr>
      <w:color w:val="808080"/>
    </w:rPr>
  </w:style>
  <w:style w:type="paragraph" w:customStyle="1" w:styleId="6D6DF7A945474FDD93512A87380C0175">
    <w:name w:val="6D6DF7A945474FDD93512A87380C0175"/>
  </w:style>
  <w:style w:type="character" w:styleId="Hyperlink">
    <w:name w:val="Hyperlink"/>
    <w:uiPriority w:val="99"/>
    <w:rPr>
      <w:color w:val="auto"/>
      <w:u w:val="single"/>
    </w:rPr>
  </w:style>
  <w:style w:type="paragraph" w:customStyle="1" w:styleId="Bottomblocktext">
    <w:name w:val="Bottom block text"/>
    <w:basedOn w:val="Normal"/>
    <w:uiPriority w:val="99"/>
    <w:pPr>
      <w:keepNext/>
      <w:keepLines/>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kern w:val="0"/>
      <w:sz w:val="16"/>
      <w:szCs w:val="16"/>
      <w:lang w:val="en-US"/>
      <w14:ligatures w14:val="none"/>
    </w:rPr>
  </w:style>
  <w:style w:type="paragraph" w:customStyle="1" w:styleId="3B5602A05254435E8D7DBC778B21ED81">
    <w:name w:val="3B5602A05254435E8D7DBC778B21ED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HS - NEW BRAND">
      <a:dk1>
        <a:srgbClr val="000000"/>
      </a:dk1>
      <a:lt1>
        <a:srgbClr val="FFFFFF"/>
      </a:lt1>
      <a:dk2>
        <a:srgbClr val="575757"/>
      </a:dk2>
      <a:lt2>
        <a:srgbClr val="F4F3EE"/>
      </a:lt2>
      <a:accent1>
        <a:srgbClr val="3D2262"/>
      </a:accent1>
      <a:accent2>
        <a:srgbClr val="6E3894"/>
      </a:accent2>
      <a:accent3>
        <a:srgbClr val="00B5A5"/>
      </a:accent3>
      <a:accent4>
        <a:srgbClr val="24C2E8"/>
      </a:accent4>
      <a:accent5>
        <a:srgbClr val="F172A4"/>
      </a:accent5>
      <a:accent6>
        <a:srgbClr val="F47A5C"/>
      </a:accent6>
      <a:hlink>
        <a:srgbClr val="002677"/>
      </a:hlink>
      <a:folHlink>
        <a:srgbClr val="575757"/>
      </a:folHlink>
    </a:clrScheme>
    <a:fontScheme name="CHS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05af2175577faed1011103b1ec98c947">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89ebead5bf43af608b2c21a91bc85e93"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Critical Care - ICU/CCU"/>
              <xsd:enumeration value="North Canberra Hospital (NCH) - Critical Care - Emergency Departmen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enumeration value="Decision Support Unit, Health Information Servic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Not Required"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2025-01-19T13:00:00+00:00</Approval_x0020_Date>
    <Review_x0020_Date xmlns="690b2128-8961-48af-a473-22c34a9accba">2028-01-31T13:00:00+00:00</Review_x0020_Date>
    <TaxCatchAll xmlns="c0239a80-7f07-4ed7-82c3-24ad7d76ada5">
      <Value>432</Value>
      <Value>417</Value>
      <Value>416</Value>
      <Value>415</Value>
    </TaxCatchAll>
    <Version_x0020_Number xmlns="690b2128-8961-48af-a473-22c34a9accba">V1</Version_x0020_Number>
    <Notes0 xmlns="690b2128-8961-48af-a473-22c34a9accba" xsi:nil="true"/>
    <Key_x0020_Words xmlns="690b2128-8961-48af-a473-22c34a9accba">Intrathecal, chemotherapy, lumbar puncture, intra-ventricular chemotherapy</Key_x0020_Words>
    <Type_x0020_of_x0020_Document xmlns="690b2128-8961-48af-a473-22c34a9accba">Procedure</Type_x0020_of_x0020_Document>
    <Approval_x0020_Name_x007c_Committee xmlns="690b2128-8961-48af-a473-22c34a9accba">CHS Policy Document Review Panel</Approval_x0020_Name_x007c_Committee>
    <Status xmlns="690b2128-8961-48af-a473-22c34a9accba">Approved</Status>
    <New_x0020_Applies_x0020_To xmlns="690b2128-8961-48af-a473-22c34a9accba">Canberra Health Services</New_x0020_Applies_x0020_To>
    <Replaces_x003a_ xmlns="690b2128-8961-48af-a473-22c34a9accba">CHS21/506</Replaces_x003a_>
    <ISD_x0020_Submitted xmlns="690b2128-8961-48af-a473-22c34a9accba">Not Required</ISD_x0020_Submitted>
    <Risk_x0020_Rating xmlns="690b2128-8961-48af-a473-22c34a9accba">High</Risk_x0020_Rating>
    <Description0 xmlns="690b2128-8961-48af-a473-22c34a9accba">To outline the expected practice for safe administration of intrathecal chemotherapy within Canberra Hospital.</Description0>
    <Display_x0020_on_x0020_Internet xmlns="690b2128-8961-48af-a473-22c34a9accba">true</Display_x0020_on_x0020_Internet>
    <Related_x0020_Documents xmlns="690b2128-8961-48af-a473-22c34a9accba" xsi:nil="true"/>
    <Decision_x0020_Number xmlns="690b2128-8961-48af-a473-22c34a9accba">CHS25/099</Decision_x0020_Number>
    <RelatedPolicies_x002c_ProceduresGuidelines xmlns="690b2128-8961-48af-a473-22c34a9accba" xsi:nil="true"/>
    <k0794e393e1f41c2810d090eedba34a0 xmlns="690b2128-8961-48af-a473-22c34a9accba">
      <Terms xmlns="http://schemas.microsoft.com/office/infopath/2007/PartnerControls">
        <TermInfo xmlns="http://schemas.microsoft.com/office/infopath/2007/PartnerControls">
          <TermName xmlns="http://schemas.microsoft.com/office/infopath/2007/PartnerControls">Health Records (Privacy and Access) Act 1997 (Territory)</TermName>
          <TermId xmlns="http://schemas.microsoft.com/office/infopath/2007/PartnerControls">d07d1347-0355-417c-badf-2bae9c7c0e3b</TermId>
        </TermInfo>
        <TermInfo xmlns="http://schemas.microsoft.com/office/infopath/2007/PartnerControls">
          <TermName xmlns="http://schemas.microsoft.com/office/infopath/2007/PartnerControls">Human Rights Act 2004 (Territory)</TermName>
          <TermId xmlns="http://schemas.microsoft.com/office/infopath/2007/PartnerControls">bbb6fb4a-2117-4ff9-8364-021a762deae2</TermId>
        </TermInfo>
        <TermInfo xmlns="http://schemas.microsoft.com/office/infopath/2007/PartnerControls">
          <TermName xmlns="http://schemas.microsoft.com/office/infopath/2007/PartnerControls">Work Health and Safety Act 2011 (Territory)</TermName>
          <TermId xmlns="http://schemas.microsoft.com/office/infopath/2007/PartnerControls">ff017976-c7e7-4dc1-b890-63352415bc5e</TermId>
        </TermInfo>
        <TermInfo xmlns="http://schemas.microsoft.com/office/infopath/2007/PartnerControls">
          <TermName xmlns="http://schemas.microsoft.com/office/infopath/2007/PartnerControls">Carers Recognition Act 2021 (Territory)</TermName>
          <TermId xmlns="http://schemas.microsoft.com/office/infopath/2007/PartnerControls">a9c8282c-cc19-42a3-a6c3-de05b442298b</TermId>
        </TermInfo>
      </Terms>
    </k0794e393e1f41c2810d090eedba34a0>
    <New_x0020_Owner xmlns="690b2128-8961-48af-a473-22c34a9accba">Cancer and Ambulatory Support (CAS) - Haematology</New_x0020_Owner>
  </documentManagement>
</p:properties>
</file>

<file path=customXml/itemProps1.xml><?xml version="1.0" encoding="utf-8"?>
<ds:datastoreItem xmlns:ds="http://schemas.openxmlformats.org/officeDocument/2006/customXml" ds:itemID="{D8E1157F-4ED9-4DA3-BFF5-2EAEF6DD5D3A}">
  <ds:schemaRefs>
    <ds:schemaRef ds:uri="http://schemas.openxmlformats.org/officeDocument/2006/bibliography"/>
  </ds:schemaRefs>
</ds:datastoreItem>
</file>

<file path=customXml/itemProps2.xml><?xml version="1.0" encoding="utf-8"?>
<ds:datastoreItem xmlns:ds="http://schemas.openxmlformats.org/officeDocument/2006/customXml" ds:itemID="{C931DB9E-DF8D-44F0-8FB5-F947A0E1598E}"/>
</file>

<file path=customXml/itemProps3.xml><?xml version="1.0" encoding="utf-8"?>
<ds:datastoreItem xmlns:ds="http://schemas.openxmlformats.org/officeDocument/2006/customXml" ds:itemID="{B2AA44A3-6D18-4ED3-A200-2EEC34EF0E28}">
  <ds:schemaRefs>
    <ds:schemaRef ds:uri="http://schemas.microsoft.com/sharepoint/v3/contenttype/forms"/>
  </ds:schemaRefs>
</ds:datastoreItem>
</file>

<file path=customXml/itemProps4.xml><?xml version="1.0" encoding="utf-8"?>
<ds:datastoreItem xmlns:ds="http://schemas.openxmlformats.org/officeDocument/2006/customXml" ds:itemID="{08F479F7-317B-462B-AD66-D0950C922A81}">
  <ds:schemaRefs>
    <ds:schemaRef ds:uri="http://purl.org/dc/elements/1.1/"/>
    <ds:schemaRef ds:uri="http://schemas.microsoft.com/office/infopath/2007/PartnerControls"/>
    <ds:schemaRef ds:uri="http://schemas.microsoft.com/office/2006/metadata/properties"/>
    <ds:schemaRef ds:uri="http://purl.org/dc/dcmitype/"/>
    <ds:schemaRef ds:uri="http://purl.org/dc/terms/"/>
    <ds:schemaRef ds:uri="http://schemas.microsoft.com/office/2006/documentManagement/types"/>
    <ds:schemaRef ds:uri="http://schemas.openxmlformats.org/package/2006/metadata/core-properties"/>
    <ds:schemaRef ds:uri="690b2128-8961-48af-a473-22c34a9accba"/>
    <ds:schemaRef ds:uri="c0239a80-7f07-4ed7-82c3-24ad7d76ada5"/>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3376</Words>
  <Characters>19246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CHS Report Template</vt:lpstr>
    </vt:vector>
  </TitlesOfParts>
  <Company>Canberra Health Services</Company>
  <LinksUpToDate>false</LinksUpToDate>
  <CharactersWithSpaces>22577</CharactersWithSpaces>
  <SharedDoc>false</SharedDoc>
  <HLinks>
    <vt:vector size="144" baseType="variant">
      <vt:variant>
        <vt:i4>6291572</vt:i4>
      </vt:variant>
      <vt:variant>
        <vt:i4>132</vt:i4>
      </vt:variant>
      <vt:variant>
        <vt:i4>0</vt:i4>
      </vt:variant>
      <vt:variant>
        <vt:i4>5</vt:i4>
      </vt:variant>
      <vt:variant>
        <vt:lpwstr>http://www.health.act.gov.au/accessibility</vt:lpwstr>
      </vt:variant>
      <vt:variant>
        <vt:lpwstr/>
      </vt:variant>
      <vt:variant>
        <vt:i4>5898256</vt:i4>
      </vt:variant>
      <vt:variant>
        <vt:i4>129</vt:i4>
      </vt:variant>
      <vt:variant>
        <vt:i4>0</vt:i4>
      </vt:variant>
      <vt:variant>
        <vt:i4>5</vt:i4>
      </vt:variant>
      <vt:variant>
        <vt:lpwstr>mailto:Belle.thompson.act.gov.au</vt:lpwstr>
      </vt:variant>
      <vt:variant>
        <vt:lpwstr/>
      </vt:variant>
      <vt:variant>
        <vt:i4>327718</vt:i4>
      </vt:variant>
      <vt:variant>
        <vt:i4>126</vt:i4>
      </vt:variant>
      <vt:variant>
        <vt:i4>0</vt:i4>
      </vt:variant>
      <vt:variant>
        <vt:i4>5</vt:i4>
      </vt:variant>
      <vt:variant>
        <vt:lpwstr>mailto:Rachel.hawes@act.gov.au</vt:lpwstr>
      </vt:variant>
      <vt:variant>
        <vt:lpwstr/>
      </vt:variant>
      <vt:variant>
        <vt:i4>5046397</vt:i4>
      </vt:variant>
      <vt:variant>
        <vt:i4>123</vt:i4>
      </vt:variant>
      <vt:variant>
        <vt:i4>0</vt:i4>
      </vt:variant>
      <vt:variant>
        <vt:i4>5</vt:i4>
      </vt:variant>
      <vt:variant>
        <vt:lpwstr>mailto:CSF@health.act.gov.au</vt:lpwstr>
      </vt:variant>
      <vt:variant>
        <vt:lpwstr/>
      </vt:variant>
      <vt:variant>
        <vt:i4>1900602</vt:i4>
      </vt:variant>
      <vt:variant>
        <vt:i4>116</vt:i4>
      </vt:variant>
      <vt:variant>
        <vt:i4>0</vt:i4>
      </vt:variant>
      <vt:variant>
        <vt:i4>5</vt:i4>
      </vt:variant>
      <vt:variant>
        <vt:lpwstr/>
      </vt:variant>
      <vt:variant>
        <vt:lpwstr>_Toc474498311</vt:lpwstr>
      </vt:variant>
      <vt:variant>
        <vt:i4>1835066</vt:i4>
      </vt:variant>
      <vt:variant>
        <vt:i4>110</vt:i4>
      </vt:variant>
      <vt:variant>
        <vt:i4>0</vt:i4>
      </vt:variant>
      <vt:variant>
        <vt:i4>5</vt:i4>
      </vt:variant>
      <vt:variant>
        <vt:lpwstr/>
      </vt:variant>
      <vt:variant>
        <vt:lpwstr>_Toc474498305</vt:lpwstr>
      </vt:variant>
      <vt:variant>
        <vt:i4>1835066</vt:i4>
      </vt:variant>
      <vt:variant>
        <vt:i4>104</vt:i4>
      </vt:variant>
      <vt:variant>
        <vt:i4>0</vt:i4>
      </vt:variant>
      <vt:variant>
        <vt:i4>5</vt:i4>
      </vt:variant>
      <vt:variant>
        <vt:lpwstr/>
      </vt:variant>
      <vt:variant>
        <vt:lpwstr>_Toc474498304</vt:lpwstr>
      </vt:variant>
      <vt:variant>
        <vt:i4>1835066</vt:i4>
      </vt:variant>
      <vt:variant>
        <vt:i4>98</vt:i4>
      </vt:variant>
      <vt:variant>
        <vt:i4>0</vt:i4>
      </vt:variant>
      <vt:variant>
        <vt:i4>5</vt:i4>
      </vt:variant>
      <vt:variant>
        <vt:lpwstr/>
      </vt:variant>
      <vt:variant>
        <vt:lpwstr>_Toc474498303</vt:lpwstr>
      </vt:variant>
      <vt:variant>
        <vt:i4>1835066</vt:i4>
      </vt:variant>
      <vt:variant>
        <vt:i4>92</vt:i4>
      </vt:variant>
      <vt:variant>
        <vt:i4>0</vt:i4>
      </vt:variant>
      <vt:variant>
        <vt:i4>5</vt:i4>
      </vt:variant>
      <vt:variant>
        <vt:lpwstr/>
      </vt:variant>
      <vt:variant>
        <vt:lpwstr>_Toc474498302</vt:lpwstr>
      </vt:variant>
      <vt:variant>
        <vt:i4>1835066</vt:i4>
      </vt:variant>
      <vt:variant>
        <vt:i4>86</vt:i4>
      </vt:variant>
      <vt:variant>
        <vt:i4>0</vt:i4>
      </vt:variant>
      <vt:variant>
        <vt:i4>5</vt:i4>
      </vt:variant>
      <vt:variant>
        <vt:lpwstr/>
      </vt:variant>
      <vt:variant>
        <vt:lpwstr>_Toc474498301</vt:lpwstr>
      </vt:variant>
      <vt:variant>
        <vt:i4>1835066</vt:i4>
      </vt:variant>
      <vt:variant>
        <vt:i4>80</vt:i4>
      </vt:variant>
      <vt:variant>
        <vt:i4>0</vt:i4>
      </vt:variant>
      <vt:variant>
        <vt:i4>5</vt:i4>
      </vt:variant>
      <vt:variant>
        <vt:lpwstr/>
      </vt:variant>
      <vt:variant>
        <vt:lpwstr>_Toc474498300</vt:lpwstr>
      </vt:variant>
      <vt:variant>
        <vt:i4>1376315</vt:i4>
      </vt:variant>
      <vt:variant>
        <vt:i4>74</vt:i4>
      </vt:variant>
      <vt:variant>
        <vt:i4>0</vt:i4>
      </vt:variant>
      <vt:variant>
        <vt:i4>5</vt:i4>
      </vt:variant>
      <vt:variant>
        <vt:lpwstr/>
      </vt:variant>
      <vt:variant>
        <vt:lpwstr>_Toc474498299</vt:lpwstr>
      </vt:variant>
      <vt:variant>
        <vt:i4>1376315</vt:i4>
      </vt:variant>
      <vt:variant>
        <vt:i4>68</vt:i4>
      </vt:variant>
      <vt:variant>
        <vt:i4>0</vt:i4>
      </vt:variant>
      <vt:variant>
        <vt:i4>5</vt:i4>
      </vt:variant>
      <vt:variant>
        <vt:lpwstr/>
      </vt:variant>
      <vt:variant>
        <vt:lpwstr>_Toc474498298</vt:lpwstr>
      </vt:variant>
      <vt:variant>
        <vt:i4>1376315</vt:i4>
      </vt:variant>
      <vt:variant>
        <vt:i4>62</vt:i4>
      </vt:variant>
      <vt:variant>
        <vt:i4>0</vt:i4>
      </vt:variant>
      <vt:variant>
        <vt:i4>5</vt:i4>
      </vt:variant>
      <vt:variant>
        <vt:lpwstr/>
      </vt:variant>
      <vt:variant>
        <vt:lpwstr>_Toc474498297</vt:lpwstr>
      </vt:variant>
      <vt:variant>
        <vt:i4>1376315</vt:i4>
      </vt:variant>
      <vt:variant>
        <vt:i4>56</vt:i4>
      </vt:variant>
      <vt:variant>
        <vt:i4>0</vt:i4>
      </vt:variant>
      <vt:variant>
        <vt:i4>5</vt:i4>
      </vt:variant>
      <vt:variant>
        <vt:lpwstr/>
      </vt:variant>
      <vt:variant>
        <vt:lpwstr>_Toc474498296</vt:lpwstr>
      </vt:variant>
      <vt:variant>
        <vt:i4>1376315</vt:i4>
      </vt:variant>
      <vt:variant>
        <vt:i4>50</vt:i4>
      </vt:variant>
      <vt:variant>
        <vt:i4>0</vt:i4>
      </vt:variant>
      <vt:variant>
        <vt:i4>5</vt:i4>
      </vt:variant>
      <vt:variant>
        <vt:lpwstr/>
      </vt:variant>
      <vt:variant>
        <vt:lpwstr>_Toc474498295</vt:lpwstr>
      </vt:variant>
      <vt:variant>
        <vt:i4>1376315</vt:i4>
      </vt:variant>
      <vt:variant>
        <vt:i4>44</vt:i4>
      </vt:variant>
      <vt:variant>
        <vt:i4>0</vt:i4>
      </vt:variant>
      <vt:variant>
        <vt:i4>5</vt:i4>
      </vt:variant>
      <vt:variant>
        <vt:lpwstr/>
      </vt:variant>
      <vt:variant>
        <vt:lpwstr>_Toc474498294</vt:lpwstr>
      </vt:variant>
      <vt:variant>
        <vt:i4>1376315</vt:i4>
      </vt:variant>
      <vt:variant>
        <vt:i4>38</vt:i4>
      </vt:variant>
      <vt:variant>
        <vt:i4>0</vt:i4>
      </vt:variant>
      <vt:variant>
        <vt:i4>5</vt:i4>
      </vt:variant>
      <vt:variant>
        <vt:lpwstr/>
      </vt:variant>
      <vt:variant>
        <vt:lpwstr>_Toc474498293</vt:lpwstr>
      </vt:variant>
      <vt:variant>
        <vt:i4>1376315</vt:i4>
      </vt:variant>
      <vt:variant>
        <vt:i4>32</vt:i4>
      </vt:variant>
      <vt:variant>
        <vt:i4>0</vt:i4>
      </vt:variant>
      <vt:variant>
        <vt:i4>5</vt:i4>
      </vt:variant>
      <vt:variant>
        <vt:lpwstr/>
      </vt:variant>
      <vt:variant>
        <vt:lpwstr>_Toc474498292</vt:lpwstr>
      </vt:variant>
      <vt:variant>
        <vt:i4>1376315</vt:i4>
      </vt:variant>
      <vt:variant>
        <vt:i4>26</vt:i4>
      </vt:variant>
      <vt:variant>
        <vt:i4>0</vt:i4>
      </vt:variant>
      <vt:variant>
        <vt:i4>5</vt:i4>
      </vt:variant>
      <vt:variant>
        <vt:lpwstr/>
      </vt:variant>
      <vt:variant>
        <vt:lpwstr>_Toc474498291</vt:lpwstr>
      </vt:variant>
      <vt:variant>
        <vt:i4>1376315</vt:i4>
      </vt:variant>
      <vt:variant>
        <vt:i4>20</vt:i4>
      </vt:variant>
      <vt:variant>
        <vt:i4>0</vt:i4>
      </vt:variant>
      <vt:variant>
        <vt:i4>5</vt:i4>
      </vt:variant>
      <vt:variant>
        <vt:lpwstr/>
      </vt:variant>
      <vt:variant>
        <vt:lpwstr>_Toc474498290</vt:lpwstr>
      </vt:variant>
      <vt:variant>
        <vt:i4>1310779</vt:i4>
      </vt:variant>
      <vt:variant>
        <vt:i4>14</vt:i4>
      </vt:variant>
      <vt:variant>
        <vt:i4>0</vt:i4>
      </vt:variant>
      <vt:variant>
        <vt:i4>5</vt:i4>
      </vt:variant>
      <vt:variant>
        <vt:lpwstr/>
      </vt:variant>
      <vt:variant>
        <vt:lpwstr>_Toc474498289</vt:lpwstr>
      </vt:variant>
      <vt:variant>
        <vt:i4>1310779</vt:i4>
      </vt:variant>
      <vt:variant>
        <vt:i4>8</vt:i4>
      </vt:variant>
      <vt:variant>
        <vt:i4>0</vt:i4>
      </vt:variant>
      <vt:variant>
        <vt:i4>5</vt:i4>
      </vt:variant>
      <vt:variant>
        <vt:lpwstr/>
      </vt:variant>
      <vt:variant>
        <vt:lpwstr>_Toc474498288</vt:lpwstr>
      </vt:variant>
      <vt:variant>
        <vt:i4>1310779</vt:i4>
      </vt:variant>
      <vt:variant>
        <vt:i4>2</vt:i4>
      </vt:variant>
      <vt:variant>
        <vt:i4>0</vt:i4>
      </vt:variant>
      <vt:variant>
        <vt:i4>5</vt:i4>
      </vt:variant>
      <vt:variant>
        <vt:lpwstr/>
      </vt:variant>
      <vt:variant>
        <vt:lpwstr>_Toc474498285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Intrathecal Chemotherapy Administration (Adults and Adolescents) at Canberra Hospital</dc:title>
  <dc:creator>Grealy, Anna (Health)</dc:creator>
  <cp:lastModifiedBy>Pratten, Elizabeth</cp:lastModifiedBy>
  <cp:revision>5</cp:revision>
  <cp:lastPrinted>2017-05-22T07:29:00Z</cp:lastPrinted>
  <dcterms:created xsi:type="dcterms:W3CDTF">2025-02-07T05:34:00Z</dcterms:created>
  <dcterms:modified xsi:type="dcterms:W3CDTF">2025-02-10T01:12:00Z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2024-04-16T03:17:13Z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964bf178-7723-4565-81c7-196b73e2d694</vt:lpwstr>
  </property>
  <property fmtid="{D5CDD505-2E9C-101B-9397-08002B2CF9AE}" pid="8" name="MSIP_Label_69af8531-eb46-4968-8cb3-105d2f5ea87e_ContentBits">
    <vt:lpwstr>0</vt:lpwstr>
  </property>
  <property fmtid="{D5CDD505-2E9C-101B-9397-08002B2CF9AE}" pid="9" name="ContentTypeId">
    <vt:lpwstr>0x0101002046B23B19A8774893278BE755DCE152</vt:lpwstr>
  </property>
  <property fmtid="{D5CDD505-2E9C-101B-9397-08002B2CF9AE}" pid="10" name="Related Legislation &amp; Guidelines">
    <vt:lpwstr>415;#Health Records (Privacy and Access) Act 1997 (Territory)|d07d1347-0355-417c-badf-2bae9c7c0e3b;#416;#Human Rights Act 2004 (Territory)|bbb6fb4a-2117-4ff9-8364-021a762deae2;#417;#Work Health and Safety Act 2011 (Territory)|ff017976-c7e7-4dc1-b890-63352415bc5e;#432;#Carers Recognition Act 2021 (Territory)|a9c8282c-cc19-42a3-a6c3-de05b442298b</vt:lpwstr>
  </property>
  <property fmtid="{D5CDD505-2E9C-101B-9397-08002B2CF9AE}" pid="11" name="Related_x0020_Legislation_x0020__x0026__x0020_Guidelines">
    <vt:lpwstr>415;#Health Records (Privacy and Access) Act 1997 (Territory)|d07d1347-0355-417c-badf-2bae9c7c0e3b;#416;#Human Rights Act 2004 (Territory)|bbb6fb4a-2117-4ff9-8364-021a762deae2;#417;#Work Health and Safety Act 2011 (Territory)|ff017976-c7e7-4dc1-b890-63352415bc5e;#432;#Carers Recognition Act 2021 (Territory)|a9c8282c-cc19-42a3-a6c3-de05b442298b</vt:lpwstr>
  </property>
</Properties>
</file>