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E692"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04DC418A" w14:textId="357F451D" w:rsidR="00197F2E" w:rsidRDefault="00B454FE" w:rsidP="00197F2E">
      <w:pPr>
        <w:pStyle w:val="Heading2"/>
      </w:pPr>
      <w:r>
        <w:t>Endocrine Dynamic Testing</w:t>
      </w:r>
      <w:r w:rsidR="00197F2E">
        <w:rPr>
          <w:rStyle w:val="Heading2Char"/>
        </w:rPr>
        <w:t xml:space="preserve"> </w:t>
      </w:r>
    </w:p>
    <w:p w14:paraId="10CAFE16" w14:textId="1B5B0808" w:rsidR="00CA4FDE" w:rsidRPr="00C34A10" w:rsidRDefault="0022715F" w:rsidP="00C34A10">
      <w:pPr>
        <w:pStyle w:val="BodyCopy"/>
        <w:spacing w:before="0" w:line="240" w:lineRule="auto"/>
        <w:rPr>
          <w:color w:val="575757" w:themeColor="text2"/>
        </w:rPr>
      </w:pPr>
      <w:r>
        <w:t>CHS24/427</w:t>
      </w:r>
      <w:bookmarkStart w:id="0" w:name="_Hlk157074578"/>
    </w:p>
    <w:sdt>
      <w:sdtPr>
        <w:rPr>
          <w:sz w:val="32"/>
        </w:rPr>
        <w:id w:val="-1206019646"/>
        <w:docPartObj>
          <w:docPartGallery w:val="Table of Contents"/>
          <w:docPartUnique/>
        </w:docPartObj>
      </w:sdtPr>
      <w:sdtEndPr>
        <w:rPr>
          <w:noProof/>
        </w:rPr>
      </w:sdtEndPr>
      <w:sdtContent>
        <w:p w14:paraId="5682593F" w14:textId="77777777" w:rsidR="00A731B8" w:rsidRPr="000E7683" w:rsidRDefault="00A731B8">
          <w:pPr>
            <w:pStyle w:val="TOCHeading"/>
            <w:rPr>
              <w:rStyle w:val="Heading3Char"/>
              <w:b/>
              <w:bCs w:val="0"/>
            </w:rPr>
          </w:pPr>
          <w:r w:rsidRPr="007B1A7B">
            <w:rPr>
              <w:rStyle w:val="Heading3Char"/>
              <w:b/>
              <w:bCs w:val="0"/>
            </w:rPr>
            <w:t>Contents</w:t>
          </w:r>
        </w:p>
        <w:p w14:paraId="25D6F397" w14:textId="51FC9E23" w:rsidR="00B454FE" w:rsidRDefault="00A621FE">
          <w:pPr>
            <w:pStyle w:val="TOC1"/>
            <w:rPr>
              <w:rFonts w:asciiTheme="minorHAnsi" w:eastAsiaTheme="minorEastAsia" w:hAnsiTheme="minorHAnsi" w:cstheme="minorBidi"/>
              <w:color w:val="auto"/>
              <w:kern w:val="2"/>
              <w:sz w:val="22"/>
              <w:szCs w:val="2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77472812" w:history="1">
            <w:r w:rsidR="00B454FE" w:rsidRPr="006546DE">
              <w:rPr>
                <w:rStyle w:val="Hyperlink"/>
              </w:rPr>
              <w:t>Purpose</w:t>
            </w:r>
            <w:r w:rsidR="00B454FE">
              <w:rPr>
                <w:webHidden/>
              </w:rPr>
              <w:tab/>
            </w:r>
            <w:r w:rsidR="00B454FE">
              <w:rPr>
                <w:webHidden/>
              </w:rPr>
              <w:fldChar w:fldCharType="begin"/>
            </w:r>
            <w:r w:rsidR="00B454FE">
              <w:rPr>
                <w:webHidden/>
              </w:rPr>
              <w:instrText xml:space="preserve"> PAGEREF _Toc177472812 \h </w:instrText>
            </w:r>
            <w:r w:rsidR="00B454FE">
              <w:rPr>
                <w:webHidden/>
              </w:rPr>
            </w:r>
            <w:r w:rsidR="00B454FE">
              <w:rPr>
                <w:webHidden/>
              </w:rPr>
              <w:fldChar w:fldCharType="separate"/>
            </w:r>
            <w:r w:rsidR="00B454FE">
              <w:rPr>
                <w:webHidden/>
              </w:rPr>
              <w:t>2</w:t>
            </w:r>
            <w:r w:rsidR="00B454FE">
              <w:rPr>
                <w:webHidden/>
              </w:rPr>
              <w:fldChar w:fldCharType="end"/>
            </w:r>
          </w:hyperlink>
        </w:p>
        <w:p w14:paraId="424BBCD3" w14:textId="26BC2916"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3" w:history="1">
            <w:r w:rsidR="00B454FE" w:rsidRPr="006546DE">
              <w:rPr>
                <w:rStyle w:val="Hyperlink"/>
              </w:rPr>
              <w:t>Alerts</w:t>
            </w:r>
            <w:r w:rsidR="00B454FE">
              <w:rPr>
                <w:webHidden/>
              </w:rPr>
              <w:tab/>
            </w:r>
            <w:r w:rsidR="00B454FE">
              <w:rPr>
                <w:webHidden/>
              </w:rPr>
              <w:fldChar w:fldCharType="begin"/>
            </w:r>
            <w:r w:rsidR="00B454FE">
              <w:rPr>
                <w:webHidden/>
              </w:rPr>
              <w:instrText xml:space="preserve"> PAGEREF _Toc177472813 \h </w:instrText>
            </w:r>
            <w:r w:rsidR="00B454FE">
              <w:rPr>
                <w:webHidden/>
              </w:rPr>
            </w:r>
            <w:r w:rsidR="00B454FE">
              <w:rPr>
                <w:webHidden/>
              </w:rPr>
              <w:fldChar w:fldCharType="separate"/>
            </w:r>
            <w:r w:rsidR="00B454FE">
              <w:rPr>
                <w:webHidden/>
              </w:rPr>
              <w:t>2</w:t>
            </w:r>
            <w:r w:rsidR="00B454FE">
              <w:rPr>
                <w:webHidden/>
              </w:rPr>
              <w:fldChar w:fldCharType="end"/>
            </w:r>
          </w:hyperlink>
        </w:p>
        <w:p w14:paraId="6E97C3BD" w14:textId="49B03DA9"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4" w:history="1">
            <w:r w:rsidR="00B454FE" w:rsidRPr="006546DE">
              <w:rPr>
                <w:rStyle w:val="Hyperlink"/>
              </w:rPr>
              <w:t>Scope</w:t>
            </w:r>
            <w:r w:rsidR="00B454FE">
              <w:rPr>
                <w:webHidden/>
              </w:rPr>
              <w:tab/>
            </w:r>
            <w:r w:rsidR="00B454FE">
              <w:rPr>
                <w:webHidden/>
              </w:rPr>
              <w:fldChar w:fldCharType="begin"/>
            </w:r>
            <w:r w:rsidR="00B454FE">
              <w:rPr>
                <w:webHidden/>
              </w:rPr>
              <w:instrText xml:space="preserve"> PAGEREF _Toc177472814 \h </w:instrText>
            </w:r>
            <w:r w:rsidR="00B454FE">
              <w:rPr>
                <w:webHidden/>
              </w:rPr>
            </w:r>
            <w:r w:rsidR="00B454FE">
              <w:rPr>
                <w:webHidden/>
              </w:rPr>
              <w:fldChar w:fldCharType="separate"/>
            </w:r>
            <w:r w:rsidR="00B454FE">
              <w:rPr>
                <w:webHidden/>
              </w:rPr>
              <w:t>3</w:t>
            </w:r>
            <w:r w:rsidR="00B454FE">
              <w:rPr>
                <w:webHidden/>
              </w:rPr>
              <w:fldChar w:fldCharType="end"/>
            </w:r>
          </w:hyperlink>
        </w:p>
        <w:p w14:paraId="4F3D28BD" w14:textId="1F8E19AB"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5" w:history="1">
            <w:r w:rsidR="00B454FE" w:rsidRPr="006546DE">
              <w:rPr>
                <w:rStyle w:val="Hyperlink"/>
              </w:rPr>
              <w:t>Section 1 – Background information</w:t>
            </w:r>
            <w:r w:rsidR="00B454FE">
              <w:rPr>
                <w:webHidden/>
              </w:rPr>
              <w:tab/>
            </w:r>
            <w:r w:rsidR="00B454FE">
              <w:rPr>
                <w:webHidden/>
              </w:rPr>
              <w:fldChar w:fldCharType="begin"/>
            </w:r>
            <w:r w:rsidR="00B454FE">
              <w:rPr>
                <w:webHidden/>
              </w:rPr>
              <w:instrText xml:space="preserve"> PAGEREF _Toc177472815 \h </w:instrText>
            </w:r>
            <w:r w:rsidR="00B454FE">
              <w:rPr>
                <w:webHidden/>
              </w:rPr>
            </w:r>
            <w:r w:rsidR="00B454FE">
              <w:rPr>
                <w:webHidden/>
              </w:rPr>
              <w:fldChar w:fldCharType="separate"/>
            </w:r>
            <w:r w:rsidR="00B454FE">
              <w:rPr>
                <w:webHidden/>
              </w:rPr>
              <w:t>3</w:t>
            </w:r>
            <w:r w:rsidR="00B454FE">
              <w:rPr>
                <w:webHidden/>
              </w:rPr>
              <w:fldChar w:fldCharType="end"/>
            </w:r>
          </w:hyperlink>
        </w:p>
        <w:p w14:paraId="7850B6E5" w14:textId="3092CF65"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6" w:history="1">
            <w:r w:rsidR="00B454FE" w:rsidRPr="006546DE">
              <w:rPr>
                <w:rStyle w:val="Hyperlink"/>
              </w:rPr>
              <w:t>Section 2 – Short Synacthen Test</w:t>
            </w:r>
            <w:r w:rsidR="00B454FE">
              <w:rPr>
                <w:webHidden/>
              </w:rPr>
              <w:tab/>
            </w:r>
            <w:r w:rsidR="00B454FE">
              <w:rPr>
                <w:webHidden/>
              </w:rPr>
              <w:fldChar w:fldCharType="begin"/>
            </w:r>
            <w:r w:rsidR="00B454FE">
              <w:rPr>
                <w:webHidden/>
              </w:rPr>
              <w:instrText xml:space="preserve"> PAGEREF _Toc177472816 \h </w:instrText>
            </w:r>
            <w:r w:rsidR="00B454FE">
              <w:rPr>
                <w:webHidden/>
              </w:rPr>
            </w:r>
            <w:r w:rsidR="00B454FE">
              <w:rPr>
                <w:webHidden/>
              </w:rPr>
              <w:fldChar w:fldCharType="separate"/>
            </w:r>
            <w:r w:rsidR="00B454FE">
              <w:rPr>
                <w:webHidden/>
              </w:rPr>
              <w:t>5</w:t>
            </w:r>
            <w:r w:rsidR="00B454FE">
              <w:rPr>
                <w:webHidden/>
              </w:rPr>
              <w:fldChar w:fldCharType="end"/>
            </w:r>
          </w:hyperlink>
        </w:p>
        <w:p w14:paraId="4B856008" w14:textId="6E94E054"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7" w:history="1">
            <w:r w:rsidR="00B454FE" w:rsidRPr="006546DE">
              <w:rPr>
                <w:rStyle w:val="Hyperlink"/>
              </w:rPr>
              <w:t>Section 3 – Water Deprivation Test</w:t>
            </w:r>
            <w:r w:rsidR="00B454FE">
              <w:rPr>
                <w:webHidden/>
              </w:rPr>
              <w:tab/>
            </w:r>
            <w:r w:rsidR="00B454FE">
              <w:rPr>
                <w:webHidden/>
              </w:rPr>
              <w:fldChar w:fldCharType="begin"/>
            </w:r>
            <w:r w:rsidR="00B454FE">
              <w:rPr>
                <w:webHidden/>
              </w:rPr>
              <w:instrText xml:space="preserve"> PAGEREF _Toc177472817 \h </w:instrText>
            </w:r>
            <w:r w:rsidR="00B454FE">
              <w:rPr>
                <w:webHidden/>
              </w:rPr>
            </w:r>
            <w:r w:rsidR="00B454FE">
              <w:rPr>
                <w:webHidden/>
              </w:rPr>
              <w:fldChar w:fldCharType="separate"/>
            </w:r>
            <w:r w:rsidR="00B454FE">
              <w:rPr>
                <w:webHidden/>
              </w:rPr>
              <w:t>7</w:t>
            </w:r>
            <w:r w:rsidR="00B454FE">
              <w:rPr>
                <w:webHidden/>
              </w:rPr>
              <w:fldChar w:fldCharType="end"/>
            </w:r>
          </w:hyperlink>
        </w:p>
        <w:p w14:paraId="56C20206" w14:textId="26A656BB"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8" w:history="1">
            <w:r w:rsidR="00B454FE" w:rsidRPr="006546DE">
              <w:rPr>
                <w:rStyle w:val="Hyperlink"/>
              </w:rPr>
              <w:t>Section 4 – Growth Hormone Suppression Test</w:t>
            </w:r>
            <w:r w:rsidR="00B454FE">
              <w:rPr>
                <w:webHidden/>
              </w:rPr>
              <w:tab/>
            </w:r>
            <w:r w:rsidR="00B454FE">
              <w:rPr>
                <w:webHidden/>
              </w:rPr>
              <w:fldChar w:fldCharType="begin"/>
            </w:r>
            <w:r w:rsidR="00B454FE">
              <w:rPr>
                <w:webHidden/>
              </w:rPr>
              <w:instrText xml:space="preserve"> PAGEREF _Toc177472818 \h </w:instrText>
            </w:r>
            <w:r w:rsidR="00B454FE">
              <w:rPr>
                <w:webHidden/>
              </w:rPr>
            </w:r>
            <w:r w:rsidR="00B454FE">
              <w:rPr>
                <w:webHidden/>
              </w:rPr>
              <w:fldChar w:fldCharType="separate"/>
            </w:r>
            <w:r w:rsidR="00B454FE">
              <w:rPr>
                <w:webHidden/>
              </w:rPr>
              <w:t>10</w:t>
            </w:r>
            <w:r w:rsidR="00B454FE">
              <w:rPr>
                <w:webHidden/>
              </w:rPr>
              <w:fldChar w:fldCharType="end"/>
            </w:r>
          </w:hyperlink>
        </w:p>
        <w:p w14:paraId="6BD48854" w14:textId="12D1EF3A"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19" w:history="1">
            <w:r w:rsidR="00B454FE" w:rsidRPr="006546DE">
              <w:rPr>
                <w:rStyle w:val="Hyperlink"/>
              </w:rPr>
              <w:t>Section 5 –  Saline Suppression Test</w:t>
            </w:r>
            <w:r w:rsidR="00B454FE">
              <w:rPr>
                <w:webHidden/>
              </w:rPr>
              <w:tab/>
            </w:r>
            <w:r w:rsidR="00B454FE">
              <w:rPr>
                <w:webHidden/>
              </w:rPr>
              <w:fldChar w:fldCharType="begin"/>
            </w:r>
            <w:r w:rsidR="00B454FE">
              <w:rPr>
                <w:webHidden/>
              </w:rPr>
              <w:instrText xml:space="preserve"> PAGEREF _Toc177472819 \h </w:instrText>
            </w:r>
            <w:r w:rsidR="00B454FE">
              <w:rPr>
                <w:webHidden/>
              </w:rPr>
            </w:r>
            <w:r w:rsidR="00B454FE">
              <w:rPr>
                <w:webHidden/>
              </w:rPr>
              <w:fldChar w:fldCharType="separate"/>
            </w:r>
            <w:r w:rsidR="00B454FE">
              <w:rPr>
                <w:webHidden/>
              </w:rPr>
              <w:t>12</w:t>
            </w:r>
            <w:r w:rsidR="00B454FE">
              <w:rPr>
                <w:webHidden/>
              </w:rPr>
              <w:fldChar w:fldCharType="end"/>
            </w:r>
          </w:hyperlink>
        </w:p>
        <w:p w14:paraId="537EEAC9" w14:textId="2044744A"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0" w:history="1">
            <w:r w:rsidR="00B454FE" w:rsidRPr="006546DE">
              <w:rPr>
                <w:rStyle w:val="Hyperlink"/>
              </w:rPr>
              <w:t>Section 6 – Clonidine Suppression Test</w:t>
            </w:r>
            <w:r w:rsidR="00B454FE">
              <w:rPr>
                <w:webHidden/>
              </w:rPr>
              <w:tab/>
            </w:r>
            <w:r w:rsidR="00B454FE">
              <w:rPr>
                <w:webHidden/>
              </w:rPr>
              <w:fldChar w:fldCharType="begin"/>
            </w:r>
            <w:r w:rsidR="00B454FE">
              <w:rPr>
                <w:webHidden/>
              </w:rPr>
              <w:instrText xml:space="preserve"> PAGEREF _Toc177472820 \h </w:instrText>
            </w:r>
            <w:r w:rsidR="00B454FE">
              <w:rPr>
                <w:webHidden/>
              </w:rPr>
            </w:r>
            <w:r w:rsidR="00B454FE">
              <w:rPr>
                <w:webHidden/>
              </w:rPr>
              <w:fldChar w:fldCharType="separate"/>
            </w:r>
            <w:r w:rsidR="00B454FE">
              <w:rPr>
                <w:webHidden/>
              </w:rPr>
              <w:t>14</w:t>
            </w:r>
            <w:r w:rsidR="00B454FE">
              <w:rPr>
                <w:webHidden/>
              </w:rPr>
              <w:fldChar w:fldCharType="end"/>
            </w:r>
          </w:hyperlink>
        </w:p>
        <w:p w14:paraId="47020CFE" w14:textId="6ABB62A5"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1" w:history="1">
            <w:r w:rsidR="00B454FE" w:rsidRPr="006546DE">
              <w:rPr>
                <w:rStyle w:val="Hyperlink"/>
              </w:rPr>
              <w:t>Section 7 – 72 Hours Fast for the Diagnosis of Insulinoma in Adults</w:t>
            </w:r>
            <w:r w:rsidR="00B454FE">
              <w:rPr>
                <w:webHidden/>
              </w:rPr>
              <w:tab/>
            </w:r>
            <w:r w:rsidR="00B454FE">
              <w:rPr>
                <w:webHidden/>
              </w:rPr>
              <w:fldChar w:fldCharType="begin"/>
            </w:r>
            <w:r w:rsidR="00B454FE">
              <w:rPr>
                <w:webHidden/>
              </w:rPr>
              <w:instrText xml:space="preserve"> PAGEREF _Toc177472821 \h </w:instrText>
            </w:r>
            <w:r w:rsidR="00B454FE">
              <w:rPr>
                <w:webHidden/>
              </w:rPr>
            </w:r>
            <w:r w:rsidR="00B454FE">
              <w:rPr>
                <w:webHidden/>
              </w:rPr>
              <w:fldChar w:fldCharType="separate"/>
            </w:r>
            <w:r w:rsidR="00B454FE">
              <w:rPr>
                <w:webHidden/>
              </w:rPr>
              <w:t>17</w:t>
            </w:r>
            <w:r w:rsidR="00B454FE">
              <w:rPr>
                <w:webHidden/>
              </w:rPr>
              <w:fldChar w:fldCharType="end"/>
            </w:r>
          </w:hyperlink>
        </w:p>
        <w:p w14:paraId="34B93C4C" w14:textId="44087269"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2" w:history="1">
            <w:r w:rsidR="00B454FE" w:rsidRPr="006546DE">
              <w:rPr>
                <w:rStyle w:val="Hyperlink"/>
              </w:rPr>
              <w:t>Section 8 – Dexamethasone Suppression Tests</w:t>
            </w:r>
            <w:r w:rsidR="00B454FE">
              <w:rPr>
                <w:webHidden/>
              </w:rPr>
              <w:tab/>
            </w:r>
            <w:r w:rsidR="00B454FE">
              <w:rPr>
                <w:webHidden/>
              </w:rPr>
              <w:fldChar w:fldCharType="begin"/>
            </w:r>
            <w:r w:rsidR="00B454FE">
              <w:rPr>
                <w:webHidden/>
              </w:rPr>
              <w:instrText xml:space="preserve"> PAGEREF _Toc177472822 \h </w:instrText>
            </w:r>
            <w:r w:rsidR="00B454FE">
              <w:rPr>
                <w:webHidden/>
              </w:rPr>
            </w:r>
            <w:r w:rsidR="00B454FE">
              <w:rPr>
                <w:webHidden/>
              </w:rPr>
              <w:fldChar w:fldCharType="separate"/>
            </w:r>
            <w:r w:rsidR="00B454FE">
              <w:rPr>
                <w:webHidden/>
              </w:rPr>
              <w:t>20</w:t>
            </w:r>
            <w:r w:rsidR="00B454FE">
              <w:rPr>
                <w:webHidden/>
              </w:rPr>
              <w:fldChar w:fldCharType="end"/>
            </w:r>
          </w:hyperlink>
        </w:p>
        <w:p w14:paraId="414B0926" w14:textId="353F0A1C"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3" w:history="1">
            <w:r w:rsidR="00B454FE" w:rsidRPr="006546DE">
              <w:rPr>
                <w:rStyle w:val="Hyperlink"/>
              </w:rPr>
              <w:t>Evaluation</w:t>
            </w:r>
            <w:r w:rsidR="00B454FE">
              <w:rPr>
                <w:webHidden/>
              </w:rPr>
              <w:tab/>
            </w:r>
            <w:r w:rsidR="00B454FE">
              <w:rPr>
                <w:webHidden/>
              </w:rPr>
              <w:fldChar w:fldCharType="begin"/>
            </w:r>
            <w:r w:rsidR="00B454FE">
              <w:rPr>
                <w:webHidden/>
              </w:rPr>
              <w:instrText xml:space="preserve"> PAGEREF _Toc177472823 \h </w:instrText>
            </w:r>
            <w:r w:rsidR="00B454FE">
              <w:rPr>
                <w:webHidden/>
              </w:rPr>
            </w:r>
            <w:r w:rsidR="00B454FE">
              <w:rPr>
                <w:webHidden/>
              </w:rPr>
              <w:fldChar w:fldCharType="separate"/>
            </w:r>
            <w:r w:rsidR="00B454FE">
              <w:rPr>
                <w:webHidden/>
              </w:rPr>
              <w:t>23</w:t>
            </w:r>
            <w:r w:rsidR="00B454FE">
              <w:rPr>
                <w:webHidden/>
              </w:rPr>
              <w:fldChar w:fldCharType="end"/>
            </w:r>
          </w:hyperlink>
        </w:p>
        <w:p w14:paraId="76AAD2F7" w14:textId="4DB88D0B"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4" w:history="1">
            <w:r w:rsidR="00B454FE" w:rsidRPr="006546DE">
              <w:rPr>
                <w:rStyle w:val="Hyperlink"/>
              </w:rPr>
              <w:t>Related policies, procedures, guidelines and legislation</w:t>
            </w:r>
            <w:r w:rsidR="00B454FE">
              <w:rPr>
                <w:webHidden/>
              </w:rPr>
              <w:tab/>
            </w:r>
            <w:r w:rsidR="00B454FE">
              <w:rPr>
                <w:webHidden/>
              </w:rPr>
              <w:fldChar w:fldCharType="begin"/>
            </w:r>
            <w:r w:rsidR="00B454FE">
              <w:rPr>
                <w:webHidden/>
              </w:rPr>
              <w:instrText xml:space="preserve"> PAGEREF _Toc177472824 \h </w:instrText>
            </w:r>
            <w:r w:rsidR="00B454FE">
              <w:rPr>
                <w:webHidden/>
              </w:rPr>
            </w:r>
            <w:r w:rsidR="00B454FE">
              <w:rPr>
                <w:webHidden/>
              </w:rPr>
              <w:fldChar w:fldCharType="separate"/>
            </w:r>
            <w:r w:rsidR="00B454FE">
              <w:rPr>
                <w:webHidden/>
              </w:rPr>
              <w:t>23</w:t>
            </w:r>
            <w:r w:rsidR="00B454FE">
              <w:rPr>
                <w:webHidden/>
              </w:rPr>
              <w:fldChar w:fldCharType="end"/>
            </w:r>
          </w:hyperlink>
        </w:p>
        <w:p w14:paraId="126C379B" w14:textId="15797A00"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5" w:history="1">
            <w:r w:rsidR="00B454FE" w:rsidRPr="006546DE">
              <w:rPr>
                <w:rStyle w:val="Hyperlink"/>
              </w:rPr>
              <w:t>References</w:t>
            </w:r>
            <w:r w:rsidR="00B454FE">
              <w:rPr>
                <w:webHidden/>
              </w:rPr>
              <w:tab/>
            </w:r>
            <w:r w:rsidR="00B454FE">
              <w:rPr>
                <w:webHidden/>
              </w:rPr>
              <w:fldChar w:fldCharType="begin"/>
            </w:r>
            <w:r w:rsidR="00B454FE">
              <w:rPr>
                <w:webHidden/>
              </w:rPr>
              <w:instrText xml:space="preserve"> PAGEREF _Toc177472825 \h </w:instrText>
            </w:r>
            <w:r w:rsidR="00B454FE">
              <w:rPr>
                <w:webHidden/>
              </w:rPr>
            </w:r>
            <w:r w:rsidR="00B454FE">
              <w:rPr>
                <w:webHidden/>
              </w:rPr>
              <w:fldChar w:fldCharType="separate"/>
            </w:r>
            <w:r w:rsidR="00B454FE">
              <w:rPr>
                <w:webHidden/>
              </w:rPr>
              <w:t>24</w:t>
            </w:r>
            <w:r w:rsidR="00B454FE">
              <w:rPr>
                <w:webHidden/>
              </w:rPr>
              <w:fldChar w:fldCharType="end"/>
            </w:r>
          </w:hyperlink>
        </w:p>
        <w:p w14:paraId="5C9E021C" w14:textId="72D61227"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6" w:history="1">
            <w:r w:rsidR="00B454FE" w:rsidRPr="006546DE">
              <w:rPr>
                <w:rStyle w:val="Hyperlink"/>
              </w:rPr>
              <w:t>Definition of terms</w:t>
            </w:r>
            <w:r w:rsidR="00B454FE">
              <w:rPr>
                <w:webHidden/>
              </w:rPr>
              <w:tab/>
            </w:r>
            <w:r w:rsidR="00B454FE">
              <w:rPr>
                <w:webHidden/>
              </w:rPr>
              <w:fldChar w:fldCharType="begin"/>
            </w:r>
            <w:r w:rsidR="00B454FE">
              <w:rPr>
                <w:webHidden/>
              </w:rPr>
              <w:instrText xml:space="preserve"> PAGEREF _Toc177472826 \h </w:instrText>
            </w:r>
            <w:r w:rsidR="00B454FE">
              <w:rPr>
                <w:webHidden/>
              </w:rPr>
            </w:r>
            <w:r w:rsidR="00B454FE">
              <w:rPr>
                <w:webHidden/>
              </w:rPr>
              <w:fldChar w:fldCharType="separate"/>
            </w:r>
            <w:r w:rsidR="00B454FE">
              <w:rPr>
                <w:webHidden/>
              </w:rPr>
              <w:t>25</w:t>
            </w:r>
            <w:r w:rsidR="00B454FE">
              <w:rPr>
                <w:webHidden/>
              </w:rPr>
              <w:fldChar w:fldCharType="end"/>
            </w:r>
          </w:hyperlink>
        </w:p>
        <w:p w14:paraId="34C3CCFB" w14:textId="1D5ECF5C"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7" w:history="1">
            <w:r w:rsidR="00B454FE" w:rsidRPr="006546DE">
              <w:rPr>
                <w:rStyle w:val="Hyperlink"/>
              </w:rPr>
              <w:t>Search terms</w:t>
            </w:r>
            <w:r w:rsidR="00B454FE">
              <w:rPr>
                <w:webHidden/>
              </w:rPr>
              <w:tab/>
            </w:r>
            <w:r w:rsidR="00B454FE">
              <w:rPr>
                <w:webHidden/>
              </w:rPr>
              <w:fldChar w:fldCharType="begin"/>
            </w:r>
            <w:r w:rsidR="00B454FE">
              <w:rPr>
                <w:webHidden/>
              </w:rPr>
              <w:instrText xml:space="preserve"> PAGEREF _Toc177472827 \h </w:instrText>
            </w:r>
            <w:r w:rsidR="00B454FE">
              <w:rPr>
                <w:webHidden/>
              </w:rPr>
            </w:r>
            <w:r w:rsidR="00B454FE">
              <w:rPr>
                <w:webHidden/>
              </w:rPr>
              <w:fldChar w:fldCharType="separate"/>
            </w:r>
            <w:r w:rsidR="00B454FE">
              <w:rPr>
                <w:webHidden/>
              </w:rPr>
              <w:t>25</w:t>
            </w:r>
            <w:r w:rsidR="00B454FE">
              <w:rPr>
                <w:webHidden/>
              </w:rPr>
              <w:fldChar w:fldCharType="end"/>
            </w:r>
          </w:hyperlink>
        </w:p>
        <w:p w14:paraId="569B86BC" w14:textId="55C4C7DF" w:rsidR="00B454FE" w:rsidRDefault="00000000">
          <w:pPr>
            <w:pStyle w:val="TOC1"/>
            <w:rPr>
              <w:rFonts w:asciiTheme="minorHAnsi" w:eastAsiaTheme="minorEastAsia" w:hAnsiTheme="minorHAnsi" w:cstheme="minorBidi"/>
              <w:color w:val="auto"/>
              <w:kern w:val="2"/>
              <w:sz w:val="22"/>
              <w:szCs w:val="22"/>
              <w14:ligatures w14:val="standardContextual"/>
            </w:rPr>
          </w:pPr>
          <w:hyperlink w:anchor="_Toc177472828" w:history="1">
            <w:r w:rsidR="00B454FE" w:rsidRPr="006546DE">
              <w:rPr>
                <w:rStyle w:val="Hyperlink"/>
              </w:rPr>
              <w:t>Attachments</w:t>
            </w:r>
            <w:r w:rsidR="00B454FE">
              <w:rPr>
                <w:webHidden/>
              </w:rPr>
              <w:tab/>
            </w:r>
            <w:r w:rsidR="00B454FE">
              <w:rPr>
                <w:webHidden/>
              </w:rPr>
              <w:fldChar w:fldCharType="begin"/>
            </w:r>
            <w:r w:rsidR="00B454FE">
              <w:rPr>
                <w:webHidden/>
              </w:rPr>
              <w:instrText xml:space="preserve"> PAGEREF _Toc177472828 \h </w:instrText>
            </w:r>
            <w:r w:rsidR="00B454FE">
              <w:rPr>
                <w:webHidden/>
              </w:rPr>
            </w:r>
            <w:r w:rsidR="00B454FE">
              <w:rPr>
                <w:webHidden/>
              </w:rPr>
              <w:fldChar w:fldCharType="separate"/>
            </w:r>
            <w:r w:rsidR="00B454FE">
              <w:rPr>
                <w:webHidden/>
              </w:rPr>
              <w:t>26</w:t>
            </w:r>
            <w:r w:rsidR="00B454FE">
              <w:rPr>
                <w:webHidden/>
              </w:rPr>
              <w:fldChar w:fldCharType="end"/>
            </w:r>
          </w:hyperlink>
        </w:p>
        <w:p w14:paraId="69306BEE" w14:textId="278CB410"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01A96819" w14:textId="77777777" w:rsidR="00FE46F1" w:rsidRDefault="00FE46F1">
      <w:pPr>
        <w:spacing w:before="0" w:after="0" w:line="240" w:lineRule="auto"/>
        <w:rPr>
          <w:rFonts w:eastAsia="Times New Roman"/>
          <w:b/>
          <w:color w:val="FFFFFF" w:themeColor="background1"/>
          <w:szCs w:val="80"/>
          <w:lang w:eastAsia="en-US"/>
        </w:rPr>
      </w:pPr>
    </w:p>
    <w:p w14:paraId="5B0B4A5E" w14:textId="77777777" w:rsidR="00201AF6" w:rsidRDefault="00201AF6">
      <w:pPr>
        <w:spacing w:before="0" w:after="0" w:line="240" w:lineRule="auto"/>
        <w:rPr>
          <w:rFonts w:eastAsia="Times New Roman"/>
          <w:b/>
          <w:bCs/>
          <w:iCs/>
          <w:color w:val="FFFFFF" w:themeColor="background1"/>
          <w:lang w:eastAsia="en-US"/>
        </w:rPr>
      </w:pPr>
      <w:r>
        <w:br w:type="page"/>
      </w:r>
    </w:p>
    <w:p w14:paraId="5B30D655" w14:textId="21F95CD2" w:rsidR="0078367D" w:rsidRPr="00036249" w:rsidRDefault="003254E1" w:rsidP="00036249">
      <w:pPr>
        <w:pStyle w:val="Heading4"/>
      </w:pPr>
      <w:bookmarkStart w:id="1" w:name="_Toc177472812"/>
      <w:r>
        <w:lastRenderedPageBreak/>
        <w:t>Purpose</w:t>
      </w:r>
      <w:bookmarkEnd w:id="1"/>
      <w:r w:rsidR="009746B1" w:rsidRPr="00036249">
        <w:t xml:space="preserve"> </w:t>
      </w:r>
    </w:p>
    <w:p w14:paraId="7F2EBE7E" w14:textId="77777777" w:rsidR="000B1DC8" w:rsidRDefault="000B1DC8" w:rsidP="000B1DC8">
      <w:r w:rsidRPr="002010D1">
        <w:t>This document describes protocols for tests commonly performed in the Diabetes and Endocrine Service at Canberra Health Service (CHS). These tests take place in the Diabetes and Endocrine Service’s procedure room</w:t>
      </w:r>
      <w:r>
        <w:t xml:space="preserve"> at Canberra Hospital</w:t>
      </w:r>
      <w:r w:rsidRPr="002010D1">
        <w:t xml:space="preserve"> and on some occasions may be performed on the ward.</w:t>
      </w:r>
    </w:p>
    <w:p w14:paraId="51FDC9F1" w14:textId="268EBDA8" w:rsidR="000B1DC8" w:rsidRPr="002010D1" w:rsidRDefault="000B1DC8" w:rsidP="000B1DC8">
      <w:r>
        <w:t xml:space="preserve">In addition to the information contained in this procedure, CHS endorses the Harmonised Endocrine Dynamic Testing - Adult (HEDTA) manual, produced by the Endocrine Society of Australia, the Australasian Association for Clinical Biochemistry and Laboratory Medicine and the Royal College of Pathologists of Australia. The manual can be found on the Endocrine Society website (available at </w:t>
      </w:r>
      <w:hyperlink r:id="rId11" w:history="1">
        <w:r>
          <w:rPr>
            <w:rStyle w:val="Hyperlink"/>
          </w:rPr>
          <w:t>https://www.endocrinesociety.org.au/downloads/20230131%20MASTER%20Harmonisation%20of%20Endocrine%20Dynamic%20Testing%201.9.pdf</w:t>
        </w:r>
      </w:hyperlink>
      <w:r>
        <w:t>).</w:t>
      </w:r>
    </w:p>
    <w:p w14:paraId="1A779F99" w14:textId="77777777" w:rsidR="00481A6C" w:rsidRDefault="00000000" w:rsidP="00481A6C">
      <w:pPr>
        <w:pStyle w:val="BodyCopy"/>
        <w:rPr>
          <w:rStyle w:val="Hyperlink"/>
          <w:iCs w:val="0"/>
        </w:rPr>
      </w:pPr>
      <w:hyperlink w:anchor="_top" w:history="1">
        <w:r w:rsidR="00481A6C" w:rsidRPr="00481A6C">
          <w:rPr>
            <w:rStyle w:val="Hyperlink"/>
            <w:iCs w:val="0"/>
          </w:rPr>
          <w:t>Back to Contents</w:t>
        </w:r>
      </w:hyperlink>
    </w:p>
    <w:p w14:paraId="7A327F54" w14:textId="7A1D0CC1" w:rsidR="0078367D" w:rsidRPr="00AC2EDE" w:rsidRDefault="003254E1" w:rsidP="00197F2E">
      <w:pPr>
        <w:pStyle w:val="Heading4"/>
      </w:pPr>
      <w:bookmarkStart w:id="2" w:name="_Toc177472813"/>
      <w:r>
        <w:rPr>
          <w:rStyle w:val="Hyperlink"/>
          <w:color w:val="FFFFFF" w:themeColor="background1"/>
          <w:u w:val="none"/>
        </w:rPr>
        <w:t>Alerts</w:t>
      </w:r>
      <w:bookmarkEnd w:id="2"/>
      <w:r>
        <w:rPr>
          <w:rStyle w:val="Hyperlink"/>
          <w:color w:val="FFFFFF" w:themeColor="background1"/>
          <w:u w:val="none"/>
        </w:rPr>
        <w:t xml:space="preserve"> </w:t>
      </w:r>
    </w:p>
    <w:p w14:paraId="6F57E6B7" w14:textId="77777777" w:rsidR="000B1DC8" w:rsidRPr="002010D1" w:rsidRDefault="000B1DC8" w:rsidP="000B1DC8">
      <w:pPr>
        <w:pStyle w:val="BodyCopy"/>
        <w:rPr>
          <w:spacing w:val="49"/>
        </w:rPr>
      </w:pPr>
      <w:r w:rsidRPr="002010D1">
        <w:rPr>
          <w:spacing w:val="-2"/>
        </w:rPr>
        <w:t>Any</w:t>
      </w:r>
      <w:r w:rsidRPr="002010D1">
        <w:rPr>
          <w:spacing w:val="13"/>
        </w:rPr>
        <w:t xml:space="preserve"> </w:t>
      </w:r>
      <w:r w:rsidRPr="002010D1">
        <w:t>dynamic</w:t>
      </w:r>
      <w:r w:rsidRPr="002010D1">
        <w:rPr>
          <w:spacing w:val="13"/>
        </w:rPr>
        <w:t xml:space="preserve"> </w:t>
      </w:r>
      <w:r w:rsidRPr="002010D1">
        <w:rPr>
          <w:spacing w:val="-2"/>
        </w:rPr>
        <w:t>or</w:t>
      </w:r>
      <w:r w:rsidRPr="002010D1">
        <w:rPr>
          <w:spacing w:val="13"/>
        </w:rPr>
        <w:t xml:space="preserve"> </w:t>
      </w:r>
      <w:r w:rsidRPr="002010D1">
        <w:t>provocative</w:t>
      </w:r>
      <w:r w:rsidRPr="002010D1">
        <w:rPr>
          <w:spacing w:val="13"/>
        </w:rPr>
        <w:t xml:space="preserve"> </w:t>
      </w:r>
      <w:r w:rsidRPr="002010D1">
        <w:t>test</w:t>
      </w:r>
      <w:r w:rsidRPr="002010D1">
        <w:rPr>
          <w:spacing w:val="12"/>
        </w:rPr>
        <w:t xml:space="preserve"> </w:t>
      </w:r>
      <w:r w:rsidRPr="002010D1">
        <w:rPr>
          <w:spacing w:val="-2"/>
        </w:rPr>
        <w:t>has</w:t>
      </w:r>
      <w:r w:rsidRPr="002010D1">
        <w:rPr>
          <w:spacing w:val="13"/>
        </w:rPr>
        <w:t xml:space="preserve"> </w:t>
      </w:r>
      <w:r w:rsidRPr="002010D1">
        <w:t>potential</w:t>
      </w:r>
      <w:r w:rsidRPr="002010D1">
        <w:rPr>
          <w:spacing w:val="12"/>
        </w:rPr>
        <w:t xml:space="preserve"> </w:t>
      </w:r>
      <w:r w:rsidRPr="002010D1">
        <w:rPr>
          <w:spacing w:val="-2"/>
        </w:rPr>
        <w:t>for</w:t>
      </w:r>
      <w:r w:rsidRPr="002010D1">
        <w:rPr>
          <w:spacing w:val="12"/>
        </w:rPr>
        <w:t xml:space="preserve"> </w:t>
      </w:r>
      <w:r w:rsidRPr="002010D1">
        <w:t>side</w:t>
      </w:r>
      <w:r w:rsidRPr="002010D1">
        <w:rPr>
          <w:spacing w:val="14"/>
        </w:rPr>
        <w:t xml:space="preserve"> </w:t>
      </w:r>
      <w:r w:rsidRPr="002010D1">
        <w:t>effects</w:t>
      </w:r>
      <w:r w:rsidRPr="002010D1">
        <w:rPr>
          <w:spacing w:val="12"/>
        </w:rPr>
        <w:t xml:space="preserve"> </w:t>
      </w:r>
      <w:r w:rsidRPr="002010D1">
        <w:rPr>
          <w:spacing w:val="-2"/>
        </w:rPr>
        <w:t>or</w:t>
      </w:r>
      <w:r w:rsidRPr="002010D1">
        <w:rPr>
          <w:spacing w:val="13"/>
        </w:rPr>
        <w:t xml:space="preserve"> </w:t>
      </w:r>
      <w:r w:rsidRPr="002010D1">
        <w:t>adverse</w:t>
      </w:r>
      <w:r w:rsidRPr="002010D1">
        <w:rPr>
          <w:spacing w:val="12"/>
        </w:rPr>
        <w:t xml:space="preserve"> </w:t>
      </w:r>
      <w:r w:rsidRPr="002010D1">
        <w:t>reactions.</w:t>
      </w:r>
      <w:r w:rsidRPr="002010D1">
        <w:rPr>
          <w:spacing w:val="13"/>
        </w:rPr>
        <w:t xml:space="preserve"> </w:t>
      </w:r>
      <w:r w:rsidRPr="002010D1">
        <w:t>These</w:t>
      </w:r>
      <w:r w:rsidRPr="002010D1">
        <w:rPr>
          <w:spacing w:val="12"/>
        </w:rPr>
        <w:t xml:space="preserve"> </w:t>
      </w:r>
      <w:r w:rsidRPr="002010D1">
        <w:t>are</w:t>
      </w:r>
      <w:r w:rsidRPr="002010D1">
        <w:rPr>
          <w:spacing w:val="75"/>
        </w:rPr>
        <w:t xml:space="preserve"> </w:t>
      </w:r>
      <w:r w:rsidRPr="002010D1">
        <w:t>uncommon</w:t>
      </w:r>
      <w:r w:rsidRPr="002010D1">
        <w:rPr>
          <w:spacing w:val="14"/>
        </w:rPr>
        <w:t xml:space="preserve"> </w:t>
      </w:r>
      <w:r w:rsidRPr="002010D1">
        <w:rPr>
          <w:spacing w:val="-2"/>
        </w:rPr>
        <w:t>in</w:t>
      </w:r>
      <w:r w:rsidRPr="002010D1">
        <w:rPr>
          <w:spacing w:val="14"/>
        </w:rPr>
        <w:t xml:space="preserve"> </w:t>
      </w:r>
      <w:r w:rsidRPr="002010D1">
        <w:t>experienced</w:t>
      </w:r>
      <w:r w:rsidRPr="002010D1">
        <w:rPr>
          <w:spacing w:val="14"/>
        </w:rPr>
        <w:t xml:space="preserve"> </w:t>
      </w:r>
      <w:r w:rsidRPr="002010D1">
        <w:t>hands</w:t>
      </w:r>
      <w:r w:rsidRPr="002010D1">
        <w:rPr>
          <w:spacing w:val="13"/>
        </w:rPr>
        <w:t xml:space="preserve"> </w:t>
      </w:r>
      <w:r w:rsidRPr="002010D1">
        <w:rPr>
          <w:spacing w:val="-2"/>
        </w:rPr>
        <w:t>with</w:t>
      </w:r>
      <w:r w:rsidRPr="002010D1">
        <w:rPr>
          <w:spacing w:val="14"/>
        </w:rPr>
        <w:t xml:space="preserve"> </w:t>
      </w:r>
      <w:r w:rsidRPr="002010D1">
        <w:t>appropriate</w:t>
      </w:r>
      <w:r w:rsidRPr="002010D1">
        <w:rPr>
          <w:spacing w:val="14"/>
        </w:rPr>
        <w:t xml:space="preserve"> </w:t>
      </w:r>
      <w:r w:rsidRPr="002010D1">
        <w:t>precautions</w:t>
      </w:r>
      <w:r w:rsidRPr="002010D1">
        <w:rPr>
          <w:spacing w:val="15"/>
        </w:rPr>
        <w:t xml:space="preserve"> </w:t>
      </w:r>
      <w:r w:rsidRPr="002010D1">
        <w:t>taken.</w:t>
      </w:r>
      <w:r w:rsidRPr="002010D1">
        <w:rPr>
          <w:spacing w:val="30"/>
        </w:rPr>
        <w:t xml:space="preserve"> </w:t>
      </w:r>
      <w:r w:rsidRPr="002010D1">
        <w:t>Precautions,</w:t>
      </w:r>
      <w:r w:rsidRPr="002010D1">
        <w:rPr>
          <w:spacing w:val="39"/>
        </w:rPr>
        <w:t xml:space="preserve"> </w:t>
      </w:r>
      <w:r w:rsidRPr="002010D1">
        <w:t>contraindications</w:t>
      </w:r>
      <w:r w:rsidRPr="002010D1">
        <w:rPr>
          <w:spacing w:val="42"/>
        </w:rPr>
        <w:t xml:space="preserve"> </w:t>
      </w:r>
      <w:r w:rsidRPr="002010D1">
        <w:rPr>
          <w:spacing w:val="-2"/>
        </w:rPr>
        <w:t>and</w:t>
      </w:r>
      <w:r w:rsidRPr="002010D1">
        <w:rPr>
          <w:spacing w:val="43"/>
        </w:rPr>
        <w:t xml:space="preserve"> </w:t>
      </w:r>
      <w:r w:rsidRPr="002010D1">
        <w:t>adverse</w:t>
      </w:r>
      <w:r w:rsidRPr="002010D1">
        <w:rPr>
          <w:spacing w:val="42"/>
        </w:rPr>
        <w:t xml:space="preserve"> </w:t>
      </w:r>
      <w:r w:rsidRPr="002010D1">
        <w:t>reactions</w:t>
      </w:r>
      <w:r w:rsidRPr="002010D1">
        <w:rPr>
          <w:spacing w:val="43"/>
        </w:rPr>
        <w:t xml:space="preserve"> </w:t>
      </w:r>
      <w:r w:rsidRPr="002010D1">
        <w:rPr>
          <w:spacing w:val="-2"/>
        </w:rPr>
        <w:t>are</w:t>
      </w:r>
      <w:r w:rsidRPr="002010D1">
        <w:rPr>
          <w:spacing w:val="43"/>
        </w:rPr>
        <w:t xml:space="preserve"> </w:t>
      </w:r>
      <w:r w:rsidRPr="002010D1">
        <w:t>outlined</w:t>
      </w:r>
      <w:r w:rsidRPr="002010D1">
        <w:rPr>
          <w:spacing w:val="42"/>
        </w:rPr>
        <w:t xml:space="preserve"> </w:t>
      </w:r>
      <w:r w:rsidRPr="002010D1">
        <w:rPr>
          <w:spacing w:val="-2"/>
        </w:rPr>
        <w:t>in</w:t>
      </w:r>
      <w:r w:rsidRPr="002010D1">
        <w:rPr>
          <w:spacing w:val="43"/>
        </w:rPr>
        <w:t xml:space="preserve"> </w:t>
      </w:r>
      <w:r w:rsidRPr="002010D1">
        <w:rPr>
          <w:spacing w:val="-2"/>
        </w:rPr>
        <w:t>the</w:t>
      </w:r>
      <w:r w:rsidRPr="002010D1">
        <w:rPr>
          <w:spacing w:val="42"/>
        </w:rPr>
        <w:t xml:space="preserve"> </w:t>
      </w:r>
      <w:r w:rsidRPr="002010D1">
        <w:t>protocols</w:t>
      </w:r>
      <w:r w:rsidRPr="002010D1">
        <w:rPr>
          <w:spacing w:val="43"/>
        </w:rPr>
        <w:t xml:space="preserve"> </w:t>
      </w:r>
      <w:r w:rsidRPr="002010D1">
        <w:rPr>
          <w:spacing w:val="-2"/>
        </w:rPr>
        <w:t>for</w:t>
      </w:r>
      <w:r w:rsidRPr="002010D1">
        <w:rPr>
          <w:spacing w:val="43"/>
        </w:rPr>
        <w:t xml:space="preserve"> </w:t>
      </w:r>
      <w:r w:rsidRPr="002010D1">
        <w:rPr>
          <w:spacing w:val="-2"/>
        </w:rPr>
        <w:t>each</w:t>
      </w:r>
      <w:r w:rsidRPr="002010D1">
        <w:rPr>
          <w:spacing w:val="42"/>
        </w:rPr>
        <w:t xml:space="preserve"> </w:t>
      </w:r>
      <w:r w:rsidRPr="002010D1">
        <w:t>test</w:t>
      </w:r>
      <w:r w:rsidRPr="002010D1">
        <w:rPr>
          <w:spacing w:val="43"/>
        </w:rPr>
        <w:t xml:space="preserve"> </w:t>
      </w:r>
      <w:r w:rsidRPr="002010D1">
        <w:rPr>
          <w:spacing w:val="-2"/>
        </w:rPr>
        <w:t>and</w:t>
      </w:r>
      <w:r w:rsidRPr="002010D1">
        <w:rPr>
          <w:spacing w:val="43"/>
        </w:rPr>
        <w:t xml:space="preserve"> </w:t>
      </w:r>
      <w:r w:rsidRPr="002010D1">
        <w:t>should</w:t>
      </w:r>
      <w:r w:rsidRPr="002010D1">
        <w:rPr>
          <w:spacing w:val="43"/>
        </w:rPr>
        <w:t xml:space="preserve"> </w:t>
      </w:r>
      <w:r w:rsidRPr="002010D1">
        <w:t>be</w:t>
      </w:r>
      <w:r w:rsidRPr="002010D1">
        <w:rPr>
          <w:spacing w:val="47"/>
        </w:rPr>
        <w:t xml:space="preserve"> </w:t>
      </w:r>
      <w:r w:rsidRPr="002010D1">
        <w:t>reviewed</w:t>
      </w:r>
      <w:r w:rsidRPr="002010D1">
        <w:rPr>
          <w:spacing w:val="-6"/>
        </w:rPr>
        <w:t xml:space="preserve"> </w:t>
      </w:r>
      <w:r w:rsidRPr="002010D1">
        <w:t>before</w:t>
      </w:r>
      <w:r w:rsidRPr="002010D1">
        <w:rPr>
          <w:spacing w:val="-6"/>
        </w:rPr>
        <w:t xml:space="preserve"> </w:t>
      </w:r>
      <w:r w:rsidRPr="002010D1">
        <w:t>each</w:t>
      </w:r>
      <w:r w:rsidRPr="002010D1">
        <w:rPr>
          <w:spacing w:val="-5"/>
        </w:rPr>
        <w:t xml:space="preserve"> </w:t>
      </w:r>
      <w:r w:rsidRPr="002010D1">
        <w:rPr>
          <w:spacing w:val="-2"/>
        </w:rPr>
        <w:t>test</w:t>
      </w:r>
      <w:r w:rsidRPr="002010D1">
        <w:rPr>
          <w:spacing w:val="-5"/>
        </w:rPr>
        <w:t xml:space="preserve"> </w:t>
      </w:r>
      <w:r w:rsidRPr="002010D1">
        <w:rPr>
          <w:spacing w:val="-2"/>
        </w:rPr>
        <w:t>is</w:t>
      </w:r>
      <w:r w:rsidRPr="002010D1">
        <w:rPr>
          <w:spacing w:val="-6"/>
        </w:rPr>
        <w:t xml:space="preserve"> </w:t>
      </w:r>
      <w:r w:rsidRPr="002010D1">
        <w:t>undertaken.</w:t>
      </w:r>
      <w:r w:rsidRPr="002010D1">
        <w:rPr>
          <w:spacing w:val="49"/>
        </w:rPr>
        <w:t xml:space="preserve"> </w:t>
      </w:r>
    </w:p>
    <w:p w14:paraId="5ED33564" w14:textId="77777777" w:rsidR="000B1DC8" w:rsidRPr="002010D1" w:rsidRDefault="000B1DC8" w:rsidP="000B1DC8">
      <w:pPr>
        <w:pStyle w:val="BodyCopy"/>
      </w:pPr>
      <w:r w:rsidRPr="002010D1">
        <w:t>Important</w:t>
      </w:r>
      <w:r w:rsidRPr="002010D1">
        <w:rPr>
          <w:spacing w:val="-5"/>
        </w:rPr>
        <w:t xml:space="preserve"> </w:t>
      </w:r>
      <w:r w:rsidRPr="002010D1">
        <w:t>adverse</w:t>
      </w:r>
      <w:r w:rsidRPr="002010D1">
        <w:rPr>
          <w:spacing w:val="-5"/>
        </w:rPr>
        <w:t xml:space="preserve"> </w:t>
      </w:r>
      <w:r w:rsidRPr="002010D1">
        <w:t>reactions</w:t>
      </w:r>
      <w:r w:rsidRPr="002010D1">
        <w:rPr>
          <w:spacing w:val="-6"/>
        </w:rPr>
        <w:t xml:space="preserve"> </w:t>
      </w:r>
      <w:r w:rsidRPr="002010D1">
        <w:rPr>
          <w:spacing w:val="-2"/>
        </w:rPr>
        <w:t>in</w:t>
      </w:r>
      <w:r w:rsidRPr="002010D1">
        <w:rPr>
          <w:spacing w:val="-4"/>
        </w:rPr>
        <w:t xml:space="preserve"> </w:t>
      </w:r>
      <w:r w:rsidRPr="002010D1">
        <w:t>various</w:t>
      </w:r>
      <w:r w:rsidRPr="002010D1">
        <w:rPr>
          <w:spacing w:val="-5"/>
        </w:rPr>
        <w:t xml:space="preserve"> </w:t>
      </w:r>
      <w:r w:rsidRPr="002010D1">
        <w:t>tests</w:t>
      </w:r>
      <w:r w:rsidRPr="002010D1">
        <w:rPr>
          <w:spacing w:val="-6"/>
        </w:rPr>
        <w:t xml:space="preserve"> </w:t>
      </w:r>
      <w:r w:rsidRPr="002010D1">
        <w:t>include:</w:t>
      </w:r>
    </w:p>
    <w:p w14:paraId="67B4385C" w14:textId="0D9A5BD4" w:rsidR="000B1DC8" w:rsidRPr="00A67370" w:rsidRDefault="000B1DC8" w:rsidP="000B1DC8">
      <w:pPr>
        <w:pStyle w:val="Bullet"/>
      </w:pPr>
      <w:r>
        <w:t xml:space="preserve">cannula related complications, e.g., blood loss, infection </w:t>
      </w:r>
    </w:p>
    <w:p w14:paraId="07E30501" w14:textId="75C193C7" w:rsidR="000B1DC8" w:rsidRPr="00A67370" w:rsidRDefault="000B1DC8" w:rsidP="000B1DC8">
      <w:pPr>
        <w:pStyle w:val="Bullet"/>
      </w:pPr>
      <w:r>
        <w:t xml:space="preserve">minor reactions to provocative agents, e.g., nausea and vomiting </w:t>
      </w:r>
    </w:p>
    <w:p w14:paraId="2B43BA33" w14:textId="77777777" w:rsidR="000B1DC8" w:rsidRPr="00A67370" w:rsidRDefault="000B1DC8" w:rsidP="000B1DC8">
      <w:pPr>
        <w:pStyle w:val="Bullet"/>
      </w:pPr>
      <w:r>
        <w:t>dehydration</w:t>
      </w:r>
    </w:p>
    <w:p w14:paraId="604B1144" w14:textId="77777777" w:rsidR="000B1DC8" w:rsidRPr="00A67370" w:rsidRDefault="000B1DC8" w:rsidP="000B1DC8">
      <w:pPr>
        <w:pStyle w:val="Bullet"/>
      </w:pPr>
      <w:r>
        <w:t>hypotension</w:t>
      </w:r>
    </w:p>
    <w:p w14:paraId="3AE23645" w14:textId="77777777" w:rsidR="000B1DC8" w:rsidRPr="00A67370" w:rsidRDefault="000B1DC8" w:rsidP="000B1DC8">
      <w:pPr>
        <w:pStyle w:val="Bullet"/>
      </w:pPr>
      <w:r>
        <w:t xml:space="preserve">hypoglycaemia </w:t>
      </w:r>
    </w:p>
    <w:p w14:paraId="1348C35F" w14:textId="77777777" w:rsidR="000B1DC8" w:rsidRPr="00A67370" w:rsidRDefault="000B1DC8" w:rsidP="000B1DC8">
      <w:pPr>
        <w:pStyle w:val="Bullet"/>
      </w:pPr>
      <w:r>
        <w:t>allergic or anaphylactic reaction to a provocative agent.</w:t>
      </w:r>
    </w:p>
    <w:p w14:paraId="4B7C95DE" w14:textId="5DEDCB05" w:rsidR="000B1DC8" w:rsidRPr="002010D1" w:rsidRDefault="000B1DC8" w:rsidP="000B1DC8">
      <w:pPr>
        <w:pStyle w:val="BodyCopy"/>
      </w:pPr>
      <w:r w:rsidRPr="002010D1">
        <w:rPr>
          <w:spacing w:val="-2"/>
        </w:rPr>
        <w:t>To</w:t>
      </w:r>
      <w:r w:rsidRPr="002010D1">
        <w:rPr>
          <w:spacing w:val="-6"/>
        </w:rPr>
        <w:t xml:space="preserve"> </w:t>
      </w:r>
      <w:r w:rsidRPr="002010D1">
        <w:t>minimi</w:t>
      </w:r>
      <w:r>
        <w:t>s</w:t>
      </w:r>
      <w:r w:rsidRPr="002010D1">
        <w:t>e</w:t>
      </w:r>
      <w:r w:rsidRPr="002010D1">
        <w:rPr>
          <w:spacing w:val="-4"/>
        </w:rPr>
        <w:t xml:space="preserve"> </w:t>
      </w:r>
      <w:r w:rsidRPr="002010D1">
        <w:t>potential</w:t>
      </w:r>
      <w:r w:rsidRPr="002010D1">
        <w:rPr>
          <w:spacing w:val="-5"/>
        </w:rPr>
        <w:t xml:space="preserve"> </w:t>
      </w:r>
      <w:r w:rsidRPr="002010D1">
        <w:t>adverse</w:t>
      </w:r>
      <w:r w:rsidRPr="002010D1">
        <w:rPr>
          <w:spacing w:val="-6"/>
        </w:rPr>
        <w:t xml:space="preserve"> </w:t>
      </w:r>
      <w:r w:rsidRPr="002010D1">
        <w:t>events</w:t>
      </w:r>
      <w:r w:rsidRPr="002010D1">
        <w:rPr>
          <w:spacing w:val="-4"/>
        </w:rPr>
        <w:t xml:space="preserve"> </w:t>
      </w:r>
      <w:r w:rsidRPr="002010D1">
        <w:rPr>
          <w:spacing w:val="-2"/>
        </w:rPr>
        <w:t>the</w:t>
      </w:r>
      <w:r w:rsidRPr="002010D1">
        <w:rPr>
          <w:spacing w:val="-4"/>
        </w:rPr>
        <w:t xml:space="preserve"> </w:t>
      </w:r>
      <w:r w:rsidRPr="002010D1">
        <w:t>following</w:t>
      </w:r>
      <w:r w:rsidRPr="002010D1">
        <w:rPr>
          <w:spacing w:val="-5"/>
        </w:rPr>
        <w:t xml:space="preserve"> </w:t>
      </w:r>
      <w:r w:rsidRPr="002010D1">
        <w:t>should</w:t>
      </w:r>
      <w:r w:rsidRPr="002010D1">
        <w:rPr>
          <w:spacing w:val="-6"/>
        </w:rPr>
        <w:t xml:space="preserve"> </w:t>
      </w:r>
      <w:r w:rsidRPr="002010D1">
        <w:rPr>
          <w:spacing w:val="-2"/>
        </w:rPr>
        <w:t>be</w:t>
      </w:r>
      <w:r w:rsidRPr="002010D1">
        <w:rPr>
          <w:spacing w:val="-4"/>
        </w:rPr>
        <w:t xml:space="preserve"> </w:t>
      </w:r>
      <w:r w:rsidRPr="002010D1">
        <w:t>considered:</w:t>
      </w:r>
    </w:p>
    <w:p w14:paraId="058E46E9" w14:textId="77777777" w:rsidR="000B1DC8" w:rsidRPr="00A67370" w:rsidRDefault="000B1DC8" w:rsidP="000B1DC8">
      <w:pPr>
        <w:pStyle w:val="Bullet"/>
      </w:pPr>
      <w:r>
        <w:t>Tests should only be performed and supervised by experienced personnel (see definition under “Scope” below).</w:t>
      </w:r>
    </w:p>
    <w:p w14:paraId="3E430347" w14:textId="5B0A23A1" w:rsidR="000B1DC8" w:rsidRPr="00A67370" w:rsidRDefault="000B1DC8" w:rsidP="000B1DC8">
      <w:pPr>
        <w:pStyle w:val="Bullet"/>
      </w:pPr>
      <w:r>
        <w:t xml:space="preserve">All Endocrine Dynamic Tests are to be performed within the Endocrine </w:t>
      </w:r>
      <w:r w:rsidR="00844B38">
        <w:t>U</w:t>
      </w:r>
      <w:r>
        <w:t xml:space="preserve">nit or inpatient </w:t>
      </w:r>
      <w:r w:rsidR="00844B38">
        <w:t>w</w:t>
      </w:r>
      <w:r>
        <w:t>ard (with exception of the Short Synacthen Test, Oral Glucose Tolerance Test and Low Dose Dexamethasone Test).</w:t>
      </w:r>
    </w:p>
    <w:p w14:paraId="2BE1A232" w14:textId="0C07E02B" w:rsidR="000B1DC8" w:rsidRPr="00A67370" w:rsidRDefault="000B1DC8" w:rsidP="000B1DC8">
      <w:pPr>
        <w:pStyle w:val="Bullet"/>
      </w:pPr>
      <w:r>
        <w:t>Staff must have detailed knowledge of the particular test protocol and provocative agents. Speciali</w:t>
      </w:r>
      <w:r w:rsidR="00183463">
        <w:t>s</w:t>
      </w:r>
      <w:r>
        <w:t>ed nursing/medical staff familiar with these tests is essential if they are to be performed safely and give accurate results.</w:t>
      </w:r>
    </w:p>
    <w:p w14:paraId="0A18251E" w14:textId="77777777" w:rsidR="000B1DC8" w:rsidRPr="00A67370" w:rsidRDefault="000B1DC8" w:rsidP="000B1DC8">
      <w:pPr>
        <w:pStyle w:val="Bullet"/>
      </w:pPr>
      <w:r>
        <w:t>Tests must be performed in an environment where emergency resuscitation facilities and experience are available. Deaths and serious morbidity can occur.</w:t>
      </w:r>
    </w:p>
    <w:p w14:paraId="5B54B847" w14:textId="77777777" w:rsidR="000B1DC8" w:rsidRPr="00A67370" w:rsidRDefault="000B1DC8" w:rsidP="000B1DC8">
      <w:pPr>
        <w:pStyle w:val="Bullet"/>
      </w:pPr>
      <w:r>
        <w:lastRenderedPageBreak/>
        <w:t>It may be necessary to adjust protocols for particular individuals or circumstances, and the same protocol cannot automatically be safely applied to all patients. Prior to the test, consideration should be given to any particular customisation or precautions required for the individual patient. This should be discussed with the consultant concerned or a Senior Endocrine Specialty Registrar (Advanced Trainee).</w:t>
      </w:r>
    </w:p>
    <w:p w14:paraId="5C2E6777" w14:textId="77777777" w:rsidR="000B1DC8" w:rsidRPr="00A67370" w:rsidRDefault="000B1DC8" w:rsidP="000B1DC8">
      <w:pPr>
        <w:pStyle w:val="Bullet"/>
      </w:pPr>
      <w:r>
        <w:t>Appropriate laboratory back-up is essential, particularly for tests involving fasting, hypoglycaemia or water deprivation. Facilities are required for immediate results.</w:t>
      </w:r>
    </w:p>
    <w:p w14:paraId="7B441ABE" w14:textId="77777777" w:rsidR="000B1DC8" w:rsidRPr="00A67370" w:rsidRDefault="000B1DC8" w:rsidP="000B1DC8">
      <w:pPr>
        <w:pStyle w:val="Bullet"/>
      </w:pPr>
      <w:r>
        <w:t>A medical officer must always be readily available, and in certain tests (e.g., Insulin Tolerance Tests) must be immediately available in the Endocrine Unit/ward.</w:t>
      </w:r>
    </w:p>
    <w:p w14:paraId="7EC2D50B" w14:textId="77777777" w:rsidR="000B1DC8" w:rsidRPr="00A67370" w:rsidRDefault="000B1DC8" w:rsidP="000B1DC8">
      <w:pPr>
        <w:pStyle w:val="Bullet"/>
      </w:pPr>
      <w:r>
        <w:t>Intravenous cannulas must be placed by experienced personnel.</w:t>
      </w:r>
    </w:p>
    <w:p w14:paraId="645BF5E9" w14:textId="09D8B7AB" w:rsidR="00481A6C" w:rsidRDefault="00000000" w:rsidP="00481A6C">
      <w:pPr>
        <w:pStyle w:val="BodyCopy"/>
        <w:rPr>
          <w:rStyle w:val="Hyperlink"/>
          <w:iCs w:val="0"/>
        </w:rPr>
      </w:pPr>
      <w:hyperlink w:anchor="_top" w:history="1">
        <w:r w:rsidR="00481A6C" w:rsidRPr="00481A6C">
          <w:rPr>
            <w:rStyle w:val="Hyperlink"/>
            <w:iCs w:val="0"/>
          </w:rPr>
          <w:t>Back to Contents</w:t>
        </w:r>
      </w:hyperlink>
    </w:p>
    <w:p w14:paraId="36F5C748" w14:textId="77777777" w:rsidR="003254E1" w:rsidRDefault="003254E1" w:rsidP="003254E1">
      <w:pPr>
        <w:pStyle w:val="Heading4"/>
      </w:pPr>
      <w:bookmarkStart w:id="3" w:name="_Toc177472814"/>
      <w:r>
        <w:t>Scope</w:t>
      </w:r>
      <w:bookmarkEnd w:id="3"/>
    </w:p>
    <w:p w14:paraId="417E89DD" w14:textId="32466232" w:rsidR="00844B38" w:rsidRPr="002010D1" w:rsidRDefault="00844B38" w:rsidP="00844B38">
      <w:r w:rsidRPr="002010D1">
        <w:t xml:space="preserve">This document applies to adult and adolescent (age 16 years and over) patients undergoing investigation for </w:t>
      </w:r>
      <w:r>
        <w:t>e</w:t>
      </w:r>
      <w:r w:rsidRPr="002010D1">
        <w:t xml:space="preserve">ndocrine and metabolic disorders at </w:t>
      </w:r>
      <w:r w:rsidR="007E2466">
        <w:t>Canberra Hospital</w:t>
      </w:r>
      <w:r w:rsidRPr="002010D1">
        <w:t>.</w:t>
      </w:r>
    </w:p>
    <w:p w14:paraId="5A80D867" w14:textId="669D8258" w:rsidR="00844B38" w:rsidRPr="002010D1" w:rsidRDefault="00844B38" w:rsidP="00844B38">
      <w:r w:rsidRPr="002010D1">
        <w:t xml:space="preserve">Patients must be referred by an Endocrinology </w:t>
      </w:r>
      <w:r>
        <w:t>C</w:t>
      </w:r>
      <w:r w:rsidRPr="002010D1">
        <w:t>onsultant or Endocrinology Registrar</w:t>
      </w:r>
      <w:r>
        <w:t xml:space="preserve">, with the </w:t>
      </w:r>
      <w:r w:rsidRPr="002010D1">
        <w:t>exception</w:t>
      </w:r>
      <w:r>
        <w:t xml:space="preserve"> of </w:t>
      </w:r>
      <w:r w:rsidRPr="002010D1">
        <w:t>Short Synacthen Test</w:t>
      </w:r>
      <w:r>
        <w:t>s which</w:t>
      </w:r>
      <w:r w:rsidRPr="002010D1">
        <w:t xml:space="preserve"> can be referred by other medical officers and General Practitioners. </w:t>
      </w:r>
    </w:p>
    <w:p w14:paraId="7DFD10D6" w14:textId="77777777" w:rsidR="00844B38" w:rsidRPr="002010D1" w:rsidRDefault="00844B38" w:rsidP="00844B38">
      <w:pPr>
        <w:pStyle w:val="BodyCopy"/>
      </w:pPr>
      <w:r w:rsidRPr="002010D1">
        <w:t>Dynamic Endocrinology Tests are only to be performed by:</w:t>
      </w:r>
    </w:p>
    <w:p w14:paraId="707BCE29" w14:textId="1EB5910B" w:rsidR="00844B38" w:rsidRPr="00A67370" w:rsidRDefault="00844B38" w:rsidP="00844B38">
      <w:pPr>
        <w:pStyle w:val="Bullet"/>
      </w:pPr>
      <w:r>
        <w:t>Registered Nurse Level 2 assessed as competent in Dynamic Endocrine Testing</w:t>
      </w:r>
    </w:p>
    <w:p w14:paraId="58A0F4CD" w14:textId="77777777" w:rsidR="00844B38" w:rsidRPr="002010D1" w:rsidRDefault="00844B38" w:rsidP="00844B38">
      <w:pPr>
        <w:pStyle w:val="Bullet"/>
      </w:pPr>
      <w:r>
        <w:t xml:space="preserve">Medical officers working within the Endocrine Unit. </w:t>
      </w:r>
    </w:p>
    <w:p w14:paraId="6B2A498E" w14:textId="77777777" w:rsidR="00844B38" w:rsidRPr="00A67370" w:rsidRDefault="00844B38" w:rsidP="00844B38">
      <w:pPr>
        <w:pStyle w:val="Heading5"/>
      </w:pPr>
      <w:r w:rsidRPr="00A67370">
        <w:t>Exceptions</w:t>
      </w:r>
    </w:p>
    <w:p w14:paraId="5054C3F2" w14:textId="102E4F36" w:rsidR="00844B38" w:rsidRPr="002010D1" w:rsidRDefault="00844B38" w:rsidP="00844B38">
      <w:r w:rsidRPr="002010D1">
        <w:t xml:space="preserve">Short Synacthen Test - this may be performed by other medical officers under the guidance of a senior Endocrine Trainee Registrar or Endocrine Consultant, or a Registered Nurse Level 2 </w:t>
      </w:r>
      <w:r>
        <w:t>assessed</w:t>
      </w:r>
      <w:r w:rsidRPr="002010D1">
        <w:t xml:space="preserve"> </w:t>
      </w:r>
      <w:r>
        <w:t xml:space="preserve">as </w:t>
      </w:r>
      <w:r w:rsidRPr="002010D1">
        <w:t>competent in Endocrine Dynamic Testing.</w:t>
      </w:r>
    </w:p>
    <w:p w14:paraId="520E228E" w14:textId="77777777" w:rsidR="003254E1" w:rsidRPr="003254E1" w:rsidRDefault="00000000" w:rsidP="003254E1">
      <w:pPr>
        <w:pStyle w:val="BodyCopy"/>
        <w:spacing w:before="240"/>
      </w:pPr>
      <w:hyperlink w:anchor="_top" w:history="1">
        <w:r w:rsidR="003254E1" w:rsidRPr="00481A6C">
          <w:rPr>
            <w:rStyle w:val="Hyperlink"/>
            <w:iCs w:val="0"/>
          </w:rPr>
          <w:t>Back to Contents</w:t>
        </w:r>
      </w:hyperlink>
    </w:p>
    <w:p w14:paraId="03508DA3" w14:textId="5AACBE70" w:rsidR="0078367D" w:rsidRDefault="0078367D" w:rsidP="00197F2E">
      <w:pPr>
        <w:pStyle w:val="Heading4"/>
      </w:pPr>
      <w:bookmarkStart w:id="4" w:name="_Toc177472815"/>
      <w:r>
        <w:t xml:space="preserve">Section 1 </w:t>
      </w:r>
      <w:r w:rsidR="00844B38">
        <w:t>–</w:t>
      </w:r>
      <w:r>
        <w:t xml:space="preserve"> </w:t>
      </w:r>
      <w:r w:rsidR="00844B38">
        <w:t>Background information</w:t>
      </w:r>
      <w:bookmarkEnd w:id="4"/>
    </w:p>
    <w:p w14:paraId="03C447F3" w14:textId="77777777" w:rsidR="00844B38" w:rsidRPr="002010D1" w:rsidRDefault="00844B38" w:rsidP="00844B38">
      <w:r w:rsidRPr="002010D1">
        <w:t>Basal or unstimulated hormone levels frequently do not provide sufficient diagnostic information in the investigation of endocrine and metabolic disorders. A range of dynamic or provocative tests are available to assess the dynamic responses of hormonal and metabolic axes. These tests may involve:</w:t>
      </w:r>
    </w:p>
    <w:p w14:paraId="1C08D4E6" w14:textId="2F4BFE8B" w:rsidR="00844B38" w:rsidRPr="00A67370" w:rsidRDefault="00844B38" w:rsidP="00844B38">
      <w:pPr>
        <w:pStyle w:val="Numberedlist"/>
      </w:pPr>
      <w:r w:rsidRPr="00A67370">
        <w:t>Stimulation of a hormonal axis by releasing hormones or other agents</w:t>
      </w:r>
      <w:r>
        <w:t>,</w:t>
      </w:r>
      <w:r w:rsidRPr="00A67370">
        <w:t xml:space="preserve"> e.g.,</w:t>
      </w:r>
      <w:r w:rsidRPr="005F5149">
        <w:t xml:space="preserve"> </w:t>
      </w:r>
      <w:r>
        <w:t>T</w:t>
      </w:r>
      <w:r w:rsidRPr="00943FFC">
        <w:t>etracosactide</w:t>
      </w:r>
      <w:r>
        <w:t xml:space="preserve"> (tetracosactrin)</w:t>
      </w:r>
      <w:r w:rsidRPr="00A67370">
        <w:t>, to stimulate release of cortisol from adrenal glands</w:t>
      </w:r>
      <w:r>
        <w:t>.</w:t>
      </w:r>
    </w:p>
    <w:p w14:paraId="19DC480F" w14:textId="34CD7F41" w:rsidR="00844B38" w:rsidRPr="00A67370" w:rsidRDefault="00844B38" w:rsidP="00844B38">
      <w:pPr>
        <w:pStyle w:val="Numberedlist"/>
      </w:pPr>
      <w:r w:rsidRPr="00A67370">
        <w:t>Attempted suppression of a hormonal system</w:t>
      </w:r>
      <w:r>
        <w:t>,</w:t>
      </w:r>
      <w:r w:rsidRPr="00A67370">
        <w:t xml:space="preserve"> e.g., suppression of cortisol production by dexamethasone in a dexamethasone suppression test</w:t>
      </w:r>
      <w:r>
        <w:t>.</w:t>
      </w:r>
    </w:p>
    <w:p w14:paraId="32C52C62" w14:textId="4A979DC1" w:rsidR="00844B38" w:rsidRPr="002010D1" w:rsidRDefault="00844B38" w:rsidP="00844B38">
      <w:pPr>
        <w:pStyle w:val="Numberedlist"/>
      </w:pPr>
      <w:r w:rsidRPr="00A67370">
        <w:lastRenderedPageBreak/>
        <w:t>Physiological stimulation of a hormonal system or challenge of a metabolic or hormonal</w:t>
      </w:r>
      <w:r w:rsidRPr="002010D1">
        <w:t xml:space="preserve"> system</w:t>
      </w:r>
      <w:r>
        <w:t>,</w:t>
      </w:r>
      <w:r w:rsidRPr="002010D1">
        <w:t xml:space="preserve"> e.g., water deprivation to assess water regulation within the body.</w:t>
      </w:r>
    </w:p>
    <w:p w14:paraId="4D610A7B" w14:textId="358BD758" w:rsidR="00844B38" w:rsidRPr="00A67370" w:rsidRDefault="00844B38" w:rsidP="00844B38">
      <w:pPr>
        <w:pStyle w:val="Heading5"/>
      </w:pPr>
      <w:r w:rsidRPr="00A67370">
        <w:t>Blood Sampling</w:t>
      </w:r>
    </w:p>
    <w:p w14:paraId="1EDBE97A" w14:textId="77777777" w:rsidR="00844B38" w:rsidRPr="00A67370" w:rsidRDefault="00844B38" w:rsidP="00844B38">
      <w:pPr>
        <w:pStyle w:val="Bullet"/>
      </w:pPr>
      <w:r>
        <w:t xml:space="preserve">Most tests require the insertion of one IV cannula through which provocative agents are administered and/or periodic blood samples drawn. A large vein in the cubital fossa is the preferred insertion site. Occasionally separate infusion and sampling cannulas are required or desirable. Butterfly needles are useful for single samples but are not recommended where multiple samples are to be taken. </w:t>
      </w:r>
    </w:p>
    <w:p w14:paraId="7598AA29" w14:textId="69F54A64" w:rsidR="00844B38" w:rsidRPr="00A67370" w:rsidRDefault="00844B38" w:rsidP="00844B38">
      <w:pPr>
        <w:pStyle w:val="Bullet"/>
      </w:pPr>
      <w:r>
        <w:t xml:space="preserve">All samples are drawn using aseptic technique (refer to the </w:t>
      </w:r>
      <w:r w:rsidRPr="00BC325D">
        <w:rPr>
          <w:i/>
          <w:iCs/>
        </w:rPr>
        <w:t>Aseptic Technique Procedure</w:t>
      </w:r>
      <w:r>
        <w:t xml:space="preserve">). </w:t>
      </w:r>
    </w:p>
    <w:p w14:paraId="7CC4D39D" w14:textId="77777777" w:rsidR="00844B38" w:rsidRPr="00A67370" w:rsidRDefault="00844B38" w:rsidP="00844B38">
      <w:pPr>
        <w:pStyle w:val="Bullet"/>
      </w:pPr>
      <w:r>
        <w:t>Gloves should be worn for protection as standard practice.</w:t>
      </w:r>
    </w:p>
    <w:p w14:paraId="25F71D75" w14:textId="38B21DDC" w:rsidR="00844B38" w:rsidRPr="002010D1" w:rsidRDefault="00844B38" w:rsidP="00844B38">
      <w:pPr>
        <w:pStyle w:val="Bullet"/>
      </w:pPr>
      <w:r>
        <w:t xml:space="preserve">When sampling from cannulas it is imperative that sufficient void volume (“drawback and discard”) be removed before the blood sample for analysis is collected otherwise the sample will be diluted and results </w:t>
      </w:r>
      <w:r w:rsidR="000824C9">
        <w:t xml:space="preserve">will be </w:t>
      </w:r>
      <w:r>
        <w:t>inaccurate. 5mL fluid should be withdrawn and discarded prior to drawing of the blood sample. Cannulas should be flushed with 0.9% Sodium Chloride.</w:t>
      </w:r>
    </w:p>
    <w:p w14:paraId="54F41C21" w14:textId="50D129D4" w:rsidR="00844B38" w:rsidRPr="002010D1" w:rsidRDefault="00844B38" w:rsidP="00844B38">
      <w:pPr>
        <w:pStyle w:val="Heading5"/>
      </w:pPr>
      <w:r w:rsidRPr="002010D1">
        <w:t xml:space="preserve">Specimen </w:t>
      </w:r>
      <w:r w:rsidRPr="002010D1">
        <w:rPr>
          <w:spacing w:val="-3"/>
        </w:rPr>
        <w:t>collection</w:t>
      </w:r>
      <w:r w:rsidRPr="002010D1">
        <w:rPr>
          <w:spacing w:val="-5"/>
        </w:rPr>
        <w:t xml:space="preserve"> </w:t>
      </w:r>
      <w:r w:rsidRPr="002010D1">
        <w:t>requirements</w:t>
      </w:r>
    </w:p>
    <w:p w14:paraId="33E80743" w14:textId="77777777" w:rsidR="00844B38" w:rsidRPr="00A67370" w:rsidRDefault="00844B38" w:rsidP="00844B38">
      <w:pPr>
        <w:pStyle w:val="Bullet"/>
      </w:pPr>
      <w:r>
        <w:t xml:space="preserve">Specimens should be collected, stored and transported according to the instructions specified in the </w:t>
      </w:r>
      <w:r w:rsidRPr="000824C9">
        <w:rPr>
          <w:i/>
          <w:iCs/>
        </w:rPr>
        <w:t>Procedure Catalogue</w:t>
      </w:r>
      <w:r>
        <w:t xml:space="preserve"> in the Digital Health Record (DHR) system for each individual test.</w:t>
      </w:r>
    </w:p>
    <w:p w14:paraId="676B770B" w14:textId="1D65AFAB" w:rsidR="00844B38" w:rsidRPr="00A67370" w:rsidRDefault="00844B38" w:rsidP="00844B38">
      <w:pPr>
        <w:pStyle w:val="Bullet"/>
      </w:pPr>
      <w:r>
        <w:t xml:space="preserve">A dynamic order should be placed in the DHR. </w:t>
      </w:r>
      <w:r w:rsidRPr="00BC325D">
        <w:t xml:space="preserve">All dynamic tests follow the same ordering workflow whereby once an order is placed, the system triggers separate individual orders for collection pertaining to the time points. Refer to the document </w:t>
      </w:r>
      <w:r w:rsidRPr="006E076B">
        <w:rPr>
          <w:i/>
          <w:iCs/>
        </w:rPr>
        <w:t xml:space="preserve">Endocrine Dynamic </w:t>
      </w:r>
      <w:r w:rsidR="000824C9">
        <w:rPr>
          <w:i/>
          <w:iCs/>
        </w:rPr>
        <w:t>T</w:t>
      </w:r>
      <w:r w:rsidRPr="006E076B">
        <w:rPr>
          <w:i/>
          <w:iCs/>
        </w:rPr>
        <w:t>esting QSG for Endocrinology &amp; Pathology</w:t>
      </w:r>
      <w:r>
        <w:rPr>
          <w:i/>
          <w:iCs/>
        </w:rPr>
        <w:t xml:space="preserve"> </w:t>
      </w:r>
      <w:r w:rsidRPr="00BC325D">
        <w:t>in</w:t>
      </w:r>
      <w:r>
        <w:t xml:space="preserve"> the</w:t>
      </w:r>
      <w:r w:rsidRPr="00BC325D">
        <w:t xml:space="preserve"> DHR.</w:t>
      </w:r>
      <w:r w:rsidRPr="00F050A9">
        <w:t xml:space="preserve"> Samples should </w:t>
      </w:r>
      <w:r>
        <w:t xml:space="preserve">be documented on the </w:t>
      </w:r>
      <w:r w:rsidRPr="000824C9">
        <w:rPr>
          <w:i/>
          <w:iCs/>
        </w:rPr>
        <w:t>Endocrine Test</w:t>
      </w:r>
      <w:r w:rsidRPr="00F050A9">
        <w:t xml:space="preserve"> Form </w:t>
      </w:r>
      <w:r>
        <w:t>(A</w:t>
      </w:r>
      <w:r w:rsidRPr="00F050A9">
        <w:t xml:space="preserve">ttachment </w:t>
      </w:r>
      <w:r w:rsidR="00B454FE">
        <w:t>1</w:t>
      </w:r>
      <w:r>
        <w:t>, form no.40290 on the Clinical Forms Register</w:t>
      </w:r>
      <w:r w:rsidRPr="00F050A9">
        <w:t xml:space="preserve">) </w:t>
      </w:r>
      <w:r>
        <w:t xml:space="preserve">with a </w:t>
      </w:r>
      <w:r w:rsidRPr="00F050A9">
        <w:t xml:space="preserve">copy to </w:t>
      </w:r>
      <w:r>
        <w:t>P</w:t>
      </w:r>
      <w:r w:rsidRPr="00F050A9">
        <w:t>athology</w:t>
      </w:r>
      <w:r>
        <w:t xml:space="preserve"> and</w:t>
      </w:r>
      <w:r w:rsidRPr="00F050A9">
        <w:t xml:space="preserve"> original </w:t>
      </w:r>
      <w:r>
        <w:t>scanned in to the patient’s clinical record in DHR</w:t>
      </w:r>
      <w:r w:rsidRPr="00F050A9">
        <w:t>.</w:t>
      </w:r>
    </w:p>
    <w:p w14:paraId="20C2DBCE" w14:textId="77777777" w:rsidR="00844B38" w:rsidRPr="00A67370" w:rsidRDefault="00844B38" w:rsidP="00844B38">
      <w:pPr>
        <w:pStyle w:val="Bullet"/>
      </w:pPr>
      <w:r>
        <w:t>All patients attending the Endocrine Unit for invasive procedures or for procedures requiring administration of diagnostic IV drugs are admitted as Day Stay patients and require informed written consent. Exception: Short Synacthen Test and Glucose Tolerance Test where informed verbal consent is obtained and documented.</w:t>
      </w:r>
    </w:p>
    <w:p w14:paraId="6E773C82" w14:textId="77777777" w:rsidR="00844B38" w:rsidRPr="00A67370" w:rsidRDefault="00844B38" w:rsidP="00844B38">
      <w:pPr>
        <w:pStyle w:val="Bullet"/>
      </w:pPr>
      <w:r>
        <w:t>All tests must be done under basal conditions.</w:t>
      </w:r>
    </w:p>
    <w:p w14:paraId="6F593CC9" w14:textId="77777777" w:rsidR="00844B38" w:rsidRPr="00A67370" w:rsidRDefault="00844B38" w:rsidP="00844B38">
      <w:pPr>
        <w:pStyle w:val="Bullet"/>
      </w:pPr>
      <w:r>
        <w:t>30 minutes initial rest (laying or comfortably sitting) is essential.</w:t>
      </w:r>
    </w:p>
    <w:p w14:paraId="4D7DEB12" w14:textId="77777777" w:rsidR="00844B38" w:rsidRPr="00A67370" w:rsidRDefault="00844B38" w:rsidP="00844B38">
      <w:pPr>
        <w:pStyle w:val="Bullet"/>
      </w:pPr>
      <w:r>
        <w:t>IV cannula, if required, is to be inserted at the start of the initial rest period.</w:t>
      </w:r>
    </w:p>
    <w:p w14:paraId="72AFFBB6" w14:textId="77777777" w:rsidR="00844B38" w:rsidRPr="00A67370" w:rsidRDefault="00844B38" w:rsidP="00844B38">
      <w:pPr>
        <w:pStyle w:val="Bullet"/>
      </w:pPr>
      <w:r>
        <w:t>Morning test times are essential for most tests and preferable for all.</w:t>
      </w:r>
    </w:p>
    <w:p w14:paraId="64585DB7" w14:textId="77777777" w:rsidR="00844B38" w:rsidRPr="00A67370" w:rsidRDefault="00844B38" w:rsidP="00844B38">
      <w:pPr>
        <w:pStyle w:val="Bullet"/>
      </w:pPr>
      <w:r>
        <w:t>Inform Endocrine Laboratory at ACT Pathology at least 24 hours ahead of time regarding scheduled tests.</w:t>
      </w:r>
    </w:p>
    <w:p w14:paraId="2D102533" w14:textId="77777777" w:rsidR="00844B38" w:rsidRDefault="00844B38" w:rsidP="00844B38">
      <w:pPr>
        <w:pStyle w:val="Bullet"/>
      </w:pPr>
      <w:r>
        <w:t>Notify Endocrine Consultant/Registrar immediately in the event of adverse reactions.</w:t>
      </w:r>
    </w:p>
    <w:p w14:paraId="24177373" w14:textId="77777777" w:rsidR="00481A6C" w:rsidRPr="00481A6C" w:rsidRDefault="00000000" w:rsidP="005C5F49">
      <w:pPr>
        <w:pStyle w:val="BodyCopy"/>
        <w:spacing w:before="240"/>
      </w:pPr>
      <w:hyperlink w:anchor="_top" w:history="1">
        <w:r w:rsidR="00481A6C" w:rsidRPr="00481A6C">
          <w:rPr>
            <w:rStyle w:val="Hyperlink"/>
            <w:iCs w:val="0"/>
          </w:rPr>
          <w:t>Back to Contents</w:t>
        </w:r>
      </w:hyperlink>
    </w:p>
    <w:p w14:paraId="32B4C876" w14:textId="6738A15C" w:rsidR="0078367D" w:rsidRDefault="0078367D" w:rsidP="00A6051F">
      <w:pPr>
        <w:pStyle w:val="Heading4"/>
      </w:pPr>
      <w:bookmarkStart w:id="5" w:name="_Toc177472816"/>
      <w:r>
        <w:t xml:space="preserve">Section 2 </w:t>
      </w:r>
      <w:r w:rsidR="0093560F">
        <w:t>–</w:t>
      </w:r>
      <w:r>
        <w:t xml:space="preserve"> </w:t>
      </w:r>
      <w:r w:rsidR="0093560F">
        <w:t>Short Synacthen Test</w:t>
      </w:r>
      <w:bookmarkEnd w:id="5"/>
      <w:r w:rsidR="003254E1">
        <w:t xml:space="preserve"> </w:t>
      </w:r>
    </w:p>
    <w:p w14:paraId="3E5CBFDA" w14:textId="77777777" w:rsidR="0093560F" w:rsidRPr="00A67370" w:rsidRDefault="0093560F" w:rsidP="0093560F">
      <w:pPr>
        <w:pStyle w:val="Heading5"/>
      </w:pPr>
      <w:r w:rsidRPr="00A67370">
        <w:t>Purpose</w:t>
      </w:r>
    </w:p>
    <w:p w14:paraId="0738DAC7" w14:textId="77777777" w:rsidR="0093560F" w:rsidRPr="002010D1" w:rsidRDefault="0093560F" w:rsidP="0093560F">
      <w:pPr>
        <w:rPr>
          <w:rFonts w:asciiTheme="minorHAnsi" w:hAnsiTheme="minorHAnsi"/>
        </w:rPr>
      </w:pPr>
      <w:r w:rsidRPr="002010D1">
        <w:rPr>
          <w:rFonts w:asciiTheme="minorHAnsi" w:hAnsiTheme="minorHAnsi"/>
          <w:spacing w:val="-2"/>
        </w:rPr>
        <w:t xml:space="preserve">The Short Synacthen Test is used to </w:t>
      </w:r>
      <w:r w:rsidRPr="002010D1">
        <w:rPr>
          <w:rFonts w:asciiTheme="minorHAnsi" w:hAnsiTheme="minorHAnsi"/>
        </w:rPr>
        <w:t>assess</w:t>
      </w:r>
      <w:r w:rsidRPr="002010D1">
        <w:rPr>
          <w:rFonts w:asciiTheme="minorHAnsi" w:hAnsiTheme="minorHAnsi"/>
          <w:spacing w:val="-2"/>
        </w:rPr>
        <w:t xml:space="preserve"> the </w:t>
      </w:r>
      <w:r w:rsidRPr="002010D1">
        <w:rPr>
          <w:rFonts w:asciiTheme="minorHAnsi" w:hAnsiTheme="minorHAnsi"/>
        </w:rPr>
        <w:t xml:space="preserve">response </w:t>
      </w:r>
      <w:r w:rsidRPr="002010D1">
        <w:rPr>
          <w:rFonts w:asciiTheme="minorHAnsi" w:hAnsiTheme="minorHAnsi"/>
          <w:spacing w:val="-2"/>
        </w:rPr>
        <w:t xml:space="preserve">of the </w:t>
      </w:r>
      <w:r w:rsidRPr="002010D1">
        <w:rPr>
          <w:rFonts w:asciiTheme="minorHAnsi" w:hAnsiTheme="minorHAnsi"/>
        </w:rPr>
        <w:t>adrenal</w:t>
      </w:r>
      <w:r w:rsidRPr="002010D1">
        <w:rPr>
          <w:rFonts w:asciiTheme="minorHAnsi" w:hAnsiTheme="minorHAnsi"/>
          <w:spacing w:val="-1"/>
        </w:rPr>
        <w:t xml:space="preserve"> </w:t>
      </w:r>
      <w:r w:rsidRPr="002010D1">
        <w:rPr>
          <w:rFonts w:asciiTheme="minorHAnsi" w:hAnsiTheme="minorHAnsi"/>
        </w:rPr>
        <w:t>cortex</w:t>
      </w:r>
      <w:r w:rsidRPr="002010D1">
        <w:rPr>
          <w:rFonts w:asciiTheme="minorHAnsi" w:hAnsiTheme="minorHAnsi"/>
          <w:spacing w:val="-2"/>
        </w:rPr>
        <w:t xml:space="preserve"> to </w:t>
      </w:r>
      <w:r w:rsidRPr="002010D1">
        <w:rPr>
          <w:rFonts w:asciiTheme="minorHAnsi" w:hAnsiTheme="minorHAnsi"/>
        </w:rPr>
        <w:t>stimulation</w:t>
      </w:r>
      <w:r w:rsidRPr="002010D1">
        <w:rPr>
          <w:rFonts w:asciiTheme="minorHAnsi" w:hAnsiTheme="minorHAnsi"/>
          <w:spacing w:val="-2"/>
        </w:rPr>
        <w:t xml:space="preserve"> in </w:t>
      </w:r>
      <w:r w:rsidRPr="002010D1">
        <w:rPr>
          <w:rFonts w:asciiTheme="minorHAnsi" w:hAnsiTheme="minorHAnsi"/>
        </w:rPr>
        <w:t>suspected</w:t>
      </w:r>
      <w:r w:rsidRPr="002010D1">
        <w:rPr>
          <w:rFonts w:asciiTheme="minorHAnsi" w:hAnsiTheme="minorHAnsi"/>
          <w:spacing w:val="-2"/>
        </w:rPr>
        <w:t xml:space="preserve"> </w:t>
      </w:r>
      <w:r w:rsidRPr="002010D1">
        <w:rPr>
          <w:rFonts w:asciiTheme="minorHAnsi" w:hAnsiTheme="minorHAnsi"/>
        </w:rPr>
        <w:t>adrenocortical</w:t>
      </w:r>
      <w:r w:rsidRPr="002010D1">
        <w:rPr>
          <w:rFonts w:asciiTheme="minorHAnsi" w:hAnsiTheme="minorHAnsi"/>
          <w:spacing w:val="49"/>
        </w:rPr>
        <w:t xml:space="preserve"> </w:t>
      </w:r>
      <w:r w:rsidRPr="002010D1">
        <w:rPr>
          <w:rFonts w:asciiTheme="minorHAnsi" w:hAnsiTheme="minorHAnsi"/>
        </w:rPr>
        <w:t>insufficiency</w:t>
      </w:r>
      <w:r w:rsidRPr="002010D1">
        <w:rPr>
          <w:rFonts w:asciiTheme="minorHAnsi" w:hAnsiTheme="minorHAnsi"/>
          <w:spacing w:val="22"/>
        </w:rPr>
        <w:t xml:space="preserve"> </w:t>
      </w:r>
      <w:r w:rsidRPr="002010D1">
        <w:rPr>
          <w:rFonts w:asciiTheme="minorHAnsi" w:hAnsiTheme="minorHAnsi"/>
        </w:rPr>
        <w:t>(primary,</w:t>
      </w:r>
      <w:r w:rsidRPr="002010D1">
        <w:rPr>
          <w:rFonts w:asciiTheme="minorHAnsi" w:hAnsiTheme="minorHAnsi"/>
          <w:spacing w:val="21"/>
        </w:rPr>
        <w:t xml:space="preserve"> </w:t>
      </w:r>
      <w:r w:rsidRPr="002010D1">
        <w:rPr>
          <w:rFonts w:asciiTheme="minorHAnsi" w:hAnsiTheme="minorHAnsi"/>
        </w:rPr>
        <w:t>secondary</w:t>
      </w:r>
      <w:r w:rsidRPr="002010D1">
        <w:rPr>
          <w:rFonts w:asciiTheme="minorHAnsi" w:hAnsiTheme="minorHAnsi"/>
          <w:spacing w:val="21"/>
        </w:rPr>
        <w:t xml:space="preserve"> </w:t>
      </w:r>
      <w:r w:rsidRPr="002010D1">
        <w:rPr>
          <w:rFonts w:asciiTheme="minorHAnsi" w:hAnsiTheme="minorHAnsi"/>
          <w:spacing w:val="-2"/>
        </w:rPr>
        <w:t>or</w:t>
      </w:r>
      <w:r w:rsidRPr="002010D1">
        <w:rPr>
          <w:rFonts w:asciiTheme="minorHAnsi" w:hAnsiTheme="minorHAnsi"/>
          <w:spacing w:val="22"/>
        </w:rPr>
        <w:t xml:space="preserve"> </w:t>
      </w:r>
      <w:r w:rsidRPr="002010D1">
        <w:rPr>
          <w:rFonts w:asciiTheme="minorHAnsi" w:hAnsiTheme="minorHAnsi"/>
        </w:rPr>
        <w:t>tertiary)</w:t>
      </w:r>
      <w:r w:rsidRPr="002010D1">
        <w:rPr>
          <w:rFonts w:asciiTheme="minorHAnsi" w:hAnsiTheme="minorHAnsi"/>
          <w:spacing w:val="21"/>
        </w:rPr>
        <w:t xml:space="preserve"> </w:t>
      </w:r>
      <w:r w:rsidRPr="002010D1">
        <w:rPr>
          <w:rFonts w:asciiTheme="minorHAnsi" w:hAnsiTheme="minorHAnsi"/>
          <w:spacing w:val="-2"/>
        </w:rPr>
        <w:t>or</w:t>
      </w:r>
      <w:r w:rsidRPr="002010D1">
        <w:rPr>
          <w:rFonts w:asciiTheme="minorHAnsi" w:hAnsiTheme="minorHAnsi"/>
          <w:spacing w:val="21"/>
        </w:rPr>
        <w:t xml:space="preserve"> </w:t>
      </w:r>
      <w:r w:rsidRPr="002010D1">
        <w:rPr>
          <w:rFonts w:asciiTheme="minorHAnsi" w:hAnsiTheme="minorHAnsi"/>
          <w:spacing w:val="-2"/>
        </w:rPr>
        <w:t>in</w:t>
      </w:r>
      <w:r w:rsidRPr="002010D1">
        <w:rPr>
          <w:rFonts w:asciiTheme="minorHAnsi" w:hAnsiTheme="minorHAnsi"/>
          <w:spacing w:val="22"/>
        </w:rPr>
        <w:t xml:space="preserve"> </w:t>
      </w:r>
      <w:r w:rsidRPr="002010D1">
        <w:rPr>
          <w:rFonts w:asciiTheme="minorHAnsi" w:hAnsiTheme="minorHAnsi"/>
          <w:spacing w:val="-2"/>
        </w:rPr>
        <w:t>the</w:t>
      </w:r>
      <w:r w:rsidRPr="002010D1">
        <w:rPr>
          <w:rFonts w:asciiTheme="minorHAnsi" w:hAnsiTheme="minorHAnsi"/>
          <w:spacing w:val="22"/>
        </w:rPr>
        <w:t xml:space="preserve"> </w:t>
      </w:r>
      <w:r w:rsidRPr="002010D1">
        <w:rPr>
          <w:rFonts w:asciiTheme="minorHAnsi" w:hAnsiTheme="minorHAnsi"/>
        </w:rPr>
        <w:t>diagnosis</w:t>
      </w:r>
      <w:r w:rsidRPr="002010D1">
        <w:rPr>
          <w:rFonts w:asciiTheme="minorHAnsi" w:hAnsiTheme="minorHAnsi"/>
          <w:spacing w:val="21"/>
        </w:rPr>
        <w:t xml:space="preserve"> </w:t>
      </w:r>
      <w:r w:rsidRPr="002010D1">
        <w:rPr>
          <w:rFonts w:asciiTheme="minorHAnsi" w:hAnsiTheme="minorHAnsi"/>
          <w:spacing w:val="-2"/>
        </w:rPr>
        <w:t>of</w:t>
      </w:r>
      <w:r w:rsidRPr="002010D1">
        <w:rPr>
          <w:rFonts w:asciiTheme="minorHAnsi" w:hAnsiTheme="minorHAnsi"/>
          <w:spacing w:val="21"/>
        </w:rPr>
        <w:t xml:space="preserve"> </w:t>
      </w:r>
      <w:r w:rsidRPr="002010D1">
        <w:rPr>
          <w:rFonts w:asciiTheme="minorHAnsi" w:hAnsiTheme="minorHAnsi"/>
        </w:rPr>
        <w:t>congenital</w:t>
      </w:r>
      <w:r w:rsidRPr="002010D1">
        <w:rPr>
          <w:rFonts w:asciiTheme="minorHAnsi" w:hAnsiTheme="minorHAnsi"/>
          <w:spacing w:val="21"/>
        </w:rPr>
        <w:t xml:space="preserve"> </w:t>
      </w:r>
      <w:r w:rsidRPr="002010D1">
        <w:rPr>
          <w:rFonts w:asciiTheme="minorHAnsi" w:hAnsiTheme="minorHAnsi"/>
        </w:rPr>
        <w:t>adrenal</w:t>
      </w:r>
      <w:r>
        <w:rPr>
          <w:rFonts w:asciiTheme="minorHAnsi" w:hAnsiTheme="minorHAnsi"/>
          <w:spacing w:val="64"/>
        </w:rPr>
        <w:t xml:space="preserve"> </w:t>
      </w:r>
      <w:r w:rsidRPr="002010D1">
        <w:rPr>
          <w:rFonts w:asciiTheme="minorHAnsi" w:hAnsiTheme="minorHAnsi"/>
        </w:rPr>
        <w:t>hyperplasia.</w:t>
      </w:r>
    </w:p>
    <w:p w14:paraId="11D92A4C" w14:textId="5065B1F9" w:rsidR="0093560F" w:rsidRPr="00A67370" w:rsidRDefault="0093560F" w:rsidP="0093560F">
      <w:pPr>
        <w:pStyle w:val="Heading5"/>
        <w:pBdr>
          <w:top w:val="single" w:sz="4" w:space="1" w:color="auto"/>
          <w:left w:val="single" w:sz="4" w:space="4" w:color="auto"/>
          <w:bottom w:val="single" w:sz="4" w:space="1" w:color="auto"/>
          <w:right w:val="single" w:sz="4" w:space="4" w:color="auto"/>
        </w:pBdr>
      </w:pPr>
      <w:r w:rsidRPr="00A67370">
        <w:t>Alerts</w:t>
      </w:r>
    </w:p>
    <w:p w14:paraId="533857E3" w14:textId="77777777" w:rsidR="0093560F" w:rsidRPr="002010D1" w:rsidRDefault="0093560F" w:rsidP="0093560F">
      <w:pPr>
        <w:pStyle w:val="Heading6"/>
        <w:pBdr>
          <w:top w:val="single" w:sz="4" w:space="1" w:color="auto"/>
          <w:left w:val="single" w:sz="4" w:space="4" w:color="auto"/>
          <w:bottom w:val="single" w:sz="4" w:space="1" w:color="auto"/>
          <w:right w:val="single" w:sz="4" w:space="4" w:color="auto"/>
        </w:pBdr>
        <w:rPr>
          <w:rFonts w:eastAsiaTheme="minorHAnsi"/>
        </w:rPr>
      </w:pPr>
      <w:r w:rsidRPr="00A67370">
        <w:rPr>
          <w:rFonts w:eastAsiaTheme="minorHAnsi"/>
          <w:b/>
        </w:rPr>
        <w:t>Do not proceed</w:t>
      </w:r>
      <w:r w:rsidRPr="002010D1">
        <w:rPr>
          <w:rFonts w:eastAsiaTheme="minorHAnsi"/>
        </w:rPr>
        <w:t xml:space="preserve"> if the patient:</w:t>
      </w:r>
    </w:p>
    <w:p w14:paraId="339074BC"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has acute psychosis</w:t>
      </w:r>
    </w:p>
    <w:p w14:paraId="47DB1EE6"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has Cushing’s disease or syndrome (untreated)</w:t>
      </w:r>
    </w:p>
    <w:p w14:paraId="3C3D25C9"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has had recent viral disease or immunisation with live virus</w:t>
      </w:r>
    </w:p>
    <w:p w14:paraId="10DF6DC2" w14:textId="07368969"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is pregnant</w:t>
      </w:r>
      <w:r>
        <w:rPr>
          <w:rFonts w:eastAsiaTheme="minorEastAsia"/>
        </w:rPr>
        <w:t xml:space="preserve"> </w:t>
      </w:r>
      <w:r w:rsidRPr="4721203F">
        <w:rPr>
          <w:rFonts w:eastAsiaTheme="minorEastAsia"/>
        </w:rPr>
        <w:t>- exclude with urine pregnancy test</w:t>
      </w:r>
    </w:p>
    <w:p w14:paraId="668267DE"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is breastfeeding</w:t>
      </w:r>
    </w:p>
    <w:p w14:paraId="33D798EC" w14:textId="0956AF99"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 xml:space="preserve">has hypersensitivity to </w:t>
      </w:r>
      <w:r>
        <w:rPr>
          <w:rFonts w:eastAsiaTheme="minorEastAsia"/>
        </w:rPr>
        <w:t xml:space="preserve">adrenocorticotropic hormone (ACTH), e.g., </w:t>
      </w:r>
      <w:r w:rsidRPr="4721203F">
        <w:rPr>
          <w:rFonts w:eastAsiaTheme="minorEastAsia"/>
        </w:rPr>
        <w:t>Synacthen</w:t>
      </w:r>
    </w:p>
    <w:p w14:paraId="6C7CFE7E" w14:textId="77777777" w:rsidR="0093560F" w:rsidRPr="002010D1" w:rsidRDefault="0093560F" w:rsidP="0093560F">
      <w:pPr>
        <w:pStyle w:val="Heading6"/>
        <w:pBdr>
          <w:top w:val="single" w:sz="4" w:space="1" w:color="auto"/>
          <w:left w:val="single" w:sz="4" w:space="4" w:color="auto"/>
          <w:bottom w:val="single" w:sz="4" w:space="1" w:color="auto"/>
          <w:right w:val="single" w:sz="4" w:space="4" w:color="auto"/>
        </w:pBdr>
        <w:rPr>
          <w:rFonts w:eastAsiaTheme="minorHAnsi"/>
        </w:rPr>
      </w:pPr>
      <w:r w:rsidRPr="002B7559">
        <w:rPr>
          <w:rFonts w:eastAsiaTheme="minorHAnsi"/>
          <w:b/>
          <w:bCs/>
        </w:rPr>
        <w:t>Proceed with caution</w:t>
      </w:r>
      <w:r w:rsidRPr="002010D1">
        <w:rPr>
          <w:rFonts w:eastAsiaTheme="minorHAnsi"/>
        </w:rPr>
        <w:t xml:space="preserve"> if the patient has:</w:t>
      </w:r>
    </w:p>
    <w:p w14:paraId="123C1CE4"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bacterial infection</w:t>
      </w:r>
    </w:p>
    <w:p w14:paraId="272D06B6" w14:textId="5D9B4956"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heart failure</w:t>
      </w:r>
      <w:r>
        <w:rPr>
          <w:rFonts w:eastAsiaTheme="minorEastAsia"/>
        </w:rPr>
        <w:t xml:space="preserve"> </w:t>
      </w:r>
      <w:r w:rsidRPr="4721203F">
        <w:rPr>
          <w:rFonts w:eastAsiaTheme="minorEastAsia"/>
        </w:rPr>
        <w:t>- medical officer assessment prior to test required</w:t>
      </w:r>
    </w:p>
    <w:p w14:paraId="05672A38"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asthma</w:t>
      </w:r>
    </w:p>
    <w:p w14:paraId="61CB5F5D"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drug allergies</w:t>
      </w:r>
    </w:p>
    <w:p w14:paraId="52165564" w14:textId="49CAC4BD"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 xml:space="preserve">diabetes mellitus (check cBGL prior to ACTH administration and inform medical officer if cBGL &gt; 10 mmol/l. Test cBGL at conclusion of test and notify medical officer if cBGL </w:t>
      </w:r>
      <w:r>
        <w:rPr>
          <w:rFonts w:eastAsiaTheme="minorEastAsia"/>
        </w:rPr>
        <w:t xml:space="preserve">is  </w:t>
      </w:r>
      <w:r w:rsidRPr="4721203F">
        <w:rPr>
          <w:rFonts w:eastAsiaTheme="minorEastAsia"/>
        </w:rPr>
        <w:t>15 mmol/l or over).</w:t>
      </w:r>
    </w:p>
    <w:p w14:paraId="3DD6B8AB"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hypertension (moderate to severe).</w:t>
      </w:r>
    </w:p>
    <w:p w14:paraId="2D590D07" w14:textId="77777777" w:rsidR="0093560F" w:rsidRDefault="0093560F" w:rsidP="0093560F">
      <w:pPr>
        <w:pStyle w:val="Bullet"/>
        <w:numPr>
          <w:ilvl w:val="0"/>
          <w:numId w:val="0"/>
        </w:numPr>
        <w:ind w:left="360" w:hanging="360"/>
        <w:rPr>
          <w:rFonts w:eastAsiaTheme="minorHAnsi"/>
        </w:rPr>
      </w:pPr>
    </w:p>
    <w:p w14:paraId="32C524B4" w14:textId="5F5A7C22" w:rsidR="0093560F" w:rsidRPr="0093560F" w:rsidRDefault="0093560F" w:rsidP="0093560F">
      <w:pPr>
        <w:pStyle w:val="Bullet"/>
        <w:numPr>
          <w:ilvl w:val="0"/>
          <w:numId w:val="0"/>
        </w:numPr>
        <w:pBdr>
          <w:top w:val="single" w:sz="4" w:space="1" w:color="auto"/>
          <w:left w:val="single" w:sz="4" w:space="4" w:color="auto"/>
          <w:bottom w:val="single" w:sz="4" w:space="1" w:color="auto"/>
          <w:right w:val="single" w:sz="4" w:space="4" w:color="auto"/>
        </w:pBdr>
        <w:ind w:left="360" w:hanging="360"/>
        <w:rPr>
          <w:rFonts w:eastAsiaTheme="minorHAnsi"/>
          <w:b/>
          <w:bCs/>
        </w:rPr>
      </w:pPr>
      <w:r w:rsidRPr="0093560F">
        <w:rPr>
          <w:rFonts w:eastAsiaTheme="minorHAnsi"/>
          <w:b/>
          <w:bCs/>
        </w:rPr>
        <w:t>Note</w:t>
      </w:r>
    </w:p>
    <w:p w14:paraId="08DFAB93" w14:textId="6BD76CEA"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 xml:space="preserve">The </w:t>
      </w:r>
      <w:r>
        <w:t>T</w:t>
      </w:r>
      <w:r w:rsidRPr="00943FFC">
        <w:t>etracosactide</w:t>
      </w:r>
      <w:r>
        <w:t xml:space="preserve"> (tetracosactrin) </w:t>
      </w:r>
      <w:r w:rsidRPr="4721203F">
        <w:rPr>
          <w:rFonts w:eastAsiaTheme="minorEastAsia"/>
        </w:rPr>
        <w:t xml:space="preserve">test gives unreliable results in the six weeks following pituitary surgery. </w:t>
      </w:r>
    </w:p>
    <w:p w14:paraId="07C5D90F"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EastAsia"/>
        </w:rPr>
      </w:pPr>
      <w:r w:rsidRPr="4721203F">
        <w:rPr>
          <w:rFonts w:eastAsiaTheme="minorEastAsia"/>
        </w:rPr>
        <w:t>Steroid medication should be</w:t>
      </w:r>
      <w:r>
        <w:rPr>
          <w:rFonts w:eastAsiaTheme="minorEastAsia"/>
        </w:rPr>
        <w:t xml:space="preserve"> </w:t>
      </w:r>
      <w:r w:rsidRPr="4721203F">
        <w:rPr>
          <w:rFonts w:eastAsiaTheme="minorEastAsia"/>
        </w:rPr>
        <w:t xml:space="preserve">withheld for 24 hours prior to test. </w:t>
      </w:r>
      <w:r>
        <w:rPr>
          <w:rFonts w:eastAsiaTheme="minorEastAsia"/>
        </w:rPr>
        <w:t>If the patient is on dexamethasone, medication should be stopped 48 hrs before the test as per the HEDTA guidelines.</w:t>
      </w:r>
    </w:p>
    <w:p w14:paraId="4C24BFD5"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Test should be performed in the morning. There is no requirement to fast.</w:t>
      </w:r>
    </w:p>
    <w:p w14:paraId="38E02EBD" w14:textId="77777777" w:rsidR="0093560F" w:rsidRPr="00A67370" w:rsidRDefault="0093560F" w:rsidP="0093560F">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 xml:space="preserve">Patient to be observed throughout the test. </w:t>
      </w:r>
    </w:p>
    <w:p w14:paraId="0B6DD2C5" w14:textId="77777777" w:rsidR="0093560F" w:rsidRDefault="0093560F" w:rsidP="0093560F">
      <w:pPr>
        <w:pStyle w:val="Bullet"/>
        <w:pBdr>
          <w:top w:val="single" w:sz="4" w:space="1" w:color="auto"/>
          <w:left w:val="single" w:sz="4" w:space="4" w:color="auto"/>
          <w:bottom w:val="single" w:sz="4" w:space="1" w:color="auto"/>
          <w:right w:val="single" w:sz="4" w:space="4" w:color="auto"/>
        </w:pBdr>
        <w:rPr>
          <w:rFonts w:asciiTheme="minorHAnsi" w:eastAsiaTheme="minorHAnsi" w:hAnsiTheme="minorHAnsi"/>
        </w:rPr>
      </w:pPr>
      <w:r w:rsidRPr="4721203F">
        <w:rPr>
          <w:rFonts w:eastAsiaTheme="minorEastAsia"/>
        </w:rPr>
        <w:t>Hypersensitivity reactions (if they occur) tend to occur within 30 minutes of injection of Synacthen.</w:t>
      </w:r>
    </w:p>
    <w:p w14:paraId="77110655" w14:textId="77777777" w:rsidR="0093560F" w:rsidRPr="002010D1" w:rsidRDefault="0093560F" w:rsidP="0093560F">
      <w:pPr>
        <w:pStyle w:val="Heading5"/>
      </w:pPr>
      <w:bookmarkStart w:id="6" w:name="_Toc389473279"/>
      <w:r w:rsidRPr="002010D1">
        <w:lastRenderedPageBreak/>
        <w:t>Equipment</w:t>
      </w:r>
      <w:bookmarkEnd w:id="6"/>
      <w:r w:rsidRPr="002010D1">
        <w:t xml:space="preserve"> </w:t>
      </w:r>
    </w:p>
    <w:p w14:paraId="632CDD84" w14:textId="31659CA8" w:rsidR="0093560F" w:rsidRPr="00A67370" w:rsidRDefault="0093560F" w:rsidP="0093560F">
      <w:pPr>
        <w:pStyle w:val="Bullet"/>
      </w:pPr>
      <w:bookmarkStart w:id="7" w:name="_Toc389473280"/>
      <w:r>
        <w:t>Pathology Order (in the DHR) request ‘Short Synacthen Test’</w:t>
      </w:r>
    </w:p>
    <w:p w14:paraId="4B3B0DDC" w14:textId="77777777" w:rsidR="0093560F" w:rsidRPr="00A67370" w:rsidRDefault="0093560F" w:rsidP="0093560F">
      <w:pPr>
        <w:pStyle w:val="Bullet"/>
      </w:pPr>
      <w:r>
        <w:t>Medication Chart</w:t>
      </w:r>
    </w:p>
    <w:p w14:paraId="338F82E5" w14:textId="22379C18" w:rsidR="0093560F" w:rsidRPr="00A67370" w:rsidRDefault="0093560F" w:rsidP="0093560F">
      <w:pPr>
        <w:pStyle w:val="Bullet"/>
      </w:pPr>
      <w:r>
        <w:t>T</w:t>
      </w:r>
      <w:r w:rsidRPr="00943FFC">
        <w:t>etracosactide</w:t>
      </w:r>
      <w:r>
        <w:t xml:space="preserve"> (tetracosactrin )250 microgram ampoules</w:t>
      </w:r>
    </w:p>
    <w:p w14:paraId="239D5A18" w14:textId="77777777" w:rsidR="0093560F" w:rsidRPr="00A67370" w:rsidRDefault="0093560F" w:rsidP="0093560F">
      <w:pPr>
        <w:pStyle w:val="Bullet"/>
      </w:pPr>
      <w:r>
        <w:t>IV starter pack</w:t>
      </w:r>
    </w:p>
    <w:p w14:paraId="66960875" w14:textId="77777777" w:rsidR="0093560F" w:rsidRPr="00A67370" w:rsidRDefault="0093560F" w:rsidP="0093560F">
      <w:pPr>
        <w:pStyle w:val="Bullet"/>
      </w:pPr>
      <w:r>
        <w:t>22gauge Introcan Safety IV cannula</w:t>
      </w:r>
    </w:p>
    <w:p w14:paraId="24CF641F" w14:textId="77777777" w:rsidR="0093560F" w:rsidRPr="00A67370" w:rsidRDefault="0093560F" w:rsidP="0093560F">
      <w:pPr>
        <w:pStyle w:val="Bullet"/>
      </w:pPr>
      <w:r>
        <w:t>0.9% Sodium Chloride Solution for IV injection 10mL x 4</w:t>
      </w:r>
    </w:p>
    <w:p w14:paraId="4340B727" w14:textId="77777777" w:rsidR="0093560F" w:rsidRPr="00A67370" w:rsidRDefault="0093560F" w:rsidP="0093560F">
      <w:pPr>
        <w:pStyle w:val="Bullet"/>
      </w:pPr>
      <w:r>
        <w:t>10 mL syringe x 4</w:t>
      </w:r>
    </w:p>
    <w:p w14:paraId="24BF2E5C" w14:textId="77777777" w:rsidR="0093560F" w:rsidRPr="00A67370" w:rsidRDefault="0093560F" w:rsidP="0093560F">
      <w:pPr>
        <w:pStyle w:val="Bullet"/>
      </w:pPr>
      <w:r>
        <w:t>Safeflow Extension Set</w:t>
      </w:r>
    </w:p>
    <w:p w14:paraId="55623512" w14:textId="77777777" w:rsidR="0093560F" w:rsidRPr="00A67370" w:rsidRDefault="0093560F" w:rsidP="0093560F">
      <w:pPr>
        <w:pStyle w:val="Bullet"/>
      </w:pPr>
      <w:r>
        <w:t>Tourniquet</w:t>
      </w:r>
    </w:p>
    <w:p w14:paraId="339ACF7A" w14:textId="77777777" w:rsidR="0093560F" w:rsidRPr="00A67370" w:rsidRDefault="0093560F" w:rsidP="0093560F">
      <w:pPr>
        <w:pStyle w:val="Bullet"/>
      </w:pPr>
      <w:r>
        <w:t>Sterile Gloves</w:t>
      </w:r>
    </w:p>
    <w:p w14:paraId="5516504A" w14:textId="77777777" w:rsidR="0093560F" w:rsidRPr="00A67370" w:rsidRDefault="0093560F" w:rsidP="0093560F">
      <w:pPr>
        <w:pStyle w:val="Bullet"/>
      </w:pPr>
      <w:r>
        <w:t>PPE – goggles, gloves</w:t>
      </w:r>
    </w:p>
    <w:p w14:paraId="5412FFF9" w14:textId="77777777" w:rsidR="0093560F" w:rsidRPr="00A67370" w:rsidRDefault="0093560F" w:rsidP="0093560F">
      <w:pPr>
        <w:pStyle w:val="Bullet"/>
      </w:pPr>
      <w:r>
        <w:t>Vacuette Holdex</w:t>
      </w:r>
    </w:p>
    <w:p w14:paraId="77F2CC2B" w14:textId="77777777" w:rsidR="0093560F" w:rsidRPr="00A67370" w:rsidRDefault="0093560F" w:rsidP="0093560F">
      <w:pPr>
        <w:pStyle w:val="Bullet"/>
      </w:pPr>
      <w:r>
        <w:t>Alcohol wipes</w:t>
      </w:r>
    </w:p>
    <w:p w14:paraId="388F9039" w14:textId="77777777" w:rsidR="0093560F" w:rsidRDefault="0093560F" w:rsidP="0093560F">
      <w:pPr>
        <w:pStyle w:val="Bullet"/>
      </w:pPr>
      <w:r>
        <w:t>Serum tubes x 3</w:t>
      </w:r>
    </w:p>
    <w:p w14:paraId="769CA542" w14:textId="77777777" w:rsidR="0093560F" w:rsidRPr="00A67370" w:rsidRDefault="0093560F" w:rsidP="0093560F">
      <w:pPr>
        <w:pStyle w:val="Bullet"/>
      </w:pPr>
      <w:r>
        <w:t>EDTA tube x 1</w:t>
      </w:r>
    </w:p>
    <w:p w14:paraId="727CCAE9" w14:textId="77777777" w:rsidR="0093560F" w:rsidRPr="00A67370" w:rsidRDefault="0093560F" w:rsidP="0093560F">
      <w:pPr>
        <w:pStyle w:val="Bullet"/>
      </w:pPr>
      <w:r>
        <w:t>Serum tubes x3 for discard.</w:t>
      </w:r>
    </w:p>
    <w:p w14:paraId="38814940" w14:textId="77777777" w:rsidR="0093560F" w:rsidRPr="00A67370" w:rsidRDefault="0093560F" w:rsidP="0093560F">
      <w:pPr>
        <w:pStyle w:val="Bullet"/>
      </w:pPr>
      <w:r>
        <w:t>Ice</w:t>
      </w:r>
    </w:p>
    <w:p w14:paraId="52E3F8C9" w14:textId="77777777" w:rsidR="0093560F" w:rsidRPr="00A67370" w:rsidRDefault="0093560F" w:rsidP="0093560F">
      <w:pPr>
        <w:pStyle w:val="Bullet"/>
      </w:pPr>
      <w:r>
        <w:t>Specimen bag.</w:t>
      </w:r>
    </w:p>
    <w:p w14:paraId="478FA3FF" w14:textId="77777777" w:rsidR="0093560F" w:rsidRPr="002010D1" w:rsidRDefault="0093560F" w:rsidP="0093560F">
      <w:pPr>
        <w:pStyle w:val="Heading5"/>
      </w:pPr>
      <w:r w:rsidRPr="002010D1">
        <w:t>Procedure</w:t>
      </w:r>
      <w:bookmarkEnd w:id="7"/>
      <w:r w:rsidRPr="002010D1">
        <w:t xml:space="preserve"> </w:t>
      </w:r>
    </w:p>
    <w:p w14:paraId="6C934959" w14:textId="77777777" w:rsidR="0093560F" w:rsidRPr="00A67370" w:rsidRDefault="0093560F" w:rsidP="0093560F">
      <w:pPr>
        <w:pStyle w:val="Numberedlist"/>
        <w:numPr>
          <w:ilvl w:val="0"/>
          <w:numId w:val="29"/>
        </w:numPr>
      </w:pPr>
      <w:r w:rsidRPr="00A67370">
        <w:t>Obtain prescription for “</w:t>
      </w:r>
      <w:r>
        <w:t>T</w:t>
      </w:r>
      <w:r w:rsidRPr="00943FFC">
        <w:t>etracosactide</w:t>
      </w:r>
      <w:r>
        <w:t xml:space="preserve"> (tetracosactrin</w:t>
      </w:r>
      <w:r w:rsidRPr="00A67370">
        <w:t xml:space="preserve"> </w:t>
      </w:r>
      <w:r>
        <w:t>)</w:t>
      </w:r>
      <w:r w:rsidRPr="00A67370">
        <w:t xml:space="preserve">250 micrograms IM” on </w:t>
      </w:r>
      <w:r>
        <w:t>DHR</w:t>
      </w:r>
      <w:r w:rsidRPr="00A67370">
        <w:t xml:space="preserve"> from medical officer.</w:t>
      </w:r>
    </w:p>
    <w:p w14:paraId="6971C1C2" w14:textId="77777777" w:rsidR="0093560F" w:rsidRPr="00A67370" w:rsidRDefault="0093560F" w:rsidP="0093560F">
      <w:pPr>
        <w:pStyle w:val="Numberedlist"/>
        <w:numPr>
          <w:ilvl w:val="0"/>
          <w:numId w:val="29"/>
        </w:numPr>
      </w:pPr>
      <w:r>
        <w:t>Obtain Pathology Order from referring medical officer or Registrar in the DHR.</w:t>
      </w:r>
    </w:p>
    <w:p w14:paraId="4C231501" w14:textId="77777777" w:rsidR="0093560F" w:rsidRPr="00A67370" w:rsidRDefault="0093560F" w:rsidP="0093560F">
      <w:pPr>
        <w:pStyle w:val="Numberedlist"/>
        <w:numPr>
          <w:ilvl w:val="0"/>
          <w:numId w:val="29"/>
        </w:numPr>
      </w:pPr>
      <w:r w:rsidRPr="00A67370">
        <w:t xml:space="preserve">Obtain </w:t>
      </w:r>
      <w:r>
        <w:t>T</w:t>
      </w:r>
      <w:r w:rsidRPr="00943FFC">
        <w:t>etracosactide</w:t>
      </w:r>
      <w:r>
        <w:t xml:space="preserve"> (tetracosactrin</w:t>
      </w:r>
      <w:r w:rsidRPr="00A67370">
        <w:t xml:space="preserve"> </w:t>
      </w:r>
      <w:r>
        <w:t>)</w:t>
      </w:r>
      <w:r w:rsidRPr="00A67370">
        <w:t>250 micrograms from the Canberra Hospital Pharmacy (Imprest).</w:t>
      </w:r>
    </w:p>
    <w:p w14:paraId="78E9A5EB" w14:textId="77777777" w:rsidR="0093560F" w:rsidRPr="00A67370" w:rsidRDefault="0093560F" w:rsidP="0093560F">
      <w:pPr>
        <w:pStyle w:val="Numberedlist"/>
        <w:numPr>
          <w:ilvl w:val="0"/>
          <w:numId w:val="29"/>
        </w:numPr>
      </w:pPr>
      <w:r w:rsidRPr="00A67370">
        <w:t>Confirm identity of patient using 3 identifying elements (name, date of birth, URN or address).</w:t>
      </w:r>
    </w:p>
    <w:p w14:paraId="368F316A" w14:textId="77777777" w:rsidR="0093560F" w:rsidRPr="00A67370" w:rsidRDefault="0093560F" w:rsidP="0093560F">
      <w:pPr>
        <w:pStyle w:val="Numberedlist"/>
        <w:numPr>
          <w:ilvl w:val="0"/>
          <w:numId w:val="29"/>
        </w:numPr>
      </w:pPr>
      <w:r w:rsidRPr="00A67370">
        <w:t>Explain the procedure to the patient and ensure patient comfort.</w:t>
      </w:r>
    </w:p>
    <w:p w14:paraId="2E6791E4" w14:textId="77777777" w:rsidR="0093560F" w:rsidRPr="00A67370" w:rsidRDefault="0093560F" w:rsidP="0093560F">
      <w:pPr>
        <w:pStyle w:val="Numberedlist"/>
        <w:numPr>
          <w:ilvl w:val="0"/>
          <w:numId w:val="29"/>
        </w:numPr>
      </w:pPr>
      <w:r w:rsidRPr="00A67370">
        <w:t>Obtain and document verbal consent for the procedure.</w:t>
      </w:r>
    </w:p>
    <w:p w14:paraId="56549E42" w14:textId="77777777" w:rsidR="0093560F" w:rsidRPr="00A67370" w:rsidRDefault="0093560F" w:rsidP="0093560F">
      <w:pPr>
        <w:pStyle w:val="Numberedlist"/>
        <w:numPr>
          <w:ilvl w:val="0"/>
          <w:numId w:val="29"/>
        </w:numPr>
      </w:pPr>
      <w:r w:rsidRPr="00A67370">
        <w:t>Obtain and document baseline observations including Blood pressure – lying and standing, pulse, respirations, oxygen saturation, temperature and cBGL.</w:t>
      </w:r>
    </w:p>
    <w:p w14:paraId="0748404B" w14:textId="77777777" w:rsidR="0093560F" w:rsidRPr="00A67370" w:rsidRDefault="0093560F" w:rsidP="0093560F">
      <w:pPr>
        <w:pStyle w:val="Numberedlist"/>
        <w:numPr>
          <w:ilvl w:val="0"/>
          <w:numId w:val="29"/>
        </w:numPr>
      </w:pPr>
      <w:r w:rsidRPr="00A67370">
        <w:t>Obtain medical history to exclude above alerts and ascertain allergies.</w:t>
      </w:r>
    </w:p>
    <w:p w14:paraId="79D72973" w14:textId="77777777" w:rsidR="0093560F" w:rsidRPr="00A67370" w:rsidRDefault="0093560F" w:rsidP="0093560F">
      <w:pPr>
        <w:pStyle w:val="Numberedlist"/>
        <w:numPr>
          <w:ilvl w:val="0"/>
          <w:numId w:val="29"/>
        </w:numPr>
      </w:pPr>
      <w:r w:rsidRPr="00A67370">
        <w:t>Insert IV cannula.</w:t>
      </w:r>
    </w:p>
    <w:p w14:paraId="4E5E276C" w14:textId="77777777" w:rsidR="0093560F" w:rsidRPr="00A67370" w:rsidRDefault="0093560F" w:rsidP="0093560F">
      <w:pPr>
        <w:pStyle w:val="Numberedlist"/>
        <w:numPr>
          <w:ilvl w:val="0"/>
          <w:numId w:val="29"/>
        </w:numPr>
      </w:pPr>
      <w:r w:rsidRPr="00A67370">
        <w:t>Attach primed Safeflow Extension Set.</w:t>
      </w:r>
    </w:p>
    <w:p w14:paraId="0D1B43D0" w14:textId="77777777" w:rsidR="0093560F" w:rsidRPr="00A67370" w:rsidRDefault="0093560F" w:rsidP="0093560F">
      <w:pPr>
        <w:pStyle w:val="Numberedlist"/>
        <w:numPr>
          <w:ilvl w:val="0"/>
          <w:numId w:val="29"/>
        </w:numPr>
      </w:pPr>
      <w:r w:rsidRPr="00A67370">
        <w:t xml:space="preserve">Flush cannula with 0.9% </w:t>
      </w:r>
      <w:r>
        <w:t>s</w:t>
      </w:r>
      <w:r w:rsidRPr="00A67370">
        <w:t xml:space="preserve">odium </w:t>
      </w:r>
      <w:r>
        <w:t>c</w:t>
      </w:r>
      <w:r w:rsidRPr="00A67370">
        <w:t xml:space="preserve">hloride </w:t>
      </w:r>
      <w:r>
        <w:t>s</w:t>
      </w:r>
      <w:r w:rsidRPr="00A67370">
        <w:t>olution for IV injection 10m</w:t>
      </w:r>
      <w:r>
        <w:t>L</w:t>
      </w:r>
      <w:r w:rsidRPr="00A67370">
        <w:t>.</w:t>
      </w:r>
    </w:p>
    <w:p w14:paraId="6A05336A" w14:textId="77777777" w:rsidR="0093560F" w:rsidRPr="00A67370" w:rsidRDefault="0093560F" w:rsidP="0093560F">
      <w:pPr>
        <w:pStyle w:val="Numberedlist"/>
        <w:numPr>
          <w:ilvl w:val="0"/>
          <w:numId w:val="29"/>
        </w:numPr>
      </w:pPr>
      <w:r w:rsidRPr="00A67370">
        <w:t>Ensure patient rests for 30 minutes prior to commencement of test.</w:t>
      </w:r>
    </w:p>
    <w:p w14:paraId="649253D4" w14:textId="77777777" w:rsidR="0093560F" w:rsidRDefault="0093560F" w:rsidP="0093560F">
      <w:pPr>
        <w:pStyle w:val="Numberedlist"/>
        <w:numPr>
          <w:ilvl w:val="0"/>
          <w:numId w:val="29"/>
        </w:numPr>
      </w:pPr>
      <w:r w:rsidRPr="00A67370">
        <w:t>Collect samples (ensuring 5m</w:t>
      </w:r>
      <w:r>
        <w:t xml:space="preserve">L </w:t>
      </w:r>
      <w:r w:rsidRPr="00A67370">
        <w:t>drawback is discarded) and subsequently administer Synacthen as below:</w:t>
      </w:r>
    </w:p>
    <w:p w14:paraId="5A677A96" w14:textId="77777777" w:rsidR="0093560F" w:rsidRPr="006E076B" w:rsidRDefault="0093560F" w:rsidP="0093560F">
      <w:pPr>
        <w:pStyle w:val="Numberedlist"/>
        <w:numPr>
          <w:ilvl w:val="0"/>
          <w:numId w:val="0"/>
        </w:numPr>
        <w:ind w:left="425"/>
      </w:pPr>
    </w:p>
    <w:tbl>
      <w:tblPr>
        <w:tblStyle w:val="TableGrid"/>
        <w:tblW w:w="9072" w:type="dxa"/>
        <w:tblInd w:w="137" w:type="dxa"/>
        <w:tblLook w:val="04A0" w:firstRow="1" w:lastRow="0" w:firstColumn="1" w:lastColumn="0" w:noHBand="0" w:noVBand="1"/>
      </w:tblPr>
      <w:tblGrid>
        <w:gridCol w:w="2410"/>
        <w:gridCol w:w="3544"/>
        <w:gridCol w:w="1559"/>
        <w:gridCol w:w="1559"/>
      </w:tblGrid>
      <w:tr w:rsidR="0093560F" w:rsidRPr="002010D1" w14:paraId="799929D0" w14:textId="77777777" w:rsidTr="0069740F">
        <w:tc>
          <w:tcPr>
            <w:tcW w:w="2410" w:type="dxa"/>
          </w:tcPr>
          <w:p w14:paraId="5CA6E28D" w14:textId="77777777" w:rsidR="0093560F" w:rsidRPr="002010D1" w:rsidRDefault="0093560F" w:rsidP="0093560F">
            <w:pPr>
              <w:pStyle w:val="Tablebody"/>
            </w:pPr>
          </w:p>
        </w:tc>
        <w:tc>
          <w:tcPr>
            <w:tcW w:w="3544" w:type="dxa"/>
          </w:tcPr>
          <w:p w14:paraId="094E22B4" w14:textId="77777777" w:rsidR="0093560F" w:rsidRPr="002010D1" w:rsidRDefault="0093560F" w:rsidP="0093560F">
            <w:pPr>
              <w:pStyle w:val="Tablebody"/>
            </w:pPr>
            <w:r w:rsidRPr="002010D1">
              <w:t>0 minutes</w:t>
            </w:r>
          </w:p>
        </w:tc>
        <w:tc>
          <w:tcPr>
            <w:tcW w:w="1559" w:type="dxa"/>
          </w:tcPr>
          <w:p w14:paraId="159600F3" w14:textId="77777777" w:rsidR="0093560F" w:rsidRPr="002010D1" w:rsidRDefault="0093560F" w:rsidP="0093560F">
            <w:pPr>
              <w:pStyle w:val="Tablebody"/>
            </w:pPr>
            <w:r w:rsidRPr="002010D1">
              <w:t>30 minutes</w:t>
            </w:r>
          </w:p>
        </w:tc>
        <w:tc>
          <w:tcPr>
            <w:tcW w:w="1559" w:type="dxa"/>
          </w:tcPr>
          <w:p w14:paraId="36AF2E8A" w14:textId="77777777" w:rsidR="0093560F" w:rsidRPr="002010D1" w:rsidRDefault="0093560F" w:rsidP="0093560F">
            <w:pPr>
              <w:pStyle w:val="Tablebody"/>
            </w:pPr>
            <w:r w:rsidRPr="002010D1">
              <w:t>60 minutes</w:t>
            </w:r>
          </w:p>
        </w:tc>
      </w:tr>
      <w:tr w:rsidR="0093560F" w:rsidRPr="002010D1" w14:paraId="5E545361" w14:textId="77777777" w:rsidTr="0069740F">
        <w:tc>
          <w:tcPr>
            <w:tcW w:w="2410" w:type="dxa"/>
          </w:tcPr>
          <w:p w14:paraId="03E60DEC" w14:textId="77777777" w:rsidR="0093560F" w:rsidRPr="002010D1" w:rsidRDefault="0093560F" w:rsidP="0093560F">
            <w:pPr>
              <w:pStyle w:val="Tablebody"/>
            </w:pPr>
            <w:r w:rsidRPr="002010D1">
              <w:t>ACTH</w:t>
            </w:r>
          </w:p>
        </w:tc>
        <w:tc>
          <w:tcPr>
            <w:tcW w:w="3544" w:type="dxa"/>
          </w:tcPr>
          <w:p w14:paraId="2BB0C5DE" w14:textId="77777777" w:rsidR="0093560F" w:rsidRPr="002010D1" w:rsidRDefault="0093560F" w:rsidP="0093560F">
            <w:pPr>
              <w:pStyle w:val="Tablebody"/>
            </w:pPr>
            <w:r>
              <w:t>Take sample</w:t>
            </w:r>
          </w:p>
          <w:p w14:paraId="37A392CA" w14:textId="77777777" w:rsidR="0093560F" w:rsidRPr="00C73640" w:rsidRDefault="0093560F" w:rsidP="0093560F">
            <w:pPr>
              <w:pStyle w:val="Tablebody"/>
              <w:rPr>
                <w:b/>
                <w:color w:val="FF0000"/>
              </w:rPr>
            </w:pPr>
            <w:r w:rsidRPr="00C73640">
              <w:rPr>
                <w:b/>
              </w:rPr>
              <w:t>Place sample immediately on ice/walk to pathology immediately after collection</w:t>
            </w:r>
          </w:p>
        </w:tc>
        <w:tc>
          <w:tcPr>
            <w:tcW w:w="1559" w:type="dxa"/>
          </w:tcPr>
          <w:p w14:paraId="1943319E" w14:textId="77777777" w:rsidR="0093560F" w:rsidRPr="002010D1" w:rsidRDefault="0093560F" w:rsidP="0093560F">
            <w:pPr>
              <w:pStyle w:val="Tablebody"/>
            </w:pPr>
          </w:p>
        </w:tc>
        <w:tc>
          <w:tcPr>
            <w:tcW w:w="1559" w:type="dxa"/>
          </w:tcPr>
          <w:p w14:paraId="41D332E5" w14:textId="77777777" w:rsidR="0093560F" w:rsidRPr="002010D1" w:rsidRDefault="0093560F" w:rsidP="0093560F">
            <w:pPr>
              <w:pStyle w:val="Tablebody"/>
            </w:pPr>
          </w:p>
        </w:tc>
      </w:tr>
      <w:tr w:rsidR="0093560F" w:rsidRPr="002010D1" w14:paraId="3A86CD78" w14:textId="77777777" w:rsidTr="0069740F">
        <w:tc>
          <w:tcPr>
            <w:tcW w:w="2410" w:type="dxa"/>
          </w:tcPr>
          <w:p w14:paraId="640FA86C" w14:textId="77777777" w:rsidR="0093560F" w:rsidRPr="002010D1" w:rsidRDefault="0093560F" w:rsidP="0093560F">
            <w:pPr>
              <w:pStyle w:val="Tablebody"/>
            </w:pPr>
            <w:r w:rsidRPr="002010D1">
              <w:t>Cortisol</w:t>
            </w:r>
          </w:p>
        </w:tc>
        <w:tc>
          <w:tcPr>
            <w:tcW w:w="3544" w:type="dxa"/>
          </w:tcPr>
          <w:p w14:paraId="47BD1E8F" w14:textId="77777777" w:rsidR="0093560F" w:rsidRPr="002010D1" w:rsidRDefault="0093560F" w:rsidP="0093560F">
            <w:pPr>
              <w:pStyle w:val="Tablebody"/>
            </w:pPr>
            <w:r>
              <w:t>Take sample</w:t>
            </w:r>
          </w:p>
        </w:tc>
        <w:tc>
          <w:tcPr>
            <w:tcW w:w="1559" w:type="dxa"/>
          </w:tcPr>
          <w:p w14:paraId="3D4A404C" w14:textId="77777777" w:rsidR="0093560F" w:rsidRPr="002010D1" w:rsidRDefault="0093560F" w:rsidP="0093560F">
            <w:pPr>
              <w:pStyle w:val="Tablebody"/>
            </w:pPr>
            <w:r>
              <w:t>Take sample</w:t>
            </w:r>
          </w:p>
        </w:tc>
        <w:tc>
          <w:tcPr>
            <w:tcW w:w="1559" w:type="dxa"/>
          </w:tcPr>
          <w:p w14:paraId="6491701C" w14:textId="77777777" w:rsidR="0093560F" w:rsidRPr="002010D1" w:rsidRDefault="0093560F" w:rsidP="0093560F">
            <w:pPr>
              <w:pStyle w:val="Tablebody"/>
            </w:pPr>
            <w:r>
              <w:t>Take sample</w:t>
            </w:r>
          </w:p>
        </w:tc>
      </w:tr>
      <w:tr w:rsidR="0093560F" w:rsidRPr="002010D1" w14:paraId="7049FCDA" w14:textId="77777777" w:rsidTr="0069740F">
        <w:tc>
          <w:tcPr>
            <w:tcW w:w="2410" w:type="dxa"/>
          </w:tcPr>
          <w:p w14:paraId="608552A1" w14:textId="77777777" w:rsidR="0093560F" w:rsidRPr="002010D1" w:rsidRDefault="0093560F" w:rsidP="0093560F">
            <w:pPr>
              <w:pStyle w:val="Tablebody"/>
            </w:pPr>
            <w:r>
              <w:t>T</w:t>
            </w:r>
            <w:r w:rsidRPr="00943FFC">
              <w:t>etracosactide</w:t>
            </w:r>
            <w:r>
              <w:t xml:space="preserve"> (tetracosactrin)</w:t>
            </w:r>
            <w:r w:rsidRPr="002010D1">
              <w:t xml:space="preserve"> administration (post blood collection)</w:t>
            </w:r>
          </w:p>
        </w:tc>
        <w:tc>
          <w:tcPr>
            <w:tcW w:w="3544" w:type="dxa"/>
          </w:tcPr>
          <w:p w14:paraId="75BFC2C0" w14:textId="77777777" w:rsidR="0093560F" w:rsidRPr="002010D1" w:rsidRDefault="0093560F" w:rsidP="0093560F">
            <w:pPr>
              <w:pStyle w:val="Tablebody"/>
            </w:pPr>
            <w:r>
              <w:t>Administer</w:t>
            </w:r>
          </w:p>
        </w:tc>
        <w:tc>
          <w:tcPr>
            <w:tcW w:w="1559" w:type="dxa"/>
          </w:tcPr>
          <w:p w14:paraId="589F3EE7" w14:textId="77777777" w:rsidR="0093560F" w:rsidRPr="002010D1" w:rsidRDefault="0093560F" w:rsidP="0093560F">
            <w:pPr>
              <w:pStyle w:val="Tablebody"/>
            </w:pPr>
          </w:p>
        </w:tc>
        <w:tc>
          <w:tcPr>
            <w:tcW w:w="1559" w:type="dxa"/>
          </w:tcPr>
          <w:p w14:paraId="703D0732" w14:textId="77777777" w:rsidR="0093560F" w:rsidRPr="002010D1" w:rsidRDefault="0093560F" w:rsidP="0093560F">
            <w:pPr>
              <w:pStyle w:val="Tablebody"/>
            </w:pPr>
          </w:p>
        </w:tc>
      </w:tr>
    </w:tbl>
    <w:p w14:paraId="3D733D96" w14:textId="77777777" w:rsidR="0093560F" w:rsidRDefault="0093560F" w:rsidP="0093560F">
      <w:pPr>
        <w:pStyle w:val="Bullet"/>
        <w:numPr>
          <w:ilvl w:val="0"/>
          <w:numId w:val="0"/>
        </w:numPr>
        <w:ind w:left="360" w:hanging="360"/>
        <w:rPr>
          <w:b/>
          <w:bCs/>
        </w:rPr>
      </w:pPr>
    </w:p>
    <w:p w14:paraId="2FB6A65A" w14:textId="405FFCD5" w:rsidR="0093560F" w:rsidRPr="0093560F" w:rsidRDefault="0093560F" w:rsidP="0093560F">
      <w:pPr>
        <w:pStyle w:val="Bullet"/>
        <w:numPr>
          <w:ilvl w:val="0"/>
          <w:numId w:val="0"/>
        </w:numPr>
        <w:pBdr>
          <w:top w:val="single" w:sz="4" w:space="1" w:color="auto"/>
          <w:left w:val="single" w:sz="4" w:space="4" w:color="auto"/>
          <w:bottom w:val="single" w:sz="4" w:space="1" w:color="auto"/>
          <w:right w:val="single" w:sz="4" w:space="4" w:color="auto"/>
        </w:pBdr>
        <w:ind w:left="360" w:hanging="360"/>
        <w:rPr>
          <w:b/>
          <w:bCs/>
        </w:rPr>
      </w:pPr>
      <w:r w:rsidRPr="0093560F">
        <w:rPr>
          <w:b/>
          <w:bCs/>
        </w:rPr>
        <w:t>Note</w:t>
      </w:r>
    </w:p>
    <w:p w14:paraId="0C133A04" w14:textId="090E84E7" w:rsidR="0093560F" w:rsidRPr="002010D1" w:rsidRDefault="0093560F" w:rsidP="0093560F">
      <w:pPr>
        <w:pStyle w:val="Bullet"/>
        <w:pBdr>
          <w:top w:val="single" w:sz="4" w:space="1" w:color="auto"/>
          <w:left w:val="single" w:sz="4" w:space="4" w:color="auto"/>
          <w:bottom w:val="single" w:sz="4" w:space="1" w:color="auto"/>
          <w:right w:val="single" w:sz="4" w:space="4" w:color="auto"/>
        </w:pBdr>
      </w:pPr>
      <w:r>
        <w:t>Flush cannula with sodium chloride 0.9% between sample collections</w:t>
      </w:r>
    </w:p>
    <w:p w14:paraId="58A56872" w14:textId="0D0D4A7E" w:rsidR="0093560F" w:rsidRPr="002010D1" w:rsidRDefault="0093560F" w:rsidP="0093560F">
      <w:pPr>
        <w:pStyle w:val="Bullet"/>
        <w:pBdr>
          <w:top w:val="single" w:sz="4" w:space="1" w:color="auto"/>
          <w:left w:val="single" w:sz="4" w:space="4" w:color="auto"/>
          <w:bottom w:val="single" w:sz="4" w:space="1" w:color="auto"/>
          <w:right w:val="single" w:sz="4" w:space="4" w:color="auto"/>
        </w:pBdr>
      </w:pPr>
      <w:r>
        <w:t>Ensure sufficient drawback and discard with each sampling</w:t>
      </w:r>
    </w:p>
    <w:p w14:paraId="5CA4B1B5" w14:textId="77777777" w:rsidR="0093560F" w:rsidRPr="002010D1" w:rsidRDefault="0093560F" w:rsidP="0093560F">
      <w:pPr>
        <w:pStyle w:val="Bullet"/>
        <w:pBdr>
          <w:top w:val="single" w:sz="4" w:space="1" w:color="auto"/>
          <w:left w:val="single" w:sz="4" w:space="4" w:color="auto"/>
          <w:bottom w:val="single" w:sz="4" w:space="1" w:color="auto"/>
          <w:right w:val="single" w:sz="4" w:space="4" w:color="auto"/>
        </w:pBdr>
        <w:rPr>
          <w:rFonts w:asciiTheme="minorHAnsi" w:hAnsiTheme="minorHAnsi"/>
        </w:rPr>
      </w:pPr>
      <w:r>
        <w:t>Observe patient during test for side effects of Synacthen. Perform vital signs if clinically indicated and document any side effects.</w:t>
      </w:r>
    </w:p>
    <w:p w14:paraId="4C97D000" w14:textId="61096624" w:rsidR="0093560F" w:rsidRPr="00BD326D" w:rsidRDefault="0093560F" w:rsidP="0093560F">
      <w:pPr>
        <w:pStyle w:val="Numberedlist"/>
      </w:pPr>
      <w:r>
        <w:t xml:space="preserve">Document sampling and Synacthen administration times on </w:t>
      </w:r>
      <w:r w:rsidRPr="0093560F">
        <w:rPr>
          <w:i/>
          <w:iCs/>
        </w:rPr>
        <w:t>Endocrine Test</w:t>
      </w:r>
      <w:r>
        <w:t xml:space="preserve"> Form (Attachment </w:t>
      </w:r>
      <w:r w:rsidR="00B454FE">
        <w:t>1</w:t>
      </w:r>
      <w:r>
        <w:t xml:space="preserve">) (form no. 40290 on the Clinical Forms Register). </w:t>
      </w:r>
    </w:p>
    <w:p w14:paraId="771368DD" w14:textId="77777777" w:rsidR="0093560F" w:rsidRPr="00BD326D" w:rsidRDefault="0093560F" w:rsidP="0093560F">
      <w:pPr>
        <w:pStyle w:val="Numberedlist"/>
      </w:pPr>
      <w:r w:rsidRPr="00BD326D">
        <w:t>Obtain and document post procedure observations prior to discharge.</w:t>
      </w:r>
    </w:p>
    <w:p w14:paraId="3EAAD075" w14:textId="77777777" w:rsidR="0093560F" w:rsidRPr="00BD326D" w:rsidRDefault="0093560F" w:rsidP="0093560F">
      <w:pPr>
        <w:pStyle w:val="Numberedlist"/>
      </w:pPr>
      <w:r w:rsidRPr="00BD326D">
        <w:t>Administer steroid dose after completion of test if requested by referring doctor and chart in the patient’s clinical record.</w:t>
      </w:r>
    </w:p>
    <w:p w14:paraId="3A0C012E" w14:textId="77777777" w:rsidR="0093560F" w:rsidRPr="00BD326D" w:rsidRDefault="0093560F" w:rsidP="0093560F">
      <w:pPr>
        <w:pStyle w:val="Numberedlist"/>
      </w:pPr>
      <w:r w:rsidRPr="00BD326D">
        <w:t>Remove cannula.</w:t>
      </w:r>
    </w:p>
    <w:p w14:paraId="79961208" w14:textId="77777777" w:rsidR="0093560F" w:rsidRPr="00BD326D" w:rsidRDefault="0093560F" w:rsidP="0093560F">
      <w:pPr>
        <w:pStyle w:val="Numberedlist"/>
      </w:pPr>
      <w:r>
        <w:t xml:space="preserve">Deliver remaining samples to the lab with the copy of </w:t>
      </w:r>
      <w:r w:rsidRPr="0093560F">
        <w:rPr>
          <w:i/>
          <w:iCs/>
        </w:rPr>
        <w:t>Endocrine Test</w:t>
      </w:r>
      <w:r>
        <w:t xml:space="preserve"> form and request form.</w:t>
      </w:r>
    </w:p>
    <w:p w14:paraId="0D3EB253" w14:textId="77777777" w:rsidR="0093560F" w:rsidRPr="00BD326D" w:rsidRDefault="0093560F" w:rsidP="0093560F">
      <w:pPr>
        <w:pStyle w:val="Numberedlist"/>
      </w:pPr>
      <w:r w:rsidRPr="00BD326D">
        <w:t>Discharge patient.</w:t>
      </w:r>
    </w:p>
    <w:p w14:paraId="1EC2CD52" w14:textId="77777777" w:rsidR="00481A6C" w:rsidRDefault="00000000" w:rsidP="0091462B">
      <w:pPr>
        <w:pStyle w:val="BodyCopy"/>
      </w:pPr>
      <w:hyperlink w:anchor="_top" w:history="1">
        <w:r w:rsidR="00481A6C" w:rsidRPr="00481A6C">
          <w:rPr>
            <w:rStyle w:val="Hyperlink"/>
            <w:iCs w:val="0"/>
          </w:rPr>
          <w:t>Back to Contents</w:t>
        </w:r>
      </w:hyperlink>
    </w:p>
    <w:p w14:paraId="324B7405" w14:textId="150E1243" w:rsidR="0078367D" w:rsidRDefault="0078367D" w:rsidP="00A6051F">
      <w:pPr>
        <w:pStyle w:val="Heading4"/>
      </w:pPr>
      <w:bookmarkStart w:id="8" w:name="_Toc177472817"/>
      <w:r w:rsidRPr="0078367D">
        <w:t xml:space="preserve">Section </w:t>
      </w:r>
      <w:r w:rsidR="00C36A35">
        <w:t>3</w:t>
      </w:r>
      <w:r w:rsidRPr="0078367D">
        <w:t xml:space="preserve"> </w:t>
      </w:r>
      <w:r w:rsidR="0093560F">
        <w:t>–</w:t>
      </w:r>
      <w:r w:rsidRPr="0078367D">
        <w:t xml:space="preserve"> </w:t>
      </w:r>
      <w:r w:rsidR="0093560F">
        <w:t>Water Deprivation Test</w:t>
      </w:r>
      <w:bookmarkEnd w:id="8"/>
    </w:p>
    <w:p w14:paraId="023F3446" w14:textId="77777777" w:rsidR="0093560F" w:rsidRPr="00DA769F" w:rsidRDefault="0093560F" w:rsidP="0093560F">
      <w:pPr>
        <w:rPr>
          <w:b/>
          <w:bCs/>
        </w:rPr>
      </w:pPr>
      <w:bookmarkStart w:id="9" w:name="_Toc413834824"/>
      <w:r w:rsidRPr="00DA769F">
        <w:rPr>
          <w:b/>
          <w:bCs/>
        </w:rPr>
        <w:t>Purpose</w:t>
      </w:r>
      <w:bookmarkEnd w:id="9"/>
    </w:p>
    <w:p w14:paraId="4DC504CC" w14:textId="77777777" w:rsidR="0093560F" w:rsidRPr="00BF5E3D" w:rsidRDefault="0093560F" w:rsidP="0093560F">
      <w:pPr>
        <w:rPr>
          <w:rFonts w:asciiTheme="minorHAnsi" w:hAnsiTheme="minorHAnsi" w:cstheme="minorHAnsi"/>
        </w:rPr>
      </w:pPr>
      <w:r w:rsidRPr="00281376">
        <w:t>Water deprivation is most commonly used in patients presenting with polyuria and polydipsia to assist in distinguishing central diabetes insipidus (DI), nephrogenic diabetes insipidus and psychogenic (habitual) water drinking (Primary Polydipsia). Under normal circumstances, water deprivation is associated with declining urine volumes, increasing urine osmolality and maintenance of normal serum osmolality. Such effects are mediated by increased anti-diuretic hormone (ADH) (vasopressin) secretion by the posterior pituitary and its action on the collecting ducts of the kidney. A test dose of desmopressin may be given at the end of the test if needed to distinguish between central and nephrogenic DI</w:t>
      </w:r>
      <w:r w:rsidRPr="00BF5E3D">
        <w:rPr>
          <w:rFonts w:asciiTheme="minorHAnsi" w:hAnsiTheme="minorHAnsi" w:cstheme="minorHAnsi"/>
          <w:spacing w:val="-3"/>
        </w:rPr>
        <w:t>.</w:t>
      </w:r>
      <w:r w:rsidRPr="00BF5E3D">
        <w:rPr>
          <w:rFonts w:asciiTheme="minorHAnsi" w:hAnsiTheme="minorHAnsi" w:cstheme="minorHAnsi"/>
        </w:rPr>
        <w:t xml:space="preserve">     </w:t>
      </w:r>
    </w:p>
    <w:p w14:paraId="69F6678A" w14:textId="77777777" w:rsidR="0093560F" w:rsidRPr="00DA769F" w:rsidRDefault="0093560F" w:rsidP="00C36A35">
      <w:pPr>
        <w:pStyle w:val="Heading5"/>
        <w:pBdr>
          <w:top w:val="single" w:sz="4" w:space="1" w:color="auto"/>
          <w:left w:val="single" w:sz="4" w:space="4" w:color="auto"/>
          <w:bottom w:val="single" w:sz="4" w:space="1" w:color="auto"/>
          <w:right w:val="single" w:sz="4" w:space="4" w:color="auto"/>
        </w:pBdr>
      </w:pPr>
      <w:bookmarkStart w:id="10" w:name="_Toc413834825"/>
      <w:r w:rsidRPr="00DA769F">
        <w:lastRenderedPageBreak/>
        <w:t>Alerts</w:t>
      </w:r>
      <w:bookmarkEnd w:id="10"/>
      <w:r>
        <w:t>:</w:t>
      </w:r>
    </w:p>
    <w:p w14:paraId="2CEF00D6" w14:textId="77777777" w:rsidR="0093560F" w:rsidRDefault="0093560F" w:rsidP="00C36A35">
      <w:pPr>
        <w:pStyle w:val="Bullet"/>
        <w:pBdr>
          <w:top w:val="single" w:sz="4" w:space="1" w:color="auto"/>
          <w:left w:val="single" w:sz="4" w:space="4" w:color="auto"/>
          <w:bottom w:val="single" w:sz="4" w:space="1" w:color="auto"/>
          <w:right w:val="single" w:sz="4" w:space="4" w:color="auto"/>
        </w:pBdr>
      </w:pPr>
      <w:r w:rsidRPr="4721203F">
        <w:t xml:space="preserve">This test is potentially very dangerous and must be undertaken with great care. Patients unable to conserve water may become critically dehydrated within a few hours of water restriction. </w:t>
      </w:r>
    </w:p>
    <w:p w14:paraId="67FFD434" w14:textId="47117DD5" w:rsidR="0093560F" w:rsidRPr="007101FD" w:rsidRDefault="0093560F" w:rsidP="00C36A35">
      <w:pPr>
        <w:pStyle w:val="Bullet"/>
        <w:pBdr>
          <w:top w:val="single" w:sz="4" w:space="1" w:color="auto"/>
          <w:left w:val="single" w:sz="4" w:space="4" w:color="auto"/>
          <w:bottom w:val="single" w:sz="4" w:space="1" w:color="auto"/>
          <w:right w:val="single" w:sz="4" w:space="4" w:color="auto"/>
        </w:pBdr>
      </w:pPr>
      <w:r>
        <w:t>T</w:t>
      </w:r>
      <w:r w:rsidRPr="002010D1">
        <w:t>he test should not be performed</w:t>
      </w:r>
      <w:r>
        <w:t xml:space="preserve"> i</w:t>
      </w:r>
      <w:r w:rsidRPr="002010D1">
        <w:t>n patients with a history of seizures or cardiovascular or cerebrovascular disease</w:t>
      </w:r>
      <w:r w:rsidR="00C36A35">
        <w:t>.</w:t>
      </w:r>
      <w:r w:rsidRPr="002010D1">
        <w:t xml:space="preserve"> </w:t>
      </w:r>
    </w:p>
    <w:p w14:paraId="5C7CAD26" w14:textId="77777777" w:rsidR="0093560F" w:rsidRPr="002010D1" w:rsidRDefault="0093560F" w:rsidP="00C36A35">
      <w:pPr>
        <w:pStyle w:val="Bullet"/>
        <w:pBdr>
          <w:top w:val="single" w:sz="4" w:space="1" w:color="auto"/>
          <w:left w:val="single" w:sz="4" w:space="4" w:color="auto"/>
          <w:bottom w:val="single" w:sz="4" w:space="1" w:color="auto"/>
          <w:right w:val="single" w:sz="4" w:space="4" w:color="auto"/>
        </w:pBdr>
      </w:pPr>
      <w:r w:rsidRPr="4721203F">
        <w:rPr>
          <w:rFonts w:eastAsiaTheme="minorEastAsia"/>
        </w:rPr>
        <w:t>Water Deprivation test can only be ordered by an Endocrinologist or Endocrinology Registrar.</w:t>
      </w:r>
    </w:p>
    <w:p w14:paraId="360B77FA" w14:textId="77777777" w:rsidR="0093560F" w:rsidRPr="002010D1" w:rsidRDefault="0093560F" w:rsidP="00C36A35">
      <w:pPr>
        <w:pStyle w:val="Bullet"/>
        <w:pBdr>
          <w:top w:val="single" w:sz="4" w:space="1" w:color="auto"/>
          <w:left w:val="single" w:sz="4" w:space="4" w:color="auto"/>
          <w:bottom w:val="single" w:sz="4" w:space="1" w:color="auto"/>
          <w:right w:val="single" w:sz="4" w:space="4" w:color="auto"/>
        </w:pBdr>
      </w:pPr>
      <w:r w:rsidRPr="4721203F">
        <w:rPr>
          <w:rFonts w:eastAsiaTheme="minorEastAsia"/>
        </w:rPr>
        <w:t>Inpatient (day stay) test either in Endocrine Unit procedure room or Endocrine Ward.</w:t>
      </w:r>
    </w:p>
    <w:p w14:paraId="71067E3F" w14:textId="77777777" w:rsidR="0093560F" w:rsidRPr="002010D1" w:rsidRDefault="0093560F" w:rsidP="00C36A35">
      <w:pPr>
        <w:pStyle w:val="Bullet"/>
        <w:pBdr>
          <w:top w:val="single" w:sz="4" w:space="1" w:color="auto"/>
          <w:left w:val="single" w:sz="4" w:space="4" w:color="auto"/>
          <w:bottom w:val="single" w:sz="4" w:space="1" w:color="auto"/>
          <w:right w:val="single" w:sz="4" w:space="4" w:color="auto"/>
        </w:pBdr>
      </w:pPr>
      <w:r w:rsidRPr="4721203F">
        <w:rPr>
          <w:rFonts w:eastAsiaTheme="minorEastAsia"/>
        </w:rPr>
        <w:t>Fasting and water restriction commencement time determined by referring Endocrinologist.</w:t>
      </w:r>
    </w:p>
    <w:p w14:paraId="21261B38" w14:textId="77777777" w:rsidR="0093560F" w:rsidRPr="002010D1" w:rsidRDefault="0093560F" w:rsidP="00C36A35">
      <w:pPr>
        <w:pStyle w:val="Bullet"/>
        <w:pBdr>
          <w:top w:val="single" w:sz="4" w:space="1" w:color="auto"/>
          <w:left w:val="single" w:sz="4" w:space="4" w:color="auto"/>
          <w:bottom w:val="single" w:sz="4" w:space="1" w:color="auto"/>
          <w:right w:val="single" w:sz="4" w:space="4" w:color="auto"/>
        </w:pBdr>
      </w:pPr>
      <w:r w:rsidRPr="4721203F">
        <w:rPr>
          <w:rFonts w:eastAsiaTheme="minorEastAsia"/>
        </w:rPr>
        <w:t>Patient must remain fasted throughout test.</w:t>
      </w:r>
    </w:p>
    <w:p w14:paraId="4DEEEF36" w14:textId="77777777" w:rsidR="0093560F" w:rsidRPr="002010D1" w:rsidRDefault="0093560F" w:rsidP="00C36A35">
      <w:pPr>
        <w:pStyle w:val="Bullet"/>
        <w:pBdr>
          <w:top w:val="single" w:sz="4" w:space="1" w:color="auto"/>
          <w:left w:val="single" w:sz="4" w:space="4" w:color="auto"/>
          <w:bottom w:val="single" w:sz="4" w:space="1" w:color="auto"/>
          <w:right w:val="single" w:sz="4" w:space="4" w:color="auto"/>
        </w:pBdr>
      </w:pPr>
      <w:r w:rsidRPr="4721203F">
        <w:rPr>
          <w:rFonts w:eastAsiaTheme="minorEastAsia"/>
        </w:rPr>
        <w:t xml:space="preserve">Patient must be observed constantly for the duration of the test. </w:t>
      </w:r>
    </w:p>
    <w:p w14:paraId="625BC97A" w14:textId="77777777" w:rsidR="0093560F" w:rsidRPr="002010D1" w:rsidRDefault="0093560F" w:rsidP="00C36A35">
      <w:pPr>
        <w:pStyle w:val="Bullet"/>
        <w:pBdr>
          <w:top w:val="single" w:sz="4" w:space="1" w:color="auto"/>
          <w:left w:val="single" w:sz="4" w:space="4" w:color="auto"/>
          <w:bottom w:val="single" w:sz="4" w:space="1" w:color="auto"/>
          <w:right w:val="single" w:sz="4" w:space="4" w:color="auto"/>
        </w:pBdr>
      </w:pPr>
      <w:r w:rsidRPr="4721203F">
        <w:rPr>
          <w:rFonts w:eastAsiaTheme="minorEastAsia"/>
        </w:rPr>
        <w:t>Fluid balance must be recorded for the duration of the test.</w:t>
      </w:r>
    </w:p>
    <w:p w14:paraId="764D2582" w14:textId="77777777" w:rsidR="0093560F" w:rsidRPr="0069740F" w:rsidRDefault="0093560F" w:rsidP="00C36A35">
      <w:pPr>
        <w:pStyle w:val="Bullet"/>
        <w:pBdr>
          <w:top w:val="single" w:sz="4" w:space="1" w:color="auto"/>
          <w:left w:val="single" w:sz="4" w:space="4" w:color="auto"/>
          <w:bottom w:val="single" w:sz="4" w:space="1" w:color="auto"/>
          <w:right w:val="single" w:sz="4" w:space="4" w:color="auto"/>
        </w:pBdr>
        <w:rPr>
          <w:rFonts w:cs="Times New Roman"/>
          <w:color w:val="auto"/>
        </w:rPr>
      </w:pPr>
      <w:r w:rsidRPr="4721203F">
        <w:rPr>
          <w:rFonts w:eastAsiaTheme="minorEastAsia"/>
        </w:rPr>
        <w:t>Notify Clinical Chemistry/Endocrine laboratory at ACT Pathology (preferably with 48 hours) of date/time and patient details and confirm with laboratory on morning of the test prior to commencement.</w:t>
      </w:r>
    </w:p>
    <w:p w14:paraId="08A4E46A" w14:textId="77777777" w:rsidR="0093560F" w:rsidRPr="0069740F" w:rsidRDefault="0093560F" w:rsidP="00C36A35">
      <w:pPr>
        <w:pStyle w:val="Bullet"/>
        <w:pBdr>
          <w:top w:val="single" w:sz="4" w:space="1" w:color="auto"/>
          <w:left w:val="single" w:sz="4" w:space="4" w:color="auto"/>
          <w:bottom w:val="single" w:sz="4" w:space="1" w:color="auto"/>
          <w:right w:val="single" w:sz="4" w:space="4" w:color="auto"/>
        </w:pBdr>
        <w:rPr>
          <w:rFonts w:cs="Times New Roman"/>
          <w:color w:val="auto"/>
        </w:rPr>
      </w:pPr>
      <w:r>
        <w:t xml:space="preserve">Desmopressin </w:t>
      </w:r>
      <w:r w:rsidRPr="002010D1">
        <w:t>administration</w:t>
      </w:r>
      <w:r w:rsidRPr="002010D1">
        <w:rPr>
          <w:spacing w:val="36"/>
        </w:rPr>
        <w:t xml:space="preserve"> </w:t>
      </w:r>
      <w:r w:rsidRPr="002010D1">
        <w:rPr>
          <w:spacing w:val="-2"/>
        </w:rPr>
        <w:t>at</w:t>
      </w:r>
      <w:r w:rsidRPr="002010D1">
        <w:rPr>
          <w:spacing w:val="36"/>
        </w:rPr>
        <w:t xml:space="preserve"> </w:t>
      </w:r>
      <w:r w:rsidRPr="002010D1">
        <w:rPr>
          <w:spacing w:val="-2"/>
        </w:rPr>
        <w:t>the</w:t>
      </w:r>
      <w:r w:rsidRPr="002010D1">
        <w:rPr>
          <w:spacing w:val="36"/>
        </w:rPr>
        <w:t xml:space="preserve"> </w:t>
      </w:r>
      <w:r w:rsidRPr="002010D1">
        <w:rPr>
          <w:spacing w:val="-2"/>
        </w:rPr>
        <w:t>end</w:t>
      </w:r>
      <w:r w:rsidRPr="002010D1">
        <w:rPr>
          <w:spacing w:val="35"/>
        </w:rPr>
        <w:t xml:space="preserve"> </w:t>
      </w:r>
      <w:r w:rsidRPr="002010D1">
        <w:rPr>
          <w:spacing w:val="-2"/>
        </w:rPr>
        <w:t>of</w:t>
      </w:r>
      <w:r w:rsidRPr="002010D1">
        <w:rPr>
          <w:spacing w:val="36"/>
        </w:rPr>
        <w:t xml:space="preserve"> </w:t>
      </w:r>
      <w:r w:rsidRPr="002010D1">
        <w:t>a</w:t>
      </w:r>
      <w:r w:rsidRPr="002010D1">
        <w:rPr>
          <w:spacing w:val="52"/>
        </w:rPr>
        <w:t xml:space="preserve"> </w:t>
      </w:r>
      <w:r w:rsidRPr="002010D1">
        <w:t>test</w:t>
      </w:r>
      <w:r w:rsidRPr="002010D1">
        <w:rPr>
          <w:spacing w:val="-5"/>
        </w:rPr>
        <w:t xml:space="preserve"> </w:t>
      </w:r>
      <w:r w:rsidRPr="002010D1">
        <w:t>needs</w:t>
      </w:r>
      <w:r w:rsidRPr="002010D1">
        <w:rPr>
          <w:spacing w:val="-5"/>
        </w:rPr>
        <w:t xml:space="preserve"> </w:t>
      </w:r>
      <w:r w:rsidRPr="002010D1">
        <w:t>careful</w:t>
      </w:r>
      <w:r w:rsidRPr="002010D1">
        <w:rPr>
          <w:spacing w:val="-6"/>
        </w:rPr>
        <w:t xml:space="preserve"> </w:t>
      </w:r>
      <w:r w:rsidRPr="002010D1">
        <w:t>supervision</w:t>
      </w:r>
      <w:r w:rsidRPr="002010D1">
        <w:rPr>
          <w:spacing w:val="-6"/>
        </w:rPr>
        <w:t xml:space="preserve"> </w:t>
      </w:r>
      <w:r w:rsidRPr="002010D1">
        <w:rPr>
          <w:spacing w:val="-2"/>
        </w:rPr>
        <w:t>to</w:t>
      </w:r>
      <w:r w:rsidRPr="002010D1">
        <w:rPr>
          <w:spacing w:val="-4"/>
        </w:rPr>
        <w:t xml:space="preserve"> </w:t>
      </w:r>
      <w:r w:rsidRPr="002010D1">
        <w:t>avoid</w:t>
      </w:r>
      <w:r w:rsidRPr="002010D1">
        <w:rPr>
          <w:spacing w:val="-4"/>
        </w:rPr>
        <w:t xml:space="preserve"> </w:t>
      </w:r>
      <w:r w:rsidRPr="002010D1">
        <w:t>over hydration</w:t>
      </w:r>
      <w:r w:rsidRPr="002010D1">
        <w:rPr>
          <w:spacing w:val="-4"/>
        </w:rPr>
        <w:t xml:space="preserve"> </w:t>
      </w:r>
      <w:r w:rsidRPr="002010D1">
        <w:rPr>
          <w:spacing w:val="-2"/>
        </w:rPr>
        <w:t>and</w:t>
      </w:r>
      <w:r w:rsidRPr="002010D1">
        <w:rPr>
          <w:spacing w:val="-6"/>
        </w:rPr>
        <w:t xml:space="preserve"> </w:t>
      </w:r>
      <w:r w:rsidRPr="002010D1">
        <w:t>electrolyte disturbance. The patient will need education regarding avoiding excessive fluid intake for several hours after discharge</w:t>
      </w:r>
      <w:r>
        <w:t>.</w:t>
      </w:r>
    </w:p>
    <w:p w14:paraId="59B1A7DA" w14:textId="77777777" w:rsidR="0093560F" w:rsidRPr="00804B32" w:rsidRDefault="0093560F" w:rsidP="00C36A35">
      <w:pPr>
        <w:pStyle w:val="Heading5"/>
      </w:pPr>
      <w:r w:rsidRPr="002010D1">
        <w:t xml:space="preserve">Equipment </w:t>
      </w:r>
    </w:p>
    <w:p w14:paraId="0F812E77" w14:textId="77777777" w:rsidR="0093560F" w:rsidRPr="00C36A35" w:rsidRDefault="0093560F" w:rsidP="00C36A35">
      <w:pPr>
        <w:pStyle w:val="Bullet"/>
      </w:pPr>
      <w:r w:rsidRPr="00C36A35">
        <w:t>DHR request with desmopressin order</w:t>
      </w:r>
    </w:p>
    <w:p w14:paraId="69E03DA8" w14:textId="1761171A" w:rsidR="0093560F" w:rsidRPr="00C36A35" w:rsidRDefault="0093560F" w:rsidP="00C36A35">
      <w:pPr>
        <w:pStyle w:val="Bullet"/>
      </w:pPr>
      <w:r w:rsidRPr="00C36A35">
        <w:t xml:space="preserve">Water </w:t>
      </w:r>
      <w:r w:rsidR="00C36A35">
        <w:t>D</w:t>
      </w:r>
      <w:r w:rsidRPr="00C36A35">
        <w:t>eprivation Test is a dynamic order in DHR that will include hourly urine sodium and osmolality orders</w:t>
      </w:r>
    </w:p>
    <w:p w14:paraId="5AAA393C" w14:textId="77777777" w:rsidR="0093560F" w:rsidRPr="00C36A35" w:rsidRDefault="0093560F" w:rsidP="00C36A35">
      <w:pPr>
        <w:pStyle w:val="Bullet"/>
      </w:pPr>
      <w:r w:rsidRPr="00C36A35">
        <w:rPr>
          <w:rStyle w:val="cf01"/>
          <w:rFonts w:ascii="Arial" w:hAnsi="Arial" w:cs="Arial"/>
          <w:sz w:val="24"/>
          <w:szCs w:val="24"/>
        </w:rPr>
        <w:t>Serum EUC and Osmo must be individually ordered and collected, and results will be integrated into the Dynamic summary</w:t>
      </w:r>
    </w:p>
    <w:p w14:paraId="4F629F84" w14:textId="012157D3" w:rsidR="0093560F" w:rsidRPr="00C36A35" w:rsidRDefault="0093560F" w:rsidP="00C36A35">
      <w:pPr>
        <w:pStyle w:val="Bullet"/>
      </w:pPr>
      <w:r w:rsidRPr="00C36A35">
        <w:t xml:space="preserve">Order desmopressin from pharmacy via </w:t>
      </w:r>
      <w:r w:rsidR="00571969">
        <w:t>Medication Administration Record (</w:t>
      </w:r>
      <w:r w:rsidRPr="00C36A35">
        <w:t>MAR</w:t>
      </w:r>
      <w:r w:rsidR="00571969">
        <w:t>)</w:t>
      </w:r>
      <w:r w:rsidRPr="00C36A35">
        <w:t xml:space="preserve"> medication request function</w:t>
      </w:r>
    </w:p>
    <w:p w14:paraId="158E7A4D" w14:textId="77777777" w:rsidR="0093560F" w:rsidRPr="00C36A35" w:rsidRDefault="0093560F" w:rsidP="00C36A35">
      <w:pPr>
        <w:pStyle w:val="Bullet"/>
      </w:pPr>
      <w:r w:rsidRPr="00C36A35">
        <w:t>PPE – goggles, gloves</w:t>
      </w:r>
    </w:p>
    <w:p w14:paraId="15F68C4E" w14:textId="77777777" w:rsidR="0093560F" w:rsidRPr="00C36A35" w:rsidRDefault="0093560F" w:rsidP="00C36A35">
      <w:pPr>
        <w:pStyle w:val="Bullet"/>
      </w:pPr>
      <w:r w:rsidRPr="00C36A35">
        <w:t>Vacuette Holdex</w:t>
      </w:r>
    </w:p>
    <w:p w14:paraId="2E7145E2" w14:textId="77777777" w:rsidR="0093560F" w:rsidRPr="00C36A35" w:rsidRDefault="0093560F" w:rsidP="00C36A35">
      <w:pPr>
        <w:pStyle w:val="Bullet"/>
      </w:pPr>
      <w:r w:rsidRPr="00C36A35">
        <w:t>21 gauge Hypodermic needles (multiple)</w:t>
      </w:r>
    </w:p>
    <w:p w14:paraId="4A92B5C2" w14:textId="77777777" w:rsidR="0093560F" w:rsidRPr="00C36A35" w:rsidRDefault="0093560F" w:rsidP="00C36A35">
      <w:pPr>
        <w:pStyle w:val="Bullet"/>
      </w:pPr>
      <w:r w:rsidRPr="00C36A35">
        <w:t>Alcohol wipes</w:t>
      </w:r>
    </w:p>
    <w:p w14:paraId="7953B854" w14:textId="77777777" w:rsidR="0093560F" w:rsidRPr="00C36A35" w:rsidRDefault="0093560F" w:rsidP="00C36A35">
      <w:pPr>
        <w:pStyle w:val="Bullet"/>
      </w:pPr>
      <w:r w:rsidRPr="00C36A35">
        <w:t>Dry injection swab Pur-zellin</w:t>
      </w:r>
    </w:p>
    <w:p w14:paraId="1BD35B17" w14:textId="77777777" w:rsidR="0093560F" w:rsidRPr="00C36A35" w:rsidRDefault="0093560F" w:rsidP="00C36A35">
      <w:pPr>
        <w:pStyle w:val="Bullet"/>
      </w:pPr>
      <w:r w:rsidRPr="00C36A35">
        <w:t>Tourniquet</w:t>
      </w:r>
    </w:p>
    <w:p w14:paraId="165A3C7A" w14:textId="77777777" w:rsidR="0093560F" w:rsidRPr="00C36A35" w:rsidRDefault="0093560F" w:rsidP="00C36A35">
      <w:pPr>
        <w:pStyle w:val="Bullet"/>
      </w:pPr>
      <w:r w:rsidRPr="00C36A35">
        <w:t>Serum tubes (multiple)</w:t>
      </w:r>
    </w:p>
    <w:p w14:paraId="1ECED3DD" w14:textId="77777777" w:rsidR="0093560F" w:rsidRPr="00C36A35" w:rsidRDefault="0093560F" w:rsidP="00C36A35">
      <w:pPr>
        <w:pStyle w:val="Bullet"/>
      </w:pPr>
      <w:r w:rsidRPr="00C36A35">
        <w:t>Yellow top urine specimen jars (multiple)</w:t>
      </w:r>
    </w:p>
    <w:p w14:paraId="7FA279F5" w14:textId="77777777" w:rsidR="0093560F" w:rsidRPr="00C36A35" w:rsidRDefault="0093560F" w:rsidP="00C36A35">
      <w:pPr>
        <w:pStyle w:val="Bullet"/>
      </w:pPr>
      <w:r w:rsidRPr="00C36A35">
        <w:t>Measuring jug</w:t>
      </w:r>
    </w:p>
    <w:p w14:paraId="172DA072" w14:textId="77777777" w:rsidR="0093560F" w:rsidRPr="00C36A35" w:rsidRDefault="0093560F" w:rsidP="00C36A35">
      <w:pPr>
        <w:pStyle w:val="Bullet"/>
      </w:pPr>
      <w:r w:rsidRPr="00C36A35">
        <w:t>Urinal or bedpan</w:t>
      </w:r>
    </w:p>
    <w:p w14:paraId="4C70F361" w14:textId="77777777" w:rsidR="0093560F" w:rsidRPr="00C36A35" w:rsidRDefault="0093560F" w:rsidP="00C36A35">
      <w:pPr>
        <w:pStyle w:val="Bullet"/>
      </w:pPr>
      <w:r w:rsidRPr="00C36A35">
        <w:lastRenderedPageBreak/>
        <w:t>Urine testing equipment (Clinitek 50 urinalysis machine or Siemens Multistix strips for urinalysis)</w:t>
      </w:r>
    </w:p>
    <w:p w14:paraId="2435B265" w14:textId="77777777" w:rsidR="0093560F" w:rsidRPr="00C36A35" w:rsidRDefault="0093560F" w:rsidP="00C36A35">
      <w:pPr>
        <w:pStyle w:val="Bullet"/>
      </w:pPr>
      <w:r w:rsidRPr="00C36A35">
        <w:t>Pathology Specimen bags (multiple)</w:t>
      </w:r>
    </w:p>
    <w:p w14:paraId="3B09A495" w14:textId="77777777" w:rsidR="0093560F" w:rsidRPr="00C36A35" w:rsidRDefault="0093560F" w:rsidP="00C36A35">
      <w:pPr>
        <w:pStyle w:val="Bullet"/>
      </w:pPr>
      <w:r w:rsidRPr="00C36A35">
        <w:t>Weight scales (for patient)</w:t>
      </w:r>
    </w:p>
    <w:p w14:paraId="7BFBC470" w14:textId="77777777" w:rsidR="0093560F" w:rsidRPr="00C36A35" w:rsidRDefault="0093560F" w:rsidP="00C36A35">
      <w:pPr>
        <w:pStyle w:val="Bullet"/>
      </w:pPr>
      <w:r w:rsidRPr="00C36A35">
        <w:t>Sphygmomanometer</w:t>
      </w:r>
    </w:p>
    <w:p w14:paraId="04ABF480" w14:textId="77777777" w:rsidR="0093560F" w:rsidRPr="00C36A35" w:rsidRDefault="0093560F" w:rsidP="00C36A35">
      <w:pPr>
        <w:pStyle w:val="Bullet"/>
      </w:pPr>
      <w:r w:rsidRPr="00C36A35">
        <w:t>MEWS Observation Chart, Fluid Balance Chart, Progress Note, Consent Form in Flowsheets (DHR)</w:t>
      </w:r>
    </w:p>
    <w:p w14:paraId="5DE2FC01" w14:textId="77777777" w:rsidR="0093560F" w:rsidRPr="002010D1" w:rsidRDefault="0093560F" w:rsidP="00571969">
      <w:pPr>
        <w:pStyle w:val="Heading5"/>
      </w:pPr>
      <w:r w:rsidRPr="002010D1">
        <w:t xml:space="preserve">Procedure </w:t>
      </w:r>
    </w:p>
    <w:p w14:paraId="67EA9F3B" w14:textId="77777777" w:rsidR="0093560F" w:rsidRPr="002010D1" w:rsidRDefault="0093560F" w:rsidP="00571969">
      <w:pPr>
        <w:pStyle w:val="Numberedlist"/>
        <w:numPr>
          <w:ilvl w:val="0"/>
          <w:numId w:val="31"/>
        </w:numPr>
      </w:pPr>
      <w:r w:rsidRPr="002010D1">
        <w:t>Admit patient and obtain written consent for the procedure (</w:t>
      </w:r>
      <w:r>
        <w:t>resident medical officer</w:t>
      </w:r>
      <w:r w:rsidRPr="002010D1">
        <w:t xml:space="preserve"> </w:t>
      </w:r>
      <w:r>
        <w:t>m</w:t>
      </w:r>
      <w:r w:rsidRPr="002010D1">
        <w:t>edical admission).</w:t>
      </w:r>
    </w:p>
    <w:p w14:paraId="2EEB97B7" w14:textId="77777777" w:rsidR="0093560F" w:rsidRPr="002010D1" w:rsidRDefault="0093560F" w:rsidP="00571969">
      <w:pPr>
        <w:pStyle w:val="Numberedlist"/>
        <w:numPr>
          <w:ilvl w:val="0"/>
          <w:numId w:val="31"/>
        </w:numPr>
      </w:pPr>
      <w:r w:rsidRPr="002010D1">
        <w:t>Confirm identity of patient using 3 identifying elements (name, date of birth, URN or address) and apply identification/allergy bands.</w:t>
      </w:r>
    </w:p>
    <w:p w14:paraId="1F2815EF" w14:textId="77777777" w:rsidR="0093560F" w:rsidRDefault="0093560F" w:rsidP="00571969">
      <w:pPr>
        <w:pStyle w:val="Numberedlist"/>
        <w:numPr>
          <w:ilvl w:val="0"/>
          <w:numId w:val="31"/>
        </w:numPr>
      </w:pPr>
      <w:r w:rsidRPr="002010D1">
        <w:t>Explain the procedure to the patient and ensure patient comfort.</w:t>
      </w:r>
    </w:p>
    <w:p w14:paraId="5FDE2C1E" w14:textId="77777777" w:rsidR="0093560F" w:rsidRPr="002010D1" w:rsidRDefault="0093560F" w:rsidP="00571969">
      <w:pPr>
        <w:pStyle w:val="Numberedlist"/>
        <w:numPr>
          <w:ilvl w:val="0"/>
          <w:numId w:val="31"/>
        </w:numPr>
      </w:pPr>
      <w:r>
        <w:t>The Water Deprivation Test is a dynamic order in the DHR that includes hourly ‘Urine Osmolality and Sodium’ orders. ‘Serum EUC and Osmolality’ must be individually ordered and collected, and results integrated into the dynamic summary.</w:t>
      </w:r>
    </w:p>
    <w:p w14:paraId="694F60E0" w14:textId="77777777" w:rsidR="0093560F" w:rsidRPr="002010D1" w:rsidRDefault="0093560F" w:rsidP="00571969">
      <w:pPr>
        <w:pStyle w:val="Numberedlist"/>
        <w:numPr>
          <w:ilvl w:val="0"/>
          <w:numId w:val="31"/>
        </w:numPr>
      </w:pPr>
      <w:r w:rsidRPr="002010D1">
        <w:t xml:space="preserve">Obtain and document </w:t>
      </w:r>
      <w:r>
        <w:t xml:space="preserve">the patient’s </w:t>
      </w:r>
      <w:r w:rsidRPr="002010D1">
        <w:t xml:space="preserve">baseline observations including </w:t>
      </w:r>
      <w:r>
        <w:t>b</w:t>
      </w:r>
      <w:r w:rsidRPr="002010D1">
        <w:t xml:space="preserve">lood pressure – lying and standing, pulse, respirations, </w:t>
      </w:r>
      <w:r>
        <w:t>o</w:t>
      </w:r>
      <w:r w:rsidRPr="002010D1">
        <w:t>xygen saturation, temperature, weight (dressed but shoes removed), allergies and fasting commencement time.</w:t>
      </w:r>
    </w:p>
    <w:p w14:paraId="25445362" w14:textId="77777777" w:rsidR="0093560F" w:rsidRPr="002010D1" w:rsidRDefault="0093560F" w:rsidP="00571969">
      <w:pPr>
        <w:pStyle w:val="Numberedlist"/>
        <w:numPr>
          <w:ilvl w:val="0"/>
          <w:numId w:val="31"/>
        </w:numPr>
      </w:pPr>
      <w:r w:rsidRPr="002010D1">
        <w:t>Collect blood and urine samples, weight and observations as per table below</w:t>
      </w:r>
      <w:r>
        <w:t>:</w:t>
      </w:r>
    </w:p>
    <w:tbl>
      <w:tblPr>
        <w:tblStyle w:val="TableGrid"/>
        <w:tblW w:w="0" w:type="auto"/>
        <w:tblInd w:w="137" w:type="dxa"/>
        <w:tblLook w:val="04A0" w:firstRow="1" w:lastRow="0" w:firstColumn="1" w:lastColumn="0" w:noHBand="0" w:noVBand="1"/>
      </w:tblPr>
      <w:tblGrid>
        <w:gridCol w:w="4536"/>
        <w:gridCol w:w="4536"/>
      </w:tblGrid>
      <w:tr w:rsidR="0093560F" w:rsidRPr="002010D1" w14:paraId="04348AD3" w14:textId="77777777" w:rsidTr="00571969">
        <w:tc>
          <w:tcPr>
            <w:tcW w:w="4536" w:type="dxa"/>
          </w:tcPr>
          <w:p w14:paraId="28FF4C24" w14:textId="77777777" w:rsidR="0093560F" w:rsidRPr="00C83827" w:rsidRDefault="0093560F" w:rsidP="00571969">
            <w:pPr>
              <w:pStyle w:val="Tableheader-black"/>
            </w:pPr>
            <w:r w:rsidRPr="00C83827">
              <w:t>Test</w:t>
            </w:r>
          </w:p>
        </w:tc>
        <w:tc>
          <w:tcPr>
            <w:tcW w:w="4536" w:type="dxa"/>
          </w:tcPr>
          <w:p w14:paraId="6518D1C6" w14:textId="77777777" w:rsidR="0093560F" w:rsidRPr="00C83827" w:rsidRDefault="0093560F" w:rsidP="00571969">
            <w:pPr>
              <w:pStyle w:val="Tableheader-black"/>
            </w:pPr>
            <w:r w:rsidRPr="00C83827">
              <w:t>Time completed</w:t>
            </w:r>
          </w:p>
        </w:tc>
      </w:tr>
      <w:tr w:rsidR="0093560F" w:rsidRPr="002010D1" w14:paraId="5BECF2AF" w14:textId="77777777" w:rsidTr="00571969">
        <w:tc>
          <w:tcPr>
            <w:tcW w:w="4536" w:type="dxa"/>
          </w:tcPr>
          <w:p w14:paraId="6EBE77B9" w14:textId="77777777" w:rsidR="0093560F" w:rsidRDefault="0093560F" w:rsidP="00571969">
            <w:pPr>
              <w:pStyle w:val="Tablebody"/>
            </w:pPr>
            <w:r>
              <w:t>Serum Osmolality and EUC+/- copeptin</w:t>
            </w:r>
          </w:p>
        </w:tc>
        <w:tc>
          <w:tcPr>
            <w:tcW w:w="4536" w:type="dxa"/>
          </w:tcPr>
          <w:p w14:paraId="1C03E174" w14:textId="6530BB9E" w:rsidR="0093560F" w:rsidRPr="002010D1" w:rsidRDefault="0093560F" w:rsidP="00571969">
            <w:pPr>
              <w:pStyle w:val="Tablebody"/>
            </w:pPr>
            <w:r>
              <w:t>Base Line (08:00)</w:t>
            </w:r>
          </w:p>
        </w:tc>
      </w:tr>
      <w:tr w:rsidR="0093560F" w:rsidRPr="002010D1" w14:paraId="2A28DF79" w14:textId="77777777" w:rsidTr="00571969">
        <w:tc>
          <w:tcPr>
            <w:tcW w:w="4536" w:type="dxa"/>
          </w:tcPr>
          <w:p w14:paraId="2C2711B8" w14:textId="77777777" w:rsidR="0093560F" w:rsidRPr="002010D1" w:rsidRDefault="0093560F" w:rsidP="00571969">
            <w:pPr>
              <w:pStyle w:val="Tablebody"/>
            </w:pPr>
            <w:r>
              <w:t>Serum Osmolality and EUC +/- copeptin</w:t>
            </w:r>
          </w:p>
        </w:tc>
        <w:tc>
          <w:tcPr>
            <w:tcW w:w="4536" w:type="dxa"/>
          </w:tcPr>
          <w:p w14:paraId="71DF9A21" w14:textId="77777777" w:rsidR="0093560F" w:rsidRPr="002010D1" w:rsidRDefault="0093560F" w:rsidP="00571969">
            <w:pPr>
              <w:pStyle w:val="Tablebody"/>
            </w:pPr>
            <w:r>
              <w:t>12:00 and 16:00</w:t>
            </w:r>
          </w:p>
        </w:tc>
      </w:tr>
      <w:tr w:rsidR="0093560F" w:rsidRPr="002010D1" w14:paraId="2BDB3BEF" w14:textId="77777777" w:rsidTr="00571969">
        <w:tc>
          <w:tcPr>
            <w:tcW w:w="4536" w:type="dxa"/>
          </w:tcPr>
          <w:p w14:paraId="7D11E59E" w14:textId="77777777" w:rsidR="0093560F" w:rsidRPr="002010D1" w:rsidRDefault="0093560F" w:rsidP="00571969">
            <w:pPr>
              <w:pStyle w:val="Tablebody"/>
            </w:pPr>
            <w:r w:rsidRPr="002010D1">
              <w:t xml:space="preserve">Urine Osmolality and </w:t>
            </w:r>
            <w:r>
              <w:t>EUC</w:t>
            </w:r>
            <w:r w:rsidRPr="002010D1">
              <w:t xml:space="preserve"> </w:t>
            </w:r>
          </w:p>
        </w:tc>
        <w:tc>
          <w:tcPr>
            <w:tcW w:w="4536" w:type="dxa"/>
          </w:tcPr>
          <w:p w14:paraId="32A2D53C" w14:textId="77777777" w:rsidR="0093560F" w:rsidRPr="002010D1" w:rsidRDefault="0093560F" w:rsidP="00571969">
            <w:pPr>
              <w:pStyle w:val="Tablebody"/>
            </w:pPr>
            <w:r w:rsidRPr="002010D1">
              <w:t>Hourly if able (minimum second hourly)</w:t>
            </w:r>
          </w:p>
        </w:tc>
      </w:tr>
      <w:tr w:rsidR="0093560F" w:rsidRPr="002010D1" w14:paraId="592B77B4" w14:textId="77777777" w:rsidTr="00571969">
        <w:tc>
          <w:tcPr>
            <w:tcW w:w="4536" w:type="dxa"/>
          </w:tcPr>
          <w:p w14:paraId="14971133" w14:textId="77777777" w:rsidR="0093560F" w:rsidRPr="002010D1" w:rsidRDefault="0093560F" w:rsidP="00571969">
            <w:pPr>
              <w:pStyle w:val="Tablebody"/>
            </w:pPr>
            <w:r w:rsidRPr="002010D1">
              <w:t>Weight</w:t>
            </w:r>
          </w:p>
        </w:tc>
        <w:tc>
          <w:tcPr>
            <w:tcW w:w="4536" w:type="dxa"/>
          </w:tcPr>
          <w:p w14:paraId="027B8F0C" w14:textId="77777777" w:rsidR="0093560F" w:rsidRPr="002010D1" w:rsidRDefault="0093560F" w:rsidP="00571969">
            <w:pPr>
              <w:pStyle w:val="Tablebody"/>
            </w:pPr>
            <w:r w:rsidRPr="002010D1">
              <w:t>Second hourly</w:t>
            </w:r>
          </w:p>
        </w:tc>
      </w:tr>
      <w:tr w:rsidR="0093560F" w:rsidRPr="002010D1" w14:paraId="0DF27F56" w14:textId="77777777" w:rsidTr="00571969">
        <w:tc>
          <w:tcPr>
            <w:tcW w:w="4536" w:type="dxa"/>
          </w:tcPr>
          <w:p w14:paraId="739C2502" w14:textId="77777777" w:rsidR="0093560F" w:rsidRPr="002010D1" w:rsidRDefault="0093560F" w:rsidP="00571969">
            <w:pPr>
              <w:pStyle w:val="Tablebody"/>
            </w:pPr>
            <w:r>
              <w:t>Termination</w:t>
            </w:r>
          </w:p>
        </w:tc>
        <w:tc>
          <w:tcPr>
            <w:tcW w:w="4536" w:type="dxa"/>
          </w:tcPr>
          <w:p w14:paraId="4844AECB" w14:textId="77777777" w:rsidR="0093560F" w:rsidRPr="002010D1" w:rsidRDefault="0093560F" w:rsidP="00571969">
            <w:pPr>
              <w:pStyle w:val="Tablebody"/>
            </w:pPr>
            <w:r>
              <w:t>1 hour post DDAVP</w:t>
            </w:r>
          </w:p>
        </w:tc>
      </w:tr>
    </w:tbl>
    <w:p w14:paraId="7B20022D" w14:textId="796D3D96" w:rsidR="0093560F" w:rsidRPr="00DA769F" w:rsidRDefault="0093560F" w:rsidP="00571969">
      <w:pPr>
        <w:pStyle w:val="Heading6"/>
      </w:pPr>
      <w:r w:rsidRPr="00DA769F">
        <w:t xml:space="preserve">Send pathology samples to laboratory </w:t>
      </w:r>
      <w:r>
        <w:t>after each collection</w:t>
      </w:r>
      <w:r w:rsidRPr="00DA769F">
        <w:t xml:space="preserve"> marked as </w:t>
      </w:r>
      <w:r>
        <w:t>‘</w:t>
      </w:r>
      <w:r w:rsidRPr="00DA769F">
        <w:t>URGENT</w:t>
      </w:r>
      <w:r>
        <w:t>’.</w:t>
      </w:r>
    </w:p>
    <w:p w14:paraId="2C2E9EC3" w14:textId="77777777" w:rsidR="0093560F" w:rsidRPr="00571969" w:rsidRDefault="0093560F" w:rsidP="00571969">
      <w:pPr>
        <w:pStyle w:val="Numberedlist"/>
      </w:pPr>
      <w:r w:rsidRPr="00571969">
        <w:t>Results are to be continually reviewed by Endocrinologist or Endocrine Registrar.</w:t>
      </w:r>
    </w:p>
    <w:p w14:paraId="138D57F0" w14:textId="77777777" w:rsidR="0093560F" w:rsidRPr="00571969" w:rsidRDefault="0093560F" w:rsidP="00571969">
      <w:pPr>
        <w:pStyle w:val="Numberedlist"/>
      </w:pPr>
      <w:r w:rsidRPr="00571969">
        <w:t xml:space="preserve">Record any symptoms in the patient’s clinical record. </w:t>
      </w:r>
    </w:p>
    <w:p w14:paraId="30735566" w14:textId="4E4C2B1E" w:rsidR="0093560F" w:rsidRPr="00571969" w:rsidRDefault="0093560F" w:rsidP="00571969">
      <w:pPr>
        <w:pStyle w:val="Numberedlist"/>
      </w:pPr>
      <w:r w:rsidRPr="00571969">
        <w:t xml:space="preserve">Liaise with Endocrinologist regarding cessation of the test. Water </w:t>
      </w:r>
      <w:r w:rsidR="00506036">
        <w:t>R</w:t>
      </w:r>
      <w:r w:rsidRPr="00571969">
        <w:t>estriction test in people equal to or greater than 16 years of age is continued and discussed with the Endocrinologist or Endocrine Registrar until one of the following end points is reached:</w:t>
      </w:r>
    </w:p>
    <w:p w14:paraId="53A00145" w14:textId="77777777" w:rsidR="0093560F" w:rsidRPr="00571969" w:rsidRDefault="0093560F" w:rsidP="00506036">
      <w:pPr>
        <w:pStyle w:val="Bullet"/>
        <w:numPr>
          <w:ilvl w:val="1"/>
          <w:numId w:val="1"/>
        </w:numPr>
      </w:pPr>
      <w:r w:rsidRPr="00571969">
        <w:t>the urine osmolality reaches a clearly normal value (above 600 mosmol/kg), indicating that both ADH release and effect are intact. Patients with partial DI may have a substantial rise in urine osmolality, but not to this extent</w:t>
      </w:r>
    </w:p>
    <w:p w14:paraId="3C5D9E64" w14:textId="77777777" w:rsidR="0093560F" w:rsidRPr="00571969" w:rsidRDefault="0093560F" w:rsidP="00506036">
      <w:pPr>
        <w:pStyle w:val="Bullet"/>
        <w:numPr>
          <w:ilvl w:val="1"/>
          <w:numId w:val="1"/>
        </w:numPr>
      </w:pPr>
      <w:r w:rsidRPr="00571969">
        <w:t>the urine osmolality is stable on two or three successive hourly measurements despite a rising plasma osmolality</w:t>
      </w:r>
    </w:p>
    <w:p w14:paraId="6E923280" w14:textId="77777777" w:rsidR="0093560F" w:rsidRPr="00571969" w:rsidRDefault="0093560F" w:rsidP="00506036">
      <w:pPr>
        <w:pStyle w:val="Bullet"/>
        <w:numPr>
          <w:ilvl w:val="1"/>
          <w:numId w:val="1"/>
        </w:numPr>
      </w:pPr>
      <w:r w:rsidRPr="00571969">
        <w:t>the plasma osmolality exceeds 300 mosmol/kg or the plasma sodium is greater than 145 mmol/L</w:t>
      </w:r>
    </w:p>
    <w:p w14:paraId="79A83FF9" w14:textId="5ED3B3A6" w:rsidR="0093560F" w:rsidRPr="00571969" w:rsidRDefault="00571969" w:rsidP="00506036">
      <w:pPr>
        <w:pStyle w:val="Bullet"/>
        <w:numPr>
          <w:ilvl w:val="1"/>
          <w:numId w:val="1"/>
        </w:numPr>
      </w:pPr>
      <w:r>
        <w:rPr>
          <w:rFonts w:eastAsia="Symbol"/>
        </w:rPr>
        <w:lastRenderedPageBreak/>
        <w:softHyphen/>
      </w:r>
      <w:r w:rsidR="00506036">
        <w:t xml:space="preserve">≥ </w:t>
      </w:r>
      <w:r w:rsidR="0093560F" w:rsidRPr="00571969">
        <w:t>5% dehydration (5% weight loss)</w:t>
      </w:r>
      <w:r w:rsidR="00506036">
        <w:t>.</w:t>
      </w:r>
    </w:p>
    <w:p w14:paraId="46AB2DD1" w14:textId="77777777" w:rsidR="0093560F" w:rsidRPr="00571969" w:rsidRDefault="0093560F" w:rsidP="00571969">
      <w:pPr>
        <w:pStyle w:val="Numberedlist"/>
      </w:pPr>
      <w:r w:rsidRPr="00571969">
        <w:t xml:space="preserve">In the last two settings, </w:t>
      </w:r>
      <w:hyperlink r:id="rId12" w:history="1">
        <w:r w:rsidRPr="00571969">
          <w:t>desmopressin</w:t>
        </w:r>
      </w:hyperlink>
      <w:r w:rsidRPr="00571969">
        <w:t xml:space="preserve"> is administered (10 microgram by nasal insufflation or 4 microgram subcutaneously or intravenously).</w:t>
      </w:r>
    </w:p>
    <w:p w14:paraId="3009763B" w14:textId="77777777" w:rsidR="0093560F" w:rsidRPr="00571969" w:rsidRDefault="0093560F" w:rsidP="00571969">
      <w:pPr>
        <w:pStyle w:val="Numberedlist"/>
      </w:pPr>
      <w:r w:rsidRPr="00571969">
        <w:t>Monitor urine and serum osmolality and sodium and urine volume every 30 minutes over the next two hours. The two-hour monitoring period is particularly important if there is dilatation of the urinary bladder by previous high urine volumes. In this setting, any concentrated new urine might be diluted with post-micturition residual urine (which could be as much as 200 to 400 mL). A plateau in urine osmolality should be reached in two consecutive samples prior to termination of the test.</w:t>
      </w:r>
    </w:p>
    <w:p w14:paraId="76097DF6" w14:textId="77777777" w:rsidR="0093560F" w:rsidRPr="00571969" w:rsidRDefault="0093560F" w:rsidP="00571969">
      <w:pPr>
        <w:pStyle w:val="Numberedlist"/>
      </w:pPr>
      <w:r w:rsidRPr="00571969">
        <w:t>Patient can now eat and drink. Provide meal.</w:t>
      </w:r>
    </w:p>
    <w:p w14:paraId="53CD2C2A" w14:textId="77777777" w:rsidR="0093560F" w:rsidRPr="00571969" w:rsidRDefault="0093560F" w:rsidP="00571969">
      <w:pPr>
        <w:pStyle w:val="Numberedlist"/>
      </w:pPr>
      <w:r w:rsidRPr="00571969">
        <w:t>Perform and document the patient’s vital signs immediately prior to discharge.</w:t>
      </w:r>
    </w:p>
    <w:p w14:paraId="01243901" w14:textId="77777777" w:rsidR="0093560F" w:rsidRPr="00571969" w:rsidRDefault="0093560F" w:rsidP="00571969">
      <w:pPr>
        <w:pStyle w:val="Numberedlist"/>
      </w:pPr>
      <w:r w:rsidRPr="00571969">
        <w:t>Discharge the patient.</w:t>
      </w:r>
    </w:p>
    <w:p w14:paraId="2DE0338C" w14:textId="5F9527AD" w:rsidR="00481A6C" w:rsidRDefault="0093560F" w:rsidP="00571969">
      <w:pPr>
        <w:rPr>
          <w:rStyle w:val="Hyperlink"/>
        </w:rPr>
      </w:pPr>
      <w:r w:rsidRPr="002010D1">
        <w:rPr>
          <w:rFonts w:asciiTheme="minorHAnsi" w:hAnsiTheme="minorHAnsi"/>
          <w:i/>
        </w:rPr>
        <w:t xml:space="preserve"> </w:t>
      </w:r>
      <w:hyperlink w:anchor="_top" w:history="1">
        <w:r w:rsidR="00481A6C" w:rsidRPr="00481A6C">
          <w:rPr>
            <w:rStyle w:val="Hyperlink"/>
          </w:rPr>
          <w:t>Back to Contents</w:t>
        </w:r>
      </w:hyperlink>
    </w:p>
    <w:p w14:paraId="2E15C40A" w14:textId="0DD2C0E0" w:rsidR="00506036" w:rsidRDefault="00506036" w:rsidP="00506036">
      <w:pPr>
        <w:pStyle w:val="Heading4"/>
      </w:pPr>
      <w:bookmarkStart w:id="11" w:name="_Toc177472818"/>
      <w:r w:rsidRPr="0078367D">
        <w:t xml:space="preserve">Section </w:t>
      </w:r>
      <w:r>
        <w:t>4</w:t>
      </w:r>
      <w:r w:rsidRPr="0078367D">
        <w:t xml:space="preserve"> </w:t>
      </w:r>
      <w:r>
        <w:t>–</w:t>
      </w:r>
      <w:r w:rsidRPr="0078367D">
        <w:t xml:space="preserve"> </w:t>
      </w:r>
      <w:r>
        <w:t>Growth Hormone Suppression Test</w:t>
      </w:r>
      <w:bookmarkEnd w:id="11"/>
    </w:p>
    <w:p w14:paraId="3894356D" w14:textId="77777777" w:rsidR="00506036" w:rsidRPr="00787E1F" w:rsidRDefault="00506036" w:rsidP="00506036">
      <w:pPr>
        <w:pStyle w:val="Heading5"/>
      </w:pPr>
      <w:r w:rsidRPr="00787E1F">
        <w:t>Purpose</w:t>
      </w:r>
    </w:p>
    <w:p w14:paraId="28D270D0" w14:textId="77777777" w:rsidR="00506036" w:rsidRPr="002010D1" w:rsidRDefault="00506036" w:rsidP="00506036">
      <w:pPr>
        <w:rPr>
          <w:rFonts w:cs="Tahoma"/>
        </w:rPr>
      </w:pPr>
      <w:r w:rsidRPr="002010D1">
        <w:t xml:space="preserve">This test is performed to assist in the diagnosis of </w:t>
      </w:r>
      <w:r>
        <w:t>a</w:t>
      </w:r>
      <w:r w:rsidRPr="002010D1">
        <w:t xml:space="preserve">cromegaly. </w:t>
      </w:r>
      <w:r w:rsidRPr="002010D1">
        <w:rPr>
          <w:rFonts w:cs="Tahoma"/>
        </w:rPr>
        <w:t xml:space="preserve">Growth </w:t>
      </w:r>
      <w:r>
        <w:rPr>
          <w:rFonts w:cs="Tahoma"/>
        </w:rPr>
        <w:t>h</w:t>
      </w:r>
      <w:r w:rsidRPr="002010D1">
        <w:rPr>
          <w:rFonts w:cs="Tahoma"/>
        </w:rPr>
        <w:t>ormone (GH) secretion is part of the counter-regulatory defence against hypoglycaemia and physiological GH secretion is inhibited by hyperglycaemia. In acromegaly, GH secretion is autonomous and does not suppress and may paradoxically rise with hyperglycaemia.</w:t>
      </w:r>
    </w:p>
    <w:p w14:paraId="6EFCD472" w14:textId="5C742B7F" w:rsidR="00506036" w:rsidRDefault="00506036" w:rsidP="00506036">
      <w:pPr>
        <w:pStyle w:val="Bullet"/>
        <w:numPr>
          <w:ilvl w:val="0"/>
          <w:numId w:val="0"/>
        </w:numPr>
        <w:pBdr>
          <w:top w:val="single" w:sz="4" w:space="1" w:color="auto"/>
          <w:left w:val="single" w:sz="4" w:space="4" w:color="auto"/>
          <w:bottom w:val="single" w:sz="4" w:space="1" w:color="auto"/>
          <w:right w:val="single" w:sz="4" w:space="4" w:color="auto"/>
        </w:pBdr>
        <w:ind w:left="360" w:hanging="360"/>
      </w:pPr>
      <w:r w:rsidRPr="00506036">
        <w:rPr>
          <w:b/>
          <w:bCs/>
        </w:rPr>
        <w:t>Note</w:t>
      </w:r>
    </w:p>
    <w:p w14:paraId="06EE7ECE" w14:textId="443CBF6D" w:rsidR="00506036" w:rsidRPr="00787E1F" w:rsidRDefault="00506036" w:rsidP="00506036">
      <w:pPr>
        <w:pStyle w:val="Bullet"/>
        <w:pBdr>
          <w:top w:val="single" w:sz="4" w:space="1" w:color="auto"/>
          <w:left w:val="single" w:sz="4" w:space="4" w:color="auto"/>
          <w:bottom w:val="single" w:sz="4" w:space="1" w:color="auto"/>
          <w:right w:val="single" w:sz="4" w:space="4" w:color="auto"/>
        </w:pBdr>
      </w:pPr>
      <w:r>
        <w:t>Patients should follow a high carbohydrate diet for 3 full days prior to test</w:t>
      </w:r>
    </w:p>
    <w:p w14:paraId="06835F0F" w14:textId="698884DF" w:rsidR="00506036" w:rsidRPr="00787E1F" w:rsidRDefault="00506036" w:rsidP="00506036">
      <w:pPr>
        <w:pStyle w:val="Bullet"/>
        <w:pBdr>
          <w:top w:val="single" w:sz="4" w:space="1" w:color="auto"/>
          <w:left w:val="single" w:sz="4" w:space="4" w:color="auto"/>
          <w:bottom w:val="single" w:sz="4" w:space="1" w:color="auto"/>
          <w:right w:val="single" w:sz="4" w:space="4" w:color="auto"/>
        </w:pBdr>
      </w:pPr>
      <w:r>
        <w:t>Patients should limit alcohol to one drink per day for 3 full days prior to test</w:t>
      </w:r>
    </w:p>
    <w:p w14:paraId="78E27B18" w14:textId="355E5BC5" w:rsidR="00506036" w:rsidRPr="00787E1F" w:rsidRDefault="00506036" w:rsidP="00506036">
      <w:pPr>
        <w:pStyle w:val="Bullet"/>
        <w:pBdr>
          <w:top w:val="single" w:sz="4" w:space="1" w:color="auto"/>
          <w:left w:val="single" w:sz="4" w:space="4" w:color="auto"/>
          <w:bottom w:val="single" w:sz="4" w:space="1" w:color="auto"/>
          <w:right w:val="single" w:sz="4" w:space="4" w:color="auto"/>
        </w:pBdr>
      </w:pPr>
      <w:r>
        <w:t>Patients should not smoke for 24 hours prior to test</w:t>
      </w:r>
    </w:p>
    <w:p w14:paraId="23992DD9" w14:textId="7FF35899" w:rsidR="00506036" w:rsidRPr="00787E1F" w:rsidRDefault="00506036" w:rsidP="00506036">
      <w:pPr>
        <w:pStyle w:val="Bullet"/>
        <w:pBdr>
          <w:top w:val="single" w:sz="4" w:space="1" w:color="auto"/>
          <w:left w:val="single" w:sz="4" w:space="4" w:color="auto"/>
          <w:bottom w:val="single" w:sz="4" w:space="1" w:color="auto"/>
          <w:right w:val="single" w:sz="4" w:space="4" w:color="auto"/>
        </w:pBdr>
      </w:pPr>
      <w:r>
        <w:t>Patients should be advised to fast for 10-12 hours prior to this test but may drink small volumes of water</w:t>
      </w:r>
    </w:p>
    <w:p w14:paraId="4680A77D" w14:textId="1206A66D" w:rsidR="00506036" w:rsidRDefault="00506036" w:rsidP="00506036">
      <w:pPr>
        <w:pStyle w:val="Bullet"/>
        <w:pBdr>
          <w:top w:val="single" w:sz="4" w:space="1" w:color="auto"/>
          <w:left w:val="single" w:sz="4" w:space="4" w:color="auto"/>
          <w:bottom w:val="single" w:sz="4" w:space="1" w:color="auto"/>
          <w:right w:val="single" w:sz="4" w:space="4" w:color="auto"/>
        </w:pBdr>
      </w:pPr>
      <w:r>
        <w:t>This test is unnecessary in patients with poorly controlled diabetes as GH should already be suppressed with high serum glucose levels</w:t>
      </w:r>
    </w:p>
    <w:p w14:paraId="50A62F17" w14:textId="77777777" w:rsidR="00506036" w:rsidRPr="00787E1F" w:rsidRDefault="00506036" w:rsidP="00506036">
      <w:pPr>
        <w:pStyle w:val="Bullet"/>
        <w:pBdr>
          <w:top w:val="single" w:sz="4" w:space="1" w:color="auto"/>
          <w:left w:val="single" w:sz="4" w:space="4" w:color="auto"/>
          <w:bottom w:val="single" w:sz="4" w:space="1" w:color="auto"/>
          <w:right w:val="single" w:sz="4" w:space="4" w:color="auto"/>
        </w:pBdr>
      </w:pPr>
      <w:r>
        <w:t>This test cannot be used in patients already taking a somatostatin analogue.</w:t>
      </w:r>
    </w:p>
    <w:p w14:paraId="708F8629" w14:textId="77777777" w:rsidR="00506036" w:rsidRPr="00787E1F" w:rsidRDefault="00506036" w:rsidP="00506036">
      <w:pPr>
        <w:pStyle w:val="Heading5"/>
      </w:pPr>
      <w:r w:rsidRPr="00787E1F">
        <w:t xml:space="preserve">Equipment </w:t>
      </w:r>
    </w:p>
    <w:p w14:paraId="4D1ABE6B" w14:textId="77777777" w:rsidR="00506036" w:rsidRPr="009F0799" w:rsidRDefault="00506036" w:rsidP="00506036">
      <w:pPr>
        <w:pStyle w:val="Bullet"/>
      </w:pPr>
      <w:r>
        <w:t xml:space="preserve">Venepuncture equipment as per the </w:t>
      </w:r>
      <w:r w:rsidRPr="4721203F">
        <w:t>Venepuncture Blood Specimen Collection Procedure</w:t>
      </w:r>
      <w:r>
        <w:t xml:space="preserve"> </w:t>
      </w:r>
    </w:p>
    <w:p w14:paraId="1607DB87" w14:textId="77777777" w:rsidR="00506036" w:rsidRPr="00787E1F" w:rsidRDefault="00506036" w:rsidP="00506036">
      <w:pPr>
        <w:pStyle w:val="Bullet"/>
      </w:pPr>
      <w:r>
        <w:t xml:space="preserve">IV equipment as per the </w:t>
      </w:r>
      <w:r w:rsidRPr="4721203F">
        <w:t>Peripheral Intravenous Cannula (PIVC) and Midline Catheters – the Insertion and Management of Adults and Children (not Neonates) Procedure</w:t>
      </w:r>
    </w:p>
    <w:p w14:paraId="467D768D" w14:textId="77777777" w:rsidR="00506036" w:rsidRPr="00787E1F" w:rsidRDefault="00506036" w:rsidP="00506036">
      <w:pPr>
        <w:pStyle w:val="Bullet"/>
      </w:pPr>
      <w:r>
        <w:t>20/22G gauge x 11/4” Introcur Safety IV catheter</w:t>
      </w:r>
    </w:p>
    <w:p w14:paraId="5639D504" w14:textId="77777777" w:rsidR="00506036" w:rsidRPr="00787E1F" w:rsidRDefault="00506036" w:rsidP="00506036">
      <w:pPr>
        <w:pStyle w:val="Bullet"/>
      </w:pPr>
      <w:r>
        <w:t>0.9% Sodium Chloride Solution for IV injection 10mL</w:t>
      </w:r>
    </w:p>
    <w:p w14:paraId="03ADD379" w14:textId="77777777" w:rsidR="00506036" w:rsidRPr="00787E1F" w:rsidRDefault="00506036" w:rsidP="00506036">
      <w:pPr>
        <w:pStyle w:val="Bullet"/>
      </w:pPr>
      <w:r>
        <w:t>10 mL syringe x 5</w:t>
      </w:r>
    </w:p>
    <w:p w14:paraId="3E967457" w14:textId="77777777" w:rsidR="00506036" w:rsidRPr="00787E1F" w:rsidRDefault="00506036" w:rsidP="00506036">
      <w:pPr>
        <w:pStyle w:val="Bullet"/>
      </w:pPr>
      <w:r>
        <w:t>Safeflow Extension Set</w:t>
      </w:r>
    </w:p>
    <w:p w14:paraId="2CFA0DF7" w14:textId="77777777" w:rsidR="00506036" w:rsidRPr="00787E1F" w:rsidRDefault="00506036" w:rsidP="00506036">
      <w:pPr>
        <w:pStyle w:val="Bullet"/>
      </w:pPr>
      <w:r>
        <w:lastRenderedPageBreak/>
        <w:t>Sterile Gloves</w:t>
      </w:r>
    </w:p>
    <w:p w14:paraId="0FF686D6" w14:textId="77777777" w:rsidR="00506036" w:rsidRPr="00787E1F" w:rsidRDefault="00506036" w:rsidP="00506036">
      <w:pPr>
        <w:pStyle w:val="Bullet"/>
      </w:pPr>
      <w:r>
        <w:t>PPE – goggles, gloves</w:t>
      </w:r>
    </w:p>
    <w:p w14:paraId="7F9F8BDE" w14:textId="77777777" w:rsidR="00506036" w:rsidRPr="00787E1F" w:rsidRDefault="00506036" w:rsidP="00506036">
      <w:pPr>
        <w:pStyle w:val="Bullet"/>
      </w:pPr>
      <w:r>
        <w:t>Vacuette Holdex</w:t>
      </w:r>
    </w:p>
    <w:p w14:paraId="26C5B278" w14:textId="77777777" w:rsidR="00506036" w:rsidRPr="00787E1F" w:rsidRDefault="00506036" w:rsidP="00506036">
      <w:pPr>
        <w:pStyle w:val="Bullet"/>
      </w:pPr>
      <w:r>
        <w:t>Alcohol wipes</w:t>
      </w:r>
    </w:p>
    <w:p w14:paraId="095C71F3" w14:textId="77777777" w:rsidR="00506036" w:rsidRPr="00787E1F" w:rsidRDefault="00506036" w:rsidP="00506036">
      <w:pPr>
        <w:pStyle w:val="Bullet"/>
      </w:pPr>
      <w:r>
        <w:t>Tourniquet</w:t>
      </w:r>
    </w:p>
    <w:p w14:paraId="3A8C2E46" w14:textId="77777777" w:rsidR="00506036" w:rsidRPr="00787E1F" w:rsidRDefault="00506036" w:rsidP="00506036">
      <w:pPr>
        <w:pStyle w:val="Bullet"/>
      </w:pPr>
      <w:r>
        <w:t>Serum tubes x 5</w:t>
      </w:r>
    </w:p>
    <w:p w14:paraId="2ED819B5" w14:textId="77777777" w:rsidR="00506036" w:rsidRPr="00787E1F" w:rsidRDefault="00506036" w:rsidP="00506036">
      <w:pPr>
        <w:pStyle w:val="Bullet"/>
      </w:pPr>
      <w:r>
        <w:t>Fluoride tubes x 5</w:t>
      </w:r>
    </w:p>
    <w:p w14:paraId="335F0C45" w14:textId="77777777" w:rsidR="00506036" w:rsidRPr="00787E1F" w:rsidRDefault="00506036" w:rsidP="00506036">
      <w:pPr>
        <w:pStyle w:val="Bullet"/>
      </w:pPr>
      <w:r>
        <w:t>Serum tubes x 5 for discard.</w:t>
      </w:r>
    </w:p>
    <w:p w14:paraId="606692E6" w14:textId="77777777" w:rsidR="00506036" w:rsidRPr="00787E1F" w:rsidRDefault="00506036" w:rsidP="00506036">
      <w:pPr>
        <w:pStyle w:val="Bullet"/>
      </w:pPr>
      <w:r>
        <w:t>Specimen bag</w:t>
      </w:r>
    </w:p>
    <w:p w14:paraId="5A1E679B" w14:textId="77777777" w:rsidR="00506036" w:rsidRPr="00787E1F" w:rsidRDefault="00506036" w:rsidP="00506036">
      <w:pPr>
        <w:pStyle w:val="Bullet"/>
      </w:pPr>
      <w:r>
        <w:t xml:space="preserve">As per the </w:t>
      </w:r>
      <w:r w:rsidRPr="4721203F">
        <w:t>Blood Glucose and Ketone Point-of-Care Testing Procedure</w:t>
      </w:r>
      <w:r>
        <w:t xml:space="preserve"> </w:t>
      </w:r>
    </w:p>
    <w:p w14:paraId="5B798E48" w14:textId="77777777" w:rsidR="00506036" w:rsidRPr="00787E1F" w:rsidRDefault="00506036" w:rsidP="00506036">
      <w:pPr>
        <w:pStyle w:val="Bullet"/>
      </w:pPr>
      <w:r>
        <w:t>Patient Identification labels.</w:t>
      </w:r>
    </w:p>
    <w:p w14:paraId="61544C5A" w14:textId="77777777" w:rsidR="00506036" w:rsidRPr="00787E1F" w:rsidRDefault="00506036" w:rsidP="00506036">
      <w:pPr>
        <w:pStyle w:val="Bullet"/>
      </w:pPr>
      <w:r>
        <w:t xml:space="preserve">75 grams Glucose drink  </w:t>
      </w:r>
    </w:p>
    <w:p w14:paraId="7A01FD9F" w14:textId="77777777" w:rsidR="00506036" w:rsidRPr="00787E1F" w:rsidRDefault="00506036" w:rsidP="00506036">
      <w:pPr>
        <w:pStyle w:val="Bullet"/>
      </w:pPr>
      <w:r>
        <w:t xml:space="preserve">Pathology Order </w:t>
      </w:r>
    </w:p>
    <w:p w14:paraId="73575768" w14:textId="77777777" w:rsidR="00506036" w:rsidRPr="00787E1F" w:rsidRDefault="00506036" w:rsidP="00506036">
      <w:pPr>
        <w:pStyle w:val="Heading5"/>
      </w:pPr>
      <w:r w:rsidRPr="00787E1F">
        <w:t xml:space="preserve">Procedure </w:t>
      </w:r>
    </w:p>
    <w:p w14:paraId="78C11E06" w14:textId="475E0DDC" w:rsidR="00506036" w:rsidRPr="00506036" w:rsidRDefault="00506036" w:rsidP="00506036">
      <w:pPr>
        <w:pStyle w:val="Numberedlist"/>
        <w:numPr>
          <w:ilvl w:val="0"/>
          <w:numId w:val="33"/>
        </w:numPr>
      </w:pPr>
      <w:r w:rsidRPr="00506036">
        <w:t>Arrange date and time of test with patient and provide pre-test instructions as per Alerts above</w:t>
      </w:r>
    </w:p>
    <w:p w14:paraId="23A9C617" w14:textId="77777777" w:rsidR="00506036" w:rsidRPr="00506036" w:rsidRDefault="00506036" w:rsidP="00506036">
      <w:pPr>
        <w:pStyle w:val="Numberedlist"/>
      </w:pPr>
      <w:r w:rsidRPr="00506036">
        <w:rPr>
          <w:rStyle w:val="cf01"/>
          <w:rFonts w:ascii="Arial" w:hAnsi="Arial" w:cs="Arial"/>
          <w:sz w:val="24"/>
          <w:szCs w:val="24"/>
        </w:rPr>
        <w:t>Place order in DHR - Growth Hormone Suppression Test</w:t>
      </w:r>
    </w:p>
    <w:p w14:paraId="43212836" w14:textId="77777777" w:rsidR="00506036" w:rsidRPr="00506036" w:rsidRDefault="00506036" w:rsidP="00506036">
      <w:pPr>
        <w:pStyle w:val="Numberedlist"/>
      </w:pPr>
      <w:r w:rsidRPr="00506036">
        <w:t>Confirm identity of patient using 3 identifying elements (name, date of birth, URN or address)</w:t>
      </w:r>
    </w:p>
    <w:p w14:paraId="6A1080DF" w14:textId="77777777" w:rsidR="00506036" w:rsidRPr="00506036" w:rsidRDefault="00506036" w:rsidP="00506036">
      <w:pPr>
        <w:pStyle w:val="Numberedlist"/>
      </w:pPr>
      <w:r w:rsidRPr="00506036">
        <w:t>Explain the procedure to the patient and ensure patient comfort</w:t>
      </w:r>
    </w:p>
    <w:p w14:paraId="162CE260" w14:textId="77777777" w:rsidR="00506036" w:rsidRPr="00506036" w:rsidRDefault="00506036" w:rsidP="00506036">
      <w:pPr>
        <w:pStyle w:val="Numberedlist"/>
      </w:pPr>
      <w:r w:rsidRPr="00506036">
        <w:t xml:space="preserve">Obtain and document verbal consent for the procedure </w:t>
      </w:r>
    </w:p>
    <w:p w14:paraId="52F53DE9" w14:textId="77777777" w:rsidR="00506036" w:rsidRPr="00506036" w:rsidRDefault="00506036" w:rsidP="00506036">
      <w:pPr>
        <w:pStyle w:val="Numberedlist"/>
      </w:pPr>
      <w:r w:rsidRPr="00506036">
        <w:t xml:space="preserve">Ensure patient rests for 30 minutes prior to commencement of test </w:t>
      </w:r>
    </w:p>
    <w:p w14:paraId="255506F6" w14:textId="7E467D45" w:rsidR="00506036" w:rsidRPr="00506036" w:rsidRDefault="00506036" w:rsidP="00506036">
      <w:pPr>
        <w:pStyle w:val="Numberedlist"/>
      </w:pPr>
      <w:r w:rsidRPr="00506036">
        <w:t>Obtain and document baseline observations including blood pressure – lying and standing, pulse, respirations, oxygen saturation, temperature and cBGL</w:t>
      </w:r>
    </w:p>
    <w:p w14:paraId="49F8D3BF" w14:textId="7140C3CA" w:rsidR="00506036" w:rsidRPr="00506036" w:rsidRDefault="00506036" w:rsidP="00506036">
      <w:pPr>
        <w:pStyle w:val="Numberedlist"/>
      </w:pPr>
      <w:r w:rsidRPr="00506036">
        <w:t>Obtain and document medical history, medications and allergies</w:t>
      </w:r>
    </w:p>
    <w:p w14:paraId="69E0320E" w14:textId="77777777" w:rsidR="00506036" w:rsidRPr="00506036" w:rsidRDefault="00506036" w:rsidP="00506036">
      <w:pPr>
        <w:pStyle w:val="Numberedlist"/>
      </w:pPr>
      <w:r w:rsidRPr="00506036">
        <w:t xml:space="preserve">Insert IV cannula </w:t>
      </w:r>
    </w:p>
    <w:p w14:paraId="58ED43F6" w14:textId="5CA402CF" w:rsidR="00506036" w:rsidRPr="00506036" w:rsidRDefault="00506036" w:rsidP="00506036">
      <w:pPr>
        <w:pStyle w:val="Numberedlist"/>
      </w:pPr>
      <w:r w:rsidRPr="00506036">
        <w:t>Collect basal sample</w:t>
      </w:r>
    </w:p>
    <w:p w14:paraId="21551E65" w14:textId="77777777" w:rsidR="00506036" w:rsidRPr="00506036" w:rsidRDefault="00506036" w:rsidP="00506036">
      <w:pPr>
        <w:pStyle w:val="Numberedlist"/>
      </w:pPr>
      <w:r w:rsidRPr="00506036">
        <w:t>Attach primed Safeflow Extension Set</w:t>
      </w:r>
    </w:p>
    <w:p w14:paraId="597BBCFD" w14:textId="77777777" w:rsidR="00506036" w:rsidRPr="00506036" w:rsidRDefault="00506036" w:rsidP="00506036">
      <w:pPr>
        <w:pStyle w:val="Numberedlist"/>
      </w:pPr>
      <w:r w:rsidRPr="00506036">
        <w:t xml:space="preserve">Administer oral 75 gram glucose </w:t>
      </w:r>
    </w:p>
    <w:p w14:paraId="7B0E2DDE" w14:textId="77777777" w:rsidR="00506036" w:rsidRPr="00506036" w:rsidRDefault="00506036" w:rsidP="00506036">
      <w:pPr>
        <w:pStyle w:val="Numberedlist"/>
      </w:pPr>
      <w:r w:rsidRPr="00506036">
        <w:t>Collect samples as per table below:</w:t>
      </w:r>
    </w:p>
    <w:tbl>
      <w:tblPr>
        <w:tblStyle w:val="TableGrid"/>
        <w:tblW w:w="9209" w:type="dxa"/>
        <w:tblLook w:val="04A0" w:firstRow="1" w:lastRow="0" w:firstColumn="1" w:lastColumn="0" w:noHBand="0" w:noVBand="1"/>
      </w:tblPr>
      <w:tblGrid>
        <w:gridCol w:w="1482"/>
        <w:gridCol w:w="1517"/>
        <w:gridCol w:w="1517"/>
        <w:gridCol w:w="1517"/>
        <w:gridCol w:w="1517"/>
        <w:gridCol w:w="1659"/>
      </w:tblGrid>
      <w:tr w:rsidR="00506036" w:rsidRPr="002010D1" w14:paraId="2409ADD6" w14:textId="77777777" w:rsidTr="005038A5">
        <w:trPr>
          <w:trHeight w:val="586"/>
        </w:trPr>
        <w:tc>
          <w:tcPr>
            <w:tcW w:w="1482" w:type="dxa"/>
            <w:vAlign w:val="center"/>
          </w:tcPr>
          <w:p w14:paraId="0051F2AD" w14:textId="77777777" w:rsidR="00506036" w:rsidRPr="002010D1" w:rsidRDefault="00506036" w:rsidP="005038A5">
            <w:pPr>
              <w:pStyle w:val="Tablebody"/>
            </w:pPr>
          </w:p>
        </w:tc>
        <w:tc>
          <w:tcPr>
            <w:tcW w:w="1517" w:type="dxa"/>
            <w:vAlign w:val="center"/>
          </w:tcPr>
          <w:p w14:paraId="62D77BDC" w14:textId="77777777" w:rsidR="00506036" w:rsidRPr="002010D1" w:rsidRDefault="00506036" w:rsidP="005038A5">
            <w:pPr>
              <w:pStyle w:val="Tablebody"/>
            </w:pPr>
            <w:r w:rsidRPr="002010D1">
              <w:t>0 minutes</w:t>
            </w:r>
          </w:p>
        </w:tc>
        <w:tc>
          <w:tcPr>
            <w:tcW w:w="1517" w:type="dxa"/>
            <w:vAlign w:val="center"/>
          </w:tcPr>
          <w:p w14:paraId="7FB79CC8" w14:textId="77777777" w:rsidR="00506036" w:rsidRPr="002010D1" w:rsidRDefault="00506036" w:rsidP="005038A5">
            <w:pPr>
              <w:pStyle w:val="Tablebody"/>
            </w:pPr>
            <w:r w:rsidRPr="002010D1">
              <w:t>30 minutes</w:t>
            </w:r>
          </w:p>
        </w:tc>
        <w:tc>
          <w:tcPr>
            <w:tcW w:w="1517" w:type="dxa"/>
            <w:vAlign w:val="center"/>
          </w:tcPr>
          <w:p w14:paraId="4206A888" w14:textId="77777777" w:rsidR="00506036" w:rsidRPr="002010D1" w:rsidRDefault="00506036" w:rsidP="005038A5">
            <w:pPr>
              <w:pStyle w:val="Tablebody"/>
            </w:pPr>
            <w:r w:rsidRPr="002010D1">
              <w:t>60 minutes</w:t>
            </w:r>
          </w:p>
        </w:tc>
        <w:tc>
          <w:tcPr>
            <w:tcW w:w="1517" w:type="dxa"/>
            <w:vAlign w:val="center"/>
          </w:tcPr>
          <w:p w14:paraId="147C3742" w14:textId="77777777" w:rsidR="00506036" w:rsidRPr="002010D1" w:rsidRDefault="00506036" w:rsidP="005038A5">
            <w:pPr>
              <w:pStyle w:val="Tablebody"/>
            </w:pPr>
            <w:r w:rsidRPr="002010D1">
              <w:t>90 minutes</w:t>
            </w:r>
          </w:p>
        </w:tc>
        <w:tc>
          <w:tcPr>
            <w:tcW w:w="1659" w:type="dxa"/>
            <w:vAlign w:val="center"/>
          </w:tcPr>
          <w:p w14:paraId="7C60AE3F" w14:textId="77777777" w:rsidR="00506036" w:rsidRPr="002010D1" w:rsidRDefault="00506036" w:rsidP="005038A5">
            <w:pPr>
              <w:pStyle w:val="Tablebody"/>
            </w:pPr>
            <w:r w:rsidRPr="002010D1">
              <w:t>120 minutes</w:t>
            </w:r>
          </w:p>
        </w:tc>
      </w:tr>
      <w:tr w:rsidR="00506036" w:rsidRPr="002010D1" w14:paraId="3EEF5A4F" w14:textId="77777777" w:rsidTr="005038A5">
        <w:trPr>
          <w:trHeight w:val="586"/>
        </w:trPr>
        <w:tc>
          <w:tcPr>
            <w:tcW w:w="1482" w:type="dxa"/>
            <w:vAlign w:val="center"/>
          </w:tcPr>
          <w:p w14:paraId="225EA377" w14:textId="77777777" w:rsidR="00506036" w:rsidRPr="002010D1" w:rsidRDefault="00506036" w:rsidP="005038A5">
            <w:pPr>
              <w:pStyle w:val="Tablebody"/>
            </w:pPr>
            <w:r w:rsidRPr="002010D1">
              <w:t>Glucose</w:t>
            </w:r>
          </w:p>
        </w:tc>
        <w:tc>
          <w:tcPr>
            <w:tcW w:w="1517" w:type="dxa"/>
            <w:vAlign w:val="center"/>
          </w:tcPr>
          <w:p w14:paraId="23B1D2F7" w14:textId="77777777" w:rsidR="00506036" w:rsidRPr="002010D1" w:rsidRDefault="00506036" w:rsidP="005038A5">
            <w:pPr>
              <w:pStyle w:val="Tablebody"/>
            </w:pPr>
            <w:r w:rsidRPr="002010D1">
              <w:t>S</w:t>
            </w:r>
          </w:p>
        </w:tc>
        <w:tc>
          <w:tcPr>
            <w:tcW w:w="1517" w:type="dxa"/>
            <w:vAlign w:val="center"/>
          </w:tcPr>
          <w:p w14:paraId="77F71330" w14:textId="77777777" w:rsidR="00506036" w:rsidRPr="002010D1" w:rsidRDefault="00506036" w:rsidP="005038A5">
            <w:pPr>
              <w:pStyle w:val="Tablebody"/>
            </w:pPr>
            <w:r w:rsidRPr="002010D1">
              <w:t>S</w:t>
            </w:r>
          </w:p>
        </w:tc>
        <w:tc>
          <w:tcPr>
            <w:tcW w:w="1517" w:type="dxa"/>
            <w:vAlign w:val="center"/>
          </w:tcPr>
          <w:p w14:paraId="5CA800E3" w14:textId="77777777" w:rsidR="00506036" w:rsidRPr="002010D1" w:rsidRDefault="00506036" w:rsidP="005038A5">
            <w:pPr>
              <w:pStyle w:val="Tablebody"/>
            </w:pPr>
            <w:r w:rsidRPr="002010D1">
              <w:t>S</w:t>
            </w:r>
          </w:p>
        </w:tc>
        <w:tc>
          <w:tcPr>
            <w:tcW w:w="1517" w:type="dxa"/>
            <w:vAlign w:val="center"/>
          </w:tcPr>
          <w:p w14:paraId="3436E666" w14:textId="77777777" w:rsidR="00506036" w:rsidRPr="002010D1" w:rsidRDefault="00506036" w:rsidP="005038A5">
            <w:pPr>
              <w:pStyle w:val="Tablebody"/>
            </w:pPr>
            <w:r w:rsidRPr="002010D1">
              <w:t>S</w:t>
            </w:r>
          </w:p>
        </w:tc>
        <w:tc>
          <w:tcPr>
            <w:tcW w:w="1659" w:type="dxa"/>
            <w:vAlign w:val="center"/>
          </w:tcPr>
          <w:p w14:paraId="39319A0B" w14:textId="77777777" w:rsidR="00506036" w:rsidRPr="002010D1" w:rsidRDefault="00506036" w:rsidP="005038A5">
            <w:pPr>
              <w:pStyle w:val="Tablebody"/>
            </w:pPr>
            <w:r w:rsidRPr="002010D1">
              <w:t>S</w:t>
            </w:r>
          </w:p>
        </w:tc>
      </w:tr>
      <w:tr w:rsidR="00506036" w:rsidRPr="002010D1" w14:paraId="6AABFF20" w14:textId="77777777" w:rsidTr="005038A5">
        <w:trPr>
          <w:trHeight w:val="586"/>
        </w:trPr>
        <w:tc>
          <w:tcPr>
            <w:tcW w:w="1482" w:type="dxa"/>
            <w:vAlign w:val="center"/>
          </w:tcPr>
          <w:p w14:paraId="7F685905" w14:textId="77777777" w:rsidR="00506036" w:rsidRPr="002010D1" w:rsidRDefault="00506036" w:rsidP="005038A5">
            <w:pPr>
              <w:pStyle w:val="Tablebody"/>
            </w:pPr>
            <w:r w:rsidRPr="002010D1">
              <w:t>Growth Hormone</w:t>
            </w:r>
          </w:p>
        </w:tc>
        <w:tc>
          <w:tcPr>
            <w:tcW w:w="1517" w:type="dxa"/>
            <w:vAlign w:val="center"/>
          </w:tcPr>
          <w:p w14:paraId="612C0A3A" w14:textId="77777777" w:rsidR="00506036" w:rsidRPr="002010D1" w:rsidRDefault="00506036" w:rsidP="005038A5">
            <w:pPr>
              <w:pStyle w:val="Tablebody"/>
            </w:pPr>
            <w:r w:rsidRPr="002010D1">
              <w:t>S</w:t>
            </w:r>
          </w:p>
        </w:tc>
        <w:tc>
          <w:tcPr>
            <w:tcW w:w="1517" w:type="dxa"/>
            <w:vAlign w:val="center"/>
          </w:tcPr>
          <w:p w14:paraId="7191452F" w14:textId="77777777" w:rsidR="00506036" w:rsidRPr="002010D1" w:rsidRDefault="00506036" w:rsidP="005038A5">
            <w:pPr>
              <w:pStyle w:val="Tablebody"/>
            </w:pPr>
            <w:r w:rsidRPr="002010D1">
              <w:t>S</w:t>
            </w:r>
          </w:p>
        </w:tc>
        <w:tc>
          <w:tcPr>
            <w:tcW w:w="1517" w:type="dxa"/>
            <w:vAlign w:val="center"/>
          </w:tcPr>
          <w:p w14:paraId="6D180E6A" w14:textId="77777777" w:rsidR="00506036" w:rsidRPr="002010D1" w:rsidRDefault="00506036" w:rsidP="005038A5">
            <w:pPr>
              <w:pStyle w:val="Tablebody"/>
            </w:pPr>
            <w:r w:rsidRPr="002010D1">
              <w:t>S</w:t>
            </w:r>
          </w:p>
        </w:tc>
        <w:tc>
          <w:tcPr>
            <w:tcW w:w="1517" w:type="dxa"/>
            <w:vAlign w:val="center"/>
          </w:tcPr>
          <w:p w14:paraId="4EEDD98A" w14:textId="77777777" w:rsidR="00506036" w:rsidRPr="002010D1" w:rsidRDefault="00506036" w:rsidP="005038A5">
            <w:pPr>
              <w:pStyle w:val="Tablebody"/>
            </w:pPr>
            <w:r w:rsidRPr="002010D1">
              <w:t>S</w:t>
            </w:r>
          </w:p>
        </w:tc>
        <w:tc>
          <w:tcPr>
            <w:tcW w:w="1659" w:type="dxa"/>
            <w:vAlign w:val="center"/>
          </w:tcPr>
          <w:p w14:paraId="15BF65AB" w14:textId="77777777" w:rsidR="00506036" w:rsidRPr="002010D1" w:rsidRDefault="00506036" w:rsidP="005038A5">
            <w:pPr>
              <w:pStyle w:val="Tablebody"/>
            </w:pPr>
            <w:r w:rsidRPr="002010D1">
              <w:t>S</w:t>
            </w:r>
          </w:p>
        </w:tc>
      </w:tr>
      <w:tr w:rsidR="00506036" w:rsidRPr="002010D1" w14:paraId="157F7593" w14:textId="77777777" w:rsidTr="005038A5">
        <w:trPr>
          <w:trHeight w:val="586"/>
        </w:trPr>
        <w:tc>
          <w:tcPr>
            <w:tcW w:w="1482" w:type="dxa"/>
            <w:vAlign w:val="center"/>
          </w:tcPr>
          <w:p w14:paraId="63675CB1" w14:textId="77777777" w:rsidR="00506036" w:rsidRPr="002010D1" w:rsidRDefault="00506036" w:rsidP="005038A5">
            <w:pPr>
              <w:pStyle w:val="Tablebody"/>
            </w:pPr>
            <w:r>
              <w:t>IGF-1</w:t>
            </w:r>
          </w:p>
        </w:tc>
        <w:tc>
          <w:tcPr>
            <w:tcW w:w="1517" w:type="dxa"/>
            <w:vAlign w:val="center"/>
          </w:tcPr>
          <w:p w14:paraId="0F5BEBFD" w14:textId="77777777" w:rsidR="00506036" w:rsidRPr="002010D1" w:rsidRDefault="00506036" w:rsidP="005038A5">
            <w:pPr>
              <w:pStyle w:val="Tablebody"/>
            </w:pPr>
            <w:r>
              <w:t>S</w:t>
            </w:r>
          </w:p>
        </w:tc>
        <w:tc>
          <w:tcPr>
            <w:tcW w:w="1517" w:type="dxa"/>
            <w:vAlign w:val="center"/>
          </w:tcPr>
          <w:p w14:paraId="5478FBC9" w14:textId="77777777" w:rsidR="00506036" w:rsidRPr="002010D1" w:rsidRDefault="00506036" w:rsidP="005038A5">
            <w:pPr>
              <w:pStyle w:val="Tablebody"/>
            </w:pPr>
          </w:p>
        </w:tc>
        <w:tc>
          <w:tcPr>
            <w:tcW w:w="1517" w:type="dxa"/>
            <w:vAlign w:val="center"/>
          </w:tcPr>
          <w:p w14:paraId="406034AC" w14:textId="77777777" w:rsidR="00506036" w:rsidRPr="002010D1" w:rsidRDefault="00506036" w:rsidP="005038A5">
            <w:pPr>
              <w:pStyle w:val="Tablebody"/>
            </w:pPr>
          </w:p>
        </w:tc>
        <w:tc>
          <w:tcPr>
            <w:tcW w:w="1517" w:type="dxa"/>
            <w:vAlign w:val="center"/>
          </w:tcPr>
          <w:p w14:paraId="45D17E7B" w14:textId="77777777" w:rsidR="00506036" w:rsidRPr="002010D1" w:rsidRDefault="00506036" w:rsidP="005038A5">
            <w:pPr>
              <w:pStyle w:val="Tablebody"/>
            </w:pPr>
          </w:p>
        </w:tc>
        <w:tc>
          <w:tcPr>
            <w:tcW w:w="1659" w:type="dxa"/>
            <w:vAlign w:val="center"/>
          </w:tcPr>
          <w:p w14:paraId="10EDFFEA" w14:textId="77777777" w:rsidR="00506036" w:rsidRPr="002010D1" w:rsidRDefault="00506036" w:rsidP="005038A5">
            <w:pPr>
              <w:pStyle w:val="Tablebody"/>
            </w:pPr>
          </w:p>
        </w:tc>
      </w:tr>
    </w:tbl>
    <w:p w14:paraId="55CE3968" w14:textId="77777777" w:rsidR="00506036" w:rsidRPr="002010D1" w:rsidRDefault="00506036" w:rsidP="00506036">
      <w:pPr>
        <w:pStyle w:val="Heading6"/>
        <w:spacing w:before="0"/>
        <w:rPr>
          <w:rFonts w:asciiTheme="minorHAnsi" w:hAnsiTheme="minorHAnsi"/>
          <w:b/>
          <w:i/>
          <w:color w:val="auto"/>
          <w:spacing w:val="-3"/>
        </w:rPr>
      </w:pPr>
      <w:r w:rsidRPr="002010D1">
        <w:rPr>
          <w:rFonts w:asciiTheme="minorHAnsi" w:hAnsiTheme="minorHAnsi"/>
        </w:rPr>
        <w:t xml:space="preserve"> </w:t>
      </w:r>
      <w:r w:rsidRPr="002010D1">
        <w:rPr>
          <w:rFonts w:asciiTheme="minorHAnsi" w:hAnsiTheme="minorHAnsi"/>
          <w:b/>
          <w:color w:val="auto"/>
        </w:rPr>
        <w:t>S</w:t>
      </w:r>
      <w:r w:rsidRPr="002010D1">
        <w:rPr>
          <w:rFonts w:asciiTheme="minorHAnsi" w:hAnsiTheme="minorHAnsi"/>
          <w:b/>
          <w:color w:val="auto"/>
          <w:spacing w:val="-6"/>
        </w:rPr>
        <w:t xml:space="preserve"> </w:t>
      </w:r>
      <w:r w:rsidRPr="002010D1">
        <w:rPr>
          <w:rFonts w:asciiTheme="minorHAnsi" w:hAnsiTheme="minorHAnsi"/>
          <w:b/>
          <w:color w:val="auto"/>
        </w:rPr>
        <w:t>=</w:t>
      </w:r>
      <w:r w:rsidRPr="002010D1">
        <w:rPr>
          <w:rFonts w:asciiTheme="minorHAnsi" w:hAnsiTheme="minorHAnsi"/>
          <w:b/>
          <w:color w:val="auto"/>
          <w:spacing w:val="-4"/>
        </w:rPr>
        <w:t xml:space="preserve"> </w:t>
      </w:r>
      <w:r w:rsidRPr="002010D1">
        <w:rPr>
          <w:rFonts w:asciiTheme="minorHAnsi" w:hAnsiTheme="minorHAnsi"/>
          <w:b/>
          <w:color w:val="auto"/>
          <w:spacing w:val="-3"/>
        </w:rPr>
        <w:t>Sample</w:t>
      </w:r>
      <w:r w:rsidRPr="002010D1">
        <w:rPr>
          <w:rFonts w:asciiTheme="minorHAnsi" w:hAnsiTheme="minorHAnsi"/>
          <w:b/>
          <w:color w:val="auto"/>
          <w:spacing w:val="-4"/>
        </w:rPr>
        <w:t xml:space="preserve"> </w:t>
      </w:r>
      <w:r w:rsidRPr="002010D1">
        <w:rPr>
          <w:rFonts w:asciiTheme="minorHAnsi" w:hAnsiTheme="minorHAnsi"/>
          <w:b/>
          <w:color w:val="auto"/>
          <w:spacing w:val="-1"/>
        </w:rPr>
        <w:t>at</w:t>
      </w:r>
      <w:r w:rsidRPr="002010D1">
        <w:rPr>
          <w:rFonts w:asciiTheme="minorHAnsi" w:hAnsiTheme="minorHAnsi"/>
          <w:b/>
          <w:color w:val="auto"/>
          <w:spacing w:val="-5"/>
        </w:rPr>
        <w:t xml:space="preserve"> </w:t>
      </w:r>
      <w:r w:rsidRPr="002010D1">
        <w:rPr>
          <w:rFonts w:asciiTheme="minorHAnsi" w:hAnsiTheme="minorHAnsi"/>
          <w:b/>
          <w:color w:val="auto"/>
          <w:spacing w:val="-3"/>
        </w:rPr>
        <w:t>this</w:t>
      </w:r>
      <w:r w:rsidRPr="002010D1">
        <w:rPr>
          <w:rFonts w:asciiTheme="minorHAnsi" w:hAnsiTheme="minorHAnsi"/>
          <w:b/>
          <w:color w:val="auto"/>
          <w:spacing w:val="-4"/>
        </w:rPr>
        <w:t xml:space="preserve"> </w:t>
      </w:r>
      <w:r w:rsidRPr="002010D1">
        <w:rPr>
          <w:rFonts w:asciiTheme="minorHAnsi" w:hAnsiTheme="minorHAnsi"/>
          <w:b/>
          <w:color w:val="auto"/>
          <w:spacing w:val="-2"/>
        </w:rPr>
        <w:t>time</w:t>
      </w:r>
      <w:r w:rsidRPr="002010D1">
        <w:rPr>
          <w:rFonts w:asciiTheme="minorHAnsi" w:hAnsiTheme="minorHAnsi"/>
          <w:b/>
          <w:color w:val="auto"/>
          <w:spacing w:val="-6"/>
        </w:rPr>
        <w:t xml:space="preserve"> </w:t>
      </w:r>
      <w:r w:rsidRPr="002010D1">
        <w:rPr>
          <w:rFonts w:asciiTheme="minorHAnsi" w:hAnsiTheme="minorHAnsi"/>
          <w:b/>
          <w:color w:val="auto"/>
          <w:spacing w:val="-3"/>
        </w:rPr>
        <w:t>point</w:t>
      </w:r>
    </w:p>
    <w:p w14:paraId="637D1CAD" w14:textId="77777777" w:rsidR="00506036" w:rsidRPr="002010D1" w:rsidRDefault="00506036" w:rsidP="00506036">
      <w:pPr>
        <w:rPr>
          <w:rFonts w:asciiTheme="minorHAnsi" w:hAnsiTheme="minorHAnsi"/>
        </w:rPr>
      </w:pPr>
    </w:p>
    <w:p w14:paraId="20A0E9A7" w14:textId="2DCFF19D" w:rsidR="00506036" w:rsidRPr="00506036" w:rsidRDefault="00506036" w:rsidP="00506036">
      <w:pPr>
        <w:pStyle w:val="Bullet"/>
        <w:numPr>
          <w:ilvl w:val="0"/>
          <w:numId w:val="0"/>
        </w:numPr>
        <w:pBdr>
          <w:top w:val="single" w:sz="4" w:space="1" w:color="auto"/>
          <w:left w:val="single" w:sz="4" w:space="4" w:color="auto"/>
          <w:bottom w:val="single" w:sz="4" w:space="1" w:color="auto"/>
          <w:right w:val="single" w:sz="4" w:space="4" w:color="auto"/>
        </w:pBdr>
        <w:ind w:left="360" w:hanging="360"/>
        <w:rPr>
          <w:b/>
          <w:bCs/>
        </w:rPr>
      </w:pPr>
      <w:r w:rsidRPr="00506036">
        <w:rPr>
          <w:b/>
          <w:bCs/>
        </w:rPr>
        <w:lastRenderedPageBreak/>
        <w:t>Note</w:t>
      </w:r>
    </w:p>
    <w:p w14:paraId="1B98D84E" w14:textId="7055A4D1" w:rsidR="00506036" w:rsidRPr="002010D1" w:rsidRDefault="00506036" w:rsidP="00506036">
      <w:pPr>
        <w:pStyle w:val="Bullet"/>
        <w:pBdr>
          <w:top w:val="single" w:sz="4" w:space="1" w:color="auto"/>
          <w:left w:val="single" w:sz="4" w:space="4" w:color="auto"/>
          <w:bottom w:val="single" w:sz="4" w:space="1" w:color="auto"/>
          <w:right w:val="single" w:sz="4" w:space="4" w:color="auto"/>
        </w:pBdr>
      </w:pPr>
      <w:r w:rsidRPr="002010D1">
        <w:t xml:space="preserve">Flush cannula with </w:t>
      </w:r>
      <w:r w:rsidRPr="0008306B">
        <w:t>0.9%</w:t>
      </w:r>
      <w:r>
        <w:t xml:space="preserve"> sodium chloride</w:t>
      </w:r>
      <w:r w:rsidRPr="002010D1">
        <w:t xml:space="preserve"> between sample collections and ensure 5m</w:t>
      </w:r>
      <w:r>
        <w:t xml:space="preserve">L </w:t>
      </w:r>
      <w:r w:rsidRPr="002010D1">
        <w:t>drawback and discard.</w:t>
      </w:r>
    </w:p>
    <w:p w14:paraId="40020065" w14:textId="61297FBD" w:rsidR="00506036" w:rsidRPr="00506036" w:rsidRDefault="00506036" w:rsidP="00506036">
      <w:pPr>
        <w:pStyle w:val="Numberedlist"/>
      </w:pPr>
      <w:r w:rsidRPr="00506036">
        <w:t xml:space="preserve">Document sampling on </w:t>
      </w:r>
      <w:r w:rsidRPr="005038A5">
        <w:rPr>
          <w:i/>
          <w:iCs/>
        </w:rPr>
        <w:t>Endocrine Test</w:t>
      </w:r>
      <w:r w:rsidRPr="00506036">
        <w:t xml:space="preserve"> Form (Attachment </w:t>
      </w:r>
      <w:r w:rsidR="00B454FE">
        <w:t>1</w:t>
      </w:r>
      <w:r w:rsidRPr="00506036">
        <w:t>; form no. 40290 on the Clinical Forms Register)</w:t>
      </w:r>
    </w:p>
    <w:p w14:paraId="27D5EC1F" w14:textId="3D285B4F" w:rsidR="00506036" w:rsidRPr="00506036" w:rsidRDefault="00506036" w:rsidP="00506036">
      <w:pPr>
        <w:pStyle w:val="Numberedlist"/>
      </w:pPr>
      <w:r w:rsidRPr="00506036">
        <w:t>Obtain and document vital signs</w:t>
      </w:r>
    </w:p>
    <w:p w14:paraId="54D03B66" w14:textId="5043BB91" w:rsidR="00506036" w:rsidRPr="00506036" w:rsidRDefault="00506036" w:rsidP="00506036">
      <w:pPr>
        <w:pStyle w:val="Numberedlist"/>
      </w:pPr>
      <w:r w:rsidRPr="00506036">
        <w:t>Remove cannula</w:t>
      </w:r>
    </w:p>
    <w:p w14:paraId="5383A599" w14:textId="517F89A8" w:rsidR="00506036" w:rsidRPr="00506036" w:rsidRDefault="00506036" w:rsidP="00506036">
      <w:pPr>
        <w:pStyle w:val="Numberedlist"/>
      </w:pPr>
      <w:r w:rsidRPr="00506036">
        <w:t>Ensure patient has follow-up appointment with referring medical officer</w:t>
      </w:r>
    </w:p>
    <w:p w14:paraId="7C74CDD9" w14:textId="24D0E606" w:rsidR="00506036" w:rsidRPr="00506036" w:rsidRDefault="00506036" w:rsidP="00506036">
      <w:pPr>
        <w:pStyle w:val="Numberedlist"/>
      </w:pPr>
      <w:r w:rsidRPr="00506036">
        <w:t>Discharge patient</w:t>
      </w:r>
    </w:p>
    <w:p w14:paraId="2809F3EC" w14:textId="77777777" w:rsidR="00506036" w:rsidRPr="00506036" w:rsidRDefault="00506036" w:rsidP="00506036">
      <w:pPr>
        <w:pStyle w:val="Numberedlist"/>
      </w:pPr>
      <w:r w:rsidRPr="00506036">
        <w:t xml:space="preserve">Send samples, and a copy of the Endocrine Test Form to ACT Pathology. </w:t>
      </w:r>
    </w:p>
    <w:p w14:paraId="140E7679" w14:textId="51A70840" w:rsidR="00506036" w:rsidRDefault="00000000" w:rsidP="00506036">
      <w:pPr>
        <w:pStyle w:val="BodyCopy"/>
      </w:pPr>
      <w:hyperlink w:anchor="_top" w:history="1">
        <w:r w:rsidR="00506036" w:rsidRPr="00481A6C">
          <w:rPr>
            <w:rStyle w:val="Hyperlink"/>
            <w:iCs w:val="0"/>
          </w:rPr>
          <w:t>Back to Contents</w:t>
        </w:r>
      </w:hyperlink>
    </w:p>
    <w:p w14:paraId="09E3B456" w14:textId="13DEEB85" w:rsidR="00506036" w:rsidRDefault="00506036" w:rsidP="00506036">
      <w:pPr>
        <w:pStyle w:val="Heading4"/>
      </w:pPr>
      <w:bookmarkStart w:id="12" w:name="_Toc177472819"/>
      <w:r w:rsidRPr="0078367D">
        <w:t xml:space="preserve">Section </w:t>
      </w:r>
      <w:r>
        <w:t>5</w:t>
      </w:r>
      <w:r w:rsidRPr="0078367D">
        <w:t xml:space="preserve"> </w:t>
      </w:r>
      <w:r>
        <w:t>–</w:t>
      </w:r>
      <w:r w:rsidRPr="0078367D">
        <w:t xml:space="preserve"> </w:t>
      </w:r>
      <w:r>
        <w:t xml:space="preserve"> Saline Suppression Test</w:t>
      </w:r>
      <w:bookmarkEnd w:id="12"/>
    </w:p>
    <w:p w14:paraId="140006AE" w14:textId="77777777" w:rsidR="005038A5" w:rsidRPr="005A3390" w:rsidRDefault="005038A5" w:rsidP="005038A5">
      <w:pPr>
        <w:pStyle w:val="Heading5"/>
      </w:pPr>
      <w:r w:rsidRPr="005A3390">
        <w:t>Purpose</w:t>
      </w:r>
    </w:p>
    <w:p w14:paraId="600D0745" w14:textId="77777777" w:rsidR="005038A5" w:rsidRDefault="005038A5" w:rsidP="005038A5">
      <w:r>
        <w:t>The Saline Suppression Test is used as a confirmatory test in the diagnosis of primary aldosteronism. Recent studies have suggested that seated saline suppression test is more sensitive than recumbent saline suppression test in the diagnosis of primary aldosteronism, particularly in posture responsive aldosteronism.</w:t>
      </w:r>
    </w:p>
    <w:p w14:paraId="25339B16" w14:textId="21FB9686" w:rsidR="005038A5" w:rsidRDefault="005038A5" w:rsidP="005038A5">
      <w:pPr>
        <w:pStyle w:val="Heading5"/>
        <w:pBdr>
          <w:top w:val="single" w:sz="4" w:space="1" w:color="auto"/>
          <w:left w:val="single" w:sz="4" w:space="4" w:color="auto"/>
          <w:bottom w:val="single" w:sz="4" w:space="1" w:color="auto"/>
          <w:right w:val="single" w:sz="4" w:space="4" w:color="auto"/>
        </w:pBdr>
      </w:pPr>
      <w:r>
        <w:t>Alerts</w:t>
      </w:r>
    </w:p>
    <w:p w14:paraId="330631C2" w14:textId="338C3756" w:rsidR="005038A5" w:rsidRPr="005A3390" w:rsidRDefault="005038A5" w:rsidP="005038A5">
      <w:pPr>
        <w:pStyle w:val="Bullet"/>
        <w:pBdr>
          <w:top w:val="single" w:sz="4" w:space="1" w:color="auto"/>
          <w:left w:val="single" w:sz="4" w:space="4" w:color="auto"/>
          <w:bottom w:val="single" w:sz="4" w:space="1" w:color="auto"/>
          <w:right w:val="single" w:sz="4" w:space="4" w:color="auto"/>
        </w:pBdr>
      </w:pPr>
      <w:r>
        <w:t>Potassium-sparing diuretics (spironolactone, eplerenone, amiloride, triamterene), potassium-wasting diuretics and liquorice-containing products should be stopped at least 6 weeks before the test.</w:t>
      </w:r>
    </w:p>
    <w:p w14:paraId="0FAFB426" w14:textId="77777777" w:rsidR="005038A5" w:rsidRPr="005A3390" w:rsidRDefault="005038A5" w:rsidP="005038A5">
      <w:pPr>
        <w:pStyle w:val="Bullet"/>
        <w:pBdr>
          <w:top w:val="single" w:sz="4" w:space="1" w:color="auto"/>
          <w:left w:val="single" w:sz="4" w:space="4" w:color="auto"/>
          <w:bottom w:val="single" w:sz="4" w:space="1" w:color="auto"/>
          <w:right w:val="single" w:sz="4" w:space="4" w:color="auto"/>
        </w:pBdr>
      </w:pPr>
      <w:r>
        <w:t>Beta-adrenergic blockers, central α-2 agonists (clonidine, α-methyldopa), non-steroidal anti-inflammatories (NSAIDs), ACE-inhibitors, angiotensin-receptor blockers, renin inhibitors and dihydropyridine calcium antagonists (e.g., amlodipine, nifedipine, lercanidipine) should be withheld at least 4 weeks before the test.</w:t>
      </w:r>
    </w:p>
    <w:p w14:paraId="629ED305" w14:textId="1E47DE27" w:rsidR="005038A5" w:rsidRPr="005A3390" w:rsidRDefault="005038A5" w:rsidP="005038A5">
      <w:pPr>
        <w:pStyle w:val="Bullet"/>
        <w:pBdr>
          <w:top w:val="single" w:sz="4" w:space="1" w:color="auto"/>
          <w:left w:val="single" w:sz="4" w:space="4" w:color="auto"/>
          <w:bottom w:val="single" w:sz="4" w:space="1" w:color="auto"/>
          <w:right w:val="single" w:sz="4" w:space="4" w:color="auto"/>
        </w:pBdr>
      </w:pPr>
      <w:r>
        <w:t>Medications with minimal effects on renin and aldosterone levels can be used to control hypertension if needed: non-dihydropyridine calcium antagonists (e.g., verapamil , hydralazine and prazosin). Withhold these medications on the morning of the test and administer at completion of the test.</w:t>
      </w:r>
    </w:p>
    <w:p w14:paraId="02125005" w14:textId="77777777" w:rsidR="005038A5" w:rsidRPr="005A3390" w:rsidRDefault="005038A5" w:rsidP="005038A5">
      <w:pPr>
        <w:pStyle w:val="Bullet"/>
        <w:pBdr>
          <w:top w:val="single" w:sz="4" w:space="1" w:color="auto"/>
          <w:left w:val="single" w:sz="4" w:space="4" w:color="auto"/>
          <w:bottom w:val="single" w:sz="4" w:space="1" w:color="auto"/>
          <w:right w:val="single" w:sz="4" w:space="4" w:color="auto"/>
        </w:pBdr>
      </w:pPr>
      <w:r>
        <w:t>Correct hypokalemia as best as possible. Ideally potassium should be 4.0 mmol/L.</w:t>
      </w:r>
    </w:p>
    <w:p w14:paraId="13948432" w14:textId="77777777" w:rsidR="005038A5" w:rsidRPr="005A3390" w:rsidRDefault="005038A5" w:rsidP="005038A5">
      <w:pPr>
        <w:pStyle w:val="Bullet"/>
        <w:pBdr>
          <w:top w:val="single" w:sz="4" w:space="1" w:color="auto"/>
          <w:left w:val="single" w:sz="4" w:space="4" w:color="auto"/>
          <w:bottom w:val="single" w:sz="4" w:space="1" w:color="auto"/>
          <w:right w:val="single" w:sz="4" w:space="4" w:color="auto"/>
        </w:pBdr>
      </w:pPr>
      <w:r>
        <w:t>Relative contraindications: severe uncontrolled hypertension, congestive cardiac failure.</w:t>
      </w:r>
    </w:p>
    <w:p w14:paraId="43A0245E" w14:textId="77777777" w:rsidR="005038A5" w:rsidRPr="005A3390" w:rsidRDefault="005038A5" w:rsidP="005038A5">
      <w:pPr>
        <w:pStyle w:val="Bullet"/>
        <w:pBdr>
          <w:top w:val="single" w:sz="4" w:space="1" w:color="auto"/>
          <w:left w:val="single" w:sz="4" w:space="4" w:color="auto"/>
          <w:bottom w:val="single" w:sz="4" w:space="1" w:color="auto"/>
          <w:right w:val="single" w:sz="4" w:space="4" w:color="auto"/>
        </w:pBdr>
      </w:pPr>
      <w:r>
        <w:t>Bloods for renin need to be delivered at room temperature immediately to pathology laboratory.</w:t>
      </w:r>
    </w:p>
    <w:p w14:paraId="247D9ECC" w14:textId="77777777" w:rsidR="005038A5" w:rsidRPr="005A3390" w:rsidRDefault="005038A5" w:rsidP="005038A5">
      <w:pPr>
        <w:pStyle w:val="Heading5"/>
      </w:pPr>
      <w:r w:rsidRPr="005A3390">
        <w:t>Equipment</w:t>
      </w:r>
    </w:p>
    <w:p w14:paraId="0241C0DE" w14:textId="77777777" w:rsidR="005038A5" w:rsidRPr="005A3390" w:rsidRDefault="005038A5" w:rsidP="005038A5">
      <w:pPr>
        <w:pStyle w:val="Bullet"/>
      </w:pPr>
      <w:r>
        <w:t>20/22G gauge Introcan Safety IV catheter</w:t>
      </w:r>
    </w:p>
    <w:p w14:paraId="2F90C670" w14:textId="77777777" w:rsidR="005038A5" w:rsidRPr="005A3390" w:rsidRDefault="005038A5" w:rsidP="005038A5">
      <w:pPr>
        <w:pStyle w:val="Bullet"/>
      </w:pPr>
      <w:r>
        <w:t>0.9% sodium chloride solution for IV injection 10mL</w:t>
      </w:r>
    </w:p>
    <w:p w14:paraId="60197C99" w14:textId="77777777" w:rsidR="005038A5" w:rsidRPr="005A3390" w:rsidRDefault="005038A5" w:rsidP="005038A5">
      <w:pPr>
        <w:pStyle w:val="Bullet"/>
      </w:pPr>
      <w:r>
        <w:lastRenderedPageBreak/>
        <w:t xml:space="preserve">10 mL syringe </w:t>
      </w:r>
    </w:p>
    <w:p w14:paraId="4CCDD61E" w14:textId="77777777" w:rsidR="005038A5" w:rsidRPr="005A3390" w:rsidRDefault="005038A5" w:rsidP="005038A5">
      <w:pPr>
        <w:pStyle w:val="Bullet"/>
      </w:pPr>
      <w:r>
        <w:t>Safeflow Extension Set</w:t>
      </w:r>
    </w:p>
    <w:p w14:paraId="0F9C2341" w14:textId="77777777" w:rsidR="005038A5" w:rsidRPr="005A3390" w:rsidRDefault="005038A5" w:rsidP="005038A5">
      <w:pPr>
        <w:pStyle w:val="Bullet"/>
      </w:pPr>
      <w:r>
        <w:t>Tourniquet</w:t>
      </w:r>
    </w:p>
    <w:p w14:paraId="74012CBB" w14:textId="77777777" w:rsidR="005038A5" w:rsidRPr="005A3390" w:rsidRDefault="005038A5" w:rsidP="005038A5">
      <w:pPr>
        <w:pStyle w:val="Bullet"/>
      </w:pPr>
      <w:r>
        <w:t>Sterile Gloves</w:t>
      </w:r>
    </w:p>
    <w:p w14:paraId="6C1E0402" w14:textId="77777777" w:rsidR="005038A5" w:rsidRPr="005A3390" w:rsidRDefault="005038A5" w:rsidP="005038A5">
      <w:pPr>
        <w:pStyle w:val="Bullet"/>
      </w:pPr>
      <w:r>
        <w:t>PPE – goggles, gloves</w:t>
      </w:r>
    </w:p>
    <w:p w14:paraId="568CA727" w14:textId="77777777" w:rsidR="005038A5" w:rsidRPr="005A3390" w:rsidRDefault="005038A5" w:rsidP="005038A5">
      <w:pPr>
        <w:pStyle w:val="Bullet"/>
      </w:pPr>
      <w:r>
        <w:t>Vacuette Holdex x 2</w:t>
      </w:r>
    </w:p>
    <w:p w14:paraId="6CF568B2" w14:textId="77777777" w:rsidR="005038A5" w:rsidRPr="005A3390" w:rsidRDefault="005038A5" w:rsidP="005038A5">
      <w:pPr>
        <w:pStyle w:val="Bullet"/>
      </w:pPr>
      <w:r>
        <w:t>Alcohol wipes</w:t>
      </w:r>
    </w:p>
    <w:p w14:paraId="1DBE533A" w14:textId="77777777" w:rsidR="005038A5" w:rsidRPr="005A3390" w:rsidRDefault="005038A5" w:rsidP="005038A5">
      <w:pPr>
        <w:pStyle w:val="Bullet"/>
      </w:pPr>
      <w:r>
        <w:t>EDTA collection tube x 2</w:t>
      </w:r>
    </w:p>
    <w:p w14:paraId="298B948A" w14:textId="77777777" w:rsidR="005038A5" w:rsidRPr="005A3390" w:rsidRDefault="005038A5" w:rsidP="005038A5">
      <w:pPr>
        <w:pStyle w:val="Bullet"/>
      </w:pPr>
      <w:r>
        <w:t>Serum tubes(multiple)</w:t>
      </w:r>
    </w:p>
    <w:p w14:paraId="6ACE3C03" w14:textId="77777777" w:rsidR="005038A5" w:rsidRPr="005A3390" w:rsidRDefault="005038A5" w:rsidP="005038A5">
      <w:pPr>
        <w:pStyle w:val="Bullet"/>
      </w:pPr>
      <w:r>
        <w:t>0.9% sodium chloride Solution for IV injection 10mL</w:t>
      </w:r>
    </w:p>
    <w:p w14:paraId="04E11CAE" w14:textId="77777777" w:rsidR="005038A5" w:rsidRPr="005A3390" w:rsidRDefault="005038A5" w:rsidP="005038A5">
      <w:pPr>
        <w:pStyle w:val="Bullet"/>
      </w:pPr>
      <w:r>
        <w:t>Specimen bag</w:t>
      </w:r>
    </w:p>
    <w:p w14:paraId="4B15EDBE" w14:textId="77777777" w:rsidR="005038A5" w:rsidRPr="005A3390" w:rsidRDefault="005038A5" w:rsidP="005038A5">
      <w:pPr>
        <w:pStyle w:val="Bullet"/>
      </w:pPr>
      <w:r>
        <w:t>Patient Identification labels and bands</w:t>
      </w:r>
    </w:p>
    <w:p w14:paraId="234E6426" w14:textId="77777777" w:rsidR="005038A5" w:rsidRPr="005A3390" w:rsidRDefault="005038A5" w:rsidP="005038A5">
      <w:pPr>
        <w:pStyle w:val="Bullet"/>
      </w:pPr>
      <w:r>
        <w:t xml:space="preserve">IV Fluid Chart for </w:t>
      </w:r>
      <w:r w:rsidRPr="0008306B">
        <w:t>0.9%</w:t>
      </w:r>
      <w:r>
        <w:t xml:space="preserve"> sodium chloride 2 litres over 2 hours</w:t>
      </w:r>
    </w:p>
    <w:p w14:paraId="1164BC48" w14:textId="77777777" w:rsidR="005038A5" w:rsidRPr="005A3390" w:rsidRDefault="005038A5" w:rsidP="005038A5">
      <w:pPr>
        <w:pStyle w:val="Bullet"/>
      </w:pPr>
      <w:r>
        <w:t>Fluid Balance Chart (in the patient’s clinical record)</w:t>
      </w:r>
    </w:p>
    <w:p w14:paraId="6097CBA7" w14:textId="77777777" w:rsidR="005038A5" w:rsidRPr="005A3390" w:rsidRDefault="005038A5" w:rsidP="005038A5">
      <w:pPr>
        <w:pStyle w:val="Bullet"/>
      </w:pPr>
      <w:r>
        <w:t>General Observation Chart (in the patient’s clinical record)</w:t>
      </w:r>
    </w:p>
    <w:p w14:paraId="3A6CBA08" w14:textId="77777777" w:rsidR="005038A5" w:rsidRPr="005A3390" w:rsidRDefault="005038A5" w:rsidP="005038A5">
      <w:pPr>
        <w:pStyle w:val="Bullet"/>
      </w:pPr>
      <w:r>
        <w:t>Braun Infusomat Spaceline IV infusion set</w:t>
      </w:r>
    </w:p>
    <w:p w14:paraId="7829A21D" w14:textId="77777777" w:rsidR="005038A5" w:rsidRPr="005A3390" w:rsidRDefault="005038A5" w:rsidP="005038A5">
      <w:pPr>
        <w:pStyle w:val="Bullet"/>
      </w:pPr>
      <w:r>
        <w:t>Braun Infusion Pump</w:t>
      </w:r>
    </w:p>
    <w:p w14:paraId="703D313C" w14:textId="77777777" w:rsidR="005038A5" w:rsidRPr="005A3390" w:rsidRDefault="005038A5" w:rsidP="005038A5">
      <w:pPr>
        <w:pStyle w:val="Bullet"/>
      </w:pPr>
      <w:r>
        <w:t>Sphygmomanometer.</w:t>
      </w:r>
    </w:p>
    <w:p w14:paraId="12DC8667" w14:textId="65588D9B" w:rsidR="005038A5" w:rsidRPr="005A3390" w:rsidRDefault="005038A5" w:rsidP="005038A5">
      <w:pPr>
        <w:pStyle w:val="Heading5"/>
      </w:pPr>
      <w:r w:rsidRPr="002010D1">
        <w:rPr>
          <w:szCs w:val="24"/>
        </w:rPr>
        <w:t xml:space="preserve"> </w:t>
      </w:r>
      <w:r w:rsidRPr="005A3390">
        <w:t xml:space="preserve">Pre-Test  </w:t>
      </w:r>
    </w:p>
    <w:p w14:paraId="311CE713" w14:textId="31A4F5EB" w:rsidR="005038A5" w:rsidRPr="005A3390" w:rsidRDefault="005038A5" w:rsidP="005038A5">
      <w:pPr>
        <w:pStyle w:val="Bullet"/>
      </w:pPr>
      <w:r>
        <w:t>Arrange the date and time of the test with the patient</w:t>
      </w:r>
    </w:p>
    <w:p w14:paraId="3CD98C95" w14:textId="207AFA76" w:rsidR="005038A5" w:rsidRPr="005A3390" w:rsidRDefault="005038A5" w:rsidP="005038A5">
      <w:pPr>
        <w:pStyle w:val="Bullet"/>
      </w:pPr>
      <w:r>
        <w:t>Advise the patient about withholding medications (as per Alerts above)</w:t>
      </w:r>
    </w:p>
    <w:p w14:paraId="00F31151" w14:textId="0E116F12" w:rsidR="005038A5" w:rsidRPr="005A3390" w:rsidRDefault="005038A5" w:rsidP="005038A5">
      <w:pPr>
        <w:pStyle w:val="Bullet"/>
      </w:pPr>
      <w:r>
        <w:t>Provide education to the patient about the procedure. Patients should present to the Endocrine Unit between 8.00am and 9.30am. There are no requirements to fast.</w:t>
      </w:r>
    </w:p>
    <w:p w14:paraId="020001E2" w14:textId="77777777" w:rsidR="005038A5" w:rsidRPr="00D407E4" w:rsidRDefault="005038A5" w:rsidP="005038A5">
      <w:pPr>
        <w:pStyle w:val="Heading5"/>
      </w:pPr>
      <w:r w:rsidRPr="00D407E4">
        <w:t>Procedure</w:t>
      </w:r>
    </w:p>
    <w:p w14:paraId="5554ECD1" w14:textId="77777777" w:rsidR="005038A5" w:rsidRPr="002010D1" w:rsidRDefault="005038A5" w:rsidP="005038A5">
      <w:pPr>
        <w:pStyle w:val="Numberedlist"/>
        <w:numPr>
          <w:ilvl w:val="0"/>
          <w:numId w:val="35"/>
        </w:numPr>
      </w:pPr>
      <w:r w:rsidRPr="002010D1">
        <w:t>Admit patient (Day Stay</w:t>
      </w:r>
      <w:r w:rsidRPr="005038A5">
        <w:rPr>
          <w:spacing w:val="21"/>
        </w:rPr>
        <w:t xml:space="preserve"> </w:t>
      </w:r>
      <w:r w:rsidRPr="002010D1">
        <w:t xml:space="preserve">inpatient </w:t>
      </w:r>
      <w:r>
        <w:t>m</w:t>
      </w:r>
      <w:r w:rsidRPr="002010D1">
        <w:t>edical admission).</w:t>
      </w:r>
    </w:p>
    <w:p w14:paraId="360DE87B" w14:textId="77777777" w:rsidR="005038A5" w:rsidRPr="002010D1" w:rsidRDefault="005038A5" w:rsidP="005038A5">
      <w:pPr>
        <w:pStyle w:val="Numberedlist"/>
        <w:numPr>
          <w:ilvl w:val="0"/>
          <w:numId w:val="35"/>
        </w:numPr>
      </w:pPr>
      <w:r w:rsidRPr="002010D1">
        <w:t>Confirm identity of patient using 3 identifying elements (name, date of birth, URN or address) and apply identification/allergy bands.</w:t>
      </w:r>
    </w:p>
    <w:p w14:paraId="4E9C819C" w14:textId="77777777" w:rsidR="005038A5" w:rsidRPr="002010D1" w:rsidRDefault="005038A5" w:rsidP="005038A5">
      <w:pPr>
        <w:pStyle w:val="Numberedlist"/>
        <w:numPr>
          <w:ilvl w:val="0"/>
          <w:numId w:val="35"/>
        </w:numPr>
      </w:pPr>
      <w:r w:rsidRPr="002010D1">
        <w:t>Explain the procedure to the patient and ensure patient comfort.</w:t>
      </w:r>
    </w:p>
    <w:p w14:paraId="65253016" w14:textId="77777777" w:rsidR="005038A5" w:rsidRPr="002010D1" w:rsidRDefault="005038A5" w:rsidP="005038A5">
      <w:pPr>
        <w:pStyle w:val="Numberedlist"/>
        <w:numPr>
          <w:ilvl w:val="0"/>
          <w:numId w:val="35"/>
        </w:numPr>
      </w:pPr>
      <w:r w:rsidRPr="002010D1">
        <w:t xml:space="preserve">Obtain and document written consent for the procedure. </w:t>
      </w:r>
    </w:p>
    <w:p w14:paraId="5EB2A3D7" w14:textId="77777777" w:rsidR="005038A5" w:rsidRPr="002010D1" w:rsidRDefault="005038A5" w:rsidP="005038A5">
      <w:pPr>
        <w:pStyle w:val="Numberedlist"/>
        <w:numPr>
          <w:ilvl w:val="0"/>
          <w:numId w:val="35"/>
        </w:numPr>
      </w:pPr>
      <w:r w:rsidRPr="002010D1">
        <w:t>Obtain and document</w:t>
      </w:r>
      <w:r>
        <w:t xml:space="preserve"> the patient’s</w:t>
      </w:r>
      <w:r w:rsidRPr="002010D1">
        <w:t xml:space="preserve"> baseline observations including </w:t>
      </w:r>
      <w:r>
        <w:t>b</w:t>
      </w:r>
      <w:r w:rsidRPr="002010D1">
        <w:t xml:space="preserve">lood pressure – lying and standing, pulse, respirations, </w:t>
      </w:r>
      <w:r>
        <w:t>o</w:t>
      </w:r>
      <w:r w:rsidRPr="002010D1">
        <w:t>xygen saturation, temperature, cBGL, weight, allergies and fasting commencement time.</w:t>
      </w:r>
    </w:p>
    <w:p w14:paraId="064465DF" w14:textId="77777777" w:rsidR="005038A5" w:rsidRPr="002010D1" w:rsidRDefault="005038A5" w:rsidP="005038A5">
      <w:pPr>
        <w:pStyle w:val="Numberedlist"/>
        <w:numPr>
          <w:ilvl w:val="0"/>
          <w:numId w:val="35"/>
        </w:numPr>
      </w:pPr>
      <w:r w:rsidRPr="002010D1">
        <w:t>Place patient in the chair and keep in seated position for the full duration of the test (feet touching the floor).</w:t>
      </w:r>
    </w:p>
    <w:p w14:paraId="0904CBAB" w14:textId="77777777" w:rsidR="005038A5" w:rsidRPr="002010D1" w:rsidRDefault="005038A5" w:rsidP="005038A5">
      <w:pPr>
        <w:pStyle w:val="Numberedlist"/>
        <w:numPr>
          <w:ilvl w:val="0"/>
          <w:numId w:val="35"/>
        </w:numPr>
      </w:pPr>
      <w:r w:rsidRPr="002010D1">
        <w:t>Insert an 18-22 gauge cannula in the cubital fossa of one arm. Cannula will be used first for drawing of baseline blood samples, then the infusion and lastly the 240 minutes drawing of blood.</w:t>
      </w:r>
    </w:p>
    <w:p w14:paraId="180626AE" w14:textId="77777777" w:rsidR="005038A5" w:rsidRPr="002010D1" w:rsidRDefault="005038A5" w:rsidP="005038A5">
      <w:pPr>
        <w:pStyle w:val="Numberedlist"/>
        <w:numPr>
          <w:ilvl w:val="0"/>
          <w:numId w:val="35"/>
        </w:numPr>
      </w:pPr>
      <w:r w:rsidRPr="002010D1">
        <w:lastRenderedPageBreak/>
        <w:t xml:space="preserve">Send venous blood gas to lab for urgent </w:t>
      </w:r>
      <w:r>
        <w:t>potassium</w:t>
      </w:r>
      <w:r w:rsidRPr="002010D1">
        <w:t xml:space="preserve"> measurement. Ideally </w:t>
      </w:r>
      <w:r>
        <w:t>potassium</w:t>
      </w:r>
      <w:r w:rsidRPr="002010D1">
        <w:t xml:space="preserve"> should be 4.0 mmol/L. Results can be obtained on the spot. </w:t>
      </w:r>
    </w:p>
    <w:p w14:paraId="3F06A698" w14:textId="77777777" w:rsidR="005038A5" w:rsidRPr="002010D1" w:rsidRDefault="005038A5" w:rsidP="005038A5">
      <w:pPr>
        <w:pStyle w:val="Numberedlist"/>
        <w:numPr>
          <w:ilvl w:val="0"/>
          <w:numId w:val="35"/>
        </w:numPr>
      </w:pPr>
      <w:r>
        <w:t xml:space="preserve">After 15 minutes in the seated position, take bloods from cannula for baseline Saline Suppression Test measurements (includes potassium, aldosterone, cortisol and plasma renin). Measure baseline blood pressure. </w:t>
      </w:r>
    </w:p>
    <w:p w14:paraId="7D31F6B2" w14:textId="2A163F63" w:rsidR="005038A5" w:rsidRPr="002010D1" w:rsidRDefault="005038A5" w:rsidP="005038A5">
      <w:pPr>
        <w:pStyle w:val="Numberedlist"/>
        <w:numPr>
          <w:ilvl w:val="0"/>
          <w:numId w:val="35"/>
        </w:numPr>
      </w:pPr>
      <w:r>
        <w:t>Start infusion of 2 litres sodium chloride 0.9% at a rate of 500mL per hour (total infusion duration 4 hours).</w:t>
      </w:r>
    </w:p>
    <w:p w14:paraId="00D216EF" w14:textId="328A76DB" w:rsidR="005038A5" w:rsidRPr="002010D1" w:rsidRDefault="005038A5" w:rsidP="005038A5">
      <w:pPr>
        <w:pStyle w:val="Numberedlist"/>
        <w:numPr>
          <w:ilvl w:val="0"/>
          <w:numId w:val="35"/>
        </w:numPr>
      </w:pPr>
      <w:r>
        <w:t>Measure blood pressure after every 500mL of infusion.</w:t>
      </w:r>
    </w:p>
    <w:p w14:paraId="16C68380" w14:textId="77777777" w:rsidR="005038A5" w:rsidRPr="002010D1" w:rsidRDefault="005038A5" w:rsidP="005038A5">
      <w:pPr>
        <w:pStyle w:val="Numberedlist"/>
        <w:numPr>
          <w:ilvl w:val="0"/>
          <w:numId w:val="35"/>
        </w:numPr>
      </w:pPr>
      <w:r>
        <w:t>When the infusion has finished, take bloods for the 240 minutes Saline Suppression Test measurement (includes potassium, aldosterone, cortisol and plasma renin).</w:t>
      </w:r>
    </w:p>
    <w:p w14:paraId="58AF9393" w14:textId="77777777" w:rsidR="005038A5" w:rsidRPr="002010D1" w:rsidRDefault="005038A5" w:rsidP="005038A5">
      <w:pPr>
        <w:pStyle w:val="Numberedlist"/>
        <w:numPr>
          <w:ilvl w:val="0"/>
          <w:numId w:val="35"/>
        </w:numPr>
      </w:pPr>
      <w:r>
        <w:t>Measure post-test blood pressure.</w:t>
      </w:r>
    </w:p>
    <w:p w14:paraId="62BD5E15" w14:textId="77777777" w:rsidR="005038A5" w:rsidRPr="002010D1" w:rsidRDefault="005038A5" w:rsidP="005038A5">
      <w:pPr>
        <w:pStyle w:val="Numberedlist"/>
        <w:numPr>
          <w:ilvl w:val="0"/>
          <w:numId w:val="35"/>
        </w:numPr>
      </w:pPr>
      <w:r>
        <w:t>Remove cannula.</w:t>
      </w:r>
    </w:p>
    <w:p w14:paraId="15CF2E8A" w14:textId="77777777" w:rsidR="005038A5" w:rsidRPr="002010D1" w:rsidRDefault="005038A5" w:rsidP="005038A5">
      <w:pPr>
        <w:pStyle w:val="Numberedlist"/>
        <w:numPr>
          <w:ilvl w:val="0"/>
          <w:numId w:val="35"/>
        </w:numPr>
      </w:pPr>
      <w:r>
        <w:t>End test and discharge patient.</w:t>
      </w:r>
    </w:p>
    <w:p w14:paraId="4FF29CDD" w14:textId="255E05A7" w:rsidR="005038A5" w:rsidRPr="002010D1" w:rsidRDefault="005038A5" w:rsidP="005038A5">
      <w:pPr>
        <w:pStyle w:val="Heading5"/>
      </w:pPr>
      <w:r w:rsidRPr="002010D1">
        <w:t>Interpretation</w:t>
      </w:r>
    </w:p>
    <w:p w14:paraId="29789F7B" w14:textId="77777777" w:rsidR="005038A5" w:rsidRPr="00D407E4" w:rsidRDefault="005038A5" w:rsidP="005038A5">
      <w:pPr>
        <w:pStyle w:val="Bullet"/>
      </w:pPr>
      <w:r>
        <w:t>Post infusion plasma aldosterone &gt; 165 pmol/L): primary aldosteronism very probable</w:t>
      </w:r>
    </w:p>
    <w:p w14:paraId="138AF951" w14:textId="77777777" w:rsidR="005038A5" w:rsidRDefault="005038A5" w:rsidP="005038A5">
      <w:pPr>
        <w:pStyle w:val="Bullet"/>
      </w:pPr>
      <w:r>
        <w:t xml:space="preserve">Post infusion plasma aldosterone &lt; 165 pmol/L): primary aldosteronism very unlikely </w:t>
      </w:r>
    </w:p>
    <w:p w14:paraId="7F89F971" w14:textId="2B809F3D" w:rsidR="00506036" w:rsidRDefault="00000000" w:rsidP="00506036">
      <w:pPr>
        <w:pStyle w:val="BodyCopy"/>
      </w:pPr>
      <w:hyperlink w:anchor="_top" w:history="1">
        <w:r w:rsidR="00506036" w:rsidRPr="00481A6C">
          <w:rPr>
            <w:rStyle w:val="Hyperlink"/>
            <w:iCs w:val="0"/>
          </w:rPr>
          <w:t>Back to Contents</w:t>
        </w:r>
      </w:hyperlink>
    </w:p>
    <w:p w14:paraId="6B3358B6" w14:textId="532FF812" w:rsidR="00506036" w:rsidRDefault="00506036" w:rsidP="00506036">
      <w:pPr>
        <w:pStyle w:val="Heading4"/>
      </w:pPr>
      <w:bookmarkStart w:id="13" w:name="_Toc177472820"/>
      <w:r w:rsidRPr="0078367D">
        <w:t xml:space="preserve">Section </w:t>
      </w:r>
      <w:r>
        <w:t>6</w:t>
      </w:r>
      <w:r w:rsidRPr="0078367D">
        <w:t xml:space="preserve"> </w:t>
      </w:r>
      <w:r>
        <w:t>–</w:t>
      </w:r>
      <w:r w:rsidRPr="0078367D">
        <w:t xml:space="preserve"> </w:t>
      </w:r>
      <w:r w:rsidR="005038A5">
        <w:t>Clonidine Suppression Test</w:t>
      </w:r>
      <w:bookmarkEnd w:id="13"/>
    </w:p>
    <w:p w14:paraId="775775F5" w14:textId="77777777" w:rsidR="005038A5" w:rsidRPr="00D407E4" w:rsidRDefault="005038A5" w:rsidP="00D77B0E">
      <w:pPr>
        <w:pStyle w:val="Heading5"/>
      </w:pPr>
      <w:r w:rsidRPr="00D407E4">
        <w:t>Purpose</w:t>
      </w:r>
    </w:p>
    <w:p w14:paraId="715534D5" w14:textId="77777777" w:rsidR="005038A5" w:rsidRPr="002010D1" w:rsidRDefault="005038A5" w:rsidP="005038A5">
      <w:pPr>
        <w:rPr>
          <w:rFonts w:eastAsiaTheme="minorHAnsi"/>
          <w:color w:val="000000"/>
        </w:rPr>
      </w:pPr>
      <w:r w:rsidRPr="002010D1">
        <w:rPr>
          <w:rFonts w:eastAsiaTheme="minorHAnsi"/>
          <w:color w:val="000000"/>
        </w:rPr>
        <w:t xml:space="preserve">The </w:t>
      </w:r>
      <w:r>
        <w:rPr>
          <w:rFonts w:eastAsiaTheme="minorHAnsi"/>
          <w:color w:val="000000"/>
        </w:rPr>
        <w:t>c</w:t>
      </w:r>
      <w:r w:rsidRPr="002010D1">
        <w:rPr>
          <w:rFonts w:eastAsiaTheme="minorHAnsi"/>
          <w:color w:val="000000"/>
        </w:rPr>
        <w:t xml:space="preserve">lonidine </w:t>
      </w:r>
      <w:r>
        <w:rPr>
          <w:rFonts w:eastAsiaTheme="minorHAnsi"/>
          <w:color w:val="000000"/>
        </w:rPr>
        <w:t>s</w:t>
      </w:r>
      <w:r w:rsidRPr="002010D1">
        <w:rPr>
          <w:rFonts w:eastAsiaTheme="minorHAnsi"/>
          <w:color w:val="000000"/>
        </w:rPr>
        <w:t xml:space="preserve">uppression </w:t>
      </w:r>
      <w:r>
        <w:rPr>
          <w:rFonts w:eastAsiaTheme="minorHAnsi"/>
          <w:color w:val="000000"/>
        </w:rPr>
        <w:t>t</w:t>
      </w:r>
      <w:r w:rsidRPr="002010D1">
        <w:rPr>
          <w:rFonts w:eastAsiaTheme="minorHAnsi"/>
          <w:color w:val="000000"/>
        </w:rPr>
        <w:t xml:space="preserve">est is performed to investigate </w:t>
      </w:r>
      <w:r>
        <w:rPr>
          <w:rFonts w:eastAsiaTheme="minorHAnsi"/>
          <w:color w:val="000000"/>
        </w:rPr>
        <w:t xml:space="preserve">the </w:t>
      </w:r>
      <w:r w:rsidRPr="002010D1">
        <w:rPr>
          <w:rFonts w:eastAsiaTheme="minorHAnsi"/>
          <w:color w:val="000000"/>
        </w:rPr>
        <w:t>presence of phaeochromocytoma.</w:t>
      </w:r>
    </w:p>
    <w:p w14:paraId="64BD3641" w14:textId="5E67F850" w:rsidR="00D77B0E" w:rsidRPr="00D77B0E" w:rsidRDefault="00D77B0E" w:rsidP="00D77B0E">
      <w:pPr>
        <w:pStyle w:val="Heading5"/>
        <w:pBdr>
          <w:top w:val="single" w:sz="4" w:space="1" w:color="auto"/>
          <w:left w:val="single" w:sz="4" w:space="4" w:color="auto"/>
          <w:bottom w:val="single" w:sz="4" w:space="1" w:color="auto"/>
          <w:right w:val="single" w:sz="4" w:space="4" w:color="auto"/>
        </w:pBdr>
        <w:rPr>
          <w:rFonts w:eastAsiaTheme="minorHAnsi"/>
        </w:rPr>
      </w:pPr>
      <w:r>
        <w:rPr>
          <w:rFonts w:eastAsiaTheme="minorHAnsi"/>
        </w:rPr>
        <w:t>Alerts</w:t>
      </w:r>
    </w:p>
    <w:p w14:paraId="3895573D" w14:textId="72F60F7D" w:rsidR="005038A5" w:rsidRPr="00D407E4" w:rsidRDefault="005038A5" w:rsidP="00D77B0E">
      <w:pPr>
        <w:pStyle w:val="Bullet"/>
        <w:pBdr>
          <w:top w:val="single" w:sz="4" w:space="1" w:color="auto"/>
          <w:left w:val="single" w:sz="4" w:space="4" w:color="auto"/>
          <w:bottom w:val="single" w:sz="4" w:space="1" w:color="auto"/>
          <w:right w:val="single" w:sz="4" w:space="4" w:color="auto"/>
        </w:pBdr>
        <w:rPr>
          <w:rFonts w:eastAsiaTheme="minorHAnsi"/>
        </w:rPr>
      </w:pPr>
      <w:r w:rsidRPr="4721203F">
        <w:rPr>
          <w:rFonts w:eastAsiaTheme="minorEastAsia"/>
        </w:rPr>
        <w:t>The test should be performed with the patient recumbent and in a quiet room with no disturbances for the duration of the test.</w:t>
      </w:r>
    </w:p>
    <w:p w14:paraId="54409387" w14:textId="77777777" w:rsidR="005038A5" w:rsidRPr="00D407E4" w:rsidRDefault="00000000" w:rsidP="00D77B0E">
      <w:pPr>
        <w:pStyle w:val="Bullet"/>
        <w:pBdr>
          <w:top w:val="single" w:sz="4" w:space="1" w:color="auto"/>
          <w:left w:val="single" w:sz="4" w:space="4" w:color="auto"/>
          <w:bottom w:val="single" w:sz="4" w:space="1" w:color="auto"/>
          <w:right w:val="single" w:sz="4" w:space="4" w:color="auto"/>
        </w:pBdr>
      </w:pPr>
      <w:hyperlink r:id="rId13">
        <w:r w:rsidR="005038A5">
          <w:t>Clonidine</w:t>
        </w:r>
      </w:hyperlink>
      <w:r w:rsidR="005038A5">
        <w:t xml:space="preserve"> suppression tests must not be performed in hypovolemic patients because of the risk of a marked reduction in blood pressure, or in patients with normal plasma catecholamine values because the results are often inaccurate.</w:t>
      </w:r>
    </w:p>
    <w:p w14:paraId="626D7BDB" w14:textId="77777777" w:rsidR="005038A5" w:rsidRPr="002010D1" w:rsidRDefault="005038A5" w:rsidP="00D77B0E">
      <w:pPr>
        <w:pStyle w:val="Heading5"/>
      </w:pPr>
      <w:r w:rsidRPr="002010D1">
        <w:t>Equipment</w:t>
      </w:r>
    </w:p>
    <w:p w14:paraId="1D3559CD" w14:textId="77777777" w:rsidR="005038A5" w:rsidRPr="00D407E4" w:rsidRDefault="005038A5" w:rsidP="00D77B0E">
      <w:pPr>
        <w:pStyle w:val="Bullet"/>
      </w:pPr>
      <w:r>
        <w:t xml:space="preserve">Venepuncture equipment as per the </w:t>
      </w:r>
      <w:r w:rsidRPr="00D77B0E">
        <w:rPr>
          <w:i/>
          <w:iCs/>
        </w:rPr>
        <w:t>Venepuncture Blood Specimen Collection Procedure</w:t>
      </w:r>
    </w:p>
    <w:p w14:paraId="22C2CDC3" w14:textId="77777777" w:rsidR="005038A5" w:rsidRPr="00D77B0E" w:rsidRDefault="005038A5" w:rsidP="00D77B0E">
      <w:pPr>
        <w:pStyle w:val="Bullet"/>
        <w:rPr>
          <w:rFonts w:asciiTheme="minorHAnsi" w:hAnsiTheme="minorHAnsi" w:cstheme="minorHAnsi"/>
          <w:i/>
          <w:iCs/>
        </w:rPr>
      </w:pPr>
      <w:r>
        <w:t xml:space="preserve">IV equipment as per the </w:t>
      </w:r>
      <w:r w:rsidRPr="00D77B0E">
        <w:rPr>
          <w:i/>
          <w:iCs/>
        </w:rPr>
        <w:t xml:space="preserve">Peripheral </w:t>
      </w:r>
      <w:r w:rsidRPr="00D77B0E">
        <w:rPr>
          <w:rFonts w:asciiTheme="minorHAnsi" w:hAnsiTheme="minorHAnsi" w:cstheme="minorBidi"/>
          <w:i/>
          <w:iCs/>
        </w:rPr>
        <w:t>Intravenous Cannula (PIVC) and Midline Catheters – the Insertion and Management of Adults and Children (not Neonates)</w:t>
      </w:r>
    </w:p>
    <w:p w14:paraId="265C85D6" w14:textId="77777777" w:rsidR="005038A5" w:rsidRPr="00D407E4" w:rsidRDefault="005038A5" w:rsidP="00D77B0E">
      <w:pPr>
        <w:pStyle w:val="Bullet"/>
      </w:pPr>
      <w:r>
        <w:t>20 gauge x 11/4” Introcur Safety IV catheter</w:t>
      </w:r>
    </w:p>
    <w:p w14:paraId="46872DF8" w14:textId="77777777" w:rsidR="005038A5" w:rsidRPr="00D407E4" w:rsidRDefault="005038A5" w:rsidP="00D77B0E">
      <w:pPr>
        <w:pStyle w:val="Bullet"/>
      </w:pPr>
      <w:r>
        <w:t>0.9% Sodium Chloride Solution for IV injection 10mL</w:t>
      </w:r>
    </w:p>
    <w:p w14:paraId="4AFB6B05" w14:textId="77777777" w:rsidR="005038A5" w:rsidRPr="00D407E4" w:rsidRDefault="005038A5" w:rsidP="00D77B0E">
      <w:pPr>
        <w:pStyle w:val="Bullet"/>
      </w:pPr>
      <w:r>
        <w:t xml:space="preserve">10 mL syringe </w:t>
      </w:r>
    </w:p>
    <w:p w14:paraId="2A45762F" w14:textId="77777777" w:rsidR="005038A5" w:rsidRPr="00D407E4" w:rsidRDefault="005038A5" w:rsidP="00D77B0E">
      <w:pPr>
        <w:pStyle w:val="Bullet"/>
      </w:pPr>
      <w:r>
        <w:t>Safeflow Extension Set</w:t>
      </w:r>
    </w:p>
    <w:p w14:paraId="45D3BAF9" w14:textId="77777777" w:rsidR="005038A5" w:rsidRPr="00D407E4" w:rsidRDefault="005038A5" w:rsidP="00D77B0E">
      <w:pPr>
        <w:pStyle w:val="Bullet"/>
      </w:pPr>
      <w:r>
        <w:lastRenderedPageBreak/>
        <w:t>Tourniquet</w:t>
      </w:r>
    </w:p>
    <w:p w14:paraId="66B8AA63" w14:textId="77777777" w:rsidR="005038A5" w:rsidRPr="00D407E4" w:rsidRDefault="005038A5" w:rsidP="00D77B0E">
      <w:pPr>
        <w:pStyle w:val="Bullet"/>
      </w:pPr>
      <w:r>
        <w:t>Sterile Gloves</w:t>
      </w:r>
    </w:p>
    <w:p w14:paraId="556D8030" w14:textId="77777777" w:rsidR="005038A5" w:rsidRPr="00D407E4" w:rsidRDefault="005038A5" w:rsidP="00D77B0E">
      <w:pPr>
        <w:pStyle w:val="Bullet"/>
      </w:pPr>
      <w:r>
        <w:t>PPE – goggles, gloves</w:t>
      </w:r>
    </w:p>
    <w:p w14:paraId="64DBA4AD" w14:textId="77777777" w:rsidR="005038A5" w:rsidRPr="00D407E4" w:rsidRDefault="005038A5" w:rsidP="00D77B0E">
      <w:pPr>
        <w:pStyle w:val="Bullet"/>
      </w:pPr>
      <w:r>
        <w:t>Vacuette Holdex</w:t>
      </w:r>
    </w:p>
    <w:p w14:paraId="5949689F" w14:textId="77777777" w:rsidR="005038A5" w:rsidRPr="00D407E4" w:rsidRDefault="005038A5" w:rsidP="00D77B0E">
      <w:pPr>
        <w:pStyle w:val="Bullet"/>
      </w:pPr>
      <w:r>
        <w:t>Alcohol wipes</w:t>
      </w:r>
    </w:p>
    <w:p w14:paraId="703F8B8D" w14:textId="77777777" w:rsidR="005038A5" w:rsidRPr="00D407E4" w:rsidRDefault="005038A5" w:rsidP="00D77B0E">
      <w:pPr>
        <w:pStyle w:val="Bullet"/>
      </w:pPr>
      <w:r>
        <w:t>Serum tubes x 2 for discard</w:t>
      </w:r>
    </w:p>
    <w:p w14:paraId="50D9A0B9" w14:textId="77777777" w:rsidR="005038A5" w:rsidRPr="00D407E4" w:rsidRDefault="005038A5" w:rsidP="00D77B0E">
      <w:pPr>
        <w:pStyle w:val="Bullet"/>
      </w:pPr>
      <w:r>
        <w:t>0.9% sodium chloride Solution for IV injection 10mL</w:t>
      </w:r>
    </w:p>
    <w:p w14:paraId="47F7C6D4" w14:textId="77777777" w:rsidR="005038A5" w:rsidRPr="00D407E4" w:rsidRDefault="005038A5" w:rsidP="00D77B0E">
      <w:pPr>
        <w:pStyle w:val="Bullet"/>
      </w:pPr>
      <w:r>
        <w:t>Specimen bag</w:t>
      </w:r>
    </w:p>
    <w:p w14:paraId="079382E5" w14:textId="77777777" w:rsidR="005038A5" w:rsidRPr="00D407E4" w:rsidRDefault="005038A5" w:rsidP="00D77B0E">
      <w:pPr>
        <w:pStyle w:val="Bullet"/>
      </w:pPr>
      <w:r>
        <w:t>0.9% sodium chloride x 1 litre</w:t>
      </w:r>
    </w:p>
    <w:p w14:paraId="4111306E" w14:textId="77777777" w:rsidR="005038A5" w:rsidRPr="00D407E4" w:rsidRDefault="005038A5" w:rsidP="00D77B0E">
      <w:pPr>
        <w:pStyle w:val="Bullet"/>
      </w:pPr>
      <w:r>
        <w:t>Patient Identification labels and bands</w:t>
      </w:r>
    </w:p>
    <w:p w14:paraId="4B7BD05D" w14:textId="77777777" w:rsidR="005038A5" w:rsidRPr="00D407E4" w:rsidRDefault="005038A5" w:rsidP="00D77B0E">
      <w:pPr>
        <w:pStyle w:val="Bullet"/>
      </w:pPr>
      <w:r>
        <w:t>10mL Lithium Heparin Tube with sodium metabisulphate added (obtain from Clinical Chemistry extn: 42843).</w:t>
      </w:r>
    </w:p>
    <w:p w14:paraId="67F568E8" w14:textId="77777777" w:rsidR="005038A5" w:rsidRPr="00D407E4" w:rsidRDefault="005038A5" w:rsidP="00D77B0E">
      <w:pPr>
        <w:pStyle w:val="Bullet"/>
      </w:pPr>
      <w:r>
        <w:t xml:space="preserve">Ice for metanephrine samples  </w:t>
      </w:r>
    </w:p>
    <w:p w14:paraId="4CC6866A" w14:textId="77777777" w:rsidR="005038A5" w:rsidRPr="00D407E4" w:rsidRDefault="005038A5" w:rsidP="00D77B0E">
      <w:pPr>
        <w:pStyle w:val="Bullet"/>
      </w:pPr>
      <w:r>
        <w:t>Progress Notes, Fluid Balance Chart, Mews Chart</w:t>
      </w:r>
    </w:p>
    <w:p w14:paraId="771F6D31" w14:textId="77777777" w:rsidR="005038A5" w:rsidRPr="00D407E4" w:rsidRDefault="005038A5" w:rsidP="00D77B0E">
      <w:pPr>
        <w:pStyle w:val="Bullet"/>
      </w:pPr>
      <w:r>
        <w:t>Medication orders clonidine 300 micrograms (150 micrograms x 2 tablets)</w:t>
      </w:r>
    </w:p>
    <w:p w14:paraId="0BACE518" w14:textId="77777777" w:rsidR="005038A5" w:rsidRPr="00D407E4" w:rsidRDefault="005038A5" w:rsidP="00D77B0E">
      <w:pPr>
        <w:pStyle w:val="Bullet"/>
      </w:pPr>
      <w:r>
        <w:t>Clonidine 300 micrograms tablets (150 micrograms x 2 tablets)</w:t>
      </w:r>
    </w:p>
    <w:p w14:paraId="02DD799A" w14:textId="77777777" w:rsidR="005038A5" w:rsidRPr="00D407E4" w:rsidRDefault="005038A5" w:rsidP="00D77B0E">
      <w:pPr>
        <w:pStyle w:val="Bullet"/>
      </w:pPr>
      <w:r>
        <w:t>Fluid orders for 09% sodium chloride if needed for hypotension.</w:t>
      </w:r>
    </w:p>
    <w:p w14:paraId="5836CAD6" w14:textId="77777777" w:rsidR="005038A5" w:rsidRPr="002010D1" w:rsidRDefault="005038A5" w:rsidP="00D77B0E">
      <w:pPr>
        <w:pStyle w:val="Heading5"/>
      </w:pPr>
      <w:r w:rsidRPr="002010D1">
        <w:t>Procedure</w:t>
      </w:r>
    </w:p>
    <w:p w14:paraId="49105D17" w14:textId="77777777" w:rsidR="005038A5" w:rsidRPr="002010D1" w:rsidRDefault="005038A5" w:rsidP="00D77B0E">
      <w:pPr>
        <w:pStyle w:val="Heading5"/>
      </w:pPr>
      <w:r w:rsidRPr="002010D1">
        <w:t xml:space="preserve">Pre-Test </w:t>
      </w:r>
      <w:r w:rsidRPr="002010D1">
        <w:rPr>
          <w:spacing w:val="29"/>
        </w:rPr>
        <w:t xml:space="preserve"> </w:t>
      </w:r>
    </w:p>
    <w:p w14:paraId="13D02409" w14:textId="77777777" w:rsidR="005038A5" w:rsidRPr="00D407E4" w:rsidRDefault="005038A5" w:rsidP="00D77B0E">
      <w:pPr>
        <w:pStyle w:val="Bullet"/>
      </w:pPr>
      <w:r>
        <w:t>Arrange date and time of test with the patient. Patient may be drowsy following test and should arrange transportation.</w:t>
      </w:r>
    </w:p>
    <w:p w14:paraId="3303173B" w14:textId="77777777" w:rsidR="005038A5" w:rsidRPr="00D407E4" w:rsidRDefault="005038A5" w:rsidP="00D77B0E">
      <w:pPr>
        <w:pStyle w:val="Bullet"/>
      </w:pPr>
      <w:r>
        <w:t>Instruct patient to fast from midnight prior to the test.</w:t>
      </w:r>
    </w:p>
    <w:p w14:paraId="189F017C" w14:textId="77777777" w:rsidR="005038A5" w:rsidRPr="00D407E4" w:rsidRDefault="005038A5" w:rsidP="00D77B0E">
      <w:pPr>
        <w:pStyle w:val="Bullet"/>
        <w:rPr>
          <w:rFonts w:eastAsiaTheme="minorHAnsi"/>
        </w:rPr>
      </w:pPr>
      <w:r>
        <w:t xml:space="preserve">Instruct patient to withhold </w:t>
      </w:r>
      <w:r w:rsidRPr="4721203F">
        <w:rPr>
          <w:rFonts w:eastAsiaTheme="minorEastAsia"/>
        </w:rPr>
        <w:t>regular anti-hypertensive medication (especially ß blockers) and tricyclic antidepressants for at least two days prior to the test. If necessary, prazosin can be used for blood pressure control.</w:t>
      </w:r>
    </w:p>
    <w:p w14:paraId="2708BDBA" w14:textId="77777777" w:rsidR="005038A5" w:rsidRPr="00D407E4" w:rsidRDefault="005038A5" w:rsidP="00D77B0E">
      <w:pPr>
        <w:pStyle w:val="Bullet"/>
        <w:rPr>
          <w:rFonts w:eastAsiaTheme="minorHAnsi"/>
        </w:rPr>
      </w:pPr>
      <w:r>
        <w:t>Obtain request form from Pathology marked “Clonidine Suppression test: noradrenaline, adrenaline and normetaneprhine at 0 minutes and 3 hours”. This test is not available to order in the DHR.</w:t>
      </w:r>
    </w:p>
    <w:p w14:paraId="15634D95" w14:textId="77777777" w:rsidR="005038A5" w:rsidRPr="00D407E4" w:rsidRDefault="005038A5" w:rsidP="00D77B0E">
      <w:pPr>
        <w:pStyle w:val="Bullet"/>
        <w:rPr>
          <w:rFonts w:eastAsiaTheme="minorHAnsi"/>
        </w:rPr>
      </w:pPr>
      <w:r>
        <w:t xml:space="preserve">Book a consult room. </w:t>
      </w:r>
    </w:p>
    <w:p w14:paraId="396458B6" w14:textId="77777777" w:rsidR="005038A5" w:rsidRPr="002010D1" w:rsidRDefault="005038A5" w:rsidP="00D77B0E">
      <w:pPr>
        <w:pStyle w:val="Heading5"/>
      </w:pPr>
      <w:r w:rsidRPr="002010D1">
        <w:t>Test</w:t>
      </w:r>
    </w:p>
    <w:p w14:paraId="59AC1748" w14:textId="77777777" w:rsidR="005038A5" w:rsidRPr="002010D1" w:rsidRDefault="005038A5" w:rsidP="00D77B0E">
      <w:pPr>
        <w:pStyle w:val="Numberedlist"/>
        <w:numPr>
          <w:ilvl w:val="0"/>
          <w:numId w:val="38"/>
        </w:numPr>
      </w:pPr>
      <w:r w:rsidRPr="00D77B0E">
        <w:rPr>
          <w:rFonts w:eastAsiaTheme="minorHAnsi"/>
        </w:rPr>
        <w:t>The patient should attend the Endocrine Clinic at 08.30 after an overnight fast.</w:t>
      </w:r>
    </w:p>
    <w:p w14:paraId="3A0604D7" w14:textId="77777777" w:rsidR="005038A5" w:rsidRPr="002010D1" w:rsidRDefault="005038A5" w:rsidP="00D77B0E">
      <w:pPr>
        <w:pStyle w:val="Numberedlist"/>
        <w:numPr>
          <w:ilvl w:val="0"/>
          <w:numId w:val="38"/>
        </w:numPr>
      </w:pPr>
      <w:r w:rsidRPr="002010D1">
        <w:t>Explain the procedure to the patient and ensure patient comfort.</w:t>
      </w:r>
    </w:p>
    <w:p w14:paraId="13F48439" w14:textId="77777777" w:rsidR="005038A5" w:rsidRPr="002010D1" w:rsidRDefault="005038A5" w:rsidP="00D77B0E">
      <w:pPr>
        <w:pStyle w:val="Numberedlist"/>
        <w:numPr>
          <w:ilvl w:val="0"/>
          <w:numId w:val="38"/>
        </w:numPr>
      </w:pPr>
      <w:r w:rsidRPr="002010D1">
        <w:t>Confirm identity of patient using 3 identifying elements (name, date of birth, URN or address) and apply identification/allergy bands.</w:t>
      </w:r>
    </w:p>
    <w:p w14:paraId="26814990" w14:textId="77777777" w:rsidR="005038A5" w:rsidRPr="002010D1" w:rsidRDefault="005038A5" w:rsidP="00D77B0E">
      <w:pPr>
        <w:pStyle w:val="Numberedlist"/>
        <w:numPr>
          <w:ilvl w:val="0"/>
          <w:numId w:val="38"/>
        </w:numPr>
      </w:pPr>
      <w:r w:rsidRPr="002010D1">
        <w:t>Medical admission. Obtain and document medical history, medications and allergies.</w:t>
      </w:r>
    </w:p>
    <w:p w14:paraId="48EFDE65" w14:textId="77777777" w:rsidR="005038A5" w:rsidRPr="002010D1" w:rsidRDefault="005038A5" w:rsidP="00D77B0E">
      <w:pPr>
        <w:pStyle w:val="Numberedlist"/>
        <w:numPr>
          <w:ilvl w:val="0"/>
          <w:numId w:val="38"/>
        </w:numPr>
      </w:pPr>
      <w:r w:rsidRPr="002010D1">
        <w:t xml:space="preserve">Obtain and document written consent for the procedure. </w:t>
      </w:r>
    </w:p>
    <w:p w14:paraId="3533B4AA" w14:textId="77777777" w:rsidR="005038A5" w:rsidRPr="00D77B0E" w:rsidRDefault="005038A5" w:rsidP="00D77B0E">
      <w:pPr>
        <w:pStyle w:val="Numberedlist"/>
        <w:numPr>
          <w:ilvl w:val="0"/>
          <w:numId w:val="38"/>
        </w:numPr>
        <w:rPr>
          <w:rFonts w:eastAsiaTheme="minorHAnsi"/>
          <w:bCs/>
        </w:rPr>
      </w:pPr>
      <w:r w:rsidRPr="002010D1">
        <w:t>Ensure the patient rests for 30 minutes before procedure and is calm.</w:t>
      </w:r>
    </w:p>
    <w:p w14:paraId="1BA6ADC9" w14:textId="77777777" w:rsidR="005038A5" w:rsidRPr="00D77B0E" w:rsidRDefault="005038A5" w:rsidP="00D77B0E">
      <w:pPr>
        <w:pStyle w:val="Numberedlist"/>
        <w:numPr>
          <w:ilvl w:val="0"/>
          <w:numId w:val="38"/>
        </w:numPr>
        <w:rPr>
          <w:rFonts w:eastAsiaTheme="minorHAnsi"/>
          <w:bCs/>
        </w:rPr>
      </w:pPr>
      <w:r w:rsidRPr="002010D1">
        <w:lastRenderedPageBreak/>
        <w:t>Obtain and document</w:t>
      </w:r>
      <w:r>
        <w:t xml:space="preserve"> the patient’s</w:t>
      </w:r>
      <w:r w:rsidRPr="002010D1">
        <w:t xml:space="preserve"> baseline observations including </w:t>
      </w:r>
      <w:r>
        <w:t>b</w:t>
      </w:r>
      <w:r w:rsidRPr="002010D1">
        <w:t xml:space="preserve">lood pressure – lying and standing, pulse, respirations, </w:t>
      </w:r>
      <w:r>
        <w:t>o</w:t>
      </w:r>
      <w:r w:rsidRPr="002010D1">
        <w:t>xygen saturation, temperature.</w:t>
      </w:r>
    </w:p>
    <w:p w14:paraId="6465AB32" w14:textId="77777777" w:rsidR="005038A5" w:rsidRPr="00D77B0E" w:rsidRDefault="005038A5" w:rsidP="00D77B0E">
      <w:pPr>
        <w:pStyle w:val="Numberedlist"/>
        <w:numPr>
          <w:ilvl w:val="0"/>
          <w:numId w:val="38"/>
        </w:numPr>
        <w:rPr>
          <w:rFonts w:eastAsiaTheme="minorHAnsi"/>
          <w:bCs/>
        </w:rPr>
      </w:pPr>
      <w:r w:rsidRPr="00D77B0E">
        <w:rPr>
          <w:rFonts w:eastAsiaTheme="minorHAnsi"/>
        </w:rPr>
        <w:t>Insert intravenous cannula.</w:t>
      </w:r>
    </w:p>
    <w:p w14:paraId="2B657954" w14:textId="77777777" w:rsidR="005038A5" w:rsidRPr="00D77B0E" w:rsidRDefault="005038A5" w:rsidP="00D77B0E">
      <w:pPr>
        <w:pStyle w:val="Numberedlist"/>
        <w:numPr>
          <w:ilvl w:val="0"/>
          <w:numId w:val="38"/>
        </w:numPr>
        <w:rPr>
          <w:rFonts w:eastAsiaTheme="minorHAnsi"/>
          <w:bCs/>
        </w:rPr>
      </w:pPr>
      <w:r w:rsidRPr="00D77B0E">
        <w:rPr>
          <w:rFonts w:eastAsiaTheme="minorHAnsi"/>
        </w:rPr>
        <w:t xml:space="preserve">Rest patient for 30 minutes before blood sample collection (see Alert below regarding collection of catecholamine samples). </w:t>
      </w:r>
    </w:p>
    <w:tbl>
      <w:tblPr>
        <w:tblStyle w:val="TableGrid"/>
        <w:tblW w:w="0" w:type="auto"/>
        <w:tblLook w:val="04A0" w:firstRow="1" w:lastRow="0" w:firstColumn="1" w:lastColumn="0" w:noHBand="0" w:noVBand="1"/>
      </w:tblPr>
      <w:tblGrid>
        <w:gridCol w:w="9286"/>
      </w:tblGrid>
      <w:tr w:rsidR="005038A5" w:rsidRPr="002010D1" w14:paraId="2725F208" w14:textId="77777777" w:rsidTr="0069740F">
        <w:tc>
          <w:tcPr>
            <w:tcW w:w="9286" w:type="dxa"/>
          </w:tcPr>
          <w:p w14:paraId="6722C7AD" w14:textId="77777777" w:rsidR="00D77B0E" w:rsidRDefault="005038A5" w:rsidP="0069740F">
            <w:pPr>
              <w:rPr>
                <w:rFonts w:eastAsiaTheme="minorHAnsi"/>
                <w:b/>
                <w:bCs/>
              </w:rPr>
            </w:pPr>
            <w:r>
              <w:rPr>
                <w:rFonts w:eastAsiaTheme="minorHAnsi"/>
                <w:b/>
                <w:bCs/>
              </w:rPr>
              <w:t>Note</w:t>
            </w:r>
            <w:r w:rsidR="00D77B0E">
              <w:rPr>
                <w:rFonts w:eastAsiaTheme="minorHAnsi"/>
                <w:b/>
                <w:bCs/>
              </w:rPr>
              <w:t xml:space="preserve">. </w:t>
            </w:r>
          </w:p>
          <w:p w14:paraId="7AA08C44" w14:textId="0376BE40" w:rsidR="005038A5" w:rsidRPr="00D407E4" w:rsidRDefault="005038A5" w:rsidP="0069740F">
            <w:pPr>
              <w:rPr>
                <w:rFonts w:eastAsiaTheme="minorHAnsi"/>
                <w:b/>
                <w:bCs/>
              </w:rPr>
            </w:pPr>
            <w:r w:rsidRPr="00D407E4">
              <w:rPr>
                <w:rFonts w:eastAsiaTheme="minorHAnsi"/>
                <w:b/>
                <w:bCs/>
              </w:rPr>
              <w:t>Plasma Catecholamine Collection</w:t>
            </w:r>
            <w:r w:rsidR="00D77B0E">
              <w:rPr>
                <w:rFonts w:eastAsiaTheme="minorHAnsi"/>
                <w:b/>
                <w:bCs/>
              </w:rPr>
              <w:t xml:space="preserve">. </w:t>
            </w:r>
            <w:r w:rsidRPr="002010D1">
              <w:rPr>
                <w:rFonts w:eastAsiaTheme="minorHAnsi"/>
              </w:rPr>
              <w:t xml:space="preserve">Catecholamines, especially in plasma, are unstable. It is therefore essential to keep the blood specimen on ice at all times and transport immediately to </w:t>
            </w:r>
            <w:r>
              <w:rPr>
                <w:rFonts w:eastAsiaTheme="minorHAnsi"/>
              </w:rPr>
              <w:t xml:space="preserve">the </w:t>
            </w:r>
            <w:r w:rsidRPr="002010D1">
              <w:rPr>
                <w:rFonts w:eastAsiaTheme="minorHAnsi"/>
              </w:rPr>
              <w:t>ACT Pathology laboratory</w:t>
            </w:r>
            <w:r>
              <w:rPr>
                <w:rFonts w:eastAsiaTheme="minorHAnsi"/>
              </w:rPr>
              <w:t>.</w:t>
            </w:r>
          </w:p>
          <w:p w14:paraId="7C320CE7" w14:textId="77777777" w:rsidR="005038A5" w:rsidRPr="002010D1" w:rsidRDefault="005038A5" w:rsidP="0069740F">
            <w:pPr>
              <w:rPr>
                <w:rFonts w:eastAsiaTheme="minorHAnsi"/>
              </w:rPr>
            </w:pPr>
            <w:r w:rsidRPr="002010D1">
              <w:rPr>
                <w:rFonts w:eastAsiaTheme="minorHAnsi"/>
              </w:rPr>
              <w:t xml:space="preserve">Patient should not have eaten, drunk beverages (especially tea, coffee or cola drinks) or smoked at least three hours before sample collection. </w:t>
            </w:r>
          </w:p>
        </w:tc>
      </w:tr>
    </w:tbl>
    <w:p w14:paraId="4EBE05E4" w14:textId="77777777" w:rsidR="005038A5" w:rsidRPr="00D407E4" w:rsidRDefault="005038A5" w:rsidP="00F93332">
      <w:pPr>
        <w:pStyle w:val="Numberedlist"/>
        <w:rPr>
          <w:rFonts w:eastAsiaTheme="minorHAnsi"/>
        </w:rPr>
      </w:pPr>
      <w:r w:rsidRPr="00D407E4">
        <w:rPr>
          <w:rFonts w:eastAsiaTheme="minorHAnsi"/>
        </w:rPr>
        <w:t xml:space="preserve">Collect a blood sample for plasma adrenaline, noradrenaline and normetanephrine </w:t>
      </w:r>
      <w:r>
        <w:rPr>
          <w:rFonts w:eastAsiaTheme="minorHAnsi"/>
        </w:rPr>
        <w:t>e</w:t>
      </w:r>
      <w:r w:rsidRPr="00D407E4">
        <w:rPr>
          <w:rFonts w:eastAsiaTheme="minorHAnsi"/>
        </w:rPr>
        <w:t>nsuring adequate drawback and discard. Invert the tube once or twice and immediately place on ice</w:t>
      </w:r>
      <w:r>
        <w:rPr>
          <w:rFonts w:eastAsiaTheme="minorHAnsi"/>
        </w:rPr>
        <w:t xml:space="preserve"> (0 minutes)</w:t>
      </w:r>
      <w:r w:rsidRPr="00D407E4">
        <w:rPr>
          <w:rFonts w:eastAsiaTheme="minorHAnsi"/>
        </w:rPr>
        <w:t>.</w:t>
      </w:r>
    </w:p>
    <w:p w14:paraId="6AF4EA58" w14:textId="77777777" w:rsidR="005038A5" w:rsidRPr="00D407E4" w:rsidRDefault="005038A5" w:rsidP="00F93332">
      <w:pPr>
        <w:pStyle w:val="Numberedlist"/>
        <w:rPr>
          <w:rFonts w:eastAsiaTheme="minorHAnsi"/>
        </w:rPr>
      </w:pPr>
      <w:r w:rsidRPr="00D407E4">
        <w:rPr>
          <w:rFonts w:eastAsiaTheme="minorHAnsi"/>
        </w:rPr>
        <w:t xml:space="preserve">Flush cannula with 0.9% </w:t>
      </w:r>
      <w:r>
        <w:rPr>
          <w:rFonts w:eastAsiaTheme="minorHAnsi"/>
        </w:rPr>
        <w:t xml:space="preserve">sodium chloride </w:t>
      </w:r>
      <w:r w:rsidRPr="00D407E4">
        <w:rPr>
          <w:rFonts w:eastAsiaTheme="minorHAnsi"/>
        </w:rPr>
        <w:t>10m</w:t>
      </w:r>
      <w:r>
        <w:rPr>
          <w:rFonts w:eastAsiaTheme="minorHAnsi"/>
        </w:rPr>
        <w:t>L</w:t>
      </w:r>
      <w:r w:rsidRPr="00D407E4">
        <w:rPr>
          <w:rFonts w:eastAsiaTheme="minorHAnsi"/>
        </w:rPr>
        <w:t>.</w:t>
      </w:r>
    </w:p>
    <w:p w14:paraId="50CF2F19" w14:textId="77777777" w:rsidR="005038A5" w:rsidRPr="00D407E4" w:rsidRDefault="005038A5" w:rsidP="00F93332">
      <w:pPr>
        <w:pStyle w:val="Numberedlist"/>
        <w:rPr>
          <w:rFonts w:eastAsiaTheme="minorHAnsi"/>
        </w:rPr>
      </w:pPr>
      <w:r w:rsidRPr="00D407E4">
        <w:rPr>
          <w:rFonts w:eastAsiaTheme="minorHAnsi"/>
        </w:rPr>
        <w:t xml:space="preserve">Obtain </w:t>
      </w:r>
      <w:r>
        <w:rPr>
          <w:rFonts w:eastAsiaTheme="minorHAnsi"/>
        </w:rPr>
        <w:t>b</w:t>
      </w:r>
      <w:r w:rsidRPr="00D407E4">
        <w:rPr>
          <w:rFonts w:eastAsiaTheme="minorHAnsi"/>
        </w:rPr>
        <w:t xml:space="preserve">lood </w:t>
      </w:r>
      <w:r>
        <w:rPr>
          <w:rFonts w:eastAsiaTheme="minorHAnsi"/>
        </w:rPr>
        <w:t>p</w:t>
      </w:r>
      <w:r w:rsidRPr="00D407E4">
        <w:rPr>
          <w:rFonts w:eastAsiaTheme="minorHAnsi"/>
        </w:rPr>
        <w:t>ressure reading (</w:t>
      </w:r>
      <w:r>
        <w:rPr>
          <w:rFonts w:eastAsiaTheme="minorHAnsi"/>
        </w:rPr>
        <w:t>0</w:t>
      </w:r>
      <w:r w:rsidRPr="00D407E4">
        <w:rPr>
          <w:rFonts w:eastAsiaTheme="minorHAnsi"/>
        </w:rPr>
        <w:t xml:space="preserve"> minutes).</w:t>
      </w:r>
    </w:p>
    <w:p w14:paraId="374EB91C" w14:textId="77777777" w:rsidR="005038A5" w:rsidRPr="00D407E4" w:rsidRDefault="005038A5" w:rsidP="00F93332">
      <w:pPr>
        <w:pStyle w:val="Numberedlist"/>
        <w:rPr>
          <w:rFonts w:eastAsiaTheme="minorHAnsi"/>
        </w:rPr>
      </w:pPr>
      <w:r w:rsidRPr="00D407E4">
        <w:rPr>
          <w:rFonts w:eastAsiaTheme="minorHAnsi"/>
        </w:rPr>
        <w:t xml:space="preserve">Administer </w:t>
      </w:r>
      <w:r>
        <w:rPr>
          <w:rFonts w:eastAsiaTheme="minorHAnsi"/>
        </w:rPr>
        <w:t>o</w:t>
      </w:r>
      <w:r w:rsidRPr="00D407E4">
        <w:rPr>
          <w:rFonts w:eastAsiaTheme="minorHAnsi"/>
        </w:rPr>
        <w:t>ral clonidine 300</w:t>
      </w:r>
      <w:r>
        <w:rPr>
          <w:rFonts w:eastAsiaTheme="minorHAnsi"/>
        </w:rPr>
        <w:t>microg</w:t>
      </w:r>
      <w:r w:rsidRPr="00D407E4">
        <w:rPr>
          <w:rFonts w:eastAsiaTheme="minorHAnsi"/>
        </w:rPr>
        <w:t xml:space="preserve"> (2 x 15</w:t>
      </w:r>
      <w:r>
        <w:rPr>
          <w:rFonts w:eastAsiaTheme="minorHAnsi"/>
        </w:rPr>
        <w:t>0microg</w:t>
      </w:r>
      <w:r w:rsidRPr="00D407E4">
        <w:rPr>
          <w:rFonts w:eastAsiaTheme="minorHAnsi"/>
        </w:rPr>
        <w:t xml:space="preserve"> tablets).</w:t>
      </w:r>
    </w:p>
    <w:p w14:paraId="622037A5" w14:textId="77777777" w:rsidR="005038A5" w:rsidRPr="00D407E4" w:rsidRDefault="005038A5" w:rsidP="00F93332">
      <w:pPr>
        <w:pStyle w:val="Numberedlist"/>
        <w:rPr>
          <w:rFonts w:eastAsiaTheme="minorHAnsi"/>
        </w:rPr>
      </w:pPr>
      <w:r w:rsidRPr="00D407E4">
        <w:rPr>
          <w:rFonts w:eastAsiaTheme="minorHAnsi"/>
        </w:rPr>
        <w:t xml:space="preserve">The patient lies quietly for 3 hours in a quiet, dark room undisturbed. </w:t>
      </w:r>
    </w:p>
    <w:p w14:paraId="090391EE" w14:textId="77777777" w:rsidR="005038A5" w:rsidRPr="00D407E4" w:rsidRDefault="005038A5" w:rsidP="00F93332">
      <w:pPr>
        <w:pStyle w:val="Numberedlist"/>
        <w:rPr>
          <w:rFonts w:eastAsiaTheme="minorHAnsi"/>
        </w:rPr>
      </w:pPr>
      <w:r w:rsidRPr="00D407E4">
        <w:rPr>
          <w:rFonts w:eastAsiaTheme="minorHAnsi"/>
        </w:rPr>
        <w:t xml:space="preserve">Collect second blood sample for plasma adrenaline, noradrenaline and normetanephrine 3 hours after clonidine was administered ensuring adequate drawback and discard. Invert the tube once or twice and immediately place on ice. </w:t>
      </w:r>
    </w:p>
    <w:p w14:paraId="4978070B" w14:textId="77777777" w:rsidR="005038A5" w:rsidRPr="00D77B0E" w:rsidRDefault="005038A5" w:rsidP="00F93332">
      <w:pPr>
        <w:pStyle w:val="Numberedlist"/>
        <w:rPr>
          <w:rFonts w:eastAsiaTheme="minorHAnsi"/>
        </w:rPr>
      </w:pPr>
      <w:r w:rsidRPr="00D407E4">
        <w:rPr>
          <w:rFonts w:eastAsiaTheme="minorHAnsi"/>
        </w:rPr>
        <w:t xml:space="preserve">Obtain and document observations including </w:t>
      </w:r>
      <w:r>
        <w:rPr>
          <w:rFonts w:eastAsiaTheme="minorHAnsi"/>
        </w:rPr>
        <w:t>b</w:t>
      </w:r>
      <w:r w:rsidRPr="00D407E4">
        <w:rPr>
          <w:rFonts w:eastAsiaTheme="minorHAnsi"/>
        </w:rPr>
        <w:t xml:space="preserve">lood pressure, pulse, respirations, </w:t>
      </w:r>
      <w:r>
        <w:rPr>
          <w:rFonts w:eastAsiaTheme="minorHAnsi"/>
        </w:rPr>
        <w:t>o</w:t>
      </w:r>
      <w:r w:rsidRPr="00D407E4">
        <w:rPr>
          <w:rFonts w:eastAsiaTheme="minorHAnsi"/>
        </w:rPr>
        <w:t>xygen saturation, and temperature.</w:t>
      </w:r>
      <w:r>
        <w:rPr>
          <w:rFonts w:eastAsiaTheme="minorHAnsi"/>
        </w:rPr>
        <w:t xml:space="preserve"> </w:t>
      </w:r>
      <w:r w:rsidRPr="00D407E4">
        <w:t>Blood sampling and BP as per chart below:</w:t>
      </w:r>
    </w:p>
    <w:p w14:paraId="23973BB0" w14:textId="77777777" w:rsidR="00D77B0E" w:rsidRDefault="00D77B0E" w:rsidP="005038A5">
      <w:pPr>
        <w:pStyle w:val="Heading6"/>
        <w:spacing w:before="0"/>
        <w:rPr>
          <w:rFonts w:asciiTheme="minorHAnsi" w:hAnsiTheme="minorHAnsi"/>
          <w:b/>
          <w:color w:val="auto"/>
        </w:rPr>
      </w:pPr>
    </w:p>
    <w:tbl>
      <w:tblPr>
        <w:tblStyle w:val="TableGrid"/>
        <w:tblW w:w="0" w:type="auto"/>
        <w:tblLook w:val="04A0" w:firstRow="1" w:lastRow="0" w:firstColumn="1" w:lastColumn="0" w:noHBand="0" w:noVBand="1"/>
      </w:tblPr>
      <w:tblGrid>
        <w:gridCol w:w="2689"/>
        <w:gridCol w:w="2407"/>
        <w:gridCol w:w="2407"/>
        <w:gridCol w:w="2408"/>
      </w:tblGrid>
      <w:tr w:rsidR="00D77B0E" w14:paraId="2D733A15" w14:textId="77777777" w:rsidTr="00F93332">
        <w:tc>
          <w:tcPr>
            <w:tcW w:w="2689" w:type="dxa"/>
          </w:tcPr>
          <w:p w14:paraId="064651D0" w14:textId="777535EE" w:rsidR="00D77B0E" w:rsidRDefault="00D77B0E" w:rsidP="00F93332">
            <w:pPr>
              <w:pStyle w:val="Tableheader-black"/>
            </w:pPr>
            <w:r>
              <w:t>Sample and BP Times</w:t>
            </w:r>
          </w:p>
        </w:tc>
        <w:tc>
          <w:tcPr>
            <w:tcW w:w="2407" w:type="dxa"/>
          </w:tcPr>
          <w:p w14:paraId="52BD5E9F" w14:textId="5749FCA7" w:rsidR="00D77B0E" w:rsidRDefault="00D77B0E" w:rsidP="00F93332">
            <w:pPr>
              <w:pStyle w:val="Tableheader-black"/>
            </w:pPr>
            <w:r>
              <w:t>-30 minutes</w:t>
            </w:r>
          </w:p>
        </w:tc>
        <w:tc>
          <w:tcPr>
            <w:tcW w:w="2407" w:type="dxa"/>
          </w:tcPr>
          <w:p w14:paraId="45E3CD3B" w14:textId="2BE65B4B" w:rsidR="00D77B0E" w:rsidRDefault="00D77B0E" w:rsidP="00F93332">
            <w:pPr>
              <w:pStyle w:val="Tableheader-black"/>
            </w:pPr>
            <w:r>
              <w:t>0 minutes</w:t>
            </w:r>
          </w:p>
        </w:tc>
        <w:tc>
          <w:tcPr>
            <w:tcW w:w="2408" w:type="dxa"/>
          </w:tcPr>
          <w:p w14:paraId="4F45379C" w14:textId="5220A4BB" w:rsidR="00D77B0E" w:rsidRDefault="00D77B0E" w:rsidP="00F93332">
            <w:pPr>
              <w:pStyle w:val="Tableheader-black"/>
            </w:pPr>
            <w:r>
              <w:t>180 minutes</w:t>
            </w:r>
          </w:p>
        </w:tc>
      </w:tr>
      <w:tr w:rsidR="00D77B0E" w14:paraId="6EB8A493" w14:textId="77777777" w:rsidTr="00F93332">
        <w:tc>
          <w:tcPr>
            <w:tcW w:w="2689" w:type="dxa"/>
          </w:tcPr>
          <w:p w14:paraId="38880C60" w14:textId="70F51080" w:rsidR="00D77B0E" w:rsidRDefault="00D77B0E" w:rsidP="00D77B0E">
            <w:pPr>
              <w:pStyle w:val="BodyCopy"/>
            </w:pPr>
            <w:r>
              <w:t>Adrenaline, Noradrenaline, Normetanephrine</w:t>
            </w:r>
          </w:p>
        </w:tc>
        <w:tc>
          <w:tcPr>
            <w:tcW w:w="2407" w:type="dxa"/>
          </w:tcPr>
          <w:p w14:paraId="564F830F" w14:textId="77777777" w:rsidR="00D77B0E" w:rsidRDefault="00D77B0E" w:rsidP="00D77B0E">
            <w:pPr>
              <w:pStyle w:val="BodyCopy"/>
            </w:pPr>
          </w:p>
        </w:tc>
        <w:tc>
          <w:tcPr>
            <w:tcW w:w="2407" w:type="dxa"/>
          </w:tcPr>
          <w:p w14:paraId="0A5AF416" w14:textId="77777777" w:rsidR="00F93332" w:rsidRDefault="00D77B0E" w:rsidP="00F93332">
            <w:pPr>
              <w:pStyle w:val="BodyCopy"/>
              <w:spacing w:after="0"/>
            </w:pPr>
            <w:r>
              <w:t xml:space="preserve">S </w:t>
            </w:r>
          </w:p>
          <w:p w14:paraId="4363BB87" w14:textId="6A5CEF73" w:rsidR="00D77B0E" w:rsidRDefault="00D77B0E" w:rsidP="00D77B0E">
            <w:pPr>
              <w:pStyle w:val="BodyCopy"/>
            </w:pPr>
            <w:r>
              <w:t>(On ice/transport to lab immediately)</w:t>
            </w:r>
          </w:p>
        </w:tc>
        <w:tc>
          <w:tcPr>
            <w:tcW w:w="2408" w:type="dxa"/>
          </w:tcPr>
          <w:p w14:paraId="20E92034" w14:textId="77777777" w:rsidR="00F93332" w:rsidRDefault="00F93332" w:rsidP="00F93332">
            <w:pPr>
              <w:pStyle w:val="BodyCopy"/>
              <w:spacing w:after="0"/>
            </w:pPr>
            <w:r>
              <w:t xml:space="preserve">S </w:t>
            </w:r>
          </w:p>
          <w:p w14:paraId="641E0527" w14:textId="5E529348" w:rsidR="00D77B0E" w:rsidRDefault="00F93332" w:rsidP="00D77B0E">
            <w:pPr>
              <w:pStyle w:val="BodyCopy"/>
            </w:pPr>
            <w:r>
              <w:t>(On ice/transport to lab immediately)</w:t>
            </w:r>
          </w:p>
        </w:tc>
      </w:tr>
      <w:tr w:rsidR="00D77B0E" w14:paraId="254C6C6D" w14:textId="77777777" w:rsidTr="00F93332">
        <w:tc>
          <w:tcPr>
            <w:tcW w:w="2689" w:type="dxa"/>
          </w:tcPr>
          <w:p w14:paraId="3C8E7B76" w14:textId="5022263F" w:rsidR="00D77B0E" w:rsidRDefault="00D77B0E" w:rsidP="00D77B0E">
            <w:pPr>
              <w:pStyle w:val="BodyCopy"/>
            </w:pPr>
            <w:r>
              <w:t>Blood pressure</w:t>
            </w:r>
          </w:p>
        </w:tc>
        <w:tc>
          <w:tcPr>
            <w:tcW w:w="2407" w:type="dxa"/>
          </w:tcPr>
          <w:p w14:paraId="4123329D" w14:textId="3E013363" w:rsidR="00D77B0E" w:rsidRDefault="00D77B0E" w:rsidP="00D77B0E">
            <w:pPr>
              <w:pStyle w:val="BodyCopy"/>
            </w:pPr>
            <w:r>
              <w:t>BP</w:t>
            </w:r>
          </w:p>
        </w:tc>
        <w:tc>
          <w:tcPr>
            <w:tcW w:w="2407" w:type="dxa"/>
          </w:tcPr>
          <w:p w14:paraId="7E597537" w14:textId="5991D394" w:rsidR="00D77B0E" w:rsidRDefault="00F93332" w:rsidP="00D77B0E">
            <w:pPr>
              <w:pStyle w:val="BodyCopy"/>
            </w:pPr>
            <w:r>
              <w:t>BP</w:t>
            </w:r>
          </w:p>
        </w:tc>
        <w:tc>
          <w:tcPr>
            <w:tcW w:w="2408" w:type="dxa"/>
          </w:tcPr>
          <w:p w14:paraId="48F2CA6C" w14:textId="142FF658" w:rsidR="00D77B0E" w:rsidRDefault="00F93332" w:rsidP="00D77B0E">
            <w:pPr>
              <w:pStyle w:val="BodyCopy"/>
            </w:pPr>
            <w:r>
              <w:t>BP</w:t>
            </w:r>
          </w:p>
        </w:tc>
      </w:tr>
    </w:tbl>
    <w:p w14:paraId="1CB301B2" w14:textId="26945540" w:rsidR="005038A5" w:rsidRPr="002010D1" w:rsidRDefault="005038A5" w:rsidP="005038A5">
      <w:pPr>
        <w:pStyle w:val="Heading6"/>
        <w:spacing w:before="0"/>
        <w:rPr>
          <w:rFonts w:asciiTheme="minorHAnsi" w:hAnsiTheme="minorHAnsi"/>
          <w:b/>
          <w:i/>
          <w:color w:val="auto"/>
          <w:spacing w:val="-3"/>
        </w:rPr>
      </w:pPr>
      <w:r w:rsidRPr="002010D1">
        <w:rPr>
          <w:rFonts w:asciiTheme="minorHAnsi" w:hAnsiTheme="minorHAnsi"/>
          <w:b/>
          <w:color w:val="auto"/>
        </w:rPr>
        <w:t>S</w:t>
      </w:r>
      <w:r w:rsidRPr="002010D1">
        <w:rPr>
          <w:rFonts w:asciiTheme="minorHAnsi" w:hAnsiTheme="minorHAnsi"/>
          <w:b/>
          <w:color w:val="auto"/>
          <w:spacing w:val="-6"/>
        </w:rPr>
        <w:t xml:space="preserve"> </w:t>
      </w:r>
      <w:r w:rsidRPr="002010D1">
        <w:rPr>
          <w:rFonts w:asciiTheme="minorHAnsi" w:hAnsiTheme="minorHAnsi"/>
          <w:b/>
          <w:color w:val="auto"/>
        </w:rPr>
        <w:t>=</w:t>
      </w:r>
      <w:r w:rsidRPr="002010D1">
        <w:rPr>
          <w:rFonts w:asciiTheme="minorHAnsi" w:hAnsiTheme="minorHAnsi"/>
          <w:b/>
          <w:color w:val="auto"/>
          <w:spacing w:val="-4"/>
        </w:rPr>
        <w:t xml:space="preserve"> </w:t>
      </w:r>
      <w:r w:rsidRPr="002010D1">
        <w:rPr>
          <w:rFonts w:asciiTheme="minorHAnsi" w:hAnsiTheme="minorHAnsi"/>
          <w:b/>
          <w:color w:val="auto"/>
          <w:spacing w:val="-3"/>
        </w:rPr>
        <w:t>Sample</w:t>
      </w:r>
      <w:r w:rsidRPr="002010D1">
        <w:rPr>
          <w:rFonts w:asciiTheme="minorHAnsi" w:hAnsiTheme="minorHAnsi"/>
          <w:b/>
          <w:color w:val="auto"/>
          <w:spacing w:val="-4"/>
        </w:rPr>
        <w:t xml:space="preserve"> </w:t>
      </w:r>
      <w:r w:rsidRPr="002010D1">
        <w:rPr>
          <w:rFonts w:asciiTheme="minorHAnsi" w:hAnsiTheme="minorHAnsi"/>
          <w:b/>
          <w:color w:val="auto"/>
          <w:spacing w:val="-1"/>
        </w:rPr>
        <w:t>at</w:t>
      </w:r>
      <w:r w:rsidRPr="002010D1">
        <w:rPr>
          <w:rFonts w:asciiTheme="minorHAnsi" w:hAnsiTheme="minorHAnsi"/>
          <w:b/>
          <w:color w:val="auto"/>
          <w:spacing w:val="-5"/>
        </w:rPr>
        <w:t xml:space="preserve"> </w:t>
      </w:r>
      <w:r w:rsidRPr="002010D1">
        <w:rPr>
          <w:rFonts w:asciiTheme="minorHAnsi" w:hAnsiTheme="minorHAnsi"/>
          <w:b/>
          <w:color w:val="auto"/>
          <w:spacing w:val="-3"/>
        </w:rPr>
        <w:t>this</w:t>
      </w:r>
      <w:r w:rsidRPr="002010D1">
        <w:rPr>
          <w:rFonts w:asciiTheme="minorHAnsi" w:hAnsiTheme="minorHAnsi"/>
          <w:b/>
          <w:color w:val="auto"/>
          <w:spacing w:val="-4"/>
        </w:rPr>
        <w:t xml:space="preserve"> </w:t>
      </w:r>
      <w:r w:rsidRPr="002010D1">
        <w:rPr>
          <w:rFonts w:asciiTheme="minorHAnsi" w:hAnsiTheme="minorHAnsi"/>
          <w:b/>
          <w:color w:val="auto"/>
          <w:spacing w:val="-2"/>
        </w:rPr>
        <w:t>time</w:t>
      </w:r>
      <w:r w:rsidRPr="002010D1">
        <w:rPr>
          <w:rFonts w:asciiTheme="minorHAnsi" w:hAnsiTheme="minorHAnsi"/>
          <w:b/>
          <w:color w:val="auto"/>
          <w:spacing w:val="-6"/>
        </w:rPr>
        <w:t xml:space="preserve"> </w:t>
      </w:r>
      <w:r w:rsidRPr="002010D1">
        <w:rPr>
          <w:rFonts w:asciiTheme="minorHAnsi" w:hAnsiTheme="minorHAnsi"/>
          <w:b/>
          <w:color w:val="auto"/>
          <w:spacing w:val="-3"/>
        </w:rPr>
        <w:t>point</w:t>
      </w:r>
    </w:p>
    <w:p w14:paraId="1A54D532" w14:textId="77777777" w:rsidR="005038A5" w:rsidRPr="002010D1" w:rsidRDefault="005038A5" w:rsidP="005038A5">
      <w:pPr>
        <w:pStyle w:val="ListParagraph"/>
        <w:autoSpaceDE w:val="0"/>
        <w:autoSpaceDN w:val="0"/>
        <w:adjustRightInd w:val="0"/>
        <w:spacing w:line="276" w:lineRule="auto"/>
        <w:rPr>
          <w:rFonts w:asciiTheme="minorHAnsi" w:eastAsiaTheme="minorHAnsi" w:hAnsiTheme="minorHAnsi"/>
          <w:bCs/>
          <w:color w:val="000000"/>
          <w:szCs w:val="24"/>
        </w:rPr>
      </w:pPr>
    </w:p>
    <w:tbl>
      <w:tblPr>
        <w:tblStyle w:val="TableGrid"/>
        <w:tblW w:w="9322" w:type="dxa"/>
        <w:tblLook w:val="04A0" w:firstRow="1" w:lastRow="0" w:firstColumn="1" w:lastColumn="0" w:noHBand="0" w:noVBand="1"/>
      </w:tblPr>
      <w:tblGrid>
        <w:gridCol w:w="9322"/>
      </w:tblGrid>
      <w:tr w:rsidR="005038A5" w:rsidRPr="002010D1" w14:paraId="1DCA428A" w14:textId="77777777" w:rsidTr="0069740F">
        <w:tc>
          <w:tcPr>
            <w:tcW w:w="9322" w:type="dxa"/>
          </w:tcPr>
          <w:p w14:paraId="4383963D" w14:textId="77777777" w:rsidR="005038A5" w:rsidRPr="00F93332" w:rsidRDefault="005038A5" w:rsidP="00F93332">
            <w:pPr>
              <w:pStyle w:val="Heading5"/>
            </w:pPr>
            <w:r w:rsidRPr="00F93332">
              <w:lastRenderedPageBreak/>
              <w:t xml:space="preserve">Alert </w:t>
            </w:r>
          </w:p>
          <w:p w14:paraId="2A27690B" w14:textId="77777777" w:rsidR="005038A5" w:rsidRPr="00D407E4" w:rsidRDefault="005038A5" w:rsidP="00F93332">
            <w:pPr>
              <w:pStyle w:val="Bullet"/>
              <w:rPr>
                <w:rFonts w:eastAsiaTheme="minorHAnsi"/>
              </w:rPr>
            </w:pPr>
            <w:r w:rsidRPr="4721203F">
              <w:rPr>
                <w:rFonts w:eastAsiaTheme="minorEastAsia"/>
              </w:rPr>
              <w:t xml:space="preserve">The patient may be drowsy following the clonidine and should not drive immediately following the test. </w:t>
            </w:r>
          </w:p>
          <w:p w14:paraId="44F59E64" w14:textId="77777777" w:rsidR="005038A5" w:rsidRPr="002010D1" w:rsidRDefault="005038A5" w:rsidP="00F93332">
            <w:pPr>
              <w:pStyle w:val="Bullet"/>
              <w:rPr>
                <w:rFonts w:eastAsiaTheme="minorHAnsi"/>
                <w:bCs/>
                <w:color w:val="000000"/>
              </w:rPr>
            </w:pPr>
            <w:r w:rsidRPr="4721203F">
              <w:rPr>
                <w:rFonts w:eastAsiaTheme="minorEastAsia"/>
              </w:rPr>
              <w:t>Normal saline should be available for infusion if the patient becomes hypotensive.</w:t>
            </w:r>
          </w:p>
        </w:tc>
      </w:tr>
    </w:tbl>
    <w:p w14:paraId="7367644C" w14:textId="77777777" w:rsidR="005038A5" w:rsidRPr="002010D1" w:rsidRDefault="005038A5" w:rsidP="005038A5">
      <w:pPr>
        <w:pStyle w:val="ListParagraph"/>
        <w:autoSpaceDE w:val="0"/>
        <w:autoSpaceDN w:val="0"/>
        <w:adjustRightInd w:val="0"/>
        <w:spacing w:line="276" w:lineRule="auto"/>
        <w:rPr>
          <w:rFonts w:asciiTheme="minorHAnsi" w:eastAsiaTheme="minorHAnsi" w:hAnsiTheme="minorHAnsi"/>
          <w:bCs/>
          <w:color w:val="000000"/>
          <w:szCs w:val="24"/>
        </w:rPr>
      </w:pPr>
    </w:p>
    <w:p w14:paraId="607FB257" w14:textId="77777777" w:rsidR="005038A5" w:rsidRPr="00D407E4" w:rsidRDefault="005038A5" w:rsidP="00F93332">
      <w:pPr>
        <w:pStyle w:val="Numberedlist"/>
        <w:rPr>
          <w:rFonts w:eastAsiaTheme="minorHAnsi"/>
        </w:rPr>
      </w:pPr>
      <w:r w:rsidRPr="00D407E4">
        <w:rPr>
          <w:rFonts w:eastAsiaTheme="minorHAnsi"/>
        </w:rPr>
        <w:t>If patient is stable discharge home.</w:t>
      </w:r>
    </w:p>
    <w:p w14:paraId="26F1FCE9" w14:textId="77777777" w:rsidR="005038A5" w:rsidRPr="00D407E4" w:rsidRDefault="005038A5" w:rsidP="00F93332">
      <w:pPr>
        <w:pStyle w:val="Heading5"/>
        <w:rPr>
          <w:rFonts w:eastAsiaTheme="minorHAnsi"/>
        </w:rPr>
      </w:pPr>
      <w:r w:rsidRPr="00D407E4">
        <w:rPr>
          <w:rFonts w:eastAsiaTheme="minorHAnsi"/>
        </w:rPr>
        <w:t>Interpretation of Test</w:t>
      </w:r>
    </w:p>
    <w:p w14:paraId="2C8047A5" w14:textId="77777777" w:rsidR="005038A5" w:rsidRPr="002010D1" w:rsidRDefault="005038A5" w:rsidP="005038A5">
      <w:pPr>
        <w:rPr>
          <w:rFonts w:eastAsiaTheme="minorHAnsi"/>
        </w:rPr>
      </w:pPr>
      <w:r w:rsidRPr="002010D1">
        <w:rPr>
          <w:rFonts w:eastAsiaTheme="minorHAnsi"/>
        </w:rPr>
        <w:t xml:space="preserve">The normal response to clonidine is to: </w:t>
      </w:r>
    </w:p>
    <w:p w14:paraId="504945FA" w14:textId="77777777" w:rsidR="005038A5" w:rsidRPr="00F93332" w:rsidRDefault="005038A5" w:rsidP="00F93332">
      <w:pPr>
        <w:pStyle w:val="Numberedlist"/>
        <w:numPr>
          <w:ilvl w:val="0"/>
          <w:numId w:val="39"/>
        </w:numPr>
        <w:rPr>
          <w:rFonts w:eastAsiaTheme="minorHAnsi"/>
        </w:rPr>
      </w:pPr>
      <w:r w:rsidRPr="00F93332">
        <w:rPr>
          <w:rFonts w:eastAsiaTheme="minorHAnsi"/>
        </w:rPr>
        <w:t>Suppress plasma normetanephrine by &gt;40% and into the normal range.</w:t>
      </w:r>
    </w:p>
    <w:p w14:paraId="260E7B23" w14:textId="77777777" w:rsidR="005038A5" w:rsidRPr="00F93332" w:rsidRDefault="005038A5" w:rsidP="00F93332">
      <w:pPr>
        <w:pStyle w:val="Numberedlist"/>
        <w:numPr>
          <w:ilvl w:val="0"/>
          <w:numId w:val="39"/>
        </w:numPr>
        <w:rPr>
          <w:rFonts w:eastAsiaTheme="minorHAnsi"/>
        </w:rPr>
      </w:pPr>
      <w:r w:rsidRPr="00F93332">
        <w:rPr>
          <w:rFonts w:eastAsiaTheme="minorHAnsi"/>
        </w:rPr>
        <w:t>Suppress plasma noradrenaline by &gt;50% and into the normal range. (Less sensitive in patients with plasma noradrenaline levels of &lt; 1 microg/L).</w:t>
      </w:r>
    </w:p>
    <w:p w14:paraId="1496B619" w14:textId="77777777" w:rsidR="005038A5" w:rsidRPr="00D407E4" w:rsidRDefault="005038A5" w:rsidP="00F93332">
      <w:pPr>
        <w:pStyle w:val="Numberedlist"/>
        <w:numPr>
          <w:ilvl w:val="0"/>
          <w:numId w:val="39"/>
        </w:numPr>
      </w:pPr>
      <w:r w:rsidRPr="00D407E4">
        <w:t>Concentrations remain increased in patients with pheochromocytoma.</w:t>
      </w:r>
    </w:p>
    <w:p w14:paraId="2BDF3747" w14:textId="6F32E750" w:rsidR="00506036" w:rsidRDefault="00000000" w:rsidP="00506036">
      <w:pPr>
        <w:pStyle w:val="BodyCopy"/>
      </w:pPr>
      <w:hyperlink w:anchor="_top" w:history="1">
        <w:r w:rsidR="00506036" w:rsidRPr="00481A6C">
          <w:rPr>
            <w:rStyle w:val="Hyperlink"/>
            <w:iCs w:val="0"/>
          </w:rPr>
          <w:t>Back to Contents</w:t>
        </w:r>
      </w:hyperlink>
    </w:p>
    <w:p w14:paraId="2D586DB2" w14:textId="7BC25572" w:rsidR="00506036" w:rsidRDefault="00506036" w:rsidP="00506036">
      <w:pPr>
        <w:pStyle w:val="Heading4"/>
      </w:pPr>
      <w:bookmarkStart w:id="14" w:name="_Toc177472821"/>
      <w:r w:rsidRPr="0078367D">
        <w:t xml:space="preserve">Section </w:t>
      </w:r>
      <w:r>
        <w:t>7</w:t>
      </w:r>
      <w:r w:rsidRPr="0078367D">
        <w:t xml:space="preserve"> </w:t>
      </w:r>
      <w:r>
        <w:t>–</w:t>
      </w:r>
      <w:r w:rsidRPr="0078367D">
        <w:t xml:space="preserve"> </w:t>
      </w:r>
      <w:r w:rsidR="00A909AD">
        <w:t>72 Hours Fast for the Diagnosis of Insulinoma in Adults</w:t>
      </w:r>
      <w:bookmarkEnd w:id="14"/>
    </w:p>
    <w:p w14:paraId="703530D5" w14:textId="77777777" w:rsidR="00A909AD" w:rsidRPr="00876726" w:rsidRDefault="00A909AD" w:rsidP="00D168C3">
      <w:pPr>
        <w:pStyle w:val="Heading5"/>
      </w:pPr>
      <w:r w:rsidRPr="00876726">
        <w:t>Purpose</w:t>
      </w:r>
    </w:p>
    <w:p w14:paraId="439F49D3" w14:textId="75FEEF6D" w:rsidR="00A909AD" w:rsidRPr="002010D1" w:rsidRDefault="00A909AD" w:rsidP="00A909AD">
      <w:r w:rsidRPr="002010D1">
        <w:t xml:space="preserve">The purpose of this </w:t>
      </w:r>
      <w:r>
        <w:t>test</w:t>
      </w:r>
      <w:r w:rsidRPr="002010D1">
        <w:t xml:space="preserve"> is</w:t>
      </w:r>
      <w:r w:rsidR="00D168C3">
        <w:t xml:space="preserve"> to</w:t>
      </w:r>
      <w:r w:rsidRPr="002010D1">
        <w:t xml:space="preserve"> </w:t>
      </w:r>
      <w:r>
        <w:t>investigate</w:t>
      </w:r>
      <w:r w:rsidRPr="002010D1">
        <w:t xml:space="preserve"> suspected insulinoma via symptomatic and biochemical assessment over a 72 hour period. </w:t>
      </w:r>
    </w:p>
    <w:p w14:paraId="3A912D84" w14:textId="77777777" w:rsidR="00A909AD" w:rsidRPr="00876726" w:rsidRDefault="00A909AD" w:rsidP="00D168C3">
      <w:pPr>
        <w:pStyle w:val="Heading5"/>
      </w:pPr>
      <w:r w:rsidRPr="00876726">
        <w:t>Scope</w:t>
      </w:r>
    </w:p>
    <w:p w14:paraId="6E8C013C" w14:textId="463C0325" w:rsidR="00A909AD" w:rsidRPr="002010D1" w:rsidRDefault="00A909AD" w:rsidP="00A909AD">
      <w:r w:rsidRPr="002010D1">
        <w:t xml:space="preserve">This test should only be performed on patients admitted under an Endocrinologist and should ideally be performed on 6A.  All other doctors are encouraged to discuss patients with suspected insulinoma with the </w:t>
      </w:r>
      <w:r w:rsidR="00D168C3">
        <w:t>E</w:t>
      </w:r>
      <w:r w:rsidRPr="002010D1">
        <w:t>ndocrinologist on call prior to ordering investigations.</w:t>
      </w:r>
    </w:p>
    <w:p w14:paraId="1A00E7DC" w14:textId="77777777" w:rsidR="00A909AD" w:rsidRPr="002010D1" w:rsidRDefault="00A909AD" w:rsidP="00A909AD">
      <w:r w:rsidRPr="002010D1">
        <w:t xml:space="preserve">It is to be applied to patients presenting with hypoglycaemia of unknown aetiology who have been admitted to undergo a prolonged fast (over 72 hours) to help establish the cause, with insulinoma being a key differential diagnosis. The aim of the fast is to provoke the homeostatic response that keeps blood glucose concentrations from falling to concentrations that cause symptoms in the absence of food. A normal response prevents hypoglycaemia via increased release of specific hormones, including glucagon and epinephrine to prevent hypoglycaemia in a prolonged fast. </w:t>
      </w:r>
    </w:p>
    <w:p w14:paraId="336C152A" w14:textId="77777777" w:rsidR="00A909AD" w:rsidRPr="002010D1" w:rsidRDefault="00A909AD" w:rsidP="00A909AD">
      <w:r w:rsidRPr="002010D1">
        <w:t xml:space="preserve">If Whipple’s triad is demonstrated (i.e., low plasma glucose </w:t>
      </w:r>
      <w:r w:rsidRPr="005732C5">
        <w:rPr>
          <w:b/>
          <w:bCs/>
        </w:rPr>
        <w:t>and</w:t>
      </w:r>
      <w:r w:rsidRPr="002010D1">
        <w:t xml:space="preserve"> symptoms of hypoglycaemia/neuroglycopenia </w:t>
      </w:r>
      <w:r w:rsidRPr="005732C5">
        <w:rPr>
          <w:b/>
          <w:bCs/>
        </w:rPr>
        <w:t>and</w:t>
      </w:r>
      <w:r w:rsidRPr="002010D1">
        <w:t xml:space="preserve"> resolution of symptoms with food) then confirmatory laboratory testing is performed. This includes insulin, c-peptide (to differentiate between exogenous and endogenous insulin), pro-insulin, beta-hydroxybutyrate (low in insulinoma due to antiketogenic effects of insulin), sulfonylurea and meglatinide screen.</w:t>
      </w:r>
    </w:p>
    <w:p w14:paraId="5474B0E4" w14:textId="77777777" w:rsidR="00A909AD" w:rsidRPr="002010D1" w:rsidRDefault="00A909AD" w:rsidP="00A909AD">
      <w:pPr>
        <w:rPr>
          <w:rFonts w:asciiTheme="minorHAnsi" w:hAnsiTheme="minorHAnsi"/>
        </w:rPr>
      </w:pPr>
    </w:p>
    <w:p w14:paraId="1BB3035B" w14:textId="77777777" w:rsidR="00A909AD" w:rsidRPr="002010D1" w:rsidRDefault="00A909AD" w:rsidP="00A909AD">
      <w:pPr>
        <w:rPr>
          <w:rFonts w:asciiTheme="minorHAnsi" w:hAnsiTheme="minorHAnsi"/>
        </w:rPr>
      </w:pPr>
      <w:r w:rsidRPr="002010D1">
        <w:rPr>
          <w:rFonts w:asciiTheme="minorHAnsi" w:hAnsiTheme="minorHAnsi"/>
        </w:rPr>
        <w:lastRenderedPageBreak/>
        <w:t>This test must be done in the seemingly well patient, as those with underlying critical illness can confound the results (including cortisol deficiency and alcohol</w:t>
      </w:r>
      <w:r>
        <w:rPr>
          <w:rFonts w:asciiTheme="minorHAnsi" w:hAnsiTheme="minorHAnsi"/>
        </w:rPr>
        <w:t xml:space="preserve"> dependency</w:t>
      </w:r>
      <w:r w:rsidRPr="002010D1">
        <w:rPr>
          <w:rFonts w:asciiTheme="minorHAnsi" w:hAnsiTheme="minorHAnsi"/>
        </w:rPr>
        <w:t>). The differentials in the seemingly well individual include insulinoma, functional beta cell disorders (</w:t>
      </w:r>
      <w:r>
        <w:rPr>
          <w:rFonts w:asciiTheme="minorHAnsi" w:hAnsiTheme="minorHAnsi"/>
        </w:rPr>
        <w:t>n</w:t>
      </w:r>
      <w:r w:rsidRPr="002010D1">
        <w:rPr>
          <w:rFonts w:asciiTheme="minorHAnsi" w:hAnsiTheme="minorHAnsi"/>
        </w:rPr>
        <w:t xml:space="preserve">on-insulinoma pancreatogenous hypoglycaemia, post gastric bypass hypoglycaemia), insulin auto-immune hypoglycaemia (antibody to insulin, antibody to insulin receptor), and insulin secretagogue. Accidental, surreptitious, or malicious hypoglycaemia must also be considered. </w:t>
      </w:r>
    </w:p>
    <w:p w14:paraId="0476F8B6" w14:textId="77777777" w:rsidR="00A909AD" w:rsidRPr="002010D1" w:rsidRDefault="00A909AD" w:rsidP="00A909AD">
      <w:pPr>
        <w:pStyle w:val="Heading5"/>
        <w:rPr>
          <w:rFonts w:cs="Arial"/>
        </w:rPr>
      </w:pPr>
      <w:r w:rsidRPr="002010D1">
        <w:t>Equipment</w:t>
      </w:r>
      <w:r w:rsidRPr="002010D1">
        <w:rPr>
          <w:rFonts w:cs="Arial"/>
        </w:rPr>
        <w:t xml:space="preserve"> </w:t>
      </w:r>
    </w:p>
    <w:p w14:paraId="633002AE" w14:textId="77777777" w:rsidR="00A909AD" w:rsidRPr="00876726" w:rsidRDefault="00A909AD" w:rsidP="00A909AD">
      <w:pPr>
        <w:pStyle w:val="Bullet"/>
      </w:pPr>
      <w:r>
        <w:t>Capillary blood glucose monitor</w:t>
      </w:r>
    </w:p>
    <w:p w14:paraId="43E3BFA0" w14:textId="25B22D6B" w:rsidR="00A909AD" w:rsidRPr="00876726" w:rsidRDefault="00A909AD" w:rsidP="00A909AD">
      <w:pPr>
        <w:pStyle w:val="Bullet"/>
      </w:pPr>
      <w:r>
        <w:t>Blood collection tubes: Sodium Fluoride</w:t>
      </w:r>
      <w:r w:rsidR="00D168C3">
        <w:t xml:space="preserve"> </w:t>
      </w:r>
      <w:r>
        <w:t>- grey top, Serum</w:t>
      </w:r>
      <w:r w:rsidR="00D168C3">
        <w:t xml:space="preserve"> </w:t>
      </w:r>
      <w:r>
        <w:t>- gold top, Serum</w:t>
      </w:r>
      <w:r w:rsidR="00D168C3">
        <w:t xml:space="preserve"> </w:t>
      </w:r>
      <w:r>
        <w:t>- non gel (multiples of each)</w:t>
      </w:r>
    </w:p>
    <w:p w14:paraId="133B44FB" w14:textId="77777777" w:rsidR="00A909AD" w:rsidRPr="00876726" w:rsidRDefault="00A909AD" w:rsidP="00A909AD">
      <w:pPr>
        <w:pStyle w:val="Bullet"/>
      </w:pPr>
      <w:r>
        <w:t>Vacutainers</w:t>
      </w:r>
    </w:p>
    <w:p w14:paraId="63D1FB37" w14:textId="77777777" w:rsidR="00A909AD" w:rsidRPr="00876726" w:rsidRDefault="00A909AD" w:rsidP="00A909AD">
      <w:pPr>
        <w:pStyle w:val="Bullet"/>
      </w:pPr>
      <w:r>
        <w:t>Needles</w:t>
      </w:r>
    </w:p>
    <w:p w14:paraId="099F695D" w14:textId="77777777" w:rsidR="00A909AD" w:rsidRPr="00876726" w:rsidRDefault="00A909AD" w:rsidP="00A909AD">
      <w:pPr>
        <w:pStyle w:val="Bullet"/>
      </w:pPr>
      <w:r>
        <w:t>Alcohol swabs</w:t>
      </w:r>
    </w:p>
    <w:p w14:paraId="4399DC57" w14:textId="77777777" w:rsidR="00A909AD" w:rsidRPr="00876726" w:rsidRDefault="00A909AD" w:rsidP="00A909AD">
      <w:pPr>
        <w:pStyle w:val="Bullet"/>
      </w:pPr>
      <w:r>
        <w:t>Tourniquet</w:t>
      </w:r>
    </w:p>
    <w:p w14:paraId="1D201B2E" w14:textId="77777777" w:rsidR="00A909AD" w:rsidRPr="00876726" w:rsidRDefault="00A909AD" w:rsidP="00A909AD">
      <w:pPr>
        <w:pStyle w:val="Bullet"/>
      </w:pPr>
      <w:r>
        <w:t>Pur-Zellin dry injection swab or cotton balls</w:t>
      </w:r>
    </w:p>
    <w:p w14:paraId="73BF7340" w14:textId="3F851CEA" w:rsidR="00A909AD" w:rsidRPr="00876726" w:rsidRDefault="00A909AD" w:rsidP="00A909AD">
      <w:pPr>
        <w:pStyle w:val="Bullet"/>
      </w:pPr>
      <w:r>
        <w:t>Pathology slip requesting “72 hour Fast – plasma glucose, insulin antibodies (also collect insulin, C-peptide, proinsulin and beta-hydroxybutyrate but only test if plasma glucose &lt;3.3mmol/l) every 6 hours, and then 1-2 hourly until formal laboratory plasma glucose &lt;2.5mmol/l”. This test is not available to order on the DHR.</w:t>
      </w:r>
    </w:p>
    <w:p w14:paraId="4F1CD638" w14:textId="77777777" w:rsidR="00A909AD" w:rsidRPr="00D168C3" w:rsidRDefault="00A909AD" w:rsidP="00D168C3">
      <w:pPr>
        <w:pStyle w:val="Heading5"/>
      </w:pPr>
      <w:r w:rsidRPr="00D168C3">
        <w:t>Procedure – the 72 hour fast</w:t>
      </w:r>
    </w:p>
    <w:p w14:paraId="2052FE35" w14:textId="77777777" w:rsidR="00A909AD" w:rsidRPr="002010D1" w:rsidRDefault="00A909AD" w:rsidP="00D168C3">
      <w:pPr>
        <w:pStyle w:val="Numberedlist"/>
        <w:numPr>
          <w:ilvl w:val="0"/>
          <w:numId w:val="41"/>
        </w:numPr>
      </w:pPr>
      <w:r w:rsidRPr="002010D1">
        <w:t>Prior to commencement of the fast</w:t>
      </w:r>
      <w:r>
        <w:t>:</w:t>
      </w:r>
    </w:p>
    <w:p w14:paraId="2AEF0542" w14:textId="77777777" w:rsidR="00A909AD" w:rsidRPr="002010D1" w:rsidRDefault="00A909AD" w:rsidP="00D168C3">
      <w:pPr>
        <w:pStyle w:val="Bullet"/>
        <w:numPr>
          <w:ilvl w:val="1"/>
          <w:numId w:val="1"/>
        </w:numPr>
      </w:pPr>
      <w:r>
        <w:t>3 days prior to commencement of test notify ACT Pathology on extension 42809 the date and time of test and patient details.</w:t>
      </w:r>
    </w:p>
    <w:p w14:paraId="2EA96BD3" w14:textId="2B6E0F87" w:rsidR="00A909AD" w:rsidRPr="002010D1" w:rsidRDefault="00A909AD" w:rsidP="00D168C3">
      <w:pPr>
        <w:pStyle w:val="Bullet"/>
        <w:numPr>
          <w:ilvl w:val="1"/>
          <w:numId w:val="1"/>
        </w:numPr>
      </w:pPr>
      <w:r>
        <w:t>Patient to be admitted and fast commenced in the morning on Monday or Tuesday ensuring fast does not end in evening or weekend, to allow in</w:t>
      </w:r>
      <w:r w:rsidR="00D168C3">
        <w:t>-</w:t>
      </w:r>
      <w:r>
        <w:t xml:space="preserve">hours assessment at the completion of the 72 hours. </w:t>
      </w:r>
    </w:p>
    <w:p w14:paraId="349A55FE" w14:textId="77777777" w:rsidR="00A909AD" w:rsidRPr="002010D1" w:rsidRDefault="00A909AD" w:rsidP="00D168C3">
      <w:pPr>
        <w:pStyle w:val="Bullet"/>
        <w:numPr>
          <w:ilvl w:val="1"/>
          <w:numId w:val="1"/>
        </w:numPr>
      </w:pPr>
      <w:r>
        <w:t xml:space="preserve">Patient to discontinue all non-essential medications and to ensure activity during waking hours. </w:t>
      </w:r>
    </w:p>
    <w:p w14:paraId="1FE1D109" w14:textId="77777777" w:rsidR="00A909AD" w:rsidRPr="002010D1" w:rsidRDefault="00A909AD" w:rsidP="00D168C3">
      <w:pPr>
        <w:pStyle w:val="Bullet"/>
        <w:numPr>
          <w:ilvl w:val="1"/>
          <w:numId w:val="1"/>
        </w:numPr>
      </w:pPr>
      <w:r>
        <w:t xml:space="preserve">Patient is permitted to consume beverages that are calorie and caffeine free. </w:t>
      </w:r>
    </w:p>
    <w:p w14:paraId="351CFEFE" w14:textId="77777777" w:rsidR="00A909AD" w:rsidRPr="002010D1" w:rsidRDefault="00A909AD" w:rsidP="00D168C3">
      <w:pPr>
        <w:pStyle w:val="Numberedlist"/>
      </w:pPr>
      <w:r w:rsidRPr="002010D1">
        <w:t>Upon commencement of the fast</w:t>
      </w:r>
      <w:r>
        <w:t>:</w:t>
      </w:r>
    </w:p>
    <w:p w14:paraId="346F1D02" w14:textId="77777777" w:rsidR="00A909AD" w:rsidRPr="002010D1" w:rsidRDefault="00A909AD" w:rsidP="00D168C3">
      <w:pPr>
        <w:pStyle w:val="Bullet"/>
        <w:numPr>
          <w:ilvl w:val="1"/>
          <w:numId w:val="1"/>
        </w:numPr>
      </w:pPr>
      <w:r>
        <w:t>Record date and time of onset of fast, including the time of the last intake of calories.</w:t>
      </w:r>
    </w:p>
    <w:p w14:paraId="25B89B30" w14:textId="38954571" w:rsidR="00A909AD" w:rsidRPr="002010D1" w:rsidRDefault="00A909AD" w:rsidP="00D168C3">
      <w:pPr>
        <w:pStyle w:val="Bullet"/>
        <w:numPr>
          <w:ilvl w:val="1"/>
          <w:numId w:val="1"/>
        </w:numPr>
      </w:pPr>
      <w:r>
        <w:t>Collect blood samples 6</w:t>
      </w:r>
      <w:r w:rsidR="00D168C3">
        <w:t xml:space="preserve"> </w:t>
      </w:r>
      <w:r>
        <w:t xml:space="preserve">hourly for measurements of glucose (2mL Sodium Fluoride tube- grey top), C-peptide, insulin, pro-insulin, beta-hydroxybutyrate (Serum tube sent to laboratory immediately) until BGL &lt; 3.3mmol/L, then increase to every 1-2 hours. </w:t>
      </w:r>
      <w:r w:rsidRPr="4721203F">
        <w:rPr>
          <w:rFonts w:cs="Helvetica"/>
        </w:rPr>
        <w:t>Although blood is collected 6 hourly, insulin, C-peptide, proinsulin and</w:t>
      </w:r>
      <w:r>
        <w:t xml:space="preserve"> beta-hydroxybutyrate is</w:t>
      </w:r>
      <w:r w:rsidRPr="4721203F">
        <w:rPr>
          <w:rFonts w:cs="Helvetica"/>
        </w:rPr>
        <w:t xml:space="preserve"> only tested in those specimens in which the plasma glucose concentration is ≤60 </w:t>
      </w:r>
      <w:r w:rsidRPr="4721203F">
        <w:rPr>
          <w:rStyle w:val="nowrap"/>
          <w:rFonts w:asciiTheme="minorHAnsi" w:hAnsiTheme="minorHAnsi" w:cs="Helvetica"/>
        </w:rPr>
        <w:t>mg/dL</w:t>
      </w:r>
      <w:r w:rsidRPr="4721203F">
        <w:rPr>
          <w:rFonts w:cs="Helvetica"/>
        </w:rPr>
        <w:t xml:space="preserve"> (3.3 </w:t>
      </w:r>
      <w:r w:rsidRPr="4721203F">
        <w:rPr>
          <w:rStyle w:val="nowrap"/>
          <w:rFonts w:asciiTheme="minorHAnsi" w:hAnsiTheme="minorHAnsi" w:cs="Helvetica"/>
        </w:rPr>
        <w:t>mmol/L)</w:t>
      </w:r>
      <w:r w:rsidRPr="4721203F">
        <w:rPr>
          <w:rFonts w:cs="Helvetica"/>
        </w:rPr>
        <w:t>.</w:t>
      </w:r>
    </w:p>
    <w:p w14:paraId="36264286" w14:textId="77777777" w:rsidR="00A909AD" w:rsidRPr="002010D1" w:rsidRDefault="00A909AD" w:rsidP="00D168C3">
      <w:pPr>
        <w:pStyle w:val="Bullet"/>
        <w:numPr>
          <w:ilvl w:val="1"/>
          <w:numId w:val="1"/>
        </w:numPr>
      </w:pPr>
      <w:r>
        <w:lastRenderedPageBreak/>
        <w:t xml:space="preserve">1 x insulin antibodies should be tested during the admission (not dependant on fasted state). </w:t>
      </w:r>
    </w:p>
    <w:p w14:paraId="74D2F075" w14:textId="7AC3E94B" w:rsidR="00A909AD" w:rsidRPr="002010D1" w:rsidRDefault="00A909AD" w:rsidP="00D168C3">
      <w:pPr>
        <w:pStyle w:val="Bullet"/>
        <w:numPr>
          <w:ilvl w:val="1"/>
          <w:numId w:val="1"/>
        </w:numPr>
      </w:pPr>
      <w:r>
        <w:t>Sulfonylurea blood sample (</w:t>
      </w:r>
      <w:r w:rsidR="00D168C3">
        <w:t>non-gel</w:t>
      </w:r>
      <w:r>
        <w:t xml:space="preserve"> Serum tube) should be collected on admission and again prior to end of fast. Bedside capillary testing should be used in conjunction with serum testing when frequency of testing is increased as there will be a delay in the results from the serum testing. However, the fast should not be ended based on capillary testing alone.</w:t>
      </w:r>
    </w:p>
    <w:p w14:paraId="5B5FBA47" w14:textId="77777777" w:rsidR="00A909AD" w:rsidRPr="002010D1" w:rsidRDefault="00A909AD" w:rsidP="00D168C3">
      <w:pPr>
        <w:pStyle w:val="Bullet"/>
        <w:numPr>
          <w:ilvl w:val="1"/>
          <w:numId w:val="1"/>
        </w:numPr>
      </w:pPr>
      <w:r>
        <w:t xml:space="preserve">Careful questioning and testing for subtle symptoms or signs of hypoglycaemia should be conducted repeatedly when a patient’s plasma is near or in the hypoglycaemic range. </w:t>
      </w:r>
    </w:p>
    <w:p w14:paraId="027A26B7" w14:textId="77777777" w:rsidR="00A909AD" w:rsidRPr="002010D1" w:rsidRDefault="00A909AD" w:rsidP="00D168C3">
      <w:pPr>
        <w:pStyle w:val="Numberedlist"/>
      </w:pPr>
      <w:r w:rsidRPr="002010D1">
        <w:t>Test end points and duration</w:t>
      </w:r>
      <w:r>
        <w:t>:</w:t>
      </w:r>
    </w:p>
    <w:p w14:paraId="232BE3B1" w14:textId="77777777" w:rsidR="00A909AD" w:rsidRDefault="00A909AD" w:rsidP="00D168C3">
      <w:pPr>
        <w:pStyle w:val="Bullet"/>
        <w:numPr>
          <w:ilvl w:val="1"/>
          <w:numId w:val="1"/>
        </w:numPr>
      </w:pPr>
      <w:r>
        <w:t xml:space="preserve">The fast is ended when the plasma glucose concentration is &lt;2.5mmol/L, signs or symptoms of hypoglycaemia, 72 hours has elapsed, or when the plasma glucose concentration is less than 3.0mmol/L </w:t>
      </w:r>
      <w:r w:rsidRPr="4721203F">
        <w:rPr>
          <w:b/>
          <w:bCs/>
        </w:rPr>
        <w:t>and</w:t>
      </w:r>
      <w:r>
        <w:t xml:space="preserve"> Whipple’s triad has been documented on a previous  occasion. </w:t>
      </w:r>
    </w:p>
    <w:p w14:paraId="65CAD365" w14:textId="1C6898F9" w:rsidR="00A909AD" w:rsidRPr="002010D1" w:rsidRDefault="00A909AD" w:rsidP="00D168C3">
      <w:pPr>
        <w:pStyle w:val="BodyText"/>
        <w:pBdr>
          <w:top w:val="single" w:sz="4" w:space="1" w:color="auto"/>
          <w:left w:val="single" w:sz="4" w:space="4" w:color="auto"/>
          <w:bottom w:val="single" w:sz="4" w:space="1" w:color="auto"/>
          <w:right w:val="single" w:sz="4" w:space="4" w:color="auto"/>
        </w:pBdr>
      </w:pPr>
      <w:r w:rsidRPr="00C97FD5">
        <w:rPr>
          <w:b/>
          <w:bCs/>
        </w:rPr>
        <w:t>Note</w:t>
      </w:r>
      <w:r w:rsidR="00D168C3">
        <w:rPr>
          <w:b/>
          <w:bCs/>
        </w:rPr>
        <w:t xml:space="preserve">. </w:t>
      </w:r>
      <w:r w:rsidR="00D168C3">
        <w:t>I</w:t>
      </w:r>
      <w:r>
        <w:t xml:space="preserve">f none of the above have been demonstrated, the patient should be asked to exercise vigorously (i.e., walk up several flights of steps) prior to the final blood test at 72 hours. </w:t>
      </w:r>
    </w:p>
    <w:p w14:paraId="347AD5E7" w14:textId="77777777" w:rsidR="00A909AD" w:rsidRPr="00C97FD5" w:rsidRDefault="00A909AD" w:rsidP="00D168C3">
      <w:pPr>
        <w:pStyle w:val="Heading5"/>
      </w:pPr>
      <w:r w:rsidRPr="00876726">
        <w:t>Interpretation of laboratory tests</w:t>
      </w:r>
    </w:p>
    <w:tbl>
      <w:tblPr>
        <w:tblStyle w:val="TableGrid"/>
        <w:tblpPr w:leftFromText="180" w:rightFromText="180" w:vertAnchor="text" w:horzAnchor="margin" w:tblpXSpec="center" w:tblpY="79"/>
        <w:tblW w:w="10740" w:type="dxa"/>
        <w:tblLayout w:type="fixed"/>
        <w:tblLook w:val="04A0" w:firstRow="1" w:lastRow="0" w:firstColumn="1" w:lastColumn="0" w:noHBand="0" w:noVBand="1"/>
      </w:tblPr>
      <w:tblGrid>
        <w:gridCol w:w="1242"/>
        <w:gridCol w:w="1134"/>
        <w:gridCol w:w="993"/>
        <w:gridCol w:w="1134"/>
        <w:gridCol w:w="1134"/>
        <w:gridCol w:w="1134"/>
        <w:gridCol w:w="1275"/>
        <w:gridCol w:w="1134"/>
        <w:gridCol w:w="1560"/>
      </w:tblGrid>
      <w:tr w:rsidR="00A909AD" w:rsidRPr="002010D1" w14:paraId="6BD6D7C2" w14:textId="77777777" w:rsidTr="0069740F">
        <w:trPr>
          <w:trHeight w:val="721"/>
        </w:trPr>
        <w:tc>
          <w:tcPr>
            <w:tcW w:w="1242" w:type="dxa"/>
          </w:tcPr>
          <w:p w14:paraId="676CE199" w14:textId="77777777" w:rsidR="00A909AD" w:rsidRPr="002426EF" w:rsidRDefault="00A909AD" w:rsidP="0069740F">
            <w:pPr>
              <w:rPr>
                <w:rFonts w:asciiTheme="minorHAnsi" w:hAnsiTheme="minorHAnsi"/>
                <w:b/>
                <w:sz w:val="20"/>
              </w:rPr>
            </w:pPr>
            <w:r w:rsidRPr="002426EF">
              <w:rPr>
                <w:rFonts w:asciiTheme="minorHAnsi" w:hAnsiTheme="minorHAnsi"/>
                <w:b/>
                <w:sz w:val="20"/>
              </w:rPr>
              <w:t>Signs or symptoms or both</w:t>
            </w:r>
          </w:p>
        </w:tc>
        <w:tc>
          <w:tcPr>
            <w:tcW w:w="1134" w:type="dxa"/>
          </w:tcPr>
          <w:p w14:paraId="57178CE3" w14:textId="77777777" w:rsidR="00A909AD" w:rsidRPr="002426EF" w:rsidRDefault="00A909AD" w:rsidP="0069740F">
            <w:pPr>
              <w:rPr>
                <w:rFonts w:asciiTheme="minorHAnsi" w:hAnsiTheme="minorHAnsi"/>
                <w:b/>
                <w:sz w:val="20"/>
              </w:rPr>
            </w:pPr>
            <w:r w:rsidRPr="002426EF">
              <w:rPr>
                <w:rFonts w:asciiTheme="minorHAnsi" w:hAnsiTheme="minorHAnsi"/>
                <w:b/>
                <w:sz w:val="20"/>
              </w:rPr>
              <w:t>Glucose (mmol/L)</w:t>
            </w:r>
          </w:p>
        </w:tc>
        <w:tc>
          <w:tcPr>
            <w:tcW w:w="993" w:type="dxa"/>
          </w:tcPr>
          <w:p w14:paraId="3D84C64B" w14:textId="77777777" w:rsidR="00A909AD" w:rsidRPr="002426EF" w:rsidRDefault="00A909AD" w:rsidP="0069740F">
            <w:pPr>
              <w:rPr>
                <w:rFonts w:asciiTheme="minorHAnsi" w:hAnsiTheme="minorHAnsi"/>
                <w:b/>
                <w:sz w:val="20"/>
              </w:rPr>
            </w:pPr>
            <w:r w:rsidRPr="002426EF">
              <w:rPr>
                <w:rFonts w:asciiTheme="minorHAnsi" w:hAnsiTheme="minorHAnsi"/>
                <w:b/>
                <w:sz w:val="20"/>
              </w:rPr>
              <w:t>Insulin (mU/L)</w:t>
            </w:r>
          </w:p>
        </w:tc>
        <w:tc>
          <w:tcPr>
            <w:tcW w:w="1134" w:type="dxa"/>
          </w:tcPr>
          <w:p w14:paraId="29B7FF51" w14:textId="77777777" w:rsidR="00A909AD" w:rsidRPr="002426EF" w:rsidRDefault="00A909AD" w:rsidP="0069740F">
            <w:pPr>
              <w:rPr>
                <w:rFonts w:asciiTheme="minorHAnsi" w:hAnsiTheme="minorHAnsi"/>
                <w:b/>
                <w:sz w:val="20"/>
              </w:rPr>
            </w:pPr>
            <w:r w:rsidRPr="002426EF">
              <w:rPr>
                <w:rFonts w:asciiTheme="minorHAnsi" w:hAnsiTheme="minorHAnsi"/>
                <w:b/>
                <w:sz w:val="20"/>
              </w:rPr>
              <w:t>c-peptide (nmol/L)</w:t>
            </w:r>
          </w:p>
        </w:tc>
        <w:tc>
          <w:tcPr>
            <w:tcW w:w="1134" w:type="dxa"/>
          </w:tcPr>
          <w:p w14:paraId="12CA98A0" w14:textId="77777777" w:rsidR="00A909AD" w:rsidRPr="002426EF" w:rsidRDefault="00A909AD" w:rsidP="0069740F">
            <w:pPr>
              <w:rPr>
                <w:rFonts w:asciiTheme="minorHAnsi" w:hAnsiTheme="minorHAnsi"/>
                <w:b/>
                <w:sz w:val="20"/>
              </w:rPr>
            </w:pPr>
            <w:r w:rsidRPr="002426EF">
              <w:rPr>
                <w:rFonts w:asciiTheme="minorHAnsi" w:hAnsiTheme="minorHAnsi"/>
                <w:b/>
                <w:sz w:val="20"/>
              </w:rPr>
              <w:t>Pro-insulin (pmol/L)</w:t>
            </w:r>
          </w:p>
        </w:tc>
        <w:tc>
          <w:tcPr>
            <w:tcW w:w="1134" w:type="dxa"/>
          </w:tcPr>
          <w:p w14:paraId="014DEF92" w14:textId="77777777" w:rsidR="00A909AD" w:rsidRPr="002426EF" w:rsidRDefault="00A909AD" w:rsidP="0069740F">
            <w:pPr>
              <w:rPr>
                <w:rFonts w:asciiTheme="minorHAnsi" w:hAnsiTheme="minorHAnsi"/>
                <w:b/>
                <w:sz w:val="20"/>
              </w:rPr>
            </w:pPr>
            <w:r w:rsidRPr="002426EF">
              <w:rPr>
                <w:rFonts w:asciiTheme="minorHAnsi" w:hAnsiTheme="minorHAnsi"/>
                <w:b/>
                <w:sz w:val="20"/>
              </w:rPr>
              <w:t>BH (mmol/L)</w:t>
            </w:r>
          </w:p>
        </w:tc>
        <w:tc>
          <w:tcPr>
            <w:tcW w:w="1275" w:type="dxa"/>
          </w:tcPr>
          <w:p w14:paraId="25EC656B" w14:textId="77777777" w:rsidR="00A909AD" w:rsidRPr="002426EF" w:rsidRDefault="00A909AD" w:rsidP="0069740F">
            <w:pPr>
              <w:rPr>
                <w:rFonts w:asciiTheme="minorHAnsi" w:hAnsiTheme="minorHAnsi"/>
                <w:b/>
                <w:sz w:val="20"/>
              </w:rPr>
            </w:pPr>
            <w:r w:rsidRPr="002426EF">
              <w:rPr>
                <w:rFonts w:asciiTheme="minorHAnsi" w:hAnsiTheme="minorHAnsi"/>
                <w:b/>
                <w:sz w:val="20"/>
              </w:rPr>
              <w:t>Circulating OHG agent</w:t>
            </w:r>
          </w:p>
        </w:tc>
        <w:tc>
          <w:tcPr>
            <w:tcW w:w="1134" w:type="dxa"/>
          </w:tcPr>
          <w:p w14:paraId="78FB883E" w14:textId="77777777" w:rsidR="00A909AD" w:rsidRPr="002426EF" w:rsidRDefault="00A909AD" w:rsidP="0069740F">
            <w:pPr>
              <w:rPr>
                <w:rFonts w:asciiTheme="minorHAnsi" w:hAnsiTheme="minorHAnsi"/>
                <w:b/>
                <w:sz w:val="20"/>
              </w:rPr>
            </w:pPr>
            <w:r w:rsidRPr="002426EF">
              <w:rPr>
                <w:rFonts w:asciiTheme="minorHAnsi" w:hAnsiTheme="minorHAnsi"/>
                <w:b/>
                <w:sz w:val="20"/>
              </w:rPr>
              <w:t>Antibody to insulin</w:t>
            </w:r>
          </w:p>
        </w:tc>
        <w:tc>
          <w:tcPr>
            <w:tcW w:w="1560" w:type="dxa"/>
          </w:tcPr>
          <w:p w14:paraId="64A6BE13" w14:textId="77777777" w:rsidR="00A909AD" w:rsidRPr="002426EF" w:rsidRDefault="00A909AD" w:rsidP="0069740F">
            <w:pPr>
              <w:rPr>
                <w:rFonts w:asciiTheme="minorHAnsi" w:hAnsiTheme="minorHAnsi"/>
                <w:b/>
                <w:sz w:val="20"/>
              </w:rPr>
            </w:pPr>
            <w:r w:rsidRPr="002426EF">
              <w:rPr>
                <w:rFonts w:asciiTheme="minorHAnsi" w:hAnsiTheme="minorHAnsi"/>
                <w:b/>
                <w:sz w:val="20"/>
              </w:rPr>
              <w:t>Diagnostic interpretation</w:t>
            </w:r>
          </w:p>
        </w:tc>
      </w:tr>
      <w:tr w:rsidR="00A909AD" w:rsidRPr="002010D1" w14:paraId="50EB5B4F" w14:textId="77777777" w:rsidTr="0069740F">
        <w:trPr>
          <w:trHeight w:val="236"/>
        </w:trPr>
        <w:tc>
          <w:tcPr>
            <w:tcW w:w="1242" w:type="dxa"/>
          </w:tcPr>
          <w:p w14:paraId="2C202D28"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134" w:type="dxa"/>
          </w:tcPr>
          <w:p w14:paraId="69711EC9" w14:textId="77777777" w:rsidR="00A909AD" w:rsidRPr="002426EF" w:rsidRDefault="00A909AD" w:rsidP="0069740F">
            <w:pPr>
              <w:rPr>
                <w:rFonts w:asciiTheme="minorHAnsi" w:hAnsiTheme="minorHAnsi"/>
                <w:sz w:val="20"/>
              </w:rPr>
            </w:pPr>
            <w:r w:rsidRPr="002426EF">
              <w:rPr>
                <w:rFonts w:asciiTheme="minorHAnsi" w:hAnsiTheme="minorHAnsi"/>
                <w:sz w:val="20"/>
              </w:rPr>
              <w:t>&lt; 3.0</w:t>
            </w:r>
          </w:p>
        </w:tc>
        <w:tc>
          <w:tcPr>
            <w:tcW w:w="993" w:type="dxa"/>
          </w:tcPr>
          <w:p w14:paraId="33B6FB42" w14:textId="77777777" w:rsidR="00A909AD" w:rsidRPr="002426EF" w:rsidRDefault="00A909AD" w:rsidP="0069740F">
            <w:pPr>
              <w:rPr>
                <w:rFonts w:asciiTheme="minorHAnsi" w:hAnsiTheme="minorHAnsi"/>
                <w:sz w:val="20"/>
              </w:rPr>
            </w:pPr>
            <w:r w:rsidRPr="002426EF">
              <w:rPr>
                <w:rFonts w:asciiTheme="minorHAnsi" w:hAnsiTheme="minorHAnsi"/>
                <w:sz w:val="20"/>
              </w:rPr>
              <w:t>&lt;3.0</w:t>
            </w:r>
          </w:p>
        </w:tc>
        <w:tc>
          <w:tcPr>
            <w:tcW w:w="1134" w:type="dxa"/>
          </w:tcPr>
          <w:p w14:paraId="0DD1DE95" w14:textId="77777777" w:rsidR="00A909AD" w:rsidRPr="002426EF" w:rsidRDefault="00A909AD" w:rsidP="0069740F">
            <w:pPr>
              <w:rPr>
                <w:rFonts w:asciiTheme="minorHAnsi" w:hAnsiTheme="minorHAnsi"/>
                <w:sz w:val="20"/>
              </w:rPr>
            </w:pPr>
            <w:r w:rsidRPr="002426EF">
              <w:rPr>
                <w:rFonts w:asciiTheme="minorHAnsi" w:hAnsiTheme="minorHAnsi"/>
                <w:sz w:val="20"/>
              </w:rPr>
              <w:t>&lt;0.2</w:t>
            </w:r>
          </w:p>
        </w:tc>
        <w:tc>
          <w:tcPr>
            <w:tcW w:w="1134" w:type="dxa"/>
          </w:tcPr>
          <w:p w14:paraId="4754B82B" w14:textId="77777777" w:rsidR="00A909AD" w:rsidRPr="002426EF" w:rsidRDefault="00A909AD" w:rsidP="0069740F">
            <w:pPr>
              <w:rPr>
                <w:rFonts w:asciiTheme="minorHAnsi" w:hAnsiTheme="minorHAnsi"/>
                <w:sz w:val="20"/>
              </w:rPr>
            </w:pPr>
            <w:r w:rsidRPr="002426EF">
              <w:rPr>
                <w:rFonts w:asciiTheme="minorHAnsi" w:hAnsiTheme="minorHAnsi"/>
                <w:sz w:val="20"/>
              </w:rPr>
              <w:t>&lt;5</w:t>
            </w:r>
          </w:p>
        </w:tc>
        <w:tc>
          <w:tcPr>
            <w:tcW w:w="1134" w:type="dxa"/>
          </w:tcPr>
          <w:p w14:paraId="182A32C0" w14:textId="77777777" w:rsidR="00A909AD" w:rsidRPr="002426EF" w:rsidRDefault="00A909AD" w:rsidP="0069740F">
            <w:pPr>
              <w:rPr>
                <w:rFonts w:asciiTheme="minorHAnsi" w:hAnsiTheme="minorHAnsi"/>
                <w:sz w:val="20"/>
              </w:rPr>
            </w:pPr>
            <w:r w:rsidRPr="002426EF">
              <w:rPr>
                <w:rFonts w:asciiTheme="minorHAnsi" w:hAnsiTheme="minorHAnsi"/>
                <w:sz w:val="20"/>
              </w:rPr>
              <w:t>&gt;2.7</w:t>
            </w:r>
          </w:p>
        </w:tc>
        <w:tc>
          <w:tcPr>
            <w:tcW w:w="1275" w:type="dxa"/>
          </w:tcPr>
          <w:p w14:paraId="25E99D29"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134" w:type="dxa"/>
          </w:tcPr>
          <w:p w14:paraId="0E3EE439"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560" w:type="dxa"/>
          </w:tcPr>
          <w:p w14:paraId="1DC60646" w14:textId="77777777" w:rsidR="00A909AD" w:rsidRPr="002426EF" w:rsidRDefault="00A909AD" w:rsidP="0069740F">
            <w:pPr>
              <w:rPr>
                <w:rFonts w:asciiTheme="minorHAnsi" w:hAnsiTheme="minorHAnsi"/>
                <w:b/>
                <w:sz w:val="20"/>
              </w:rPr>
            </w:pPr>
            <w:r w:rsidRPr="002426EF">
              <w:rPr>
                <w:rFonts w:asciiTheme="minorHAnsi" w:hAnsiTheme="minorHAnsi"/>
                <w:b/>
                <w:sz w:val="20"/>
              </w:rPr>
              <w:t>Normal</w:t>
            </w:r>
          </w:p>
        </w:tc>
      </w:tr>
      <w:tr w:rsidR="00A909AD" w:rsidRPr="002010D1" w14:paraId="09B8D684" w14:textId="77777777" w:rsidTr="0069740F">
        <w:trPr>
          <w:trHeight w:val="236"/>
        </w:trPr>
        <w:tc>
          <w:tcPr>
            <w:tcW w:w="1242" w:type="dxa"/>
          </w:tcPr>
          <w:p w14:paraId="701AC228" w14:textId="77777777" w:rsidR="00A909AD" w:rsidRPr="002426EF" w:rsidRDefault="00A909AD" w:rsidP="0069740F">
            <w:pPr>
              <w:rPr>
                <w:rFonts w:asciiTheme="minorHAnsi" w:hAnsiTheme="minorHAnsi"/>
                <w:sz w:val="20"/>
              </w:rPr>
            </w:pPr>
            <w:r w:rsidRPr="002426EF">
              <w:rPr>
                <w:rFonts w:asciiTheme="minorHAnsi" w:hAnsiTheme="minorHAnsi"/>
                <w:sz w:val="20"/>
              </w:rPr>
              <w:t>Yes</w:t>
            </w:r>
          </w:p>
        </w:tc>
        <w:tc>
          <w:tcPr>
            <w:tcW w:w="1134" w:type="dxa"/>
          </w:tcPr>
          <w:p w14:paraId="4D977E47" w14:textId="77777777" w:rsidR="00A909AD" w:rsidRPr="002426EF" w:rsidRDefault="00A909AD" w:rsidP="0069740F">
            <w:pPr>
              <w:rPr>
                <w:rFonts w:asciiTheme="minorHAnsi" w:hAnsiTheme="minorHAnsi"/>
                <w:sz w:val="20"/>
              </w:rPr>
            </w:pPr>
            <w:r w:rsidRPr="002426EF">
              <w:rPr>
                <w:rFonts w:asciiTheme="minorHAnsi" w:hAnsiTheme="minorHAnsi"/>
                <w:sz w:val="20"/>
              </w:rPr>
              <w:t>&lt; 3.0</w:t>
            </w:r>
          </w:p>
        </w:tc>
        <w:tc>
          <w:tcPr>
            <w:tcW w:w="993" w:type="dxa"/>
          </w:tcPr>
          <w:p w14:paraId="47D44C79" w14:textId="77777777" w:rsidR="00A909AD" w:rsidRPr="002426EF" w:rsidRDefault="00A909AD" w:rsidP="0069740F">
            <w:pPr>
              <w:rPr>
                <w:rFonts w:asciiTheme="minorHAnsi" w:hAnsiTheme="minorHAnsi"/>
                <w:sz w:val="20"/>
              </w:rPr>
            </w:pPr>
            <w:r w:rsidRPr="002426EF">
              <w:rPr>
                <w:rFonts w:asciiTheme="minorHAnsi" w:hAnsiTheme="minorHAnsi"/>
                <w:sz w:val="20"/>
              </w:rPr>
              <w:t>&gt;&gt;3.0</w:t>
            </w:r>
          </w:p>
        </w:tc>
        <w:tc>
          <w:tcPr>
            <w:tcW w:w="1134" w:type="dxa"/>
          </w:tcPr>
          <w:p w14:paraId="3686A044" w14:textId="77777777" w:rsidR="00A909AD" w:rsidRPr="002426EF" w:rsidRDefault="00A909AD" w:rsidP="0069740F">
            <w:pPr>
              <w:rPr>
                <w:rFonts w:asciiTheme="minorHAnsi" w:hAnsiTheme="minorHAnsi"/>
                <w:sz w:val="20"/>
              </w:rPr>
            </w:pPr>
            <w:r w:rsidRPr="002426EF">
              <w:rPr>
                <w:rFonts w:asciiTheme="minorHAnsi" w:hAnsiTheme="minorHAnsi"/>
                <w:sz w:val="20"/>
              </w:rPr>
              <w:t>&lt;0.2</w:t>
            </w:r>
          </w:p>
        </w:tc>
        <w:tc>
          <w:tcPr>
            <w:tcW w:w="1134" w:type="dxa"/>
          </w:tcPr>
          <w:p w14:paraId="65BF102A" w14:textId="77777777" w:rsidR="00A909AD" w:rsidRPr="002426EF" w:rsidRDefault="00A909AD" w:rsidP="0069740F">
            <w:pPr>
              <w:rPr>
                <w:rFonts w:asciiTheme="minorHAnsi" w:hAnsiTheme="minorHAnsi"/>
                <w:sz w:val="20"/>
              </w:rPr>
            </w:pPr>
            <w:r w:rsidRPr="002426EF">
              <w:rPr>
                <w:rFonts w:asciiTheme="minorHAnsi" w:hAnsiTheme="minorHAnsi"/>
                <w:sz w:val="20"/>
              </w:rPr>
              <w:t>&lt;5</w:t>
            </w:r>
          </w:p>
        </w:tc>
        <w:tc>
          <w:tcPr>
            <w:tcW w:w="1134" w:type="dxa"/>
          </w:tcPr>
          <w:p w14:paraId="6DDC15B0" w14:textId="77777777" w:rsidR="00A909AD" w:rsidRPr="002426EF" w:rsidRDefault="00A909AD" w:rsidP="0069740F">
            <w:pPr>
              <w:rPr>
                <w:rFonts w:asciiTheme="minorHAnsi" w:hAnsiTheme="minorHAnsi"/>
                <w:sz w:val="20"/>
              </w:rPr>
            </w:pPr>
            <w:r w:rsidRPr="002426EF">
              <w:rPr>
                <w:rFonts w:asciiTheme="minorHAnsi" w:hAnsiTheme="minorHAnsi"/>
                <w:sz w:val="20"/>
              </w:rPr>
              <w:t>≤2.7</w:t>
            </w:r>
          </w:p>
        </w:tc>
        <w:tc>
          <w:tcPr>
            <w:tcW w:w="1275" w:type="dxa"/>
          </w:tcPr>
          <w:p w14:paraId="2F38F980"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134" w:type="dxa"/>
          </w:tcPr>
          <w:p w14:paraId="37C86104" w14:textId="77777777" w:rsidR="00A909AD" w:rsidRPr="002426EF" w:rsidRDefault="00A909AD" w:rsidP="0069740F">
            <w:pPr>
              <w:rPr>
                <w:rFonts w:asciiTheme="minorHAnsi" w:hAnsiTheme="minorHAnsi"/>
                <w:sz w:val="20"/>
              </w:rPr>
            </w:pPr>
            <w:r w:rsidRPr="002426EF">
              <w:rPr>
                <w:rFonts w:asciiTheme="minorHAnsi" w:hAnsiTheme="minorHAnsi"/>
                <w:sz w:val="20"/>
              </w:rPr>
              <w:t>Negative</w:t>
            </w:r>
          </w:p>
        </w:tc>
        <w:tc>
          <w:tcPr>
            <w:tcW w:w="1560" w:type="dxa"/>
          </w:tcPr>
          <w:p w14:paraId="1D3EB52A" w14:textId="77777777" w:rsidR="00A909AD" w:rsidRPr="002426EF" w:rsidRDefault="00A909AD" w:rsidP="0069740F">
            <w:pPr>
              <w:rPr>
                <w:rFonts w:asciiTheme="minorHAnsi" w:hAnsiTheme="minorHAnsi"/>
                <w:b/>
                <w:sz w:val="20"/>
              </w:rPr>
            </w:pPr>
            <w:r w:rsidRPr="002426EF">
              <w:rPr>
                <w:rFonts w:asciiTheme="minorHAnsi" w:hAnsiTheme="minorHAnsi"/>
                <w:b/>
                <w:sz w:val="20"/>
              </w:rPr>
              <w:t>Exogenous insulin</w:t>
            </w:r>
          </w:p>
        </w:tc>
      </w:tr>
      <w:tr w:rsidR="00A909AD" w:rsidRPr="002010D1" w14:paraId="000314D1" w14:textId="77777777" w:rsidTr="0069740F">
        <w:trPr>
          <w:trHeight w:val="236"/>
        </w:trPr>
        <w:tc>
          <w:tcPr>
            <w:tcW w:w="1242" w:type="dxa"/>
          </w:tcPr>
          <w:p w14:paraId="130A39A8" w14:textId="77777777" w:rsidR="00A909AD" w:rsidRPr="002426EF" w:rsidRDefault="00A909AD" w:rsidP="0069740F">
            <w:pPr>
              <w:rPr>
                <w:rFonts w:asciiTheme="minorHAnsi" w:hAnsiTheme="minorHAnsi"/>
                <w:sz w:val="20"/>
              </w:rPr>
            </w:pPr>
            <w:r w:rsidRPr="002426EF">
              <w:rPr>
                <w:rFonts w:asciiTheme="minorHAnsi" w:hAnsiTheme="minorHAnsi"/>
                <w:sz w:val="20"/>
              </w:rPr>
              <w:t>Yes</w:t>
            </w:r>
          </w:p>
        </w:tc>
        <w:tc>
          <w:tcPr>
            <w:tcW w:w="1134" w:type="dxa"/>
          </w:tcPr>
          <w:p w14:paraId="0A52A240" w14:textId="77777777" w:rsidR="00A909AD" w:rsidRPr="002426EF" w:rsidRDefault="00A909AD" w:rsidP="0069740F">
            <w:pPr>
              <w:rPr>
                <w:rFonts w:asciiTheme="minorHAnsi" w:hAnsiTheme="minorHAnsi"/>
                <w:sz w:val="20"/>
              </w:rPr>
            </w:pPr>
            <w:r w:rsidRPr="002426EF">
              <w:rPr>
                <w:rFonts w:asciiTheme="minorHAnsi" w:hAnsiTheme="minorHAnsi"/>
                <w:sz w:val="20"/>
              </w:rPr>
              <w:t>&lt; 3.0</w:t>
            </w:r>
          </w:p>
        </w:tc>
        <w:tc>
          <w:tcPr>
            <w:tcW w:w="993" w:type="dxa"/>
          </w:tcPr>
          <w:p w14:paraId="1F2717EA" w14:textId="77777777" w:rsidR="00A909AD" w:rsidRPr="002426EF" w:rsidRDefault="00A909AD" w:rsidP="0069740F">
            <w:pPr>
              <w:rPr>
                <w:rFonts w:asciiTheme="minorHAnsi" w:hAnsiTheme="minorHAnsi"/>
                <w:sz w:val="20"/>
              </w:rPr>
            </w:pPr>
            <w:r w:rsidRPr="002426EF">
              <w:rPr>
                <w:rFonts w:asciiTheme="minorHAnsi" w:hAnsiTheme="minorHAnsi"/>
                <w:sz w:val="20"/>
              </w:rPr>
              <w:t>≥3.0</w:t>
            </w:r>
          </w:p>
        </w:tc>
        <w:tc>
          <w:tcPr>
            <w:tcW w:w="1134" w:type="dxa"/>
          </w:tcPr>
          <w:p w14:paraId="39CD3B5C" w14:textId="77777777" w:rsidR="00A909AD" w:rsidRPr="002426EF" w:rsidRDefault="00A909AD" w:rsidP="0069740F">
            <w:pPr>
              <w:rPr>
                <w:rFonts w:asciiTheme="minorHAnsi" w:hAnsiTheme="minorHAnsi"/>
                <w:sz w:val="20"/>
              </w:rPr>
            </w:pPr>
            <w:r w:rsidRPr="002426EF">
              <w:rPr>
                <w:rFonts w:asciiTheme="minorHAnsi" w:hAnsiTheme="minorHAnsi"/>
                <w:sz w:val="20"/>
              </w:rPr>
              <w:t>≥0.2</w:t>
            </w:r>
          </w:p>
        </w:tc>
        <w:tc>
          <w:tcPr>
            <w:tcW w:w="1134" w:type="dxa"/>
          </w:tcPr>
          <w:p w14:paraId="116AF99D" w14:textId="77777777" w:rsidR="00A909AD" w:rsidRPr="002426EF" w:rsidRDefault="00A909AD" w:rsidP="0069740F">
            <w:pPr>
              <w:rPr>
                <w:rFonts w:asciiTheme="minorHAnsi" w:hAnsiTheme="minorHAnsi"/>
                <w:sz w:val="20"/>
              </w:rPr>
            </w:pPr>
            <w:r w:rsidRPr="002426EF">
              <w:rPr>
                <w:rFonts w:asciiTheme="minorHAnsi" w:hAnsiTheme="minorHAnsi"/>
                <w:sz w:val="20"/>
              </w:rPr>
              <w:t>≥5</w:t>
            </w:r>
          </w:p>
        </w:tc>
        <w:tc>
          <w:tcPr>
            <w:tcW w:w="1134" w:type="dxa"/>
          </w:tcPr>
          <w:p w14:paraId="4FF6B08F" w14:textId="77777777" w:rsidR="00A909AD" w:rsidRPr="002426EF" w:rsidRDefault="00A909AD" w:rsidP="0069740F">
            <w:pPr>
              <w:rPr>
                <w:rFonts w:asciiTheme="minorHAnsi" w:hAnsiTheme="minorHAnsi"/>
                <w:sz w:val="20"/>
              </w:rPr>
            </w:pPr>
            <w:r w:rsidRPr="002426EF">
              <w:rPr>
                <w:rFonts w:asciiTheme="minorHAnsi" w:hAnsiTheme="minorHAnsi"/>
                <w:sz w:val="20"/>
              </w:rPr>
              <w:t>≤2.7</w:t>
            </w:r>
          </w:p>
        </w:tc>
        <w:tc>
          <w:tcPr>
            <w:tcW w:w="1275" w:type="dxa"/>
          </w:tcPr>
          <w:p w14:paraId="45E04473"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134" w:type="dxa"/>
          </w:tcPr>
          <w:p w14:paraId="47AEDC33" w14:textId="77777777" w:rsidR="00A909AD" w:rsidRPr="002426EF" w:rsidRDefault="00A909AD" w:rsidP="0069740F">
            <w:pPr>
              <w:rPr>
                <w:rFonts w:asciiTheme="minorHAnsi" w:hAnsiTheme="minorHAnsi"/>
                <w:sz w:val="20"/>
              </w:rPr>
            </w:pPr>
            <w:r w:rsidRPr="002426EF">
              <w:rPr>
                <w:rFonts w:asciiTheme="minorHAnsi" w:hAnsiTheme="minorHAnsi"/>
                <w:sz w:val="20"/>
              </w:rPr>
              <w:t>Negative</w:t>
            </w:r>
          </w:p>
        </w:tc>
        <w:tc>
          <w:tcPr>
            <w:tcW w:w="1560" w:type="dxa"/>
          </w:tcPr>
          <w:p w14:paraId="1A426400" w14:textId="77777777" w:rsidR="00A909AD" w:rsidRPr="002426EF" w:rsidRDefault="00A909AD" w:rsidP="0069740F">
            <w:pPr>
              <w:rPr>
                <w:rFonts w:asciiTheme="minorHAnsi" w:hAnsiTheme="minorHAnsi"/>
                <w:b/>
                <w:sz w:val="20"/>
              </w:rPr>
            </w:pPr>
            <w:r w:rsidRPr="002426EF">
              <w:rPr>
                <w:rFonts w:asciiTheme="minorHAnsi" w:hAnsiTheme="minorHAnsi"/>
                <w:b/>
                <w:sz w:val="20"/>
              </w:rPr>
              <w:t>Insulinoma, NIPHS, PGBH</w:t>
            </w:r>
          </w:p>
        </w:tc>
      </w:tr>
      <w:tr w:rsidR="00A909AD" w:rsidRPr="002010D1" w14:paraId="430D2DD7" w14:textId="77777777" w:rsidTr="0069740F">
        <w:trPr>
          <w:trHeight w:val="236"/>
        </w:trPr>
        <w:tc>
          <w:tcPr>
            <w:tcW w:w="1242" w:type="dxa"/>
          </w:tcPr>
          <w:p w14:paraId="11424DFA" w14:textId="77777777" w:rsidR="00A909AD" w:rsidRPr="002426EF" w:rsidRDefault="00A909AD" w:rsidP="0069740F">
            <w:pPr>
              <w:rPr>
                <w:rFonts w:asciiTheme="minorHAnsi" w:hAnsiTheme="minorHAnsi"/>
                <w:sz w:val="20"/>
              </w:rPr>
            </w:pPr>
            <w:r w:rsidRPr="002426EF">
              <w:rPr>
                <w:rFonts w:asciiTheme="minorHAnsi" w:hAnsiTheme="minorHAnsi"/>
                <w:sz w:val="20"/>
              </w:rPr>
              <w:t>Yes</w:t>
            </w:r>
          </w:p>
        </w:tc>
        <w:tc>
          <w:tcPr>
            <w:tcW w:w="1134" w:type="dxa"/>
          </w:tcPr>
          <w:p w14:paraId="37B61E34" w14:textId="77777777" w:rsidR="00A909AD" w:rsidRPr="002426EF" w:rsidRDefault="00A909AD" w:rsidP="0069740F">
            <w:pPr>
              <w:rPr>
                <w:rFonts w:asciiTheme="minorHAnsi" w:hAnsiTheme="minorHAnsi"/>
                <w:sz w:val="20"/>
              </w:rPr>
            </w:pPr>
            <w:r w:rsidRPr="002426EF">
              <w:rPr>
                <w:rFonts w:asciiTheme="minorHAnsi" w:hAnsiTheme="minorHAnsi"/>
                <w:sz w:val="20"/>
              </w:rPr>
              <w:t>&lt; 3.0</w:t>
            </w:r>
          </w:p>
        </w:tc>
        <w:tc>
          <w:tcPr>
            <w:tcW w:w="993" w:type="dxa"/>
          </w:tcPr>
          <w:p w14:paraId="60B182E6" w14:textId="77777777" w:rsidR="00A909AD" w:rsidRPr="002426EF" w:rsidRDefault="00A909AD" w:rsidP="0069740F">
            <w:pPr>
              <w:rPr>
                <w:rFonts w:asciiTheme="minorHAnsi" w:hAnsiTheme="minorHAnsi"/>
                <w:sz w:val="20"/>
              </w:rPr>
            </w:pPr>
            <w:r w:rsidRPr="002426EF">
              <w:rPr>
                <w:rFonts w:asciiTheme="minorHAnsi" w:hAnsiTheme="minorHAnsi"/>
                <w:sz w:val="20"/>
              </w:rPr>
              <w:t>≥3.0</w:t>
            </w:r>
          </w:p>
        </w:tc>
        <w:tc>
          <w:tcPr>
            <w:tcW w:w="1134" w:type="dxa"/>
          </w:tcPr>
          <w:p w14:paraId="14F79729" w14:textId="77777777" w:rsidR="00A909AD" w:rsidRPr="002426EF" w:rsidRDefault="00A909AD" w:rsidP="0069740F">
            <w:pPr>
              <w:rPr>
                <w:rFonts w:asciiTheme="minorHAnsi" w:hAnsiTheme="minorHAnsi"/>
                <w:sz w:val="20"/>
              </w:rPr>
            </w:pPr>
            <w:r w:rsidRPr="002426EF">
              <w:rPr>
                <w:rFonts w:asciiTheme="minorHAnsi" w:hAnsiTheme="minorHAnsi"/>
                <w:sz w:val="20"/>
              </w:rPr>
              <w:t>≥0.2</w:t>
            </w:r>
          </w:p>
        </w:tc>
        <w:tc>
          <w:tcPr>
            <w:tcW w:w="1134" w:type="dxa"/>
          </w:tcPr>
          <w:p w14:paraId="796EBF0E" w14:textId="77777777" w:rsidR="00A909AD" w:rsidRPr="002426EF" w:rsidRDefault="00A909AD" w:rsidP="0069740F">
            <w:pPr>
              <w:rPr>
                <w:rFonts w:asciiTheme="minorHAnsi" w:hAnsiTheme="minorHAnsi"/>
                <w:sz w:val="20"/>
              </w:rPr>
            </w:pPr>
            <w:r w:rsidRPr="002426EF">
              <w:rPr>
                <w:rFonts w:asciiTheme="minorHAnsi" w:hAnsiTheme="minorHAnsi"/>
                <w:sz w:val="20"/>
              </w:rPr>
              <w:t>≥5</w:t>
            </w:r>
          </w:p>
        </w:tc>
        <w:tc>
          <w:tcPr>
            <w:tcW w:w="1134" w:type="dxa"/>
          </w:tcPr>
          <w:p w14:paraId="28A48103" w14:textId="77777777" w:rsidR="00A909AD" w:rsidRPr="002426EF" w:rsidRDefault="00A909AD" w:rsidP="0069740F">
            <w:pPr>
              <w:rPr>
                <w:rFonts w:asciiTheme="minorHAnsi" w:hAnsiTheme="minorHAnsi"/>
                <w:sz w:val="20"/>
              </w:rPr>
            </w:pPr>
            <w:r w:rsidRPr="002426EF">
              <w:rPr>
                <w:rFonts w:asciiTheme="minorHAnsi" w:hAnsiTheme="minorHAnsi"/>
                <w:sz w:val="20"/>
              </w:rPr>
              <w:t>≤2.7</w:t>
            </w:r>
          </w:p>
        </w:tc>
        <w:tc>
          <w:tcPr>
            <w:tcW w:w="1275" w:type="dxa"/>
          </w:tcPr>
          <w:p w14:paraId="49F60C8F" w14:textId="77777777" w:rsidR="00A909AD" w:rsidRPr="002426EF" w:rsidRDefault="00A909AD" w:rsidP="0069740F">
            <w:pPr>
              <w:rPr>
                <w:rFonts w:asciiTheme="minorHAnsi" w:hAnsiTheme="minorHAnsi"/>
                <w:sz w:val="20"/>
              </w:rPr>
            </w:pPr>
            <w:r w:rsidRPr="002426EF">
              <w:rPr>
                <w:rFonts w:asciiTheme="minorHAnsi" w:hAnsiTheme="minorHAnsi"/>
                <w:sz w:val="20"/>
              </w:rPr>
              <w:t>Yes</w:t>
            </w:r>
          </w:p>
        </w:tc>
        <w:tc>
          <w:tcPr>
            <w:tcW w:w="1134" w:type="dxa"/>
          </w:tcPr>
          <w:p w14:paraId="7F4C93D3" w14:textId="77777777" w:rsidR="00A909AD" w:rsidRPr="002426EF" w:rsidRDefault="00A909AD" w:rsidP="0069740F">
            <w:pPr>
              <w:rPr>
                <w:rFonts w:asciiTheme="minorHAnsi" w:hAnsiTheme="minorHAnsi"/>
                <w:sz w:val="20"/>
              </w:rPr>
            </w:pPr>
            <w:r w:rsidRPr="002426EF">
              <w:rPr>
                <w:rFonts w:asciiTheme="minorHAnsi" w:hAnsiTheme="minorHAnsi"/>
                <w:sz w:val="20"/>
              </w:rPr>
              <w:t>Negative</w:t>
            </w:r>
          </w:p>
        </w:tc>
        <w:tc>
          <w:tcPr>
            <w:tcW w:w="1560" w:type="dxa"/>
          </w:tcPr>
          <w:p w14:paraId="37D0099A" w14:textId="77777777" w:rsidR="00A909AD" w:rsidRPr="002426EF" w:rsidRDefault="00A909AD" w:rsidP="0069740F">
            <w:pPr>
              <w:rPr>
                <w:rFonts w:asciiTheme="minorHAnsi" w:hAnsiTheme="minorHAnsi"/>
                <w:b/>
                <w:sz w:val="20"/>
              </w:rPr>
            </w:pPr>
            <w:r w:rsidRPr="002426EF">
              <w:rPr>
                <w:rFonts w:asciiTheme="minorHAnsi" w:hAnsiTheme="minorHAnsi"/>
                <w:b/>
                <w:sz w:val="20"/>
              </w:rPr>
              <w:t>OHG agent</w:t>
            </w:r>
          </w:p>
        </w:tc>
      </w:tr>
      <w:tr w:rsidR="00A909AD" w:rsidRPr="002010D1" w14:paraId="6A6CA4CB" w14:textId="77777777" w:rsidTr="0069740F">
        <w:trPr>
          <w:trHeight w:val="236"/>
        </w:trPr>
        <w:tc>
          <w:tcPr>
            <w:tcW w:w="1242" w:type="dxa"/>
          </w:tcPr>
          <w:p w14:paraId="6BA46339" w14:textId="77777777" w:rsidR="00A909AD" w:rsidRPr="002426EF" w:rsidRDefault="00A909AD" w:rsidP="0069740F">
            <w:pPr>
              <w:rPr>
                <w:rFonts w:asciiTheme="minorHAnsi" w:hAnsiTheme="minorHAnsi"/>
                <w:sz w:val="20"/>
              </w:rPr>
            </w:pPr>
            <w:r w:rsidRPr="002426EF">
              <w:rPr>
                <w:rFonts w:asciiTheme="minorHAnsi" w:hAnsiTheme="minorHAnsi"/>
                <w:sz w:val="20"/>
              </w:rPr>
              <w:t>Yes</w:t>
            </w:r>
          </w:p>
        </w:tc>
        <w:tc>
          <w:tcPr>
            <w:tcW w:w="1134" w:type="dxa"/>
          </w:tcPr>
          <w:p w14:paraId="1C7F84E9" w14:textId="77777777" w:rsidR="00A909AD" w:rsidRPr="002426EF" w:rsidRDefault="00A909AD" w:rsidP="0069740F">
            <w:pPr>
              <w:rPr>
                <w:rFonts w:asciiTheme="minorHAnsi" w:hAnsiTheme="minorHAnsi"/>
                <w:sz w:val="20"/>
              </w:rPr>
            </w:pPr>
            <w:r w:rsidRPr="002426EF">
              <w:rPr>
                <w:rFonts w:asciiTheme="minorHAnsi" w:hAnsiTheme="minorHAnsi"/>
                <w:sz w:val="20"/>
              </w:rPr>
              <w:t>&lt; 3.0</w:t>
            </w:r>
          </w:p>
        </w:tc>
        <w:tc>
          <w:tcPr>
            <w:tcW w:w="993" w:type="dxa"/>
          </w:tcPr>
          <w:p w14:paraId="631A9437" w14:textId="77777777" w:rsidR="00A909AD" w:rsidRPr="002426EF" w:rsidRDefault="00A909AD" w:rsidP="0069740F">
            <w:pPr>
              <w:rPr>
                <w:rFonts w:asciiTheme="minorHAnsi" w:hAnsiTheme="minorHAnsi"/>
                <w:sz w:val="20"/>
              </w:rPr>
            </w:pPr>
            <w:r w:rsidRPr="002426EF">
              <w:rPr>
                <w:rFonts w:asciiTheme="minorHAnsi" w:hAnsiTheme="minorHAnsi"/>
                <w:sz w:val="20"/>
              </w:rPr>
              <w:t>&gt;&gt;3.0</w:t>
            </w:r>
          </w:p>
        </w:tc>
        <w:tc>
          <w:tcPr>
            <w:tcW w:w="1134" w:type="dxa"/>
          </w:tcPr>
          <w:p w14:paraId="0DB4FD51" w14:textId="77777777" w:rsidR="00A909AD" w:rsidRPr="002426EF" w:rsidRDefault="00A909AD" w:rsidP="0069740F">
            <w:pPr>
              <w:rPr>
                <w:rFonts w:asciiTheme="minorHAnsi" w:hAnsiTheme="minorHAnsi"/>
                <w:sz w:val="20"/>
              </w:rPr>
            </w:pPr>
            <w:r w:rsidRPr="002426EF">
              <w:rPr>
                <w:rFonts w:asciiTheme="minorHAnsi" w:hAnsiTheme="minorHAnsi"/>
                <w:sz w:val="20"/>
              </w:rPr>
              <w:t>&gt;&gt;0.2</w:t>
            </w:r>
          </w:p>
        </w:tc>
        <w:tc>
          <w:tcPr>
            <w:tcW w:w="1134" w:type="dxa"/>
          </w:tcPr>
          <w:p w14:paraId="7366BF26" w14:textId="77777777" w:rsidR="00A909AD" w:rsidRPr="002426EF" w:rsidRDefault="00A909AD" w:rsidP="0069740F">
            <w:pPr>
              <w:rPr>
                <w:rFonts w:asciiTheme="minorHAnsi" w:hAnsiTheme="minorHAnsi"/>
                <w:sz w:val="20"/>
              </w:rPr>
            </w:pPr>
            <w:r w:rsidRPr="002426EF">
              <w:rPr>
                <w:rFonts w:asciiTheme="minorHAnsi" w:hAnsiTheme="minorHAnsi"/>
                <w:sz w:val="20"/>
              </w:rPr>
              <w:t>&gt;&gt;5</w:t>
            </w:r>
          </w:p>
        </w:tc>
        <w:tc>
          <w:tcPr>
            <w:tcW w:w="1134" w:type="dxa"/>
          </w:tcPr>
          <w:p w14:paraId="47C013E2" w14:textId="77777777" w:rsidR="00A909AD" w:rsidRPr="002426EF" w:rsidRDefault="00A909AD" w:rsidP="0069740F">
            <w:pPr>
              <w:rPr>
                <w:rFonts w:asciiTheme="minorHAnsi" w:hAnsiTheme="minorHAnsi"/>
                <w:sz w:val="20"/>
              </w:rPr>
            </w:pPr>
            <w:r w:rsidRPr="002426EF">
              <w:rPr>
                <w:rFonts w:asciiTheme="minorHAnsi" w:hAnsiTheme="minorHAnsi"/>
                <w:sz w:val="20"/>
              </w:rPr>
              <w:t>≤2.7</w:t>
            </w:r>
          </w:p>
        </w:tc>
        <w:tc>
          <w:tcPr>
            <w:tcW w:w="1275" w:type="dxa"/>
          </w:tcPr>
          <w:p w14:paraId="2EC7A157"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134" w:type="dxa"/>
          </w:tcPr>
          <w:p w14:paraId="3B855116" w14:textId="77777777" w:rsidR="00A909AD" w:rsidRPr="002426EF" w:rsidRDefault="00A909AD" w:rsidP="0069740F">
            <w:pPr>
              <w:rPr>
                <w:rFonts w:asciiTheme="minorHAnsi" w:hAnsiTheme="minorHAnsi"/>
                <w:sz w:val="20"/>
              </w:rPr>
            </w:pPr>
            <w:r w:rsidRPr="002426EF">
              <w:rPr>
                <w:rFonts w:asciiTheme="minorHAnsi" w:hAnsiTheme="minorHAnsi"/>
                <w:sz w:val="20"/>
              </w:rPr>
              <w:t>Positive</w:t>
            </w:r>
          </w:p>
        </w:tc>
        <w:tc>
          <w:tcPr>
            <w:tcW w:w="1560" w:type="dxa"/>
          </w:tcPr>
          <w:p w14:paraId="0484819A" w14:textId="77777777" w:rsidR="00A909AD" w:rsidRPr="002426EF" w:rsidRDefault="00A909AD" w:rsidP="0069740F">
            <w:pPr>
              <w:rPr>
                <w:rFonts w:asciiTheme="minorHAnsi" w:hAnsiTheme="minorHAnsi"/>
                <w:b/>
                <w:sz w:val="20"/>
              </w:rPr>
            </w:pPr>
            <w:r w:rsidRPr="002426EF">
              <w:rPr>
                <w:rFonts w:asciiTheme="minorHAnsi" w:hAnsiTheme="minorHAnsi"/>
                <w:b/>
                <w:sz w:val="20"/>
              </w:rPr>
              <w:t>Insulin autoimmune</w:t>
            </w:r>
          </w:p>
        </w:tc>
      </w:tr>
      <w:tr w:rsidR="00A909AD" w:rsidRPr="002010D1" w14:paraId="3B65FC2A" w14:textId="77777777" w:rsidTr="0069740F">
        <w:trPr>
          <w:trHeight w:val="236"/>
        </w:trPr>
        <w:tc>
          <w:tcPr>
            <w:tcW w:w="1242" w:type="dxa"/>
          </w:tcPr>
          <w:p w14:paraId="64FAF442" w14:textId="77777777" w:rsidR="00A909AD" w:rsidRPr="002426EF" w:rsidRDefault="00A909AD" w:rsidP="0069740F">
            <w:pPr>
              <w:rPr>
                <w:rFonts w:asciiTheme="minorHAnsi" w:hAnsiTheme="minorHAnsi"/>
                <w:sz w:val="20"/>
              </w:rPr>
            </w:pPr>
            <w:r w:rsidRPr="002426EF">
              <w:rPr>
                <w:rFonts w:asciiTheme="minorHAnsi" w:hAnsiTheme="minorHAnsi"/>
                <w:sz w:val="20"/>
              </w:rPr>
              <w:t>Yes</w:t>
            </w:r>
          </w:p>
        </w:tc>
        <w:tc>
          <w:tcPr>
            <w:tcW w:w="1134" w:type="dxa"/>
          </w:tcPr>
          <w:p w14:paraId="0A797321" w14:textId="77777777" w:rsidR="00A909AD" w:rsidRPr="002426EF" w:rsidRDefault="00A909AD" w:rsidP="0069740F">
            <w:pPr>
              <w:rPr>
                <w:rFonts w:asciiTheme="minorHAnsi" w:hAnsiTheme="minorHAnsi"/>
                <w:sz w:val="20"/>
              </w:rPr>
            </w:pPr>
            <w:r w:rsidRPr="002426EF">
              <w:rPr>
                <w:rFonts w:asciiTheme="minorHAnsi" w:hAnsiTheme="minorHAnsi"/>
                <w:sz w:val="20"/>
              </w:rPr>
              <w:t>&lt; 3.0</w:t>
            </w:r>
          </w:p>
        </w:tc>
        <w:tc>
          <w:tcPr>
            <w:tcW w:w="993" w:type="dxa"/>
          </w:tcPr>
          <w:p w14:paraId="704262B9" w14:textId="77777777" w:rsidR="00A909AD" w:rsidRPr="002426EF" w:rsidRDefault="00A909AD" w:rsidP="0069740F">
            <w:pPr>
              <w:rPr>
                <w:rFonts w:asciiTheme="minorHAnsi" w:hAnsiTheme="minorHAnsi"/>
                <w:sz w:val="20"/>
              </w:rPr>
            </w:pPr>
            <w:r w:rsidRPr="002426EF">
              <w:rPr>
                <w:rFonts w:asciiTheme="minorHAnsi" w:hAnsiTheme="minorHAnsi"/>
                <w:sz w:val="20"/>
              </w:rPr>
              <w:t>&lt;3.0</w:t>
            </w:r>
          </w:p>
        </w:tc>
        <w:tc>
          <w:tcPr>
            <w:tcW w:w="1134" w:type="dxa"/>
          </w:tcPr>
          <w:p w14:paraId="3DD233B7" w14:textId="77777777" w:rsidR="00A909AD" w:rsidRPr="002426EF" w:rsidRDefault="00A909AD" w:rsidP="0069740F">
            <w:pPr>
              <w:rPr>
                <w:rFonts w:asciiTheme="minorHAnsi" w:hAnsiTheme="minorHAnsi"/>
                <w:sz w:val="20"/>
              </w:rPr>
            </w:pPr>
            <w:r w:rsidRPr="002426EF">
              <w:rPr>
                <w:rFonts w:asciiTheme="minorHAnsi" w:hAnsiTheme="minorHAnsi"/>
                <w:sz w:val="20"/>
              </w:rPr>
              <w:t>&lt;0.2</w:t>
            </w:r>
          </w:p>
        </w:tc>
        <w:tc>
          <w:tcPr>
            <w:tcW w:w="1134" w:type="dxa"/>
          </w:tcPr>
          <w:p w14:paraId="4416CB85" w14:textId="77777777" w:rsidR="00A909AD" w:rsidRPr="002426EF" w:rsidRDefault="00A909AD" w:rsidP="0069740F">
            <w:pPr>
              <w:rPr>
                <w:rFonts w:asciiTheme="minorHAnsi" w:hAnsiTheme="minorHAnsi"/>
                <w:sz w:val="20"/>
              </w:rPr>
            </w:pPr>
            <w:r w:rsidRPr="002426EF">
              <w:rPr>
                <w:rFonts w:asciiTheme="minorHAnsi" w:hAnsiTheme="minorHAnsi"/>
                <w:sz w:val="20"/>
              </w:rPr>
              <w:t>&lt;5</w:t>
            </w:r>
          </w:p>
        </w:tc>
        <w:tc>
          <w:tcPr>
            <w:tcW w:w="1134" w:type="dxa"/>
          </w:tcPr>
          <w:p w14:paraId="398A9791" w14:textId="77777777" w:rsidR="00A909AD" w:rsidRPr="002426EF" w:rsidRDefault="00A909AD" w:rsidP="0069740F">
            <w:pPr>
              <w:rPr>
                <w:rFonts w:asciiTheme="minorHAnsi" w:hAnsiTheme="minorHAnsi"/>
                <w:sz w:val="20"/>
              </w:rPr>
            </w:pPr>
            <w:r w:rsidRPr="002426EF">
              <w:rPr>
                <w:rFonts w:asciiTheme="minorHAnsi" w:hAnsiTheme="minorHAnsi"/>
                <w:sz w:val="20"/>
              </w:rPr>
              <w:t>≤2.7</w:t>
            </w:r>
          </w:p>
        </w:tc>
        <w:tc>
          <w:tcPr>
            <w:tcW w:w="1275" w:type="dxa"/>
          </w:tcPr>
          <w:p w14:paraId="14E55EE2" w14:textId="77777777" w:rsidR="00A909AD" w:rsidRPr="002426EF" w:rsidRDefault="00A909AD" w:rsidP="0069740F">
            <w:pPr>
              <w:rPr>
                <w:rFonts w:asciiTheme="minorHAnsi" w:hAnsiTheme="minorHAnsi"/>
                <w:sz w:val="20"/>
              </w:rPr>
            </w:pPr>
            <w:r w:rsidRPr="002426EF">
              <w:rPr>
                <w:rFonts w:asciiTheme="minorHAnsi" w:hAnsiTheme="minorHAnsi"/>
                <w:sz w:val="20"/>
              </w:rPr>
              <w:t>No</w:t>
            </w:r>
          </w:p>
        </w:tc>
        <w:tc>
          <w:tcPr>
            <w:tcW w:w="1134" w:type="dxa"/>
          </w:tcPr>
          <w:p w14:paraId="3E75C956" w14:textId="77777777" w:rsidR="00A909AD" w:rsidRPr="002426EF" w:rsidRDefault="00A909AD" w:rsidP="0069740F">
            <w:pPr>
              <w:rPr>
                <w:rFonts w:asciiTheme="minorHAnsi" w:hAnsiTheme="minorHAnsi"/>
                <w:sz w:val="20"/>
              </w:rPr>
            </w:pPr>
            <w:r w:rsidRPr="002426EF">
              <w:rPr>
                <w:rFonts w:asciiTheme="minorHAnsi" w:hAnsiTheme="minorHAnsi"/>
                <w:sz w:val="20"/>
              </w:rPr>
              <w:t>Negative</w:t>
            </w:r>
          </w:p>
        </w:tc>
        <w:tc>
          <w:tcPr>
            <w:tcW w:w="1560" w:type="dxa"/>
          </w:tcPr>
          <w:p w14:paraId="47B9BBC9" w14:textId="77777777" w:rsidR="00A909AD" w:rsidRPr="002426EF" w:rsidRDefault="00A909AD" w:rsidP="0069740F">
            <w:pPr>
              <w:rPr>
                <w:rFonts w:asciiTheme="minorHAnsi" w:hAnsiTheme="minorHAnsi"/>
                <w:b/>
                <w:sz w:val="20"/>
              </w:rPr>
            </w:pPr>
            <w:r w:rsidRPr="002426EF">
              <w:rPr>
                <w:rFonts w:asciiTheme="minorHAnsi" w:hAnsiTheme="minorHAnsi"/>
                <w:b/>
                <w:sz w:val="20"/>
              </w:rPr>
              <w:t>IGF</w:t>
            </w:r>
          </w:p>
        </w:tc>
      </w:tr>
      <w:tr w:rsidR="00A909AD" w:rsidRPr="002010D1" w14:paraId="628070BC" w14:textId="77777777" w:rsidTr="0069740F">
        <w:trPr>
          <w:trHeight w:val="250"/>
        </w:trPr>
        <w:tc>
          <w:tcPr>
            <w:tcW w:w="1242" w:type="dxa"/>
          </w:tcPr>
          <w:p w14:paraId="5287B18C" w14:textId="77777777" w:rsidR="00A909AD" w:rsidRPr="00D168C3" w:rsidRDefault="00A909AD" w:rsidP="0069740F">
            <w:pPr>
              <w:rPr>
                <w:rFonts w:asciiTheme="minorHAnsi" w:hAnsiTheme="minorHAnsi"/>
                <w:sz w:val="20"/>
              </w:rPr>
            </w:pPr>
            <w:r w:rsidRPr="00D168C3">
              <w:rPr>
                <w:rFonts w:asciiTheme="minorHAnsi" w:hAnsiTheme="minorHAnsi"/>
                <w:sz w:val="20"/>
              </w:rPr>
              <w:t>Yes</w:t>
            </w:r>
          </w:p>
        </w:tc>
        <w:tc>
          <w:tcPr>
            <w:tcW w:w="1134" w:type="dxa"/>
          </w:tcPr>
          <w:p w14:paraId="3AB31CFB" w14:textId="77777777" w:rsidR="00A909AD" w:rsidRPr="00D168C3" w:rsidRDefault="00A909AD" w:rsidP="0069740F">
            <w:pPr>
              <w:rPr>
                <w:rFonts w:asciiTheme="minorHAnsi" w:hAnsiTheme="minorHAnsi"/>
                <w:sz w:val="20"/>
              </w:rPr>
            </w:pPr>
            <w:r w:rsidRPr="00D168C3">
              <w:rPr>
                <w:rFonts w:asciiTheme="minorHAnsi" w:hAnsiTheme="minorHAnsi"/>
                <w:sz w:val="20"/>
              </w:rPr>
              <w:t>&lt; 3.0</w:t>
            </w:r>
          </w:p>
        </w:tc>
        <w:tc>
          <w:tcPr>
            <w:tcW w:w="993" w:type="dxa"/>
          </w:tcPr>
          <w:p w14:paraId="046B89DA" w14:textId="77777777" w:rsidR="00A909AD" w:rsidRPr="00D168C3" w:rsidRDefault="00A909AD" w:rsidP="0069740F">
            <w:pPr>
              <w:rPr>
                <w:rFonts w:asciiTheme="minorHAnsi" w:hAnsiTheme="minorHAnsi"/>
                <w:sz w:val="20"/>
              </w:rPr>
            </w:pPr>
            <w:r w:rsidRPr="00D168C3">
              <w:rPr>
                <w:rFonts w:asciiTheme="minorHAnsi" w:hAnsiTheme="minorHAnsi"/>
                <w:sz w:val="20"/>
              </w:rPr>
              <w:t>&lt;3.0</w:t>
            </w:r>
          </w:p>
        </w:tc>
        <w:tc>
          <w:tcPr>
            <w:tcW w:w="1134" w:type="dxa"/>
          </w:tcPr>
          <w:p w14:paraId="2C941A4E" w14:textId="77777777" w:rsidR="00A909AD" w:rsidRPr="00D168C3" w:rsidRDefault="00A909AD" w:rsidP="0069740F">
            <w:pPr>
              <w:rPr>
                <w:rFonts w:asciiTheme="minorHAnsi" w:hAnsiTheme="minorHAnsi"/>
                <w:sz w:val="20"/>
              </w:rPr>
            </w:pPr>
            <w:r w:rsidRPr="00D168C3">
              <w:rPr>
                <w:rFonts w:asciiTheme="minorHAnsi" w:hAnsiTheme="minorHAnsi"/>
                <w:sz w:val="20"/>
              </w:rPr>
              <w:t>&lt;0.2</w:t>
            </w:r>
          </w:p>
        </w:tc>
        <w:tc>
          <w:tcPr>
            <w:tcW w:w="1134" w:type="dxa"/>
          </w:tcPr>
          <w:p w14:paraId="48C1FF52" w14:textId="77777777" w:rsidR="00A909AD" w:rsidRPr="00D168C3" w:rsidRDefault="00A909AD" w:rsidP="0069740F">
            <w:pPr>
              <w:rPr>
                <w:rFonts w:asciiTheme="minorHAnsi" w:hAnsiTheme="minorHAnsi"/>
                <w:sz w:val="20"/>
              </w:rPr>
            </w:pPr>
            <w:r w:rsidRPr="00D168C3">
              <w:rPr>
                <w:rFonts w:asciiTheme="minorHAnsi" w:hAnsiTheme="minorHAnsi"/>
                <w:sz w:val="20"/>
              </w:rPr>
              <w:t>&lt;5</w:t>
            </w:r>
          </w:p>
        </w:tc>
        <w:tc>
          <w:tcPr>
            <w:tcW w:w="1134" w:type="dxa"/>
          </w:tcPr>
          <w:p w14:paraId="556CD696" w14:textId="77777777" w:rsidR="00A909AD" w:rsidRPr="00D168C3" w:rsidRDefault="00A909AD" w:rsidP="0069740F">
            <w:pPr>
              <w:rPr>
                <w:rFonts w:asciiTheme="minorHAnsi" w:hAnsiTheme="minorHAnsi"/>
                <w:sz w:val="20"/>
              </w:rPr>
            </w:pPr>
            <w:r w:rsidRPr="00D168C3">
              <w:rPr>
                <w:rFonts w:asciiTheme="minorHAnsi" w:hAnsiTheme="minorHAnsi"/>
                <w:sz w:val="20"/>
              </w:rPr>
              <w:t>&gt;2.7</w:t>
            </w:r>
          </w:p>
        </w:tc>
        <w:tc>
          <w:tcPr>
            <w:tcW w:w="1275" w:type="dxa"/>
          </w:tcPr>
          <w:p w14:paraId="4B71249D" w14:textId="77777777" w:rsidR="00A909AD" w:rsidRPr="00D168C3" w:rsidRDefault="00A909AD" w:rsidP="0069740F">
            <w:pPr>
              <w:rPr>
                <w:rFonts w:asciiTheme="minorHAnsi" w:hAnsiTheme="minorHAnsi"/>
                <w:sz w:val="20"/>
              </w:rPr>
            </w:pPr>
            <w:r w:rsidRPr="00D168C3">
              <w:rPr>
                <w:rFonts w:asciiTheme="minorHAnsi" w:hAnsiTheme="minorHAnsi"/>
                <w:sz w:val="20"/>
              </w:rPr>
              <w:t>No</w:t>
            </w:r>
          </w:p>
        </w:tc>
        <w:tc>
          <w:tcPr>
            <w:tcW w:w="1134" w:type="dxa"/>
          </w:tcPr>
          <w:p w14:paraId="4E9678FF" w14:textId="77777777" w:rsidR="00A909AD" w:rsidRPr="00D168C3" w:rsidRDefault="00A909AD" w:rsidP="0069740F">
            <w:pPr>
              <w:rPr>
                <w:rFonts w:asciiTheme="minorHAnsi" w:hAnsiTheme="minorHAnsi"/>
                <w:sz w:val="20"/>
              </w:rPr>
            </w:pPr>
            <w:r w:rsidRPr="00D168C3">
              <w:rPr>
                <w:rFonts w:asciiTheme="minorHAnsi" w:hAnsiTheme="minorHAnsi"/>
                <w:sz w:val="20"/>
              </w:rPr>
              <w:t>Negative</w:t>
            </w:r>
          </w:p>
        </w:tc>
        <w:tc>
          <w:tcPr>
            <w:tcW w:w="1560" w:type="dxa"/>
          </w:tcPr>
          <w:p w14:paraId="7DAC9FEE" w14:textId="77777777" w:rsidR="00A909AD" w:rsidRPr="002426EF" w:rsidRDefault="00A909AD" w:rsidP="00D168C3">
            <w:pPr>
              <w:spacing w:after="0"/>
              <w:rPr>
                <w:rFonts w:asciiTheme="minorHAnsi" w:hAnsiTheme="minorHAnsi"/>
                <w:b/>
                <w:sz w:val="20"/>
              </w:rPr>
            </w:pPr>
            <w:r w:rsidRPr="002426EF">
              <w:rPr>
                <w:rFonts w:asciiTheme="minorHAnsi" w:hAnsiTheme="minorHAnsi"/>
                <w:b/>
                <w:sz w:val="20"/>
              </w:rPr>
              <w:t>Not insulin (or IGF) mediated</w:t>
            </w:r>
          </w:p>
        </w:tc>
      </w:tr>
    </w:tbl>
    <w:p w14:paraId="1EC18B59" w14:textId="77777777" w:rsidR="00A909AD" w:rsidRDefault="00000000" w:rsidP="00A909AD">
      <w:pPr>
        <w:pStyle w:val="BodyCopy"/>
      </w:pPr>
      <w:hyperlink w:anchor="_top" w:history="1">
        <w:r w:rsidR="00A909AD" w:rsidRPr="00481A6C">
          <w:rPr>
            <w:rStyle w:val="Hyperlink"/>
            <w:iCs w:val="0"/>
          </w:rPr>
          <w:t>Back to Contents</w:t>
        </w:r>
      </w:hyperlink>
    </w:p>
    <w:p w14:paraId="020B9207" w14:textId="17597BEC" w:rsidR="00A909AD" w:rsidRDefault="00A909AD" w:rsidP="00A909AD">
      <w:pPr>
        <w:pStyle w:val="Heading4"/>
      </w:pPr>
      <w:bookmarkStart w:id="15" w:name="_Toc177472822"/>
      <w:r w:rsidRPr="0078367D">
        <w:lastRenderedPageBreak/>
        <w:t xml:space="preserve">Section </w:t>
      </w:r>
      <w:r>
        <w:t>8</w:t>
      </w:r>
      <w:r w:rsidRPr="0078367D">
        <w:t xml:space="preserve"> </w:t>
      </w:r>
      <w:r>
        <w:t>–</w:t>
      </w:r>
      <w:r w:rsidRPr="0078367D">
        <w:t xml:space="preserve"> </w:t>
      </w:r>
      <w:r w:rsidR="00D168C3">
        <w:t>Dexamethasone Suppression Tests</w:t>
      </w:r>
      <w:bookmarkEnd w:id="15"/>
    </w:p>
    <w:p w14:paraId="7D4A438F" w14:textId="77777777" w:rsidR="006D5DE6" w:rsidRPr="00876726" w:rsidRDefault="006D5DE6" w:rsidP="006D5DE6">
      <w:pPr>
        <w:pStyle w:val="Heading5"/>
      </w:pPr>
      <w:r w:rsidRPr="00876726">
        <w:t>Purpose</w:t>
      </w:r>
    </w:p>
    <w:p w14:paraId="250EB6EB" w14:textId="77777777" w:rsidR="006D5DE6" w:rsidRPr="002010D1" w:rsidRDefault="006D5DE6" w:rsidP="006D5DE6">
      <w:r w:rsidRPr="002010D1">
        <w:rPr>
          <w:spacing w:val="-3"/>
        </w:rPr>
        <w:t xml:space="preserve">The </w:t>
      </w:r>
      <w:r>
        <w:rPr>
          <w:spacing w:val="-3"/>
        </w:rPr>
        <w:t>d</w:t>
      </w:r>
      <w:r w:rsidRPr="002010D1">
        <w:rPr>
          <w:spacing w:val="-3"/>
        </w:rPr>
        <w:t xml:space="preserve">examethasone </w:t>
      </w:r>
      <w:r>
        <w:rPr>
          <w:spacing w:val="-3"/>
        </w:rPr>
        <w:t>s</w:t>
      </w:r>
      <w:r w:rsidRPr="002010D1">
        <w:rPr>
          <w:spacing w:val="-3"/>
        </w:rPr>
        <w:t xml:space="preserve">uppression </w:t>
      </w:r>
      <w:r>
        <w:rPr>
          <w:spacing w:val="-3"/>
        </w:rPr>
        <w:t>t</w:t>
      </w:r>
      <w:r w:rsidRPr="002010D1">
        <w:rPr>
          <w:spacing w:val="-3"/>
        </w:rPr>
        <w:t xml:space="preserve">est </w:t>
      </w:r>
      <w:r w:rsidRPr="002010D1">
        <w:rPr>
          <w:color w:val="000000"/>
        </w:rPr>
        <w:t xml:space="preserve">is performed when overproduction of cortisol is suspected. The </w:t>
      </w:r>
      <w:r w:rsidRPr="003179B0">
        <w:rPr>
          <w:b/>
          <w:bCs/>
          <w:color w:val="000000"/>
        </w:rPr>
        <w:t>low-dose test</w:t>
      </w:r>
      <w:r w:rsidRPr="002010D1">
        <w:rPr>
          <w:color w:val="000000"/>
        </w:rPr>
        <w:t xml:space="preserve"> is used as a screening test and can help differentiate healthy people from those who produce too much cortisol (Cushing’s Syndrome). </w:t>
      </w:r>
    </w:p>
    <w:p w14:paraId="58D46C23" w14:textId="77777777" w:rsidR="006D5DE6" w:rsidRPr="002010D1" w:rsidRDefault="006D5DE6" w:rsidP="006D5DE6">
      <w:r w:rsidRPr="002010D1">
        <w:t xml:space="preserve">The </w:t>
      </w:r>
      <w:r w:rsidRPr="003179B0">
        <w:rPr>
          <w:b/>
          <w:bCs/>
        </w:rPr>
        <w:t>high dose</w:t>
      </w:r>
      <w:r w:rsidRPr="002010D1">
        <w:t xml:space="preserve"> dexamethasone suppression tests assist in distinguishing patients with Cushing’s Disease (ACTH hypersecretion from pituitary) from patients with ectopic ACTH or cortisol production.</w:t>
      </w:r>
    </w:p>
    <w:p w14:paraId="4B026CA2" w14:textId="77777777" w:rsidR="006D5DE6" w:rsidRPr="002010D1" w:rsidRDefault="006D5DE6" w:rsidP="006D5DE6">
      <w:pPr>
        <w:rPr>
          <w:spacing w:val="-3"/>
        </w:rPr>
      </w:pPr>
      <w:r w:rsidRPr="002010D1">
        <w:rPr>
          <w:spacing w:val="-3"/>
        </w:rPr>
        <w:t>Five variations</w:t>
      </w:r>
      <w:r w:rsidRPr="002010D1">
        <w:rPr>
          <w:spacing w:val="-5"/>
        </w:rPr>
        <w:t xml:space="preserve"> </w:t>
      </w:r>
      <w:r w:rsidRPr="002010D1">
        <w:rPr>
          <w:spacing w:val="-1"/>
        </w:rPr>
        <w:t>of</w:t>
      </w:r>
      <w:r w:rsidRPr="002010D1">
        <w:rPr>
          <w:spacing w:val="-5"/>
        </w:rPr>
        <w:t xml:space="preserve"> </w:t>
      </w:r>
      <w:r w:rsidRPr="002010D1">
        <w:rPr>
          <w:spacing w:val="-2"/>
        </w:rPr>
        <w:t>this</w:t>
      </w:r>
      <w:r w:rsidRPr="002010D1">
        <w:rPr>
          <w:spacing w:val="-4"/>
        </w:rPr>
        <w:t xml:space="preserve"> </w:t>
      </w:r>
      <w:r w:rsidRPr="002010D1">
        <w:rPr>
          <w:spacing w:val="-3"/>
        </w:rPr>
        <w:t>test</w:t>
      </w:r>
      <w:r w:rsidRPr="002010D1">
        <w:rPr>
          <w:spacing w:val="-6"/>
        </w:rPr>
        <w:t xml:space="preserve"> </w:t>
      </w:r>
      <w:r w:rsidRPr="002010D1">
        <w:rPr>
          <w:spacing w:val="-2"/>
        </w:rPr>
        <w:t>are</w:t>
      </w:r>
      <w:r w:rsidRPr="002010D1">
        <w:rPr>
          <w:spacing w:val="-5"/>
        </w:rPr>
        <w:t xml:space="preserve"> </w:t>
      </w:r>
      <w:r w:rsidRPr="002010D1">
        <w:rPr>
          <w:spacing w:val="-3"/>
        </w:rPr>
        <w:t>listed:</w:t>
      </w:r>
    </w:p>
    <w:p w14:paraId="370E4D42" w14:textId="77777777" w:rsidR="006D5DE6" w:rsidRPr="00876726" w:rsidRDefault="006D5DE6" w:rsidP="000605FB">
      <w:pPr>
        <w:pStyle w:val="Bullet"/>
      </w:pPr>
      <w:r>
        <w:t>Dexamethasone Suppression Test (1mg)</w:t>
      </w:r>
    </w:p>
    <w:p w14:paraId="3AB69E9D" w14:textId="77777777" w:rsidR="006D5DE6" w:rsidRPr="00876726" w:rsidRDefault="006D5DE6" w:rsidP="000605FB">
      <w:pPr>
        <w:pStyle w:val="Bullet"/>
      </w:pPr>
      <w:r>
        <w:t>Dose Dexamethasone Suppression Test (2 Day Low Dose)</w:t>
      </w:r>
    </w:p>
    <w:p w14:paraId="0AEFCB60" w14:textId="77777777" w:rsidR="006D5DE6" w:rsidRPr="00876726" w:rsidRDefault="006D5DE6" w:rsidP="000605FB">
      <w:pPr>
        <w:pStyle w:val="Bullet"/>
      </w:pPr>
      <w:r>
        <w:t>Dexamethasone Suppression Test (8mg High Dose)</w:t>
      </w:r>
    </w:p>
    <w:p w14:paraId="2C59C94A" w14:textId="77777777" w:rsidR="006D5DE6" w:rsidRPr="00876726" w:rsidRDefault="006D5DE6" w:rsidP="000605FB">
      <w:pPr>
        <w:pStyle w:val="Bullet"/>
      </w:pPr>
      <w:r>
        <w:t>Two-day High Dose Dexamethasone Suppression Test</w:t>
      </w:r>
    </w:p>
    <w:p w14:paraId="0B8BE431" w14:textId="77777777" w:rsidR="006D5DE6" w:rsidRPr="00876726" w:rsidRDefault="006D5DE6" w:rsidP="000605FB">
      <w:pPr>
        <w:pStyle w:val="Bullet"/>
      </w:pPr>
      <w:r>
        <w:t>Dexamethasone Suppression Test (Long).</w:t>
      </w:r>
    </w:p>
    <w:p w14:paraId="2A86D2A0" w14:textId="00ED7189" w:rsidR="000605FB" w:rsidRDefault="000605FB" w:rsidP="000605FB">
      <w:pPr>
        <w:pStyle w:val="Heading5"/>
        <w:pBdr>
          <w:top w:val="single" w:sz="4" w:space="1" w:color="auto"/>
          <w:left w:val="single" w:sz="4" w:space="4" w:color="auto"/>
          <w:bottom w:val="single" w:sz="4" w:space="1" w:color="auto"/>
          <w:right w:val="single" w:sz="4" w:space="4" w:color="auto"/>
        </w:pBdr>
      </w:pPr>
      <w:r>
        <w:t>Alerts</w:t>
      </w:r>
    </w:p>
    <w:p w14:paraId="179B40C5" w14:textId="613E3512" w:rsidR="006D5DE6" w:rsidRPr="00876726" w:rsidRDefault="006D5DE6" w:rsidP="000605FB">
      <w:pPr>
        <w:pStyle w:val="Bullet"/>
        <w:pBdr>
          <w:top w:val="single" w:sz="4" w:space="1" w:color="auto"/>
          <w:left w:val="single" w:sz="4" w:space="4" w:color="auto"/>
          <w:bottom w:val="single" w:sz="4" w:space="1" w:color="auto"/>
          <w:right w:val="single" w:sz="4" w:space="4" w:color="auto"/>
        </w:pBdr>
      </w:pPr>
      <w:r>
        <w:t xml:space="preserve">The 1mg low-dose </w:t>
      </w:r>
      <w:hyperlink r:id="rId14">
        <w:r>
          <w:t>dexamethasone</w:t>
        </w:r>
      </w:hyperlink>
      <w:r>
        <w:t xml:space="preserve"> test should not be used as the sole criterion for excluding the diagnosis of Cushing’s syndrome.</w:t>
      </w:r>
    </w:p>
    <w:p w14:paraId="3A107D64" w14:textId="77777777" w:rsidR="006D5DE6" w:rsidRPr="00876726" w:rsidRDefault="006D5DE6" w:rsidP="000605FB">
      <w:pPr>
        <w:pStyle w:val="Bullet"/>
        <w:pBdr>
          <w:top w:val="single" w:sz="4" w:space="1" w:color="auto"/>
          <w:left w:val="single" w:sz="4" w:space="4" w:color="auto"/>
          <w:bottom w:val="single" w:sz="4" w:space="1" w:color="auto"/>
          <w:right w:val="single" w:sz="4" w:space="4" w:color="auto"/>
        </w:pBdr>
      </w:pPr>
      <w:r>
        <w:t>Some medications (barbiturates, estrogens, corticosteroids, oral contraceptives, phenytoin, spironolactone, and tetracyclines) may interfere with the test. Confirm with referring doctor if patient is to withhold medications.</w:t>
      </w:r>
    </w:p>
    <w:p w14:paraId="25A7252B" w14:textId="77777777" w:rsidR="006D5DE6" w:rsidRPr="00876726" w:rsidRDefault="006D5DE6" w:rsidP="000605FB">
      <w:pPr>
        <w:pStyle w:val="Bullet"/>
        <w:pBdr>
          <w:top w:val="single" w:sz="4" w:space="1" w:color="auto"/>
          <w:left w:val="single" w:sz="4" w:space="4" w:color="auto"/>
          <w:bottom w:val="single" w:sz="4" w:space="1" w:color="auto"/>
          <w:right w:val="single" w:sz="4" w:space="4" w:color="auto"/>
        </w:pBdr>
      </w:pPr>
      <w:r>
        <w:t>Contraindicated in patients with intercurrent acute illness, systemic infection.</w:t>
      </w:r>
    </w:p>
    <w:p w14:paraId="5E6B5C93" w14:textId="77777777" w:rsidR="006D5DE6" w:rsidRPr="002010D1" w:rsidRDefault="006D5DE6" w:rsidP="000605FB">
      <w:pPr>
        <w:pStyle w:val="Heading5"/>
      </w:pPr>
      <w:r w:rsidRPr="002010D1">
        <w:t>Equipment</w:t>
      </w:r>
    </w:p>
    <w:p w14:paraId="57CB5914" w14:textId="77777777" w:rsidR="006D5DE6" w:rsidRPr="00876726" w:rsidRDefault="006D5DE6" w:rsidP="000605FB">
      <w:pPr>
        <w:pStyle w:val="Bullet"/>
      </w:pPr>
      <w:r>
        <w:t>Dexamethasone 1mg or 4mg tablets depending on which test is requested</w:t>
      </w:r>
    </w:p>
    <w:p w14:paraId="2F2540C3" w14:textId="77777777" w:rsidR="006D5DE6" w:rsidRPr="00876726" w:rsidRDefault="006D5DE6" w:rsidP="000605FB">
      <w:pPr>
        <w:pStyle w:val="Bullet"/>
      </w:pPr>
      <w:r>
        <w:t xml:space="preserve">Venepuncture equipment as per the </w:t>
      </w:r>
      <w:r w:rsidRPr="4721203F">
        <w:rPr>
          <w:i/>
          <w:iCs/>
        </w:rPr>
        <w:t>Venepuncture Blood Specimen Collection Procedure</w:t>
      </w:r>
    </w:p>
    <w:p w14:paraId="43325347" w14:textId="77777777" w:rsidR="006D5DE6" w:rsidRPr="00876726" w:rsidRDefault="006D5DE6" w:rsidP="000605FB">
      <w:pPr>
        <w:pStyle w:val="Bullet"/>
      </w:pPr>
      <w:r>
        <w:t>Serum or Lithium Heparin pathology collection tube</w:t>
      </w:r>
    </w:p>
    <w:p w14:paraId="7CB1ADD8" w14:textId="77777777" w:rsidR="006D5DE6" w:rsidRPr="00876726" w:rsidRDefault="006D5DE6" w:rsidP="000605FB">
      <w:pPr>
        <w:pStyle w:val="Bullet"/>
      </w:pPr>
      <w:r>
        <w:t>Specimen bag</w:t>
      </w:r>
    </w:p>
    <w:p w14:paraId="47673C9E" w14:textId="77777777" w:rsidR="006D5DE6" w:rsidRPr="00876726" w:rsidRDefault="006D5DE6" w:rsidP="000605FB">
      <w:pPr>
        <w:pStyle w:val="Bullet"/>
      </w:pPr>
      <w:r>
        <w:t>Pathology Order (in the patient’s clinical record).</w:t>
      </w:r>
    </w:p>
    <w:p w14:paraId="6D776B93" w14:textId="77777777" w:rsidR="006D5DE6" w:rsidRPr="002010D1" w:rsidRDefault="006D5DE6" w:rsidP="000605FB">
      <w:pPr>
        <w:pStyle w:val="Heading5"/>
      </w:pPr>
      <w:r w:rsidRPr="002010D1">
        <w:t xml:space="preserve">Procedure </w:t>
      </w:r>
    </w:p>
    <w:p w14:paraId="1966C93C" w14:textId="77777777" w:rsidR="006D5DE6" w:rsidRPr="002010D1" w:rsidRDefault="006D5DE6" w:rsidP="000605FB">
      <w:pPr>
        <w:pStyle w:val="Heading5"/>
      </w:pPr>
      <w:r w:rsidRPr="002010D1">
        <w:t>Pre Test</w:t>
      </w:r>
    </w:p>
    <w:p w14:paraId="1742CCC1" w14:textId="77777777" w:rsidR="006D5DE6" w:rsidRPr="002010D1" w:rsidRDefault="006D5DE6" w:rsidP="000605FB">
      <w:pPr>
        <w:pStyle w:val="Numberedlist"/>
        <w:numPr>
          <w:ilvl w:val="0"/>
          <w:numId w:val="44"/>
        </w:numPr>
      </w:pPr>
      <w:r w:rsidRPr="002010D1">
        <w:t xml:space="preserve">Obtain </w:t>
      </w:r>
      <w:r>
        <w:t xml:space="preserve">an order from a </w:t>
      </w:r>
      <w:r w:rsidRPr="002010D1">
        <w:t xml:space="preserve">medical officer </w:t>
      </w:r>
      <w:r>
        <w:t xml:space="preserve">in DHR for </w:t>
      </w:r>
      <w:r w:rsidRPr="002010D1">
        <w:t>Dexamethasone Suppression Test</w:t>
      </w:r>
      <w:r>
        <w:t>.</w:t>
      </w:r>
    </w:p>
    <w:p w14:paraId="78B5C64D" w14:textId="77777777" w:rsidR="006D5DE6" w:rsidRPr="002010D1" w:rsidRDefault="006D5DE6" w:rsidP="000605FB">
      <w:pPr>
        <w:pStyle w:val="Numberedlist"/>
      </w:pPr>
      <w:r w:rsidRPr="002010D1">
        <w:t xml:space="preserve">Obtain prescription (Canberra Hospital script) from referring doctor for </w:t>
      </w:r>
      <w:r>
        <w:t>d</w:t>
      </w:r>
      <w:r w:rsidRPr="002010D1">
        <w:t>examethasone tablets.</w:t>
      </w:r>
    </w:p>
    <w:p w14:paraId="70856F08" w14:textId="77777777" w:rsidR="006D5DE6" w:rsidRPr="002010D1" w:rsidRDefault="006D5DE6" w:rsidP="000605FB">
      <w:pPr>
        <w:pStyle w:val="Numberedlist"/>
      </w:pPr>
      <w:r w:rsidRPr="002010D1">
        <w:t xml:space="preserve">Obtain from pharmacy </w:t>
      </w:r>
      <w:r>
        <w:t>d</w:t>
      </w:r>
      <w:r w:rsidRPr="002010D1">
        <w:t xml:space="preserve">examethasone tablets (dosage differs with test requested see tables below) and provide to patient. </w:t>
      </w:r>
    </w:p>
    <w:p w14:paraId="4A0177DF" w14:textId="77777777" w:rsidR="006D5DE6" w:rsidRPr="002010D1" w:rsidRDefault="006D5DE6" w:rsidP="000605FB">
      <w:pPr>
        <w:pStyle w:val="Numberedlist"/>
      </w:pPr>
      <w:r w:rsidRPr="002010D1">
        <w:lastRenderedPageBreak/>
        <w:t>Arrange date and time of test with patient and provide pre</w:t>
      </w:r>
      <w:r>
        <w:t>-</w:t>
      </w:r>
      <w:r w:rsidRPr="002010D1">
        <w:t xml:space="preserve">test instructions as per tables below. </w:t>
      </w:r>
    </w:p>
    <w:p w14:paraId="53ADCD81" w14:textId="77777777" w:rsidR="006D5DE6" w:rsidRPr="002010D1" w:rsidRDefault="006D5DE6" w:rsidP="000605FB">
      <w:pPr>
        <w:pStyle w:val="Heading5"/>
      </w:pPr>
      <w:r w:rsidRPr="002010D1">
        <w:t>Day of Test</w:t>
      </w:r>
    </w:p>
    <w:p w14:paraId="4DB19D83" w14:textId="77777777" w:rsidR="006D5DE6" w:rsidRPr="002010D1" w:rsidRDefault="006D5DE6" w:rsidP="000605FB">
      <w:pPr>
        <w:pStyle w:val="Numberedlist"/>
        <w:numPr>
          <w:ilvl w:val="0"/>
          <w:numId w:val="45"/>
        </w:numPr>
      </w:pPr>
      <w:r w:rsidRPr="002010D1">
        <w:t>Confirm identity of patient using 3 identifying elements (name, date of birth, URN or address).</w:t>
      </w:r>
    </w:p>
    <w:p w14:paraId="31F487A7" w14:textId="77777777" w:rsidR="006D5DE6" w:rsidRPr="002010D1" w:rsidRDefault="006D5DE6" w:rsidP="000605FB">
      <w:pPr>
        <w:pStyle w:val="Numberedlist"/>
      </w:pPr>
      <w:r w:rsidRPr="002010D1">
        <w:t>Explain the procedure to the patient and ensure patient comfort.</w:t>
      </w:r>
    </w:p>
    <w:p w14:paraId="0D04DC13" w14:textId="77777777" w:rsidR="006D5DE6" w:rsidRPr="002010D1" w:rsidRDefault="006D5DE6" w:rsidP="000605FB">
      <w:pPr>
        <w:pStyle w:val="Numberedlist"/>
      </w:pPr>
      <w:r w:rsidRPr="002010D1">
        <w:t xml:space="preserve">Collect blood for </w:t>
      </w:r>
      <w:r>
        <w:t>c</w:t>
      </w:r>
      <w:r w:rsidRPr="002010D1">
        <w:t>ortisol sample via venepuncture at 0800hrs.</w:t>
      </w:r>
    </w:p>
    <w:p w14:paraId="0E7B868B" w14:textId="77777777" w:rsidR="006D5DE6" w:rsidRPr="002010D1" w:rsidRDefault="006D5DE6" w:rsidP="000605FB">
      <w:pPr>
        <w:pStyle w:val="Numberedlist"/>
      </w:pPr>
      <w:r w:rsidRPr="002010D1">
        <w:t xml:space="preserve">Document on request form </w:t>
      </w:r>
      <w:r>
        <w:t>d</w:t>
      </w:r>
      <w:r w:rsidRPr="002010D1">
        <w:t>examethasone dosage and time of administration.</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924"/>
        <w:gridCol w:w="2057"/>
        <w:gridCol w:w="1577"/>
        <w:gridCol w:w="2044"/>
      </w:tblGrid>
      <w:tr w:rsidR="006D5DE6" w:rsidRPr="002010D1" w14:paraId="4B95F708" w14:textId="77777777" w:rsidTr="000605FB">
        <w:trPr>
          <w:jc w:val="center"/>
        </w:trPr>
        <w:tc>
          <w:tcPr>
            <w:tcW w:w="2057" w:type="dxa"/>
          </w:tcPr>
          <w:p w14:paraId="7C00DB5E" w14:textId="77777777" w:rsidR="006D5DE6" w:rsidRPr="00876726" w:rsidRDefault="006D5DE6" w:rsidP="000605FB">
            <w:pPr>
              <w:pStyle w:val="Tableheader-black"/>
            </w:pPr>
            <w:r w:rsidRPr="00876726">
              <w:t>Test Requested</w:t>
            </w:r>
          </w:p>
        </w:tc>
        <w:tc>
          <w:tcPr>
            <w:tcW w:w="1924" w:type="dxa"/>
          </w:tcPr>
          <w:p w14:paraId="47EC93D1" w14:textId="77777777" w:rsidR="006D5DE6" w:rsidRPr="00876726" w:rsidRDefault="006D5DE6" w:rsidP="000605FB">
            <w:pPr>
              <w:pStyle w:val="Tableheader-black"/>
            </w:pPr>
            <w:r w:rsidRPr="00876726">
              <w:t>Patient Instructions</w:t>
            </w:r>
          </w:p>
        </w:tc>
        <w:tc>
          <w:tcPr>
            <w:tcW w:w="2057" w:type="dxa"/>
          </w:tcPr>
          <w:p w14:paraId="59EF9DB4" w14:textId="77777777" w:rsidR="006D5DE6" w:rsidRPr="00876726" w:rsidRDefault="006D5DE6" w:rsidP="000605FB">
            <w:pPr>
              <w:pStyle w:val="Tableheader-black"/>
            </w:pPr>
            <w:r w:rsidRPr="00876726">
              <w:t>Dexamethasone Dosage</w:t>
            </w:r>
          </w:p>
        </w:tc>
        <w:tc>
          <w:tcPr>
            <w:tcW w:w="1577" w:type="dxa"/>
          </w:tcPr>
          <w:p w14:paraId="5881E7FE" w14:textId="77777777" w:rsidR="006D5DE6" w:rsidRPr="00876726" w:rsidRDefault="006D5DE6" w:rsidP="000605FB">
            <w:pPr>
              <w:pStyle w:val="Tableheader-black"/>
            </w:pPr>
            <w:r w:rsidRPr="00876726">
              <w:t>24 Hour Urine Free Cortisol and Creatinine Collection</w:t>
            </w:r>
          </w:p>
        </w:tc>
        <w:tc>
          <w:tcPr>
            <w:tcW w:w="2044" w:type="dxa"/>
          </w:tcPr>
          <w:p w14:paraId="0AADE0CE" w14:textId="77777777" w:rsidR="006D5DE6" w:rsidRPr="00876726" w:rsidRDefault="006D5DE6" w:rsidP="000605FB">
            <w:pPr>
              <w:pStyle w:val="Tableheader-black"/>
            </w:pPr>
            <w:r w:rsidRPr="00876726">
              <w:t>Cortisol Sample collection</w:t>
            </w:r>
          </w:p>
        </w:tc>
      </w:tr>
      <w:tr w:rsidR="006D5DE6" w:rsidRPr="002010D1" w14:paraId="6917EA64" w14:textId="77777777" w:rsidTr="000605FB">
        <w:trPr>
          <w:jc w:val="center"/>
        </w:trPr>
        <w:tc>
          <w:tcPr>
            <w:tcW w:w="2057" w:type="dxa"/>
          </w:tcPr>
          <w:p w14:paraId="5332D096" w14:textId="77777777" w:rsidR="006D5DE6" w:rsidRPr="000605FB" w:rsidRDefault="006D5DE6" w:rsidP="000605FB">
            <w:pPr>
              <w:pStyle w:val="Tablebody"/>
              <w:rPr>
                <w:b/>
                <w:bCs w:val="0"/>
              </w:rPr>
            </w:pPr>
            <w:r w:rsidRPr="000605FB">
              <w:rPr>
                <w:b/>
                <w:bCs w:val="0"/>
              </w:rPr>
              <w:t>Overnight Low Dose Dexamethasone Test</w:t>
            </w:r>
          </w:p>
        </w:tc>
        <w:tc>
          <w:tcPr>
            <w:tcW w:w="1924" w:type="dxa"/>
          </w:tcPr>
          <w:p w14:paraId="7A879610" w14:textId="77777777" w:rsidR="000605FB" w:rsidRDefault="006D5DE6" w:rsidP="000605FB">
            <w:pPr>
              <w:pStyle w:val="Tablebody"/>
            </w:pPr>
            <w:r w:rsidRPr="002010D1">
              <w:t xml:space="preserve">Day 1: </w:t>
            </w:r>
          </w:p>
          <w:p w14:paraId="5F78ECCC" w14:textId="381436D0" w:rsidR="006D5DE6" w:rsidRPr="002010D1" w:rsidRDefault="006D5DE6" w:rsidP="000605FB">
            <w:pPr>
              <w:pStyle w:val="Tablebody"/>
            </w:pPr>
            <w:r w:rsidRPr="002010D1">
              <w:t xml:space="preserve">Take </w:t>
            </w:r>
            <w:r>
              <w:t>d</w:t>
            </w:r>
            <w:r w:rsidRPr="002010D1">
              <w:t xml:space="preserve">examethasone 1mg (2x 0.5mg tablets) orally between 2300-2400hrs on the night before sample collection. </w:t>
            </w:r>
          </w:p>
          <w:p w14:paraId="3D2133F0" w14:textId="77777777" w:rsidR="006D5DE6" w:rsidRPr="002010D1" w:rsidRDefault="006D5DE6" w:rsidP="000605FB">
            <w:pPr>
              <w:pStyle w:val="Tablebody"/>
            </w:pPr>
          </w:p>
          <w:p w14:paraId="3DD25242" w14:textId="77777777" w:rsidR="006D5DE6" w:rsidRPr="002010D1" w:rsidRDefault="006D5DE6" w:rsidP="000605FB">
            <w:pPr>
              <w:pStyle w:val="Tablebody"/>
            </w:pPr>
            <w:r w:rsidRPr="002010D1">
              <w:t>Day 2: Present to unit or pathology collection centre at 0800 following morning</w:t>
            </w:r>
          </w:p>
        </w:tc>
        <w:tc>
          <w:tcPr>
            <w:tcW w:w="2057" w:type="dxa"/>
          </w:tcPr>
          <w:p w14:paraId="48AA802C" w14:textId="77777777" w:rsidR="006D5DE6" w:rsidRPr="002010D1" w:rsidRDefault="006D5DE6" w:rsidP="000605FB">
            <w:pPr>
              <w:pStyle w:val="Tablebody"/>
            </w:pPr>
            <w:r w:rsidRPr="002010D1">
              <w:t>1mg orally taken between 2300-2400hrs night prior to sample collection (Day 1)</w:t>
            </w:r>
          </w:p>
        </w:tc>
        <w:tc>
          <w:tcPr>
            <w:tcW w:w="1577" w:type="dxa"/>
          </w:tcPr>
          <w:p w14:paraId="5003FBCA" w14:textId="77777777" w:rsidR="006D5DE6" w:rsidRPr="002010D1" w:rsidRDefault="006D5DE6" w:rsidP="000605FB">
            <w:pPr>
              <w:pStyle w:val="Tablebody"/>
            </w:pPr>
          </w:p>
          <w:p w14:paraId="43DF4C20" w14:textId="77777777" w:rsidR="006D5DE6" w:rsidRPr="002010D1" w:rsidRDefault="006D5DE6" w:rsidP="000605FB">
            <w:pPr>
              <w:pStyle w:val="Tablebody"/>
            </w:pPr>
          </w:p>
          <w:p w14:paraId="687835FF" w14:textId="77777777" w:rsidR="006D5DE6" w:rsidRPr="002010D1" w:rsidRDefault="006D5DE6" w:rsidP="000605FB">
            <w:pPr>
              <w:pStyle w:val="Tablebody"/>
            </w:pPr>
          </w:p>
          <w:p w14:paraId="66BC77B0" w14:textId="77777777" w:rsidR="006D5DE6" w:rsidRPr="002010D1" w:rsidRDefault="006D5DE6" w:rsidP="000605FB">
            <w:pPr>
              <w:pStyle w:val="Tablebody"/>
            </w:pPr>
            <w:r w:rsidRPr="002010D1">
              <w:softHyphen/>
              <w:t>_</w:t>
            </w:r>
          </w:p>
        </w:tc>
        <w:tc>
          <w:tcPr>
            <w:tcW w:w="2044" w:type="dxa"/>
          </w:tcPr>
          <w:p w14:paraId="67488509" w14:textId="77777777" w:rsidR="006D5DE6" w:rsidRPr="002010D1" w:rsidRDefault="006D5DE6" w:rsidP="000605FB">
            <w:pPr>
              <w:pStyle w:val="Tablebody"/>
            </w:pPr>
            <w:r w:rsidRPr="002010D1">
              <w:t>Day 2:</w:t>
            </w:r>
          </w:p>
          <w:p w14:paraId="64248BE6" w14:textId="77777777" w:rsidR="006D5DE6" w:rsidRPr="002010D1" w:rsidRDefault="006D5DE6" w:rsidP="000605FB">
            <w:pPr>
              <w:pStyle w:val="Tablebody"/>
            </w:pPr>
            <w:r w:rsidRPr="002010D1">
              <w:t xml:space="preserve">0800 cortisol sample on day following </w:t>
            </w:r>
            <w:r>
              <w:t>d</w:t>
            </w:r>
            <w:r w:rsidRPr="002010D1">
              <w:t>examethsasone dosage</w:t>
            </w:r>
          </w:p>
        </w:tc>
      </w:tr>
      <w:tr w:rsidR="006D5DE6" w:rsidRPr="002010D1" w14:paraId="071C8690" w14:textId="77777777" w:rsidTr="000605FB">
        <w:trPr>
          <w:jc w:val="center"/>
        </w:trPr>
        <w:tc>
          <w:tcPr>
            <w:tcW w:w="2057" w:type="dxa"/>
          </w:tcPr>
          <w:p w14:paraId="5587F77C" w14:textId="77777777" w:rsidR="006D5DE6" w:rsidRPr="000605FB" w:rsidRDefault="006D5DE6" w:rsidP="000605FB">
            <w:pPr>
              <w:pStyle w:val="Tablebody"/>
              <w:rPr>
                <w:b/>
                <w:bCs w:val="0"/>
              </w:rPr>
            </w:pPr>
            <w:r w:rsidRPr="000605FB">
              <w:rPr>
                <w:b/>
                <w:bCs w:val="0"/>
              </w:rPr>
              <w:t>Two Day Low Dose Dexamethasone Test</w:t>
            </w:r>
          </w:p>
        </w:tc>
        <w:tc>
          <w:tcPr>
            <w:tcW w:w="1924" w:type="dxa"/>
          </w:tcPr>
          <w:p w14:paraId="5C2E453C" w14:textId="77777777" w:rsidR="006D5DE6" w:rsidRPr="002010D1" w:rsidRDefault="006D5DE6" w:rsidP="000605FB">
            <w:pPr>
              <w:pStyle w:val="Tablebody"/>
            </w:pPr>
            <w:r w:rsidRPr="002010D1">
              <w:t xml:space="preserve">Days 1 and 2: Take </w:t>
            </w:r>
            <w:r>
              <w:t>d</w:t>
            </w:r>
            <w:r w:rsidRPr="002010D1">
              <w:t>examethasone 0.5mg at 0800hrs, 1400hrs, 2000hrs and 0200hrs on the two days prior to sample collection.</w:t>
            </w:r>
          </w:p>
          <w:p w14:paraId="7622EBEE" w14:textId="77777777" w:rsidR="006D5DE6" w:rsidRPr="002010D1" w:rsidRDefault="006D5DE6" w:rsidP="000605FB">
            <w:pPr>
              <w:pStyle w:val="Tablebody"/>
            </w:pPr>
          </w:p>
          <w:p w14:paraId="34C20133" w14:textId="77777777" w:rsidR="006D5DE6" w:rsidRPr="002010D1" w:rsidRDefault="006D5DE6" w:rsidP="000605FB">
            <w:pPr>
              <w:pStyle w:val="Tablebody"/>
            </w:pPr>
            <w:r w:rsidRPr="002010D1">
              <w:lastRenderedPageBreak/>
              <w:t>Present to unit or pathology collection centre at 0800 on</w:t>
            </w:r>
          </w:p>
          <w:p w14:paraId="11B4BF32" w14:textId="77777777" w:rsidR="006D5DE6" w:rsidRPr="002010D1" w:rsidRDefault="006D5DE6" w:rsidP="000605FB">
            <w:pPr>
              <w:pStyle w:val="Tablebody"/>
            </w:pPr>
            <w:r w:rsidRPr="002010D1">
              <w:t>the third morning</w:t>
            </w:r>
          </w:p>
        </w:tc>
        <w:tc>
          <w:tcPr>
            <w:tcW w:w="2057" w:type="dxa"/>
          </w:tcPr>
          <w:p w14:paraId="5E17A772" w14:textId="77777777" w:rsidR="006D5DE6" w:rsidRPr="002010D1" w:rsidRDefault="006D5DE6" w:rsidP="000605FB">
            <w:pPr>
              <w:pStyle w:val="Tablebody"/>
            </w:pPr>
            <w:r w:rsidRPr="002010D1">
              <w:lastRenderedPageBreak/>
              <w:t>0.5mg orally 6</w:t>
            </w:r>
            <w:r w:rsidRPr="002010D1">
              <w:rPr>
                <w:vertAlign w:val="superscript"/>
              </w:rPr>
              <w:t>th</w:t>
            </w:r>
            <w:r w:rsidRPr="002010D1">
              <w:t xml:space="preserve"> hourly (0800, 1400, 2000 and 0200) on the two days prior to sample collection</w:t>
            </w:r>
          </w:p>
        </w:tc>
        <w:tc>
          <w:tcPr>
            <w:tcW w:w="1577" w:type="dxa"/>
          </w:tcPr>
          <w:p w14:paraId="4C7FA8CA" w14:textId="77777777" w:rsidR="006D5DE6" w:rsidRPr="002010D1" w:rsidRDefault="006D5DE6" w:rsidP="000605FB">
            <w:pPr>
              <w:pStyle w:val="Tablebody"/>
            </w:pPr>
          </w:p>
          <w:p w14:paraId="587B2832" w14:textId="77777777" w:rsidR="006D5DE6" w:rsidRPr="002010D1" w:rsidRDefault="006D5DE6" w:rsidP="000605FB">
            <w:pPr>
              <w:pStyle w:val="Tablebody"/>
            </w:pPr>
          </w:p>
          <w:p w14:paraId="07C1E5B4" w14:textId="77777777" w:rsidR="006D5DE6" w:rsidRPr="002010D1" w:rsidRDefault="006D5DE6" w:rsidP="000605FB">
            <w:pPr>
              <w:pStyle w:val="Tablebody"/>
            </w:pPr>
          </w:p>
          <w:p w14:paraId="3495CE35" w14:textId="77777777" w:rsidR="006D5DE6" w:rsidRPr="002010D1" w:rsidRDefault="006D5DE6" w:rsidP="000605FB">
            <w:pPr>
              <w:pStyle w:val="Tablebody"/>
            </w:pPr>
            <w:r w:rsidRPr="002010D1">
              <w:t>_</w:t>
            </w:r>
          </w:p>
        </w:tc>
        <w:tc>
          <w:tcPr>
            <w:tcW w:w="2044" w:type="dxa"/>
          </w:tcPr>
          <w:p w14:paraId="72149A59" w14:textId="77777777" w:rsidR="006D5DE6" w:rsidRPr="002010D1" w:rsidRDefault="006D5DE6" w:rsidP="000605FB">
            <w:pPr>
              <w:pStyle w:val="Tablebody"/>
            </w:pPr>
            <w:r w:rsidRPr="002010D1">
              <w:t>Day 3:</w:t>
            </w:r>
          </w:p>
          <w:p w14:paraId="1B723308" w14:textId="3E94CF1C" w:rsidR="006D5DE6" w:rsidRPr="002010D1" w:rsidRDefault="006D5DE6" w:rsidP="000605FB">
            <w:pPr>
              <w:pStyle w:val="Tablebody"/>
            </w:pPr>
            <w:r w:rsidRPr="002010D1">
              <w:t>0800 cortisol sample (sample 6 hours post last dexameth</w:t>
            </w:r>
            <w:r w:rsidR="000605FB">
              <w:t>a</w:t>
            </w:r>
            <w:r w:rsidRPr="002010D1">
              <w:t>sone dose)</w:t>
            </w:r>
          </w:p>
        </w:tc>
      </w:tr>
      <w:tr w:rsidR="006D5DE6" w:rsidRPr="002010D1" w14:paraId="0F5DFFCD" w14:textId="77777777" w:rsidTr="000605FB">
        <w:trPr>
          <w:jc w:val="center"/>
        </w:trPr>
        <w:tc>
          <w:tcPr>
            <w:tcW w:w="2057" w:type="dxa"/>
          </w:tcPr>
          <w:p w14:paraId="6C62EED1" w14:textId="77777777" w:rsidR="006D5DE6" w:rsidRPr="000605FB" w:rsidRDefault="006D5DE6" w:rsidP="000605FB">
            <w:pPr>
              <w:pStyle w:val="Tablebody"/>
              <w:rPr>
                <w:b/>
                <w:bCs w:val="0"/>
              </w:rPr>
            </w:pPr>
            <w:r w:rsidRPr="000605FB">
              <w:rPr>
                <w:b/>
                <w:bCs w:val="0"/>
              </w:rPr>
              <w:t>Overnight High Dose Dexamethasone Test</w:t>
            </w:r>
          </w:p>
        </w:tc>
        <w:tc>
          <w:tcPr>
            <w:tcW w:w="1924" w:type="dxa"/>
          </w:tcPr>
          <w:p w14:paraId="69512084" w14:textId="77777777" w:rsidR="000605FB" w:rsidRDefault="006D5DE6" w:rsidP="000605FB">
            <w:pPr>
              <w:pStyle w:val="Tablebody"/>
            </w:pPr>
            <w:r w:rsidRPr="002010D1">
              <w:t xml:space="preserve">Day1: </w:t>
            </w:r>
          </w:p>
          <w:p w14:paraId="2A70C415" w14:textId="6DDA4334" w:rsidR="006D5DE6" w:rsidRPr="002010D1" w:rsidRDefault="006D5DE6" w:rsidP="000605FB">
            <w:pPr>
              <w:pStyle w:val="Tablebody"/>
            </w:pPr>
            <w:r w:rsidRPr="002010D1">
              <w:t xml:space="preserve">Take </w:t>
            </w:r>
            <w:r>
              <w:t>d</w:t>
            </w:r>
            <w:r w:rsidRPr="002010D1">
              <w:t xml:space="preserve">examethasone 8mg (2x 4mg tablets) orally between 2300-2400hrs on the night before sample collection. </w:t>
            </w:r>
          </w:p>
          <w:p w14:paraId="431F32B8" w14:textId="77777777" w:rsidR="006D5DE6" w:rsidRPr="002010D1" w:rsidRDefault="006D5DE6" w:rsidP="000605FB">
            <w:pPr>
              <w:pStyle w:val="Tablebody"/>
            </w:pPr>
          </w:p>
          <w:p w14:paraId="1EE99590" w14:textId="77777777" w:rsidR="006D5DE6" w:rsidRPr="002010D1" w:rsidRDefault="006D5DE6" w:rsidP="000605FB">
            <w:pPr>
              <w:pStyle w:val="Tablebody"/>
            </w:pPr>
            <w:r w:rsidRPr="002010D1">
              <w:t>Present to unit or pathology collection centre at 0800 following morning</w:t>
            </w:r>
          </w:p>
        </w:tc>
        <w:tc>
          <w:tcPr>
            <w:tcW w:w="2057" w:type="dxa"/>
          </w:tcPr>
          <w:p w14:paraId="021B6B31" w14:textId="77777777" w:rsidR="006D5DE6" w:rsidRPr="002010D1" w:rsidRDefault="006D5DE6" w:rsidP="000605FB">
            <w:pPr>
              <w:pStyle w:val="Tablebody"/>
            </w:pPr>
            <w:r w:rsidRPr="002010D1">
              <w:t>8mg orally between 2300-2400hrs night prior to sample collection</w:t>
            </w:r>
          </w:p>
        </w:tc>
        <w:tc>
          <w:tcPr>
            <w:tcW w:w="1577" w:type="dxa"/>
          </w:tcPr>
          <w:p w14:paraId="70EBDAEA" w14:textId="77777777" w:rsidR="006D5DE6" w:rsidRPr="002010D1" w:rsidRDefault="006D5DE6" w:rsidP="000605FB">
            <w:pPr>
              <w:pStyle w:val="Tablebody"/>
            </w:pPr>
          </w:p>
          <w:p w14:paraId="233A31FB" w14:textId="77777777" w:rsidR="006D5DE6" w:rsidRPr="002010D1" w:rsidRDefault="006D5DE6" w:rsidP="000605FB">
            <w:pPr>
              <w:pStyle w:val="Tablebody"/>
            </w:pPr>
          </w:p>
          <w:p w14:paraId="0A9C350A" w14:textId="77777777" w:rsidR="006D5DE6" w:rsidRPr="002010D1" w:rsidRDefault="006D5DE6" w:rsidP="000605FB">
            <w:pPr>
              <w:pStyle w:val="Tablebody"/>
            </w:pPr>
          </w:p>
          <w:p w14:paraId="25AB85B8" w14:textId="77777777" w:rsidR="006D5DE6" w:rsidRPr="002010D1" w:rsidRDefault="006D5DE6" w:rsidP="000605FB">
            <w:pPr>
              <w:pStyle w:val="Tablebody"/>
            </w:pPr>
            <w:r w:rsidRPr="002010D1">
              <w:t>_</w:t>
            </w:r>
          </w:p>
        </w:tc>
        <w:tc>
          <w:tcPr>
            <w:tcW w:w="2044" w:type="dxa"/>
          </w:tcPr>
          <w:p w14:paraId="4035A974" w14:textId="77777777" w:rsidR="006D5DE6" w:rsidRPr="002010D1" w:rsidRDefault="006D5DE6" w:rsidP="000605FB">
            <w:pPr>
              <w:pStyle w:val="Tablebody"/>
            </w:pPr>
            <w:r w:rsidRPr="002010D1">
              <w:t>Day 2:</w:t>
            </w:r>
          </w:p>
          <w:p w14:paraId="65B29729" w14:textId="5C4F3E7B" w:rsidR="006D5DE6" w:rsidRPr="002010D1" w:rsidRDefault="006D5DE6" w:rsidP="000605FB">
            <w:pPr>
              <w:pStyle w:val="Tablebody"/>
            </w:pPr>
            <w:r w:rsidRPr="002010D1">
              <w:t>0800 cortisol sample (sample 6 hours post last dexamethsone dose)</w:t>
            </w:r>
          </w:p>
        </w:tc>
      </w:tr>
      <w:tr w:rsidR="000605FB" w:rsidRPr="002010D1" w14:paraId="592873B2" w14:textId="77777777" w:rsidTr="000605FB">
        <w:trPr>
          <w:jc w:val="center"/>
        </w:trPr>
        <w:tc>
          <w:tcPr>
            <w:tcW w:w="2057" w:type="dxa"/>
          </w:tcPr>
          <w:p w14:paraId="6B4C01F6" w14:textId="38FCCB0E" w:rsidR="000605FB" w:rsidRPr="00876726" w:rsidRDefault="000605FB" w:rsidP="000605FB">
            <w:pPr>
              <w:pStyle w:val="Tablebody"/>
            </w:pPr>
            <w:r w:rsidRPr="00876726">
              <w:rPr>
                <w:b/>
              </w:rPr>
              <w:t>Two Day High Dose Dexamethasone Suppression Test</w:t>
            </w:r>
          </w:p>
        </w:tc>
        <w:tc>
          <w:tcPr>
            <w:tcW w:w="1924" w:type="dxa"/>
          </w:tcPr>
          <w:p w14:paraId="33D27237" w14:textId="7E5643A2" w:rsidR="000605FB" w:rsidRPr="002010D1" w:rsidRDefault="000605FB" w:rsidP="00FD77AD">
            <w:pPr>
              <w:pStyle w:val="Tablebody"/>
              <w:spacing w:after="240"/>
            </w:pPr>
            <w:r w:rsidRPr="002010D1">
              <w:t>Day 1</w:t>
            </w:r>
            <w:r w:rsidR="00FD77AD">
              <w:t xml:space="preserve">: </w:t>
            </w:r>
            <w:r w:rsidRPr="002010D1">
              <w:t>commence 24 hour urine collection at 0800 hrs.</w:t>
            </w:r>
          </w:p>
          <w:p w14:paraId="2CF905BE" w14:textId="77777777" w:rsidR="000605FB" w:rsidRPr="002010D1" w:rsidRDefault="000605FB" w:rsidP="00FD77AD">
            <w:pPr>
              <w:pStyle w:val="Tablebody"/>
              <w:spacing w:before="240" w:after="240"/>
            </w:pPr>
            <w:r w:rsidRPr="002010D1">
              <w:t xml:space="preserve">Days 2 and 3: Take 2mg </w:t>
            </w:r>
            <w:r>
              <w:t>d</w:t>
            </w:r>
            <w:r w:rsidRPr="002010D1">
              <w:t>examethasone orally every 6 hours at 0800, 1400, 2000 and 0200 hrs.</w:t>
            </w:r>
          </w:p>
          <w:p w14:paraId="5DF43613" w14:textId="67BE9376" w:rsidR="000605FB" w:rsidRPr="002010D1" w:rsidRDefault="000605FB" w:rsidP="000605FB">
            <w:pPr>
              <w:pStyle w:val="Tablebody"/>
            </w:pPr>
            <w:r w:rsidRPr="002010D1">
              <w:t>Day 4: Present to unit or pathology collection centre at 0800</w:t>
            </w:r>
          </w:p>
        </w:tc>
        <w:tc>
          <w:tcPr>
            <w:tcW w:w="2057" w:type="dxa"/>
          </w:tcPr>
          <w:p w14:paraId="548BC26A" w14:textId="77777777" w:rsidR="000605FB" w:rsidRPr="002010D1" w:rsidRDefault="000605FB" w:rsidP="00FD77AD">
            <w:pPr>
              <w:pStyle w:val="Tablebody"/>
              <w:spacing w:after="240"/>
            </w:pPr>
            <w:r w:rsidRPr="002010D1">
              <w:t xml:space="preserve">2mg </w:t>
            </w:r>
            <w:r>
              <w:t>d</w:t>
            </w:r>
            <w:r w:rsidRPr="002010D1">
              <w:t>examethasone orally every 6 hours at 0800, 1400, 2000 and 0200 hrs on Days 2 and 3</w:t>
            </w:r>
          </w:p>
          <w:p w14:paraId="7CCB4C8B" w14:textId="77777777" w:rsidR="000605FB" w:rsidRPr="002010D1" w:rsidRDefault="000605FB" w:rsidP="000605FB">
            <w:pPr>
              <w:pStyle w:val="Tablebody"/>
            </w:pPr>
          </w:p>
        </w:tc>
        <w:tc>
          <w:tcPr>
            <w:tcW w:w="1577" w:type="dxa"/>
          </w:tcPr>
          <w:p w14:paraId="1E4461F1" w14:textId="73A040A8" w:rsidR="000605FB" w:rsidRPr="002010D1" w:rsidRDefault="000605FB" w:rsidP="000605FB">
            <w:pPr>
              <w:pStyle w:val="Tablebody"/>
            </w:pPr>
            <w:r w:rsidRPr="002010D1">
              <w:t>Day 1</w:t>
            </w:r>
            <w:r w:rsidR="00FD77AD">
              <w:t xml:space="preserve">: </w:t>
            </w:r>
            <w:r w:rsidRPr="002010D1">
              <w:t>commencing at 0800 and completing at 0800 Day 2.</w:t>
            </w:r>
          </w:p>
        </w:tc>
        <w:tc>
          <w:tcPr>
            <w:tcW w:w="2044" w:type="dxa"/>
          </w:tcPr>
          <w:p w14:paraId="00DA45CE" w14:textId="77777777" w:rsidR="00FD77AD" w:rsidRDefault="000605FB" w:rsidP="00FD77AD">
            <w:pPr>
              <w:pStyle w:val="Tablebody"/>
            </w:pPr>
            <w:r w:rsidRPr="002010D1">
              <w:t>Day 4:</w:t>
            </w:r>
          </w:p>
          <w:p w14:paraId="406E0E54" w14:textId="13215583" w:rsidR="000605FB" w:rsidRPr="002010D1" w:rsidRDefault="000605FB" w:rsidP="00FD77AD">
            <w:pPr>
              <w:pStyle w:val="Tablebody"/>
              <w:spacing w:after="240"/>
            </w:pPr>
            <w:r w:rsidRPr="002010D1">
              <w:t>0800 Cortisol and ACTH sample (sample 6 hours post last dexamethsone dose)</w:t>
            </w:r>
          </w:p>
        </w:tc>
      </w:tr>
    </w:tbl>
    <w:p w14:paraId="0B17F3F0" w14:textId="39C244A8" w:rsidR="006D5DE6" w:rsidRPr="000605FB" w:rsidRDefault="006D5DE6" w:rsidP="000605FB">
      <w:pPr>
        <w:pStyle w:val="BodyCopy"/>
        <w:pBdr>
          <w:top w:val="single" w:sz="4" w:space="1" w:color="auto"/>
          <w:left w:val="single" w:sz="4" w:space="4" w:color="auto"/>
          <w:bottom w:val="single" w:sz="4" w:space="1" w:color="auto"/>
          <w:right w:val="single" w:sz="4" w:space="4" w:color="auto"/>
        </w:pBdr>
      </w:pPr>
      <w:r w:rsidRPr="000605FB">
        <w:rPr>
          <w:b/>
          <w:bCs w:val="0"/>
        </w:rPr>
        <w:t>Note</w:t>
      </w:r>
      <w:r w:rsidRPr="000605FB">
        <w:t>: Serum dexamethasone may also be requested but is a send away and not routinely attended.</w:t>
      </w:r>
      <w:r w:rsidRPr="000605FB">
        <w:rPr>
          <w:rStyle w:val="Heading1Char"/>
          <w:b w:val="0"/>
          <w:bCs/>
          <w:sz w:val="24"/>
          <w:szCs w:val="24"/>
        </w:rPr>
        <w:t xml:space="preserve"> </w:t>
      </w:r>
      <w:r w:rsidRPr="000605FB">
        <w:rPr>
          <w:rStyle w:val="cf01"/>
          <w:rFonts w:ascii="Arial" w:hAnsi="Arial" w:cs="Arial"/>
          <w:sz w:val="24"/>
          <w:szCs w:val="24"/>
        </w:rPr>
        <w:t>Baseline ACTH might be requested.</w:t>
      </w:r>
    </w:p>
    <w:p w14:paraId="741BC23D" w14:textId="1D97F4BE" w:rsidR="00506036" w:rsidRPr="00506036" w:rsidRDefault="00000000" w:rsidP="00571969">
      <w:pPr>
        <w:rPr>
          <w:color w:val="auto"/>
          <w:u w:val="single"/>
        </w:rPr>
      </w:pPr>
      <w:hyperlink w:anchor="_top" w:history="1">
        <w:r w:rsidR="00506036" w:rsidRPr="00481A6C">
          <w:rPr>
            <w:rStyle w:val="Hyperlink"/>
          </w:rPr>
          <w:t>Back to Contents</w:t>
        </w:r>
      </w:hyperlink>
    </w:p>
    <w:p w14:paraId="0D2644D9" w14:textId="77777777" w:rsidR="0078367D" w:rsidRDefault="0078367D" w:rsidP="00A6051F">
      <w:pPr>
        <w:pStyle w:val="Heading4"/>
      </w:pPr>
      <w:bookmarkStart w:id="16" w:name="_Toc176348490"/>
      <w:bookmarkStart w:id="17" w:name="_Toc177472823"/>
      <w:r>
        <w:lastRenderedPageBreak/>
        <w:t>Evaluation</w:t>
      </w:r>
      <w:bookmarkStart w:id="18" w:name="_Hlk43366294"/>
      <w:bookmarkEnd w:id="16"/>
      <w:bookmarkEnd w:id="17"/>
    </w:p>
    <w:p w14:paraId="3A0AAE42" w14:textId="77777777" w:rsidR="00481A6C" w:rsidRDefault="00481A6C" w:rsidP="00C34A10">
      <w:pPr>
        <w:pStyle w:val="Heading5"/>
      </w:pPr>
      <w:bookmarkStart w:id="19" w:name="_Hlk170467190"/>
      <w:bookmarkEnd w:id="18"/>
      <w:r w:rsidRPr="00C34A10">
        <w:t>Outcome</w:t>
      </w:r>
    </w:p>
    <w:p w14:paraId="07249508" w14:textId="77777777" w:rsidR="00FD77AD" w:rsidRPr="002010D1" w:rsidRDefault="00FD77AD" w:rsidP="00B454FE">
      <w:pPr>
        <w:pStyle w:val="Bullet"/>
        <w:rPr>
          <w:rFonts w:eastAsiaTheme="minorHAnsi" w:cstheme="minorHAnsi"/>
        </w:rPr>
      </w:pPr>
      <w:bookmarkStart w:id="20" w:name="_Hlk170467240"/>
      <w:bookmarkEnd w:id="19"/>
      <w:r w:rsidRPr="002010D1">
        <w:t xml:space="preserve">Minimise side effects and adverse reaction associated with a </w:t>
      </w:r>
      <w:r w:rsidRPr="002010D1">
        <w:rPr>
          <w:spacing w:val="-3"/>
        </w:rPr>
        <w:t>dynamic</w:t>
      </w:r>
      <w:r w:rsidRPr="002010D1">
        <w:rPr>
          <w:spacing w:val="13"/>
        </w:rPr>
        <w:t xml:space="preserve"> </w:t>
      </w:r>
      <w:r w:rsidRPr="002010D1">
        <w:t>or</w:t>
      </w:r>
      <w:r w:rsidRPr="002010D1">
        <w:rPr>
          <w:spacing w:val="13"/>
        </w:rPr>
        <w:t xml:space="preserve"> </w:t>
      </w:r>
      <w:r w:rsidRPr="002010D1">
        <w:rPr>
          <w:spacing w:val="-3"/>
        </w:rPr>
        <w:t>provocative</w:t>
      </w:r>
      <w:r w:rsidRPr="002010D1">
        <w:rPr>
          <w:spacing w:val="13"/>
        </w:rPr>
        <w:t xml:space="preserve"> </w:t>
      </w:r>
      <w:r w:rsidRPr="002010D1">
        <w:rPr>
          <w:spacing w:val="-3"/>
        </w:rPr>
        <w:t>test</w:t>
      </w:r>
      <w:r w:rsidRPr="002010D1">
        <w:rPr>
          <w:spacing w:val="12"/>
        </w:rPr>
        <w:t>.</w:t>
      </w:r>
    </w:p>
    <w:p w14:paraId="2175F840" w14:textId="77777777" w:rsidR="00FD77AD" w:rsidRPr="002010D1" w:rsidRDefault="00FD77AD" w:rsidP="00B454FE">
      <w:pPr>
        <w:pStyle w:val="Bullet"/>
        <w:rPr>
          <w:iCs/>
        </w:rPr>
      </w:pPr>
      <w:r>
        <w:t>Reduction in consumer complaints.</w:t>
      </w:r>
    </w:p>
    <w:p w14:paraId="302701A9" w14:textId="77777777" w:rsidR="00481A6C" w:rsidRPr="00C34A10" w:rsidRDefault="00C34A10" w:rsidP="00C34A10">
      <w:pPr>
        <w:pStyle w:val="Heading5"/>
      </w:pPr>
      <w:r>
        <w:t>Measures</w:t>
      </w:r>
    </w:p>
    <w:bookmarkEnd w:id="20"/>
    <w:p w14:paraId="0BD2EB8C" w14:textId="77777777" w:rsidR="00B454FE" w:rsidRPr="002010D1" w:rsidRDefault="00B454FE" w:rsidP="00B454FE">
      <w:pPr>
        <w:pStyle w:val="Bullet"/>
        <w:rPr>
          <w:rFonts w:eastAsiaTheme="minorHAnsi" w:cstheme="minorHAnsi"/>
        </w:rPr>
      </w:pPr>
      <w:r w:rsidRPr="4721203F">
        <w:t xml:space="preserve">Monitor and review </w:t>
      </w:r>
      <w:r w:rsidRPr="002010D1">
        <w:rPr>
          <w:spacing w:val="-2"/>
        </w:rPr>
        <w:t xml:space="preserve">side effects and adverse reaction associated with a </w:t>
      </w:r>
      <w:r w:rsidRPr="002010D1">
        <w:t>dynamic</w:t>
      </w:r>
      <w:r w:rsidRPr="002010D1">
        <w:rPr>
          <w:spacing w:val="13"/>
        </w:rPr>
        <w:t xml:space="preserve"> </w:t>
      </w:r>
      <w:r w:rsidRPr="002010D1">
        <w:rPr>
          <w:spacing w:val="-2"/>
        </w:rPr>
        <w:t>or</w:t>
      </w:r>
      <w:r w:rsidRPr="002010D1">
        <w:rPr>
          <w:spacing w:val="13"/>
        </w:rPr>
        <w:t xml:space="preserve"> </w:t>
      </w:r>
      <w:r w:rsidRPr="002010D1">
        <w:t>provocative</w:t>
      </w:r>
      <w:r w:rsidRPr="002010D1">
        <w:rPr>
          <w:spacing w:val="13"/>
        </w:rPr>
        <w:t xml:space="preserve"> </w:t>
      </w:r>
      <w:r w:rsidRPr="002010D1">
        <w:t xml:space="preserve">tests through </w:t>
      </w:r>
      <w:r>
        <w:t>clinical incident reports</w:t>
      </w:r>
      <w:r w:rsidRPr="002010D1">
        <w:t xml:space="preserve"> and Mortality and Morbidity meetings.</w:t>
      </w:r>
    </w:p>
    <w:p w14:paraId="35A314C1" w14:textId="77777777" w:rsidR="00B454FE" w:rsidRPr="002010D1" w:rsidRDefault="00B454FE" w:rsidP="00B454FE">
      <w:pPr>
        <w:pStyle w:val="Bullet"/>
        <w:rPr>
          <w:iCs/>
        </w:rPr>
      </w:pPr>
      <w:r>
        <w:t>Clinical and quality outcomes are evaluated through consumer feedback data.</w:t>
      </w:r>
    </w:p>
    <w:p w14:paraId="46D99534" w14:textId="77777777" w:rsidR="00481A6C" w:rsidRDefault="00000000" w:rsidP="002D7682">
      <w:pPr>
        <w:pStyle w:val="BodyCopy"/>
        <w:spacing w:after="120"/>
        <w:rPr>
          <w:rStyle w:val="Hyperlink"/>
          <w:iCs w:val="0"/>
        </w:rPr>
      </w:pPr>
      <w:hyperlink w:anchor="_top" w:history="1">
        <w:r w:rsidR="00481A6C" w:rsidRPr="00481A6C">
          <w:rPr>
            <w:rStyle w:val="Hyperlink"/>
            <w:iCs w:val="0"/>
          </w:rPr>
          <w:t>Back to Contents</w:t>
        </w:r>
      </w:hyperlink>
    </w:p>
    <w:p w14:paraId="243DD70A" w14:textId="77777777" w:rsidR="00A6051F" w:rsidRDefault="00A6051F" w:rsidP="00A6051F">
      <w:pPr>
        <w:pStyle w:val="Heading4"/>
      </w:pPr>
      <w:bookmarkStart w:id="21" w:name="_Toc177472824"/>
      <w:r>
        <w:t>Related policies, procedures, guidelines and legislation</w:t>
      </w:r>
      <w:bookmarkEnd w:id="21"/>
    </w:p>
    <w:p w14:paraId="736F6ABA" w14:textId="77777777" w:rsidR="00481A6C" w:rsidRDefault="00481A6C" w:rsidP="00481A6C">
      <w:pPr>
        <w:rPr>
          <w:lang w:eastAsia="en-US"/>
        </w:rPr>
      </w:pPr>
      <w:r>
        <w:rPr>
          <w:lang w:eastAsia="en-US"/>
        </w:rPr>
        <w:t>What CHS policies/procedures/guidelines and ACT legislation are related to this body of work</w:t>
      </w:r>
      <w:r w:rsidR="009A5010">
        <w:rPr>
          <w:lang w:eastAsia="en-US"/>
        </w:rPr>
        <w:t>.</w:t>
      </w:r>
    </w:p>
    <w:p w14:paraId="145E6872" w14:textId="77777777" w:rsidR="00481A6C" w:rsidRPr="00A66966" w:rsidRDefault="00481A6C" w:rsidP="00A6051F">
      <w:pPr>
        <w:pStyle w:val="Heading5"/>
      </w:pPr>
      <w:r w:rsidRPr="00A66966">
        <w:t>Policies</w:t>
      </w:r>
    </w:p>
    <w:p w14:paraId="04D98F18" w14:textId="77777777" w:rsidR="00481A6C" w:rsidRDefault="00481A6C" w:rsidP="000E7683">
      <w:pPr>
        <w:pStyle w:val="Bullet"/>
      </w:pPr>
      <w:r w:rsidRPr="000E7683">
        <w:t>Nursing and Midwifery Continuing Competence Policy</w:t>
      </w:r>
    </w:p>
    <w:p w14:paraId="7D5F93E8" w14:textId="77777777" w:rsidR="00B454FE" w:rsidRPr="00A67370" w:rsidRDefault="00B454FE" w:rsidP="00B454FE">
      <w:pPr>
        <w:pStyle w:val="Bullet"/>
      </w:pPr>
      <w:r>
        <w:t>Informed Consent – Clinical</w:t>
      </w:r>
    </w:p>
    <w:p w14:paraId="56BA2317" w14:textId="77777777" w:rsidR="00B454FE" w:rsidRPr="00A67370" w:rsidRDefault="00B454FE" w:rsidP="00B454FE">
      <w:pPr>
        <w:pStyle w:val="Bullet"/>
      </w:pPr>
      <w:r>
        <w:t>Nursing and Midwifery Board of Australia (NMBA) Requirements for Practice</w:t>
      </w:r>
    </w:p>
    <w:p w14:paraId="3DE11447" w14:textId="77777777" w:rsidR="00B454FE" w:rsidRPr="00A67370" w:rsidRDefault="00B454FE" w:rsidP="00B454FE">
      <w:pPr>
        <w:pStyle w:val="Bullet"/>
      </w:pPr>
      <w:r>
        <w:t>Waste Management</w:t>
      </w:r>
    </w:p>
    <w:p w14:paraId="7A21CA6C" w14:textId="7ED3C959" w:rsidR="00B454FE" w:rsidRDefault="00B454FE" w:rsidP="00B454FE">
      <w:pPr>
        <w:pStyle w:val="Bullet"/>
      </w:pPr>
      <w:r>
        <w:t>Medication Handling</w:t>
      </w:r>
    </w:p>
    <w:p w14:paraId="29534F9B" w14:textId="77777777" w:rsidR="00481A6C" w:rsidRDefault="00481A6C" w:rsidP="00A6051F">
      <w:pPr>
        <w:pStyle w:val="Heading5"/>
      </w:pPr>
      <w:r>
        <w:t>Procedures</w:t>
      </w:r>
    </w:p>
    <w:p w14:paraId="7C21B683" w14:textId="77777777" w:rsidR="00481A6C" w:rsidRPr="000E7683" w:rsidRDefault="00635114" w:rsidP="000E7683">
      <w:pPr>
        <w:pStyle w:val="Bullet"/>
      </w:pPr>
      <w:r>
        <w:t>Infection Prevention and Control</w:t>
      </w:r>
    </w:p>
    <w:p w14:paraId="4C3EABD3" w14:textId="77777777" w:rsidR="00B454FE" w:rsidRDefault="00B454FE" w:rsidP="00B454FE">
      <w:pPr>
        <w:pStyle w:val="Bullet"/>
      </w:pPr>
      <w:r>
        <w:t xml:space="preserve">Patient Identification and Procedure Matching </w:t>
      </w:r>
    </w:p>
    <w:p w14:paraId="1B52AA13" w14:textId="77777777" w:rsidR="00B454FE" w:rsidRPr="000C2FA4" w:rsidRDefault="00B454FE" w:rsidP="00B454FE">
      <w:pPr>
        <w:pStyle w:val="Bullet"/>
        <w:rPr>
          <w:rFonts w:cstheme="minorHAnsi"/>
          <w:u w:val="single"/>
        </w:rPr>
      </w:pPr>
      <w:r w:rsidRPr="4721203F">
        <w:t xml:space="preserve">Admission to Discharge – (adults and children) </w:t>
      </w:r>
    </w:p>
    <w:p w14:paraId="4D536E5F" w14:textId="77777777" w:rsidR="00B454FE" w:rsidRPr="00DD1823" w:rsidRDefault="00B454FE" w:rsidP="00B454FE">
      <w:pPr>
        <w:pStyle w:val="Bullet"/>
        <w:rPr>
          <w:rFonts w:cstheme="minorHAnsi"/>
        </w:rPr>
      </w:pPr>
      <w:r w:rsidRPr="4721203F">
        <w:t xml:space="preserve">Vital Signs and Early Warning Scores – The Canberra Hospital Inpatients </w:t>
      </w:r>
    </w:p>
    <w:p w14:paraId="5BEC5359" w14:textId="77777777" w:rsidR="00B454FE" w:rsidRDefault="00B454FE" w:rsidP="00B454FE">
      <w:pPr>
        <w:pStyle w:val="Bullet"/>
      </w:pPr>
      <w:r>
        <w:t>Aseptic Technique</w:t>
      </w:r>
    </w:p>
    <w:p w14:paraId="14465214" w14:textId="77777777" w:rsidR="00B454FE" w:rsidRPr="0050050C" w:rsidRDefault="00B454FE" w:rsidP="00B454FE">
      <w:pPr>
        <w:pStyle w:val="Bullet"/>
        <w:rPr>
          <w:rFonts w:cstheme="minorHAnsi"/>
        </w:rPr>
      </w:pPr>
      <w:r w:rsidRPr="4721203F">
        <w:t>Peripheral Intravenous Cannula (PIVC) and Midline Catheters – the Insertion and Management of Adults and Children (not Neonates)</w:t>
      </w:r>
    </w:p>
    <w:p w14:paraId="68C78D73" w14:textId="77777777" w:rsidR="00B454FE" w:rsidRPr="00D6299C" w:rsidRDefault="00B454FE" w:rsidP="00B454FE">
      <w:pPr>
        <w:pStyle w:val="Bullet"/>
      </w:pPr>
      <w:r>
        <w:t xml:space="preserve">Venepuncture Blood Specimen Collection </w:t>
      </w:r>
    </w:p>
    <w:p w14:paraId="4A8A59DB" w14:textId="77777777" w:rsidR="00B454FE" w:rsidRPr="0050050C" w:rsidRDefault="00B454FE" w:rsidP="00B454FE">
      <w:pPr>
        <w:pStyle w:val="Bullet"/>
      </w:pPr>
      <w:r>
        <w:t xml:space="preserve">Blood Glucose and Ketone Point-of-Care Testing </w:t>
      </w:r>
    </w:p>
    <w:p w14:paraId="6EAB23FB" w14:textId="77777777" w:rsidR="00481A6C" w:rsidRDefault="00481A6C" w:rsidP="00A6051F">
      <w:pPr>
        <w:pStyle w:val="Heading5"/>
      </w:pPr>
      <w:r>
        <w:t xml:space="preserve">Guidelines </w:t>
      </w:r>
    </w:p>
    <w:p w14:paraId="36904254" w14:textId="77777777" w:rsidR="009746B1" w:rsidRDefault="009746B1" w:rsidP="009746B1">
      <w:pPr>
        <w:pStyle w:val="Bullet"/>
      </w:pPr>
      <w:r>
        <w:t>Consent for Healthcare Treatment</w:t>
      </w:r>
    </w:p>
    <w:p w14:paraId="574D6AF4" w14:textId="77777777" w:rsidR="00481A6C" w:rsidRDefault="00481A6C" w:rsidP="00A6051F">
      <w:pPr>
        <w:pStyle w:val="Heading5"/>
      </w:pPr>
      <w:r>
        <w:t>Legislation</w:t>
      </w:r>
    </w:p>
    <w:p w14:paraId="500CF5B2" w14:textId="77777777" w:rsidR="00481A6C" w:rsidRPr="000E7683" w:rsidRDefault="00481A6C" w:rsidP="000E7683">
      <w:pPr>
        <w:pStyle w:val="Bullet"/>
      </w:pPr>
      <w:r w:rsidRPr="00FE46F1">
        <w:rPr>
          <w:i/>
          <w:iCs/>
        </w:rPr>
        <w:t>Health Records (Privacy and Access) Act</w:t>
      </w:r>
      <w:r w:rsidRPr="000E7683">
        <w:t xml:space="preserve"> 1997</w:t>
      </w:r>
    </w:p>
    <w:p w14:paraId="1C3A8C73" w14:textId="77777777" w:rsidR="00481A6C" w:rsidRPr="000E7683" w:rsidRDefault="00481A6C" w:rsidP="000E7683">
      <w:pPr>
        <w:pStyle w:val="Bullet"/>
      </w:pPr>
      <w:r w:rsidRPr="00FE46F1">
        <w:rPr>
          <w:i/>
          <w:iCs/>
        </w:rPr>
        <w:t>Human Rights Act</w:t>
      </w:r>
      <w:r w:rsidRPr="000E7683">
        <w:t xml:space="preserve"> 2004</w:t>
      </w:r>
    </w:p>
    <w:p w14:paraId="0D2AE901" w14:textId="77777777" w:rsidR="00481A6C" w:rsidRPr="000E7683" w:rsidRDefault="00481A6C" w:rsidP="000E7683">
      <w:pPr>
        <w:pStyle w:val="Bullet"/>
      </w:pPr>
      <w:r w:rsidRPr="00FE46F1">
        <w:rPr>
          <w:i/>
          <w:iCs/>
        </w:rPr>
        <w:lastRenderedPageBreak/>
        <w:t>Work Health and Safety Act</w:t>
      </w:r>
      <w:r w:rsidRPr="000E7683">
        <w:t xml:space="preserve"> 2011</w:t>
      </w:r>
    </w:p>
    <w:p w14:paraId="42397AF1" w14:textId="77777777" w:rsidR="00481A6C" w:rsidRPr="000E7683" w:rsidRDefault="00481A6C" w:rsidP="000E7683">
      <w:pPr>
        <w:pStyle w:val="Bullet"/>
      </w:pPr>
      <w:r w:rsidRPr="00FE46F1">
        <w:rPr>
          <w:i/>
          <w:iCs/>
        </w:rPr>
        <w:t>Carers Recognition Act</w:t>
      </w:r>
      <w:r w:rsidRPr="000E7683">
        <w:t xml:space="preserve"> 2021</w:t>
      </w:r>
    </w:p>
    <w:p w14:paraId="322E5681" w14:textId="77777777" w:rsidR="00481A6C" w:rsidRDefault="00481A6C" w:rsidP="00A6051F">
      <w:pPr>
        <w:pStyle w:val="Heading5"/>
      </w:pPr>
      <w:r>
        <w:t>Other</w:t>
      </w:r>
    </w:p>
    <w:p w14:paraId="36B95C5E" w14:textId="77777777" w:rsidR="000E7683" w:rsidRDefault="00481A6C" w:rsidP="00A66966">
      <w:pPr>
        <w:pStyle w:val="Bullet"/>
      </w:pPr>
      <w:r w:rsidRPr="00A66966">
        <w:t>Australian</w:t>
      </w:r>
      <w:r w:rsidRPr="000E7683">
        <w:t xml:space="preserve"> Charter of Healthcare Right</w:t>
      </w:r>
      <w:r w:rsidR="00280C5D" w:rsidRPr="000E7683">
        <w:t>s</w:t>
      </w:r>
    </w:p>
    <w:p w14:paraId="00196342" w14:textId="77777777" w:rsidR="000E7683" w:rsidRPr="000E7683" w:rsidRDefault="00000000" w:rsidP="002D7682">
      <w:pPr>
        <w:pStyle w:val="BodyCopy"/>
      </w:pPr>
      <w:hyperlink w:anchor="_top" w:history="1">
        <w:r w:rsidR="000E7683" w:rsidRPr="004A7A7F">
          <w:rPr>
            <w:rStyle w:val="Hyperlink"/>
          </w:rPr>
          <w:t>Back to Contents</w:t>
        </w:r>
      </w:hyperlink>
    </w:p>
    <w:p w14:paraId="69019E09" w14:textId="77777777" w:rsidR="0078367D" w:rsidRPr="0078367D" w:rsidRDefault="0078367D" w:rsidP="00A6051F">
      <w:pPr>
        <w:pStyle w:val="Heading4"/>
      </w:pPr>
      <w:bookmarkStart w:id="22" w:name="_Toc177472825"/>
      <w:r w:rsidRPr="0078367D">
        <w:t>References</w:t>
      </w:r>
      <w:bookmarkEnd w:id="22"/>
    </w:p>
    <w:p w14:paraId="7CDFD4AF" w14:textId="6EA5B618" w:rsidR="00B454FE" w:rsidRPr="00B454FE" w:rsidRDefault="00B454FE" w:rsidP="00B454FE">
      <w:pPr>
        <w:pStyle w:val="Numberedlist"/>
        <w:numPr>
          <w:ilvl w:val="0"/>
          <w:numId w:val="48"/>
        </w:numPr>
      </w:pPr>
      <w:r w:rsidRPr="00B454FE">
        <w:t xml:space="preserve">Nieman, L.K. (2014). Evaluation of the response to ACTH in adrenal insufficiency. Retrieved March 10th, 2015, from website: </w:t>
      </w:r>
      <w:hyperlink r:id="rId15" w:history="1">
        <w:r w:rsidRPr="00A93206">
          <w:rPr>
            <w:rStyle w:val="Hyperlink"/>
          </w:rPr>
          <w:t>http://www.uptodate.com/contents/evaluation-of-the-response-to-acth-in-adrenal-insufficiency</w:t>
        </w:r>
      </w:hyperlink>
      <w:r>
        <w:t xml:space="preserve"> </w:t>
      </w:r>
    </w:p>
    <w:p w14:paraId="31EF396F" w14:textId="72A78719" w:rsidR="00B454FE" w:rsidRPr="00B454FE" w:rsidRDefault="00B454FE" w:rsidP="00B454FE">
      <w:pPr>
        <w:pStyle w:val="Numberedlist"/>
      </w:pPr>
      <w:r w:rsidRPr="00B454FE">
        <w:t xml:space="preserve">Nieman, L.K. (2014). Diagnosis of adrenal insufficiency in adults. Retrieved March 10th, 2015 from website: </w:t>
      </w:r>
      <w:hyperlink r:id="rId16" w:history="1">
        <w:r w:rsidRPr="00B454FE">
          <w:rPr>
            <w:rStyle w:val="Hyperlink"/>
            <w:color w:val="000000" w:themeColor="text1"/>
            <w:u w:val="none"/>
          </w:rPr>
          <w:t>http://www.uptodate.com/contents/diagnosis-of-adrenal-insufficiency-in-adults</w:t>
        </w:r>
      </w:hyperlink>
      <w:r>
        <w:rPr>
          <w:rStyle w:val="Hyperlink"/>
          <w:color w:val="000000" w:themeColor="text1"/>
          <w:u w:val="none"/>
        </w:rPr>
        <w:t xml:space="preserve"> </w:t>
      </w:r>
    </w:p>
    <w:p w14:paraId="417B148A" w14:textId="77777777" w:rsidR="00B454FE" w:rsidRPr="00B454FE" w:rsidRDefault="00000000" w:rsidP="00B454FE">
      <w:pPr>
        <w:pStyle w:val="Numberedlist"/>
      </w:pPr>
      <w:hyperlink r:id="rId17" w:history="1">
        <w:r w:rsidR="00B454FE" w:rsidRPr="00B454FE">
          <w:rPr>
            <w:rStyle w:val="Hyperlink"/>
            <w:color w:val="000000" w:themeColor="text1"/>
            <w:u w:val="none"/>
          </w:rPr>
          <w:t>http://www.nursingconsult.com/nursing/labs-diagnostics/full-text?article_id=246124</w:t>
        </w:r>
      </w:hyperlink>
    </w:p>
    <w:p w14:paraId="29CFDB55" w14:textId="6DC61965" w:rsidR="00B454FE" w:rsidRPr="00B454FE" w:rsidRDefault="00B454FE" w:rsidP="00B454FE">
      <w:pPr>
        <w:pStyle w:val="Numberedlist"/>
      </w:pPr>
      <w:r w:rsidRPr="00B454FE">
        <w:t xml:space="preserve">Bichet, D.G (2015). Diagnosis of polyuria and diabetes insipidus.  Retrieved April 30th 2015 from website: </w:t>
      </w:r>
      <w:hyperlink r:id="rId18" w:history="1">
        <w:r w:rsidRPr="00A93206">
          <w:rPr>
            <w:rStyle w:val="Hyperlink"/>
          </w:rPr>
          <w:t xml:space="preserve">http://www.uptodate.com/contents/diagnosis-of-polyuria-and-diabetes-insipidus </w:t>
        </w:r>
      </w:hyperlink>
      <w:r>
        <w:rPr>
          <w:rStyle w:val="Hyperlink"/>
          <w:color w:val="000000" w:themeColor="text1"/>
          <w:u w:val="none"/>
        </w:rPr>
        <w:t xml:space="preserve"> </w:t>
      </w:r>
    </w:p>
    <w:p w14:paraId="261E269E" w14:textId="77777777" w:rsidR="00B454FE" w:rsidRPr="00B454FE" w:rsidRDefault="00B454FE" w:rsidP="00B454FE">
      <w:pPr>
        <w:pStyle w:val="Numberedlist"/>
        <w:rPr>
          <w:rFonts w:eastAsiaTheme="minorHAnsi"/>
        </w:rPr>
      </w:pPr>
      <w:r w:rsidRPr="00B454FE">
        <w:rPr>
          <w:rFonts w:eastAsiaTheme="minorHAnsi"/>
        </w:rPr>
        <w:t xml:space="preserve">Eisenhofer G et al. Biochemical diagnosis of pheochromocytoma: How to distinguish true- from false-positive test results. J Clin Endocrinol Metab 88: 2656-66, 2003. </w:t>
      </w:r>
    </w:p>
    <w:p w14:paraId="6DBC53F6" w14:textId="77777777" w:rsidR="00B454FE" w:rsidRPr="00B454FE" w:rsidRDefault="00B454FE" w:rsidP="00B454FE">
      <w:pPr>
        <w:pStyle w:val="Numberedlist"/>
        <w:rPr>
          <w:rFonts w:eastAsiaTheme="minorHAnsi"/>
        </w:rPr>
      </w:pPr>
      <w:r w:rsidRPr="00B454FE">
        <w:rPr>
          <w:rFonts w:eastAsiaTheme="minorHAnsi"/>
        </w:rPr>
        <w:t>Bravo EL. Evolving concepts in the pathophysiology, diagnosis, and treatment of pheochromocytoma. Endocrine Reviews 15: 356-68, 1994.</w:t>
      </w:r>
    </w:p>
    <w:p w14:paraId="6CEDF907" w14:textId="2C40A9D3" w:rsidR="00B454FE" w:rsidRPr="00B454FE" w:rsidRDefault="00B454FE" w:rsidP="00B454FE">
      <w:pPr>
        <w:pStyle w:val="Numberedlist"/>
        <w:rPr>
          <w:rFonts w:eastAsiaTheme="minorHAnsi"/>
        </w:rPr>
      </w:pPr>
      <w:r w:rsidRPr="00B454FE">
        <w:t xml:space="preserve">Young, </w:t>
      </w:r>
      <w:hyperlink r:id="rId19" w:history="1">
        <w:r w:rsidRPr="00B454FE">
          <w:t>W.F</w:t>
        </w:r>
      </w:hyperlink>
      <w:r w:rsidRPr="00B454FE">
        <w:t xml:space="preserve"> and Kaplan, </w:t>
      </w:r>
      <w:hyperlink r:id="rId20" w:history="1">
        <w:r w:rsidRPr="00B454FE">
          <w:t>N.M, (2014)</w:t>
        </w:r>
      </w:hyperlink>
      <w:r w:rsidRPr="00B454FE">
        <w:t xml:space="preserve">. </w:t>
      </w:r>
      <w:r w:rsidRPr="00B454FE">
        <w:rPr>
          <w:rFonts w:eastAsiaTheme="minorHAnsi"/>
        </w:rPr>
        <w:t xml:space="preserve">Clinical presentation and diagnosis of pheochromocytoma. Retrieved May 6th 2015 from website: </w:t>
      </w:r>
      <w:hyperlink r:id="rId21" w:history="1">
        <w:r w:rsidRPr="00B454FE">
          <w:rPr>
            <w:rStyle w:val="Hyperlink"/>
            <w:rFonts w:eastAsiaTheme="minorHAnsi"/>
            <w:color w:val="000000" w:themeColor="text1"/>
            <w:u w:val="none"/>
          </w:rPr>
          <w:t>http://www.uptodate.com/contents/clinical-presentation-and-diagnosis-of-pheochromocytoma</w:t>
        </w:r>
      </w:hyperlink>
      <w:r>
        <w:rPr>
          <w:rStyle w:val="Hyperlink"/>
          <w:color w:val="000000" w:themeColor="text1"/>
          <w:u w:val="none"/>
        </w:rPr>
        <w:t xml:space="preserve"> </w:t>
      </w:r>
    </w:p>
    <w:p w14:paraId="00777AB5" w14:textId="47BFBDA6" w:rsidR="00B454FE" w:rsidRPr="00B454FE" w:rsidRDefault="00000000" w:rsidP="00B454FE">
      <w:pPr>
        <w:pStyle w:val="Numberedlist"/>
        <w:rPr>
          <w:rFonts w:eastAsiaTheme="minorHAnsi"/>
        </w:rPr>
      </w:pPr>
      <w:hyperlink r:id="rId22" w:history="1">
        <w:r w:rsidR="00B454FE" w:rsidRPr="00B454FE">
          <w:rPr>
            <w:rStyle w:val="Hyperlink"/>
            <w:rFonts w:eastAsiaTheme="minorHAnsi"/>
            <w:color w:val="000000" w:themeColor="text1"/>
            <w:u w:val="none"/>
          </w:rPr>
          <w:t>https://www.rcpa.edu.au/Library/Practising-Pathology/RCPA-Manual/Items/Pathology-Tests/D/Dexamethasone-suppression-test-long</w:t>
        </w:r>
      </w:hyperlink>
      <w:r w:rsidR="00B454FE">
        <w:rPr>
          <w:rStyle w:val="Hyperlink"/>
          <w:color w:val="000000" w:themeColor="text1"/>
          <w:u w:val="none"/>
        </w:rPr>
        <w:t xml:space="preserve"> </w:t>
      </w:r>
    </w:p>
    <w:p w14:paraId="02AB1A4B" w14:textId="77777777" w:rsidR="00B454FE" w:rsidRPr="00B454FE" w:rsidRDefault="00000000" w:rsidP="00B454FE">
      <w:pPr>
        <w:pStyle w:val="Numberedlist"/>
        <w:rPr>
          <w:rFonts w:eastAsiaTheme="minorHAnsi"/>
        </w:rPr>
      </w:pPr>
      <w:hyperlink r:id="rId23" w:history="1">
        <w:r w:rsidR="00B454FE" w:rsidRPr="00B454FE">
          <w:rPr>
            <w:rStyle w:val="Hyperlink"/>
            <w:rFonts w:eastAsiaTheme="minorHAnsi"/>
            <w:color w:val="000000" w:themeColor="text1"/>
            <w:u w:val="none"/>
          </w:rPr>
          <w:t>http://www.pathology.leedsth.nhs.uk/dnn_bilm/Investigationprotocols/Hyperaldosteronismprotocols/SalineInfusionTestforHyperaldosteronism.aspx</w:t>
        </w:r>
      </w:hyperlink>
    </w:p>
    <w:p w14:paraId="791C6CFC" w14:textId="77777777" w:rsidR="00B454FE" w:rsidRPr="00B454FE" w:rsidRDefault="00B454FE" w:rsidP="00B454FE">
      <w:pPr>
        <w:pStyle w:val="Numberedlist"/>
      </w:pPr>
      <w:r w:rsidRPr="00B454FE">
        <w:t>Funder et al. Case detection, diagnosis, and treatment of patients with primary aldosteronism: an Endocrine Society clinical practice guideline. J Clin Endocrinol Metab 2008;93(9):3266-3281.</w:t>
      </w:r>
    </w:p>
    <w:p w14:paraId="528DFEA9" w14:textId="77777777" w:rsidR="00B454FE" w:rsidRPr="00B454FE" w:rsidRDefault="00000000" w:rsidP="00B454FE">
      <w:pPr>
        <w:pStyle w:val="Numberedlist"/>
      </w:pPr>
      <w:hyperlink r:id="rId24" w:history="1">
        <w:r w:rsidR="00B454FE" w:rsidRPr="00B454FE">
          <w:rPr>
            <w:rStyle w:val="Hyperlink"/>
            <w:color w:val="000000" w:themeColor="text1"/>
            <w:u w:val="none"/>
          </w:rPr>
          <w:t>https://www.mimsonline.com.au</w:t>
        </w:r>
      </w:hyperlink>
    </w:p>
    <w:p w14:paraId="2C6F7555" w14:textId="77777777" w:rsidR="00B454FE" w:rsidRPr="00B454FE" w:rsidRDefault="00B454FE" w:rsidP="00B454FE">
      <w:pPr>
        <w:pStyle w:val="Numberedlist"/>
      </w:pPr>
      <w:r w:rsidRPr="00B454FE">
        <w:t>Evaluation and management of adult hypoglycemic disorders: An Endocrine Society Clinical Practice Guidelines. Cryer PE, Axelrod L, Grossman AB, Heller SR, Montori VM, Seaquist ER, Service FJ, Endocrine Society. J Clin Endocrinol Metab. 2009;94(3):709.</w:t>
      </w:r>
    </w:p>
    <w:p w14:paraId="4AF512D9" w14:textId="77777777" w:rsidR="00B454FE" w:rsidRPr="00B454FE" w:rsidRDefault="00B454FE" w:rsidP="00B454FE">
      <w:pPr>
        <w:pStyle w:val="Numberedlist"/>
      </w:pPr>
      <w:r w:rsidRPr="00B454FE">
        <w:t>Forty-eight-hour fast: the diagnostic test for insulinoma. Hirshberg B, Livi A, Bartlett DL, Libutti SK, Alexander HR, Doppman JL, Skarulis MC, Gorden P. J Clin Endocrinol Metab. 2000;85(9):3222.</w:t>
      </w:r>
    </w:p>
    <w:p w14:paraId="36E0E7EC" w14:textId="77777777" w:rsidR="00B454FE" w:rsidRPr="00B454FE" w:rsidRDefault="00B454FE" w:rsidP="00B454FE">
      <w:pPr>
        <w:pStyle w:val="Numberedlist"/>
      </w:pPr>
      <w:r w:rsidRPr="00B454FE">
        <w:lastRenderedPageBreak/>
        <w:t>Service FJ. Hypoglycemic disorders. N Engl J Med. 1995;332(17):1144.</w:t>
      </w:r>
    </w:p>
    <w:p w14:paraId="6D2E2172" w14:textId="77777777" w:rsidR="00B454FE" w:rsidRPr="00B454FE" w:rsidRDefault="00B454FE" w:rsidP="00B454FE">
      <w:pPr>
        <w:pStyle w:val="Numberedlist"/>
      </w:pPr>
      <w:r w:rsidRPr="00B454FE">
        <w:t>Evaluation and management of adult hypoglycaemic disorders: An Endocrine Society Clinical Practice Guidelines. Cryer PE, Axelrod L, Grossman AB, Heller SR, Montori VM, Seaquist ER, Service FJ, Endocrine Society. J Clin Endocrinol Metab. 2009;94(3):709.</w:t>
      </w:r>
    </w:p>
    <w:p w14:paraId="1DC61504" w14:textId="77777777" w:rsidR="00B454FE" w:rsidRPr="00B454FE" w:rsidRDefault="00B454FE" w:rsidP="00B454FE">
      <w:pPr>
        <w:pStyle w:val="Numberedlist"/>
      </w:pPr>
      <w:r w:rsidRPr="00B454FE">
        <w:t xml:space="preserve">Forty-eight-hour fast: the diagnostic test for insulinoma. Hirshberg B, Livi A, Bartlett DL, Libutti SK, Alexander HR, Doppman JL, Skarulis MC, Gorden P. J Clin Endocrinol Metab. 2000;85(9):3222. </w:t>
      </w:r>
    </w:p>
    <w:p w14:paraId="53210502" w14:textId="77777777" w:rsidR="00B454FE" w:rsidRPr="00B454FE" w:rsidRDefault="00B454FE" w:rsidP="00B454FE">
      <w:pPr>
        <w:pStyle w:val="Numberedlist"/>
      </w:pPr>
      <w:r w:rsidRPr="00B454FE">
        <w:t>Service FJ. Hypoglycemic disorders. N Engl J Med. 1995;332(17):1144.</w:t>
      </w:r>
    </w:p>
    <w:p w14:paraId="34C9ED4D" w14:textId="77777777" w:rsidR="00B454FE" w:rsidRPr="00B454FE" w:rsidRDefault="00B454FE" w:rsidP="00B454FE">
      <w:pPr>
        <w:pStyle w:val="Numberedlist"/>
      </w:pPr>
      <w:r w:rsidRPr="00B454FE">
        <w:t>National Safety and Quality Health Services Standards</w:t>
      </w:r>
    </w:p>
    <w:p w14:paraId="5D7DBF0F" w14:textId="77777777" w:rsidR="00280C5D" w:rsidRDefault="00000000"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3C179145" w14:textId="0B455CAE" w:rsidR="0078367D" w:rsidRDefault="0078367D" w:rsidP="00A6051F">
      <w:pPr>
        <w:pStyle w:val="Heading4"/>
      </w:pPr>
      <w:bookmarkStart w:id="23" w:name="_Toc177472826"/>
      <w:r>
        <w:t>Definition of terms</w:t>
      </w:r>
      <w:bookmarkEnd w:id="23"/>
      <w:r>
        <w:t xml:space="preserve"> </w:t>
      </w:r>
    </w:p>
    <w:p w14:paraId="2DF7ED8D" w14:textId="77777777" w:rsidR="00B454FE" w:rsidRDefault="00B454FE" w:rsidP="00B454FE">
      <w:pPr>
        <w:pStyle w:val="Bullet"/>
        <w:rPr>
          <w:rStyle w:val="st1"/>
          <w:rFonts w:eastAsia="Arial"/>
        </w:rPr>
      </w:pPr>
      <w:r>
        <w:t xml:space="preserve">ATCH: </w:t>
      </w:r>
      <w:r>
        <w:rPr>
          <w:rStyle w:val="st1"/>
          <w:rFonts w:eastAsia="Arial"/>
        </w:rPr>
        <w:t>A</w:t>
      </w:r>
      <w:r w:rsidRPr="4721203F">
        <w:rPr>
          <w:rStyle w:val="st1"/>
          <w:rFonts w:eastAsia="Arial"/>
        </w:rPr>
        <w:t xml:space="preserve">drenocorticotropic </w:t>
      </w:r>
      <w:r>
        <w:rPr>
          <w:rStyle w:val="st1"/>
          <w:rFonts w:eastAsia="Arial"/>
        </w:rPr>
        <w:t>H</w:t>
      </w:r>
      <w:r w:rsidRPr="4721203F">
        <w:rPr>
          <w:rStyle w:val="st1"/>
          <w:rFonts w:eastAsia="Arial"/>
        </w:rPr>
        <w:t>ormone</w:t>
      </w:r>
    </w:p>
    <w:p w14:paraId="1B60F9EA" w14:textId="77777777" w:rsidR="00B454FE" w:rsidRDefault="00B454FE" w:rsidP="00B454FE">
      <w:pPr>
        <w:pStyle w:val="Bullet"/>
        <w:rPr>
          <w:rStyle w:val="st1"/>
          <w:rFonts w:eastAsia="Arial"/>
        </w:rPr>
      </w:pPr>
      <w:r>
        <w:t>BGL:</w:t>
      </w:r>
      <w:r w:rsidRPr="4721203F">
        <w:rPr>
          <w:rStyle w:val="st1"/>
          <w:rFonts w:eastAsia="Arial"/>
        </w:rPr>
        <w:t xml:space="preserve"> </w:t>
      </w:r>
      <w:r>
        <w:rPr>
          <w:rStyle w:val="st1"/>
          <w:rFonts w:eastAsia="Arial"/>
        </w:rPr>
        <w:t>B</w:t>
      </w:r>
      <w:r w:rsidRPr="4721203F">
        <w:rPr>
          <w:rStyle w:val="st1"/>
          <w:rFonts w:eastAsia="Arial"/>
        </w:rPr>
        <w:t xml:space="preserve">lood </w:t>
      </w:r>
      <w:r>
        <w:rPr>
          <w:rStyle w:val="st1"/>
          <w:rFonts w:eastAsia="Arial"/>
        </w:rPr>
        <w:t>G</w:t>
      </w:r>
      <w:r w:rsidRPr="4721203F">
        <w:rPr>
          <w:rStyle w:val="st1"/>
          <w:rFonts w:eastAsia="Arial"/>
        </w:rPr>
        <w:t xml:space="preserve">lucose </w:t>
      </w:r>
      <w:r>
        <w:rPr>
          <w:rStyle w:val="st1"/>
          <w:rFonts w:eastAsia="Arial"/>
        </w:rPr>
        <w:t>L</w:t>
      </w:r>
      <w:r w:rsidRPr="4721203F">
        <w:rPr>
          <w:rStyle w:val="st1"/>
          <w:rFonts w:eastAsia="Arial"/>
        </w:rPr>
        <w:t>evel</w:t>
      </w:r>
    </w:p>
    <w:p w14:paraId="7260489E" w14:textId="77777777" w:rsidR="00B454FE" w:rsidRPr="00095185" w:rsidRDefault="00B454FE" w:rsidP="00B454FE">
      <w:pPr>
        <w:pStyle w:val="Bullet"/>
        <w:rPr>
          <w:rStyle w:val="st1"/>
        </w:rPr>
      </w:pPr>
      <w:r>
        <w:t>BP: Blood Pressure</w:t>
      </w:r>
    </w:p>
    <w:p w14:paraId="72CEC198" w14:textId="77777777" w:rsidR="00B454FE" w:rsidRDefault="00B454FE" w:rsidP="00B454FE">
      <w:pPr>
        <w:pStyle w:val="Bullet"/>
        <w:rPr>
          <w:rStyle w:val="st1"/>
          <w:rFonts w:eastAsia="Arial"/>
        </w:rPr>
      </w:pPr>
      <w:r>
        <w:t>cBGL:</w:t>
      </w:r>
      <w:r w:rsidRPr="4721203F">
        <w:rPr>
          <w:rStyle w:val="st1"/>
          <w:rFonts w:eastAsia="Arial"/>
        </w:rPr>
        <w:t xml:space="preserve"> </w:t>
      </w:r>
      <w:r>
        <w:rPr>
          <w:rStyle w:val="st1"/>
          <w:rFonts w:eastAsia="Arial"/>
        </w:rPr>
        <w:t>C</w:t>
      </w:r>
      <w:r w:rsidRPr="4721203F">
        <w:rPr>
          <w:rStyle w:val="st1"/>
          <w:rFonts w:eastAsia="Arial"/>
        </w:rPr>
        <w:t xml:space="preserve">apillary </w:t>
      </w:r>
      <w:r>
        <w:rPr>
          <w:rStyle w:val="st1"/>
          <w:rFonts w:eastAsia="Arial"/>
        </w:rPr>
        <w:t>B</w:t>
      </w:r>
      <w:r w:rsidRPr="4721203F">
        <w:rPr>
          <w:rStyle w:val="st1"/>
          <w:rFonts w:eastAsia="Arial"/>
        </w:rPr>
        <w:t xml:space="preserve">lood </w:t>
      </w:r>
      <w:r>
        <w:rPr>
          <w:rStyle w:val="st1"/>
          <w:rFonts w:eastAsia="Arial"/>
        </w:rPr>
        <w:t>G</w:t>
      </w:r>
      <w:r w:rsidRPr="4721203F">
        <w:rPr>
          <w:rStyle w:val="st1"/>
          <w:rFonts w:eastAsia="Arial"/>
        </w:rPr>
        <w:t xml:space="preserve">lucose </w:t>
      </w:r>
      <w:r>
        <w:rPr>
          <w:rStyle w:val="st1"/>
          <w:rFonts w:eastAsia="Arial"/>
        </w:rPr>
        <w:t>L</w:t>
      </w:r>
      <w:r w:rsidRPr="4721203F">
        <w:rPr>
          <w:rStyle w:val="st1"/>
          <w:rFonts w:eastAsia="Arial"/>
        </w:rPr>
        <w:t>evel</w:t>
      </w:r>
    </w:p>
    <w:p w14:paraId="00E5C927" w14:textId="77777777" w:rsidR="00B454FE" w:rsidRPr="00275D9D" w:rsidRDefault="00B454FE" w:rsidP="00B454FE">
      <w:pPr>
        <w:pStyle w:val="Bullet"/>
        <w:rPr>
          <w:rStyle w:val="st1"/>
          <w:rFonts w:eastAsia="Arial"/>
        </w:rPr>
      </w:pPr>
      <w:r>
        <w:t>E2:</w:t>
      </w:r>
      <w:r w:rsidRPr="4721203F">
        <w:rPr>
          <w:rStyle w:val="st1"/>
          <w:rFonts w:eastAsia="Arial"/>
        </w:rPr>
        <w:t xml:space="preserve"> Estradiol testosterone</w:t>
      </w:r>
    </w:p>
    <w:p w14:paraId="0A62840F" w14:textId="77777777" w:rsidR="00B454FE" w:rsidRDefault="00B454FE" w:rsidP="00B454FE">
      <w:pPr>
        <w:pStyle w:val="Bullet"/>
        <w:rPr>
          <w:rStyle w:val="st1"/>
          <w:rFonts w:eastAsia="Arial"/>
        </w:rPr>
      </w:pPr>
      <w:r>
        <w:t>EUC:</w:t>
      </w:r>
      <w:r>
        <w:rPr>
          <w:rStyle w:val="st1"/>
          <w:rFonts w:eastAsia="Arial"/>
        </w:rPr>
        <w:t xml:space="preserve"> Electrolytes, Urea and Creatinine</w:t>
      </w:r>
    </w:p>
    <w:p w14:paraId="0070F158" w14:textId="77777777" w:rsidR="00B454FE" w:rsidRDefault="00B454FE" w:rsidP="00B454FE">
      <w:pPr>
        <w:pStyle w:val="Bullet"/>
        <w:rPr>
          <w:rStyle w:val="st1"/>
          <w:rFonts w:eastAsia="Arial"/>
        </w:rPr>
      </w:pPr>
      <w:r w:rsidRPr="4721203F">
        <w:rPr>
          <w:rStyle w:val="st1"/>
          <w:rFonts w:eastAsia="Arial"/>
        </w:rPr>
        <w:t xml:space="preserve">FSH: </w:t>
      </w:r>
      <w:r>
        <w:rPr>
          <w:rStyle w:val="st1"/>
          <w:rFonts w:eastAsia="Arial"/>
        </w:rPr>
        <w:t>F</w:t>
      </w:r>
      <w:r w:rsidRPr="4721203F">
        <w:rPr>
          <w:rStyle w:val="st1"/>
          <w:rFonts w:eastAsia="Arial"/>
        </w:rPr>
        <w:t xml:space="preserve">ollicle </w:t>
      </w:r>
      <w:r>
        <w:rPr>
          <w:rStyle w:val="st1"/>
          <w:rFonts w:eastAsia="Arial"/>
        </w:rPr>
        <w:t>S</w:t>
      </w:r>
      <w:r w:rsidRPr="4721203F">
        <w:rPr>
          <w:rStyle w:val="st1"/>
          <w:rFonts w:eastAsia="Arial"/>
        </w:rPr>
        <w:t xml:space="preserve">timulating </w:t>
      </w:r>
      <w:r>
        <w:rPr>
          <w:rStyle w:val="st1"/>
          <w:rFonts w:eastAsia="Arial"/>
        </w:rPr>
        <w:t>H</w:t>
      </w:r>
      <w:r w:rsidRPr="4721203F">
        <w:rPr>
          <w:rStyle w:val="st1"/>
          <w:rFonts w:eastAsia="Arial"/>
        </w:rPr>
        <w:t>ormone</w:t>
      </w:r>
    </w:p>
    <w:p w14:paraId="07E77D4C" w14:textId="77777777" w:rsidR="00B454FE" w:rsidRDefault="00B454FE" w:rsidP="00B454FE">
      <w:pPr>
        <w:pStyle w:val="Bullet"/>
        <w:rPr>
          <w:rStyle w:val="st1"/>
          <w:rFonts w:eastAsia="Arial"/>
        </w:rPr>
      </w:pPr>
      <w:r w:rsidRPr="4721203F">
        <w:rPr>
          <w:rStyle w:val="st1"/>
          <w:rFonts w:eastAsia="Arial"/>
        </w:rPr>
        <w:t>FT3:</w:t>
      </w:r>
      <w:r>
        <w:rPr>
          <w:rStyle w:val="st1"/>
          <w:rFonts w:eastAsia="Arial"/>
        </w:rPr>
        <w:t xml:space="preserve"> Free Triiodothyronine</w:t>
      </w:r>
    </w:p>
    <w:p w14:paraId="56BE90E8" w14:textId="77777777" w:rsidR="00B454FE" w:rsidRDefault="00B454FE" w:rsidP="00B454FE">
      <w:pPr>
        <w:pStyle w:val="Bullet"/>
        <w:rPr>
          <w:rStyle w:val="st1"/>
          <w:rFonts w:eastAsia="Arial"/>
        </w:rPr>
      </w:pPr>
      <w:r w:rsidRPr="4721203F">
        <w:rPr>
          <w:rStyle w:val="st1"/>
          <w:rFonts w:eastAsia="Arial"/>
        </w:rPr>
        <w:t>FT4:</w:t>
      </w:r>
      <w:r>
        <w:rPr>
          <w:rStyle w:val="st1"/>
          <w:rFonts w:eastAsia="Arial"/>
        </w:rPr>
        <w:t xml:space="preserve"> Free Thyroxine</w:t>
      </w:r>
    </w:p>
    <w:p w14:paraId="67C9FC21" w14:textId="77777777" w:rsidR="00B454FE" w:rsidRPr="00095185" w:rsidRDefault="00B454FE" w:rsidP="00B454FE">
      <w:pPr>
        <w:pStyle w:val="Bullet"/>
        <w:rPr>
          <w:rStyle w:val="st1"/>
        </w:rPr>
      </w:pPr>
      <w:r>
        <w:t>GH: Growth Hormone</w:t>
      </w:r>
    </w:p>
    <w:p w14:paraId="4ADA74C0" w14:textId="77777777" w:rsidR="00B454FE" w:rsidRDefault="00B454FE" w:rsidP="00B454FE">
      <w:pPr>
        <w:pStyle w:val="Bullet"/>
      </w:pPr>
      <w:r>
        <w:t>IGF: Insulin-like Growth Factor 1</w:t>
      </w:r>
    </w:p>
    <w:p w14:paraId="39BDBFC5" w14:textId="77777777" w:rsidR="00B454FE" w:rsidRDefault="00B454FE" w:rsidP="00B454FE">
      <w:pPr>
        <w:pStyle w:val="Bullet"/>
      </w:pPr>
      <w:r>
        <w:t>LH: Luteinising hormone</w:t>
      </w:r>
    </w:p>
    <w:p w14:paraId="3F72B020" w14:textId="77777777" w:rsidR="00B454FE" w:rsidRDefault="00B454FE" w:rsidP="00B454FE">
      <w:pPr>
        <w:pStyle w:val="Bullet"/>
        <w:rPr>
          <w:rStyle w:val="st1"/>
          <w:rFonts w:eastAsia="Arial"/>
        </w:rPr>
      </w:pPr>
      <w:r w:rsidRPr="4721203F">
        <w:rPr>
          <w:rStyle w:val="st1"/>
          <w:rFonts w:eastAsia="Arial"/>
        </w:rPr>
        <w:t>TCH: The Canberra Hospital</w:t>
      </w:r>
    </w:p>
    <w:p w14:paraId="2DDB8103" w14:textId="77777777" w:rsidR="00B454FE" w:rsidRPr="002010D1" w:rsidRDefault="00B454FE" w:rsidP="00B454FE">
      <w:pPr>
        <w:pStyle w:val="Bullet"/>
        <w:rPr>
          <w:rStyle w:val="st1"/>
          <w:rFonts w:eastAsia="Arial"/>
        </w:rPr>
      </w:pPr>
      <w:r w:rsidRPr="4721203F">
        <w:rPr>
          <w:rStyle w:val="st1"/>
          <w:rFonts w:eastAsia="Arial"/>
        </w:rPr>
        <w:t>TSH: Thyroid stimulating hormone</w:t>
      </w:r>
    </w:p>
    <w:p w14:paraId="58F10B35" w14:textId="77777777" w:rsidR="00B454FE" w:rsidRDefault="00B454FE" w:rsidP="00B454FE">
      <w:pPr>
        <w:pStyle w:val="Bullet"/>
      </w:pPr>
      <w:r w:rsidRPr="4721203F">
        <w:rPr>
          <w:rStyle w:val="st1"/>
          <w:rFonts w:eastAsia="Arial"/>
        </w:rPr>
        <w:t xml:space="preserve">ZES: </w:t>
      </w:r>
      <w:r>
        <w:t>Zollinger - Ellison Syndrome</w:t>
      </w:r>
    </w:p>
    <w:p w14:paraId="3247D628" w14:textId="77777777" w:rsidR="00B454FE" w:rsidRPr="002010D1" w:rsidRDefault="00B454FE" w:rsidP="00B454FE">
      <w:pPr>
        <w:pStyle w:val="Bullet"/>
      </w:pPr>
      <w:r>
        <w:t>Whipple’s triad:</w:t>
      </w:r>
    </w:p>
    <w:p w14:paraId="08EF9793" w14:textId="77777777" w:rsidR="00B454FE" w:rsidRPr="002010D1" w:rsidRDefault="00B454FE" w:rsidP="00B454FE">
      <w:pPr>
        <w:pStyle w:val="Bullet"/>
        <w:numPr>
          <w:ilvl w:val="1"/>
          <w:numId w:val="1"/>
        </w:numPr>
        <w:rPr>
          <w:i/>
        </w:rPr>
      </w:pPr>
      <w:r>
        <w:t>symptoms consistent with hypoglycaemia</w:t>
      </w:r>
    </w:p>
    <w:p w14:paraId="6A968A1D" w14:textId="77777777" w:rsidR="00B454FE" w:rsidRPr="002010D1" w:rsidRDefault="00B454FE" w:rsidP="00B454FE">
      <w:pPr>
        <w:pStyle w:val="Bullet"/>
        <w:numPr>
          <w:ilvl w:val="1"/>
          <w:numId w:val="1"/>
        </w:numPr>
        <w:rPr>
          <w:i/>
        </w:rPr>
      </w:pPr>
      <w:r>
        <w:t>low plasma glucose when symptoms are present</w:t>
      </w:r>
    </w:p>
    <w:p w14:paraId="2C3D5EB7" w14:textId="77777777" w:rsidR="00B454FE" w:rsidRPr="002010D1" w:rsidRDefault="00B454FE" w:rsidP="00B454FE">
      <w:pPr>
        <w:pStyle w:val="Bullet"/>
        <w:numPr>
          <w:ilvl w:val="1"/>
          <w:numId w:val="1"/>
        </w:numPr>
        <w:rPr>
          <w:i/>
        </w:rPr>
      </w:pPr>
      <w:r>
        <w:t>relief of symptoms after plasma glucose level is raised.</w:t>
      </w:r>
    </w:p>
    <w:p w14:paraId="2541965D" w14:textId="77777777" w:rsidR="00280C5D" w:rsidRDefault="00000000" w:rsidP="002D7682">
      <w:pPr>
        <w:pStyle w:val="BodyCopy"/>
      </w:pPr>
      <w:hyperlink w:anchor="_top" w:history="1">
        <w:r w:rsidR="00280C5D" w:rsidRPr="00481A6C">
          <w:rPr>
            <w:rStyle w:val="Hyperlink"/>
            <w:iCs w:val="0"/>
          </w:rPr>
          <w:t>Back to Contents</w:t>
        </w:r>
      </w:hyperlink>
    </w:p>
    <w:p w14:paraId="603231E5" w14:textId="77777777" w:rsidR="0078367D" w:rsidRDefault="0078367D" w:rsidP="00A6051F">
      <w:pPr>
        <w:pStyle w:val="Heading4"/>
      </w:pPr>
      <w:bookmarkStart w:id="24" w:name="_Toc177472827"/>
      <w:r>
        <w:t>Search terms</w:t>
      </w:r>
      <w:bookmarkEnd w:id="24"/>
    </w:p>
    <w:p w14:paraId="6825A60A" w14:textId="77777777" w:rsidR="00B454FE" w:rsidRPr="002010D1" w:rsidRDefault="00B454FE" w:rsidP="00B454FE">
      <w:pPr>
        <w:rPr>
          <w:b/>
        </w:rPr>
      </w:pPr>
      <w:r w:rsidRPr="002010D1">
        <w:t>Short Synacthen Test, Diagnosis of Adrenal Insufficiency, Water Deprivation Test, Diabetes Insipidus, Primary Polydypsia, Insulinoma, Insulin Tolerance Test, Hypopituitarism, Acromegaly, Phaeocromocytoma, Metanephrines, Primary Aldosteronism, Addison’s Disease, Cushing’s Disease, 72 Hour Fast.</w:t>
      </w:r>
    </w:p>
    <w:p w14:paraId="20CBF535" w14:textId="77777777" w:rsidR="00280C5D" w:rsidRDefault="00000000"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4B8AC6EC" w14:textId="576DE81D" w:rsidR="0078367D" w:rsidRPr="009A5010" w:rsidRDefault="0078367D" w:rsidP="00A6051F">
      <w:pPr>
        <w:pStyle w:val="Heading4"/>
      </w:pPr>
      <w:bookmarkStart w:id="25" w:name="_Toc177472828"/>
      <w:r>
        <w:lastRenderedPageBreak/>
        <w:t>Attachments</w:t>
      </w:r>
      <w:bookmarkEnd w:id="25"/>
      <w:r w:rsidR="009746B1">
        <w:t xml:space="preserve"> </w:t>
      </w:r>
    </w:p>
    <w:p w14:paraId="1BCDD5E7" w14:textId="0FCDD442" w:rsidR="0007270D" w:rsidRPr="00B454FE" w:rsidRDefault="001F3ED6" w:rsidP="00B454FE">
      <w:pPr>
        <w:pStyle w:val="Heading7"/>
        <w:rPr>
          <w:b w:val="0"/>
          <w:bCs/>
        </w:rPr>
      </w:pPr>
      <w:r>
        <w:rPr>
          <w:lang w:eastAsia="en-US"/>
        </w:rPr>
        <w:t>Attachment 1</w:t>
      </w:r>
      <w:r w:rsidR="002140AE">
        <w:rPr>
          <w:lang w:eastAsia="en-US"/>
        </w:rPr>
        <w:t xml:space="preserve"> </w:t>
      </w:r>
      <w:r w:rsidR="00B454FE">
        <w:rPr>
          <w:lang w:eastAsia="en-US"/>
        </w:rPr>
        <w:t>Endocrine Test Form</w:t>
      </w:r>
    </w:p>
    <w:p w14:paraId="4293C9EC" w14:textId="77777777" w:rsidR="007B1A7B" w:rsidRPr="00B454FE" w:rsidRDefault="00000000" w:rsidP="002D7682">
      <w:pPr>
        <w:pStyle w:val="Bullet"/>
        <w:numPr>
          <w:ilvl w:val="0"/>
          <w:numId w:val="0"/>
        </w:numPr>
        <w:spacing w:after="240"/>
        <w:rPr>
          <w:rStyle w:val="Hyperlink"/>
          <w:bCs/>
        </w:rPr>
      </w:pPr>
      <w:hyperlink w:anchor="_top" w:history="1">
        <w:r w:rsidR="002D7682" w:rsidRPr="00B454FE">
          <w:rPr>
            <w:rStyle w:val="Hyperlink"/>
            <w:bCs/>
          </w:rPr>
          <w:t>Back to Contents</w:t>
        </w:r>
      </w:hyperlink>
    </w:p>
    <w:p w14:paraId="3AB635C1" w14:textId="77777777" w:rsidR="007B1A7B" w:rsidRDefault="007B1A7B">
      <w:pPr>
        <w:spacing w:before="0" w:after="0" w:line="240" w:lineRule="auto"/>
        <w:rPr>
          <w:rStyle w:val="Hyperlink"/>
          <w:rFonts w:eastAsia="Times New Roman"/>
        </w:rPr>
      </w:pPr>
      <w:r>
        <w:rPr>
          <w:rStyle w:val="Hyperlink"/>
        </w:rPr>
        <w:br w:type="page"/>
      </w:r>
    </w:p>
    <w:p w14:paraId="7B3910D7"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5B6DC296"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5747FF3E" w14:textId="77777777" w:rsidR="00280C5D" w:rsidRDefault="00280C5D" w:rsidP="003B0E72">
            <w:pPr>
              <w:pStyle w:val="Tableheader"/>
            </w:pPr>
            <w:r>
              <w:t>Date amended</w:t>
            </w:r>
          </w:p>
        </w:tc>
        <w:tc>
          <w:tcPr>
            <w:tcW w:w="2477" w:type="dxa"/>
          </w:tcPr>
          <w:p w14:paraId="0017C02C" w14:textId="77777777" w:rsidR="00280C5D" w:rsidRDefault="00280C5D" w:rsidP="003B0E72">
            <w:pPr>
              <w:pStyle w:val="Tableheader"/>
            </w:pPr>
            <w:r>
              <w:t>Section amended</w:t>
            </w:r>
          </w:p>
        </w:tc>
        <w:tc>
          <w:tcPr>
            <w:tcW w:w="2555" w:type="dxa"/>
          </w:tcPr>
          <w:p w14:paraId="2A3418E0" w14:textId="77777777" w:rsidR="00280C5D" w:rsidRDefault="00280C5D" w:rsidP="003B0E72">
            <w:pPr>
              <w:pStyle w:val="Tableheader"/>
            </w:pPr>
            <w:r>
              <w:t>Divisional approval</w:t>
            </w:r>
          </w:p>
        </w:tc>
        <w:tc>
          <w:tcPr>
            <w:tcW w:w="2403" w:type="dxa"/>
          </w:tcPr>
          <w:p w14:paraId="2BAB0865" w14:textId="77777777" w:rsidR="00280C5D" w:rsidRDefault="00280C5D" w:rsidP="003B0E72">
            <w:pPr>
              <w:pStyle w:val="Tableheader"/>
            </w:pPr>
            <w:r>
              <w:t>Final approval</w:t>
            </w:r>
          </w:p>
        </w:tc>
      </w:tr>
      <w:tr w:rsidR="00280C5D" w14:paraId="7568024A" w14:textId="77777777" w:rsidTr="003B0E72">
        <w:tc>
          <w:tcPr>
            <w:tcW w:w="2476" w:type="dxa"/>
          </w:tcPr>
          <w:p w14:paraId="1CCEE1AA" w14:textId="7CDCF3AE" w:rsidR="00280C5D" w:rsidRDefault="0022715F" w:rsidP="003B0E72">
            <w:pPr>
              <w:pStyle w:val="Tablebody"/>
              <w:rPr>
                <w:lang w:eastAsia="en-US"/>
              </w:rPr>
            </w:pPr>
            <w:r>
              <w:rPr>
                <w:lang w:eastAsia="en-US"/>
              </w:rPr>
              <w:t>18/09/2024</w:t>
            </w:r>
          </w:p>
        </w:tc>
        <w:tc>
          <w:tcPr>
            <w:tcW w:w="2477" w:type="dxa"/>
          </w:tcPr>
          <w:p w14:paraId="47B4032F" w14:textId="62E7A790" w:rsidR="00280C5D" w:rsidRDefault="0022715F" w:rsidP="003B0E72">
            <w:pPr>
              <w:pStyle w:val="Tablebody"/>
              <w:rPr>
                <w:lang w:eastAsia="en-US"/>
              </w:rPr>
            </w:pPr>
            <w:r>
              <w:rPr>
                <w:lang w:eastAsia="en-US"/>
              </w:rPr>
              <w:t>Complete Review</w:t>
            </w:r>
          </w:p>
        </w:tc>
        <w:tc>
          <w:tcPr>
            <w:tcW w:w="2555" w:type="dxa"/>
          </w:tcPr>
          <w:p w14:paraId="5FEB0667" w14:textId="636DDA97" w:rsidR="00280C5D" w:rsidRDefault="0022715F" w:rsidP="003B0E72">
            <w:pPr>
              <w:pStyle w:val="Tablebody"/>
              <w:rPr>
                <w:lang w:eastAsia="en-US"/>
              </w:rPr>
            </w:pPr>
            <w:r>
              <w:rPr>
                <w:lang w:eastAsia="en-US"/>
              </w:rPr>
              <w:t>Andrew Slattery, ED, Medicine</w:t>
            </w:r>
          </w:p>
        </w:tc>
        <w:tc>
          <w:tcPr>
            <w:tcW w:w="2403" w:type="dxa"/>
          </w:tcPr>
          <w:p w14:paraId="56617F93" w14:textId="0950E138" w:rsidR="00280C5D" w:rsidRDefault="0022715F" w:rsidP="003B0E72">
            <w:pPr>
              <w:pStyle w:val="Tablebody"/>
              <w:rPr>
                <w:lang w:eastAsia="en-US"/>
              </w:rPr>
            </w:pPr>
            <w:r>
              <w:rPr>
                <w:lang w:eastAsia="en-US"/>
              </w:rPr>
              <w:t>OOS</w:t>
            </w:r>
          </w:p>
        </w:tc>
      </w:tr>
      <w:tr w:rsidR="00280C5D" w14:paraId="378C5EA7" w14:textId="77777777" w:rsidTr="003B0E72">
        <w:tc>
          <w:tcPr>
            <w:tcW w:w="2476" w:type="dxa"/>
          </w:tcPr>
          <w:p w14:paraId="322CD38F" w14:textId="77777777" w:rsidR="00280C5D" w:rsidRDefault="00280C5D" w:rsidP="003B0E72">
            <w:pPr>
              <w:pStyle w:val="Tablebody"/>
              <w:rPr>
                <w:lang w:eastAsia="en-US"/>
              </w:rPr>
            </w:pPr>
          </w:p>
        </w:tc>
        <w:tc>
          <w:tcPr>
            <w:tcW w:w="2477" w:type="dxa"/>
          </w:tcPr>
          <w:p w14:paraId="7CBCE665" w14:textId="77777777" w:rsidR="00280C5D" w:rsidRDefault="00280C5D" w:rsidP="003B0E72">
            <w:pPr>
              <w:pStyle w:val="Tablebody"/>
              <w:rPr>
                <w:lang w:eastAsia="en-US"/>
              </w:rPr>
            </w:pPr>
          </w:p>
        </w:tc>
        <w:tc>
          <w:tcPr>
            <w:tcW w:w="2555" w:type="dxa"/>
          </w:tcPr>
          <w:p w14:paraId="75DF9B89" w14:textId="77777777" w:rsidR="00280C5D" w:rsidRDefault="00280C5D" w:rsidP="003B0E72">
            <w:pPr>
              <w:pStyle w:val="Tablebody"/>
              <w:rPr>
                <w:lang w:eastAsia="en-US"/>
              </w:rPr>
            </w:pPr>
          </w:p>
        </w:tc>
        <w:tc>
          <w:tcPr>
            <w:tcW w:w="2403" w:type="dxa"/>
          </w:tcPr>
          <w:p w14:paraId="1E5ED7E0" w14:textId="77777777" w:rsidR="00280C5D" w:rsidRDefault="00280C5D" w:rsidP="003B0E72">
            <w:pPr>
              <w:pStyle w:val="Tablebody"/>
              <w:rPr>
                <w:lang w:eastAsia="en-US"/>
              </w:rPr>
            </w:pPr>
          </w:p>
        </w:tc>
      </w:tr>
    </w:tbl>
    <w:p w14:paraId="1F1801F0"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62B1CFC5"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770F22C9" w14:textId="77777777" w:rsidR="00280C5D" w:rsidRDefault="00280C5D" w:rsidP="003B0E72">
            <w:pPr>
              <w:pStyle w:val="Tableheader"/>
            </w:pPr>
            <w:r>
              <w:t>Document number</w:t>
            </w:r>
          </w:p>
        </w:tc>
        <w:tc>
          <w:tcPr>
            <w:tcW w:w="7653" w:type="dxa"/>
          </w:tcPr>
          <w:p w14:paraId="1AB6679E" w14:textId="77777777" w:rsidR="00280C5D" w:rsidRDefault="00280C5D" w:rsidP="003B0E72">
            <w:pPr>
              <w:pStyle w:val="Tableheader"/>
            </w:pPr>
            <w:r>
              <w:t>Document name</w:t>
            </w:r>
          </w:p>
        </w:tc>
      </w:tr>
      <w:tr w:rsidR="00280C5D" w14:paraId="600D8184" w14:textId="77777777" w:rsidTr="003B0E72">
        <w:tc>
          <w:tcPr>
            <w:tcW w:w="2548" w:type="dxa"/>
          </w:tcPr>
          <w:p w14:paraId="5A7C9B52" w14:textId="1A98CE21" w:rsidR="00280C5D" w:rsidRDefault="0022715F" w:rsidP="003B0E72">
            <w:pPr>
              <w:pStyle w:val="Tablebody"/>
              <w:rPr>
                <w:lang w:eastAsia="en-US"/>
              </w:rPr>
            </w:pPr>
            <w:r>
              <w:rPr>
                <w:lang w:eastAsia="en-US"/>
              </w:rPr>
              <w:t xml:space="preserve">CHHS17/211 </w:t>
            </w:r>
          </w:p>
        </w:tc>
        <w:tc>
          <w:tcPr>
            <w:tcW w:w="7653" w:type="dxa"/>
          </w:tcPr>
          <w:p w14:paraId="795F820F" w14:textId="1B8528A5" w:rsidR="00280C5D" w:rsidRDefault="0022715F" w:rsidP="003B0E72">
            <w:pPr>
              <w:pStyle w:val="Tablebody"/>
              <w:rPr>
                <w:lang w:eastAsia="en-US"/>
              </w:rPr>
            </w:pPr>
            <w:r>
              <w:rPr>
                <w:lang w:eastAsia="en-US"/>
              </w:rPr>
              <w:t>Endocrine Dynamic Testing</w:t>
            </w:r>
          </w:p>
        </w:tc>
      </w:tr>
      <w:tr w:rsidR="00280C5D" w14:paraId="306CF928" w14:textId="77777777" w:rsidTr="003B0E72">
        <w:tc>
          <w:tcPr>
            <w:tcW w:w="2548" w:type="dxa"/>
          </w:tcPr>
          <w:p w14:paraId="012E9FC4" w14:textId="77777777" w:rsidR="00280C5D" w:rsidRDefault="00280C5D" w:rsidP="003B0E72">
            <w:pPr>
              <w:pStyle w:val="Tablebody"/>
              <w:rPr>
                <w:lang w:eastAsia="en-US"/>
              </w:rPr>
            </w:pPr>
          </w:p>
        </w:tc>
        <w:tc>
          <w:tcPr>
            <w:tcW w:w="7653" w:type="dxa"/>
          </w:tcPr>
          <w:p w14:paraId="74B3CA83" w14:textId="77777777" w:rsidR="00280C5D" w:rsidRDefault="00280C5D" w:rsidP="003B0E72">
            <w:pPr>
              <w:pStyle w:val="Tablebody"/>
              <w:rPr>
                <w:lang w:eastAsia="en-US"/>
              </w:rPr>
            </w:pPr>
          </w:p>
        </w:tc>
      </w:tr>
    </w:tbl>
    <w:p w14:paraId="5F9F3265" w14:textId="77777777" w:rsidR="00280C5D" w:rsidRPr="001F3ED6" w:rsidRDefault="00280C5D" w:rsidP="001F3ED6">
      <w:pPr>
        <w:pStyle w:val="BodyCopy"/>
        <w:rPr>
          <w:rStyle w:val="Bold"/>
        </w:rPr>
      </w:pPr>
      <w:r w:rsidRPr="001F3ED6">
        <w:rPr>
          <w:rStyle w:val="Bold"/>
        </w:rPr>
        <w:t>Disclaimer</w:t>
      </w:r>
    </w:p>
    <w:p w14:paraId="795D35BD"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07E386D4" w14:textId="77777777" w:rsidR="00280C5D" w:rsidRDefault="00000000" w:rsidP="00280C5D">
      <w:pPr>
        <w:pStyle w:val="Bullet"/>
        <w:numPr>
          <w:ilvl w:val="0"/>
          <w:numId w:val="0"/>
        </w:numPr>
        <w:rPr>
          <w:rStyle w:val="Hyperlink"/>
        </w:rPr>
      </w:pPr>
      <w:hyperlink w:anchor="_top" w:history="1">
        <w:r w:rsidR="00280C5D" w:rsidRPr="00481A6C">
          <w:rPr>
            <w:rStyle w:val="Hyperlink"/>
          </w:rPr>
          <w:t>Back to Contents</w:t>
        </w:r>
      </w:hyperlink>
    </w:p>
    <w:p w14:paraId="3EB82D89"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563FAAA9" w14:textId="77777777" w:rsidTr="003B0E72">
        <w:tc>
          <w:tcPr>
            <w:tcW w:w="5529" w:type="dxa"/>
            <w:shd w:val="clear" w:color="auto" w:fill="F4F3EE"/>
            <w:tcMar>
              <w:top w:w="142" w:type="dxa"/>
              <w:left w:w="170" w:type="dxa"/>
              <w:bottom w:w="142" w:type="dxa"/>
              <w:right w:w="170" w:type="dxa"/>
            </w:tcMar>
          </w:tcPr>
          <w:bookmarkStart w:id="26" w:name="_Hlk160027189" w:displacedByCustomXml="next"/>
          <w:sdt>
            <w:sdtPr>
              <w:rPr>
                <w:color w:val="auto"/>
                <w:u w:val="single"/>
              </w:rPr>
              <w:id w:val="643171884"/>
              <w:placeholder>
                <w:docPart w:val="2710072C03A74ED8BAFC406CEDE995E3"/>
              </w:placeholder>
            </w:sdtPr>
            <w:sdtEndPr>
              <w:rPr>
                <w:color w:val="000000" w:themeColor="text1"/>
                <w:u w:val="none"/>
              </w:rPr>
            </w:sdtEndPr>
            <w:sdtContent>
              <w:p w14:paraId="3AB7B54A" w14:textId="77777777" w:rsidR="00280C5D" w:rsidRPr="00350211" w:rsidRDefault="00280C5D" w:rsidP="003B0E72">
                <w:pPr>
                  <w:pStyle w:val="Bottomblocktext"/>
                  <w:rPr>
                    <w:b/>
                    <w:bCs w:val="0"/>
                    <w:sz w:val="20"/>
                    <w:szCs w:val="20"/>
                  </w:rPr>
                </w:pPr>
                <w:r>
                  <w:rPr>
                    <w:noProof/>
                    <w:sz w:val="20"/>
                    <w:szCs w:val="20"/>
                  </w:rPr>
                  <w:drawing>
                    <wp:inline distT="0" distB="0" distL="0" distR="0" wp14:anchorId="6DF944BB" wp14:editId="0ECE9A5F">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4B2AD87"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45B7DF1F"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F5A9D816D6C44B1295D4953732D1F83B"/>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93C9BA58E9D042908B3357CC7E724935"/>
            </w:placeholder>
            <w:showingPlcHdr/>
          </w:sdtPr>
          <w:sdtContent>
            <w:tc>
              <w:tcPr>
                <w:tcW w:w="4665" w:type="dxa"/>
                <w:shd w:val="clear" w:color="auto" w:fill="F4F3EE"/>
                <w:tcMar>
                  <w:top w:w="142" w:type="dxa"/>
                  <w:left w:w="170" w:type="dxa"/>
                  <w:bottom w:w="142" w:type="dxa"/>
                  <w:right w:w="170" w:type="dxa"/>
                </w:tcMar>
              </w:tcPr>
              <w:p w14:paraId="39F7824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704D94C" wp14:editId="00110797">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85CCA34" wp14:editId="0AC5F607">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74CB0D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677C1014" wp14:editId="1D81CF8C">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03E024" wp14:editId="67BA73FB">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429B913" w14:textId="77777777" w:rsidR="00280C5D" w:rsidRDefault="00000000" w:rsidP="003B0E72">
                <w:pPr>
                  <w:pStyle w:val="Bottomblocktext"/>
                  <w:rPr>
                    <w:sz w:val="20"/>
                    <w:szCs w:val="20"/>
                  </w:rPr>
                </w:pPr>
                <w:hyperlink r:id="rId29" w:history="1">
                  <w:r w:rsidR="00280C5D" w:rsidRPr="00350211">
                    <w:rPr>
                      <w:rStyle w:val="Hyperlink"/>
                      <w:sz w:val="20"/>
                      <w:szCs w:val="20"/>
                    </w:rPr>
                    <w:t>canberrahealthservices.act.gov.au/accessibility</w:t>
                  </w:r>
                </w:hyperlink>
              </w:p>
              <w:p w14:paraId="4FADB683" w14:textId="77777777" w:rsidR="00280C5D" w:rsidRDefault="00280C5D" w:rsidP="003B0E72">
                <w:pPr>
                  <w:pStyle w:val="Bottomblocktext"/>
                </w:pPr>
                <w:r>
                  <w:rPr>
                    <w:b/>
                    <w:bCs w:val="0"/>
                    <w:noProof/>
                  </w:rPr>
                  <w:drawing>
                    <wp:inline distT="0" distB="0" distL="0" distR="0" wp14:anchorId="77005925" wp14:editId="6368CF0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6"/>
    </w:tbl>
    <w:p w14:paraId="638304E3" w14:textId="77777777" w:rsidR="00201AF6" w:rsidRDefault="00201AF6" w:rsidP="000E7683">
      <w:pPr>
        <w:rPr>
          <w:lang w:eastAsia="en-US"/>
        </w:rPr>
      </w:pPr>
    </w:p>
    <w:p w14:paraId="345F5D18" w14:textId="77777777" w:rsidR="00201AF6" w:rsidRDefault="00201AF6">
      <w:pPr>
        <w:spacing w:before="0" w:after="0" w:line="240" w:lineRule="auto"/>
        <w:rPr>
          <w:lang w:eastAsia="en-US"/>
        </w:rPr>
      </w:pPr>
      <w:r>
        <w:rPr>
          <w:lang w:eastAsia="en-US"/>
        </w:rPr>
        <w:br w:type="page"/>
      </w:r>
    </w:p>
    <w:p w14:paraId="49833962" w14:textId="41363413" w:rsidR="004A7A7F" w:rsidRDefault="00201AF6" w:rsidP="00B454FE">
      <w:pPr>
        <w:pStyle w:val="Heading5"/>
      </w:pPr>
      <w:r>
        <w:lastRenderedPageBreak/>
        <w:t xml:space="preserve">Attachment 1 </w:t>
      </w:r>
      <w:r w:rsidR="00B454FE">
        <w:t>– Endocrine Test Form</w:t>
      </w:r>
    </w:p>
    <w:p w14:paraId="377D0784" w14:textId="5AD1760E" w:rsidR="00201AF6" w:rsidRDefault="00201AF6" w:rsidP="00201AF6">
      <w:pPr>
        <w:pStyle w:val="BodyCopy"/>
      </w:pPr>
    </w:p>
    <w:p w14:paraId="0EEF742B" w14:textId="13485CBB" w:rsidR="00B454FE" w:rsidRDefault="00B454FE" w:rsidP="00201AF6">
      <w:pPr>
        <w:pStyle w:val="BodyCopy"/>
      </w:pPr>
      <w:r w:rsidRPr="002010D1">
        <w:rPr>
          <w:noProof/>
        </w:rPr>
        <w:drawing>
          <wp:inline distT="0" distB="0" distL="0" distR="0" wp14:anchorId="5A1A33DF" wp14:editId="3A44C5DB">
            <wp:extent cx="4933950" cy="7008487"/>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4940236" cy="7017416"/>
                    </a:xfrm>
                    <a:prstGeom prst="rect">
                      <a:avLst/>
                    </a:prstGeom>
                    <a:noFill/>
                    <a:ln w="9525">
                      <a:noFill/>
                      <a:miter lim="800000"/>
                      <a:headEnd/>
                      <a:tailEnd/>
                    </a:ln>
                  </pic:spPr>
                </pic:pic>
              </a:graphicData>
            </a:graphic>
          </wp:inline>
        </w:drawing>
      </w:r>
    </w:p>
    <w:p w14:paraId="6233881A" w14:textId="77777777" w:rsidR="00A513AA" w:rsidRDefault="00A513AA" w:rsidP="00201AF6">
      <w:pPr>
        <w:pStyle w:val="BodyCopy"/>
      </w:pPr>
    </w:p>
    <w:sectPr w:rsidR="00A513AA" w:rsidSect="0007270D">
      <w:footerReference w:type="default" r:id="rId32"/>
      <w:headerReference w:type="first" r:id="rId33"/>
      <w:footerReference w:type="first" r:id="rId34"/>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C243" w14:textId="77777777" w:rsidR="00044AD6" w:rsidRDefault="00044AD6" w:rsidP="00225769">
      <w:pPr>
        <w:spacing w:after="0" w:line="240" w:lineRule="auto"/>
      </w:pPr>
      <w:r>
        <w:separator/>
      </w:r>
    </w:p>
    <w:p w14:paraId="0424666D" w14:textId="77777777" w:rsidR="00044AD6" w:rsidRDefault="00044AD6"/>
    <w:p w14:paraId="037A0E29" w14:textId="77777777" w:rsidR="00044AD6" w:rsidRDefault="00044AD6"/>
    <w:p w14:paraId="7C7DF4F6" w14:textId="77777777" w:rsidR="00044AD6" w:rsidRDefault="00044AD6"/>
    <w:p w14:paraId="072B78CF" w14:textId="77777777" w:rsidR="00044AD6" w:rsidRDefault="00044AD6"/>
    <w:p w14:paraId="29C63EFE" w14:textId="77777777" w:rsidR="00044AD6" w:rsidRDefault="00044AD6"/>
    <w:p w14:paraId="356B6D0B" w14:textId="77777777" w:rsidR="00044AD6" w:rsidRDefault="00044AD6"/>
  </w:endnote>
  <w:endnote w:type="continuationSeparator" w:id="0">
    <w:p w14:paraId="26510721" w14:textId="77777777" w:rsidR="00044AD6" w:rsidRDefault="00044AD6" w:rsidP="00225769">
      <w:pPr>
        <w:spacing w:after="0" w:line="240" w:lineRule="auto"/>
      </w:pPr>
      <w:r>
        <w:continuationSeparator/>
      </w:r>
    </w:p>
    <w:p w14:paraId="0D8B3BDB" w14:textId="77777777" w:rsidR="00044AD6" w:rsidRDefault="00044AD6"/>
    <w:p w14:paraId="3184033F" w14:textId="77777777" w:rsidR="00044AD6" w:rsidRDefault="00044AD6"/>
    <w:p w14:paraId="307D54B1" w14:textId="77777777" w:rsidR="00044AD6" w:rsidRDefault="00044AD6"/>
    <w:p w14:paraId="5326C4BE" w14:textId="77777777" w:rsidR="00044AD6" w:rsidRDefault="00044AD6"/>
    <w:p w14:paraId="1156A0F1" w14:textId="77777777" w:rsidR="00044AD6" w:rsidRDefault="00044AD6"/>
    <w:p w14:paraId="4368F0F4" w14:textId="77777777" w:rsidR="00044AD6" w:rsidRDefault="0004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A2DC89C" w14:textId="77777777" w:rsidTr="003B0E72">
      <w:trPr>
        <w:jc w:val="center"/>
      </w:trPr>
      <w:tc>
        <w:tcPr>
          <w:tcW w:w="1515" w:type="dxa"/>
        </w:tcPr>
        <w:p w14:paraId="3093299D"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18B03CE3"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C1C8391"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2CF026DF"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141000A5"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44F5864B"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22715F" w:rsidRPr="006B62B4" w14:paraId="7863E198" w14:textId="77777777" w:rsidTr="003B0E72">
      <w:trPr>
        <w:jc w:val="center"/>
      </w:trPr>
      <w:tc>
        <w:tcPr>
          <w:tcW w:w="1515" w:type="dxa"/>
        </w:tcPr>
        <w:p w14:paraId="6975C895" w14:textId="46468578" w:rsidR="0022715F" w:rsidRPr="00954F7B" w:rsidRDefault="0022715F" w:rsidP="0022715F">
          <w:pPr>
            <w:pStyle w:val="Footer"/>
            <w:jc w:val="center"/>
            <w:rPr>
              <w:bCs/>
              <w:iCs/>
              <w:sz w:val="20"/>
              <w:szCs w:val="20"/>
            </w:rPr>
          </w:pPr>
          <w:r>
            <w:rPr>
              <w:bCs/>
              <w:iCs/>
              <w:sz w:val="20"/>
              <w:szCs w:val="20"/>
            </w:rPr>
            <w:t>CHS24/427</w:t>
          </w:r>
        </w:p>
      </w:tc>
      <w:tc>
        <w:tcPr>
          <w:tcW w:w="965" w:type="dxa"/>
        </w:tcPr>
        <w:p w14:paraId="669CFA02" w14:textId="01B4DF8B" w:rsidR="0022715F" w:rsidRPr="00954F7B" w:rsidRDefault="0022715F" w:rsidP="0022715F">
          <w:pPr>
            <w:pStyle w:val="Footer"/>
            <w:jc w:val="center"/>
            <w:rPr>
              <w:bCs/>
              <w:iCs/>
              <w:sz w:val="20"/>
              <w:szCs w:val="20"/>
            </w:rPr>
          </w:pPr>
          <w:r>
            <w:rPr>
              <w:bCs/>
              <w:iCs/>
              <w:sz w:val="20"/>
              <w:szCs w:val="20"/>
            </w:rPr>
            <w:t>2.0</w:t>
          </w:r>
        </w:p>
      </w:tc>
      <w:tc>
        <w:tcPr>
          <w:tcW w:w="1552" w:type="dxa"/>
        </w:tcPr>
        <w:p w14:paraId="2F2FFE90" w14:textId="30C2A7A0" w:rsidR="0022715F" w:rsidRPr="00954F7B" w:rsidRDefault="0022715F" w:rsidP="0022715F">
          <w:pPr>
            <w:pStyle w:val="Footer"/>
            <w:jc w:val="center"/>
            <w:rPr>
              <w:bCs/>
              <w:iCs/>
              <w:sz w:val="20"/>
              <w:szCs w:val="20"/>
            </w:rPr>
          </w:pPr>
          <w:r>
            <w:rPr>
              <w:bCs/>
              <w:iCs/>
              <w:sz w:val="20"/>
              <w:szCs w:val="20"/>
            </w:rPr>
            <w:t>18/09/2024</w:t>
          </w:r>
        </w:p>
      </w:tc>
      <w:tc>
        <w:tcPr>
          <w:tcW w:w="1456" w:type="dxa"/>
        </w:tcPr>
        <w:p w14:paraId="5F459A00" w14:textId="03137D4A" w:rsidR="0022715F" w:rsidRPr="00954F7B" w:rsidRDefault="0022715F" w:rsidP="0022715F">
          <w:pPr>
            <w:pStyle w:val="Footer"/>
            <w:jc w:val="center"/>
            <w:rPr>
              <w:bCs/>
              <w:iCs/>
              <w:sz w:val="20"/>
              <w:szCs w:val="20"/>
            </w:rPr>
          </w:pPr>
          <w:r>
            <w:rPr>
              <w:bCs/>
              <w:iCs/>
              <w:sz w:val="20"/>
              <w:szCs w:val="20"/>
            </w:rPr>
            <w:t>01/01/2027</w:t>
          </w:r>
        </w:p>
      </w:tc>
      <w:tc>
        <w:tcPr>
          <w:tcW w:w="1746" w:type="dxa"/>
        </w:tcPr>
        <w:p w14:paraId="0C31DAFA" w14:textId="0C14994E" w:rsidR="0022715F" w:rsidRPr="00954F7B" w:rsidRDefault="0022715F" w:rsidP="0022715F">
          <w:pPr>
            <w:pStyle w:val="Footer"/>
            <w:jc w:val="center"/>
            <w:rPr>
              <w:bCs/>
              <w:iCs/>
              <w:sz w:val="20"/>
              <w:szCs w:val="20"/>
            </w:rPr>
          </w:pPr>
          <w:r>
            <w:rPr>
              <w:bCs/>
              <w:iCs/>
              <w:sz w:val="20"/>
              <w:szCs w:val="20"/>
            </w:rPr>
            <w:t>Medicine</w:t>
          </w:r>
        </w:p>
      </w:tc>
      <w:tc>
        <w:tcPr>
          <w:tcW w:w="1836" w:type="dxa"/>
        </w:tcPr>
        <w:p w14:paraId="6FAA6EA7" w14:textId="77777777" w:rsidR="0022715F" w:rsidRPr="00954F7B" w:rsidRDefault="0022715F" w:rsidP="0022715F">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AD277D6"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7A0C42BA" w14:textId="77777777" w:rsidTr="008E1ED9">
      <w:trPr>
        <w:jc w:val="center"/>
      </w:trPr>
      <w:tc>
        <w:tcPr>
          <w:tcW w:w="1515" w:type="dxa"/>
        </w:tcPr>
        <w:p w14:paraId="56B8D928"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C6FABF3"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32449A4"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1229F38B"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E70E29A"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BB2163E"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1CF883F4" w14:textId="77777777" w:rsidTr="008E1ED9">
      <w:trPr>
        <w:jc w:val="center"/>
      </w:trPr>
      <w:tc>
        <w:tcPr>
          <w:tcW w:w="1515" w:type="dxa"/>
        </w:tcPr>
        <w:p w14:paraId="4368E3AA" w14:textId="79C1B7B8" w:rsidR="008A3DD8" w:rsidRPr="00954F7B" w:rsidRDefault="0022715F" w:rsidP="008A3DD8">
          <w:pPr>
            <w:pStyle w:val="Footer"/>
            <w:jc w:val="center"/>
            <w:rPr>
              <w:bCs/>
              <w:iCs/>
              <w:sz w:val="20"/>
              <w:szCs w:val="20"/>
            </w:rPr>
          </w:pPr>
          <w:r>
            <w:rPr>
              <w:bCs/>
              <w:iCs/>
              <w:sz w:val="20"/>
              <w:szCs w:val="20"/>
            </w:rPr>
            <w:t>CHS24/427</w:t>
          </w:r>
        </w:p>
      </w:tc>
      <w:tc>
        <w:tcPr>
          <w:tcW w:w="965" w:type="dxa"/>
        </w:tcPr>
        <w:p w14:paraId="29F2C19B" w14:textId="3E947605" w:rsidR="008A3DD8" w:rsidRPr="00954F7B" w:rsidRDefault="0022715F" w:rsidP="008A3DD8">
          <w:pPr>
            <w:pStyle w:val="Footer"/>
            <w:jc w:val="center"/>
            <w:rPr>
              <w:bCs/>
              <w:iCs/>
              <w:sz w:val="20"/>
              <w:szCs w:val="20"/>
            </w:rPr>
          </w:pPr>
          <w:r>
            <w:rPr>
              <w:bCs/>
              <w:iCs/>
              <w:sz w:val="20"/>
              <w:szCs w:val="20"/>
            </w:rPr>
            <w:t>2.0</w:t>
          </w:r>
        </w:p>
      </w:tc>
      <w:tc>
        <w:tcPr>
          <w:tcW w:w="1552" w:type="dxa"/>
        </w:tcPr>
        <w:p w14:paraId="60FA30C5" w14:textId="0AC55B53" w:rsidR="008A3DD8" w:rsidRPr="00954F7B" w:rsidRDefault="0022715F" w:rsidP="008A3DD8">
          <w:pPr>
            <w:pStyle w:val="Footer"/>
            <w:jc w:val="center"/>
            <w:rPr>
              <w:bCs/>
              <w:iCs/>
              <w:sz w:val="20"/>
              <w:szCs w:val="20"/>
            </w:rPr>
          </w:pPr>
          <w:r>
            <w:rPr>
              <w:bCs/>
              <w:iCs/>
              <w:sz w:val="20"/>
              <w:szCs w:val="20"/>
            </w:rPr>
            <w:t>18/09/2024</w:t>
          </w:r>
        </w:p>
      </w:tc>
      <w:tc>
        <w:tcPr>
          <w:tcW w:w="1456" w:type="dxa"/>
        </w:tcPr>
        <w:p w14:paraId="792DF11F" w14:textId="67583383" w:rsidR="008A3DD8" w:rsidRPr="00954F7B" w:rsidRDefault="0022715F" w:rsidP="008A3DD8">
          <w:pPr>
            <w:pStyle w:val="Footer"/>
            <w:jc w:val="center"/>
            <w:rPr>
              <w:bCs/>
              <w:iCs/>
              <w:sz w:val="20"/>
              <w:szCs w:val="20"/>
            </w:rPr>
          </w:pPr>
          <w:r>
            <w:rPr>
              <w:bCs/>
              <w:iCs/>
              <w:sz w:val="20"/>
              <w:szCs w:val="20"/>
            </w:rPr>
            <w:t>01/01/2027</w:t>
          </w:r>
        </w:p>
      </w:tc>
      <w:tc>
        <w:tcPr>
          <w:tcW w:w="1746" w:type="dxa"/>
        </w:tcPr>
        <w:p w14:paraId="72882041" w14:textId="299BA610" w:rsidR="008A3DD8" w:rsidRPr="00954F7B" w:rsidRDefault="0022715F" w:rsidP="008A3DD8">
          <w:pPr>
            <w:pStyle w:val="Footer"/>
            <w:jc w:val="center"/>
            <w:rPr>
              <w:bCs/>
              <w:iCs/>
              <w:sz w:val="20"/>
              <w:szCs w:val="20"/>
            </w:rPr>
          </w:pPr>
          <w:r>
            <w:rPr>
              <w:bCs/>
              <w:iCs/>
              <w:sz w:val="20"/>
              <w:szCs w:val="20"/>
            </w:rPr>
            <w:t>Medicine</w:t>
          </w:r>
        </w:p>
      </w:tc>
      <w:tc>
        <w:tcPr>
          <w:tcW w:w="1836" w:type="dxa"/>
        </w:tcPr>
        <w:p w14:paraId="6B4A5054"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4EAEE9A"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0630" w14:textId="77777777" w:rsidR="00044AD6" w:rsidRDefault="00044AD6" w:rsidP="009D493B">
      <w:pPr>
        <w:spacing w:after="0" w:line="240" w:lineRule="auto"/>
      </w:pPr>
      <w:r>
        <w:separator/>
      </w:r>
    </w:p>
  </w:footnote>
  <w:footnote w:type="continuationSeparator" w:id="0">
    <w:p w14:paraId="4ADF17D7" w14:textId="77777777" w:rsidR="00044AD6" w:rsidRDefault="00044AD6" w:rsidP="00A9080B">
      <w:pPr>
        <w:spacing w:after="0" w:line="240" w:lineRule="auto"/>
      </w:pPr>
      <w:r>
        <w:continuationSeparator/>
      </w:r>
    </w:p>
    <w:p w14:paraId="6BA280E0" w14:textId="77777777" w:rsidR="00044AD6" w:rsidRDefault="00044AD6"/>
    <w:p w14:paraId="5436EF2F" w14:textId="77777777" w:rsidR="00044AD6" w:rsidRDefault="00044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A3E8" w14:textId="77777777" w:rsidR="008A3DD8" w:rsidRDefault="008A3DD8">
    <w:pPr>
      <w:pStyle w:val="Header"/>
    </w:pPr>
    <w:r w:rsidRPr="00324CF9">
      <w:rPr>
        <w:noProof/>
      </w:rPr>
      <w:drawing>
        <wp:inline distT="0" distB="0" distL="0" distR="0" wp14:anchorId="452E67E8" wp14:editId="20550022">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C2352"/>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1E5E3016"/>
    <w:multiLevelType w:val="hybridMultilevel"/>
    <w:tmpl w:val="12AC92C4"/>
    <w:lvl w:ilvl="0" w:tplc="5686A47E">
      <w:start w:val="1"/>
      <w:numFmt w:val="decimal"/>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308A5EB0"/>
    <w:multiLevelType w:val="hybridMultilevel"/>
    <w:tmpl w:val="D7E4FEC8"/>
    <w:lvl w:ilvl="0" w:tplc="EC5C49A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BAD848"/>
    <w:multiLevelType w:val="hybridMultilevel"/>
    <w:tmpl w:val="E39458F2"/>
    <w:lvl w:ilvl="0" w:tplc="C64ABFB6">
      <w:start w:val="1"/>
      <w:numFmt w:val="bullet"/>
      <w:lvlText w:val=""/>
      <w:lvlJc w:val="left"/>
      <w:pPr>
        <w:ind w:left="720" w:hanging="360"/>
      </w:pPr>
      <w:rPr>
        <w:rFonts w:ascii="Symbol" w:hAnsi="Symbol" w:hint="default"/>
      </w:rPr>
    </w:lvl>
    <w:lvl w:ilvl="1" w:tplc="44249E6E">
      <w:start w:val="1"/>
      <w:numFmt w:val="bullet"/>
      <w:lvlText w:val="o"/>
      <w:lvlJc w:val="left"/>
      <w:pPr>
        <w:ind w:left="1440" w:hanging="360"/>
      </w:pPr>
      <w:rPr>
        <w:rFonts w:ascii="Courier New" w:hAnsi="Courier New" w:hint="default"/>
      </w:rPr>
    </w:lvl>
    <w:lvl w:ilvl="2" w:tplc="72045D70">
      <w:start w:val="1"/>
      <w:numFmt w:val="bullet"/>
      <w:lvlText w:val=""/>
      <w:lvlJc w:val="left"/>
      <w:pPr>
        <w:ind w:left="2160" w:hanging="360"/>
      </w:pPr>
      <w:rPr>
        <w:rFonts w:ascii="Wingdings" w:hAnsi="Wingdings" w:hint="default"/>
      </w:rPr>
    </w:lvl>
    <w:lvl w:ilvl="3" w:tplc="238275FC">
      <w:start w:val="1"/>
      <w:numFmt w:val="bullet"/>
      <w:lvlText w:val=""/>
      <w:lvlJc w:val="left"/>
      <w:pPr>
        <w:ind w:left="2880" w:hanging="360"/>
      </w:pPr>
      <w:rPr>
        <w:rFonts w:ascii="Symbol" w:hAnsi="Symbol" w:hint="default"/>
      </w:rPr>
    </w:lvl>
    <w:lvl w:ilvl="4" w:tplc="E3CA458E">
      <w:start w:val="1"/>
      <w:numFmt w:val="bullet"/>
      <w:lvlText w:val="o"/>
      <w:lvlJc w:val="left"/>
      <w:pPr>
        <w:ind w:left="3600" w:hanging="360"/>
      </w:pPr>
      <w:rPr>
        <w:rFonts w:ascii="Courier New" w:hAnsi="Courier New" w:hint="default"/>
      </w:rPr>
    </w:lvl>
    <w:lvl w:ilvl="5" w:tplc="A5A2CB14">
      <w:start w:val="1"/>
      <w:numFmt w:val="bullet"/>
      <w:lvlText w:val=""/>
      <w:lvlJc w:val="left"/>
      <w:pPr>
        <w:ind w:left="4320" w:hanging="360"/>
      </w:pPr>
      <w:rPr>
        <w:rFonts w:ascii="Wingdings" w:hAnsi="Wingdings" w:hint="default"/>
      </w:rPr>
    </w:lvl>
    <w:lvl w:ilvl="6" w:tplc="7C204C9C">
      <w:start w:val="1"/>
      <w:numFmt w:val="bullet"/>
      <w:lvlText w:val=""/>
      <w:lvlJc w:val="left"/>
      <w:pPr>
        <w:ind w:left="5040" w:hanging="360"/>
      </w:pPr>
      <w:rPr>
        <w:rFonts w:ascii="Symbol" w:hAnsi="Symbol" w:hint="default"/>
      </w:rPr>
    </w:lvl>
    <w:lvl w:ilvl="7" w:tplc="7244F8F0">
      <w:start w:val="1"/>
      <w:numFmt w:val="bullet"/>
      <w:lvlText w:val="o"/>
      <w:lvlJc w:val="left"/>
      <w:pPr>
        <w:ind w:left="5760" w:hanging="360"/>
      </w:pPr>
      <w:rPr>
        <w:rFonts w:ascii="Courier New" w:hAnsi="Courier New" w:hint="default"/>
      </w:rPr>
    </w:lvl>
    <w:lvl w:ilvl="8" w:tplc="BBE4A6C2">
      <w:start w:val="1"/>
      <w:numFmt w:val="bullet"/>
      <w:lvlText w:val=""/>
      <w:lvlJc w:val="left"/>
      <w:pPr>
        <w:ind w:left="6480" w:hanging="360"/>
      </w:pPr>
      <w:rPr>
        <w:rFonts w:ascii="Wingdings" w:hAnsi="Wingdings" w:hint="default"/>
      </w:rPr>
    </w:lvl>
  </w:abstractNum>
  <w:abstractNum w:abstractNumId="9" w15:restartNumberingAfterBreak="0">
    <w:nsid w:val="335806AC"/>
    <w:multiLevelType w:val="hybridMultilevel"/>
    <w:tmpl w:val="33D4B832"/>
    <w:lvl w:ilvl="0" w:tplc="5686A47E">
      <w:start w:val="1"/>
      <w:numFmt w:val="decimal"/>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787FF7"/>
    <w:multiLevelType w:val="hybridMultilevel"/>
    <w:tmpl w:val="074EB1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802B61"/>
    <w:multiLevelType w:val="hybridMultilevel"/>
    <w:tmpl w:val="2D80F8B8"/>
    <w:lvl w:ilvl="0" w:tplc="5686A47E">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287B7D"/>
    <w:multiLevelType w:val="hybridMultilevel"/>
    <w:tmpl w:val="B7722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0" w15:restartNumberingAfterBreak="0">
    <w:nsid w:val="55AF6D79"/>
    <w:multiLevelType w:val="hybridMultilevel"/>
    <w:tmpl w:val="679687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7370FF3"/>
    <w:multiLevelType w:val="hybridMultilevel"/>
    <w:tmpl w:val="364A23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3" w15:restartNumberingAfterBreak="0">
    <w:nsid w:val="6B5A19BD"/>
    <w:multiLevelType w:val="hybridMultilevel"/>
    <w:tmpl w:val="249AA6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00135C8"/>
    <w:multiLevelType w:val="hybridMultilevel"/>
    <w:tmpl w:val="D876CA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52C7320"/>
    <w:multiLevelType w:val="hybridMultilevel"/>
    <w:tmpl w:val="DF1CB5F4"/>
    <w:lvl w:ilvl="0" w:tplc="5686A47E">
      <w:start w:val="1"/>
      <w:numFmt w:val="decimal"/>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6"/>
  </w:num>
  <w:num w:numId="2" w16cid:durableId="842209657">
    <w:abstractNumId w:val="4"/>
  </w:num>
  <w:num w:numId="3" w16cid:durableId="660542573">
    <w:abstractNumId w:val="22"/>
  </w:num>
  <w:num w:numId="4" w16cid:durableId="1971085616">
    <w:abstractNumId w:val="13"/>
  </w:num>
  <w:num w:numId="5" w16cid:durableId="252517802">
    <w:abstractNumId w:val="14"/>
  </w:num>
  <w:num w:numId="6" w16cid:durableId="420297118">
    <w:abstractNumId w:val="19"/>
  </w:num>
  <w:num w:numId="7" w16cid:durableId="353388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3"/>
    <w:lvlOverride w:ilvl="0">
      <w:startOverride w:val="1"/>
    </w:lvlOverride>
  </w:num>
  <w:num w:numId="9" w16cid:durableId="1747920389">
    <w:abstractNumId w:val="14"/>
    <w:lvlOverride w:ilvl="0">
      <w:startOverride w:val="1"/>
    </w:lvlOverride>
  </w:num>
  <w:num w:numId="10" w16cid:durableId="1001813381">
    <w:abstractNumId w:val="13"/>
    <w:lvlOverride w:ilvl="0">
      <w:startOverride w:val="1"/>
    </w:lvlOverride>
  </w:num>
  <w:num w:numId="11" w16cid:durableId="1103450744">
    <w:abstractNumId w:val="14"/>
    <w:lvlOverride w:ilvl="0">
      <w:startOverride w:val="1"/>
    </w:lvlOverride>
  </w:num>
  <w:num w:numId="12" w16cid:durableId="1549294228">
    <w:abstractNumId w:val="13"/>
    <w:lvlOverride w:ilvl="0">
      <w:startOverride w:val="1"/>
    </w:lvlOverride>
  </w:num>
  <w:num w:numId="13" w16cid:durableId="875854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4"/>
    <w:lvlOverride w:ilvl="0">
      <w:startOverride w:val="1"/>
    </w:lvlOverride>
  </w:num>
  <w:num w:numId="15" w16cid:durableId="1246453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2"/>
  </w:num>
  <w:num w:numId="17" w16cid:durableId="43412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0"/>
  </w:num>
  <w:num w:numId="19" w16cid:durableId="836698820">
    <w:abstractNumId w:val="17"/>
  </w:num>
  <w:num w:numId="20" w16cid:durableId="402803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8"/>
  </w:num>
  <w:num w:numId="22" w16cid:durableId="200242115">
    <w:abstractNumId w:val="1"/>
  </w:num>
  <w:num w:numId="23" w16cid:durableId="585068731">
    <w:abstractNumId w:val="3"/>
  </w:num>
  <w:num w:numId="24" w16cid:durableId="1431437445">
    <w:abstractNumId w:val="2"/>
  </w:num>
  <w:num w:numId="25" w16cid:durableId="507214046">
    <w:abstractNumId w:val="12"/>
  </w:num>
  <w:num w:numId="26" w16cid:durableId="1793132414">
    <w:abstractNumId w:val="0"/>
  </w:num>
  <w:num w:numId="27" w16cid:durableId="1729916600">
    <w:abstractNumId w:val="23"/>
  </w:num>
  <w:num w:numId="28" w16cid:durableId="277107158">
    <w:abstractNumId w:val="11"/>
  </w:num>
  <w:num w:numId="29" w16cid:durableId="1414274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619760">
    <w:abstractNumId w:val="15"/>
  </w:num>
  <w:num w:numId="31" w16cid:durableId="1361474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387688">
    <w:abstractNumId w:val="9"/>
  </w:num>
  <w:num w:numId="33" w16cid:durableId="1119105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3069743">
    <w:abstractNumId w:val="25"/>
  </w:num>
  <w:num w:numId="35" w16cid:durableId="353188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9307677">
    <w:abstractNumId w:val="5"/>
  </w:num>
  <w:num w:numId="37" w16cid:durableId="1684700139">
    <w:abstractNumId w:val="20"/>
  </w:num>
  <w:num w:numId="38" w16cid:durableId="343825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49765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7128295">
    <w:abstractNumId w:val="16"/>
  </w:num>
  <w:num w:numId="41" w16cid:durableId="12384433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7741016">
    <w:abstractNumId w:val="24"/>
  </w:num>
  <w:num w:numId="43" w16cid:durableId="350567603">
    <w:abstractNumId w:val="21"/>
  </w:num>
  <w:num w:numId="44" w16cid:durableId="1470124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8755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1098140">
    <w:abstractNumId w:val="8"/>
  </w:num>
  <w:num w:numId="47" w16cid:durableId="2034960368">
    <w:abstractNumId w:val="7"/>
  </w:num>
  <w:num w:numId="48" w16cid:durableId="1511994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78"/>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4AD6"/>
    <w:rsid w:val="00046D4C"/>
    <w:rsid w:val="00047707"/>
    <w:rsid w:val="00050A6B"/>
    <w:rsid w:val="000513FD"/>
    <w:rsid w:val="00052D11"/>
    <w:rsid w:val="00053BD7"/>
    <w:rsid w:val="00053CC3"/>
    <w:rsid w:val="00053D2F"/>
    <w:rsid w:val="0005461D"/>
    <w:rsid w:val="0005626F"/>
    <w:rsid w:val="0005685E"/>
    <w:rsid w:val="000570A6"/>
    <w:rsid w:val="000605FB"/>
    <w:rsid w:val="00061582"/>
    <w:rsid w:val="000707E9"/>
    <w:rsid w:val="00070945"/>
    <w:rsid w:val="000717BA"/>
    <w:rsid w:val="0007270D"/>
    <w:rsid w:val="00075506"/>
    <w:rsid w:val="00080F06"/>
    <w:rsid w:val="00080FC2"/>
    <w:rsid w:val="000824C9"/>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1DC8"/>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463"/>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2715F"/>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5B78"/>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38A5"/>
    <w:rsid w:val="00506036"/>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1969"/>
    <w:rsid w:val="00576416"/>
    <w:rsid w:val="005778BD"/>
    <w:rsid w:val="00577C65"/>
    <w:rsid w:val="00581121"/>
    <w:rsid w:val="005840B8"/>
    <w:rsid w:val="005867DF"/>
    <w:rsid w:val="005900D8"/>
    <w:rsid w:val="005916F1"/>
    <w:rsid w:val="00592081"/>
    <w:rsid w:val="005A0348"/>
    <w:rsid w:val="005A1FA3"/>
    <w:rsid w:val="005A26E9"/>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D5DE6"/>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C5F99"/>
    <w:rsid w:val="007D3448"/>
    <w:rsid w:val="007E04CD"/>
    <w:rsid w:val="007E2466"/>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4B38"/>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560F"/>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43FD"/>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75F3"/>
    <w:rsid w:val="00A9080B"/>
    <w:rsid w:val="00A909AD"/>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54FE"/>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A35"/>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150D"/>
    <w:rsid w:val="00CA2EA0"/>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68C3"/>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E6B"/>
    <w:rsid w:val="00D71B35"/>
    <w:rsid w:val="00D74DFD"/>
    <w:rsid w:val="00D770C8"/>
    <w:rsid w:val="00D77B0E"/>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196B"/>
    <w:rsid w:val="00F93332"/>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7AD"/>
    <w:rsid w:val="00FD7976"/>
    <w:rsid w:val="00FE0686"/>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3873F656"/>
  <w15:docId w15:val="{A09A1A57-27D9-4BB4-88F6-172CE59F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uiPriority w:val="1"/>
    <w:unhideWhenUsed/>
    <w:qFormat/>
    <w:rsid w:val="008F3194"/>
    <w:pPr>
      <w:spacing w:after="120"/>
    </w:pPr>
  </w:style>
  <w:style w:type="character" w:customStyle="1" w:styleId="BodyTextChar">
    <w:name w:val="Body Text Char"/>
    <w:basedOn w:val="DefaultParagraphFont"/>
    <w:link w:val="BodyText"/>
    <w:uiPriority w:val="1"/>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0B1DC8"/>
    <w:pPr>
      <w:numPr>
        <w:numId w:val="26"/>
      </w:numPr>
      <w:spacing w:before="0" w:after="0" w:line="240" w:lineRule="auto"/>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844B38"/>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cf01">
    <w:name w:val="cf01"/>
    <w:basedOn w:val="DefaultParagraphFont"/>
    <w:rsid w:val="0093560F"/>
    <w:rPr>
      <w:rFonts w:ascii="Segoe UI" w:hAnsi="Segoe UI" w:cs="Segoe UI" w:hint="default"/>
      <w:sz w:val="18"/>
      <w:szCs w:val="18"/>
    </w:rPr>
  </w:style>
  <w:style w:type="paragraph" w:customStyle="1" w:styleId="pf0">
    <w:name w:val="pf0"/>
    <w:basedOn w:val="Normal"/>
    <w:rsid w:val="00506036"/>
    <w:pPr>
      <w:spacing w:before="100" w:beforeAutospacing="1" w:after="100" w:afterAutospacing="1" w:line="240" w:lineRule="auto"/>
    </w:pPr>
    <w:rPr>
      <w:rFonts w:ascii="Times New Roman" w:eastAsia="Times New Roman" w:hAnsi="Times New Roman" w:cs="Times New Roman"/>
      <w:color w:val="auto"/>
    </w:rPr>
  </w:style>
  <w:style w:type="character" w:customStyle="1" w:styleId="nowrap">
    <w:name w:val="nowrap"/>
    <w:basedOn w:val="DefaultParagraphFont"/>
    <w:rsid w:val="00A909AD"/>
  </w:style>
  <w:style w:type="character" w:customStyle="1" w:styleId="st1">
    <w:name w:val="st1"/>
    <w:basedOn w:val="DefaultParagraphFont"/>
    <w:rsid w:val="00B4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ptodate.com/contents/clonidine-drug-information?source=see_link" TargetMode="External"/><Relationship Id="rId18" Type="http://schemas.openxmlformats.org/officeDocument/2006/relationships/hyperlink" Target="http://www.uptodate.com/contents/diagnosis-of-polyuria-and-diabetes-insipidus%20" TargetMode="External"/><Relationship Id="rId26" Type="http://schemas.openxmlformats.org/officeDocument/2006/relationships/image" Target="media/image2.png"/><Relationship Id="rId21" Type="http://schemas.openxmlformats.org/officeDocument/2006/relationships/hyperlink" Target="http://www.uptodate.com/contents/clinical-presentation-and-diagnosis-of-pheochromocytoma"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ptodate.com/contents/desmopressin-drug-information?source=see_link" TargetMode="External"/><Relationship Id="rId17" Type="http://schemas.openxmlformats.org/officeDocument/2006/relationships/hyperlink" Target="http://www.nursingconsult.com/nursing/labs-diagnostics/full-text?article_id=246124" TargetMode="Externa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todate.com/contents/diagnosis-of-adrenal-insufficiency-in-adults" TargetMode="External"/><Relationship Id="rId20" Type="http://schemas.openxmlformats.org/officeDocument/2006/relationships/hyperlink" Target="http://www.uptodate.com/contents/clinical-presentation-and-diagnosis-of-pheochromocytoma/contributors" TargetMode="External"/><Relationship Id="rId29" Type="http://schemas.openxmlformats.org/officeDocument/2006/relationships/hyperlink" Target="https://www.canberrahealthservices.act.gov.au/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docrinesociety.org.au/downloads/20230131%20MASTER%20Harmonisation%20of%20Endocrine%20Dynamic%20Testing%201.9.pdf" TargetMode="External"/><Relationship Id="rId24" Type="http://schemas.openxmlformats.org/officeDocument/2006/relationships/hyperlink" Target="https://www.mimsonline.com.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ptodate.com/contents/evaluation-of-the-response-to-acth-in-adrenal-insufficiency" TargetMode="External"/><Relationship Id="rId23" Type="http://schemas.openxmlformats.org/officeDocument/2006/relationships/hyperlink" Target="http://www.pathology.leedsth.nhs.uk/dnn_bilm/Investigationprotocols/Hyperaldosteronismprotocols/SalineInfusionTestforHyperaldosteronism.aspx" TargetMode="External"/><Relationship Id="rId28" Type="http://schemas.openxmlformats.org/officeDocument/2006/relationships/image" Target="media/image4.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uptodate.com/contents/clinical-presentation-and-diagnosis-of-pheochromocytoma/contributors"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ptodate.com/contents/dexamethasone-drug-information?source=see_link" TargetMode="External"/><Relationship Id="rId22" Type="http://schemas.openxmlformats.org/officeDocument/2006/relationships/hyperlink" Target="https://www.rcpa.edu.au/Library/Practising-Pathology/RCPA-Manual/Items/Pathology-Tests/D/Dexamethasone-suppression-test-long"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Q:\Strategy%20Policy%20and%20Planning\Strategy%20and%20Governance\Policy%20Team\CHS%20PC\Resources\Templates\CHS%20Procedure%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72C03A74ED8BAFC406CEDE995E3"/>
        <w:category>
          <w:name w:val="General"/>
          <w:gallery w:val="placeholder"/>
        </w:category>
        <w:types>
          <w:type w:val="bbPlcHdr"/>
        </w:types>
        <w:behaviors>
          <w:behavior w:val="content"/>
        </w:behaviors>
        <w:guid w:val="{26A78D14-1304-4EEB-8B19-9EF3F713771A}"/>
      </w:docPartPr>
      <w:docPartBody>
        <w:p w:rsidR="000642C7" w:rsidRDefault="000642C7">
          <w:pPr>
            <w:pStyle w:val="2710072C03A74ED8BAFC406CEDE995E3"/>
          </w:pPr>
          <w:r>
            <w:rPr>
              <w:noProof/>
              <w:sz w:val="20"/>
              <w:szCs w:val="20"/>
            </w:rPr>
            <w:drawing>
              <wp:inline distT="0" distB="0" distL="0" distR="0" wp14:anchorId="340EB0D6" wp14:editId="32A2C780">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F5A9D816D6C44B1295D4953732D1F83B"/>
        <w:category>
          <w:name w:val="General"/>
          <w:gallery w:val="placeholder"/>
        </w:category>
        <w:types>
          <w:type w:val="bbPlcHdr"/>
        </w:types>
        <w:behaviors>
          <w:behavior w:val="content"/>
        </w:behaviors>
        <w:guid w:val="{5610CB17-A286-421A-9D07-108A5669A6C4}"/>
      </w:docPartPr>
      <w:docPartBody>
        <w:p w:rsidR="000642C7" w:rsidRDefault="000642C7">
          <w:pPr>
            <w:pStyle w:val="F5A9D816D6C44B1295D4953732D1F83B"/>
          </w:pPr>
          <w:r w:rsidRPr="00EE29F8">
            <w:rPr>
              <w:rStyle w:val="PlaceholderText"/>
            </w:rPr>
            <w:t>Choose an item.</w:t>
          </w:r>
        </w:p>
      </w:docPartBody>
    </w:docPart>
    <w:docPart>
      <w:docPartPr>
        <w:name w:val="93C9BA58E9D042908B3357CC7E724935"/>
        <w:category>
          <w:name w:val="General"/>
          <w:gallery w:val="placeholder"/>
        </w:category>
        <w:types>
          <w:type w:val="bbPlcHdr"/>
        </w:types>
        <w:behaviors>
          <w:behavior w:val="content"/>
        </w:behaviors>
        <w:guid w:val="{A1FC232E-42B1-4D7B-81AC-5C2A0696C08D}"/>
      </w:docPartPr>
      <w:docPartBody>
        <w:p w:rsidR="000642C7" w:rsidRPr="00F26C97" w:rsidRDefault="000642C7" w:rsidP="003B0E72">
          <w:pPr>
            <w:pStyle w:val="Bottomblocktext"/>
            <w:rPr>
              <w:b/>
              <w:bCs w:val="0"/>
              <w:sz w:val="20"/>
              <w:szCs w:val="20"/>
            </w:rPr>
          </w:pPr>
          <w:r>
            <w:rPr>
              <w:b/>
              <w:bCs w:val="0"/>
              <w:noProof/>
              <w:sz w:val="20"/>
              <w:szCs w:val="20"/>
            </w:rPr>
            <w:drawing>
              <wp:inline distT="0" distB="0" distL="0" distR="0" wp14:anchorId="0D3D2DDD" wp14:editId="7F151C5F">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7EE6557" wp14:editId="3FB2AC1F">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0642C7" w:rsidRPr="00F26C97" w:rsidRDefault="000642C7" w:rsidP="003B0E72">
          <w:pPr>
            <w:pStyle w:val="Bottomblocktext"/>
            <w:rPr>
              <w:b/>
              <w:bCs w:val="0"/>
              <w:sz w:val="20"/>
              <w:szCs w:val="20"/>
            </w:rPr>
          </w:pPr>
          <w:r>
            <w:rPr>
              <w:b/>
              <w:bCs w:val="0"/>
              <w:noProof/>
              <w:sz w:val="20"/>
              <w:szCs w:val="20"/>
            </w:rPr>
            <w:drawing>
              <wp:inline distT="0" distB="0" distL="0" distR="0" wp14:anchorId="44820238" wp14:editId="4A9BF9D5">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CCC31E6" wp14:editId="20A3365F">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0642C7" w:rsidRDefault="00000000" w:rsidP="003B0E72">
          <w:pPr>
            <w:pStyle w:val="Bottomblocktext"/>
            <w:rPr>
              <w:sz w:val="20"/>
              <w:szCs w:val="20"/>
            </w:rPr>
          </w:pPr>
          <w:hyperlink r:id="rId8" w:history="1">
            <w:r w:rsidR="000642C7" w:rsidRPr="00350211">
              <w:rPr>
                <w:rStyle w:val="Hyperlink"/>
                <w:sz w:val="20"/>
                <w:szCs w:val="20"/>
              </w:rPr>
              <w:t>canberrahealthservices.act.gov.au/accessibility</w:t>
            </w:r>
          </w:hyperlink>
        </w:p>
        <w:p w:rsidR="000642C7" w:rsidRDefault="000642C7">
          <w:pPr>
            <w:pStyle w:val="93C9BA58E9D042908B3357CC7E724935"/>
          </w:pPr>
          <w:r>
            <w:rPr>
              <w:b/>
              <w:bCs/>
              <w:noProof/>
            </w:rPr>
            <w:drawing>
              <wp:inline distT="0" distB="0" distL="0" distR="0" wp14:anchorId="3069B0FB" wp14:editId="61B7582F">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C7"/>
    <w:rsid w:val="000642C7"/>
    <w:rsid w:val="001E1CFF"/>
    <w:rsid w:val="00CA2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10072C03A74ED8BAFC406CEDE995E3">
    <w:name w:val="2710072C03A74ED8BAFC406CEDE995E3"/>
  </w:style>
  <w:style w:type="character" w:styleId="PlaceholderText">
    <w:name w:val="Placeholder Text"/>
    <w:basedOn w:val="DefaultParagraphFont"/>
    <w:uiPriority w:val="99"/>
    <w:semiHidden/>
    <w:rPr>
      <w:color w:val="808080"/>
    </w:rPr>
  </w:style>
  <w:style w:type="paragraph" w:customStyle="1" w:styleId="F5A9D816D6C44B1295D4953732D1F83B">
    <w:name w:val="F5A9D816D6C44B1295D4953732D1F83B"/>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93C9BA58E9D042908B3357CC7E724935">
    <w:name w:val="93C9BA58E9D042908B3357CC7E724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6" ma:contentTypeDescription="Create a new document." ma:contentTypeScope="" ma:versionID="6c1f6630e9d5200b423bf7951539b890">
  <xsd:schema xmlns:xsd="http://www.w3.org/2001/XMLSchema" xmlns:xs="http://www.w3.org/2001/XMLSchema" xmlns:p="http://schemas.microsoft.com/office/2006/metadata/properties" xmlns:ns2="4504225e-b2d9-4497-b505-38d38bf039d6" targetNamespace="http://schemas.microsoft.com/office/2006/metadata/properties" ma:root="true" ma:fieldsID="e61aec217de10b78daa7cc8e55cca587"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3BD61DBC-2304-46B7-BF21-5D9FF9AB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CHS Procedure Template</Template>
  <TotalTime>1</TotalTime>
  <Pages>28</Pages>
  <Words>7251</Words>
  <Characters>41333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48488</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Golley, Pip (Health)</dc:creator>
  <cp:lastModifiedBy>Mathew, Jerrin</cp:lastModifiedBy>
  <cp:revision>2</cp:revision>
  <cp:lastPrinted>2017-05-22T07:29:00Z</cp:lastPrinted>
  <dcterms:created xsi:type="dcterms:W3CDTF">2024-11-04T03:51:00Z</dcterms:created>
  <dcterms:modified xsi:type="dcterms:W3CDTF">2024-11-04T03:51:00Z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0x010100E8E4E67227A39440A0156BC63E383DB0</vt:lpwstr>
  </property>
</Properties>
</file>