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B51C" w14:textId="7DA84D48"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6AC9EEBA" w14:textId="77777777" w:rsidR="00197F2E" w:rsidRDefault="00CD7C2B" w:rsidP="00197F2E">
      <w:pPr>
        <w:pStyle w:val="Heading2"/>
      </w:pPr>
      <w:r>
        <w:t>Immunoglobulin Authorisation and Administration – Adults, Paediatrics and Neonates</w:t>
      </w:r>
    </w:p>
    <w:p w14:paraId="5FD843A3" w14:textId="28453AE7" w:rsidR="00CA4FDE" w:rsidRPr="00C34A10" w:rsidRDefault="00E31596" w:rsidP="00C34A10">
      <w:pPr>
        <w:pStyle w:val="BodyCopy"/>
        <w:spacing w:before="0" w:line="240" w:lineRule="auto"/>
        <w:rPr>
          <w:color w:val="575757" w:themeColor="text2"/>
        </w:rPr>
      </w:pPr>
      <w:r w:rsidRPr="00197F2E">
        <w:t>CHS</w:t>
      </w:r>
      <w:r w:rsidR="00A4621D">
        <w:t>24/618</w:t>
      </w:r>
      <w:bookmarkStart w:id="0" w:name="_Hlk157074578"/>
    </w:p>
    <w:sdt>
      <w:sdtPr>
        <w:rPr>
          <w:sz w:val="32"/>
        </w:rPr>
        <w:id w:val="-1206019646"/>
        <w:docPartObj>
          <w:docPartGallery w:val="Table of Contents"/>
          <w:docPartUnique/>
        </w:docPartObj>
      </w:sdtPr>
      <w:sdtEndPr>
        <w:rPr>
          <w:noProof/>
        </w:rPr>
      </w:sdtEndPr>
      <w:sdtContent>
        <w:p w14:paraId="06A7BDFA" w14:textId="77777777" w:rsidR="00A731B8" w:rsidRPr="000E7683" w:rsidRDefault="00A731B8">
          <w:pPr>
            <w:pStyle w:val="TOCHeading"/>
            <w:rPr>
              <w:rStyle w:val="Heading3Char"/>
              <w:b/>
              <w:bCs w:val="0"/>
            </w:rPr>
          </w:pPr>
          <w:r w:rsidRPr="007B1A7B">
            <w:rPr>
              <w:rStyle w:val="Heading3Char"/>
              <w:b/>
              <w:bCs w:val="0"/>
            </w:rPr>
            <w:t>Contents</w:t>
          </w:r>
        </w:p>
        <w:p w14:paraId="37661950" w14:textId="7A1B05F3" w:rsidR="002932A1"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4739586" w:history="1">
            <w:r w:rsidR="002932A1" w:rsidRPr="009A024D">
              <w:rPr>
                <w:rStyle w:val="Hyperlink"/>
              </w:rPr>
              <w:t>Purpose</w:t>
            </w:r>
            <w:r w:rsidR="002932A1">
              <w:rPr>
                <w:webHidden/>
              </w:rPr>
              <w:tab/>
            </w:r>
            <w:r w:rsidR="002932A1">
              <w:rPr>
                <w:webHidden/>
              </w:rPr>
              <w:fldChar w:fldCharType="begin"/>
            </w:r>
            <w:r w:rsidR="002932A1">
              <w:rPr>
                <w:webHidden/>
              </w:rPr>
              <w:instrText xml:space="preserve"> PAGEREF _Toc184739586 \h </w:instrText>
            </w:r>
            <w:r w:rsidR="002932A1">
              <w:rPr>
                <w:webHidden/>
              </w:rPr>
            </w:r>
            <w:r w:rsidR="002932A1">
              <w:rPr>
                <w:webHidden/>
              </w:rPr>
              <w:fldChar w:fldCharType="separate"/>
            </w:r>
            <w:r w:rsidR="00106AAD">
              <w:rPr>
                <w:webHidden/>
              </w:rPr>
              <w:t>3</w:t>
            </w:r>
            <w:r w:rsidR="002932A1">
              <w:rPr>
                <w:webHidden/>
              </w:rPr>
              <w:fldChar w:fldCharType="end"/>
            </w:r>
          </w:hyperlink>
        </w:p>
        <w:p w14:paraId="62E5D6EB" w14:textId="5FADE44F" w:rsidR="002932A1" w:rsidRDefault="0028383D">
          <w:pPr>
            <w:pStyle w:val="TOC1"/>
            <w:rPr>
              <w:rFonts w:asciiTheme="minorHAnsi" w:eastAsiaTheme="minorEastAsia" w:hAnsiTheme="minorHAnsi" w:cstheme="minorBidi"/>
              <w:color w:val="auto"/>
              <w:kern w:val="2"/>
              <w14:ligatures w14:val="standardContextual"/>
            </w:rPr>
          </w:pPr>
          <w:hyperlink w:anchor="_Toc184739587" w:history="1">
            <w:r w:rsidR="002932A1" w:rsidRPr="009A024D">
              <w:rPr>
                <w:rStyle w:val="Hyperlink"/>
              </w:rPr>
              <w:t>Scope</w:t>
            </w:r>
            <w:r w:rsidR="002932A1">
              <w:rPr>
                <w:webHidden/>
              </w:rPr>
              <w:tab/>
            </w:r>
            <w:r w:rsidR="002932A1">
              <w:rPr>
                <w:webHidden/>
              </w:rPr>
              <w:fldChar w:fldCharType="begin"/>
            </w:r>
            <w:r w:rsidR="002932A1">
              <w:rPr>
                <w:webHidden/>
              </w:rPr>
              <w:instrText xml:space="preserve"> PAGEREF _Toc184739587 \h </w:instrText>
            </w:r>
            <w:r w:rsidR="002932A1">
              <w:rPr>
                <w:webHidden/>
              </w:rPr>
            </w:r>
            <w:r w:rsidR="002932A1">
              <w:rPr>
                <w:webHidden/>
              </w:rPr>
              <w:fldChar w:fldCharType="separate"/>
            </w:r>
            <w:r w:rsidR="00106AAD">
              <w:rPr>
                <w:webHidden/>
              </w:rPr>
              <w:t>3</w:t>
            </w:r>
            <w:r w:rsidR="002932A1">
              <w:rPr>
                <w:webHidden/>
              </w:rPr>
              <w:fldChar w:fldCharType="end"/>
            </w:r>
          </w:hyperlink>
        </w:p>
        <w:p w14:paraId="2672F2CE" w14:textId="39B3B834" w:rsidR="002932A1" w:rsidRDefault="0028383D">
          <w:pPr>
            <w:pStyle w:val="TOC1"/>
            <w:rPr>
              <w:rFonts w:asciiTheme="minorHAnsi" w:eastAsiaTheme="minorEastAsia" w:hAnsiTheme="minorHAnsi" w:cstheme="minorBidi"/>
              <w:color w:val="auto"/>
              <w:kern w:val="2"/>
              <w14:ligatures w14:val="standardContextual"/>
            </w:rPr>
          </w:pPr>
          <w:hyperlink w:anchor="_Toc184739588" w:history="1">
            <w:r w:rsidR="002932A1" w:rsidRPr="009A024D">
              <w:rPr>
                <w:rStyle w:val="Hyperlink"/>
              </w:rPr>
              <w:t>Section 1 - Criteria</w:t>
            </w:r>
            <w:r w:rsidR="002932A1">
              <w:rPr>
                <w:webHidden/>
              </w:rPr>
              <w:tab/>
            </w:r>
            <w:r w:rsidR="002932A1">
              <w:rPr>
                <w:webHidden/>
              </w:rPr>
              <w:fldChar w:fldCharType="begin"/>
            </w:r>
            <w:r w:rsidR="002932A1">
              <w:rPr>
                <w:webHidden/>
              </w:rPr>
              <w:instrText xml:space="preserve"> PAGEREF _Toc184739588 \h </w:instrText>
            </w:r>
            <w:r w:rsidR="002932A1">
              <w:rPr>
                <w:webHidden/>
              </w:rPr>
            </w:r>
            <w:r w:rsidR="002932A1">
              <w:rPr>
                <w:webHidden/>
              </w:rPr>
              <w:fldChar w:fldCharType="separate"/>
            </w:r>
            <w:r w:rsidR="00106AAD">
              <w:rPr>
                <w:webHidden/>
              </w:rPr>
              <w:t>3</w:t>
            </w:r>
            <w:r w:rsidR="002932A1">
              <w:rPr>
                <w:webHidden/>
              </w:rPr>
              <w:fldChar w:fldCharType="end"/>
            </w:r>
          </w:hyperlink>
        </w:p>
        <w:p w14:paraId="22D97EDD" w14:textId="44E2FB67" w:rsidR="002932A1" w:rsidRDefault="0028383D">
          <w:pPr>
            <w:pStyle w:val="TOC1"/>
            <w:rPr>
              <w:rFonts w:asciiTheme="minorHAnsi" w:eastAsiaTheme="minorEastAsia" w:hAnsiTheme="minorHAnsi" w:cstheme="minorBidi"/>
              <w:color w:val="auto"/>
              <w:kern w:val="2"/>
              <w14:ligatures w14:val="standardContextual"/>
            </w:rPr>
          </w:pPr>
          <w:hyperlink w:anchor="_Toc184739589" w:history="1">
            <w:r w:rsidR="002932A1" w:rsidRPr="009A024D">
              <w:rPr>
                <w:rStyle w:val="Hyperlink"/>
              </w:rPr>
              <w:t>Section 2 – Authorisation/Approval of Immunoglobulin</w:t>
            </w:r>
            <w:r w:rsidR="002932A1">
              <w:rPr>
                <w:webHidden/>
              </w:rPr>
              <w:tab/>
            </w:r>
            <w:r w:rsidR="002932A1">
              <w:rPr>
                <w:webHidden/>
              </w:rPr>
              <w:fldChar w:fldCharType="begin"/>
            </w:r>
            <w:r w:rsidR="002932A1">
              <w:rPr>
                <w:webHidden/>
              </w:rPr>
              <w:instrText xml:space="preserve"> PAGEREF _Toc184739589 \h </w:instrText>
            </w:r>
            <w:r w:rsidR="002932A1">
              <w:rPr>
                <w:webHidden/>
              </w:rPr>
            </w:r>
            <w:r w:rsidR="002932A1">
              <w:rPr>
                <w:webHidden/>
              </w:rPr>
              <w:fldChar w:fldCharType="separate"/>
            </w:r>
            <w:r w:rsidR="00106AAD">
              <w:rPr>
                <w:webHidden/>
              </w:rPr>
              <w:t>4</w:t>
            </w:r>
            <w:r w:rsidR="002932A1">
              <w:rPr>
                <w:webHidden/>
              </w:rPr>
              <w:fldChar w:fldCharType="end"/>
            </w:r>
          </w:hyperlink>
        </w:p>
        <w:p w14:paraId="0CE49657" w14:textId="144F1DF2" w:rsidR="002932A1" w:rsidRDefault="0028383D">
          <w:pPr>
            <w:pStyle w:val="TOC1"/>
            <w:rPr>
              <w:rFonts w:asciiTheme="minorHAnsi" w:eastAsiaTheme="minorEastAsia" w:hAnsiTheme="minorHAnsi" w:cstheme="minorBidi"/>
              <w:color w:val="auto"/>
              <w:kern w:val="2"/>
              <w14:ligatures w14:val="standardContextual"/>
            </w:rPr>
          </w:pPr>
          <w:hyperlink w:anchor="_Toc184739590" w:history="1">
            <w:r w:rsidR="002932A1" w:rsidRPr="009A024D">
              <w:rPr>
                <w:rStyle w:val="Hyperlink"/>
              </w:rPr>
              <w:t>Section 3 – Informed Patient Consent and Patient Information</w:t>
            </w:r>
            <w:r w:rsidR="002932A1">
              <w:rPr>
                <w:webHidden/>
              </w:rPr>
              <w:tab/>
            </w:r>
            <w:r w:rsidR="002932A1">
              <w:rPr>
                <w:webHidden/>
              </w:rPr>
              <w:fldChar w:fldCharType="begin"/>
            </w:r>
            <w:r w:rsidR="002932A1">
              <w:rPr>
                <w:webHidden/>
              </w:rPr>
              <w:instrText xml:space="preserve"> PAGEREF _Toc184739590 \h </w:instrText>
            </w:r>
            <w:r w:rsidR="002932A1">
              <w:rPr>
                <w:webHidden/>
              </w:rPr>
            </w:r>
            <w:r w:rsidR="002932A1">
              <w:rPr>
                <w:webHidden/>
              </w:rPr>
              <w:fldChar w:fldCharType="separate"/>
            </w:r>
            <w:r w:rsidR="00106AAD">
              <w:rPr>
                <w:webHidden/>
              </w:rPr>
              <w:t>6</w:t>
            </w:r>
            <w:r w:rsidR="002932A1">
              <w:rPr>
                <w:webHidden/>
              </w:rPr>
              <w:fldChar w:fldCharType="end"/>
            </w:r>
          </w:hyperlink>
        </w:p>
        <w:p w14:paraId="386847F8" w14:textId="4118AB57" w:rsidR="002932A1" w:rsidRDefault="0028383D">
          <w:pPr>
            <w:pStyle w:val="TOC1"/>
            <w:rPr>
              <w:rFonts w:asciiTheme="minorHAnsi" w:eastAsiaTheme="minorEastAsia" w:hAnsiTheme="minorHAnsi" w:cstheme="minorBidi"/>
              <w:color w:val="auto"/>
              <w:kern w:val="2"/>
              <w14:ligatures w14:val="standardContextual"/>
            </w:rPr>
          </w:pPr>
          <w:hyperlink w:anchor="_Toc184739591" w:history="1">
            <w:r w:rsidR="002932A1" w:rsidRPr="009A024D">
              <w:rPr>
                <w:rStyle w:val="Hyperlink"/>
              </w:rPr>
              <w:t>Section 4 – Urgent requests for IVIg (submitting an emergency Authorisation request in BloodSTAR)</w:t>
            </w:r>
            <w:r w:rsidR="002932A1">
              <w:rPr>
                <w:webHidden/>
              </w:rPr>
              <w:tab/>
            </w:r>
            <w:r w:rsidR="002932A1">
              <w:rPr>
                <w:webHidden/>
              </w:rPr>
              <w:fldChar w:fldCharType="begin"/>
            </w:r>
            <w:r w:rsidR="002932A1">
              <w:rPr>
                <w:webHidden/>
              </w:rPr>
              <w:instrText xml:space="preserve"> PAGEREF _Toc184739591 \h </w:instrText>
            </w:r>
            <w:r w:rsidR="002932A1">
              <w:rPr>
                <w:webHidden/>
              </w:rPr>
            </w:r>
            <w:r w:rsidR="002932A1">
              <w:rPr>
                <w:webHidden/>
              </w:rPr>
              <w:fldChar w:fldCharType="separate"/>
            </w:r>
            <w:r w:rsidR="00106AAD">
              <w:rPr>
                <w:webHidden/>
              </w:rPr>
              <w:t>7</w:t>
            </w:r>
            <w:r w:rsidR="002932A1">
              <w:rPr>
                <w:webHidden/>
              </w:rPr>
              <w:fldChar w:fldCharType="end"/>
            </w:r>
          </w:hyperlink>
        </w:p>
        <w:p w14:paraId="139DD00F" w14:textId="33F9D3E5" w:rsidR="002932A1" w:rsidRDefault="0028383D">
          <w:pPr>
            <w:pStyle w:val="TOC1"/>
            <w:rPr>
              <w:rFonts w:asciiTheme="minorHAnsi" w:eastAsiaTheme="minorEastAsia" w:hAnsiTheme="minorHAnsi" w:cstheme="minorBidi"/>
              <w:color w:val="auto"/>
              <w:kern w:val="2"/>
              <w14:ligatures w14:val="standardContextual"/>
            </w:rPr>
          </w:pPr>
          <w:hyperlink w:anchor="_Toc184739592" w:history="1">
            <w:r w:rsidR="002932A1" w:rsidRPr="009A024D">
              <w:rPr>
                <w:rStyle w:val="Hyperlink"/>
              </w:rPr>
              <w:t>Section 5 – Ordering Ig product from ACT Pathology Transfusion laboratory once approval obtained  called group term as Ig</w:t>
            </w:r>
            <w:r w:rsidR="002932A1">
              <w:rPr>
                <w:webHidden/>
              </w:rPr>
              <w:tab/>
            </w:r>
            <w:r w:rsidR="002932A1">
              <w:rPr>
                <w:webHidden/>
              </w:rPr>
              <w:fldChar w:fldCharType="begin"/>
            </w:r>
            <w:r w:rsidR="002932A1">
              <w:rPr>
                <w:webHidden/>
              </w:rPr>
              <w:instrText xml:space="preserve"> PAGEREF _Toc184739592 \h </w:instrText>
            </w:r>
            <w:r w:rsidR="002932A1">
              <w:rPr>
                <w:webHidden/>
              </w:rPr>
            </w:r>
            <w:r w:rsidR="002932A1">
              <w:rPr>
                <w:webHidden/>
              </w:rPr>
              <w:fldChar w:fldCharType="separate"/>
            </w:r>
            <w:r w:rsidR="00106AAD">
              <w:rPr>
                <w:webHidden/>
              </w:rPr>
              <w:t>7</w:t>
            </w:r>
            <w:r w:rsidR="002932A1">
              <w:rPr>
                <w:webHidden/>
              </w:rPr>
              <w:fldChar w:fldCharType="end"/>
            </w:r>
          </w:hyperlink>
        </w:p>
        <w:p w14:paraId="2843968F" w14:textId="28AE4C83" w:rsidR="002932A1" w:rsidRDefault="0028383D">
          <w:pPr>
            <w:pStyle w:val="TOC1"/>
            <w:rPr>
              <w:rFonts w:asciiTheme="minorHAnsi" w:eastAsiaTheme="minorEastAsia" w:hAnsiTheme="minorHAnsi" w:cstheme="minorBidi"/>
              <w:color w:val="auto"/>
              <w:kern w:val="2"/>
              <w14:ligatures w14:val="standardContextual"/>
            </w:rPr>
          </w:pPr>
          <w:hyperlink w:anchor="_Toc184739593" w:history="1">
            <w:r w:rsidR="002932A1" w:rsidRPr="009A024D">
              <w:rPr>
                <w:rStyle w:val="Hyperlink"/>
              </w:rPr>
              <w:t>Section 6 – Pre-Infusion</w:t>
            </w:r>
            <w:r w:rsidR="002932A1">
              <w:rPr>
                <w:webHidden/>
              </w:rPr>
              <w:tab/>
            </w:r>
            <w:r w:rsidR="002932A1">
              <w:rPr>
                <w:webHidden/>
              </w:rPr>
              <w:fldChar w:fldCharType="begin"/>
            </w:r>
            <w:r w:rsidR="002932A1">
              <w:rPr>
                <w:webHidden/>
              </w:rPr>
              <w:instrText xml:space="preserve"> PAGEREF _Toc184739593 \h </w:instrText>
            </w:r>
            <w:r w:rsidR="002932A1">
              <w:rPr>
                <w:webHidden/>
              </w:rPr>
            </w:r>
            <w:r w:rsidR="002932A1">
              <w:rPr>
                <w:webHidden/>
              </w:rPr>
              <w:fldChar w:fldCharType="separate"/>
            </w:r>
            <w:r w:rsidR="00106AAD">
              <w:rPr>
                <w:webHidden/>
              </w:rPr>
              <w:t>9</w:t>
            </w:r>
            <w:r w:rsidR="002932A1">
              <w:rPr>
                <w:webHidden/>
              </w:rPr>
              <w:fldChar w:fldCharType="end"/>
            </w:r>
          </w:hyperlink>
        </w:p>
        <w:p w14:paraId="43F3ADE3" w14:textId="16EE9901" w:rsidR="002932A1" w:rsidRDefault="0028383D">
          <w:pPr>
            <w:pStyle w:val="TOC1"/>
            <w:rPr>
              <w:rFonts w:asciiTheme="minorHAnsi" w:eastAsiaTheme="minorEastAsia" w:hAnsiTheme="minorHAnsi" w:cstheme="minorBidi"/>
              <w:color w:val="auto"/>
              <w:kern w:val="2"/>
              <w14:ligatures w14:val="standardContextual"/>
            </w:rPr>
          </w:pPr>
          <w:hyperlink w:anchor="_Toc184739594" w:history="1">
            <w:r w:rsidR="002932A1" w:rsidRPr="009A024D">
              <w:rPr>
                <w:rStyle w:val="Hyperlink"/>
              </w:rPr>
              <w:t>Section 7 – Administering IVIg</w:t>
            </w:r>
            <w:r w:rsidR="002932A1">
              <w:rPr>
                <w:webHidden/>
              </w:rPr>
              <w:tab/>
            </w:r>
            <w:r w:rsidR="002932A1">
              <w:rPr>
                <w:webHidden/>
              </w:rPr>
              <w:fldChar w:fldCharType="begin"/>
            </w:r>
            <w:r w:rsidR="002932A1">
              <w:rPr>
                <w:webHidden/>
              </w:rPr>
              <w:instrText xml:space="preserve"> PAGEREF _Toc184739594 \h </w:instrText>
            </w:r>
            <w:r w:rsidR="002932A1">
              <w:rPr>
                <w:webHidden/>
              </w:rPr>
            </w:r>
            <w:r w:rsidR="002932A1">
              <w:rPr>
                <w:webHidden/>
              </w:rPr>
              <w:fldChar w:fldCharType="separate"/>
            </w:r>
            <w:r w:rsidR="00106AAD">
              <w:rPr>
                <w:webHidden/>
              </w:rPr>
              <w:t>10</w:t>
            </w:r>
            <w:r w:rsidR="002932A1">
              <w:rPr>
                <w:webHidden/>
              </w:rPr>
              <w:fldChar w:fldCharType="end"/>
            </w:r>
          </w:hyperlink>
        </w:p>
        <w:p w14:paraId="7662B14E" w14:textId="274A74EA" w:rsidR="002932A1" w:rsidRDefault="0028383D">
          <w:pPr>
            <w:pStyle w:val="TOC1"/>
            <w:rPr>
              <w:rFonts w:asciiTheme="minorHAnsi" w:eastAsiaTheme="minorEastAsia" w:hAnsiTheme="minorHAnsi" w:cstheme="minorBidi"/>
              <w:color w:val="auto"/>
              <w:kern w:val="2"/>
              <w14:ligatures w14:val="standardContextual"/>
            </w:rPr>
          </w:pPr>
          <w:hyperlink w:anchor="_Toc184739595" w:history="1">
            <w:r w:rsidR="002932A1" w:rsidRPr="009A024D">
              <w:rPr>
                <w:rStyle w:val="Hyperlink"/>
              </w:rPr>
              <w:t>Section 8 – IVIg Patient Monitoring and Adverse Reaction Management</w:t>
            </w:r>
            <w:r w:rsidR="002932A1">
              <w:rPr>
                <w:webHidden/>
              </w:rPr>
              <w:tab/>
            </w:r>
            <w:r w:rsidR="002932A1">
              <w:rPr>
                <w:webHidden/>
              </w:rPr>
              <w:fldChar w:fldCharType="begin"/>
            </w:r>
            <w:r w:rsidR="002932A1">
              <w:rPr>
                <w:webHidden/>
              </w:rPr>
              <w:instrText xml:space="preserve"> PAGEREF _Toc184739595 \h </w:instrText>
            </w:r>
            <w:r w:rsidR="002932A1">
              <w:rPr>
                <w:webHidden/>
              </w:rPr>
            </w:r>
            <w:r w:rsidR="002932A1">
              <w:rPr>
                <w:webHidden/>
              </w:rPr>
              <w:fldChar w:fldCharType="separate"/>
            </w:r>
            <w:r w:rsidR="00106AAD">
              <w:rPr>
                <w:webHidden/>
              </w:rPr>
              <w:t>13</w:t>
            </w:r>
            <w:r w:rsidR="002932A1">
              <w:rPr>
                <w:webHidden/>
              </w:rPr>
              <w:fldChar w:fldCharType="end"/>
            </w:r>
          </w:hyperlink>
        </w:p>
        <w:p w14:paraId="4339075B" w14:textId="7536AED4" w:rsidR="002932A1" w:rsidRDefault="0028383D">
          <w:pPr>
            <w:pStyle w:val="TOC1"/>
            <w:rPr>
              <w:rFonts w:asciiTheme="minorHAnsi" w:eastAsiaTheme="minorEastAsia" w:hAnsiTheme="minorHAnsi" w:cstheme="minorBidi"/>
              <w:color w:val="auto"/>
              <w:kern w:val="2"/>
              <w14:ligatures w14:val="standardContextual"/>
            </w:rPr>
          </w:pPr>
          <w:hyperlink w:anchor="_Toc184739596" w:history="1">
            <w:r w:rsidR="002932A1" w:rsidRPr="009A024D">
              <w:rPr>
                <w:rStyle w:val="Hyperlink"/>
              </w:rPr>
              <w:t>Section 9 – IVIg infusion rates</w:t>
            </w:r>
            <w:r w:rsidR="002932A1">
              <w:rPr>
                <w:webHidden/>
              </w:rPr>
              <w:tab/>
            </w:r>
            <w:r w:rsidR="002932A1">
              <w:rPr>
                <w:webHidden/>
              </w:rPr>
              <w:fldChar w:fldCharType="begin"/>
            </w:r>
            <w:r w:rsidR="002932A1">
              <w:rPr>
                <w:webHidden/>
              </w:rPr>
              <w:instrText xml:space="preserve"> PAGEREF _Toc184739596 \h </w:instrText>
            </w:r>
            <w:r w:rsidR="002932A1">
              <w:rPr>
                <w:webHidden/>
              </w:rPr>
            </w:r>
            <w:r w:rsidR="002932A1">
              <w:rPr>
                <w:webHidden/>
              </w:rPr>
              <w:fldChar w:fldCharType="separate"/>
            </w:r>
            <w:r w:rsidR="00106AAD">
              <w:rPr>
                <w:webHidden/>
              </w:rPr>
              <w:t>17</w:t>
            </w:r>
            <w:r w:rsidR="002932A1">
              <w:rPr>
                <w:webHidden/>
              </w:rPr>
              <w:fldChar w:fldCharType="end"/>
            </w:r>
          </w:hyperlink>
        </w:p>
        <w:p w14:paraId="7DDBF802" w14:textId="57886A43" w:rsidR="002932A1" w:rsidRDefault="0028383D">
          <w:pPr>
            <w:pStyle w:val="TOC1"/>
            <w:rPr>
              <w:rFonts w:asciiTheme="minorHAnsi" w:eastAsiaTheme="minorEastAsia" w:hAnsiTheme="minorHAnsi" w:cstheme="minorBidi"/>
              <w:color w:val="auto"/>
              <w:kern w:val="2"/>
              <w14:ligatures w14:val="standardContextual"/>
            </w:rPr>
          </w:pPr>
          <w:hyperlink w:anchor="_Toc184739597" w:history="1">
            <w:r w:rsidR="002932A1" w:rsidRPr="009A024D">
              <w:rPr>
                <w:rStyle w:val="Hyperlink"/>
              </w:rPr>
              <w:t>Section 10 – Administering SCIg</w:t>
            </w:r>
            <w:r w:rsidR="002932A1">
              <w:rPr>
                <w:webHidden/>
              </w:rPr>
              <w:tab/>
            </w:r>
            <w:r w:rsidR="002932A1">
              <w:rPr>
                <w:webHidden/>
              </w:rPr>
              <w:fldChar w:fldCharType="begin"/>
            </w:r>
            <w:r w:rsidR="002932A1">
              <w:rPr>
                <w:webHidden/>
              </w:rPr>
              <w:instrText xml:space="preserve"> PAGEREF _Toc184739597 \h </w:instrText>
            </w:r>
            <w:r w:rsidR="002932A1">
              <w:rPr>
                <w:webHidden/>
              </w:rPr>
            </w:r>
            <w:r w:rsidR="002932A1">
              <w:rPr>
                <w:webHidden/>
              </w:rPr>
              <w:fldChar w:fldCharType="separate"/>
            </w:r>
            <w:r w:rsidR="00106AAD">
              <w:rPr>
                <w:webHidden/>
              </w:rPr>
              <w:t>21</w:t>
            </w:r>
            <w:r w:rsidR="002932A1">
              <w:rPr>
                <w:webHidden/>
              </w:rPr>
              <w:fldChar w:fldCharType="end"/>
            </w:r>
          </w:hyperlink>
        </w:p>
        <w:p w14:paraId="7AC66FA4" w14:textId="6148C579" w:rsidR="002932A1" w:rsidRDefault="0028383D">
          <w:pPr>
            <w:pStyle w:val="TOC1"/>
            <w:rPr>
              <w:rFonts w:asciiTheme="minorHAnsi" w:eastAsiaTheme="minorEastAsia" w:hAnsiTheme="minorHAnsi" w:cstheme="minorBidi"/>
              <w:color w:val="auto"/>
              <w:kern w:val="2"/>
              <w14:ligatures w14:val="standardContextual"/>
            </w:rPr>
          </w:pPr>
          <w:hyperlink w:anchor="_Toc184739598" w:history="1">
            <w:r w:rsidR="002932A1" w:rsidRPr="009A024D">
              <w:rPr>
                <w:rStyle w:val="Hyperlink"/>
              </w:rPr>
              <w:t>Section 11 – SCIg infusion site reaction management</w:t>
            </w:r>
            <w:r w:rsidR="002932A1">
              <w:rPr>
                <w:webHidden/>
              </w:rPr>
              <w:tab/>
            </w:r>
            <w:r w:rsidR="002932A1">
              <w:rPr>
                <w:webHidden/>
              </w:rPr>
              <w:fldChar w:fldCharType="begin"/>
            </w:r>
            <w:r w:rsidR="002932A1">
              <w:rPr>
                <w:webHidden/>
              </w:rPr>
              <w:instrText xml:space="preserve"> PAGEREF _Toc184739598 \h </w:instrText>
            </w:r>
            <w:r w:rsidR="002932A1">
              <w:rPr>
                <w:webHidden/>
              </w:rPr>
            </w:r>
            <w:r w:rsidR="002932A1">
              <w:rPr>
                <w:webHidden/>
              </w:rPr>
              <w:fldChar w:fldCharType="separate"/>
            </w:r>
            <w:r w:rsidR="00106AAD">
              <w:rPr>
                <w:webHidden/>
              </w:rPr>
              <w:t>25</w:t>
            </w:r>
            <w:r w:rsidR="002932A1">
              <w:rPr>
                <w:webHidden/>
              </w:rPr>
              <w:fldChar w:fldCharType="end"/>
            </w:r>
          </w:hyperlink>
        </w:p>
        <w:p w14:paraId="29B5DDCA" w14:textId="27110AF6" w:rsidR="002932A1" w:rsidRDefault="0028383D">
          <w:pPr>
            <w:pStyle w:val="TOC1"/>
            <w:rPr>
              <w:rFonts w:asciiTheme="minorHAnsi" w:eastAsiaTheme="minorEastAsia" w:hAnsiTheme="minorHAnsi" w:cstheme="minorBidi"/>
              <w:color w:val="auto"/>
              <w:kern w:val="2"/>
              <w14:ligatures w14:val="standardContextual"/>
            </w:rPr>
          </w:pPr>
          <w:hyperlink w:anchor="_Toc184739599" w:history="1">
            <w:r w:rsidR="002932A1" w:rsidRPr="009A024D">
              <w:rPr>
                <w:rStyle w:val="Hyperlink"/>
              </w:rPr>
              <w:t>Section 12 – Product Storage Conditions</w:t>
            </w:r>
            <w:r w:rsidR="002932A1">
              <w:rPr>
                <w:webHidden/>
              </w:rPr>
              <w:tab/>
            </w:r>
            <w:r w:rsidR="002932A1">
              <w:rPr>
                <w:webHidden/>
              </w:rPr>
              <w:fldChar w:fldCharType="begin"/>
            </w:r>
            <w:r w:rsidR="002932A1">
              <w:rPr>
                <w:webHidden/>
              </w:rPr>
              <w:instrText xml:space="preserve"> PAGEREF _Toc184739599 \h </w:instrText>
            </w:r>
            <w:r w:rsidR="002932A1">
              <w:rPr>
                <w:webHidden/>
              </w:rPr>
            </w:r>
            <w:r w:rsidR="002932A1">
              <w:rPr>
                <w:webHidden/>
              </w:rPr>
              <w:fldChar w:fldCharType="separate"/>
            </w:r>
            <w:r w:rsidR="00106AAD">
              <w:rPr>
                <w:webHidden/>
              </w:rPr>
              <w:t>27</w:t>
            </w:r>
            <w:r w:rsidR="002932A1">
              <w:rPr>
                <w:webHidden/>
              </w:rPr>
              <w:fldChar w:fldCharType="end"/>
            </w:r>
          </w:hyperlink>
        </w:p>
        <w:p w14:paraId="410A67EC" w14:textId="124DCC3C" w:rsidR="002932A1" w:rsidRDefault="0028383D">
          <w:pPr>
            <w:pStyle w:val="TOC1"/>
            <w:rPr>
              <w:rFonts w:asciiTheme="minorHAnsi" w:eastAsiaTheme="minorEastAsia" w:hAnsiTheme="minorHAnsi" w:cstheme="minorBidi"/>
              <w:color w:val="auto"/>
              <w:kern w:val="2"/>
              <w14:ligatures w14:val="standardContextual"/>
            </w:rPr>
          </w:pPr>
          <w:hyperlink w:anchor="_Toc184739600" w:history="1">
            <w:r w:rsidR="002932A1" w:rsidRPr="009A024D">
              <w:rPr>
                <w:rStyle w:val="Hyperlink"/>
              </w:rPr>
              <w:t>Evaluation</w:t>
            </w:r>
            <w:r w:rsidR="002932A1">
              <w:rPr>
                <w:webHidden/>
              </w:rPr>
              <w:tab/>
            </w:r>
            <w:r w:rsidR="002932A1">
              <w:rPr>
                <w:webHidden/>
              </w:rPr>
              <w:fldChar w:fldCharType="begin"/>
            </w:r>
            <w:r w:rsidR="002932A1">
              <w:rPr>
                <w:webHidden/>
              </w:rPr>
              <w:instrText xml:space="preserve"> PAGEREF _Toc184739600 \h </w:instrText>
            </w:r>
            <w:r w:rsidR="002932A1">
              <w:rPr>
                <w:webHidden/>
              </w:rPr>
            </w:r>
            <w:r w:rsidR="002932A1">
              <w:rPr>
                <w:webHidden/>
              </w:rPr>
              <w:fldChar w:fldCharType="separate"/>
            </w:r>
            <w:r w:rsidR="00106AAD">
              <w:rPr>
                <w:webHidden/>
              </w:rPr>
              <w:t>29</w:t>
            </w:r>
            <w:r w:rsidR="002932A1">
              <w:rPr>
                <w:webHidden/>
              </w:rPr>
              <w:fldChar w:fldCharType="end"/>
            </w:r>
          </w:hyperlink>
        </w:p>
        <w:p w14:paraId="4741A4E5" w14:textId="2C1831CD" w:rsidR="002932A1" w:rsidRDefault="0028383D">
          <w:pPr>
            <w:pStyle w:val="TOC1"/>
            <w:rPr>
              <w:rFonts w:asciiTheme="minorHAnsi" w:eastAsiaTheme="minorEastAsia" w:hAnsiTheme="minorHAnsi" w:cstheme="minorBidi"/>
              <w:color w:val="auto"/>
              <w:kern w:val="2"/>
              <w14:ligatures w14:val="standardContextual"/>
            </w:rPr>
          </w:pPr>
          <w:hyperlink w:anchor="_Toc184739601" w:history="1">
            <w:r w:rsidR="002932A1" w:rsidRPr="009A024D">
              <w:rPr>
                <w:rStyle w:val="Hyperlink"/>
              </w:rPr>
              <w:t>Related policies, procedures, guidelines and legislation</w:t>
            </w:r>
            <w:r w:rsidR="002932A1">
              <w:rPr>
                <w:webHidden/>
              </w:rPr>
              <w:tab/>
            </w:r>
            <w:r w:rsidR="002932A1">
              <w:rPr>
                <w:webHidden/>
              </w:rPr>
              <w:fldChar w:fldCharType="begin"/>
            </w:r>
            <w:r w:rsidR="002932A1">
              <w:rPr>
                <w:webHidden/>
              </w:rPr>
              <w:instrText xml:space="preserve"> PAGEREF _Toc184739601 \h </w:instrText>
            </w:r>
            <w:r w:rsidR="002932A1">
              <w:rPr>
                <w:webHidden/>
              </w:rPr>
            </w:r>
            <w:r w:rsidR="002932A1">
              <w:rPr>
                <w:webHidden/>
              </w:rPr>
              <w:fldChar w:fldCharType="separate"/>
            </w:r>
            <w:r w:rsidR="00106AAD">
              <w:rPr>
                <w:webHidden/>
              </w:rPr>
              <w:t>29</w:t>
            </w:r>
            <w:r w:rsidR="002932A1">
              <w:rPr>
                <w:webHidden/>
              </w:rPr>
              <w:fldChar w:fldCharType="end"/>
            </w:r>
          </w:hyperlink>
        </w:p>
        <w:p w14:paraId="3C5FCF11" w14:textId="7C066EC2" w:rsidR="002932A1" w:rsidRDefault="0028383D">
          <w:pPr>
            <w:pStyle w:val="TOC1"/>
            <w:rPr>
              <w:rFonts w:asciiTheme="minorHAnsi" w:eastAsiaTheme="minorEastAsia" w:hAnsiTheme="minorHAnsi" w:cstheme="minorBidi"/>
              <w:color w:val="auto"/>
              <w:kern w:val="2"/>
              <w14:ligatures w14:val="standardContextual"/>
            </w:rPr>
          </w:pPr>
          <w:hyperlink w:anchor="_Toc184739602" w:history="1">
            <w:r w:rsidR="002932A1" w:rsidRPr="009A024D">
              <w:rPr>
                <w:rStyle w:val="Hyperlink"/>
              </w:rPr>
              <w:t>References</w:t>
            </w:r>
            <w:r w:rsidR="002932A1">
              <w:rPr>
                <w:webHidden/>
              </w:rPr>
              <w:tab/>
            </w:r>
            <w:r w:rsidR="002932A1">
              <w:rPr>
                <w:webHidden/>
              </w:rPr>
              <w:fldChar w:fldCharType="begin"/>
            </w:r>
            <w:r w:rsidR="002932A1">
              <w:rPr>
                <w:webHidden/>
              </w:rPr>
              <w:instrText xml:space="preserve"> PAGEREF _Toc184739602 \h </w:instrText>
            </w:r>
            <w:r w:rsidR="002932A1">
              <w:rPr>
                <w:webHidden/>
              </w:rPr>
            </w:r>
            <w:r w:rsidR="002932A1">
              <w:rPr>
                <w:webHidden/>
              </w:rPr>
              <w:fldChar w:fldCharType="separate"/>
            </w:r>
            <w:r w:rsidR="00106AAD">
              <w:rPr>
                <w:webHidden/>
              </w:rPr>
              <w:t>30</w:t>
            </w:r>
            <w:r w:rsidR="002932A1">
              <w:rPr>
                <w:webHidden/>
              </w:rPr>
              <w:fldChar w:fldCharType="end"/>
            </w:r>
          </w:hyperlink>
        </w:p>
        <w:p w14:paraId="42978BE7" w14:textId="6797CCD3" w:rsidR="002932A1" w:rsidRDefault="0028383D">
          <w:pPr>
            <w:pStyle w:val="TOC1"/>
            <w:rPr>
              <w:rFonts w:asciiTheme="minorHAnsi" w:eastAsiaTheme="minorEastAsia" w:hAnsiTheme="minorHAnsi" w:cstheme="minorBidi"/>
              <w:color w:val="auto"/>
              <w:kern w:val="2"/>
              <w14:ligatures w14:val="standardContextual"/>
            </w:rPr>
          </w:pPr>
          <w:hyperlink w:anchor="_Toc184739603" w:history="1">
            <w:r w:rsidR="002932A1" w:rsidRPr="009A024D">
              <w:rPr>
                <w:rStyle w:val="Hyperlink"/>
              </w:rPr>
              <w:t>Definition of terms</w:t>
            </w:r>
            <w:r w:rsidR="002932A1">
              <w:rPr>
                <w:webHidden/>
              </w:rPr>
              <w:tab/>
            </w:r>
            <w:r w:rsidR="002932A1">
              <w:rPr>
                <w:webHidden/>
              </w:rPr>
              <w:fldChar w:fldCharType="begin"/>
            </w:r>
            <w:r w:rsidR="002932A1">
              <w:rPr>
                <w:webHidden/>
              </w:rPr>
              <w:instrText xml:space="preserve"> PAGEREF _Toc184739603 \h </w:instrText>
            </w:r>
            <w:r w:rsidR="002932A1">
              <w:rPr>
                <w:webHidden/>
              </w:rPr>
            </w:r>
            <w:r w:rsidR="002932A1">
              <w:rPr>
                <w:webHidden/>
              </w:rPr>
              <w:fldChar w:fldCharType="separate"/>
            </w:r>
            <w:r w:rsidR="00106AAD">
              <w:rPr>
                <w:webHidden/>
              </w:rPr>
              <w:t>33</w:t>
            </w:r>
            <w:r w:rsidR="002932A1">
              <w:rPr>
                <w:webHidden/>
              </w:rPr>
              <w:fldChar w:fldCharType="end"/>
            </w:r>
          </w:hyperlink>
        </w:p>
        <w:p w14:paraId="4ADEF6C2" w14:textId="32E1F4EB" w:rsidR="002932A1" w:rsidRDefault="0028383D">
          <w:pPr>
            <w:pStyle w:val="TOC1"/>
            <w:rPr>
              <w:rFonts w:asciiTheme="minorHAnsi" w:eastAsiaTheme="minorEastAsia" w:hAnsiTheme="minorHAnsi" w:cstheme="minorBidi"/>
              <w:color w:val="auto"/>
              <w:kern w:val="2"/>
              <w14:ligatures w14:val="standardContextual"/>
            </w:rPr>
          </w:pPr>
          <w:hyperlink w:anchor="_Toc184739604" w:history="1">
            <w:r w:rsidR="002932A1" w:rsidRPr="009A024D">
              <w:rPr>
                <w:rStyle w:val="Hyperlink"/>
              </w:rPr>
              <w:t>Search terms</w:t>
            </w:r>
            <w:r w:rsidR="002932A1">
              <w:rPr>
                <w:webHidden/>
              </w:rPr>
              <w:tab/>
            </w:r>
            <w:r w:rsidR="002932A1">
              <w:rPr>
                <w:webHidden/>
              </w:rPr>
              <w:fldChar w:fldCharType="begin"/>
            </w:r>
            <w:r w:rsidR="002932A1">
              <w:rPr>
                <w:webHidden/>
              </w:rPr>
              <w:instrText xml:space="preserve"> PAGEREF _Toc184739604 \h </w:instrText>
            </w:r>
            <w:r w:rsidR="002932A1">
              <w:rPr>
                <w:webHidden/>
              </w:rPr>
            </w:r>
            <w:r w:rsidR="002932A1">
              <w:rPr>
                <w:webHidden/>
              </w:rPr>
              <w:fldChar w:fldCharType="separate"/>
            </w:r>
            <w:r w:rsidR="00106AAD">
              <w:rPr>
                <w:webHidden/>
              </w:rPr>
              <w:t>33</w:t>
            </w:r>
            <w:r w:rsidR="002932A1">
              <w:rPr>
                <w:webHidden/>
              </w:rPr>
              <w:fldChar w:fldCharType="end"/>
            </w:r>
          </w:hyperlink>
        </w:p>
        <w:p w14:paraId="66AD4225" w14:textId="6AA13833" w:rsidR="002932A1" w:rsidRDefault="0028383D">
          <w:pPr>
            <w:pStyle w:val="TOC1"/>
            <w:rPr>
              <w:rFonts w:asciiTheme="minorHAnsi" w:eastAsiaTheme="minorEastAsia" w:hAnsiTheme="minorHAnsi" w:cstheme="minorBidi"/>
              <w:color w:val="auto"/>
              <w:kern w:val="2"/>
              <w14:ligatures w14:val="standardContextual"/>
            </w:rPr>
          </w:pPr>
          <w:hyperlink w:anchor="_Toc184739605" w:history="1">
            <w:r w:rsidR="002932A1" w:rsidRPr="009A024D">
              <w:rPr>
                <w:rStyle w:val="Hyperlink"/>
              </w:rPr>
              <w:t>Attachments</w:t>
            </w:r>
            <w:r w:rsidR="002932A1">
              <w:rPr>
                <w:webHidden/>
              </w:rPr>
              <w:tab/>
            </w:r>
            <w:r w:rsidR="002932A1">
              <w:rPr>
                <w:webHidden/>
              </w:rPr>
              <w:fldChar w:fldCharType="begin"/>
            </w:r>
            <w:r w:rsidR="002932A1">
              <w:rPr>
                <w:webHidden/>
              </w:rPr>
              <w:instrText xml:space="preserve"> PAGEREF _Toc184739605 \h </w:instrText>
            </w:r>
            <w:r w:rsidR="002932A1">
              <w:rPr>
                <w:webHidden/>
              </w:rPr>
            </w:r>
            <w:r w:rsidR="002932A1">
              <w:rPr>
                <w:webHidden/>
              </w:rPr>
              <w:fldChar w:fldCharType="separate"/>
            </w:r>
            <w:r w:rsidR="00106AAD">
              <w:rPr>
                <w:webHidden/>
              </w:rPr>
              <w:t>34</w:t>
            </w:r>
            <w:r w:rsidR="002932A1">
              <w:rPr>
                <w:webHidden/>
              </w:rPr>
              <w:fldChar w:fldCharType="end"/>
            </w:r>
          </w:hyperlink>
        </w:p>
        <w:p w14:paraId="1FCF8532" w14:textId="03E2BDAD" w:rsidR="002932A1" w:rsidRDefault="0028383D">
          <w:pPr>
            <w:pStyle w:val="TOC1"/>
            <w:rPr>
              <w:rFonts w:asciiTheme="minorHAnsi" w:eastAsiaTheme="minorEastAsia" w:hAnsiTheme="minorHAnsi" w:cstheme="minorBidi"/>
              <w:color w:val="auto"/>
              <w:kern w:val="2"/>
              <w14:ligatures w14:val="standardContextual"/>
            </w:rPr>
          </w:pPr>
          <w:hyperlink w:anchor="_Toc184739606" w:history="1">
            <w:r w:rsidR="002932A1" w:rsidRPr="009A024D">
              <w:rPr>
                <w:rStyle w:val="Hyperlink"/>
              </w:rPr>
              <w:t>Attachment 1 – BloodSTAR process for Ig approval</w:t>
            </w:r>
            <w:r w:rsidR="002932A1">
              <w:rPr>
                <w:webHidden/>
              </w:rPr>
              <w:tab/>
            </w:r>
            <w:r w:rsidR="002932A1">
              <w:rPr>
                <w:webHidden/>
              </w:rPr>
              <w:fldChar w:fldCharType="begin"/>
            </w:r>
            <w:r w:rsidR="002932A1">
              <w:rPr>
                <w:webHidden/>
              </w:rPr>
              <w:instrText xml:space="preserve"> PAGEREF _Toc184739606 \h </w:instrText>
            </w:r>
            <w:r w:rsidR="002932A1">
              <w:rPr>
                <w:webHidden/>
              </w:rPr>
            </w:r>
            <w:r w:rsidR="002932A1">
              <w:rPr>
                <w:webHidden/>
              </w:rPr>
              <w:fldChar w:fldCharType="separate"/>
            </w:r>
            <w:r w:rsidR="00106AAD">
              <w:rPr>
                <w:webHidden/>
              </w:rPr>
              <w:t>36</w:t>
            </w:r>
            <w:r w:rsidR="002932A1">
              <w:rPr>
                <w:webHidden/>
              </w:rPr>
              <w:fldChar w:fldCharType="end"/>
            </w:r>
          </w:hyperlink>
        </w:p>
        <w:p w14:paraId="77359D63" w14:textId="2AB59836" w:rsidR="002932A1" w:rsidRDefault="0028383D">
          <w:pPr>
            <w:pStyle w:val="TOC1"/>
            <w:rPr>
              <w:rFonts w:asciiTheme="minorHAnsi" w:eastAsiaTheme="minorEastAsia" w:hAnsiTheme="minorHAnsi" w:cstheme="minorBidi"/>
              <w:color w:val="auto"/>
              <w:kern w:val="2"/>
              <w14:ligatures w14:val="standardContextual"/>
            </w:rPr>
          </w:pPr>
          <w:hyperlink w:anchor="_Toc184739607" w:history="1">
            <w:r w:rsidR="002932A1" w:rsidRPr="009A024D">
              <w:rPr>
                <w:rStyle w:val="Hyperlink"/>
              </w:rPr>
              <w:t>Attachment 2 – Patient information for IVIg and SCIg</w:t>
            </w:r>
            <w:r w:rsidR="002932A1">
              <w:rPr>
                <w:webHidden/>
              </w:rPr>
              <w:tab/>
            </w:r>
            <w:r w:rsidR="002932A1">
              <w:rPr>
                <w:webHidden/>
              </w:rPr>
              <w:fldChar w:fldCharType="begin"/>
            </w:r>
            <w:r w:rsidR="002932A1">
              <w:rPr>
                <w:webHidden/>
              </w:rPr>
              <w:instrText xml:space="preserve"> PAGEREF _Toc184739607 \h </w:instrText>
            </w:r>
            <w:r w:rsidR="002932A1">
              <w:rPr>
                <w:webHidden/>
              </w:rPr>
            </w:r>
            <w:r w:rsidR="002932A1">
              <w:rPr>
                <w:webHidden/>
              </w:rPr>
              <w:fldChar w:fldCharType="separate"/>
            </w:r>
            <w:r w:rsidR="00106AAD">
              <w:rPr>
                <w:webHidden/>
              </w:rPr>
              <w:t>37</w:t>
            </w:r>
            <w:r w:rsidR="002932A1">
              <w:rPr>
                <w:webHidden/>
              </w:rPr>
              <w:fldChar w:fldCharType="end"/>
            </w:r>
          </w:hyperlink>
        </w:p>
        <w:p w14:paraId="5EE3D114" w14:textId="0E6EE923" w:rsidR="002932A1" w:rsidRDefault="0028383D">
          <w:pPr>
            <w:pStyle w:val="TOC1"/>
            <w:rPr>
              <w:rFonts w:asciiTheme="minorHAnsi" w:eastAsiaTheme="minorEastAsia" w:hAnsiTheme="minorHAnsi" w:cstheme="minorBidi"/>
              <w:color w:val="auto"/>
              <w:kern w:val="2"/>
              <w14:ligatures w14:val="standardContextual"/>
            </w:rPr>
          </w:pPr>
          <w:hyperlink w:anchor="_Toc184739608" w:history="1">
            <w:r w:rsidR="002932A1" w:rsidRPr="009A024D">
              <w:rPr>
                <w:rStyle w:val="Hyperlink"/>
              </w:rPr>
              <w:t>Attachment 3 – Submitting an Emergency Authorisation Request in BloodSTAR</w:t>
            </w:r>
            <w:r w:rsidR="002932A1">
              <w:rPr>
                <w:webHidden/>
              </w:rPr>
              <w:tab/>
            </w:r>
            <w:r w:rsidR="002932A1">
              <w:rPr>
                <w:webHidden/>
              </w:rPr>
              <w:fldChar w:fldCharType="begin"/>
            </w:r>
            <w:r w:rsidR="002932A1">
              <w:rPr>
                <w:webHidden/>
              </w:rPr>
              <w:instrText xml:space="preserve"> PAGEREF _Toc184739608 \h </w:instrText>
            </w:r>
            <w:r w:rsidR="002932A1">
              <w:rPr>
                <w:webHidden/>
              </w:rPr>
            </w:r>
            <w:r w:rsidR="002932A1">
              <w:rPr>
                <w:webHidden/>
              </w:rPr>
              <w:fldChar w:fldCharType="separate"/>
            </w:r>
            <w:r w:rsidR="00106AAD">
              <w:rPr>
                <w:webHidden/>
              </w:rPr>
              <w:t>38</w:t>
            </w:r>
            <w:r w:rsidR="002932A1">
              <w:rPr>
                <w:webHidden/>
              </w:rPr>
              <w:fldChar w:fldCharType="end"/>
            </w:r>
          </w:hyperlink>
        </w:p>
        <w:p w14:paraId="64D8DEAE" w14:textId="2A1D5346" w:rsidR="002932A1" w:rsidRDefault="0028383D">
          <w:pPr>
            <w:pStyle w:val="TOC1"/>
            <w:rPr>
              <w:rFonts w:asciiTheme="minorHAnsi" w:eastAsiaTheme="minorEastAsia" w:hAnsiTheme="minorHAnsi" w:cstheme="minorBidi"/>
              <w:color w:val="auto"/>
              <w:kern w:val="2"/>
              <w14:ligatures w14:val="standardContextual"/>
            </w:rPr>
          </w:pPr>
          <w:hyperlink w:anchor="_Toc184739609" w:history="1">
            <w:r w:rsidR="002932A1" w:rsidRPr="009A024D">
              <w:rPr>
                <w:rStyle w:val="Hyperlink"/>
              </w:rPr>
              <w:t>Attachment 4 – Patients travelling Interstate and Overseas</w:t>
            </w:r>
            <w:r w:rsidR="002932A1">
              <w:rPr>
                <w:webHidden/>
              </w:rPr>
              <w:tab/>
            </w:r>
            <w:r w:rsidR="002932A1">
              <w:rPr>
                <w:webHidden/>
              </w:rPr>
              <w:fldChar w:fldCharType="begin"/>
            </w:r>
            <w:r w:rsidR="002932A1">
              <w:rPr>
                <w:webHidden/>
              </w:rPr>
              <w:instrText xml:space="preserve"> PAGEREF _Toc184739609 \h </w:instrText>
            </w:r>
            <w:r w:rsidR="002932A1">
              <w:rPr>
                <w:webHidden/>
              </w:rPr>
            </w:r>
            <w:r w:rsidR="002932A1">
              <w:rPr>
                <w:webHidden/>
              </w:rPr>
              <w:fldChar w:fldCharType="separate"/>
            </w:r>
            <w:r w:rsidR="00106AAD">
              <w:rPr>
                <w:webHidden/>
              </w:rPr>
              <w:t>39</w:t>
            </w:r>
            <w:r w:rsidR="002932A1">
              <w:rPr>
                <w:webHidden/>
              </w:rPr>
              <w:fldChar w:fldCharType="end"/>
            </w:r>
          </w:hyperlink>
        </w:p>
        <w:p w14:paraId="6EE3A10F" w14:textId="0C112287" w:rsidR="002932A1" w:rsidRDefault="0028383D">
          <w:pPr>
            <w:pStyle w:val="TOC1"/>
            <w:rPr>
              <w:rFonts w:asciiTheme="minorHAnsi" w:eastAsiaTheme="minorEastAsia" w:hAnsiTheme="minorHAnsi" w:cstheme="minorBidi"/>
              <w:color w:val="auto"/>
              <w:kern w:val="2"/>
              <w14:ligatures w14:val="standardContextual"/>
            </w:rPr>
          </w:pPr>
          <w:hyperlink w:anchor="_Toc184739610" w:history="1">
            <w:r w:rsidR="002932A1" w:rsidRPr="009A024D">
              <w:rPr>
                <w:rStyle w:val="Hyperlink"/>
              </w:rPr>
              <w:t>Attachment 5 – IVIg Infusion rates</w:t>
            </w:r>
            <w:r w:rsidR="002932A1">
              <w:rPr>
                <w:webHidden/>
              </w:rPr>
              <w:tab/>
            </w:r>
            <w:r w:rsidR="002932A1">
              <w:rPr>
                <w:webHidden/>
              </w:rPr>
              <w:fldChar w:fldCharType="begin"/>
            </w:r>
            <w:r w:rsidR="002932A1">
              <w:rPr>
                <w:webHidden/>
              </w:rPr>
              <w:instrText xml:space="preserve"> PAGEREF _Toc184739610 \h </w:instrText>
            </w:r>
            <w:r w:rsidR="002932A1">
              <w:rPr>
                <w:webHidden/>
              </w:rPr>
            </w:r>
            <w:r w:rsidR="002932A1">
              <w:rPr>
                <w:webHidden/>
              </w:rPr>
              <w:fldChar w:fldCharType="separate"/>
            </w:r>
            <w:r w:rsidR="00106AAD">
              <w:rPr>
                <w:webHidden/>
              </w:rPr>
              <w:t>40</w:t>
            </w:r>
            <w:r w:rsidR="002932A1">
              <w:rPr>
                <w:webHidden/>
              </w:rPr>
              <w:fldChar w:fldCharType="end"/>
            </w:r>
          </w:hyperlink>
        </w:p>
        <w:p w14:paraId="2DA6B336" w14:textId="5968ABEC" w:rsidR="002932A1" w:rsidRDefault="0028383D">
          <w:pPr>
            <w:pStyle w:val="TOC1"/>
            <w:rPr>
              <w:rFonts w:asciiTheme="minorHAnsi" w:eastAsiaTheme="minorEastAsia" w:hAnsiTheme="minorHAnsi" w:cstheme="minorBidi"/>
              <w:color w:val="auto"/>
              <w:kern w:val="2"/>
              <w14:ligatures w14:val="standardContextual"/>
            </w:rPr>
          </w:pPr>
          <w:hyperlink w:anchor="_Toc184739611" w:history="1">
            <w:r w:rsidR="002932A1" w:rsidRPr="009A024D">
              <w:rPr>
                <w:rStyle w:val="Hyperlink"/>
              </w:rPr>
              <w:t>Attachment 6 – Training checklist for Home Administered Subcutaneous Immunoglobulin (SCIg) Infusion Treatment</w:t>
            </w:r>
            <w:r w:rsidR="002932A1">
              <w:rPr>
                <w:webHidden/>
              </w:rPr>
              <w:tab/>
            </w:r>
            <w:r w:rsidR="002932A1">
              <w:rPr>
                <w:webHidden/>
              </w:rPr>
              <w:fldChar w:fldCharType="begin"/>
            </w:r>
            <w:r w:rsidR="002932A1">
              <w:rPr>
                <w:webHidden/>
              </w:rPr>
              <w:instrText xml:space="preserve"> PAGEREF _Toc184739611 \h </w:instrText>
            </w:r>
            <w:r w:rsidR="002932A1">
              <w:rPr>
                <w:webHidden/>
              </w:rPr>
            </w:r>
            <w:r w:rsidR="002932A1">
              <w:rPr>
                <w:webHidden/>
              </w:rPr>
              <w:fldChar w:fldCharType="separate"/>
            </w:r>
            <w:r w:rsidR="00106AAD">
              <w:rPr>
                <w:webHidden/>
              </w:rPr>
              <w:t>42</w:t>
            </w:r>
            <w:r w:rsidR="002932A1">
              <w:rPr>
                <w:webHidden/>
              </w:rPr>
              <w:fldChar w:fldCharType="end"/>
            </w:r>
          </w:hyperlink>
        </w:p>
        <w:p w14:paraId="2128061F" w14:textId="54D040C7"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177F9820" w14:textId="77777777" w:rsidR="00FE46F1" w:rsidRDefault="00FE46F1">
      <w:pPr>
        <w:spacing w:before="0" w:after="0" w:line="240" w:lineRule="auto"/>
        <w:rPr>
          <w:rFonts w:eastAsia="Times New Roman"/>
          <w:b/>
          <w:color w:val="FFFFFF" w:themeColor="background1"/>
          <w:szCs w:val="80"/>
          <w:lang w:eastAsia="en-US"/>
        </w:rPr>
      </w:pPr>
    </w:p>
    <w:p w14:paraId="14FBB455" w14:textId="77777777" w:rsidR="00201AF6" w:rsidRDefault="00201AF6">
      <w:pPr>
        <w:spacing w:before="0" w:after="0" w:line="240" w:lineRule="auto"/>
        <w:rPr>
          <w:rFonts w:eastAsia="Times New Roman"/>
          <w:b/>
          <w:bCs/>
          <w:iCs/>
          <w:color w:val="FFFFFF" w:themeColor="background1"/>
          <w:lang w:eastAsia="en-US"/>
        </w:rPr>
      </w:pPr>
      <w:r>
        <w:br w:type="page"/>
      </w:r>
    </w:p>
    <w:p w14:paraId="1741D6E8" w14:textId="77777777" w:rsidR="0078367D" w:rsidRPr="00036249" w:rsidRDefault="003254E1" w:rsidP="00036249">
      <w:pPr>
        <w:pStyle w:val="Heading4"/>
      </w:pPr>
      <w:bookmarkStart w:id="1" w:name="_Toc184739586"/>
      <w:r>
        <w:lastRenderedPageBreak/>
        <w:t>Purpose</w:t>
      </w:r>
      <w:bookmarkEnd w:id="1"/>
    </w:p>
    <w:p w14:paraId="53DE3455" w14:textId="6B87ED53" w:rsidR="00CD7C2B" w:rsidRPr="000A5B20" w:rsidRDefault="00CD7C2B" w:rsidP="00106AAD">
      <w:pPr>
        <w:spacing w:after="120"/>
      </w:pPr>
      <w:r w:rsidRPr="2A5DF8C1">
        <w:rPr>
          <w:rFonts w:asciiTheme="majorHAnsi" w:hAnsiTheme="majorHAnsi"/>
        </w:rPr>
        <w:t>The purpose of this document is to provide a systematic and consistent approach for the safe and appropriate administration of Intravenous Immunoglobulin (IVIg)</w:t>
      </w:r>
      <w:r w:rsidR="0056756C">
        <w:rPr>
          <w:rFonts w:asciiTheme="majorHAnsi" w:hAnsiTheme="majorHAnsi"/>
        </w:rPr>
        <w:t>,</w:t>
      </w:r>
      <w:r w:rsidRPr="2A5DF8C1">
        <w:rPr>
          <w:rFonts w:asciiTheme="majorHAnsi" w:hAnsiTheme="majorHAnsi"/>
        </w:rPr>
        <w:t xml:space="preserve"> </w:t>
      </w:r>
      <w:r w:rsidR="0056756C">
        <w:rPr>
          <w:rFonts w:asciiTheme="majorHAnsi" w:hAnsiTheme="majorHAnsi"/>
        </w:rPr>
        <w:t>S</w:t>
      </w:r>
      <w:r w:rsidRPr="2A5DF8C1">
        <w:rPr>
          <w:rFonts w:asciiTheme="majorHAnsi" w:hAnsiTheme="majorHAnsi"/>
        </w:rPr>
        <w:t xml:space="preserve">ubcutaneous </w:t>
      </w:r>
      <w:r w:rsidR="0056756C">
        <w:rPr>
          <w:rFonts w:asciiTheme="majorHAnsi" w:hAnsiTheme="majorHAnsi"/>
        </w:rPr>
        <w:t>I</w:t>
      </w:r>
      <w:r w:rsidRPr="2A5DF8C1">
        <w:rPr>
          <w:rFonts w:asciiTheme="majorHAnsi" w:hAnsiTheme="majorHAnsi"/>
        </w:rPr>
        <w:t>mmunoglobulin (SCIg</w:t>
      </w:r>
      <w:r w:rsidR="003D5590" w:rsidRPr="2A5DF8C1">
        <w:rPr>
          <w:rFonts w:asciiTheme="majorHAnsi" w:hAnsiTheme="majorHAnsi"/>
        </w:rPr>
        <w:t>)</w:t>
      </w:r>
      <w:r w:rsidR="0056756C">
        <w:rPr>
          <w:rFonts w:asciiTheme="majorHAnsi" w:hAnsiTheme="majorHAnsi"/>
        </w:rPr>
        <w:t xml:space="preserve"> and Normal Human Immunoglobin (NHIg)</w:t>
      </w:r>
      <w:r w:rsidR="003D5590">
        <w:rPr>
          <w:rFonts w:asciiTheme="majorHAnsi" w:hAnsiTheme="majorHAnsi"/>
        </w:rPr>
        <w:t xml:space="preserve">. </w:t>
      </w:r>
      <w:r w:rsidR="0056756C">
        <w:rPr>
          <w:rFonts w:asciiTheme="majorHAnsi" w:hAnsiTheme="majorHAnsi"/>
        </w:rPr>
        <w:t xml:space="preserve">These products </w:t>
      </w:r>
      <w:r>
        <w:rPr>
          <w:rFonts w:asciiTheme="majorHAnsi" w:hAnsiTheme="majorHAnsi"/>
        </w:rPr>
        <w:t>are derived from human blood donations</w:t>
      </w:r>
      <w:r w:rsidR="003D5590">
        <w:rPr>
          <w:rFonts w:asciiTheme="majorHAnsi" w:hAnsiTheme="majorHAnsi"/>
        </w:rPr>
        <w:t xml:space="preserve">; they </w:t>
      </w:r>
      <w:r>
        <w:rPr>
          <w:rFonts w:asciiTheme="majorHAnsi" w:hAnsiTheme="majorHAnsi"/>
        </w:rPr>
        <w:t>are produced by fractionation of pooled donor plasma to isolate immunoglobulin G (IgG). IVIg</w:t>
      </w:r>
      <w:r w:rsidR="0056756C">
        <w:rPr>
          <w:rFonts w:asciiTheme="majorHAnsi" w:hAnsiTheme="majorHAnsi"/>
        </w:rPr>
        <w:t>,</w:t>
      </w:r>
      <w:r>
        <w:rPr>
          <w:rFonts w:asciiTheme="majorHAnsi" w:hAnsiTheme="majorHAnsi"/>
        </w:rPr>
        <w:t xml:space="preserve"> SCIg</w:t>
      </w:r>
      <w:r w:rsidR="0056756C">
        <w:rPr>
          <w:rFonts w:asciiTheme="majorHAnsi" w:hAnsiTheme="majorHAnsi"/>
        </w:rPr>
        <w:t xml:space="preserve"> and NHIg</w:t>
      </w:r>
      <w:r>
        <w:rPr>
          <w:rFonts w:asciiTheme="majorHAnsi" w:hAnsiTheme="majorHAnsi"/>
        </w:rPr>
        <w:t xml:space="preserve"> are administered</w:t>
      </w:r>
      <w:r w:rsidRPr="2A5DF8C1">
        <w:rPr>
          <w:rFonts w:asciiTheme="majorHAnsi" w:hAnsiTheme="majorHAnsi"/>
        </w:rPr>
        <w:t xml:space="preserve"> across </w:t>
      </w:r>
      <w:r>
        <w:rPr>
          <w:rFonts w:asciiTheme="majorHAnsi" w:hAnsiTheme="majorHAnsi"/>
        </w:rPr>
        <w:t xml:space="preserve">the </w:t>
      </w:r>
      <w:r w:rsidRPr="2A5DF8C1">
        <w:rPr>
          <w:rFonts w:asciiTheme="majorHAnsi" w:hAnsiTheme="majorHAnsi"/>
        </w:rPr>
        <w:t>Canberra Health Services (CHS)</w:t>
      </w:r>
      <w:r>
        <w:rPr>
          <w:rFonts w:asciiTheme="majorHAnsi" w:hAnsiTheme="majorHAnsi"/>
        </w:rPr>
        <w:t xml:space="preserve"> network, which includes </w:t>
      </w:r>
      <w:r>
        <w:t>inpatient/outpatient facilities at Canberra Hospital, Clare Holland House, North Canberra Hospital, University of Canberra, and community-based services</w:t>
      </w:r>
      <w:r w:rsidRPr="2A5DF8C1">
        <w:rPr>
          <w:rFonts w:asciiTheme="majorHAnsi" w:hAnsiTheme="majorHAnsi"/>
        </w:rPr>
        <w:t xml:space="preserve">. All staff involved in </w:t>
      </w:r>
      <w:r>
        <w:rPr>
          <w:rFonts w:asciiTheme="majorHAnsi" w:hAnsiTheme="majorHAnsi"/>
        </w:rPr>
        <w:t xml:space="preserve">the </w:t>
      </w:r>
      <w:r w:rsidRPr="2A5DF8C1">
        <w:rPr>
          <w:rFonts w:asciiTheme="majorHAnsi" w:hAnsiTheme="majorHAnsi"/>
        </w:rPr>
        <w:t>transfusion of IVIg</w:t>
      </w:r>
      <w:r w:rsidR="0056756C">
        <w:rPr>
          <w:rFonts w:asciiTheme="majorHAnsi" w:hAnsiTheme="majorHAnsi"/>
        </w:rPr>
        <w:t>,</w:t>
      </w:r>
      <w:r w:rsidRPr="2A5DF8C1">
        <w:rPr>
          <w:rFonts w:asciiTheme="majorHAnsi" w:hAnsiTheme="majorHAnsi"/>
        </w:rPr>
        <w:t xml:space="preserve"> SCIg</w:t>
      </w:r>
      <w:r w:rsidR="0056756C">
        <w:rPr>
          <w:rFonts w:asciiTheme="majorHAnsi" w:hAnsiTheme="majorHAnsi"/>
        </w:rPr>
        <w:t xml:space="preserve"> or NHIg</w:t>
      </w:r>
      <w:r w:rsidRPr="2A5DF8C1">
        <w:rPr>
          <w:rFonts w:asciiTheme="majorHAnsi" w:hAnsiTheme="majorHAnsi"/>
        </w:rPr>
        <w:t xml:space="preserve"> are responsible for maintaining and updating their knowledge and practices.</w:t>
      </w:r>
    </w:p>
    <w:p w14:paraId="0E8A879C" w14:textId="77777777" w:rsidR="00481A6C" w:rsidRDefault="0028383D" w:rsidP="00481A6C">
      <w:pPr>
        <w:pStyle w:val="BodyCopy"/>
        <w:rPr>
          <w:rStyle w:val="Hyperlink"/>
          <w:iCs w:val="0"/>
        </w:rPr>
      </w:pPr>
      <w:hyperlink w:anchor="_top" w:history="1">
        <w:r w:rsidR="00481A6C" w:rsidRPr="00481A6C">
          <w:rPr>
            <w:rStyle w:val="Hyperlink"/>
            <w:iCs w:val="0"/>
          </w:rPr>
          <w:t>Back to Contents</w:t>
        </w:r>
      </w:hyperlink>
    </w:p>
    <w:p w14:paraId="73812045" w14:textId="77777777" w:rsidR="003254E1" w:rsidRDefault="003254E1" w:rsidP="003254E1">
      <w:pPr>
        <w:pStyle w:val="Heading4"/>
      </w:pPr>
      <w:bookmarkStart w:id="2" w:name="_Toc184739587"/>
      <w:r>
        <w:t>Scope</w:t>
      </w:r>
      <w:bookmarkEnd w:id="2"/>
    </w:p>
    <w:p w14:paraId="3BBFE48A" w14:textId="77777777" w:rsidR="003254E1" w:rsidRDefault="003254E1" w:rsidP="00F139DA">
      <w:pPr>
        <w:pStyle w:val="BodyCopy"/>
        <w:spacing w:after="0"/>
      </w:pPr>
      <w:r>
        <w:t>This document applies to the following staff working within their scope of practice:</w:t>
      </w:r>
    </w:p>
    <w:p w14:paraId="4BAF4425" w14:textId="77777777" w:rsidR="003254E1" w:rsidRPr="00BA236B" w:rsidRDefault="003254E1" w:rsidP="003254E1">
      <w:pPr>
        <w:pStyle w:val="Bullet"/>
      </w:pPr>
      <w:r w:rsidRPr="00BA236B">
        <w:t>Medical Officers</w:t>
      </w:r>
    </w:p>
    <w:p w14:paraId="76822278" w14:textId="7D626465" w:rsidR="00E1098B" w:rsidRDefault="003254E1" w:rsidP="00E1098B">
      <w:pPr>
        <w:pStyle w:val="Bullet"/>
      </w:pPr>
      <w:r w:rsidRPr="00BA236B">
        <w:t>Nurses and Midwives</w:t>
      </w:r>
    </w:p>
    <w:p w14:paraId="4EEE89C5" w14:textId="7B3A6562" w:rsidR="00E1098B" w:rsidRPr="00BA236B" w:rsidRDefault="00E1098B" w:rsidP="00E1098B">
      <w:pPr>
        <w:pStyle w:val="Bullet"/>
      </w:pPr>
      <w:r>
        <w:t>Students</w:t>
      </w:r>
      <w:r w:rsidR="008676D4">
        <w:t xml:space="preserve"> under direct supervision</w:t>
      </w:r>
    </w:p>
    <w:p w14:paraId="39BA0F26" w14:textId="77777777" w:rsidR="003254E1" w:rsidRDefault="0028383D" w:rsidP="003254E1">
      <w:pPr>
        <w:pStyle w:val="BodyCopy"/>
        <w:spacing w:before="240"/>
        <w:rPr>
          <w:rStyle w:val="Hyperlink"/>
          <w:iCs w:val="0"/>
        </w:rPr>
      </w:pPr>
      <w:hyperlink w:anchor="_top" w:history="1">
        <w:r w:rsidR="003254E1" w:rsidRPr="00481A6C">
          <w:rPr>
            <w:rStyle w:val="Hyperlink"/>
            <w:iCs w:val="0"/>
          </w:rPr>
          <w:t>Back to Contents</w:t>
        </w:r>
      </w:hyperlink>
    </w:p>
    <w:p w14:paraId="31E3EEFC" w14:textId="31658C85" w:rsidR="00CD7C2B" w:rsidRDefault="00127212" w:rsidP="00CD7C2B">
      <w:pPr>
        <w:pStyle w:val="Heading4"/>
      </w:pPr>
      <w:bookmarkStart w:id="3" w:name="_Toc184739588"/>
      <w:r>
        <w:t xml:space="preserve">Section 1 - </w:t>
      </w:r>
      <w:r w:rsidR="00CD7C2B">
        <w:t>Criteria</w:t>
      </w:r>
      <w:bookmarkEnd w:id="3"/>
    </w:p>
    <w:p w14:paraId="10540CA5" w14:textId="522656C6" w:rsidR="00CD7C2B" w:rsidRDefault="00CD7C2B" w:rsidP="00CD7C2B">
      <w:pPr>
        <w:rPr>
          <w:rFonts w:asciiTheme="majorHAnsi" w:hAnsiTheme="majorHAnsi"/>
        </w:rPr>
      </w:pPr>
      <w:r w:rsidRPr="002E7417">
        <w:rPr>
          <w:rFonts w:asciiTheme="majorHAnsi" w:hAnsiTheme="majorHAnsi"/>
        </w:rPr>
        <w:t xml:space="preserve">IVIg and SCIg are used in the management of an increasingly wide range of diseases. </w:t>
      </w:r>
      <w:r>
        <w:rPr>
          <w:rFonts w:asciiTheme="majorHAnsi" w:hAnsiTheme="majorHAnsi"/>
        </w:rPr>
        <w:t>Immunoglobulins</w:t>
      </w:r>
      <w:r w:rsidRPr="002E7417">
        <w:rPr>
          <w:rFonts w:asciiTheme="majorHAnsi" w:hAnsiTheme="majorHAnsi"/>
        </w:rPr>
        <w:t xml:space="preserve"> are </w:t>
      </w:r>
      <w:r>
        <w:rPr>
          <w:rFonts w:asciiTheme="majorHAnsi" w:hAnsiTheme="majorHAnsi"/>
        </w:rPr>
        <w:t xml:space="preserve">mainly used </w:t>
      </w:r>
      <w:r w:rsidRPr="002E7417">
        <w:rPr>
          <w:rFonts w:asciiTheme="majorHAnsi" w:hAnsiTheme="majorHAnsi"/>
        </w:rPr>
        <w:t xml:space="preserve">as a source of antibody replacement in primary immunodeficiency </w:t>
      </w:r>
      <w:r>
        <w:rPr>
          <w:rFonts w:asciiTheme="majorHAnsi" w:hAnsiTheme="majorHAnsi"/>
        </w:rPr>
        <w:t xml:space="preserve">(PID), </w:t>
      </w:r>
      <w:r w:rsidRPr="002E7417">
        <w:rPr>
          <w:rFonts w:asciiTheme="majorHAnsi" w:hAnsiTheme="majorHAnsi"/>
        </w:rPr>
        <w:t>and to modulate the immune system in autoimmune and inflammatory diseases. Access to IVI</w:t>
      </w:r>
      <w:r>
        <w:rPr>
          <w:rFonts w:asciiTheme="majorHAnsi" w:hAnsiTheme="majorHAnsi"/>
        </w:rPr>
        <w:t>g</w:t>
      </w:r>
      <w:r w:rsidRPr="002E7417">
        <w:rPr>
          <w:rFonts w:asciiTheme="majorHAnsi" w:hAnsiTheme="majorHAnsi"/>
        </w:rPr>
        <w:t xml:space="preserve"> and SCIg in Australia is approved by the Australian Red Cross</w:t>
      </w:r>
      <w:r w:rsidR="006D1B0C">
        <w:rPr>
          <w:rFonts w:asciiTheme="majorHAnsi" w:hAnsiTheme="majorHAnsi"/>
        </w:rPr>
        <w:t xml:space="preserve"> Lifeblood</w:t>
      </w:r>
      <w:r w:rsidRPr="002E7417">
        <w:rPr>
          <w:rFonts w:asciiTheme="majorHAnsi" w:hAnsiTheme="majorHAnsi"/>
        </w:rPr>
        <w:t xml:space="preserve"> (</w:t>
      </w:r>
      <w:r>
        <w:rPr>
          <w:rFonts w:asciiTheme="majorHAnsi" w:hAnsiTheme="majorHAnsi"/>
        </w:rPr>
        <w:t>Lifeblood</w:t>
      </w:r>
      <w:r w:rsidRPr="002E7417">
        <w:rPr>
          <w:rFonts w:asciiTheme="majorHAnsi" w:hAnsiTheme="majorHAnsi"/>
        </w:rPr>
        <w:t xml:space="preserve">). </w:t>
      </w:r>
      <w:r w:rsidRPr="007F488A">
        <w:rPr>
          <w:rFonts w:asciiTheme="majorHAnsi" w:hAnsiTheme="majorHAnsi"/>
        </w:rPr>
        <w:t xml:space="preserve">Patients gain approval to receive antibody replacement through Lifeblood, providing they meet </w:t>
      </w:r>
      <w:r w:rsidRPr="002E7417">
        <w:rPr>
          <w:rFonts w:asciiTheme="majorHAnsi" w:hAnsiTheme="majorHAnsi"/>
        </w:rPr>
        <w:t xml:space="preserve">conditions outlined in the </w:t>
      </w:r>
      <w:r w:rsidR="003D5590" w:rsidRPr="00F95B8A">
        <w:rPr>
          <w:rStyle w:val="Hyperlink"/>
          <w:rFonts w:asciiTheme="majorHAnsi" w:hAnsiTheme="majorHAnsi"/>
          <w:u w:val="none"/>
        </w:rPr>
        <w:t>National Blood Authority’s ‘</w:t>
      </w:r>
      <w:r w:rsidR="003D5590" w:rsidRPr="009F70FB">
        <w:t>Criteria for the Clinical Use of Intravenous Immunoglobulin in Australia</w:t>
      </w:r>
      <w:r w:rsidR="003D5590">
        <w:rPr>
          <w:rFonts w:asciiTheme="majorHAnsi" w:hAnsiTheme="majorHAnsi"/>
        </w:rPr>
        <w:t>’</w:t>
      </w:r>
      <w:r w:rsidRPr="00F3620C">
        <w:rPr>
          <w:rFonts w:asciiTheme="majorHAnsi" w:hAnsiTheme="majorHAnsi"/>
        </w:rPr>
        <w:t xml:space="preserve"> </w:t>
      </w:r>
      <w:r w:rsidRPr="002E7417">
        <w:rPr>
          <w:rFonts w:asciiTheme="majorHAnsi" w:hAnsiTheme="majorHAnsi"/>
        </w:rPr>
        <w:t>(the Criteria)</w:t>
      </w:r>
      <w:r w:rsidR="003D5590">
        <w:rPr>
          <w:rFonts w:asciiTheme="majorHAnsi" w:hAnsiTheme="majorHAnsi"/>
        </w:rPr>
        <w:t xml:space="preserve"> (available at: </w:t>
      </w:r>
      <w:hyperlink r:id="rId11" w:history="1">
        <w:r w:rsidR="003D5590" w:rsidRPr="003D5590">
          <w:rPr>
            <w:rStyle w:val="Hyperlink"/>
            <w:rFonts w:asciiTheme="majorHAnsi" w:hAnsiTheme="majorHAnsi"/>
          </w:rPr>
          <w:t>https://www.criteria.blood.gov.au/</w:t>
        </w:r>
      </w:hyperlink>
      <w:r w:rsidR="003D5590">
        <w:rPr>
          <w:rFonts w:asciiTheme="majorHAnsi" w:hAnsiTheme="majorHAnsi"/>
        </w:rPr>
        <w:t>)</w:t>
      </w:r>
      <w:r>
        <w:rPr>
          <w:rFonts w:asciiTheme="majorHAnsi" w:hAnsiTheme="majorHAnsi"/>
        </w:rPr>
        <w:t>.</w:t>
      </w:r>
    </w:p>
    <w:p w14:paraId="0375DA48" w14:textId="42483ED9" w:rsidR="00CD7C2B" w:rsidRDefault="00CD7C2B" w:rsidP="00CD7C2B">
      <w:pPr>
        <w:rPr>
          <w:rFonts w:asciiTheme="majorHAnsi" w:hAnsiTheme="majorHAnsi"/>
        </w:rPr>
      </w:pPr>
      <w:r>
        <w:rPr>
          <w:rFonts w:asciiTheme="majorHAnsi" w:hAnsiTheme="majorHAnsi"/>
        </w:rPr>
        <w:t>The Criteria is not a clinical practice guideline. Instead, it is a tool which ensures immunoglobulin usage is consistent with current available evidence and is prescribed for patients who are likely to benefit from immunoglobulin therapy, especially where there are no other safe and effective treatments.</w:t>
      </w:r>
    </w:p>
    <w:p w14:paraId="5B43A271" w14:textId="77777777" w:rsidR="00CD7C2B" w:rsidRDefault="00CD7C2B" w:rsidP="00CD7C2B">
      <w:pPr>
        <w:pStyle w:val="Heading5"/>
      </w:pPr>
      <w:r>
        <w:t>BloodSTAR</w:t>
      </w:r>
    </w:p>
    <w:p w14:paraId="4CBBC249" w14:textId="61855FB9" w:rsidR="00CD7C2B" w:rsidRDefault="00CD7C2B" w:rsidP="00CD7C2B">
      <w:pPr>
        <w:spacing w:after="120"/>
        <w:rPr>
          <w:rStyle w:val="Hyperlink"/>
          <w:rFonts w:asciiTheme="majorHAnsi" w:hAnsiTheme="majorHAnsi"/>
          <w:u w:val="none"/>
        </w:rPr>
      </w:pPr>
      <w:r w:rsidRPr="008E378B">
        <w:rPr>
          <w:rFonts w:asciiTheme="majorHAnsi" w:hAnsiTheme="majorHAnsi"/>
        </w:rPr>
        <w:t>BloodSTAR</w:t>
      </w:r>
      <w:r>
        <w:rPr>
          <w:rFonts w:asciiTheme="majorHAnsi" w:hAnsiTheme="majorHAnsi"/>
        </w:rPr>
        <w:t xml:space="preserve"> is a national </w:t>
      </w:r>
      <w:r w:rsidRPr="008E378B">
        <w:rPr>
          <w:rFonts w:asciiTheme="majorHAnsi" w:hAnsiTheme="majorHAnsi"/>
        </w:rPr>
        <w:t xml:space="preserve">online system that </w:t>
      </w:r>
      <w:r>
        <w:rPr>
          <w:rFonts w:asciiTheme="majorHAnsi" w:hAnsiTheme="majorHAnsi"/>
        </w:rPr>
        <w:t xml:space="preserve">enables health providers to access government funded immunoglobulin (Ig) products for their patients by </w:t>
      </w:r>
      <w:r w:rsidRPr="008E378B">
        <w:rPr>
          <w:rFonts w:asciiTheme="majorHAnsi" w:hAnsiTheme="majorHAnsi"/>
        </w:rPr>
        <w:t>facilitat</w:t>
      </w:r>
      <w:r>
        <w:rPr>
          <w:rFonts w:asciiTheme="majorHAnsi" w:hAnsiTheme="majorHAnsi"/>
        </w:rPr>
        <w:t>ing</w:t>
      </w:r>
      <w:r w:rsidRPr="008E378B">
        <w:rPr>
          <w:rFonts w:asciiTheme="majorHAnsi" w:hAnsiTheme="majorHAnsi"/>
        </w:rPr>
        <w:t xml:space="preserve"> authorisations, dispensing and reviews of immunoglobulin products such as IVIg</w:t>
      </w:r>
      <w:r w:rsidR="008523C6">
        <w:rPr>
          <w:rFonts w:asciiTheme="majorHAnsi" w:hAnsiTheme="majorHAnsi"/>
        </w:rPr>
        <w:t xml:space="preserve">, </w:t>
      </w:r>
      <w:r w:rsidRPr="008E378B">
        <w:rPr>
          <w:rFonts w:asciiTheme="majorHAnsi" w:hAnsiTheme="majorHAnsi"/>
        </w:rPr>
        <w:t>SCIg</w:t>
      </w:r>
      <w:r w:rsidR="008523C6">
        <w:rPr>
          <w:rFonts w:asciiTheme="majorHAnsi" w:hAnsiTheme="majorHAnsi"/>
        </w:rPr>
        <w:t xml:space="preserve"> and NHIg</w:t>
      </w:r>
      <w:r>
        <w:rPr>
          <w:rFonts w:asciiTheme="majorHAnsi" w:hAnsiTheme="majorHAnsi"/>
        </w:rPr>
        <w:t xml:space="preserve"> in Australia in line with the </w:t>
      </w:r>
      <w:r>
        <w:t>Criteria. BloodSTAR can be accessed via a Blood Portal account with the National Blood Authority (NBA) Australia</w:t>
      </w:r>
      <w:r w:rsidR="00127212">
        <w:t xml:space="preserve"> (</w:t>
      </w:r>
      <w:r w:rsidR="00127212">
        <w:rPr>
          <w:rFonts w:asciiTheme="majorHAnsi" w:hAnsiTheme="majorHAnsi"/>
        </w:rPr>
        <w:t xml:space="preserve">available at </w:t>
      </w:r>
      <w:hyperlink r:id="rId12" w:history="1">
        <w:r w:rsidR="00127212" w:rsidRPr="006B3EF1">
          <w:rPr>
            <w:rStyle w:val="Hyperlink"/>
            <w:rFonts w:asciiTheme="majorHAnsi" w:hAnsiTheme="majorHAnsi"/>
          </w:rPr>
          <w:t>www.blood.gov.au</w:t>
        </w:r>
      </w:hyperlink>
      <w:r w:rsidR="00127212">
        <w:rPr>
          <w:rStyle w:val="Hyperlink"/>
          <w:rFonts w:asciiTheme="majorHAnsi" w:hAnsiTheme="majorHAnsi"/>
        </w:rPr>
        <w:t>)</w:t>
      </w:r>
      <w:r w:rsidR="00127212" w:rsidRPr="009F70FB">
        <w:rPr>
          <w:rStyle w:val="Hyperlink"/>
          <w:rFonts w:asciiTheme="majorHAnsi" w:hAnsiTheme="majorHAnsi"/>
          <w:u w:val="none"/>
        </w:rPr>
        <w:t>.</w:t>
      </w:r>
    </w:p>
    <w:p w14:paraId="05F6F139" w14:textId="77777777" w:rsidR="005B5C73" w:rsidRDefault="005B5C73" w:rsidP="005B5C73">
      <w:pPr>
        <w:pStyle w:val="Heading5"/>
      </w:pPr>
      <w:r>
        <w:lastRenderedPageBreak/>
        <w:t>If a patient does not meet the Criteria</w:t>
      </w:r>
    </w:p>
    <w:p w14:paraId="6D90C63C" w14:textId="5CB64946" w:rsidR="005B5C73" w:rsidRPr="00AF7429" w:rsidRDefault="005B5C73" w:rsidP="005B5C73">
      <w:pPr>
        <w:pStyle w:val="BodyCopy"/>
      </w:pPr>
      <w:r w:rsidRPr="00AF7429">
        <w:t xml:space="preserve">Patients who do not meet the Criteria can in some instances receive Ig under the Jurisdictional Direct Orders (JDOs), where imported Ig is available to approved recipients. This is because all </w:t>
      </w:r>
      <w:r w:rsidR="001E4A4A" w:rsidRPr="00AF7429">
        <w:t>immunoglobulins</w:t>
      </w:r>
      <w:r w:rsidRPr="00AF7429">
        <w:t xml:space="preserve"> made from Australian plasma is used to treat the indications listed in the Criteria</w:t>
      </w:r>
      <w:r w:rsidR="00645B32">
        <w:t xml:space="preserve"> only</w:t>
      </w:r>
      <w:r w:rsidRPr="00AF7429">
        <w:t xml:space="preserve">. In these </w:t>
      </w:r>
      <w:r w:rsidRPr="004C0467">
        <w:t>circumstances</w:t>
      </w:r>
      <w:r w:rsidRPr="00AF7429">
        <w:t xml:space="preserve"> the treating clinician must submit a request to the Canberra Hospital Drug Therapeutics Committee (DTC) for approval. More information on Ig access outside of the National Blood Arrangements can be found </w:t>
      </w:r>
      <w:r>
        <w:t>on the</w:t>
      </w:r>
      <w:r w:rsidRPr="00AF7429">
        <w:t xml:space="preserve"> National Blood Authority</w:t>
      </w:r>
      <w:r>
        <w:t xml:space="preserve"> website at: </w:t>
      </w:r>
      <w:hyperlink r:id="rId13" w:anchor="ig-access-outside-the-national-blood-arrangements" w:history="1">
        <w:r>
          <w:rPr>
            <w:rStyle w:val="Hyperlink"/>
          </w:rPr>
          <w:t>https://www.blood.gov.au/supply-system/governance-immunoglobulin-products#ig-access-outside-the-national-blood-arrangements</w:t>
        </w:r>
      </w:hyperlink>
      <w:r>
        <w:t>.</w:t>
      </w:r>
    </w:p>
    <w:p w14:paraId="6611E448" w14:textId="77777777" w:rsidR="005B5C73" w:rsidRDefault="005B5C73" w:rsidP="005B5C73">
      <w:pPr>
        <w:pStyle w:val="BodyCopy"/>
        <w:spacing w:after="0"/>
      </w:pPr>
      <w:r w:rsidRPr="00AF7429">
        <w:t>Contact details for Canberra Hospital Drug and Therapeutics committee:</w:t>
      </w:r>
    </w:p>
    <w:p w14:paraId="576F7AFE" w14:textId="77777777" w:rsidR="005B5C73" w:rsidRPr="00AF7429" w:rsidRDefault="005B5C73" w:rsidP="005B5C73">
      <w:pPr>
        <w:pStyle w:val="BodyCopy"/>
        <w:spacing w:after="0"/>
        <w:ind w:left="1440" w:firstLine="720"/>
      </w:pPr>
      <w:r w:rsidRPr="00AF7429">
        <w:t xml:space="preserve">Email: </w:t>
      </w:r>
      <w:hyperlink r:id="rId14" w:history="1">
        <w:r w:rsidRPr="00AF7429">
          <w:rPr>
            <w:rStyle w:val="Hyperlink"/>
            <w:color w:val="000000" w:themeColor="text1"/>
            <w:u w:val="none"/>
          </w:rPr>
          <w:t>dtc@act.gov.au</w:t>
        </w:r>
      </w:hyperlink>
    </w:p>
    <w:p w14:paraId="6ACE3E22" w14:textId="77777777" w:rsidR="005B5C73" w:rsidRPr="00AF7429" w:rsidRDefault="005B5C73" w:rsidP="005B5C73">
      <w:pPr>
        <w:pStyle w:val="BodyCopy"/>
        <w:spacing w:after="0"/>
        <w:ind w:left="1440" w:firstLine="720"/>
      </w:pPr>
      <w:r w:rsidRPr="00AF7429">
        <w:t>Secretariat ext. 42121</w:t>
      </w:r>
    </w:p>
    <w:p w14:paraId="3A93237F" w14:textId="1D8EF20E" w:rsidR="00127212" w:rsidRDefault="00F95B8A" w:rsidP="00F95B8A">
      <w:pPr>
        <w:pStyle w:val="Heading5"/>
      </w:pPr>
      <w:r>
        <w:t>I</w:t>
      </w:r>
      <w:r w:rsidR="00CE466C">
        <w:t xml:space="preserve">mmunoglobulin </w:t>
      </w:r>
      <w:r>
        <w:t>products available in Australia</w:t>
      </w:r>
    </w:p>
    <w:p w14:paraId="3638C4B4" w14:textId="6DDD4F57" w:rsidR="00A064D9" w:rsidRDefault="00127212" w:rsidP="00CD7C2B">
      <w:pPr>
        <w:spacing w:after="120"/>
      </w:pPr>
      <w:r>
        <w:rPr>
          <w:rFonts w:asciiTheme="majorHAnsi" w:hAnsiTheme="majorHAnsi"/>
        </w:rPr>
        <w:t>The NBA determines which patient conditions qualify for government funded Australian or imported immunoglobulin products</w:t>
      </w:r>
      <w:r w:rsidR="002835BE">
        <w:rPr>
          <w:rFonts w:asciiTheme="majorHAnsi" w:hAnsiTheme="majorHAnsi"/>
        </w:rPr>
        <w:t>,</w:t>
      </w:r>
      <w:r>
        <w:rPr>
          <w:rFonts w:asciiTheme="majorHAnsi" w:hAnsiTheme="majorHAnsi"/>
        </w:rPr>
        <w:t xml:space="preserve"> based on the clinical indication and Immunoglobulin product availability. </w:t>
      </w:r>
      <w:r w:rsidR="00A064D9">
        <w:rPr>
          <w:rFonts w:asciiTheme="majorHAnsi" w:hAnsiTheme="majorHAnsi"/>
        </w:rPr>
        <w:t>A</w:t>
      </w:r>
      <w:r>
        <w:rPr>
          <w:rFonts w:asciiTheme="majorHAnsi" w:hAnsiTheme="majorHAnsi"/>
        </w:rPr>
        <w:t xml:space="preserve"> </w:t>
      </w:r>
      <w:hyperlink r:id="rId15" w:history="1">
        <w:r w:rsidRPr="009F70FB">
          <w:rPr>
            <w:rStyle w:val="Hyperlink"/>
            <w:rFonts w:asciiTheme="majorHAnsi" w:hAnsiTheme="majorHAnsi"/>
            <w:u w:val="none"/>
          </w:rPr>
          <w:t>comparison of Ig products available under the National Blood Supply Arrangements</w:t>
        </w:r>
      </w:hyperlink>
      <w:r w:rsidR="00A064D9">
        <w:rPr>
          <w:rFonts w:asciiTheme="majorHAnsi" w:hAnsiTheme="majorHAnsi"/>
        </w:rPr>
        <w:t xml:space="preserve"> is available on the Lifeblood website at: </w:t>
      </w:r>
      <w:hyperlink r:id="rId16" w:history="1">
        <w:r w:rsidR="00A064D9">
          <w:rPr>
            <w:rStyle w:val="Hyperlink"/>
          </w:rPr>
          <w:t>https://www.lifeblood.com.au/sites/default/files/resource-library/2024-04/Comparison_of_Intravenous_Immunoglobulin_Products_available_under_National_LST-00126_V7.pdf</w:t>
        </w:r>
      </w:hyperlink>
    </w:p>
    <w:p w14:paraId="4254CFA0" w14:textId="77777777" w:rsidR="00CE0D70" w:rsidRPr="000A5B20" w:rsidRDefault="00CE0D70" w:rsidP="00CD7C2B">
      <w:pPr>
        <w:spacing w:after="120"/>
      </w:pPr>
    </w:p>
    <w:p w14:paraId="5A194050" w14:textId="77777777" w:rsidR="00CD7C2B" w:rsidRDefault="0028383D" w:rsidP="00CD7C2B">
      <w:pPr>
        <w:pStyle w:val="BodyCopy"/>
      </w:pPr>
      <w:hyperlink w:anchor="_top" w:history="1">
        <w:r w:rsidR="00CD7C2B" w:rsidRPr="00481A6C">
          <w:rPr>
            <w:rStyle w:val="Hyperlink"/>
            <w:iCs w:val="0"/>
          </w:rPr>
          <w:t>Back to Contents</w:t>
        </w:r>
      </w:hyperlink>
    </w:p>
    <w:p w14:paraId="4D08B3E2" w14:textId="612D461A" w:rsidR="0078367D" w:rsidRDefault="0078367D" w:rsidP="00197F2E">
      <w:pPr>
        <w:pStyle w:val="Heading4"/>
      </w:pPr>
      <w:bookmarkStart w:id="4" w:name="_Toc184739589"/>
      <w:r>
        <w:t xml:space="preserve">Section </w:t>
      </w:r>
      <w:r w:rsidR="00D3436E">
        <w:t>2</w:t>
      </w:r>
      <w:r>
        <w:t xml:space="preserve"> </w:t>
      </w:r>
      <w:r w:rsidR="003A2A53">
        <w:t>–</w:t>
      </w:r>
      <w:r>
        <w:t xml:space="preserve"> </w:t>
      </w:r>
      <w:r w:rsidR="003A2A53">
        <w:t>Authorisation/Approval of Immunoglobulin</w:t>
      </w:r>
      <w:bookmarkEnd w:id="4"/>
    </w:p>
    <w:p w14:paraId="61E9B13A" w14:textId="733E116C" w:rsidR="00B97975" w:rsidRDefault="00B97975" w:rsidP="00B97975">
      <w:pPr>
        <w:rPr>
          <w:rFonts w:asciiTheme="majorHAnsi" w:hAnsiTheme="majorHAnsi"/>
        </w:rPr>
      </w:pPr>
      <w:r>
        <w:rPr>
          <w:rFonts w:asciiTheme="majorHAnsi" w:hAnsiTheme="majorHAnsi"/>
        </w:rPr>
        <w:t xml:space="preserve">Ig </w:t>
      </w:r>
      <w:r w:rsidRPr="00F3620C">
        <w:rPr>
          <w:rFonts w:asciiTheme="majorHAnsi" w:hAnsiTheme="majorHAnsi"/>
        </w:rPr>
        <w:t>are issued</w:t>
      </w:r>
      <w:r>
        <w:rPr>
          <w:rFonts w:asciiTheme="majorHAnsi" w:hAnsiTheme="majorHAnsi"/>
        </w:rPr>
        <w:t xml:space="preserve"> in accordance with the </w:t>
      </w:r>
      <w:r w:rsidR="00127212" w:rsidRPr="009F70FB">
        <w:t>Criteria</w:t>
      </w:r>
      <w:r w:rsidRPr="00F3620C">
        <w:rPr>
          <w:rFonts w:asciiTheme="majorHAnsi" w:hAnsiTheme="majorHAnsi"/>
        </w:rPr>
        <w:t xml:space="preserve">. </w:t>
      </w:r>
      <w:r>
        <w:rPr>
          <w:rFonts w:asciiTheme="majorHAnsi" w:hAnsiTheme="majorHAnsi"/>
        </w:rPr>
        <w:t xml:space="preserve">Authorisation for Ig is obtained under the National Blood Arrangements </w:t>
      </w:r>
      <w:r w:rsidRPr="00F3620C">
        <w:rPr>
          <w:rFonts w:asciiTheme="majorHAnsi" w:hAnsiTheme="majorHAnsi"/>
        </w:rPr>
        <w:t>or Direct Order arrangements</w:t>
      </w:r>
      <w:r w:rsidR="00B351E7">
        <w:rPr>
          <w:rFonts w:asciiTheme="majorHAnsi" w:hAnsiTheme="majorHAnsi"/>
        </w:rPr>
        <w:t xml:space="preserve"> (refer to the NBA website at </w:t>
      </w:r>
      <w:hyperlink r:id="rId17" w:anchor="ig-access-outside-the-national-blood-arrangements" w:history="1">
        <w:r w:rsidR="00B351E7" w:rsidRPr="00B351E7">
          <w:rPr>
            <w:rStyle w:val="Hyperlink"/>
            <w:rFonts w:asciiTheme="majorHAnsi" w:hAnsiTheme="majorHAnsi"/>
          </w:rPr>
          <w:t>https://www.blood.gov.au/supply-system/governance-immunoglobulin-products#ig-access-outside-the-national-blood-arrangements</w:t>
        </w:r>
      </w:hyperlink>
      <w:r w:rsidR="00B351E7">
        <w:rPr>
          <w:rFonts w:asciiTheme="majorHAnsi" w:hAnsiTheme="majorHAnsi"/>
        </w:rPr>
        <w:t xml:space="preserve"> for further information)</w:t>
      </w:r>
      <w:r>
        <w:rPr>
          <w:rFonts w:asciiTheme="majorHAnsi" w:hAnsiTheme="majorHAnsi"/>
        </w:rPr>
        <w:t>.</w:t>
      </w:r>
    </w:p>
    <w:p w14:paraId="5D40ECE3" w14:textId="23084313" w:rsidR="00B97975" w:rsidRDefault="009E5F95" w:rsidP="00B97975">
      <w:r>
        <w:rPr>
          <w:bCs/>
        </w:rPr>
        <w:t>The Prescribing Specialist Physician (as stated below)</w:t>
      </w:r>
      <w:r w:rsidR="002F61C1">
        <w:rPr>
          <w:bCs/>
        </w:rPr>
        <w:t xml:space="preserve"> </w:t>
      </w:r>
      <w:r w:rsidR="00B97975">
        <w:rPr>
          <w:bCs/>
        </w:rPr>
        <w:t>must first seek approval for Ig via BloodSTAR. R</w:t>
      </w:r>
      <w:r w:rsidR="00B97975" w:rsidRPr="00C80E61">
        <w:rPr>
          <w:bCs/>
        </w:rPr>
        <w:t xml:space="preserve">efer to </w:t>
      </w:r>
      <w:r w:rsidR="00F00F6A">
        <w:rPr>
          <w:bCs/>
        </w:rPr>
        <w:t>Attachment</w:t>
      </w:r>
      <w:r w:rsidR="00B97975" w:rsidRPr="00C80E61">
        <w:rPr>
          <w:bCs/>
        </w:rPr>
        <w:t xml:space="preserve"> </w:t>
      </w:r>
      <w:r w:rsidR="00A064D9">
        <w:rPr>
          <w:bCs/>
        </w:rPr>
        <w:t>1</w:t>
      </w:r>
      <w:r w:rsidR="00A064D9" w:rsidRPr="00C80E61">
        <w:rPr>
          <w:bCs/>
        </w:rPr>
        <w:t xml:space="preserve"> </w:t>
      </w:r>
      <w:r w:rsidR="00B97975" w:rsidRPr="00C80E61">
        <w:rPr>
          <w:bCs/>
        </w:rPr>
        <w:t>– BloodSTAR process for Ig approval.</w:t>
      </w:r>
      <w:r w:rsidR="00B97975">
        <w:rPr>
          <w:bCs/>
        </w:rPr>
        <w:t xml:space="preserve"> </w:t>
      </w:r>
      <w:r w:rsidR="00B97975" w:rsidRPr="009F148A">
        <w:rPr>
          <w:bCs/>
        </w:rPr>
        <w:t xml:space="preserve">Once approval has been granted, </w:t>
      </w:r>
      <w:r w:rsidR="00B97975">
        <w:rPr>
          <w:bCs/>
        </w:rPr>
        <w:t>clinicians should proceed</w:t>
      </w:r>
      <w:r w:rsidR="00B97975" w:rsidRPr="009F148A">
        <w:rPr>
          <w:bCs/>
        </w:rPr>
        <w:t xml:space="preserve"> directly to </w:t>
      </w:r>
      <w:r w:rsidR="00127212" w:rsidRPr="009F70FB">
        <w:t>Section 5</w:t>
      </w:r>
      <w:r w:rsidR="00B97975" w:rsidRPr="009F148A">
        <w:rPr>
          <w:bCs/>
        </w:rPr>
        <w:t xml:space="preserve"> -</w:t>
      </w:r>
      <w:r w:rsidR="00B97975">
        <w:rPr>
          <w:bCs/>
        </w:rPr>
        <w:t xml:space="preserve"> </w:t>
      </w:r>
      <w:r w:rsidR="00B97975" w:rsidRPr="00AE2FD6">
        <w:t>Ordering product from</w:t>
      </w:r>
      <w:r w:rsidR="00B97975">
        <w:t xml:space="preserve"> </w:t>
      </w:r>
      <w:r w:rsidR="00B97975">
        <w:rPr>
          <w:rFonts w:asciiTheme="majorHAnsi" w:hAnsiTheme="majorHAnsi"/>
          <w:bCs/>
        </w:rPr>
        <w:t>ACT Pathology</w:t>
      </w:r>
      <w:r w:rsidR="00B97975">
        <w:t xml:space="preserve"> T</w:t>
      </w:r>
      <w:r w:rsidR="00B97975" w:rsidRPr="00AE2FD6">
        <w:t>ransfusion laboratory</w:t>
      </w:r>
      <w:r w:rsidR="00B97975">
        <w:t>.</w:t>
      </w:r>
    </w:p>
    <w:p w14:paraId="0743CE54" w14:textId="59394C9E" w:rsidR="002B1660" w:rsidRDefault="00B97975" w:rsidP="001D2579">
      <w:pPr>
        <w:pStyle w:val="BodyCopy"/>
      </w:pPr>
      <w:r>
        <w:t xml:space="preserve">Nursing staff can also register in BloodSTAR where they can view patient information related to Ig authorisations, </w:t>
      </w:r>
      <w:r w:rsidR="00EE7FB4">
        <w:t>product ordering</w:t>
      </w:r>
      <w:r w:rsidR="00FB40FF">
        <w:t xml:space="preserve"> history</w:t>
      </w:r>
      <w:r w:rsidR="00EE7FB4">
        <w:t xml:space="preserve">, </w:t>
      </w:r>
      <w:r>
        <w:t>previous and planned treatments, planning sheets and the record of privacy consent.</w:t>
      </w:r>
    </w:p>
    <w:p w14:paraId="25771694" w14:textId="77777777" w:rsidR="006C46E3" w:rsidRPr="00A6051F" w:rsidRDefault="006C46E3" w:rsidP="006C46E3">
      <w:pPr>
        <w:pStyle w:val="Heading5"/>
      </w:pPr>
      <w:r>
        <w:lastRenderedPageBreak/>
        <w:t>Dose</w:t>
      </w:r>
    </w:p>
    <w:p w14:paraId="334FA6A4" w14:textId="0EDA275D" w:rsidR="006C46E3" w:rsidRDefault="006C46E3" w:rsidP="001D2579">
      <w:pPr>
        <w:pStyle w:val="BodyCopy"/>
      </w:pPr>
      <w:r>
        <w:t xml:space="preserve">The dose </w:t>
      </w:r>
      <w:r w:rsidRPr="009B70F6">
        <w:t>of Ig is dependent on the condition for which it is being administered</w:t>
      </w:r>
      <w:r>
        <w:t xml:space="preserve">, with the aim of using the lowest possible dose that achieves an appropriate clinical outcome for a given patient. Please refer to </w:t>
      </w:r>
      <w:r w:rsidRPr="00EF575F">
        <w:t>the Criteria</w:t>
      </w:r>
      <w:r w:rsidRPr="000C579D">
        <w:rPr>
          <w:i/>
        </w:rPr>
        <w:t>.</w:t>
      </w:r>
    </w:p>
    <w:p w14:paraId="2DFFE934" w14:textId="77777777" w:rsidR="006C0039" w:rsidRPr="00A6051F" w:rsidRDefault="00B97975" w:rsidP="006C0039">
      <w:pPr>
        <w:pStyle w:val="Heading5"/>
      </w:pPr>
      <w:r>
        <w:t>SCIg</w:t>
      </w:r>
    </w:p>
    <w:p w14:paraId="4DA233ED" w14:textId="015CC075" w:rsidR="00B97975" w:rsidRPr="00F3620C" w:rsidRDefault="00B97975" w:rsidP="00B97975">
      <w:pPr>
        <w:rPr>
          <w:rFonts w:asciiTheme="majorHAnsi" w:hAnsiTheme="majorHAnsi"/>
        </w:rPr>
      </w:pPr>
      <w:r w:rsidRPr="00F3620C">
        <w:rPr>
          <w:rFonts w:asciiTheme="majorHAnsi" w:hAnsiTheme="majorHAnsi"/>
        </w:rPr>
        <w:t>SCI</w:t>
      </w:r>
      <w:r>
        <w:rPr>
          <w:rFonts w:asciiTheme="majorHAnsi" w:hAnsiTheme="majorHAnsi"/>
        </w:rPr>
        <w:t>g is only approved for patients w</w:t>
      </w:r>
      <w:r w:rsidRPr="00F3620C">
        <w:rPr>
          <w:rFonts w:asciiTheme="majorHAnsi" w:hAnsiTheme="majorHAnsi"/>
        </w:rPr>
        <w:t xml:space="preserve">ith a medical condition where there is support for use cited in </w:t>
      </w:r>
      <w:r w:rsidRPr="00151961">
        <w:rPr>
          <w:rFonts w:asciiTheme="majorHAnsi" w:hAnsiTheme="majorHAnsi"/>
        </w:rPr>
        <w:t>the</w:t>
      </w:r>
      <w:r w:rsidRPr="00F3620C">
        <w:rPr>
          <w:rFonts w:asciiTheme="majorHAnsi" w:hAnsiTheme="majorHAnsi"/>
          <w:i/>
          <w:iCs/>
        </w:rPr>
        <w:t xml:space="preserve"> </w:t>
      </w:r>
      <w:r w:rsidR="001D2579" w:rsidRPr="008137BD">
        <w:t>Criteria</w:t>
      </w:r>
      <w:r w:rsidRPr="00F3620C">
        <w:rPr>
          <w:rFonts w:asciiTheme="majorHAnsi" w:hAnsiTheme="majorHAnsi"/>
          <w:i/>
          <w:iCs/>
        </w:rPr>
        <w:t xml:space="preserve">, </w:t>
      </w:r>
      <w:r w:rsidRPr="00F3620C">
        <w:rPr>
          <w:rFonts w:asciiTheme="majorHAnsi" w:hAnsiTheme="majorHAnsi"/>
        </w:rPr>
        <w:t>namely:</w:t>
      </w:r>
    </w:p>
    <w:p w14:paraId="62AEE23D" w14:textId="77777777" w:rsidR="00B97975" w:rsidRDefault="00B97975" w:rsidP="001D2579">
      <w:pPr>
        <w:pStyle w:val="Bullet"/>
      </w:pPr>
      <w:r>
        <w:t>P</w:t>
      </w:r>
      <w:r w:rsidRPr="00BD1E2F">
        <w:t>rimary immunodeficiency diseases with antibody deficiency</w:t>
      </w:r>
    </w:p>
    <w:p w14:paraId="6A2A2183" w14:textId="77777777" w:rsidR="00B97975" w:rsidRPr="00BD1E2F" w:rsidRDefault="00B97975" w:rsidP="001D2579">
      <w:pPr>
        <w:pStyle w:val="Bullet"/>
      </w:pPr>
      <w:r>
        <w:t>Specific antibody deficiency</w:t>
      </w:r>
    </w:p>
    <w:p w14:paraId="6D54993F" w14:textId="77777777" w:rsidR="00B97975" w:rsidRDefault="00B97975" w:rsidP="001D2579">
      <w:pPr>
        <w:pStyle w:val="Bullet"/>
      </w:pPr>
      <w:r>
        <w:t>Acquired hypogammaglobulinaemia secondary to haematological malignancies (chronic lymphocytic leukaemia, multiple myeloma, non-Hodgkin’s lymphoma and other relevant malignancies), or post-haemopoietic stem cell transplantation secondary hypogammaglobulinaemia</w:t>
      </w:r>
    </w:p>
    <w:p w14:paraId="6187ECFC" w14:textId="77777777" w:rsidR="00B97975" w:rsidRDefault="00B97975" w:rsidP="001D2579">
      <w:pPr>
        <w:pStyle w:val="Bullet"/>
      </w:pPr>
      <w:r>
        <w:t>S</w:t>
      </w:r>
      <w:r w:rsidRPr="00690249">
        <w:t>econdary hypogammaglobulinaemia unrelated to haematological malignancies or post-haemopoietic stem cell transplantation</w:t>
      </w:r>
    </w:p>
    <w:p w14:paraId="369B7D5A" w14:textId="13F062EA" w:rsidR="00B97975" w:rsidRDefault="00B97975" w:rsidP="001D2579">
      <w:pPr>
        <w:pStyle w:val="Bullet"/>
      </w:pPr>
      <w:r>
        <w:t xml:space="preserve">Neurological condition- Chronic Inflammatory Demyelinating Polyneuropathy (CIDP), including IgG and </w:t>
      </w:r>
      <w:r w:rsidR="001171F5">
        <w:t>Immunoglobulin A (</w:t>
      </w:r>
      <w:r>
        <w:t>IgA</w:t>
      </w:r>
      <w:r w:rsidR="001171F5">
        <w:t>)</w:t>
      </w:r>
      <w:r>
        <w:t xml:space="preserve"> paraproteinaemic demyelinating neuropathies.</w:t>
      </w:r>
      <w:bookmarkStart w:id="5" w:name="_Hlk172532356"/>
    </w:p>
    <w:p w14:paraId="44BAB3DD" w14:textId="347C9EC2" w:rsidR="00B97975" w:rsidRPr="00A6051F" w:rsidRDefault="00B97975" w:rsidP="00B97975">
      <w:pPr>
        <w:pStyle w:val="Heading5"/>
      </w:pPr>
      <w:r>
        <w:t>NHIg</w:t>
      </w:r>
    </w:p>
    <w:p w14:paraId="4992EEA4" w14:textId="7548BF96" w:rsidR="00FF3B71" w:rsidRDefault="00FF3B71" w:rsidP="001D2579">
      <w:pPr>
        <w:pStyle w:val="BodyCopy"/>
      </w:pPr>
      <w:r w:rsidRPr="00526D6A">
        <w:t>NHIg</w:t>
      </w:r>
      <w:r>
        <w:t xml:space="preserve"> (also known as intramuscular immunoglobulin), is</w:t>
      </w:r>
      <w:r w:rsidRPr="00526D6A">
        <w:t xml:space="preserve"> a scarce resource produced from </w:t>
      </w:r>
      <w:r>
        <w:t>fractionation of pooled human plasma to isolate IgG, (</w:t>
      </w:r>
      <w:r w:rsidRPr="00526D6A">
        <w:t>same plasma pool as domestically produced IVIg and SCIg</w:t>
      </w:r>
      <w:r>
        <w:t xml:space="preserve">). NHIg </w:t>
      </w:r>
      <w:r w:rsidRPr="00526D6A">
        <w:t xml:space="preserve">may be supplied under the </w:t>
      </w:r>
      <w:r w:rsidR="00763E4C">
        <w:t>N</w:t>
      </w:r>
      <w:r w:rsidRPr="00526D6A">
        <w:t xml:space="preserve">ational </w:t>
      </w:r>
      <w:r w:rsidR="00763E4C">
        <w:t>B</w:t>
      </w:r>
      <w:r w:rsidRPr="00526D6A">
        <w:t xml:space="preserve">lood </w:t>
      </w:r>
      <w:r w:rsidR="00763E4C">
        <w:t>A</w:t>
      </w:r>
      <w:r w:rsidRPr="00526D6A">
        <w:t xml:space="preserve">rrangements for two </w:t>
      </w:r>
      <w:r>
        <w:t xml:space="preserve">specific </w:t>
      </w:r>
      <w:r w:rsidRPr="00526D6A">
        <w:t>purposes, as follows:</w:t>
      </w:r>
    </w:p>
    <w:p w14:paraId="24D9DCC0" w14:textId="50B34F98" w:rsidR="00FF3B71" w:rsidRDefault="00FF3B71" w:rsidP="001D2579">
      <w:pPr>
        <w:pStyle w:val="Numberedlist"/>
      </w:pPr>
      <w:r>
        <w:t>P</w:t>
      </w:r>
      <w:r w:rsidRPr="00526D6A">
        <w:t>ublic health disease control activities, to treat susceptible contacts</w:t>
      </w:r>
      <w:r>
        <w:t xml:space="preserve"> </w:t>
      </w:r>
      <w:r w:rsidRPr="00526D6A">
        <w:t>of an indicated infectious disease (hepatitis A, measles, poliomyelitis, or rubella), where directed</w:t>
      </w:r>
      <w:r>
        <w:t xml:space="preserve"> </w:t>
      </w:r>
      <w:r w:rsidRPr="00526D6A">
        <w:t>by the public health physicians, infectious disease consultants or clinical microbiologists. Advice and guidance to public health units in responding to</w:t>
      </w:r>
      <w:r>
        <w:t xml:space="preserve"> </w:t>
      </w:r>
      <w:r w:rsidRPr="00526D6A">
        <w:t>a notifiable disease event can be found in the Series of National Guidelines (SoNGs) at:</w:t>
      </w:r>
      <w:r w:rsidR="000C579D">
        <w:t xml:space="preserve"> </w:t>
      </w:r>
      <w:hyperlink r:id="rId18" w:history="1">
        <w:r w:rsidR="000C579D">
          <w:rPr>
            <w:rStyle w:val="Hyperlink"/>
          </w:rPr>
          <w:t>https://www.health.gov.au/resources/collections/cdna-series-of-national-guidelines-songs?utm_source=health.gov.au&amp;utm_medium=callout-auto-custom&amp;utm_campaign=digital_transformation</w:t>
        </w:r>
      </w:hyperlink>
    </w:p>
    <w:p w14:paraId="0F284A9F" w14:textId="384D3102" w:rsidR="00FF3B71" w:rsidRPr="00E60DAD" w:rsidRDefault="00FF3B71" w:rsidP="00E60DAD">
      <w:pPr>
        <w:pStyle w:val="Numberedlist"/>
      </w:pPr>
      <w:r w:rsidRPr="00E60DAD">
        <w:t>Treatment of specified immunodeficiency conditions for which the product is indicated, for patients for whom treatment with IVIg and SCIg (where available) are both contraindicated, provided that:</w:t>
      </w:r>
    </w:p>
    <w:p w14:paraId="17C362A6" w14:textId="40A00202" w:rsidR="00FF3B71" w:rsidRPr="00526D6A" w:rsidRDefault="00FF3B71" w:rsidP="000C579D">
      <w:pPr>
        <w:pStyle w:val="Bullet"/>
        <w:numPr>
          <w:ilvl w:val="1"/>
          <w:numId w:val="1"/>
        </w:numPr>
      </w:pPr>
      <w:r>
        <w:t>T</w:t>
      </w:r>
      <w:r w:rsidRPr="00526D6A">
        <w:t xml:space="preserve">he diagnosis and written prescription are provided by </w:t>
      </w:r>
      <w:r w:rsidR="004207D4">
        <w:t>the prescribing specialist physician</w:t>
      </w:r>
    </w:p>
    <w:p w14:paraId="3DAC2637" w14:textId="77777777" w:rsidR="00FF3B71" w:rsidRPr="00526D6A" w:rsidRDefault="00FF3B71" w:rsidP="000C579D">
      <w:pPr>
        <w:pStyle w:val="Bullet"/>
        <w:numPr>
          <w:ilvl w:val="1"/>
          <w:numId w:val="1"/>
        </w:numPr>
      </w:pPr>
      <w:r>
        <w:lastRenderedPageBreak/>
        <w:t>T</w:t>
      </w:r>
      <w:r w:rsidRPr="00526D6A">
        <w:t>he same diagnostic, qualifying, exclusion and review criteria and authorisation process for the relevant conditions are used to authorise the supply of NHIg, as would apply for the supply of IVIg or SCIg for those conditions</w:t>
      </w:r>
    </w:p>
    <w:p w14:paraId="1042D065" w14:textId="67D14689" w:rsidR="00FF3B71" w:rsidRPr="00526D6A" w:rsidRDefault="00FF3B71" w:rsidP="000C579D">
      <w:pPr>
        <w:pStyle w:val="Bullet"/>
        <w:numPr>
          <w:ilvl w:val="1"/>
          <w:numId w:val="1"/>
        </w:numPr>
      </w:pPr>
      <w:r>
        <w:t>A</w:t>
      </w:r>
      <w:r w:rsidRPr="00526D6A">
        <w:t xml:space="preserve">t the time of seeking authorisation, the </w:t>
      </w:r>
      <w:r w:rsidRPr="004207D4">
        <w:t xml:space="preserve">prescribing specialist </w:t>
      </w:r>
      <w:r w:rsidR="004207D4" w:rsidRPr="004207D4">
        <w:t>physician</w:t>
      </w:r>
      <w:r w:rsidRPr="00526D6A">
        <w:t xml:space="preserve"> confirms in writing the specific clinical reason why treatment with IVIg and SCIg are both contraindicated</w:t>
      </w:r>
    </w:p>
    <w:p w14:paraId="6E415FF2" w14:textId="77777777" w:rsidR="00FF3B71" w:rsidRPr="00863F10" w:rsidRDefault="00FF3B71" w:rsidP="000C579D">
      <w:pPr>
        <w:pStyle w:val="Bullet"/>
        <w:numPr>
          <w:ilvl w:val="1"/>
          <w:numId w:val="1"/>
        </w:numPr>
      </w:pPr>
      <w:r>
        <w:t>T</w:t>
      </w:r>
      <w:r w:rsidRPr="00863F10">
        <w:t>he governing requirements for SCIg are applied where NHIg is proposed to be used outside of t</w:t>
      </w:r>
      <w:r>
        <w:t>he hospital setting</w:t>
      </w:r>
    </w:p>
    <w:p w14:paraId="5D0ABC07" w14:textId="550E2BEB" w:rsidR="00FF3B71" w:rsidRDefault="00FF3B71" w:rsidP="000C579D">
      <w:pPr>
        <w:pStyle w:val="Bullet"/>
        <w:numPr>
          <w:ilvl w:val="1"/>
          <w:numId w:val="1"/>
        </w:numPr>
      </w:pPr>
      <w:r>
        <w:t>O</w:t>
      </w:r>
      <w:r w:rsidRPr="00863F10">
        <w:t>ngoing access to supply of NHIg may cease if the required review and supporting documentation demonstrating clinical effectiveness against the review criteria have not been</w:t>
      </w:r>
      <w:r>
        <w:t xml:space="preserve"> met</w:t>
      </w:r>
      <w:r w:rsidR="00C31500">
        <w:t>.</w:t>
      </w:r>
    </w:p>
    <w:p w14:paraId="3CFBB17B" w14:textId="7C8B4C3F" w:rsidR="00FF3B71" w:rsidRPr="002B1660" w:rsidRDefault="00FF3B71" w:rsidP="002B1660">
      <w:pPr>
        <w:pStyle w:val="BodyCopy"/>
        <w:pBdr>
          <w:top w:val="single" w:sz="4" w:space="1" w:color="auto"/>
          <w:left w:val="single" w:sz="4" w:space="4" w:color="auto"/>
          <w:bottom w:val="single" w:sz="4" w:space="1" w:color="auto"/>
          <w:right w:val="single" w:sz="4" w:space="4" w:color="auto"/>
        </w:pBdr>
        <w:shd w:val="clear" w:color="auto" w:fill="FFFFFF" w:themeFill="background1"/>
        <w:rPr>
          <w:b/>
          <w:bCs w:val="0"/>
        </w:rPr>
      </w:pPr>
      <w:r w:rsidRPr="005C5F49">
        <w:rPr>
          <w:rStyle w:val="Bold"/>
        </w:rPr>
        <w:t>Alert</w:t>
      </w:r>
      <w:r w:rsidR="002B1660">
        <w:rPr>
          <w:rStyle w:val="Bold"/>
        </w:rPr>
        <w:t xml:space="preserve"> : </w:t>
      </w:r>
      <w:proofErr w:type="spellStart"/>
      <w:r>
        <w:t>NHIg</w:t>
      </w:r>
      <w:proofErr w:type="spellEnd"/>
      <w:r>
        <w:t xml:space="preserve"> will not be routinely provided for any other purpose, including travel prophylaxis for hepatitis A. Advice in relation to prophylaxis for hepatitis A can be found in the </w:t>
      </w:r>
      <w:r w:rsidR="006C46E3" w:rsidRPr="00EB7477">
        <w:t>Australian Immunisation handbook</w:t>
      </w:r>
      <w:r>
        <w:t xml:space="preserve"> on the Australian Government, Department of Health and Aged Care website</w:t>
      </w:r>
      <w:r w:rsidR="006C46E3">
        <w:t xml:space="preserve"> (available at </w:t>
      </w:r>
      <w:hyperlink r:id="rId19" w:history="1">
        <w:r w:rsidR="006C46E3">
          <w:rPr>
            <w:rStyle w:val="Hyperlink"/>
          </w:rPr>
          <w:t>https://immunisationhandbook.health.gov.au/</w:t>
        </w:r>
      </w:hyperlink>
      <w:r w:rsidR="006C46E3">
        <w:t>)</w:t>
      </w:r>
      <w:r>
        <w:t>.</w:t>
      </w:r>
    </w:p>
    <w:p w14:paraId="1ED49B38" w14:textId="003353C5" w:rsidR="00FF3B71" w:rsidRPr="00A6051F" w:rsidRDefault="00FF3B71" w:rsidP="00FF3B71">
      <w:pPr>
        <w:pStyle w:val="Heading5"/>
      </w:pPr>
      <w:r>
        <w:t xml:space="preserve">Special considerations </w:t>
      </w:r>
      <w:r w:rsidR="00694946">
        <w:t>–</w:t>
      </w:r>
      <w:r>
        <w:t xml:space="preserve"> vaccines</w:t>
      </w:r>
    </w:p>
    <w:p w14:paraId="5D537D85" w14:textId="3B24B41E" w:rsidR="00FF3B71" w:rsidRDefault="00FF3B71" w:rsidP="00B351E7">
      <w:pPr>
        <w:pStyle w:val="BodyCopy"/>
      </w:pPr>
      <w:r>
        <w:t xml:space="preserve">IVIg may limit the effectiveness of live attenuated vaccines, which includes measles, mumps, rubella (MMR) and varicella vaccines. The </w:t>
      </w:r>
      <w:r w:rsidR="00B351E7" w:rsidRPr="00EB7477">
        <w:t>Australian Immunisation Handbook</w:t>
      </w:r>
      <w:r>
        <w:t xml:space="preserve"> recommend</w:t>
      </w:r>
      <w:r w:rsidR="00B351E7">
        <w:t>s</w:t>
      </w:r>
      <w:r>
        <w:t xml:space="preserve"> the following intervals between immunoglobulins</w:t>
      </w:r>
      <w:r w:rsidR="00CE0D70">
        <w:t xml:space="preserve"> (available at </w:t>
      </w:r>
      <w:hyperlink r:id="rId20" w:history="1">
        <w:r w:rsidR="00CE0D70">
          <w:rPr>
            <w:rStyle w:val="Hyperlink"/>
          </w:rPr>
          <w:t>https://immunisationhandbook.health.gov.au/contents/vaccine-preventable-diseases/measles</w:t>
        </w:r>
      </w:hyperlink>
      <w:r w:rsidR="00CE0D70">
        <w:t>).</w:t>
      </w:r>
    </w:p>
    <w:bookmarkEnd w:id="5"/>
    <w:p w14:paraId="01359B51" w14:textId="77777777" w:rsidR="00481A6C" w:rsidRDefault="006D1B0C" w:rsidP="005C5F49">
      <w:pPr>
        <w:pStyle w:val="BodyCopy"/>
        <w:spacing w:before="240"/>
        <w:rPr>
          <w:rStyle w:val="Hyperlink"/>
          <w:iCs w:val="0"/>
        </w:rPr>
      </w:pPr>
      <w:r>
        <w:fldChar w:fldCharType="begin"/>
      </w:r>
      <w:r>
        <w:instrText>HYPERLINK \l "_top"</w:instrText>
      </w:r>
      <w:r>
        <w:fldChar w:fldCharType="separate"/>
      </w:r>
      <w:r w:rsidR="00481A6C" w:rsidRPr="00481A6C">
        <w:rPr>
          <w:rStyle w:val="Hyperlink"/>
          <w:iCs w:val="0"/>
        </w:rPr>
        <w:t>Back to Contents</w:t>
      </w:r>
      <w:r>
        <w:rPr>
          <w:rStyle w:val="Hyperlink"/>
          <w:iCs w:val="0"/>
        </w:rPr>
        <w:fldChar w:fldCharType="end"/>
      </w:r>
    </w:p>
    <w:p w14:paraId="0E4C808A" w14:textId="467B6830" w:rsidR="0078367D" w:rsidRDefault="0078367D" w:rsidP="00A6051F">
      <w:pPr>
        <w:pStyle w:val="Heading4"/>
      </w:pPr>
      <w:bookmarkStart w:id="6" w:name="_Toc184739590"/>
      <w:r>
        <w:t xml:space="preserve">Section </w:t>
      </w:r>
      <w:r w:rsidR="00D3436E">
        <w:t>3</w:t>
      </w:r>
      <w:r>
        <w:t xml:space="preserve"> </w:t>
      </w:r>
      <w:r w:rsidR="00FF3B71">
        <w:t>–</w:t>
      </w:r>
      <w:r>
        <w:t xml:space="preserve"> </w:t>
      </w:r>
      <w:r w:rsidR="00FF3B71">
        <w:t>Informed Patient Consent and Patient Information</w:t>
      </w:r>
      <w:bookmarkEnd w:id="6"/>
    </w:p>
    <w:p w14:paraId="27EBEE93" w14:textId="77777777" w:rsidR="00FF3B71" w:rsidRDefault="00FF3B71" w:rsidP="00FF3B71">
      <w:pPr>
        <w:rPr>
          <w:rFonts w:asciiTheme="majorHAnsi" w:hAnsiTheme="majorHAnsi"/>
        </w:rPr>
      </w:pPr>
      <w:r w:rsidRPr="002E7417">
        <w:rPr>
          <w:rFonts w:asciiTheme="majorHAnsi" w:hAnsiTheme="majorHAnsi"/>
        </w:rPr>
        <w:t>Documented consent for Blood and Blood Products is required under National Safety and Quality Health</w:t>
      </w:r>
      <w:r>
        <w:rPr>
          <w:rFonts w:asciiTheme="majorHAnsi" w:hAnsiTheme="majorHAnsi"/>
        </w:rPr>
        <w:t xml:space="preserve"> Service (NSQHS), Blood Management </w:t>
      </w:r>
      <w:r w:rsidRPr="002E7417">
        <w:rPr>
          <w:rFonts w:asciiTheme="majorHAnsi" w:hAnsiTheme="majorHAnsi"/>
        </w:rPr>
        <w:t>Standard</w:t>
      </w:r>
      <w:r>
        <w:rPr>
          <w:rFonts w:asciiTheme="majorHAnsi" w:hAnsiTheme="majorHAnsi"/>
        </w:rPr>
        <w:t xml:space="preserve">, Action 7.05. Consent is valid </w:t>
      </w:r>
      <w:bookmarkStart w:id="7" w:name="_Hlk181172957"/>
      <w:r>
        <w:rPr>
          <w:rFonts w:asciiTheme="majorHAnsi" w:hAnsiTheme="majorHAnsi"/>
        </w:rPr>
        <w:t>for the entire course of treatment, or for up to 12 months, or until a significant clinical change.</w:t>
      </w:r>
    </w:p>
    <w:p w14:paraId="38926B72" w14:textId="12C53FB4" w:rsidR="00FF3B71" w:rsidRPr="002B1660" w:rsidRDefault="00FF3B71" w:rsidP="002B1660">
      <w:pPr>
        <w:pStyle w:val="BodyCopy"/>
        <w:pBdr>
          <w:top w:val="single" w:sz="4" w:space="1" w:color="auto"/>
          <w:left w:val="single" w:sz="4" w:space="4" w:color="auto"/>
          <w:bottom w:val="single" w:sz="4" w:space="1" w:color="auto"/>
          <w:right w:val="single" w:sz="4" w:space="4" w:color="auto"/>
        </w:pBdr>
        <w:shd w:val="clear" w:color="auto" w:fill="FFFFFF" w:themeFill="background1"/>
        <w:rPr>
          <w:b/>
          <w:bCs w:val="0"/>
        </w:rPr>
      </w:pPr>
      <w:r w:rsidRPr="005C5F49">
        <w:rPr>
          <w:rStyle w:val="Bold"/>
        </w:rPr>
        <w:t>Alert</w:t>
      </w:r>
      <w:r w:rsidR="002B1660">
        <w:rPr>
          <w:rStyle w:val="Bold"/>
        </w:rPr>
        <w:t xml:space="preserve">: </w:t>
      </w:r>
      <w:r w:rsidR="00F00F6A">
        <w:rPr>
          <w:rFonts w:asciiTheme="majorHAnsi" w:hAnsiTheme="majorHAnsi"/>
        </w:rPr>
        <w:t>C</w:t>
      </w:r>
      <w:r>
        <w:rPr>
          <w:rFonts w:asciiTheme="majorHAnsi" w:hAnsiTheme="majorHAnsi"/>
        </w:rPr>
        <w:t>onsent must state the duration of treatment</w:t>
      </w:r>
      <w:r>
        <w:t>.</w:t>
      </w:r>
    </w:p>
    <w:bookmarkEnd w:id="7"/>
    <w:p w14:paraId="6430B6B9" w14:textId="76CE6A16" w:rsidR="00FF3B71" w:rsidRDefault="00FF3B71" w:rsidP="00FF3B71">
      <w:pPr>
        <w:rPr>
          <w:rFonts w:asciiTheme="majorHAnsi" w:hAnsiTheme="majorHAnsi"/>
        </w:rPr>
      </w:pPr>
      <w:r>
        <w:rPr>
          <w:rFonts w:asciiTheme="majorHAnsi" w:hAnsiTheme="majorHAnsi"/>
        </w:rPr>
        <w:t>The following information should be discussed and documented in the clinical record:</w:t>
      </w:r>
    </w:p>
    <w:p w14:paraId="3BDECDE5" w14:textId="77777777" w:rsidR="00FF3B71" w:rsidRDefault="00FF3B71" w:rsidP="00DE3E11">
      <w:pPr>
        <w:pStyle w:val="Bullet"/>
      </w:pPr>
      <w:r>
        <w:t>Why Immunoglobulin (Ig) is required, the risks of not receiving it, including possible alternative treatments</w:t>
      </w:r>
    </w:p>
    <w:p w14:paraId="6D8D993D" w14:textId="33D3BE37" w:rsidR="00FF3B71" w:rsidRDefault="00FF3B71" w:rsidP="00DE3E11">
      <w:pPr>
        <w:pStyle w:val="Bullet"/>
      </w:pPr>
      <w:r>
        <w:t>The</w:t>
      </w:r>
      <w:r w:rsidRPr="002E7417">
        <w:t xml:space="preserve"> risks</w:t>
      </w:r>
      <w:r>
        <w:t xml:space="preserve">, </w:t>
      </w:r>
      <w:r w:rsidRPr="002E7417">
        <w:t xml:space="preserve">benefits and </w:t>
      </w:r>
      <w:r>
        <w:t>possible side effects (acute and delayed adverse events, including aseptic meningitis)</w:t>
      </w:r>
    </w:p>
    <w:p w14:paraId="6C3CAB33" w14:textId="5053691A" w:rsidR="00FF3B71" w:rsidRPr="00FF3B71" w:rsidRDefault="00FF3B71" w:rsidP="00DE3E11">
      <w:pPr>
        <w:pStyle w:val="Bullet"/>
      </w:pPr>
      <w:r>
        <w:t>T</w:t>
      </w:r>
      <w:r w:rsidRPr="002E7417">
        <w:t>he patient’s right to refuse</w:t>
      </w:r>
      <w:r w:rsidR="00DE3E11">
        <w:t>.</w:t>
      </w:r>
    </w:p>
    <w:p w14:paraId="6E80AF0C" w14:textId="73100412" w:rsidR="00FF3B71" w:rsidRDefault="00FF3B71" w:rsidP="00FF3B71">
      <w:pPr>
        <w:rPr>
          <w:rFonts w:asciiTheme="majorHAnsi" w:hAnsiTheme="majorHAnsi"/>
        </w:rPr>
      </w:pPr>
      <w:r>
        <w:rPr>
          <w:rFonts w:asciiTheme="majorHAnsi" w:hAnsiTheme="majorHAnsi"/>
        </w:rPr>
        <w:t xml:space="preserve">The risks, benefits, and consent must be </w:t>
      </w:r>
      <w:r w:rsidRPr="002E7417">
        <w:rPr>
          <w:rFonts w:asciiTheme="majorHAnsi" w:hAnsiTheme="majorHAnsi"/>
        </w:rPr>
        <w:t>discussed and documented</w:t>
      </w:r>
      <w:r>
        <w:rPr>
          <w:rFonts w:asciiTheme="majorHAnsi" w:hAnsiTheme="majorHAnsi"/>
        </w:rPr>
        <w:t xml:space="preserve"> in the patient’s clinical record in </w:t>
      </w:r>
      <w:r w:rsidR="00DE3E11">
        <w:rPr>
          <w:rFonts w:asciiTheme="majorHAnsi" w:hAnsiTheme="majorHAnsi"/>
        </w:rPr>
        <w:t>the Digital Health Record (</w:t>
      </w:r>
      <w:r>
        <w:rPr>
          <w:rFonts w:asciiTheme="majorHAnsi" w:hAnsiTheme="majorHAnsi"/>
        </w:rPr>
        <w:t>DHR</w:t>
      </w:r>
      <w:r w:rsidR="00DE3E11">
        <w:rPr>
          <w:rFonts w:asciiTheme="majorHAnsi" w:hAnsiTheme="majorHAnsi"/>
        </w:rPr>
        <w:t>)</w:t>
      </w:r>
      <w:r>
        <w:rPr>
          <w:rFonts w:asciiTheme="majorHAnsi" w:hAnsiTheme="majorHAnsi"/>
        </w:rPr>
        <w:t>, i</w:t>
      </w:r>
      <w:r w:rsidRPr="002E7417">
        <w:rPr>
          <w:rFonts w:asciiTheme="majorHAnsi" w:hAnsiTheme="majorHAnsi"/>
        </w:rPr>
        <w:t>n accordance with</w:t>
      </w:r>
      <w:r w:rsidR="00DE3E11" w:rsidRPr="00EB7477">
        <w:rPr>
          <w:rStyle w:val="Hyperlink"/>
          <w:rFonts w:asciiTheme="majorHAnsi" w:hAnsiTheme="majorHAnsi"/>
          <w:u w:val="none"/>
        </w:rPr>
        <w:t xml:space="preserve"> </w:t>
      </w:r>
      <w:r w:rsidR="00DE3E11" w:rsidRPr="00EB7477">
        <w:rPr>
          <w:rStyle w:val="Hyperlink"/>
          <w:rFonts w:asciiTheme="majorHAnsi" w:hAnsiTheme="majorHAnsi"/>
        </w:rPr>
        <w:t>the</w:t>
      </w:r>
      <w:r w:rsidR="00DE3E11" w:rsidRPr="00EB7477">
        <w:rPr>
          <w:rStyle w:val="Hyperlink"/>
          <w:rFonts w:asciiTheme="majorHAnsi" w:hAnsiTheme="majorHAnsi"/>
          <w:u w:val="none"/>
        </w:rPr>
        <w:t xml:space="preserve"> </w:t>
      </w:r>
      <w:r w:rsidR="00DE3E11" w:rsidRPr="00EB7477">
        <w:rPr>
          <w:i/>
          <w:iCs/>
        </w:rPr>
        <w:t xml:space="preserve">Consent for Healthcare </w:t>
      </w:r>
      <w:r w:rsidR="00DE3E11" w:rsidRPr="00EB7477">
        <w:rPr>
          <w:i/>
          <w:iCs/>
        </w:rPr>
        <w:lastRenderedPageBreak/>
        <w:t>Treatment</w:t>
      </w:r>
      <w:r w:rsidR="00DE3E11">
        <w:rPr>
          <w:rFonts w:asciiTheme="majorHAnsi" w:hAnsiTheme="majorHAnsi"/>
        </w:rPr>
        <w:t xml:space="preserve"> guideline</w:t>
      </w:r>
      <w:r>
        <w:rPr>
          <w:rFonts w:asciiTheme="majorHAnsi" w:hAnsiTheme="majorHAnsi"/>
        </w:rPr>
        <w:t xml:space="preserve"> and </w:t>
      </w:r>
      <w:r w:rsidR="00DE3E11">
        <w:rPr>
          <w:rFonts w:asciiTheme="majorHAnsi" w:hAnsiTheme="majorHAnsi"/>
        </w:rPr>
        <w:t xml:space="preserve">the </w:t>
      </w:r>
      <w:r w:rsidR="00DE3E11" w:rsidRPr="00EB7477">
        <w:rPr>
          <w:i/>
          <w:iCs/>
        </w:rPr>
        <w:t>Fresh Blood Products Administration – Adults, Paediatrics, and Neonates</w:t>
      </w:r>
      <w:r w:rsidR="00DE3E11">
        <w:rPr>
          <w:rFonts w:asciiTheme="majorHAnsi" w:hAnsiTheme="majorHAnsi"/>
        </w:rPr>
        <w:t xml:space="preserve"> procedure (both available on the Policy and Guidance Documents Register)</w:t>
      </w:r>
      <w:r w:rsidRPr="002E7417">
        <w:rPr>
          <w:rFonts w:asciiTheme="majorHAnsi" w:hAnsiTheme="majorHAnsi"/>
        </w:rPr>
        <w:t>.</w:t>
      </w:r>
    </w:p>
    <w:p w14:paraId="4CD7A462" w14:textId="10EB9257" w:rsidR="00DE3E11" w:rsidRDefault="00FF3B71" w:rsidP="004207D4">
      <w:pPr>
        <w:pStyle w:val="BodyCopy"/>
      </w:pPr>
      <w:r w:rsidRPr="00283202">
        <w:rPr>
          <w:rFonts w:asciiTheme="majorHAnsi" w:hAnsiTheme="majorHAnsi"/>
        </w:rPr>
        <w:t xml:space="preserve">The consent form is built into </w:t>
      </w:r>
      <w:r w:rsidR="00EB7477" w:rsidRPr="00283202">
        <w:rPr>
          <w:rFonts w:asciiTheme="majorHAnsi" w:hAnsiTheme="majorHAnsi"/>
        </w:rPr>
        <w:t>DHR and</w:t>
      </w:r>
      <w:r w:rsidRPr="00283202">
        <w:rPr>
          <w:rFonts w:asciiTheme="majorHAnsi" w:hAnsiTheme="majorHAnsi"/>
        </w:rPr>
        <w:t xml:space="preserve"> is also available as a </w:t>
      </w:r>
      <w:r w:rsidR="00EB7477" w:rsidRPr="00283202">
        <w:rPr>
          <w:rFonts w:asciiTheme="majorHAnsi" w:hAnsiTheme="majorHAnsi"/>
        </w:rPr>
        <w:t>paper-based</w:t>
      </w:r>
      <w:r w:rsidRPr="00283202">
        <w:rPr>
          <w:rFonts w:asciiTheme="majorHAnsi" w:hAnsiTheme="majorHAnsi"/>
        </w:rPr>
        <w:t xml:space="preserve"> form</w:t>
      </w:r>
      <w:r w:rsidR="00DE3E11">
        <w:rPr>
          <w:rFonts w:asciiTheme="majorHAnsi" w:hAnsiTheme="majorHAnsi"/>
        </w:rPr>
        <w:t xml:space="preserve"> (Consent for Treatment Form </w:t>
      </w:r>
      <w:r w:rsidR="00DD5D28">
        <w:rPr>
          <w:rFonts w:asciiTheme="majorHAnsi" w:hAnsiTheme="majorHAnsi"/>
        </w:rPr>
        <w:t>n</w:t>
      </w:r>
      <w:r w:rsidR="008676D4">
        <w:rPr>
          <w:rFonts w:asciiTheme="majorHAnsi" w:hAnsiTheme="majorHAnsi"/>
        </w:rPr>
        <w:t>umber</w:t>
      </w:r>
      <w:r w:rsidR="00DD5D28">
        <w:rPr>
          <w:rFonts w:asciiTheme="majorHAnsi" w:hAnsiTheme="majorHAnsi"/>
        </w:rPr>
        <w:t>.</w:t>
      </w:r>
      <w:r w:rsidR="00DE3E11">
        <w:rPr>
          <w:rFonts w:asciiTheme="majorHAnsi" w:hAnsiTheme="majorHAnsi"/>
        </w:rPr>
        <w:t>15270)</w:t>
      </w:r>
      <w:r w:rsidRPr="00283202">
        <w:rPr>
          <w:rFonts w:asciiTheme="majorHAnsi" w:hAnsiTheme="majorHAnsi"/>
        </w:rPr>
        <w:t xml:space="preserve"> on </w:t>
      </w:r>
      <w:r w:rsidR="00DE3E11">
        <w:rPr>
          <w:rFonts w:asciiTheme="majorHAnsi" w:hAnsiTheme="majorHAnsi"/>
        </w:rPr>
        <w:t xml:space="preserve">the </w:t>
      </w:r>
      <w:r w:rsidR="00DE3E11" w:rsidRPr="00EB7477">
        <w:t>Clinical Forms Register</w:t>
      </w:r>
      <w:r w:rsidRPr="00283202">
        <w:rPr>
          <w:rFonts w:asciiTheme="majorHAnsi" w:hAnsiTheme="majorHAnsi"/>
        </w:rPr>
        <w:t xml:space="preserve">. Where appropriate this form </w:t>
      </w:r>
      <w:r w:rsidR="00DD5D28">
        <w:rPr>
          <w:rFonts w:asciiTheme="majorHAnsi" w:hAnsiTheme="majorHAnsi"/>
        </w:rPr>
        <w:t>may</w:t>
      </w:r>
      <w:r w:rsidRPr="00283202">
        <w:rPr>
          <w:rFonts w:asciiTheme="majorHAnsi" w:hAnsiTheme="majorHAnsi"/>
        </w:rPr>
        <w:t xml:space="preserve"> be used</w:t>
      </w:r>
      <w:r w:rsidR="00DD5D28">
        <w:rPr>
          <w:rFonts w:asciiTheme="majorHAnsi" w:hAnsiTheme="majorHAnsi"/>
        </w:rPr>
        <w:t>.</w:t>
      </w:r>
    </w:p>
    <w:p w14:paraId="7C28644E" w14:textId="3BF0CD42" w:rsidR="00DE3E11" w:rsidRPr="002B1660" w:rsidRDefault="00DE3E11" w:rsidP="002B1660">
      <w:pPr>
        <w:pBdr>
          <w:top w:val="single" w:sz="4" w:space="1" w:color="auto"/>
          <w:left w:val="single" w:sz="4" w:space="4" w:color="auto"/>
          <w:bottom w:val="single" w:sz="4" w:space="1" w:color="auto"/>
          <w:right w:val="single" w:sz="4" w:space="4" w:color="auto"/>
        </w:pBdr>
        <w:rPr>
          <w:rFonts w:asciiTheme="majorHAnsi" w:hAnsiTheme="majorHAnsi"/>
          <w:b/>
          <w:bCs/>
        </w:rPr>
      </w:pPr>
      <w:r w:rsidRPr="00EB7477">
        <w:rPr>
          <w:rFonts w:asciiTheme="majorHAnsi" w:hAnsiTheme="majorHAnsi"/>
          <w:b/>
          <w:bCs/>
        </w:rPr>
        <w:t>Alert:</w:t>
      </w:r>
      <w:r w:rsidR="002B1660">
        <w:rPr>
          <w:rFonts w:asciiTheme="majorHAnsi" w:hAnsiTheme="majorHAnsi"/>
          <w:b/>
          <w:bCs/>
        </w:rPr>
        <w:t xml:space="preserve"> </w:t>
      </w:r>
      <w:r w:rsidRPr="00DE3E11">
        <w:rPr>
          <w:rFonts w:asciiTheme="majorHAnsi" w:hAnsiTheme="majorHAnsi"/>
        </w:rPr>
        <w:t xml:space="preserve">Consent for blood and blood products is part of the Blood Administration order set in DHR. Consent obtained prior to admission </w:t>
      </w:r>
      <w:r>
        <w:rPr>
          <w:rFonts w:asciiTheme="majorHAnsi" w:hAnsiTheme="majorHAnsi"/>
        </w:rPr>
        <w:t>(</w:t>
      </w:r>
      <w:r w:rsidRPr="00DE3E11">
        <w:rPr>
          <w:rFonts w:asciiTheme="majorHAnsi" w:hAnsiTheme="majorHAnsi"/>
        </w:rPr>
        <w:t>i.e. in consultants’ rooms prior to admission</w:t>
      </w:r>
      <w:r>
        <w:rPr>
          <w:rFonts w:asciiTheme="majorHAnsi" w:hAnsiTheme="majorHAnsi"/>
        </w:rPr>
        <w:t>)</w:t>
      </w:r>
      <w:r w:rsidRPr="00DE3E11">
        <w:rPr>
          <w:rFonts w:asciiTheme="majorHAnsi" w:hAnsiTheme="majorHAnsi"/>
        </w:rPr>
        <w:t xml:space="preserve"> must be scanned into the media section in DHR, before the patient receives their treatment for IVIg and SCIg. Consent</w:t>
      </w:r>
      <w:r w:rsidR="00DD5D28">
        <w:rPr>
          <w:rFonts w:asciiTheme="majorHAnsi" w:hAnsiTheme="majorHAnsi"/>
        </w:rPr>
        <w:t xml:space="preserve"> completed</w:t>
      </w:r>
      <w:r w:rsidRPr="00DE3E11">
        <w:rPr>
          <w:rFonts w:asciiTheme="majorHAnsi" w:hAnsiTheme="majorHAnsi"/>
        </w:rPr>
        <w:t xml:space="preserve"> in DHR is specific to CHS and is separate from the BloodSTAR consent.</w:t>
      </w:r>
    </w:p>
    <w:p w14:paraId="5494256F" w14:textId="1C04106D" w:rsidR="00FF3B71" w:rsidRPr="00151961" w:rsidRDefault="00FF3B71" w:rsidP="00FF3B71">
      <w:pPr>
        <w:rPr>
          <w:rFonts w:asciiTheme="majorHAnsi" w:hAnsiTheme="majorHAnsi"/>
          <w:bCs/>
        </w:rPr>
      </w:pPr>
      <w:r w:rsidRPr="00283202">
        <w:rPr>
          <w:rFonts w:asciiTheme="majorHAnsi" w:hAnsiTheme="majorHAnsi"/>
        </w:rPr>
        <w:t>If paper</w:t>
      </w:r>
      <w:r w:rsidR="0006217E">
        <w:rPr>
          <w:rFonts w:asciiTheme="majorHAnsi" w:hAnsiTheme="majorHAnsi"/>
        </w:rPr>
        <w:t>-based</w:t>
      </w:r>
      <w:r w:rsidRPr="00283202">
        <w:rPr>
          <w:rFonts w:asciiTheme="majorHAnsi" w:hAnsiTheme="majorHAnsi"/>
        </w:rPr>
        <w:t xml:space="preserve"> forms are used (when no DHR form is available), they will need to be scanned and uploaded into </w:t>
      </w:r>
      <w:r w:rsidR="004A670E">
        <w:rPr>
          <w:rFonts w:asciiTheme="majorHAnsi" w:hAnsiTheme="majorHAnsi"/>
        </w:rPr>
        <w:t>the CHS clinical record</w:t>
      </w:r>
      <w:r w:rsidR="0040265B">
        <w:rPr>
          <w:rFonts w:asciiTheme="majorHAnsi" w:hAnsiTheme="majorHAnsi"/>
        </w:rPr>
        <w:t>,</w:t>
      </w:r>
      <w:r w:rsidRPr="00283202">
        <w:rPr>
          <w:rFonts w:asciiTheme="majorHAnsi" w:hAnsiTheme="majorHAnsi"/>
        </w:rPr>
        <w:t xml:space="preserve"> </w:t>
      </w:r>
      <w:r w:rsidR="00091091" w:rsidRPr="00283202">
        <w:rPr>
          <w:rFonts w:asciiTheme="majorHAnsi" w:hAnsiTheme="majorHAnsi"/>
        </w:rPr>
        <w:t>so they</w:t>
      </w:r>
      <w:r w:rsidRPr="00283202">
        <w:rPr>
          <w:rFonts w:asciiTheme="majorHAnsi" w:hAnsiTheme="majorHAnsi"/>
        </w:rPr>
        <w:t xml:space="preserve"> can be readily located and viewed under </w:t>
      </w:r>
      <w:r w:rsidR="0040265B">
        <w:rPr>
          <w:rFonts w:asciiTheme="majorHAnsi" w:hAnsiTheme="majorHAnsi"/>
        </w:rPr>
        <w:t>‘</w:t>
      </w:r>
      <w:r w:rsidRPr="00283202">
        <w:rPr>
          <w:rFonts w:asciiTheme="majorHAnsi" w:hAnsiTheme="majorHAnsi"/>
        </w:rPr>
        <w:t>Media</w:t>
      </w:r>
      <w:r w:rsidR="0040265B">
        <w:rPr>
          <w:rFonts w:asciiTheme="majorHAnsi" w:hAnsiTheme="majorHAnsi"/>
        </w:rPr>
        <w:t>’ tab</w:t>
      </w:r>
      <w:r w:rsidRPr="00283202">
        <w:rPr>
          <w:rFonts w:asciiTheme="majorHAnsi" w:hAnsiTheme="majorHAnsi"/>
        </w:rPr>
        <w:t>.</w:t>
      </w:r>
      <w:r w:rsidRPr="00283202">
        <w:rPr>
          <w:rFonts w:asciiTheme="majorHAnsi" w:eastAsiaTheme="majorEastAsia" w:hAnsiTheme="majorHAnsi"/>
        </w:rPr>
        <w:t xml:space="preserve"> </w:t>
      </w:r>
      <w:r w:rsidRPr="00151961">
        <w:rPr>
          <w:rFonts w:asciiTheme="majorHAnsi" w:hAnsiTheme="majorHAnsi"/>
          <w:bCs/>
        </w:rPr>
        <w:t xml:space="preserve">If </w:t>
      </w:r>
      <w:r>
        <w:rPr>
          <w:rFonts w:asciiTheme="majorHAnsi" w:hAnsiTheme="majorHAnsi"/>
          <w:bCs/>
        </w:rPr>
        <w:t xml:space="preserve">the </w:t>
      </w:r>
      <w:r w:rsidRPr="00151961">
        <w:rPr>
          <w:rFonts w:asciiTheme="majorHAnsi" w:hAnsiTheme="majorHAnsi"/>
          <w:bCs/>
        </w:rPr>
        <w:t xml:space="preserve">patient </w:t>
      </w:r>
      <w:r w:rsidRPr="00151961">
        <w:rPr>
          <w:rFonts w:asciiTheme="majorHAnsi" w:hAnsiTheme="majorHAnsi"/>
        </w:rPr>
        <w:t>or authorised patient advocate</w:t>
      </w:r>
      <w:r w:rsidRPr="00151961">
        <w:rPr>
          <w:rFonts w:asciiTheme="majorHAnsi" w:hAnsiTheme="majorHAnsi"/>
          <w:bCs/>
        </w:rPr>
        <w:t xml:space="preserve"> is unable to consent, or refuses consent, this</w:t>
      </w:r>
      <w:r>
        <w:rPr>
          <w:rFonts w:asciiTheme="majorHAnsi" w:hAnsiTheme="majorHAnsi"/>
          <w:bCs/>
        </w:rPr>
        <w:t xml:space="preserve"> </w:t>
      </w:r>
      <w:r w:rsidRPr="00151961">
        <w:rPr>
          <w:rFonts w:asciiTheme="majorHAnsi" w:hAnsiTheme="majorHAnsi"/>
          <w:bCs/>
        </w:rPr>
        <w:t xml:space="preserve">also </w:t>
      </w:r>
      <w:r>
        <w:rPr>
          <w:rFonts w:asciiTheme="majorHAnsi" w:hAnsiTheme="majorHAnsi"/>
          <w:bCs/>
        </w:rPr>
        <w:t xml:space="preserve">must </w:t>
      </w:r>
      <w:r w:rsidRPr="00151961">
        <w:rPr>
          <w:rFonts w:asciiTheme="majorHAnsi" w:hAnsiTheme="majorHAnsi"/>
          <w:bCs/>
        </w:rPr>
        <w:t>be documented in clinical record.</w:t>
      </w:r>
    </w:p>
    <w:p w14:paraId="526D00A5" w14:textId="77777777" w:rsidR="00FF3B71" w:rsidRDefault="00FF3B71" w:rsidP="00FF3B71">
      <w:pPr>
        <w:pStyle w:val="Heading5"/>
      </w:pPr>
      <w:r>
        <w:t>Patient Information</w:t>
      </w:r>
    </w:p>
    <w:p w14:paraId="3ABE944E" w14:textId="2461945C" w:rsidR="00FF3B71" w:rsidRPr="00FF3B71" w:rsidRDefault="00FF3B71" w:rsidP="00FF3B71">
      <w:pPr>
        <w:spacing w:after="120"/>
        <w:rPr>
          <w:color w:val="auto"/>
        </w:rPr>
      </w:pPr>
      <w:r>
        <w:t>A variety of patient information is available for IVIg and SCIg. R</w:t>
      </w:r>
      <w:r w:rsidRPr="00C80E61">
        <w:t xml:space="preserve">efer </w:t>
      </w:r>
      <w:r>
        <w:t xml:space="preserve">to </w:t>
      </w:r>
      <w:r w:rsidR="00F00F6A">
        <w:rPr>
          <w:bCs/>
        </w:rPr>
        <w:t>Attachment</w:t>
      </w:r>
      <w:r w:rsidRPr="00C80E61">
        <w:t xml:space="preserve"> </w:t>
      </w:r>
      <w:r w:rsidR="00A064D9">
        <w:t>2</w:t>
      </w:r>
      <w:r w:rsidR="00A064D9" w:rsidRPr="00C80E61">
        <w:t xml:space="preserve"> </w:t>
      </w:r>
      <w:r w:rsidRPr="00C80E61">
        <w:t>– Patient Information for IVIg and SCIg</w:t>
      </w:r>
      <w:r>
        <w:t xml:space="preserve">, and </w:t>
      </w:r>
      <w:r w:rsidR="00F95B8A">
        <w:t>the</w:t>
      </w:r>
      <w:r>
        <w:t xml:space="preserve"> SharePoint </w:t>
      </w:r>
      <w:r w:rsidRPr="00F95B8A">
        <w:t xml:space="preserve">Blood </w:t>
      </w:r>
      <w:r w:rsidR="00F95B8A">
        <w:t>M</w:t>
      </w:r>
      <w:r w:rsidRPr="00F95B8A">
        <w:t>anagement</w:t>
      </w:r>
      <w:r>
        <w:t xml:space="preserve"> </w:t>
      </w:r>
      <w:r w:rsidR="00F95B8A">
        <w:t xml:space="preserve">page </w:t>
      </w:r>
      <w:r>
        <w:t>for more information.</w:t>
      </w:r>
    </w:p>
    <w:p w14:paraId="3C4C506C" w14:textId="77777777" w:rsidR="00481A6C" w:rsidRDefault="0028383D" w:rsidP="0091462B">
      <w:pPr>
        <w:pStyle w:val="BodyCopy"/>
      </w:pPr>
      <w:hyperlink w:anchor="_top" w:history="1">
        <w:r w:rsidR="00481A6C" w:rsidRPr="00481A6C">
          <w:rPr>
            <w:rStyle w:val="Hyperlink"/>
            <w:iCs w:val="0"/>
          </w:rPr>
          <w:t>Back to Contents</w:t>
        </w:r>
      </w:hyperlink>
    </w:p>
    <w:p w14:paraId="56B62223" w14:textId="4E855B0C" w:rsidR="0078367D" w:rsidRDefault="0078367D" w:rsidP="00A6051F">
      <w:pPr>
        <w:pStyle w:val="Heading4"/>
      </w:pPr>
      <w:bookmarkStart w:id="8" w:name="_Toc184739591"/>
      <w:r w:rsidRPr="0078367D">
        <w:t xml:space="preserve">Section </w:t>
      </w:r>
      <w:r w:rsidR="00D3436E">
        <w:t>4</w:t>
      </w:r>
      <w:r w:rsidRPr="0078367D">
        <w:t xml:space="preserve"> </w:t>
      </w:r>
      <w:r w:rsidR="00FF3B71">
        <w:t>–</w:t>
      </w:r>
      <w:r w:rsidRPr="0078367D">
        <w:t xml:space="preserve"> </w:t>
      </w:r>
      <w:r w:rsidR="00FF3B71">
        <w:t>Urgent requests for IVIg (submitting an emergency Authorisation request in BloodSTAR)</w:t>
      </w:r>
      <w:bookmarkEnd w:id="8"/>
    </w:p>
    <w:p w14:paraId="24488FEE" w14:textId="1CF6AB4E" w:rsidR="00FF3B71" w:rsidRPr="00FF3B71" w:rsidRDefault="00FF3B71" w:rsidP="00FF3B71">
      <w:r>
        <w:t xml:space="preserve">If a Medical Officer does not yet have their full access to request IVIg, they will be able to place one </w:t>
      </w:r>
      <w:r w:rsidRPr="00F87C1D">
        <w:rPr>
          <w:b/>
        </w:rPr>
        <w:t>Emergency Authorisation Request</w:t>
      </w:r>
      <w:r>
        <w:rPr>
          <w:bCs/>
        </w:rPr>
        <w:t xml:space="preserve"> via BloodSTAR, before they are fully approved as a Medical Officer by the facility administrator</w:t>
      </w:r>
      <w:r>
        <w:t>.</w:t>
      </w:r>
      <w:r w:rsidRPr="008A512E">
        <w:t xml:space="preserve"> </w:t>
      </w:r>
      <w:r>
        <w:t>R</w:t>
      </w:r>
      <w:r w:rsidRPr="00A57792">
        <w:t>efer to</w:t>
      </w:r>
      <w:r w:rsidRPr="0089623C">
        <w:t xml:space="preserve"> </w:t>
      </w:r>
      <w:r w:rsidR="00F00F6A">
        <w:rPr>
          <w:bCs/>
        </w:rPr>
        <w:t>Attachment</w:t>
      </w:r>
      <w:r>
        <w:t xml:space="preserve"> </w:t>
      </w:r>
      <w:r w:rsidR="00A064D9">
        <w:t>3</w:t>
      </w:r>
      <w:r w:rsidR="00A064D9" w:rsidRPr="0089623C">
        <w:t xml:space="preserve"> </w:t>
      </w:r>
      <w:r w:rsidRPr="0089623C">
        <w:t>– Submitting an Emergency Authorisation Request in BloodSTAR</w:t>
      </w:r>
      <w:r w:rsidR="004C0467">
        <w:t>.</w:t>
      </w:r>
    </w:p>
    <w:p w14:paraId="690D7981" w14:textId="330FE43A" w:rsidR="00FF3B71" w:rsidRPr="002B1660" w:rsidRDefault="00FF3B71" w:rsidP="002B1660">
      <w:pPr>
        <w:pStyle w:val="BodyCopy"/>
        <w:pBdr>
          <w:top w:val="single" w:sz="4" w:space="1" w:color="auto"/>
          <w:left w:val="single" w:sz="4" w:space="4" w:color="auto"/>
          <w:bottom w:val="single" w:sz="4" w:space="1" w:color="auto"/>
          <w:right w:val="single" w:sz="4" w:space="4" w:color="auto"/>
        </w:pBdr>
        <w:shd w:val="clear" w:color="auto" w:fill="FFFFFF" w:themeFill="background1"/>
        <w:rPr>
          <w:b/>
          <w:bCs w:val="0"/>
        </w:rPr>
      </w:pPr>
      <w:r w:rsidRPr="005C5F49">
        <w:rPr>
          <w:rStyle w:val="Bold"/>
        </w:rPr>
        <w:t>Alert</w:t>
      </w:r>
      <w:r w:rsidR="002B1660">
        <w:rPr>
          <w:rStyle w:val="Bold"/>
        </w:rPr>
        <w:t xml:space="preserve"> : </w:t>
      </w:r>
      <w:r>
        <w:t>ACT Pathology T</w:t>
      </w:r>
      <w:r w:rsidRPr="00DC6280">
        <w:t xml:space="preserve">ransfusion laboratory has </w:t>
      </w:r>
      <w:proofErr w:type="spellStart"/>
      <w:r>
        <w:t>Privigen</w:t>
      </w:r>
      <w:proofErr w:type="spellEnd"/>
      <w:r>
        <w:t xml:space="preserve"> AU</w:t>
      </w:r>
      <w:r w:rsidRPr="00DC6280">
        <w:t xml:space="preserve"> and </w:t>
      </w:r>
      <w:proofErr w:type="spellStart"/>
      <w:r w:rsidRPr="00DC6280">
        <w:t>Privigen</w:t>
      </w:r>
      <w:proofErr w:type="spellEnd"/>
      <w:r w:rsidRPr="00DC6280">
        <w:t xml:space="preserve"> on imprest stock. All urgent requests for IVIg must be </w:t>
      </w:r>
      <w:r w:rsidR="004C0467">
        <w:t>one</w:t>
      </w:r>
      <w:r w:rsidRPr="00DC6280">
        <w:t xml:space="preserve"> of these two products. All other IVIg products will be ordered</w:t>
      </w:r>
      <w:r>
        <w:t xml:space="preserve"> on a patient specific basis.</w:t>
      </w:r>
    </w:p>
    <w:p w14:paraId="22185BC2" w14:textId="03B35672" w:rsidR="004207D4" w:rsidRPr="002B1660" w:rsidRDefault="0028383D" w:rsidP="00FF3B71">
      <w:pPr>
        <w:pStyle w:val="BodyCopy"/>
        <w:rPr>
          <w:iCs w:val="0"/>
          <w:color w:val="auto"/>
          <w:u w:val="single"/>
        </w:rPr>
      </w:pPr>
      <w:hyperlink w:anchor="_top" w:history="1">
        <w:r w:rsidR="00FF3B71" w:rsidRPr="00481A6C">
          <w:rPr>
            <w:rStyle w:val="Hyperlink"/>
            <w:iCs w:val="0"/>
          </w:rPr>
          <w:t>Back to Contents</w:t>
        </w:r>
      </w:hyperlink>
    </w:p>
    <w:p w14:paraId="20955A6E" w14:textId="7949C9C3" w:rsidR="00FF3B71" w:rsidRDefault="00FF3B71" w:rsidP="00FF3B71">
      <w:pPr>
        <w:pStyle w:val="Heading4"/>
      </w:pPr>
      <w:bookmarkStart w:id="9" w:name="_Toc184739592"/>
      <w:r w:rsidRPr="0078367D">
        <w:t xml:space="preserve">Section </w:t>
      </w:r>
      <w:r w:rsidR="00AF7429">
        <w:t>5</w:t>
      </w:r>
      <w:r w:rsidRPr="0078367D">
        <w:t xml:space="preserve"> </w:t>
      </w:r>
      <w:r w:rsidR="00AF7429">
        <w:t>–</w:t>
      </w:r>
      <w:r w:rsidRPr="0078367D">
        <w:t xml:space="preserve"> </w:t>
      </w:r>
      <w:r w:rsidR="00AF7429">
        <w:t xml:space="preserve">Ordering </w:t>
      </w:r>
      <w:r w:rsidR="007F6F9B">
        <w:t xml:space="preserve">Ig </w:t>
      </w:r>
      <w:r w:rsidR="00AF7429">
        <w:t xml:space="preserve">product from ACT Pathology Transfusion laboratory once approval obtained </w:t>
      </w:r>
      <w:r w:rsidR="00DD1734">
        <w:t xml:space="preserve"> called </w:t>
      </w:r>
      <w:r w:rsidR="00520796">
        <w:t xml:space="preserve">group term as </w:t>
      </w:r>
      <w:r w:rsidR="00DD1734">
        <w:t>I</w:t>
      </w:r>
      <w:r w:rsidR="00520796">
        <w:t>g</w:t>
      </w:r>
      <w:bookmarkEnd w:id="9"/>
    </w:p>
    <w:p w14:paraId="1CBAED6D" w14:textId="1C15A18B" w:rsidR="00AF7429" w:rsidRDefault="00AF7429" w:rsidP="00AF7429">
      <w:pPr>
        <w:rPr>
          <w:bCs/>
        </w:rPr>
      </w:pPr>
      <w:r>
        <w:rPr>
          <w:bCs/>
        </w:rPr>
        <w:t xml:space="preserve">Nursing staff are required to submit a </w:t>
      </w:r>
      <w:r w:rsidRPr="00305DD3">
        <w:rPr>
          <w:bCs/>
        </w:rPr>
        <w:t>Planning Sheet</w:t>
      </w:r>
      <w:r>
        <w:rPr>
          <w:bCs/>
        </w:rPr>
        <w:t xml:space="preserve"> in BLOODSTAR for IVIg and SCIg, via the NBA </w:t>
      </w:r>
      <w:hyperlink r:id="rId21" w:history="1">
        <w:r w:rsidRPr="00E31868">
          <w:rPr>
            <w:rStyle w:val="Hyperlink"/>
            <w:bCs/>
          </w:rPr>
          <w:t>BLOODportal</w:t>
        </w:r>
      </w:hyperlink>
      <w:r>
        <w:rPr>
          <w:bCs/>
        </w:rPr>
        <w:t xml:space="preserve">. Planning Sheets enable ACT Pathology Transfusion laboratory to </w:t>
      </w:r>
      <w:r>
        <w:rPr>
          <w:bCs/>
        </w:rPr>
        <w:lastRenderedPageBreak/>
        <w:t>plan, prepare, and dispense to the appropriate clinical area on the day patients present for their IVIg infusion, or when SCIg patients present to collect their SCIg product.</w:t>
      </w:r>
    </w:p>
    <w:p w14:paraId="4A3342AB" w14:textId="77777777" w:rsidR="00AF7429" w:rsidRDefault="00AF7429" w:rsidP="00AF7429">
      <w:r>
        <w:rPr>
          <w:noProof/>
        </w:rPr>
        <w:drawing>
          <wp:inline distT="0" distB="0" distL="0" distR="0" wp14:anchorId="3BBF7035" wp14:editId="60951FE2">
            <wp:extent cx="5143500" cy="1152525"/>
            <wp:effectExtent l="0" t="0" r="0" b="9525"/>
            <wp:docPr id="36" name="Picture 36" descr="Picture shows the BloodStar website, with a link to the Planning Sheets page on the top right corner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Picture shows the BloodStar website, with a link to the Planning Sheets page on the top right corner highlighted."/>
                    <pic:cNvPicPr/>
                  </pic:nvPicPr>
                  <pic:blipFill>
                    <a:blip r:embed="rId22"/>
                    <a:stretch>
                      <a:fillRect/>
                    </a:stretch>
                  </pic:blipFill>
                  <pic:spPr>
                    <a:xfrm>
                      <a:off x="0" y="0"/>
                      <a:ext cx="5143500" cy="1152525"/>
                    </a:xfrm>
                    <a:prstGeom prst="rect">
                      <a:avLst/>
                    </a:prstGeom>
                  </pic:spPr>
                </pic:pic>
              </a:graphicData>
            </a:graphic>
          </wp:inline>
        </w:drawing>
      </w:r>
    </w:p>
    <w:p w14:paraId="2B916C52" w14:textId="78E6A077" w:rsidR="00AF7429" w:rsidRDefault="00AF7429" w:rsidP="00AF7429">
      <w:r w:rsidRPr="002E7417">
        <w:t xml:space="preserve">All approved requests for </w:t>
      </w:r>
      <w:r>
        <w:t xml:space="preserve">supply of </w:t>
      </w:r>
      <w:r w:rsidRPr="002E7417">
        <w:t>IVIg</w:t>
      </w:r>
      <w:r>
        <w:t xml:space="preserve"> and</w:t>
      </w:r>
      <w:r w:rsidRPr="002E7417">
        <w:t xml:space="preserve"> SCIg </w:t>
      </w:r>
      <w:r w:rsidR="00211DE8">
        <w:t xml:space="preserve">(by ACT Pathology) </w:t>
      </w:r>
      <w:r>
        <w:t xml:space="preserve">to the clinical area, </w:t>
      </w:r>
      <w:r w:rsidRPr="002E7417">
        <w:t>must be</w:t>
      </w:r>
      <w:r>
        <w:t xml:space="preserve"> documented in the patient’s clinical record</w:t>
      </w:r>
      <w:r w:rsidRPr="002E7417">
        <w:t>. Documentation must include:</w:t>
      </w:r>
    </w:p>
    <w:p w14:paraId="04F5433C" w14:textId="77777777" w:rsidR="00AF7429" w:rsidRPr="002E7417" w:rsidRDefault="00AF7429" w:rsidP="00305DD3">
      <w:pPr>
        <w:pStyle w:val="Bullet"/>
      </w:pPr>
      <w:r w:rsidRPr="002E7417">
        <w:t xml:space="preserve">Patient surname, full given name, date of birth and the </w:t>
      </w:r>
      <w:r>
        <w:t>medical</w:t>
      </w:r>
      <w:r w:rsidRPr="002E7417">
        <w:t xml:space="preserve"> record number (</w:t>
      </w:r>
      <w:r>
        <w:t>M</w:t>
      </w:r>
      <w:r w:rsidRPr="002E7417">
        <w:t>R</w:t>
      </w:r>
      <w:r>
        <w:t>N</w:t>
      </w:r>
      <w:r w:rsidRPr="002E7417">
        <w:t>)</w:t>
      </w:r>
    </w:p>
    <w:p w14:paraId="5021062D" w14:textId="3989A6E7" w:rsidR="00AF7429" w:rsidRPr="002E7417" w:rsidRDefault="00AF7429" w:rsidP="00305DD3">
      <w:pPr>
        <w:pStyle w:val="Bullet"/>
      </w:pPr>
      <w:r w:rsidRPr="002E7417">
        <w:t>Gender</w:t>
      </w:r>
    </w:p>
    <w:p w14:paraId="1DF6BABA" w14:textId="56B219D6" w:rsidR="00AF7429" w:rsidRPr="002E7417" w:rsidRDefault="00AF7429" w:rsidP="00305DD3">
      <w:pPr>
        <w:pStyle w:val="Bullet"/>
      </w:pPr>
      <w:r w:rsidRPr="002E7417">
        <w:t>Name and signature of requesting</w:t>
      </w:r>
      <w:r w:rsidR="00C824EF">
        <w:t xml:space="preserve"> (supply or </w:t>
      </w:r>
      <w:r w:rsidR="00091091">
        <w:t>prescriber</w:t>
      </w:r>
      <w:r w:rsidR="00EF5B23">
        <w:t>)</w:t>
      </w:r>
      <w:r w:rsidRPr="002E7417">
        <w:t xml:space="preserve"> </w:t>
      </w:r>
      <w:r>
        <w:t>Medical Officer/accredited Nurse Practitioner</w:t>
      </w:r>
    </w:p>
    <w:p w14:paraId="1D6624E6" w14:textId="77777777" w:rsidR="00AF7429" w:rsidRPr="002E7417" w:rsidRDefault="00AF7429" w:rsidP="00305DD3">
      <w:pPr>
        <w:pStyle w:val="Bullet"/>
      </w:pPr>
      <w:r w:rsidRPr="002E7417">
        <w:t>Product to be transfused</w:t>
      </w:r>
    </w:p>
    <w:p w14:paraId="72A24F49" w14:textId="77777777" w:rsidR="00AF7429" w:rsidRPr="002E7417" w:rsidRDefault="00AF7429" w:rsidP="00305DD3">
      <w:pPr>
        <w:pStyle w:val="Bullet"/>
      </w:pPr>
      <w:r w:rsidRPr="002E7417">
        <w:t>Date and time the product is required</w:t>
      </w:r>
    </w:p>
    <w:p w14:paraId="57C8AB83" w14:textId="77777777" w:rsidR="00AF7429" w:rsidRPr="002E7417" w:rsidRDefault="00AF7429" w:rsidP="00305DD3">
      <w:pPr>
        <w:pStyle w:val="Bullet"/>
      </w:pPr>
      <w:r w:rsidRPr="002E7417">
        <w:t>Relevant clinical history</w:t>
      </w:r>
    </w:p>
    <w:p w14:paraId="73E192A0" w14:textId="1B5F9556" w:rsidR="00AF7429" w:rsidRPr="00FF3B71" w:rsidRDefault="00AF7429" w:rsidP="00AF7429">
      <w:pPr>
        <w:pStyle w:val="Bullet"/>
      </w:pPr>
      <w:r w:rsidRPr="002E7417">
        <w:t>Dose required in grams</w:t>
      </w:r>
      <w:r w:rsidR="00305DD3">
        <w:t>.</w:t>
      </w:r>
    </w:p>
    <w:p w14:paraId="65453662" w14:textId="026E0D27" w:rsidR="00AF7429" w:rsidRPr="00C574C4" w:rsidRDefault="00AF7429" w:rsidP="00C574C4">
      <w:pPr>
        <w:pStyle w:val="BodyCopy"/>
        <w:pBdr>
          <w:top w:val="single" w:sz="4" w:space="1" w:color="auto"/>
          <w:left w:val="single" w:sz="4" w:space="4" w:color="auto"/>
          <w:bottom w:val="single" w:sz="4" w:space="1" w:color="auto"/>
          <w:right w:val="single" w:sz="4" w:space="4" w:color="auto"/>
        </w:pBdr>
        <w:shd w:val="clear" w:color="auto" w:fill="FFFFFF" w:themeFill="background1"/>
        <w:rPr>
          <w:b/>
          <w:bCs w:val="0"/>
        </w:rPr>
      </w:pPr>
      <w:r w:rsidRPr="005C5F49">
        <w:rPr>
          <w:rStyle w:val="Bold"/>
        </w:rPr>
        <w:t>Alert</w:t>
      </w:r>
      <w:r w:rsidR="00C574C4">
        <w:rPr>
          <w:rStyle w:val="Bold"/>
        </w:rPr>
        <w:t xml:space="preserve"> : </w:t>
      </w:r>
      <w:r>
        <w:t>If DHR is down, please use the Blood Transfusion Request Form (Red Transfusion Request), available from the ward clerk.</w:t>
      </w:r>
    </w:p>
    <w:p w14:paraId="2B4448C9" w14:textId="77777777" w:rsidR="00AF7429" w:rsidRDefault="00AF7429" w:rsidP="00AF7429">
      <w:pPr>
        <w:pStyle w:val="Heading5"/>
      </w:pPr>
      <w:r>
        <w:t>Therapy Plans</w:t>
      </w:r>
    </w:p>
    <w:p w14:paraId="75A9122B" w14:textId="63BF69F4" w:rsidR="00AF7429" w:rsidRDefault="00AF7429" w:rsidP="00AF7429">
      <w:r>
        <w:t xml:space="preserve">Therapy plans (also known as Recurring Orders) are used to set up ongoing regular treatment over a period in </w:t>
      </w:r>
      <w:r w:rsidR="00EC4DC8">
        <w:t>the clinical record</w:t>
      </w:r>
      <w:r>
        <w:t xml:space="preserve">. Therapy Plans can continue indefinitely, however, after a certain period, therapy plans must be re-signed to indicate they are up-to-date and accurate. For more information refer to </w:t>
      </w:r>
      <w:r w:rsidR="00091091">
        <w:rPr>
          <w:rStyle w:val="Hyperlink"/>
        </w:rPr>
        <w:t>the</w:t>
      </w:r>
      <w:r w:rsidR="00091091" w:rsidRPr="00EB7477">
        <w:t xml:space="preserve"> Therapy</w:t>
      </w:r>
      <w:r w:rsidR="00746713" w:rsidRPr="00EB7477">
        <w:t xml:space="preserve"> Plans Tipsheet</w:t>
      </w:r>
      <w:r>
        <w:t xml:space="preserve"> in DHR.</w:t>
      </w:r>
    </w:p>
    <w:p w14:paraId="722B02F0" w14:textId="31C43599" w:rsidR="00AF7429" w:rsidRDefault="00AF7429" w:rsidP="00AF7429">
      <w:r>
        <w:t xml:space="preserve">To view the patients active therapy plans in DHR, hover the cursor over </w:t>
      </w:r>
      <w:r>
        <w:rPr>
          <w:i/>
          <w:iCs/>
        </w:rPr>
        <w:t>Other plans</w:t>
      </w:r>
      <w:r>
        <w:t xml:space="preserve"> under the </w:t>
      </w:r>
      <w:r w:rsidRPr="00C04514">
        <w:rPr>
          <w:i/>
          <w:iCs/>
        </w:rPr>
        <w:t>Storyboard: Active Treatment</w:t>
      </w:r>
      <w:r>
        <w:t>, where it will display the patients active treatment.</w:t>
      </w:r>
    </w:p>
    <w:p w14:paraId="771CB32F" w14:textId="77777777" w:rsidR="00AF7429" w:rsidRDefault="00AF7429" w:rsidP="00F00F6A">
      <w:pPr>
        <w:spacing w:after="120"/>
      </w:pPr>
      <w:r>
        <w:t>Medical officers can:</w:t>
      </w:r>
    </w:p>
    <w:p w14:paraId="231317F9" w14:textId="77777777" w:rsidR="00AF7429" w:rsidRDefault="00AF7429" w:rsidP="00746713">
      <w:pPr>
        <w:pStyle w:val="Bullet"/>
      </w:pPr>
      <w:r>
        <w:t>Access an existing therapy plan</w:t>
      </w:r>
    </w:p>
    <w:p w14:paraId="2E8B75B6" w14:textId="77777777" w:rsidR="00AF7429" w:rsidRDefault="00AF7429" w:rsidP="00746713">
      <w:pPr>
        <w:pStyle w:val="Bullet"/>
      </w:pPr>
      <w:r>
        <w:t>Order a new therapy plan</w:t>
      </w:r>
    </w:p>
    <w:p w14:paraId="372FA12F" w14:textId="77777777" w:rsidR="00AF7429" w:rsidRDefault="00AF7429" w:rsidP="00746713">
      <w:pPr>
        <w:pStyle w:val="Bullet"/>
      </w:pPr>
      <w:r>
        <w:t>Adjust therapy plans (plan name, consultant, start date, treatment department, or associated diagnosis)</w:t>
      </w:r>
    </w:p>
    <w:p w14:paraId="3947484A" w14:textId="77777777" w:rsidR="00AF7429" w:rsidRDefault="00AF7429" w:rsidP="00746713">
      <w:pPr>
        <w:pStyle w:val="Bullet"/>
      </w:pPr>
      <w:r>
        <w:t>Adjust the due date for single/multiple orders</w:t>
      </w:r>
    </w:p>
    <w:p w14:paraId="7EAD0BE8" w14:textId="77777777" w:rsidR="00AF7429" w:rsidRDefault="00AF7429" w:rsidP="00746713">
      <w:pPr>
        <w:pStyle w:val="Bullet"/>
      </w:pPr>
      <w:r>
        <w:t>Adjust the interval between treatments</w:t>
      </w:r>
    </w:p>
    <w:p w14:paraId="4FAEB8FE" w14:textId="77777777" w:rsidR="00AF7429" w:rsidRDefault="00AF7429" w:rsidP="00746713">
      <w:pPr>
        <w:pStyle w:val="Bullet"/>
      </w:pPr>
      <w:r>
        <w:t>Add additional orders e.g., pathology tests or medications that may need to be added to the plan</w:t>
      </w:r>
    </w:p>
    <w:p w14:paraId="7CFBCFE5" w14:textId="77777777" w:rsidR="00AF7429" w:rsidRDefault="00AF7429" w:rsidP="00746713">
      <w:pPr>
        <w:pStyle w:val="Bullet"/>
      </w:pPr>
      <w:r>
        <w:lastRenderedPageBreak/>
        <w:t>Remove an order</w:t>
      </w:r>
    </w:p>
    <w:p w14:paraId="63638C69" w14:textId="77777777" w:rsidR="00AF7429" w:rsidRDefault="00AF7429" w:rsidP="00746713">
      <w:pPr>
        <w:pStyle w:val="Bullet"/>
      </w:pPr>
      <w:r>
        <w:t>Re-activate removed and completed orders</w:t>
      </w:r>
    </w:p>
    <w:p w14:paraId="7D0E7AAC" w14:textId="77777777" w:rsidR="00AF7429" w:rsidRDefault="00AF7429" w:rsidP="00746713">
      <w:pPr>
        <w:pStyle w:val="Bullet"/>
      </w:pPr>
      <w:r>
        <w:t>Discontinue therapy plans</w:t>
      </w:r>
    </w:p>
    <w:p w14:paraId="2F851338" w14:textId="77777777" w:rsidR="00AF7429" w:rsidRDefault="00AF7429" w:rsidP="00746713">
      <w:pPr>
        <w:pStyle w:val="Bullet"/>
      </w:pPr>
      <w:r>
        <w:t>Review expiring therapy plans</w:t>
      </w:r>
    </w:p>
    <w:p w14:paraId="1F3F1334" w14:textId="52569B4E" w:rsidR="00AF7429" w:rsidRDefault="00AF7429" w:rsidP="00AF7429">
      <w:r>
        <w:t xml:space="preserve">Nurses can view and adjust the patients Therapy Plan on the DHR storyboard, or via the activity tab (depending on the department) and release medications from a Therapy plan which will then appear on the </w:t>
      </w:r>
      <w:r w:rsidR="00717376">
        <w:t>Medication Administration Record (</w:t>
      </w:r>
      <w:r>
        <w:t>MAR</w:t>
      </w:r>
      <w:r w:rsidR="00717376">
        <w:t>)</w:t>
      </w:r>
      <w:r>
        <w:t xml:space="preserve"> for administration and recording purposes.</w:t>
      </w:r>
    </w:p>
    <w:p w14:paraId="51D06CC9" w14:textId="77777777" w:rsidR="00AF7429" w:rsidRDefault="00AF7429" w:rsidP="00AF7429">
      <w:pPr>
        <w:pStyle w:val="Heading5"/>
      </w:pPr>
      <w:r>
        <w:t>Storage</w:t>
      </w:r>
    </w:p>
    <w:p w14:paraId="43EA2C04" w14:textId="77777777" w:rsidR="00AF7429" w:rsidRPr="00082BE0" w:rsidRDefault="00AF7429" w:rsidP="00AF7429">
      <w:r>
        <w:t xml:space="preserve">Once released from </w:t>
      </w:r>
      <w:r>
        <w:rPr>
          <w:rFonts w:asciiTheme="majorHAnsi" w:hAnsiTheme="majorHAnsi"/>
          <w:bCs/>
        </w:rPr>
        <w:t xml:space="preserve">ACT Pathology </w:t>
      </w:r>
      <w:r>
        <w:t>Transfusion laboratory, store IVIg at room temperature. Do not place dispensed IVIg product in the clinical area fridges.</w:t>
      </w:r>
    </w:p>
    <w:p w14:paraId="09A77CDC" w14:textId="77777777" w:rsidR="00AF7429" w:rsidRDefault="00AF7429" w:rsidP="00AF7429">
      <w:pPr>
        <w:pStyle w:val="Heading5"/>
      </w:pPr>
      <w:r>
        <w:t>If patient treatment is delayed</w:t>
      </w:r>
    </w:p>
    <w:p w14:paraId="796DAA82" w14:textId="450EDEA0" w:rsidR="00AF7429" w:rsidRDefault="00AF7429" w:rsidP="00AF7429">
      <w:r>
        <w:t>Any IVIg or manufactured blood product that is not used for the patient must be returned to ACT Pathology Transfusion lab</w:t>
      </w:r>
      <w:r w:rsidR="007F6F9B">
        <w:t xml:space="preserve">oratory as soon as the decision is made not to infuse the patient. Note, no product is to be </w:t>
      </w:r>
      <w:r>
        <w:t>kept on the ward.</w:t>
      </w:r>
    </w:p>
    <w:p w14:paraId="7F332BF8" w14:textId="77777777" w:rsidR="00AF7429" w:rsidRDefault="00AF7429" w:rsidP="00AF7429">
      <w:r>
        <w:t>If the patient has been rescheduled, please inform ACT Pathology Transfusion laboratory of the re-scheduled administration date. In doing so, ACT Pathology will update the expected infusion dates in BloodNET to ensure accurate recording of the date of administration, to reduce potential issues down the track for subsequent doses.</w:t>
      </w:r>
    </w:p>
    <w:p w14:paraId="692AB4EA" w14:textId="122350FD" w:rsidR="00AF7429" w:rsidRPr="00C574C4" w:rsidRDefault="00AF7429" w:rsidP="00AF7429">
      <w:pPr>
        <w:pStyle w:val="Heading5"/>
      </w:pPr>
      <w:r>
        <w:t xml:space="preserve">Supply </w:t>
      </w:r>
      <w:r w:rsidRPr="00C574C4">
        <w:t>of Ig for travel</w:t>
      </w:r>
    </w:p>
    <w:p w14:paraId="266B5D89" w14:textId="5FCF6734" w:rsidR="00AF7429" w:rsidRPr="00AF7429" w:rsidRDefault="00AF7429" w:rsidP="00AF7429">
      <w:r w:rsidRPr="00C574C4">
        <w:t>Provisions for the supply of Ig including</w:t>
      </w:r>
      <w:r>
        <w:t xml:space="preserve"> SCIg may be temporarily granted for up to 12 months in any rolling 24</w:t>
      </w:r>
      <w:r w:rsidR="009E13D4">
        <w:t xml:space="preserve"> </w:t>
      </w:r>
      <w:r>
        <w:t xml:space="preserve">month period. This is in accordance with the NBA Policy for Overseas supply of blood products. Refer to </w:t>
      </w:r>
      <w:r w:rsidR="00F00F6A">
        <w:rPr>
          <w:bCs/>
        </w:rPr>
        <w:t>Attachment</w:t>
      </w:r>
      <w:r>
        <w:t xml:space="preserve"> </w:t>
      </w:r>
      <w:r w:rsidR="00A064D9">
        <w:t>4</w:t>
      </w:r>
      <w:r>
        <w:t>– Patients travelling Interstate and Overseas.</w:t>
      </w:r>
    </w:p>
    <w:p w14:paraId="7FF01327" w14:textId="77777777" w:rsidR="00FF3B71" w:rsidRDefault="0028383D" w:rsidP="00FF3B71">
      <w:pPr>
        <w:pStyle w:val="BodyCopy"/>
      </w:pPr>
      <w:hyperlink w:anchor="_top" w:history="1">
        <w:r w:rsidR="00FF3B71" w:rsidRPr="00481A6C">
          <w:rPr>
            <w:rStyle w:val="Hyperlink"/>
            <w:iCs w:val="0"/>
          </w:rPr>
          <w:t>Back to Contents</w:t>
        </w:r>
      </w:hyperlink>
    </w:p>
    <w:p w14:paraId="381BBCD3" w14:textId="77777777" w:rsidR="00FF3B71" w:rsidRDefault="00FF3B71" w:rsidP="00FF3B71">
      <w:pPr>
        <w:pStyle w:val="Heading4"/>
      </w:pPr>
      <w:bookmarkStart w:id="10" w:name="_Toc184739593"/>
      <w:r w:rsidRPr="0078367D">
        <w:t xml:space="preserve">Section </w:t>
      </w:r>
      <w:r w:rsidR="00AF7429">
        <w:t>6</w:t>
      </w:r>
      <w:r w:rsidRPr="0078367D">
        <w:t xml:space="preserve"> </w:t>
      </w:r>
      <w:r w:rsidR="00AF7429">
        <w:t>–</w:t>
      </w:r>
      <w:r w:rsidRPr="0078367D">
        <w:t xml:space="preserve"> </w:t>
      </w:r>
      <w:r w:rsidR="00AF7429">
        <w:t>Pre-Infusion</w:t>
      </w:r>
      <w:bookmarkEnd w:id="10"/>
    </w:p>
    <w:p w14:paraId="741C050F" w14:textId="37EEA3E2" w:rsidR="005B5C73" w:rsidRDefault="005B5C73" w:rsidP="00CC4843">
      <w:pPr>
        <w:pStyle w:val="BodyCopy"/>
      </w:pPr>
      <w:r w:rsidRPr="00694390">
        <w:t xml:space="preserve">Most patients will begin </w:t>
      </w:r>
      <w:r w:rsidR="002E7AFA" w:rsidRPr="00694390">
        <w:t xml:space="preserve">their </w:t>
      </w:r>
      <w:r w:rsidRPr="00694390">
        <w:t xml:space="preserve">Ig therapy on </w:t>
      </w:r>
      <w:proofErr w:type="gramStart"/>
      <w:r w:rsidRPr="00694390">
        <w:t>IVIg,</w:t>
      </w:r>
      <w:proofErr w:type="gramEnd"/>
      <w:r w:rsidRPr="00694390">
        <w:t xml:space="preserve"> however some </w:t>
      </w:r>
      <w:r w:rsidR="00091091">
        <w:t>p</w:t>
      </w:r>
      <w:r w:rsidR="00811B49">
        <w:t xml:space="preserve">rescribing </w:t>
      </w:r>
      <w:r w:rsidR="00091091">
        <w:t>specialist</w:t>
      </w:r>
      <w:r w:rsidR="00811B49">
        <w:t xml:space="preserve"> </w:t>
      </w:r>
      <w:r w:rsidR="00091091">
        <w:t>p</w:t>
      </w:r>
      <w:r w:rsidR="00811B49">
        <w:t>hysician</w:t>
      </w:r>
      <w:r w:rsidRPr="00694390">
        <w:t xml:space="preserve"> may choose to start </w:t>
      </w:r>
      <w:r w:rsidR="002E7AFA" w:rsidRPr="00694390">
        <w:t xml:space="preserve">their patients directly on </w:t>
      </w:r>
      <w:r w:rsidRPr="00694390">
        <w:t xml:space="preserve">SCIg </w:t>
      </w:r>
      <w:r w:rsidR="002E7AFA" w:rsidRPr="00694390">
        <w:t>product if eligible.</w:t>
      </w:r>
    </w:p>
    <w:p w14:paraId="1B27B5A8" w14:textId="2E18A345" w:rsidR="00AF7429" w:rsidRDefault="00AF7429" w:rsidP="00CC4843">
      <w:pPr>
        <w:pStyle w:val="BodyCopy"/>
      </w:pPr>
      <w:r>
        <w:t>Prior to first</w:t>
      </w:r>
      <w:r w:rsidR="005B5C73">
        <w:t xml:space="preserve"> Ig</w:t>
      </w:r>
      <w:r>
        <w:t xml:space="preserve"> </w:t>
      </w:r>
      <w:r w:rsidR="005B5C73">
        <w:t>i</w:t>
      </w:r>
      <w:r>
        <w:t>nfusion</w:t>
      </w:r>
      <w:r w:rsidR="00CC4843">
        <w:t>:</w:t>
      </w:r>
    </w:p>
    <w:p w14:paraId="5D70C10D" w14:textId="77777777" w:rsidR="00AF7429" w:rsidRDefault="00AF7429" w:rsidP="00CC4843">
      <w:pPr>
        <w:pStyle w:val="Bullet"/>
      </w:pPr>
      <w:r>
        <w:t>Record allergies, medications, and baseline height and weight</w:t>
      </w:r>
    </w:p>
    <w:p w14:paraId="2EF484D4" w14:textId="6FE4F96A" w:rsidR="005B5C73" w:rsidRDefault="00AF7429" w:rsidP="00CC4843">
      <w:pPr>
        <w:pStyle w:val="Bullet"/>
      </w:pPr>
      <w:r>
        <w:t xml:space="preserve">Review history for previous treatment </w:t>
      </w:r>
    </w:p>
    <w:p w14:paraId="49AAF374" w14:textId="35B6347C" w:rsidR="00AF7429" w:rsidRPr="00AF7429" w:rsidRDefault="005B5C73" w:rsidP="005B5C73">
      <w:pPr>
        <w:pStyle w:val="Bullet"/>
        <w:numPr>
          <w:ilvl w:val="1"/>
          <w:numId w:val="1"/>
        </w:numPr>
      </w:pPr>
      <w:r>
        <w:t>particularly</w:t>
      </w:r>
      <w:r w:rsidR="00AF7429">
        <w:t xml:space="preserve"> any history of adverse reactions to IVIg or to other blood components (history of anaphylaxis, anti-IgA antibodies)</w:t>
      </w:r>
    </w:p>
    <w:p w14:paraId="3E4A79EA" w14:textId="77777777" w:rsidR="00AF7429" w:rsidRDefault="00AF7429" w:rsidP="00AF7429">
      <w:r>
        <w:t>Baseline pathology should include:</w:t>
      </w:r>
    </w:p>
    <w:p w14:paraId="4A33D881" w14:textId="40E6AF1B" w:rsidR="00AF7429" w:rsidRDefault="00CC4843" w:rsidP="00CC4843">
      <w:pPr>
        <w:pStyle w:val="Bullet"/>
      </w:pPr>
      <w:r>
        <w:lastRenderedPageBreak/>
        <w:t>Full Blood Count (</w:t>
      </w:r>
      <w:r w:rsidR="00AF7429">
        <w:t>FBC</w:t>
      </w:r>
      <w:r>
        <w:t>)</w:t>
      </w:r>
    </w:p>
    <w:p w14:paraId="4205A62E" w14:textId="4D3B3BF2" w:rsidR="00AF7429" w:rsidRDefault="00CC4843" w:rsidP="00CC4843">
      <w:pPr>
        <w:pStyle w:val="Bullet"/>
      </w:pPr>
      <w:r>
        <w:t>Electrolytes, Urea and Creatinine (</w:t>
      </w:r>
      <w:r w:rsidR="00AF7429">
        <w:t>EUC</w:t>
      </w:r>
      <w:r>
        <w:t>)</w:t>
      </w:r>
    </w:p>
    <w:p w14:paraId="6DC4F9F7" w14:textId="580BB4B5" w:rsidR="00AF7429" w:rsidRDefault="00CC4843" w:rsidP="00CC4843">
      <w:pPr>
        <w:pStyle w:val="Bullet"/>
      </w:pPr>
      <w:r>
        <w:t>Liver Function Test (</w:t>
      </w:r>
      <w:r w:rsidR="00AF7429">
        <w:t>LFT</w:t>
      </w:r>
      <w:r>
        <w:t>)</w:t>
      </w:r>
    </w:p>
    <w:p w14:paraId="38B66EF8" w14:textId="71BD1E7C" w:rsidR="00AF7429" w:rsidRDefault="00AF7429" w:rsidP="00CC4843">
      <w:pPr>
        <w:pStyle w:val="Bullet"/>
      </w:pPr>
      <w:r>
        <w:t>IgGAM</w:t>
      </w:r>
      <w:r w:rsidR="00BD4AD3">
        <w:t xml:space="preserve"> (s</w:t>
      </w:r>
      <w:r>
        <w:t>erum trough</w:t>
      </w:r>
      <w:r w:rsidR="00BD4AD3">
        <w:t xml:space="preserve"> pathology tests)</w:t>
      </w:r>
    </w:p>
    <w:p w14:paraId="49CBEBD9" w14:textId="78B0F5E0" w:rsidR="00AF7429" w:rsidRDefault="00AF7429" w:rsidP="00AF7429">
      <w:r>
        <w:t xml:space="preserve">Assess patient for TACO (Transfusion Circulatory Overload) risk factors such as: advanced age, history of heart failure or myocardial infarction, left ventricular dysfunction, renal dysfunction, positive fluid balance. If risk is identified, </w:t>
      </w:r>
      <w:r w:rsidR="007F6F9B">
        <w:t xml:space="preserve">clinical staff to </w:t>
      </w:r>
      <w:r>
        <w:t xml:space="preserve">review with </w:t>
      </w:r>
      <w:r w:rsidR="007F6F9B">
        <w:t xml:space="preserve">the </w:t>
      </w:r>
      <w:r>
        <w:t xml:space="preserve">prescriber for prevention strategies (slow infusion rate, pre-infusion diuretic, divide infusion of high doses/high volumes over more than </w:t>
      </w:r>
      <w:r w:rsidR="00CC4843">
        <w:t xml:space="preserve">one </w:t>
      </w:r>
      <w:r>
        <w:t>day).</w:t>
      </w:r>
    </w:p>
    <w:p w14:paraId="2F23AFD0" w14:textId="2F3AC370" w:rsidR="00AF7429" w:rsidRDefault="00DA24F5" w:rsidP="00AF7429">
      <w:r>
        <w:t xml:space="preserve">MO </w:t>
      </w:r>
      <w:r w:rsidR="005B5C73">
        <w:t>Clinicians will determine the i</w:t>
      </w:r>
      <w:r w:rsidR="00AF7429">
        <w:t>nterval blood work to monitor Ig treatment</w:t>
      </w:r>
      <w:r w:rsidR="005B5C73">
        <w:t xml:space="preserve"> and may include</w:t>
      </w:r>
      <w:r w:rsidR="00AF7429">
        <w:t xml:space="preserve"> haemoglobin, kidney and liver function tests, platelet count,</w:t>
      </w:r>
      <w:r w:rsidR="00427190">
        <w:t xml:space="preserve"> and</w:t>
      </w:r>
      <w:r w:rsidR="00AF7429">
        <w:t xml:space="preserve"> serum IgG level.</w:t>
      </w:r>
    </w:p>
    <w:p w14:paraId="30AC5A73" w14:textId="77777777" w:rsidR="00FF3B71" w:rsidRDefault="0028383D" w:rsidP="00FF3B71">
      <w:pPr>
        <w:pStyle w:val="BodyCopy"/>
      </w:pPr>
      <w:hyperlink w:anchor="_top" w:history="1">
        <w:r w:rsidR="00FF3B71" w:rsidRPr="00481A6C">
          <w:rPr>
            <w:rStyle w:val="Hyperlink"/>
            <w:iCs w:val="0"/>
          </w:rPr>
          <w:t>Back to Contents</w:t>
        </w:r>
      </w:hyperlink>
    </w:p>
    <w:p w14:paraId="5F16B8DB" w14:textId="77777777" w:rsidR="00FF3B71" w:rsidRDefault="00FF3B71" w:rsidP="00FF3B71">
      <w:pPr>
        <w:pStyle w:val="Heading4"/>
      </w:pPr>
      <w:bookmarkStart w:id="11" w:name="_Toc184739594"/>
      <w:r w:rsidRPr="0078367D">
        <w:t xml:space="preserve">Section </w:t>
      </w:r>
      <w:r w:rsidR="00AF7429">
        <w:t>7</w:t>
      </w:r>
      <w:r w:rsidRPr="0078367D">
        <w:t xml:space="preserve"> </w:t>
      </w:r>
      <w:r w:rsidR="00AF7429">
        <w:t>–</w:t>
      </w:r>
      <w:r w:rsidRPr="0078367D">
        <w:t xml:space="preserve"> </w:t>
      </w:r>
      <w:r w:rsidR="00AF7429">
        <w:t>Administering IVIg</w:t>
      </w:r>
      <w:bookmarkEnd w:id="11"/>
    </w:p>
    <w:p w14:paraId="05BE838D" w14:textId="77777777" w:rsidR="00AF7429" w:rsidRDefault="00AF7429" w:rsidP="00AF7429">
      <w:pPr>
        <w:pStyle w:val="Heading5"/>
      </w:pPr>
      <w:r>
        <w:t>Contraindications</w:t>
      </w:r>
    </w:p>
    <w:p w14:paraId="78C97177" w14:textId="77777777" w:rsidR="00AF7429" w:rsidRDefault="00AF7429" w:rsidP="00E41E56">
      <w:pPr>
        <w:pStyle w:val="Bullet"/>
        <w:numPr>
          <w:ilvl w:val="0"/>
          <w:numId w:val="0"/>
        </w:numPr>
      </w:pPr>
      <w:r>
        <w:t>Contraindications for Ig applies to those who:</w:t>
      </w:r>
    </w:p>
    <w:p w14:paraId="6312D9BD" w14:textId="77777777" w:rsidR="00AF7429" w:rsidRDefault="00AF7429" w:rsidP="00E41E56">
      <w:pPr>
        <w:pStyle w:val="Bullet"/>
      </w:pPr>
      <w:r>
        <w:t>Have experienced a true anaphylactic reaction to human immunoglobulins</w:t>
      </w:r>
    </w:p>
    <w:p w14:paraId="34C02D95" w14:textId="77777777" w:rsidR="00AF7429" w:rsidRDefault="00AF7429" w:rsidP="00E41E56">
      <w:pPr>
        <w:pStyle w:val="Bullet"/>
      </w:pPr>
      <w:r>
        <w:t>Have hereditary problems with fructose intolerance Flebogamma 5% and 10% is contraindicated. Children (&lt;2 years) may not yet be diagnosed with this condition (which may be fatal) and should not receive this product</w:t>
      </w:r>
    </w:p>
    <w:p w14:paraId="0BA48DB9" w14:textId="77777777" w:rsidR="00AF7429" w:rsidRDefault="00AF7429" w:rsidP="00AF7429">
      <w:pPr>
        <w:pStyle w:val="Heading5"/>
      </w:pPr>
      <w:r>
        <w:t>Precautions</w:t>
      </w:r>
    </w:p>
    <w:p w14:paraId="5417B45B" w14:textId="116EE16F" w:rsidR="00BA53D6" w:rsidRDefault="00BA53D6" w:rsidP="00AF7429">
      <w:pPr>
        <w:rPr>
          <w:rFonts w:asciiTheme="majorHAnsi" w:hAnsiTheme="majorHAnsi"/>
          <w:bCs/>
        </w:rPr>
      </w:pPr>
      <w:r w:rsidRPr="00BA53D6">
        <w:rPr>
          <w:rFonts w:asciiTheme="majorHAnsi" w:hAnsiTheme="majorHAnsi"/>
          <w:bCs/>
        </w:rPr>
        <w:t>All patients should be well hydrated before and after IVIg treatments, especially for patients at risk for renal dysfunction. Pre-hydration reduces possible nephrotoxic effects of IVIg protein molecules and stabilizers.</w:t>
      </w:r>
    </w:p>
    <w:p w14:paraId="4B4F8613" w14:textId="77777777" w:rsidR="00AF7429" w:rsidRDefault="00AF7429" w:rsidP="00E41E56">
      <w:pPr>
        <w:pStyle w:val="Bullet"/>
        <w:numPr>
          <w:ilvl w:val="0"/>
          <w:numId w:val="0"/>
        </w:numPr>
      </w:pPr>
      <w:r>
        <w:t>Reactions and adverse events to IVIg may be attributed to:</w:t>
      </w:r>
    </w:p>
    <w:p w14:paraId="44D76696" w14:textId="77777777" w:rsidR="00AF7429" w:rsidRDefault="00AF7429" w:rsidP="00E41E56">
      <w:pPr>
        <w:pStyle w:val="Bullet"/>
      </w:pPr>
      <w:r>
        <w:t>High infusion rates (&gt;3mL/kg/hr)</w:t>
      </w:r>
    </w:p>
    <w:p w14:paraId="1687609C" w14:textId="77777777" w:rsidR="00AF7429" w:rsidRDefault="00AF7429" w:rsidP="00E41E56">
      <w:pPr>
        <w:pStyle w:val="Bullet"/>
      </w:pPr>
      <w:r>
        <w:t>Patients transitioning from one IVIg product to another</w:t>
      </w:r>
    </w:p>
    <w:p w14:paraId="62920B86" w14:textId="77777777" w:rsidR="00AF7429" w:rsidRDefault="00AF7429" w:rsidP="00E41E56">
      <w:pPr>
        <w:pStyle w:val="Bullet"/>
      </w:pPr>
      <w:r>
        <w:t>Patients receiving higher doses of IVIg (e.g., 2g/kg)</w:t>
      </w:r>
    </w:p>
    <w:p w14:paraId="17D0FF21" w14:textId="77777777" w:rsidR="00AF7429" w:rsidRDefault="00AF7429" w:rsidP="00E41E56">
      <w:pPr>
        <w:pStyle w:val="Bullet"/>
      </w:pPr>
      <w:r>
        <w:t>Long interval between infusions (&gt;8 weeks)</w:t>
      </w:r>
    </w:p>
    <w:p w14:paraId="47D85A99" w14:textId="77777777" w:rsidR="00AF7429" w:rsidRDefault="00AF7429" w:rsidP="00E41E56">
      <w:pPr>
        <w:pStyle w:val="Bullet"/>
      </w:pPr>
      <w:r>
        <w:t>Previous severe adverse event to IVIg (e.g. aseptic meningitis)</w:t>
      </w:r>
    </w:p>
    <w:p w14:paraId="52186F9B" w14:textId="77777777" w:rsidR="00AF7429" w:rsidRDefault="00AF7429" w:rsidP="00E41E56">
      <w:pPr>
        <w:pStyle w:val="Bullet"/>
      </w:pPr>
      <w:r>
        <w:t>Patients with a history of/ current cerebral oedema</w:t>
      </w:r>
    </w:p>
    <w:p w14:paraId="0E7E66DA" w14:textId="77777777" w:rsidR="00E41E56" w:rsidRDefault="00AF7429" w:rsidP="00AF7429">
      <w:pPr>
        <w:pStyle w:val="Bullet"/>
      </w:pPr>
      <w:r>
        <w:t>IgA deficient patients</w:t>
      </w:r>
    </w:p>
    <w:p w14:paraId="223C6EFF" w14:textId="3C2FB73D" w:rsidR="002B1660" w:rsidRDefault="00AF7429" w:rsidP="00E41E56">
      <w:pPr>
        <w:pStyle w:val="Bullet"/>
      </w:pPr>
      <w:r>
        <w:t>Renal impairment (assess renal function prior to product commencement).</w:t>
      </w:r>
    </w:p>
    <w:p w14:paraId="0D95793A" w14:textId="77777777" w:rsidR="002B1660" w:rsidRDefault="002B1660">
      <w:pPr>
        <w:spacing w:before="0" w:after="0" w:line="240" w:lineRule="auto"/>
        <w:rPr>
          <w:rFonts w:eastAsia="Times New Roman"/>
        </w:rPr>
      </w:pPr>
      <w:r>
        <w:br w:type="page"/>
      </w:r>
    </w:p>
    <w:p w14:paraId="5A7E592B" w14:textId="77777777" w:rsidR="00E41E56" w:rsidRDefault="00E41E56" w:rsidP="002B1660">
      <w:pPr>
        <w:pStyle w:val="Bullet"/>
        <w:numPr>
          <w:ilvl w:val="0"/>
          <w:numId w:val="0"/>
        </w:numPr>
        <w:ind w:left="360"/>
      </w:pPr>
    </w:p>
    <w:p w14:paraId="6BDB29FB" w14:textId="77777777" w:rsidR="001171F5" w:rsidRPr="001171F5" w:rsidRDefault="001171F5" w:rsidP="00FC71DD">
      <w:pPr>
        <w:pStyle w:val="BodyCopy"/>
        <w:pBdr>
          <w:top w:val="single" w:sz="4" w:space="1" w:color="auto"/>
          <w:left w:val="single" w:sz="4" w:space="4" w:color="auto"/>
          <w:bottom w:val="single" w:sz="4" w:space="1" w:color="auto"/>
          <w:right w:val="single" w:sz="4" w:space="4" w:color="auto"/>
        </w:pBdr>
        <w:rPr>
          <w:rStyle w:val="Bold"/>
          <w:rFonts w:eastAsia="Calibri"/>
          <w:bCs/>
          <w:iCs w:val="0"/>
        </w:rPr>
      </w:pPr>
      <w:r w:rsidRPr="001171F5">
        <w:rPr>
          <w:rStyle w:val="Bold"/>
        </w:rPr>
        <w:t>Alerts:</w:t>
      </w:r>
    </w:p>
    <w:p w14:paraId="51E6763F" w14:textId="4CE8B958" w:rsidR="001171F5" w:rsidRDefault="001171F5" w:rsidP="00FC71DD">
      <w:pPr>
        <w:pStyle w:val="Bullet"/>
        <w:pBdr>
          <w:top w:val="single" w:sz="4" w:space="1" w:color="auto"/>
          <w:left w:val="single" w:sz="4" w:space="4" w:color="auto"/>
          <w:bottom w:val="single" w:sz="4" w:space="1" w:color="auto"/>
          <w:right w:val="single" w:sz="4" w:space="4" w:color="auto"/>
        </w:pBdr>
      </w:pPr>
      <w:r>
        <w:t>IVIg must only be administered intravenously</w:t>
      </w:r>
      <w:r w:rsidR="000A7D1B">
        <w:t xml:space="preserve"> (IV)</w:t>
      </w:r>
    </w:p>
    <w:p w14:paraId="115336AA" w14:textId="77777777" w:rsidR="001171F5" w:rsidRDefault="001171F5" w:rsidP="00FC71DD">
      <w:pPr>
        <w:pStyle w:val="Bullet"/>
        <w:pBdr>
          <w:top w:val="single" w:sz="4" w:space="1" w:color="auto"/>
          <w:left w:val="single" w:sz="4" w:space="4" w:color="auto"/>
          <w:bottom w:val="single" w:sz="4" w:space="1" w:color="auto"/>
          <w:right w:val="single" w:sz="4" w:space="4" w:color="auto"/>
        </w:pBdr>
      </w:pPr>
      <w:r>
        <w:t xml:space="preserve">IVIg </w:t>
      </w:r>
      <w:r w:rsidRPr="001171F5">
        <w:rPr>
          <w:b/>
          <w:bCs/>
        </w:rPr>
        <w:t>must be administered separately from other IV fluids</w:t>
      </w:r>
      <w:r>
        <w:t xml:space="preserve"> or medications – administer via a dedicated line or lumen</w:t>
      </w:r>
    </w:p>
    <w:p w14:paraId="4064E130" w14:textId="77777777" w:rsidR="001171F5" w:rsidRDefault="001171F5" w:rsidP="00FC71DD">
      <w:pPr>
        <w:pStyle w:val="Bullet"/>
        <w:pBdr>
          <w:top w:val="single" w:sz="4" w:space="1" w:color="auto"/>
          <w:left w:val="single" w:sz="4" w:space="4" w:color="auto"/>
          <w:bottom w:val="single" w:sz="4" w:space="1" w:color="auto"/>
          <w:right w:val="single" w:sz="4" w:space="4" w:color="auto"/>
        </w:pBdr>
      </w:pPr>
      <w:r>
        <w:t>Some IVIg products are incompatible with normal saline, please refer to Product PI for appropriate Dilution, Line Flush and Delivery Device Flush</w:t>
      </w:r>
    </w:p>
    <w:p w14:paraId="791FC893" w14:textId="77777777" w:rsidR="001171F5" w:rsidRDefault="001171F5" w:rsidP="00FC71DD">
      <w:pPr>
        <w:pStyle w:val="Bullet"/>
        <w:pBdr>
          <w:top w:val="single" w:sz="4" w:space="1" w:color="auto"/>
          <w:left w:val="single" w:sz="4" w:space="4" w:color="auto"/>
          <w:bottom w:val="single" w:sz="4" w:space="1" w:color="auto"/>
          <w:right w:val="single" w:sz="4" w:space="4" w:color="auto"/>
        </w:pBdr>
      </w:pPr>
      <w:r>
        <w:t>IVIg contains traces of IgA which may provoke anaphylaxis in patients with IgA antibodies</w:t>
      </w:r>
    </w:p>
    <w:p w14:paraId="535E9CF2" w14:textId="77777777" w:rsidR="001171F5" w:rsidRDefault="001171F5" w:rsidP="00FC71DD">
      <w:pPr>
        <w:pStyle w:val="Bullet"/>
        <w:pBdr>
          <w:top w:val="single" w:sz="4" w:space="1" w:color="auto"/>
          <w:left w:val="single" w:sz="4" w:space="4" w:color="auto"/>
          <w:bottom w:val="single" w:sz="4" w:space="1" w:color="auto"/>
          <w:right w:val="single" w:sz="4" w:space="4" w:color="auto"/>
        </w:pBdr>
      </w:pPr>
      <w:r>
        <w:t xml:space="preserve">Patients receiving IVIg for the first time or switching IVIg brands, should commence at the slowest rate and titrate according to the table provided. Refer to Section 9: IVIg Infusion Rates </w:t>
      </w:r>
    </w:p>
    <w:p w14:paraId="6FB7DF54" w14:textId="77777777" w:rsidR="001171F5" w:rsidRDefault="001171F5" w:rsidP="00FC71DD">
      <w:pPr>
        <w:pStyle w:val="Bullet"/>
        <w:pBdr>
          <w:top w:val="single" w:sz="4" w:space="1" w:color="auto"/>
          <w:left w:val="single" w:sz="4" w:space="4" w:color="auto"/>
          <w:bottom w:val="single" w:sz="4" w:space="1" w:color="auto"/>
          <w:right w:val="single" w:sz="4" w:space="4" w:color="auto"/>
        </w:pBdr>
      </w:pPr>
      <w:r>
        <w:t>Infusion rates should be individualised to the patient’s risk factors, comorbidities and tolerability with previous infusions</w:t>
      </w:r>
    </w:p>
    <w:p w14:paraId="7BFF9D89" w14:textId="77777777" w:rsidR="001171F5" w:rsidRDefault="001171F5" w:rsidP="00FC71DD">
      <w:pPr>
        <w:pStyle w:val="Bullet"/>
        <w:pBdr>
          <w:top w:val="single" w:sz="4" w:space="1" w:color="auto"/>
          <w:left w:val="single" w:sz="4" w:space="4" w:color="auto"/>
          <w:bottom w:val="single" w:sz="4" w:space="1" w:color="auto"/>
          <w:right w:val="single" w:sz="4" w:space="4" w:color="auto"/>
        </w:pBdr>
      </w:pPr>
      <w:r>
        <w:t>Patients at risk for Aseptic Meningitis Syndrome (AMS), renal failure or thromboembolic adverse events should have IVIg administered at the slowest rate of infusion practicable.</w:t>
      </w:r>
    </w:p>
    <w:p w14:paraId="153E35CC" w14:textId="74547A66" w:rsidR="00E41E56" w:rsidRDefault="00E41E56" w:rsidP="00E41E56">
      <w:pPr>
        <w:pStyle w:val="Heading5"/>
      </w:pPr>
      <w:r>
        <w:t>Administering and completing IVIg</w:t>
      </w:r>
    </w:p>
    <w:p w14:paraId="0EA28431" w14:textId="77777777" w:rsidR="00E41E56" w:rsidRDefault="00E41E56" w:rsidP="00E41E56">
      <w:pPr>
        <w:pStyle w:val="BodyCopy"/>
      </w:pPr>
      <w:r>
        <w:t>As per manufacturers’ direction, IVIg should be allowed to reach room temperature prior to infusion.</w:t>
      </w:r>
    </w:p>
    <w:p w14:paraId="5FE9BA25" w14:textId="682ED0F6" w:rsidR="00E41E56" w:rsidRDefault="00E41E56" w:rsidP="00B858AD">
      <w:pPr>
        <w:pStyle w:val="BodyCopy"/>
        <w:rPr>
          <w:rFonts w:asciiTheme="majorHAnsi" w:hAnsiTheme="majorHAnsi"/>
        </w:rPr>
      </w:pPr>
      <w:r>
        <w:t>Ensure the patient/guardian has given informed consent to receiving IVIg and it is documented in their clinical record.</w:t>
      </w:r>
      <w:r w:rsidR="00B858AD">
        <w:t xml:space="preserve"> Consent is valid</w:t>
      </w:r>
      <w:bookmarkStart w:id="12" w:name="_Hlk181173334"/>
      <w:r w:rsidR="00B858AD">
        <w:t xml:space="preserve"> </w:t>
      </w:r>
      <w:r>
        <w:rPr>
          <w:rFonts w:asciiTheme="majorHAnsi" w:hAnsiTheme="majorHAnsi"/>
        </w:rPr>
        <w:t>for the entire course of treatment, or for up to 12 months, or until a significant clinical change.</w:t>
      </w:r>
    </w:p>
    <w:p w14:paraId="47D458DE" w14:textId="7C057160" w:rsidR="00E41E56" w:rsidRPr="002B1660" w:rsidRDefault="00E41E56" w:rsidP="002B1660">
      <w:pPr>
        <w:pStyle w:val="BodyCopy"/>
        <w:pBdr>
          <w:top w:val="single" w:sz="4" w:space="1" w:color="auto"/>
          <w:left w:val="single" w:sz="4" w:space="4" w:color="auto"/>
          <w:bottom w:val="single" w:sz="4" w:space="1" w:color="auto"/>
          <w:right w:val="single" w:sz="4" w:space="4" w:color="auto"/>
        </w:pBdr>
        <w:shd w:val="clear" w:color="auto" w:fill="FFFFFF" w:themeFill="background1"/>
        <w:rPr>
          <w:b/>
          <w:bCs w:val="0"/>
        </w:rPr>
      </w:pPr>
      <w:r w:rsidRPr="005C5F49">
        <w:rPr>
          <w:rStyle w:val="Bold"/>
        </w:rPr>
        <w:t>Alert</w:t>
      </w:r>
      <w:r w:rsidR="002B1660">
        <w:rPr>
          <w:rStyle w:val="Bold"/>
        </w:rPr>
        <w:t xml:space="preserve">: </w:t>
      </w:r>
      <w:r>
        <w:rPr>
          <w:rFonts w:asciiTheme="majorHAnsi" w:hAnsiTheme="majorHAnsi"/>
        </w:rPr>
        <w:t>In case of</w:t>
      </w:r>
      <w:r w:rsidRPr="00585D49">
        <w:rPr>
          <w:rFonts w:asciiTheme="majorHAnsi" w:hAnsiTheme="majorHAnsi"/>
        </w:rPr>
        <w:t xml:space="preserve"> DHR downtime, please document using Blood and Blood Product Prescription Checklist</w:t>
      </w:r>
      <w:r w:rsidR="004F5D1F">
        <w:rPr>
          <w:rFonts w:asciiTheme="majorHAnsi" w:hAnsiTheme="majorHAnsi"/>
        </w:rPr>
        <w:t xml:space="preserve"> (form</w:t>
      </w:r>
      <w:r w:rsidR="00EA63D8">
        <w:rPr>
          <w:rFonts w:asciiTheme="majorHAnsi" w:hAnsiTheme="majorHAnsi"/>
        </w:rPr>
        <w:t xml:space="preserve"> no.</w:t>
      </w:r>
      <w:r w:rsidR="004F5D1F">
        <w:rPr>
          <w:rFonts w:asciiTheme="majorHAnsi" w:hAnsiTheme="majorHAnsi"/>
        </w:rPr>
        <w:t xml:space="preserve"> 80220 on the Clinical Forms Register)</w:t>
      </w:r>
      <w:r>
        <w:rPr>
          <w:rFonts w:asciiTheme="majorHAnsi" w:hAnsiTheme="majorHAnsi"/>
        </w:rPr>
        <w:t xml:space="preserve">. </w:t>
      </w:r>
      <w:r w:rsidR="004F5D1F">
        <w:rPr>
          <w:rFonts w:asciiTheme="majorHAnsi" w:hAnsiTheme="majorHAnsi"/>
        </w:rPr>
        <w:t>A</w:t>
      </w:r>
      <w:r>
        <w:rPr>
          <w:rFonts w:asciiTheme="majorHAnsi" w:hAnsiTheme="majorHAnsi"/>
        </w:rPr>
        <w:t xml:space="preserve"> second health professional must independently and separately complete the second check.</w:t>
      </w:r>
      <w:r w:rsidR="007A2BA9">
        <w:rPr>
          <w:rFonts w:asciiTheme="majorHAnsi" w:hAnsiTheme="majorHAnsi"/>
        </w:rPr>
        <w:t xml:space="preserve"> This is to be scanned into the clinical record</w:t>
      </w:r>
    </w:p>
    <w:bookmarkEnd w:id="12"/>
    <w:p w14:paraId="386207F4" w14:textId="5F95DDC5" w:rsidR="00E41E56" w:rsidRDefault="004F5D1F" w:rsidP="00E41E56">
      <w:pPr>
        <w:pStyle w:val="Bullet"/>
      </w:pPr>
      <w:r>
        <w:t>The p</w:t>
      </w:r>
      <w:r w:rsidR="00E41E56">
        <w:t>rescriber or their delegate must be readily contactable during IVIg treatment</w:t>
      </w:r>
    </w:p>
    <w:p w14:paraId="23D7E42C" w14:textId="6CDC3570" w:rsidR="00E41E56" w:rsidRDefault="00E41E56" w:rsidP="00E41E56">
      <w:pPr>
        <w:pStyle w:val="Bullet"/>
      </w:pPr>
      <w:r>
        <w:t>Follow CHS hospital specific policy for checking blood products (</w:t>
      </w:r>
      <w:r w:rsidR="004F5D1F">
        <w:rPr>
          <w:bCs/>
        </w:rPr>
        <w:t>the</w:t>
      </w:r>
      <w:r w:rsidR="004F5D1F" w:rsidRPr="00FC71DD">
        <w:t xml:space="preserve"> </w:t>
      </w:r>
      <w:r w:rsidR="004F5D1F" w:rsidRPr="00FC71DD">
        <w:rPr>
          <w:i/>
          <w:iCs/>
        </w:rPr>
        <w:t>Fresh Blood Products Administration – Adults, Paediatrics, and Neonates</w:t>
      </w:r>
      <w:r w:rsidR="004F5D1F">
        <w:t xml:space="preserve"> </w:t>
      </w:r>
      <w:r w:rsidR="00FC71DD">
        <w:t>procedure and</w:t>
      </w:r>
      <w:r w:rsidR="004F5D1F" w:rsidRPr="00FC71DD">
        <w:rPr>
          <w:rStyle w:val="Hyperlink"/>
          <w:bCs/>
          <w:u w:val="none"/>
        </w:rPr>
        <w:t xml:space="preserve"> </w:t>
      </w:r>
      <w:r w:rsidR="004F5D1F">
        <w:rPr>
          <w:rStyle w:val="Hyperlink"/>
          <w:bCs/>
        </w:rPr>
        <w:t>the</w:t>
      </w:r>
      <w:r w:rsidR="004F5D1F" w:rsidRPr="00FC71DD">
        <w:rPr>
          <w:i/>
          <w:iCs/>
        </w:rPr>
        <w:t xml:space="preserve"> Patient Identification and Procedure Matching</w:t>
      </w:r>
      <w:r w:rsidR="004F5D1F">
        <w:rPr>
          <w:bCs/>
        </w:rPr>
        <w:t xml:space="preserve"> procedure</w:t>
      </w:r>
      <w:r>
        <w:t>)</w:t>
      </w:r>
    </w:p>
    <w:p w14:paraId="2C593F3B" w14:textId="77777777" w:rsidR="00E41E56" w:rsidRDefault="00E41E56" w:rsidP="00E41E56">
      <w:pPr>
        <w:pStyle w:val="Bullet"/>
      </w:pPr>
      <w:r>
        <w:t>Document patient’s baseline observations within 30 minutes of commencement of IVIg infusion</w:t>
      </w:r>
    </w:p>
    <w:p w14:paraId="76DB8CB4" w14:textId="77777777" w:rsidR="00E41E56" w:rsidRPr="00F32C71" w:rsidRDefault="00E41E56" w:rsidP="00E41E56">
      <w:pPr>
        <w:pStyle w:val="Bullet"/>
      </w:pPr>
      <w:r>
        <w:t>Visual inspection of IVIg bottles:</w:t>
      </w:r>
    </w:p>
    <w:p w14:paraId="5FB1C029" w14:textId="77777777" w:rsidR="00E41E56" w:rsidRDefault="00E41E56" w:rsidP="00E41E56">
      <w:pPr>
        <w:pStyle w:val="Bullet"/>
        <w:numPr>
          <w:ilvl w:val="1"/>
          <w:numId w:val="1"/>
        </w:numPr>
      </w:pPr>
      <w:r>
        <w:t>Bottle seal intact</w:t>
      </w:r>
    </w:p>
    <w:p w14:paraId="4125DEF4" w14:textId="77777777" w:rsidR="00E41E56" w:rsidRPr="00F32C71" w:rsidRDefault="00E41E56" w:rsidP="00E41E56">
      <w:pPr>
        <w:pStyle w:val="Bullet"/>
        <w:numPr>
          <w:ilvl w:val="1"/>
          <w:numId w:val="1"/>
        </w:numPr>
      </w:pPr>
      <w:r>
        <w:t>Product appears as clear or slightly opalescent solution that is colourless to pale yellow in colour</w:t>
      </w:r>
    </w:p>
    <w:p w14:paraId="64E70C5B" w14:textId="77777777" w:rsidR="00E41E56" w:rsidRPr="00F32C71" w:rsidRDefault="00E41E56" w:rsidP="00E41E56">
      <w:pPr>
        <w:pStyle w:val="Bullet"/>
        <w:numPr>
          <w:ilvl w:val="1"/>
          <w:numId w:val="1"/>
        </w:numPr>
      </w:pPr>
      <w:r>
        <w:lastRenderedPageBreak/>
        <w:t xml:space="preserve">If seal is broken, or if solution appears turbid, cloudy, or has visible deposits, do not infuse and send back to the </w:t>
      </w:r>
      <w:r w:rsidRPr="00115055">
        <w:t xml:space="preserve">ACT Pathology </w:t>
      </w:r>
      <w:r>
        <w:t>transfusion laboratory</w:t>
      </w:r>
    </w:p>
    <w:p w14:paraId="0ED1F779" w14:textId="440DC9AB" w:rsidR="00E41E56" w:rsidRDefault="00E41E56" w:rsidP="00E41E56">
      <w:pPr>
        <w:pStyle w:val="Bullet"/>
      </w:pPr>
      <w:r>
        <w:t xml:space="preserve">Expiry time: </w:t>
      </w:r>
      <w:r w:rsidR="005B5B6F">
        <w:t>the m</w:t>
      </w:r>
      <w:r>
        <w:t>anufacturer’s expiry date is noted on the packaging. Infusion of each bottle must be completed within 4 hours from the time the bottle’s seal is punctured</w:t>
      </w:r>
    </w:p>
    <w:p w14:paraId="280F8C77" w14:textId="77777777" w:rsidR="00E41E56" w:rsidRDefault="00E41E56" w:rsidP="00E41E56">
      <w:pPr>
        <w:pStyle w:val="Bullet"/>
      </w:pPr>
      <w:r>
        <w:t>Begin infusion with smallest bottle size first and end with largest bottle size of the bottles issued for the dose ordered (to minimise wastage in the event of a reaction)</w:t>
      </w:r>
    </w:p>
    <w:p w14:paraId="778C6AD9" w14:textId="77777777" w:rsidR="00E41E56" w:rsidRPr="00FC71DD" w:rsidRDefault="00E41E56" w:rsidP="00E41E56">
      <w:pPr>
        <w:pStyle w:val="Bullet"/>
        <w:rPr>
          <w:b/>
          <w:bCs/>
        </w:rPr>
      </w:pPr>
      <w:r w:rsidRPr="00A0127B">
        <w:t xml:space="preserve">Use a dedicated IV line - </w:t>
      </w:r>
      <w:r w:rsidRPr="00FC71DD">
        <w:rPr>
          <w:rFonts w:asciiTheme="majorHAnsi" w:hAnsiTheme="majorHAnsi"/>
          <w:b/>
          <w:bCs/>
        </w:rPr>
        <w:t>do not mix with other medications or IV solutions</w:t>
      </w:r>
    </w:p>
    <w:p w14:paraId="60EBFAD2" w14:textId="77777777" w:rsidR="00E41E56" w:rsidRDefault="00E41E56" w:rsidP="00E41E56">
      <w:pPr>
        <w:pStyle w:val="Bullet"/>
        <w:rPr>
          <w:rFonts w:asciiTheme="majorHAnsi" w:hAnsiTheme="majorHAnsi"/>
        </w:rPr>
      </w:pPr>
      <w:r w:rsidRPr="009F7246">
        <w:rPr>
          <w:rFonts w:asciiTheme="majorHAnsi" w:hAnsiTheme="majorHAnsi"/>
        </w:rPr>
        <w:t>Administer with standard vented IV tubing</w:t>
      </w:r>
      <w:r>
        <w:rPr>
          <w:rFonts w:asciiTheme="majorHAnsi" w:hAnsiTheme="majorHAnsi"/>
        </w:rPr>
        <w:t xml:space="preserve">. </w:t>
      </w:r>
      <w:r w:rsidRPr="009F7246">
        <w:rPr>
          <w:rFonts w:asciiTheme="majorHAnsi" w:hAnsiTheme="majorHAnsi"/>
        </w:rPr>
        <w:t>Do not use a burette</w:t>
      </w:r>
    </w:p>
    <w:p w14:paraId="58022B05" w14:textId="446222AF" w:rsidR="00E41E56" w:rsidRDefault="00E41E56" w:rsidP="00E41E56">
      <w:pPr>
        <w:pStyle w:val="Bullet"/>
        <w:rPr>
          <w:rFonts w:asciiTheme="majorHAnsi" w:hAnsiTheme="majorHAnsi"/>
        </w:rPr>
      </w:pPr>
      <w:r>
        <w:rPr>
          <w:rFonts w:asciiTheme="majorHAnsi" w:hAnsiTheme="majorHAnsi"/>
        </w:rPr>
        <w:t>Use aseptic technique when handling IVIg</w:t>
      </w:r>
      <w:r w:rsidR="005B5B6F">
        <w:rPr>
          <w:rFonts w:asciiTheme="majorHAnsi" w:hAnsiTheme="majorHAnsi"/>
        </w:rPr>
        <w:t xml:space="preserve"> (refer to the </w:t>
      </w:r>
      <w:r w:rsidR="005B5B6F" w:rsidRPr="00FC71DD">
        <w:rPr>
          <w:rFonts w:asciiTheme="majorHAnsi" w:hAnsiTheme="majorHAnsi"/>
          <w:i/>
          <w:iCs/>
        </w:rPr>
        <w:t>Aseptic Technique</w:t>
      </w:r>
      <w:r w:rsidR="005B5B6F">
        <w:rPr>
          <w:rFonts w:asciiTheme="majorHAnsi" w:hAnsiTheme="majorHAnsi"/>
        </w:rPr>
        <w:t xml:space="preserve"> procedure, available on the Policy and Guidance Documents Register).</w:t>
      </w:r>
    </w:p>
    <w:p w14:paraId="66394BC3" w14:textId="69B0158B" w:rsidR="00E41E56" w:rsidRDefault="00E41E56" w:rsidP="00E41E56">
      <w:pPr>
        <w:pStyle w:val="Bullet"/>
        <w:rPr>
          <w:rFonts w:asciiTheme="majorHAnsi" w:hAnsiTheme="majorHAnsi"/>
        </w:rPr>
      </w:pPr>
      <w:r>
        <w:rPr>
          <w:rFonts w:asciiTheme="majorHAnsi" w:hAnsiTheme="majorHAnsi"/>
        </w:rPr>
        <w:t>To minimise bubbling of IVIg</w:t>
      </w:r>
      <w:r w:rsidR="005B5B6F">
        <w:rPr>
          <w:rFonts w:asciiTheme="majorHAnsi" w:hAnsiTheme="majorHAnsi"/>
        </w:rPr>
        <w:t>:</w:t>
      </w:r>
    </w:p>
    <w:p w14:paraId="3F1C55BA" w14:textId="77777777" w:rsidR="00E41E56" w:rsidRDefault="00E41E56" w:rsidP="00E41E56">
      <w:pPr>
        <w:pStyle w:val="Bullet"/>
        <w:numPr>
          <w:ilvl w:val="1"/>
          <w:numId w:val="1"/>
        </w:numPr>
        <w:rPr>
          <w:rFonts w:asciiTheme="majorHAnsi" w:hAnsiTheme="majorHAnsi"/>
        </w:rPr>
      </w:pPr>
      <w:r>
        <w:rPr>
          <w:rFonts w:asciiTheme="majorHAnsi" w:hAnsiTheme="majorHAnsi"/>
        </w:rPr>
        <w:t>Allow IVIg to come to room temperature</w:t>
      </w:r>
    </w:p>
    <w:p w14:paraId="3D118AE6" w14:textId="77777777" w:rsidR="00E41E56" w:rsidRPr="009F7246" w:rsidRDefault="00E41E56" w:rsidP="00E41E56">
      <w:pPr>
        <w:pStyle w:val="Bullet"/>
        <w:numPr>
          <w:ilvl w:val="1"/>
          <w:numId w:val="1"/>
        </w:numPr>
        <w:rPr>
          <w:rFonts w:asciiTheme="majorHAnsi" w:hAnsiTheme="majorHAnsi"/>
        </w:rPr>
      </w:pPr>
      <w:r>
        <w:rPr>
          <w:rFonts w:asciiTheme="majorHAnsi" w:hAnsiTheme="majorHAnsi"/>
        </w:rPr>
        <w:t>Do not shake the IVIg</w:t>
      </w:r>
    </w:p>
    <w:p w14:paraId="650A7A96" w14:textId="77777777" w:rsidR="00E41E56" w:rsidRDefault="00E41E56" w:rsidP="00E41E56">
      <w:pPr>
        <w:pStyle w:val="Bullet"/>
        <w:numPr>
          <w:ilvl w:val="1"/>
          <w:numId w:val="1"/>
        </w:numPr>
        <w:rPr>
          <w:rFonts w:asciiTheme="majorHAnsi" w:hAnsiTheme="majorHAnsi"/>
        </w:rPr>
      </w:pPr>
      <w:r>
        <w:rPr>
          <w:rFonts w:asciiTheme="majorHAnsi" w:hAnsiTheme="majorHAnsi"/>
        </w:rPr>
        <w:t>Place IVIg bottle on a flat surface, insert the spike of the vented giving set at 90</w:t>
      </w:r>
      <w:r>
        <w:rPr>
          <w:rFonts w:asciiTheme="majorHAnsi" w:hAnsiTheme="majorHAnsi" w:cstheme="majorHAnsi"/>
        </w:rPr>
        <w:t>°</w:t>
      </w:r>
      <w:r>
        <w:rPr>
          <w:rFonts w:asciiTheme="majorHAnsi" w:hAnsiTheme="majorHAnsi"/>
        </w:rPr>
        <w:t xml:space="preserve"> angle through the centre circle of the rubber stopper. Invert and hang the bottle on the IV pole, squeeze the drip chamber to ½ full, then open the drip chamber vent and roller clamp</w:t>
      </w:r>
    </w:p>
    <w:p w14:paraId="5E0DAEF2" w14:textId="77777777" w:rsidR="00E41E56" w:rsidRDefault="00E41E56" w:rsidP="00E41E56">
      <w:pPr>
        <w:pStyle w:val="Bullet"/>
        <w:numPr>
          <w:ilvl w:val="1"/>
          <w:numId w:val="1"/>
        </w:numPr>
        <w:rPr>
          <w:rFonts w:asciiTheme="majorHAnsi" w:hAnsiTheme="majorHAnsi"/>
        </w:rPr>
      </w:pPr>
      <w:r>
        <w:rPr>
          <w:rFonts w:asciiTheme="majorHAnsi" w:hAnsiTheme="majorHAnsi"/>
        </w:rPr>
        <w:t>Prior to spiking each bottle, close the roller clamp and ensure the drip chamber vent of the vented IV set is also closed</w:t>
      </w:r>
    </w:p>
    <w:p w14:paraId="4DFD6DAE" w14:textId="77777777" w:rsidR="00E41E56" w:rsidRPr="00C80E61" w:rsidRDefault="00E41E56" w:rsidP="00E41E56">
      <w:pPr>
        <w:pStyle w:val="Bullet"/>
      </w:pPr>
      <w:r>
        <w:rPr>
          <w:rFonts w:asciiTheme="majorHAnsi" w:hAnsiTheme="majorHAnsi"/>
        </w:rPr>
        <w:t>For patient safety, administration using CHS approved infusion pump is suggested to set the infusion rate precisely</w:t>
      </w:r>
    </w:p>
    <w:p w14:paraId="0E65780B" w14:textId="1761F1D5" w:rsidR="00E41E56" w:rsidRDefault="00E41E56" w:rsidP="00E41E56">
      <w:pPr>
        <w:pStyle w:val="Bullet"/>
        <w:rPr>
          <w:rFonts w:asciiTheme="majorHAnsi" w:hAnsiTheme="majorHAnsi"/>
        </w:rPr>
      </w:pPr>
      <w:r>
        <w:rPr>
          <w:rFonts w:asciiTheme="majorHAnsi" w:hAnsiTheme="majorHAnsi"/>
        </w:rPr>
        <w:t xml:space="preserve">Infusion Rate: </w:t>
      </w:r>
      <w:r w:rsidR="005B5B6F">
        <w:rPr>
          <w:rFonts w:asciiTheme="majorHAnsi" w:hAnsiTheme="majorHAnsi"/>
        </w:rPr>
        <w:t>(r</w:t>
      </w:r>
      <w:r w:rsidRPr="005B5B6F">
        <w:rPr>
          <w:rFonts w:asciiTheme="majorHAnsi" w:hAnsiTheme="majorHAnsi"/>
        </w:rPr>
        <w:t>efer to Section 9: IVIg Infusion Rates</w:t>
      </w:r>
      <w:r w:rsidR="005B5B6F">
        <w:rPr>
          <w:rFonts w:asciiTheme="majorHAnsi" w:hAnsiTheme="majorHAnsi"/>
        </w:rPr>
        <w:t>)</w:t>
      </w:r>
      <w:r>
        <w:rPr>
          <w:rFonts w:asciiTheme="majorHAnsi" w:hAnsiTheme="majorHAnsi"/>
        </w:rPr>
        <w:t xml:space="preserve"> </w:t>
      </w:r>
    </w:p>
    <w:p w14:paraId="65BAEA94" w14:textId="77777777" w:rsidR="00E41E56" w:rsidRPr="00A57F9D" w:rsidRDefault="00E41E56" w:rsidP="00E41E56">
      <w:pPr>
        <w:pStyle w:val="Bullet"/>
        <w:numPr>
          <w:ilvl w:val="1"/>
          <w:numId w:val="1"/>
        </w:numPr>
      </w:pPr>
      <w:r w:rsidRPr="00A57F9D">
        <w:rPr>
          <w:rFonts w:asciiTheme="majorHAnsi" w:hAnsiTheme="majorHAnsi"/>
        </w:rPr>
        <w:t>Confirm per prescriber’s order under Batched blood products on the MAR in DHR (press F1 for Batched Blood tipsheet)</w:t>
      </w:r>
    </w:p>
    <w:p w14:paraId="4EC60C87" w14:textId="77777777" w:rsidR="00E41E56" w:rsidRPr="001E35A5" w:rsidRDefault="00E41E56" w:rsidP="00E41E56">
      <w:pPr>
        <w:pStyle w:val="Bullet"/>
        <w:numPr>
          <w:ilvl w:val="1"/>
          <w:numId w:val="1"/>
        </w:numPr>
        <w:rPr>
          <w:rFonts w:asciiTheme="majorHAnsi" w:hAnsiTheme="majorHAnsi"/>
        </w:rPr>
      </w:pPr>
      <w:r>
        <w:t xml:space="preserve">Confirm you have the </w:t>
      </w:r>
      <w:r w:rsidRPr="00835591">
        <w:t>correct IVIg product</w:t>
      </w:r>
      <w:r>
        <w:t xml:space="preserve">, </w:t>
      </w:r>
      <w:r w:rsidRPr="00835591">
        <w:t xml:space="preserve">concentration of </w:t>
      </w:r>
      <w:r>
        <w:t xml:space="preserve">that </w:t>
      </w:r>
      <w:r w:rsidRPr="00835591">
        <w:t>product</w:t>
      </w:r>
      <w:r>
        <w:t>, and c</w:t>
      </w:r>
      <w:r w:rsidRPr="001E35A5">
        <w:rPr>
          <w:rFonts w:asciiTheme="majorHAnsi" w:hAnsiTheme="majorHAnsi"/>
        </w:rPr>
        <w:t xml:space="preserve">orrect </w:t>
      </w:r>
      <w:r>
        <w:rPr>
          <w:rFonts w:asciiTheme="majorHAnsi" w:hAnsiTheme="majorHAnsi"/>
        </w:rPr>
        <w:t>d</w:t>
      </w:r>
      <w:r w:rsidRPr="001E35A5">
        <w:rPr>
          <w:rFonts w:asciiTheme="majorHAnsi" w:hAnsiTheme="majorHAnsi"/>
        </w:rPr>
        <w:t>osage</w:t>
      </w:r>
    </w:p>
    <w:p w14:paraId="1EDB6BF0" w14:textId="24FE532E" w:rsidR="00E41E56" w:rsidRPr="00024050" w:rsidRDefault="00E41E56" w:rsidP="00E41E56">
      <w:pPr>
        <w:pStyle w:val="Bullet"/>
        <w:numPr>
          <w:ilvl w:val="1"/>
          <w:numId w:val="1"/>
        </w:numPr>
        <w:rPr>
          <w:rFonts w:asciiTheme="majorHAnsi" w:hAnsiTheme="majorHAnsi"/>
        </w:rPr>
      </w:pPr>
      <w:r w:rsidRPr="002C3DD2">
        <w:rPr>
          <w:rFonts w:asciiTheme="majorHAnsi" w:hAnsiTheme="majorHAnsi"/>
        </w:rPr>
        <w:t xml:space="preserve">Patient and product identification checks must be documented in </w:t>
      </w:r>
      <w:r w:rsidR="00FC71DD" w:rsidRPr="002C3DD2">
        <w:rPr>
          <w:rFonts w:asciiTheme="majorHAnsi" w:hAnsiTheme="majorHAnsi"/>
        </w:rPr>
        <w:t>DHR,</w:t>
      </w:r>
      <w:r w:rsidRPr="002C3DD2">
        <w:rPr>
          <w:rFonts w:asciiTheme="majorHAnsi" w:hAnsiTheme="majorHAnsi"/>
        </w:rPr>
        <w:t xml:space="preserve"> and dual signoff is required</w:t>
      </w:r>
    </w:p>
    <w:p w14:paraId="62C8A84F" w14:textId="77777777" w:rsidR="00E41E56" w:rsidRPr="00A57F9D" w:rsidRDefault="00E41E56" w:rsidP="00E41E56">
      <w:pPr>
        <w:pStyle w:val="Bullet"/>
        <w:rPr>
          <w:rFonts w:asciiTheme="majorHAnsi" w:hAnsiTheme="majorHAnsi"/>
        </w:rPr>
      </w:pPr>
      <w:r>
        <w:t>Commence IVIg infusion starting with the smallest bottle first (if there are multiple bottles, use the Batched Blood Specific MAR action:</w:t>
      </w:r>
    </w:p>
    <w:p w14:paraId="46EDBB89" w14:textId="77777777" w:rsidR="00E41E56" w:rsidRPr="00A57F9D" w:rsidRDefault="00E41E56" w:rsidP="00E41E56">
      <w:pPr>
        <w:pStyle w:val="Bullet"/>
        <w:numPr>
          <w:ilvl w:val="1"/>
          <w:numId w:val="1"/>
        </w:numPr>
        <w:rPr>
          <w:rFonts w:asciiTheme="majorHAnsi" w:hAnsiTheme="majorHAnsi"/>
        </w:rPr>
      </w:pPr>
      <w:r>
        <w:t>First of Multiple Bags (Batched Blood)</w:t>
      </w:r>
    </w:p>
    <w:p w14:paraId="294052A2" w14:textId="77777777" w:rsidR="00E41E56" w:rsidRPr="00A57F9D" w:rsidRDefault="00E41E56" w:rsidP="00E41E56">
      <w:pPr>
        <w:pStyle w:val="Bullet"/>
      </w:pPr>
      <w:r>
        <w:t>Link the IVIg product to the appropriate line in situ</w:t>
      </w:r>
    </w:p>
    <w:p w14:paraId="23AEDEDB" w14:textId="77777777" w:rsidR="00E41E56" w:rsidRPr="00A57F9D" w:rsidRDefault="00E41E56" w:rsidP="00E41E56">
      <w:pPr>
        <w:pStyle w:val="Bullet"/>
      </w:pPr>
      <w:r>
        <w:t>Complete details in the MAR administration window</w:t>
      </w:r>
    </w:p>
    <w:p w14:paraId="06A82E69" w14:textId="77777777" w:rsidR="00E41E56" w:rsidRPr="00A57F9D" w:rsidRDefault="00E41E56" w:rsidP="00E41E56">
      <w:pPr>
        <w:pStyle w:val="Bullet"/>
        <w:numPr>
          <w:ilvl w:val="1"/>
          <w:numId w:val="1"/>
        </w:numPr>
      </w:pPr>
      <w:r>
        <w:t>Dose for first bottle</w:t>
      </w:r>
    </w:p>
    <w:p w14:paraId="7D09241E" w14:textId="77777777" w:rsidR="00E41E56" w:rsidRPr="00A57F9D" w:rsidRDefault="00E41E56" w:rsidP="00E41E56">
      <w:pPr>
        <w:pStyle w:val="Bullet"/>
        <w:numPr>
          <w:ilvl w:val="1"/>
          <w:numId w:val="1"/>
        </w:numPr>
      </w:pPr>
      <w:r>
        <w:t>Rate commenced at</w:t>
      </w:r>
    </w:p>
    <w:p w14:paraId="62BB9905" w14:textId="77777777" w:rsidR="00E41E56" w:rsidRPr="00A57F9D" w:rsidRDefault="00E41E56" w:rsidP="00E41E56">
      <w:pPr>
        <w:pStyle w:val="Bullet"/>
        <w:numPr>
          <w:ilvl w:val="1"/>
          <w:numId w:val="1"/>
        </w:numPr>
      </w:pPr>
      <w:r>
        <w:t>Batch number and expiry</w:t>
      </w:r>
    </w:p>
    <w:p w14:paraId="51EA340D" w14:textId="4BC9CFF8" w:rsidR="00E41E56" w:rsidRPr="00A57F9D" w:rsidRDefault="00E41E56" w:rsidP="00E41E56">
      <w:pPr>
        <w:pStyle w:val="Bullet"/>
        <w:numPr>
          <w:ilvl w:val="1"/>
          <w:numId w:val="1"/>
        </w:numPr>
      </w:pPr>
      <w:r w:rsidRPr="00A57F9D">
        <w:rPr>
          <w:rFonts w:asciiTheme="majorHAnsi" w:hAnsiTheme="majorHAnsi"/>
        </w:rPr>
        <w:t xml:space="preserve">Follow appropriate protocol. Please refer to </w:t>
      </w:r>
      <w:r w:rsidR="00D252F3" w:rsidRPr="00FC71DD">
        <w:t>Section 9 – IVIg Infusion Rates</w:t>
      </w:r>
    </w:p>
    <w:p w14:paraId="20DBAB65" w14:textId="77777777" w:rsidR="00E41E56" w:rsidRDefault="00E41E56" w:rsidP="00E41E56">
      <w:pPr>
        <w:pStyle w:val="Bullet"/>
        <w:rPr>
          <w:rFonts w:asciiTheme="majorHAnsi" w:hAnsiTheme="majorHAnsi"/>
        </w:rPr>
      </w:pPr>
      <w:r>
        <w:rPr>
          <w:rFonts w:asciiTheme="majorHAnsi" w:hAnsiTheme="majorHAnsi"/>
        </w:rPr>
        <w:t>Dual signoff is required before you can accept the administration</w:t>
      </w:r>
    </w:p>
    <w:p w14:paraId="3CCCFF58" w14:textId="172AEB78" w:rsidR="00E41E56" w:rsidRDefault="00E41E56" w:rsidP="00091091">
      <w:pPr>
        <w:pStyle w:val="Bullet"/>
        <w:rPr>
          <w:rFonts w:asciiTheme="majorHAnsi" w:hAnsiTheme="majorHAnsi"/>
        </w:rPr>
      </w:pPr>
      <w:r w:rsidRPr="00D252F3">
        <w:rPr>
          <w:rFonts w:asciiTheme="majorHAnsi" w:hAnsiTheme="majorHAnsi"/>
        </w:rPr>
        <w:t>Patient assessment and vital signs</w:t>
      </w:r>
      <w:r w:rsidR="00536B29">
        <w:rPr>
          <w:rFonts w:asciiTheme="majorHAnsi" w:hAnsiTheme="majorHAnsi"/>
        </w:rPr>
        <w:t xml:space="preserve"> see section 8 </w:t>
      </w:r>
    </w:p>
    <w:p w14:paraId="1F6C9CED" w14:textId="77777777" w:rsidR="00E41E56" w:rsidRDefault="00E41E56" w:rsidP="00E41E56">
      <w:pPr>
        <w:pStyle w:val="Bullet"/>
        <w:rPr>
          <w:rFonts w:asciiTheme="majorHAnsi" w:hAnsiTheme="majorHAnsi"/>
        </w:rPr>
      </w:pPr>
      <w:r>
        <w:rPr>
          <w:rFonts w:asciiTheme="majorHAnsi" w:hAnsiTheme="majorHAnsi"/>
        </w:rPr>
        <w:lastRenderedPageBreak/>
        <w:t>On completion of the first IVIg bottle, document the volume administered in the Fluid Balance flowsheet</w:t>
      </w:r>
    </w:p>
    <w:p w14:paraId="24CCEE4A" w14:textId="77777777" w:rsidR="00E41E56" w:rsidRPr="00922F8F" w:rsidRDefault="00E41E56" w:rsidP="00E41E56">
      <w:pPr>
        <w:pStyle w:val="Bullet"/>
        <w:rPr>
          <w:rFonts w:asciiTheme="majorHAnsi" w:hAnsiTheme="majorHAnsi"/>
        </w:rPr>
      </w:pPr>
      <w:r>
        <w:rPr>
          <w:rFonts w:asciiTheme="majorHAnsi" w:hAnsiTheme="majorHAnsi"/>
        </w:rPr>
        <w:t>Document administration of subsequent Batch Blood packages in the MAR</w:t>
      </w:r>
    </w:p>
    <w:p w14:paraId="64DE5D94" w14:textId="77777777" w:rsidR="00E41E56" w:rsidRPr="00922F8F" w:rsidRDefault="00E41E56" w:rsidP="00E41E56">
      <w:pPr>
        <w:pStyle w:val="Bullet"/>
      </w:pPr>
      <w:r w:rsidRPr="001E35A5">
        <w:rPr>
          <w:rFonts w:asciiTheme="majorHAnsi" w:hAnsiTheme="majorHAnsi"/>
        </w:rPr>
        <w:t>Document the rate changes in the MAR</w:t>
      </w:r>
      <w:r>
        <w:rPr>
          <w:rFonts w:asciiTheme="majorHAnsi" w:hAnsiTheme="majorHAnsi"/>
        </w:rPr>
        <w:t xml:space="preserve"> when you have multiple bottles</w:t>
      </w:r>
    </w:p>
    <w:p w14:paraId="6DC25277" w14:textId="151FFB04" w:rsidR="00146CAA" w:rsidRDefault="00E41E56" w:rsidP="00146CAA">
      <w:pPr>
        <w:pStyle w:val="Bullet"/>
      </w:pPr>
      <w:r>
        <w:rPr>
          <w:rFonts w:asciiTheme="majorHAnsi" w:hAnsiTheme="majorHAnsi"/>
        </w:rPr>
        <w:t>From the MAR administration window select “subsequent Bag (batched blood)”</w:t>
      </w:r>
    </w:p>
    <w:p w14:paraId="5CB8C76E" w14:textId="0D37F986" w:rsidR="00E41E56" w:rsidRPr="00C574C4" w:rsidRDefault="00146CAA" w:rsidP="00C574C4">
      <w:pPr>
        <w:pStyle w:val="BodyCopy"/>
        <w:pBdr>
          <w:top w:val="single" w:sz="4" w:space="1" w:color="auto"/>
          <w:left w:val="single" w:sz="4" w:space="4" w:color="auto"/>
          <w:bottom w:val="single" w:sz="4" w:space="1" w:color="auto"/>
          <w:right w:val="single" w:sz="4" w:space="4" w:color="auto"/>
        </w:pBdr>
        <w:shd w:val="clear" w:color="auto" w:fill="FFFFFF" w:themeFill="background1"/>
        <w:rPr>
          <w:b/>
          <w:bCs w:val="0"/>
        </w:rPr>
      </w:pPr>
      <w:r w:rsidRPr="005C5F49">
        <w:rPr>
          <w:rStyle w:val="Bold"/>
        </w:rPr>
        <w:t>Alert</w:t>
      </w:r>
      <w:r w:rsidR="00C574C4">
        <w:rPr>
          <w:rStyle w:val="Bold"/>
        </w:rPr>
        <w:t xml:space="preserve"> : </w:t>
      </w:r>
      <w:r>
        <w:t xml:space="preserve">When administering multiple IVIg bottles, please be aware that </w:t>
      </w:r>
      <w:r>
        <w:rPr>
          <w:b/>
        </w:rPr>
        <w:t>the dose is not for the entire dose, it is for each vial amount – not the prescribed dose</w:t>
      </w:r>
      <w:r>
        <w:t>. A pop</w:t>
      </w:r>
      <w:r w:rsidR="00D252F3">
        <w:t>-</w:t>
      </w:r>
      <w:r>
        <w:t xml:space="preserve">up window in the MAR will alert </w:t>
      </w:r>
      <w:r>
        <w:rPr>
          <w:i/>
        </w:rPr>
        <w:t>“Dose entered is less than dose ordered”</w:t>
      </w:r>
      <w:r>
        <w:t xml:space="preserve"> – please select </w:t>
      </w:r>
      <w:r>
        <w:rPr>
          <w:i/>
        </w:rPr>
        <w:t>“Partial package used”</w:t>
      </w:r>
      <w:r>
        <w:t xml:space="preserve"> as the override reason. Remember to enter the dose, rate, batch number and expiry. Dual signoff is required.</w:t>
      </w:r>
    </w:p>
    <w:p w14:paraId="37C7A140" w14:textId="77777777" w:rsidR="00E41E56" w:rsidRPr="00024050" w:rsidRDefault="00E41E56" w:rsidP="00E41E56">
      <w:pPr>
        <w:pStyle w:val="Bullet"/>
      </w:pPr>
      <w:r w:rsidRPr="00A57F9D">
        <w:rPr>
          <w:rFonts w:asciiTheme="majorHAnsi" w:hAnsiTheme="majorHAnsi"/>
        </w:rPr>
        <w:t>It is not necessary to flush between bottles/batches</w:t>
      </w:r>
    </w:p>
    <w:p w14:paraId="0081E95F" w14:textId="6A7597DC" w:rsidR="00E41E56" w:rsidRPr="00A57F9D" w:rsidRDefault="00E41E56" w:rsidP="00E41E56">
      <w:pPr>
        <w:pStyle w:val="Bullet"/>
        <w:rPr>
          <w:rFonts w:asciiTheme="majorHAnsi" w:hAnsiTheme="majorHAnsi"/>
        </w:rPr>
      </w:pPr>
      <w:r w:rsidRPr="00A57F9D">
        <w:rPr>
          <w:rFonts w:asciiTheme="majorHAnsi" w:hAnsiTheme="majorHAnsi"/>
        </w:rPr>
        <w:t xml:space="preserve">For the final bottle, select </w:t>
      </w:r>
      <w:r w:rsidR="00D252F3">
        <w:rPr>
          <w:rFonts w:asciiTheme="majorHAnsi" w:hAnsiTheme="majorHAnsi"/>
        </w:rPr>
        <w:t>‘</w:t>
      </w:r>
      <w:r w:rsidRPr="00A57F9D">
        <w:rPr>
          <w:rFonts w:asciiTheme="majorHAnsi" w:hAnsiTheme="majorHAnsi"/>
          <w:i/>
          <w:iCs/>
        </w:rPr>
        <w:t>Final Bag (Batched Blood)</w:t>
      </w:r>
      <w:r w:rsidR="00D252F3">
        <w:rPr>
          <w:rFonts w:asciiTheme="majorHAnsi" w:hAnsiTheme="majorHAnsi"/>
        </w:rPr>
        <w:t>’</w:t>
      </w:r>
      <w:r w:rsidRPr="00A57F9D">
        <w:rPr>
          <w:rFonts w:asciiTheme="majorHAnsi" w:hAnsiTheme="majorHAnsi"/>
        </w:rPr>
        <w:t xml:space="preserve"> in the Action window, remember to enter the dose, rate, batch number and expiry. Dual signoff is required</w:t>
      </w:r>
    </w:p>
    <w:p w14:paraId="12E2A22E" w14:textId="77777777" w:rsidR="00E41E56" w:rsidRDefault="00146CAA" w:rsidP="00146CAA">
      <w:pPr>
        <w:pStyle w:val="Heading6"/>
      </w:pPr>
      <w:r>
        <w:t>When the final bottle of infusion has finished</w:t>
      </w:r>
    </w:p>
    <w:p w14:paraId="1B7468D3" w14:textId="77777777" w:rsidR="00146CAA" w:rsidRDefault="00146CAA" w:rsidP="00146CAA">
      <w:pPr>
        <w:pStyle w:val="Bullet"/>
      </w:pPr>
      <w:r>
        <w:t>Flush with compatible solution (</w:t>
      </w:r>
      <w:r w:rsidRPr="006D1372">
        <w:t>refer to</w:t>
      </w:r>
      <w:r w:rsidRPr="00C80E61">
        <w:t xml:space="preserve"> product</w:t>
      </w:r>
      <w:r w:rsidRPr="006D1372">
        <w:t xml:space="preserve"> PI)</w:t>
      </w:r>
      <w:r>
        <w:t xml:space="preserve"> of 50mL to ensure the entire IVIg dose is received</w:t>
      </w:r>
    </w:p>
    <w:p w14:paraId="5BE628C6" w14:textId="77777777" w:rsidR="00146CAA" w:rsidRPr="00BB5D8F" w:rsidRDefault="00146CAA" w:rsidP="00146CAA">
      <w:pPr>
        <w:pStyle w:val="Bullet"/>
      </w:pPr>
      <w:r w:rsidRPr="00A71A53">
        <w:t>Document the completion time and total volume administered and rate of 0 in the Fluid Balance flowsheet</w:t>
      </w:r>
      <w:r>
        <w:t xml:space="preserve"> and</w:t>
      </w:r>
      <w:r w:rsidRPr="00A71A53">
        <w:t xml:space="preserve"> select a </w:t>
      </w:r>
      <w:r w:rsidRPr="00A71A53">
        <w:rPr>
          <w:b/>
          <w:bCs/>
        </w:rPr>
        <w:t>Stopped</w:t>
      </w:r>
      <w:r w:rsidRPr="00A71A53">
        <w:t xml:space="preserve"> </w:t>
      </w:r>
      <w:r>
        <w:t>action from the MAR</w:t>
      </w:r>
      <w:r w:rsidRPr="00A71A53">
        <w:t xml:space="preserve"> Administration window</w:t>
      </w:r>
    </w:p>
    <w:p w14:paraId="43DD9DF4" w14:textId="3429968B" w:rsidR="00B51862" w:rsidRPr="00FC71DD" w:rsidRDefault="00B51862" w:rsidP="00C574C4">
      <w:pPr>
        <w:pStyle w:val="BodyCopy"/>
        <w:pBdr>
          <w:top w:val="single" w:sz="4" w:space="1" w:color="auto"/>
          <w:left w:val="single" w:sz="4" w:space="4" w:color="auto"/>
          <w:bottom w:val="single" w:sz="4" w:space="1" w:color="auto"/>
          <w:right w:val="single" w:sz="4" w:space="4" w:color="auto"/>
        </w:pBdr>
        <w:rPr>
          <w:b/>
          <w:bCs w:val="0"/>
        </w:rPr>
      </w:pPr>
      <w:r w:rsidRPr="00FC71DD">
        <w:rPr>
          <w:b/>
          <w:bCs w:val="0"/>
        </w:rPr>
        <w:t>Alert:</w:t>
      </w:r>
      <w:r w:rsidR="00C574C4">
        <w:rPr>
          <w:b/>
          <w:bCs w:val="0"/>
        </w:rPr>
        <w:t xml:space="preserve"> </w:t>
      </w:r>
      <w:r w:rsidRPr="00FC71DD">
        <w:rPr>
          <w:b/>
          <w:bCs w:val="0"/>
        </w:rPr>
        <w:t xml:space="preserve">Do not increase the rate of infusion if observations are outside normal limits, or, if the patient displays adverse symptoms. </w:t>
      </w:r>
    </w:p>
    <w:p w14:paraId="5FAB374F" w14:textId="015C6AAA" w:rsidR="00B51862" w:rsidRDefault="00B51862" w:rsidP="00C574C4">
      <w:pPr>
        <w:pStyle w:val="BodyCopy"/>
        <w:pBdr>
          <w:top w:val="single" w:sz="4" w:space="1" w:color="auto"/>
          <w:left w:val="single" w:sz="4" w:space="4" w:color="auto"/>
          <w:bottom w:val="single" w:sz="4" w:space="1" w:color="auto"/>
          <w:right w:val="single" w:sz="4" w:space="4" w:color="auto"/>
        </w:pBdr>
      </w:pPr>
      <w:r>
        <w:t>If the patient experiences any new or increased symptoms during their infusion, more frequent monitoring should be undertaken</w:t>
      </w:r>
      <w:r w:rsidR="00C17417">
        <w:t xml:space="preserve"> and appropriate escalation</w:t>
      </w:r>
      <w:r w:rsidR="00754815">
        <w:t xml:space="preserve"> for review</w:t>
      </w:r>
      <w:r w:rsidR="00C17417">
        <w:t xml:space="preserve"> as required</w:t>
      </w:r>
      <w:r>
        <w:t>.</w:t>
      </w:r>
    </w:p>
    <w:p w14:paraId="187251AA" w14:textId="2D02CE25" w:rsidR="00146CAA" w:rsidRDefault="00146CAA" w:rsidP="00146CAA">
      <w:pPr>
        <w:pStyle w:val="BodyCopy"/>
      </w:pPr>
      <w:r>
        <w:t>Return any IVIg (intact bottles) not infused to the ACT Pathology Transfusion laboratory. Discard empty IVIg bottles and tubing in the biohazardous waste bins.</w:t>
      </w:r>
    </w:p>
    <w:p w14:paraId="74B3B7FA" w14:textId="77777777" w:rsidR="00146CAA" w:rsidRDefault="00146CAA" w:rsidP="00146CAA">
      <w:pPr>
        <w:pStyle w:val="BodyCopy"/>
      </w:pPr>
      <w:r>
        <w:t>For IVIg infused in an outpatient setting:</w:t>
      </w:r>
    </w:p>
    <w:p w14:paraId="2DA5F9A1" w14:textId="77777777" w:rsidR="00146CAA" w:rsidRDefault="00146CAA" w:rsidP="00146CAA">
      <w:pPr>
        <w:pStyle w:val="Bullet"/>
      </w:pPr>
      <w:r>
        <w:t>Monitor patient for 30 minutes post infusion for potential side effects</w:t>
      </w:r>
    </w:p>
    <w:p w14:paraId="1A374D4C" w14:textId="367FAB2A" w:rsidR="00146CAA" w:rsidRPr="00146CAA" w:rsidRDefault="00146CAA" w:rsidP="00841891">
      <w:pPr>
        <w:pStyle w:val="Bullet"/>
      </w:pPr>
      <w:r>
        <w:t>At discharge</w:t>
      </w:r>
      <w:r w:rsidR="00B9133D">
        <w:t xml:space="preserve"> out of facility</w:t>
      </w:r>
      <w:r>
        <w:t xml:space="preserve">, provide </w:t>
      </w:r>
      <w:r w:rsidR="00B9133D">
        <w:t xml:space="preserve">patient </w:t>
      </w:r>
      <w:r>
        <w:t>instructions on maintaining adequate hydration</w:t>
      </w:r>
      <w:r w:rsidR="00B9133D">
        <w:t xml:space="preserve"> and</w:t>
      </w:r>
      <w:r w:rsidR="00BE1EDE">
        <w:t xml:space="preserve"> s</w:t>
      </w:r>
      <w:r>
        <w:t>pecify contact information for follow up if any patient concerns or symptoms arise post discharge</w:t>
      </w:r>
      <w:r w:rsidR="00B2488C">
        <w:t>,</w:t>
      </w:r>
      <w:r w:rsidR="00B2488C" w:rsidRPr="00B2488C">
        <w:t xml:space="preserve"> some symptoms may occur up to 72 hours post infusion</w:t>
      </w:r>
      <w:r w:rsidR="00841891">
        <w:t>.</w:t>
      </w:r>
    </w:p>
    <w:p w14:paraId="569D1122" w14:textId="77777777" w:rsidR="00FF3B71" w:rsidRDefault="0028383D" w:rsidP="00FF3B71">
      <w:pPr>
        <w:pStyle w:val="BodyCopy"/>
      </w:pPr>
      <w:hyperlink w:anchor="_top" w:history="1">
        <w:r w:rsidR="00FF3B71" w:rsidRPr="00481A6C">
          <w:rPr>
            <w:rStyle w:val="Hyperlink"/>
            <w:iCs w:val="0"/>
          </w:rPr>
          <w:t>Back to Contents</w:t>
        </w:r>
      </w:hyperlink>
    </w:p>
    <w:p w14:paraId="62A72BDA" w14:textId="77777777" w:rsidR="00FF3B71" w:rsidRDefault="00FF3B71" w:rsidP="00FF3B71">
      <w:pPr>
        <w:pStyle w:val="Heading4"/>
      </w:pPr>
      <w:bookmarkStart w:id="13" w:name="_Toc184739595"/>
      <w:r w:rsidRPr="0078367D">
        <w:t xml:space="preserve">Section </w:t>
      </w:r>
      <w:r w:rsidR="00146CAA">
        <w:t>8</w:t>
      </w:r>
      <w:r w:rsidRPr="0078367D">
        <w:t xml:space="preserve"> </w:t>
      </w:r>
      <w:r w:rsidR="00092236">
        <w:t>–</w:t>
      </w:r>
      <w:r w:rsidRPr="0078367D">
        <w:t xml:space="preserve"> </w:t>
      </w:r>
      <w:r w:rsidR="00092236">
        <w:t>IVIg Patient Monitoring and Adverse Reaction Management</w:t>
      </w:r>
      <w:bookmarkEnd w:id="13"/>
    </w:p>
    <w:p w14:paraId="7B7B19DE" w14:textId="2D1D9631" w:rsidR="001F1218" w:rsidRDefault="00092236" w:rsidP="00092236">
      <w:pPr>
        <w:pStyle w:val="BodyCopy"/>
      </w:pPr>
      <w:r>
        <w:t xml:space="preserve">Any patient receiving </w:t>
      </w:r>
      <w:r w:rsidR="006D7801">
        <w:t xml:space="preserve">IVIg </w:t>
      </w:r>
      <w:r>
        <w:t xml:space="preserve">within CHS will require close observation and should be regularly monitored throughout the infusion. Observations must be recorded in the patient’s clinical record. Refer to </w:t>
      </w:r>
      <w:r w:rsidR="006D7801">
        <w:t>the</w:t>
      </w:r>
      <w:r w:rsidR="006D7801" w:rsidRPr="00FC71DD">
        <w:t xml:space="preserve"> </w:t>
      </w:r>
      <w:r w:rsidR="006D7801" w:rsidRPr="00FC71DD">
        <w:rPr>
          <w:i/>
          <w:iCs w:val="0"/>
        </w:rPr>
        <w:t>Vital Signs &amp; Early Warning Scores – The Canberra Hospital</w:t>
      </w:r>
      <w:r w:rsidR="006D7801">
        <w:t xml:space="preserve">, </w:t>
      </w:r>
      <w:r w:rsidR="006D7801" w:rsidRPr="00FC71DD">
        <w:rPr>
          <w:i/>
          <w:iCs w:val="0"/>
        </w:rPr>
        <w:t xml:space="preserve">Vital Signs </w:t>
      </w:r>
      <w:r w:rsidR="006D7801" w:rsidRPr="00FC71DD">
        <w:rPr>
          <w:i/>
          <w:iCs w:val="0"/>
        </w:rPr>
        <w:lastRenderedPageBreak/>
        <w:t>&amp; Early Warning Scores -North Canberra Hospital (NCH)</w:t>
      </w:r>
      <w:r w:rsidR="006D7801">
        <w:t xml:space="preserve"> and the </w:t>
      </w:r>
      <w:r w:rsidR="006D7801" w:rsidRPr="00FC71DD">
        <w:rPr>
          <w:i/>
          <w:iCs w:val="0"/>
        </w:rPr>
        <w:t xml:space="preserve">University of Canberra </w:t>
      </w:r>
      <w:r w:rsidR="006D7801">
        <w:rPr>
          <w:i/>
          <w:iCs w:val="0"/>
        </w:rPr>
        <w:t xml:space="preserve">(UCH) </w:t>
      </w:r>
      <w:r w:rsidR="006D7801" w:rsidRPr="00FC71DD">
        <w:rPr>
          <w:i/>
          <w:iCs w:val="0"/>
        </w:rPr>
        <w:t xml:space="preserve">Vital Signs &amp; Early Warning Scores </w:t>
      </w:r>
      <w:r w:rsidR="006D7801">
        <w:t>procedures (all available on the Policy and Guidance Document Register).</w:t>
      </w:r>
    </w:p>
    <w:p w14:paraId="341E1EDF" w14:textId="02689AE4" w:rsidR="00092236" w:rsidRDefault="001F1218" w:rsidP="00FC71DD">
      <w:pPr>
        <w:pStyle w:val="BodyCopy"/>
      </w:pPr>
      <w:r>
        <w:t>Observations should</w:t>
      </w:r>
      <w:r w:rsidR="00120AA6">
        <w:t xml:space="preserve"> be recorded as a ‘full’ complete set of vital signs in the Electronic Observation Chart - Patientrack, that consists of </w:t>
      </w:r>
      <w:r>
        <w:t xml:space="preserve">temperature, </w:t>
      </w:r>
      <w:r w:rsidR="00120AA6">
        <w:t>heart rate</w:t>
      </w:r>
      <w:r>
        <w:t>, respiratory rate, oxygen saturation</w:t>
      </w:r>
      <w:r w:rsidR="00120AA6">
        <w:t>,</w:t>
      </w:r>
      <w:r>
        <w:t xml:space="preserve"> blood pressure</w:t>
      </w:r>
      <w:r w:rsidR="00120AA6">
        <w:t>,</w:t>
      </w:r>
      <w:r>
        <w:t xml:space="preserve"> </w:t>
      </w:r>
      <w:r w:rsidR="00120AA6">
        <w:t xml:space="preserve">and sedation </w:t>
      </w:r>
      <w:r>
        <w:t>level</w:t>
      </w:r>
      <w:r w:rsidR="00C574C4">
        <w:t>. Patientrack</w:t>
      </w:r>
      <w:r w:rsidR="00120AA6">
        <w:t xml:space="preserve"> calculate</w:t>
      </w:r>
      <w:r w:rsidR="003A112E">
        <w:t>s</w:t>
      </w:r>
      <w:r w:rsidR="00120AA6">
        <w:t xml:space="preserve"> the</w:t>
      </w:r>
      <w:r>
        <w:t xml:space="preserve"> </w:t>
      </w:r>
      <w:r w:rsidR="00B7185D">
        <w:t>Modified Early Warning Score (</w:t>
      </w:r>
      <w:r>
        <w:t>MEWS</w:t>
      </w:r>
      <w:r w:rsidR="00B7185D">
        <w:t>)</w:t>
      </w:r>
      <w:r>
        <w:t>/</w:t>
      </w:r>
      <w:r w:rsidR="00B7185D">
        <w:t>Paediatric Early Warning Score (</w:t>
      </w:r>
      <w:r>
        <w:t>PEWS</w:t>
      </w:r>
      <w:r w:rsidR="00B7185D">
        <w:t>)</w:t>
      </w:r>
      <w:r w:rsidR="003A112E">
        <w:t xml:space="preserve"> score from the full set of vital signs </w:t>
      </w:r>
      <w:r w:rsidR="00C574C4">
        <w:t>recorded</w:t>
      </w:r>
      <w:r w:rsidR="003A112E">
        <w:t xml:space="preserve"> the nurse should also document their </w:t>
      </w:r>
      <w:r w:rsidR="00B7185D">
        <w:t>observation</w:t>
      </w:r>
      <w:r w:rsidR="003A112E">
        <w:t>s</w:t>
      </w:r>
      <w:r>
        <w:t xml:space="preserve"> of the </w:t>
      </w:r>
      <w:r w:rsidR="00B7185D">
        <w:t>cannulation</w:t>
      </w:r>
      <w:r>
        <w:t xml:space="preserve"> site</w:t>
      </w:r>
      <w:r w:rsidR="00092236">
        <w:t>.</w:t>
      </w:r>
    </w:p>
    <w:p w14:paraId="43D10542" w14:textId="5BEB13B7" w:rsidR="00092236" w:rsidRDefault="00E85F38" w:rsidP="00092236">
      <w:pPr>
        <w:pStyle w:val="Heading5"/>
      </w:pPr>
      <w:r>
        <w:t xml:space="preserve">Vital </w:t>
      </w:r>
      <w:r w:rsidR="002B2E44">
        <w:t>S</w:t>
      </w:r>
      <w:r>
        <w:t xml:space="preserve">igns and </w:t>
      </w:r>
      <w:r w:rsidR="00092236">
        <w:t>Observation Frequency</w:t>
      </w:r>
      <w:r w:rsidR="004F542C">
        <w:t xml:space="preserve"> </w:t>
      </w:r>
    </w:p>
    <w:p w14:paraId="44C38513" w14:textId="77777777" w:rsidR="00092236" w:rsidRDefault="00092236" w:rsidP="00092236">
      <w:pPr>
        <w:pStyle w:val="Bullet"/>
      </w:pPr>
      <w:r>
        <w:t>Within 30 minutes prior to the start of the infusion</w:t>
      </w:r>
    </w:p>
    <w:p w14:paraId="1BD50A6A" w14:textId="77777777" w:rsidR="00092236" w:rsidRDefault="00092236" w:rsidP="00092236">
      <w:pPr>
        <w:pStyle w:val="Bullet"/>
      </w:pPr>
      <w:r>
        <w:t>15 minutes after the start of the infusion</w:t>
      </w:r>
    </w:p>
    <w:p w14:paraId="56FD362F" w14:textId="77777777" w:rsidR="00092236" w:rsidRDefault="00092236" w:rsidP="00092236">
      <w:pPr>
        <w:pStyle w:val="Bullet"/>
      </w:pPr>
      <w:r>
        <w:t>After each rate increase, then hourly until the infusion is completed</w:t>
      </w:r>
    </w:p>
    <w:p w14:paraId="4B149352" w14:textId="77777777" w:rsidR="00092236" w:rsidRDefault="00092236" w:rsidP="00092236">
      <w:pPr>
        <w:pStyle w:val="Bullet"/>
      </w:pPr>
      <w:r>
        <w:t>On completion of the infusion</w:t>
      </w:r>
    </w:p>
    <w:p w14:paraId="6F64A05B" w14:textId="77777777" w:rsidR="00092236" w:rsidRDefault="00092236" w:rsidP="00092236">
      <w:pPr>
        <w:pStyle w:val="Bullet"/>
      </w:pPr>
      <w:r>
        <w:t>For inpatients, 1 hour following completion of the infusion</w:t>
      </w:r>
    </w:p>
    <w:p w14:paraId="0268AEA9" w14:textId="77777777" w:rsidR="00092236" w:rsidRDefault="00092236" w:rsidP="00092236">
      <w:pPr>
        <w:pStyle w:val="Bullet"/>
      </w:pPr>
      <w:r>
        <w:t>For outpatients, prior to discharge</w:t>
      </w:r>
    </w:p>
    <w:p w14:paraId="05013695" w14:textId="215AEF65" w:rsidR="00092236" w:rsidRDefault="00092236" w:rsidP="00092236">
      <w:pPr>
        <w:pStyle w:val="Bullet"/>
      </w:pPr>
      <w:r>
        <w:t>If clinically indicated, or when a reaction is suspected</w:t>
      </w:r>
    </w:p>
    <w:p w14:paraId="1189A76F" w14:textId="77777777" w:rsidR="00CE2390" w:rsidRDefault="002B2E44" w:rsidP="00CE2390">
      <w:pPr>
        <w:pStyle w:val="Bullet"/>
      </w:pPr>
      <w:r>
        <w:t xml:space="preserve">All vital signs are to </w:t>
      </w:r>
      <w:r w:rsidR="00BE1EDE">
        <w:t>be obtained</w:t>
      </w:r>
      <w:r>
        <w:t xml:space="preserve"> and monitored</w:t>
      </w:r>
      <w:r w:rsidR="00A75732">
        <w:t xml:space="preserve"> in clinical record,</w:t>
      </w:r>
      <w:r>
        <w:t xml:space="preserve"> as per Vital sign policy for MEWs to be </w:t>
      </w:r>
      <w:r w:rsidR="00A75732">
        <w:t xml:space="preserve">calculated at all recordings to assist with </w:t>
      </w:r>
      <w:r w:rsidR="00270E17">
        <w:t xml:space="preserve">timely recognition and </w:t>
      </w:r>
      <w:r w:rsidR="00A75732">
        <w:t>escalation as required</w:t>
      </w:r>
    </w:p>
    <w:p w14:paraId="69BE00E5" w14:textId="74E77AE8" w:rsidR="00CE2390" w:rsidRDefault="00CE2390" w:rsidP="002B1660">
      <w:pPr>
        <w:pStyle w:val="Bullet"/>
      </w:pPr>
      <w:r>
        <w:t xml:space="preserve">Consider calling a Code Blue if the total MEWS ≥4, as per MEWS Escalation. Refer to the </w:t>
      </w:r>
      <w:r w:rsidRPr="00FC71DD">
        <w:rPr>
          <w:i/>
        </w:rPr>
        <w:t>Vital Signs &amp; Early Warning Scores – The Canberra Hospital</w:t>
      </w:r>
      <w:r>
        <w:t xml:space="preserve">, </w:t>
      </w:r>
      <w:r w:rsidRPr="00FC71DD">
        <w:rPr>
          <w:i/>
        </w:rPr>
        <w:t>Vital Signs &amp; Early Warning Scores -North Canberra Hospital (NCH)</w:t>
      </w:r>
      <w:r>
        <w:t xml:space="preserve"> and the </w:t>
      </w:r>
      <w:r w:rsidRPr="00FC71DD">
        <w:rPr>
          <w:i/>
        </w:rPr>
        <w:t xml:space="preserve">University of Canberra </w:t>
      </w:r>
      <w:r>
        <w:rPr>
          <w:i/>
        </w:rPr>
        <w:t xml:space="preserve">(UCH) </w:t>
      </w:r>
      <w:r w:rsidRPr="00FC71DD">
        <w:rPr>
          <w:i/>
        </w:rPr>
        <w:t xml:space="preserve">Vital Signs &amp; Early Warning Scores </w:t>
      </w:r>
      <w:r>
        <w:t>procedures.</w:t>
      </w:r>
    </w:p>
    <w:p w14:paraId="1A97938D" w14:textId="77777777" w:rsidR="00092236" w:rsidRDefault="00092236" w:rsidP="00092236">
      <w:pPr>
        <w:pStyle w:val="Heading5"/>
      </w:pPr>
      <w:r>
        <w:t>Adverse Reaction Management</w:t>
      </w:r>
    </w:p>
    <w:p w14:paraId="44045324" w14:textId="598B613B" w:rsidR="00092236" w:rsidRPr="00F745F0" w:rsidRDefault="00092236" w:rsidP="00092236">
      <w:pPr>
        <w:pStyle w:val="BodyCopy"/>
      </w:pPr>
      <w:r>
        <w:t>Adverse reactions can be attributed to the rate of infusion and will often resolve with stopping or slowing the infusion rate. A medical review</w:t>
      </w:r>
      <w:r w:rsidR="00697FAD">
        <w:t xml:space="preserve"> </w:t>
      </w:r>
      <w:r w:rsidR="00BE1EDE">
        <w:t>at</w:t>
      </w:r>
      <w:r w:rsidR="00697FAD">
        <w:t xml:space="preserve"> the patient bedside</w:t>
      </w:r>
      <w:r>
        <w:t xml:space="preserve"> is required before re-starting the infusion to rule out other pathologies.</w:t>
      </w:r>
    </w:p>
    <w:p w14:paraId="74D31C74" w14:textId="57AE6163" w:rsidR="00B7185D" w:rsidRPr="002B1660" w:rsidRDefault="00B7185D" w:rsidP="002B1660">
      <w:pPr>
        <w:pStyle w:val="BodyCopy"/>
        <w:pBdr>
          <w:top w:val="single" w:sz="4" w:space="1" w:color="auto"/>
          <w:left w:val="single" w:sz="4" w:space="4" w:color="auto"/>
          <w:bottom w:val="single" w:sz="4" w:space="1" w:color="auto"/>
          <w:right w:val="single" w:sz="4" w:space="4" w:color="auto"/>
        </w:pBdr>
        <w:rPr>
          <w:b/>
          <w:bCs w:val="0"/>
        </w:rPr>
      </w:pPr>
      <w:r w:rsidRPr="00FC71DD">
        <w:rPr>
          <w:b/>
          <w:bCs w:val="0"/>
        </w:rPr>
        <w:t>Alert:</w:t>
      </w:r>
      <w:r w:rsidR="002B1660">
        <w:rPr>
          <w:b/>
          <w:bCs w:val="0"/>
        </w:rPr>
        <w:t xml:space="preserve"> </w:t>
      </w:r>
      <w:r>
        <w:t>Adverse reactions may be caused by high infusion rates and can be minimised by slowing down the infusion rate or temporarily interrupting the infusion.</w:t>
      </w:r>
      <w:r w:rsidR="00BE1EDE">
        <w:t xml:space="preserve"> </w:t>
      </w:r>
      <w:r>
        <w:t>These events usually occur during the first hour of infusion. Sometimes a premedication may be ordered</w:t>
      </w:r>
      <w:r w:rsidR="00B2488C">
        <w:t xml:space="preserve"> and administered</w:t>
      </w:r>
      <w:r>
        <w:t xml:space="preserve"> prior to the commencement of the infusion.</w:t>
      </w:r>
    </w:p>
    <w:p w14:paraId="5CFE8AB7" w14:textId="71C6BA90" w:rsidR="009471B3" w:rsidRDefault="009471B3" w:rsidP="002B1660">
      <w:pPr>
        <w:pStyle w:val="BodyCopy"/>
        <w:pBdr>
          <w:top w:val="single" w:sz="4" w:space="1" w:color="auto"/>
          <w:left w:val="single" w:sz="4" w:space="4" w:color="auto"/>
          <w:bottom w:val="single" w:sz="4" w:space="1" w:color="auto"/>
          <w:right w:val="single" w:sz="4" w:space="4" w:color="auto"/>
        </w:pBdr>
      </w:pPr>
      <w:r>
        <w:t>Consider capping future IVIg infusions at tolerated rate.</w:t>
      </w:r>
    </w:p>
    <w:p w14:paraId="3B7601BB" w14:textId="64F01C35" w:rsidR="002B1660" w:rsidRDefault="00092236" w:rsidP="00092236">
      <w:pPr>
        <w:pStyle w:val="BodyCopy"/>
      </w:pPr>
      <w:r w:rsidRPr="00092236">
        <w:t xml:space="preserve">Side effects are not uncommon, some symptoms may occur up to 72 hours post infusion. Advise the patient to report any of the </w:t>
      </w:r>
      <w:r w:rsidR="00132299">
        <w:t>symptoms listed in Table 1.</w:t>
      </w:r>
    </w:p>
    <w:p w14:paraId="27363085" w14:textId="276DCFB0" w:rsidR="00092236" w:rsidRPr="00412388" w:rsidRDefault="002B1660" w:rsidP="00412388">
      <w:pPr>
        <w:spacing w:before="0" w:after="0" w:line="240" w:lineRule="auto"/>
        <w:rPr>
          <w:rFonts w:eastAsia="Times New Roman"/>
          <w:bCs/>
          <w:iCs/>
        </w:rPr>
      </w:pPr>
      <w:r>
        <w:br w:type="page"/>
      </w:r>
    </w:p>
    <w:p w14:paraId="5A0FA72E" w14:textId="1D08BE70" w:rsidR="00C027A9" w:rsidRDefault="00132299" w:rsidP="00C027A9">
      <w:pPr>
        <w:pStyle w:val="Tabletitle-numbered"/>
      </w:pPr>
      <w:r>
        <w:lastRenderedPageBreak/>
        <w:t>Adverse reaction management</w:t>
      </w:r>
    </w:p>
    <w:tbl>
      <w:tblPr>
        <w:tblW w:w="514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3433"/>
        <w:gridCol w:w="3821"/>
      </w:tblGrid>
      <w:tr w:rsidR="00C027A9" w:rsidRPr="002F391E" w14:paraId="63A5D389" w14:textId="77777777" w:rsidTr="00412388">
        <w:trPr>
          <w:trHeight w:val="1119"/>
          <w:tblHeader/>
        </w:trPr>
        <w:tc>
          <w:tcPr>
            <w:tcW w:w="1446" w:type="pct"/>
            <w:tcBorders>
              <w:bottom w:val="single" w:sz="4" w:space="0" w:color="auto"/>
            </w:tcBorders>
          </w:tcPr>
          <w:p w14:paraId="7768D63A" w14:textId="77777777" w:rsidR="00C027A9" w:rsidRPr="00092236" w:rsidRDefault="00C027A9" w:rsidP="00694990">
            <w:pPr>
              <w:jc w:val="center"/>
              <w:rPr>
                <w:rStyle w:val="Bold"/>
              </w:rPr>
            </w:pPr>
            <w:r w:rsidRPr="00092236">
              <w:rPr>
                <w:rStyle w:val="Bold"/>
              </w:rPr>
              <w:t>Symptoms</w:t>
            </w:r>
          </w:p>
        </w:tc>
        <w:tc>
          <w:tcPr>
            <w:tcW w:w="1682" w:type="pct"/>
            <w:tcBorders>
              <w:bottom w:val="single" w:sz="4" w:space="0" w:color="auto"/>
            </w:tcBorders>
          </w:tcPr>
          <w:p w14:paraId="0BEF5A25" w14:textId="77777777" w:rsidR="00C027A9" w:rsidRPr="00092236" w:rsidRDefault="00C027A9" w:rsidP="00694990">
            <w:pPr>
              <w:jc w:val="center"/>
              <w:rPr>
                <w:rStyle w:val="Bold"/>
              </w:rPr>
            </w:pPr>
            <w:r w:rsidRPr="00092236">
              <w:rPr>
                <w:rStyle w:val="Bold"/>
              </w:rPr>
              <w:t>Intervention</w:t>
            </w:r>
          </w:p>
        </w:tc>
        <w:tc>
          <w:tcPr>
            <w:tcW w:w="1872" w:type="pct"/>
          </w:tcPr>
          <w:p w14:paraId="786206A5" w14:textId="0351167F" w:rsidR="00C027A9" w:rsidRPr="00092236" w:rsidRDefault="00C027A9" w:rsidP="00694990">
            <w:pPr>
              <w:jc w:val="center"/>
              <w:rPr>
                <w:rStyle w:val="Bold"/>
              </w:rPr>
            </w:pPr>
            <w:r w:rsidRPr="00092236">
              <w:rPr>
                <w:rStyle w:val="Bold"/>
              </w:rPr>
              <w:t>Report</w:t>
            </w:r>
            <w:r>
              <w:rPr>
                <w:rStyle w:val="Bold"/>
              </w:rPr>
              <w:t xml:space="preserve"> all potential or delayed adverse events (including mild events)</w:t>
            </w:r>
          </w:p>
        </w:tc>
      </w:tr>
      <w:tr w:rsidR="00C027A9" w:rsidRPr="002F391E" w14:paraId="233BAC77" w14:textId="77777777" w:rsidTr="00412388">
        <w:tc>
          <w:tcPr>
            <w:tcW w:w="3128" w:type="pct"/>
            <w:gridSpan w:val="2"/>
            <w:shd w:val="pct10" w:color="auto" w:fill="auto"/>
          </w:tcPr>
          <w:p w14:paraId="6BB128AD" w14:textId="247BD758" w:rsidR="00C027A9" w:rsidRPr="002F391E" w:rsidRDefault="00C027A9" w:rsidP="00694990">
            <w:pPr>
              <w:pStyle w:val="BodyCopy"/>
            </w:pPr>
            <w:r w:rsidRPr="002F391E">
              <w:t>Mild</w:t>
            </w:r>
            <w:r>
              <w:t xml:space="preserve"> to moderate</w:t>
            </w:r>
          </w:p>
        </w:tc>
        <w:tc>
          <w:tcPr>
            <w:tcW w:w="1872" w:type="pct"/>
            <w:vMerge w:val="restart"/>
          </w:tcPr>
          <w:p w14:paraId="22E28D81" w14:textId="77777777" w:rsidR="002B1660" w:rsidRDefault="002B1660" w:rsidP="002B1660">
            <w:pPr>
              <w:pStyle w:val="Bullet"/>
              <w:numPr>
                <w:ilvl w:val="0"/>
                <w:numId w:val="0"/>
              </w:numPr>
              <w:ind w:left="360"/>
              <w:rPr>
                <w:rStyle w:val="Bold"/>
                <w:b w:val="0"/>
                <w:bCs w:val="0"/>
              </w:rPr>
            </w:pPr>
          </w:p>
          <w:p w14:paraId="6D4C84B6" w14:textId="5B041664" w:rsidR="00C027A9" w:rsidRPr="00F139DA" w:rsidRDefault="00C027A9" w:rsidP="00F139DA">
            <w:pPr>
              <w:pStyle w:val="Bullet"/>
              <w:rPr>
                <w:rStyle w:val="Bold"/>
                <w:b w:val="0"/>
                <w:bCs w:val="0"/>
              </w:rPr>
            </w:pPr>
            <w:r w:rsidRPr="00F139DA">
              <w:rPr>
                <w:rStyle w:val="Bold"/>
                <w:b w:val="0"/>
                <w:bCs w:val="0"/>
              </w:rPr>
              <w:t>Document in the patient</w:t>
            </w:r>
            <w:r w:rsidR="00F139DA">
              <w:rPr>
                <w:rStyle w:val="Bold"/>
                <w:b w:val="0"/>
                <w:bCs w:val="0"/>
              </w:rPr>
              <w:t>’</w:t>
            </w:r>
            <w:r w:rsidRPr="00F139DA">
              <w:rPr>
                <w:rStyle w:val="Bold"/>
                <w:b w:val="0"/>
                <w:bCs w:val="0"/>
              </w:rPr>
              <w:t>s clinical records</w:t>
            </w:r>
          </w:p>
          <w:p w14:paraId="2B8C1D2D" w14:textId="77777777" w:rsidR="00C027A9" w:rsidRPr="00D7771C" w:rsidRDefault="00C027A9" w:rsidP="00694990">
            <w:pPr>
              <w:pStyle w:val="Bullet"/>
              <w:numPr>
                <w:ilvl w:val="0"/>
                <w:numId w:val="0"/>
              </w:numPr>
              <w:ind w:left="360"/>
              <w:rPr>
                <w:rStyle w:val="Bold"/>
                <w:b w:val="0"/>
                <w:bCs w:val="0"/>
              </w:rPr>
            </w:pPr>
          </w:p>
          <w:p w14:paraId="3947FFEB" w14:textId="3CFE4289" w:rsidR="00C027A9" w:rsidRPr="00D7771C" w:rsidRDefault="00C027A9" w:rsidP="00694990">
            <w:pPr>
              <w:pStyle w:val="Bullet"/>
              <w:rPr>
                <w:rStyle w:val="Bold"/>
                <w:b w:val="0"/>
                <w:bCs w:val="0"/>
              </w:rPr>
            </w:pPr>
            <w:r w:rsidRPr="00D7771C">
              <w:rPr>
                <w:rStyle w:val="Bold"/>
                <w:b w:val="0"/>
                <w:bCs w:val="0"/>
              </w:rPr>
              <w:t xml:space="preserve">Report </w:t>
            </w:r>
            <w:r w:rsidRPr="002B1660">
              <w:rPr>
                <w:rStyle w:val="Bold"/>
                <w:b w:val="0"/>
                <w:bCs w:val="0"/>
              </w:rPr>
              <w:t xml:space="preserve">any adverse effects </w:t>
            </w:r>
            <w:r w:rsidRPr="00D7771C">
              <w:rPr>
                <w:rStyle w:val="Bold"/>
                <w:b w:val="0"/>
                <w:bCs w:val="0"/>
              </w:rPr>
              <w:t>in the clinical incident reporting system (RiskMan)</w:t>
            </w:r>
            <w:r w:rsidR="00CA4238">
              <w:rPr>
                <w:rStyle w:val="Bold"/>
                <w:b w:val="0"/>
                <w:bCs w:val="0"/>
              </w:rPr>
              <w:t xml:space="preserve">. </w:t>
            </w:r>
            <w:r w:rsidR="00CA4238" w:rsidRPr="00694990">
              <w:rPr>
                <w:rStyle w:val="Bold"/>
                <w:b w:val="0"/>
                <w:bCs w:val="0"/>
              </w:rPr>
              <w:t>Adverse events and near misses are discussed at the Blood Management Committee</w:t>
            </w:r>
            <w:r w:rsidR="00CA4238">
              <w:rPr>
                <w:rStyle w:val="Bold"/>
                <w:b w:val="0"/>
                <w:bCs w:val="0"/>
              </w:rPr>
              <w:t>.</w:t>
            </w:r>
            <w:r>
              <w:rPr>
                <w:rStyle w:val="Bold"/>
                <w:b w:val="0"/>
                <w:bCs w:val="0"/>
              </w:rPr>
              <w:t xml:space="preserve"> </w:t>
            </w:r>
          </w:p>
          <w:p w14:paraId="1A31B988" w14:textId="77777777" w:rsidR="00C027A9" w:rsidRPr="00D7771C" w:rsidRDefault="00C027A9" w:rsidP="00694990">
            <w:pPr>
              <w:pStyle w:val="Bullet"/>
              <w:numPr>
                <w:ilvl w:val="0"/>
                <w:numId w:val="0"/>
              </w:numPr>
              <w:rPr>
                <w:rStyle w:val="Bold"/>
                <w:b w:val="0"/>
                <w:bCs w:val="0"/>
              </w:rPr>
            </w:pPr>
          </w:p>
          <w:p w14:paraId="00A7641C" w14:textId="77777777" w:rsidR="00C027A9" w:rsidRPr="00D7771C" w:rsidRDefault="00C027A9" w:rsidP="00694990">
            <w:pPr>
              <w:pStyle w:val="Bullet"/>
              <w:rPr>
                <w:b/>
                <w:bCs/>
              </w:rPr>
            </w:pPr>
            <w:r w:rsidRPr="00D7771C">
              <w:rPr>
                <w:rStyle w:val="Bold"/>
                <w:b w:val="0"/>
                <w:bCs w:val="0"/>
              </w:rPr>
              <w:t>Notify ACT Pathology Transfusion Laboratory</w:t>
            </w:r>
            <w:r w:rsidRPr="00D7771C">
              <w:rPr>
                <w:rStyle w:val="Bold"/>
                <w:b w:val="0"/>
                <w:bCs w:val="0"/>
              </w:rPr>
              <w:br/>
            </w:r>
            <w:r w:rsidRPr="00D7771C">
              <w:t xml:space="preserve">Canberra Hospital </w:t>
            </w:r>
            <w:r w:rsidRPr="00D7771C">
              <w:br/>
              <w:t>(02) 5124 2828</w:t>
            </w:r>
            <w:r w:rsidRPr="00D7771C">
              <w:br/>
              <w:t xml:space="preserve">North Canberra Hospital </w:t>
            </w:r>
            <w:r w:rsidRPr="00D7771C">
              <w:br/>
              <w:t>(02) 5124 3703</w:t>
            </w:r>
            <w:r w:rsidRPr="00D7771C">
              <w:rPr>
                <w:b/>
                <w:bCs/>
              </w:rPr>
              <w:t xml:space="preserve"> </w:t>
            </w:r>
          </w:p>
          <w:p w14:paraId="30B84783" w14:textId="77777777" w:rsidR="00C027A9" w:rsidRPr="00D7771C" w:rsidRDefault="00C027A9" w:rsidP="00694990">
            <w:pPr>
              <w:pStyle w:val="Bullet"/>
              <w:numPr>
                <w:ilvl w:val="0"/>
                <w:numId w:val="0"/>
              </w:numPr>
              <w:ind w:left="360"/>
              <w:rPr>
                <w:rFonts w:asciiTheme="majorHAnsi" w:hAnsiTheme="majorHAnsi"/>
                <w:sz w:val="20"/>
              </w:rPr>
            </w:pPr>
          </w:p>
          <w:p w14:paraId="289C2F0E" w14:textId="77777777" w:rsidR="00C027A9" w:rsidRPr="00D7771C" w:rsidRDefault="00C027A9" w:rsidP="00694990">
            <w:pPr>
              <w:pStyle w:val="Bullet"/>
              <w:rPr>
                <w:rStyle w:val="Bold"/>
                <w:b w:val="0"/>
                <w:bCs w:val="0"/>
              </w:rPr>
            </w:pPr>
            <w:r w:rsidRPr="00D7771C">
              <w:rPr>
                <w:rStyle w:val="Bold"/>
                <w:b w:val="0"/>
                <w:bCs w:val="0"/>
              </w:rPr>
              <w:t>Notify Transfusion Nurse</w:t>
            </w:r>
          </w:p>
          <w:p w14:paraId="0AC5EF7D" w14:textId="77777777" w:rsidR="00C027A9" w:rsidRDefault="00C027A9" w:rsidP="00694990">
            <w:pPr>
              <w:pStyle w:val="Bullet"/>
              <w:numPr>
                <w:ilvl w:val="0"/>
                <w:numId w:val="0"/>
              </w:numPr>
              <w:ind w:left="360"/>
            </w:pPr>
            <w:r>
              <w:t xml:space="preserve">Email: </w:t>
            </w:r>
            <w:hyperlink r:id="rId23" w:history="1">
              <w:r w:rsidRPr="00787EEC">
                <w:rPr>
                  <w:rStyle w:val="Hyperlink"/>
                </w:rPr>
                <w:t>TransfusionCNCs@act.gov.au</w:t>
              </w:r>
            </w:hyperlink>
          </w:p>
          <w:p w14:paraId="66813D80" w14:textId="77777777" w:rsidR="00C027A9" w:rsidRPr="002F391E" w:rsidRDefault="00C027A9" w:rsidP="00694990">
            <w:pPr>
              <w:pStyle w:val="Bullet"/>
              <w:numPr>
                <w:ilvl w:val="0"/>
                <w:numId w:val="0"/>
              </w:numPr>
              <w:ind w:left="360"/>
            </w:pPr>
          </w:p>
          <w:p w14:paraId="07214AB5" w14:textId="6122A9B3" w:rsidR="00C027A9" w:rsidRPr="00D7771C" w:rsidRDefault="00CA4238" w:rsidP="002B1660">
            <w:pPr>
              <w:pStyle w:val="BodyCopy"/>
              <w:numPr>
                <w:ilvl w:val="0"/>
                <w:numId w:val="34"/>
              </w:numPr>
            </w:pPr>
            <w:r>
              <w:t>MO to c</w:t>
            </w:r>
            <w:r w:rsidR="00C027A9" w:rsidRPr="00D7771C">
              <w:t xml:space="preserve">omplete the </w:t>
            </w:r>
            <w:r w:rsidR="00C027A9" w:rsidRPr="00FC71DD">
              <w:t>Adverse Event Reporting</w:t>
            </w:r>
            <w:r w:rsidR="00C027A9" w:rsidRPr="00D7771C">
              <w:t xml:space="preserve"> form </w:t>
            </w:r>
            <w:r w:rsidR="00C027A9">
              <w:t>for</w:t>
            </w:r>
            <w:r w:rsidR="00C027A9" w:rsidRPr="00D7771C">
              <w:t xml:space="preserve"> the Therapeutic Goods Administration (TGA)</w:t>
            </w:r>
            <w:r w:rsidR="00C027A9">
              <w:t xml:space="preserve"> (available at </w:t>
            </w:r>
            <w:hyperlink r:id="rId24" w:history="1">
              <w:r w:rsidR="00C027A9">
                <w:rPr>
                  <w:rStyle w:val="Hyperlink"/>
                </w:rPr>
                <w:t>https://aems.tga.gov.au/</w:t>
              </w:r>
            </w:hyperlink>
            <w:r w:rsidR="00C027A9">
              <w:t>)</w:t>
            </w:r>
          </w:p>
        </w:tc>
      </w:tr>
      <w:tr w:rsidR="00C027A9" w:rsidRPr="002F391E" w14:paraId="67177C92" w14:textId="77777777" w:rsidTr="00412388">
        <w:trPr>
          <w:trHeight w:val="9349"/>
        </w:trPr>
        <w:tc>
          <w:tcPr>
            <w:tcW w:w="1446" w:type="pct"/>
          </w:tcPr>
          <w:p w14:paraId="1436AA08" w14:textId="77777777" w:rsidR="00C027A9" w:rsidRDefault="00C027A9" w:rsidP="00694990">
            <w:pPr>
              <w:pStyle w:val="Bullet"/>
            </w:pPr>
            <w:r>
              <w:t>Feeling unwell/malaise</w:t>
            </w:r>
          </w:p>
          <w:p w14:paraId="07BD1B32" w14:textId="77777777" w:rsidR="00C027A9" w:rsidRDefault="00C027A9" w:rsidP="00694990">
            <w:pPr>
              <w:pStyle w:val="Bullet"/>
            </w:pPr>
            <w:r>
              <w:t>Chills/rigor</w:t>
            </w:r>
          </w:p>
          <w:p w14:paraId="3D5B778B" w14:textId="77777777" w:rsidR="00C027A9" w:rsidRPr="002F391E" w:rsidRDefault="00C027A9" w:rsidP="00C027A9">
            <w:pPr>
              <w:pStyle w:val="Bullet"/>
            </w:pPr>
            <w:r w:rsidRPr="002F391E">
              <w:t>Headache</w:t>
            </w:r>
          </w:p>
          <w:p w14:paraId="461F8DF6" w14:textId="77777777" w:rsidR="00C027A9" w:rsidRDefault="00C027A9" w:rsidP="00C027A9">
            <w:pPr>
              <w:pStyle w:val="Bullet"/>
            </w:pPr>
            <w:r>
              <w:t>Nausea and vomiting</w:t>
            </w:r>
          </w:p>
          <w:p w14:paraId="1673C95F" w14:textId="77777777" w:rsidR="00C027A9" w:rsidRDefault="00C027A9" w:rsidP="00694990">
            <w:pPr>
              <w:pStyle w:val="Bullet"/>
            </w:pPr>
            <w:r>
              <w:t>Pain – abdominal, extremity, chest and back pain</w:t>
            </w:r>
          </w:p>
          <w:p w14:paraId="1555C4C8" w14:textId="77777777" w:rsidR="00C027A9" w:rsidRDefault="00C027A9" w:rsidP="00694990">
            <w:pPr>
              <w:pStyle w:val="Bullet"/>
            </w:pPr>
            <w:r>
              <w:t>Rash/urticaria/flushing</w:t>
            </w:r>
          </w:p>
          <w:p w14:paraId="68E328FF" w14:textId="77777777" w:rsidR="00C027A9" w:rsidRPr="00F745F0" w:rsidRDefault="00C027A9" w:rsidP="00C027A9">
            <w:pPr>
              <w:pStyle w:val="Bullet"/>
            </w:pPr>
            <w:r>
              <w:t>Dizziness</w:t>
            </w:r>
          </w:p>
          <w:p w14:paraId="45EBBB17" w14:textId="77777777" w:rsidR="00C027A9" w:rsidRDefault="00C027A9" w:rsidP="002B1660">
            <w:pPr>
              <w:pStyle w:val="Bullet"/>
              <w:numPr>
                <w:ilvl w:val="0"/>
                <w:numId w:val="0"/>
              </w:numPr>
              <w:ind w:left="360"/>
            </w:pPr>
          </w:p>
          <w:p w14:paraId="3A1787D3" w14:textId="77777777" w:rsidR="002B1660" w:rsidRDefault="002B1660" w:rsidP="002B1660">
            <w:pPr>
              <w:pStyle w:val="Bullet"/>
              <w:numPr>
                <w:ilvl w:val="0"/>
                <w:numId w:val="0"/>
              </w:numPr>
              <w:ind w:left="360"/>
            </w:pPr>
          </w:p>
          <w:p w14:paraId="3AB63EE4" w14:textId="77777777" w:rsidR="002B1660" w:rsidRDefault="002B1660" w:rsidP="002B1660">
            <w:pPr>
              <w:pStyle w:val="Bullet"/>
              <w:numPr>
                <w:ilvl w:val="0"/>
                <w:numId w:val="0"/>
              </w:numPr>
              <w:ind w:left="360"/>
            </w:pPr>
          </w:p>
          <w:p w14:paraId="399B93AD" w14:textId="77777777" w:rsidR="002B1660" w:rsidRDefault="002B1660" w:rsidP="002B1660">
            <w:pPr>
              <w:pStyle w:val="Bullet"/>
              <w:numPr>
                <w:ilvl w:val="0"/>
                <w:numId w:val="0"/>
              </w:numPr>
              <w:ind w:left="360"/>
            </w:pPr>
          </w:p>
          <w:p w14:paraId="2AD4314A" w14:textId="77777777" w:rsidR="002B1660" w:rsidRDefault="002B1660" w:rsidP="002B1660">
            <w:pPr>
              <w:pStyle w:val="Bullet"/>
              <w:numPr>
                <w:ilvl w:val="0"/>
                <w:numId w:val="0"/>
              </w:numPr>
              <w:ind w:left="360"/>
            </w:pPr>
          </w:p>
          <w:p w14:paraId="16202772" w14:textId="77777777" w:rsidR="002B1660" w:rsidRDefault="002B1660" w:rsidP="002B1660">
            <w:pPr>
              <w:pStyle w:val="Bullet"/>
              <w:numPr>
                <w:ilvl w:val="0"/>
                <w:numId w:val="0"/>
              </w:numPr>
              <w:ind w:left="360"/>
            </w:pPr>
          </w:p>
          <w:p w14:paraId="2CA4FAA7" w14:textId="77777777" w:rsidR="002B1660" w:rsidRDefault="002B1660" w:rsidP="002B1660">
            <w:pPr>
              <w:pStyle w:val="Bullet"/>
              <w:numPr>
                <w:ilvl w:val="0"/>
                <w:numId w:val="0"/>
              </w:numPr>
              <w:ind w:left="360"/>
            </w:pPr>
          </w:p>
          <w:p w14:paraId="7251EB71" w14:textId="77777777" w:rsidR="002B1660" w:rsidRDefault="002B1660" w:rsidP="002B1660">
            <w:pPr>
              <w:pStyle w:val="Bullet"/>
              <w:numPr>
                <w:ilvl w:val="0"/>
                <w:numId w:val="0"/>
              </w:numPr>
              <w:ind w:left="360"/>
            </w:pPr>
          </w:p>
          <w:p w14:paraId="02D49DA0" w14:textId="77777777" w:rsidR="002B1660" w:rsidRDefault="002B1660" w:rsidP="002B1660">
            <w:pPr>
              <w:pStyle w:val="Bullet"/>
              <w:numPr>
                <w:ilvl w:val="0"/>
                <w:numId w:val="0"/>
              </w:numPr>
              <w:ind w:left="360"/>
            </w:pPr>
          </w:p>
          <w:p w14:paraId="1C457EE0" w14:textId="77777777" w:rsidR="002B1660" w:rsidRDefault="002B1660" w:rsidP="002B1660">
            <w:pPr>
              <w:pStyle w:val="Bullet"/>
              <w:numPr>
                <w:ilvl w:val="0"/>
                <w:numId w:val="0"/>
              </w:numPr>
              <w:ind w:left="360"/>
            </w:pPr>
          </w:p>
          <w:p w14:paraId="663F7B86" w14:textId="77777777" w:rsidR="002B1660" w:rsidRDefault="002B1660" w:rsidP="002B1660">
            <w:pPr>
              <w:pStyle w:val="Bullet"/>
              <w:numPr>
                <w:ilvl w:val="0"/>
                <w:numId w:val="0"/>
              </w:numPr>
              <w:ind w:left="360"/>
            </w:pPr>
          </w:p>
          <w:p w14:paraId="2F78399B" w14:textId="77777777" w:rsidR="002B1660" w:rsidRDefault="002B1660" w:rsidP="002B1660">
            <w:pPr>
              <w:pStyle w:val="Bullet"/>
              <w:numPr>
                <w:ilvl w:val="0"/>
                <w:numId w:val="0"/>
              </w:numPr>
              <w:ind w:left="360"/>
            </w:pPr>
          </w:p>
          <w:p w14:paraId="100A83C0" w14:textId="77777777" w:rsidR="002B1660" w:rsidRDefault="002B1660" w:rsidP="002B1660">
            <w:pPr>
              <w:pStyle w:val="Bullet"/>
              <w:numPr>
                <w:ilvl w:val="0"/>
                <w:numId w:val="0"/>
              </w:numPr>
              <w:ind w:left="360"/>
            </w:pPr>
          </w:p>
          <w:p w14:paraId="71E49058" w14:textId="77777777" w:rsidR="002B1660" w:rsidRDefault="002B1660" w:rsidP="002B1660">
            <w:pPr>
              <w:pStyle w:val="Bullet"/>
              <w:numPr>
                <w:ilvl w:val="0"/>
                <w:numId w:val="0"/>
              </w:numPr>
              <w:ind w:left="360"/>
            </w:pPr>
          </w:p>
          <w:p w14:paraId="4B305411" w14:textId="77777777" w:rsidR="002B1660" w:rsidRDefault="002B1660" w:rsidP="002B1660">
            <w:pPr>
              <w:pStyle w:val="Bullet"/>
              <w:numPr>
                <w:ilvl w:val="0"/>
                <w:numId w:val="0"/>
              </w:numPr>
              <w:ind w:left="360"/>
            </w:pPr>
          </w:p>
          <w:p w14:paraId="0355D5EE" w14:textId="77777777" w:rsidR="002B1660" w:rsidRDefault="002B1660" w:rsidP="002B1660">
            <w:pPr>
              <w:pStyle w:val="Bullet"/>
              <w:numPr>
                <w:ilvl w:val="0"/>
                <w:numId w:val="0"/>
              </w:numPr>
              <w:ind w:left="360"/>
            </w:pPr>
          </w:p>
          <w:p w14:paraId="5BEB620E" w14:textId="77777777" w:rsidR="002B1660" w:rsidRDefault="002B1660" w:rsidP="002B1660">
            <w:pPr>
              <w:pStyle w:val="Bullet"/>
              <w:numPr>
                <w:ilvl w:val="0"/>
                <w:numId w:val="0"/>
              </w:numPr>
              <w:ind w:left="360"/>
            </w:pPr>
          </w:p>
          <w:p w14:paraId="261DB78B" w14:textId="77777777" w:rsidR="002B1660" w:rsidRDefault="002B1660" w:rsidP="002B1660">
            <w:pPr>
              <w:pStyle w:val="Bullet"/>
              <w:numPr>
                <w:ilvl w:val="0"/>
                <w:numId w:val="0"/>
              </w:numPr>
              <w:ind w:left="360"/>
            </w:pPr>
          </w:p>
          <w:p w14:paraId="2CCE4B4E" w14:textId="77777777" w:rsidR="002B1660" w:rsidRDefault="002B1660" w:rsidP="002B1660">
            <w:pPr>
              <w:pStyle w:val="Bullet"/>
              <w:numPr>
                <w:ilvl w:val="0"/>
                <w:numId w:val="0"/>
              </w:numPr>
              <w:ind w:left="360"/>
            </w:pPr>
          </w:p>
          <w:p w14:paraId="3BDBBA2C" w14:textId="77777777" w:rsidR="002B1660" w:rsidRDefault="002B1660" w:rsidP="002B1660">
            <w:pPr>
              <w:pStyle w:val="Bullet"/>
              <w:numPr>
                <w:ilvl w:val="0"/>
                <w:numId w:val="0"/>
              </w:numPr>
              <w:ind w:left="360"/>
            </w:pPr>
          </w:p>
          <w:p w14:paraId="4354193D" w14:textId="5C34B91C" w:rsidR="002B1660" w:rsidRPr="002F391E" w:rsidRDefault="002B1660" w:rsidP="002B1660">
            <w:pPr>
              <w:pStyle w:val="Bullet"/>
              <w:numPr>
                <w:ilvl w:val="0"/>
                <w:numId w:val="0"/>
              </w:numPr>
            </w:pPr>
          </w:p>
        </w:tc>
        <w:tc>
          <w:tcPr>
            <w:tcW w:w="1682" w:type="pct"/>
          </w:tcPr>
          <w:p w14:paraId="7F0C988A" w14:textId="56EAA3D8" w:rsidR="00C027A9" w:rsidRDefault="00C027A9" w:rsidP="00694990">
            <w:pPr>
              <w:pStyle w:val="Bullet"/>
            </w:pPr>
            <w:r>
              <w:t>Pause infusion</w:t>
            </w:r>
          </w:p>
          <w:p w14:paraId="1D0DCFE3" w14:textId="6B0127FD" w:rsidR="00C027A9" w:rsidRDefault="00C027A9" w:rsidP="00C027A9">
            <w:pPr>
              <w:pStyle w:val="Bullet"/>
            </w:pPr>
            <w:r>
              <w:t>Repeat vital signs</w:t>
            </w:r>
          </w:p>
          <w:p w14:paraId="0C5901FE" w14:textId="0C329476" w:rsidR="00C027A9" w:rsidRPr="00FC5696" w:rsidRDefault="00C027A9" w:rsidP="00694990">
            <w:pPr>
              <w:pStyle w:val="Bullet"/>
            </w:pPr>
            <w:r>
              <w:t xml:space="preserve">Request </w:t>
            </w:r>
            <w:r w:rsidRPr="00FC5696">
              <w:t>treating MO</w:t>
            </w:r>
            <w:r>
              <w:t xml:space="preserve"> bedside</w:t>
            </w:r>
            <w:r w:rsidRPr="00FC5696">
              <w:t xml:space="preserve"> </w:t>
            </w:r>
            <w:r>
              <w:t xml:space="preserve">review </w:t>
            </w:r>
          </w:p>
          <w:p w14:paraId="51D5DEAC" w14:textId="77777777" w:rsidR="00C027A9" w:rsidRDefault="00C027A9" w:rsidP="00694990">
            <w:pPr>
              <w:pStyle w:val="Bullet"/>
            </w:pPr>
            <w:r>
              <w:t>Monitor patient closely</w:t>
            </w:r>
          </w:p>
          <w:p w14:paraId="2FA33520" w14:textId="77777777" w:rsidR="00C027A9" w:rsidRPr="002F391E" w:rsidRDefault="00C027A9" w:rsidP="00C027A9">
            <w:pPr>
              <w:pStyle w:val="Bullet"/>
            </w:pPr>
            <w:r>
              <w:t>If symptoms resolve and observations stabilise, then cautiously restart at a slower rate as per MO instructions</w:t>
            </w:r>
          </w:p>
          <w:p w14:paraId="4DAE3607" w14:textId="5B396112" w:rsidR="00C027A9" w:rsidRPr="002F391E" w:rsidRDefault="00C027A9" w:rsidP="002B1660">
            <w:pPr>
              <w:pStyle w:val="Bullet"/>
              <w:numPr>
                <w:ilvl w:val="0"/>
                <w:numId w:val="0"/>
              </w:numPr>
              <w:ind w:left="360"/>
            </w:pPr>
          </w:p>
        </w:tc>
        <w:tc>
          <w:tcPr>
            <w:tcW w:w="1872" w:type="pct"/>
            <w:vMerge/>
          </w:tcPr>
          <w:p w14:paraId="2F5B92B2" w14:textId="77777777" w:rsidR="00C027A9" w:rsidRPr="002F391E" w:rsidRDefault="00C027A9" w:rsidP="00694990">
            <w:pPr>
              <w:rPr>
                <w:rFonts w:asciiTheme="majorHAnsi" w:hAnsiTheme="majorHAnsi"/>
                <w:b/>
                <w:sz w:val="20"/>
              </w:rPr>
            </w:pPr>
          </w:p>
        </w:tc>
      </w:tr>
      <w:tr w:rsidR="00C027A9" w:rsidRPr="002F391E" w14:paraId="7358B79E" w14:textId="77777777" w:rsidTr="00412388">
        <w:tc>
          <w:tcPr>
            <w:tcW w:w="3128" w:type="pct"/>
            <w:gridSpan w:val="2"/>
            <w:shd w:val="pct10" w:color="auto" w:fill="auto"/>
          </w:tcPr>
          <w:p w14:paraId="227EBFDD" w14:textId="77777777" w:rsidR="00C027A9" w:rsidRPr="002F391E" w:rsidRDefault="00C027A9" w:rsidP="00694990">
            <w:pPr>
              <w:pStyle w:val="BodyCopy"/>
            </w:pPr>
            <w:r w:rsidRPr="002F391E">
              <w:t>Severe</w:t>
            </w:r>
          </w:p>
        </w:tc>
        <w:tc>
          <w:tcPr>
            <w:tcW w:w="1872" w:type="pct"/>
            <w:vMerge/>
          </w:tcPr>
          <w:p w14:paraId="73934205" w14:textId="77777777" w:rsidR="00C027A9" w:rsidRPr="002F391E" w:rsidRDefault="00C027A9" w:rsidP="00694990">
            <w:pPr>
              <w:rPr>
                <w:rFonts w:asciiTheme="majorHAnsi" w:hAnsiTheme="majorHAnsi"/>
                <w:b/>
                <w:sz w:val="20"/>
              </w:rPr>
            </w:pPr>
          </w:p>
        </w:tc>
      </w:tr>
      <w:tr w:rsidR="00C027A9" w:rsidRPr="002F391E" w14:paraId="0DD3C246" w14:textId="77777777" w:rsidTr="00412388">
        <w:trPr>
          <w:trHeight w:val="546"/>
        </w:trPr>
        <w:tc>
          <w:tcPr>
            <w:tcW w:w="1446" w:type="pct"/>
          </w:tcPr>
          <w:p w14:paraId="2D8927B4" w14:textId="77777777" w:rsidR="00C027A9" w:rsidRPr="002338E9" w:rsidRDefault="00C027A9" w:rsidP="00694990">
            <w:pPr>
              <w:pStyle w:val="Bullet"/>
            </w:pPr>
            <w:r>
              <w:lastRenderedPageBreak/>
              <w:t>Anaphylaxis with respiratory or cardiac compromise</w:t>
            </w:r>
          </w:p>
          <w:p w14:paraId="01C4EF40" w14:textId="77777777" w:rsidR="00C027A9" w:rsidRDefault="00C027A9" w:rsidP="00694990">
            <w:pPr>
              <w:pStyle w:val="Bullet"/>
            </w:pPr>
            <w:r>
              <w:t>Wheezing</w:t>
            </w:r>
          </w:p>
          <w:p w14:paraId="7B1B08F8" w14:textId="77777777" w:rsidR="00C027A9" w:rsidRDefault="00C027A9" w:rsidP="00694990">
            <w:pPr>
              <w:pStyle w:val="Bullet"/>
            </w:pPr>
            <w:r w:rsidRPr="002F391E">
              <w:t>Change in blood pressure</w:t>
            </w:r>
          </w:p>
          <w:p w14:paraId="5733FE11" w14:textId="77777777" w:rsidR="00C027A9" w:rsidRDefault="00C027A9" w:rsidP="00694990">
            <w:pPr>
              <w:pStyle w:val="Bullet"/>
            </w:pPr>
            <w:r>
              <w:t>Rigors</w:t>
            </w:r>
          </w:p>
          <w:p w14:paraId="00A6B935" w14:textId="77777777" w:rsidR="00C027A9" w:rsidRDefault="00C027A9" w:rsidP="00694990">
            <w:pPr>
              <w:pStyle w:val="Bullet"/>
            </w:pPr>
            <w:r>
              <w:t>Tachycardia</w:t>
            </w:r>
          </w:p>
          <w:p w14:paraId="5B1423BC" w14:textId="4D58E962" w:rsidR="00CA4238" w:rsidRPr="002F391E" w:rsidRDefault="00CA4238" w:rsidP="00694990">
            <w:pPr>
              <w:pStyle w:val="Bullet"/>
            </w:pPr>
            <w:r>
              <w:t>Transfusion related circulatory overload (TACO)</w:t>
            </w:r>
          </w:p>
          <w:p w14:paraId="171BD05E" w14:textId="77777777" w:rsidR="00C027A9" w:rsidRPr="00CA4238" w:rsidRDefault="00C027A9" w:rsidP="00694990">
            <w:pPr>
              <w:pStyle w:val="Bullet"/>
            </w:pPr>
            <w:r w:rsidRPr="002F391E">
              <w:rPr>
                <w:bCs/>
              </w:rPr>
              <w:t>Thromboembolic events</w:t>
            </w:r>
          </w:p>
          <w:p w14:paraId="7A92E7A9" w14:textId="3941F919" w:rsidR="00CA4238" w:rsidRPr="002338E9" w:rsidRDefault="00CA4238" w:rsidP="002B1660">
            <w:pPr>
              <w:pStyle w:val="Bullet"/>
              <w:numPr>
                <w:ilvl w:val="1"/>
                <w:numId w:val="1"/>
              </w:numPr>
            </w:pPr>
            <w:r>
              <w:t>Infusion of IVIg may lead to increased blood viscosity</w:t>
            </w:r>
          </w:p>
          <w:p w14:paraId="48ADBF08" w14:textId="5A5BA6F2" w:rsidR="00C027A9" w:rsidRDefault="00CA4238" w:rsidP="00694990">
            <w:pPr>
              <w:pStyle w:val="Bullet"/>
            </w:pPr>
            <w:r>
              <w:t>Aseptic Meningitis</w:t>
            </w:r>
          </w:p>
          <w:p w14:paraId="7B6BE708" w14:textId="77777777" w:rsidR="00CA4238" w:rsidRDefault="00CA4238" w:rsidP="00CA4238">
            <w:pPr>
              <w:pStyle w:val="Bullet"/>
              <w:numPr>
                <w:ilvl w:val="1"/>
                <w:numId w:val="1"/>
              </w:numPr>
            </w:pPr>
            <w:r>
              <w:t>Symptoms typically occur within 72 hours of IVIg infusion, characterised by fever, headache, altered mental status, nausea/vomiting, neck stiffness and photophobia</w:t>
            </w:r>
          </w:p>
          <w:p w14:paraId="793F9301" w14:textId="77777777" w:rsidR="00CA4238" w:rsidRDefault="00CA4238" w:rsidP="00CA4238">
            <w:pPr>
              <w:pStyle w:val="Bullet"/>
              <w:numPr>
                <w:ilvl w:val="1"/>
                <w:numId w:val="1"/>
              </w:numPr>
            </w:pPr>
            <w:r>
              <w:t>Increased frequency with high dose IVIg</w:t>
            </w:r>
          </w:p>
          <w:p w14:paraId="67F2A5F1" w14:textId="77777777" w:rsidR="00CA4238" w:rsidRDefault="00CA4238" w:rsidP="00CA4238">
            <w:pPr>
              <w:pStyle w:val="Bullet"/>
            </w:pPr>
            <w:r>
              <w:t>Renal impairment</w:t>
            </w:r>
          </w:p>
          <w:p w14:paraId="377B6D07" w14:textId="77777777" w:rsidR="00CA4238" w:rsidRDefault="00CA4238" w:rsidP="00CA4238">
            <w:pPr>
              <w:pStyle w:val="Bullet"/>
            </w:pPr>
            <w:r>
              <w:t>Haemolytic anaemia</w:t>
            </w:r>
          </w:p>
          <w:p w14:paraId="21155CC6" w14:textId="442A25DE" w:rsidR="00CA4238" w:rsidRPr="000C46CE" w:rsidRDefault="00CA4238" w:rsidP="00CA4238">
            <w:pPr>
              <w:pStyle w:val="Bullet"/>
              <w:numPr>
                <w:ilvl w:val="0"/>
                <w:numId w:val="0"/>
              </w:numPr>
            </w:pPr>
          </w:p>
        </w:tc>
        <w:tc>
          <w:tcPr>
            <w:tcW w:w="1682" w:type="pct"/>
          </w:tcPr>
          <w:p w14:paraId="4B94E6DE" w14:textId="77777777" w:rsidR="00C027A9" w:rsidRDefault="00C027A9" w:rsidP="00694990">
            <w:pPr>
              <w:pStyle w:val="Bullet"/>
            </w:pPr>
            <w:r>
              <w:t>Stop infusion</w:t>
            </w:r>
          </w:p>
          <w:p w14:paraId="2A69A70F" w14:textId="77777777" w:rsidR="00C027A9" w:rsidRDefault="00C027A9" w:rsidP="00694990">
            <w:pPr>
              <w:pStyle w:val="Bullet"/>
            </w:pPr>
            <w:r>
              <w:t>Stay with patient</w:t>
            </w:r>
          </w:p>
          <w:p w14:paraId="0E78B6E2" w14:textId="77777777" w:rsidR="00C027A9" w:rsidRDefault="00C027A9" w:rsidP="00694990">
            <w:pPr>
              <w:pStyle w:val="Bullet"/>
            </w:pPr>
            <w:r>
              <w:t>Administer oxygen</w:t>
            </w:r>
          </w:p>
          <w:p w14:paraId="480CC049" w14:textId="34F6A889" w:rsidR="00C027A9" w:rsidRDefault="00CE2390" w:rsidP="00694990">
            <w:pPr>
              <w:pStyle w:val="Bullet"/>
            </w:pPr>
            <w:r>
              <w:t xml:space="preserve">Request </w:t>
            </w:r>
            <w:r w:rsidR="00C027A9">
              <w:t xml:space="preserve">Medical Emergency Team (MET) </w:t>
            </w:r>
            <w:r>
              <w:t>review, dial</w:t>
            </w:r>
            <w:r w:rsidR="00C027A9">
              <w:t xml:space="preserve"> 2222</w:t>
            </w:r>
            <w:r>
              <w:t xml:space="preserve"> or use Code Blue Button</w:t>
            </w:r>
          </w:p>
          <w:p w14:paraId="612E8B0D" w14:textId="16CAF21D" w:rsidR="00CE2390" w:rsidRDefault="00CE2390" w:rsidP="002B1660">
            <w:pPr>
              <w:pStyle w:val="Bullet"/>
            </w:pPr>
            <w:r>
              <w:t>Maintain patency of IV access</w:t>
            </w:r>
          </w:p>
          <w:p w14:paraId="2C399599" w14:textId="10F0B4D8" w:rsidR="00C027A9" w:rsidRDefault="00C027A9" w:rsidP="00694990">
            <w:pPr>
              <w:pStyle w:val="Bullet"/>
            </w:pPr>
            <w:r>
              <w:t xml:space="preserve">Repeat </w:t>
            </w:r>
            <w:r w:rsidR="00CE2390">
              <w:t xml:space="preserve">‘full set’ </w:t>
            </w:r>
            <w:r>
              <w:t>Vital signs</w:t>
            </w:r>
          </w:p>
          <w:p w14:paraId="382CE9B2" w14:textId="77777777" w:rsidR="00C027A9" w:rsidRDefault="00C027A9" w:rsidP="00694990">
            <w:pPr>
              <w:pStyle w:val="Bullet"/>
            </w:pPr>
            <w:r>
              <w:t>Prepare emergency medication for treatment of acute anaphylaxis for administration</w:t>
            </w:r>
          </w:p>
          <w:p w14:paraId="2E0E26B6" w14:textId="77777777" w:rsidR="00C027A9" w:rsidRPr="00C80E61" w:rsidRDefault="00C027A9" w:rsidP="00694990">
            <w:pPr>
              <w:pStyle w:val="Bullet"/>
            </w:pPr>
            <w:r w:rsidRPr="00C80E61">
              <w:t>Continue to monitor airway, breathing, circulation, neurological status</w:t>
            </w:r>
          </w:p>
          <w:p w14:paraId="6FEFCDCF" w14:textId="77777777" w:rsidR="00C027A9" w:rsidRDefault="00C027A9" w:rsidP="00694990">
            <w:pPr>
              <w:pStyle w:val="Bullet"/>
            </w:pPr>
            <w:r w:rsidRPr="00C80E61">
              <w:t>Document event in patient medical record</w:t>
            </w:r>
          </w:p>
          <w:p w14:paraId="5DB77928" w14:textId="77777777" w:rsidR="00C027A9" w:rsidRPr="00024050" w:rsidRDefault="00C027A9" w:rsidP="00694990">
            <w:pPr>
              <w:pStyle w:val="Bullet"/>
            </w:pPr>
            <w:r w:rsidRPr="002C3DD2">
              <w:t>Return remaining blood product to pathology, indicating symptoms the patient experienced</w:t>
            </w:r>
          </w:p>
        </w:tc>
        <w:tc>
          <w:tcPr>
            <w:tcW w:w="1872" w:type="pct"/>
            <w:vMerge/>
          </w:tcPr>
          <w:p w14:paraId="62AFD037" w14:textId="77777777" w:rsidR="00C027A9" w:rsidRPr="002F391E" w:rsidRDefault="00C027A9" w:rsidP="00694990">
            <w:pPr>
              <w:rPr>
                <w:rFonts w:asciiTheme="majorHAnsi" w:hAnsiTheme="majorHAnsi"/>
                <w:b/>
                <w:sz w:val="20"/>
              </w:rPr>
            </w:pPr>
          </w:p>
        </w:tc>
      </w:tr>
    </w:tbl>
    <w:p w14:paraId="3DD1DAAE" w14:textId="77777777" w:rsidR="00412388" w:rsidRDefault="0028383D" w:rsidP="00412388">
      <w:pPr>
        <w:pStyle w:val="BodyCopy"/>
      </w:pPr>
      <w:hyperlink w:anchor="_top" w:history="1">
        <w:r w:rsidR="00412388" w:rsidRPr="00481A6C">
          <w:rPr>
            <w:rStyle w:val="Hyperlink"/>
            <w:iCs w:val="0"/>
          </w:rPr>
          <w:t>Back to Contents</w:t>
        </w:r>
      </w:hyperlink>
    </w:p>
    <w:p w14:paraId="77058469" w14:textId="77777777" w:rsidR="00D73D63" w:rsidRDefault="00D73D63" w:rsidP="00FF3B71">
      <w:pPr>
        <w:pStyle w:val="Heading4"/>
        <w:sectPr w:rsidR="00D73D63" w:rsidSect="007665C6">
          <w:footerReference w:type="default" r:id="rId25"/>
          <w:headerReference w:type="first" r:id="rId26"/>
          <w:footerReference w:type="first" r:id="rId27"/>
          <w:pgSz w:w="11906" w:h="16838" w:code="9"/>
          <w:pgMar w:top="970" w:right="1134" w:bottom="1134" w:left="851" w:header="284" w:footer="53" w:gutter="0"/>
          <w:cols w:space="708"/>
          <w:titlePg/>
          <w:docGrid w:linePitch="360"/>
        </w:sectPr>
      </w:pPr>
    </w:p>
    <w:p w14:paraId="29B5A1E3" w14:textId="77777777" w:rsidR="00FF3B71" w:rsidRDefault="00FF3B71" w:rsidP="00FF3B71">
      <w:pPr>
        <w:pStyle w:val="Heading4"/>
      </w:pPr>
      <w:bookmarkStart w:id="14" w:name="_Toc184739596"/>
      <w:r w:rsidRPr="0078367D">
        <w:lastRenderedPageBreak/>
        <w:t xml:space="preserve">Section </w:t>
      </w:r>
      <w:r w:rsidR="00D73D63">
        <w:t>9</w:t>
      </w:r>
      <w:r w:rsidRPr="0078367D">
        <w:t xml:space="preserve"> </w:t>
      </w:r>
      <w:r w:rsidR="00D73D63">
        <w:t>–</w:t>
      </w:r>
      <w:r w:rsidRPr="0078367D">
        <w:t xml:space="preserve"> </w:t>
      </w:r>
      <w:r w:rsidR="00D73D63">
        <w:t>IVIg infusion rates</w:t>
      </w:r>
      <w:bookmarkEnd w:id="14"/>
    </w:p>
    <w:p w14:paraId="0EF777F8" w14:textId="2B20BA03" w:rsidR="00522EF9" w:rsidRDefault="00522EF9" w:rsidP="00E83CDC">
      <w:pPr>
        <w:pStyle w:val="Heading5"/>
        <w:rPr>
          <w:lang w:eastAsia="en-US"/>
        </w:rPr>
      </w:pPr>
      <w:r>
        <w:rPr>
          <w:lang w:eastAsia="en-US"/>
        </w:rPr>
        <w:t>IVIg infusion rates for first infusion, switching between IVIg products,</w:t>
      </w:r>
      <w:r w:rsidR="00FC71DD">
        <w:rPr>
          <w:lang w:eastAsia="en-US"/>
        </w:rPr>
        <w:t xml:space="preserve"> </w:t>
      </w:r>
      <w:r>
        <w:rPr>
          <w:lang w:eastAsia="en-US"/>
        </w:rPr>
        <w:t>and when a significant gap (more than 8 weeks)</w:t>
      </w:r>
      <w:r w:rsidRPr="00522EF9">
        <w:rPr>
          <w:lang w:eastAsia="en-US"/>
        </w:rPr>
        <w:t xml:space="preserve"> </w:t>
      </w:r>
      <w:r>
        <w:rPr>
          <w:lang w:eastAsia="en-US"/>
        </w:rPr>
        <w:t>occurs between infusions</w:t>
      </w:r>
    </w:p>
    <w:p w14:paraId="0D9C8973" w14:textId="431CF6D9" w:rsidR="00522EF9" w:rsidRDefault="00522EF9" w:rsidP="00522EF9">
      <w:pPr>
        <w:pStyle w:val="Bullet"/>
        <w:rPr>
          <w:lang w:eastAsia="en-US"/>
        </w:rPr>
      </w:pPr>
      <w:r>
        <w:rPr>
          <w:lang w:eastAsia="en-US"/>
        </w:rPr>
        <w:t xml:space="preserve">Commence at the slowest rate and titrate </w:t>
      </w:r>
      <w:r w:rsidR="00912415">
        <w:rPr>
          <w:lang w:eastAsia="en-US"/>
        </w:rPr>
        <w:t xml:space="preserve">as tolerated by the patient </w:t>
      </w:r>
      <w:r>
        <w:rPr>
          <w:lang w:eastAsia="en-US"/>
        </w:rPr>
        <w:t>according to the table below</w:t>
      </w:r>
    </w:p>
    <w:p w14:paraId="4951B800" w14:textId="77777777" w:rsidR="00522EF9" w:rsidRDefault="00522EF9" w:rsidP="00522EF9">
      <w:pPr>
        <w:pStyle w:val="Bullet"/>
        <w:rPr>
          <w:lang w:eastAsia="en-US"/>
        </w:rPr>
      </w:pPr>
      <w:r>
        <w:rPr>
          <w:lang w:eastAsia="en-US"/>
        </w:rPr>
        <w:t>Infusion rates must be individualised to the patient’s existing risk factors, comorbidities, medical history and tolerability with previous infusions</w:t>
      </w:r>
    </w:p>
    <w:p w14:paraId="5F0CACD1" w14:textId="77777777" w:rsidR="00522EF9" w:rsidRDefault="00522EF9" w:rsidP="00522EF9">
      <w:pPr>
        <w:pStyle w:val="Bullet"/>
        <w:rPr>
          <w:lang w:eastAsia="en-US"/>
        </w:rPr>
      </w:pPr>
      <w:r>
        <w:rPr>
          <w:lang w:eastAsia="en-US"/>
        </w:rPr>
        <w:t>Consider slower rates in patients receiving doses of 2g/kg.</w:t>
      </w:r>
    </w:p>
    <w:p w14:paraId="044EBF72" w14:textId="7680B61E" w:rsidR="00522EF9" w:rsidRDefault="00522EF9" w:rsidP="00522EF9">
      <w:pPr>
        <w:pStyle w:val="Bullet"/>
        <w:rPr>
          <w:lang w:eastAsia="en-US"/>
        </w:rPr>
      </w:pPr>
      <w:r>
        <w:rPr>
          <w:lang w:eastAsia="en-US"/>
        </w:rPr>
        <w:t xml:space="preserve">Patients at risk for </w:t>
      </w:r>
      <w:r w:rsidR="00213984">
        <w:rPr>
          <w:lang w:eastAsia="en-US"/>
        </w:rPr>
        <w:t>AMS</w:t>
      </w:r>
      <w:r>
        <w:rPr>
          <w:lang w:eastAsia="en-US"/>
        </w:rPr>
        <w:t>, renal failure or thromboembolic adverse events should have IVIg administered at the minimum rate of infusion practicable</w:t>
      </w:r>
    </w:p>
    <w:p w14:paraId="5C133302" w14:textId="77777777" w:rsidR="00522EF9" w:rsidRDefault="00522EF9" w:rsidP="00522EF9">
      <w:pPr>
        <w:pStyle w:val="Bullet"/>
        <w:rPr>
          <w:lang w:eastAsia="en-US"/>
        </w:rPr>
      </w:pPr>
      <w:r>
        <w:rPr>
          <w:lang w:eastAsia="en-US"/>
        </w:rPr>
        <w:t>The first infusion will run slowly</w:t>
      </w:r>
    </w:p>
    <w:p w14:paraId="5FD0224F" w14:textId="3CDE8ECC" w:rsidR="00F139DA" w:rsidRDefault="00522EF9" w:rsidP="00213984">
      <w:pPr>
        <w:pStyle w:val="Bullet"/>
        <w:rPr>
          <w:lang w:eastAsia="en-US"/>
        </w:rPr>
      </w:pPr>
      <w:r>
        <w:rPr>
          <w:lang w:eastAsia="en-US"/>
        </w:rPr>
        <w:t>Subsequent bottles for all products can be administered at the rate of the previous bottle for the same admission.</w:t>
      </w:r>
    </w:p>
    <w:p w14:paraId="4118FC08" w14:textId="77777777" w:rsidR="00F139DA" w:rsidRDefault="00F139DA">
      <w:pPr>
        <w:spacing w:before="0" w:after="0" w:line="240" w:lineRule="auto"/>
        <w:rPr>
          <w:rFonts w:eastAsia="Times New Roman"/>
          <w:lang w:eastAsia="en-US"/>
        </w:rPr>
      </w:pPr>
      <w:r>
        <w:rPr>
          <w:lang w:eastAsia="en-US"/>
        </w:rPr>
        <w:br w:type="page"/>
      </w:r>
    </w:p>
    <w:p w14:paraId="0028EB7B" w14:textId="77777777" w:rsidR="00522EF9" w:rsidRDefault="00522EF9" w:rsidP="00F139DA">
      <w:pPr>
        <w:pStyle w:val="Bullet"/>
        <w:numPr>
          <w:ilvl w:val="0"/>
          <w:numId w:val="0"/>
        </w:numPr>
        <w:ind w:left="360"/>
        <w:rPr>
          <w:lang w:eastAsia="en-US"/>
        </w:rPr>
      </w:pPr>
    </w:p>
    <w:p w14:paraId="2E815F1C" w14:textId="5F6B4E7D" w:rsidR="00522EF9" w:rsidRDefault="00522EF9" w:rsidP="00E83CDC">
      <w:pPr>
        <w:pStyle w:val="Tabletitle-numbered"/>
      </w:pPr>
      <w:r>
        <w:t>IVIg infusion rates for first infusion, switching between IVIg products,</w:t>
      </w:r>
      <w:r w:rsidR="00FC71DD">
        <w:t xml:space="preserve"> </w:t>
      </w:r>
      <w:r>
        <w:t>and when a significant gap (more than 8 weeks)</w:t>
      </w:r>
      <w:r w:rsidRPr="00522EF9">
        <w:t xml:space="preserve"> </w:t>
      </w:r>
      <w:r>
        <w:t>occurs between infusions</w:t>
      </w:r>
      <w:r w:rsidR="00FC1302">
        <w:t xml:space="preserve"> for patients &gt;10kg</w:t>
      </w:r>
    </w:p>
    <w:tbl>
      <w:tblPr>
        <w:tblStyle w:val="TableGrid"/>
        <w:tblW w:w="15168" w:type="dxa"/>
        <w:tblLook w:val="04A0" w:firstRow="1" w:lastRow="0" w:firstColumn="1" w:lastColumn="0" w:noHBand="0" w:noVBand="1"/>
      </w:tblPr>
      <w:tblGrid>
        <w:gridCol w:w="2293"/>
        <w:gridCol w:w="1723"/>
        <w:gridCol w:w="1723"/>
        <w:gridCol w:w="1491"/>
        <w:gridCol w:w="1701"/>
        <w:gridCol w:w="1560"/>
        <w:gridCol w:w="2126"/>
        <w:gridCol w:w="2551"/>
      </w:tblGrid>
      <w:tr w:rsidR="00D73D63" w14:paraId="42F422F8" w14:textId="77777777" w:rsidTr="00E83CDC">
        <w:tc>
          <w:tcPr>
            <w:tcW w:w="2293" w:type="dxa"/>
          </w:tcPr>
          <w:p w14:paraId="225A55D4" w14:textId="77777777" w:rsidR="00D73D63" w:rsidRPr="00B15D72" w:rsidRDefault="00D73D63" w:rsidP="00C2243F">
            <w:pPr>
              <w:jc w:val="center"/>
              <w:rPr>
                <w:b/>
                <w:bCs/>
              </w:rPr>
            </w:pPr>
            <w:r w:rsidRPr="00B15D72">
              <w:rPr>
                <w:b/>
                <w:bCs/>
              </w:rPr>
              <w:t>Description</w:t>
            </w:r>
          </w:p>
        </w:tc>
        <w:tc>
          <w:tcPr>
            <w:tcW w:w="1723" w:type="dxa"/>
          </w:tcPr>
          <w:p w14:paraId="7E9B68A0" w14:textId="77777777" w:rsidR="00D73D63" w:rsidRPr="00E83CDC" w:rsidRDefault="00D73D63" w:rsidP="00C2243F">
            <w:pPr>
              <w:rPr>
                <w:b/>
                <w:bCs/>
                <w:color w:val="auto"/>
              </w:rPr>
            </w:pPr>
            <w:r w:rsidRPr="00E83CDC">
              <w:rPr>
                <w:b/>
                <w:bCs/>
                <w:color w:val="auto"/>
              </w:rPr>
              <w:t>Privigen AU 10% (Domestic)</w:t>
            </w:r>
          </w:p>
        </w:tc>
        <w:tc>
          <w:tcPr>
            <w:tcW w:w="1723" w:type="dxa"/>
          </w:tcPr>
          <w:p w14:paraId="2B09AE53" w14:textId="77777777" w:rsidR="00D73D63" w:rsidRPr="00E83CDC" w:rsidRDefault="00D73D63" w:rsidP="00C2243F">
            <w:pPr>
              <w:rPr>
                <w:b/>
                <w:bCs/>
                <w:color w:val="auto"/>
              </w:rPr>
            </w:pPr>
            <w:r w:rsidRPr="00E83CDC">
              <w:rPr>
                <w:b/>
                <w:bCs/>
                <w:color w:val="auto"/>
              </w:rPr>
              <w:t>Privigen 10% (Imported)</w:t>
            </w:r>
          </w:p>
        </w:tc>
        <w:tc>
          <w:tcPr>
            <w:tcW w:w="1491" w:type="dxa"/>
          </w:tcPr>
          <w:p w14:paraId="2D7164B8" w14:textId="77777777" w:rsidR="00D73D63" w:rsidRPr="00E83CDC" w:rsidRDefault="00D73D63" w:rsidP="00C2243F">
            <w:pPr>
              <w:rPr>
                <w:b/>
                <w:bCs/>
                <w:color w:val="auto"/>
              </w:rPr>
            </w:pPr>
            <w:r w:rsidRPr="00E83CDC">
              <w:rPr>
                <w:b/>
                <w:bCs/>
                <w:color w:val="auto"/>
              </w:rPr>
              <w:t>Kiovig 10% (Imported)</w:t>
            </w:r>
          </w:p>
        </w:tc>
        <w:tc>
          <w:tcPr>
            <w:tcW w:w="1701" w:type="dxa"/>
          </w:tcPr>
          <w:p w14:paraId="7231B404" w14:textId="5D5F9400" w:rsidR="00D73D63" w:rsidRPr="00E83CDC" w:rsidRDefault="00D73D63" w:rsidP="00C2243F">
            <w:pPr>
              <w:rPr>
                <w:b/>
                <w:bCs/>
                <w:color w:val="auto"/>
              </w:rPr>
            </w:pPr>
            <w:r w:rsidRPr="00E83CDC">
              <w:rPr>
                <w:b/>
                <w:bCs/>
                <w:color w:val="auto"/>
              </w:rPr>
              <w:t>Gamunex 10% (Imported)</w:t>
            </w:r>
          </w:p>
        </w:tc>
        <w:tc>
          <w:tcPr>
            <w:tcW w:w="1560" w:type="dxa"/>
          </w:tcPr>
          <w:p w14:paraId="77D40119" w14:textId="77777777" w:rsidR="00D73D63" w:rsidRPr="00E83CDC" w:rsidRDefault="00D73D63" w:rsidP="00C2243F">
            <w:pPr>
              <w:rPr>
                <w:b/>
                <w:bCs/>
                <w:color w:val="auto"/>
              </w:rPr>
            </w:pPr>
            <w:r w:rsidRPr="00E83CDC">
              <w:rPr>
                <w:b/>
                <w:bCs/>
                <w:color w:val="auto"/>
              </w:rPr>
              <w:t>Octagam 10% (Imported)</w:t>
            </w:r>
          </w:p>
        </w:tc>
        <w:tc>
          <w:tcPr>
            <w:tcW w:w="2126" w:type="dxa"/>
          </w:tcPr>
          <w:p w14:paraId="1B3B21D5" w14:textId="77777777" w:rsidR="00D73D63" w:rsidRPr="00E83CDC" w:rsidRDefault="00D73D63" w:rsidP="00C2243F">
            <w:pPr>
              <w:rPr>
                <w:b/>
                <w:bCs/>
                <w:color w:val="auto"/>
              </w:rPr>
            </w:pPr>
            <w:r w:rsidRPr="00E83CDC">
              <w:rPr>
                <w:b/>
                <w:bCs/>
                <w:color w:val="auto"/>
              </w:rPr>
              <w:t>Flebogamma 10% DIF (Imported)</w:t>
            </w:r>
          </w:p>
        </w:tc>
        <w:tc>
          <w:tcPr>
            <w:tcW w:w="2551" w:type="dxa"/>
          </w:tcPr>
          <w:p w14:paraId="468DA4B2" w14:textId="77777777" w:rsidR="00D73D63" w:rsidRPr="00E83CDC" w:rsidRDefault="00D73D63" w:rsidP="00C2243F">
            <w:pPr>
              <w:rPr>
                <w:b/>
                <w:bCs/>
                <w:color w:val="auto"/>
              </w:rPr>
            </w:pPr>
            <w:r w:rsidRPr="00E83CDC">
              <w:rPr>
                <w:b/>
                <w:bCs/>
                <w:color w:val="auto"/>
              </w:rPr>
              <w:t>Flebogamma 5% DIF (Imported)</w:t>
            </w:r>
          </w:p>
        </w:tc>
      </w:tr>
      <w:tr w:rsidR="00D73D63" w14:paraId="56A0C2DB" w14:textId="77777777" w:rsidTr="00E83CDC">
        <w:tc>
          <w:tcPr>
            <w:tcW w:w="2293" w:type="dxa"/>
          </w:tcPr>
          <w:p w14:paraId="2AEE69EC" w14:textId="77777777" w:rsidR="00D73D63" w:rsidRPr="00B15D72" w:rsidRDefault="00D73D63" w:rsidP="00C2243F">
            <w:pPr>
              <w:jc w:val="center"/>
              <w:rPr>
                <w:b/>
                <w:bCs/>
              </w:rPr>
            </w:pPr>
            <w:r w:rsidRPr="00B15D72">
              <w:rPr>
                <w:b/>
                <w:bCs/>
              </w:rPr>
              <w:t xml:space="preserve">Commencement rate </w:t>
            </w:r>
            <w:r w:rsidRPr="00B15D72">
              <w:rPr>
                <w:b/>
                <w:bCs/>
              </w:rPr>
              <w:br/>
              <w:t>(initial infusion)</w:t>
            </w:r>
          </w:p>
        </w:tc>
        <w:tc>
          <w:tcPr>
            <w:tcW w:w="1723" w:type="dxa"/>
          </w:tcPr>
          <w:p w14:paraId="176256CF" w14:textId="77777777" w:rsidR="00D73D63" w:rsidRPr="00B15D72" w:rsidRDefault="00D73D63" w:rsidP="00C2243F">
            <w:pPr>
              <w:jc w:val="center"/>
            </w:pPr>
            <w:r w:rsidRPr="00B15D72">
              <w:t>0.25 mL/kg/</w:t>
            </w:r>
            <w:proofErr w:type="spellStart"/>
            <w:r w:rsidRPr="00B15D72">
              <w:t>hr</w:t>
            </w:r>
            <w:proofErr w:type="spellEnd"/>
          </w:p>
        </w:tc>
        <w:tc>
          <w:tcPr>
            <w:tcW w:w="8601" w:type="dxa"/>
            <w:gridSpan w:val="5"/>
          </w:tcPr>
          <w:p w14:paraId="32A8EF09" w14:textId="77777777" w:rsidR="00D73D63" w:rsidRPr="00B15D72" w:rsidRDefault="00D73D63" w:rsidP="00C2243F">
            <w:pPr>
              <w:jc w:val="center"/>
            </w:pPr>
            <w:r w:rsidRPr="00B15D72">
              <w:t>0.5 mL/kg/</w:t>
            </w:r>
            <w:proofErr w:type="spellStart"/>
            <w:r w:rsidRPr="00B15D72">
              <w:t>hr</w:t>
            </w:r>
            <w:proofErr w:type="spellEnd"/>
          </w:p>
        </w:tc>
        <w:tc>
          <w:tcPr>
            <w:tcW w:w="2551" w:type="dxa"/>
          </w:tcPr>
          <w:p w14:paraId="15E6E9B7" w14:textId="77777777" w:rsidR="00D73D63" w:rsidRPr="00B15D72" w:rsidRDefault="00D73D63" w:rsidP="00C2243F">
            <w:pPr>
              <w:jc w:val="center"/>
            </w:pPr>
            <w:r w:rsidRPr="00B15D72">
              <w:t>0.6 mL/kg/</w:t>
            </w:r>
            <w:proofErr w:type="spellStart"/>
            <w:r w:rsidRPr="00B15D72">
              <w:t>hr</w:t>
            </w:r>
            <w:proofErr w:type="spellEnd"/>
          </w:p>
        </w:tc>
      </w:tr>
      <w:tr w:rsidR="00D73D63" w14:paraId="51BF7B13" w14:textId="77777777" w:rsidTr="00E83CDC">
        <w:tc>
          <w:tcPr>
            <w:tcW w:w="2293" w:type="dxa"/>
            <w:vMerge w:val="restart"/>
          </w:tcPr>
          <w:p w14:paraId="7060404B" w14:textId="77777777" w:rsidR="00D73D63" w:rsidRPr="00B15D72" w:rsidRDefault="00D73D63" w:rsidP="00C2243F">
            <w:pPr>
              <w:jc w:val="center"/>
              <w:rPr>
                <w:b/>
                <w:bCs/>
              </w:rPr>
            </w:pPr>
          </w:p>
          <w:p w14:paraId="378F7D4D" w14:textId="77777777" w:rsidR="00D73D63" w:rsidRPr="00B15D72" w:rsidRDefault="00D73D63" w:rsidP="00C2243F">
            <w:pPr>
              <w:jc w:val="center"/>
              <w:rPr>
                <w:b/>
                <w:bCs/>
              </w:rPr>
            </w:pPr>
          </w:p>
          <w:p w14:paraId="16C6B6C9" w14:textId="77777777" w:rsidR="00D73D63" w:rsidRPr="00B15D72" w:rsidRDefault="00D73D63" w:rsidP="00C2243F">
            <w:pPr>
              <w:jc w:val="center"/>
              <w:rPr>
                <w:b/>
                <w:bCs/>
              </w:rPr>
            </w:pPr>
          </w:p>
          <w:p w14:paraId="605EFF41" w14:textId="77777777" w:rsidR="00D73D63" w:rsidRPr="00B15D72" w:rsidRDefault="00D73D63" w:rsidP="00C2243F">
            <w:pPr>
              <w:jc w:val="center"/>
              <w:rPr>
                <w:b/>
                <w:bCs/>
              </w:rPr>
            </w:pPr>
            <w:r w:rsidRPr="00B15D72">
              <w:rPr>
                <w:b/>
                <w:bCs/>
              </w:rPr>
              <w:t xml:space="preserve">Incremental rates: </w:t>
            </w:r>
            <w:r w:rsidRPr="00B15D72">
              <w:rPr>
                <w:b/>
                <w:bCs/>
              </w:rPr>
              <w:br/>
              <w:t>titrate up only if tolerated every 30 minutes</w:t>
            </w:r>
          </w:p>
        </w:tc>
        <w:tc>
          <w:tcPr>
            <w:tcW w:w="1723" w:type="dxa"/>
          </w:tcPr>
          <w:p w14:paraId="37735055" w14:textId="77777777" w:rsidR="00D73D63" w:rsidRPr="00B15D72" w:rsidRDefault="00D73D63" w:rsidP="00C2243F">
            <w:pPr>
              <w:jc w:val="center"/>
            </w:pPr>
            <w:r w:rsidRPr="00B15D72">
              <w:t>0.5 mL/kg/</w:t>
            </w:r>
            <w:proofErr w:type="spellStart"/>
            <w:r w:rsidRPr="00B15D72">
              <w:t>hr</w:t>
            </w:r>
            <w:proofErr w:type="spellEnd"/>
          </w:p>
        </w:tc>
        <w:tc>
          <w:tcPr>
            <w:tcW w:w="8601" w:type="dxa"/>
            <w:gridSpan w:val="5"/>
          </w:tcPr>
          <w:p w14:paraId="5DDDA00C" w14:textId="77777777" w:rsidR="00D73D63" w:rsidRPr="00B15D72" w:rsidRDefault="00D73D63" w:rsidP="00C2243F">
            <w:pPr>
              <w:jc w:val="center"/>
            </w:pPr>
            <w:r w:rsidRPr="00B15D72">
              <w:t>1 mL/kg/</w:t>
            </w:r>
            <w:proofErr w:type="spellStart"/>
            <w:r w:rsidRPr="00B15D72">
              <w:t>hr</w:t>
            </w:r>
            <w:proofErr w:type="spellEnd"/>
          </w:p>
        </w:tc>
        <w:tc>
          <w:tcPr>
            <w:tcW w:w="2551" w:type="dxa"/>
          </w:tcPr>
          <w:p w14:paraId="1A51DE07" w14:textId="77777777" w:rsidR="00D73D63" w:rsidRPr="00B15D72" w:rsidRDefault="00D73D63" w:rsidP="00C2243F">
            <w:pPr>
              <w:jc w:val="center"/>
            </w:pPr>
            <w:r w:rsidRPr="00B15D72">
              <w:t>1.2 mL/kg/</w:t>
            </w:r>
            <w:proofErr w:type="spellStart"/>
            <w:r w:rsidRPr="00B15D72">
              <w:t>hr</w:t>
            </w:r>
            <w:proofErr w:type="spellEnd"/>
          </w:p>
        </w:tc>
      </w:tr>
      <w:tr w:rsidR="00D73D63" w14:paraId="2F1E8458" w14:textId="77777777" w:rsidTr="00E83CDC">
        <w:tc>
          <w:tcPr>
            <w:tcW w:w="2293" w:type="dxa"/>
            <w:vMerge/>
          </w:tcPr>
          <w:p w14:paraId="39E15B26" w14:textId="77777777" w:rsidR="00D73D63" w:rsidRPr="00B15D72" w:rsidRDefault="00D73D63" w:rsidP="00C2243F">
            <w:pPr>
              <w:jc w:val="center"/>
              <w:rPr>
                <w:b/>
                <w:bCs/>
              </w:rPr>
            </w:pPr>
          </w:p>
        </w:tc>
        <w:tc>
          <w:tcPr>
            <w:tcW w:w="1723" w:type="dxa"/>
          </w:tcPr>
          <w:p w14:paraId="15729314" w14:textId="77777777" w:rsidR="00D73D63" w:rsidRPr="00B15D72" w:rsidRDefault="00D73D63" w:rsidP="00C2243F">
            <w:pPr>
              <w:jc w:val="center"/>
            </w:pPr>
            <w:r w:rsidRPr="00B15D72">
              <w:t>1.0 mL/kg/</w:t>
            </w:r>
            <w:proofErr w:type="spellStart"/>
            <w:r w:rsidRPr="00B15D72">
              <w:t>hr</w:t>
            </w:r>
            <w:proofErr w:type="spellEnd"/>
          </w:p>
        </w:tc>
        <w:tc>
          <w:tcPr>
            <w:tcW w:w="8601" w:type="dxa"/>
            <w:gridSpan w:val="5"/>
          </w:tcPr>
          <w:p w14:paraId="67812AAC" w14:textId="77777777" w:rsidR="00D73D63" w:rsidRPr="00B15D72" w:rsidRDefault="00D73D63" w:rsidP="00C2243F">
            <w:pPr>
              <w:jc w:val="center"/>
            </w:pPr>
            <w:r w:rsidRPr="00B15D72">
              <w:t>2 mL/kg/</w:t>
            </w:r>
            <w:proofErr w:type="spellStart"/>
            <w:r w:rsidRPr="00B15D72">
              <w:t>hr</w:t>
            </w:r>
            <w:proofErr w:type="spellEnd"/>
          </w:p>
        </w:tc>
        <w:tc>
          <w:tcPr>
            <w:tcW w:w="2551" w:type="dxa"/>
          </w:tcPr>
          <w:p w14:paraId="614F0277" w14:textId="77777777" w:rsidR="00D73D63" w:rsidRPr="00B15D72" w:rsidRDefault="00D73D63" w:rsidP="00C2243F">
            <w:pPr>
              <w:jc w:val="center"/>
            </w:pPr>
            <w:r w:rsidRPr="00B15D72">
              <w:t>1.8 mL/kg/</w:t>
            </w:r>
            <w:proofErr w:type="spellStart"/>
            <w:r w:rsidRPr="00B15D72">
              <w:t>hr</w:t>
            </w:r>
            <w:proofErr w:type="spellEnd"/>
          </w:p>
        </w:tc>
      </w:tr>
      <w:tr w:rsidR="00D73D63" w14:paraId="3F4F949D" w14:textId="77777777" w:rsidTr="00E83CDC">
        <w:tc>
          <w:tcPr>
            <w:tcW w:w="2293" w:type="dxa"/>
            <w:vMerge/>
          </w:tcPr>
          <w:p w14:paraId="40C7FA23" w14:textId="77777777" w:rsidR="00D73D63" w:rsidRPr="00B15D72" w:rsidRDefault="00D73D63" w:rsidP="00C2243F">
            <w:pPr>
              <w:jc w:val="center"/>
              <w:rPr>
                <w:b/>
                <w:bCs/>
              </w:rPr>
            </w:pPr>
          </w:p>
        </w:tc>
        <w:tc>
          <w:tcPr>
            <w:tcW w:w="1723" w:type="dxa"/>
          </w:tcPr>
          <w:p w14:paraId="52D3E635" w14:textId="77777777" w:rsidR="00D73D63" w:rsidRPr="00B15D72" w:rsidRDefault="00D73D63" w:rsidP="00C2243F">
            <w:pPr>
              <w:jc w:val="center"/>
            </w:pPr>
            <w:r w:rsidRPr="00B15D72">
              <w:t>1.5 mL/kg/</w:t>
            </w:r>
            <w:proofErr w:type="spellStart"/>
            <w:r w:rsidRPr="00B15D72">
              <w:t>hr</w:t>
            </w:r>
            <w:proofErr w:type="spellEnd"/>
          </w:p>
        </w:tc>
        <w:tc>
          <w:tcPr>
            <w:tcW w:w="8601" w:type="dxa"/>
            <w:gridSpan w:val="5"/>
          </w:tcPr>
          <w:p w14:paraId="263362C3" w14:textId="77777777" w:rsidR="00D73D63" w:rsidRPr="00B15D72" w:rsidRDefault="00D73D63" w:rsidP="00C2243F">
            <w:pPr>
              <w:jc w:val="center"/>
            </w:pPr>
            <w:r w:rsidRPr="00B15D72">
              <w:t>4 mL/kg/</w:t>
            </w:r>
            <w:proofErr w:type="spellStart"/>
            <w:r w:rsidRPr="00B15D72">
              <w:t>hr</w:t>
            </w:r>
            <w:proofErr w:type="spellEnd"/>
          </w:p>
        </w:tc>
        <w:tc>
          <w:tcPr>
            <w:tcW w:w="2551" w:type="dxa"/>
          </w:tcPr>
          <w:p w14:paraId="1C608EB6" w14:textId="77777777" w:rsidR="00D73D63" w:rsidRPr="00B15D72" w:rsidRDefault="00D73D63" w:rsidP="00C2243F">
            <w:pPr>
              <w:jc w:val="center"/>
            </w:pPr>
            <w:r w:rsidRPr="00B15D72">
              <w:t>2.4 mL/kg/</w:t>
            </w:r>
            <w:proofErr w:type="spellStart"/>
            <w:r w:rsidRPr="00B15D72">
              <w:t>hr</w:t>
            </w:r>
            <w:proofErr w:type="spellEnd"/>
          </w:p>
        </w:tc>
      </w:tr>
      <w:tr w:rsidR="00D73D63" w14:paraId="0B8B0775" w14:textId="77777777" w:rsidTr="00E83CDC">
        <w:tc>
          <w:tcPr>
            <w:tcW w:w="2293" w:type="dxa"/>
            <w:vMerge/>
          </w:tcPr>
          <w:p w14:paraId="6B052339" w14:textId="77777777" w:rsidR="00D73D63" w:rsidRPr="00B15D72" w:rsidRDefault="00D73D63" w:rsidP="00C2243F">
            <w:pPr>
              <w:jc w:val="center"/>
              <w:rPr>
                <w:b/>
                <w:bCs/>
              </w:rPr>
            </w:pPr>
          </w:p>
        </w:tc>
        <w:tc>
          <w:tcPr>
            <w:tcW w:w="1723" w:type="dxa"/>
          </w:tcPr>
          <w:p w14:paraId="3F2539E4" w14:textId="77777777" w:rsidR="00D73D63" w:rsidRPr="00B15D72" w:rsidRDefault="00D73D63" w:rsidP="00C2243F">
            <w:pPr>
              <w:jc w:val="center"/>
            </w:pPr>
            <w:r w:rsidRPr="00B15D72">
              <w:t>2.0 mL/kg/</w:t>
            </w:r>
            <w:proofErr w:type="spellStart"/>
            <w:r w:rsidRPr="00B15D72">
              <w:t>hr</w:t>
            </w:r>
            <w:proofErr w:type="spellEnd"/>
          </w:p>
        </w:tc>
        <w:tc>
          <w:tcPr>
            <w:tcW w:w="8601" w:type="dxa"/>
            <w:gridSpan w:val="5"/>
          </w:tcPr>
          <w:p w14:paraId="122AC728" w14:textId="77777777" w:rsidR="00D73D63" w:rsidRPr="00B15D72" w:rsidRDefault="00D73D63" w:rsidP="00C2243F">
            <w:pPr>
              <w:jc w:val="center"/>
            </w:pPr>
            <w:r w:rsidRPr="00B15D72">
              <w:t>6 mL/kg/</w:t>
            </w:r>
            <w:proofErr w:type="spellStart"/>
            <w:r w:rsidRPr="00B15D72">
              <w:t>hr</w:t>
            </w:r>
            <w:proofErr w:type="spellEnd"/>
          </w:p>
        </w:tc>
        <w:tc>
          <w:tcPr>
            <w:tcW w:w="2551" w:type="dxa"/>
          </w:tcPr>
          <w:p w14:paraId="0E270F85" w14:textId="77777777" w:rsidR="00D73D63" w:rsidRPr="00B15D72" w:rsidRDefault="00D73D63" w:rsidP="00C2243F">
            <w:pPr>
              <w:jc w:val="center"/>
            </w:pPr>
            <w:r w:rsidRPr="00B15D72">
              <w:t>3.0 mL/kg/</w:t>
            </w:r>
            <w:proofErr w:type="spellStart"/>
            <w:r w:rsidRPr="00B15D72">
              <w:t>hr</w:t>
            </w:r>
            <w:proofErr w:type="spellEnd"/>
          </w:p>
        </w:tc>
      </w:tr>
      <w:tr w:rsidR="00D73D63" w14:paraId="74892D7B" w14:textId="77777777" w:rsidTr="00E83CDC">
        <w:tc>
          <w:tcPr>
            <w:tcW w:w="2293" w:type="dxa"/>
            <w:vMerge/>
          </w:tcPr>
          <w:p w14:paraId="6FA9D86F" w14:textId="77777777" w:rsidR="00D73D63" w:rsidRPr="00B15D72" w:rsidRDefault="00D73D63" w:rsidP="00C2243F">
            <w:pPr>
              <w:jc w:val="center"/>
              <w:rPr>
                <w:b/>
                <w:bCs/>
              </w:rPr>
            </w:pPr>
          </w:p>
        </w:tc>
        <w:tc>
          <w:tcPr>
            <w:tcW w:w="1723" w:type="dxa"/>
          </w:tcPr>
          <w:p w14:paraId="61E11EB9" w14:textId="77777777" w:rsidR="00D73D63" w:rsidRPr="00B15D72" w:rsidRDefault="00D73D63" w:rsidP="00C2243F">
            <w:pPr>
              <w:jc w:val="center"/>
            </w:pPr>
            <w:r w:rsidRPr="00B15D72">
              <w:t>2.5 mL/kg/</w:t>
            </w:r>
            <w:proofErr w:type="spellStart"/>
            <w:r w:rsidRPr="00B15D72">
              <w:t>hr</w:t>
            </w:r>
            <w:proofErr w:type="spellEnd"/>
          </w:p>
        </w:tc>
        <w:tc>
          <w:tcPr>
            <w:tcW w:w="8601" w:type="dxa"/>
            <w:gridSpan w:val="5"/>
          </w:tcPr>
          <w:p w14:paraId="1464778D" w14:textId="77777777" w:rsidR="00D73D63" w:rsidRPr="00B15D72" w:rsidRDefault="00D73D63" w:rsidP="00C2243F">
            <w:pPr>
              <w:jc w:val="center"/>
            </w:pPr>
            <w:r w:rsidRPr="00B15D72">
              <w:t>7 mL/kg/</w:t>
            </w:r>
            <w:proofErr w:type="spellStart"/>
            <w:r w:rsidRPr="00B15D72">
              <w:t>hr</w:t>
            </w:r>
            <w:proofErr w:type="spellEnd"/>
            <w:r w:rsidRPr="00B15D72">
              <w:t xml:space="preserve"> [for remainder of infusion]</w:t>
            </w:r>
          </w:p>
        </w:tc>
        <w:tc>
          <w:tcPr>
            <w:tcW w:w="2551" w:type="dxa"/>
          </w:tcPr>
          <w:p w14:paraId="6D4B159E" w14:textId="77777777" w:rsidR="00D73D63" w:rsidRPr="00B15D72" w:rsidRDefault="00D73D63" w:rsidP="00C2243F">
            <w:pPr>
              <w:jc w:val="center"/>
            </w:pPr>
            <w:r w:rsidRPr="00B15D72">
              <w:t>3.6 mL/kg/</w:t>
            </w:r>
            <w:proofErr w:type="spellStart"/>
            <w:r w:rsidRPr="00B15D72">
              <w:t>hr</w:t>
            </w:r>
            <w:proofErr w:type="spellEnd"/>
          </w:p>
        </w:tc>
      </w:tr>
      <w:tr w:rsidR="00D73D63" w14:paraId="263C7480" w14:textId="77777777" w:rsidTr="00E83CDC">
        <w:tc>
          <w:tcPr>
            <w:tcW w:w="2293" w:type="dxa"/>
            <w:vMerge/>
          </w:tcPr>
          <w:p w14:paraId="4DA2B4DB" w14:textId="77777777" w:rsidR="00D73D63" w:rsidRPr="00B15D72" w:rsidRDefault="00D73D63" w:rsidP="00C2243F">
            <w:pPr>
              <w:jc w:val="center"/>
              <w:rPr>
                <w:b/>
                <w:bCs/>
              </w:rPr>
            </w:pPr>
          </w:p>
        </w:tc>
        <w:tc>
          <w:tcPr>
            <w:tcW w:w="1723" w:type="dxa"/>
          </w:tcPr>
          <w:p w14:paraId="7601020F" w14:textId="77777777" w:rsidR="00D73D63" w:rsidRPr="00B15D72" w:rsidRDefault="00D73D63" w:rsidP="00C2243F">
            <w:pPr>
              <w:jc w:val="center"/>
            </w:pPr>
          </w:p>
        </w:tc>
        <w:tc>
          <w:tcPr>
            <w:tcW w:w="8601" w:type="dxa"/>
            <w:gridSpan w:val="5"/>
          </w:tcPr>
          <w:p w14:paraId="1FB8E4C0" w14:textId="77777777" w:rsidR="00D73D63" w:rsidRPr="00B15D72" w:rsidRDefault="00D73D63" w:rsidP="00C2243F">
            <w:pPr>
              <w:jc w:val="center"/>
            </w:pPr>
          </w:p>
        </w:tc>
        <w:tc>
          <w:tcPr>
            <w:tcW w:w="2551" w:type="dxa"/>
          </w:tcPr>
          <w:p w14:paraId="132C516D" w14:textId="77777777" w:rsidR="00D73D63" w:rsidRPr="00B15D72" w:rsidRDefault="00D73D63" w:rsidP="00C2243F">
            <w:pPr>
              <w:jc w:val="center"/>
            </w:pPr>
            <w:r w:rsidRPr="00B15D72">
              <w:t>4.2 mL/kg/</w:t>
            </w:r>
            <w:proofErr w:type="spellStart"/>
            <w:r w:rsidRPr="00B15D72">
              <w:t>hr</w:t>
            </w:r>
            <w:proofErr w:type="spellEnd"/>
          </w:p>
        </w:tc>
      </w:tr>
      <w:tr w:rsidR="00D73D63" w14:paraId="4D91BB8F" w14:textId="77777777" w:rsidTr="00E83CDC">
        <w:tc>
          <w:tcPr>
            <w:tcW w:w="2293" w:type="dxa"/>
            <w:vMerge/>
          </w:tcPr>
          <w:p w14:paraId="784E2B49" w14:textId="77777777" w:rsidR="00D73D63" w:rsidRPr="00B15D72" w:rsidRDefault="00D73D63" w:rsidP="00C2243F">
            <w:pPr>
              <w:jc w:val="center"/>
              <w:rPr>
                <w:b/>
                <w:bCs/>
              </w:rPr>
            </w:pPr>
          </w:p>
        </w:tc>
        <w:tc>
          <w:tcPr>
            <w:tcW w:w="1723" w:type="dxa"/>
          </w:tcPr>
          <w:p w14:paraId="69DF9916" w14:textId="77777777" w:rsidR="00D73D63" w:rsidRPr="00B15D72" w:rsidRDefault="00D73D63" w:rsidP="00C2243F">
            <w:pPr>
              <w:jc w:val="center"/>
            </w:pPr>
          </w:p>
        </w:tc>
        <w:tc>
          <w:tcPr>
            <w:tcW w:w="8601" w:type="dxa"/>
            <w:gridSpan w:val="5"/>
          </w:tcPr>
          <w:p w14:paraId="4200CDB7" w14:textId="77777777" w:rsidR="00D73D63" w:rsidRPr="00B15D72" w:rsidRDefault="00D73D63" w:rsidP="00C2243F">
            <w:pPr>
              <w:jc w:val="center"/>
            </w:pPr>
          </w:p>
        </w:tc>
        <w:tc>
          <w:tcPr>
            <w:tcW w:w="2551" w:type="dxa"/>
          </w:tcPr>
          <w:p w14:paraId="33E0AE76" w14:textId="77777777" w:rsidR="00D73D63" w:rsidRPr="00B15D72" w:rsidRDefault="00D73D63" w:rsidP="00C2243F">
            <w:pPr>
              <w:jc w:val="center"/>
            </w:pPr>
            <w:r w:rsidRPr="00B15D72">
              <w:t>4.8 mL/kg/</w:t>
            </w:r>
            <w:proofErr w:type="spellStart"/>
            <w:r w:rsidRPr="00B15D72">
              <w:t>hr</w:t>
            </w:r>
            <w:proofErr w:type="spellEnd"/>
          </w:p>
        </w:tc>
      </w:tr>
      <w:tr w:rsidR="00D73D63" w14:paraId="56DBDE64" w14:textId="77777777" w:rsidTr="00E83CDC">
        <w:tc>
          <w:tcPr>
            <w:tcW w:w="2293" w:type="dxa"/>
            <w:vMerge/>
          </w:tcPr>
          <w:p w14:paraId="6AD53CDB" w14:textId="77777777" w:rsidR="00D73D63" w:rsidRPr="00B15D72" w:rsidRDefault="00D73D63" w:rsidP="00C2243F">
            <w:pPr>
              <w:jc w:val="center"/>
              <w:rPr>
                <w:b/>
                <w:bCs/>
              </w:rPr>
            </w:pPr>
          </w:p>
        </w:tc>
        <w:tc>
          <w:tcPr>
            <w:tcW w:w="1723" w:type="dxa"/>
          </w:tcPr>
          <w:p w14:paraId="118C8A95" w14:textId="77777777" w:rsidR="00D73D63" w:rsidRPr="00B15D72" w:rsidRDefault="00D73D63" w:rsidP="00C2243F">
            <w:pPr>
              <w:jc w:val="center"/>
            </w:pPr>
          </w:p>
        </w:tc>
        <w:tc>
          <w:tcPr>
            <w:tcW w:w="8601" w:type="dxa"/>
            <w:gridSpan w:val="5"/>
          </w:tcPr>
          <w:p w14:paraId="57AD34B1" w14:textId="77777777" w:rsidR="00D73D63" w:rsidRPr="00B15D72" w:rsidRDefault="00D73D63" w:rsidP="00C2243F">
            <w:pPr>
              <w:jc w:val="center"/>
            </w:pPr>
          </w:p>
        </w:tc>
        <w:tc>
          <w:tcPr>
            <w:tcW w:w="2551" w:type="dxa"/>
          </w:tcPr>
          <w:p w14:paraId="2ACB5DD8" w14:textId="77777777" w:rsidR="00D73D63" w:rsidRPr="00B15D72" w:rsidRDefault="00D73D63" w:rsidP="00C2243F">
            <w:pPr>
              <w:jc w:val="center"/>
            </w:pPr>
            <w:r w:rsidRPr="00B15D72">
              <w:t>5.4 mL/kg/</w:t>
            </w:r>
            <w:proofErr w:type="spellStart"/>
            <w:r w:rsidRPr="00B15D72">
              <w:t>hr</w:t>
            </w:r>
            <w:proofErr w:type="spellEnd"/>
          </w:p>
        </w:tc>
      </w:tr>
      <w:tr w:rsidR="00D73D63" w14:paraId="008B64BF" w14:textId="77777777" w:rsidTr="00E83CDC">
        <w:tc>
          <w:tcPr>
            <w:tcW w:w="2293" w:type="dxa"/>
            <w:vMerge/>
          </w:tcPr>
          <w:p w14:paraId="4BEF81A3" w14:textId="77777777" w:rsidR="00D73D63" w:rsidRPr="00B15D72" w:rsidRDefault="00D73D63" w:rsidP="00C2243F">
            <w:pPr>
              <w:jc w:val="center"/>
              <w:rPr>
                <w:b/>
                <w:bCs/>
              </w:rPr>
            </w:pPr>
          </w:p>
        </w:tc>
        <w:tc>
          <w:tcPr>
            <w:tcW w:w="1723" w:type="dxa"/>
          </w:tcPr>
          <w:p w14:paraId="3E4D25DA" w14:textId="77777777" w:rsidR="00D73D63" w:rsidRPr="00B15D72" w:rsidRDefault="00D73D63" w:rsidP="00C2243F">
            <w:pPr>
              <w:jc w:val="center"/>
            </w:pPr>
          </w:p>
        </w:tc>
        <w:tc>
          <w:tcPr>
            <w:tcW w:w="8601" w:type="dxa"/>
            <w:gridSpan w:val="5"/>
          </w:tcPr>
          <w:p w14:paraId="30B1FBA8" w14:textId="77777777" w:rsidR="00D73D63" w:rsidRPr="00B15D72" w:rsidRDefault="00D73D63" w:rsidP="00C2243F">
            <w:pPr>
              <w:jc w:val="center"/>
            </w:pPr>
          </w:p>
        </w:tc>
        <w:tc>
          <w:tcPr>
            <w:tcW w:w="2551" w:type="dxa"/>
          </w:tcPr>
          <w:p w14:paraId="37101F3E" w14:textId="77777777" w:rsidR="00D73D63" w:rsidRPr="00B15D72" w:rsidRDefault="00D73D63" w:rsidP="00C2243F">
            <w:pPr>
              <w:jc w:val="center"/>
            </w:pPr>
            <w:r w:rsidRPr="00B15D72">
              <w:t>6.0 mL/kg/</w:t>
            </w:r>
            <w:proofErr w:type="spellStart"/>
            <w:r w:rsidRPr="00B15D72">
              <w:t>hr</w:t>
            </w:r>
            <w:proofErr w:type="spellEnd"/>
          </w:p>
        </w:tc>
      </w:tr>
      <w:tr w:rsidR="00D73D63" w14:paraId="149756CC" w14:textId="77777777" w:rsidTr="00E83CDC">
        <w:tc>
          <w:tcPr>
            <w:tcW w:w="2293" w:type="dxa"/>
          </w:tcPr>
          <w:p w14:paraId="7EA490FB" w14:textId="77777777" w:rsidR="00D73D63" w:rsidRPr="00B15D72" w:rsidRDefault="00D73D63" w:rsidP="00C2243F">
            <w:pPr>
              <w:jc w:val="center"/>
              <w:rPr>
                <w:b/>
                <w:bCs/>
              </w:rPr>
            </w:pPr>
            <w:r w:rsidRPr="00B15D72">
              <w:rPr>
                <w:b/>
                <w:bCs/>
              </w:rPr>
              <w:t>Maximum rate for first infusion</w:t>
            </w:r>
          </w:p>
        </w:tc>
        <w:tc>
          <w:tcPr>
            <w:tcW w:w="10324" w:type="dxa"/>
            <w:gridSpan w:val="6"/>
          </w:tcPr>
          <w:p w14:paraId="0A5AE3BA" w14:textId="77777777" w:rsidR="00D73D63" w:rsidRPr="004802FE" w:rsidRDefault="00D73D63" w:rsidP="00C2243F">
            <w:pPr>
              <w:jc w:val="center"/>
              <w:rPr>
                <w:b/>
                <w:bCs/>
              </w:rPr>
            </w:pPr>
            <w:r w:rsidRPr="004802FE">
              <w:rPr>
                <w:b/>
                <w:bCs/>
              </w:rPr>
              <w:t>Do not exceed 150 mL/</w:t>
            </w:r>
            <w:proofErr w:type="spellStart"/>
            <w:r w:rsidRPr="004802FE">
              <w:rPr>
                <w:b/>
                <w:bCs/>
              </w:rPr>
              <w:t>hr</w:t>
            </w:r>
            <w:proofErr w:type="spellEnd"/>
          </w:p>
        </w:tc>
        <w:tc>
          <w:tcPr>
            <w:tcW w:w="2551" w:type="dxa"/>
          </w:tcPr>
          <w:p w14:paraId="5BDEFCDB" w14:textId="419B3917" w:rsidR="00D73D63" w:rsidRPr="004802FE" w:rsidRDefault="00D73D63" w:rsidP="00C2243F">
            <w:pPr>
              <w:jc w:val="center"/>
              <w:rPr>
                <w:b/>
                <w:bCs/>
              </w:rPr>
            </w:pPr>
            <w:r w:rsidRPr="004802FE">
              <w:rPr>
                <w:b/>
                <w:bCs/>
              </w:rPr>
              <w:t xml:space="preserve">Do not exceed </w:t>
            </w:r>
            <w:r w:rsidR="003F7B3E">
              <w:rPr>
                <w:b/>
                <w:bCs/>
              </w:rPr>
              <w:br/>
            </w:r>
            <w:r w:rsidRPr="004802FE">
              <w:rPr>
                <w:b/>
                <w:bCs/>
              </w:rPr>
              <w:t>300 mL/</w:t>
            </w:r>
            <w:proofErr w:type="spellStart"/>
            <w:r w:rsidRPr="004802FE">
              <w:rPr>
                <w:b/>
                <w:bCs/>
              </w:rPr>
              <w:t>hr</w:t>
            </w:r>
            <w:proofErr w:type="spellEnd"/>
          </w:p>
        </w:tc>
      </w:tr>
    </w:tbl>
    <w:p w14:paraId="0D3EAA3F" w14:textId="77777777" w:rsidR="00213984" w:rsidRDefault="00213984" w:rsidP="00213984">
      <w:pPr>
        <w:pStyle w:val="Heading5"/>
      </w:pPr>
      <w:r>
        <w:t>IVIg infusion rates for subsequent infusions</w:t>
      </w:r>
    </w:p>
    <w:p w14:paraId="3815F6D9" w14:textId="77777777" w:rsidR="00213984" w:rsidRPr="00213984" w:rsidRDefault="00213984" w:rsidP="00213984">
      <w:pPr>
        <w:pStyle w:val="Bullet"/>
      </w:pPr>
      <w:r w:rsidRPr="00213984">
        <w:t xml:space="preserve">Only follow this process if </w:t>
      </w:r>
      <w:r w:rsidRPr="00213984">
        <w:rPr>
          <w:b/>
          <w:bCs/>
        </w:rPr>
        <w:t>no adverse event</w:t>
      </w:r>
      <w:r w:rsidRPr="00213984">
        <w:t xml:space="preserve"> to the first infusion (e.g., absence of headache, fever, tachycardia, nausea, vomiting, pain, or significant BP or heart rate change during and within 72 hours of first infusion)</w:t>
      </w:r>
    </w:p>
    <w:p w14:paraId="3DABB301" w14:textId="77777777" w:rsidR="00213984" w:rsidRPr="00213984" w:rsidRDefault="00213984" w:rsidP="00213984">
      <w:pPr>
        <w:pStyle w:val="Bullet"/>
      </w:pPr>
      <w:r w:rsidRPr="00213984">
        <w:t>Where a patient has had prior adverse reactions to IVIg the prescriber may indicate a different infusion rate slower than these guidelines, on a patient specific basis.</w:t>
      </w:r>
    </w:p>
    <w:p w14:paraId="7EFF14D6" w14:textId="77777777" w:rsidR="00213984" w:rsidRPr="00213984" w:rsidRDefault="00213984" w:rsidP="00213984">
      <w:pPr>
        <w:pStyle w:val="Bullet"/>
      </w:pPr>
      <w:r w:rsidRPr="00213984">
        <w:t>Where a decision has been made for a slower infusion rate, this must be used in preference to the maximum rates in this procedure</w:t>
      </w:r>
    </w:p>
    <w:p w14:paraId="1ACF5007" w14:textId="77777777" w:rsidR="00213984" w:rsidRPr="00213984" w:rsidRDefault="00213984" w:rsidP="00213984">
      <w:pPr>
        <w:pStyle w:val="Bullet"/>
      </w:pPr>
      <w:r w:rsidRPr="00213984">
        <w:t xml:space="preserve">Subsequent bottles for all products can be administered at the rate of the previous bottle </w:t>
      </w:r>
      <w:r w:rsidRPr="00213984">
        <w:rPr>
          <w:b/>
          <w:bCs/>
        </w:rPr>
        <w:t>for the same admission</w:t>
      </w:r>
      <w:r w:rsidRPr="00213984">
        <w:t>.</w:t>
      </w:r>
    </w:p>
    <w:p w14:paraId="3FFE14D9" w14:textId="54F4CACB" w:rsidR="005513EB" w:rsidRDefault="005513EB" w:rsidP="00FC71DD">
      <w:pPr>
        <w:pStyle w:val="Tabletitle-numbered"/>
      </w:pPr>
      <w:bookmarkStart w:id="15" w:name="_Hlk181810610"/>
      <w:r>
        <w:t>IVIg infusion rates for subsequent infusions</w:t>
      </w:r>
      <w:r w:rsidR="0088713D">
        <w:t xml:space="preserve"> </w:t>
      </w:r>
      <w:r w:rsidR="00FC1302">
        <w:t>for patients</w:t>
      </w:r>
      <w:r w:rsidR="002E7AFA">
        <w:t xml:space="preserve"> for patients &gt; 10kg</w:t>
      </w:r>
    </w:p>
    <w:tbl>
      <w:tblPr>
        <w:tblStyle w:val="TableGrid"/>
        <w:tblW w:w="15168" w:type="dxa"/>
        <w:tblLook w:val="04A0" w:firstRow="1" w:lastRow="0" w:firstColumn="1" w:lastColumn="0" w:noHBand="0" w:noVBand="1"/>
      </w:tblPr>
      <w:tblGrid>
        <w:gridCol w:w="2291"/>
        <w:gridCol w:w="1723"/>
        <w:gridCol w:w="1655"/>
        <w:gridCol w:w="1559"/>
        <w:gridCol w:w="1701"/>
        <w:gridCol w:w="1560"/>
        <w:gridCol w:w="2129"/>
        <w:gridCol w:w="2550"/>
      </w:tblGrid>
      <w:tr w:rsidR="00D73D63" w:rsidRPr="004802FE" w14:paraId="05D1E1F4" w14:textId="77777777" w:rsidTr="00FC71DD">
        <w:tc>
          <w:tcPr>
            <w:tcW w:w="2291" w:type="dxa"/>
          </w:tcPr>
          <w:p w14:paraId="3A3EAC7A" w14:textId="77777777" w:rsidR="00D73D63" w:rsidRPr="004802FE" w:rsidRDefault="00D73D63" w:rsidP="00C2243F">
            <w:pPr>
              <w:jc w:val="center"/>
              <w:rPr>
                <w:b/>
                <w:bCs/>
              </w:rPr>
            </w:pPr>
            <w:r w:rsidRPr="004802FE">
              <w:rPr>
                <w:b/>
                <w:bCs/>
              </w:rPr>
              <w:t>Description</w:t>
            </w:r>
          </w:p>
        </w:tc>
        <w:tc>
          <w:tcPr>
            <w:tcW w:w="1723" w:type="dxa"/>
          </w:tcPr>
          <w:p w14:paraId="116BA2BC" w14:textId="77777777" w:rsidR="00D73D63" w:rsidRPr="004802FE" w:rsidRDefault="00D73D63" w:rsidP="00C2243F">
            <w:pPr>
              <w:rPr>
                <w:b/>
                <w:bCs/>
              </w:rPr>
            </w:pPr>
            <w:r w:rsidRPr="004802FE">
              <w:rPr>
                <w:b/>
                <w:bCs/>
              </w:rPr>
              <w:t>Privigen AU 10% (Domestic)</w:t>
            </w:r>
          </w:p>
        </w:tc>
        <w:tc>
          <w:tcPr>
            <w:tcW w:w="1655" w:type="dxa"/>
          </w:tcPr>
          <w:p w14:paraId="694EB4AD" w14:textId="77777777" w:rsidR="00D73D63" w:rsidRPr="004802FE" w:rsidRDefault="00D73D63" w:rsidP="00C2243F">
            <w:pPr>
              <w:rPr>
                <w:b/>
                <w:bCs/>
              </w:rPr>
            </w:pPr>
            <w:r w:rsidRPr="004802FE">
              <w:rPr>
                <w:b/>
                <w:bCs/>
              </w:rPr>
              <w:t>Privigen 10% (Imported)</w:t>
            </w:r>
          </w:p>
        </w:tc>
        <w:tc>
          <w:tcPr>
            <w:tcW w:w="1559" w:type="dxa"/>
          </w:tcPr>
          <w:p w14:paraId="0B763B66" w14:textId="77777777" w:rsidR="00D73D63" w:rsidRPr="004802FE" w:rsidRDefault="00D73D63" w:rsidP="00C2243F">
            <w:pPr>
              <w:rPr>
                <w:b/>
                <w:bCs/>
              </w:rPr>
            </w:pPr>
            <w:r w:rsidRPr="004802FE">
              <w:rPr>
                <w:b/>
                <w:bCs/>
              </w:rPr>
              <w:t>Kiovig 10% (Imported)</w:t>
            </w:r>
          </w:p>
        </w:tc>
        <w:tc>
          <w:tcPr>
            <w:tcW w:w="1701" w:type="dxa"/>
          </w:tcPr>
          <w:p w14:paraId="51D176C5" w14:textId="36BDB538" w:rsidR="00D73D63" w:rsidRPr="004802FE" w:rsidRDefault="00D73D63" w:rsidP="00C2243F">
            <w:pPr>
              <w:rPr>
                <w:b/>
                <w:bCs/>
              </w:rPr>
            </w:pPr>
            <w:r w:rsidRPr="004802FE">
              <w:rPr>
                <w:b/>
                <w:bCs/>
              </w:rPr>
              <w:t>Gamunex 10% (Imported</w:t>
            </w:r>
            <w:r w:rsidR="003768C5">
              <w:rPr>
                <w:b/>
                <w:bCs/>
              </w:rPr>
              <w:t>)</w:t>
            </w:r>
          </w:p>
        </w:tc>
        <w:tc>
          <w:tcPr>
            <w:tcW w:w="1560" w:type="dxa"/>
          </w:tcPr>
          <w:p w14:paraId="6BC63EAD" w14:textId="77777777" w:rsidR="00D73D63" w:rsidRPr="004802FE" w:rsidRDefault="00D73D63" w:rsidP="00C2243F">
            <w:pPr>
              <w:rPr>
                <w:b/>
                <w:bCs/>
              </w:rPr>
            </w:pPr>
            <w:r w:rsidRPr="004802FE">
              <w:rPr>
                <w:b/>
                <w:bCs/>
              </w:rPr>
              <w:t>Octagam 10% (Imported)</w:t>
            </w:r>
          </w:p>
        </w:tc>
        <w:tc>
          <w:tcPr>
            <w:tcW w:w="2129" w:type="dxa"/>
          </w:tcPr>
          <w:p w14:paraId="2F5F6E42" w14:textId="77777777" w:rsidR="00D73D63" w:rsidRPr="004802FE" w:rsidRDefault="00D73D63" w:rsidP="00C2243F">
            <w:pPr>
              <w:rPr>
                <w:b/>
                <w:bCs/>
              </w:rPr>
            </w:pPr>
            <w:r w:rsidRPr="004802FE">
              <w:rPr>
                <w:b/>
                <w:bCs/>
              </w:rPr>
              <w:t>Flebogamma 10% DIF (Imported)</w:t>
            </w:r>
          </w:p>
        </w:tc>
        <w:tc>
          <w:tcPr>
            <w:tcW w:w="2550" w:type="dxa"/>
          </w:tcPr>
          <w:p w14:paraId="7B1593BE" w14:textId="77777777" w:rsidR="00D73D63" w:rsidRPr="004802FE" w:rsidRDefault="00D73D63" w:rsidP="00C2243F">
            <w:pPr>
              <w:rPr>
                <w:b/>
                <w:bCs/>
              </w:rPr>
            </w:pPr>
            <w:r w:rsidRPr="004802FE">
              <w:rPr>
                <w:b/>
                <w:bCs/>
              </w:rPr>
              <w:t>Flebogamma 5% DIF (Imported)</w:t>
            </w:r>
          </w:p>
        </w:tc>
      </w:tr>
      <w:tr w:rsidR="00D73D63" w:rsidRPr="004802FE" w14:paraId="1130D44A" w14:textId="77777777" w:rsidTr="00FC71DD">
        <w:tc>
          <w:tcPr>
            <w:tcW w:w="2291" w:type="dxa"/>
          </w:tcPr>
          <w:p w14:paraId="5FD5FFEA" w14:textId="77777777" w:rsidR="00D73D63" w:rsidRPr="004802FE" w:rsidRDefault="00D73D63" w:rsidP="00C2243F">
            <w:pPr>
              <w:jc w:val="center"/>
              <w:rPr>
                <w:b/>
                <w:bCs/>
              </w:rPr>
            </w:pPr>
            <w:r w:rsidRPr="004802FE">
              <w:rPr>
                <w:b/>
                <w:bCs/>
              </w:rPr>
              <w:t xml:space="preserve">Commencement rate </w:t>
            </w:r>
            <w:r w:rsidRPr="004802FE">
              <w:rPr>
                <w:b/>
                <w:bCs/>
              </w:rPr>
              <w:br/>
              <w:t xml:space="preserve">(subsequent infusion) </w:t>
            </w:r>
            <w:r w:rsidRPr="004802FE">
              <w:rPr>
                <w:b/>
                <w:bCs/>
              </w:rPr>
              <w:br/>
              <w:t>for 30 minutes</w:t>
            </w:r>
          </w:p>
        </w:tc>
        <w:tc>
          <w:tcPr>
            <w:tcW w:w="10327" w:type="dxa"/>
            <w:gridSpan w:val="6"/>
          </w:tcPr>
          <w:p w14:paraId="2FC7AFA4" w14:textId="77777777" w:rsidR="00D73D63" w:rsidRPr="004802FE" w:rsidRDefault="00D73D63" w:rsidP="00C2243F">
            <w:pPr>
              <w:jc w:val="center"/>
            </w:pPr>
            <w:r w:rsidRPr="004802FE">
              <w:t>0.5 mL/kg/</w:t>
            </w:r>
            <w:proofErr w:type="spellStart"/>
            <w:r w:rsidRPr="004802FE">
              <w:t>hr</w:t>
            </w:r>
            <w:proofErr w:type="spellEnd"/>
          </w:p>
        </w:tc>
        <w:tc>
          <w:tcPr>
            <w:tcW w:w="2550" w:type="dxa"/>
          </w:tcPr>
          <w:p w14:paraId="1AA9F52E" w14:textId="77777777" w:rsidR="00D73D63" w:rsidRPr="004802FE" w:rsidRDefault="00D73D63" w:rsidP="00C2243F">
            <w:pPr>
              <w:jc w:val="center"/>
            </w:pPr>
          </w:p>
          <w:p w14:paraId="052FADF2" w14:textId="77777777" w:rsidR="00D73D63" w:rsidRPr="004802FE" w:rsidRDefault="00D73D63" w:rsidP="00C2243F">
            <w:pPr>
              <w:jc w:val="center"/>
            </w:pPr>
            <w:r w:rsidRPr="004802FE">
              <w:t>1 mL/kg/</w:t>
            </w:r>
            <w:proofErr w:type="spellStart"/>
            <w:r w:rsidRPr="004802FE">
              <w:t>hr</w:t>
            </w:r>
            <w:proofErr w:type="spellEnd"/>
            <w:r w:rsidRPr="004802FE">
              <w:t xml:space="preserve"> </w:t>
            </w:r>
          </w:p>
        </w:tc>
      </w:tr>
      <w:tr w:rsidR="00D73D63" w:rsidRPr="004802FE" w14:paraId="5D53E8CB" w14:textId="77777777" w:rsidTr="00FC71DD">
        <w:tc>
          <w:tcPr>
            <w:tcW w:w="2291" w:type="dxa"/>
            <w:vMerge w:val="restart"/>
          </w:tcPr>
          <w:p w14:paraId="194CD747" w14:textId="77777777" w:rsidR="00D73D63" w:rsidRPr="004802FE" w:rsidRDefault="00D73D63" w:rsidP="00C2243F">
            <w:pPr>
              <w:jc w:val="center"/>
              <w:rPr>
                <w:b/>
                <w:bCs/>
              </w:rPr>
            </w:pPr>
            <w:r w:rsidRPr="004802FE">
              <w:rPr>
                <w:b/>
                <w:bCs/>
              </w:rPr>
              <w:lastRenderedPageBreak/>
              <w:t xml:space="preserve">Incremental rates: </w:t>
            </w:r>
            <w:r w:rsidRPr="004802FE">
              <w:rPr>
                <w:b/>
                <w:bCs/>
              </w:rPr>
              <w:br/>
              <w:t>titrate accordingly only if tolerated every 30 minutes</w:t>
            </w:r>
          </w:p>
        </w:tc>
        <w:tc>
          <w:tcPr>
            <w:tcW w:w="1723" w:type="dxa"/>
          </w:tcPr>
          <w:p w14:paraId="33EB81B4" w14:textId="77777777" w:rsidR="00D73D63" w:rsidRPr="004802FE" w:rsidRDefault="00D73D63" w:rsidP="00C2243F">
            <w:pPr>
              <w:jc w:val="center"/>
            </w:pPr>
            <w:r w:rsidRPr="004802FE">
              <w:t>1.0 mL/kg/</w:t>
            </w:r>
            <w:proofErr w:type="spellStart"/>
            <w:r w:rsidRPr="004802FE">
              <w:t>hr</w:t>
            </w:r>
            <w:proofErr w:type="spellEnd"/>
          </w:p>
        </w:tc>
        <w:tc>
          <w:tcPr>
            <w:tcW w:w="8604" w:type="dxa"/>
            <w:gridSpan w:val="5"/>
          </w:tcPr>
          <w:p w14:paraId="6CDBB818" w14:textId="77777777" w:rsidR="00D73D63" w:rsidRPr="004802FE" w:rsidRDefault="00D73D63" w:rsidP="00C2243F">
            <w:pPr>
              <w:jc w:val="center"/>
            </w:pPr>
            <w:r w:rsidRPr="004802FE">
              <w:t>1 mL/kg/</w:t>
            </w:r>
            <w:proofErr w:type="spellStart"/>
            <w:r w:rsidRPr="004802FE">
              <w:t>hr</w:t>
            </w:r>
            <w:proofErr w:type="spellEnd"/>
          </w:p>
        </w:tc>
        <w:tc>
          <w:tcPr>
            <w:tcW w:w="2550" w:type="dxa"/>
          </w:tcPr>
          <w:p w14:paraId="44326B87" w14:textId="77777777" w:rsidR="00D73D63" w:rsidRPr="004802FE" w:rsidRDefault="00D73D63" w:rsidP="00C2243F">
            <w:pPr>
              <w:jc w:val="center"/>
            </w:pPr>
            <w:r w:rsidRPr="004802FE">
              <w:t>2 mL/kg/</w:t>
            </w:r>
            <w:proofErr w:type="spellStart"/>
            <w:r w:rsidRPr="004802FE">
              <w:t>hr</w:t>
            </w:r>
            <w:proofErr w:type="spellEnd"/>
          </w:p>
        </w:tc>
      </w:tr>
      <w:tr w:rsidR="00D73D63" w:rsidRPr="004802FE" w14:paraId="23F270F8" w14:textId="77777777" w:rsidTr="00FC71DD">
        <w:tc>
          <w:tcPr>
            <w:tcW w:w="2291" w:type="dxa"/>
            <w:vMerge/>
          </w:tcPr>
          <w:p w14:paraId="771689E9" w14:textId="77777777" w:rsidR="00D73D63" w:rsidRPr="004802FE" w:rsidRDefault="00D73D63" w:rsidP="00C2243F">
            <w:pPr>
              <w:jc w:val="center"/>
              <w:rPr>
                <w:b/>
                <w:bCs/>
              </w:rPr>
            </w:pPr>
          </w:p>
        </w:tc>
        <w:tc>
          <w:tcPr>
            <w:tcW w:w="1723" w:type="dxa"/>
          </w:tcPr>
          <w:p w14:paraId="36B5AB80" w14:textId="77777777" w:rsidR="00D73D63" w:rsidRPr="004802FE" w:rsidRDefault="00D73D63" w:rsidP="00C2243F">
            <w:pPr>
              <w:jc w:val="center"/>
            </w:pPr>
            <w:r w:rsidRPr="004802FE">
              <w:t>1.5 mL/kg/</w:t>
            </w:r>
            <w:proofErr w:type="spellStart"/>
            <w:r w:rsidRPr="004802FE">
              <w:t>hr</w:t>
            </w:r>
            <w:proofErr w:type="spellEnd"/>
          </w:p>
        </w:tc>
        <w:tc>
          <w:tcPr>
            <w:tcW w:w="8604" w:type="dxa"/>
            <w:gridSpan w:val="5"/>
          </w:tcPr>
          <w:p w14:paraId="72813114" w14:textId="77777777" w:rsidR="00D73D63" w:rsidRPr="004802FE" w:rsidRDefault="00D73D63" w:rsidP="00C2243F">
            <w:pPr>
              <w:jc w:val="center"/>
            </w:pPr>
            <w:r w:rsidRPr="004802FE">
              <w:t>2 mL/kg/</w:t>
            </w:r>
            <w:proofErr w:type="spellStart"/>
            <w:r w:rsidRPr="004802FE">
              <w:t>hr</w:t>
            </w:r>
            <w:proofErr w:type="spellEnd"/>
            <w:r w:rsidRPr="004802FE">
              <w:t xml:space="preserve"> </w:t>
            </w:r>
          </w:p>
        </w:tc>
        <w:tc>
          <w:tcPr>
            <w:tcW w:w="2550" w:type="dxa"/>
          </w:tcPr>
          <w:p w14:paraId="6144B577" w14:textId="77777777" w:rsidR="00D73D63" w:rsidRPr="004802FE" w:rsidRDefault="00D73D63" w:rsidP="00C2243F">
            <w:pPr>
              <w:jc w:val="center"/>
            </w:pPr>
            <w:r w:rsidRPr="004802FE">
              <w:t>4 mL/kg/</w:t>
            </w:r>
            <w:proofErr w:type="spellStart"/>
            <w:r w:rsidRPr="004802FE">
              <w:t>hr</w:t>
            </w:r>
            <w:proofErr w:type="spellEnd"/>
          </w:p>
        </w:tc>
      </w:tr>
      <w:tr w:rsidR="00D73D63" w:rsidRPr="004802FE" w14:paraId="5222108C" w14:textId="77777777" w:rsidTr="00FC71DD">
        <w:tc>
          <w:tcPr>
            <w:tcW w:w="2291" w:type="dxa"/>
            <w:vMerge/>
          </w:tcPr>
          <w:p w14:paraId="26E4B2A9" w14:textId="77777777" w:rsidR="00D73D63" w:rsidRPr="004802FE" w:rsidRDefault="00D73D63" w:rsidP="00C2243F">
            <w:pPr>
              <w:jc w:val="center"/>
              <w:rPr>
                <w:b/>
                <w:bCs/>
              </w:rPr>
            </w:pPr>
          </w:p>
        </w:tc>
        <w:tc>
          <w:tcPr>
            <w:tcW w:w="1723" w:type="dxa"/>
          </w:tcPr>
          <w:p w14:paraId="2EA6CBB2" w14:textId="77777777" w:rsidR="00D73D63" w:rsidRPr="004802FE" w:rsidRDefault="00D73D63" w:rsidP="00C2243F">
            <w:pPr>
              <w:jc w:val="center"/>
            </w:pPr>
            <w:r w:rsidRPr="004802FE">
              <w:t>2.0 mL/kg/</w:t>
            </w:r>
            <w:proofErr w:type="spellStart"/>
            <w:r w:rsidRPr="004802FE">
              <w:t>hr</w:t>
            </w:r>
            <w:proofErr w:type="spellEnd"/>
          </w:p>
        </w:tc>
        <w:tc>
          <w:tcPr>
            <w:tcW w:w="8604" w:type="dxa"/>
            <w:gridSpan w:val="5"/>
          </w:tcPr>
          <w:p w14:paraId="4FE13E62" w14:textId="77777777" w:rsidR="00D73D63" w:rsidRPr="004802FE" w:rsidRDefault="00D73D63" w:rsidP="00C2243F">
            <w:pPr>
              <w:jc w:val="center"/>
            </w:pPr>
            <w:r w:rsidRPr="004802FE">
              <w:t>3 mL/kg/</w:t>
            </w:r>
            <w:proofErr w:type="spellStart"/>
            <w:r w:rsidRPr="004802FE">
              <w:t>hr</w:t>
            </w:r>
            <w:proofErr w:type="spellEnd"/>
          </w:p>
        </w:tc>
        <w:tc>
          <w:tcPr>
            <w:tcW w:w="2550" w:type="dxa"/>
          </w:tcPr>
          <w:p w14:paraId="0F2323D3" w14:textId="77777777" w:rsidR="00D73D63" w:rsidRPr="004802FE" w:rsidRDefault="00D73D63" w:rsidP="00C2243F">
            <w:pPr>
              <w:jc w:val="center"/>
            </w:pPr>
            <w:r w:rsidRPr="004802FE">
              <w:t>6 mL/kg/</w:t>
            </w:r>
            <w:proofErr w:type="spellStart"/>
            <w:r w:rsidRPr="004802FE">
              <w:t>hr</w:t>
            </w:r>
            <w:proofErr w:type="spellEnd"/>
          </w:p>
        </w:tc>
      </w:tr>
      <w:tr w:rsidR="00D73D63" w:rsidRPr="004802FE" w14:paraId="7A8C844A" w14:textId="77777777" w:rsidTr="00FC71DD">
        <w:tc>
          <w:tcPr>
            <w:tcW w:w="2291" w:type="dxa"/>
            <w:vMerge/>
          </w:tcPr>
          <w:p w14:paraId="7FE19BDA" w14:textId="77777777" w:rsidR="00D73D63" w:rsidRPr="004802FE" w:rsidRDefault="00D73D63" w:rsidP="00C2243F">
            <w:pPr>
              <w:jc w:val="center"/>
              <w:rPr>
                <w:b/>
                <w:bCs/>
              </w:rPr>
            </w:pPr>
          </w:p>
        </w:tc>
        <w:tc>
          <w:tcPr>
            <w:tcW w:w="1723" w:type="dxa"/>
          </w:tcPr>
          <w:p w14:paraId="0D2507F7" w14:textId="77777777" w:rsidR="00D73D63" w:rsidRPr="004802FE" w:rsidRDefault="00D73D63" w:rsidP="00C2243F">
            <w:pPr>
              <w:jc w:val="center"/>
            </w:pPr>
            <w:r w:rsidRPr="004802FE">
              <w:t>2.5 mL/kg/</w:t>
            </w:r>
            <w:proofErr w:type="spellStart"/>
            <w:r w:rsidRPr="004802FE">
              <w:t>hr</w:t>
            </w:r>
            <w:proofErr w:type="spellEnd"/>
          </w:p>
        </w:tc>
        <w:tc>
          <w:tcPr>
            <w:tcW w:w="8604" w:type="dxa"/>
            <w:gridSpan w:val="5"/>
          </w:tcPr>
          <w:p w14:paraId="60AF3551" w14:textId="77777777" w:rsidR="00D73D63" w:rsidRPr="004802FE" w:rsidRDefault="00D73D63" w:rsidP="00C2243F">
            <w:pPr>
              <w:jc w:val="center"/>
            </w:pPr>
          </w:p>
        </w:tc>
        <w:tc>
          <w:tcPr>
            <w:tcW w:w="2550" w:type="dxa"/>
          </w:tcPr>
          <w:p w14:paraId="3C9D532C" w14:textId="77777777" w:rsidR="00D73D63" w:rsidRPr="004802FE" w:rsidRDefault="00D73D63" w:rsidP="00C2243F">
            <w:pPr>
              <w:jc w:val="center"/>
            </w:pPr>
          </w:p>
        </w:tc>
      </w:tr>
      <w:tr w:rsidR="00D73D63" w:rsidRPr="004802FE" w14:paraId="750011BD" w14:textId="77777777" w:rsidTr="00FC71DD">
        <w:tc>
          <w:tcPr>
            <w:tcW w:w="2291" w:type="dxa"/>
          </w:tcPr>
          <w:p w14:paraId="7BBC0BC2" w14:textId="00614414" w:rsidR="00D73D63" w:rsidRPr="004802FE" w:rsidRDefault="00D73D63" w:rsidP="00C2243F">
            <w:pPr>
              <w:jc w:val="center"/>
              <w:rPr>
                <w:b/>
                <w:bCs/>
              </w:rPr>
            </w:pPr>
            <w:r w:rsidRPr="004802FE">
              <w:rPr>
                <w:b/>
                <w:bCs/>
              </w:rPr>
              <w:t>Maximum rate</w:t>
            </w:r>
          </w:p>
        </w:tc>
        <w:tc>
          <w:tcPr>
            <w:tcW w:w="1723" w:type="dxa"/>
          </w:tcPr>
          <w:p w14:paraId="781BFB7F" w14:textId="6D56DF1D" w:rsidR="00D73D63" w:rsidRPr="007D5322" w:rsidRDefault="00D73D63" w:rsidP="00C2243F">
            <w:pPr>
              <w:jc w:val="center"/>
              <w:rPr>
                <w:b/>
                <w:bCs/>
              </w:rPr>
            </w:pPr>
            <w:r w:rsidRPr="007D5322">
              <w:rPr>
                <w:b/>
                <w:bCs/>
              </w:rPr>
              <w:t xml:space="preserve">Do not exceed </w:t>
            </w:r>
            <w:r w:rsidR="003F7B3E">
              <w:rPr>
                <w:b/>
                <w:bCs/>
              </w:rPr>
              <w:br/>
            </w:r>
            <w:r w:rsidRPr="007D5322">
              <w:rPr>
                <w:b/>
                <w:bCs/>
              </w:rPr>
              <w:t>240 mL/</w:t>
            </w:r>
            <w:proofErr w:type="spellStart"/>
            <w:r w:rsidRPr="007D5322">
              <w:rPr>
                <w:b/>
                <w:bCs/>
              </w:rPr>
              <w:t>hr</w:t>
            </w:r>
            <w:proofErr w:type="spellEnd"/>
          </w:p>
        </w:tc>
        <w:tc>
          <w:tcPr>
            <w:tcW w:w="8604" w:type="dxa"/>
            <w:gridSpan w:val="5"/>
          </w:tcPr>
          <w:p w14:paraId="648C383C" w14:textId="77777777" w:rsidR="00D73D63" w:rsidRPr="007D5322" w:rsidRDefault="00D73D63" w:rsidP="00C2243F">
            <w:pPr>
              <w:jc w:val="center"/>
              <w:rPr>
                <w:b/>
                <w:bCs/>
              </w:rPr>
            </w:pPr>
            <w:r w:rsidRPr="007D5322">
              <w:rPr>
                <w:b/>
                <w:bCs/>
              </w:rPr>
              <w:t>Do not exceed 700 mL/</w:t>
            </w:r>
            <w:proofErr w:type="spellStart"/>
            <w:r w:rsidRPr="007D5322">
              <w:rPr>
                <w:b/>
                <w:bCs/>
              </w:rPr>
              <w:t>hr</w:t>
            </w:r>
            <w:proofErr w:type="spellEnd"/>
          </w:p>
        </w:tc>
        <w:tc>
          <w:tcPr>
            <w:tcW w:w="2550" w:type="dxa"/>
          </w:tcPr>
          <w:p w14:paraId="725654CC" w14:textId="055AC154" w:rsidR="00D73D63" w:rsidRPr="007D5322" w:rsidRDefault="00D73D63" w:rsidP="00C2243F">
            <w:pPr>
              <w:jc w:val="center"/>
              <w:rPr>
                <w:b/>
                <w:bCs/>
              </w:rPr>
            </w:pPr>
            <w:r w:rsidRPr="007D5322">
              <w:rPr>
                <w:b/>
                <w:bCs/>
              </w:rPr>
              <w:t xml:space="preserve">Do not exceed </w:t>
            </w:r>
            <w:r w:rsidR="003F7B3E">
              <w:rPr>
                <w:b/>
                <w:bCs/>
              </w:rPr>
              <w:br/>
            </w:r>
            <w:r w:rsidRPr="007D5322">
              <w:rPr>
                <w:b/>
                <w:bCs/>
              </w:rPr>
              <w:t>600 mL/</w:t>
            </w:r>
            <w:proofErr w:type="spellStart"/>
            <w:r w:rsidRPr="007D5322">
              <w:rPr>
                <w:b/>
                <w:bCs/>
              </w:rPr>
              <w:t>hr</w:t>
            </w:r>
            <w:proofErr w:type="spellEnd"/>
          </w:p>
        </w:tc>
      </w:tr>
    </w:tbl>
    <w:bookmarkEnd w:id="15"/>
    <w:p w14:paraId="1EB574C7" w14:textId="702F13E3" w:rsidR="00D73D63" w:rsidRDefault="00D73D63" w:rsidP="00D73D63">
      <w:r w:rsidRPr="004802FE">
        <w:t xml:space="preserve">For a detailed weight base dosage, refer to </w:t>
      </w:r>
      <w:r w:rsidR="006347D5" w:rsidRPr="00FC71DD">
        <w:t xml:space="preserve">Attachment </w:t>
      </w:r>
      <w:r w:rsidR="00A064D9">
        <w:t>5</w:t>
      </w:r>
      <w:r w:rsidR="006347D5" w:rsidRPr="00FC71DD">
        <w:t xml:space="preserve"> – IVIg </w:t>
      </w:r>
      <w:r w:rsidR="00F04C80">
        <w:t>Infusion rates.</w:t>
      </w:r>
    </w:p>
    <w:p w14:paraId="324DA62C" w14:textId="77777777" w:rsidR="00D73D63" w:rsidRDefault="00D73D63" w:rsidP="00D73D63">
      <w:pPr>
        <w:pStyle w:val="BodyCopy"/>
        <w:pBdr>
          <w:top w:val="single" w:sz="4" w:space="1" w:color="auto"/>
          <w:left w:val="single" w:sz="4" w:space="4" w:color="auto"/>
          <w:bottom w:val="single" w:sz="4" w:space="1" w:color="auto"/>
          <w:right w:val="single" w:sz="4" w:space="4" w:color="auto"/>
        </w:pBdr>
        <w:shd w:val="clear" w:color="auto" w:fill="FFFFFF" w:themeFill="background1"/>
        <w:rPr>
          <w:rStyle w:val="Bold"/>
        </w:rPr>
      </w:pPr>
      <w:r w:rsidRPr="005C5F49">
        <w:rPr>
          <w:rStyle w:val="Bold"/>
        </w:rPr>
        <w:t>Alert</w:t>
      </w:r>
    </w:p>
    <w:p w14:paraId="67ECC272" w14:textId="77777777" w:rsidR="004D46D3" w:rsidRPr="004D46D3" w:rsidRDefault="004D46D3" w:rsidP="00D73D63">
      <w:pPr>
        <w:pStyle w:val="BodyCopy"/>
        <w:pBdr>
          <w:top w:val="single" w:sz="4" w:space="1" w:color="auto"/>
          <w:left w:val="single" w:sz="4" w:space="4" w:color="auto"/>
          <w:bottom w:val="single" w:sz="4" w:space="1" w:color="auto"/>
          <w:right w:val="single" w:sz="4" w:space="4" w:color="auto"/>
        </w:pBdr>
        <w:shd w:val="clear" w:color="auto" w:fill="FFFFFF" w:themeFill="background1"/>
        <w:rPr>
          <w:rStyle w:val="Bold"/>
        </w:rPr>
      </w:pPr>
      <w:r w:rsidRPr="004D46D3">
        <w:rPr>
          <w:rStyle w:val="Bold"/>
        </w:rPr>
        <w:t>Patients less than 10kg (Paediatrics and Neonates)</w:t>
      </w:r>
    </w:p>
    <w:p w14:paraId="00EC6ECD" w14:textId="77777777" w:rsidR="00D73D63" w:rsidRPr="00694390" w:rsidRDefault="004D46D3" w:rsidP="00D73D63">
      <w:pPr>
        <w:pStyle w:val="Bullet"/>
        <w:pBdr>
          <w:top w:val="single" w:sz="4" w:space="1" w:color="auto"/>
          <w:left w:val="single" w:sz="4" w:space="4" w:color="auto"/>
          <w:bottom w:val="single" w:sz="4" w:space="1" w:color="auto"/>
          <w:right w:val="single" w:sz="4" w:space="4" w:color="auto"/>
        </w:pBdr>
        <w:shd w:val="clear" w:color="auto" w:fill="FFFFFF" w:themeFill="background1"/>
      </w:pPr>
      <w:r w:rsidRPr="00694390">
        <w:t>Patients weighing less than 10kg, a weight-based formula should be used to determine the rate of administration.</w:t>
      </w:r>
    </w:p>
    <w:p w14:paraId="74A2891C" w14:textId="38427692" w:rsidR="007A03A7" w:rsidRPr="00694390" w:rsidRDefault="007A03A7" w:rsidP="00D73D63">
      <w:pPr>
        <w:pStyle w:val="Bullet"/>
        <w:pBdr>
          <w:top w:val="single" w:sz="4" w:space="1" w:color="auto"/>
          <w:left w:val="single" w:sz="4" w:space="4" w:color="auto"/>
          <w:bottom w:val="single" w:sz="4" w:space="1" w:color="auto"/>
          <w:right w:val="single" w:sz="4" w:space="4" w:color="auto"/>
        </w:pBdr>
        <w:shd w:val="clear" w:color="auto" w:fill="FFFFFF" w:themeFill="background1"/>
      </w:pPr>
      <w:r w:rsidRPr="00694390">
        <w:t>Clinicians will enter the patient’s weight into BloodSTAR, this system has provisions built into account for ideal body weight adjusted dosing if required.</w:t>
      </w:r>
    </w:p>
    <w:p w14:paraId="4BA19010" w14:textId="75C5EA67" w:rsidR="007A03A7" w:rsidRPr="00694390" w:rsidRDefault="007A03A7" w:rsidP="00D73D63">
      <w:pPr>
        <w:pStyle w:val="Bullet"/>
        <w:pBdr>
          <w:top w:val="single" w:sz="4" w:space="1" w:color="auto"/>
          <w:left w:val="single" w:sz="4" w:space="4" w:color="auto"/>
          <w:bottom w:val="single" w:sz="4" w:space="1" w:color="auto"/>
          <w:right w:val="single" w:sz="4" w:space="4" w:color="auto"/>
        </w:pBdr>
        <w:shd w:val="clear" w:color="auto" w:fill="FFFFFF" w:themeFill="background1"/>
      </w:pPr>
      <w:r w:rsidRPr="00694390">
        <w:t>The dose (g) of IVIg prescribed will vary according to the indication</w:t>
      </w:r>
      <w:r w:rsidR="00F24A68" w:rsidRPr="00694390">
        <w:t xml:space="preserve"> (refer to the Australasian Neonatal Medicines Formulary (ANMF) website at </w:t>
      </w:r>
      <w:hyperlink r:id="rId28" w:history="1">
        <w:r w:rsidR="00F24A68" w:rsidRPr="00694390">
          <w:rPr>
            <w:rStyle w:val="Hyperlink"/>
          </w:rPr>
          <w:t>https://www.anmfonline.org/wp-content/uploads/2024/07/Immunoglobulin-IVIG_Privigen_ANMFv2.0_20240905.pdf</w:t>
        </w:r>
      </w:hyperlink>
      <w:r w:rsidR="00F24A68" w:rsidRPr="00694390">
        <w:t>)</w:t>
      </w:r>
      <w:r w:rsidRPr="00694390">
        <w:t>.</w:t>
      </w:r>
    </w:p>
    <w:p w14:paraId="4A2F4BE3" w14:textId="77777777" w:rsidR="003932AB" w:rsidRDefault="003932AB" w:rsidP="00FF3B71">
      <w:pPr>
        <w:pStyle w:val="BodyCopy"/>
      </w:pPr>
    </w:p>
    <w:p w14:paraId="09636AB8" w14:textId="122FADE8" w:rsidR="004D46D3" w:rsidRDefault="0028383D" w:rsidP="00FF3B71">
      <w:pPr>
        <w:pStyle w:val="BodyCopy"/>
        <w:rPr>
          <w:rStyle w:val="Hyperlink"/>
          <w:iCs w:val="0"/>
        </w:rPr>
        <w:sectPr w:rsidR="004D46D3" w:rsidSect="00D73D63">
          <w:pgSz w:w="16838" w:h="11906" w:orient="landscape" w:code="9"/>
          <w:pgMar w:top="851" w:right="970" w:bottom="1134" w:left="1134" w:header="284" w:footer="53" w:gutter="0"/>
          <w:cols w:space="708"/>
          <w:titlePg/>
          <w:docGrid w:linePitch="360"/>
        </w:sectPr>
      </w:pPr>
      <w:hyperlink w:anchor="_top" w:history="1">
        <w:r w:rsidR="00FF3B71" w:rsidRPr="00481A6C">
          <w:rPr>
            <w:rStyle w:val="Hyperlink"/>
            <w:iCs w:val="0"/>
          </w:rPr>
          <w:t>Back to Contents</w:t>
        </w:r>
      </w:hyperlink>
    </w:p>
    <w:p w14:paraId="4601C9D2" w14:textId="0D22405E" w:rsidR="004D46D3" w:rsidRDefault="004D46D3" w:rsidP="004D46D3">
      <w:pPr>
        <w:pStyle w:val="Heading4"/>
      </w:pPr>
      <w:bookmarkStart w:id="16" w:name="_Toc184739597"/>
      <w:r w:rsidRPr="0078367D">
        <w:lastRenderedPageBreak/>
        <w:t xml:space="preserve">Section </w:t>
      </w:r>
      <w:r>
        <w:t>10</w:t>
      </w:r>
      <w:r w:rsidRPr="0078367D">
        <w:t xml:space="preserve"> </w:t>
      </w:r>
      <w:r>
        <w:t>–</w:t>
      </w:r>
      <w:r w:rsidRPr="0078367D">
        <w:t xml:space="preserve"> </w:t>
      </w:r>
      <w:r>
        <w:t>Administering SCIg</w:t>
      </w:r>
      <w:bookmarkEnd w:id="16"/>
    </w:p>
    <w:p w14:paraId="0502B433" w14:textId="496C31AD" w:rsidR="00A603E3" w:rsidRDefault="00A603E3" w:rsidP="00A603E3">
      <w:pPr>
        <w:pStyle w:val="Heading5"/>
      </w:pPr>
      <w:r>
        <w:t>Contraindications</w:t>
      </w:r>
    </w:p>
    <w:p w14:paraId="11BBC141" w14:textId="4FDC7693" w:rsidR="00A603E3" w:rsidRDefault="00A603E3" w:rsidP="00A603E3">
      <w:pPr>
        <w:pStyle w:val="Bullet"/>
      </w:pPr>
      <w:r>
        <w:t>IgA deficient with anti-IgA antibodies</w:t>
      </w:r>
    </w:p>
    <w:p w14:paraId="6F732252" w14:textId="4BA84715" w:rsidR="00A603E3" w:rsidRDefault="00A603E3" w:rsidP="00A603E3">
      <w:pPr>
        <w:pStyle w:val="Bullet"/>
      </w:pPr>
      <w:r>
        <w:t>Have hereditary metabolic disorder of Hyperprolinemia Type I or II is contraindicated for Hizentra AU</w:t>
      </w:r>
    </w:p>
    <w:p w14:paraId="6011467F" w14:textId="756D08FD" w:rsidR="00A603E3" w:rsidRPr="00A603E3" w:rsidRDefault="00A603E3" w:rsidP="00A603E3">
      <w:pPr>
        <w:pStyle w:val="Heading5"/>
      </w:pPr>
      <w:r>
        <w:t>SCIg Infusions</w:t>
      </w:r>
    </w:p>
    <w:p w14:paraId="4DA84C60" w14:textId="58746991" w:rsidR="004D46D3" w:rsidRDefault="004D46D3" w:rsidP="004D46D3">
      <w:pPr>
        <w:pStyle w:val="BodyCopy"/>
      </w:pPr>
      <w:r>
        <w:t>SCIg infusions are self-administered by the patient or carer, by slowly injecting purified Ig into the subcutaneous tissue. It requires frequent administration at home (1-3 times per week to once a fortnight) delivered by a mechanical infusion pump or push method.</w:t>
      </w:r>
    </w:p>
    <w:p w14:paraId="4C86E12E" w14:textId="77777777" w:rsidR="004D46D3" w:rsidRPr="00C80E61" w:rsidRDefault="004D46D3" w:rsidP="004D46D3">
      <w:pPr>
        <w:pStyle w:val="Heading5"/>
      </w:pPr>
      <w:r w:rsidRPr="00C80E61">
        <w:t>Infusion sites</w:t>
      </w:r>
    </w:p>
    <w:p w14:paraId="6D798789" w14:textId="77777777" w:rsidR="004D46D3" w:rsidRDefault="004D46D3" w:rsidP="004D46D3">
      <w:pPr>
        <w:pStyle w:val="BodyCopy"/>
      </w:pPr>
      <w:r>
        <w:t>SCIg injection sites are usually around the lower abdomen (5cm away from the belly button), however the outer edge of the thigh or back of the upper arm may also be used. Multiple sites (2-4 lumens) can be used on a rotating basis, to reduce scar tissue developing. However, patients can use the same site for infusions to reduce local swelling and redness after an infusion.</w:t>
      </w:r>
    </w:p>
    <w:p w14:paraId="6A518D33" w14:textId="77777777" w:rsidR="004D46D3" w:rsidRPr="00E708D5" w:rsidRDefault="004D46D3" w:rsidP="004D46D3">
      <w:pPr>
        <w:pStyle w:val="Heading5"/>
      </w:pPr>
      <w:r w:rsidRPr="00E708D5">
        <w:t>SCIg Consumables</w:t>
      </w:r>
    </w:p>
    <w:p w14:paraId="55A2D63C" w14:textId="2603996C" w:rsidR="004D46D3" w:rsidRDefault="004D46D3" w:rsidP="004D46D3">
      <w:pPr>
        <w:pStyle w:val="BodyCopy"/>
      </w:pPr>
      <w:r>
        <w:t xml:space="preserve">Consumables related to a SCIg infusion </w:t>
      </w:r>
      <w:r w:rsidR="006347D5">
        <w:t xml:space="preserve">are </w:t>
      </w:r>
      <w:r>
        <w:t>patient specific. The table below is an example of which consumables a SCIg patient may use to undertake their infusions at home. At a minimum, and with no cost incurred to the patient, SCIg consumables are provided to the patient by CHS Haematology/Oncology/Immunology Outpatients:</w:t>
      </w:r>
    </w:p>
    <w:p w14:paraId="52BA003A" w14:textId="2FF4E241" w:rsidR="00EA401A" w:rsidRDefault="00EA401A" w:rsidP="00FC71DD">
      <w:pPr>
        <w:pStyle w:val="Tabletitle-numbered"/>
      </w:pPr>
      <w:r>
        <w:t>SCIg Consumables</w:t>
      </w:r>
    </w:p>
    <w:tbl>
      <w:tblPr>
        <w:tblStyle w:val="TableGrid"/>
        <w:tblW w:w="10060" w:type="dxa"/>
        <w:tblLook w:val="04A0" w:firstRow="1" w:lastRow="0" w:firstColumn="1" w:lastColumn="0" w:noHBand="0" w:noVBand="1"/>
      </w:tblPr>
      <w:tblGrid>
        <w:gridCol w:w="4673"/>
        <w:gridCol w:w="5387"/>
      </w:tblGrid>
      <w:tr w:rsidR="004D46D3" w14:paraId="7AE753F9" w14:textId="77777777" w:rsidTr="004D46D3">
        <w:tc>
          <w:tcPr>
            <w:tcW w:w="4673" w:type="dxa"/>
          </w:tcPr>
          <w:p w14:paraId="6301AD89" w14:textId="77777777" w:rsidR="004D46D3" w:rsidRPr="004D46D3" w:rsidRDefault="004D46D3" w:rsidP="00C2243F">
            <w:pPr>
              <w:pStyle w:val="ListBullet"/>
              <w:numPr>
                <w:ilvl w:val="0"/>
                <w:numId w:val="0"/>
              </w:numPr>
              <w:jc w:val="center"/>
              <w:rPr>
                <w:rStyle w:val="Bold"/>
              </w:rPr>
            </w:pPr>
            <w:r w:rsidRPr="004D46D3">
              <w:rPr>
                <w:rStyle w:val="Bold"/>
              </w:rPr>
              <w:t>Pump Delivery Method</w:t>
            </w:r>
          </w:p>
        </w:tc>
        <w:tc>
          <w:tcPr>
            <w:tcW w:w="5387" w:type="dxa"/>
          </w:tcPr>
          <w:p w14:paraId="526B56A2" w14:textId="77777777" w:rsidR="004D46D3" w:rsidRPr="004D46D3" w:rsidRDefault="004D46D3" w:rsidP="00C2243F">
            <w:pPr>
              <w:pStyle w:val="ListBullet"/>
              <w:numPr>
                <w:ilvl w:val="0"/>
                <w:numId w:val="0"/>
              </w:numPr>
              <w:jc w:val="center"/>
              <w:rPr>
                <w:rStyle w:val="Bold"/>
              </w:rPr>
            </w:pPr>
            <w:r w:rsidRPr="004D46D3">
              <w:rPr>
                <w:rStyle w:val="Bold"/>
              </w:rPr>
              <w:t>Manual Push Method</w:t>
            </w:r>
          </w:p>
        </w:tc>
      </w:tr>
      <w:tr w:rsidR="004D46D3" w14:paraId="7EF16FEE" w14:textId="77777777" w:rsidTr="004D46D3">
        <w:tc>
          <w:tcPr>
            <w:tcW w:w="4673" w:type="dxa"/>
          </w:tcPr>
          <w:p w14:paraId="178D7078" w14:textId="77777777" w:rsidR="004D46D3" w:rsidRDefault="004D46D3" w:rsidP="004D46D3">
            <w:pPr>
              <w:pStyle w:val="Bullet"/>
            </w:pPr>
            <w:r>
              <w:t xml:space="preserve">SCIg60 Infuser (EMED pump) with carry case </w:t>
            </w:r>
          </w:p>
        </w:tc>
        <w:tc>
          <w:tcPr>
            <w:tcW w:w="5387" w:type="dxa"/>
          </w:tcPr>
          <w:p w14:paraId="28206C8F" w14:textId="77777777" w:rsidR="004D46D3" w:rsidRDefault="004D46D3" w:rsidP="004D46D3">
            <w:pPr>
              <w:pStyle w:val="Bullet"/>
            </w:pPr>
            <w:r>
              <w:t>19G bevelled edge needle</w:t>
            </w:r>
          </w:p>
        </w:tc>
      </w:tr>
      <w:tr w:rsidR="004D46D3" w14:paraId="2D5C78AF" w14:textId="77777777" w:rsidTr="004D46D3">
        <w:tc>
          <w:tcPr>
            <w:tcW w:w="4673" w:type="dxa"/>
          </w:tcPr>
          <w:p w14:paraId="0F5FF054" w14:textId="77777777" w:rsidR="004D46D3" w:rsidRDefault="004D46D3" w:rsidP="004D46D3">
            <w:pPr>
              <w:pStyle w:val="Bullet"/>
            </w:pPr>
            <w:r>
              <w:t>Soft-glide SCIg Needle set, associated with the EMED pump</w:t>
            </w:r>
          </w:p>
        </w:tc>
        <w:tc>
          <w:tcPr>
            <w:tcW w:w="5387" w:type="dxa"/>
          </w:tcPr>
          <w:p w14:paraId="6E938B86" w14:textId="77777777" w:rsidR="004D46D3" w:rsidRDefault="004D46D3" w:rsidP="004D46D3">
            <w:pPr>
              <w:pStyle w:val="Bullet"/>
            </w:pPr>
            <w:r>
              <w:t xml:space="preserve">10mL Luer-Lok </w:t>
            </w:r>
            <w:r w:rsidRPr="005C4B30">
              <w:t>Syringe</w:t>
            </w:r>
            <w:r>
              <w:t>s</w:t>
            </w:r>
          </w:p>
        </w:tc>
      </w:tr>
      <w:tr w:rsidR="004D46D3" w14:paraId="5A94F569" w14:textId="77777777" w:rsidTr="004D46D3">
        <w:tc>
          <w:tcPr>
            <w:tcW w:w="4673" w:type="dxa"/>
          </w:tcPr>
          <w:p w14:paraId="4F8EA5B8" w14:textId="77777777" w:rsidR="004D46D3" w:rsidRDefault="004D46D3" w:rsidP="004D46D3">
            <w:pPr>
              <w:pStyle w:val="Bullet"/>
            </w:pPr>
            <w:r>
              <w:t>50mL Luer-Lok Syringe, associated with the EMED pump</w:t>
            </w:r>
          </w:p>
        </w:tc>
        <w:tc>
          <w:tcPr>
            <w:tcW w:w="5387" w:type="dxa"/>
          </w:tcPr>
          <w:p w14:paraId="2E785D03" w14:textId="77777777" w:rsidR="004D46D3" w:rsidRDefault="004D46D3" w:rsidP="004D46D3">
            <w:pPr>
              <w:pStyle w:val="Bullet"/>
            </w:pPr>
            <w:r>
              <w:t>20mL Luer-Lok Syringes</w:t>
            </w:r>
          </w:p>
        </w:tc>
      </w:tr>
      <w:tr w:rsidR="004D46D3" w14:paraId="3802A140" w14:textId="77777777" w:rsidTr="004D46D3">
        <w:tc>
          <w:tcPr>
            <w:tcW w:w="4673" w:type="dxa"/>
          </w:tcPr>
          <w:p w14:paraId="1F979543" w14:textId="77777777" w:rsidR="004D46D3" w:rsidRDefault="004D46D3" w:rsidP="004D46D3">
            <w:pPr>
              <w:pStyle w:val="Bullet"/>
            </w:pPr>
            <w:r>
              <w:t>VersaRate Plus Adjustable Flow Controller *optional for some SCIg patients</w:t>
            </w:r>
          </w:p>
        </w:tc>
        <w:tc>
          <w:tcPr>
            <w:tcW w:w="5387" w:type="dxa"/>
          </w:tcPr>
          <w:p w14:paraId="1545F632" w14:textId="77777777" w:rsidR="004D46D3" w:rsidRDefault="004D46D3" w:rsidP="004D46D3">
            <w:pPr>
              <w:pStyle w:val="Bullet"/>
            </w:pPr>
            <w:r w:rsidRPr="005C4B30">
              <w:t>Alcohol wipe</w:t>
            </w:r>
            <w:r>
              <w:t>s</w:t>
            </w:r>
          </w:p>
        </w:tc>
      </w:tr>
      <w:tr w:rsidR="004D46D3" w14:paraId="09ABC975" w14:textId="77777777" w:rsidTr="004D46D3">
        <w:tc>
          <w:tcPr>
            <w:tcW w:w="4673" w:type="dxa"/>
          </w:tcPr>
          <w:p w14:paraId="57F0D9DB" w14:textId="77777777" w:rsidR="004D46D3" w:rsidRDefault="004D46D3" w:rsidP="004D46D3">
            <w:pPr>
              <w:pStyle w:val="Bullet"/>
            </w:pPr>
            <w:r>
              <w:lastRenderedPageBreak/>
              <w:t>19G Hypodermic needle</w:t>
            </w:r>
          </w:p>
        </w:tc>
        <w:tc>
          <w:tcPr>
            <w:tcW w:w="5387" w:type="dxa"/>
          </w:tcPr>
          <w:p w14:paraId="4DE29CF2" w14:textId="77777777" w:rsidR="004D46D3" w:rsidRDefault="004D46D3" w:rsidP="004D46D3">
            <w:pPr>
              <w:pStyle w:val="Bullet"/>
            </w:pPr>
            <w:r>
              <w:t>Injection pad (IV pressure dots)</w:t>
            </w:r>
          </w:p>
        </w:tc>
      </w:tr>
      <w:tr w:rsidR="004D46D3" w14:paraId="0508B390" w14:textId="77777777" w:rsidTr="004D46D3">
        <w:tc>
          <w:tcPr>
            <w:tcW w:w="4673" w:type="dxa"/>
          </w:tcPr>
          <w:p w14:paraId="1E5C434E" w14:textId="77777777" w:rsidR="004D46D3" w:rsidRDefault="004D46D3" w:rsidP="004D46D3">
            <w:pPr>
              <w:pStyle w:val="Bullet"/>
            </w:pPr>
            <w:r>
              <w:t>Alcohol wipes</w:t>
            </w:r>
          </w:p>
        </w:tc>
        <w:tc>
          <w:tcPr>
            <w:tcW w:w="5387" w:type="dxa"/>
          </w:tcPr>
          <w:p w14:paraId="548ECAD8" w14:textId="77777777" w:rsidR="004D46D3" w:rsidRDefault="004D46D3" w:rsidP="004D46D3">
            <w:pPr>
              <w:pStyle w:val="Bullet"/>
            </w:pPr>
            <w:r>
              <w:t xml:space="preserve">Cotton pad with tape, or </w:t>
            </w:r>
            <w:r w:rsidRPr="005C4B30">
              <w:t xml:space="preserve">Occlusive dressing e.g. IV tegaderm/opsite (to secure the </w:t>
            </w:r>
            <w:r>
              <w:t>needle/line</w:t>
            </w:r>
            <w:r w:rsidRPr="005C4B30">
              <w:t>)</w:t>
            </w:r>
          </w:p>
        </w:tc>
      </w:tr>
      <w:tr w:rsidR="004D46D3" w14:paraId="62788B79" w14:textId="77777777" w:rsidTr="004D46D3">
        <w:tc>
          <w:tcPr>
            <w:tcW w:w="4673" w:type="dxa"/>
          </w:tcPr>
          <w:p w14:paraId="39DD4ECA" w14:textId="77777777" w:rsidR="004D46D3" w:rsidRDefault="004D46D3" w:rsidP="004D46D3">
            <w:pPr>
              <w:pStyle w:val="Bullet"/>
            </w:pPr>
            <w:r>
              <w:t>Injection pad (IV pressure dots)</w:t>
            </w:r>
          </w:p>
        </w:tc>
        <w:tc>
          <w:tcPr>
            <w:tcW w:w="5387" w:type="dxa"/>
          </w:tcPr>
          <w:p w14:paraId="7A246D0D" w14:textId="77777777" w:rsidR="004D46D3" w:rsidRDefault="004D46D3" w:rsidP="004D46D3">
            <w:pPr>
              <w:pStyle w:val="Bullet"/>
            </w:pPr>
            <w:r w:rsidRPr="005C4B30">
              <w:t xml:space="preserve">Retractable butterfly </w:t>
            </w:r>
            <w:r>
              <w:t>+/-</w:t>
            </w:r>
            <w:r w:rsidRPr="005C4B30">
              <w:t xml:space="preserve"> extension</w:t>
            </w:r>
            <w:r>
              <w:t>, or 24g dual line with subcutaneous needle set</w:t>
            </w:r>
          </w:p>
        </w:tc>
      </w:tr>
      <w:tr w:rsidR="004D46D3" w14:paraId="3AACA7E7" w14:textId="77777777" w:rsidTr="004D46D3">
        <w:tc>
          <w:tcPr>
            <w:tcW w:w="4673" w:type="dxa"/>
          </w:tcPr>
          <w:p w14:paraId="458B959F" w14:textId="77777777" w:rsidR="004D46D3" w:rsidRDefault="004D46D3" w:rsidP="004D46D3">
            <w:pPr>
              <w:pStyle w:val="Bullet"/>
            </w:pPr>
            <w:r>
              <w:t>Sharps container</w:t>
            </w:r>
          </w:p>
        </w:tc>
        <w:tc>
          <w:tcPr>
            <w:tcW w:w="5387" w:type="dxa"/>
          </w:tcPr>
          <w:p w14:paraId="16F7C77C" w14:textId="77777777" w:rsidR="004D46D3" w:rsidRDefault="004D46D3" w:rsidP="004D46D3">
            <w:pPr>
              <w:pStyle w:val="Bullet"/>
            </w:pPr>
            <w:r>
              <w:t>Red combi stoppers for syringes</w:t>
            </w:r>
          </w:p>
        </w:tc>
      </w:tr>
      <w:tr w:rsidR="004D46D3" w14:paraId="2F54045F" w14:textId="77777777" w:rsidTr="004D46D3">
        <w:tc>
          <w:tcPr>
            <w:tcW w:w="4673" w:type="dxa"/>
          </w:tcPr>
          <w:p w14:paraId="0CB22A2E" w14:textId="77777777" w:rsidR="004D46D3" w:rsidRDefault="004D46D3" w:rsidP="004D46D3">
            <w:pPr>
              <w:pStyle w:val="Bullet"/>
            </w:pPr>
            <w:r>
              <w:t>Patient Diary</w:t>
            </w:r>
          </w:p>
        </w:tc>
        <w:tc>
          <w:tcPr>
            <w:tcW w:w="5387" w:type="dxa"/>
          </w:tcPr>
          <w:p w14:paraId="2A08D159" w14:textId="77777777" w:rsidR="004D46D3" w:rsidRDefault="004D46D3" w:rsidP="004D46D3">
            <w:pPr>
              <w:pStyle w:val="Bullet"/>
            </w:pPr>
            <w:r>
              <w:t>Patient Diary</w:t>
            </w:r>
          </w:p>
        </w:tc>
      </w:tr>
      <w:tr w:rsidR="004D46D3" w14:paraId="51347A58" w14:textId="77777777" w:rsidTr="004D46D3">
        <w:tc>
          <w:tcPr>
            <w:tcW w:w="4673" w:type="dxa"/>
          </w:tcPr>
          <w:p w14:paraId="45387D77" w14:textId="77777777" w:rsidR="004D46D3" w:rsidRDefault="004D46D3" w:rsidP="004D46D3">
            <w:pPr>
              <w:pStyle w:val="Bullet"/>
            </w:pPr>
            <w:r>
              <w:t>Patient Esky</w:t>
            </w:r>
          </w:p>
        </w:tc>
        <w:tc>
          <w:tcPr>
            <w:tcW w:w="5387" w:type="dxa"/>
          </w:tcPr>
          <w:p w14:paraId="2332069D" w14:textId="77777777" w:rsidR="004D46D3" w:rsidRDefault="004D46D3" w:rsidP="004D46D3">
            <w:pPr>
              <w:pStyle w:val="Bullet"/>
            </w:pPr>
            <w:r>
              <w:t>Patient Esky</w:t>
            </w:r>
          </w:p>
        </w:tc>
      </w:tr>
      <w:tr w:rsidR="004D46D3" w14:paraId="36C52E6B" w14:textId="77777777" w:rsidTr="004D46D3">
        <w:tc>
          <w:tcPr>
            <w:tcW w:w="4673" w:type="dxa"/>
          </w:tcPr>
          <w:p w14:paraId="65465C7B" w14:textId="77777777" w:rsidR="004D46D3" w:rsidRDefault="004D46D3" w:rsidP="004D46D3">
            <w:pPr>
              <w:pStyle w:val="Bullet"/>
            </w:pPr>
            <w:r>
              <w:t>Cool pack</w:t>
            </w:r>
          </w:p>
        </w:tc>
        <w:tc>
          <w:tcPr>
            <w:tcW w:w="5387" w:type="dxa"/>
          </w:tcPr>
          <w:p w14:paraId="5756C4B5" w14:textId="77777777" w:rsidR="004D46D3" w:rsidRDefault="004D46D3" w:rsidP="004D46D3">
            <w:pPr>
              <w:pStyle w:val="Bullet"/>
            </w:pPr>
            <w:r>
              <w:t>Cool pack</w:t>
            </w:r>
          </w:p>
        </w:tc>
      </w:tr>
      <w:tr w:rsidR="004D46D3" w14:paraId="4C3551CD" w14:textId="77777777" w:rsidTr="004D46D3">
        <w:tc>
          <w:tcPr>
            <w:tcW w:w="4673" w:type="dxa"/>
          </w:tcPr>
          <w:p w14:paraId="45929078" w14:textId="77777777" w:rsidR="004D46D3" w:rsidRDefault="004D46D3" w:rsidP="004D46D3">
            <w:pPr>
              <w:pStyle w:val="Bullet"/>
            </w:pPr>
            <w:r>
              <w:t>Immunoglobulin Product</w:t>
            </w:r>
          </w:p>
        </w:tc>
        <w:tc>
          <w:tcPr>
            <w:tcW w:w="5387" w:type="dxa"/>
          </w:tcPr>
          <w:p w14:paraId="22BD1E04" w14:textId="77777777" w:rsidR="004D46D3" w:rsidRDefault="004D46D3" w:rsidP="004D46D3">
            <w:pPr>
              <w:pStyle w:val="Bullet"/>
            </w:pPr>
            <w:r>
              <w:t>Immunoglobulin Product</w:t>
            </w:r>
          </w:p>
        </w:tc>
      </w:tr>
    </w:tbl>
    <w:p w14:paraId="348FF0DA" w14:textId="77777777" w:rsidR="004D46D3" w:rsidRDefault="004D46D3" w:rsidP="00F00F6A">
      <w:pPr>
        <w:pStyle w:val="BodyCopy"/>
        <w:pBdr>
          <w:top w:val="single" w:sz="4" w:space="1" w:color="auto"/>
          <w:left w:val="single" w:sz="4" w:space="1" w:color="auto"/>
          <w:bottom w:val="single" w:sz="4" w:space="1" w:color="auto"/>
          <w:right w:val="single" w:sz="4" w:space="4" w:color="auto"/>
        </w:pBdr>
        <w:shd w:val="clear" w:color="auto" w:fill="FFFFFF" w:themeFill="background1"/>
        <w:rPr>
          <w:rStyle w:val="Bold"/>
        </w:rPr>
      </w:pPr>
      <w:r w:rsidRPr="005C5F49">
        <w:rPr>
          <w:rStyle w:val="Bold"/>
        </w:rPr>
        <w:t>Alert</w:t>
      </w:r>
    </w:p>
    <w:p w14:paraId="71C44A3E" w14:textId="368A09CF" w:rsidR="006347D5" w:rsidRPr="005C5F49" w:rsidRDefault="006347D5" w:rsidP="00F00F6A">
      <w:pPr>
        <w:pStyle w:val="BodyCopy"/>
        <w:pBdr>
          <w:top w:val="single" w:sz="4" w:space="1" w:color="auto"/>
          <w:left w:val="single" w:sz="4" w:space="1" w:color="auto"/>
          <w:bottom w:val="single" w:sz="4" w:space="1" w:color="auto"/>
          <w:right w:val="single" w:sz="4" w:space="4" w:color="auto"/>
        </w:pBdr>
        <w:shd w:val="clear" w:color="auto" w:fill="FFFFFF" w:themeFill="background1"/>
        <w:rPr>
          <w:rStyle w:val="Bold"/>
        </w:rPr>
      </w:pPr>
      <w:r>
        <w:t>Depending on which SCIg product is prescribed for the patient, the associated pharmaceutical company may also provide specific consumables associated with the patients SCIg infusion</w:t>
      </w:r>
    </w:p>
    <w:p w14:paraId="53FC3DCA" w14:textId="77777777" w:rsidR="004D46D3" w:rsidRDefault="004D46D3" w:rsidP="004D46D3">
      <w:pPr>
        <w:pStyle w:val="Heading5"/>
      </w:pPr>
      <w:r>
        <w:t>Induction program</w:t>
      </w:r>
    </w:p>
    <w:p w14:paraId="0EDB4108" w14:textId="1BEC2456" w:rsidR="004D46D3" w:rsidRPr="00835591" w:rsidRDefault="004D46D3" w:rsidP="004D46D3">
      <w:pPr>
        <w:rPr>
          <w:rFonts w:cs="Calibri"/>
        </w:rPr>
      </w:pPr>
      <w:r>
        <w:rPr>
          <w:rFonts w:asciiTheme="majorHAnsi" w:hAnsiTheme="majorHAnsi"/>
        </w:rPr>
        <w:t>SCIg Nurses will conduct the patient’s</w:t>
      </w:r>
      <w:r w:rsidR="00F5132C">
        <w:rPr>
          <w:rFonts w:asciiTheme="majorHAnsi" w:hAnsiTheme="majorHAnsi"/>
        </w:rPr>
        <w:t xml:space="preserve"> (with option of carer attendance)</w:t>
      </w:r>
      <w:r>
        <w:rPr>
          <w:rFonts w:asciiTheme="majorHAnsi" w:hAnsiTheme="majorHAnsi"/>
        </w:rPr>
        <w:t xml:space="preserve"> i</w:t>
      </w:r>
      <w:r w:rsidRPr="008846B1">
        <w:rPr>
          <w:rFonts w:asciiTheme="majorHAnsi" w:hAnsiTheme="majorHAnsi"/>
        </w:rPr>
        <w:t xml:space="preserve">nduction </w:t>
      </w:r>
      <w:r>
        <w:rPr>
          <w:rFonts w:asciiTheme="majorHAnsi" w:hAnsiTheme="majorHAnsi"/>
        </w:rPr>
        <w:t xml:space="preserve">(up to 4 sessions) </w:t>
      </w:r>
      <w:r w:rsidRPr="008846B1">
        <w:rPr>
          <w:rFonts w:asciiTheme="majorHAnsi" w:hAnsiTheme="majorHAnsi"/>
        </w:rPr>
        <w:t>and assessment of competency</w:t>
      </w:r>
      <w:r>
        <w:rPr>
          <w:rFonts w:asciiTheme="majorHAnsi" w:hAnsiTheme="majorHAnsi"/>
        </w:rPr>
        <w:t xml:space="preserve">, refer to </w:t>
      </w:r>
      <w:r w:rsidR="00F00F6A">
        <w:rPr>
          <w:bCs/>
        </w:rPr>
        <w:t>Attachment</w:t>
      </w:r>
      <w:r>
        <w:rPr>
          <w:rFonts w:asciiTheme="majorHAnsi" w:hAnsiTheme="majorHAnsi"/>
        </w:rPr>
        <w:t xml:space="preserve"> </w:t>
      </w:r>
      <w:r w:rsidR="00A064D9">
        <w:rPr>
          <w:rFonts w:asciiTheme="majorHAnsi" w:hAnsiTheme="majorHAnsi"/>
        </w:rPr>
        <w:t xml:space="preserve">6 </w:t>
      </w:r>
      <w:r>
        <w:rPr>
          <w:rFonts w:asciiTheme="majorHAnsi" w:hAnsiTheme="majorHAnsi"/>
        </w:rPr>
        <w:t xml:space="preserve">– Training Checklist for Home Administered Subcutaneous Immunoglobulin. </w:t>
      </w:r>
      <w:r w:rsidRPr="00835591">
        <w:rPr>
          <w:rFonts w:cs="Calibri"/>
        </w:rPr>
        <w:t xml:space="preserve">Once </w:t>
      </w:r>
      <w:r>
        <w:rPr>
          <w:rFonts w:cs="Calibri"/>
        </w:rPr>
        <w:t>the SCIg nurse finds the patient</w:t>
      </w:r>
      <w:r w:rsidR="00742F8B">
        <w:rPr>
          <w:rFonts w:cs="Calibri"/>
        </w:rPr>
        <w:t xml:space="preserve"> (carer)</w:t>
      </w:r>
      <w:r>
        <w:rPr>
          <w:rFonts w:cs="Calibri"/>
        </w:rPr>
        <w:t xml:space="preserve"> is competent, the </w:t>
      </w:r>
      <w:r w:rsidRPr="00835591">
        <w:rPr>
          <w:rFonts w:cs="Calibri"/>
        </w:rPr>
        <w:t xml:space="preserve">patient </w:t>
      </w:r>
      <w:r>
        <w:rPr>
          <w:rFonts w:cs="Calibri"/>
        </w:rPr>
        <w:t>will then</w:t>
      </w:r>
      <w:r w:rsidRPr="00835591">
        <w:rPr>
          <w:rFonts w:cs="Calibri"/>
        </w:rPr>
        <w:t xml:space="preserve"> </w:t>
      </w:r>
      <w:r>
        <w:rPr>
          <w:rFonts w:cs="Calibri"/>
        </w:rPr>
        <w:t xml:space="preserve">continue </w:t>
      </w:r>
      <w:r w:rsidRPr="00835591">
        <w:rPr>
          <w:rFonts w:cs="Calibri"/>
        </w:rPr>
        <w:t>self</w:t>
      </w:r>
      <w:r>
        <w:rPr>
          <w:rFonts w:cs="Calibri"/>
        </w:rPr>
        <w:t>-</w:t>
      </w:r>
      <w:r w:rsidRPr="00835591">
        <w:rPr>
          <w:rFonts w:cs="Calibri"/>
        </w:rPr>
        <w:t>administration at home.</w:t>
      </w:r>
    </w:p>
    <w:p w14:paraId="0C5A90CC" w14:textId="77777777" w:rsidR="004D46D3" w:rsidRDefault="004D46D3" w:rsidP="004D46D3">
      <w:pPr>
        <w:pStyle w:val="Heading5"/>
      </w:pPr>
      <w:r>
        <w:t>Clinical review</w:t>
      </w:r>
    </w:p>
    <w:p w14:paraId="0971A121" w14:textId="20F5E0B5" w:rsidR="004D46D3" w:rsidRPr="004D46D3" w:rsidRDefault="004D46D3" w:rsidP="004D46D3">
      <w:pPr>
        <w:pStyle w:val="BodyCopy"/>
      </w:pPr>
      <w:r w:rsidRPr="00835591">
        <w:t>Medical follow up will be provided through the Immunology/Haematology/</w:t>
      </w:r>
      <w:r>
        <w:t>N</w:t>
      </w:r>
      <w:r w:rsidRPr="00835591">
        <w:t>eurology specialist appointments.</w:t>
      </w:r>
      <w:r>
        <w:t xml:space="preserve"> Patients are encouraged to bring their Patient Diary of recorded infusions to their appointment.</w:t>
      </w:r>
    </w:p>
    <w:p w14:paraId="673F193F" w14:textId="76B74FC6" w:rsidR="004D46D3" w:rsidRDefault="004D46D3" w:rsidP="004D46D3">
      <w:pPr>
        <w:pStyle w:val="BodyCopy"/>
        <w:rPr>
          <w:rFonts w:asciiTheme="majorHAnsi" w:hAnsiTheme="majorHAnsi"/>
        </w:rPr>
      </w:pPr>
      <w:r>
        <w:t xml:space="preserve">If patients have any questions or concerns about the administration of their product, they are encouraged to discuss with their SCIg Nurse. The SCIg </w:t>
      </w:r>
      <w:r w:rsidR="006A4CDF">
        <w:t>N</w:t>
      </w:r>
      <w:r>
        <w:t>urse will review newly inducted patients after one month to confirm that the patient is managing self-administration.</w:t>
      </w:r>
    </w:p>
    <w:p w14:paraId="7AB870CE" w14:textId="596BC6F1" w:rsidR="004D46D3" w:rsidRDefault="004D46D3" w:rsidP="004D46D3">
      <w:pPr>
        <w:pStyle w:val="Heading5"/>
      </w:pPr>
      <w:r>
        <w:t xml:space="preserve">SCIg </w:t>
      </w:r>
      <w:r w:rsidR="00CB76F1">
        <w:t xml:space="preserve">and NHIg </w:t>
      </w:r>
      <w:r>
        <w:t>Product dispensed from ACT Pathology Transfusion laboratory</w:t>
      </w:r>
    </w:p>
    <w:p w14:paraId="10CC96C2" w14:textId="74DE90B7" w:rsidR="004D46D3" w:rsidRDefault="004D46D3" w:rsidP="004D46D3">
      <w:pPr>
        <w:pStyle w:val="BodyCopy"/>
      </w:pPr>
      <w:r>
        <w:t xml:space="preserve">SCIg </w:t>
      </w:r>
      <w:r w:rsidR="006A4CDF">
        <w:t>N</w:t>
      </w:r>
      <w:r>
        <w:t>urses are required to submit second monthly Planning Sheets via the NBA BloodSTAR platform. This enables ACT Pathology Transfusion laboratory to plan stock requirements and dispense the SCIg product when patients present for collection.</w:t>
      </w:r>
    </w:p>
    <w:p w14:paraId="13C05723" w14:textId="1E62F595" w:rsidR="004D46D3" w:rsidRDefault="004D46D3" w:rsidP="004D46D3">
      <w:pPr>
        <w:pStyle w:val="BodyCopy"/>
      </w:pPr>
      <w:r>
        <w:t>SCIg p</w:t>
      </w:r>
      <w:r w:rsidRPr="005135A9">
        <w:t>roduct</w:t>
      </w:r>
      <w:r>
        <w:t xml:space="preserve"> (Hizentra AU</w:t>
      </w:r>
      <w:r>
        <w:rPr>
          <w:rFonts w:cstheme="majorHAnsi"/>
        </w:rPr>
        <w:t>®</w:t>
      </w:r>
      <w:r>
        <w:t>, Hizentra</w:t>
      </w:r>
      <w:r>
        <w:rPr>
          <w:rFonts w:cstheme="majorHAnsi"/>
        </w:rPr>
        <w:t>®</w:t>
      </w:r>
      <w:r>
        <w:t>, Cuvitru</w:t>
      </w:r>
      <w:r>
        <w:rPr>
          <w:rFonts w:cstheme="majorHAnsi"/>
        </w:rPr>
        <w:t>®</w:t>
      </w:r>
      <w:r>
        <w:t>, or Xembify</w:t>
      </w:r>
      <w:r>
        <w:rPr>
          <w:rFonts w:cstheme="majorHAnsi"/>
        </w:rPr>
        <w:t>®</w:t>
      </w:r>
      <w:r>
        <w:t>)</w:t>
      </w:r>
      <w:r w:rsidRPr="005135A9">
        <w:t xml:space="preserve"> </w:t>
      </w:r>
      <w:r w:rsidR="00CB76F1">
        <w:t xml:space="preserve">and NHIg </w:t>
      </w:r>
      <w:r>
        <w:t xml:space="preserve">is dispensed to </w:t>
      </w:r>
      <w:r w:rsidRPr="005135A9">
        <w:t xml:space="preserve">patients </w:t>
      </w:r>
      <w:r>
        <w:t>every:</w:t>
      </w:r>
    </w:p>
    <w:p w14:paraId="54DB9834" w14:textId="77777777" w:rsidR="004D46D3" w:rsidRDefault="004D46D3" w:rsidP="004D46D3">
      <w:pPr>
        <w:pStyle w:val="Bullet"/>
      </w:pPr>
      <w:r>
        <w:lastRenderedPageBreak/>
        <w:t xml:space="preserve">1 </w:t>
      </w:r>
      <w:r w:rsidRPr="005135A9">
        <w:t>month during induction</w:t>
      </w:r>
      <w:r>
        <w:t>, or</w:t>
      </w:r>
    </w:p>
    <w:p w14:paraId="076AEF77" w14:textId="77777777" w:rsidR="004D46D3" w:rsidRDefault="004D46D3" w:rsidP="004D46D3">
      <w:pPr>
        <w:pStyle w:val="Bullet"/>
      </w:pPr>
      <w:r>
        <w:t xml:space="preserve">2 </w:t>
      </w:r>
      <w:r w:rsidRPr="005135A9">
        <w:t>month</w:t>
      </w:r>
      <w:r>
        <w:t>s for maintenance therapy.</w:t>
      </w:r>
    </w:p>
    <w:p w14:paraId="2C716347" w14:textId="77777777" w:rsidR="004D46D3" w:rsidRDefault="004D46D3" w:rsidP="004D46D3">
      <w:pPr>
        <w:pStyle w:val="Heading5"/>
      </w:pPr>
      <w:r>
        <w:t>Ongoing Support</w:t>
      </w:r>
    </w:p>
    <w:p w14:paraId="14FA535E" w14:textId="4EF07C0E" w:rsidR="004D46D3" w:rsidRPr="0062027D" w:rsidRDefault="004D46D3" w:rsidP="004D46D3">
      <w:pPr>
        <w:pStyle w:val="BodyCopy"/>
      </w:pPr>
      <w:r>
        <w:t xml:space="preserve">When a patient transitions from IVIg to SCIg the treating specialist should inform the patient’s General Practitioner (GP). The SCIg Nurse can also provide the GP with the patient’s SCIg regimen (e.g., </w:t>
      </w:r>
      <w:r w:rsidR="0078677D">
        <w:t xml:space="preserve">an Australasian College of Clinical Immunology and Allergy (ASCIA) treatment plan, see </w:t>
      </w:r>
      <w:hyperlink r:id="rId29" w:history="1">
        <w:r w:rsidR="0078677D">
          <w:rPr>
            <w:rStyle w:val="Hyperlink"/>
          </w:rPr>
          <w:t>https://www.allergy.org.au/images/stories/pospapers/ASCIA_Treatment_Plan_SCIG_2024.pdf</w:t>
        </w:r>
      </w:hyperlink>
      <w:r>
        <w:t>).</w:t>
      </w:r>
    </w:p>
    <w:p w14:paraId="625CF5F1" w14:textId="5CE09A58" w:rsidR="004D46D3" w:rsidRDefault="004D46D3" w:rsidP="004D46D3">
      <w:pPr>
        <w:pStyle w:val="BodyCopy"/>
      </w:pPr>
      <w:r>
        <w:t>During business hours, if the patient experiences any issues that need to be addressed by a medical officer, they should contact their GP in the first instance. However, if the patient cannot get an appointment with their GP, t</w:t>
      </w:r>
      <w:r w:rsidRPr="005135A9">
        <w:t>he</w:t>
      </w:r>
      <w:r>
        <w:t>ir</w:t>
      </w:r>
      <w:r w:rsidRPr="005135A9">
        <w:t xml:space="preserve"> SCIg Nurse </w:t>
      </w:r>
      <w:r>
        <w:t>may</w:t>
      </w:r>
      <w:r w:rsidRPr="005135A9">
        <w:t xml:space="preserve"> </w:t>
      </w:r>
      <w:r>
        <w:t xml:space="preserve">refer the patient to the appropriate registrar or consultant for follow up. </w:t>
      </w:r>
      <w:r w:rsidRPr="005135A9">
        <w:t xml:space="preserve">Outside of business hours, the patient </w:t>
      </w:r>
      <w:r>
        <w:t>is advised to a</w:t>
      </w:r>
      <w:r w:rsidRPr="005135A9">
        <w:t xml:space="preserve">ttend the </w:t>
      </w:r>
      <w:r w:rsidR="00CD06ED">
        <w:t xml:space="preserve">nearest </w:t>
      </w:r>
      <w:r w:rsidRPr="005135A9">
        <w:t>emergency department if the</w:t>
      </w:r>
      <w:r>
        <w:t>ir</w:t>
      </w:r>
      <w:r w:rsidRPr="005135A9">
        <w:t xml:space="preserve"> condition </w:t>
      </w:r>
      <w:r>
        <w:t>requires medical intervention.</w:t>
      </w:r>
    </w:p>
    <w:p w14:paraId="2354129E" w14:textId="77777777" w:rsidR="004D46D3" w:rsidRPr="004D46D3" w:rsidRDefault="004D46D3" w:rsidP="004D46D3">
      <w:pPr>
        <w:pStyle w:val="BodyCopy"/>
      </w:pPr>
      <w:r>
        <w:t>Certain SCIg products also have external support programs in place, for example: CSL Behring Cares (managed by Aesir Health) for Hizentra</w:t>
      </w:r>
      <w:r>
        <w:rPr>
          <w:rFonts w:cstheme="majorHAnsi"/>
        </w:rPr>
        <w:t>®</w:t>
      </w:r>
      <w:r>
        <w:t xml:space="preserve"> and Hizentra AU</w:t>
      </w:r>
      <w:r>
        <w:rPr>
          <w:rFonts w:cstheme="majorHAnsi"/>
        </w:rPr>
        <w:t>®</w:t>
      </w:r>
      <w:r>
        <w:t>, provide home visit and phone support services; Cuvitru</w:t>
      </w:r>
      <w:r>
        <w:rPr>
          <w:rFonts w:cstheme="majorHAnsi"/>
        </w:rPr>
        <w:t>® and Xembify® provides a nurse support telehealth service.</w:t>
      </w:r>
      <w:r w:rsidDel="008C7258">
        <w:t xml:space="preserve"> </w:t>
      </w:r>
    </w:p>
    <w:p w14:paraId="6B5AF8BC" w14:textId="158A280C" w:rsidR="004D46D3" w:rsidRDefault="004D46D3" w:rsidP="004D46D3">
      <w:pPr>
        <w:pStyle w:val="BodyCopy"/>
      </w:pPr>
      <w:r>
        <w:t xml:space="preserve">SCIg </w:t>
      </w:r>
      <w:r w:rsidR="00D4477C">
        <w:t>N</w:t>
      </w:r>
      <w:r>
        <w:t>urses should periodically undertake a re-assessment of the patient’s SCIg technique to ensure best practice is maintained.</w:t>
      </w:r>
    </w:p>
    <w:p w14:paraId="1C052D20" w14:textId="77777777" w:rsidR="004D46D3" w:rsidRDefault="004D46D3" w:rsidP="004D46D3">
      <w:pPr>
        <w:pStyle w:val="Heading5"/>
      </w:pPr>
      <w:r>
        <w:t>Pathology</w:t>
      </w:r>
    </w:p>
    <w:p w14:paraId="0DA0DC9A" w14:textId="77777777" w:rsidR="004D46D3" w:rsidRPr="00B075F3" w:rsidRDefault="004D46D3" w:rsidP="004D46D3">
      <w:r>
        <w:t>IgG levels are usually performed after the first 4-6 weeks to ensure adequate levels are achieved, and then 6 monthly. Progress is initially monitored by telephone, then at clinic reviews at 6 monthly intervals when immunoglobulin levels, blood count, renal and liver function tests are ordered by the treating consultant.</w:t>
      </w:r>
    </w:p>
    <w:p w14:paraId="6F3BA75B" w14:textId="77777777" w:rsidR="004D46D3" w:rsidRDefault="004D46D3" w:rsidP="004D46D3">
      <w:pPr>
        <w:pStyle w:val="Heading5"/>
      </w:pPr>
      <w:r>
        <w:t>Delivery device</w:t>
      </w:r>
    </w:p>
    <w:p w14:paraId="5E903CBA" w14:textId="7EE0EB94" w:rsidR="004D46D3" w:rsidRDefault="004D46D3" w:rsidP="004D46D3">
      <w:pPr>
        <w:pStyle w:val="BodyCopy"/>
      </w:pPr>
      <w:r>
        <w:t xml:space="preserve">Syringe drivers (i.e., Nikki T34 and Nikki T34L) should be serviced every 1-2 years as per manufacturer’s recommendations; this is coordinated via the SCIg </w:t>
      </w:r>
      <w:r w:rsidR="00D4477C">
        <w:t>N</w:t>
      </w:r>
      <w:r>
        <w:t>urse and CHS Biomedical Engineering team.</w:t>
      </w:r>
    </w:p>
    <w:p w14:paraId="5E769059" w14:textId="77777777" w:rsidR="004D46D3" w:rsidRPr="00B075F3" w:rsidRDefault="004D46D3" w:rsidP="004D46D3">
      <w:pPr>
        <w:pStyle w:val="BodyCopy"/>
      </w:pPr>
      <w:r>
        <w:t>Other devices such as Spring fuser and EMED SCIg 60 do not require servicing and have an expiry date, when reached, the device must be replaced.</w:t>
      </w:r>
    </w:p>
    <w:p w14:paraId="058C8BF0" w14:textId="77777777" w:rsidR="004D46D3" w:rsidRDefault="004D46D3" w:rsidP="004D46D3">
      <w:pPr>
        <w:pStyle w:val="Heading5"/>
      </w:pPr>
      <w:r>
        <w:t>SCIg product storage</w:t>
      </w:r>
    </w:p>
    <w:p w14:paraId="7BE13559" w14:textId="77777777" w:rsidR="004D46D3" w:rsidRPr="004D46D3" w:rsidRDefault="004D46D3" w:rsidP="004D46D3">
      <w:pPr>
        <w:pStyle w:val="BodyCopy"/>
        <w:rPr>
          <w:lang w:val="en-GB"/>
        </w:rPr>
      </w:pPr>
      <w:r>
        <w:rPr>
          <w:lang w:val="en-GB"/>
        </w:rPr>
        <w:t>Ig product does not contain preservatives. Once the vial has reached room temperature and is opened, the SCIg infusion needs to be completed as soon as possible. If the infusion cannot occur within 2-4 hours (product dependent), the product must be discarded.</w:t>
      </w:r>
    </w:p>
    <w:p w14:paraId="09C89C42" w14:textId="2A427CB6" w:rsidR="004D46D3" w:rsidRDefault="004D46D3" w:rsidP="004D46D3">
      <w:pPr>
        <w:pStyle w:val="BodyCopy"/>
        <w:rPr>
          <w:lang w:val="en-GB"/>
        </w:rPr>
      </w:pPr>
      <w:r>
        <w:rPr>
          <w:lang w:val="en-GB"/>
        </w:rPr>
        <w:lastRenderedPageBreak/>
        <w:t xml:space="preserve">Patients are provided with a sharps bin for disposing used SCIg vials, infusion set, and needles. Patients should be advised not to dispose these consumables in their household bin, and to return a full sharps bin to the SCIg </w:t>
      </w:r>
      <w:r w:rsidR="00D4477C">
        <w:rPr>
          <w:lang w:val="en-GB"/>
        </w:rPr>
        <w:t>N</w:t>
      </w:r>
      <w:r>
        <w:rPr>
          <w:lang w:val="en-GB"/>
        </w:rPr>
        <w:t>urse for a replacement.</w:t>
      </w:r>
    </w:p>
    <w:p w14:paraId="701F4C71" w14:textId="745A42E7" w:rsidR="004D46D3" w:rsidRDefault="004D46D3" w:rsidP="004D46D3">
      <w:pPr>
        <w:pStyle w:val="Heading5"/>
      </w:pPr>
      <w:r>
        <w:t>Administering SCIg</w:t>
      </w:r>
    </w:p>
    <w:p w14:paraId="7BC47B4A" w14:textId="41889413" w:rsidR="00BA007E" w:rsidRPr="008321E4" w:rsidRDefault="00BA007E" w:rsidP="00FF0492">
      <w:pPr>
        <w:pStyle w:val="Numberedlist"/>
        <w:numPr>
          <w:ilvl w:val="0"/>
          <w:numId w:val="31"/>
        </w:numPr>
      </w:pPr>
      <w:r w:rsidRPr="008321E4">
        <w:t>Ensure that the patient has received adequate education and has had the opportunity to ask questions about SCIg administration</w:t>
      </w:r>
    </w:p>
    <w:p w14:paraId="3BBAC9FB" w14:textId="77777777" w:rsidR="00BA007E" w:rsidRPr="008321E4" w:rsidRDefault="00BA007E" w:rsidP="00BA007E">
      <w:pPr>
        <w:pStyle w:val="Numberedlist"/>
      </w:pPr>
      <w:r w:rsidRPr="008321E4">
        <w:t>If patient has already been inducted into the SCIg program and has been deemed competent ask patient if they would like to give their infusion</w:t>
      </w:r>
    </w:p>
    <w:p w14:paraId="07E38505" w14:textId="77777777" w:rsidR="00BA007E" w:rsidRPr="008321E4" w:rsidRDefault="00BA007E" w:rsidP="00BA007E">
      <w:pPr>
        <w:pStyle w:val="Numberedlist"/>
      </w:pPr>
      <w:r w:rsidRPr="008321E4">
        <w:t>If the patient is not competent/or prefers not to give the SCIg themselves follow steps 4 to 2</w:t>
      </w:r>
      <w:r>
        <w:t>0</w:t>
      </w:r>
    </w:p>
    <w:p w14:paraId="3E72B455" w14:textId="76245183" w:rsidR="00BA007E" w:rsidRPr="008321E4" w:rsidRDefault="00BA007E" w:rsidP="00BA007E">
      <w:pPr>
        <w:pStyle w:val="Numberedlist"/>
      </w:pPr>
      <w:r w:rsidRPr="008321E4">
        <w:t>Ensure consistent practice with 5 moments of Hand Hygiene practices</w:t>
      </w:r>
      <w:r w:rsidR="009937A0">
        <w:t xml:space="preserve"> (as per the </w:t>
      </w:r>
      <w:r w:rsidR="009937A0" w:rsidRPr="00620D92">
        <w:rPr>
          <w:i/>
          <w:iCs/>
        </w:rPr>
        <w:t>Infection Prevention and Control</w:t>
      </w:r>
      <w:r w:rsidR="009937A0">
        <w:t xml:space="preserve"> procedure)</w:t>
      </w:r>
    </w:p>
    <w:p w14:paraId="517CFE77" w14:textId="77777777" w:rsidR="00BA007E" w:rsidRPr="008321E4" w:rsidRDefault="00BA007E" w:rsidP="00BA007E">
      <w:pPr>
        <w:pStyle w:val="Numberedlist"/>
      </w:pPr>
      <w:r w:rsidRPr="008321E4">
        <w:t>Ensure the patient has given informed consent to receiving SCIg</w:t>
      </w:r>
    </w:p>
    <w:p w14:paraId="433AF00D" w14:textId="77777777" w:rsidR="00BA007E" w:rsidRPr="008321E4" w:rsidRDefault="00BA007E" w:rsidP="00BA007E">
      <w:pPr>
        <w:pStyle w:val="Numberedlist"/>
      </w:pPr>
      <w:r w:rsidRPr="008321E4">
        <w:t>Allow SCIg Ig vials to reach room temperature before opening</w:t>
      </w:r>
    </w:p>
    <w:p w14:paraId="4717EDE0" w14:textId="77777777" w:rsidR="00BA007E" w:rsidRPr="008321E4" w:rsidRDefault="00BA007E" w:rsidP="00BA007E">
      <w:pPr>
        <w:pStyle w:val="Numberedlist"/>
      </w:pPr>
      <w:r w:rsidRPr="008321E4">
        <w:t>Check:</w:t>
      </w:r>
    </w:p>
    <w:p w14:paraId="7C0D8B54" w14:textId="0856F5E2" w:rsidR="00BA007E" w:rsidRPr="008321E4" w:rsidRDefault="00FF0492" w:rsidP="00FF0492">
      <w:pPr>
        <w:pStyle w:val="Bullet"/>
        <w:numPr>
          <w:ilvl w:val="1"/>
          <w:numId w:val="1"/>
        </w:numPr>
      </w:pPr>
      <w:r>
        <w:t>c</w:t>
      </w:r>
      <w:r w:rsidR="00BA007E" w:rsidRPr="008321E4">
        <w:t xml:space="preserve">orrect positive patient identification (i.e. </w:t>
      </w:r>
      <w:r>
        <w:t>e</w:t>
      </w:r>
      <w:r w:rsidR="00BA007E" w:rsidRPr="008321E4">
        <w:t xml:space="preserve">nsure full name, </w:t>
      </w:r>
      <w:r>
        <w:t>date of birth</w:t>
      </w:r>
      <w:r w:rsidR="00BA007E" w:rsidRPr="008321E4">
        <w:t xml:space="preserve"> and Medical Record Number match the patient details on the product, </w:t>
      </w:r>
      <w:r>
        <w:t>i</w:t>
      </w:r>
      <w:r w:rsidR="00BA007E" w:rsidRPr="008321E4">
        <w:t>dentification band and any accompanying documentation)</w:t>
      </w:r>
    </w:p>
    <w:p w14:paraId="2EA7175E" w14:textId="77777777" w:rsidR="00BA007E" w:rsidRPr="008321E4" w:rsidRDefault="00BA007E" w:rsidP="00FF0492">
      <w:pPr>
        <w:pStyle w:val="Bullet"/>
        <w:numPr>
          <w:ilvl w:val="1"/>
          <w:numId w:val="1"/>
        </w:numPr>
      </w:pPr>
      <w:r w:rsidRPr="008321E4">
        <w:t>Ig solution is clear</w:t>
      </w:r>
    </w:p>
    <w:p w14:paraId="5B3842BE" w14:textId="51F01B10" w:rsidR="00BA007E" w:rsidRPr="008321E4" w:rsidRDefault="00FF0492" w:rsidP="00FF0492">
      <w:pPr>
        <w:pStyle w:val="Bullet"/>
        <w:numPr>
          <w:ilvl w:val="1"/>
          <w:numId w:val="1"/>
        </w:numPr>
      </w:pPr>
      <w:r>
        <w:t>e</w:t>
      </w:r>
      <w:r w:rsidR="00BA007E" w:rsidRPr="008321E4">
        <w:t>xpiry date</w:t>
      </w:r>
    </w:p>
    <w:p w14:paraId="18656BD0" w14:textId="5DBAE085" w:rsidR="00BA007E" w:rsidRPr="008321E4" w:rsidRDefault="00FF0492" w:rsidP="00FF0492">
      <w:pPr>
        <w:pStyle w:val="Bullet"/>
        <w:numPr>
          <w:ilvl w:val="1"/>
          <w:numId w:val="1"/>
        </w:numPr>
      </w:pPr>
      <w:r>
        <w:t>b</w:t>
      </w:r>
      <w:r w:rsidR="00BA007E" w:rsidRPr="008321E4">
        <w:t>atch number</w:t>
      </w:r>
      <w:r>
        <w:t>.</w:t>
      </w:r>
    </w:p>
    <w:p w14:paraId="05E5B68D" w14:textId="77777777" w:rsidR="00BA007E" w:rsidRPr="008321E4" w:rsidRDefault="00BA007E" w:rsidP="00BA007E">
      <w:pPr>
        <w:pStyle w:val="Numberedlist"/>
      </w:pPr>
      <w:r w:rsidRPr="008321E4">
        <w:t>Remove plastic cover from the seal on the vial and wipe the exposed rubber stopper with an alcohol swab and allow to dry</w:t>
      </w:r>
    </w:p>
    <w:p w14:paraId="5898E43C" w14:textId="77777777" w:rsidR="00BA007E" w:rsidRPr="008321E4" w:rsidRDefault="00BA007E" w:rsidP="00BA007E">
      <w:pPr>
        <w:pStyle w:val="Numberedlist"/>
      </w:pPr>
      <w:r w:rsidRPr="008321E4">
        <w:t>Draw up product using an interlink “needle” or a 19g bevelled edged needle into a 50mL Luer-Lok syringe (for EMED pump delivery), or 10mL and/or 20mL syringe/s depending on dose and number of infusion sites</w:t>
      </w:r>
    </w:p>
    <w:p w14:paraId="7C78C7A8" w14:textId="77777777" w:rsidR="00BA007E" w:rsidRPr="008321E4" w:rsidRDefault="00BA007E" w:rsidP="00BA007E">
      <w:pPr>
        <w:pStyle w:val="Numberedlist"/>
      </w:pPr>
      <w:r w:rsidRPr="008321E4">
        <w:t>Connect syringe to infusion set/s, protecting any remaining filled syringes with red combi stopper</w:t>
      </w:r>
    </w:p>
    <w:p w14:paraId="40906D85" w14:textId="77777777" w:rsidR="00BA007E" w:rsidRPr="008321E4" w:rsidRDefault="00BA007E" w:rsidP="00BA007E">
      <w:pPr>
        <w:pStyle w:val="Numberedlist"/>
      </w:pPr>
      <w:r w:rsidRPr="008321E4">
        <w:t>Prime line (Keep 2cm air lock at end of line – dry needle insertion is optimal)</w:t>
      </w:r>
    </w:p>
    <w:p w14:paraId="7FC659F5" w14:textId="77777777" w:rsidR="00BA007E" w:rsidRPr="002E7417" w:rsidRDefault="00BA007E" w:rsidP="00BA007E">
      <w:pPr>
        <w:pStyle w:val="Numberedlist"/>
      </w:pPr>
      <w:r w:rsidRPr="002E7417">
        <w:t>Swab injectio</w:t>
      </w:r>
      <w:r>
        <w:t>n site (free of infected or inflamed skin, with no visible blood vessels), and allow to dry</w:t>
      </w:r>
    </w:p>
    <w:p w14:paraId="7776199E" w14:textId="77777777" w:rsidR="00BA007E" w:rsidRPr="008321E4" w:rsidRDefault="00BA007E" w:rsidP="00BA007E">
      <w:pPr>
        <w:pStyle w:val="Numberedlist"/>
      </w:pPr>
      <w:r w:rsidRPr="008321E4">
        <w:t>Insert infusion set (“Butterfly”) Insert needle at 45° or 90° angle depending on body size of client: 90° if obese; 45° if average weight (See figure 1), suitable Subcutaneous infusion sites can be seen at Figure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77"/>
      </w:tblGrid>
      <w:tr w:rsidR="00BA007E" w14:paraId="17B0F544" w14:textId="77777777" w:rsidTr="00C2243F">
        <w:trPr>
          <w:trHeight w:val="2849"/>
          <w:jc w:val="center"/>
        </w:trPr>
        <w:tc>
          <w:tcPr>
            <w:tcW w:w="2972" w:type="dxa"/>
            <w:vAlign w:val="center"/>
          </w:tcPr>
          <w:p w14:paraId="08C1A7EE" w14:textId="77777777" w:rsidR="00BA007E" w:rsidRDefault="00BA007E" w:rsidP="00C2243F">
            <w:pPr>
              <w:jc w:val="center"/>
              <w:rPr>
                <w:rFonts w:asciiTheme="majorHAnsi" w:hAnsiTheme="majorHAnsi"/>
              </w:rPr>
            </w:pPr>
            <w:r w:rsidRPr="002E7417">
              <w:rPr>
                <w:rFonts w:asciiTheme="majorHAnsi" w:hAnsiTheme="majorHAnsi"/>
                <w:noProof/>
              </w:rPr>
              <w:lastRenderedPageBreak/>
              <w:drawing>
                <wp:inline distT="0" distB="0" distL="0" distR="0" wp14:anchorId="3D6ACD25" wp14:editId="41EE67F9">
                  <wp:extent cx="1531620" cy="1595107"/>
                  <wp:effectExtent l="0" t="0" r="0" b="5715"/>
                  <wp:docPr id="3" name="Picture 3" descr="Image is a diagram show insertion of needles at 45 degrees and 90 degrees to the 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is a diagram show insertion of needles at 45 degrees and 90 degrees to the skin."/>
                          <pic:cNvPicPr>
                            <a:picLocks noChangeAspect="1" noChangeArrowheads="1"/>
                          </pic:cNvPicPr>
                        </pic:nvPicPr>
                        <pic:blipFill>
                          <a:blip r:embed="rId30" cstate="print"/>
                          <a:srcRect l="16876" t="43392" r="57578" b="12335"/>
                          <a:stretch>
                            <a:fillRect/>
                          </a:stretch>
                        </pic:blipFill>
                        <pic:spPr bwMode="auto">
                          <a:xfrm>
                            <a:off x="0" y="0"/>
                            <a:ext cx="1531620" cy="1595107"/>
                          </a:xfrm>
                          <a:prstGeom prst="rect">
                            <a:avLst/>
                          </a:prstGeom>
                          <a:noFill/>
                          <a:ln w="9525">
                            <a:noFill/>
                            <a:miter lim="800000"/>
                            <a:headEnd/>
                            <a:tailEnd/>
                          </a:ln>
                        </pic:spPr>
                      </pic:pic>
                    </a:graphicData>
                  </a:graphic>
                </wp:inline>
              </w:drawing>
            </w:r>
          </w:p>
          <w:p w14:paraId="08540DBC" w14:textId="77777777" w:rsidR="00BA007E" w:rsidRDefault="00BA007E" w:rsidP="00C2243F">
            <w:pPr>
              <w:jc w:val="center"/>
              <w:rPr>
                <w:rFonts w:asciiTheme="majorHAnsi" w:hAnsiTheme="majorHAnsi"/>
              </w:rPr>
            </w:pPr>
            <w:r w:rsidRPr="002E7417">
              <w:rPr>
                <w:rFonts w:asciiTheme="majorHAnsi" w:hAnsiTheme="majorHAnsi"/>
              </w:rPr>
              <w:t>Figure 1</w:t>
            </w:r>
          </w:p>
        </w:tc>
        <w:tc>
          <w:tcPr>
            <w:tcW w:w="2977" w:type="dxa"/>
            <w:vAlign w:val="center"/>
          </w:tcPr>
          <w:p w14:paraId="1B9FA896" w14:textId="77777777" w:rsidR="00BA007E" w:rsidRDefault="00BA007E" w:rsidP="00C2243F">
            <w:pPr>
              <w:jc w:val="center"/>
              <w:rPr>
                <w:rFonts w:asciiTheme="majorHAnsi" w:hAnsiTheme="majorHAnsi"/>
              </w:rPr>
            </w:pPr>
            <w:r>
              <w:rPr>
                <w:noProof/>
              </w:rPr>
              <w:t xml:space="preserve"> </w:t>
            </w:r>
            <w:r>
              <w:rPr>
                <w:noProof/>
              </w:rPr>
              <w:drawing>
                <wp:inline distT="0" distB="0" distL="0" distR="0" wp14:anchorId="2D7D29EC" wp14:editId="4D5AF07F">
                  <wp:extent cx="1625600" cy="1506758"/>
                  <wp:effectExtent l="0" t="0" r="0" b="0"/>
                  <wp:docPr id="41" name="Picture 41" descr="A front and back view of a figure with areas suitable for subcutaneous infusion highlighted in pink.&#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front and back view of a figure with areas suitable for subcutaneous infusion highlighted in pink.&#10;&#10;"/>
                          <pic:cNvPicPr/>
                        </pic:nvPicPr>
                        <pic:blipFill>
                          <a:blip r:embed="rId31"/>
                          <a:stretch>
                            <a:fillRect/>
                          </a:stretch>
                        </pic:blipFill>
                        <pic:spPr>
                          <a:xfrm>
                            <a:off x="0" y="0"/>
                            <a:ext cx="1630047" cy="1510879"/>
                          </a:xfrm>
                          <a:prstGeom prst="rect">
                            <a:avLst/>
                          </a:prstGeom>
                        </pic:spPr>
                      </pic:pic>
                    </a:graphicData>
                  </a:graphic>
                </wp:inline>
              </w:drawing>
            </w:r>
          </w:p>
          <w:p w14:paraId="57133A50" w14:textId="77777777" w:rsidR="00BA007E" w:rsidRDefault="00BA007E" w:rsidP="00C2243F">
            <w:pPr>
              <w:jc w:val="center"/>
              <w:rPr>
                <w:rFonts w:asciiTheme="majorHAnsi" w:hAnsiTheme="majorHAnsi"/>
              </w:rPr>
            </w:pPr>
            <w:r w:rsidRPr="002E7417">
              <w:rPr>
                <w:rFonts w:asciiTheme="majorHAnsi" w:hAnsiTheme="majorHAnsi"/>
              </w:rPr>
              <w:t>Figure 2</w:t>
            </w:r>
          </w:p>
        </w:tc>
      </w:tr>
    </w:tbl>
    <w:p w14:paraId="7ABE023F" w14:textId="77777777" w:rsidR="00BA007E" w:rsidRPr="00BA007E" w:rsidRDefault="00BA007E" w:rsidP="00BA007E">
      <w:pPr>
        <w:pStyle w:val="Numberedlist"/>
      </w:pPr>
      <w:r w:rsidRPr="00BA007E">
        <w:t>Pull back on syringe to ensure that you are not in a blood vessel, then whilst maintaining ‘aseptic no-touch’ technique detach butterfly/line from syringe and check for backflow, if blood appears you must remove and replace the butterfly/needle-line set, prime and re-site</w:t>
      </w:r>
    </w:p>
    <w:p w14:paraId="66693534" w14:textId="77777777" w:rsidR="00BA007E" w:rsidRPr="00BA007E" w:rsidRDefault="00BA007E" w:rsidP="00BA007E">
      <w:pPr>
        <w:pStyle w:val="Numberedlist"/>
      </w:pPr>
      <w:r w:rsidRPr="00BA007E">
        <w:t>If using a Niki t34 or t34L syringe pump –Load syringe into Pump. Program the pump and connect to infusion set and commence infusion</w:t>
      </w:r>
    </w:p>
    <w:p w14:paraId="6D2AF1B7" w14:textId="77777777" w:rsidR="00BA007E" w:rsidRPr="00BA007E" w:rsidRDefault="00BA007E" w:rsidP="00BA007E">
      <w:pPr>
        <w:pStyle w:val="Numberedlist"/>
      </w:pPr>
      <w:r w:rsidRPr="00BA007E">
        <w:t>If using the EMED pump or a manual push delivery method, commence infusion</w:t>
      </w:r>
    </w:p>
    <w:p w14:paraId="2387F3EA" w14:textId="77777777" w:rsidR="00BA007E" w:rsidRPr="00BA007E" w:rsidRDefault="00BA007E" w:rsidP="00BA007E">
      <w:pPr>
        <w:pStyle w:val="Numberedlist"/>
      </w:pPr>
      <w:r w:rsidRPr="00BA007E">
        <w:t>Check infusion set frequently through the infusion to see if it is still in place and that the SCIg is being delivered</w:t>
      </w:r>
    </w:p>
    <w:p w14:paraId="31A52A5B" w14:textId="77777777" w:rsidR="00BA007E" w:rsidRPr="00BA007E" w:rsidRDefault="00BA007E" w:rsidP="00BA007E">
      <w:pPr>
        <w:pStyle w:val="Numberedlist"/>
      </w:pPr>
      <w:r w:rsidRPr="00BA007E">
        <w:t>When infusion complete remove infusion set and apply pressure with an IV dot dressing</w:t>
      </w:r>
    </w:p>
    <w:p w14:paraId="2856B070" w14:textId="77777777" w:rsidR="00BA007E" w:rsidRPr="00BA007E" w:rsidRDefault="00BA007E" w:rsidP="00BA007E">
      <w:pPr>
        <w:pStyle w:val="Numberedlist"/>
      </w:pPr>
      <w:r w:rsidRPr="00BA007E">
        <w:t>Dispose the infusion set into the sharp’s container</w:t>
      </w:r>
    </w:p>
    <w:p w14:paraId="20BB8830" w14:textId="6057D2A4" w:rsidR="004D46D3" w:rsidRDefault="00BA007E" w:rsidP="004D46D3">
      <w:pPr>
        <w:pStyle w:val="Numberedlist"/>
      </w:pPr>
      <w:r w:rsidRPr="00BA007E">
        <w:t>Record infusion details in medical records and/or patient diary</w:t>
      </w:r>
      <w:r w:rsidR="00354B88">
        <w:t>.</w:t>
      </w:r>
    </w:p>
    <w:p w14:paraId="15BD49D4" w14:textId="48D1FC9E" w:rsidR="00943AF0" w:rsidRDefault="00943AF0" w:rsidP="00943AF0">
      <w:pPr>
        <w:pStyle w:val="Heading5"/>
      </w:pPr>
      <w:r>
        <w:t>NHIg exception</w:t>
      </w:r>
    </w:p>
    <w:p w14:paraId="19C60643" w14:textId="77777777" w:rsidR="00943AF0" w:rsidRDefault="00943AF0" w:rsidP="00943AF0">
      <w:pPr>
        <w:pStyle w:val="BodyCopy"/>
      </w:pPr>
      <w:r w:rsidRPr="00943AF0">
        <w:t>Government-funded NHIg may be supplied for patients with a specified immunodeficiency condition where both IVIg and SCIg (where available) are contraindicated.</w:t>
      </w:r>
    </w:p>
    <w:p w14:paraId="5CEAED50" w14:textId="2FA256B7" w:rsidR="00943AF0" w:rsidRDefault="00943AF0" w:rsidP="00943AF0">
      <w:pPr>
        <w:pStyle w:val="BodyCopy"/>
      </w:pPr>
      <w:r w:rsidRPr="00943AF0">
        <w:t xml:space="preserve">In cases where a clinician </w:t>
      </w:r>
      <w:r w:rsidR="00752E86">
        <w:t>indicates</w:t>
      </w:r>
      <w:r w:rsidRPr="00943AF0">
        <w:t xml:space="preserve"> NHIg</w:t>
      </w:r>
      <w:r w:rsidR="00752E86">
        <w:t xml:space="preserve"> is required, the clinical explanation of why SCIg and IVIg is contraindicated must be detailed in BloodSTAR</w:t>
      </w:r>
      <w:r w:rsidR="008523C6">
        <w:t xml:space="preserve"> </w:t>
      </w:r>
      <w:r w:rsidR="00BF53A7">
        <w:rPr>
          <w:rFonts w:asciiTheme="majorHAnsi" w:hAnsiTheme="majorHAnsi"/>
        </w:rPr>
        <w:t xml:space="preserve">(refer to the NBA website at </w:t>
      </w:r>
      <w:hyperlink r:id="rId32" w:history="1">
        <w:r w:rsidR="00BF53A7">
          <w:rPr>
            <w:rStyle w:val="Hyperlink"/>
            <w:rFonts w:asciiTheme="majorHAnsi" w:hAnsiTheme="majorHAnsi"/>
          </w:rPr>
          <w:t>https://www.blood.gov.au/blood-products/immunoglobulin-products/normal-human-immunoglobulin-nhig</w:t>
        </w:r>
      </w:hyperlink>
      <w:r w:rsidR="00BF53A7">
        <w:rPr>
          <w:rFonts w:asciiTheme="majorHAnsi" w:hAnsiTheme="majorHAnsi"/>
        </w:rPr>
        <w:t>)</w:t>
      </w:r>
      <w:r w:rsidRPr="00943AF0">
        <w:t>.</w:t>
      </w:r>
    </w:p>
    <w:p w14:paraId="55646890" w14:textId="77777777" w:rsidR="004D46D3" w:rsidRDefault="0028383D" w:rsidP="004D46D3">
      <w:pPr>
        <w:pStyle w:val="BodyCopy"/>
      </w:pPr>
      <w:hyperlink w:anchor="_top" w:history="1">
        <w:r w:rsidR="004D46D3" w:rsidRPr="00481A6C">
          <w:rPr>
            <w:rStyle w:val="Hyperlink"/>
            <w:iCs w:val="0"/>
          </w:rPr>
          <w:t>Back to Contents</w:t>
        </w:r>
      </w:hyperlink>
    </w:p>
    <w:p w14:paraId="080C2EF6" w14:textId="77777777" w:rsidR="004D46D3" w:rsidRDefault="004D46D3" w:rsidP="004D46D3">
      <w:pPr>
        <w:pStyle w:val="Heading4"/>
      </w:pPr>
      <w:bookmarkStart w:id="17" w:name="_Toc184739598"/>
      <w:r w:rsidRPr="0078367D">
        <w:t xml:space="preserve">Section </w:t>
      </w:r>
      <w:r w:rsidR="00547773">
        <w:t>11</w:t>
      </w:r>
      <w:r w:rsidRPr="0078367D">
        <w:t xml:space="preserve"> </w:t>
      </w:r>
      <w:r w:rsidR="00547773">
        <w:t>–</w:t>
      </w:r>
      <w:r w:rsidRPr="0078367D">
        <w:t xml:space="preserve"> </w:t>
      </w:r>
      <w:r w:rsidR="00547773">
        <w:t>SCIg infusion site reaction management</w:t>
      </w:r>
      <w:bookmarkEnd w:id="17"/>
    </w:p>
    <w:p w14:paraId="56725441" w14:textId="30856D48" w:rsidR="00547773" w:rsidRDefault="00547773" w:rsidP="00547773">
      <w:pPr>
        <w:pStyle w:val="BodyCopy"/>
      </w:pPr>
      <w:r>
        <w:t xml:space="preserve">Although systemic anaphylactoid reactions are very uncommon, it is possible. Local irritation is common especially during the first few infusions; however, it can continue for some weeks. Such as mild and short-term swelling, redness, discomfort, and pain. Local reactions reduce in severity with ongoing infusions. The application of </w:t>
      </w:r>
      <w:r w:rsidR="00620D92">
        <w:t>cold packs</w:t>
      </w:r>
      <w:r>
        <w:t xml:space="preserve"> </w:t>
      </w:r>
      <w:r w:rsidR="00181194">
        <w:t>is</w:t>
      </w:r>
      <w:r>
        <w:t xml:space="preserve"> found to be very effective in reducing discomfort, with paracetamol rarely necessary. Other strategies such as reducing the rate of infusion and needle insertion technique may also be used.</w:t>
      </w:r>
    </w:p>
    <w:p w14:paraId="7B1726FD" w14:textId="77777777" w:rsidR="00547773" w:rsidRPr="003B0313" w:rsidRDefault="00547773" w:rsidP="00620D92">
      <w:pPr>
        <w:pStyle w:val="Tabletitle-numbered"/>
        <w:rPr>
          <w:rStyle w:val="Bold"/>
          <w:bCs/>
        </w:rPr>
      </w:pPr>
      <w:r w:rsidRPr="003B0313">
        <w:rPr>
          <w:rStyle w:val="Bold"/>
          <w:b/>
          <w:bCs/>
        </w:rPr>
        <w:lastRenderedPageBreak/>
        <w:t>SCIg Infusion site reaction</w:t>
      </w:r>
    </w:p>
    <w:tbl>
      <w:tblPr>
        <w:tblStyle w:val="TableGrid"/>
        <w:tblW w:w="10060" w:type="dxa"/>
        <w:tblLook w:val="04A0" w:firstRow="1" w:lastRow="0" w:firstColumn="1" w:lastColumn="0" w:noHBand="0" w:noVBand="1"/>
      </w:tblPr>
      <w:tblGrid>
        <w:gridCol w:w="1444"/>
        <w:gridCol w:w="3042"/>
        <w:gridCol w:w="5574"/>
      </w:tblGrid>
      <w:tr w:rsidR="00547773" w14:paraId="6F7EF339" w14:textId="77777777" w:rsidTr="00547773">
        <w:tc>
          <w:tcPr>
            <w:tcW w:w="1444" w:type="dxa"/>
          </w:tcPr>
          <w:p w14:paraId="423FAEE5" w14:textId="77777777" w:rsidR="00547773" w:rsidRPr="00547773" w:rsidRDefault="00547773" w:rsidP="00547773">
            <w:pPr>
              <w:pStyle w:val="BodyCopy"/>
              <w:rPr>
                <w:rStyle w:val="Bold"/>
              </w:rPr>
            </w:pPr>
            <w:r w:rsidRPr="00547773">
              <w:rPr>
                <w:rStyle w:val="Bold"/>
              </w:rPr>
              <w:t>Site Issue</w:t>
            </w:r>
          </w:p>
        </w:tc>
        <w:tc>
          <w:tcPr>
            <w:tcW w:w="3042" w:type="dxa"/>
          </w:tcPr>
          <w:p w14:paraId="2025721E" w14:textId="77777777" w:rsidR="00547773" w:rsidRPr="00547773" w:rsidRDefault="00547773" w:rsidP="00547773">
            <w:pPr>
              <w:pStyle w:val="BodyCopy"/>
              <w:rPr>
                <w:rStyle w:val="Bold"/>
              </w:rPr>
            </w:pPr>
            <w:r w:rsidRPr="00547773">
              <w:rPr>
                <w:rStyle w:val="Bold"/>
              </w:rPr>
              <w:t>Possible Cause/s</w:t>
            </w:r>
          </w:p>
        </w:tc>
        <w:tc>
          <w:tcPr>
            <w:tcW w:w="5574" w:type="dxa"/>
          </w:tcPr>
          <w:p w14:paraId="5797A417" w14:textId="77777777" w:rsidR="00547773" w:rsidRPr="00547773" w:rsidRDefault="00547773" w:rsidP="00547773">
            <w:pPr>
              <w:pStyle w:val="BodyCopy"/>
              <w:rPr>
                <w:rStyle w:val="Bold"/>
              </w:rPr>
            </w:pPr>
            <w:r w:rsidRPr="00547773">
              <w:rPr>
                <w:rStyle w:val="Bold"/>
              </w:rPr>
              <w:t>Management</w:t>
            </w:r>
          </w:p>
        </w:tc>
      </w:tr>
      <w:tr w:rsidR="00547773" w14:paraId="2468E4F7" w14:textId="77777777" w:rsidTr="00547773">
        <w:tc>
          <w:tcPr>
            <w:tcW w:w="1444" w:type="dxa"/>
          </w:tcPr>
          <w:p w14:paraId="7445CEFC" w14:textId="77777777" w:rsidR="00547773" w:rsidRPr="00C80E61" w:rsidRDefault="00547773" w:rsidP="00547773">
            <w:pPr>
              <w:pStyle w:val="BodyCopy"/>
            </w:pPr>
            <w:r w:rsidRPr="00C80E61">
              <w:t>Redness</w:t>
            </w:r>
          </w:p>
        </w:tc>
        <w:tc>
          <w:tcPr>
            <w:tcW w:w="3042" w:type="dxa"/>
          </w:tcPr>
          <w:p w14:paraId="35228E5C" w14:textId="77777777" w:rsidR="00547773" w:rsidRDefault="00547773" w:rsidP="00547773">
            <w:pPr>
              <w:pStyle w:val="BodyCopy"/>
            </w:pPr>
            <w:r w:rsidRPr="00C80E61">
              <w:t xml:space="preserve">Common </w:t>
            </w:r>
            <w:r>
              <w:t>– usually settles within 24hrs</w:t>
            </w:r>
          </w:p>
          <w:p w14:paraId="09BC4028" w14:textId="77777777" w:rsidR="00547773" w:rsidRDefault="00547773" w:rsidP="00547773">
            <w:pPr>
              <w:pStyle w:val="BodyCopy"/>
            </w:pPr>
            <w:r>
              <w:t>If redness is excessive:</w:t>
            </w:r>
          </w:p>
          <w:p w14:paraId="15F6051E" w14:textId="77777777" w:rsidR="00547773" w:rsidRDefault="00547773" w:rsidP="00755DB1">
            <w:pPr>
              <w:pStyle w:val="Bullet"/>
            </w:pPr>
            <w:r>
              <w:t>May be attributed to sensitivity to tape or allergy</w:t>
            </w:r>
          </w:p>
          <w:p w14:paraId="1A2F076C" w14:textId="77777777" w:rsidR="00547773" w:rsidRPr="00C80E61" w:rsidRDefault="00547773" w:rsidP="00755DB1">
            <w:pPr>
              <w:pStyle w:val="Bullet"/>
            </w:pPr>
            <w:r>
              <w:t>Needle may not be inserted correctly, or too short</w:t>
            </w:r>
          </w:p>
        </w:tc>
        <w:tc>
          <w:tcPr>
            <w:tcW w:w="5574" w:type="dxa"/>
          </w:tcPr>
          <w:p w14:paraId="193C8491" w14:textId="77777777" w:rsidR="00547773" w:rsidRDefault="00547773" w:rsidP="00755DB1">
            <w:pPr>
              <w:pStyle w:val="Bullet"/>
            </w:pPr>
            <w:r>
              <w:t>Check needle placement</w:t>
            </w:r>
          </w:p>
          <w:p w14:paraId="41B66958" w14:textId="77777777" w:rsidR="00547773" w:rsidRDefault="00547773" w:rsidP="00755DB1">
            <w:pPr>
              <w:pStyle w:val="Bullet"/>
            </w:pPr>
            <w:r w:rsidRPr="004F0186">
              <w:t>If no discomfort, leave it</w:t>
            </w:r>
          </w:p>
          <w:p w14:paraId="0DF4376E" w14:textId="77777777" w:rsidR="00547773" w:rsidRDefault="00547773" w:rsidP="00755DB1">
            <w:pPr>
              <w:pStyle w:val="Bullet"/>
            </w:pPr>
            <w:r>
              <w:t>Apply a wrapped warm/cold pack or warm pack for short periods</w:t>
            </w:r>
          </w:p>
          <w:p w14:paraId="6CFF1DFF" w14:textId="77777777" w:rsidR="00547773" w:rsidRDefault="00547773" w:rsidP="00755DB1">
            <w:pPr>
              <w:pStyle w:val="Bullet"/>
            </w:pPr>
            <w:r>
              <w:t>Slow infusion rate, if uncomfortable</w:t>
            </w:r>
          </w:p>
          <w:p w14:paraId="122EB1D5" w14:textId="77777777" w:rsidR="00547773" w:rsidRPr="00C80E61" w:rsidRDefault="00547773" w:rsidP="00755DB1">
            <w:pPr>
              <w:pStyle w:val="Bullet"/>
            </w:pPr>
            <w:r>
              <w:t>Consider alternative tapes/dressings to secure the needle</w:t>
            </w:r>
          </w:p>
        </w:tc>
      </w:tr>
      <w:tr w:rsidR="00547773" w14:paraId="3A0B8599" w14:textId="77777777" w:rsidTr="00547773">
        <w:tc>
          <w:tcPr>
            <w:tcW w:w="1444" w:type="dxa"/>
          </w:tcPr>
          <w:p w14:paraId="67248E20" w14:textId="77777777" w:rsidR="00547773" w:rsidRPr="00C80E61" w:rsidRDefault="00547773" w:rsidP="00547773">
            <w:pPr>
              <w:pStyle w:val="BodyCopy"/>
            </w:pPr>
            <w:r>
              <w:t>Swelling</w:t>
            </w:r>
          </w:p>
        </w:tc>
        <w:tc>
          <w:tcPr>
            <w:tcW w:w="3042" w:type="dxa"/>
          </w:tcPr>
          <w:p w14:paraId="006D5CE3" w14:textId="77777777" w:rsidR="00547773" w:rsidRDefault="00547773" w:rsidP="00547773">
            <w:pPr>
              <w:pStyle w:val="BodyCopy"/>
            </w:pPr>
            <w:r>
              <w:t>Common – usually settles within 24hrs</w:t>
            </w:r>
          </w:p>
          <w:p w14:paraId="7E911C38" w14:textId="77777777" w:rsidR="00547773" w:rsidRPr="00C80E61" w:rsidRDefault="00547773" w:rsidP="00547773">
            <w:pPr>
              <w:pStyle w:val="BodyCopy"/>
            </w:pPr>
            <w:r>
              <w:t>Swelling typically results from the volume of fluid being infused under the skin</w:t>
            </w:r>
          </w:p>
        </w:tc>
        <w:tc>
          <w:tcPr>
            <w:tcW w:w="5574" w:type="dxa"/>
          </w:tcPr>
          <w:p w14:paraId="1FF4938C" w14:textId="77777777" w:rsidR="00547773" w:rsidRDefault="00547773" w:rsidP="00755DB1">
            <w:pPr>
              <w:pStyle w:val="Bullet"/>
            </w:pPr>
            <w:r w:rsidRPr="004F0186">
              <w:t>If no discomfort, leave it</w:t>
            </w:r>
          </w:p>
          <w:p w14:paraId="04CD22FA" w14:textId="77777777" w:rsidR="00547773" w:rsidRDefault="00547773" w:rsidP="00755DB1">
            <w:pPr>
              <w:pStyle w:val="Bullet"/>
            </w:pPr>
            <w:r>
              <w:t>Apply a wrapped warm pack for short periods (may assist absorption)</w:t>
            </w:r>
          </w:p>
          <w:p w14:paraId="4CC37E60" w14:textId="77777777" w:rsidR="00547773" w:rsidRDefault="00547773" w:rsidP="00755DB1">
            <w:pPr>
              <w:pStyle w:val="Bullet"/>
            </w:pPr>
            <w:r>
              <w:t>A wrapped cold pack may ease discomfort, but delays absorption</w:t>
            </w:r>
          </w:p>
          <w:p w14:paraId="02D41381" w14:textId="77777777" w:rsidR="00547773" w:rsidRDefault="00547773" w:rsidP="00755DB1">
            <w:pPr>
              <w:pStyle w:val="Bullet"/>
            </w:pPr>
            <w:r>
              <w:t>Take a walk to help with absorption</w:t>
            </w:r>
          </w:p>
          <w:p w14:paraId="1CFCDB30" w14:textId="77777777" w:rsidR="00547773" w:rsidRDefault="00547773" w:rsidP="00755DB1">
            <w:pPr>
              <w:pStyle w:val="Bullet"/>
            </w:pPr>
            <w:r>
              <w:t>Check needle placement/length</w:t>
            </w:r>
          </w:p>
          <w:p w14:paraId="2B717112" w14:textId="77777777" w:rsidR="00547773" w:rsidRPr="00C80E61" w:rsidRDefault="00547773" w:rsidP="00755DB1">
            <w:pPr>
              <w:pStyle w:val="Bullet"/>
            </w:pPr>
            <w:r>
              <w:t>Discuss with your SCIg nurse – may need to decrease volume at site, reduce the rate or change infusion site</w:t>
            </w:r>
          </w:p>
        </w:tc>
      </w:tr>
      <w:tr w:rsidR="00547773" w14:paraId="105ABDE9" w14:textId="77777777" w:rsidTr="00547773">
        <w:tc>
          <w:tcPr>
            <w:tcW w:w="1444" w:type="dxa"/>
          </w:tcPr>
          <w:p w14:paraId="6711120D" w14:textId="77777777" w:rsidR="00547773" w:rsidRPr="00C80E61" w:rsidRDefault="00547773" w:rsidP="00547773">
            <w:pPr>
              <w:pStyle w:val="BodyCopy"/>
            </w:pPr>
            <w:r>
              <w:t>Itching or burning</w:t>
            </w:r>
          </w:p>
        </w:tc>
        <w:tc>
          <w:tcPr>
            <w:tcW w:w="3042" w:type="dxa"/>
          </w:tcPr>
          <w:p w14:paraId="14EE63E7" w14:textId="77777777" w:rsidR="00547773" w:rsidRDefault="00547773" w:rsidP="00755DB1">
            <w:pPr>
              <w:pStyle w:val="Bullet"/>
            </w:pPr>
            <w:r>
              <w:t>Incorrect needle placement/ length</w:t>
            </w:r>
          </w:p>
          <w:p w14:paraId="187B4CF8" w14:textId="77777777" w:rsidR="00547773" w:rsidRDefault="00547773" w:rsidP="00755DB1">
            <w:pPr>
              <w:pStyle w:val="Bullet"/>
            </w:pPr>
            <w:r>
              <w:t>Irritation from tape</w:t>
            </w:r>
          </w:p>
          <w:p w14:paraId="4D447479" w14:textId="77777777" w:rsidR="00547773" w:rsidRPr="00C80E61" w:rsidRDefault="00547773" w:rsidP="00755DB1">
            <w:pPr>
              <w:pStyle w:val="Bullet"/>
              <w:rPr>
                <w:bCs/>
              </w:rPr>
            </w:pPr>
            <w:r>
              <w:t>Ig at needle tip, causing skin irritation</w:t>
            </w:r>
          </w:p>
        </w:tc>
        <w:tc>
          <w:tcPr>
            <w:tcW w:w="5574" w:type="dxa"/>
          </w:tcPr>
          <w:p w14:paraId="56353081" w14:textId="77777777" w:rsidR="00547773" w:rsidRPr="00755DB1" w:rsidRDefault="00547773" w:rsidP="00755DB1">
            <w:pPr>
              <w:pStyle w:val="Bullet"/>
              <w:rPr>
                <w:rStyle w:val="Bold"/>
              </w:rPr>
            </w:pPr>
            <w:r w:rsidRPr="00755DB1">
              <w:rPr>
                <w:rStyle w:val="Bold"/>
              </w:rPr>
              <w:t>Do not scratch or rub</w:t>
            </w:r>
          </w:p>
          <w:p w14:paraId="5192A9F1" w14:textId="77777777" w:rsidR="00547773" w:rsidRDefault="00547773" w:rsidP="00755DB1">
            <w:pPr>
              <w:pStyle w:val="Bullet"/>
            </w:pPr>
            <w:r>
              <w:t>Check needle placement/length</w:t>
            </w:r>
          </w:p>
          <w:p w14:paraId="028E5DAB" w14:textId="77777777" w:rsidR="00547773" w:rsidRDefault="00547773" w:rsidP="00755DB1">
            <w:pPr>
              <w:pStyle w:val="Bullet"/>
            </w:pPr>
            <w:r>
              <w:t>Try using a non-drowsy antihistamine</w:t>
            </w:r>
          </w:p>
          <w:p w14:paraId="2AAC17CE" w14:textId="77777777" w:rsidR="00547773" w:rsidRDefault="00547773" w:rsidP="00755DB1">
            <w:pPr>
              <w:pStyle w:val="Bullet"/>
            </w:pPr>
            <w:r>
              <w:t>Consider alternative tapes/dressings to secure needles</w:t>
            </w:r>
          </w:p>
          <w:p w14:paraId="2719F389" w14:textId="77777777" w:rsidR="00547773" w:rsidRDefault="00547773" w:rsidP="00755DB1">
            <w:pPr>
              <w:pStyle w:val="Bullet"/>
            </w:pPr>
            <w:r>
              <w:t>Apply a wrapped cool pack for short periods</w:t>
            </w:r>
          </w:p>
          <w:p w14:paraId="29A09401" w14:textId="77777777" w:rsidR="00547773" w:rsidRPr="00C80E61" w:rsidRDefault="00547773" w:rsidP="00755DB1">
            <w:pPr>
              <w:pStyle w:val="Bullet"/>
            </w:pPr>
            <w:r>
              <w:t>Discuss with your SCIg nurse dry priming</w:t>
            </w:r>
          </w:p>
        </w:tc>
      </w:tr>
      <w:tr w:rsidR="00547773" w14:paraId="504781FB" w14:textId="77777777" w:rsidTr="00547773">
        <w:tc>
          <w:tcPr>
            <w:tcW w:w="1444" w:type="dxa"/>
          </w:tcPr>
          <w:p w14:paraId="04345B6E" w14:textId="77777777" w:rsidR="00547773" w:rsidRPr="00C80E61" w:rsidRDefault="00547773" w:rsidP="00547773">
            <w:pPr>
              <w:pStyle w:val="BodyCopy"/>
            </w:pPr>
            <w:r>
              <w:t>Pain during infusion</w:t>
            </w:r>
          </w:p>
        </w:tc>
        <w:tc>
          <w:tcPr>
            <w:tcW w:w="3042" w:type="dxa"/>
          </w:tcPr>
          <w:p w14:paraId="67A43EE2" w14:textId="77777777" w:rsidR="00547773" w:rsidRDefault="00547773" w:rsidP="00755DB1">
            <w:pPr>
              <w:pStyle w:val="Bullet"/>
            </w:pPr>
            <w:r>
              <w:t>Incorrect needle placement/ length</w:t>
            </w:r>
          </w:p>
          <w:p w14:paraId="230D5F96" w14:textId="77777777" w:rsidR="00547773" w:rsidRPr="00755DB1" w:rsidRDefault="00547773" w:rsidP="00547773">
            <w:pPr>
              <w:pStyle w:val="Bullet"/>
            </w:pPr>
            <w:r>
              <w:t>Infusion going too fast</w:t>
            </w:r>
          </w:p>
        </w:tc>
        <w:tc>
          <w:tcPr>
            <w:tcW w:w="5574" w:type="dxa"/>
          </w:tcPr>
          <w:p w14:paraId="5318BE28" w14:textId="77777777" w:rsidR="00547773" w:rsidRDefault="00547773" w:rsidP="00755DB1">
            <w:pPr>
              <w:pStyle w:val="Bullet"/>
            </w:pPr>
            <w:r>
              <w:t>Check needle placement/length</w:t>
            </w:r>
          </w:p>
          <w:p w14:paraId="7743D500" w14:textId="77777777" w:rsidR="00547773" w:rsidRDefault="00547773" w:rsidP="00755DB1">
            <w:pPr>
              <w:pStyle w:val="Bullet"/>
            </w:pPr>
            <w:r>
              <w:t>Apply a wrapped cool pack or warm pack for short period</w:t>
            </w:r>
          </w:p>
          <w:p w14:paraId="004F645A" w14:textId="77777777" w:rsidR="00547773" w:rsidRDefault="00547773" w:rsidP="00755DB1">
            <w:pPr>
              <w:pStyle w:val="Bullet"/>
            </w:pPr>
            <w:r>
              <w:t>Slow infusion rate</w:t>
            </w:r>
          </w:p>
          <w:p w14:paraId="00C99436" w14:textId="77777777" w:rsidR="00547773" w:rsidRPr="00C80E61" w:rsidRDefault="00547773" w:rsidP="00755DB1">
            <w:pPr>
              <w:pStyle w:val="Bullet"/>
              <w:rPr>
                <w:bCs/>
              </w:rPr>
            </w:pPr>
            <w:r>
              <w:t>Try simple pain medication (i.e., paracetamol) before starting infusion</w:t>
            </w:r>
          </w:p>
        </w:tc>
      </w:tr>
      <w:tr w:rsidR="00547773" w14:paraId="528A022C" w14:textId="77777777" w:rsidTr="00547773">
        <w:tc>
          <w:tcPr>
            <w:tcW w:w="1444" w:type="dxa"/>
          </w:tcPr>
          <w:p w14:paraId="62526265" w14:textId="77777777" w:rsidR="00547773" w:rsidRPr="00C80E61" w:rsidRDefault="00547773" w:rsidP="00547773">
            <w:pPr>
              <w:pStyle w:val="BodyCopy"/>
            </w:pPr>
            <w:r>
              <w:lastRenderedPageBreak/>
              <w:t>Blanching (whiteness)</w:t>
            </w:r>
          </w:p>
        </w:tc>
        <w:tc>
          <w:tcPr>
            <w:tcW w:w="3042" w:type="dxa"/>
          </w:tcPr>
          <w:p w14:paraId="0D95A48C" w14:textId="77777777" w:rsidR="00547773" w:rsidRPr="00C80E61" w:rsidRDefault="00547773" w:rsidP="00547773">
            <w:pPr>
              <w:pStyle w:val="BodyCopy"/>
            </w:pPr>
            <w:r>
              <w:t>Normal - tightening of tissue that can occur as SCIg infuses into the fatty tissue under the skin</w:t>
            </w:r>
          </w:p>
        </w:tc>
        <w:tc>
          <w:tcPr>
            <w:tcW w:w="5574" w:type="dxa"/>
          </w:tcPr>
          <w:p w14:paraId="40D638E5" w14:textId="77777777" w:rsidR="00547773" w:rsidRDefault="00547773" w:rsidP="00755DB1">
            <w:pPr>
              <w:pStyle w:val="Bullet"/>
            </w:pPr>
            <w:r>
              <w:t>Do nothing, will go away as fluid is absorbed.</w:t>
            </w:r>
          </w:p>
          <w:p w14:paraId="75517F35" w14:textId="77777777" w:rsidR="00547773" w:rsidRPr="00C80E61" w:rsidRDefault="00547773" w:rsidP="00755DB1">
            <w:pPr>
              <w:pStyle w:val="Bullet"/>
            </w:pPr>
            <w:r>
              <w:t>Apply a wrapped warm pack for short periods (may assist absorption)</w:t>
            </w:r>
          </w:p>
        </w:tc>
      </w:tr>
      <w:tr w:rsidR="00547773" w14:paraId="2854CB9B" w14:textId="77777777" w:rsidTr="00547773">
        <w:tc>
          <w:tcPr>
            <w:tcW w:w="1444" w:type="dxa"/>
          </w:tcPr>
          <w:p w14:paraId="13823DCF" w14:textId="77777777" w:rsidR="00547773" w:rsidRPr="00C80E61" w:rsidRDefault="00547773" w:rsidP="00547773">
            <w:pPr>
              <w:pStyle w:val="BodyCopy"/>
            </w:pPr>
            <w:r>
              <w:t>Leaking from the infusion site</w:t>
            </w:r>
          </w:p>
        </w:tc>
        <w:tc>
          <w:tcPr>
            <w:tcW w:w="3042" w:type="dxa"/>
          </w:tcPr>
          <w:p w14:paraId="0689F04A" w14:textId="77777777" w:rsidR="00547773" w:rsidRDefault="00547773" w:rsidP="00755DB1">
            <w:pPr>
              <w:pStyle w:val="Bullet"/>
            </w:pPr>
            <w:r>
              <w:t>Incorrect needle placement</w:t>
            </w:r>
          </w:p>
          <w:p w14:paraId="74D4024C" w14:textId="77777777" w:rsidR="00547773" w:rsidRDefault="00547773" w:rsidP="00755DB1">
            <w:pPr>
              <w:pStyle w:val="Bullet"/>
            </w:pPr>
            <w:r>
              <w:t>Incorrect needle length</w:t>
            </w:r>
          </w:p>
          <w:p w14:paraId="04691F64" w14:textId="77777777" w:rsidR="00547773" w:rsidRDefault="00547773" w:rsidP="00755DB1">
            <w:pPr>
              <w:pStyle w:val="Bullet"/>
            </w:pPr>
            <w:r>
              <w:t>Amount of volume infused at the site</w:t>
            </w:r>
          </w:p>
          <w:p w14:paraId="4FE5E385" w14:textId="77777777" w:rsidR="00547773" w:rsidRDefault="00547773" w:rsidP="00755DB1">
            <w:pPr>
              <w:pStyle w:val="Bullet"/>
              <w:numPr>
                <w:ilvl w:val="1"/>
                <w:numId w:val="1"/>
              </w:numPr>
            </w:pPr>
            <w:r>
              <w:t>large volume</w:t>
            </w:r>
          </w:p>
          <w:p w14:paraId="415634E4" w14:textId="77777777" w:rsidR="00547773" w:rsidRPr="00C80E61" w:rsidRDefault="00547773" w:rsidP="00755DB1">
            <w:pPr>
              <w:pStyle w:val="Bullet"/>
              <w:numPr>
                <w:ilvl w:val="1"/>
                <w:numId w:val="1"/>
              </w:numPr>
            </w:pPr>
            <w:r>
              <w:t>Infusion rate too fast for the site</w:t>
            </w:r>
          </w:p>
        </w:tc>
        <w:tc>
          <w:tcPr>
            <w:tcW w:w="5574" w:type="dxa"/>
          </w:tcPr>
          <w:p w14:paraId="2337E4EC" w14:textId="77777777" w:rsidR="00547773" w:rsidRPr="00780002" w:rsidRDefault="00547773" w:rsidP="00755DB1">
            <w:pPr>
              <w:pStyle w:val="Bullet"/>
              <w:rPr>
                <w:bCs/>
              </w:rPr>
            </w:pPr>
            <w:r>
              <w:t>Check needle insertion</w:t>
            </w:r>
          </w:p>
          <w:p w14:paraId="32560043" w14:textId="77777777" w:rsidR="00547773" w:rsidRPr="00C80E61" w:rsidRDefault="00547773" w:rsidP="00755DB1">
            <w:pPr>
              <w:pStyle w:val="Bullet"/>
              <w:rPr>
                <w:bCs/>
              </w:rPr>
            </w:pPr>
            <w:r>
              <w:rPr>
                <w:bCs/>
              </w:rPr>
              <w:t>Discuss with your SCIg nurse, may need to consider changes to volume, needle length or rate of infusion</w:t>
            </w:r>
          </w:p>
        </w:tc>
      </w:tr>
    </w:tbl>
    <w:p w14:paraId="5813B4CD" w14:textId="77777777" w:rsidR="004D46D3" w:rsidRDefault="0028383D" w:rsidP="004D46D3">
      <w:pPr>
        <w:pStyle w:val="BodyCopy"/>
      </w:pPr>
      <w:hyperlink w:anchor="_top" w:history="1">
        <w:r w:rsidR="004D46D3" w:rsidRPr="00481A6C">
          <w:rPr>
            <w:rStyle w:val="Hyperlink"/>
            <w:iCs w:val="0"/>
          </w:rPr>
          <w:t>Back to Contents</w:t>
        </w:r>
      </w:hyperlink>
    </w:p>
    <w:p w14:paraId="070BFEDB" w14:textId="77777777" w:rsidR="004D46D3" w:rsidRDefault="004D46D3" w:rsidP="004D46D3">
      <w:pPr>
        <w:pStyle w:val="Heading4"/>
      </w:pPr>
      <w:bookmarkStart w:id="18" w:name="_Toc184739599"/>
      <w:r w:rsidRPr="0078367D">
        <w:t xml:space="preserve">Section </w:t>
      </w:r>
      <w:r w:rsidR="00755DB1">
        <w:t>12</w:t>
      </w:r>
      <w:r w:rsidRPr="0078367D">
        <w:t xml:space="preserve"> </w:t>
      </w:r>
      <w:r w:rsidR="00755DB1">
        <w:t>–</w:t>
      </w:r>
      <w:r w:rsidRPr="0078367D">
        <w:t xml:space="preserve"> </w:t>
      </w:r>
      <w:r w:rsidR="00755DB1">
        <w:t>Product Storage Conditions</w:t>
      </w:r>
      <w:bookmarkEnd w:id="18"/>
    </w:p>
    <w:p w14:paraId="723CDDFD" w14:textId="77777777" w:rsidR="00755DB1" w:rsidRDefault="00755DB1" w:rsidP="00755DB1">
      <w:pPr>
        <w:pStyle w:val="Heading5"/>
        <w:rPr>
          <w:lang w:eastAsia="en-US"/>
        </w:rPr>
      </w:pPr>
      <w:r>
        <w:rPr>
          <w:lang w:eastAsia="en-US"/>
        </w:rPr>
        <w:t>IVIg</w:t>
      </w:r>
    </w:p>
    <w:p w14:paraId="186BF3AF" w14:textId="52A690CA" w:rsidR="003B0313" w:rsidRPr="003B0313" w:rsidRDefault="003B0313" w:rsidP="00620D92">
      <w:pPr>
        <w:pStyle w:val="Tabletitle-numbered"/>
      </w:pPr>
      <w:r w:rsidRPr="003B0313">
        <w:rPr>
          <w:rStyle w:val="Bold"/>
          <w:b/>
          <w:bCs/>
        </w:rPr>
        <w:t>IVIg storage conditions</w:t>
      </w:r>
    </w:p>
    <w:tbl>
      <w:tblPr>
        <w:tblStyle w:val="TableGrid"/>
        <w:tblW w:w="9918" w:type="dxa"/>
        <w:tblLook w:val="04A0" w:firstRow="1" w:lastRow="0" w:firstColumn="1" w:lastColumn="0" w:noHBand="0" w:noVBand="1"/>
      </w:tblPr>
      <w:tblGrid>
        <w:gridCol w:w="1980"/>
        <w:gridCol w:w="2693"/>
        <w:gridCol w:w="5245"/>
      </w:tblGrid>
      <w:tr w:rsidR="00755DB1" w14:paraId="0A89EA93" w14:textId="77777777" w:rsidTr="00755DB1">
        <w:tc>
          <w:tcPr>
            <w:tcW w:w="1980" w:type="dxa"/>
            <w:shd w:val="clear" w:color="auto" w:fill="D9D9D9" w:themeFill="background1" w:themeFillShade="D9"/>
          </w:tcPr>
          <w:p w14:paraId="16D55DF3" w14:textId="77777777" w:rsidR="00755DB1" w:rsidRPr="00755DB1" w:rsidRDefault="00755DB1" w:rsidP="00C2243F">
            <w:pPr>
              <w:rPr>
                <w:rStyle w:val="Bold"/>
              </w:rPr>
            </w:pPr>
            <w:r w:rsidRPr="00755DB1">
              <w:rPr>
                <w:rStyle w:val="Bold"/>
              </w:rPr>
              <w:t>Product name</w:t>
            </w:r>
          </w:p>
        </w:tc>
        <w:tc>
          <w:tcPr>
            <w:tcW w:w="2693" w:type="dxa"/>
            <w:shd w:val="clear" w:color="auto" w:fill="D9D9D9" w:themeFill="background1" w:themeFillShade="D9"/>
          </w:tcPr>
          <w:p w14:paraId="1281F24C" w14:textId="77777777" w:rsidR="00755DB1" w:rsidRPr="00755DB1" w:rsidRDefault="00755DB1" w:rsidP="00755DB1">
            <w:pPr>
              <w:pStyle w:val="BodyCopy"/>
              <w:rPr>
                <w:rStyle w:val="Bold"/>
              </w:rPr>
            </w:pPr>
            <w:r w:rsidRPr="00755DB1">
              <w:rPr>
                <w:rStyle w:val="Bold"/>
              </w:rPr>
              <w:t>Storage</w:t>
            </w:r>
          </w:p>
        </w:tc>
        <w:tc>
          <w:tcPr>
            <w:tcW w:w="5245" w:type="dxa"/>
            <w:shd w:val="clear" w:color="auto" w:fill="D9D9D9" w:themeFill="background1" w:themeFillShade="D9"/>
          </w:tcPr>
          <w:p w14:paraId="1E38F7DF" w14:textId="77777777" w:rsidR="00755DB1" w:rsidRPr="00755DB1" w:rsidRDefault="00755DB1" w:rsidP="00755DB1">
            <w:pPr>
              <w:pStyle w:val="BodyCopy"/>
              <w:rPr>
                <w:rStyle w:val="Bold"/>
              </w:rPr>
            </w:pPr>
            <w:r w:rsidRPr="00755DB1">
              <w:rPr>
                <w:rStyle w:val="Bold"/>
              </w:rPr>
              <w:t>Other storage requirements</w:t>
            </w:r>
          </w:p>
        </w:tc>
      </w:tr>
      <w:tr w:rsidR="00755DB1" w14:paraId="6C6AF8AB" w14:textId="77777777" w:rsidTr="00755DB1">
        <w:tc>
          <w:tcPr>
            <w:tcW w:w="1980" w:type="dxa"/>
          </w:tcPr>
          <w:p w14:paraId="67F8C498" w14:textId="77777777" w:rsidR="00755DB1" w:rsidRDefault="00755DB1" w:rsidP="00C2243F">
            <w:r>
              <w:t>Flebogamma</w:t>
            </w:r>
            <w:r w:rsidRPr="00755DB1">
              <w:rPr>
                <w:rFonts w:cs="Calibri"/>
                <w:vertAlign w:val="superscript"/>
              </w:rPr>
              <w:t>®</w:t>
            </w:r>
          </w:p>
        </w:tc>
        <w:tc>
          <w:tcPr>
            <w:tcW w:w="2693" w:type="dxa"/>
          </w:tcPr>
          <w:p w14:paraId="4D9AE817" w14:textId="77777777" w:rsidR="00755DB1" w:rsidRDefault="00755DB1" w:rsidP="00755DB1">
            <w:pPr>
              <w:pStyle w:val="BodyCopy"/>
            </w:pPr>
            <w:r w:rsidRPr="00114855">
              <w:rPr>
                <w:rFonts w:asciiTheme="majorHAnsi" w:hAnsiTheme="majorHAnsi" w:cstheme="majorHAnsi"/>
                <w:sz w:val="22"/>
                <w:szCs w:val="22"/>
              </w:rPr>
              <w:t>Store below 30°C</w:t>
            </w:r>
          </w:p>
        </w:tc>
        <w:tc>
          <w:tcPr>
            <w:tcW w:w="5245" w:type="dxa"/>
          </w:tcPr>
          <w:p w14:paraId="7F814ED6" w14:textId="688A24AA" w:rsidR="003A7C41" w:rsidRDefault="003A7C41" w:rsidP="00755DB1">
            <w:pPr>
              <w:pStyle w:val="Bullet"/>
            </w:pPr>
            <w:r>
              <w:t>May be stored for up to 24 months below 30</w:t>
            </w:r>
            <w:r w:rsidRPr="00114855">
              <w:t>°C</w:t>
            </w:r>
          </w:p>
          <w:p w14:paraId="4AC69146" w14:textId="163EBA64" w:rsidR="00755DB1" w:rsidRDefault="00755DB1" w:rsidP="00755DB1">
            <w:pPr>
              <w:pStyle w:val="Bullet"/>
            </w:pPr>
            <w:r>
              <w:t>Do not freeze</w:t>
            </w:r>
          </w:p>
          <w:p w14:paraId="3EBFF8E1" w14:textId="77777777" w:rsidR="00755DB1" w:rsidRDefault="00755DB1" w:rsidP="00755DB1">
            <w:pPr>
              <w:pStyle w:val="Bullet"/>
            </w:pPr>
            <w:r>
              <w:t>Protect from light</w:t>
            </w:r>
          </w:p>
          <w:p w14:paraId="65BBB065" w14:textId="77777777" w:rsidR="00755DB1" w:rsidRDefault="00755DB1" w:rsidP="00755DB1">
            <w:pPr>
              <w:pStyle w:val="Bullet"/>
            </w:pPr>
            <w:r>
              <w:t>Do not use after expiry date</w:t>
            </w:r>
          </w:p>
        </w:tc>
      </w:tr>
      <w:tr w:rsidR="00755DB1" w14:paraId="5F3325C1" w14:textId="77777777" w:rsidTr="00755DB1">
        <w:tc>
          <w:tcPr>
            <w:tcW w:w="1980" w:type="dxa"/>
          </w:tcPr>
          <w:p w14:paraId="5ED29A20" w14:textId="77777777" w:rsidR="00755DB1" w:rsidRDefault="00755DB1" w:rsidP="00C2243F">
            <w:r>
              <w:t>Gamunex</w:t>
            </w:r>
            <w:r w:rsidRPr="00755DB1">
              <w:rPr>
                <w:rFonts w:cs="Calibri"/>
                <w:vertAlign w:val="superscript"/>
              </w:rPr>
              <w:t>®</w:t>
            </w:r>
          </w:p>
        </w:tc>
        <w:tc>
          <w:tcPr>
            <w:tcW w:w="2693" w:type="dxa"/>
          </w:tcPr>
          <w:p w14:paraId="506FADF1" w14:textId="77777777" w:rsidR="00755DB1" w:rsidRDefault="00755DB1" w:rsidP="00755DB1">
            <w:pPr>
              <w:pStyle w:val="BodyCopy"/>
            </w:pPr>
            <w:r>
              <w:rPr>
                <w:rFonts w:asciiTheme="majorHAnsi" w:hAnsiTheme="majorHAnsi" w:cstheme="majorHAnsi"/>
                <w:sz w:val="22"/>
                <w:szCs w:val="22"/>
              </w:rPr>
              <w:t xml:space="preserve">Store between </w:t>
            </w:r>
            <w:r w:rsidRPr="00114855">
              <w:rPr>
                <w:rFonts w:asciiTheme="majorHAnsi" w:hAnsiTheme="majorHAnsi" w:cstheme="majorHAnsi"/>
                <w:sz w:val="22"/>
                <w:szCs w:val="22"/>
              </w:rPr>
              <w:t>2°C</w:t>
            </w:r>
            <w:r w:rsidRPr="00114855">
              <w:rPr>
                <w:rFonts w:asciiTheme="majorHAnsi" w:hAnsiTheme="majorHAnsi" w:cstheme="majorHAnsi"/>
                <w:color w:val="000000"/>
                <w:sz w:val="22"/>
                <w:szCs w:val="22"/>
                <w:lang w:eastAsia="en-AU"/>
              </w:rPr>
              <w:t xml:space="preserve"> </w:t>
            </w:r>
            <w:r w:rsidRPr="00114855">
              <w:rPr>
                <w:rFonts w:asciiTheme="majorHAnsi" w:hAnsiTheme="majorHAnsi" w:cstheme="majorHAnsi"/>
                <w:sz w:val="22"/>
                <w:szCs w:val="22"/>
              </w:rPr>
              <w:t>-</w:t>
            </w:r>
            <w:r>
              <w:rPr>
                <w:rFonts w:asciiTheme="majorHAnsi" w:hAnsiTheme="majorHAnsi" w:cstheme="majorHAnsi"/>
                <w:sz w:val="22"/>
                <w:szCs w:val="22"/>
              </w:rPr>
              <w:t xml:space="preserve"> </w:t>
            </w:r>
            <w:r w:rsidRPr="00114855">
              <w:rPr>
                <w:rFonts w:asciiTheme="majorHAnsi" w:hAnsiTheme="majorHAnsi" w:cstheme="majorHAnsi"/>
                <w:sz w:val="22"/>
                <w:szCs w:val="22"/>
              </w:rPr>
              <w:t>8°C</w:t>
            </w:r>
          </w:p>
        </w:tc>
        <w:tc>
          <w:tcPr>
            <w:tcW w:w="5245" w:type="dxa"/>
          </w:tcPr>
          <w:p w14:paraId="6770DB1A" w14:textId="77777777" w:rsidR="00755DB1" w:rsidRPr="00621DC8" w:rsidRDefault="00755DB1" w:rsidP="00755DB1">
            <w:pPr>
              <w:pStyle w:val="Bullet"/>
            </w:pPr>
            <w:r>
              <w:t xml:space="preserve">May be stored for </w:t>
            </w:r>
            <w:r w:rsidRPr="009F4DCF">
              <w:t>up to 36 months</w:t>
            </w:r>
            <w:r>
              <w:t xml:space="preserve"> at </w:t>
            </w:r>
            <w:r w:rsidRPr="00114855">
              <w:t>2°C</w:t>
            </w:r>
            <w:r w:rsidRPr="00114855">
              <w:rPr>
                <w:color w:val="000000"/>
                <w:lang w:eastAsia="en-AU"/>
              </w:rPr>
              <w:t xml:space="preserve"> </w:t>
            </w:r>
            <w:r w:rsidRPr="00114855">
              <w:t>-</w:t>
            </w:r>
            <w:r>
              <w:t xml:space="preserve"> </w:t>
            </w:r>
            <w:r w:rsidRPr="00114855">
              <w:t>8°C</w:t>
            </w:r>
          </w:p>
          <w:p w14:paraId="6F926B81" w14:textId="77777777" w:rsidR="00755DB1" w:rsidRDefault="00755DB1" w:rsidP="00755DB1">
            <w:pPr>
              <w:pStyle w:val="Bullet"/>
            </w:pPr>
            <w:r>
              <w:t>May be stored at temperatures not</w:t>
            </w:r>
            <w:r w:rsidRPr="009F4DCF">
              <w:t xml:space="preserve"> exceeding 25°C for up to </w:t>
            </w:r>
            <w:r w:rsidRPr="009F4DCF">
              <w:rPr>
                <w:bCs/>
              </w:rPr>
              <w:t>6 months</w:t>
            </w:r>
            <w:r>
              <w:t xml:space="preserve"> during the 36-month shelf life, after which the product must be used immediately or discarded</w:t>
            </w:r>
          </w:p>
        </w:tc>
      </w:tr>
      <w:tr w:rsidR="00755DB1" w14:paraId="7CC667BA" w14:textId="77777777" w:rsidTr="00755DB1">
        <w:tc>
          <w:tcPr>
            <w:tcW w:w="1980" w:type="dxa"/>
          </w:tcPr>
          <w:p w14:paraId="483C3A8C" w14:textId="77777777" w:rsidR="00755DB1" w:rsidRDefault="00755DB1" w:rsidP="00C2243F">
            <w:r>
              <w:t>Kiovig</w:t>
            </w:r>
            <w:r w:rsidRPr="00755DB1">
              <w:rPr>
                <w:rFonts w:cs="Calibri"/>
                <w:vertAlign w:val="superscript"/>
              </w:rPr>
              <w:t>®</w:t>
            </w:r>
          </w:p>
        </w:tc>
        <w:tc>
          <w:tcPr>
            <w:tcW w:w="2693" w:type="dxa"/>
          </w:tcPr>
          <w:p w14:paraId="499EFA1B" w14:textId="77777777" w:rsidR="00755DB1" w:rsidRDefault="00755DB1" w:rsidP="00755DB1">
            <w:pPr>
              <w:pStyle w:val="BodyCopy"/>
            </w:pPr>
            <w:r w:rsidRPr="00114855">
              <w:rPr>
                <w:rFonts w:asciiTheme="majorHAnsi" w:hAnsiTheme="majorHAnsi" w:cstheme="majorHAnsi"/>
                <w:sz w:val="22"/>
                <w:szCs w:val="22"/>
              </w:rPr>
              <w:t xml:space="preserve">Store </w:t>
            </w:r>
            <w:r>
              <w:rPr>
                <w:rFonts w:asciiTheme="majorHAnsi" w:hAnsiTheme="majorHAnsi" w:cstheme="majorHAnsi"/>
                <w:sz w:val="22"/>
                <w:szCs w:val="22"/>
              </w:rPr>
              <w:t xml:space="preserve">between </w:t>
            </w:r>
            <w:r w:rsidRPr="00114855">
              <w:rPr>
                <w:rFonts w:asciiTheme="majorHAnsi" w:hAnsiTheme="majorHAnsi" w:cstheme="majorHAnsi"/>
                <w:sz w:val="22"/>
                <w:szCs w:val="22"/>
              </w:rPr>
              <w:t>2°C</w:t>
            </w:r>
            <w:r w:rsidRPr="00114855">
              <w:rPr>
                <w:rFonts w:asciiTheme="majorHAnsi" w:hAnsiTheme="majorHAnsi" w:cstheme="majorHAnsi"/>
                <w:color w:val="000000"/>
                <w:sz w:val="22"/>
                <w:szCs w:val="22"/>
                <w:lang w:eastAsia="en-AU"/>
              </w:rPr>
              <w:t xml:space="preserve"> </w:t>
            </w:r>
            <w:r w:rsidRPr="00114855">
              <w:rPr>
                <w:rFonts w:asciiTheme="majorHAnsi" w:hAnsiTheme="majorHAnsi" w:cstheme="majorHAnsi"/>
                <w:sz w:val="22"/>
                <w:szCs w:val="22"/>
              </w:rPr>
              <w:t>-</w:t>
            </w:r>
            <w:r>
              <w:rPr>
                <w:rFonts w:asciiTheme="majorHAnsi" w:hAnsiTheme="majorHAnsi" w:cstheme="majorHAnsi"/>
                <w:sz w:val="22"/>
                <w:szCs w:val="22"/>
              </w:rPr>
              <w:t xml:space="preserve"> </w:t>
            </w:r>
            <w:r w:rsidRPr="00114855">
              <w:rPr>
                <w:rFonts w:asciiTheme="majorHAnsi" w:hAnsiTheme="majorHAnsi" w:cstheme="majorHAnsi"/>
                <w:sz w:val="22"/>
                <w:szCs w:val="22"/>
              </w:rPr>
              <w:t>8°C</w:t>
            </w:r>
          </w:p>
        </w:tc>
        <w:tc>
          <w:tcPr>
            <w:tcW w:w="5245" w:type="dxa"/>
          </w:tcPr>
          <w:p w14:paraId="72EDB133" w14:textId="77777777" w:rsidR="00755DB1" w:rsidRPr="00621DC8" w:rsidRDefault="00755DB1" w:rsidP="00755DB1">
            <w:pPr>
              <w:pStyle w:val="Bullet"/>
            </w:pPr>
            <w:r>
              <w:t xml:space="preserve">May be stored for </w:t>
            </w:r>
            <w:r w:rsidRPr="009F4DCF">
              <w:t>up to 36 months</w:t>
            </w:r>
            <w:r>
              <w:t xml:space="preserve"> at </w:t>
            </w:r>
            <w:r w:rsidRPr="00114855">
              <w:t>2°C</w:t>
            </w:r>
            <w:r w:rsidRPr="00114855">
              <w:rPr>
                <w:color w:val="000000"/>
                <w:lang w:eastAsia="en-AU"/>
              </w:rPr>
              <w:t xml:space="preserve"> </w:t>
            </w:r>
            <w:r w:rsidRPr="00114855">
              <w:t>-</w:t>
            </w:r>
            <w:r>
              <w:t xml:space="preserve"> </w:t>
            </w:r>
            <w:r w:rsidRPr="00114855">
              <w:t>8°C</w:t>
            </w:r>
          </w:p>
          <w:p w14:paraId="23B3F81A" w14:textId="77777777" w:rsidR="00755DB1" w:rsidRDefault="00755DB1" w:rsidP="00755DB1">
            <w:pPr>
              <w:pStyle w:val="Bullet"/>
            </w:pPr>
            <w:r>
              <w:t>Refrigerate</w:t>
            </w:r>
          </w:p>
          <w:p w14:paraId="4A41B99D" w14:textId="77777777" w:rsidR="00755DB1" w:rsidRDefault="00755DB1" w:rsidP="00755DB1">
            <w:pPr>
              <w:pStyle w:val="Bullet"/>
            </w:pPr>
            <w:r>
              <w:t>Do not freeze</w:t>
            </w:r>
          </w:p>
          <w:p w14:paraId="567A9067" w14:textId="77777777" w:rsidR="00755DB1" w:rsidRDefault="00755DB1" w:rsidP="00755DB1">
            <w:pPr>
              <w:pStyle w:val="Bullet"/>
            </w:pPr>
            <w:r>
              <w:lastRenderedPageBreak/>
              <w:t>Do not use after the expiry date</w:t>
            </w:r>
          </w:p>
          <w:p w14:paraId="3702AD7D" w14:textId="77777777" w:rsidR="00755DB1" w:rsidRDefault="00755DB1" w:rsidP="00755DB1">
            <w:pPr>
              <w:pStyle w:val="Bullet"/>
            </w:pPr>
            <w:r>
              <w:t>Protect from light</w:t>
            </w:r>
          </w:p>
        </w:tc>
      </w:tr>
      <w:tr w:rsidR="00755DB1" w14:paraId="34955990" w14:textId="77777777" w:rsidTr="00755DB1">
        <w:tc>
          <w:tcPr>
            <w:tcW w:w="1980" w:type="dxa"/>
          </w:tcPr>
          <w:p w14:paraId="62864A2C" w14:textId="77777777" w:rsidR="00755DB1" w:rsidRDefault="00755DB1" w:rsidP="00C2243F">
            <w:r>
              <w:lastRenderedPageBreak/>
              <w:t>Octagam</w:t>
            </w:r>
            <w:r w:rsidRPr="00755DB1">
              <w:rPr>
                <w:rFonts w:cs="Calibri"/>
                <w:vertAlign w:val="superscript"/>
              </w:rPr>
              <w:t>®</w:t>
            </w:r>
            <w:r>
              <w:t xml:space="preserve"> 10%</w:t>
            </w:r>
          </w:p>
        </w:tc>
        <w:tc>
          <w:tcPr>
            <w:tcW w:w="2693" w:type="dxa"/>
          </w:tcPr>
          <w:p w14:paraId="54D860B6" w14:textId="77777777" w:rsidR="00755DB1" w:rsidRDefault="00755DB1" w:rsidP="00755DB1">
            <w:pPr>
              <w:pStyle w:val="BodyCopy"/>
            </w:pPr>
            <w:r w:rsidRPr="00114855">
              <w:rPr>
                <w:rFonts w:asciiTheme="majorHAnsi" w:hAnsiTheme="majorHAnsi" w:cstheme="majorHAnsi"/>
                <w:sz w:val="22"/>
                <w:szCs w:val="22"/>
              </w:rPr>
              <w:t xml:space="preserve">Store </w:t>
            </w:r>
            <w:r>
              <w:rPr>
                <w:rFonts w:asciiTheme="majorHAnsi" w:hAnsiTheme="majorHAnsi" w:cstheme="majorHAnsi"/>
                <w:sz w:val="22"/>
                <w:szCs w:val="22"/>
              </w:rPr>
              <w:t xml:space="preserve">between </w:t>
            </w:r>
            <w:r w:rsidRPr="00114855">
              <w:rPr>
                <w:rFonts w:asciiTheme="majorHAnsi" w:hAnsiTheme="majorHAnsi" w:cstheme="majorHAnsi"/>
                <w:sz w:val="22"/>
                <w:szCs w:val="22"/>
              </w:rPr>
              <w:t>2°C</w:t>
            </w:r>
            <w:r w:rsidRPr="00114855">
              <w:rPr>
                <w:rFonts w:asciiTheme="majorHAnsi" w:hAnsiTheme="majorHAnsi" w:cstheme="majorHAnsi"/>
                <w:color w:val="000000"/>
                <w:sz w:val="22"/>
                <w:szCs w:val="22"/>
                <w:lang w:eastAsia="en-AU"/>
              </w:rPr>
              <w:t xml:space="preserve"> </w:t>
            </w:r>
            <w:r w:rsidRPr="00114855">
              <w:rPr>
                <w:rFonts w:asciiTheme="majorHAnsi" w:hAnsiTheme="majorHAnsi" w:cstheme="majorHAnsi"/>
                <w:sz w:val="22"/>
                <w:szCs w:val="22"/>
              </w:rPr>
              <w:t>-</w:t>
            </w:r>
            <w:r>
              <w:rPr>
                <w:rFonts w:asciiTheme="majorHAnsi" w:hAnsiTheme="majorHAnsi" w:cstheme="majorHAnsi"/>
                <w:sz w:val="22"/>
                <w:szCs w:val="22"/>
              </w:rPr>
              <w:t xml:space="preserve"> </w:t>
            </w:r>
            <w:r w:rsidRPr="00114855">
              <w:rPr>
                <w:rFonts w:asciiTheme="majorHAnsi" w:hAnsiTheme="majorHAnsi" w:cstheme="majorHAnsi"/>
                <w:sz w:val="22"/>
                <w:szCs w:val="22"/>
              </w:rPr>
              <w:t>8°C</w:t>
            </w:r>
          </w:p>
        </w:tc>
        <w:tc>
          <w:tcPr>
            <w:tcW w:w="5245" w:type="dxa"/>
          </w:tcPr>
          <w:p w14:paraId="0C030115" w14:textId="77777777" w:rsidR="00755DB1" w:rsidRDefault="00755DB1" w:rsidP="00755DB1">
            <w:pPr>
              <w:pStyle w:val="Bullet"/>
            </w:pPr>
            <w:r>
              <w:t>Refrigerate</w:t>
            </w:r>
          </w:p>
          <w:p w14:paraId="6A4D49BC" w14:textId="77777777" w:rsidR="00755DB1" w:rsidRDefault="00755DB1" w:rsidP="00755DB1">
            <w:pPr>
              <w:pStyle w:val="Bullet"/>
            </w:pPr>
            <w:r>
              <w:t>Do not freeze</w:t>
            </w:r>
          </w:p>
          <w:p w14:paraId="32129999" w14:textId="77777777" w:rsidR="00755DB1" w:rsidRDefault="00755DB1" w:rsidP="00755DB1">
            <w:pPr>
              <w:pStyle w:val="Bullet"/>
            </w:pPr>
            <w:r>
              <w:t>Protect from light</w:t>
            </w:r>
          </w:p>
          <w:p w14:paraId="0E9B566E" w14:textId="77777777" w:rsidR="00755DB1" w:rsidRDefault="00755DB1" w:rsidP="00755DB1">
            <w:pPr>
              <w:pStyle w:val="Bullet"/>
            </w:pPr>
            <w:r>
              <w:t>Do not use after expiry date</w:t>
            </w:r>
          </w:p>
          <w:p w14:paraId="784F7740" w14:textId="77777777" w:rsidR="00755DB1" w:rsidRPr="00621DC8" w:rsidRDefault="00755DB1" w:rsidP="00755DB1">
            <w:pPr>
              <w:pStyle w:val="Bullet"/>
            </w:pPr>
            <w:r>
              <w:t xml:space="preserve">Once removed from refrigeration, product may be stored </w:t>
            </w:r>
            <w:r w:rsidRPr="00114855">
              <w:rPr>
                <w:rFonts w:asciiTheme="majorHAnsi" w:hAnsiTheme="majorHAnsi" w:cstheme="majorHAnsi"/>
                <w:color w:val="464646"/>
                <w:spacing w:val="5"/>
                <w:shd w:val="clear" w:color="auto" w:fill="FFFFFF"/>
              </w:rPr>
              <w:t xml:space="preserve">up to </w:t>
            </w:r>
            <w:r w:rsidRPr="00114855">
              <w:rPr>
                <w:rFonts w:asciiTheme="majorHAnsi" w:hAnsiTheme="majorHAnsi" w:cstheme="majorHAnsi"/>
                <w:bCs/>
                <w:color w:val="464646"/>
                <w:spacing w:val="5"/>
                <w:shd w:val="clear" w:color="auto" w:fill="FFFFFF"/>
              </w:rPr>
              <w:t>9 months</w:t>
            </w:r>
            <w:r w:rsidRPr="00114855">
              <w:rPr>
                <w:rFonts w:asciiTheme="majorHAnsi" w:hAnsiTheme="majorHAnsi" w:cstheme="majorHAnsi"/>
                <w:color w:val="464646"/>
                <w:spacing w:val="5"/>
                <w:shd w:val="clear" w:color="auto" w:fill="FFFFFF"/>
              </w:rPr>
              <w:t xml:space="preserve"> ≤</w:t>
            </w:r>
            <w:r>
              <w:rPr>
                <w:rFonts w:asciiTheme="majorHAnsi" w:hAnsiTheme="majorHAnsi" w:cstheme="majorHAnsi"/>
                <w:color w:val="464646"/>
                <w:spacing w:val="5"/>
                <w:shd w:val="clear" w:color="auto" w:fill="FFFFFF"/>
              </w:rPr>
              <w:t xml:space="preserve"> +</w:t>
            </w:r>
            <w:r w:rsidRPr="00114855">
              <w:rPr>
                <w:rFonts w:asciiTheme="majorHAnsi" w:hAnsiTheme="majorHAnsi" w:cstheme="majorHAnsi"/>
                <w:color w:val="464646"/>
                <w:spacing w:val="5"/>
                <w:shd w:val="clear" w:color="auto" w:fill="FFFFFF"/>
              </w:rPr>
              <w:t>25°C</w:t>
            </w:r>
          </w:p>
          <w:p w14:paraId="1B9EC26C" w14:textId="77777777" w:rsidR="00755DB1" w:rsidRPr="00C80E61" w:rsidRDefault="00755DB1" w:rsidP="00755DB1">
            <w:pPr>
              <w:pStyle w:val="Bullet"/>
            </w:pPr>
            <w:r>
              <w:rPr>
                <w:rFonts w:asciiTheme="majorHAnsi" w:hAnsiTheme="majorHAnsi" w:cstheme="majorHAnsi"/>
                <w:color w:val="464646"/>
                <w:spacing w:val="5"/>
                <w:shd w:val="clear" w:color="auto" w:fill="FFFFFF"/>
              </w:rPr>
              <w:t xml:space="preserve">Product may not be returned to refrigerated storage after storage at </w:t>
            </w:r>
            <w:r w:rsidRPr="00114855">
              <w:rPr>
                <w:rFonts w:asciiTheme="majorHAnsi" w:hAnsiTheme="majorHAnsi" w:cstheme="majorHAnsi"/>
                <w:color w:val="464646"/>
                <w:spacing w:val="5"/>
                <w:shd w:val="clear" w:color="auto" w:fill="FFFFFF"/>
              </w:rPr>
              <w:t>≤</w:t>
            </w:r>
            <w:r>
              <w:rPr>
                <w:rFonts w:asciiTheme="majorHAnsi" w:hAnsiTheme="majorHAnsi" w:cstheme="majorHAnsi"/>
                <w:color w:val="464646"/>
                <w:spacing w:val="5"/>
                <w:shd w:val="clear" w:color="auto" w:fill="FFFFFF"/>
              </w:rPr>
              <w:t xml:space="preserve"> +</w:t>
            </w:r>
            <w:r w:rsidRPr="00114855">
              <w:rPr>
                <w:rFonts w:asciiTheme="majorHAnsi" w:hAnsiTheme="majorHAnsi" w:cstheme="majorHAnsi"/>
                <w:color w:val="464646"/>
                <w:spacing w:val="5"/>
                <w:shd w:val="clear" w:color="auto" w:fill="FFFFFF"/>
              </w:rPr>
              <w:t>25°C</w:t>
            </w:r>
          </w:p>
        </w:tc>
      </w:tr>
      <w:tr w:rsidR="00755DB1" w14:paraId="6080FD74" w14:textId="77777777" w:rsidTr="00755DB1">
        <w:tc>
          <w:tcPr>
            <w:tcW w:w="1980" w:type="dxa"/>
          </w:tcPr>
          <w:p w14:paraId="6099C938" w14:textId="77777777" w:rsidR="00755DB1" w:rsidRDefault="00755DB1" w:rsidP="00C2243F">
            <w:r>
              <w:t>Privigen</w:t>
            </w:r>
            <w:r w:rsidRPr="00755DB1">
              <w:rPr>
                <w:rFonts w:cs="Calibri"/>
                <w:vertAlign w:val="superscript"/>
              </w:rPr>
              <w:t>®</w:t>
            </w:r>
            <w:r>
              <w:t xml:space="preserve"> 10%</w:t>
            </w:r>
          </w:p>
        </w:tc>
        <w:tc>
          <w:tcPr>
            <w:tcW w:w="2693" w:type="dxa"/>
          </w:tcPr>
          <w:p w14:paraId="06C9565E" w14:textId="77777777" w:rsidR="00755DB1" w:rsidRDefault="00755DB1" w:rsidP="00755DB1">
            <w:pPr>
              <w:pStyle w:val="BodyCopy"/>
            </w:pPr>
            <w:r w:rsidRPr="00114855">
              <w:rPr>
                <w:rFonts w:asciiTheme="majorHAnsi" w:hAnsiTheme="majorHAnsi" w:cstheme="majorHAnsi"/>
                <w:sz w:val="22"/>
                <w:szCs w:val="22"/>
              </w:rPr>
              <w:t>Store below 25°C</w:t>
            </w:r>
          </w:p>
        </w:tc>
        <w:tc>
          <w:tcPr>
            <w:tcW w:w="5245" w:type="dxa"/>
          </w:tcPr>
          <w:p w14:paraId="750312A3" w14:textId="77777777" w:rsidR="00755DB1" w:rsidRDefault="00755DB1" w:rsidP="00755DB1">
            <w:pPr>
              <w:pStyle w:val="Bullet"/>
            </w:pPr>
            <w:r>
              <w:t>Do not freeze</w:t>
            </w:r>
          </w:p>
          <w:p w14:paraId="11EEE3CA" w14:textId="77777777" w:rsidR="00755DB1" w:rsidRDefault="00755DB1" w:rsidP="00755DB1">
            <w:pPr>
              <w:pStyle w:val="Bullet"/>
            </w:pPr>
            <w:r>
              <w:t>Do not shake</w:t>
            </w:r>
          </w:p>
          <w:p w14:paraId="14A57781" w14:textId="77777777" w:rsidR="00755DB1" w:rsidRDefault="00755DB1" w:rsidP="00755DB1">
            <w:pPr>
              <w:pStyle w:val="Bullet"/>
            </w:pPr>
            <w:r>
              <w:t>Protect from light</w:t>
            </w:r>
          </w:p>
          <w:p w14:paraId="2AE64F67" w14:textId="77777777" w:rsidR="00755DB1" w:rsidRDefault="00755DB1" w:rsidP="00755DB1">
            <w:pPr>
              <w:pStyle w:val="Bullet"/>
            </w:pPr>
            <w:r>
              <w:t>Do not use after the expiry date printed on the carton and the label</w:t>
            </w:r>
          </w:p>
        </w:tc>
      </w:tr>
      <w:tr w:rsidR="00755DB1" w14:paraId="76580B96" w14:textId="77777777" w:rsidTr="00755DB1">
        <w:tc>
          <w:tcPr>
            <w:tcW w:w="1980" w:type="dxa"/>
          </w:tcPr>
          <w:p w14:paraId="4F883F94" w14:textId="77777777" w:rsidR="00755DB1" w:rsidRDefault="00755DB1" w:rsidP="00C2243F">
            <w:r>
              <w:t>Privigen</w:t>
            </w:r>
            <w:r w:rsidRPr="00755DB1">
              <w:rPr>
                <w:rFonts w:cs="Calibri"/>
                <w:vertAlign w:val="superscript"/>
              </w:rPr>
              <w:t>®</w:t>
            </w:r>
            <w:r>
              <w:t xml:space="preserve"> AU</w:t>
            </w:r>
          </w:p>
        </w:tc>
        <w:tc>
          <w:tcPr>
            <w:tcW w:w="2693" w:type="dxa"/>
          </w:tcPr>
          <w:p w14:paraId="38FBF4F2" w14:textId="77777777" w:rsidR="00755DB1" w:rsidRDefault="00755DB1" w:rsidP="00755DB1">
            <w:pPr>
              <w:pStyle w:val="BodyCopy"/>
            </w:pPr>
            <w:r w:rsidRPr="008E2084">
              <w:rPr>
                <w:rFonts w:asciiTheme="majorHAnsi" w:hAnsiTheme="majorHAnsi" w:cstheme="majorHAnsi"/>
                <w:sz w:val="22"/>
                <w:szCs w:val="22"/>
              </w:rPr>
              <w:t>Store below 25°C</w:t>
            </w:r>
          </w:p>
        </w:tc>
        <w:tc>
          <w:tcPr>
            <w:tcW w:w="5245" w:type="dxa"/>
          </w:tcPr>
          <w:p w14:paraId="34F0BC22" w14:textId="77777777" w:rsidR="00755DB1" w:rsidRPr="008879A0" w:rsidRDefault="00755DB1" w:rsidP="00755DB1">
            <w:pPr>
              <w:pStyle w:val="Bullet"/>
            </w:pPr>
            <w:r w:rsidRPr="008879A0">
              <w:t>Do not freeze</w:t>
            </w:r>
          </w:p>
          <w:p w14:paraId="126E447D" w14:textId="77777777" w:rsidR="00755DB1" w:rsidRPr="008879A0" w:rsidRDefault="00755DB1" w:rsidP="00755DB1">
            <w:pPr>
              <w:pStyle w:val="Bullet"/>
            </w:pPr>
            <w:r>
              <w:t>Do not shake</w:t>
            </w:r>
          </w:p>
          <w:p w14:paraId="2B46249C" w14:textId="77777777" w:rsidR="00755DB1" w:rsidRPr="008879A0" w:rsidRDefault="00755DB1" w:rsidP="00755DB1">
            <w:pPr>
              <w:pStyle w:val="Bullet"/>
            </w:pPr>
            <w:r>
              <w:t>Protect from light</w:t>
            </w:r>
          </w:p>
          <w:p w14:paraId="3CF74D2A" w14:textId="77777777" w:rsidR="00755DB1" w:rsidRDefault="00755DB1" w:rsidP="00755DB1">
            <w:pPr>
              <w:pStyle w:val="Bullet"/>
            </w:pPr>
            <w:r>
              <w:t>Do not use after the expiry date printed on the carton and the label</w:t>
            </w:r>
          </w:p>
        </w:tc>
      </w:tr>
    </w:tbl>
    <w:p w14:paraId="2AC176B3" w14:textId="77777777" w:rsidR="006D1B0C" w:rsidRDefault="006D1B0C" w:rsidP="00755DB1">
      <w:pPr>
        <w:pStyle w:val="Heading5"/>
      </w:pPr>
    </w:p>
    <w:p w14:paraId="5AF37895" w14:textId="23B9B9A6" w:rsidR="004D46D3" w:rsidRDefault="00755DB1" w:rsidP="00620D92">
      <w:pPr>
        <w:pStyle w:val="Tabletitle-numbered"/>
      </w:pPr>
      <w:r>
        <w:t>SCIg</w:t>
      </w:r>
      <w:r w:rsidR="003B0313">
        <w:t xml:space="preserve"> storage conditions</w:t>
      </w:r>
    </w:p>
    <w:tbl>
      <w:tblPr>
        <w:tblStyle w:val="TableGrid"/>
        <w:tblW w:w="9918" w:type="dxa"/>
        <w:tblLook w:val="04A0" w:firstRow="1" w:lastRow="0" w:firstColumn="1" w:lastColumn="0" w:noHBand="0" w:noVBand="1"/>
      </w:tblPr>
      <w:tblGrid>
        <w:gridCol w:w="1980"/>
        <w:gridCol w:w="2693"/>
        <w:gridCol w:w="5245"/>
      </w:tblGrid>
      <w:tr w:rsidR="00755DB1" w14:paraId="2BFED23D" w14:textId="77777777" w:rsidTr="00755DB1">
        <w:tc>
          <w:tcPr>
            <w:tcW w:w="1980" w:type="dxa"/>
            <w:shd w:val="clear" w:color="auto" w:fill="D9D9D9" w:themeFill="background1" w:themeFillShade="D9"/>
          </w:tcPr>
          <w:p w14:paraId="19A9F077" w14:textId="77777777" w:rsidR="00755DB1" w:rsidRPr="00755DB1" w:rsidRDefault="00755DB1" w:rsidP="00755DB1">
            <w:pPr>
              <w:pStyle w:val="BodyCopy"/>
              <w:rPr>
                <w:rStyle w:val="Bold"/>
              </w:rPr>
            </w:pPr>
            <w:r w:rsidRPr="00755DB1">
              <w:rPr>
                <w:rStyle w:val="Bold"/>
              </w:rPr>
              <w:t>Product name</w:t>
            </w:r>
          </w:p>
        </w:tc>
        <w:tc>
          <w:tcPr>
            <w:tcW w:w="2693" w:type="dxa"/>
            <w:shd w:val="clear" w:color="auto" w:fill="D9D9D9" w:themeFill="background1" w:themeFillShade="D9"/>
          </w:tcPr>
          <w:p w14:paraId="277AB9E8" w14:textId="77777777" w:rsidR="00755DB1" w:rsidRPr="00755DB1" w:rsidRDefault="00755DB1" w:rsidP="00755DB1">
            <w:pPr>
              <w:pStyle w:val="BodyCopy"/>
              <w:rPr>
                <w:rStyle w:val="Bold"/>
              </w:rPr>
            </w:pPr>
            <w:r w:rsidRPr="00755DB1">
              <w:rPr>
                <w:rStyle w:val="Bold"/>
              </w:rPr>
              <w:t>Storage</w:t>
            </w:r>
          </w:p>
        </w:tc>
        <w:tc>
          <w:tcPr>
            <w:tcW w:w="5245" w:type="dxa"/>
            <w:shd w:val="clear" w:color="auto" w:fill="D9D9D9" w:themeFill="background1" w:themeFillShade="D9"/>
          </w:tcPr>
          <w:p w14:paraId="2A3AC75C" w14:textId="77777777" w:rsidR="00755DB1" w:rsidRPr="00755DB1" w:rsidRDefault="00755DB1" w:rsidP="00755DB1">
            <w:pPr>
              <w:pStyle w:val="BodyCopy"/>
              <w:rPr>
                <w:rStyle w:val="Bold"/>
              </w:rPr>
            </w:pPr>
            <w:r w:rsidRPr="00755DB1">
              <w:rPr>
                <w:rStyle w:val="Bold"/>
              </w:rPr>
              <w:t>Other storage requirements</w:t>
            </w:r>
          </w:p>
        </w:tc>
      </w:tr>
      <w:tr w:rsidR="00755DB1" w14:paraId="54F9C4BC" w14:textId="77777777" w:rsidTr="00755DB1">
        <w:tc>
          <w:tcPr>
            <w:tcW w:w="1980" w:type="dxa"/>
          </w:tcPr>
          <w:p w14:paraId="69D44261" w14:textId="77777777" w:rsidR="00755DB1" w:rsidRDefault="00755DB1" w:rsidP="00755DB1">
            <w:pPr>
              <w:pStyle w:val="BodyCopy"/>
            </w:pPr>
            <w:r>
              <w:t>Cuvitru</w:t>
            </w:r>
            <w:r w:rsidRPr="00755DB1">
              <w:rPr>
                <w:rFonts w:cs="Calibri"/>
                <w:vertAlign w:val="superscript"/>
              </w:rPr>
              <w:t>®</w:t>
            </w:r>
          </w:p>
        </w:tc>
        <w:tc>
          <w:tcPr>
            <w:tcW w:w="2693" w:type="dxa"/>
          </w:tcPr>
          <w:p w14:paraId="0F036360" w14:textId="77777777" w:rsidR="00755DB1" w:rsidRDefault="00755DB1" w:rsidP="00755DB1">
            <w:pPr>
              <w:pStyle w:val="BodyCopy"/>
            </w:pPr>
            <w:r w:rsidRPr="00114855">
              <w:rPr>
                <w:rFonts w:asciiTheme="majorHAnsi" w:hAnsiTheme="majorHAnsi" w:cstheme="majorHAnsi"/>
                <w:sz w:val="22"/>
                <w:szCs w:val="22"/>
              </w:rPr>
              <w:t xml:space="preserve">Store </w:t>
            </w:r>
            <w:r>
              <w:rPr>
                <w:rFonts w:asciiTheme="majorHAnsi" w:hAnsiTheme="majorHAnsi" w:cstheme="majorHAnsi"/>
                <w:sz w:val="22"/>
                <w:szCs w:val="22"/>
              </w:rPr>
              <w:t>at 2°-8°C</w:t>
            </w:r>
          </w:p>
        </w:tc>
        <w:tc>
          <w:tcPr>
            <w:tcW w:w="5245" w:type="dxa"/>
          </w:tcPr>
          <w:p w14:paraId="10080F14" w14:textId="77777777" w:rsidR="00755DB1" w:rsidRPr="009F4DCF" w:rsidRDefault="00755DB1" w:rsidP="00755DB1">
            <w:pPr>
              <w:pStyle w:val="Bullet"/>
            </w:pPr>
            <w:r>
              <w:t>Refrigerate</w:t>
            </w:r>
          </w:p>
          <w:p w14:paraId="20372465" w14:textId="77777777" w:rsidR="00755DB1" w:rsidRPr="009F4DCF" w:rsidRDefault="00755DB1" w:rsidP="00755DB1">
            <w:pPr>
              <w:pStyle w:val="Bullet"/>
            </w:pPr>
            <w:r>
              <w:t>Do not freeze</w:t>
            </w:r>
          </w:p>
          <w:p w14:paraId="7E7BFE05" w14:textId="77777777" w:rsidR="00755DB1" w:rsidRPr="009F4DCF" w:rsidRDefault="00755DB1" w:rsidP="00755DB1">
            <w:pPr>
              <w:pStyle w:val="Bullet"/>
            </w:pPr>
            <w:r w:rsidRPr="009F4DCF">
              <w:t>Store in the original package to protect from light</w:t>
            </w:r>
          </w:p>
          <w:p w14:paraId="75CD0305" w14:textId="77777777" w:rsidR="00755DB1" w:rsidRDefault="00755DB1" w:rsidP="00755DB1">
            <w:pPr>
              <w:pStyle w:val="Bullet"/>
            </w:pPr>
            <w:r>
              <w:t>Do not use after the expiry date printed on the carton and the label</w:t>
            </w:r>
          </w:p>
        </w:tc>
      </w:tr>
      <w:tr w:rsidR="00755DB1" w14:paraId="7221A2C6" w14:textId="77777777" w:rsidTr="00755DB1">
        <w:tc>
          <w:tcPr>
            <w:tcW w:w="1980" w:type="dxa"/>
          </w:tcPr>
          <w:p w14:paraId="0CFD4C1F" w14:textId="77777777" w:rsidR="00755DB1" w:rsidRDefault="00755DB1" w:rsidP="00755DB1">
            <w:pPr>
              <w:pStyle w:val="BodyCopy"/>
            </w:pPr>
            <w:r>
              <w:t>Hizentra</w:t>
            </w:r>
            <w:r w:rsidRPr="00755DB1">
              <w:rPr>
                <w:rFonts w:cs="Calibri"/>
                <w:vertAlign w:val="superscript"/>
              </w:rPr>
              <w:t>®</w:t>
            </w:r>
            <w:r>
              <w:rPr>
                <w:rFonts w:cs="Calibri"/>
                <w:vertAlign w:val="superscript"/>
              </w:rPr>
              <w:t xml:space="preserve"> </w:t>
            </w:r>
            <w:r>
              <w:t>20%</w:t>
            </w:r>
          </w:p>
        </w:tc>
        <w:tc>
          <w:tcPr>
            <w:tcW w:w="2693" w:type="dxa"/>
          </w:tcPr>
          <w:p w14:paraId="6C5E0359" w14:textId="77777777" w:rsidR="00755DB1" w:rsidRDefault="00755DB1" w:rsidP="00755DB1">
            <w:pPr>
              <w:pStyle w:val="BodyCopy"/>
            </w:pPr>
            <w:r w:rsidRPr="00114855">
              <w:rPr>
                <w:rFonts w:asciiTheme="majorHAnsi" w:hAnsiTheme="majorHAnsi" w:cstheme="majorHAnsi"/>
                <w:sz w:val="22"/>
                <w:szCs w:val="22"/>
              </w:rPr>
              <w:t>Store below 25°C</w:t>
            </w:r>
          </w:p>
        </w:tc>
        <w:tc>
          <w:tcPr>
            <w:tcW w:w="5245" w:type="dxa"/>
          </w:tcPr>
          <w:p w14:paraId="6DB34F1C" w14:textId="77777777" w:rsidR="00755DB1" w:rsidRPr="009F4DCF" w:rsidRDefault="00755DB1" w:rsidP="00755DB1">
            <w:pPr>
              <w:pStyle w:val="Bullet"/>
            </w:pPr>
            <w:r>
              <w:t>Do not freeze</w:t>
            </w:r>
          </w:p>
          <w:p w14:paraId="12EEE707" w14:textId="77777777" w:rsidR="00755DB1" w:rsidRDefault="00755DB1" w:rsidP="00755DB1">
            <w:pPr>
              <w:pStyle w:val="Bullet"/>
            </w:pPr>
            <w:r w:rsidRPr="009F4DCF">
              <w:lastRenderedPageBreak/>
              <w:t>Store in the original package to protect from light</w:t>
            </w:r>
          </w:p>
        </w:tc>
      </w:tr>
      <w:tr w:rsidR="00755DB1" w14:paraId="269434ED" w14:textId="77777777" w:rsidTr="00755DB1">
        <w:tc>
          <w:tcPr>
            <w:tcW w:w="1980" w:type="dxa"/>
          </w:tcPr>
          <w:p w14:paraId="0F6E7EB8" w14:textId="77777777" w:rsidR="00755DB1" w:rsidRDefault="00755DB1" w:rsidP="00755DB1">
            <w:pPr>
              <w:pStyle w:val="BodyCopy"/>
            </w:pPr>
            <w:r>
              <w:lastRenderedPageBreak/>
              <w:t>Hizentra</w:t>
            </w:r>
            <w:r w:rsidRPr="00755DB1">
              <w:rPr>
                <w:rFonts w:cs="Calibri"/>
                <w:vertAlign w:val="superscript"/>
              </w:rPr>
              <w:t>®</w:t>
            </w:r>
            <w:r>
              <w:t xml:space="preserve"> AU</w:t>
            </w:r>
          </w:p>
        </w:tc>
        <w:tc>
          <w:tcPr>
            <w:tcW w:w="2693" w:type="dxa"/>
          </w:tcPr>
          <w:p w14:paraId="1D0004D4" w14:textId="77777777" w:rsidR="00755DB1" w:rsidRDefault="00755DB1" w:rsidP="00755DB1">
            <w:pPr>
              <w:pStyle w:val="BodyCopy"/>
            </w:pPr>
            <w:r w:rsidRPr="00114855">
              <w:rPr>
                <w:rFonts w:asciiTheme="majorHAnsi" w:hAnsiTheme="majorHAnsi" w:cstheme="majorHAnsi"/>
                <w:sz w:val="22"/>
                <w:szCs w:val="22"/>
              </w:rPr>
              <w:t>Store below 25°C</w:t>
            </w:r>
          </w:p>
        </w:tc>
        <w:tc>
          <w:tcPr>
            <w:tcW w:w="5245" w:type="dxa"/>
          </w:tcPr>
          <w:p w14:paraId="24C60465" w14:textId="77777777" w:rsidR="00755DB1" w:rsidRPr="009F4DCF" w:rsidRDefault="00755DB1" w:rsidP="00755DB1">
            <w:pPr>
              <w:pStyle w:val="Bullet"/>
            </w:pPr>
            <w:r>
              <w:rPr>
                <w:rFonts w:asciiTheme="majorHAnsi" w:hAnsiTheme="majorHAnsi"/>
              </w:rPr>
              <w:t>Do not freeze</w:t>
            </w:r>
          </w:p>
          <w:p w14:paraId="5BA36630" w14:textId="77777777" w:rsidR="00755DB1" w:rsidRDefault="00755DB1" w:rsidP="00755DB1">
            <w:pPr>
              <w:pStyle w:val="Bullet"/>
            </w:pPr>
            <w:r w:rsidRPr="009F4DCF">
              <w:rPr>
                <w:rFonts w:asciiTheme="majorHAnsi" w:hAnsiTheme="majorHAnsi"/>
              </w:rPr>
              <w:t>Store in the original package to protect from light</w:t>
            </w:r>
          </w:p>
        </w:tc>
      </w:tr>
      <w:tr w:rsidR="00755DB1" w14:paraId="639F292C" w14:textId="77777777" w:rsidTr="00755DB1">
        <w:tc>
          <w:tcPr>
            <w:tcW w:w="1980" w:type="dxa"/>
          </w:tcPr>
          <w:p w14:paraId="1EBF3ABF" w14:textId="77777777" w:rsidR="00755DB1" w:rsidRDefault="00755DB1" w:rsidP="00755DB1">
            <w:pPr>
              <w:pStyle w:val="BodyCopy"/>
            </w:pPr>
            <w:r>
              <w:t>Xembify</w:t>
            </w:r>
            <w:r w:rsidRPr="00755DB1">
              <w:rPr>
                <w:rFonts w:cs="Calibri"/>
                <w:vertAlign w:val="superscript"/>
              </w:rPr>
              <w:t>®</w:t>
            </w:r>
          </w:p>
        </w:tc>
        <w:tc>
          <w:tcPr>
            <w:tcW w:w="2693" w:type="dxa"/>
          </w:tcPr>
          <w:p w14:paraId="293D7247" w14:textId="77777777" w:rsidR="00755DB1" w:rsidRPr="008F6266" w:rsidRDefault="00755DB1" w:rsidP="00755DB1">
            <w:pPr>
              <w:pStyle w:val="BodyCopy"/>
              <w:rPr>
                <w:rFonts w:asciiTheme="majorHAnsi" w:hAnsiTheme="majorHAnsi" w:cstheme="majorHAnsi"/>
                <w:sz w:val="22"/>
                <w:szCs w:val="22"/>
              </w:rPr>
            </w:pPr>
            <w:r w:rsidRPr="00114855">
              <w:rPr>
                <w:rFonts w:asciiTheme="majorHAnsi" w:hAnsiTheme="majorHAnsi" w:cstheme="majorHAnsi"/>
                <w:sz w:val="22"/>
                <w:szCs w:val="22"/>
              </w:rPr>
              <w:t xml:space="preserve">Store </w:t>
            </w:r>
            <w:r>
              <w:rPr>
                <w:rFonts w:asciiTheme="majorHAnsi" w:hAnsiTheme="majorHAnsi" w:cstheme="majorHAnsi"/>
                <w:sz w:val="22"/>
                <w:szCs w:val="22"/>
              </w:rPr>
              <w:t xml:space="preserve">between </w:t>
            </w:r>
            <w:r w:rsidRPr="00114855">
              <w:rPr>
                <w:rFonts w:asciiTheme="majorHAnsi" w:hAnsiTheme="majorHAnsi" w:cstheme="majorHAnsi"/>
                <w:sz w:val="22"/>
                <w:szCs w:val="22"/>
              </w:rPr>
              <w:t>2°C</w:t>
            </w:r>
            <w:r w:rsidRPr="00114855">
              <w:rPr>
                <w:rFonts w:asciiTheme="majorHAnsi" w:hAnsiTheme="majorHAnsi" w:cstheme="majorHAnsi"/>
                <w:color w:val="000000"/>
                <w:sz w:val="22"/>
                <w:szCs w:val="22"/>
                <w:lang w:eastAsia="en-AU"/>
              </w:rPr>
              <w:t xml:space="preserve"> </w:t>
            </w:r>
            <w:r w:rsidRPr="00114855">
              <w:rPr>
                <w:rFonts w:asciiTheme="majorHAnsi" w:hAnsiTheme="majorHAnsi" w:cstheme="majorHAnsi"/>
                <w:sz w:val="22"/>
                <w:szCs w:val="22"/>
              </w:rPr>
              <w:t>-</w:t>
            </w:r>
            <w:r>
              <w:rPr>
                <w:rFonts w:asciiTheme="majorHAnsi" w:hAnsiTheme="majorHAnsi" w:cstheme="majorHAnsi"/>
                <w:sz w:val="22"/>
                <w:szCs w:val="22"/>
              </w:rPr>
              <w:t xml:space="preserve"> </w:t>
            </w:r>
            <w:r w:rsidRPr="00114855">
              <w:rPr>
                <w:rFonts w:asciiTheme="majorHAnsi" w:hAnsiTheme="majorHAnsi" w:cstheme="majorHAnsi"/>
                <w:sz w:val="22"/>
                <w:szCs w:val="22"/>
              </w:rPr>
              <w:t>8°C</w:t>
            </w:r>
          </w:p>
        </w:tc>
        <w:tc>
          <w:tcPr>
            <w:tcW w:w="5245" w:type="dxa"/>
          </w:tcPr>
          <w:p w14:paraId="3555CCCF" w14:textId="77777777" w:rsidR="00755DB1" w:rsidRPr="008F6266" w:rsidRDefault="00755DB1" w:rsidP="00755DB1">
            <w:pPr>
              <w:pStyle w:val="Bullet"/>
            </w:pPr>
            <w:r w:rsidRPr="008F6266">
              <w:rPr>
                <w:rFonts w:asciiTheme="majorHAnsi" w:hAnsiTheme="majorHAnsi" w:cstheme="majorHAnsi"/>
              </w:rPr>
              <w:t>Do not freeze</w:t>
            </w:r>
          </w:p>
          <w:p w14:paraId="379EF1D3" w14:textId="77777777" w:rsidR="00755DB1" w:rsidRPr="008F6266" w:rsidRDefault="00755DB1" w:rsidP="00755DB1">
            <w:pPr>
              <w:pStyle w:val="Bullet"/>
            </w:pPr>
            <w:r w:rsidRPr="008F6266">
              <w:rPr>
                <w:rFonts w:asciiTheme="majorHAnsi" w:hAnsiTheme="majorHAnsi"/>
              </w:rPr>
              <w:t>Store in the original package to protect from light</w:t>
            </w:r>
          </w:p>
          <w:p w14:paraId="67AFF036" w14:textId="77777777" w:rsidR="00755DB1" w:rsidRDefault="00755DB1" w:rsidP="00755DB1">
            <w:pPr>
              <w:pStyle w:val="Bullet"/>
            </w:pPr>
            <w:r>
              <w:t>Administer within 8 hours after beginning infusion preparation (once transferred from vial into a syringe)</w:t>
            </w:r>
          </w:p>
        </w:tc>
      </w:tr>
    </w:tbl>
    <w:p w14:paraId="6BFB69DA" w14:textId="77777777" w:rsidR="004D46D3" w:rsidRDefault="0028383D" w:rsidP="004D46D3">
      <w:pPr>
        <w:pStyle w:val="BodyCopy"/>
      </w:pPr>
      <w:hyperlink w:anchor="_top" w:history="1">
        <w:r w:rsidR="004D46D3" w:rsidRPr="00481A6C">
          <w:rPr>
            <w:rStyle w:val="Hyperlink"/>
            <w:iCs w:val="0"/>
          </w:rPr>
          <w:t>Back to Contents</w:t>
        </w:r>
      </w:hyperlink>
    </w:p>
    <w:p w14:paraId="078B593A" w14:textId="77777777" w:rsidR="0078367D" w:rsidRDefault="0078367D" w:rsidP="00A6051F">
      <w:pPr>
        <w:pStyle w:val="Heading4"/>
      </w:pPr>
      <w:bookmarkStart w:id="19" w:name="_Toc176348490"/>
      <w:bookmarkStart w:id="20" w:name="_Toc184739600"/>
      <w:r>
        <w:t>Evaluation</w:t>
      </w:r>
      <w:bookmarkStart w:id="21" w:name="_Hlk43366294"/>
      <w:bookmarkEnd w:id="19"/>
      <w:bookmarkEnd w:id="20"/>
    </w:p>
    <w:p w14:paraId="07EAC5D7" w14:textId="1346BC91" w:rsidR="00755DB1" w:rsidRPr="00755DB1" w:rsidRDefault="00F72592" w:rsidP="00755DB1">
      <w:pPr>
        <w:pStyle w:val="Heading5"/>
      </w:pPr>
      <w:bookmarkStart w:id="22" w:name="_Hlk170467240"/>
      <w:bookmarkEnd w:id="21"/>
      <w:r>
        <w:t xml:space="preserve">Outcome and </w:t>
      </w:r>
      <w:r w:rsidR="00C34A10">
        <w:t>Measures</w:t>
      </w:r>
      <w:bookmarkEnd w:id="22"/>
    </w:p>
    <w:p w14:paraId="54B46C52" w14:textId="77777777" w:rsidR="00755DB1" w:rsidRDefault="00755DB1" w:rsidP="00755DB1">
      <w:pPr>
        <w:pStyle w:val="Bullet"/>
      </w:pPr>
      <w:r>
        <w:t>100% of immunoglobulin infusions occurring within CHS will comply with the National Blood Authority’s Patient Blood Management Guidelines</w:t>
      </w:r>
    </w:p>
    <w:p w14:paraId="28AC6DDE" w14:textId="771E6C28" w:rsidR="00755DB1" w:rsidRDefault="00755DB1" w:rsidP="00755DB1">
      <w:pPr>
        <w:pStyle w:val="Bullet"/>
        <w:numPr>
          <w:ilvl w:val="1"/>
          <w:numId w:val="1"/>
        </w:numPr>
      </w:pPr>
      <w:r w:rsidRPr="00E87445">
        <w:rPr>
          <w:b/>
          <w:bCs/>
        </w:rPr>
        <w:t>Compliance</w:t>
      </w:r>
      <w:r w:rsidRPr="00E87445">
        <w:t xml:space="preserve"> will be measured by</w:t>
      </w:r>
      <w:r w:rsidR="00E537F3">
        <w:t xml:space="preserve"> clinical</w:t>
      </w:r>
      <w:r w:rsidRPr="00E87445">
        <w:t xml:space="preserve"> audits</w:t>
      </w:r>
      <w:r w:rsidR="00E537F3">
        <w:t xml:space="preserve"> and</w:t>
      </w:r>
      <w:r w:rsidR="008635B7">
        <w:t xml:space="preserve"> Riskman</w:t>
      </w:r>
      <w:r w:rsidRPr="00E87445">
        <w:t xml:space="preserve"> incident reviews</w:t>
      </w:r>
      <w:r w:rsidR="00E537F3">
        <w:t>.</w:t>
      </w:r>
    </w:p>
    <w:p w14:paraId="79FF9C96" w14:textId="77777777" w:rsidR="00755DB1" w:rsidRDefault="00755DB1" w:rsidP="00755DB1">
      <w:pPr>
        <w:pStyle w:val="Bullet"/>
      </w:pPr>
      <w:r>
        <w:t>100% of CHS services which provide immunoglobulin therapy will meet the National Safety and Quality Health Service Standards, Blood Management Standard 7.</w:t>
      </w:r>
    </w:p>
    <w:p w14:paraId="5E271682" w14:textId="77777777" w:rsidR="00755DB1" w:rsidRDefault="00755DB1" w:rsidP="00755DB1">
      <w:pPr>
        <w:pStyle w:val="Bullet"/>
        <w:numPr>
          <w:ilvl w:val="1"/>
          <w:numId w:val="1"/>
        </w:numPr>
      </w:pPr>
      <w:r>
        <w:rPr>
          <w:b/>
          <w:bCs/>
        </w:rPr>
        <w:t>Compliance</w:t>
      </w:r>
      <w:r>
        <w:t xml:space="preserve"> will be measured by </w:t>
      </w:r>
      <w:r w:rsidR="00E537F3">
        <w:t>the safe and appropriate management of the Blood Management Standard</w:t>
      </w:r>
      <w:r>
        <w:t xml:space="preserve">. </w:t>
      </w:r>
    </w:p>
    <w:p w14:paraId="1C976859" w14:textId="77777777" w:rsidR="00755DB1" w:rsidRDefault="00755DB1" w:rsidP="00755DB1">
      <w:pPr>
        <w:pStyle w:val="Bullet"/>
      </w:pPr>
      <w:r>
        <w:t>100% of CHS which provide immunoglobulin infusion services will continue to be responsible and accountable for the management of blood products, blood product expenditure and wastage.</w:t>
      </w:r>
    </w:p>
    <w:p w14:paraId="778AE01E" w14:textId="77777777" w:rsidR="00755DB1" w:rsidRDefault="00755DB1" w:rsidP="00755DB1">
      <w:pPr>
        <w:pStyle w:val="Bullet"/>
        <w:numPr>
          <w:ilvl w:val="1"/>
          <w:numId w:val="1"/>
        </w:numPr>
      </w:pPr>
      <w:r>
        <w:rPr>
          <w:b/>
          <w:bCs/>
        </w:rPr>
        <w:t>Compliance</w:t>
      </w:r>
      <w:r>
        <w:t xml:space="preserve"> will be measured by reviewing and acting on findings in reports relating to blood product issues, usage and wastage provided by CHS ACT Pathology Transfusion laboratory.</w:t>
      </w:r>
    </w:p>
    <w:p w14:paraId="375CC33E" w14:textId="77777777" w:rsidR="00481A6C" w:rsidRDefault="0028383D" w:rsidP="002D7682">
      <w:pPr>
        <w:pStyle w:val="BodyCopy"/>
        <w:spacing w:after="120"/>
        <w:rPr>
          <w:rStyle w:val="Hyperlink"/>
          <w:iCs w:val="0"/>
        </w:rPr>
      </w:pPr>
      <w:hyperlink w:anchor="_top" w:history="1">
        <w:r w:rsidR="00481A6C" w:rsidRPr="00481A6C">
          <w:rPr>
            <w:rStyle w:val="Hyperlink"/>
            <w:iCs w:val="0"/>
          </w:rPr>
          <w:t>Back to Contents</w:t>
        </w:r>
      </w:hyperlink>
    </w:p>
    <w:p w14:paraId="7CBAFB0F" w14:textId="77777777" w:rsidR="00A6051F" w:rsidRDefault="00A6051F" w:rsidP="00A6051F">
      <w:pPr>
        <w:pStyle w:val="Heading4"/>
      </w:pPr>
      <w:bookmarkStart w:id="23" w:name="_Toc184739601"/>
      <w:r>
        <w:t>Related policies, procedures, guidelines and legislation</w:t>
      </w:r>
      <w:bookmarkEnd w:id="23"/>
    </w:p>
    <w:p w14:paraId="2C3E70FA" w14:textId="77777777" w:rsidR="00481A6C" w:rsidRPr="00A66966" w:rsidRDefault="00481A6C" w:rsidP="00A6051F">
      <w:pPr>
        <w:pStyle w:val="Heading5"/>
      </w:pPr>
      <w:r w:rsidRPr="00A66966">
        <w:t>Policies</w:t>
      </w:r>
    </w:p>
    <w:p w14:paraId="4C0F35CA" w14:textId="77777777" w:rsidR="00A34FFD" w:rsidRDefault="00A34FFD" w:rsidP="00E537F3">
      <w:pPr>
        <w:pStyle w:val="Bullet"/>
        <w:numPr>
          <w:ilvl w:val="0"/>
          <w:numId w:val="8"/>
        </w:numPr>
      </w:pPr>
      <w:r>
        <w:t>Blood Management</w:t>
      </w:r>
    </w:p>
    <w:p w14:paraId="7280EA7A" w14:textId="3C77694B" w:rsidR="00A86197" w:rsidRDefault="00A86197" w:rsidP="00E537F3">
      <w:pPr>
        <w:pStyle w:val="Bullet"/>
        <w:numPr>
          <w:ilvl w:val="0"/>
          <w:numId w:val="8"/>
        </w:numPr>
      </w:pPr>
      <w:r>
        <w:t>Nursing and Midwifery Board of Australia (NMBA) Requirements for Practice</w:t>
      </w:r>
    </w:p>
    <w:p w14:paraId="44476714" w14:textId="77777777" w:rsidR="00481A6C" w:rsidRDefault="00481A6C" w:rsidP="00A6051F">
      <w:pPr>
        <w:pStyle w:val="Heading5"/>
      </w:pPr>
      <w:r>
        <w:lastRenderedPageBreak/>
        <w:t>Procedures</w:t>
      </w:r>
    </w:p>
    <w:p w14:paraId="771DA63A" w14:textId="77BB06BE" w:rsidR="00E537F3" w:rsidRDefault="00E537F3" w:rsidP="000E7683">
      <w:pPr>
        <w:pStyle w:val="Bullet"/>
      </w:pPr>
      <w:r>
        <w:t>Vital Signs &amp; Early Warning Scores – The Canberra Hospital Inpatients</w:t>
      </w:r>
    </w:p>
    <w:p w14:paraId="4D005E54" w14:textId="77E9140E" w:rsidR="00A34FFD" w:rsidRDefault="00A34FFD" w:rsidP="00A34FFD">
      <w:pPr>
        <w:pStyle w:val="Bullet"/>
      </w:pPr>
      <w:r>
        <w:t>Vital Signs &amp; Early Warning Scores – North Canberra Hospital (NCH)</w:t>
      </w:r>
    </w:p>
    <w:p w14:paraId="064F6F95" w14:textId="54117ED8" w:rsidR="006D7801" w:rsidRPr="006D7801" w:rsidRDefault="006D7801" w:rsidP="00A34FFD">
      <w:pPr>
        <w:pStyle w:val="Bullet"/>
        <w:rPr>
          <w:iCs/>
        </w:rPr>
      </w:pPr>
      <w:r w:rsidRPr="00620D92">
        <w:rPr>
          <w:iCs/>
        </w:rPr>
        <w:t>University of Canberra (UCH) Vital Signs &amp; Early Warning Scores</w:t>
      </w:r>
    </w:p>
    <w:p w14:paraId="477EF190" w14:textId="77777777" w:rsidR="00481A6C" w:rsidRDefault="00481A6C" w:rsidP="000E7683">
      <w:pPr>
        <w:pStyle w:val="Bullet"/>
      </w:pPr>
      <w:r w:rsidRPr="000E7683">
        <w:t>Patient Identification and Procedure Matching</w:t>
      </w:r>
    </w:p>
    <w:p w14:paraId="6C0600D8" w14:textId="77777777" w:rsidR="00E537F3" w:rsidRDefault="00E537F3" w:rsidP="000E7683">
      <w:pPr>
        <w:pStyle w:val="Bullet"/>
      </w:pPr>
      <w:r>
        <w:t>Patient Identification – Pathology Specimen Labelling</w:t>
      </w:r>
    </w:p>
    <w:p w14:paraId="3D5B4F03" w14:textId="77777777" w:rsidR="00E537F3" w:rsidRDefault="00E537F3" w:rsidP="000E7683">
      <w:pPr>
        <w:pStyle w:val="Bullet"/>
      </w:pPr>
      <w:r>
        <w:t>Fresh Blood Products Administration – Adults, Paediatrics and Neonates</w:t>
      </w:r>
    </w:p>
    <w:p w14:paraId="72F2F955" w14:textId="77777777" w:rsidR="00E537F3" w:rsidRDefault="00E537F3" w:rsidP="000E7683">
      <w:pPr>
        <w:pStyle w:val="Bullet"/>
      </w:pPr>
      <w:r>
        <w:t>Venepuncture Blood Specimen Collection</w:t>
      </w:r>
    </w:p>
    <w:p w14:paraId="6E542A83" w14:textId="77777777" w:rsidR="00E537F3" w:rsidRDefault="00E537F3" w:rsidP="000E7683">
      <w:pPr>
        <w:pStyle w:val="Bullet"/>
      </w:pPr>
      <w:r>
        <w:t>Pathology Specimen Handling and Transportation</w:t>
      </w:r>
    </w:p>
    <w:p w14:paraId="2DEFCE84" w14:textId="77777777" w:rsidR="00481A6C" w:rsidRDefault="00481A6C" w:rsidP="00A6051F">
      <w:pPr>
        <w:pStyle w:val="Heading5"/>
      </w:pPr>
      <w:r>
        <w:t xml:space="preserve">Guidelines </w:t>
      </w:r>
    </w:p>
    <w:p w14:paraId="63D25938" w14:textId="77777777" w:rsidR="009746B1" w:rsidRDefault="009746B1" w:rsidP="009746B1">
      <w:pPr>
        <w:pStyle w:val="Bullet"/>
      </w:pPr>
      <w:r>
        <w:t>Consent for Healthcare Treatmen</w:t>
      </w:r>
      <w:r w:rsidR="00E537F3">
        <w:t>t</w:t>
      </w:r>
    </w:p>
    <w:p w14:paraId="359157D6" w14:textId="77777777" w:rsidR="00481A6C" w:rsidRDefault="00481A6C" w:rsidP="00A6051F">
      <w:pPr>
        <w:pStyle w:val="Heading5"/>
      </w:pPr>
      <w:r>
        <w:t>Legislation</w:t>
      </w:r>
    </w:p>
    <w:p w14:paraId="23E389E1" w14:textId="77777777" w:rsidR="00481A6C" w:rsidRPr="000E7683" w:rsidRDefault="00481A6C" w:rsidP="000E7683">
      <w:pPr>
        <w:pStyle w:val="Bullet"/>
      </w:pPr>
      <w:r w:rsidRPr="00FE46F1">
        <w:rPr>
          <w:i/>
          <w:iCs/>
        </w:rPr>
        <w:t>Health Records (Privacy and Access) Act</w:t>
      </w:r>
      <w:r w:rsidRPr="000E7683">
        <w:t xml:space="preserve"> 1997</w:t>
      </w:r>
    </w:p>
    <w:p w14:paraId="6B2D4E1C" w14:textId="77777777" w:rsidR="00481A6C" w:rsidRPr="000E7683" w:rsidRDefault="00481A6C" w:rsidP="000E7683">
      <w:pPr>
        <w:pStyle w:val="Bullet"/>
      </w:pPr>
      <w:r w:rsidRPr="00FE46F1">
        <w:rPr>
          <w:i/>
          <w:iCs/>
        </w:rPr>
        <w:t>Human Rights Act</w:t>
      </w:r>
      <w:r w:rsidRPr="000E7683">
        <w:t xml:space="preserve"> 2004</w:t>
      </w:r>
    </w:p>
    <w:p w14:paraId="441A6C0D" w14:textId="77777777" w:rsidR="00481A6C" w:rsidRPr="000E7683" w:rsidRDefault="00481A6C" w:rsidP="000E7683">
      <w:pPr>
        <w:pStyle w:val="Bullet"/>
      </w:pPr>
      <w:r w:rsidRPr="00FE46F1">
        <w:rPr>
          <w:i/>
          <w:iCs/>
        </w:rPr>
        <w:t>Work Health and Safety Act</w:t>
      </w:r>
      <w:r w:rsidRPr="000E7683">
        <w:t xml:space="preserve"> 2011</w:t>
      </w:r>
    </w:p>
    <w:p w14:paraId="44B00D82" w14:textId="77777777" w:rsidR="00481A6C" w:rsidRPr="000E7683" w:rsidRDefault="00481A6C" w:rsidP="000E7683">
      <w:pPr>
        <w:pStyle w:val="Bullet"/>
      </w:pPr>
      <w:r w:rsidRPr="00FE46F1">
        <w:rPr>
          <w:i/>
          <w:iCs/>
        </w:rPr>
        <w:t>Carers Recognition Act</w:t>
      </w:r>
      <w:r w:rsidRPr="000E7683">
        <w:t xml:space="preserve"> 2021</w:t>
      </w:r>
    </w:p>
    <w:p w14:paraId="31030573" w14:textId="77777777" w:rsidR="00481A6C" w:rsidRDefault="00481A6C" w:rsidP="00A6051F">
      <w:pPr>
        <w:pStyle w:val="Heading5"/>
      </w:pPr>
      <w:r>
        <w:t>Other</w:t>
      </w:r>
    </w:p>
    <w:p w14:paraId="5BF4E2B8" w14:textId="77777777" w:rsidR="000E7683" w:rsidRDefault="00481A6C" w:rsidP="00A66966">
      <w:pPr>
        <w:pStyle w:val="Bullet"/>
      </w:pPr>
      <w:r w:rsidRPr="00A66966">
        <w:t>Australian</w:t>
      </w:r>
      <w:r w:rsidRPr="000E7683">
        <w:t xml:space="preserve"> Charter of Healthcare Right</w:t>
      </w:r>
      <w:r w:rsidR="00280C5D" w:rsidRPr="000E7683">
        <w:t>s</w:t>
      </w:r>
    </w:p>
    <w:p w14:paraId="06CC416A" w14:textId="77777777" w:rsidR="00A34FFD" w:rsidRDefault="00A34FFD" w:rsidP="00A34FFD">
      <w:pPr>
        <w:pStyle w:val="Bullet"/>
      </w:pPr>
      <w:r>
        <w:t>Australian New Zealand Society of Blood Transfusion – Guidelines for the Administration of Blood Products (3</w:t>
      </w:r>
      <w:r w:rsidRPr="00E537F3">
        <w:rPr>
          <w:vertAlign w:val="superscript"/>
        </w:rPr>
        <w:t>rd</w:t>
      </w:r>
      <w:r>
        <w:t xml:space="preserve"> Edition)</w:t>
      </w:r>
    </w:p>
    <w:p w14:paraId="64F63574" w14:textId="77777777" w:rsidR="00A34FFD" w:rsidRDefault="00A34FFD" w:rsidP="00A34FFD">
      <w:pPr>
        <w:pStyle w:val="Bullet"/>
      </w:pPr>
      <w:r>
        <w:t>Australian Society of Clinical Immunology and Allergy – ASCIA Guidelines – Standardised infusion rates for intravenous immunoglobulin replacement therapy</w:t>
      </w:r>
    </w:p>
    <w:p w14:paraId="7420F133" w14:textId="77777777" w:rsidR="00A34FFD" w:rsidRDefault="00A34FFD" w:rsidP="00620D92">
      <w:pPr>
        <w:pStyle w:val="Bullet"/>
        <w:numPr>
          <w:ilvl w:val="0"/>
          <w:numId w:val="0"/>
        </w:numPr>
      </w:pPr>
    </w:p>
    <w:p w14:paraId="5CAA93CB" w14:textId="77777777" w:rsidR="000E7683" w:rsidRPr="000E7683" w:rsidRDefault="0028383D" w:rsidP="002D7682">
      <w:pPr>
        <w:pStyle w:val="BodyCopy"/>
      </w:pPr>
      <w:hyperlink w:anchor="_top" w:history="1">
        <w:r w:rsidR="000E7683" w:rsidRPr="004A7A7F">
          <w:rPr>
            <w:rStyle w:val="Hyperlink"/>
          </w:rPr>
          <w:t>Back to Contents</w:t>
        </w:r>
      </w:hyperlink>
    </w:p>
    <w:p w14:paraId="16F4C29E" w14:textId="77777777" w:rsidR="0078367D" w:rsidRPr="0078367D" w:rsidRDefault="0078367D" w:rsidP="00A6051F">
      <w:pPr>
        <w:pStyle w:val="Heading4"/>
      </w:pPr>
      <w:bookmarkStart w:id="24" w:name="_Toc184739602"/>
      <w:r w:rsidRPr="0078367D">
        <w:t>References</w:t>
      </w:r>
      <w:bookmarkEnd w:id="24"/>
    </w:p>
    <w:p w14:paraId="46DAE224" w14:textId="0D40A7B2" w:rsidR="005B6682" w:rsidRDefault="005B6682" w:rsidP="00E537F3">
      <w:pPr>
        <w:pStyle w:val="Numberedlist"/>
        <w:numPr>
          <w:ilvl w:val="0"/>
          <w:numId w:val="17"/>
        </w:numPr>
        <w:spacing w:after="240"/>
        <w:rPr>
          <w:lang w:eastAsia="en-US"/>
        </w:rPr>
      </w:pPr>
      <w:r>
        <w:rPr>
          <w:lang w:eastAsia="en-US"/>
        </w:rPr>
        <w:t xml:space="preserve">Alcock G, </w:t>
      </w:r>
      <w:proofErr w:type="spellStart"/>
      <w:r>
        <w:rPr>
          <w:lang w:eastAsia="en-US"/>
        </w:rPr>
        <w:t>Liley</w:t>
      </w:r>
      <w:proofErr w:type="spellEnd"/>
      <w:r>
        <w:rPr>
          <w:lang w:eastAsia="en-US"/>
        </w:rPr>
        <w:t xml:space="preserve"> H. Immunoglobulin infusion for isoimmune haemolytic jaundice in neonates, Cochrane Library [Internet]. 2002, Available from: </w:t>
      </w:r>
      <w:hyperlink r:id="rId33" w:history="1">
        <w:r w:rsidR="00EE2C7C" w:rsidRPr="001B62E9">
          <w:rPr>
            <w:rStyle w:val="Hyperlink"/>
            <w:lang w:eastAsia="en-US"/>
          </w:rPr>
          <w:t>https://doi.org/10.1002/14651858.CD003313</w:t>
        </w:r>
      </w:hyperlink>
    </w:p>
    <w:p w14:paraId="2FB63836" w14:textId="138F9C7C" w:rsidR="00EE2C7C" w:rsidRDefault="00EE2C7C" w:rsidP="00E537F3">
      <w:pPr>
        <w:pStyle w:val="Numberedlist"/>
        <w:numPr>
          <w:ilvl w:val="0"/>
          <w:numId w:val="17"/>
        </w:numPr>
        <w:spacing w:after="240"/>
        <w:rPr>
          <w:lang w:eastAsia="en-US"/>
        </w:rPr>
      </w:pPr>
      <w:r>
        <w:rPr>
          <w:lang w:eastAsia="en-US"/>
        </w:rPr>
        <w:t xml:space="preserve">Australasian Neonatal Medicines Formulary (ANMF) [Internet], Intravenous Immunoglobulin (IVIg) Privigen/Privigen AU for newborn use only, 2024, Available from: </w:t>
      </w:r>
      <w:r w:rsidRPr="00EE2C7C">
        <w:rPr>
          <w:lang w:eastAsia="en-US"/>
        </w:rPr>
        <w:t>https://www.anmfonline.org/wp-content/uploads/2024/07/Immunoglobulin-IVIG_Privigen_ANMFv2.0_20240905.pdf</w:t>
      </w:r>
    </w:p>
    <w:p w14:paraId="56226880" w14:textId="77777777" w:rsidR="005B6682" w:rsidRDefault="005B6682" w:rsidP="00E537F3">
      <w:pPr>
        <w:pStyle w:val="Numberedlist"/>
        <w:numPr>
          <w:ilvl w:val="0"/>
          <w:numId w:val="17"/>
        </w:numPr>
        <w:spacing w:after="240"/>
        <w:rPr>
          <w:lang w:eastAsia="en-US"/>
        </w:rPr>
      </w:pPr>
      <w:r>
        <w:rPr>
          <w:lang w:eastAsia="en-US"/>
        </w:rPr>
        <w:t xml:space="preserve">Australasian Society of Clinical Immunology and Allergy (ASCIA) [Internet]; ASCIA Guidelines – Standardised infusion rates for intravenous immunoglobulin replacement </w:t>
      </w:r>
      <w:r>
        <w:rPr>
          <w:lang w:eastAsia="en-US"/>
        </w:rPr>
        <w:lastRenderedPageBreak/>
        <w:t xml:space="preserve">therapy, 2024; Available from: </w:t>
      </w:r>
      <w:r w:rsidRPr="00E11EAE">
        <w:rPr>
          <w:lang w:eastAsia="en-US"/>
        </w:rPr>
        <w:t>https://www.allergy.org.au/hp/papers/ascia-guidelines-for-standardised-ivig-infusion-rates-for-irt</w:t>
      </w:r>
    </w:p>
    <w:p w14:paraId="010FE626" w14:textId="77777777" w:rsidR="005B6682" w:rsidRDefault="005B6682" w:rsidP="00E537F3">
      <w:pPr>
        <w:pStyle w:val="Numberedlist"/>
        <w:numPr>
          <w:ilvl w:val="0"/>
          <w:numId w:val="17"/>
        </w:numPr>
        <w:spacing w:after="240"/>
        <w:rPr>
          <w:lang w:eastAsia="en-US"/>
        </w:rPr>
      </w:pPr>
      <w:r>
        <w:rPr>
          <w:lang w:eastAsia="en-US"/>
        </w:rPr>
        <w:t xml:space="preserve">Australasian Society of Clinical Immunology and Allergy (ASCIA) [Internet], Updated ASCIA IVIg Infusion Guidelines – April 2023, Available from: </w:t>
      </w:r>
      <w:r w:rsidRPr="008F73C7">
        <w:rPr>
          <w:lang w:eastAsia="en-US"/>
        </w:rPr>
        <w:t>https://www.allergy.org.au/about-ascia/info-updates/updated-ascia-ivig-infusion-guidelines</w:t>
      </w:r>
    </w:p>
    <w:p w14:paraId="59FCE5A4" w14:textId="77777777" w:rsidR="005B6682" w:rsidRDefault="005B6682" w:rsidP="00E537F3">
      <w:pPr>
        <w:pStyle w:val="Numberedlist"/>
        <w:numPr>
          <w:ilvl w:val="0"/>
          <w:numId w:val="17"/>
        </w:numPr>
        <w:spacing w:after="240"/>
        <w:rPr>
          <w:lang w:eastAsia="en-US"/>
        </w:rPr>
      </w:pPr>
      <w:r>
        <w:rPr>
          <w:lang w:eastAsia="en-US"/>
        </w:rPr>
        <w:t>Australian and New Zealand Society of Blood Transfusion [Internet], Australian College of Nursing, 3</w:t>
      </w:r>
      <w:r w:rsidRPr="00E32BAA">
        <w:rPr>
          <w:vertAlign w:val="superscript"/>
          <w:lang w:eastAsia="en-US"/>
        </w:rPr>
        <w:t>rd</w:t>
      </w:r>
      <w:r>
        <w:rPr>
          <w:lang w:eastAsia="en-US"/>
        </w:rPr>
        <w:t xml:space="preserve"> Edition, Revised 2024; Guidelines for the Administration of Blood Products; Available from: </w:t>
      </w:r>
      <w:r w:rsidRPr="00A6526A">
        <w:rPr>
          <w:lang w:eastAsia="en-US"/>
        </w:rPr>
        <w:t>https://anzsbt.org.au/wp-content/uploads/2024/02/Guidelines-for-the-Administration-of-Blood-Products-revised-Feb-2024.pdf</w:t>
      </w:r>
    </w:p>
    <w:p w14:paraId="5602BA5E" w14:textId="77777777" w:rsidR="005B6682" w:rsidRDefault="005B6682" w:rsidP="00E537F3">
      <w:pPr>
        <w:pStyle w:val="Numberedlist"/>
        <w:numPr>
          <w:ilvl w:val="0"/>
          <w:numId w:val="17"/>
        </w:numPr>
        <w:spacing w:after="240"/>
        <w:rPr>
          <w:lang w:eastAsia="en-US"/>
        </w:rPr>
      </w:pPr>
      <w:r>
        <w:rPr>
          <w:lang w:eastAsia="en-US"/>
        </w:rPr>
        <w:t xml:space="preserve">Australian Technical Advisory Group on Immunisation (ATAGI), Australian Immunisation Handbook, Australian Government Department of Health and Aged Care [Internet], Canberra, 2024, Available from: </w:t>
      </w:r>
      <w:r w:rsidRPr="00A6526A">
        <w:rPr>
          <w:lang w:eastAsia="en-US"/>
        </w:rPr>
        <w:t>https://immunisationhandbook.health.gov.au</w:t>
      </w:r>
    </w:p>
    <w:p w14:paraId="41B47BC5" w14:textId="77777777" w:rsidR="005B6682" w:rsidRDefault="005B6682" w:rsidP="00E537F3">
      <w:pPr>
        <w:pStyle w:val="Numberedlist"/>
        <w:numPr>
          <w:ilvl w:val="0"/>
          <w:numId w:val="17"/>
        </w:numPr>
        <w:spacing w:after="240"/>
        <w:rPr>
          <w:lang w:eastAsia="en-US"/>
        </w:rPr>
      </w:pPr>
      <w:r>
        <w:rPr>
          <w:lang w:eastAsia="en-US"/>
        </w:rPr>
        <w:t xml:space="preserve">BloodSafe ELearning Australia [Internet], 2024, Available from: </w:t>
      </w:r>
      <w:r w:rsidRPr="008F73C7">
        <w:rPr>
          <w:lang w:eastAsia="en-US"/>
        </w:rPr>
        <w:t>https://bloodsafelearning.org.au</w:t>
      </w:r>
    </w:p>
    <w:p w14:paraId="43FD0351" w14:textId="77777777" w:rsidR="005B6682" w:rsidRDefault="005B6682" w:rsidP="00E537F3">
      <w:pPr>
        <w:pStyle w:val="Numberedlist"/>
        <w:numPr>
          <w:ilvl w:val="0"/>
          <w:numId w:val="17"/>
        </w:numPr>
        <w:spacing w:after="240"/>
        <w:rPr>
          <w:lang w:eastAsia="en-US"/>
        </w:rPr>
      </w:pPr>
      <w:r>
        <w:rPr>
          <w:lang w:eastAsia="en-US"/>
        </w:rPr>
        <w:t xml:space="preserve">Canberra Health Services Guideline, Consent for Healthcare Treatment [Intranet] 2024; Available from: </w:t>
      </w:r>
      <w:r w:rsidRPr="00C132F6">
        <w:rPr>
          <w:lang w:eastAsia="en-US"/>
        </w:rPr>
        <w:t>https://actgovernment.sharepoint.com</w:t>
      </w:r>
    </w:p>
    <w:p w14:paraId="5C751098" w14:textId="6F8083EE" w:rsidR="005B6682" w:rsidRDefault="005B6682" w:rsidP="00E537F3">
      <w:pPr>
        <w:pStyle w:val="Numberedlist"/>
        <w:numPr>
          <w:ilvl w:val="0"/>
          <w:numId w:val="17"/>
        </w:numPr>
        <w:spacing w:after="240"/>
        <w:rPr>
          <w:lang w:eastAsia="en-US"/>
        </w:rPr>
      </w:pPr>
      <w:r>
        <w:rPr>
          <w:lang w:eastAsia="en-US"/>
        </w:rPr>
        <w:t xml:space="preserve">Canberra Health Services Procedure, Fresh Blood Products Administration - Adults, Paediatrics, and Neonates [Intranet] 2023; Available from: </w:t>
      </w:r>
      <w:r w:rsidR="00BF53A7" w:rsidRPr="00EE2C7C">
        <w:rPr>
          <w:lang w:eastAsia="en-US"/>
        </w:rPr>
        <w:t>https://actgovernment.sharepoint.com</w:t>
      </w:r>
    </w:p>
    <w:p w14:paraId="2F4D2B5F" w14:textId="514B8222" w:rsidR="00BF53A7" w:rsidRDefault="00BF53A7" w:rsidP="00E537F3">
      <w:pPr>
        <w:pStyle w:val="Numberedlist"/>
        <w:numPr>
          <w:ilvl w:val="0"/>
          <w:numId w:val="17"/>
        </w:numPr>
        <w:spacing w:after="240"/>
        <w:rPr>
          <w:lang w:eastAsia="en-US"/>
        </w:rPr>
      </w:pPr>
      <w:r>
        <w:rPr>
          <w:lang w:eastAsia="en-US"/>
        </w:rPr>
        <w:t xml:space="preserve">CSL Behring [Internet], Normal Immunoglobulin-VF, Consumer Medicine Information, </w:t>
      </w:r>
      <w:r w:rsidR="00EE2C7C">
        <w:rPr>
          <w:lang w:eastAsia="en-US"/>
        </w:rPr>
        <w:t xml:space="preserve">2020, Available from: </w:t>
      </w:r>
      <w:r w:rsidR="00EE2C7C" w:rsidRPr="00EE2C7C">
        <w:rPr>
          <w:lang w:eastAsia="en-US"/>
        </w:rPr>
        <w:t>https://labeling.cslbehring.com/CMI/AU/Normal-Immunoglobulin-VF/EN/Normal-Immunoglobulin-VF-Consumer-Medicine-Information.pdf</w:t>
      </w:r>
    </w:p>
    <w:p w14:paraId="5B834CF9" w14:textId="3207B85D" w:rsidR="00EE2C7C" w:rsidRDefault="00EE2C7C" w:rsidP="00E537F3">
      <w:pPr>
        <w:pStyle w:val="Numberedlist"/>
        <w:numPr>
          <w:ilvl w:val="0"/>
          <w:numId w:val="17"/>
        </w:numPr>
        <w:spacing w:after="240"/>
        <w:rPr>
          <w:lang w:eastAsia="en-US"/>
        </w:rPr>
      </w:pPr>
      <w:r>
        <w:rPr>
          <w:lang w:eastAsia="en-US"/>
        </w:rPr>
        <w:t xml:space="preserve">CSL Behring [Internet], Normal Immunoglobulin-VF (Human normal immunoglobulin), Australian Product Information, 2022, Available from: </w:t>
      </w:r>
      <w:r w:rsidRPr="00EE2C7C">
        <w:rPr>
          <w:lang w:eastAsia="en-US"/>
        </w:rPr>
        <w:t>https://labeling.cslbehring.com/PI/AU/Normal-Immunoglobulin-VF/EN/Normal-Immunoglobulin-VF-Product-Information.pdf</w:t>
      </w:r>
    </w:p>
    <w:p w14:paraId="120A6CB7" w14:textId="77777777" w:rsidR="005B6682" w:rsidRDefault="005B6682" w:rsidP="00E537F3">
      <w:pPr>
        <w:pStyle w:val="Numberedlist"/>
        <w:numPr>
          <w:ilvl w:val="0"/>
          <w:numId w:val="17"/>
        </w:numPr>
        <w:spacing w:after="240"/>
        <w:rPr>
          <w:lang w:eastAsia="en-US"/>
        </w:rPr>
      </w:pPr>
      <w:r>
        <w:rPr>
          <w:lang w:eastAsia="en-US"/>
        </w:rPr>
        <w:t xml:space="preserve">Crispin P, Burgess M, Beath A. Unified infusion rates for 10% intravenous immunoglobulin. </w:t>
      </w:r>
      <w:r w:rsidRPr="00C132F6">
        <w:rPr>
          <w:lang w:eastAsia="en-US"/>
        </w:rPr>
        <w:t>Transfusion and Apheresis Science</w:t>
      </w:r>
      <w:r>
        <w:rPr>
          <w:lang w:eastAsia="en-US"/>
        </w:rPr>
        <w:t xml:space="preserve"> [Internet]. 2018, 57(2):243-246. Available from: </w:t>
      </w:r>
      <w:r w:rsidRPr="00C132F6">
        <w:rPr>
          <w:lang w:eastAsia="en-US"/>
        </w:rPr>
        <w:t>https://doi.org/10.1016/j.transci.2018.02.023</w:t>
      </w:r>
    </w:p>
    <w:p w14:paraId="34F9659F" w14:textId="77777777" w:rsidR="005B6682" w:rsidRDefault="005B6682" w:rsidP="00E537F3">
      <w:pPr>
        <w:pStyle w:val="Numberedlist"/>
        <w:numPr>
          <w:ilvl w:val="0"/>
          <w:numId w:val="17"/>
        </w:numPr>
        <w:spacing w:after="240"/>
        <w:rPr>
          <w:lang w:eastAsia="en-US"/>
        </w:rPr>
      </w:pPr>
      <w:r>
        <w:rPr>
          <w:lang w:eastAsia="en-US"/>
        </w:rPr>
        <w:t xml:space="preserve">Gottstein R, Cooke R, Systematic review of intravenous immunoglobulin in haemolytic disease of the newborn, BMJ Journals, ADC </w:t>
      </w:r>
      <w:proofErr w:type="spellStart"/>
      <w:r>
        <w:rPr>
          <w:lang w:eastAsia="en-US"/>
        </w:rPr>
        <w:t>Fetal</w:t>
      </w:r>
      <w:proofErr w:type="spellEnd"/>
      <w:r>
        <w:rPr>
          <w:lang w:eastAsia="en-US"/>
        </w:rPr>
        <w:t xml:space="preserve"> &amp; Neonatal </w:t>
      </w:r>
      <w:proofErr w:type="spellStart"/>
      <w:r>
        <w:rPr>
          <w:lang w:eastAsia="en-US"/>
        </w:rPr>
        <w:t>Edn</w:t>
      </w:r>
      <w:proofErr w:type="spellEnd"/>
      <w:r>
        <w:rPr>
          <w:lang w:eastAsia="en-US"/>
        </w:rPr>
        <w:t xml:space="preserve"> [Internet], 2003, Available from: </w:t>
      </w:r>
      <w:r w:rsidRPr="005B6682">
        <w:rPr>
          <w:lang w:eastAsia="en-US"/>
        </w:rPr>
        <w:t>https://fn.bmj.com/content/88/1/F6</w:t>
      </w:r>
    </w:p>
    <w:p w14:paraId="5EBC66FE" w14:textId="77777777" w:rsidR="005B6682" w:rsidRDefault="005B6682" w:rsidP="00E537F3">
      <w:pPr>
        <w:pStyle w:val="Numberedlist"/>
        <w:numPr>
          <w:ilvl w:val="0"/>
          <w:numId w:val="17"/>
        </w:numPr>
        <w:spacing w:after="240"/>
        <w:rPr>
          <w:lang w:eastAsia="en-US"/>
        </w:rPr>
      </w:pPr>
      <w:r>
        <w:rPr>
          <w:lang w:eastAsia="en-US"/>
        </w:rPr>
        <w:t xml:space="preserve">Government of South Australia, SA Health [Internet], BloodSafe, 2024, Available from: </w:t>
      </w:r>
      <w:r w:rsidRPr="008F73C7">
        <w:rPr>
          <w:lang w:eastAsia="en-US"/>
        </w:rPr>
        <w:t>https://www.sahealth.sa.gov.au/wps/wcm/connect/public+content/sa+health+internet/clinical+resources/clinical+programs+and+practice+guidelines/blood+organ+and+tissue/blood+management/bloodsafe/bloodsafe</w:t>
      </w:r>
    </w:p>
    <w:p w14:paraId="7CC7FD21" w14:textId="77777777" w:rsidR="005B6682" w:rsidRDefault="005B6682" w:rsidP="00E537F3">
      <w:pPr>
        <w:pStyle w:val="Numberedlist"/>
        <w:numPr>
          <w:ilvl w:val="0"/>
          <w:numId w:val="17"/>
        </w:numPr>
        <w:spacing w:after="240"/>
        <w:rPr>
          <w:lang w:eastAsia="en-US"/>
        </w:rPr>
      </w:pPr>
      <w:r>
        <w:rPr>
          <w:lang w:eastAsia="en-US"/>
        </w:rPr>
        <w:t xml:space="preserve">Government of Western Australia, WA Country Health Services (WACHS) [Internet], Intravenous Immunoglobulin Guideline, 2023, Available from: </w:t>
      </w:r>
      <w:r w:rsidRPr="005B6682">
        <w:rPr>
          <w:lang w:eastAsia="en-US"/>
        </w:rPr>
        <w:t>https://www.wacountry.health.wa.gov.au/~/media/WACHS/Documents/About-us/Policies/Intravenous-Immunoglobulin-Guideline.pdf?thn=0</w:t>
      </w:r>
    </w:p>
    <w:p w14:paraId="1F46D98B" w14:textId="77777777" w:rsidR="005B6682" w:rsidRDefault="005B6682" w:rsidP="00E537F3">
      <w:pPr>
        <w:pStyle w:val="Numberedlist"/>
        <w:numPr>
          <w:ilvl w:val="0"/>
          <w:numId w:val="17"/>
        </w:numPr>
        <w:spacing w:after="240"/>
        <w:rPr>
          <w:lang w:eastAsia="en-US"/>
        </w:rPr>
      </w:pPr>
      <w:r>
        <w:rPr>
          <w:lang w:eastAsia="en-US"/>
        </w:rPr>
        <w:lastRenderedPageBreak/>
        <w:t>Immune Deficiency Foundation (IDF) [Internet], Guide for Nurses Immunoglobulin Therapy for Primary Immunodeficiency Diseases (4</w:t>
      </w:r>
      <w:r w:rsidRPr="00A56057">
        <w:rPr>
          <w:vertAlign w:val="superscript"/>
          <w:lang w:eastAsia="en-US"/>
        </w:rPr>
        <w:t>th</w:t>
      </w:r>
      <w:r>
        <w:rPr>
          <w:lang w:eastAsia="en-US"/>
        </w:rPr>
        <w:t xml:space="preserve"> </w:t>
      </w:r>
      <w:proofErr w:type="spellStart"/>
      <w:r>
        <w:rPr>
          <w:lang w:eastAsia="en-US"/>
        </w:rPr>
        <w:t>Edn</w:t>
      </w:r>
      <w:proofErr w:type="spellEnd"/>
      <w:r>
        <w:rPr>
          <w:lang w:eastAsia="en-US"/>
        </w:rPr>
        <w:t xml:space="preserve">), Available from: </w:t>
      </w:r>
      <w:r w:rsidRPr="00B57886">
        <w:rPr>
          <w:lang w:eastAsia="en-US"/>
        </w:rPr>
        <w:t>https://primaryimmune.org/resources/print-material/idf-guide-for-nurses-immunoglobulin-therapy-for-primary-immunodeficiency-diseases</w:t>
      </w:r>
    </w:p>
    <w:p w14:paraId="7C147B64" w14:textId="77777777" w:rsidR="005B6682" w:rsidRDefault="005B6682" w:rsidP="00E537F3">
      <w:pPr>
        <w:pStyle w:val="Numberedlist"/>
        <w:numPr>
          <w:ilvl w:val="0"/>
          <w:numId w:val="17"/>
        </w:numPr>
        <w:spacing w:after="240"/>
        <w:rPr>
          <w:lang w:eastAsia="en-US"/>
        </w:rPr>
      </w:pPr>
      <w:r>
        <w:rPr>
          <w:lang w:eastAsia="en-US"/>
        </w:rPr>
        <w:t xml:space="preserve">National Blood Authority [Internet], Available from: </w:t>
      </w:r>
      <w:r w:rsidRPr="00A56057">
        <w:rPr>
          <w:lang w:eastAsia="en-US"/>
        </w:rPr>
        <w:t>https://www.blood.gov.au</w:t>
      </w:r>
    </w:p>
    <w:p w14:paraId="38CE99A0" w14:textId="77777777" w:rsidR="005B6682" w:rsidRDefault="005B6682" w:rsidP="00E537F3">
      <w:pPr>
        <w:pStyle w:val="Numberedlist"/>
        <w:numPr>
          <w:ilvl w:val="0"/>
          <w:numId w:val="17"/>
        </w:numPr>
        <w:spacing w:after="240"/>
        <w:rPr>
          <w:lang w:eastAsia="en-US"/>
        </w:rPr>
      </w:pPr>
      <w:r>
        <w:rPr>
          <w:lang w:eastAsia="en-US"/>
        </w:rPr>
        <w:t xml:space="preserve">National Blood Authority [Internet], Criteria for the Clinical Use of Immunoglobulin in Australia, 2024, Available from: </w:t>
      </w:r>
      <w:r w:rsidRPr="00A56057">
        <w:rPr>
          <w:lang w:eastAsia="en-US"/>
        </w:rPr>
        <w:t>https://www.blood.gov.au/supply-system/governance-immunoglobulin-products/criteria-immunoglobulin-products</w:t>
      </w:r>
    </w:p>
    <w:p w14:paraId="68E850FC" w14:textId="0BBE97D5" w:rsidR="005B6682" w:rsidRDefault="005B6682" w:rsidP="00E537F3">
      <w:pPr>
        <w:pStyle w:val="Numberedlist"/>
        <w:numPr>
          <w:ilvl w:val="0"/>
          <w:numId w:val="17"/>
        </w:numPr>
        <w:spacing w:after="240"/>
        <w:rPr>
          <w:lang w:eastAsia="en-US"/>
        </w:rPr>
      </w:pPr>
      <w:r>
        <w:rPr>
          <w:lang w:eastAsia="en-US"/>
        </w:rPr>
        <w:t xml:space="preserve">National Blood Authority [Internet], National Policy: Access to Government-Funded Immunoglobulin Products in Australia, 2018, Available from: </w:t>
      </w:r>
      <w:r w:rsidR="00BF53A7" w:rsidRPr="00BF53A7">
        <w:rPr>
          <w:lang w:eastAsia="en-US"/>
        </w:rPr>
        <w:t>https://www.blood.gov.au/blood-products/immunoglobulin-products/normal-human-immunoglobulin-nhig</w:t>
      </w:r>
    </w:p>
    <w:p w14:paraId="6A3ADA88" w14:textId="46EBE05F" w:rsidR="00BF53A7" w:rsidRDefault="00BF53A7" w:rsidP="00E537F3">
      <w:pPr>
        <w:pStyle w:val="Numberedlist"/>
        <w:numPr>
          <w:ilvl w:val="0"/>
          <w:numId w:val="17"/>
        </w:numPr>
        <w:spacing w:after="240"/>
        <w:rPr>
          <w:lang w:eastAsia="en-US"/>
        </w:rPr>
      </w:pPr>
      <w:r>
        <w:rPr>
          <w:lang w:eastAsia="en-US"/>
        </w:rPr>
        <w:t xml:space="preserve">National Blood Authority [Internet], Normal human immunoglobulin (NHIg), 2024, Available from: </w:t>
      </w:r>
    </w:p>
    <w:p w14:paraId="3377C6CA" w14:textId="77777777" w:rsidR="005B6682" w:rsidRDefault="005B6682" w:rsidP="00E537F3">
      <w:pPr>
        <w:pStyle w:val="Numberedlist"/>
        <w:numPr>
          <w:ilvl w:val="0"/>
          <w:numId w:val="17"/>
        </w:numPr>
        <w:spacing w:after="240"/>
        <w:rPr>
          <w:lang w:eastAsia="en-US"/>
        </w:rPr>
      </w:pPr>
      <w:r>
        <w:rPr>
          <w:lang w:eastAsia="en-US"/>
        </w:rPr>
        <w:t xml:space="preserve">National Blood Authority, BloodSTAR [Internet], Available from: </w:t>
      </w:r>
      <w:r w:rsidRPr="00A6526A">
        <w:rPr>
          <w:lang w:eastAsia="en-US"/>
        </w:rPr>
        <w:t>https://www.blood.gov.au</w:t>
      </w:r>
    </w:p>
    <w:p w14:paraId="1511F4CC" w14:textId="77777777" w:rsidR="005B6682" w:rsidRDefault="005B6682" w:rsidP="00E537F3">
      <w:pPr>
        <w:pStyle w:val="Numberedlist"/>
        <w:numPr>
          <w:ilvl w:val="0"/>
          <w:numId w:val="17"/>
        </w:numPr>
        <w:spacing w:after="240"/>
        <w:rPr>
          <w:lang w:eastAsia="en-US"/>
        </w:rPr>
      </w:pPr>
      <w:r>
        <w:rPr>
          <w:lang w:eastAsia="en-US"/>
        </w:rPr>
        <w:t xml:space="preserve">NSW Government, Clinical Excellence Commission [Internet], Information for clinicians Adult: Administration of Intravenous Immunoglobulins, 2023, Available from: </w:t>
      </w:r>
      <w:r w:rsidRPr="005B6682">
        <w:rPr>
          <w:lang w:eastAsia="en-US"/>
        </w:rPr>
        <w:t>https://www.cec.health.nsw.gov.au/__data/assets/pdf_file/0006/891807/Information-for-clinicians-IVIg.pdf</w:t>
      </w:r>
    </w:p>
    <w:p w14:paraId="6CE8FF89" w14:textId="77777777" w:rsidR="005B6682" w:rsidRDefault="005B6682" w:rsidP="00E537F3">
      <w:pPr>
        <w:pStyle w:val="Numberedlist"/>
        <w:numPr>
          <w:ilvl w:val="0"/>
          <w:numId w:val="17"/>
        </w:numPr>
        <w:spacing w:after="240"/>
        <w:rPr>
          <w:lang w:eastAsia="en-US"/>
        </w:rPr>
      </w:pPr>
      <w:r>
        <w:rPr>
          <w:lang w:eastAsia="en-US"/>
        </w:rPr>
        <w:t xml:space="preserve">South Australian Government [Internet], BloodSafe Guide to Administration, 2023, Available from: </w:t>
      </w:r>
      <w:r w:rsidRPr="005B6682">
        <w:rPr>
          <w:lang w:eastAsia="en-US"/>
        </w:rPr>
        <w:t>https://www.sahealth.sa.gov.au/wps/wcm/connect/03c0db004ab71c5e9e19de0d8bd99c13/TP-L3-419+v1.1+November+2015+Privigen+10%25+administration+guidelines.pdf?MOD=AJPERES</w:t>
      </w:r>
    </w:p>
    <w:p w14:paraId="41A02B46" w14:textId="77777777" w:rsidR="005B6682" w:rsidRDefault="005B6682" w:rsidP="00E537F3">
      <w:pPr>
        <w:pStyle w:val="Numberedlist"/>
        <w:numPr>
          <w:ilvl w:val="0"/>
          <w:numId w:val="17"/>
        </w:numPr>
        <w:spacing w:after="240"/>
        <w:rPr>
          <w:lang w:eastAsia="en-US"/>
        </w:rPr>
      </w:pPr>
      <w:r>
        <w:rPr>
          <w:lang w:eastAsia="en-US"/>
        </w:rPr>
        <w:t xml:space="preserve">The Royal Children’s Hospital Melbourne [Internet], Intravenous Immunoglobulin Guideline, 2024, Available from: </w:t>
      </w:r>
      <w:r w:rsidRPr="00B57886">
        <w:rPr>
          <w:lang w:eastAsia="en-US"/>
        </w:rPr>
        <w:t>https://www.rch.org.au/bloodtrans/about_blood_products/Intravenous_Immunoglobulin_Guideline</w:t>
      </w:r>
    </w:p>
    <w:p w14:paraId="38A8E3B0" w14:textId="77777777" w:rsidR="005B6682" w:rsidRDefault="005B6682" w:rsidP="00E537F3">
      <w:pPr>
        <w:pStyle w:val="Numberedlist"/>
        <w:numPr>
          <w:ilvl w:val="0"/>
          <w:numId w:val="17"/>
        </w:numPr>
        <w:spacing w:after="240"/>
        <w:rPr>
          <w:lang w:eastAsia="en-US"/>
        </w:rPr>
      </w:pPr>
      <w:r>
        <w:rPr>
          <w:lang w:eastAsia="en-US"/>
        </w:rPr>
        <w:t>Therapeutic Goods Administration (TGA), eBusiness Services [Internet], Hizentra</w:t>
      </w:r>
      <w:r w:rsidRPr="00E537F3">
        <w:rPr>
          <w:vertAlign w:val="superscript"/>
          <w:lang w:eastAsia="en-US"/>
        </w:rPr>
        <w:t>®</w:t>
      </w:r>
      <w:r>
        <w:rPr>
          <w:lang w:eastAsia="en-US"/>
        </w:rPr>
        <w:t xml:space="preserve"> AU 20%, Product and Consumer Medicine Information, 2024; Available from: </w:t>
      </w:r>
      <w:r w:rsidRPr="00E32BAA">
        <w:rPr>
          <w:lang w:eastAsia="en-US"/>
        </w:rPr>
        <w:t>https://www.ebs.tga.gov.au/ebs/picmi</w:t>
      </w:r>
    </w:p>
    <w:p w14:paraId="4233A6D0" w14:textId="77777777" w:rsidR="005B6682" w:rsidRDefault="005B6682" w:rsidP="00E32BAA">
      <w:pPr>
        <w:pStyle w:val="Numberedlist"/>
        <w:numPr>
          <w:ilvl w:val="0"/>
          <w:numId w:val="17"/>
        </w:numPr>
        <w:spacing w:after="240"/>
        <w:rPr>
          <w:lang w:eastAsia="en-US"/>
        </w:rPr>
      </w:pPr>
      <w:r>
        <w:rPr>
          <w:lang w:eastAsia="en-US"/>
        </w:rPr>
        <w:t>Therapeutic Goods Administration (TGA), eBusiness Services [Internet], Hizentra</w:t>
      </w:r>
      <w:r w:rsidRPr="00E537F3">
        <w:rPr>
          <w:vertAlign w:val="superscript"/>
          <w:lang w:eastAsia="en-US"/>
        </w:rPr>
        <w:t>®</w:t>
      </w:r>
      <w:r>
        <w:rPr>
          <w:lang w:eastAsia="en-US"/>
        </w:rPr>
        <w:t xml:space="preserve">, Product and Consumer Medicine Information, 2024; Available from: </w:t>
      </w:r>
      <w:r w:rsidRPr="00E32BAA">
        <w:rPr>
          <w:lang w:eastAsia="en-US"/>
        </w:rPr>
        <w:t>https://www.ebs.tga.gov.au/ebs/picmi</w:t>
      </w:r>
    </w:p>
    <w:p w14:paraId="5293452A" w14:textId="77777777" w:rsidR="005B6682" w:rsidRDefault="005B6682" w:rsidP="00E32BAA">
      <w:pPr>
        <w:pStyle w:val="Numberedlist"/>
        <w:numPr>
          <w:ilvl w:val="0"/>
          <w:numId w:val="17"/>
        </w:numPr>
        <w:spacing w:after="240"/>
        <w:rPr>
          <w:lang w:eastAsia="en-US"/>
        </w:rPr>
      </w:pPr>
      <w:r>
        <w:rPr>
          <w:lang w:eastAsia="en-US"/>
        </w:rPr>
        <w:t>Therapeutic Goods Administration (TGA), eBusiness Services [Internet], Privigen</w:t>
      </w:r>
      <w:r w:rsidRPr="00E537F3">
        <w:rPr>
          <w:vertAlign w:val="superscript"/>
          <w:lang w:eastAsia="en-US"/>
        </w:rPr>
        <w:t>®</w:t>
      </w:r>
      <w:r>
        <w:rPr>
          <w:lang w:eastAsia="en-US"/>
        </w:rPr>
        <w:t xml:space="preserve">, Product and Consumer Medicine Information, 2024; Available from: </w:t>
      </w:r>
      <w:r w:rsidRPr="00E32BAA">
        <w:rPr>
          <w:lang w:eastAsia="en-US"/>
        </w:rPr>
        <w:t>https://www.ebs.tga.gov.au/ebs/picmi</w:t>
      </w:r>
    </w:p>
    <w:p w14:paraId="76D140A9" w14:textId="77777777" w:rsidR="005B6682" w:rsidRDefault="005B6682" w:rsidP="00E32BAA">
      <w:pPr>
        <w:pStyle w:val="Numberedlist"/>
        <w:numPr>
          <w:ilvl w:val="0"/>
          <w:numId w:val="17"/>
        </w:numPr>
        <w:spacing w:after="240"/>
        <w:rPr>
          <w:lang w:eastAsia="en-US"/>
        </w:rPr>
      </w:pPr>
      <w:r>
        <w:rPr>
          <w:lang w:eastAsia="en-US"/>
        </w:rPr>
        <w:lastRenderedPageBreak/>
        <w:t>Therapeutic Goods Administration (TGA), eBusiness Services [Internet], Privigen</w:t>
      </w:r>
      <w:r w:rsidRPr="00E537F3">
        <w:rPr>
          <w:vertAlign w:val="superscript"/>
          <w:lang w:eastAsia="en-US"/>
        </w:rPr>
        <w:t>®</w:t>
      </w:r>
      <w:r>
        <w:rPr>
          <w:lang w:eastAsia="en-US"/>
        </w:rPr>
        <w:t xml:space="preserve"> AU 10%, Product and Consumer Medicine Information, 2024; Available from: </w:t>
      </w:r>
      <w:r w:rsidRPr="00E32BAA">
        <w:rPr>
          <w:lang w:eastAsia="en-US"/>
        </w:rPr>
        <w:t>https://www.ebs.tga.gov.au/ebs/picmi</w:t>
      </w:r>
    </w:p>
    <w:p w14:paraId="54AA7C85" w14:textId="77777777" w:rsidR="005B6682" w:rsidRDefault="005B6682" w:rsidP="00E32BAA">
      <w:pPr>
        <w:pStyle w:val="Numberedlist"/>
        <w:numPr>
          <w:ilvl w:val="0"/>
          <w:numId w:val="17"/>
        </w:numPr>
        <w:spacing w:after="240"/>
        <w:rPr>
          <w:lang w:eastAsia="en-US"/>
        </w:rPr>
      </w:pPr>
      <w:r>
        <w:rPr>
          <w:lang w:eastAsia="en-US"/>
        </w:rPr>
        <w:t>Therapeutic Goods Administration (TGA), eBusiness Services [Internet], Flebogamma</w:t>
      </w:r>
      <w:r w:rsidRPr="00E537F3">
        <w:rPr>
          <w:vertAlign w:val="superscript"/>
          <w:lang w:eastAsia="en-US"/>
        </w:rPr>
        <w:t>®</w:t>
      </w:r>
      <w:r>
        <w:rPr>
          <w:lang w:eastAsia="en-US"/>
        </w:rPr>
        <w:t xml:space="preserve"> 5%, Product and Consumer Medicine Information, 2024; Available from: </w:t>
      </w:r>
      <w:r w:rsidRPr="00E32BAA">
        <w:rPr>
          <w:lang w:eastAsia="en-US"/>
        </w:rPr>
        <w:t>https://www.ebs.tga.gov.au/ebs/picmi</w:t>
      </w:r>
    </w:p>
    <w:p w14:paraId="2B77CE2A" w14:textId="77777777" w:rsidR="005B6682" w:rsidRDefault="005B6682" w:rsidP="00E32BAA">
      <w:pPr>
        <w:pStyle w:val="Numberedlist"/>
        <w:numPr>
          <w:ilvl w:val="0"/>
          <w:numId w:val="17"/>
        </w:numPr>
        <w:spacing w:after="240"/>
        <w:rPr>
          <w:lang w:eastAsia="en-US"/>
        </w:rPr>
      </w:pPr>
      <w:r>
        <w:rPr>
          <w:lang w:eastAsia="en-US"/>
        </w:rPr>
        <w:t>Therapeutic Goods Administration (TGA), eBusiness Services [Internet], Flebogamma</w:t>
      </w:r>
      <w:r w:rsidRPr="00E537F3">
        <w:rPr>
          <w:vertAlign w:val="superscript"/>
          <w:lang w:eastAsia="en-US"/>
        </w:rPr>
        <w:t>®</w:t>
      </w:r>
      <w:r>
        <w:rPr>
          <w:lang w:eastAsia="en-US"/>
        </w:rPr>
        <w:t xml:space="preserve"> 10%, Product and Consumer Medicine Information, 2024; Available from: </w:t>
      </w:r>
      <w:r w:rsidRPr="00E32BAA">
        <w:rPr>
          <w:lang w:eastAsia="en-US"/>
        </w:rPr>
        <w:t>https://www.ebs.tga.gov.au/ebs/picmi</w:t>
      </w:r>
    </w:p>
    <w:p w14:paraId="2E2CDE8D" w14:textId="77777777" w:rsidR="005B6682" w:rsidRDefault="005B6682" w:rsidP="00E32BAA">
      <w:pPr>
        <w:pStyle w:val="Numberedlist"/>
        <w:numPr>
          <w:ilvl w:val="0"/>
          <w:numId w:val="17"/>
        </w:numPr>
        <w:spacing w:after="240"/>
        <w:rPr>
          <w:lang w:eastAsia="en-US"/>
        </w:rPr>
      </w:pPr>
      <w:r>
        <w:rPr>
          <w:lang w:eastAsia="en-US"/>
        </w:rPr>
        <w:t>Therapeutic Goods Administration (TGA), eBusiness Services [Internet], Gamunex</w:t>
      </w:r>
      <w:r w:rsidRPr="00E537F3">
        <w:rPr>
          <w:vertAlign w:val="superscript"/>
          <w:lang w:eastAsia="en-US"/>
        </w:rPr>
        <w:t>®</w:t>
      </w:r>
      <w:r>
        <w:rPr>
          <w:lang w:eastAsia="en-US"/>
        </w:rPr>
        <w:t xml:space="preserve"> 10%, Product and Consumer Medicine Information, 2024; Available from: </w:t>
      </w:r>
      <w:r w:rsidRPr="00E32BAA">
        <w:rPr>
          <w:lang w:eastAsia="en-US"/>
        </w:rPr>
        <w:t>https://www.ebs.tga.gov.au/ebs/picmi</w:t>
      </w:r>
    </w:p>
    <w:p w14:paraId="0A629108" w14:textId="77777777" w:rsidR="005B6682" w:rsidRDefault="005B6682" w:rsidP="00E32BAA">
      <w:pPr>
        <w:pStyle w:val="Numberedlist"/>
        <w:numPr>
          <w:ilvl w:val="0"/>
          <w:numId w:val="17"/>
        </w:numPr>
        <w:spacing w:after="240"/>
        <w:rPr>
          <w:lang w:eastAsia="en-US"/>
        </w:rPr>
      </w:pPr>
      <w:r>
        <w:rPr>
          <w:lang w:eastAsia="en-US"/>
        </w:rPr>
        <w:t>Therapeutic Goods Administration (TGA), eBusiness Services [Internet], Octagam</w:t>
      </w:r>
      <w:r w:rsidRPr="00E537F3">
        <w:rPr>
          <w:vertAlign w:val="superscript"/>
          <w:lang w:eastAsia="en-US"/>
        </w:rPr>
        <w:t>®</w:t>
      </w:r>
      <w:r>
        <w:rPr>
          <w:lang w:eastAsia="en-US"/>
        </w:rPr>
        <w:t xml:space="preserve">, Product and Consumer Medicine Information, 2024; Available from: </w:t>
      </w:r>
      <w:r w:rsidRPr="00E32BAA">
        <w:rPr>
          <w:lang w:eastAsia="en-US"/>
        </w:rPr>
        <w:t>https://www.ebs.tga.gov.au/ebs/picmi</w:t>
      </w:r>
    </w:p>
    <w:p w14:paraId="0262902A" w14:textId="77777777" w:rsidR="005B6682" w:rsidRDefault="005B6682" w:rsidP="00E32BAA">
      <w:pPr>
        <w:pStyle w:val="Numberedlist"/>
        <w:numPr>
          <w:ilvl w:val="0"/>
          <w:numId w:val="17"/>
        </w:numPr>
        <w:spacing w:after="240"/>
        <w:rPr>
          <w:lang w:eastAsia="en-US"/>
        </w:rPr>
      </w:pPr>
      <w:r>
        <w:rPr>
          <w:lang w:eastAsia="en-US"/>
        </w:rPr>
        <w:t>Therapeutic Goods Administration (TGA), eBusiness Services [Internet], Kiovig</w:t>
      </w:r>
      <w:r w:rsidRPr="00E537F3">
        <w:rPr>
          <w:vertAlign w:val="superscript"/>
          <w:lang w:eastAsia="en-US"/>
        </w:rPr>
        <w:t>®</w:t>
      </w:r>
      <w:r>
        <w:rPr>
          <w:lang w:eastAsia="en-US"/>
        </w:rPr>
        <w:t xml:space="preserve"> 10%, Product and Consumer Medicine Information, 2024; Available from: </w:t>
      </w:r>
      <w:r w:rsidRPr="00E32BAA">
        <w:rPr>
          <w:lang w:eastAsia="en-US"/>
        </w:rPr>
        <w:t>https://www.ebs.tga.gov.au/ebs/picmi</w:t>
      </w:r>
    </w:p>
    <w:p w14:paraId="1A414DD6" w14:textId="77777777" w:rsidR="005B6682" w:rsidRDefault="005B6682" w:rsidP="00E32BAA">
      <w:pPr>
        <w:pStyle w:val="Numberedlist"/>
        <w:numPr>
          <w:ilvl w:val="0"/>
          <w:numId w:val="17"/>
        </w:numPr>
        <w:spacing w:after="240"/>
        <w:rPr>
          <w:lang w:eastAsia="en-US"/>
        </w:rPr>
      </w:pPr>
      <w:r>
        <w:rPr>
          <w:lang w:eastAsia="en-US"/>
        </w:rPr>
        <w:t>Therapeutic Goods Administration (TGA), eBusiness Services [Internet], Cuvitru</w:t>
      </w:r>
      <w:r w:rsidRPr="00E537F3">
        <w:rPr>
          <w:vertAlign w:val="superscript"/>
          <w:lang w:eastAsia="en-US"/>
        </w:rPr>
        <w:t>®</w:t>
      </w:r>
      <w:r>
        <w:rPr>
          <w:lang w:eastAsia="en-US"/>
        </w:rPr>
        <w:t xml:space="preserve"> 20%, Product and Consumer Medicine Information, 2024; Available from: </w:t>
      </w:r>
      <w:r w:rsidRPr="00E32BAA">
        <w:rPr>
          <w:lang w:eastAsia="en-US"/>
        </w:rPr>
        <w:t>https://www.ebs.tga.gov.au/ebs/picmi</w:t>
      </w:r>
    </w:p>
    <w:p w14:paraId="5653D586" w14:textId="77777777" w:rsidR="005B6682" w:rsidRDefault="005B6682" w:rsidP="00E32BAA">
      <w:pPr>
        <w:pStyle w:val="Numberedlist"/>
        <w:numPr>
          <w:ilvl w:val="0"/>
          <w:numId w:val="17"/>
        </w:numPr>
        <w:spacing w:after="240"/>
        <w:rPr>
          <w:lang w:eastAsia="en-US"/>
        </w:rPr>
      </w:pPr>
      <w:r>
        <w:rPr>
          <w:lang w:eastAsia="en-US"/>
        </w:rPr>
        <w:t>Therapeutic Goods Administration (TGA), eBusiness Services [Internet], Xembify</w:t>
      </w:r>
      <w:r w:rsidRPr="00E537F3">
        <w:rPr>
          <w:vertAlign w:val="superscript"/>
          <w:lang w:eastAsia="en-US"/>
        </w:rPr>
        <w:t>®</w:t>
      </w:r>
      <w:r>
        <w:rPr>
          <w:lang w:eastAsia="en-US"/>
        </w:rPr>
        <w:t xml:space="preserve"> 20%, Product and Consumer Medicine Information, 2024; Available from: </w:t>
      </w:r>
      <w:r w:rsidRPr="00E32BAA">
        <w:rPr>
          <w:lang w:eastAsia="en-US"/>
        </w:rPr>
        <w:t>https://www.ebs.tga.gov.au/ebs/picmi</w:t>
      </w:r>
    </w:p>
    <w:p w14:paraId="69334ACC" w14:textId="77777777" w:rsidR="005B6682" w:rsidRPr="005B6682" w:rsidRDefault="005B6682" w:rsidP="00E537F3">
      <w:pPr>
        <w:pStyle w:val="Numberedlist"/>
        <w:numPr>
          <w:ilvl w:val="0"/>
          <w:numId w:val="17"/>
        </w:numPr>
        <w:spacing w:after="240"/>
        <w:rPr>
          <w:lang w:eastAsia="en-US"/>
        </w:rPr>
      </w:pPr>
      <w:r>
        <w:rPr>
          <w:lang w:eastAsia="en-US"/>
        </w:rPr>
        <w:t xml:space="preserve">Victorian Blood Matters [Internet], Intravenous immunoglobulin (IVIg) clinical practice guidance template, 2023, Available from: </w:t>
      </w:r>
      <w:r w:rsidRPr="005B6682">
        <w:rPr>
          <w:rFonts w:eastAsia="Calibri"/>
        </w:rPr>
        <w:t>https://view.officeapps.live.com/op/view.aspx?src=https%3A%2F%2Fwww.health.vic.gov.au%2Fsites%2Fdefault%2Ffiles%2F2023-04%2Fintravenous-immunoglobulin-ivig-clinical-practice-guidance-template-march-2023.docx&amp;wdOrigin=BROWSELINK</w:t>
      </w:r>
    </w:p>
    <w:p w14:paraId="6FC95B22" w14:textId="77777777" w:rsidR="00280C5D" w:rsidRDefault="0028383D" w:rsidP="002D7682">
      <w:pPr>
        <w:pStyle w:val="Bullet"/>
        <w:numPr>
          <w:ilvl w:val="0"/>
          <w:numId w:val="0"/>
        </w:numPr>
        <w:tabs>
          <w:tab w:val="clear" w:pos="425"/>
        </w:tabs>
        <w:spacing w:after="240"/>
        <w:ind w:left="357" w:hanging="357"/>
        <w:rPr>
          <w:lang w:eastAsia="en-US"/>
        </w:rPr>
      </w:pPr>
      <w:hyperlink w:anchor="_top" w:history="1">
        <w:r w:rsidR="00280C5D" w:rsidRPr="004A7A7F">
          <w:rPr>
            <w:rStyle w:val="Hyperlink"/>
          </w:rPr>
          <w:t>Back to Contents</w:t>
        </w:r>
      </w:hyperlink>
    </w:p>
    <w:p w14:paraId="1ABA1E31" w14:textId="77777777" w:rsidR="0078367D" w:rsidRDefault="0078367D" w:rsidP="00A6051F">
      <w:pPr>
        <w:pStyle w:val="Heading4"/>
      </w:pPr>
      <w:bookmarkStart w:id="25" w:name="_Toc184739603"/>
      <w:r>
        <w:t>Definition of terms</w:t>
      </w:r>
      <w:bookmarkEnd w:id="25"/>
    </w:p>
    <w:p w14:paraId="31C77CC7" w14:textId="77777777" w:rsidR="00B86FCB" w:rsidRDefault="00B86FCB" w:rsidP="00AA5457">
      <w:pPr>
        <w:pStyle w:val="Bullet"/>
      </w:pPr>
      <w:r>
        <w:t>BloodNET – Australia’s online blood ordering and inventory management system</w:t>
      </w:r>
    </w:p>
    <w:p w14:paraId="4D0A9BF5" w14:textId="77777777" w:rsidR="00B86FCB" w:rsidRDefault="00B86FCB" w:rsidP="00AA5457">
      <w:pPr>
        <w:pStyle w:val="Bullet"/>
      </w:pPr>
      <w:r>
        <w:t>BloodSTAR – Australia’s online system for accessing government-funded immunoglobulin (Ig) products</w:t>
      </w:r>
    </w:p>
    <w:p w14:paraId="0FA78493" w14:textId="14E740B4" w:rsidR="000C2D85" w:rsidRDefault="000C2D85" w:rsidP="00AA5457">
      <w:pPr>
        <w:pStyle w:val="Bullet"/>
      </w:pPr>
      <w:r>
        <w:t xml:space="preserve">Ig </w:t>
      </w:r>
      <w:r w:rsidR="00984139">
        <w:t>– Immunoglobulin replacement therapy is the standard treatment for individuals with antibody deficiencies</w:t>
      </w:r>
      <w:r w:rsidR="00CE6F66">
        <w:t>. It is administered intravenously (IVIg) or subcutaneously (SCIg) and replaces the antibodies a person should be making.</w:t>
      </w:r>
    </w:p>
    <w:p w14:paraId="54453990" w14:textId="77777777" w:rsidR="00280C5D" w:rsidRDefault="0028383D" w:rsidP="002D7682">
      <w:pPr>
        <w:pStyle w:val="BodyCopy"/>
      </w:pPr>
      <w:hyperlink w:anchor="_top" w:history="1">
        <w:r w:rsidR="00280C5D" w:rsidRPr="00481A6C">
          <w:rPr>
            <w:rStyle w:val="Hyperlink"/>
            <w:iCs w:val="0"/>
          </w:rPr>
          <w:t>Back to Contents</w:t>
        </w:r>
      </w:hyperlink>
    </w:p>
    <w:p w14:paraId="7EBE3B5A" w14:textId="77777777" w:rsidR="0078367D" w:rsidRDefault="0078367D" w:rsidP="00A6051F">
      <w:pPr>
        <w:pStyle w:val="Heading4"/>
      </w:pPr>
      <w:bookmarkStart w:id="26" w:name="_Toc184739604"/>
      <w:r>
        <w:lastRenderedPageBreak/>
        <w:t>Search terms</w:t>
      </w:r>
      <w:bookmarkEnd w:id="26"/>
    </w:p>
    <w:p w14:paraId="62F7D711" w14:textId="23BB902C" w:rsidR="00701D17" w:rsidRDefault="00701D17" w:rsidP="00701D17">
      <w:pPr>
        <w:pStyle w:val="BodyCopy"/>
      </w:pPr>
      <w:r>
        <w:t>Immunoglobulin, Intravenous, Subcutaneous, Normal Human, IVIg, SCIg, NHIg, IVIg Infusion Rates, Blood</w:t>
      </w:r>
      <w:r w:rsidR="001668E1">
        <w:t xml:space="preserve">, </w:t>
      </w:r>
      <w:r>
        <w:t>Products, Transfusion, BloodSTAR</w:t>
      </w:r>
      <w:r w:rsidR="001668E1">
        <w:t xml:space="preserve"> </w:t>
      </w:r>
      <w:r w:rsidR="00984139">
        <w:t>Criteria, Ig</w:t>
      </w:r>
      <w:r>
        <w:t>.</w:t>
      </w:r>
    </w:p>
    <w:p w14:paraId="59028C41" w14:textId="77777777" w:rsidR="00280C5D" w:rsidRDefault="0028383D" w:rsidP="002D7682">
      <w:pPr>
        <w:pStyle w:val="Bullet"/>
        <w:numPr>
          <w:ilvl w:val="0"/>
          <w:numId w:val="0"/>
        </w:numPr>
        <w:spacing w:after="240"/>
        <w:rPr>
          <w:rStyle w:val="Hyperlink"/>
        </w:rPr>
      </w:pPr>
      <w:hyperlink w:anchor="_top" w:history="1">
        <w:r w:rsidR="00280C5D" w:rsidRPr="00481A6C">
          <w:rPr>
            <w:rStyle w:val="Hyperlink"/>
          </w:rPr>
          <w:t>Back to Contents</w:t>
        </w:r>
      </w:hyperlink>
    </w:p>
    <w:p w14:paraId="25983DD2" w14:textId="77777777" w:rsidR="0078367D" w:rsidRPr="009A5010" w:rsidRDefault="0078367D" w:rsidP="00A6051F">
      <w:pPr>
        <w:pStyle w:val="Heading4"/>
      </w:pPr>
      <w:bookmarkStart w:id="27" w:name="_Toc184739605"/>
      <w:r>
        <w:t>Attachments</w:t>
      </w:r>
      <w:bookmarkEnd w:id="27"/>
    </w:p>
    <w:p w14:paraId="76032B0B" w14:textId="321311C6" w:rsidR="002D7682" w:rsidRPr="001679DF" w:rsidRDefault="00C34A10" w:rsidP="001679DF">
      <w:pPr>
        <w:pStyle w:val="Heading7"/>
      </w:pPr>
      <w:r w:rsidRPr="001679DF">
        <w:t xml:space="preserve">Attachment </w:t>
      </w:r>
      <w:r w:rsidR="00A064D9">
        <w:t>1</w:t>
      </w:r>
      <w:r w:rsidR="00A064D9" w:rsidRPr="001679DF">
        <w:t xml:space="preserve"> </w:t>
      </w:r>
      <w:r w:rsidR="001679DF" w:rsidRPr="001679DF">
        <w:t>– BloodSTAR process for Ig approval</w:t>
      </w:r>
    </w:p>
    <w:p w14:paraId="72973E74" w14:textId="5AB53A32" w:rsidR="001679DF" w:rsidRPr="001679DF" w:rsidRDefault="002D7682" w:rsidP="001679DF">
      <w:pPr>
        <w:pStyle w:val="Heading7"/>
      </w:pPr>
      <w:r w:rsidRPr="001679DF">
        <w:t xml:space="preserve">Attachment </w:t>
      </w:r>
      <w:r w:rsidR="00A064D9">
        <w:t>2</w:t>
      </w:r>
      <w:r w:rsidR="00A064D9" w:rsidRPr="001679DF">
        <w:t xml:space="preserve"> </w:t>
      </w:r>
      <w:r w:rsidR="001679DF" w:rsidRPr="001679DF">
        <w:t>– Patient information for IVIg and SCIg</w:t>
      </w:r>
    </w:p>
    <w:p w14:paraId="2F43D2EA" w14:textId="44C22A50" w:rsidR="001679DF" w:rsidRPr="001679DF" w:rsidRDefault="001679DF" w:rsidP="001679DF">
      <w:pPr>
        <w:pStyle w:val="Heading7"/>
      </w:pPr>
      <w:r w:rsidRPr="001679DF">
        <w:t xml:space="preserve">Attachment </w:t>
      </w:r>
      <w:r w:rsidR="00A064D9">
        <w:t>3</w:t>
      </w:r>
      <w:r w:rsidR="00A064D9" w:rsidRPr="001679DF">
        <w:t xml:space="preserve"> </w:t>
      </w:r>
      <w:r w:rsidRPr="001679DF">
        <w:t xml:space="preserve">– </w:t>
      </w:r>
      <w:r>
        <w:t>Submitting an Emergency Authorisation Request in BloodSTAR</w:t>
      </w:r>
    </w:p>
    <w:p w14:paraId="57FF2EB4" w14:textId="5073904F" w:rsidR="001679DF" w:rsidRDefault="001679DF" w:rsidP="001679DF">
      <w:pPr>
        <w:pStyle w:val="Heading7"/>
      </w:pPr>
      <w:r w:rsidRPr="001679DF">
        <w:t xml:space="preserve">Attachment </w:t>
      </w:r>
      <w:r w:rsidR="00A064D9">
        <w:t>4</w:t>
      </w:r>
      <w:r w:rsidR="00A064D9" w:rsidRPr="001679DF">
        <w:t xml:space="preserve"> </w:t>
      </w:r>
      <w:r w:rsidRPr="001679DF">
        <w:t xml:space="preserve">– </w:t>
      </w:r>
      <w:r>
        <w:t>Patients travelling Interstate and Overseas</w:t>
      </w:r>
    </w:p>
    <w:p w14:paraId="73AF851B" w14:textId="7C741990" w:rsidR="001679DF" w:rsidRDefault="001679DF" w:rsidP="001679DF">
      <w:pPr>
        <w:pStyle w:val="Heading7"/>
      </w:pPr>
      <w:r>
        <w:t xml:space="preserve">Attachment </w:t>
      </w:r>
      <w:r w:rsidR="00A064D9">
        <w:t xml:space="preserve">5 </w:t>
      </w:r>
      <w:r>
        <w:t>– IVIg infusion rates</w:t>
      </w:r>
    </w:p>
    <w:p w14:paraId="2F925538" w14:textId="0D05949D" w:rsidR="001679DF" w:rsidRPr="001679DF" w:rsidRDefault="001679DF" w:rsidP="00F00F6A">
      <w:pPr>
        <w:pStyle w:val="Heading7"/>
        <w:spacing w:after="240"/>
      </w:pPr>
      <w:r>
        <w:t xml:space="preserve">Attachment </w:t>
      </w:r>
      <w:r w:rsidR="00A064D9">
        <w:t xml:space="preserve">6 </w:t>
      </w:r>
      <w:r>
        <w:t>– Training Checklist for Home Administered Subcutaneous Immunoglobulin (SCIg) Infusion Treatment</w:t>
      </w:r>
    </w:p>
    <w:p w14:paraId="1BDC1B4A" w14:textId="77777777" w:rsidR="007B1A7B" w:rsidRDefault="0028383D" w:rsidP="002D7682">
      <w:pPr>
        <w:pStyle w:val="Bullet"/>
        <w:numPr>
          <w:ilvl w:val="0"/>
          <w:numId w:val="0"/>
        </w:numPr>
        <w:spacing w:after="240"/>
        <w:rPr>
          <w:rStyle w:val="Hyperlink"/>
        </w:rPr>
      </w:pPr>
      <w:hyperlink w:anchor="_top" w:history="1">
        <w:r w:rsidR="002D7682" w:rsidRPr="00481A6C">
          <w:rPr>
            <w:rStyle w:val="Hyperlink"/>
          </w:rPr>
          <w:t>Back to Contents</w:t>
        </w:r>
      </w:hyperlink>
    </w:p>
    <w:p w14:paraId="660FA678" w14:textId="77777777" w:rsidR="007B1A7B" w:rsidRDefault="007B1A7B">
      <w:pPr>
        <w:spacing w:before="0" w:after="0" w:line="240" w:lineRule="auto"/>
        <w:rPr>
          <w:rStyle w:val="Hyperlink"/>
          <w:rFonts w:eastAsia="Times New Roman"/>
        </w:rPr>
      </w:pPr>
      <w:r>
        <w:rPr>
          <w:rStyle w:val="Hyperlink"/>
        </w:rPr>
        <w:br w:type="page"/>
      </w:r>
    </w:p>
    <w:p w14:paraId="01723977"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263"/>
        <w:gridCol w:w="2410"/>
        <w:gridCol w:w="2977"/>
        <w:gridCol w:w="2261"/>
      </w:tblGrid>
      <w:tr w:rsidR="00280C5D" w14:paraId="0F290B6A" w14:textId="77777777" w:rsidTr="00A4621D">
        <w:trPr>
          <w:cnfStyle w:val="100000000000" w:firstRow="1" w:lastRow="0" w:firstColumn="0" w:lastColumn="0" w:oddVBand="0" w:evenVBand="0" w:oddHBand="0" w:evenHBand="0" w:firstRowFirstColumn="0" w:firstRowLastColumn="0" w:lastRowFirstColumn="0" w:lastRowLastColumn="0"/>
        </w:trPr>
        <w:tc>
          <w:tcPr>
            <w:tcW w:w="2263" w:type="dxa"/>
          </w:tcPr>
          <w:p w14:paraId="161344FA" w14:textId="77777777" w:rsidR="00280C5D" w:rsidRDefault="00280C5D" w:rsidP="003B0E72">
            <w:pPr>
              <w:pStyle w:val="Tableheader"/>
            </w:pPr>
            <w:r>
              <w:t>Date amended</w:t>
            </w:r>
          </w:p>
        </w:tc>
        <w:tc>
          <w:tcPr>
            <w:tcW w:w="2410" w:type="dxa"/>
          </w:tcPr>
          <w:p w14:paraId="7C49EDE1" w14:textId="77777777" w:rsidR="00280C5D" w:rsidRDefault="00280C5D" w:rsidP="003B0E72">
            <w:pPr>
              <w:pStyle w:val="Tableheader"/>
            </w:pPr>
            <w:r>
              <w:t>Section amended</w:t>
            </w:r>
          </w:p>
        </w:tc>
        <w:tc>
          <w:tcPr>
            <w:tcW w:w="2977" w:type="dxa"/>
          </w:tcPr>
          <w:p w14:paraId="3B37CBE2" w14:textId="77777777" w:rsidR="00280C5D" w:rsidRDefault="00280C5D" w:rsidP="003B0E72">
            <w:pPr>
              <w:pStyle w:val="Tableheader"/>
            </w:pPr>
            <w:r>
              <w:t>Divisional approval</w:t>
            </w:r>
          </w:p>
        </w:tc>
        <w:tc>
          <w:tcPr>
            <w:tcW w:w="2261" w:type="dxa"/>
          </w:tcPr>
          <w:p w14:paraId="669577FD" w14:textId="77777777" w:rsidR="00280C5D" w:rsidRDefault="00280C5D" w:rsidP="003B0E72">
            <w:pPr>
              <w:pStyle w:val="Tableheader"/>
            </w:pPr>
            <w:r>
              <w:t>Final approval</w:t>
            </w:r>
          </w:p>
        </w:tc>
      </w:tr>
      <w:tr w:rsidR="00F00F6A" w14:paraId="3366F7F2" w14:textId="77777777" w:rsidTr="00A4621D">
        <w:tc>
          <w:tcPr>
            <w:tcW w:w="2263" w:type="dxa"/>
            <w:vAlign w:val="top"/>
          </w:tcPr>
          <w:p w14:paraId="34A7A791" w14:textId="032D6440" w:rsidR="00F00F6A" w:rsidRDefault="00A4621D" w:rsidP="00F00F6A">
            <w:pPr>
              <w:pStyle w:val="Tablebody"/>
              <w:rPr>
                <w:lang w:eastAsia="en-US"/>
              </w:rPr>
            </w:pPr>
            <w:r>
              <w:rPr>
                <w:lang w:eastAsia="en-US"/>
              </w:rPr>
              <w:t>16/12/2024</w:t>
            </w:r>
          </w:p>
        </w:tc>
        <w:tc>
          <w:tcPr>
            <w:tcW w:w="2410" w:type="dxa"/>
            <w:vAlign w:val="top"/>
          </w:tcPr>
          <w:p w14:paraId="1ED43926" w14:textId="3DB17CF2" w:rsidR="00F00F6A" w:rsidRDefault="00A4621D" w:rsidP="00F00F6A">
            <w:pPr>
              <w:pStyle w:val="Tablebody"/>
              <w:rPr>
                <w:lang w:eastAsia="en-US"/>
              </w:rPr>
            </w:pPr>
            <w:r>
              <w:rPr>
                <w:lang w:eastAsia="en-US"/>
              </w:rPr>
              <w:t>New Document Added</w:t>
            </w:r>
          </w:p>
        </w:tc>
        <w:tc>
          <w:tcPr>
            <w:tcW w:w="2977" w:type="dxa"/>
            <w:vAlign w:val="top"/>
          </w:tcPr>
          <w:p w14:paraId="4EA1279E" w14:textId="3AC54D58" w:rsidR="00F00F6A" w:rsidRDefault="00A4621D" w:rsidP="00F00F6A">
            <w:pPr>
              <w:pStyle w:val="Tablebody"/>
              <w:rPr>
                <w:lang w:eastAsia="en-US"/>
              </w:rPr>
            </w:pPr>
            <w:r>
              <w:rPr>
                <w:lang w:eastAsia="en-US"/>
              </w:rPr>
              <w:t>Dr Suzanne Smallbane, ED, Medical Services</w:t>
            </w:r>
          </w:p>
        </w:tc>
        <w:tc>
          <w:tcPr>
            <w:tcW w:w="2261" w:type="dxa"/>
            <w:vAlign w:val="top"/>
          </w:tcPr>
          <w:p w14:paraId="1779B6D0" w14:textId="3BE7FF53" w:rsidR="00F00F6A" w:rsidRDefault="00A4621D" w:rsidP="00F00F6A">
            <w:pPr>
              <w:pStyle w:val="Tablebody"/>
              <w:rPr>
                <w:lang w:eastAsia="en-US"/>
              </w:rPr>
            </w:pPr>
            <w:r>
              <w:rPr>
                <w:lang w:eastAsia="en-US"/>
              </w:rPr>
              <w:t>Policy Document Review Panel</w:t>
            </w:r>
          </w:p>
        </w:tc>
      </w:tr>
    </w:tbl>
    <w:p w14:paraId="40D87838" w14:textId="77777777" w:rsidR="00412388" w:rsidRDefault="00412388" w:rsidP="00A6051F">
      <w:pPr>
        <w:spacing w:after="120"/>
        <w:rPr>
          <w:lang w:eastAsia="en-US"/>
        </w:rPr>
      </w:pPr>
    </w:p>
    <w:p w14:paraId="70E03085" w14:textId="4DEAB96D"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40384EE3"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63B24544" w14:textId="77777777" w:rsidR="00280C5D" w:rsidRDefault="00280C5D" w:rsidP="003B0E72">
            <w:pPr>
              <w:pStyle w:val="Tableheader"/>
            </w:pPr>
            <w:r>
              <w:t>Document number</w:t>
            </w:r>
          </w:p>
        </w:tc>
        <w:tc>
          <w:tcPr>
            <w:tcW w:w="7653" w:type="dxa"/>
          </w:tcPr>
          <w:p w14:paraId="491831B8" w14:textId="77777777" w:rsidR="00280C5D" w:rsidRDefault="00280C5D" w:rsidP="003B0E72">
            <w:pPr>
              <w:pStyle w:val="Tableheader"/>
            </w:pPr>
            <w:r>
              <w:t>Document name</w:t>
            </w:r>
          </w:p>
        </w:tc>
      </w:tr>
      <w:tr w:rsidR="00F00F6A" w14:paraId="68F0BD66" w14:textId="77777777" w:rsidTr="00680E11">
        <w:tc>
          <w:tcPr>
            <w:tcW w:w="2548" w:type="dxa"/>
            <w:vAlign w:val="top"/>
          </w:tcPr>
          <w:p w14:paraId="4B373BA5" w14:textId="1C72E4D5" w:rsidR="00F00F6A" w:rsidRDefault="00A4621D" w:rsidP="00F00F6A">
            <w:pPr>
              <w:pStyle w:val="Tablebody"/>
              <w:rPr>
                <w:lang w:eastAsia="en-US"/>
              </w:rPr>
            </w:pPr>
            <w:r>
              <w:rPr>
                <w:lang w:eastAsia="en-US"/>
              </w:rPr>
              <w:t>CHS21/444</w:t>
            </w:r>
          </w:p>
        </w:tc>
        <w:tc>
          <w:tcPr>
            <w:tcW w:w="7653" w:type="dxa"/>
            <w:vAlign w:val="top"/>
          </w:tcPr>
          <w:p w14:paraId="20F81956" w14:textId="450EBC17" w:rsidR="00F00F6A" w:rsidRDefault="00A4621D" w:rsidP="00F00F6A">
            <w:pPr>
              <w:pStyle w:val="Tablebody"/>
              <w:rPr>
                <w:lang w:eastAsia="en-US"/>
              </w:rPr>
            </w:pPr>
            <w:r w:rsidRPr="00A4621D">
              <w:rPr>
                <w:lang w:eastAsia="en-US"/>
              </w:rPr>
              <w:t>Immunoglobulin Authorisation and Administration – Adults, Paediatrics and Neonates</w:t>
            </w:r>
          </w:p>
        </w:tc>
      </w:tr>
      <w:tr w:rsidR="00F00F6A" w14:paraId="1C0A4620" w14:textId="77777777" w:rsidTr="003B0E72">
        <w:tc>
          <w:tcPr>
            <w:tcW w:w="2548" w:type="dxa"/>
          </w:tcPr>
          <w:p w14:paraId="769EE4FE" w14:textId="77777777" w:rsidR="00F00F6A" w:rsidRDefault="00F00F6A" w:rsidP="00F00F6A">
            <w:pPr>
              <w:pStyle w:val="Tablebody"/>
              <w:rPr>
                <w:lang w:eastAsia="en-US"/>
              </w:rPr>
            </w:pPr>
          </w:p>
        </w:tc>
        <w:tc>
          <w:tcPr>
            <w:tcW w:w="7653" w:type="dxa"/>
          </w:tcPr>
          <w:p w14:paraId="48C3D68A" w14:textId="77777777" w:rsidR="00F00F6A" w:rsidRDefault="00F00F6A" w:rsidP="00F00F6A">
            <w:pPr>
              <w:pStyle w:val="Tablebody"/>
              <w:rPr>
                <w:lang w:eastAsia="en-US"/>
              </w:rPr>
            </w:pPr>
          </w:p>
        </w:tc>
      </w:tr>
    </w:tbl>
    <w:p w14:paraId="5130F2DF" w14:textId="77777777" w:rsidR="00280C5D" w:rsidRPr="001F3ED6" w:rsidRDefault="00280C5D" w:rsidP="001F3ED6">
      <w:pPr>
        <w:pStyle w:val="BodyCopy"/>
        <w:rPr>
          <w:rStyle w:val="Bold"/>
        </w:rPr>
      </w:pPr>
      <w:r w:rsidRPr="001F3ED6">
        <w:rPr>
          <w:rStyle w:val="Bold"/>
        </w:rPr>
        <w:t>Disclaimer</w:t>
      </w:r>
    </w:p>
    <w:p w14:paraId="5DE22628"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47DEC1DE" w14:textId="77777777" w:rsidR="00280C5D" w:rsidRDefault="0028383D" w:rsidP="00280C5D">
      <w:pPr>
        <w:pStyle w:val="Bullet"/>
        <w:numPr>
          <w:ilvl w:val="0"/>
          <w:numId w:val="0"/>
        </w:numPr>
        <w:rPr>
          <w:rStyle w:val="Hyperlink"/>
        </w:rPr>
      </w:pPr>
      <w:hyperlink w:anchor="_top" w:history="1">
        <w:r w:rsidR="00280C5D" w:rsidRPr="00481A6C">
          <w:rPr>
            <w:rStyle w:val="Hyperlink"/>
          </w:rPr>
          <w:t>Back to Contents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493E9E61" w14:textId="77777777" w:rsidTr="006958F2">
        <w:tc>
          <w:tcPr>
            <w:tcW w:w="5271" w:type="dxa"/>
            <w:shd w:val="clear" w:color="auto" w:fill="F4F3EE"/>
            <w:tcMar>
              <w:top w:w="142" w:type="dxa"/>
              <w:left w:w="170" w:type="dxa"/>
              <w:bottom w:w="142" w:type="dxa"/>
              <w:right w:w="170" w:type="dxa"/>
            </w:tcMar>
          </w:tcPr>
          <w:bookmarkStart w:id="28" w:name="_Hlk160027189" w:displacedByCustomXml="next"/>
          <w:sdt>
            <w:sdtPr>
              <w:rPr>
                <w:color w:val="auto"/>
                <w:u w:val="single"/>
              </w:rPr>
              <w:id w:val="643171884"/>
              <w:placeholder>
                <w:docPart w:val="80DBB04DF2CC43C3BE16D26B42624347"/>
              </w:placeholder>
            </w:sdtPr>
            <w:sdtEndPr>
              <w:rPr>
                <w:color w:val="000000" w:themeColor="text1"/>
                <w:u w:val="none"/>
              </w:rPr>
            </w:sdtEndPr>
            <w:sdtContent>
              <w:p w14:paraId="47C04CB9" w14:textId="77777777" w:rsidR="00280C5D" w:rsidRPr="00350211" w:rsidRDefault="00280C5D" w:rsidP="003B0E72">
                <w:pPr>
                  <w:pStyle w:val="Bottomblocktext"/>
                  <w:rPr>
                    <w:b/>
                    <w:bCs w:val="0"/>
                    <w:sz w:val="20"/>
                    <w:szCs w:val="20"/>
                  </w:rPr>
                </w:pPr>
                <w:r>
                  <w:rPr>
                    <w:noProof/>
                    <w:sz w:val="20"/>
                    <w:szCs w:val="20"/>
                  </w:rPr>
                  <w:drawing>
                    <wp:inline distT="0" distB="0" distL="0" distR="0" wp14:anchorId="5544B426" wp14:editId="47BFF317">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3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74C1E57"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7E34ADDE"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342C6921C44E4185ADFD7583363338CB"/>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2CE989480E6E47A583C27A4B06D154E0"/>
            </w:placeholder>
            <w:showingPlcHdr/>
          </w:sdtPr>
          <w:sdtEndPr/>
          <w:sdtContent>
            <w:tc>
              <w:tcPr>
                <w:tcW w:w="4650" w:type="dxa"/>
                <w:shd w:val="clear" w:color="auto" w:fill="F4F3EE"/>
                <w:tcMar>
                  <w:top w:w="142" w:type="dxa"/>
                  <w:left w:w="170" w:type="dxa"/>
                  <w:bottom w:w="142" w:type="dxa"/>
                  <w:right w:w="170" w:type="dxa"/>
                </w:tcMar>
              </w:tcPr>
              <w:p w14:paraId="45FF1BAE"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29DD98AA" wp14:editId="35368D65">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3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8DB3B27" wp14:editId="5D790A61">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3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66D5A9C4"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07900275" wp14:editId="3ABB0677">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3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3F3D368" wp14:editId="2C01FDE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3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2DDEAFF4" w14:textId="77777777" w:rsidR="00280C5D" w:rsidRDefault="0028383D" w:rsidP="003B0E72">
                <w:pPr>
                  <w:pStyle w:val="Bottomblocktext"/>
                  <w:rPr>
                    <w:sz w:val="20"/>
                    <w:szCs w:val="20"/>
                  </w:rPr>
                </w:pPr>
                <w:hyperlink r:id="rId38" w:history="1">
                  <w:r w:rsidR="00280C5D" w:rsidRPr="00350211">
                    <w:rPr>
                      <w:rStyle w:val="Hyperlink"/>
                      <w:sz w:val="20"/>
                      <w:szCs w:val="20"/>
                    </w:rPr>
                    <w:t>canberrahealthservices.act.gov.au/accessibility</w:t>
                  </w:r>
                </w:hyperlink>
              </w:p>
              <w:p w14:paraId="5310DEC2" w14:textId="77777777" w:rsidR="00280C5D" w:rsidRDefault="00280C5D" w:rsidP="003B0E72">
                <w:pPr>
                  <w:pStyle w:val="Bottomblocktext"/>
                </w:pPr>
                <w:r>
                  <w:rPr>
                    <w:b/>
                    <w:bCs w:val="0"/>
                    <w:noProof/>
                  </w:rPr>
                  <w:drawing>
                    <wp:inline distT="0" distB="0" distL="0" distR="0" wp14:anchorId="63760E1C" wp14:editId="430832CC">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3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28"/>
    </w:tbl>
    <w:p w14:paraId="024ECA48" w14:textId="77777777" w:rsidR="00201AF6" w:rsidRDefault="00201AF6" w:rsidP="000E7683">
      <w:pPr>
        <w:rPr>
          <w:lang w:eastAsia="en-US"/>
        </w:rPr>
      </w:pPr>
    </w:p>
    <w:p w14:paraId="23B2D3DF" w14:textId="77777777" w:rsidR="00201AF6" w:rsidRDefault="00201AF6">
      <w:pPr>
        <w:spacing w:before="0" w:after="0" w:line="240" w:lineRule="auto"/>
        <w:rPr>
          <w:lang w:eastAsia="en-US"/>
        </w:rPr>
      </w:pPr>
      <w:r>
        <w:rPr>
          <w:lang w:eastAsia="en-US"/>
        </w:rPr>
        <w:br w:type="page"/>
      </w:r>
    </w:p>
    <w:p w14:paraId="6063F775" w14:textId="32977FE9" w:rsidR="001679DF" w:rsidRDefault="001679DF">
      <w:pPr>
        <w:spacing w:before="0" w:after="0" w:line="240" w:lineRule="auto"/>
        <w:rPr>
          <w:rStyle w:val="Hyperlink"/>
          <w:rFonts w:eastAsia="Times New Roman"/>
        </w:rPr>
      </w:pPr>
    </w:p>
    <w:p w14:paraId="76191BEB" w14:textId="7912EF0C" w:rsidR="001679DF" w:rsidRDefault="001679DF" w:rsidP="001679DF">
      <w:pPr>
        <w:pStyle w:val="Heading4"/>
      </w:pPr>
      <w:bookmarkStart w:id="29" w:name="_Toc184739606"/>
      <w:r>
        <w:t xml:space="preserve">Attachment </w:t>
      </w:r>
      <w:r w:rsidR="00A064D9">
        <w:t xml:space="preserve">1 </w:t>
      </w:r>
      <w:r>
        <w:t>– BloodSTAR process for Ig approval</w:t>
      </w:r>
      <w:bookmarkEnd w:id="29"/>
    </w:p>
    <w:p w14:paraId="3C50ED19" w14:textId="77777777" w:rsidR="001679DF" w:rsidRPr="009F487D" w:rsidRDefault="001679DF" w:rsidP="001679DF">
      <w:pPr>
        <w:pBdr>
          <w:top w:val="single" w:sz="4" w:space="1" w:color="auto"/>
          <w:left w:val="single" w:sz="4" w:space="4" w:color="auto"/>
          <w:bottom w:val="single" w:sz="4" w:space="1" w:color="auto"/>
          <w:right w:val="single" w:sz="4" w:space="4" w:color="auto"/>
        </w:pBdr>
        <w:rPr>
          <w:b/>
        </w:rPr>
      </w:pPr>
      <w:r w:rsidRPr="009F487D">
        <w:rPr>
          <w:b/>
        </w:rPr>
        <w:t xml:space="preserve">Alert </w:t>
      </w:r>
    </w:p>
    <w:p w14:paraId="07A4B320" w14:textId="77777777" w:rsidR="001679DF" w:rsidRPr="009F487D" w:rsidRDefault="001679DF" w:rsidP="001679DF">
      <w:pPr>
        <w:pBdr>
          <w:top w:val="single" w:sz="4" w:space="1" w:color="auto"/>
          <w:left w:val="single" w:sz="4" w:space="4" w:color="auto"/>
          <w:bottom w:val="single" w:sz="4" w:space="1" w:color="auto"/>
          <w:right w:val="single" w:sz="4" w:space="4" w:color="auto"/>
        </w:pBdr>
        <w:rPr>
          <w:rFonts w:cs="Calibri"/>
          <w:color w:val="000000"/>
        </w:rPr>
      </w:pPr>
      <w:r w:rsidRPr="009F487D">
        <w:rPr>
          <w:rFonts w:cs="Calibri"/>
          <w:color w:val="000000"/>
        </w:rPr>
        <w:t xml:space="preserve">BloodSTAR User Registration is a two-part process comprised of: </w:t>
      </w:r>
    </w:p>
    <w:p w14:paraId="54787A56" w14:textId="7DDEA043" w:rsidR="001679DF" w:rsidRDefault="00620D92" w:rsidP="001679DF">
      <w:pPr>
        <w:pStyle w:val="ListParagraph"/>
        <w:numPr>
          <w:ilvl w:val="0"/>
          <w:numId w:val="19"/>
        </w:numPr>
        <w:pBdr>
          <w:top w:val="single" w:sz="4" w:space="1" w:color="auto"/>
          <w:left w:val="single" w:sz="4" w:space="4" w:color="auto"/>
          <w:bottom w:val="single" w:sz="4" w:space="1" w:color="auto"/>
          <w:right w:val="single" w:sz="4" w:space="4" w:color="auto"/>
        </w:pBdr>
        <w:spacing w:before="0" w:after="0" w:line="240" w:lineRule="auto"/>
        <w:rPr>
          <w:rFonts w:cs="Calibri"/>
          <w:color w:val="000000"/>
        </w:rPr>
      </w:pPr>
      <w:r w:rsidRPr="009F487D">
        <w:rPr>
          <w:rFonts w:cs="Calibri"/>
          <w:bCs/>
          <w:i/>
          <w:color w:val="000000"/>
        </w:rPr>
        <w:t>BLOODportal</w:t>
      </w:r>
      <w:r w:rsidR="001679DF" w:rsidRPr="009F487D">
        <w:rPr>
          <w:rFonts w:cs="Calibri"/>
          <w:bCs/>
          <w:i/>
          <w:color w:val="000000"/>
        </w:rPr>
        <w:t xml:space="preserve"> User Registration</w:t>
      </w:r>
      <w:r w:rsidR="001679DF" w:rsidRPr="009F487D">
        <w:rPr>
          <w:rFonts w:cs="Calibri"/>
          <w:bCs/>
          <w:color w:val="000000"/>
        </w:rPr>
        <w:t xml:space="preserve"> </w:t>
      </w:r>
      <w:r w:rsidR="001679DF" w:rsidRPr="009F487D">
        <w:rPr>
          <w:rFonts w:cs="Calibri"/>
          <w:color w:val="000000"/>
        </w:rPr>
        <w:t xml:space="preserve">– Creating a single username and password for all NBA systems, and </w:t>
      </w:r>
    </w:p>
    <w:p w14:paraId="2CFA196C" w14:textId="77777777" w:rsidR="001679DF" w:rsidRPr="00C8052B" w:rsidRDefault="001679DF" w:rsidP="001679DF">
      <w:pPr>
        <w:pStyle w:val="ListParagraph"/>
        <w:numPr>
          <w:ilvl w:val="0"/>
          <w:numId w:val="19"/>
        </w:numPr>
        <w:pBdr>
          <w:top w:val="single" w:sz="4" w:space="1" w:color="auto"/>
          <w:left w:val="single" w:sz="4" w:space="4" w:color="auto"/>
          <w:bottom w:val="single" w:sz="4" w:space="1" w:color="auto"/>
          <w:right w:val="single" w:sz="4" w:space="4" w:color="auto"/>
        </w:pBdr>
        <w:spacing w:before="0" w:after="0" w:line="240" w:lineRule="auto"/>
        <w:rPr>
          <w:rFonts w:asciiTheme="majorHAnsi" w:hAnsiTheme="majorHAnsi"/>
          <w:b/>
        </w:rPr>
      </w:pPr>
      <w:r w:rsidRPr="00C8052B">
        <w:rPr>
          <w:rFonts w:cs="Calibri"/>
          <w:bCs/>
          <w:i/>
          <w:color w:val="000000"/>
        </w:rPr>
        <w:t>BloodSTAR Role Request</w:t>
      </w:r>
      <w:r w:rsidRPr="00C8052B">
        <w:rPr>
          <w:rFonts w:cs="Calibri"/>
          <w:bCs/>
          <w:color w:val="000000"/>
        </w:rPr>
        <w:t xml:space="preserve"> </w:t>
      </w:r>
      <w:r w:rsidRPr="00C8052B">
        <w:rPr>
          <w:rFonts w:cs="Calibri"/>
          <w:color w:val="000000"/>
        </w:rPr>
        <w:t>– Requesting a role and location for access to your facility</w:t>
      </w:r>
    </w:p>
    <w:p w14:paraId="11AE1875" w14:textId="77777777" w:rsidR="001679DF" w:rsidRPr="009F487D" w:rsidRDefault="001679DF" w:rsidP="001679DF">
      <w:pPr>
        <w:pStyle w:val="ListParagraph"/>
        <w:ind w:left="360"/>
        <w:rPr>
          <w:rFonts w:cs="Calibri"/>
          <w:color w:val="000000"/>
        </w:rPr>
      </w:pPr>
    </w:p>
    <w:p w14:paraId="5EECFA46" w14:textId="77777777" w:rsidR="001679DF" w:rsidRPr="00705353" w:rsidRDefault="001679DF" w:rsidP="00705353">
      <w:pPr>
        <w:pStyle w:val="Numberedlist"/>
        <w:numPr>
          <w:ilvl w:val="0"/>
          <w:numId w:val="27"/>
        </w:numPr>
        <w:rPr>
          <w:rFonts w:asciiTheme="majorHAnsi" w:hAnsiTheme="majorHAnsi"/>
        </w:rPr>
      </w:pPr>
      <w:r w:rsidRPr="00705353">
        <w:rPr>
          <w:rFonts w:asciiTheme="majorHAnsi" w:hAnsiTheme="majorHAnsi"/>
        </w:rPr>
        <w:t xml:space="preserve">Access </w:t>
      </w:r>
      <w:hyperlink r:id="rId40" w:history="1">
        <w:r w:rsidRPr="00705353">
          <w:rPr>
            <w:rStyle w:val="Hyperlink"/>
            <w:rFonts w:asciiTheme="majorHAnsi" w:hAnsiTheme="majorHAnsi"/>
          </w:rPr>
          <w:t>www.blood.gov.au</w:t>
        </w:r>
      </w:hyperlink>
    </w:p>
    <w:p w14:paraId="444A2AFE" w14:textId="77777777" w:rsidR="001679DF" w:rsidRPr="00705353" w:rsidRDefault="001679DF" w:rsidP="00705353">
      <w:pPr>
        <w:pStyle w:val="Numberedlist"/>
        <w:numPr>
          <w:ilvl w:val="0"/>
          <w:numId w:val="27"/>
        </w:numPr>
        <w:rPr>
          <w:rFonts w:asciiTheme="majorHAnsi" w:hAnsiTheme="majorHAnsi"/>
          <w:b/>
        </w:rPr>
      </w:pPr>
      <w:r>
        <w:t xml:space="preserve">Select BLOODportal </w:t>
      </w:r>
    </w:p>
    <w:p w14:paraId="6C602AC3" w14:textId="77777777" w:rsidR="001679DF" w:rsidRPr="00705353" w:rsidRDefault="001679DF" w:rsidP="00705353">
      <w:pPr>
        <w:pStyle w:val="Numberedlist"/>
        <w:numPr>
          <w:ilvl w:val="0"/>
          <w:numId w:val="27"/>
        </w:numPr>
        <w:rPr>
          <w:rFonts w:cs="Calibri"/>
          <w:color w:val="000000"/>
        </w:rPr>
      </w:pPr>
      <w:r w:rsidRPr="00705353">
        <w:rPr>
          <w:rFonts w:cs="Calibri"/>
          <w:color w:val="000000"/>
        </w:rPr>
        <w:t xml:space="preserve">Login with your </w:t>
      </w:r>
      <w:r w:rsidRPr="00705353">
        <w:rPr>
          <w:rFonts w:cs="Calibri"/>
          <w:i/>
          <w:iCs/>
          <w:color w:val="000000"/>
        </w:rPr>
        <w:t>Email or Username</w:t>
      </w:r>
      <w:r w:rsidRPr="00705353">
        <w:rPr>
          <w:rFonts w:cs="Calibri"/>
          <w:color w:val="000000"/>
        </w:rPr>
        <w:t xml:space="preserve"> and Password (Multi-Factor Authentication)</w:t>
      </w:r>
    </w:p>
    <w:p w14:paraId="40556889" w14:textId="77777777" w:rsidR="001679DF" w:rsidRPr="00705353" w:rsidRDefault="001679DF" w:rsidP="00705353">
      <w:pPr>
        <w:pStyle w:val="Numberedlist"/>
        <w:numPr>
          <w:ilvl w:val="0"/>
          <w:numId w:val="27"/>
        </w:numPr>
        <w:rPr>
          <w:rFonts w:asciiTheme="majorHAnsi" w:hAnsiTheme="majorHAnsi"/>
        </w:rPr>
      </w:pPr>
      <w:r w:rsidRPr="00705353">
        <w:rPr>
          <w:rFonts w:asciiTheme="majorHAnsi" w:hAnsiTheme="majorHAnsi"/>
        </w:rPr>
        <w:t>Once you have BLOODportal access select the BloodSTAR tile:</w:t>
      </w:r>
    </w:p>
    <w:p w14:paraId="2798269D" w14:textId="77777777" w:rsidR="001679DF" w:rsidRPr="00705353" w:rsidRDefault="001679DF" w:rsidP="00705353">
      <w:pPr>
        <w:pStyle w:val="BodyCopy"/>
      </w:pPr>
      <w:r w:rsidRPr="00705353">
        <w:t xml:space="preserve">For </w:t>
      </w:r>
      <w:r w:rsidRPr="00705353">
        <w:rPr>
          <w:b/>
          <w:bCs w:val="0"/>
        </w:rPr>
        <w:t>BloodSTAR prescriber tip sheet</w:t>
      </w:r>
      <w:r w:rsidRPr="00705353">
        <w:t xml:space="preserve"> see </w:t>
      </w:r>
      <w:hyperlink r:id="rId41" w:anchor="prescribers-and-nurse-practitioners-medical-officers" w:history="1">
        <w:r w:rsidRPr="00705353">
          <w:rPr>
            <w:rStyle w:val="Hyperlink"/>
            <w:color w:val="000000" w:themeColor="text1"/>
            <w:u w:val="none"/>
          </w:rPr>
          <w:t>https://www.blood.gov.au/bloodstar-user-tips-and-support-materials#prescribers-and-nurse-practitioners-medical-officers</w:t>
        </w:r>
      </w:hyperlink>
    </w:p>
    <w:p w14:paraId="130E1C85" w14:textId="77777777" w:rsidR="001679DF" w:rsidRPr="00705353" w:rsidRDefault="001679DF" w:rsidP="00705353">
      <w:pPr>
        <w:pStyle w:val="BodyCopy"/>
      </w:pPr>
      <w:r w:rsidRPr="00705353">
        <w:t>If you do not have a BLOODportal account for BloodSTAR, please select “New user? Create an account” link.</w:t>
      </w:r>
    </w:p>
    <w:p w14:paraId="1F68D8BC" w14:textId="77777777" w:rsidR="001679DF" w:rsidRPr="00705353" w:rsidRDefault="001679DF" w:rsidP="00705353">
      <w:pPr>
        <w:pStyle w:val="Numberedlist"/>
        <w:numPr>
          <w:ilvl w:val="0"/>
          <w:numId w:val="25"/>
        </w:numPr>
        <w:rPr>
          <w:rFonts w:asciiTheme="majorHAnsi" w:hAnsiTheme="majorHAnsi"/>
          <w:b/>
        </w:rPr>
      </w:pPr>
      <w:r>
        <w:t>Request access in the My Account drop down menu</w:t>
      </w:r>
    </w:p>
    <w:p w14:paraId="144F638A" w14:textId="3BCDC84C" w:rsidR="001679DF" w:rsidRDefault="001679DF" w:rsidP="00705353">
      <w:pPr>
        <w:pStyle w:val="Numberedlist"/>
        <w:numPr>
          <w:ilvl w:val="0"/>
          <w:numId w:val="25"/>
        </w:numPr>
      </w:pPr>
      <w:r>
        <w:t xml:space="preserve">Select ’add role to access </w:t>
      </w:r>
      <w:r w:rsidR="00620D92">
        <w:t>request ‘</w:t>
      </w:r>
      <w:r>
        <w:t>, complete all mandatory fields and save.</w:t>
      </w:r>
    </w:p>
    <w:p w14:paraId="44AA644C" w14:textId="77777777" w:rsidR="001679DF" w:rsidRDefault="001679DF" w:rsidP="00705353">
      <w:pPr>
        <w:pStyle w:val="Numberedlist"/>
        <w:numPr>
          <w:ilvl w:val="0"/>
          <w:numId w:val="25"/>
        </w:numPr>
      </w:pPr>
      <w:r>
        <w:t>Accept terms and conditions and ‘Submit’.</w:t>
      </w:r>
    </w:p>
    <w:p w14:paraId="57D6962B" w14:textId="77777777" w:rsidR="001679DF" w:rsidRDefault="001679DF" w:rsidP="00705353">
      <w:pPr>
        <w:pStyle w:val="Numberedlist"/>
        <w:numPr>
          <w:ilvl w:val="0"/>
          <w:numId w:val="25"/>
        </w:numPr>
      </w:pPr>
      <w:r>
        <w:t>A CHS systems administrator will accept your request allowing access to request for Ig.</w:t>
      </w:r>
    </w:p>
    <w:p w14:paraId="5E4BD24D" w14:textId="77777777" w:rsidR="001679DF" w:rsidRDefault="001679DF" w:rsidP="00705353">
      <w:pPr>
        <w:pStyle w:val="Heading5"/>
      </w:pPr>
      <w:bookmarkStart w:id="30" w:name="_Toc180414961"/>
      <w:r w:rsidRPr="00E708D5">
        <w:t>Request authorisation</w:t>
      </w:r>
      <w:bookmarkEnd w:id="30"/>
    </w:p>
    <w:p w14:paraId="1DCFB648" w14:textId="77777777" w:rsidR="001679DF" w:rsidRPr="00ED2133" w:rsidRDefault="001679DF" w:rsidP="00705353">
      <w:pPr>
        <w:pStyle w:val="BodyCopy"/>
      </w:pPr>
      <w:r w:rsidRPr="00E50B5F">
        <w:t>There is a YouTube</w:t>
      </w:r>
      <w:r w:rsidRPr="00E50B5F">
        <w:rPr>
          <w:rFonts w:cstheme="minorHAnsi"/>
          <w:vertAlign w:val="superscript"/>
        </w:rPr>
        <w:t>©</w:t>
      </w:r>
      <w:r w:rsidRPr="00E50B5F">
        <w:t xml:space="preserve"> video available that can take </w:t>
      </w:r>
      <w:r>
        <w:t>the clinician</w:t>
      </w:r>
      <w:r w:rsidRPr="00E50B5F">
        <w:t xml:space="preserve"> through the following steps in more detail if required. </w:t>
      </w:r>
    </w:p>
    <w:p w14:paraId="4490A79F" w14:textId="77777777" w:rsidR="001679DF" w:rsidRDefault="001679DF" w:rsidP="00705353">
      <w:pPr>
        <w:pStyle w:val="BodyCopy"/>
      </w:pPr>
      <w:r>
        <w:rPr>
          <w:rFonts w:cstheme="minorHAnsi"/>
          <w:b/>
        </w:rPr>
        <w:t>N</w:t>
      </w:r>
      <w:r w:rsidRPr="003441C6">
        <w:rPr>
          <w:rFonts w:cstheme="minorHAnsi"/>
          <w:b/>
        </w:rPr>
        <w:t>ote:</w:t>
      </w:r>
      <w:r w:rsidRPr="003441C6">
        <w:rPr>
          <w:rFonts w:cstheme="minorHAnsi"/>
        </w:rPr>
        <w:t xml:space="preserve"> You can submit an </w:t>
      </w:r>
      <w:r w:rsidRPr="003441C6">
        <w:rPr>
          <w:rFonts w:cstheme="minorHAnsi"/>
          <w:b/>
          <w:i/>
        </w:rPr>
        <w:t>emergency, serious</w:t>
      </w:r>
      <w:r w:rsidRPr="003441C6">
        <w:rPr>
          <w:rFonts w:cstheme="minorHAnsi"/>
        </w:rPr>
        <w:t xml:space="preserve"> or </w:t>
      </w:r>
      <w:r w:rsidRPr="003441C6">
        <w:rPr>
          <w:rFonts w:cstheme="minorHAnsi"/>
          <w:b/>
          <w:i/>
        </w:rPr>
        <w:t>standard</w:t>
      </w:r>
      <w:r w:rsidRPr="003441C6">
        <w:rPr>
          <w:rFonts w:cstheme="minorHAnsi"/>
        </w:rPr>
        <w:t xml:space="preserve"> authorisation request. </w:t>
      </w:r>
      <w:r w:rsidRPr="003441C6">
        <w:rPr>
          <w:rFonts w:cstheme="minorHAnsi"/>
          <w:i/>
        </w:rPr>
        <w:t>Emergency</w:t>
      </w:r>
      <w:r w:rsidRPr="003441C6">
        <w:rPr>
          <w:rFonts w:cstheme="minorHAnsi"/>
        </w:rPr>
        <w:t xml:space="preserve"> requests will be assessed within two hours, </w:t>
      </w:r>
      <w:r w:rsidRPr="003441C6">
        <w:rPr>
          <w:rFonts w:cstheme="minorHAnsi"/>
          <w:i/>
        </w:rPr>
        <w:t>Serious</w:t>
      </w:r>
      <w:r w:rsidRPr="003441C6">
        <w:rPr>
          <w:rFonts w:cstheme="minorHAnsi"/>
        </w:rPr>
        <w:t xml:space="preserve"> within one business day and </w:t>
      </w:r>
      <w:r w:rsidRPr="003441C6">
        <w:rPr>
          <w:rFonts w:cstheme="minorHAnsi"/>
          <w:i/>
        </w:rPr>
        <w:t>Standard</w:t>
      </w:r>
      <w:r w:rsidRPr="003441C6">
        <w:rPr>
          <w:rFonts w:cstheme="minorHAnsi"/>
        </w:rPr>
        <w:t xml:space="preserve"> within two business days.</w:t>
      </w:r>
    </w:p>
    <w:p w14:paraId="7C7B52D4" w14:textId="77777777" w:rsidR="001679DF" w:rsidRDefault="001679DF" w:rsidP="00705353">
      <w:pPr>
        <w:pStyle w:val="BodyCopy"/>
      </w:pPr>
      <w:r>
        <w:t xml:space="preserve">All requests will be reviewed by the Blood Service and prescribers will be </w:t>
      </w:r>
      <w:r w:rsidRPr="00654B42">
        <w:t xml:space="preserve">notified (by email) </w:t>
      </w:r>
      <w:r>
        <w:t>dispensing facilities will also be notified via BloodNET.</w:t>
      </w:r>
    </w:p>
    <w:p w14:paraId="22258794" w14:textId="77777777" w:rsidR="00705353" w:rsidRPr="00705353" w:rsidRDefault="001679DF" w:rsidP="00705353">
      <w:pPr>
        <w:pStyle w:val="Bullet"/>
        <w:numPr>
          <w:ilvl w:val="0"/>
          <w:numId w:val="0"/>
        </w:numPr>
        <w:ind w:left="360" w:hanging="360"/>
      </w:pPr>
      <w:r w:rsidRPr="00705353">
        <w:t>BloodSTAR support is available at:</w:t>
      </w:r>
    </w:p>
    <w:p w14:paraId="14CEF649" w14:textId="77777777" w:rsidR="001679DF" w:rsidRPr="00705353" w:rsidRDefault="001679DF" w:rsidP="00705353">
      <w:pPr>
        <w:pStyle w:val="Bullet"/>
      </w:pPr>
      <w:r w:rsidRPr="00705353">
        <w:t>Phone: 13 000 BLOOD (13 000 25663)</w:t>
      </w:r>
    </w:p>
    <w:p w14:paraId="62CB06DD" w14:textId="77777777" w:rsidR="001679DF" w:rsidRPr="00705353" w:rsidRDefault="001679DF" w:rsidP="00705353">
      <w:pPr>
        <w:pStyle w:val="Bullet"/>
      </w:pPr>
      <w:r w:rsidRPr="00705353">
        <w:t xml:space="preserve">Email: </w:t>
      </w:r>
      <w:hyperlink r:id="rId42" w:history="1">
        <w:r w:rsidRPr="00705353">
          <w:rPr>
            <w:rStyle w:val="Hyperlink"/>
            <w:color w:val="000000" w:themeColor="text1"/>
            <w:u w:val="none"/>
          </w:rPr>
          <w:t>support@blood.gov.au</w:t>
        </w:r>
      </w:hyperlink>
    </w:p>
    <w:p w14:paraId="21D33CE8" w14:textId="77777777" w:rsidR="001679DF" w:rsidRPr="00705353" w:rsidRDefault="001679DF" w:rsidP="00705353">
      <w:pPr>
        <w:pStyle w:val="Bullet"/>
      </w:pPr>
      <w:r w:rsidRPr="00705353">
        <w:t>Fax: 02 6151 5210</w:t>
      </w:r>
    </w:p>
    <w:p w14:paraId="3FD443FB" w14:textId="77777777" w:rsidR="00705353" w:rsidRDefault="00705353" w:rsidP="00705353">
      <w:pPr>
        <w:pStyle w:val="Bullet"/>
        <w:numPr>
          <w:ilvl w:val="0"/>
          <w:numId w:val="0"/>
        </w:numPr>
      </w:pPr>
    </w:p>
    <w:p w14:paraId="4D40DAC3" w14:textId="77777777" w:rsidR="00705353" w:rsidRDefault="0028383D" w:rsidP="00705353">
      <w:pPr>
        <w:pStyle w:val="Bullet"/>
        <w:numPr>
          <w:ilvl w:val="0"/>
          <w:numId w:val="0"/>
        </w:numPr>
        <w:rPr>
          <w:rStyle w:val="Hyperlink"/>
        </w:rPr>
      </w:pPr>
      <w:hyperlink w:anchor="_top" w:history="1">
        <w:r w:rsidR="00705353" w:rsidRPr="00481A6C">
          <w:rPr>
            <w:rStyle w:val="Hyperlink"/>
          </w:rPr>
          <w:t>Back to Contents</w:t>
        </w:r>
      </w:hyperlink>
    </w:p>
    <w:p w14:paraId="4C1537DE" w14:textId="77777777" w:rsidR="00705353" w:rsidRDefault="00705353">
      <w:pPr>
        <w:spacing w:before="0" w:after="0" w:line="240" w:lineRule="auto"/>
        <w:rPr>
          <w:rStyle w:val="Hyperlink"/>
          <w:rFonts w:eastAsia="Times New Roman"/>
        </w:rPr>
      </w:pPr>
      <w:r>
        <w:rPr>
          <w:rStyle w:val="Hyperlink"/>
        </w:rPr>
        <w:lastRenderedPageBreak/>
        <w:br w:type="page"/>
      </w:r>
    </w:p>
    <w:p w14:paraId="650D0EFF" w14:textId="6089DE41" w:rsidR="001679DF" w:rsidRDefault="001679DF" w:rsidP="001679DF">
      <w:pPr>
        <w:pStyle w:val="Heading4"/>
      </w:pPr>
      <w:bookmarkStart w:id="31" w:name="_Toc184739607"/>
      <w:r>
        <w:lastRenderedPageBreak/>
        <w:t xml:space="preserve">Attachment </w:t>
      </w:r>
      <w:r w:rsidR="00A064D9">
        <w:t xml:space="preserve">2 </w:t>
      </w:r>
      <w:r>
        <w:t>– Patient information for IVIg and SCIg</w:t>
      </w:r>
      <w:bookmarkEnd w:id="31"/>
    </w:p>
    <w:p w14:paraId="41053430" w14:textId="77777777" w:rsidR="00705353" w:rsidRPr="00151961" w:rsidRDefault="00705353" w:rsidP="00705353">
      <w:pPr>
        <w:pStyle w:val="Heading5"/>
      </w:pPr>
      <w:bookmarkStart w:id="32" w:name="_Toc180414963"/>
      <w:r w:rsidRPr="00151961">
        <w:t>Immunoglobulin videos for clinicians and patients</w:t>
      </w:r>
      <w:bookmarkEnd w:id="32"/>
    </w:p>
    <w:p w14:paraId="7FAFF052" w14:textId="77777777" w:rsidR="00705353" w:rsidRPr="00705353" w:rsidRDefault="0028383D" w:rsidP="00705353">
      <w:pPr>
        <w:pStyle w:val="ListBullet"/>
      </w:pPr>
      <w:hyperlink r:id="rId43" w:history="1">
        <w:r w:rsidR="00705353" w:rsidRPr="00542F29">
          <w:rPr>
            <w:rStyle w:val="Hyperlink"/>
          </w:rPr>
          <w:t>Immunoglobulin videos for clinicians and patients | National Blood Authority</w:t>
        </w:r>
      </w:hyperlink>
    </w:p>
    <w:p w14:paraId="1BA386A8" w14:textId="77777777" w:rsidR="00705353" w:rsidRPr="005A3865" w:rsidRDefault="00705353" w:rsidP="00705353">
      <w:pPr>
        <w:pStyle w:val="Heading5"/>
        <w:rPr>
          <w:rStyle w:val="Hyperlink"/>
          <w:rFonts w:cs="Calibri,Bold"/>
          <w:u w:val="none"/>
        </w:rPr>
      </w:pPr>
      <w:bookmarkStart w:id="33" w:name="_Toc180414964"/>
      <w:r>
        <w:t>Patient Information - IVIg</w:t>
      </w:r>
      <w:bookmarkEnd w:id="33"/>
    </w:p>
    <w:p w14:paraId="6B71A116" w14:textId="77777777" w:rsidR="00705353" w:rsidRPr="00C80E61" w:rsidRDefault="0028383D" w:rsidP="00705353">
      <w:pPr>
        <w:pStyle w:val="ListBullet"/>
        <w:rPr>
          <w:rStyle w:val="Hyperlink"/>
          <w:bCs/>
          <w:szCs w:val="20"/>
          <w:u w:val="none"/>
        </w:rPr>
      </w:pPr>
      <w:hyperlink r:id="rId44" w:history="1">
        <w:r w:rsidR="00705353" w:rsidRPr="001E5F12">
          <w:rPr>
            <w:rStyle w:val="Hyperlink"/>
            <w:bCs/>
          </w:rPr>
          <w:t>Patient education: Intravenous immune globulin (IVIg) (beyond the basics) | UpToDate</w:t>
        </w:r>
      </w:hyperlink>
    </w:p>
    <w:p w14:paraId="013DC2D4" w14:textId="77777777" w:rsidR="00705353" w:rsidRPr="00542F29" w:rsidRDefault="0028383D" w:rsidP="00705353">
      <w:pPr>
        <w:pStyle w:val="ListBullet"/>
        <w:rPr>
          <w:rStyle w:val="Hyperlink"/>
          <w:bCs/>
          <w:szCs w:val="20"/>
          <w:u w:val="none"/>
        </w:rPr>
      </w:pPr>
      <w:hyperlink r:id="rId45" w:history="1">
        <w:r w:rsidR="00705353" w:rsidRPr="00EE4113">
          <w:rPr>
            <w:rStyle w:val="Hyperlink"/>
            <w:bCs/>
          </w:rPr>
          <w:t>Overview of intravenous immune globulin (IVIG) therapy | UpToDate</w:t>
        </w:r>
      </w:hyperlink>
    </w:p>
    <w:p w14:paraId="3967FFFB" w14:textId="77777777" w:rsidR="00705353" w:rsidRPr="00C80E61" w:rsidRDefault="0028383D" w:rsidP="00705353">
      <w:pPr>
        <w:pStyle w:val="ListBullet"/>
        <w:rPr>
          <w:rStyle w:val="Hyperlink"/>
          <w:u w:val="none"/>
        </w:rPr>
      </w:pPr>
      <w:hyperlink r:id="rId46" w:history="1">
        <w:r w:rsidR="00705353">
          <w:rPr>
            <w:rStyle w:val="Hyperlink"/>
            <w:bCs/>
          </w:rPr>
          <w:t>Patient Information: About Immunoglobulin (Ig) | AusPIPS</w:t>
        </w:r>
      </w:hyperlink>
    </w:p>
    <w:p w14:paraId="65D4062A" w14:textId="77777777" w:rsidR="00705353" w:rsidRDefault="00705353" w:rsidP="00705353">
      <w:pPr>
        <w:pStyle w:val="ListBullet"/>
        <w:numPr>
          <w:ilvl w:val="0"/>
          <w:numId w:val="0"/>
        </w:numPr>
        <w:rPr>
          <w:rStyle w:val="Hyperlink"/>
          <w:bCs/>
        </w:rPr>
      </w:pPr>
    </w:p>
    <w:p w14:paraId="11FD7797" w14:textId="77777777" w:rsidR="00705353" w:rsidRPr="00705353" w:rsidRDefault="00705353" w:rsidP="00705353">
      <w:pPr>
        <w:pStyle w:val="Heading5"/>
        <w:rPr>
          <w:rStyle w:val="Hyperlink"/>
          <w:color w:val="3D2262" w:themeColor="accent1"/>
          <w:u w:val="none"/>
        </w:rPr>
      </w:pPr>
      <w:bookmarkStart w:id="34" w:name="_Toc180414965"/>
      <w:r w:rsidRPr="00705353">
        <w:rPr>
          <w:rStyle w:val="Hyperlink"/>
          <w:color w:val="3D2262" w:themeColor="accent1"/>
          <w:u w:val="none"/>
        </w:rPr>
        <w:t>IVIg Consumer Medicine Information (CMI) and Product information (PI)</w:t>
      </w:r>
      <w:bookmarkEnd w:id="34"/>
    </w:p>
    <w:p w14:paraId="43E198C6" w14:textId="77777777" w:rsidR="00705353" w:rsidRDefault="0028383D" w:rsidP="00705353">
      <w:pPr>
        <w:pStyle w:val="ListBullet"/>
      </w:pPr>
      <w:hyperlink r:id="rId47" w:history="1">
        <w:r w:rsidR="00705353" w:rsidRPr="00C130BD">
          <w:rPr>
            <w:rStyle w:val="Hyperlink"/>
          </w:rPr>
          <w:t>Privigen</w:t>
        </w:r>
        <w:r w:rsidR="00705353">
          <w:rPr>
            <w:rStyle w:val="Hyperlink"/>
            <w:rFonts w:cstheme="majorHAnsi"/>
          </w:rPr>
          <w:t>®</w:t>
        </w:r>
        <w:r w:rsidR="00705353" w:rsidRPr="00C130BD">
          <w:rPr>
            <w:rStyle w:val="Hyperlink"/>
          </w:rPr>
          <w:t xml:space="preserve"> AU</w:t>
        </w:r>
      </w:hyperlink>
      <w:r w:rsidR="00705353">
        <w:t xml:space="preserve"> 10% Normal immunoglobulin (Human) </w:t>
      </w:r>
    </w:p>
    <w:p w14:paraId="40AEB142" w14:textId="77777777" w:rsidR="00705353" w:rsidRDefault="0028383D" w:rsidP="00705353">
      <w:pPr>
        <w:pStyle w:val="ListBullet"/>
      </w:pPr>
      <w:hyperlink r:id="rId48" w:history="1">
        <w:r w:rsidR="00705353" w:rsidRPr="009119C6">
          <w:rPr>
            <w:rStyle w:val="Hyperlink"/>
          </w:rPr>
          <w:t>Privigen</w:t>
        </w:r>
      </w:hyperlink>
      <w:r w:rsidR="00705353" w:rsidRPr="00835591">
        <w:t>®</w:t>
      </w:r>
      <w:r w:rsidR="00705353">
        <w:t xml:space="preserve"> 10% Normal immunoglobulin (Human) </w:t>
      </w:r>
    </w:p>
    <w:p w14:paraId="08D2F5D7" w14:textId="77777777" w:rsidR="00705353" w:rsidRDefault="0028383D" w:rsidP="00705353">
      <w:pPr>
        <w:pStyle w:val="ListBullet"/>
      </w:pPr>
      <w:hyperlink r:id="rId49" w:history="1">
        <w:r w:rsidR="00705353" w:rsidRPr="00542F29">
          <w:rPr>
            <w:rStyle w:val="Hyperlink"/>
            <w:bCs/>
          </w:rPr>
          <w:t>Flebogamma</w:t>
        </w:r>
      </w:hyperlink>
      <w:r w:rsidR="00705353" w:rsidRPr="00542F29">
        <w:rPr>
          <w:bCs/>
        </w:rPr>
        <w:t>®</w:t>
      </w:r>
      <w:r w:rsidR="00705353">
        <w:rPr>
          <w:bCs/>
        </w:rPr>
        <w:t xml:space="preserve"> </w:t>
      </w:r>
      <w:r w:rsidR="00705353" w:rsidRPr="00542F29">
        <w:rPr>
          <w:bCs/>
        </w:rPr>
        <w:t xml:space="preserve">10% </w:t>
      </w:r>
      <w:r w:rsidR="00705353">
        <w:t>Normal immunoglobulin (Human)</w:t>
      </w:r>
    </w:p>
    <w:p w14:paraId="202DE9D0" w14:textId="77777777" w:rsidR="00705353" w:rsidRPr="00835591" w:rsidRDefault="0028383D" w:rsidP="00705353">
      <w:pPr>
        <w:pStyle w:val="ListBullet"/>
      </w:pPr>
      <w:hyperlink r:id="rId50" w:history="1">
        <w:r w:rsidR="00705353" w:rsidRPr="00AF22F2">
          <w:rPr>
            <w:rStyle w:val="Hyperlink"/>
          </w:rPr>
          <w:t>Flebogamma</w:t>
        </w:r>
      </w:hyperlink>
      <w:r w:rsidR="00705353" w:rsidRPr="00542F29">
        <w:rPr>
          <w:bCs/>
        </w:rPr>
        <w:t>® 5%</w:t>
      </w:r>
      <w:r w:rsidR="00705353">
        <w:rPr>
          <w:bCs/>
        </w:rPr>
        <w:t xml:space="preserve"> </w:t>
      </w:r>
      <w:r w:rsidR="00705353">
        <w:t>Normal immunoglobulin (Human)</w:t>
      </w:r>
    </w:p>
    <w:p w14:paraId="1C6F8697" w14:textId="77777777" w:rsidR="00705353" w:rsidRDefault="0028383D" w:rsidP="00705353">
      <w:pPr>
        <w:pStyle w:val="ListBullet"/>
      </w:pPr>
      <w:hyperlink r:id="rId51" w:history="1">
        <w:r w:rsidR="00705353" w:rsidRPr="00542F29">
          <w:rPr>
            <w:rStyle w:val="Hyperlink"/>
          </w:rPr>
          <w:t>Gamunex</w:t>
        </w:r>
      </w:hyperlink>
      <w:r w:rsidR="00705353" w:rsidRPr="00542F29">
        <w:rPr>
          <w:bCs/>
        </w:rPr>
        <w:t>®</w:t>
      </w:r>
      <w:r w:rsidR="00705353">
        <w:t xml:space="preserve"> 10% Normal immunoglobulin (Human)</w:t>
      </w:r>
    </w:p>
    <w:p w14:paraId="7D8B00E7" w14:textId="77777777" w:rsidR="00705353" w:rsidRDefault="0028383D" w:rsidP="00705353">
      <w:pPr>
        <w:pStyle w:val="ListBullet"/>
      </w:pPr>
      <w:hyperlink r:id="rId52" w:history="1">
        <w:r w:rsidR="00705353" w:rsidRPr="00542F29">
          <w:rPr>
            <w:rStyle w:val="Hyperlink"/>
          </w:rPr>
          <w:t>Octagam</w:t>
        </w:r>
      </w:hyperlink>
      <w:r w:rsidR="00705353">
        <w:t xml:space="preserve"> </w:t>
      </w:r>
      <w:r w:rsidR="00705353" w:rsidRPr="00542F29">
        <w:rPr>
          <w:bCs/>
        </w:rPr>
        <w:t xml:space="preserve">® </w:t>
      </w:r>
      <w:r w:rsidR="00705353" w:rsidRPr="009119C6">
        <w:t>10% Normal immunoglobulin (Human)</w:t>
      </w:r>
    </w:p>
    <w:p w14:paraId="58AEAB02" w14:textId="77777777" w:rsidR="00705353" w:rsidRDefault="0028383D" w:rsidP="00705353">
      <w:pPr>
        <w:pStyle w:val="ListBullet"/>
      </w:pPr>
      <w:hyperlink r:id="rId53" w:history="1">
        <w:r w:rsidR="00705353" w:rsidRPr="00C130BD">
          <w:rPr>
            <w:rStyle w:val="Hyperlink"/>
          </w:rPr>
          <w:t>Kiovig</w:t>
        </w:r>
      </w:hyperlink>
      <w:r w:rsidR="00705353" w:rsidRPr="00542F29">
        <w:rPr>
          <w:rStyle w:val="Hyperlink"/>
          <w:rFonts w:cstheme="majorHAnsi"/>
        </w:rPr>
        <w:t>®</w:t>
      </w:r>
      <w:r w:rsidR="00705353">
        <w:t xml:space="preserve"> </w:t>
      </w:r>
      <w:r w:rsidR="00705353" w:rsidRPr="000A4DBE">
        <w:t>10% Normal immunoglobulin (Human)</w:t>
      </w:r>
    </w:p>
    <w:p w14:paraId="3FE346C4" w14:textId="77777777" w:rsidR="00705353" w:rsidRPr="00C80E61" w:rsidRDefault="00705353" w:rsidP="00705353">
      <w:pPr>
        <w:pStyle w:val="Heading5"/>
        <w:rPr>
          <w:u w:val="single"/>
        </w:rPr>
      </w:pPr>
      <w:bookmarkStart w:id="35" w:name="_Toc180414966"/>
      <w:r>
        <w:t xml:space="preserve">Patient Information - </w:t>
      </w:r>
      <w:r w:rsidRPr="00DF4B99">
        <w:t>SCIg</w:t>
      </w:r>
      <w:bookmarkEnd w:id="35"/>
    </w:p>
    <w:p w14:paraId="0D1E9B48" w14:textId="77777777" w:rsidR="00705353" w:rsidRPr="00542F29" w:rsidRDefault="0028383D" w:rsidP="00705353">
      <w:pPr>
        <w:pStyle w:val="ListBullet"/>
        <w:rPr>
          <w:rStyle w:val="Hyperlink"/>
          <w:bCs/>
          <w:u w:val="none"/>
        </w:rPr>
      </w:pPr>
      <w:hyperlink r:id="rId54" w:history="1">
        <w:r w:rsidR="00705353">
          <w:rPr>
            <w:rStyle w:val="Hyperlink"/>
            <w:bCs/>
          </w:rPr>
          <w:t>Patient Information: Subcutaneous Immunoglobulin Treatment | National Blood Authority</w:t>
        </w:r>
      </w:hyperlink>
    </w:p>
    <w:p w14:paraId="6A37D6F8" w14:textId="77777777" w:rsidR="00705353" w:rsidRPr="00151961" w:rsidRDefault="0028383D" w:rsidP="00705353">
      <w:pPr>
        <w:pStyle w:val="ListBullet"/>
        <w:rPr>
          <w:rStyle w:val="Hyperlink"/>
          <w:bCs/>
          <w:u w:val="none"/>
        </w:rPr>
      </w:pPr>
      <w:hyperlink r:id="rId55" w:history="1">
        <w:r w:rsidR="00705353">
          <w:rPr>
            <w:rStyle w:val="Hyperlink"/>
            <w:bCs/>
          </w:rPr>
          <w:t xml:space="preserve">Information for Patients, Consumers and Carers – SCIg Therapy | ASCIA </w:t>
        </w:r>
      </w:hyperlink>
    </w:p>
    <w:p w14:paraId="7B3EE2AC" w14:textId="77777777" w:rsidR="00705353" w:rsidRPr="00151961" w:rsidRDefault="0028383D" w:rsidP="00705353">
      <w:pPr>
        <w:pStyle w:val="ListBullet"/>
        <w:rPr>
          <w:rStyle w:val="Hyperlink"/>
          <w:bCs/>
          <w:u w:val="none"/>
        </w:rPr>
      </w:pPr>
      <w:hyperlink r:id="rId56" w:history="1">
        <w:r w:rsidR="00705353" w:rsidRPr="00A1257B">
          <w:rPr>
            <w:rStyle w:val="Hyperlink"/>
            <w:bCs/>
          </w:rPr>
          <w:t>Information for Patients, Consumers and Carers – SCIg Infusion Checklist | ASCIA</w:t>
        </w:r>
      </w:hyperlink>
    </w:p>
    <w:p w14:paraId="368AE6FB" w14:textId="77777777" w:rsidR="00705353" w:rsidRPr="00542F29" w:rsidRDefault="0028383D" w:rsidP="00705353">
      <w:pPr>
        <w:pStyle w:val="ListBullet"/>
        <w:rPr>
          <w:rStyle w:val="Hyperlink"/>
          <w:bCs/>
          <w:u w:val="none"/>
        </w:rPr>
      </w:pPr>
      <w:hyperlink r:id="rId57" w:history="1">
        <w:r w:rsidR="00705353" w:rsidRPr="00232EFD">
          <w:rPr>
            <w:rStyle w:val="Hyperlink"/>
            <w:bCs/>
          </w:rPr>
          <w:t>Information for Patients and Carers – SCIg Therapy Frequently Asked Questions | ASCIA</w:t>
        </w:r>
      </w:hyperlink>
    </w:p>
    <w:p w14:paraId="09CC06D3" w14:textId="77777777" w:rsidR="00705353" w:rsidRPr="00C80E61" w:rsidRDefault="0028383D" w:rsidP="00705353">
      <w:pPr>
        <w:pStyle w:val="ListBullet"/>
        <w:rPr>
          <w:rStyle w:val="Hyperlink"/>
          <w:bCs/>
          <w:u w:val="none"/>
        </w:rPr>
      </w:pPr>
      <w:hyperlink r:id="rId58" w:history="1">
        <w:r w:rsidR="00705353">
          <w:rPr>
            <w:rStyle w:val="Hyperlink"/>
            <w:bCs/>
          </w:rPr>
          <w:t xml:space="preserve">SCIg Infusions: A Practical Guide for Patients | IDFA </w:t>
        </w:r>
      </w:hyperlink>
    </w:p>
    <w:p w14:paraId="732E85BF" w14:textId="77777777" w:rsidR="00705353" w:rsidRPr="00705353" w:rsidRDefault="0028383D" w:rsidP="00705353">
      <w:pPr>
        <w:pStyle w:val="ListBullet"/>
        <w:rPr>
          <w:rStyle w:val="Hyperlink"/>
          <w:bCs/>
          <w:u w:val="none"/>
        </w:rPr>
      </w:pPr>
      <w:hyperlink r:id="rId59" w:history="1">
        <w:r w:rsidR="00705353" w:rsidRPr="00E049F8">
          <w:rPr>
            <w:rStyle w:val="Hyperlink"/>
            <w:bCs/>
          </w:rPr>
          <w:t>Subcutaneous and intramuscular immune globulin therapy | UpToDate</w:t>
        </w:r>
      </w:hyperlink>
    </w:p>
    <w:p w14:paraId="5ACDD9F6" w14:textId="77777777" w:rsidR="00705353" w:rsidRPr="009E2B01" w:rsidRDefault="00705353" w:rsidP="00705353">
      <w:pPr>
        <w:pStyle w:val="Heading5"/>
      </w:pPr>
      <w:bookmarkStart w:id="36" w:name="_Toc180414967"/>
      <w:r>
        <w:t>SCIg Consumer Medicine Information (CMI)</w:t>
      </w:r>
      <w:bookmarkEnd w:id="36"/>
    </w:p>
    <w:p w14:paraId="262F89A9" w14:textId="77777777" w:rsidR="00705353" w:rsidRPr="007C2910" w:rsidRDefault="0028383D" w:rsidP="00705353">
      <w:pPr>
        <w:pStyle w:val="ListBullet"/>
        <w:rPr>
          <w:bCs/>
        </w:rPr>
      </w:pPr>
      <w:hyperlink r:id="rId60" w:history="1">
        <w:r w:rsidR="00705353" w:rsidRPr="007C2910">
          <w:rPr>
            <w:rStyle w:val="Hyperlink"/>
            <w:bCs/>
          </w:rPr>
          <w:t>Hizentra</w:t>
        </w:r>
        <w:r w:rsidR="00705353" w:rsidRPr="007C2910">
          <w:rPr>
            <w:rStyle w:val="Hyperlink"/>
            <w:rFonts w:cstheme="majorHAnsi"/>
            <w:bCs/>
          </w:rPr>
          <w:t>®</w:t>
        </w:r>
        <w:r w:rsidR="00705353" w:rsidRPr="007C2910">
          <w:rPr>
            <w:rStyle w:val="Hyperlink"/>
            <w:bCs/>
          </w:rPr>
          <w:t xml:space="preserve"> AU</w:t>
        </w:r>
      </w:hyperlink>
      <w:r w:rsidR="00705353" w:rsidRPr="007C2910">
        <w:rPr>
          <w:bCs/>
        </w:rPr>
        <w:t xml:space="preserve"> 20%</w:t>
      </w:r>
      <w:r w:rsidR="00705353">
        <w:rPr>
          <w:bCs/>
        </w:rPr>
        <w:t xml:space="preserve"> </w:t>
      </w:r>
      <w:r w:rsidR="00705353" w:rsidRPr="007C2910">
        <w:rPr>
          <w:bCs/>
        </w:rPr>
        <w:t xml:space="preserve">Normal immunoglobulin (Human) </w:t>
      </w:r>
    </w:p>
    <w:p w14:paraId="08C0E354" w14:textId="77777777" w:rsidR="00705353" w:rsidRPr="00542F29" w:rsidRDefault="0028383D" w:rsidP="00705353">
      <w:pPr>
        <w:pStyle w:val="ListBullet"/>
      </w:pPr>
      <w:hyperlink r:id="rId61" w:history="1">
        <w:r w:rsidR="00705353" w:rsidRPr="00542F29">
          <w:rPr>
            <w:rStyle w:val="Hyperlink"/>
            <w:bCs/>
          </w:rPr>
          <w:t>Hizentra</w:t>
        </w:r>
      </w:hyperlink>
      <w:r w:rsidR="00705353" w:rsidRPr="00542F29">
        <w:rPr>
          <w:rStyle w:val="Hyperlink"/>
          <w:rFonts w:cstheme="majorHAnsi"/>
          <w:bCs/>
        </w:rPr>
        <w:t>®</w:t>
      </w:r>
      <w:r w:rsidR="00705353" w:rsidRPr="00542F29">
        <w:rPr>
          <w:rStyle w:val="Hyperlink"/>
          <w:bCs/>
        </w:rPr>
        <w:t xml:space="preserve"> </w:t>
      </w:r>
      <w:r w:rsidR="00705353">
        <w:t xml:space="preserve">20% Normal immunoglobulin (Human) </w:t>
      </w:r>
    </w:p>
    <w:p w14:paraId="6ADDB334" w14:textId="77777777" w:rsidR="00705353" w:rsidRDefault="0028383D" w:rsidP="00705353">
      <w:pPr>
        <w:pStyle w:val="ListBullet"/>
      </w:pPr>
      <w:hyperlink r:id="rId62" w:history="1">
        <w:r w:rsidR="00705353" w:rsidRPr="00542F29">
          <w:rPr>
            <w:rStyle w:val="Hyperlink"/>
          </w:rPr>
          <w:t>CUVITRU</w:t>
        </w:r>
      </w:hyperlink>
      <w:r w:rsidR="00705353" w:rsidRPr="00542F29">
        <w:rPr>
          <w:rStyle w:val="Hyperlink"/>
          <w:rFonts w:cstheme="majorHAnsi"/>
        </w:rPr>
        <w:t>®</w:t>
      </w:r>
      <w:r w:rsidR="00705353" w:rsidRPr="00600BAC">
        <w:t xml:space="preserve"> </w:t>
      </w:r>
      <w:r w:rsidR="00705353">
        <w:t xml:space="preserve">20% Normal immunoglobulin (Human) </w:t>
      </w:r>
    </w:p>
    <w:p w14:paraId="5630B9BD" w14:textId="77777777" w:rsidR="00705353" w:rsidRPr="00705353" w:rsidRDefault="0028383D" w:rsidP="00705353">
      <w:pPr>
        <w:pStyle w:val="ListBullet"/>
        <w:rPr>
          <w:b/>
        </w:rPr>
      </w:pPr>
      <w:hyperlink r:id="rId63" w:history="1">
        <w:r w:rsidR="00705353" w:rsidRPr="000A4DBE">
          <w:rPr>
            <w:rStyle w:val="Hyperlink"/>
          </w:rPr>
          <w:t>XEMBIFY</w:t>
        </w:r>
      </w:hyperlink>
      <w:r w:rsidR="00705353" w:rsidRPr="00542F29">
        <w:rPr>
          <w:rStyle w:val="Hyperlink"/>
          <w:rFonts w:cs="Calibri"/>
        </w:rPr>
        <w:t>®</w:t>
      </w:r>
      <w:r w:rsidR="00705353">
        <w:t xml:space="preserve"> </w:t>
      </w:r>
      <w:r w:rsidR="00705353" w:rsidRPr="000A4DBE">
        <w:t>20%</w:t>
      </w:r>
      <w:r w:rsidR="00705353">
        <w:t xml:space="preserve"> </w:t>
      </w:r>
      <w:r w:rsidR="00705353" w:rsidRPr="000A4DBE">
        <w:t xml:space="preserve">Normal </w:t>
      </w:r>
      <w:r w:rsidR="00705353">
        <w:t>i</w:t>
      </w:r>
      <w:r w:rsidR="00705353" w:rsidRPr="000A4DBE">
        <w:t xml:space="preserve">mmunoglobulin </w:t>
      </w:r>
      <w:r w:rsidR="00705353">
        <w:t xml:space="preserve">(Human) </w:t>
      </w:r>
    </w:p>
    <w:p w14:paraId="26527E93" w14:textId="77777777" w:rsidR="00705353" w:rsidRPr="00542F29" w:rsidRDefault="00705353" w:rsidP="00705353">
      <w:pPr>
        <w:pStyle w:val="ListBullet"/>
        <w:numPr>
          <w:ilvl w:val="0"/>
          <w:numId w:val="0"/>
        </w:numPr>
        <w:ind w:left="425"/>
        <w:rPr>
          <w:b/>
        </w:rPr>
      </w:pPr>
    </w:p>
    <w:p w14:paraId="45CE8AFE" w14:textId="77777777" w:rsidR="001679DF" w:rsidRDefault="0028383D" w:rsidP="001679DF">
      <w:pPr>
        <w:pStyle w:val="Bullet"/>
        <w:numPr>
          <w:ilvl w:val="0"/>
          <w:numId w:val="0"/>
        </w:numPr>
        <w:rPr>
          <w:rStyle w:val="Hyperlink"/>
        </w:rPr>
      </w:pPr>
      <w:hyperlink w:anchor="_top" w:history="1">
        <w:r w:rsidR="001679DF" w:rsidRPr="00481A6C">
          <w:rPr>
            <w:rStyle w:val="Hyperlink"/>
          </w:rPr>
          <w:t>Back to Contents</w:t>
        </w:r>
      </w:hyperlink>
    </w:p>
    <w:p w14:paraId="1FB717F4" w14:textId="77777777" w:rsidR="001679DF" w:rsidRDefault="001679DF">
      <w:pPr>
        <w:spacing w:before="0" w:after="0" w:line="240" w:lineRule="auto"/>
        <w:rPr>
          <w:rStyle w:val="Hyperlink"/>
          <w:rFonts w:eastAsia="Times New Roman"/>
        </w:rPr>
      </w:pPr>
      <w:r>
        <w:rPr>
          <w:rStyle w:val="Hyperlink"/>
        </w:rPr>
        <w:br w:type="page"/>
      </w:r>
    </w:p>
    <w:p w14:paraId="4E1EB1C6" w14:textId="24204ADE" w:rsidR="001679DF" w:rsidRDefault="001679DF" w:rsidP="001679DF">
      <w:pPr>
        <w:pStyle w:val="Heading4"/>
      </w:pPr>
      <w:bookmarkStart w:id="37" w:name="_Toc184739608"/>
      <w:r>
        <w:lastRenderedPageBreak/>
        <w:t xml:space="preserve">Attachment </w:t>
      </w:r>
      <w:r w:rsidR="00A064D9">
        <w:t xml:space="preserve">3 </w:t>
      </w:r>
      <w:r>
        <w:t>– Submitting an Emergency Authorisation Request in BloodSTAR</w:t>
      </w:r>
      <w:bookmarkEnd w:id="37"/>
    </w:p>
    <w:p w14:paraId="0A96D35F" w14:textId="77777777" w:rsidR="00705353" w:rsidRDefault="00705353" w:rsidP="00705353">
      <w:pPr>
        <w:pStyle w:val="BodyCopy"/>
      </w:pPr>
      <w:r>
        <w:t xml:space="preserve">An important function in BloodSTAR is the ability for a Medical Officer who does not yet have full access to be able to place an </w:t>
      </w:r>
      <w:r w:rsidRPr="00F87C1D">
        <w:rPr>
          <w:b/>
        </w:rPr>
        <w:t>Emergency Authorisation Request</w:t>
      </w:r>
      <w:r>
        <w:t>.</w:t>
      </w:r>
    </w:p>
    <w:p w14:paraId="5737A034" w14:textId="77777777" w:rsidR="00705353" w:rsidRDefault="00705353" w:rsidP="00705353">
      <w:pPr>
        <w:pStyle w:val="BodyCopy"/>
      </w:pPr>
      <w:r>
        <w:t>You must submit an access request but do not have to have the access approved before you can lodge an emergency request for a patient. You will only be able to place one emergency authorisation request before you are fully approved as a Medical Officer by the facility administrator.</w:t>
      </w:r>
    </w:p>
    <w:p w14:paraId="0C09C9AE" w14:textId="77777777" w:rsidR="00705353" w:rsidRDefault="00705353" w:rsidP="00705353">
      <w:pPr>
        <w:pStyle w:val="BodyCopy"/>
        <w:numPr>
          <w:ilvl w:val="0"/>
          <w:numId w:val="29"/>
        </w:numPr>
      </w:pPr>
      <w:r w:rsidRPr="000B0DF7">
        <w:t>Complete B</w:t>
      </w:r>
      <w:r>
        <w:t>LOODp</w:t>
      </w:r>
      <w:r w:rsidRPr="000B0DF7">
        <w:t xml:space="preserve">ortal registration </w:t>
      </w:r>
      <w:hyperlink r:id="rId64" w:history="1">
        <w:r w:rsidRPr="009B4502">
          <w:rPr>
            <w:rStyle w:val="Hyperlink"/>
          </w:rPr>
          <w:t>www.blood.gov.au</w:t>
        </w:r>
      </w:hyperlink>
      <w:r>
        <w:t xml:space="preserve"> (see </w:t>
      </w:r>
      <w:r w:rsidR="00F00F6A">
        <w:rPr>
          <w:bCs w:val="0"/>
        </w:rPr>
        <w:t>Attachment</w:t>
      </w:r>
      <w:r>
        <w:t xml:space="preserve"> 2)</w:t>
      </w:r>
    </w:p>
    <w:p w14:paraId="6E8AC311" w14:textId="77777777" w:rsidR="00705353" w:rsidRDefault="00705353" w:rsidP="00705353">
      <w:pPr>
        <w:pStyle w:val="BodyCopy"/>
        <w:numPr>
          <w:ilvl w:val="0"/>
          <w:numId w:val="29"/>
        </w:numPr>
      </w:pPr>
      <w:r w:rsidRPr="000B0DF7">
        <w:t>Request Blood</w:t>
      </w:r>
      <w:r>
        <w:t>STAR</w:t>
      </w:r>
      <w:r w:rsidRPr="000B0DF7">
        <w:t xml:space="preserve"> access</w:t>
      </w:r>
      <w:r>
        <w:t>.</w:t>
      </w:r>
    </w:p>
    <w:p w14:paraId="5C6A5F7B" w14:textId="77777777" w:rsidR="00705353" w:rsidRPr="00973BC1" w:rsidRDefault="00705353" w:rsidP="00705353">
      <w:pPr>
        <w:pStyle w:val="BodyCopy"/>
        <w:numPr>
          <w:ilvl w:val="0"/>
          <w:numId w:val="29"/>
        </w:numPr>
        <w:rPr>
          <w:b/>
        </w:rPr>
      </w:pPr>
      <w:r>
        <w:t xml:space="preserve">For BloodSTAR prescriber tip sheet see </w:t>
      </w:r>
      <w:hyperlink r:id="rId65" w:history="1">
        <w:r>
          <w:rPr>
            <w:rStyle w:val="Hyperlink"/>
          </w:rPr>
          <w:t>https://www.blood.gov.au/bloodstar-user-tips-and-support-materials</w:t>
        </w:r>
      </w:hyperlink>
    </w:p>
    <w:p w14:paraId="77DDD8B5" w14:textId="77777777" w:rsidR="00705353" w:rsidRDefault="00705353" w:rsidP="00705353">
      <w:pPr>
        <w:pStyle w:val="BodyCopy"/>
        <w:numPr>
          <w:ilvl w:val="0"/>
          <w:numId w:val="29"/>
        </w:numPr>
      </w:pPr>
      <w:r>
        <w:t>Once your access request has been submitted, you will be navigated to the Access Request History Page. You can submit an emergency request by clicking the link + Emergency Authorisation Request</w:t>
      </w:r>
    </w:p>
    <w:p w14:paraId="14CF8E98" w14:textId="77777777" w:rsidR="00705353" w:rsidRDefault="00705353" w:rsidP="00705353">
      <w:pPr>
        <w:pStyle w:val="BodyCopy"/>
        <w:ind w:left="720"/>
      </w:pPr>
      <w:r>
        <w:rPr>
          <w:noProof/>
        </w:rPr>
        <w:drawing>
          <wp:inline distT="0" distB="0" distL="0" distR="0" wp14:anchorId="2C9181CB" wp14:editId="652D1FBC">
            <wp:extent cx="5566410" cy="1106191"/>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srcRect/>
                    <a:stretch>
                      <a:fillRect/>
                    </a:stretch>
                  </pic:blipFill>
                  <pic:spPr bwMode="auto">
                    <a:xfrm>
                      <a:off x="0" y="0"/>
                      <a:ext cx="5568866" cy="1106679"/>
                    </a:xfrm>
                    <a:prstGeom prst="rect">
                      <a:avLst/>
                    </a:prstGeom>
                    <a:noFill/>
                    <a:ln w="9525">
                      <a:noFill/>
                      <a:miter lim="800000"/>
                      <a:headEnd/>
                      <a:tailEnd/>
                    </a:ln>
                  </pic:spPr>
                </pic:pic>
              </a:graphicData>
            </a:graphic>
          </wp:inline>
        </w:drawing>
      </w:r>
    </w:p>
    <w:p w14:paraId="799E13FD" w14:textId="77777777" w:rsidR="00705353" w:rsidRDefault="00705353" w:rsidP="00705353">
      <w:pPr>
        <w:pStyle w:val="BodyCopy"/>
        <w:numPr>
          <w:ilvl w:val="0"/>
          <w:numId w:val="29"/>
        </w:numPr>
      </w:pPr>
      <w:r>
        <w:t>A warning will appear, specifying that you may only complete this function for an emergency and that you will be notified by email of the outcome, as well as informing you that you are able to search for a direct match for an existing patient but will not be able to see all patients for the site, as that access is restricted to approved users. Your provisional access will be removed after 48 hours if not approved by the facility administration.</w:t>
      </w:r>
    </w:p>
    <w:p w14:paraId="4071C8A5" w14:textId="58721DA2" w:rsidR="00705353" w:rsidRDefault="00705353" w:rsidP="00705353">
      <w:pPr>
        <w:pStyle w:val="BodyCopy"/>
      </w:pPr>
      <w:r w:rsidRPr="00353630">
        <w:rPr>
          <w:b/>
        </w:rPr>
        <w:t>Note:</w:t>
      </w:r>
      <w:r w:rsidRPr="00DC6280">
        <w:t xml:space="preserve"> </w:t>
      </w:r>
      <w:r>
        <w:rPr>
          <w:rFonts w:asciiTheme="majorHAnsi" w:hAnsiTheme="majorHAnsi"/>
        </w:rPr>
        <w:t xml:space="preserve">ACT Pathology </w:t>
      </w:r>
      <w:r>
        <w:t>T</w:t>
      </w:r>
      <w:r w:rsidRPr="00DC6280">
        <w:t xml:space="preserve">ransfusion laboratory has </w:t>
      </w:r>
      <w:r>
        <w:t>Privigen</w:t>
      </w:r>
      <w:r w:rsidR="00620D92" w:rsidRPr="00620D92">
        <w:rPr>
          <w:vertAlign w:val="superscript"/>
        </w:rPr>
        <w:t>®</w:t>
      </w:r>
      <w:r>
        <w:t xml:space="preserve"> AU</w:t>
      </w:r>
      <w:r w:rsidRPr="00DC6280">
        <w:t xml:space="preserve"> and Privigen</w:t>
      </w:r>
      <w:r w:rsidR="00620D92" w:rsidRPr="00620D92">
        <w:rPr>
          <w:vertAlign w:val="superscript"/>
        </w:rPr>
        <w:t>®</w:t>
      </w:r>
      <w:r w:rsidRPr="00DC6280">
        <w:t xml:space="preserve"> on imprest stock. All urgent requests for IVIg must be either of these two products.</w:t>
      </w:r>
    </w:p>
    <w:p w14:paraId="682B45F8" w14:textId="77777777" w:rsidR="00705353" w:rsidRDefault="00705353" w:rsidP="001679DF">
      <w:pPr>
        <w:pStyle w:val="Bullet"/>
        <w:numPr>
          <w:ilvl w:val="0"/>
          <w:numId w:val="0"/>
        </w:numPr>
      </w:pPr>
    </w:p>
    <w:p w14:paraId="5F2827BD" w14:textId="77777777" w:rsidR="001679DF" w:rsidRDefault="0028383D" w:rsidP="001679DF">
      <w:pPr>
        <w:pStyle w:val="Bullet"/>
        <w:numPr>
          <w:ilvl w:val="0"/>
          <w:numId w:val="0"/>
        </w:numPr>
        <w:rPr>
          <w:rStyle w:val="Hyperlink"/>
        </w:rPr>
      </w:pPr>
      <w:hyperlink w:anchor="_top" w:history="1">
        <w:r w:rsidR="001679DF" w:rsidRPr="00481A6C">
          <w:rPr>
            <w:rStyle w:val="Hyperlink"/>
          </w:rPr>
          <w:t>Back to Contents</w:t>
        </w:r>
      </w:hyperlink>
    </w:p>
    <w:p w14:paraId="2289660A" w14:textId="77777777" w:rsidR="001679DF" w:rsidRDefault="001679DF">
      <w:pPr>
        <w:spacing w:before="0" w:after="0" w:line="240" w:lineRule="auto"/>
        <w:rPr>
          <w:rStyle w:val="Hyperlink"/>
          <w:rFonts w:eastAsia="Times New Roman"/>
        </w:rPr>
      </w:pPr>
      <w:r>
        <w:rPr>
          <w:rStyle w:val="Hyperlink"/>
        </w:rPr>
        <w:br w:type="page"/>
      </w:r>
    </w:p>
    <w:p w14:paraId="0C1C4216" w14:textId="05E4E5AB" w:rsidR="001679DF" w:rsidRDefault="001679DF" w:rsidP="001679DF">
      <w:pPr>
        <w:pStyle w:val="Heading4"/>
      </w:pPr>
      <w:bookmarkStart w:id="38" w:name="_Toc184739609"/>
      <w:r>
        <w:lastRenderedPageBreak/>
        <w:t xml:space="preserve">Attachment </w:t>
      </w:r>
      <w:r w:rsidR="00A064D9">
        <w:t xml:space="preserve">4 </w:t>
      </w:r>
      <w:r>
        <w:t>– Patients travelling Interstate and Overseas</w:t>
      </w:r>
      <w:bookmarkEnd w:id="38"/>
    </w:p>
    <w:p w14:paraId="331FFF2A" w14:textId="77777777" w:rsidR="00705353" w:rsidRPr="00C80E61" w:rsidRDefault="00705353" w:rsidP="00705353">
      <w:pPr>
        <w:pStyle w:val="Heading5"/>
      </w:pPr>
      <w:bookmarkStart w:id="39" w:name="_Toc180414970"/>
      <w:r>
        <w:t>Overseas supply of Ig</w:t>
      </w:r>
      <w:bookmarkEnd w:id="39"/>
    </w:p>
    <w:p w14:paraId="6D8CB86F" w14:textId="77777777" w:rsidR="00705353" w:rsidRDefault="00705353" w:rsidP="00705353">
      <w:pPr>
        <w:pStyle w:val="BodyCopy"/>
        <w:rPr>
          <w:rFonts w:asciiTheme="majorHAnsi" w:hAnsiTheme="majorHAnsi"/>
        </w:rPr>
      </w:pPr>
      <w:r w:rsidRPr="002659CF">
        <w:rPr>
          <w:rFonts w:asciiTheme="majorHAnsi" w:hAnsiTheme="majorHAnsi"/>
        </w:rPr>
        <w:t xml:space="preserve">Provision for the supply of </w:t>
      </w:r>
      <w:r>
        <w:rPr>
          <w:rFonts w:asciiTheme="majorHAnsi" w:hAnsiTheme="majorHAnsi"/>
        </w:rPr>
        <w:t xml:space="preserve">Ig </w:t>
      </w:r>
      <w:r w:rsidRPr="002659CF">
        <w:rPr>
          <w:rFonts w:asciiTheme="majorHAnsi" w:hAnsiTheme="majorHAnsi"/>
        </w:rPr>
        <w:t xml:space="preserve">product for </w:t>
      </w:r>
      <w:r>
        <w:rPr>
          <w:rFonts w:asciiTheme="majorHAnsi" w:hAnsiTheme="majorHAnsi"/>
        </w:rPr>
        <w:t xml:space="preserve">Australian </w:t>
      </w:r>
      <w:r w:rsidRPr="002659CF">
        <w:rPr>
          <w:rFonts w:asciiTheme="majorHAnsi" w:hAnsiTheme="majorHAnsi"/>
        </w:rPr>
        <w:t>patients travelling or studying overseas may</w:t>
      </w:r>
      <w:r>
        <w:rPr>
          <w:rFonts w:asciiTheme="majorHAnsi" w:hAnsiTheme="majorHAnsi"/>
        </w:rPr>
        <w:t xml:space="preserve"> </w:t>
      </w:r>
      <w:r w:rsidRPr="002659CF">
        <w:rPr>
          <w:rFonts w:asciiTheme="majorHAnsi" w:hAnsiTheme="majorHAnsi"/>
        </w:rPr>
        <w:t xml:space="preserve">be </w:t>
      </w:r>
      <w:r>
        <w:rPr>
          <w:rFonts w:asciiTheme="majorHAnsi" w:hAnsiTheme="majorHAnsi"/>
        </w:rPr>
        <w:t xml:space="preserve">temporarily </w:t>
      </w:r>
      <w:r w:rsidRPr="002659CF">
        <w:rPr>
          <w:rFonts w:asciiTheme="majorHAnsi" w:hAnsiTheme="majorHAnsi"/>
        </w:rPr>
        <w:t>granted</w:t>
      </w:r>
      <w:r>
        <w:rPr>
          <w:rFonts w:asciiTheme="majorHAnsi" w:hAnsiTheme="majorHAnsi"/>
        </w:rPr>
        <w:t xml:space="preserve"> for up to 12 months in any rolling 24-month period. This is</w:t>
      </w:r>
      <w:r w:rsidRPr="002659CF">
        <w:rPr>
          <w:rFonts w:asciiTheme="majorHAnsi" w:hAnsiTheme="majorHAnsi"/>
        </w:rPr>
        <w:t xml:space="preserve"> in accordance with the </w:t>
      </w:r>
      <w:r>
        <w:rPr>
          <w:rFonts w:asciiTheme="majorHAnsi" w:hAnsiTheme="majorHAnsi"/>
        </w:rPr>
        <w:t xml:space="preserve">NBA </w:t>
      </w:r>
      <w:r w:rsidRPr="002659CF">
        <w:rPr>
          <w:rFonts w:asciiTheme="majorHAnsi" w:hAnsiTheme="majorHAnsi"/>
        </w:rPr>
        <w:t>Policy for</w:t>
      </w:r>
      <w:r>
        <w:rPr>
          <w:rFonts w:asciiTheme="majorHAnsi" w:hAnsiTheme="majorHAnsi"/>
        </w:rPr>
        <w:t xml:space="preserve"> Overseas supply of blood products</w:t>
      </w:r>
      <w:r w:rsidRPr="002659CF">
        <w:rPr>
          <w:rFonts w:asciiTheme="majorHAnsi" w:hAnsiTheme="majorHAnsi"/>
        </w:rPr>
        <w:t>. For more information, please refer to the NBA website at</w:t>
      </w:r>
      <w:r>
        <w:rPr>
          <w:rFonts w:asciiTheme="majorHAnsi" w:hAnsiTheme="majorHAnsi"/>
        </w:rPr>
        <w:t xml:space="preserve"> </w:t>
      </w:r>
      <w:hyperlink r:id="rId67" w:history="1">
        <w:r>
          <w:rPr>
            <w:rStyle w:val="Hyperlink"/>
            <w:rFonts w:asciiTheme="majorHAnsi" w:hAnsiTheme="majorHAnsi"/>
          </w:rPr>
          <w:t>https://www.blood.gov.au/supply-system/overseas-supply-blood-products</w:t>
        </w:r>
      </w:hyperlink>
      <w:r>
        <w:rPr>
          <w:rFonts w:asciiTheme="majorHAnsi" w:hAnsiTheme="majorHAnsi"/>
        </w:rPr>
        <w:t>.</w:t>
      </w:r>
    </w:p>
    <w:p w14:paraId="4A8C73C8" w14:textId="77777777" w:rsidR="00705353" w:rsidRPr="00A336D1" w:rsidRDefault="00705353" w:rsidP="00705353">
      <w:pPr>
        <w:pStyle w:val="Heading5"/>
      </w:pPr>
      <w:bookmarkStart w:id="40" w:name="_Toc180414971"/>
      <w:r>
        <w:t>International travel for SCIg patients</w:t>
      </w:r>
      <w:bookmarkEnd w:id="40"/>
    </w:p>
    <w:p w14:paraId="0942AA6F" w14:textId="77777777" w:rsidR="00705353" w:rsidRDefault="00705353" w:rsidP="00705353">
      <w:pPr>
        <w:pStyle w:val="BodyCopy"/>
        <w:rPr>
          <w:rFonts w:asciiTheme="majorHAnsi" w:hAnsiTheme="majorHAnsi"/>
        </w:rPr>
      </w:pPr>
      <w:r>
        <w:rPr>
          <w:rFonts w:asciiTheme="majorHAnsi" w:hAnsiTheme="majorHAnsi"/>
        </w:rPr>
        <w:t xml:space="preserve">Patients are required to discuss their plans and options with their treating team well before they plan to travel. </w:t>
      </w:r>
    </w:p>
    <w:p w14:paraId="5D911194" w14:textId="77777777" w:rsidR="00705353" w:rsidRDefault="00705353" w:rsidP="00705353">
      <w:pPr>
        <w:pStyle w:val="Heading5"/>
      </w:pPr>
      <w:bookmarkStart w:id="41" w:name="_Toc180414972"/>
      <w:r>
        <w:t>Export Permits</w:t>
      </w:r>
      <w:bookmarkEnd w:id="41"/>
    </w:p>
    <w:p w14:paraId="215C4FE1" w14:textId="77777777" w:rsidR="00705353" w:rsidRDefault="00705353" w:rsidP="00705353">
      <w:pPr>
        <w:pStyle w:val="BodyCopy"/>
        <w:rPr>
          <w:rFonts w:asciiTheme="majorHAnsi" w:hAnsiTheme="majorHAnsi"/>
        </w:rPr>
      </w:pPr>
      <w:r>
        <w:rPr>
          <w:rFonts w:asciiTheme="majorHAnsi" w:hAnsiTheme="majorHAnsi"/>
        </w:rPr>
        <w:t xml:space="preserve">An export permit from the Therapeutic Goods Administration (TGA) is required prior to patient departure with SCIg product. Please note, approval can take up to 3 months for supply or to organise an extension. Patients should provide the required documentation as soon as possible to their treating team to assist them seeking an export license, travel letter and </w:t>
      </w:r>
      <w:r w:rsidRPr="00C80E61">
        <w:t>ASCIA travel plan</w:t>
      </w:r>
      <w:r>
        <w:rPr>
          <w:rFonts w:asciiTheme="majorHAnsi" w:hAnsiTheme="majorHAnsi"/>
        </w:rPr>
        <w:t xml:space="preserve"> as follows:</w:t>
      </w:r>
    </w:p>
    <w:p w14:paraId="6D7140E7" w14:textId="24B61591" w:rsidR="00705353" w:rsidRPr="0040658A" w:rsidRDefault="00F61B59" w:rsidP="00705353">
      <w:pPr>
        <w:pStyle w:val="Bullet"/>
      </w:pPr>
      <w:r>
        <w:t>p</w:t>
      </w:r>
      <w:r w:rsidR="00705353">
        <w:t>urpose of travel</w:t>
      </w:r>
    </w:p>
    <w:p w14:paraId="2CD3D9C7" w14:textId="3B1166BD" w:rsidR="00705353" w:rsidRDefault="00F61B59" w:rsidP="00705353">
      <w:pPr>
        <w:pStyle w:val="Bullet"/>
      </w:pPr>
      <w:r>
        <w:t>c</w:t>
      </w:r>
      <w:r w:rsidR="00705353">
        <w:t>opy of passport front page</w:t>
      </w:r>
    </w:p>
    <w:p w14:paraId="56566482" w14:textId="70BC1AEE" w:rsidR="00705353" w:rsidRDefault="00F61B59" w:rsidP="00705353">
      <w:pPr>
        <w:pStyle w:val="Bullet"/>
      </w:pPr>
      <w:r>
        <w:t>c</w:t>
      </w:r>
      <w:r w:rsidR="00705353">
        <w:t>opy of e-ticket/s</w:t>
      </w:r>
    </w:p>
    <w:p w14:paraId="4B5AB86D" w14:textId="77777777" w:rsidR="00705353" w:rsidRDefault="00705353" w:rsidP="00705353">
      <w:pPr>
        <w:pStyle w:val="Bullet"/>
      </w:pPr>
      <w:r>
        <w:t>SCIg brand name, quantity of vials, vial details (gms and mL), lot numbers and expiry for each vial.</w:t>
      </w:r>
    </w:p>
    <w:p w14:paraId="72620855" w14:textId="77777777" w:rsidR="00705353" w:rsidRDefault="00705353" w:rsidP="00705353">
      <w:pPr>
        <w:pStyle w:val="BodyCopy"/>
        <w:rPr>
          <w:rFonts w:asciiTheme="majorHAnsi" w:hAnsiTheme="majorHAnsi"/>
        </w:rPr>
      </w:pPr>
      <w:r>
        <w:rPr>
          <w:rFonts w:asciiTheme="majorHAnsi" w:hAnsiTheme="majorHAnsi"/>
        </w:rPr>
        <w:t xml:space="preserve">For more information, please refer to the TGA website at </w:t>
      </w:r>
      <w:hyperlink r:id="rId68" w:history="1">
        <w:r>
          <w:rPr>
            <w:rStyle w:val="Hyperlink"/>
          </w:rPr>
          <w:t>https://www.tga.gov.au/resources/resource/guidance/export-human-substances-guidance</w:t>
        </w:r>
      </w:hyperlink>
    </w:p>
    <w:p w14:paraId="35E6A3CF" w14:textId="77777777" w:rsidR="00705353" w:rsidRPr="00C80E61" w:rsidRDefault="00705353" w:rsidP="00705353">
      <w:pPr>
        <w:pStyle w:val="Heading5"/>
      </w:pPr>
      <w:bookmarkStart w:id="42" w:name="_Toc180414973"/>
      <w:r>
        <w:t>Interstate supply for Ig</w:t>
      </w:r>
      <w:bookmarkEnd w:id="42"/>
    </w:p>
    <w:p w14:paraId="6C270AA6" w14:textId="77777777" w:rsidR="00705353" w:rsidRDefault="00705353" w:rsidP="00705353">
      <w:pPr>
        <w:pStyle w:val="BodyCopy"/>
        <w:rPr>
          <w:rFonts w:asciiTheme="majorHAnsi" w:hAnsiTheme="majorHAnsi"/>
        </w:rPr>
      </w:pPr>
      <w:r>
        <w:rPr>
          <w:rFonts w:asciiTheme="majorHAnsi" w:hAnsiTheme="majorHAnsi"/>
        </w:rPr>
        <w:t>Patients receiving regular IVIg treatment may be able to arrange treatment at an interstate facility. Please encourage patients to discuss their travel arrangements with their treating team.</w:t>
      </w:r>
    </w:p>
    <w:p w14:paraId="30D062F7" w14:textId="77777777" w:rsidR="00705353" w:rsidRPr="00A34A6F" w:rsidRDefault="00705353" w:rsidP="00705353">
      <w:pPr>
        <w:pStyle w:val="Heading5"/>
      </w:pPr>
      <w:bookmarkStart w:id="43" w:name="_Toc180414974"/>
      <w:r>
        <w:t>Interstate travel for SCIg patients</w:t>
      </w:r>
      <w:bookmarkEnd w:id="43"/>
    </w:p>
    <w:p w14:paraId="45715D7F" w14:textId="77777777" w:rsidR="00705353" w:rsidRDefault="00705353" w:rsidP="00705353">
      <w:pPr>
        <w:pStyle w:val="BodyCopy"/>
        <w:rPr>
          <w:rFonts w:asciiTheme="majorHAnsi" w:hAnsiTheme="majorHAnsi"/>
        </w:rPr>
      </w:pPr>
      <w:r>
        <w:rPr>
          <w:rFonts w:asciiTheme="majorHAnsi" w:hAnsiTheme="majorHAnsi"/>
        </w:rPr>
        <w:t xml:space="preserve">SCIg patients whom wish to fly interstate, will require their medical specialist to fill out the ASCIA Travel Plan, please refer to the ASCIA website at </w:t>
      </w:r>
      <w:hyperlink r:id="rId69" w:history="1">
        <w:r>
          <w:rPr>
            <w:rStyle w:val="Hyperlink"/>
          </w:rPr>
          <w:t>https://www.allergy.org.au/hp/papers/ascia-travel-plan-for-scig-patients</w:t>
        </w:r>
      </w:hyperlink>
      <w:r>
        <w:rPr>
          <w:rFonts w:asciiTheme="majorHAnsi" w:hAnsiTheme="majorHAnsi"/>
        </w:rPr>
        <w:t>.</w:t>
      </w:r>
    </w:p>
    <w:p w14:paraId="291C9AB8" w14:textId="77777777" w:rsidR="00705353" w:rsidRDefault="00705353" w:rsidP="001679DF">
      <w:pPr>
        <w:pStyle w:val="Bullet"/>
        <w:numPr>
          <w:ilvl w:val="0"/>
          <w:numId w:val="0"/>
        </w:numPr>
      </w:pPr>
    </w:p>
    <w:p w14:paraId="4968468E" w14:textId="77777777" w:rsidR="001679DF" w:rsidRDefault="0028383D" w:rsidP="001679DF">
      <w:pPr>
        <w:pStyle w:val="Bullet"/>
        <w:numPr>
          <w:ilvl w:val="0"/>
          <w:numId w:val="0"/>
        </w:numPr>
        <w:rPr>
          <w:rStyle w:val="Hyperlink"/>
        </w:rPr>
      </w:pPr>
      <w:hyperlink w:anchor="_top" w:history="1">
        <w:r w:rsidR="001679DF" w:rsidRPr="00481A6C">
          <w:rPr>
            <w:rStyle w:val="Hyperlink"/>
          </w:rPr>
          <w:t>Back to Contents</w:t>
        </w:r>
      </w:hyperlink>
    </w:p>
    <w:p w14:paraId="40679AE4" w14:textId="77777777" w:rsidR="001679DF" w:rsidRDefault="001679DF">
      <w:pPr>
        <w:spacing w:before="0" w:after="0" w:line="240" w:lineRule="auto"/>
        <w:rPr>
          <w:rStyle w:val="Hyperlink"/>
          <w:rFonts w:eastAsia="Times New Roman"/>
        </w:rPr>
      </w:pPr>
      <w:r>
        <w:rPr>
          <w:rStyle w:val="Hyperlink"/>
        </w:rPr>
        <w:br w:type="page"/>
      </w:r>
    </w:p>
    <w:p w14:paraId="61ADE67B" w14:textId="2CE7C783" w:rsidR="001679DF" w:rsidRDefault="001679DF" w:rsidP="001679DF">
      <w:pPr>
        <w:pStyle w:val="Heading4"/>
      </w:pPr>
      <w:bookmarkStart w:id="44" w:name="_Attachment_6_–"/>
      <w:bookmarkStart w:id="45" w:name="_Toc184739610"/>
      <w:bookmarkEnd w:id="44"/>
      <w:r>
        <w:lastRenderedPageBreak/>
        <w:t xml:space="preserve">Attachment </w:t>
      </w:r>
      <w:r w:rsidR="00A064D9">
        <w:t xml:space="preserve">5 </w:t>
      </w:r>
      <w:r>
        <w:t>– IVIg Infusion rates</w:t>
      </w:r>
      <w:bookmarkEnd w:id="45"/>
    </w:p>
    <w:p w14:paraId="676FEBBA" w14:textId="2A3FCC8F" w:rsidR="00705353" w:rsidRDefault="00705353" w:rsidP="00705353">
      <w:pPr>
        <w:pStyle w:val="Heading5"/>
      </w:pPr>
      <w:r>
        <w:t>Flebogamma 5% DIF –</w:t>
      </w:r>
      <w:r w:rsidR="00CB76F1">
        <w:t xml:space="preserve"> for</w:t>
      </w:r>
      <w:r>
        <w:t xml:space="preserve"> </w:t>
      </w:r>
      <w:r w:rsidR="00CB76F1">
        <w:t>p</w:t>
      </w:r>
      <w:r>
        <w:t xml:space="preserve">atients </w:t>
      </w:r>
      <w:r w:rsidR="00CB76F1">
        <w:t>&gt;</w:t>
      </w:r>
      <w:r>
        <w:t xml:space="preserve"> 10 kg </w:t>
      </w:r>
    </w:p>
    <w:tbl>
      <w:tblPr>
        <w:tblStyle w:val="GridTable1Light"/>
        <w:tblW w:w="9427" w:type="dxa"/>
        <w:tblLook w:val="04A0" w:firstRow="1" w:lastRow="0" w:firstColumn="1" w:lastColumn="0" w:noHBand="0" w:noVBand="1"/>
      </w:tblPr>
      <w:tblGrid>
        <w:gridCol w:w="1317"/>
        <w:gridCol w:w="1293"/>
        <w:gridCol w:w="643"/>
        <w:gridCol w:w="643"/>
        <w:gridCol w:w="697"/>
        <w:gridCol w:w="706"/>
        <w:gridCol w:w="706"/>
        <w:gridCol w:w="706"/>
        <w:gridCol w:w="706"/>
        <w:gridCol w:w="706"/>
        <w:gridCol w:w="596"/>
        <w:gridCol w:w="708"/>
      </w:tblGrid>
      <w:tr w:rsidR="007B4AF4" w14:paraId="023A67FD" w14:textId="77777777" w:rsidTr="007B4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 w:type="dxa"/>
          </w:tcPr>
          <w:p w14:paraId="4BB31FC0" w14:textId="77777777" w:rsidR="007B4AF4" w:rsidRDefault="007B4AF4" w:rsidP="00C2243F">
            <w:r>
              <w:t>Dose (mL/kg/hr)</w:t>
            </w:r>
          </w:p>
        </w:tc>
        <w:tc>
          <w:tcPr>
            <w:tcW w:w="1293" w:type="dxa"/>
          </w:tcPr>
          <w:p w14:paraId="31D5F925"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Infusion Time</w:t>
            </w:r>
          </w:p>
        </w:tc>
        <w:tc>
          <w:tcPr>
            <w:tcW w:w="643" w:type="dxa"/>
          </w:tcPr>
          <w:p w14:paraId="424DCE4D" w14:textId="11120B6E" w:rsidR="007B4AF4" w:rsidRDefault="007B4AF4" w:rsidP="00C2243F">
            <w:pPr>
              <w:cnfStyle w:val="100000000000" w:firstRow="1" w:lastRow="0" w:firstColumn="0" w:lastColumn="0" w:oddVBand="0" w:evenVBand="0" w:oddHBand="0" w:evenHBand="0" w:firstRowFirstColumn="0" w:firstRowLastColumn="0" w:lastRowFirstColumn="0" w:lastRowLastColumn="0"/>
            </w:pPr>
            <w:r>
              <w:t>10 kg</w:t>
            </w:r>
          </w:p>
        </w:tc>
        <w:tc>
          <w:tcPr>
            <w:tcW w:w="643" w:type="dxa"/>
          </w:tcPr>
          <w:p w14:paraId="78C3C599" w14:textId="4BC43C65" w:rsidR="007B4AF4" w:rsidRDefault="007B4AF4" w:rsidP="00C2243F">
            <w:pPr>
              <w:cnfStyle w:val="100000000000" w:firstRow="1" w:lastRow="0" w:firstColumn="0" w:lastColumn="0" w:oddVBand="0" w:evenVBand="0" w:oddHBand="0" w:evenHBand="0" w:firstRowFirstColumn="0" w:firstRowLastColumn="0" w:lastRowFirstColumn="0" w:lastRowLastColumn="0"/>
            </w:pPr>
            <w:r>
              <w:t>20 kg</w:t>
            </w:r>
          </w:p>
        </w:tc>
        <w:tc>
          <w:tcPr>
            <w:tcW w:w="697" w:type="dxa"/>
          </w:tcPr>
          <w:p w14:paraId="09807187"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30 kg</w:t>
            </w:r>
          </w:p>
        </w:tc>
        <w:tc>
          <w:tcPr>
            <w:tcW w:w="706" w:type="dxa"/>
          </w:tcPr>
          <w:p w14:paraId="1F8FEDBC"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40 kg</w:t>
            </w:r>
          </w:p>
        </w:tc>
        <w:tc>
          <w:tcPr>
            <w:tcW w:w="706" w:type="dxa"/>
          </w:tcPr>
          <w:p w14:paraId="6FA006C8"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50 kg</w:t>
            </w:r>
          </w:p>
        </w:tc>
        <w:tc>
          <w:tcPr>
            <w:tcW w:w="706" w:type="dxa"/>
          </w:tcPr>
          <w:p w14:paraId="69311D6A"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60 kg</w:t>
            </w:r>
          </w:p>
        </w:tc>
        <w:tc>
          <w:tcPr>
            <w:tcW w:w="706" w:type="dxa"/>
          </w:tcPr>
          <w:p w14:paraId="1C4267F7"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70 kg</w:t>
            </w:r>
          </w:p>
        </w:tc>
        <w:tc>
          <w:tcPr>
            <w:tcW w:w="706" w:type="dxa"/>
          </w:tcPr>
          <w:p w14:paraId="3A9B3D42"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80 kg</w:t>
            </w:r>
          </w:p>
        </w:tc>
        <w:tc>
          <w:tcPr>
            <w:tcW w:w="596" w:type="dxa"/>
          </w:tcPr>
          <w:p w14:paraId="7089CE3D"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90 kg</w:t>
            </w:r>
          </w:p>
        </w:tc>
        <w:tc>
          <w:tcPr>
            <w:tcW w:w="708" w:type="dxa"/>
          </w:tcPr>
          <w:p w14:paraId="71B9DC04"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100 kg</w:t>
            </w:r>
          </w:p>
        </w:tc>
      </w:tr>
      <w:tr w:rsidR="007B4AF4" w14:paraId="210AA095" w14:textId="77777777" w:rsidTr="007B4AF4">
        <w:tc>
          <w:tcPr>
            <w:cnfStyle w:val="001000000000" w:firstRow="0" w:lastRow="0" w:firstColumn="1" w:lastColumn="0" w:oddVBand="0" w:evenVBand="0" w:oddHBand="0" w:evenHBand="0" w:firstRowFirstColumn="0" w:firstRowLastColumn="0" w:lastRowFirstColumn="0" w:lastRowLastColumn="0"/>
            <w:tcW w:w="1317" w:type="dxa"/>
          </w:tcPr>
          <w:p w14:paraId="15B402FE" w14:textId="77777777" w:rsidR="007B4AF4" w:rsidRPr="00E93D8E" w:rsidRDefault="007B4AF4" w:rsidP="00C2243F">
            <w:pPr>
              <w:rPr>
                <w:b w:val="0"/>
                <w:bCs w:val="0"/>
                <w:color w:val="000000" w:themeColor="text1"/>
              </w:rPr>
            </w:pPr>
            <w:r w:rsidRPr="00E93D8E">
              <w:rPr>
                <w:color w:val="000000" w:themeColor="text1"/>
              </w:rPr>
              <w:t>0</w:t>
            </w:r>
            <w:r>
              <w:rPr>
                <w:color w:val="000000" w:themeColor="text1"/>
              </w:rPr>
              <w:t>.6</w:t>
            </w:r>
          </w:p>
        </w:tc>
        <w:tc>
          <w:tcPr>
            <w:tcW w:w="1293" w:type="dxa"/>
          </w:tcPr>
          <w:p w14:paraId="35E398F4" w14:textId="77777777" w:rsidR="007B4AF4" w:rsidRPr="00E93D8E"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E93D8E">
              <w:rPr>
                <w:color w:val="000000" w:themeColor="text1"/>
              </w:rPr>
              <w:t>30 min</w:t>
            </w:r>
          </w:p>
        </w:tc>
        <w:tc>
          <w:tcPr>
            <w:tcW w:w="643" w:type="dxa"/>
          </w:tcPr>
          <w:p w14:paraId="4299413C" w14:textId="63F5130D"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pPr>
            <w:r>
              <w:t>3</w:t>
            </w:r>
          </w:p>
        </w:tc>
        <w:tc>
          <w:tcPr>
            <w:tcW w:w="643" w:type="dxa"/>
          </w:tcPr>
          <w:p w14:paraId="776F887A" w14:textId="3DF0311F"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6</w:t>
            </w:r>
          </w:p>
        </w:tc>
        <w:tc>
          <w:tcPr>
            <w:tcW w:w="697" w:type="dxa"/>
          </w:tcPr>
          <w:p w14:paraId="0CD3A73C"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9</w:t>
            </w:r>
          </w:p>
        </w:tc>
        <w:tc>
          <w:tcPr>
            <w:tcW w:w="706" w:type="dxa"/>
          </w:tcPr>
          <w:p w14:paraId="2EC36677"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12</w:t>
            </w:r>
          </w:p>
        </w:tc>
        <w:tc>
          <w:tcPr>
            <w:tcW w:w="706" w:type="dxa"/>
          </w:tcPr>
          <w:p w14:paraId="193EA984"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15</w:t>
            </w:r>
          </w:p>
        </w:tc>
        <w:tc>
          <w:tcPr>
            <w:tcW w:w="706" w:type="dxa"/>
          </w:tcPr>
          <w:p w14:paraId="13F9EEF8"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18</w:t>
            </w:r>
          </w:p>
        </w:tc>
        <w:tc>
          <w:tcPr>
            <w:tcW w:w="706" w:type="dxa"/>
          </w:tcPr>
          <w:p w14:paraId="7651548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21</w:t>
            </w:r>
          </w:p>
        </w:tc>
        <w:tc>
          <w:tcPr>
            <w:tcW w:w="706" w:type="dxa"/>
          </w:tcPr>
          <w:p w14:paraId="29253808"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24</w:t>
            </w:r>
          </w:p>
        </w:tc>
        <w:tc>
          <w:tcPr>
            <w:tcW w:w="596" w:type="dxa"/>
          </w:tcPr>
          <w:p w14:paraId="13E3552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27</w:t>
            </w:r>
          </w:p>
        </w:tc>
        <w:tc>
          <w:tcPr>
            <w:tcW w:w="708" w:type="dxa"/>
          </w:tcPr>
          <w:p w14:paraId="1346DFF6"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30</w:t>
            </w:r>
          </w:p>
        </w:tc>
      </w:tr>
      <w:tr w:rsidR="007B4AF4" w14:paraId="227AEEF2" w14:textId="77777777" w:rsidTr="007B4AF4">
        <w:tc>
          <w:tcPr>
            <w:cnfStyle w:val="001000000000" w:firstRow="0" w:lastRow="0" w:firstColumn="1" w:lastColumn="0" w:oddVBand="0" w:evenVBand="0" w:oddHBand="0" w:evenHBand="0" w:firstRowFirstColumn="0" w:firstRowLastColumn="0" w:lastRowFirstColumn="0" w:lastRowLastColumn="0"/>
            <w:tcW w:w="1317" w:type="dxa"/>
          </w:tcPr>
          <w:p w14:paraId="2FBF4128" w14:textId="77777777" w:rsidR="007B4AF4" w:rsidRPr="00E93D8E" w:rsidRDefault="007B4AF4" w:rsidP="00C2243F">
            <w:pPr>
              <w:rPr>
                <w:color w:val="000000" w:themeColor="text1"/>
              </w:rPr>
            </w:pPr>
            <w:r>
              <w:rPr>
                <w:color w:val="000000" w:themeColor="text1"/>
              </w:rPr>
              <w:t>1.2</w:t>
            </w:r>
          </w:p>
        </w:tc>
        <w:tc>
          <w:tcPr>
            <w:tcW w:w="1293" w:type="dxa"/>
          </w:tcPr>
          <w:p w14:paraId="57336AE1" w14:textId="77777777" w:rsidR="007B4AF4" w:rsidRPr="00E93D8E"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E93D8E">
              <w:rPr>
                <w:color w:val="000000" w:themeColor="text1"/>
              </w:rPr>
              <w:t>30 min</w:t>
            </w:r>
          </w:p>
        </w:tc>
        <w:tc>
          <w:tcPr>
            <w:tcW w:w="643" w:type="dxa"/>
          </w:tcPr>
          <w:p w14:paraId="20E48525" w14:textId="4BE8C636"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pPr>
            <w:r>
              <w:t>6</w:t>
            </w:r>
          </w:p>
        </w:tc>
        <w:tc>
          <w:tcPr>
            <w:tcW w:w="643" w:type="dxa"/>
          </w:tcPr>
          <w:p w14:paraId="6A982149" w14:textId="0C6885DF"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12</w:t>
            </w:r>
          </w:p>
        </w:tc>
        <w:tc>
          <w:tcPr>
            <w:tcW w:w="697" w:type="dxa"/>
          </w:tcPr>
          <w:p w14:paraId="6941EEC5"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18</w:t>
            </w:r>
          </w:p>
        </w:tc>
        <w:tc>
          <w:tcPr>
            <w:tcW w:w="706" w:type="dxa"/>
          </w:tcPr>
          <w:p w14:paraId="2171E212"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24</w:t>
            </w:r>
          </w:p>
        </w:tc>
        <w:tc>
          <w:tcPr>
            <w:tcW w:w="706" w:type="dxa"/>
          </w:tcPr>
          <w:p w14:paraId="28FA9299"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30</w:t>
            </w:r>
          </w:p>
        </w:tc>
        <w:tc>
          <w:tcPr>
            <w:tcW w:w="706" w:type="dxa"/>
          </w:tcPr>
          <w:p w14:paraId="2FD6CB0E"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36</w:t>
            </w:r>
          </w:p>
        </w:tc>
        <w:tc>
          <w:tcPr>
            <w:tcW w:w="706" w:type="dxa"/>
          </w:tcPr>
          <w:p w14:paraId="5E3898E6"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42</w:t>
            </w:r>
          </w:p>
        </w:tc>
        <w:tc>
          <w:tcPr>
            <w:tcW w:w="706" w:type="dxa"/>
          </w:tcPr>
          <w:p w14:paraId="3C4E8DF7"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48</w:t>
            </w:r>
          </w:p>
        </w:tc>
        <w:tc>
          <w:tcPr>
            <w:tcW w:w="596" w:type="dxa"/>
          </w:tcPr>
          <w:p w14:paraId="2CA9117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54</w:t>
            </w:r>
          </w:p>
        </w:tc>
        <w:tc>
          <w:tcPr>
            <w:tcW w:w="708" w:type="dxa"/>
          </w:tcPr>
          <w:p w14:paraId="6D103981"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60</w:t>
            </w:r>
          </w:p>
        </w:tc>
      </w:tr>
      <w:tr w:rsidR="007B4AF4" w14:paraId="295BE62D" w14:textId="77777777" w:rsidTr="007B4AF4">
        <w:tc>
          <w:tcPr>
            <w:cnfStyle w:val="001000000000" w:firstRow="0" w:lastRow="0" w:firstColumn="1" w:lastColumn="0" w:oddVBand="0" w:evenVBand="0" w:oddHBand="0" w:evenHBand="0" w:firstRowFirstColumn="0" w:firstRowLastColumn="0" w:lastRowFirstColumn="0" w:lastRowLastColumn="0"/>
            <w:tcW w:w="1317" w:type="dxa"/>
          </w:tcPr>
          <w:p w14:paraId="612D6EBD" w14:textId="77777777" w:rsidR="007B4AF4" w:rsidRDefault="007B4AF4" w:rsidP="00C2243F">
            <w:r>
              <w:t>1.8</w:t>
            </w:r>
          </w:p>
        </w:tc>
        <w:tc>
          <w:tcPr>
            <w:tcW w:w="1293" w:type="dxa"/>
          </w:tcPr>
          <w:p w14:paraId="26FE24AD"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 min</w:t>
            </w:r>
          </w:p>
        </w:tc>
        <w:tc>
          <w:tcPr>
            <w:tcW w:w="643" w:type="dxa"/>
          </w:tcPr>
          <w:p w14:paraId="6C3FE96B" w14:textId="3C08D0C5"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pPr>
            <w:r>
              <w:t>9</w:t>
            </w:r>
          </w:p>
        </w:tc>
        <w:tc>
          <w:tcPr>
            <w:tcW w:w="643" w:type="dxa"/>
          </w:tcPr>
          <w:p w14:paraId="7ED1B66B" w14:textId="79D49AB4"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18</w:t>
            </w:r>
          </w:p>
        </w:tc>
        <w:tc>
          <w:tcPr>
            <w:tcW w:w="697" w:type="dxa"/>
          </w:tcPr>
          <w:p w14:paraId="4E502234"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27</w:t>
            </w:r>
          </w:p>
        </w:tc>
        <w:tc>
          <w:tcPr>
            <w:tcW w:w="706" w:type="dxa"/>
          </w:tcPr>
          <w:p w14:paraId="733CFE21"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36</w:t>
            </w:r>
          </w:p>
        </w:tc>
        <w:tc>
          <w:tcPr>
            <w:tcW w:w="706" w:type="dxa"/>
          </w:tcPr>
          <w:p w14:paraId="05EE1EA5"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45</w:t>
            </w:r>
          </w:p>
        </w:tc>
        <w:tc>
          <w:tcPr>
            <w:tcW w:w="706" w:type="dxa"/>
          </w:tcPr>
          <w:p w14:paraId="1B1A4DB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54</w:t>
            </w:r>
          </w:p>
        </w:tc>
        <w:tc>
          <w:tcPr>
            <w:tcW w:w="706" w:type="dxa"/>
          </w:tcPr>
          <w:p w14:paraId="5B248B5F"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63</w:t>
            </w:r>
          </w:p>
        </w:tc>
        <w:tc>
          <w:tcPr>
            <w:tcW w:w="706" w:type="dxa"/>
          </w:tcPr>
          <w:p w14:paraId="24039B32"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72</w:t>
            </w:r>
          </w:p>
        </w:tc>
        <w:tc>
          <w:tcPr>
            <w:tcW w:w="596" w:type="dxa"/>
          </w:tcPr>
          <w:p w14:paraId="3965A548"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81</w:t>
            </w:r>
          </w:p>
        </w:tc>
        <w:tc>
          <w:tcPr>
            <w:tcW w:w="708" w:type="dxa"/>
          </w:tcPr>
          <w:p w14:paraId="0B828603"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90</w:t>
            </w:r>
          </w:p>
        </w:tc>
      </w:tr>
      <w:tr w:rsidR="007B4AF4" w14:paraId="1F7E4509" w14:textId="77777777" w:rsidTr="007B4AF4">
        <w:tc>
          <w:tcPr>
            <w:cnfStyle w:val="001000000000" w:firstRow="0" w:lastRow="0" w:firstColumn="1" w:lastColumn="0" w:oddVBand="0" w:evenVBand="0" w:oddHBand="0" w:evenHBand="0" w:firstRowFirstColumn="0" w:firstRowLastColumn="0" w:lastRowFirstColumn="0" w:lastRowLastColumn="0"/>
            <w:tcW w:w="1317" w:type="dxa"/>
          </w:tcPr>
          <w:p w14:paraId="459A11F5" w14:textId="77777777" w:rsidR="007B4AF4" w:rsidRDefault="007B4AF4" w:rsidP="00C2243F">
            <w:r>
              <w:t>2.4</w:t>
            </w:r>
          </w:p>
        </w:tc>
        <w:tc>
          <w:tcPr>
            <w:tcW w:w="1293" w:type="dxa"/>
          </w:tcPr>
          <w:p w14:paraId="42AFB407"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 min</w:t>
            </w:r>
          </w:p>
        </w:tc>
        <w:tc>
          <w:tcPr>
            <w:tcW w:w="643" w:type="dxa"/>
          </w:tcPr>
          <w:p w14:paraId="45678034" w14:textId="19274E2B"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pPr>
            <w:r>
              <w:t>12</w:t>
            </w:r>
          </w:p>
        </w:tc>
        <w:tc>
          <w:tcPr>
            <w:tcW w:w="643" w:type="dxa"/>
          </w:tcPr>
          <w:p w14:paraId="699A4A14" w14:textId="6AEA9BCA"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24</w:t>
            </w:r>
          </w:p>
        </w:tc>
        <w:tc>
          <w:tcPr>
            <w:tcW w:w="697" w:type="dxa"/>
          </w:tcPr>
          <w:p w14:paraId="5F18E3C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36</w:t>
            </w:r>
          </w:p>
        </w:tc>
        <w:tc>
          <w:tcPr>
            <w:tcW w:w="706" w:type="dxa"/>
          </w:tcPr>
          <w:p w14:paraId="58E7A641"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48</w:t>
            </w:r>
          </w:p>
        </w:tc>
        <w:tc>
          <w:tcPr>
            <w:tcW w:w="706" w:type="dxa"/>
          </w:tcPr>
          <w:p w14:paraId="49E1FEB4"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60</w:t>
            </w:r>
          </w:p>
        </w:tc>
        <w:tc>
          <w:tcPr>
            <w:tcW w:w="706" w:type="dxa"/>
          </w:tcPr>
          <w:p w14:paraId="7DF5193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72</w:t>
            </w:r>
          </w:p>
        </w:tc>
        <w:tc>
          <w:tcPr>
            <w:tcW w:w="706" w:type="dxa"/>
          </w:tcPr>
          <w:p w14:paraId="3ED5BE1B"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84</w:t>
            </w:r>
          </w:p>
        </w:tc>
        <w:tc>
          <w:tcPr>
            <w:tcW w:w="706" w:type="dxa"/>
          </w:tcPr>
          <w:p w14:paraId="28EAEB5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96</w:t>
            </w:r>
          </w:p>
        </w:tc>
        <w:tc>
          <w:tcPr>
            <w:tcW w:w="596" w:type="dxa"/>
          </w:tcPr>
          <w:p w14:paraId="5753917E"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108</w:t>
            </w:r>
          </w:p>
        </w:tc>
        <w:tc>
          <w:tcPr>
            <w:tcW w:w="708" w:type="dxa"/>
          </w:tcPr>
          <w:p w14:paraId="3C0178A6"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120</w:t>
            </w:r>
          </w:p>
        </w:tc>
      </w:tr>
      <w:tr w:rsidR="007B4AF4" w14:paraId="1A3A42C2" w14:textId="77777777" w:rsidTr="007B4AF4">
        <w:tc>
          <w:tcPr>
            <w:cnfStyle w:val="001000000000" w:firstRow="0" w:lastRow="0" w:firstColumn="1" w:lastColumn="0" w:oddVBand="0" w:evenVBand="0" w:oddHBand="0" w:evenHBand="0" w:firstRowFirstColumn="0" w:firstRowLastColumn="0" w:lastRowFirstColumn="0" w:lastRowLastColumn="0"/>
            <w:tcW w:w="1317" w:type="dxa"/>
          </w:tcPr>
          <w:p w14:paraId="4A2B1DBF" w14:textId="77777777" w:rsidR="007B4AF4" w:rsidRDefault="007B4AF4" w:rsidP="00C2243F">
            <w:r>
              <w:t>3.0</w:t>
            </w:r>
          </w:p>
        </w:tc>
        <w:tc>
          <w:tcPr>
            <w:tcW w:w="1293" w:type="dxa"/>
          </w:tcPr>
          <w:p w14:paraId="7320FA0E"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 min</w:t>
            </w:r>
          </w:p>
        </w:tc>
        <w:tc>
          <w:tcPr>
            <w:tcW w:w="643" w:type="dxa"/>
          </w:tcPr>
          <w:p w14:paraId="6BF75241" w14:textId="4375EBE5"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pPr>
            <w:r>
              <w:t>15</w:t>
            </w:r>
          </w:p>
        </w:tc>
        <w:tc>
          <w:tcPr>
            <w:tcW w:w="643" w:type="dxa"/>
          </w:tcPr>
          <w:p w14:paraId="5325EAD6" w14:textId="2EAE336B"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30</w:t>
            </w:r>
          </w:p>
        </w:tc>
        <w:tc>
          <w:tcPr>
            <w:tcW w:w="697" w:type="dxa"/>
          </w:tcPr>
          <w:p w14:paraId="70AF0867"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45</w:t>
            </w:r>
          </w:p>
        </w:tc>
        <w:tc>
          <w:tcPr>
            <w:tcW w:w="706" w:type="dxa"/>
          </w:tcPr>
          <w:p w14:paraId="05E25082"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60</w:t>
            </w:r>
          </w:p>
        </w:tc>
        <w:tc>
          <w:tcPr>
            <w:tcW w:w="706" w:type="dxa"/>
          </w:tcPr>
          <w:p w14:paraId="56372CB8"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75</w:t>
            </w:r>
          </w:p>
        </w:tc>
        <w:tc>
          <w:tcPr>
            <w:tcW w:w="706" w:type="dxa"/>
          </w:tcPr>
          <w:p w14:paraId="1DBB701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90</w:t>
            </w:r>
          </w:p>
        </w:tc>
        <w:tc>
          <w:tcPr>
            <w:tcW w:w="706" w:type="dxa"/>
          </w:tcPr>
          <w:p w14:paraId="3AC86672"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105</w:t>
            </w:r>
          </w:p>
        </w:tc>
        <w:tc>
          <w:tcPr>
            <w:tcW w:w="706" w:type="dxa"/>
          </w:tcPr>
          <w:p w14:paraId="350EE474"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120</w:t>
            </w:r>
          </w:p>
        </w:tc>
        <w:tc>
          <w:tcPr>
            <w:tcW w:w="596" w:type="dxa"/>
          </w:tcPr>
          <w:p w14:paraId="175F0318"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135</w:t>
            </w:r>
          </w:p>
        </w:tc>
        <w:tc>
          <w:tcPr>
            <w:tcW w:w="708" w:type="dxa"/>
          </w:tcPr>
          <w:p w14:paraId="3306781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150</w:t>
            </w:r>
          </w:p>
        </w:tc>
      </w:tr>
      <w:tr w:rsidR="007B4AF4" w14:paraId="00D4A339" w14:textId="77777777" w:rsidTr="007B4AF4">
        <w:tc>
          <w:tcPr>
            <w:cnfStyle w:val="001000000000" w:firstRow="0" w:lastRow="0" w:firstColumn="1" w:lastColumn="0" w:oddVBand="0" w:evenVBand="0" w:oddHBand="0" w:evenHBand="0" w:firstRowFirstColumn="0" w:firstRowLastColumn="0" w:lastRowFirstColumn="0" w:lastRowLastColumn="0"/>
            <w:tcW w:w="1317" w:type="dxa"/>
          </w:tcPr>
          <w:p w14:paraId="481FC0A0" w14:textId="77777777" w:rsidR="007B4AF4" w:rsidRDefault="007B4AF4" w:rsidP="00C2243F">
            <w:r>
              <w:t>3.6</w:t>
            </w:r>
          </w:p>
        </w:tc>
        <w:tc>
          <w:tcPr>
            <w:tcW w:w="1293" w:type="dxa"/>
          </w:tcPr>
          <w:p w14:paraId="052DA427"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 min</w:t>
            </w:r>
          </w:p>
        </w:tc>
        <w:tc>
          <w:tcPr>
            <w:tcW w:w="643" w:type="dxa"/>
          </w:tcPr>
          <w:p w14:paraId="5CD47311" w14:textId="5625CC66"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pPr>
            <w:r>
              <w:t>18</w:t>
            </w:r>
          </w:p>
        </w:tc>
        <w:tc>
          <w:tcPr>
            <w:tcW w:w="643" w:type="dxa"/>
          </w:tcPr>
          <w:p w14:paraId="42FF2078" w14:textId="0A1B8546"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36</w:t>
            </w:r>
          </w:p>
        </w:tc>
        <w:tc>
          <w:tcPr>
            <w:tcW w:w="697" w:type="dxa"/>
          </w:tcPr>
          <w:p w14:paraId="508D6D31"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54</w:t>
            </w:r>
          </w:p>
        </w:tc>
        <w:tc>
          <w:tcPr>
            <w:tcW w:w="706" w:type="dxa"/>
          </w:tcPr>
          <w:p w14:paraId="5CA2C338"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72</w:t>
            </w:r>
          </w:p>
        </w:tc>
        <w:tc>
          <w:tcPr>
            <w:tcW w:w="706" w:type="dxa"/>
          </w:tcPr>
          <w:p w14:paraId="6B28340D"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90</w:t>
            </w:r>
          </w:p>
        </w:tc>
        <w:tc>
          <w:tcPr>
            <w:tcW w:w="706" w:type="dxa"/>
          </w:tcPr>
          <w:p w14:paraId="0061C878"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108</w:t>
            </w:r>
          </w:p>
        </w:tc>
        <w:tc>
          <w:tcPr>
            <w:tcW w:w="706" w:type="dxa"/>
          </w:tcPr>
          <w:p w14:paraId="42544CE1"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126</w:t>
            </w:r>
          </w:p>
        </w:tc>
        <w:tc>
          <w:tcPr>
            <w:tcW w:w="706" w:type="dxa"/>
          </w:tcPr>
          <w:p w14:paraId="371630CD"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144</w:t>
            </w:r>
          </w:p>
        </w:tc>
        <w:tc>
          <w:tcPr>
            <w:tcW w:w="596" w:type="dxa"/>
          </w:tcPr>
          <w:p w14:paraId="695B0143"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162</w:t>
            </w:r>
          </w:p>
        </w:tc>
        <w:tc>
          <w:tcPr>
            <w:tcW w:w="708" w:type="dxa"/>
          </w:tcPr>
          <w:p w14:paraId="634C4A8B"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180</w:t>
            </w:r>
          </w:p>
        </w:tc>
      </w:tr>
      <w:tr w:rsidR="007B4AF4" w14:paraId="4A4F6572" w14:textId="77777777" w:rsidTr="007B4AF4">
        <w:tc>
          <w:tcPr>
            <w:cnfStyle w:val="001000000000" w:firstRow="0" w:lastRow="0" w:firstColumn="1" w:lastColumn="0" w:oddVBand="0" w:evenVBand="0" w:oddHBand="0" w:evenHBand="0" w:firstRowFirstColumn="0" w:firstRowLastColumn="0" w:lastRowFirstColumn="0" w:lastRowLastColumn="0"/>
            <w:tcW w:w="1317" w:type="dxa"/>
          </w:tcPr>
          <w:p w14:paraId="78866452" w14:textId="77777777" w:rsidR="007B4AF4" w:rsidRDefault="007B4AF4" w:rsidP="00C2243F">
            <w:r>
              <w:t>4.2</w:t>
            </w:r>
          </w:p>
        </w:tc>
        <w:tc>
          <w:tcPr>
            <w:tcW w:w="1293" w:type="dxa"/>
          </w:tcPr>
          <w:p w14:paraId="56C39AD8"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rsidRPr="00E93D8E">
              <w:rPr>
                <w:color w:val="000000" w:themeColor="text1"/>
              </w:rPr>
              <w:t>30 min</w:t>
            </w:r>
          </w:p>
        </w:tc>
        <w:tc>
          <w:tcPr>
            <w:tcW w:w="643" w:type="dxa"/>
          </w:tcPr>
          <w:p w14:paraId="4638EDAE" w14:textId="5FB714A1"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pPr>
            <w:r>
              <w:t>21</w:t>
            </w:r>
          </w:p>
        </w:tc>
        <w:tc>
          <w:tcPr>
            <w:tcW w:w="643" w:type="dxa"/>
          </w:tcPr>
          <w:p w14:paraId="29183BFE" w14:textId="5D4F4C8F"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42</w:t>
            </w:r>
          </w:p>
        </w:tc>
        <w:tc>
          <w:tcPr>
            <w:tcW w:w="697" w:type="dxa"/>
          </w:tcPr>
          <w:p w14:paraId="21C24BD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63</w:t>
            </w:r>
          </w:p>
        </w:tc>
        <w:tc>
          <w:tcPr>
            <w:tcW w:w="706" w:type="dxa"/>
          </w:tcPr>
          <w:p w14:paraId="35E4B619"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84</w:t>
            </w:r>
          </w:p>
        </w:tc>
        <w:tc>
          <w:tcPr>
            <w:tcW w:w="706" w:type="dxa"/>
          </w:tcPr>
          <w:p w14:paraId="222AB700"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105</w:t>
            </w:r>
          </w:p>
        </w:tc>
        <w:tc>
          <w:tcPr>
            <w:tcW w:w="706" w:type="dxa"/>
          </w:tcPr>
          <w:p w14:paraId="5BBB2D47"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126</w:t>
            </w:r>
          </w:p>
        </w:tc>
        <w:tc>
          <w:tcPr>
            <w:tcW w:w="706" w:type="dxa"/>
          </w:tcPr>
          <w:p w14:paraId="36C4D210"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147</w:t>
            </w:r>
          </w:p>
        </w:tc>
        <w:tc>
          <w:tcPr>
            <w:tcW w:w="706" w:type="dxa"/>
          </w:tcPr>
          <w:p w14:paraId="37BB7E6A"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168</w:t>
            </w:r>
          </w:p>
        </w:tc>
        <w:tc>
          <w:tcPr>
            <w:tcW w:w="596" w:type="dxa"/>
          </w:tcPr>
          <w:p w14:paraId="2EED70BD"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189</w:t>
            </w:r>
          </w:p>
        </w:tc>
        <w:tc>
          <w:tcPr>
            <w:tcW w:w="708" w:type="dxa"/>
          </w:tcPr>
          <w:p w14:paraId="660AE065" w14:textId="77777777" w:rsidR="007B4AF4" w:rsidRPr="0003619B"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03619B">
              <w:rPr>
                <w:color w:val="000000" w:themeColor="text1"/>
              </w:rPr>
              <w:t>210</w:t>
            </w:r>
          </w:p>
        </w:tc>
      </w:tr>
      <w:tr w:rsidR="007B4AF4" w14:paraId="4B33C8B1" w14:textId="77777777" w:rsidTr="007B4AF4">
        <w:tc>
          <w:tcPr>
            <w:cnfStyle w:val="001000000000" w:firstRow="0" w:lastRow="0" w:firstColumn="1" w:lastColumn="0" w:oddVBand="0" w:evenVBand="0" w:oddHBand="0" w:evenHBand="0" w:firstRowFirstColumn="0" w:firstRowLastColumn="0" w:lastRowFirstColumn="0" w:lastRowLastColumn="0"/>
            <w:tcW w:w="1317" w:type="dxa"/>
          </w:tcPr>
          <w:p w14:paraId="62F3AFB0" w14:textId="77777777" w:rsidR="007B4AF4" w:rsidRDefault="007B4AF4" w:rsidP="00C2243F">
            <w:r>
              <w:t>4.8</w:t>
            </w:r>
          </w:p>
        </w:tc>
        <w:tc>
          <w:tcPr>
            <w:tcW w:w="1293" w:type="dxa"/>
          </w:tcPr>
          <w:p w14:paraId="39A7D4A5"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 min</w:t>
            </w:r>
          </w:p>
        </w:tc>
        <w:tc>
          <w:tcPr>
            <w:tcW w:w="643" w:type="dxa"/>
          </w:tcPr>
          <w:p w14:paraId="3AB0220B" w14:textId="358AF2A0" w:rsidR="007B4AF4" w:rsidRDefault="007B4AF4" w:rsidP="00C2243F">
            <w:pPr>
              <w:cnfStyle w:val="000000000000" w:firstRow="0" w:lastRow="0" w:firstColumn="0" w:lastColumn="0" w:oddVBand="0" w:evenVBand="0" w:oddHBand="0" w:evenHBand="0" w:firstRowFirstColumn="0" w:firstRowLastColumn="0" w:lastRowFirstColumn="0" w:lastRowLastColumn="0"/>
            </w:pPr>
            <w:r>
              <w:t>24</w:t>
            </w:r>
          </w:p>
        </w:tc>
        <w:tc>
          <w:tcPr>
            <w:tcW w:w="643" w:type="dxa"/>
          </w:tcPr>
          <w:p w14:paraId="76959262" w14:textId="1102FCFD" w:rsidR="007B4AF4" w:rsidRDefault="007B4AF4" w:rsidP="00C2243F">
            <w:pPr>
              <w:cnfStyle w:val="000000000000" w:firstRow="0" w:lastRow="0" w:firstColumn="0" w:lastColumn="0" w:oddVBand="0" w:evenVBand="0" w:oddHBand="0" w:evenHBand="0" w:firstRowFirstColumn="0" w:firstRowLastColumn="0" w:lastRowFirstColumn="0" w:lastRowLastColumn="0"/>
            </w:pPr>
            <w:r>
              <w:t>48</w:t>
            </w:r>
          </w:p>
        </w:tc>
        <w:tc>
          <w:tcPr>
            <w:tcW w:w="697" w:type="dxa"/>
          </w:tcPr>
          <w:p w14:paraId="631DAEA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72</w:t>
            </w:r>
          </w:p>
        </w:tc>
        <w:tc>
          <w:tcPr>
            <w:tcW w:w="706" w:type="dxa"/>
          </w:tcPr>
          <w:p w14:paraId="04C198EE"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96</w:t>
            </w:r>
          </w:p>
        </w:tc>
        <w:tc>
          <w:tcPr>
            <w:tcW w:w="706" w:type="dxa"/>
          </w:tcPr>
          <w:p w14:paraId="1214A3A7"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120</w:t>
            </w:r>
          </w:p>
        </w:tc>
        <w:tc>
          <w:tcPr>
            <w:tcW w:w="706" w:type="dxa"/>
          </w:tcPr>
          <w:p w14:paraId="3CD6F23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144</w:t>
            </w:r>
          </w:p>
        </w:tc>
        <w:tc>
          <w:tcPr>
            <w:tcW w:w="706" w:type="dxa"/>
          </w:tcPr>
          <w:p w14:paraId="1D16284E"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168</w:t>
            </w:r>
          </w:p>
        </w:tc>
        <w:tc>
          <w:tcPr>
            <w:tcW w:w="706" w:type="dxa"/>
          </w:tcPr>
          <w:p w14:paraId="7614FE64"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192</w:t>
            </w:r>
          </w:p>
        </w:tc>
        <w:tc>
          <w:tcPr>
            <w:tcW w:w="596" w:type="dxa"/>
          </w:tcPr>
          <w:p w14:paraId="1E703C2A"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216</w:t>
            </w:r>
          </w:p>
        </w:tc>
        <w:tc>
          <w:tcPr>
            <w:tcW w:w="708" w:type="dxa"/>
          </w:tcPr>
          <w:p w14:paraId="52C0D838"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240</w:t>
            </w:r>
          </w:p>
        </w:tc>
      </w:tr>
      <w:tr w:rsidR="007B4AF4" w14:paraId="02C5223D" w14:textId="77777777" w:rsidTr="007B4AF4">
        <w:tc>
          <w:tcPr>
            <w:cnfStyle w:val="001000000000" w:firstRow="0" w:lastRow="0" w:firstColumn="1" w:lastColumn="0" w:oddVBand="0" w:evenVBand="0" w:oddHBand="0" w:evenHBand="0" w:firstRowFirstColumn="0" w:firstRowLastColumn="0" w:lastRowFirstColumn="0" w:lastRowLastColumn="0"/>
            <w:tcW w:w="1317" w:type="dxa"/>
          </w:tcPr>
          <w:p w14:paraId="1CA6FACE" w14:textId="77777777" w:rsidR="007B4AF4" w:rsidRDefault="007B4AF4" w:rsidP="00C2243F">
            <w:r>
              <w:t>5.4</w:t>
            </w:r>
          </w:p>
        </w:tc>
        <w:tc>
          <w:tcPr>
            <w:tcW w:w="1293" w:type="dxa"/>
          </w:tcPr>
          <w:p w14:paraId="4CF075C5"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 min</w:t>
            </w:r>
          </w:p>
        </w:tc>
        <w:tc>
          <w:tcPr>
            <w:tcW w:w="643" w:type="dxa"/>
          </w:tcPr>
          <w:p w14:paraId="119B9953" w14:textId="1A368EF5" w:rsidR="007B4AF4" w:rsidRDefault="007B4AF4" w:rsidP="00C2243F">
            <w:pPr>
              <w:cnfStyle w:val="000000000000" w:firstRow="0" w:lastRow="0" w:firstColumn="0" w:lastColumn="0" w:oddVBand="0" w:evenVBand="0" w:oddHBand="0" w:evenHBand="0" w:firstRowFirstColumn="0" w:firstRowLastColumn="0" w:lastRowFirstColumn="0" w:lastRowLastColumn="0"/>
            </w:pPr>
            <w:r>
              <w:t>27</w:t>
            </w:r>
          </w:p>
        </w:tc>
        <w:tc>
          <w:tcPr>
            <w:tcW w:w="643" w:type="dxa"/>
          </w:tcPr>
          <w:p w14:paraId="3FE2E49A" w14:textId="1216D950" w:rsidR="007B4AF4" w:rsidRDefault="007B4AF4" w:rsidP="00C2243F">
            <w:pPr>
              <w:cnfStyle w:val="000000000000" w:firstRow="0" w:lastRow="0" w:firstColumn="0" w:lastColumn="0" w:oddVBand="0" w:evenVBand="0" w:oddHBand="0" w:evenHBand="0" w:firstRowFirstColumn="0" w:firstRowLastColumn="0" w:lastRowFirstColumn="0" w:lastRowLastColumn="0"/>
            </w:pPr>
            <w:r>
              <w:t>54</w:t>
            </w:r>
          </w:p>
        </w:tc>
        <w:tc>
          <w:tcPr>
            <w:tcW w:w="697" w:type="dxa"/>
          </w:tcPr>
          <w:p w14:paraId="7E68C035"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81</w:t>
            </w:r>
          </w:p>
        </w:tc>
        <w:tc>
          <w:tcPr>
            <w:tcW w:w="706" w:type="dxa"/>
          </w:tcPr>
          <w:p w14:paraId="13A2B069"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108</w:t>
            </w:r>
          </w:p>
        </w:tc>
        <w:tc>
          <w:tcPr>
            <w:tcW w:w="706" w:type="dxa"/>
          </w:tcPr>
          <w:p w14:paraId="6356690F"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135</w:t>
            </w:r>
          </w:p>
        </w:tc>
        <w:tc>
          <w:tcPr>
            <w:tcW w:w="706" w:type="dxa"/>
          </w:tcPr>
          <w:p w14:paraId="05095824"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162</w:t>
            </w:r>
          </w:p>
        </w:tc>
        <w:tc>
          <w:tcPr>
            <w:tcW w:w="706" w:type="dxa"/>
          </w:tcPr>
          <w:p w14:paraId="528721F0"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189</w:t>
            </w:r>
          </w:p>
        </w:tc>
        <w:tc>
          <w:tcPr>
            <w:tcW w:w="706" w:type="dxa"/>
          </w:tcPr>
          <w:p w14:paraId="252DCB42"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216</w:t>
            </w:r>
          </w:p>
        </w:tc>
        <w:tc>
          <w:tcPr>
            <w:tcW w:w="596" w:type="dxa"/>
          </w:tcPr>
          <w:p w14:paraId="68DB58FF"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243</w:t>
            </w:r>
          </w:p>
        </w:tc>
        <w:tc>
          <w:tcPr>
            <w:tcW w:w="708" w:type="dxa"/>
          </w:tcPr>
          <w:p w14:paraId="41F22D6A"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270</w:t>
            </w:r>
          </w:p>
        </w:tc>
      </w:tr>
      <w:tr w:rsidR="007B4AF4" w14:paraId="7A99A29E" w14:textId="77777777" w:rsidTr="007B4AF4">
        <w:tc>
          <w:tcPr>
            <w:cnfStyle w:val="001000000000" w:firstRow="0" w:lastRow="0" w:firstColumn="1" w:lastColumn="0" w:oddVBand="0" w:evenVBand="0" w:oddHBand="0" w:evenHBand="0" w:firstRowFirstColumn="0" w:firstRowLastColumn="0" w:lastRowFirstColumn="0" w:lastRowLastColumn="0"/>
            <w:tcW w:w="1317" w:type="dxa"/>
          </w:tcPr>
          <w:p w14:paraId="5FBF32C2" w14:textId="77777777" w:rsidR="007B4AF4" w:rsidRDefault="007B4AF4" w:rsidP="00C2243F">
            <w:r>
              <w:t>6.0</w:t>
            </w:r>
          </w:p>
        </w:tc>
        <w:tc>
          <w:tcPr>
            <w:tcW w:w="1293" w:type="dxa"/>
          </w:tcPr>
          <w:p w14:paraId="450B29F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Remainder</w:t>
            </w:r>
          </w:p>
        </w:tc>
        <w:tc>
          <w:tcPr>
            <w:tcW w:w="643" w:type="dxa"/>
          </w:tcPr>
          <w:p w14:paraId="071A7B5D" w14:textId="23B8CF79" w:rsidR="007B4AF4" w:rsidRDefault="007B4AF4" w:rsidP="00C2243F">
            <w:pPr>
              <w:cnfStyle w:val="000000000000" w:firstRow="0" w:lastRow="0" w:firstColumn="0" w:lastColumn="0" w:oddVBand="0" w:evenVBand="0" w:oddHBand="0" w:evenHBand="0" w:firstRowFirstColumn="0" w:firstRowLastColumn="0" w:lastRowFirstColumn="0" w:lastRowLastColumn="0"/>
            </w:pPr>
            <w:r>
              <w:t>30</w:t>
            </w:r>
          </w:p>
        </w:tc>
        <w:tc>
          <w:tcPr>
            <w:tcW w:w="643" w:type="dxa"/>
          </w:tcPr>
          <w:p w14:paraId="58552837" w14:textId="1955AEAA" w:rsidR="007B4AF4" w:rsidRDefault="007B4AF4" w:rsidP="00C2243F">
            <w:pPr>
              <w:cnfStyle w:val="000000000000" w:firstRow="0" w:lastRow="0" w:firstColumn="0" w:lastColumn="0" w:oddVBand="0" w:evenVBand="0" w:oddHBand="0" w:evenHBand="0" w:firstRowFirstColumn="0" w:firstRowLastColumn="0" w:lastRowFirstColumn="0" w:lastRowLastColumn="0"/>
            </w:pPr>
            <w:r>
              <w:t>60</w:t>
            </w:r>
          </w:p>
        </w:tc>
        <w:tc>
          <w:tcPr>
            <w:tcW w:w="697" w:type="dxa"/>
          </w:tcPr>
          <w:p w14:paraId="55F4B71F"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90</w:t>
            </w:r>
          </w:p>
        </w:tc>
        <w:tc>
          <w:tcPr>
            <w:tcW w:w="706" w:type="dxa"/>
          </w:tcPr>
          <w:p w14:paraId="282204BE"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120</w:t>
            </w:r>
          </w:p>
        </w:tc>
        <w:tc>
          <w:tcPr>
            <w:tcW w:w="706" w:type="dxa"/>
          </w:tcPr>
          <w:p w14:paraId="3C1CB6C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150</w:t>
            </w:r>
          </w:p>
        </w:tc>
        <w:tc>
          <w:tcPr>
            <w:tcW w:w="706" w:type="dxa"/>
          </w:tcPr>
          <w:p w14:paraId="349BD9C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180</w:t>
            </w:r>
          </w:p>
        </w:tc>
        <w:tc>
          <w:tcPr>
            <w:tcW w:w="706" w:type="dxa"/>
          </w:tcPr>
          <w:p w14:paraId="59FDEAE6"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210</w:t>
            </w:r>
          </w:p>
        </w:tc>
        <w:tc>
          <w:tcPr>
            <w:tcW w:w="706" w:type="dxa"/>
          </w:tcPr>
          <w:p w14:paraId="7D296A5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240</w:t>
            </w:r>
          </w:p>
        </w:tc>
        <w:tc>
          <w:tcPr>
            <w:tcW w:w="596" w:type="dxa"/>
          </w:tcPr>
          <w:p w14:paraId="38E0B3CA"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270</w:t>
            </w:r>
          </w:p>
        </w:tc>
        <w:tc>
          <w:tcPr>
            <w:tcW w:w="708" w:type="dxa"/>
          </w:tcPr>
          <w:p w14:paraId="1F5E2AB8"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300 MAX</w:t>
            </w:r>
          </w:p>
        </w:tc>
      </w:tr>
    </w:tbl>
    <w:p w14:paraId="73007611" w14:textId="77777777" w:rsidR="00705353" w:rsidRPr="00705353" w:rsidRDefault="00705353" w:rsidP="00705353">
      <w:pPr>
        <w:rPr>
          <w:sz w:val="20"/>
          <w:szCs w:val="16"/>
        </w:rPr>
      </w:pPr>
      <w:r w:rsidRPr="002A227C">
        <w:rPr>
          <w:sz w:val="20"/>
          <w:szCs w:val="16"/>
        </w:rPr>
        <w:t>This table was developed using the FLEBOGAMMA</w:t>
      </w:r>
      <w:r w:rsidRPr="002A227C">
        <w:rPr>
          <w:rFonts w:cs="Calibri"/>
          <w:sz w:val="20"/>
          <w:szCs w:val="16"/>
        </w:rPr>
        <w:t>®5 percent DIF product information, always refer to the product information for more information.</w:t>
      </w:r>
    </w:p>
    <w:p w14:paraId="73BE4EF4" w14:textId="204A4C38" w:rsidR="00705353" w:rsidRPr="001954EF" w:rsidRDefault="00705353" w:rsidP="00705353">
      <w:pPr>
        <w:pStyle w:val="Heading5"/>
      </w:pPr>
      <w:r>
        <w:t>First infusions – for a</w:t>
      </w:r>
      <w:r w:rsidRPr="00481DC8">
        <w:t>ll 10% IVIg products</w:t>
      </w:r>
      <w:r w:rsidR="00CB76F1">
        <w:t xml:space="preserve"> for patients &gt;10 kg</w:t>
      </w:r>
      <w:r>
        <w:t>:</w:t>
      </w:r>
    </w:p>
    <w:tbl>
      <w:tblPr>
        <w:tblStyle w:val="GridTable1Light"/>
        <w:tblW w:w="0" w:type="auto"/>
        <w:tblLook w:val="04A0" w:firstRow="1" w:lastRow="0" w:firstColumn="1" w:lastColumn="0" w:noHBand="0" w:noVBand="1"/>
      </w:tblPr>
      <w:tblGrid>
        <w:gridCol w:w="1292"/>
        <w:gridCol w:w="1293"/>
        <w:gridCol w:w="633"/>
        <w:gridCol w:w="633"/>
        <w:gridCol w:w="744"/>
        <w:gridCol w:w="745"/>
        <w:gridCol w:w="745"/>
        <w:gridCol w:w="745"/>
        <w:gridCol w:w="745"/>
        <w:gridCol w:w="745"/>
        <w:gridCol w:w="745"/>
        <w:gridCol w:w="828"/>
      </w:tblGrid>
      <w:tr w:rsidR="007B4AF4" w14:paraId="65B41F43" w14:textId="77777777" w:rsidTr="007B4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66E7CC51" w14:textId="77777777" w:rsidR="007B4AF4" w:rsidRDefault="007B4AF4" w:rsidP="00C2243F">
            <w:r>
              <w:t>Dose (mL/kg/hr)</w:t>
            </w:r>
          </w:p>
        </w:tc>
        <w:tc>
          <w:tcPr>
            <w:tcW w:w="1293" w:type="dxa"/>
          </w:tcPr>
          <w:p w14:paraId="65962BFF"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Infusion Time</w:t>
            </w:r>
          </w:p>
        </w:tc>
        <w:tc>
          <w:tcPr>
            <w:tcW w:w="633" w:type="dxa"/>
          </w:tcPr>
          <w:p w14:paraId="5EA81860" w14:textId="0B735E4B" w:rsidR="007B4AF4" w:rsidRDefault="007B4AF4" w:rsidP="00C2243F">
            <w:pPr>
              <w:cnfStyle w:val="100000000000" w:firstRow="1" w:lastRow="0" w:firstColumn="0" w:lastColumn="0" w:oddVBand="0" w:evenVBand="0" w:oddHBand="0" w:evenHBand="0" w:firstRowFirstColumn="0" w:firstRowLastColumn="0" w:lastRowFirstColumn="0" w:lastRowLastColumn="0"/>
            </w:pPr>
            <w:r>
              <w:t>10 kg</w:t>
            </w:r>
          </w:p>
        </w:tc>
        <w:tc>
          <w:tcPr>
            <w:tcW w:w="633" w:type="dxa"/>
          </w:tcPr>
          <w:p w14:paraId="4D22B70B" w14:textId="127647AB" w:rsidR="007B4AF4" w:rsidRDefault="007B4AF4" w:rsidP="00C2243F">
            <w:pPr>
              <w:cnfStyle w:val="100000000000" w:firstRow="1" w:lastRow="0" w:firstColumn="0" w:lastColumn="0" w:oddVBand="0" w:evenVBand="0" w:oddHBand="0" w:evenHBand="0" w:firstRowFirstColumn="0" w:firstRowLastColumn="0" w:lastRowFirstColumn="0" w:lastRowLastColumn="0"/>
            </w:pPr>
            <w:r>
              <w:t>20 kg</w:t>
            </w:r>
          </w:p>
        </w:tc>
        <w:tc>
          <w:tcPr>
            <w:tcW w:w="744" w:type="dxa"/>
          </w:tcPr>
          <w:p w14:paraId="47D4FFEE"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30 kg</w:t>
            </w:r>
          </w:p>
        </w:tc>
        <w:tc>
          <w:tcPr>
            <w:tcW w:w="745" w:type="dxa"/>
          </w:tcPr>
          <w:p w14:paraId="516B2C9E"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40 kg</w:t>
            </w:r>
          </w:p>
        </w:tc>
        <w:tc>
          <w:tcPr>
            <w:tcW w:w="745" w:type="dxa"/>
          </w:tcPr>
          <w:p w14:paraId="179B9D77"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50 kg</w:t>
            </w:r>
          </w:p>
        </w:tc>
        <w:tc>
          <w:tcPr>
            <w:tcW w:w="745" w:type="dxa"/>
          </w:tcPr>
          <w:p w14:paraId="47F49F91"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60 kg</w:t>
            </w:r>
          </w:p>
        </w:tc>
        <w:tc>
          <w:tcPr>
            <w:tcW w:w="745" w:type="dxa"/>
          </w:tcPr>
          <w:p w14:paraId="0E9A6681"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70 kg</w:t>
            </w:r>
          </w:p>
        </w:tc>
        <w:tc>
          <w:tcPr>
            <w:tcW w:w="745" w:type="dxa"/>
          </w:tcPr>
          <w:p w14:paraId="545B1AC2"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80 kg</w:t>
            </w:r>
          </w:p>
        </w:tc>
        <w:tc>
          <w:tcPr>
            <w:tcW w:w="745" w:type="dxa"/>
          </w:tcPr>
          <w:p w14:paraId="461E71A6"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90 kg</w:t>
            </w:r>
          </w:p>
        </w:tc>
        <w:tc>
          <w:tcPr>
            <w:tcW w:w="828" w:type="dxa"/>
          </w:tcPr>
          <w:p w14:paraId="18FAB9BC"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100 kg</w:t>
            </w:r>
          </w:p>
        </w:tc>
      </w:tr>
      <w:tr w:rsidR="007B4AF4" w14:paraId="6CA6E916"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4A202F7F" w14:textId="77777777" w:rsidR="007B4AF4" w:rsidRPr="00E93D8E" w:rsidRDefault="007B4AF4" w:rsidP="00C2243F">
            <w:pPr>
              <w:rPr>
                <w:b w:val="0"/>
                <w:bCs w:val="0"/>
                <w:color w:val="000000" w:themeColor="text1"/>
              </w:rPr>
            </w:pPr>
            <w:r w:rsidRPr="00E93D8E">
              <w:rPr>
                <w:color w:val="000000" w:themeColor="text1"/>
              </w:rPr>
              <w:t xml:space="preserve">0.5 </w:t>
            </w:r>
          </w:p>
        </w:tc>
        <w:tc>
          <w:tcPr>
            <w:tcW w:w="1293" w:type="dxa"/>
          </w:tcPr>
          <w:p w14:paraId="4FCAF307" w14:textId="77777777" w:rsidR="007B4AF4" w:rsidRPr="00E93D8E"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E93D8E">
              <w:rPr>
                <w:color w:val="000000" w:themeColor="text1"/>
              </w:rPr>
              <w:t>30 min</w:t>
            </w:r>
          </w:p>
        </w:tc>
        <w:tc>
          <w:tcPr>
            <w:tcW w:w="633" w:type="dxa"/>
          </w:tcPr>
          <w:p w14:paraId="56BE3314" w14:textId="03FC171F" w:rsidR="007B4AF4" w:rsidRDefault="007B4AF4" w:rsidP="00C2243F">
            <w:pPr>
              <w:cnfStyle w:val="000000000000" w:firstRow="0" w:lastRow="0" w:firstColumn="0" w:lastColumn="0" w:oddVBand="0" w:evenVBand="0" w:oddHBand="0" w:evenHBand="0" w:firstRowFirstColumn="0" w:firstRowLastColumn="0" w:lastRowFirstColumn="0" w:lastRowLastColumn="0"/>
            </w:pPr>
            <w:r>
              <w:t>5</w:t>
            </w:r>
          </w:p>
        </w:tc>
        <w:tc>
          <w:tcPr>
            <w:tcW w:w="633" w:type="dxa"/>
          </w:tcPr>
          <w:p w14:paraId="37DA2FDB" w14:textId="71BC0FFC" w:rsidR="007B4AF4" w:rsidRDefault="007B4AF4" w:rsidP="00C2243F">
            <w:pPr>
              <w:cnfStyle w:val="000000000000" w:firstRow="0" w:lastRow="0" w:firstColumn="0" w:lastColumn="0" w:oddVBand="0" w:evenVBand="0" w:oddHBand="0" w:evenHBand="0" w:firstRowFirstColumn="0" w:firstRowLastColumn="0" w:lastRowFirstColumn="0" w:lastRowLastColumn="0"/>
            </w:pPr>
            <w:r>
              <w:t>10</w:t>
            </w:r>
          </w:p>
        </w:tc>
        <w:tc>
          <w:tcPr>
            <w:tcW w:w="744" w:type="dxa"/>
          </w:tcPr>
          <w:p w14:paraId="486AB60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15</w:t>
            </w:r>
          </w:p>
        </w:tc>
        <w:tc>
          <w:tcPr>
            <w:tcW w:w="745" w:type="dxa"/>
          </w:tcPr>
          <w:p w14:paraId="40D52F36"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20</w:t>
            </w:r>
          </w:p>
        </w:tc>
        <w:tc>
          <w:tcPr>
            <w:tcW w:w="745" w:type="dxa"/>
          </w:tcPr>
          <w:p w14:paraId="4D810534"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25</w:t>
            </w:r>
          </w:p>
        </w:tc>
        <w:tc>
          <w:tcPr>
            <w:tcW w:w="745" w:type="dxa"/>
          </w:tcPr>
          <w:p w14:paraId="69B18CE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w:t>
            </w:r>
          </w:p>
        </w:tc>
        <w:tc>
          <w:tcPr>
            <w:tcW w:w="745" w:type="dxa"/>
          </w:tcPr>
          <w:p w14:paraId="5B7690A4"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35</w:t>
            </w:r>
          </w:p>
        </w:tc>
        <w:tc>
          <w:tcPr>
            <w:tcW w:w="745" w:type="dxa"/>
          </w:tcPr>
          <w:p w14:paraId="6E97DBE9"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40</w:t>
            </w:r>
          </w:p>
        </w:tc>
        <w:tc>
          <w:tcPr>
            <w:tcW w:w="745" w:type="dxa"/>
          </w:tcPr>
          <w:p w14:paraId="52DC6EE8"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45</w:t>
            </w:r>
          </w:p>
        </w:tc>
        <w:tc>
          <w:tcPr>
            <w:tcW w:w="828" w:type="dxa"/>
          </w:tcPr>
          <w:p w14:paraId="6D979E75"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50</w:t>
            </w:r>
          </w:p>
        </w:tc>
      </w:tr>
      <w:tr w:rsidR="007B4AF4" w14:paraId="6C61AACA"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5A48D120" w14:textId="77777777" w:rsidR="007B4AF4" w:rsidRPr="00E93D8E" w:rsidRDefault="007B4AF4" w:rsidP="00C2243F">
            <w:pPr>
              <w:rPr>
                <w:color w:val="000000" w:themeColor="text1"/>
              </w:rPr>
            </w:pPr>
            <w:r w:rsidRPr="00E93D8E">
              <w:rPr>
                <w:color w:val="000000" w:themeColor="text1"/>
              </w:rPr>
              <w:t>1.0</w:t>
            </w:r>
          </w:p>
        </w:tc>
        <w:tc>
          <w:tcPr>
            <w:tcW w:w="1293" w:type="dxa"/>
          </w:tcPr>
          <w:p w14:paraId="368B9443" w14:textId="77777777" w:rsidR="007B4AF4" w:rsidRPr="00E93D8E"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E93D8E">
              <w:rPr>
                <w:color w:val="000000" w:themeColor="text1"/>
              </w:rPr>
              <w:t>30 min</w:t>
            </w:r>
          </w:p>
        </w:tc>
        <w:tc>
          <w:tcPr>
            <w:tcW w:w="633" w:type="dxa"/>
          </w:tcPr>
          <w:p w14:paraId="5D64C4B9" w14:textId="6CAB3198" w:rsidR="007B4AF4" w:rsidRDefault="007B4AF4" w:rsidP="00C2243F">
            <w:pPr>
              <w:cnfStyle w:val="000000000000" w:firstRow="0" w:lastRow="0" w:firstColumn="0" w:lastColumn="0" w:oddVBand="0" w:evenVBand="0" w:oddHBand="0" w:evenHBand="0" w:firstRowFirstColumn="0" w:firstRowLastColumn="0" w:lastRowFirstColumn="0" w:lastRowLastColumn="0"/>
            </w:pPr>
            <w:r>
              <w:t>10</w:t>
            </w:r>
          </w:p>
        </w:tc>
        <w:tc>
          <w:tcPr>
            <w:tcW w:w="633" w:type="dxa"/>
          </w:tcPr>
          <w:p w14:paraId="23C3ADCD" w14:textId="59BA5BE8" w:rsidR="007B4AF4" w:rsidRDefault="007B4AF4" w:rsidP="00C2243F">
            <w:pPr>
              <w:cnfStyle w:val="000000000000" w:firstRow="0" w:lastRow="0" w:firstColumn="0" w:lastColumn="0" w:oddVBand="0" w:evenVBand="0" w:oddHBand="0" w:evenHBand="0" w:firstRowFirstColumn="0" w:firstRowLastColumn="0" w:lastRowFirstColumn="0" w:lastRowLastColumn="0"/>
            </w:pPr>
            <w:r>
              <w:t>20</w:t>
            </w:r>
          </w:p>
        </w:tc>
        <w:tc>
          <w:tcPr>
            <w:tcW w:w="744" w:type="dxa"/>
          </w:tcPr>
          <w:p w14:paraId="24EF54AF"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w:t>
            </w:r>
          </w:p>
        </w:tc>
        <w:tc>
          <w:tcPr>
            <w:tcW w:w="745" w:type="dxa"/>
          </w:tcPr>
          <w:p w14:paraId="0C9094CB"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40</w:t>
            </w:r>
          </w:p>
        </w:tc>
        <w:tc>
          <w:tcPr>
            <w:tcW w:w="745" w:type="dxa"/>
          </w:tcPr>
          <w:p w14:paraId="21A8F3B5"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50</w:t>
            </w:r>
          </w:p>
        </w:tc>
        <w:tc>
          <w:tcPr>
            <w:tcW w:w="745" w:type="dxa"/>
          </w:tcPr>
          <w:p w14:paraId="699A36ED"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60</w:t>
            </w:r>
          </w:p>
        </w:tc>
        <w:tc>
          <w:tcPr>
            <w:tcW w:w="745" w:type="dxa"/>
          </w:tcPr>
          <w:p w14:paraId="5C3A0992"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70</w:t>
            </w:r>
          </w:p>
        </w:tc>
        <w:tc>
          <w:tcPr>
            <w:tcW w:w="745" w:type="dxa"/>
          </w:tcPr>
          <w:p w14:paraId="398E205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80</w:t>
            </w:r>
          </w:p>
        </w:tc>
        <w:tc>
          <w:tcPr>
            <w:tcW w:w="745" w:type="dxa"/>
          </w:tcPr>
          <w:p w14:paraId="1C7AD46A"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90</w:t>
            </w:r>
          </w:p>
        </w:tc>
        <w:tc>
          <w:tcPr>
            <w:tcW w:w="828" w:type="dxa"/>
          </w:tcPr>
          <w:p w14:paraId="2F33AC3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100</w:t>
            </w:r>
          </w:p>
        </w:tc>
      </w:tr>
      <w:tr w:rsidR="007B4AF4" w14:paraId="7F3DB65D"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79E20329" w14:textId="77777777" w:rsidR="007B4AF4" w:rsidRDefault="007B4AF4" w:rsidP="00C2243F">
            <w:r>
              <w:t>2.0</w:t>
            </w:r>
          </w:p>
        </w:tc>
        <w:tc>
          <w:tcPr>
            <w:tcW w:w="1293" w:type="dxa"/>
          </w:tcPr>
          <w:p w14:paraId="6EA03ECB" w14:textId="19F1E4A6" w:rsidR="007B4AF4" w:rsidRDefault="00B87DEE" w:rsidP="00C2243F">
            <w:pPr>
              <w:cnfStyle w:val="000000000000" w:firstRow="0" w:lastRow="0" w:firstColumn="0" w:lastColumn="0" w:oddVBand="0" w:evenVBand="0" w:oddHBand="0" w:evenHBand="0" w:firstRowFirstColumn="0" w:firstRowLastColumn="0" w:lastRowFirstColumn="0" w:lastRowLastColumn="0"/>
            </w:pPr>
            <w:r>
              <w:t xml:space="preserve">30 </w:t>
            </w:r>
            <w:r w:rsidR="007B4AF4">
              <w:t>min</w:t>
            </w:r>
          </w:p>
        </w:tc>
        <w:tc>
          <w:tcPr>
            <w:tcW w:w="633" w:type="dxa"/>
          </w:tcPr>
          <w:p w14:paraId="7375A8C5" w14:textId="09039E97" w:rsidR="007B4AF4" w:rsidRDefault="007B4AF4" w:rsidP="00C2243F">
            <w:pPr>
              <w:cnfStyle w:val="000000000000" w:firstRow="0" w:lastRow="0" w:firstColumn="0" w:lastColumn="0" w:oddVBand="0" w:evenVBand="0" w:oddHBand="0" w:evenHBand="0" w:firstRowFirstColumn="0" w:firstRowLastColumn="0" w:lastRowFirstColumn="0" w:lastRowLastColumn="0"/>
            </w:pPr>
            <w:r>
              <w:t>20</w:t>
            </w:r>
          </w:p>
        </w:tc>
        <w:tc>
          <w:tcPr>
            <w:tcW w:w="633" w:type="dxa"/>
          </w:tcPr>
          <w:p w14:paraId="1495D82D" w14:textId="7DDBC731" w:rsidR="007B4AF4" w:rsidRDefault="007B4AF4" w:rsidP="00C2243F">
            <w:pPr>
              <w:cnfStyle w:val="000000000000" w:firstRow="0" w:lastRow="0" w:firstColumn="0" w:lastColumn="0" w:oddVBand="0" w:evenVBand="0" w:oddHBand="0" w:evenHBand="0" w:firstRowFirstColumn="0" w:firstRowLastColumn="0" w:lastRowFirstColumn="0" w:lastRowLastColumn="0"/>
            </w:pPr>
            <w:r>
              <w:t>40</w:t>
            </w:r>
          </w:p>
        </w:tc>
        <w:tc>
          <w:tcPr>
            <w:tcW w:w="744" w:type="dxa"/>
          </w:tcPr>
          <w:p w14:paraId="5392F58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60</w:t>
            </w:r>
          </w:p>
        </w:tc>
        <w:tc>
          <w:tcPr>
            <w:tcW w:w="745" w:type="dxa"/>
          </w:tcPr>
          <w:p w14:paraId="47E18126"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80</w:t>
            </w:r>
          </w:p>
        </w:tc>
        <w:tc>
          <w:tcPr>
            <w:tcW w:w="745" w:type="dxa"/>
          </w:tcPr>
          <w:p w14:paraId="3124717D"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100</w:t>
            </w:r>
          </w:p>
        </w:tc>
        <w:tc>
          <w:tcPr>
            <w:tcW w:w="745" w:type="dxa"/>
          </w:tcPr>
          <w:p w14:paraId="5E22845A"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120</w:t>
            </w:r>
          </w:p>
        </w:tc>
        <w:tc>
          <w:tcPr>
            <w:tcW w:w="745" w:type="dxa"/>
          </w:tcPr>
          <w:p w14:paraId="6D3C5685"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140</w:t>
            </w:r>
          </w:p>
        </w:tc>
        <w:tc>
          <w:tcPr>
            <w:tcW w:w="745" w:type="dxa"/>
          </w:tcPr>
          <w:p w14:paraId="3ED026C0"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160</w:t>
            </w:r>
          </w:p>
        </w:tc>
        <w:tc>
          <w:tcPr>
            <w:tcW w:w="745" w:type="dxa"/>
          </w:tcPr>
          <w:p w14:paraId="526B6618"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180</w:t>
            </w:r>
          </w:p>
        </w:tc>
        <w:tc>
          <w:tcPr>
            <w:tcW w:w="828" w:type="dxa"/>
          </w:tcPr>
          <w:p w14:paraId="7D389875"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200</w:t>
            </w:r>
          </w:p>
        </w:tc>
      </w:tr>
      <w:tr w:rsidR="007B4AF4" w14:paraId="12AB5A5A"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7D8A0358" w14:textId="77777777" w:rsidR="007B4AF4" w:rsidRDefault="007B4AF4" w:rsidP="00C2243F">
            <w:r>
              <w:t>4.0</w:t>
            </w:r>
          </w:p>
        </w:tc>
        <w:tc>
          <w:tcPr>
            <w:tcW w:w="1293" w:type="dxa"/>
          </w:tcPr>
          <w:p w14:paraId="32AF4706" w14:textId="154DD0EF" w:rsidR="007B4AF4" w:rsidRDefault="00B87DEE" w:rsidP="00C2243F">
            <w:pPr>
              <w:cnfStyle w:val="000000000000" w:firstRow="0" w:lastRow="0" w:firstColumn="0" w:lastColumn="0" w:oddVBand="0" w:evenVBand="0" w:oddHBand="0" w:evenHBand="0" w:firstRowFirstColumn="0" w:firstRowLastColumn="0" w:lastRowFirstColumn="0" w:lastRowLastColumn="0"/>
            </w:pPr>
            <w:r>
              <w:t xml:space="preserve">30 </w:t>
            </w:r>
            <w:r w:rsidR="007B4AF4">
              <w:t>min</w:t>
            </w:r>
          </w:p>
        </w:tc>
        <w:tc>
          <w:tcPr>
            <w:tcW w:w="633" w:type="dxa"/>
          </w:tcPr>
          <w:p w14:paraId="24761F51" w14:textId="596DC352" w:rsidR="007B4AF4" w:rsidRDefault="007B4AF4" w:rsidP="00C2243F">
            <w:pPr>
              <w:cnfStyle w:val="000000000000" w:firstRow="0" w:lastRow="0" w:firstColumn="0" w:lastColumn="0" w:oddVBand="0" w:evenVBand="0" w:oddHBand="0" w:evenHBand="0" w:firstRowFirstColumn="0" w:firstRowLastColumn="0" w:lastRowFirstColumn="0" w:lastRowLastColumn="0"/>
            </w:pPr>
            <w:r>
              <w:t>40</w:t>
            </w:r>
          </w:p>
        </w:tc>
        <w:tc>
          <w:tcPr>
            <w:tcW w:w="633" w:type="dxa"/>
          </w:tcPr>
          <w:p w14:paraId="094474FE" w14:textId="03D88515" w:rsidR="007B4AF4" w:rsidRDefault="007B4AF4" w:rsidP="00C2243F">
            <w:pPr>
              <w:cnfStyle w:val="000000000000" w:firstRow="0" w:lastRow="0" w:firstColumn="0" w:lastColumn="0" w:oddVBand="0" w:evenVBand="0" w:oddHBand="0" w:evenHBand="0" w:firstRowFirstColumn="0" w:firstRowLastColumn="0" w:lastRowFirstColumn="0" w:lastRowLastColumn="0"/>
            </w:pPr>
            <w:r>
              <w:t>80</w:t>
            </w:r>
          </w:p>
        </w:tc>
        <w:tc>
          <w:tcPr>
            <w:tcW w:w="744" w:type="dxa"/>
          </w:tcPr>
          <w:p w14:paraId="2248F68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120</w:t>
            </w:r>
          </w:p>
        </w:tc>
        <w:tc>
          <w:tcPr>
            <w:tcW w:w="745" w:type="dxa"/>
          </w:tcPr>
          <w:p w14:paraId="6425C8F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160</w:t>
            </w:r>
          </w:p>
        </w:tc>
        <w:tc>
          <w:tcPr>
            <w:tcW w:w="745" w:type="dxa"/>
          </w:tcPr>
          <w:p w14:paraId="189ABF16"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200</w:t>
            </w:r>
          </w:p>
        </w:tc>
        <w:tc>
          <w:tcPr>
            <w:tcW w:w="745" w:type="dxa"/>
          </w:tcPr>
          <w:p w14:paraId="03A17A4D"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240</w:t>
            </w:r>
          </w:p>
        </w:tc>
        <w:tc>
          <w:tcPr>
            <w:tcW w:w="745" w:type="dxa"/>
          </w:tcPr>
          <w:p w14:paraId="64DD7E2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280</w:t>
            </w:r>
          </w:p>
        </w:tc>
        <w:tc>
          <w:tcPr>
            <w:tcW w:w="745" w:type="dxa"/>
          </w:tcPr>
          <w:p w14:paraId="203CFE5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320</w:t>
            </w:r>
          </w:p>
        </w:tc>
        <w:tc>
          <w:tcPr>
            <w:tcW w:w="745" w:type="dxa"/>
          </w:tcPr>
          <w:p w14:paraId="5EF5886C"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360</w:t>
            </w:r>
          </w:p>
        </w:tc>
        <w:tc>
          <w:tcPr>
            <w:tcW w:w="828" w:type="dxa"/>
          </w:tcPr>
          <w:p w14:paraId="0C7F820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400</w:t>
            </w:r>
          </w:p>
        </w:tc>
      </w:tr>
      <w:tr w:rsidR="007B4AF4" w14:paraId="4909673C"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52B5D715" w14:textId="77777777" w:rsidR="007B4AF4" w:rsidRDefault="007B4AF4" w:rsidP="00C2243F">
            <w:r>
              <w:lastRenderedPageBreak/>
              <w:t>6.0</w:t>
            </w:r>
          </w:p>
        </w:tc>
        <w:tc>
          <w:tcPr>
            <w:tcW w:w="1293" w:type="dxa"/>
          </w:tcPr>
          <w:p w14:paraId="250916CC"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 min</w:t>
            </w:r>
          </w:p>
        </w:tc>
        <w:tc>
          <w:tcPr>
            <w:tcW w:w="633" w:type="dxa"/>
          </w:tcPr>
          <w:p w14:paraId="1D3AFAD2" w14:textId="6FB41515" w:rsidR="007B4AF4" w:rsidRDefault="007B4AF4" w:rsidP="00C2243F">
            <w:pPr>
              <w:cnfStyle w:val="000000000000" w:firstRow="0" w:lastRow="0" w:firstColumn="0" w:lastColumn="0" w:oddVBand="0" w:evenVBand="0" w:oddHBand="0" w:evenHBand="0" w:firstRowFirstColumn="0" w:firstRowLastColumn="0" w:lastRowFirstColumn="0" w:lastRowLastColumn="0"/>
            </w:pPr>
            <w:r>
              <w:t>60</w:t>
            </w:r>
          </w:p>
        </w:tc>
        <w:tc>
          <w:tcPr>
            <w:tcW w:w="633" w:type="dxa"/>
          </w:tcPr>
          <w:p w14:paraId="68BC659A" w14:textId="629C321A" w:rsidR="007B4AF4" w:rsidRDefault="007B4AF4" w:rsidP="00C2243F">
            <w:pPr>
              <w:cnfStyle w:val="000000000000" w:firstRow="0" w:lastRow="0" w:firstColumn="0" w:lastColumn="0" w:oddVBand="0" w:evenVBand="0" w:oddHBand="0" w:evenHBand="0" w:firstRowFirstColumn="0" w:firstRowLastColumn="0" w:lastRowFirstColumn="0" w:lastRowLastColumn="0"/>
            </w:pPr>
            <w:r>
              <w:t>120</w:t>
            </w:r>
          </w:p>
        </w:tc>
        <w:tc>
          <w:tcPr>
            <w:tcW w:w="744" w:type="dxa"/>
          </w:tcPr>
          <w:p w14:paraId="1E92A874"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180</w:t>
            </w:r>
          </w:p>
        </w:tc>
        <w:tc>
          <w:tcPr>
            <w:tcW w:w="745" w:type="dxa"/>
          </w:tcPr>
          <w:p w14:paraId="7B55260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240</w:t>
            </w:r>
          </w:p>
        </w:tc>
        <w:tc>
          <w:tcPr>
            <w:tcW w:w="745" w:type="dxa"/>
          </w:tcPr>
          <w:p w14:paraId="0C9FF997"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300</w:t>
            </w:r>
          </w:p>
        </w:tc>
        <w:tc>
          <w:tcPr>
            <w:tcW w:w="745" w:type="dxa"/>
          </w:tcPr>
          <w:p w14:paraId="7036C7D4"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360</w:t>
            </w:r>
          </w:p>
        </w:tc>
        <w:tc>
          <w:tcPr>
            <w:tcW w:w="745" w:type="dxa"/>
          </w:tcPr>
          <w:p w14:paraId="009D1624"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420</w:t>
            </w:r>
          </w:p>
        </w:tc>
        <w:tc>
          <w:tcPr>
            <w:tcW w:w="745" w:type="dxa"/>
          </w:tcPr>
          <w:p w14:paraId="25671BF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480</w:t>
            </w:r>
          </w:p>
        </w:tc>
        <w:tc>
          <w:tcPr>
            <w:tcW w:w="745" w:type="dxa"/>
          </w:tcPr>
          <w:p w14:paraId="7FA80DF2"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540</w:t>
            </w:r>
          </w:p>
        </w:tc>
        <w:tc>
          <w:tcPr>
            <w:tcW w:w="828" w:type="dxa"/>
          </w:tcPr>
          <w:p w14:paraId="6D2BEBFE"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600</w:t>
            </w:r>
          </w:p>
        </w:tc>
      </w:tr>
      <w:tr w:rsidR="007B4AF4" w14:paraId="573EE3D2"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08CA3B4C" w14:textId="77777777" w:rsidR="007B4AF4" w:rsidRDefault="007B4AF4" w:rsidP="00C2243F">
            <w:r>
              <w:t>7.0</w:t>
            </w:r>
          </w:p>
        </w:tc>
        <w:tc>
          <w:tcPr>
            <w:tcW w:w="1293" w:type="dxa"/>
          </w:tcPr>
          <w:p w14:paraId="5151858F"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Remainder</w:t>
            </w:r>
          </w:p>
        </w:tc>
        <w:tc>
          <w:tcPr>
            <w:tcW w:w="633" w:type="dxa"/>
          </w:tcPr>
          <w:p w14:paraId="0E24669C" w14:textId="27C6F2A1" w:rsidR="007B4AF4" w:rsidRDefault="007B4AF4" w:rsidP="00C2243F">
            <w:pPr>
              <w:cnfStyle w:val="000000000000" w:firstRow="0" w:lastRow="0" w:firstColumn="0" w:lastColumn="0" w:oddVBand="0" w:evenVBand="0" w:oddHBand="0" w:evenHBand="0" w:firstRowFirstColumn="0" w:firstRowLastColumn="0" w:lastRowFirstColumn="0" w:lastRowLastColumn="0"/>
            </w:pPr>
            <w:r>
              <w:t>70</w:t>
            </w:r>
          </w:p>
        </w:tc>
        <w:tc>
          <w:tcPr>
            <w:tcW w:w="633" w:type="dxa"/>
          </w:tcPr>
          <w:p w14:paraId="3F7DAC92" w14:textId="7AB508ED" w:rsidR="007B4AF4" w:rsidRDefault="007B4AF4" w:rsidP="00C2243F">
            <w:pPr>
              <w:cnfStyle w:val="000000000000" w:firstRow="0" w:lastRow="0" w:firstColumn="0" w:lastColumn="0" w:oddVBand="0" w:evenVBand="0" w:oddHBand="0" w:evenHBand="0" w:firstRowFirstColumn="0" w:firstRowLastColumn="0" w:lastRowFirstColumn="0" w:lastRowLastColumn="0"/>
            </w:pPr>
            <w:r>
              <w:t>140</w:t>
            </w:r>
          </w:p>
        </w:tc>
        <w:tc>
          <w:tcPr>
            <w:tcW w:w="744" w:type="dxa"/>
          </w:tcPr>
          <w:p w14:paraId="53522CE9"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210</w:t>
            </w:r>
          </w:p>
        </w:tc>
        <w:tc>
          <w:tcPr>
            <w:tcW w:w="745" w:type="dxa"/>
          </w:tcPr>
          <w:p w14:paraId="1291D89D"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280</w:t>
            </w:r>
          </w:p>
        </w:tc>
        <w:tc>
          <w:tcPr>
            <w:tcW w:w="745" w:type="dxa"/>
          </w:tcPr>
          <w:p w14:paraId="002FBD14"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350</w:t>
            </w:r>
          </w:p>
        </w:tc>
        <w:tc>
          <w:tcPr>
            <w:tcW w:w="745" w:type="dxa"/>
          </w:tcPr>
          <w:p w14:paraId="42756B07"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420</w:t>
            </w:r>
          </w:p>
        </w:tc>
        <w:tc>
          <w:tcPr>
            <w:tcW w:w="745" w:type="dxa"/>
          </w:tcPr>
          <w:p w14:paraId="2D97BF5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490</w:t>
            </w:r>
          </w:p>
        </w:tc>
        <w:tc>
          <w:tcPr>
            <w:tcW w:w="745" w:type="dxa"/>
          </w:tcPr>
          <w:p w14:paraId="31934B2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560</w:t>
            </w:r>
          </w:p>
        </w:tc>
        <w:tc>
          <w:tcPr>
            <w:tcW w:w="745" w:type="dxa"/>
          </w:tcPr>
          <w:p w14:paraId="7AB646D7"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630</w:t>
            </w:r>
          </w:p>
        </w:tc>
        <w:tc>
          <w:tcPr>
            <w:tcW w:w="828" w:type="dxa"/>
          </w:tcPr>
          <w:p w14:paraId="3DC8B119"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700 MAX</w:t>
            </w:r>
          </w:p>
        </w:tc>
      </w:tr>
    </w:tbl>
    <w:p w14:paraId="22B6E408" w14:textId="51E79AA3" w:rsidR="00705353" w:rsidRDefault="00705353" w:rsidP="00705353">
      <w:pPr>
        <w:pStyle w:val="Heading5"/>
      </w:pPr>
      <w:r>
        <w:t xml:space="preserve">Subsequent </w:t>
      </w:r>
      <w:r w:rsidRPr="00E8139A">
        <w:t>infusions - for all 10% IVIg products</w:t>
      </w:r>
      <w:r w:rsidR="00CB76F1">
        <w:t xml:space="preserve"> for patients &gt; 10kg</w:t>
      </w:r>
      <w:r>
        <w:t>:</w:t>
      </w:r>
    </w:p>
    <w:tbl>
      <w:tblPr>
        <w:tblStyle w:val="GridTable1Light"/>
        <w:tblW w:w="0" w:type="auto"/>
        <w:tblLook w:val="04A0" w:firstRow="1" w:lastRow="0" w:firstColumn="1" w:lastColumn="0" w:noHBand="0" w:noVBand="1"/>
      </w:tblPr>
      <w:tblGrid>
        <w:gridCol w:w="1292"/>
        <w:gridCol w:w="1293"/>
        <w:gridCol w:w="633"/>
        <w:gridCol w:w="633"/>
        <w:gridCol w:w="744"/>
        <w:gridCol w:w="745"/>
        <w:gridCol w:w="745"/>
        <w:gridCol w:w="745"/>
        <w:gridCol w:w="745"/>
        <w:gridCol w:w="745"/>
        <w:gridCol w:w="745"/>
        <w:gridCol w:w="828"/>
      </w:tblGrid>
      <w:tr w:rsidR="007B4AF4" w14:paraId="723C9E3F" w14:textId="77777777" w:rsidTr="007B4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5D56BA3B" w14:textId="77777777" w:rsidR="007B4AF4" w:rsidRDefault="007B4AF4" w:rsidP="00C2243F">
            <w:r>
              <w:t>Dose (mL/kg/hr)</w:t>
            </w:r>
          </w:p>
        </w:tc>
        <w:tc>
          <w:tcPr>
            <w:tcW w:w="1293" w:type="dxa"/>
          </w:tcPr>
          <w:p w14:paraId="63335388"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Infusion Time</w:t>
            </w:r>
          </w:p>
        </w:tc>
        <w:tc>
          <w:tcPr>
            <w:tcW w:w="633" w:type="dxa"/>
          </w:tcPr>
          <w:p w14:paraId="6E463CB8" w14:textId="2F00708D" w:rsidR="007B4AF4" w:rsidRDefault="007B4AF4" w:rsidP="00C2243F">
            <w:pPr>
              <w:cnfStyle w:val="100000000000" w:firstRow="1" w:lastRow="0" w:firstColumn="0" w:lastColumn="0" w:oddVBand="0" w:evenVBand="0" w:oddHBand="0" w:evenHBand="0" w:firstRowFirstColumn="0" w:firstRowLastColumn="0" w:lastRowFirstColumn="0" w:lastRowLastColumn="0"/>
            </w:pPr>
            <w:r>
              <w:t>10 kg</w:t>
            </w:r>
          </w:p>
        </w:tc>
        <w:tc>
          <w:tcPr>
            <w:tcW w:w="633" w:type="dxa"/>
          </w:tcPr>
          <w:p w14:paraId="43186A0A" w14:textId="039E62F0" w:rsidR="007B4AF4" w:rsidRDefault="007B4AF4" w:rsidP="00C2243F">
            <w:pPr>
              <w:cnfStyle w:val="100000000000" w:firstRow="1" w:lastRow="0" w:firstColumn="0" w:lastColumn="0" w:oddVBand="0" w:evenVBand="0" w:oddHBand="0" w:evenHBand="0" w:firstRowFirstColumn="0" w:firstRowLastColumn="0" w:lastRowFirstColumn="0" w:lastRowLastColumn="0"/>
            </w:pPr>
            <w:r>
              <w:t>20 kg</w:t>
            </w:r>
          </w:p>
        </w:tc>
        <w:tc>
          <w:tcPr>
            <w:tcW w:w="744" w:type="dxa"/>
          </w:tcPr>
          <w:p w14:paraId="1AA8CF1C"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30 kg</w:t>
            </w:r>
          </w:p>
        </w:tc>
        <w:tc>
          <w:tcPr>
            <w:tcW w:w="745" w:type="dxa"/>
          </w:tcPr>
          <w:p w14:paraId="591E37F7"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40 kg</w:t>
            </w:r>
          </w:p>
        </w:tc>
        <w:tc>
          <w:tcPr>
            <w:tcW w:w="745" w:type="dxa"/>
          </w:tcPr>
          <w:p w14:paraId="7755F3EA"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50 kg</w:t>
            </w:r>
          </w:p>
        </w:tc>
        <w:tc>
          <w:tcPr>
            <w:tcW w:w="745" w:type="dxa"/>
          </w:tcPr>
          <w:p w14:paraId="377B5B82"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60 kg</w:t>
            </w:r>
          </w:p>
        </w:tc>
        <w:tc>
          <w:tcPr>
            <w:tcW w:w="745" w:type="dxa"/>
          </w:tcPr>
          <w:p w14:paraId="12725BAD"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70 kg</w:t>
            </w:r>
          </w:p>
        </w:tc>
        <w:tc>
          <w:tcPr>
            <w:tcW w:w="745" w:type="dxa"/>
          </w:tcPr>
          <w:p w14:paraId="4833C055"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80 kg</w:t>
            </w:r>
          </w:p>
        </w:tc>
        <w:tc>
          <w:tcPr>
            <w:tcW w:w="745" w:type="dxa"/>
          </w:tcPr>
          <w:p w14:paraId="04665779"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90 kg</w:t>
            </w:r>
          </w:p>
        </w:tc>
        <w:tc>
          <w:tcPr>
            <w:tcW w:w="828" w:type="dxa"/>
          </w:tcPr>
          <w:p w14:paraId="65366138" w14:textId="77777777" w:rsidR="007B4AF4" w:rsidRDefault="007B4AF4" w:rsidP="00C2243F">
            <w:pPr>
              <w:cnfStyle w:val="100000000000" w:firstRow="1" w:lastRow="0" w:firstColumn="0" w:lastColumn="0" w:oddVBand="0" w:evenVBand="0" w:oddHBand="0" w:evenHBand="0" w:firstRowFirstColumn="0" w:firstRowLastColumn="0" w:lastRowFirstColumn="0" w:lastRowLastColumn="0"/>
            </w:pPr>
            <w:r>
              <w:t>100 kg</w:t>
            </w:r>
          </w:p>
        </w:tc>
      </w:tr>
      <w:tr w:rsidR="007B4AF4" w14:paraId="028FF51E"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1A8FCF39" w14:textId="77777777" w:rsidR="007B4AF4" w:rsidRPr="00E93D8E" w:rsidRDefault="007B4AF4" w:rsidP="00C2243F">
            <w:pPr>
              <w:rPr>
                <w:color w:val="000000" w:themeColor="text1"/>
              </w:rPr>
            </w:pPr>
            <w:r w:rsidRPr="00E93D8E">
              <w:rPr>
                <w:color w:val="000000" w:themeColor="text1"/>
              </w:rPr>
              <w:t>1.0</w:t>
            </w:r>
          </w:p>
        </w:tc>
        <w:tc>
          <w:tcPr>
            <w:tcW w:w="1293" w:type="dxa"/>
          </w:tcPr>
          <w:p w14:paraId="1A0D8CC2" w14:textId="77777777" w:rsidR="007B4AF4" w:rsidRPr="00E93D8E" w:rsidRDefault="007B4AF4" w:rsidP="00C2243F">
            <w:pPr>
              <w:cnfStyle w:val="000000000000" w:firstRow="0" w:lastRow="0" w:firstColumn="0" w:lastColumn="0" w:oddVBand="0" w:evenVBand="0" w:oddHBand="0" w:evenHBand="0" w:firstRowFirstColumn="0" w:firstRowLastColumn="0" w:lastRowFirstColumn="0" w:lastRowLastColumn="0"/>
              <w:rPr>
                <w:color w:val="000000" w:themeColor="text1"/>
              </w:rPr>
            </w:pPr>
            <w:r w:rsidRPr="00E93D8E">
              <w:rPr>
                <w:color w:val="000000" w:themeColor="text1"/>
              </w:rPr>
              <w:t>30 min</w:t>
            </w:r>
          </w:p>
        </w:tc>
        <w:tc>
          <w:tcPr>
            <w:tcW w:w="633" w:type="dxa"/>
          </w:tcPr>
          <w:p w14:paraId="2F601FF1" w14:textId="1B0FC3E5" w:rsidR="007B4AF4" w:rsidRDefault="007B4AF4" w:rsidP="00C2243F">
            <w:pPr>
              <w:cnfStyle w:val="000000000000" w:firstRow="0" w:lastRow="0" w:firstColumn="0" w:lastColumn="0" w:oddVBand="0" w:evenVBand="0" w:oddHBand="0" w:evenHBand="0" w:firstRowFirstColumn="0" w:firstRowLastColumn="0" w:lastRowFirstColumn="0" w:lastRowLastColumn="0"/>
            </w:pPr>
            <w:r>
              <w:t>10</w:t>
            </w:r>
          </w:p>
        </w:tc>
        <w:tc>
          <w:tcPr>
            <w:tcW w:w="633" w:type="dxa"/>
          </w:tcPr>
          <w:p w14:paraId="14DDBA28" w14:textId="17944D24" w:rsidR="007B4AF4" w:rsidRDefault="007B4AF4" w:rsidP="00C2243F">
            <w:pPr>
              <w:cnfStyle w:val="000000000000" w:firstRow="0" w:lastRow="0" w:firstColumn="0" w:lastColumn="0" w:oddVBand="0" w:evenVBand="0" w:oddHBand="0" w:evenHBand="0" w:firstRowFirstColumn="0" w:firstRowLastColumn="0" w:lastRowFirstColumn="0" w:lastRowLastColumn="0"/>
            </w:pPr>
            <w:r>
              <w:t>20</w:t>
            </w:r>
          </w:p>
        </w:tc>
        <w:tc>
          <w:tcPr>
            <w:tcW w:w="744" w:type="dxa"/>
          </w:tcPr>
          <w:p w14:paraId="193B558B"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w:t>
            </w:r>
          </w:p>
        </w:tc>
        <w:tc>
          <w:tcPr>
            <w:tcW w:w="745" w:type="dxa"/>
          </w:tcPr>
          <w:p w14:paraId="144D7424"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40</w:t>
            </w:r>
          </w:p>
        </w:tc>
        <w:tc>
          <w:tcPr>
            <w:tcW w:w="745" w:type="dxa"/>
          </w:tcPr>
          <w:p w14:paraId="7A6D36DB"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50</w:t>
            </w:r>
          </w:p>
        </w:tc>
        <w:tc>
          <w:tcPr>
            <w:tcW w:w="745" w:type="dxa"/>
          </w:tcPr>
          <w:p w14:paraId="4ADE6F16"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60</w:t>
            </w:r>
          </w:p>
        </w:tc>
        <w:tc>
          <w:tcPr>
            <w:tcW w:w="745" w:type="dxa"/>
          </w:tcPr>
          <w:p w14:paraId="52587ED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70</w:t>
            </w:r>
          </w:p>
        </w:tc>
        <w:tc>
          <w:tcPr>
            <w:tcW w:w="745" w:type="dxa"/>
          </w:tcPr>
          <w:p w14:paraId="28064AB5"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80</w:t>
            </w:r>
          </w:p>
        </w:tc>
        <w:tc>
          <w:tcPr>
            <w:tcW w:w="745" w:type="dxa"/>
          </w:tcPr>
          <w:p w14:paraId="146CC45E"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90</w:t>
            </w:r>
          </w:p>
        </w:tc>
        <w:tc>
          <w:tcPr>
            <w:tcW w:w="828" w:type="dxa"/>
          </w:tcPr>
          <w:p w14:paraId="2BB60FFC"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100</w:t>
            </w:r>
          </w:p>
        </w:tc>
      </w:tr>
      <w:tr w:rsidR="007B4AF4" w14:paraId="487B1173"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67BB26B6" w14:textId="77777777" w:rsidR="007B4AF4" w:rsidRDefault="007B4AF4" w:rsidP="00C2243F">
            <w:r>
              <w:t>2.0</w:t>
            </w:r>
          </w:p>
        </w:tc>
        <w:tc>
          <w:tcPr>
            <w:tcW w:w="1293" w:type="dxa"/>
          </w:tcPr>
          <w:p w14:paraId="11C8F169" w14:textId="4F846AD0" w:rsidR="007B4AF4" w:rsidRDefault="00B87DEE" w:rsidP="00C2243F">
            <w:pPr>
              <w:cnfStyle w:val="000000000000" w:firstRow="0" w:lastRow="0" w:firstColumn="0" w:lastColumn="0" w:oddVBand="0" w:evenVBand="0" w:oddHBand="0" w:evenHBand="0" w:firstRowFirstColumn="0" w:firstRowLastColumn="0" w:lastRowFirstColumn="0" w:lastRowLastColumn="0"/>
            </w:pPr>
            <w:r>
              <w:t xml:space="preserve">30 </w:t>
            </w:r>
            <w:r w:rsidR="007B4AF4">
              <w:t>min</w:t>
            </w:r>
          </w:p>
        </w:tc>
        <w:tc>
          <w:tcPr>
            <w:tcW w:w="633" w:type="dxa"/>
          </w:tcPr>
          <w:p w14:paraId="08F99661" w14:textId="54F922FE" w:rsidR="007B4AF4" w:rsidRDefault="007B4AF4" w:rsidP="00C2243F">
            <w:pPr>
              <w:cnfStyle w:val="000000000000" w:firstRow="0" w:lastRow="0" w:firstColumn="0" w:lastColumn="0" w:oddVBand="0" w:evenVBand="0" w:oddHBand="0" w:evenHBand="0" w:firstRowFirstColumn="0" w:firstRowLastColumn="0" w:lastRowFirstColumn="0" w:lastRowLastColumn="0"/>
            </w:pPr>
            <w:r>
              <w:t>20</w:t>
            </w:r>
          </w:p>
        </w:tc>
        <w:tc>
          <w:tcPr>
            <w:tcW w:w="633" w:type="dxa"/>
          </w:tcPr>
          <w:p w14:paraId="64E1F2BA" w14:textId="15B62D6E" w:rsidR="007B4AF4" w:rsidRDefault="007B4AF4" w:rsidP="00C2243F">
            <w:pPr>
              <w:cnfStyle w:val="000000000000" w:firstRow="0" w:lastRow="0" w:firstColumn="0" w:lastColumn="0" w:oddVBand="0" w:evenVBand="0" w:oddHBand="0" w:evenHBand="0" w:firstRowFirstColumn="0" w:firstRowLastColumn="0" w:lastRowFirstColumn="0" w:lastRowLastColumn="0"/>
            </w:pPr>
            <w:r>
              <w:t>40</w:t>
            </w:r>
          </w:p>
        </w:tc>
        <w:tc>
          <w:tcPr>
            <w:tcW w:w="744" w:type="dxa"/>
          </w:tcPr>
          <w:p w14:paraId="4B29C28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60</w:t>
            </w:r>
          </w:p>
        </w:tc>
        <w:tc>
          <w:tcPr>
            <w:tcW w:w="745" w:type="dxa"/>
          </w:tcPr>
          <w:p w14:paraId="1C17AF26"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80</w:t>
            </w:r>
          </w:p>
        </w:tc>
        <w:tc>
          <w:tcPr>
            <w:tcW w:w="745" w:type="dxa"/>
          </w:tcPr>
          <w:p w14:paraId="53A707F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100</w:t>
            </w:r>
          </w:p>
        </w:tc>
        <w:tc>
          <w:tcPr>
            <w:tcW w:w="745" w:type="dxa"/>
          </w:tcPr>
          <w:p w14:paraId="49E878CC"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120</w:t>
            </w:r>
          </w:p>
        </w:tc>
        <w:tc>
          <w:tcPr>
            <w:tcW w:w="745" w:type="dxa"/>
          </w:tcPr>
          <w:p w14:paraId="766F188D"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140</w:t>
            </w:r>
          </w:p>
        </w:tc>
        <w:tc>
          <w:tcPr>
            <w:tcW w:w="745" w:type="dxa"/>
          </w:tcPr>
          <w:p w14:paraId="1F0DCF63"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160</w:t>
            </w:r>
          </w:p>
        </w:tc>
        <w:tc>
          <w:tcPr>
            <w:tcW w:w="745" w:type="dxa"/>
          </w:tcPr>
          <w:p w14:paraId="6FD9CDAC"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180</w:t>
            </w:r>
          </w:p>
        </w:tc>
        <w:tc>
          <w:tcPr>
            <w:tcW w:w="828" w:type="dxa"/>
          </w:tcPr>
          <w:p w14:paraId="11B42EFB"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200</w:t>
            </w:r>
          </w:p>
        </w:tc>
      </w:tr>
      <w:tr w:rsidR="007B4AF4" w14:paraId="25521AE5"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34594072" w14:textId="77777777" w:rsidR="007B4AF4" w:rsidRDefault="007B4AF4" w:rsidP="00C2243F">
            <w:r>
              <w:t>4.0</w:t>
            </w:r>
          </w:p>
        </w:tc>
        <w:tc>
          <w:tcPr>
            <w:tcW w:w="1293" w:type="dxa"/>
          </w:tcPr>
          <w:p w14:paraId="5F0A1CD2" w14:textId="157FDE22" w:rsidR="007B4AF4" w:rsidRDefault="00B87DEE" w:rsidP="00C2243F">
            <w:pPr>
              <w:cnfStyle w:val="000000000000" w:firstRow="0" w:lastRow="0" w:firstColumn="0" w:lastColumn="0" w:oddVBand="0" w:evenVBand="0" w:oddHBand="0" w:evenHBand="0" w:firstRowFirstColumn="0" w:firstRowLastColumn="0" w:lastRowFirstColumn="0" w:lastRowLastColumn="0"/>
            </w:pPr>
            <w:r>
              <w:t xml:space="preserve">30 </w:t>
            </w:r>
            <w:r w:rsidR="007B4AF4">
              <w:t>min</w:t>
            </w:r>
          </w:p>
        </w:tc>
        <w:tc>
          <w:tcPr>
            <w:tcW w:w="633" w:type="dxa"/>
          </w:tcPr>
          <w:p w14:paraId="36344C7A" w14:textId="0DF0CA7F" w:rsidR="007B4AF4" w:rsidRDefault="007B4AF4" w:rsidP="00C2243F">
            <w:pPr>
              <w:cnfStyle w:val="000000000000" w:firstRow="0" w:lastRow="0" w:firstColumn="0" w:lastColumn="0" w:oddVBand="0" w:evenVBand="0" w:oddHBand="0" w:evenHBand="0" w:firstRowFirstColumn="0" w:firstRowLastColumn="0" w:lastRowFirstColumn="0" w:lastRowLastColumn="0"/>
            </w:pPr>
            <w:r>
              <w:t>40</w:t>
            </w:r>
          </w:p>
        </w:tc>
        <w:tc>
          <w:tcPr>
            <w:tcW w:w="633" w:type="dxa"/>
          </w:tcPr>
          <w:p w14:paraId="2200821A" w14:textId="6A0AAA4D" w:rsidR="007B4AF4" w:rsidRDefault="007B4AF4" w:rsidP="00C2243F">
            <w:pPr>
              <w:cnfStyle w:val="000000000000" w:firstRow="0" w:lastRow="0" w:firstColumn="0" w:lastColumn="0" w:oddVBand="0" w:evenVBand="0" w:oddHBand="0" w:evenHBand="0" w:firstRowFirstColumn="0" w:firstRowLastColumn="0" w:lastRowFirstColumn="0" w:lastRowLastColumn="0"/>
            </w:pPr>
            <w:r>
              <w:t>80</w:t>
            </w:r>
          </w:p>
        </w:tc>
        <w:tc>
          <w:tcPr>
            <w:tcW w:w="744" w:type="dxa"/>
          </w:tcPr>
          <w:p w14:paraId="088BE2CF"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120</w:t>
            </w:r>
          </w:p>
        </w:tc>
        <w:tc>
          <w:tcPr>
            <w:tcW w:w="745" w:type="dxa"/>
          </w:tcPr>
          <w:p w14:paraId="7988DDFC"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160</w:t>
            </w:r>
          </w:p>
        </w:tc>
        <w:tc>
          <w:tcPr>
            <w:tcW w:w="745" w:type="dxa"/>
          </w:tcPr>
          <w:p w14:paraId="12B914FF"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200</w:t>
            </w:r>
          </w:p>
        </w:tc>
        <w:tc>
          <w:tcPr>
            <w:tcW w:w="745" w:type="dxa"/>
          </w:tcPr>
          <w:p w14:paraId="61672545"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240</w:t>
            </w:r>
          </w:p>
        </w:tc>
        <w:tc>
          <w:tcPr>
            <w:tcW w:w="745" w:type="dxa"/>
          </w:tcPr>
          <w:p w14:paraId="4D0DAF78"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280</w:t>
            </w:r>
          </w:p>
        </w:tc>
        <w:tc>
          <w:tcPr>
            <w:tcW w:w="745" w:type="dxa"/>
          </w:tcPr>
          <w:p w14:paraId="21115B8C"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320</w:t>
            </w:r>
          </w:p>
        </w:tc>
        <w:tc>
          <w:tcPr>
            <w:tcW w:w="745" w:type="dxa"/>
          </w:tcPr>
          <w:p w14:paraId="31F1D23E"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360</w:t>
            </w:r>
          </w:p>
        </w:tc>
        <w:tc>
          <w:tcPr>
            <w:tcW w:w="828" w:type="dxa"/>
          </w:tcPr>
          <w:p w14:paraId="251B59D6"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400</w:t>
            </w:r>
          </w:p>
        </w:tc>
      </w:tr>
      <w:tr w:rsidR="007B4AF4" w14:paraId="163FA7F5"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59DE86DA" w14:textId="77777777" w:rsidR="007B4AF4" w:rsidRDefault="007B4AF4" w:rsidP="00C2243F">
            <w:r>
              <w:t>6.0</w:t>
            </w:r>
          </w:p>
        </w:tc>
        <w:tc>
          <w:tcPr>
            <w:tcW w:w="1293" w:type="dxa"/>
          </w:tcPr>
          <w:p w14:paraId="48E833DC"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 min</w:t>
            </w:r>
          </w:p>
        </w:tc>
        <w:tc>
          <w:tcPr>
            <w:tcW w:w="633" w:type="dxa"/>
          </w:tcPr>
          <w:p w14:paraId="70CE3CC4" w14:textId="19BD54C7" w:rsidR="007B4AF4" w:rsidRDefault="007B4AF4" w:rsidP="00C2243F">
            <w:pPr>
              <w:cnfStyle w:val="000000000000" w:firstRow="0" w:lastRow="0" w:firstColumn="0" w:lastColumn="0" w:oddVBand="0" w:evenVBand="0" w:oddHBand="0" w:evenHBand="0" w:firstRowFirstColumn="0" w:firstRowLastColumn="0" w:lastRowFirstColumn="0" w:lastRowLastColumn="0"/>
            </w:pPr>
            <w:r>
              <w:t>60</w:t>
            </w:r>
          </w:p>
        </w:tc>
        <w:tc>
          <w:tcPr>
            <w:tcW w:w="633" w:type="dxa"/>
          </w:tcPr>
          <w:p w14:paraId="0F1A5086" w14:textId="0F66AB81" w:rsidR="007B4AF4" w:rsidRDefault="007B4AF4" w:rsidP="00C2243F">
            <w:pPr>
              <w:cnfStyle w:val="000000000000" w:firstRow="0" w:lastRow="0" w:firstColumn="0" w:lastColumn="0" w:oddVBand="0" w:evenVBand="0" w:oddHBand="0" w:evenHBand="0" w:firstRowFirstColumn="0" w:firstRowLastColumn="0" w:lastRowFirstColumn="0" w:lastRowLastColumn="0"/>
            </w:pPr>
            <w:r>
              <w:t>120</w:t>
            </w:r>
          </w:p>
        </w:tc>
        <w:tc>
          <w:tcPr>
            <w:tcW w:w="744" w:type="dxa"/>
          </w:tcPr>
          <w:p w14:paraId="7F8FD0BC"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180</w:t>
            </w:r>
          </w:p>
        </w:tc>
        <w:tc>
          <w:tcPr>
            <w:tcW w:w="745" w:type="dxa"/>
          </w:tcPr>
          <w:p w14:paraId="4B47B502"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240</w:t>
            </w:r>
          </w:p>
        </w:tc>
        <w:tc>
          <w:tcPr>
            <w:tcW w:w="745" w:type="dxa"/>
          </w:tcPr>
          <w:p w14:paraId="18F7D92F"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300</w:t>
            </w:r>
          </w:p>
        </w:tc>
        <w:tc>
          <w:tcPr>
            <w:tcW w:w="745" w:type="dxa"/>
          </w:tcPr>
          <w:p w14:paraId="7753902D"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360</w:t>
            </w:r>
          </w:p>
        </w:tc>
        <w:tc>
          <w:tcPr>
            <w:tcW w:w="745" w:type="dxa"/>
          </w:tcPr>
          <w:p w14:paraId="5BCEFFB6"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420</w:t>
            </w:r>
          </w:p>
        </w:tc>
        <w:tc>
          <w:tcPr>
            <w:tcW w:w="745" w:type="dxa"/>
          </w:tcPr>
          <w:p w14:paraId="2F34E294"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480</w:t>
            </w:r>
          </w:p>
        </w:tc>
        <w:tc>
          <w:tcPr>
            <w:tcW w:w="745" w:type="dxa"/>
          </w:tcPr>
          <w:p w14:paraId="1AE50C1A"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540</w:t>
            </w:r>
          </w:p>
        </w:tc>
        <w:tc>
          <w:tcPr>
            <w:tcW w:w="828" w:type="dxa"/>
          </w:tcPr>
          <w:p w14:paraId="600E0E18"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600</w:t>
            </w:r>
          </w:p>
        </w:tc>
      </w:tr>
      <w:tr w:rsidR="007B4AF4" w14:paraId="39837827" w14:textId="77777777" w:rsidTr="007B4AF4">
        <w:tc>
          <w:tcPr>
            <w:cnfStyle w:val="001000000000" w:firstRow="0" w:lastRow="0" w:firstColumn="1" w:lastColumn="0" w:oddVBand="0" w:evenVBand="0" w:oddHBand="0" w:evenHBand="0" w:firstRowFirstColumn="0" w:firstRowLastColumn="0" w:lastRowFirstColumn="0" w:lastRowLastColumn="0"/>
            <w:tcW w:w="1292" w:type="dxa"/>
          </w:tcPr>
          <w:p w14:paraId="231B1170" w14:textId="77777777" w:rsidR="007B4AF4" w:rsidRDefault="007B4AF4" w:rsidP="00C2243F">
            <w:r>
              <w:t>7.0</w:t>
            </w:r>
          </w:p>
        </w:tc>
        <w:tc>
          <w:tcPr>
            <w:tcW w:w="1293" w:type="dxa"/>
          </w:tcPr>
          <w:p w14:paraId="6078A856"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Remainder</w:t>
            </w:r>
          </w:p>
        </w:tc>
        <w:tc>
          <w:tcPr>
            <w:tcW w:w="633" w:type="dxa"/>
          </w:tcPr>
          <w:p w14:paraId="5A4FF7E9" w14:textId="736FCBF1" w:rsidR="007B4AF4" w:rsidRDefault="007B4AF4" w:rsidP="00C2243F">
            <w:pPr>
              <w:cnfStyle w:val="000000000000" w:firstRow="0" w:lastRow="0" w:firstColumn="0" w:lastColumn="0" w:oddVBand="0" w:evenVBand="0" w:oddHBand="0" w:evenHBand="0" w:firstRowFirstColumn="0" w:firstRowLastColumn="0" w:lastRowFirstColumn="0" w:lastRowLastColumn="0"/>
            </w:pPr>
            <w:r>
              <w:t>70</w:t>
            </w:r>
          </w:p>
        </w:tc>
        <w:tc>
          <w:tcPr>
            <w:tcW w:w="633" w:type="dxa"/>
          </w:tcPr>
          <w:p w14:paraId="0FDEE35B" w14:textId="32FE214B" w:rsidR="007B4AF4" w:rsidRDefault="007B4AF4" w:rsidP="00C2243F">
            <w:pPr>
              <w:cnfStyle w:val="000000000000" w:firstRow="0" w:lastRow="0" w:firstColumn="0" w:lastColumn="0" w:oddVBand="0" w:evenVBand="0" w:oddHBand="0" w:evenHBand="0" w:firstRowFirstColumn="0" w:firstRowLastColumn="0" w:lastRowFirstColumn="0" w:lastRowLastColumn="0"/>
            </w:pPr>
            <w:r>
              <w:t>140</w:t>
            </w:r>
          </w:p>
        </w:tc>
        <w:tc>
          <w:tcPr>
            <w:tcW w:w="744" w:type="dxa"/>
          </w:tcPr>
          <w:p w14:paraId="74C4D40D"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210</w:t>
            </w:r>
          </w:p>
        </w:tc>
        <w:tc>
          <w:tcPr>
            <w:tcW w:w="745" w:type="dxa"/>
          </w:tcPr>
          <w:p w14:paraId="3E07E73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280</w:t>
            </w:r>
          </w:p>
        </w:tc>
        <w:tc>
          <w:tcPr>
            <w:tcW w:w="745" w:type="dxa"/>
          </w:tcPr>
          <w:p w14:paraId="503D0F01"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350</w:t>
            </w:r>
          </w:p>
        </w:tc>
        <w:tc>
          <w:tcPr>
            <w:tcW w:w="745" w:type="dxa"/>
          </w:tcPr>
          <w:p w14:paraId="517568C9"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420</w:t>
            </w:r>
          </w:p>
        </w:tc>
        <w:tc>
          <w:tcPr>
            <w:tcW w:w="745" w:type="dxa"/>
          </w:tcPr>
          <w:p w14:paraId="2041D58B"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490</w:t>
            </w:r>
          </w:p>
        </w:tc>
        <w:tc>
          <w:tcPr>
            <w:tcW w:w="745" w:type="dxa"/>
          </w:tcPr>
          <w:p w14:paraId="18A9E5E7"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560</w:t>
            </w:r>
          </w:p>
        </w:tc>
        <w:tc>
          <w:tcPr>
            <w:tcW w:w="745" w:type="dxa"/>
          </w:tcPr>
          <w:p w14:paraId="48E58F6E"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630</w:t>
            </w:r>
          </w:p>
        </w:tc>
        <w:tc>
          <w:tcPr>
            <w:tcW w:w="828" w:type="dxa"/>
          </w:tcPr>
          <w:p w14:paraId="29BC57DD" w14:textId="77777777" w:rsidR="007B4AF4" w:rsidRDefault="007B4AF4" w:rsidP="00C2243F">
            <w:pPr>
              <w:cnfStyle w:val="000000000000" w:firstRow="0" w:lastRow="0" w:firstColumn="0" w:lastColumn="0" w:oddVBand="0" w:evenVBand="0" w:oddHBand="0" w:evenHBand="0" w:firstRowFirstColumn="0" w:firstRowLastColumn="0" w:lastRowFirstColumn="0" w:lastRowLastColumn="0"/>
            </w:pPr>
            <w:r>
              <w:t>700 MAX</w:t>
            </w:r>
          </w:p>
        </w:tc>
      </w:tr>
    </w:tbl>
    <w:p w14:paraId="03A532DC" w14:textId="77777777" w:rsidR="00705353" w:rsidRDefault="00705353" w:rsidP="001679DF">
      <w:pPr>
        <w:pStyle w:val="Bullet"/>
        <w:numPr>
          <w:ilvl w:val="0"/>
          <w:numId w:val="0"/>
        </w:numPr>
      </w:pPr>
    </w:p>
    <w:p w14:paraId="739CC85B" w14:textId="77777777" w:rsidR="00705353" w:rsidRDefault="0028383D" w:rsidP="001679DF">
      <w:pPr>
        <w:pStyle w:val="Bullet"/>
        <w:numPr>
          <w:ilvl w:val="0"/>
          <w:numId w:val="0"/>
        </w:numPr>
        <w:rPr>
          <w:rStyle w:val="Hyperlink"/>
        </w:rPr>
        <w:sectPr w:rsidR="00705353" w:rsidSect="004D46D3">
          <w:pgSz w:w="11906" w:h="16838" w:code="9"/>
          <w:pgMar w:top="970" w:right="1134" w:bottom="1134" w:left="851" w:header="284" w:footer="53" w:gutter="0"/>
          <w:cols w:space="708"/>
          <w:titlePg/>
          <w:docGrid w:linePitch="360"/>
        </w:sectPr>
      </w:pPr>
      <w:hyperlink w:anchor="_top" w:history="1">
        <w:r w:rsidR="001679DF" w:rsidRPr="00481A6C">
          <w:rPr>
            <w:rStyle w:val="Hyperlink"/>
          </w:rPr>
          <w:t>Back to Contents</w:t>
        </w:r>
      </w:hyperlink>
    </w:p>
    <w:p w14:paraId="60BF523A" w14:textId="52DDC980" w:rsidR="00705353" w:rsidRDefault="00705353" w:rsidP="00705353">
      <w:pPr>
        <w:pStyle w:val="Heading4"/>
      </w:pPr>
      <w:bookmarkStart w:id="46" w:name="_Toc184739611"/>
      <w:r>
        <w:lastRenderedPageBreak/>
        <w:t xml:space="preserve">Attachment </w:t>
      </w:r>
      <w:r w:rsidR="00A064D9">
        <w:t xml:space="preserve">6 </w:t>
      </w:r>
      <w:r>
        <w:t>– Training checklist for Home Administered Subcutaneous Immunoglobulin (SCIg) Infusion Treatment</w:t>
      </w:r>
      <w:bookmarkEnd w:id="46"/>
    </w:p>
    <w:p w14:paraId="26C26EFC" w14:textId="77777777" w:rsidR="00705353" w:rsidRDefault="00705353" w:rsidP="00705353">
      <w:pPr>
        <w:pStyle w:val="Bullet"/>
        <w:numPr>
          <w:ilvl w:val="0"/>
          <w:numId w:val="0"/>
        </w:numPr>
        <w:rPr>
          <w:b/>
        </w:rPr>
      </w:pPr>
      <w:r w:rsidRPr="00E81827">
        <w:rPr>
          <w:b/>
        </w:rPr>
        <w:t xml:space="preserve">Specific steps to be assessed prior to patient/carer considered competent to self-administer medication in </w:t>
      </w:r>
      <w:r>
        <w:rPr>
          <w:b/>
        </w:rPr>
        <w:t xml:space="preserve">a </w:t>
      </w:r>
      <w:r w:rsidRPr="00E81827">
        <w:rPr>
          <w:b/>
        </w:rPr>
        <w:t>home setting</w:t>
      </w:r>
      <w:r>
        <w:rPr>
          <w:b/>
        </w:rPr>
        <w:t>. Number of training sessions can be individualised for patients.</w:t>
      </w:r>
    </w:p>
    <w:tbl>
      <w:tblPr>
        <w:tblStyle w:val="GridTable6Colorful"/>
        <w:tblW w:w="0" w:type="auto"/>
        <w:tblLayout w:type="fixed"/>
        <w:tblLook w:val="04A0" w:firstRow="1" w:lastRow="0" w:firstColumn="1" w:lastColumn="0" w:noHBand="0" w:noVBand="1"/>
      </w:tblPr>
      <w:tblGrid>
        <w:gridCol w:w="2376"/>
        <w:gridCol w:w="1276"/>
        <w:gridCol w:w="1559"/>
        <w:gridCol w:w="851"/>
        <w:gridCol w:w="720"/>
        <w:gridCol w:w="1123"/>
        <w:gridCol w:w="28"/>
        <w:gridCol w:w="822"/>
        <w:gridCol w:w="1559"/>
        <w:gridCol w:w="851"/>
        <w:gridCol w:w="1417"/>
        <w:gridCol w:w="851"/>
      </w:tblGrid>
      <w:tr w:rsidR="00705353" w:rsidRPr="00AC3B22" w14:paraId="4000A027" w14:textId="77777777" w:rsidTr="007C0D98">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376" w:type="dxa"/>
          </w:tcPr>
          <w:p w14:paraId="0C289351" w14:textId="77777777" w:rsidR="00705353" w:rsidRPr="00AC3B22" w:rsidRDefault="00705353" w:rsidP="00C2243F">
            <w:pPr>
              <w:rPr>
                <w:szCs w:val="20"/>
              </w:rPr>
            </w:pPr>
            <w:r w:rsidRPr="00AC3B22">
              <w:rPr>
                <w:szCs w:val="20"/>
              </w:rPr>
              <w:t>Patient Name:</w:t>
            </w:r>
          </w:p>
        </w:tc>
        <w:tc>
          <w:tcPr>
            <w:tcW w:w="4406" w:type="dxa"/>
            <w:gridSpan w:val="4"/>
          </w:tcPr>
          <w:p w14:paraId="0BA82EC5" w14:textId="77777777" w:rsidR="00705353" w:rsidRPr="00AC3B22" w:rsidRDefault="00705353" w:rsidP="00C2243F">
            <w:pPr>
              <w:cnfStyle w:val="100000000000" w:firstRow="1" w:lastRow="0" w:firstColumn="0" w:lastColumn="0" w:oddVBand="0" w:evenVBand="0" w:oddHBand="0" w:evenHBand="0" w:firstRowFirstColumn="0" w:firstRowLastColumn="0" w:lastRowFirstColumn="0" w:lastRowLastColumn="0"/>
              <w:rPr>
                <w:szCs w:val="20"/>
              </w:rPr>
            </w:pPr>
          </w:p>
        </w:tc>
        <w:tc>
          <w:tcPr>
            <w:tcW w:w="1151" w:type="dxa"/>
            <w:gridSpan w:val="2"/>
          </w:tcPr>
          <w:p w14:paraId="4E16F2B7" w14:textId="77777777" w:rsidR="00705353" w:rsidRPr="007C0D98" w:rsidRDefault="00705353" w:rsidP="00C2243F">
            <w:pPr>
              <w:cnfStyle w:val="100000000000" w:firstRow="1" w:lastRow="0" w:firstColumn="0" w:lastColumn="0" w:oddVBand="0" w:evenVBand="0" w:oddHBand="0" w:evenHBand="0" w:firstRowFirstColumn="0" w:firstRowLastColumn="0" w:lastRowFirstColumn="0" w:lastRowLastColumn="0"/>
              <w:rPr>
                <w:sz w:val="20"/>
                <w:szCs w:val="20"/>
              </w:rPr>
            </w:pPr>
            <w:r w:rsidRPr="007C0D98">
              <w:rPr>
                <w:sz w:val="20"/>
                <w:szCs w:val="20"/>
              </w:rPr>
              <w:t>Clinician:</w:t>
            </w:r>
          </w:p>
        </w:tc>
        <w:tc>
          <w:tcPr>
            <w:tcW w:w="5500" w:type="dxa"/>
            <w:gridSpan w:val="5"/>
          </w:tcPr>
          <w:p w14:paraId="616A2454" w14:textId="77777777" w:rsidR="00705353" w:rsidRPr="00AC3B22" w:rsidRDefault="00705353" w:rsidP="00C2243F">
            <w:pPr>
              <w:cnfStyle w:val="100000000000" w:firstRow="1" w:lastRow="0" w:firstColumn="0" w:lastColumn="0" w:oddVBand="0" w:evenVBand="0" w:oddHBand="0" w:evenHBand="0" w:firstRowFirstColumn="0" w:firstRowLastColumn="0" w:lastRowFirstColumn="0" w:lastRowLastColumn="0"/>
              <w:rPr>
                <w:szCs w:val="20"/>
              </w:rPr>
            </w:pPr>
          </w:p>
        </w:tc>
      </w:tr>
      <w:tr w:rsidR="00705353" w:rsidRPr="00AC3B22" w14:paraId="2030249B" w14:textId="77777777" w:rsidTr="007C0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30CD8BF" w14:textId="77777777" w:rsidR="00705353" w:rsidRPr="00AC3B22" w:rsidRDefault="00705353" w:rsidP="00C2243F">
            <w:pPr>
              <w:rPr>
                <w:szCs w:val="20"/>
              </w:rPr>
            </w:pPr>
            <w:r w:rsidRPr="00AC3B22">
              <w:rPr>
                <w:szCs w:val="20"/>
              </w:rPr>
              <w:t xml:space="preserve">Person Responsible for Infusion:  </w:t>
            </w:r>
          </w:p>
        </w:tc>
        <w:tc>
          <w:tcPr>
            <w:tcW w:w="11057" w:type="dxa"/>
            <w:gridSpan w:val="11"/>
          </w:tcPr>
          <w:p w14:paraId="4EE41CC2" w14:textId="7CCD84C1"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r w:rsidRPr="00AC3B22">
              <w:rPr>
                <w:szCs w:val="20"/>
              </w:rPr>
              <w:t xml:space="preserve">Patient        </w:t>
            </w:r>
            <w:r w:rsidR="00094BBF">
              <w:rPr>
                <w:szCs w:val="20"/>
              </w:rPr>
              <w:t xml:space="preserve">                                          </w:t>
            </w:r>
            <w:r w:rsidRPr="00AC3B22">
              <w:rPr>
                <w:szCs w:val="20"/>
              </w:rPr>
              <w:t>Carer</w:t>
            </w:r>
            <w:r w:rsidR="00094BBF">
              <w:rPr>
                <w:szCs w:val="20"/>
              </w:rPr>
              <w:t>/</w:t>
            </w:r>
            <w:r w:rsidRPr="00AC3B22">
              <w:rPr>
                <w:szCs w:val="20"/>
              </w:rPr>
              <w:t xml:space="preserve"> </w:t>
            </w:r>
            <w:r w:rsidR="00620D92" w:rsidRPr="00AC3B22">
              <w:rPr>
                <w:szCs w:val="20"/>
              </w:rPr>
              <w:t>Guardian (</w:t>
            </w:r>
            <w:r w:rsidR="00094BBF" w:rsidRPr="00AC3B22">
              <w:rPr>
                <w:szCs w:val="20"/>
              </w:rPr>
              <w:t xml:space="preserve">Please circle) </w:t>
            </w:r>
            <w:r w:rsidRPr="00AC3B22">
              <w:rPr>
                <w:szCs w:val="20"/>
              </w:rPr>
              <w:t xml:space="preserve"> Name:</w:t>
            </w:r>
          </w:p>
        </w:tc>
      </w:tr>
      <w:tr w:rsidR="00705353" w:rsidRPr="00AC3B22" w14:paraId="3020AE15" w14:textId="77777777" w:rsidTr="007C0D98">
        <w:trPr>
          <w:trHeight w:val="1207"/>
        </w:trPr>
        <w:tc>
          <w:tcPr>
            <w:cnfStyle w:val="001000000000" w:firstRow="0" w:lastRow="0" w:firstColumn="1" w:lastColumn="0" w:oddVBand="0" w:evenVBand="0" w:oddHBand="0" w:evenHBand="0" w:firstRowFirstColumn="0" w:firstRowLastColumn="0" w:lastRowFirstColumn="0" w:lastRowLastColumn="0"/>
            <w:tcW w:w="3652" w:type="dxa"/>
            <w:gridSpan w:val="2"/>
          </w:tcPr>
          <w:p w14:paraId="71F917E3" w14:textId="77777777" w:rsidR="00705353" w:rsidRPr="007C0D98" w:rsidRDefault="00705353" w:rsidP="00C2243F">
            <w:pPr>
              <w:spacing w:after="120"/>
              <w:outlineLvl w:val="2"/>
              <w:rPr>
                <w:color w:val="auto"/>
              </w:rPr>
            </w:pPr>
            <w:r w:rsidRPr="007C0D98">
              <w:rPr>
                <w:color w:val="auto"/>
              </w:rPr>
              <w:t>Patient Skills</w:t>
            </w:r>
          </w:p>
        </w:tc>
        <w:tc>
          <w:tcPr>
            <w:tcW w:w="2410" w:type="dxa"/>
            <w:gridSpan w:val="2"/>
          </w:tcPr>
          <w:p w14:paraId="7C164789" w14:textId="77777777" w:rsidR="00705353" w:rsidRPr="007C0D98" w:rsidRDefault="00705353" w:rsidP="00C2243F">
            <w:pPr>
              <w:spacing w:after="120"/>
              <w:outlineLvl w:val="2"/>
              <w:cnfStyle w:val="000000000000" w:firstRow="0" w:lastRow="0" w:firstColumn="0" w:lastColumn="0" w:oddVBand="0" w:evenVBand="0" w:oddHBand="0" w:evenHBand="0" w:firstRowFirstColumn="0" w:firstRowLastColumn="0" w:lastRowFirstColumn="0" w:lastRowLastColumn="0"/>
              <w:rPr>
                <w:color w:val="auto"/>
              </w:rPr>
            </w:pPr>
            <w:r w:rsidRPr="007C0D98">
              <w:rPr>
                <w:color w:val="auto"/>
              </w:rPr>
              <w:t>Introduced</w:t>
            </w:r>
          </w:p>
          <w:p w14:paraId="7DC35E82" w14:textId="77777777" w:rsidR="00705353" w:rsidRPr="007C0D98" w:rsidRDefault="00705353" w:rsidP="00C2243F">
            <w:pPr>
              <w:spacing w:after="120"/>
              <w:outlineLvl w:val="2"/>
              <w:cnfStyle w:val="000000000000" w:firstRow="0" w:lastRow="0" w:firstColumn="0" w:lastColumn="0" w:oddVBand="0" w:evenVBand="0" w:oddHBand="0" w:evenHBand="0" w:firstRowFirstColumn="0" w:firstRowLastColumn="0" w:lastRowFirstColumn="0" w:lastRowLastColumn="0"/>
              <w:rPr>
                <w:color w:val="auto"/>
                <w:sz w:val="18"/>
                <w:szCs w:val="18"/>
              </w:rPr>
            </w:pPr>
          </w:p>
          <w:p w14:paraId="4B0D984A" w14:textId="77777777" w:rsidR="00705353" w:rsidRPr="007C0D98" w:rsidRDefault="00705353" w:rsidP="00C2243F">
            <w:pPr>
              <w:spacing w:after="120"/>
              <w:outlineLvl w:val="2"/>
              <w:cnfStyle w:val="000000000000" w:firstRow="0" w:lastRow="0" w:firstColumn="0" w:lastColumn="0" w:oddVBand="0" w:evenVBand="0" w:oddHBand="0" w:evenHBand="0" w:firstRowFirstColumn="0" w:firstRowLastColumn="0" w:lastRowFirstColumn="0" w:lastRowLastColumn="0"/>
              <w:rPr>
                <w:color w:val="auto"/>
                <w:sz w:val="18"/>
                <w:szCs w:val="18"/>
              </w:rPr>
            </w:pPr>
            <w:r w:rsidRPr="007C0D98">
              <w:rPr>
                <w:color w:val="auto"/>
                <w:sz w:val="18"/>
                <w:szCs w:val="18"/>
              </w:rPr>
              <w:t>Date:</w:t>
            </w:r>
          </w:p>
        </w:tc>
        <w:tc>
          <w:tcPr>
            <w:tcW w:w="2693" w:type="dxa"/>
            <w:gridSpan w:val="4"/>
          </w:tcPr>
          <w:p w14:paraId="63981A7C" w14:textId="77777777" w:rsidR="00705353" w:rsidRPr="007C0D98" w:rsidRDefault="00705353" w:rsidP="00C2243F">
            <w:pPr>
              <w:spacing w:after="120"/>
              <w:outlineLvl w:val="2"/>
              <w:cnfStyle w:val="000000000000" w:firstRow="0" w:lastRow="0" w:firstColumn="0" w:lastColumn="0" w:oddVBand="0" w:evenVBand="0" w:oddHBand="0" w:evenHBand="0" w:firstRowFirstColumn="0" w:firstRowLastColumn="0" w:lastRowFirstColumn="0" w:lastRowLastColumn="0"/>
              <w:rPr>
                <w:color w:val="auto"/>
              </w:rPr>
            </w:pPr>
            <w:r w:rsidRPr="007C0D98">
              <w:rPr>
                <w:color w:val="auto"/>
              </w:rPr>
              <w:t>Reinforced</w:t>
            </w:r>
          </w:p>
          <w:p w14:paraId="5D3CEB73" w14:textId="77777777" w:rsidR="00705353" w:rsidRPr="007C0D98" w:rsidRDefault="00705353" w:rsidP="00C2243F">
            <w:pPr>
              <w:spacing w:after="120"/>
              <w:outlineLvl w:val="2"/>
              <w:cnfStyle w:val="000000000000" w:firstRow="0" w:lastRow="0" w:firstColumn="0" w:lastColumn="0" w:oddVBand="0" w:evenVBand="0" w:oddHBand="0" w:evenHBand="0" w:firstRowFirstColumn="0" w:firstRowLastColumn="0" w:lastRowFirstColumn="0" w:lastRowLastColumn="0"/>
              <w:rPr>
                <w:color w:val="auto"/>
                <w:sz w:val="18"/>
                <w:szCs w:val="18"/>
              </w:rPr>
            </w:pPr>
          </w:p>
          <w:p w14:paraId="052183E8" w14:textId="77777777" w:rsidR="00705353" w:rsidRPr="007C0D98" w:rsidRDefault="00705353" w:rsidP="00C2243F">
            <w:pPr>
              <w:spacing w:after="120"/>
              <w:outlineLvl w:val="2"/>
              <w:cnfStyle w:val="000000000000" w:firstRow="0" w:lastRow="0" w:firstColumn="0" w:lastColumn="0" w:oddVBand="0" w:evenVBand="0" w:oddHBand="0" w:evenHBand="0" w:firstRowFirstColumn="0" w:firstRowLastColumn="0" w:lastRowFirstColumn="0" w:lastRowLastColumn="0"/>
              <w:rPr>
                <w:color w:val="auto"/>
                <w:sz w:val="18"/>
                <w:szCs w:val="18"/>
              </w:rPr>
            </w:pPr>
            <w:r w:rsidRPr="007C0D98">
              <w:rPr>
                <w:color w:val="auto"/>
                <w:sz w:val="18"/>
                <w:szCs w:val="18"/>
              </w:rPr>
              <w:t>Date:</w:t>
            </w:r>
          </w:p>
        </w:tc>
        <w:tc>
          <w:tcPr>
            <w:tcW w:w="2410" w:type="dxa"/>
            <w:gridSpan w:val="2"/>
          </w:tcPr>
          <w:p w14:paraId="71CE08AF" w14:textId="77777777" w:rsidR="00705353" w:rsidRPr="007C0D98" w:rsidRDefault="00705353" w:rsidP="00C2243F">
            <w:pPr>
              <w:spacing w:after="120"/>
              <w:outlineLvl w:val="2"/>
              <w:cnfStyle w:val="000000000000" w:firstRow="0" w:lastRow="0" w:firstColumn="0" w:lastColumn="0" w:oddVBand="0" w:evenVBand="0" w:oddHBand="0" w:evenHBand="0" w:firstRowFirstColumn="0" w:firstRowLastColumn="0" w:lastRowFirstColumn="0" w:lastRowLastColumn="0"/>
              <w:rPr>
                <w:color w:val="auto"/>
              </w:rPr>
            </w:pPr>
            <w:r w:rsidRPr="007C0D98">
              <w:rPr>
                <w:color w:val="auto"/>
              </w:rPr>
              <w:t>Competency Demonstrated</w:t>
            </w:r>
          </w:p>
          <w:p w14:paraId="083024A1" w14:textId="77777777" w:rsidR="00705353" w:rsidRPr="007C0D98" w:rsidRDefault="00705353" w:rsidP="00C2243F">
            <w:pPr>
              <w:spacing w:after="120"/>
              <w:outlineLvl w:val="2"/>
              <w:cnfStyle w:val="000000000000" w:firstRow="0" w:lastRow="0" w:firstColumn="0" w:lastColumn="0" w:oddVBand="0" w:evenVBand="0" w:oddHBand="0" w:evenHBand="0" w:firstRowFirstColumn="0" w:firstRowLastColumn="0" w:lastRowFirstColumn="0" w:lastRowLastColumn="0"/>
              <w:rPr>
                <w:color w:val="auto"/>
                <w:sz w:val="18"/>
                <w:szCs w:val="18"/>
              </w:rPr>
            </w:pPr>
            <w:r w:rsidRPr="007C0D98">
              <w:rPr>
                <w:color w:val="auto"/>
                <w:sz w:val="18"/>
                <w:szCs w:val="18"/>
              </w:rPr>
              <w:t>Date:</w:t>
            </w:r>
          </w:p>
        </w:tc>
        <w:tc>
          <w:tcPr>
            <w:tcW w:w="2268" w:type="dxa"/>
            <w:gridSpan w:val="2"/>
          </w:tcPr>
          <w:p w14:paraId="39F9DC20" w14:textId="77777777" w:rsidR="00705353" w:rsidRPr="007C0D98" w:rsidRDefault="00705353" w:rsidP="00C2243F">
            <w:pPr>
              <w:spacing w:after="120"/>
              <w:outlineLvl w:val="2"/>
              <w:cnfStyle w:val="000000000000" w:firstRow="0" w:lastRow="0" w:firstColumn="0" w:lastColumn="0" w:oddVBand="0" w:evenVBand="0" w:oddHBand="0" w:evenHBand="0" w:firstRowFirstColumn="0" w:firstRowLastColumn="0" w:lastRowFirstColumn="0" w:lastRowLastColumn="0"/>
              <w:rPr>
                <w:color w:val="auto"/>
              </w:rPr>
            </w:pPr>
            <w:r w:rsidRPr="007C0D98">
              <w:rPr>
                <w:color w:val="auto"/>
              </w:rPr>
              <w:t>Competency Mastered</w:t>
            </w:r>
          </w:p>
          <w:p w14:paraId="417E94D6" w14:textId="77777777" w:rsidR="00705353" w:rsidRPr="007C0D98" w:rsidRDefault="00705353" w:rsidP="00C2243F">
            <w:pPr>
              <w:spacing w:after="120"/>
              <w:outlineLvl w:val="2"/>
              <w:cnfStyle w:val="000000000000" w:firstRow="0" w:lastRow="0" w:firstColumn="0" w:lastColumn="0" w:oddVBand="0" w:evenVBand="0" w:oddHBand="0" w:evenHBand="0" w:firstRowFirstColumn="0" w:firstRowLastColumn="0" w:lastRowFirstColumn="0" w:lastRowLastColumn="0"/>
              <w:rPr>
                <w:color w:val="auto"/>
                <w:sz w:val="18"/>
                <w:szCs w:val="18"/>
              </w:rPr>
            </w:pPr>
            <w:r w:rsidRPr="007C0D98">
              <w:rPr>
                <w:color w:val="auto"/>
                <w:sz w:val="18"/>
                <w:szCs w:val="18"/>
              </w:rPr>
              <w:t>Date:</w:t>
            </w:r>
          </w:p>
        </w:tc>
      </w:tr>
      <w:tr w:rsidR="00705353" w:rsidRPr="00AC3B22" w14:paraId="20EA7E57" w14:textId="77777777" w:rsidTr="007C0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2"/>
          </w:tcPr>
          <w:p w14:paraId="70C33B62" w14:textId="77777777" w:rsidR="00705353" w:rsidRPr="00AC3B22" w:rsidRDefault="00705353" w:rsidP="00C2243F">
            <w:pPr>
              <w:rPr>
                <w:szCs w:val="20"/>
              </w:rPr>
            </w:pPr>
            <w:r w:rsidRPr="00AC3B22">
              <w:rPr>
                <w:szCs w:val="20"/>
              </w:rPr>
              <w:t>Competent/Not Yet Competent</w:t>
            </w:r>
          </w:p>
          <w:p w14:paraId="0CCA240D" w14:textId="77777777" w:rsidR="00705353" w:rsidRPr="00AC3B22" w:rsidRDefault="00705353" w:rsidP="00C2243F">
            <w:pPr>
              <w:rPr>
                <w:szCs w:val="20"/>
              </w:rPr>
            </w:pPr>
            <w:r w:rsidRPr="00AC3B22">
              <w:rPr>
                <w:szCs w:val="20"/>
              </w:rPr>
              <w:t>(C/NYC)</w:t>
            </w:r>
          </w:p>
        </w:tc>
        <w:tc>
          <w:tcPr>
            <w:tcW w:w="1559" w:type="dxa"/>
          </w:tcPr>
          <w:p w14:paraId="41D5CD88" w14:textId="77777777" w:rsidR="00705353" w:rsidRPr="00AC3B22" w:rsidRDefault="00705353" w:rsidP="00C2243F">
            <w:pPr>
              <w:jc w:val="center"/>
              <w:cnfStyle w:val="000000100000" w:firstRow="0" w:lastRow="0" w:firstColumn="0" w:lastColumn="0" w:oddVBand="0" w:evenVBand="0" w:oddHBand="1" w:evenHBand="0" w:firstRowFirstColumn="0" w:firstRowLastColumn="0" w:lastRowFirstColumn="0" w:lastRowLastColumn="0"/>
              <w:rPr>
                <w:szCs w:val="20"/>
              </w:rPr>
            </w:pPr>
            <w:r w:rsidRPr="00AC3B22">
              <w:rPr>
                <w:b/>
                <w:szCs w:val="20"/>
              </w:rPr>
              <w:t>C/NYC</w:t>
            </w:r>
          </w:p>
        </w:tc>
        <w:tc>
          <w:tcPr>
            <w:tcW w:w="851" w:type="dxa"/>
          </w:tcPr>
          <w:p w14:paraId="423AA6D5" w14:textId="77777777" w:rsidR="00705353" w:rsidRPr="007C0D98" w:rsidRDefault="00705353" w:rsidP="00C2243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C0D98">
              <w:rPr>
                <w:sz w:val="22"/>
                <w:szCs w:val="22"/>
              </w:rPr>
              <w:t>Initials</w:t>
            </w:r>
          </w:p>
        </w:tc>
        <w:tc>
          <w:tcPr>
            <w:tcW w:w="1843" w:type="dxa"/>
            <w:gridSpan w:val="2"/>
          </w:tcPr>
          <w:p w14:paraId="5F1F1DB5" w14:textId="77777777" w:rsidR="00705353" w:rsidRPr="00AC3B22" w:rsidRDefault="00705353" w:rsidP="00C2243F">
            <w:pPr>
              <w:jc w:val="center"/>
              <w:cnfStyle w:val="000000100000" w:firstRow="0" w:lastRow="0" w:firstColumn="0" w:lastColumn="0" w:oddVBand="0" w:evenVBand="0" w:oddHBand="1" w:evenHBand="0" w:firstRowFirstColumn="0" w:firstRowLastColumn="0" w:lastRowFirstColumn="0" w:lastRowLastColumn="0"/>
              <w:rPr>
                <w:szCs w:val="20"/>
              </w:rPr>
            </w:pPr>
            <w:r w:rsidRPr="00AC3B22">
              <w:rPr>
                <w:b/>
                <w:szCs w:val="20"/>
              </w:rPr>
              <w:t>C/NYC</w:t>
            </w:r>
          </w:p>
        </w:tc>
        <w:tc>
          <w:tcPr>
            <w:tcW w:w="850" w:type="dxa"/>
            <w:gridSpan w:val="2"/>
          </w:tcPr>
          <w:p w14:paraId="47C38AE9" w14:textId="77777777" w:rsidR="00705353" w:rsidRPr="007C0D98" w:rsidRDefault="00705353" w:rsidP="00C2243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C0D98">
              <w:rPr>
                <w:sz w:val="22"/>
                <w:szCs w:val="22"/>
              </w:rPr>
              <w:t>Initials</w:t>
            </w:r>
          </w:p>
        </w:tc>
        <w:tc>
          <w:tcPr>
            <w:tcW w:w="1559" w:type="dxa"/>
          </w:tcPr>
          <w:p w14:paraId="33B4E489" w14:textId="77777777" w:rsidR="00705353" w:rsidRPr="00AC3B22" w:rsidRDefault="00705353" w:rsidP="00C2243F">
            <w:pPr>
              <w:jc w:val="center"/>
              <w:cnfStyle w:val="000000100000" w:firstRow="0" w:lastRow="0" w:firstColumn="0" w:lastColumn="0" w:oddVBand="0" w:evenVBand="0" w:oddHBand="1" w:evenHBand="0" w:firstRowFirstColumn="0" w:firstRowLastColumn="0" w:lastRowFirstColumn="0" w:lastRowLastColumn="0"/>
              <w:rPr>
                <w:szCs w:val="20"/>
              </w:rPr>
            </w:pPr>
            <w:r w:rsidRPr="00AC3B22">
              <w:rPr>
                <w:b/>
                <w:szCs w:val="20"/>
              </w:rPr>
              <w:t>C/NYC</w:t>
            </w:r>
          </w:p>
        </w:tc>
        <w:tc>
          <w:tcPr>
            <w:tcW w:w="851" w:type="dxa"/>
          </w:tcPr>
          <w:p w14:paraId="3DB03815" w14:textId="77777777" w:rsidR="00705353" w:rsidRPr="007C0D98" w:rsidRDefault="00705353" w:rsidP="00C2243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C0D98">
              <w:rPr>
                <w:sz w:val="22"/>
                <w:szCs w:val="22"/>
              </w:rPr>
              <w:t>Initials</w:t>
            </w:r>
          </w:p>
        </w:tc>
        <w:tc>
          <w:tcPr>
            <w:tcW w:w="1417" w:type="dxa"/>
          </w:tcPr>
          <w:p w14:paraId="2C644F14" w14:textId="77777777" w:rsidR="00705353" w:rsidRPr="00AC3B22" w:rsidRDefault="00705353" w:rsidP="00C2243F">
            <w:pPr>
              <w:jc w:val="center"/>
              <w:cnfStyle w:val="000000100000" w:firstRow="0" w:lastRow="0" w:firstColumn="0" w:lastColumn="0" w:oddVBand="0" w:evenVBand="0" w:oddHBand="1" w:evenHBand="0" w:firstRowFirstColumn="0" w:firstRowLastColumn="0" w:lastRowFirstColumn="0" w:lastRowLastColumn="0"/>
              <w:rPr>
                <w:szCs w:val="20"/>
              </w:rPr>
            </w:pPr>
            <w:r w:rsidRPr="00AC3B22">
              <w:rPr>
                <w:b/>
                <w:szCs w:val="20"/>
              </w:rPr>
              <w:t>C/NYC</w:t>
            </w:r>
          </w:p>
        </w:tc>
        <w:tc>
          <w:tcPr>
            <w:tcW w:w="851" w:type="dxa"/>
          </w:tcPr>
          <w:p w14:paraId="1F3A76C1" w14:textId="77777777" w:rsidR="00705353" w:rsidRPr="007C0D98" w:rsidRDefault="00705353" w:rsidP="00C2243F">
            <w:pPr>
              <w:jc w:val="center"/>
              <w:cnfStyle w:val="000000100000" w:firstRow="0" w:lastRow="0" w:firstColumn="0" w:lastColumn="0" w:oddVBand="0" w:evenVBand="0" w:oddHBand="1" w:evenHBand="0" w:firstRowFirstColumn="0" w:firstRowLastColumn="0" w:lastRowFirstColumn="0" w:lastRowLastColumn="0"/>
              <w:rPr>
                <w:sz w:val="22"/>
                <w:szCs w:val="22"/>
              </w:rPr>
            </w:pPr>
            <w:r w:rsidRPr="007C0D98">
              <w:rPr>
                <w:sz w:val="22"/>
                <w:szCs w:val="22"/>
              </w:rPr>
              <w:t>Initials</w:t>
            </w:r>
          </w:p>
        </w:tc>
      </w:tr>
      <w:tr w:rsidR="00705353" w:rsidRPr="00AC3B22" w14:paraId="7CB09CD4" w14:textId="77777777" w:rsidTr="007C0D98">
        <w:tc>
          <w:tcPr>
            <w:cnfStyle w:val="001000000000" w:firstRow="0" w:lastRow="0" w:firstColumn="1" w:lastColumn="0" w:oddVBand="0" w:evenVBand="0" w:oddHBand="0" w:evenHBand="0" w:firstRowFirstColumn="0" w:firstRowLastColumn="0" w:lastRowFirstColumn="0" w:lastRowLastColumn="0"/>
            <w:tcW w:w="3652" w:type="dxa"/>
            <w:gridSpan w:val="2"/>
          </w:tcPr>
          <w:p w14:paraId="5EFD9A3C" w14:textId="77777777" w:rsidR="00705353" w:rsidRPr="00AC3B22" w:rsidRDefault="00705353" w:rsidP="00C2243F">
            <w:pPr>
              <w:rPr>
                <w:szCs w:val="20"/>
              </w:rPr>
            </w:pPr>
            <w:r w:rsidRPr="00AC3B22">
              <w:rPr>
                <w:szCs w:val="20"/>
              </w:rPr>
              <w:t>Describe transportation &amp; storage requirements of specific product</w:t>
            </w:r>
          </w:p>
        </w:tc>
        <w:tc>
          <w:tcPr>
            <w:tcW w:w="1559" w:type="dxa"/>
          </w:tcPr>
          <w:p w14:paraId="4212C657"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654FC993"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843" w:type="dxa"/>
            <w:gridSpan w:val="2"/>
          </w:tcPr>
          <w:p w14:paraId="40F501AA"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0" w:type="dxa"/>
            <w:gridSpan w:val="2"/>
          </w:tcPr>
          <w:p w14:paraId="124DBADD"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559" w:type="dxa"/>
          </w:tcPr>
          <w:p w14:paraId="4B067D89"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530AD506"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417" w:type="dxa"/>
          </w:tcPr>
          <w:p w14:paraId="619B225E"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17824C2A"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r>
      <w:tr w:rsidR="00705353" w:rsidRPr="00AC3B22" w14:paraId="2A51009F" w14:textId="77777777" w:rsidTr="007C0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2"/>
          </w:tcPr>
          <w:p w14:paraId="1E7D6C5A" w14:textId="77777777" w:rsidR="00705353" w:rsidRPr="00AC3B22" w:rsidRDefault="00705353" w:rsidP="00C2243F">
            <w:pPr>
              <w:rPr>
                <w:szCs w:val="20"/>
              </w:rPr>
            </w:pPr>
            <w:r w:rsidRPr="00AC3B22">
              <w:rPr>
                <w:szCs w:val="20"/>
              </w:rPr>
              <w:lastRenderedPageBreak/>
              <w:t>Define SCIg administration and location of site of infusion</w:t>
            </w:r>
          </w:p>
        </w:tc>
        <w:tc>
          <w:tcPr>
            <w:tcW w:w="1559" w:type="dxa"/>
          </w:tcPr>
          <w:p w14:paraId="4CB26B92"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73D5A6B0"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843" w:type="dxa"/>
            <w:gridSpan w:val="2"/>
          </w:tcPr>
          <w:p w14:paraId="6668A84B"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0" w:type="dxa"/>
            <w:gridSpan w:val="2"/>
          </w:tcPr>
          <w:p w14:paraId="580D36E9"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559" w:type="dxa"/>
          </w:tcPr>
          <w:p w14:paraId="0E00778B"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42F6BC61"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417" w:type="dxa"/>
          </w:tcPr>
          <w:p w14:paraId="0EA5A783"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04181101"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r>
      <w:tr w:rsidR="00705353" w:rsidRPr="00AC3B22" w14:paraId="31EFAA9A" w14:textId="77777777" w:rsidTr="007C0D98">
        <w:tc>
          <w:tcPr>
            <w:cnfStyle w:val="001000000000" w:firstRow="0" w:lastRow="0" w:firstColumn="1" w:lastColumn="0" w:oddVBand="0" w:evenVBand="0" w:oddHBand="0" w:evenHBand="0" w:firstRowFirstColumn="0" w:firstRowLastColumn="0" w:lastRowFirstColumn="0" w:lastRowLastColumn="0"/>
            <w:tcW w:w="3652" w:type="dxa"/>
            <w:gridSpan w:val="2"/>
          </w:tcPr>
          <w:p w14:paraId="0091A284" w14:textId="77777777" w:rsidR="00705353" w:rsidRPr="00AC3B22" w:rsidRDefault="00705353" w:rsidP="00C2243F">
            <w:pPr>
              <w:rPr>
                <w:szCs w:val="20"/>
              </w:rPr>
            </w:pPr>
            <w:r w:rsidRPr="00AC3B22">
              <w:rPr>
                <w:szCs w:val="20"/>
              </w:rPr>
              <w:t>Listing of appropriate infusion sites and understanding of rotation of sites</w:t>
            </w:r>
          </w:p>
        </w:tc>
        <w:tc>
          <w:tcPr>
            <w:tcW w:w="1559" w:type="dxa"/>
          </w:tcPr>
          <w:p w14:paraId="6E1451C1"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1C9154F9"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843" w:type="dxa"/>
            <w:gridSpan w:val="2"/>
          </w:tcPr>
          <w:p w14:paraId="0E759D37"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0" w:type="dxa"/>
            <w:gridSpan w:val="2"/>
          </w:tcPr>
          <w:p w14:paraId="511D08C4"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559" w:type="dxa"/>
          </w:tcPr>
          <w:p w14:paraId="61E63379"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575194DA"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417" w:type="dxa"/>
          </w:tcPr>
          <w:p w14:paraId="6FC85E9C"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74E28AB1"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r>
      <w:tr w:rsidR="00705353" w:rsidRPr="00AC3B22" w14:paraId="0C9451C5" w14:textId="77777777" w:rsidTr="007C0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2"/>
          </w:tcPr>
          <w:p w14:paraId="5270AAFD" w14:textId="77777777" w:rsidR="00705353" w:rsidRPr="00AC3B22" w:rsidRDefault="00705353" w:rsidP="00C2243F">
            <w:pPr>
              <w:rPr>
                <w:szCs w:val="20"/>
              </w:rPr>
            </w:pPr>
            <w:r w:rsidRPr="00AC3B22">
              <w:rPr>
                <w:szCs w:val="20"/>
              </w:rPr>
              <w:t>Understanding and demonstrated care of infusion site</w:t>
            </w:r>
          </w:p>
        </w:tc>
        <w:tc>
          <w:tcPr>
            <w:tcW w:w="1559" w:type="dxa"/>
          </w:tcPr>
          <w:p w14:paraId="475C8BF8"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44727DB0"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843" w:type="dxa"/>
            <w:gridSpan w:val="2"/>
          </w:tcPr>
          <w:p w14:paraId="774CA58C"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0" w:type="dxa"/>
            <w:gridSpan w:val="2"/>
          </w:tcPr>
          <w:p w14:paraId="5277D92E"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559" w:type="dxa"/>
          </w:tcPr>
          <w:p w14:paraId="5AD39426"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01E758DD"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417" w:type="dxa"/>
          </w:tcPr>
          <w:p w14:paraId="2348CEB5"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3B2EC6FB"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r>
      <w:tr w:rsidR="00705353" w:rsidRPr="00AC3B22" w14:paraId="4C6911CB" w14:textId="77777777" w:rsidTr="007C0D98">
        <w:tc>
          <w:tcPr>
            <w:cnfStyle w:val="001000000000" w:firstRow="0" w:lastRow="0" w:firstColumn="1" w:lastColumn="0" w:oddVBand="0" w:evenVBand="0" w:oddHBand="0" w:evenHBand="0" w:firstRowFirstColumn="0" w:firstRowLastColumn="0" w:lastRowFirstColumn="0" w:lastRowLastColumn="0"/>
            <w:tcW w:w="3652" w:type="dxa"/>
            <w:gridSpan w:val="2"/>
          </w:tcPr>
          <w:p w14:paraId="3111AA17" w14:textId="77777777" w:rsidR="00705353" w:rsidRPr="00AC3B22" w:rsidRDefault="00705353" w:rsidP="00C2243F">
            <w:pPr>
              <w:rPr>
                <w:szCs w:val="20"/>
              </w:rPr>
            </w:pPr>
            <w:r w:rsidRPr="00AC3B22">
              <w:rPr>
                <w:szCs w:val="20"/>
              </w:rPr>
              <w:t>Description of appropriate supplies necessary to complete procedure</w:t>
            </w:r>
          </w:p>
        </w:tc>
        <w:tc>
          <w:tcPr>
            <w:tcW w:w="1559" w:type="dxa"/>
          </w:tcPr>
          <w:p w14:paraId="0DB6FEB0"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4055609B"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843" w:type="dxa"/>
            <w:gridSpan w:val="2"/>
          </w:tcPr>
          <w:p w14:paraId="2667FCC4"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0" w:type="dxa"/>
            <w:gridSpan w:val="2"/>
          </w:tcPr>
          <w:p w14:paraId="7E58B89A"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559" w:type="dxa"/>
          </w:tcPr>
          <w:p w14:paraId="2CAEDE23"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4B8CB7A9"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417" w:type="dxa"/>
          </w:tcPr>
          <w:p w14:paraId="706EAB27"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60A8F26C"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r>
      <w:tr w:rsidR="00705353" w:rsidRPr="00AC3B22" w14:paraId="3C44A9F6" w14:textId="77777777" w:rsidTr="007C0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2"/>
          </w:tcPr>
          <w:p w14:paraId="75DC7C8C" w14:textId="77777777" w:rsidR="00705353" w:rsidRPr="00AC3B22" w:rsidRDefault="00705353" w:rsidP="00C2243F">
            <w:pPr>
              <w:rPr>
                <w:szCs w:val="20"/>
              </w:rPr>
            </w:pPr>
            <w:r w:rsidRPr="00AC3B22">
              <w:rPr>
                <w:szCs w:val="20"/>
              </w:rPr>
              <w:t>Understanding of pump usage and what to do when not working or if alarm sounds</w:t>
            </w:r>
          </w:p>
        </w:tc>
        <w:tc>
          <w:tcPr>
            <w:tcW w:w="1559" w:type="dxa"/>
          </w:tcPr>
          <w:p w14:paraId="26A304F7"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5702462E"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843" w:type="dxa"/>
            <w:gridSpan w:val="2"/>
          </w:tcPr>
          <w:p w14:paraId="0D4B335F"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0" w:type="dxa"/>
            <w:gridSpan w:val="2"/>
          </w:tcPr>
          <w:p w14:paraId="18FE8321"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559" w:type="dxa"/>
          </w:tcPr>
          <w:p w14:paraId="76F944A1"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53CAC4CE"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417" w:type="dxa"/>
          </w:tcPr>
          <w:p w14:paraId="24ECF777"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31DE67E6"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r>
      <w:tr w:rsidR="00705353" w:rsidRPr="00AC3B22" w14:paraId="2D726810" w14:textId="77777777" w:rsidTr="007C0D98">
        <w:tc>
          <w:tcPr>
            <w:cnfStyle w:val="001000000000" w:firstRow="0" w:lastRow="0" w:firstColumn="1" w:lastColumn="0" w:oddVBand="0" w:evenVBand="0" w:oddHBand="0" w:evenHBand="0" w:firstRowFirstColumn="0" w:firstRowLastColumn="0" w:lastRowFirstColumn="0" w:lastRowLastColumn="0"/>
            <w:tcW w:w="3652" w:type="dxa"/>
            <w:gridSpan w:val="2"/>
          </w:tcPr>
          <w:p w14:paraId="3139202E" w14:textId="77777777" w:rsidR="00705353" w:rsidRPr="00AC3B22" w:rsidRDefault="00705353" w:rsidP="00C2243F">
            <w:pPr>
              <w:rPr>
                <w:szCs w:val="20"/>
              </w:rPr>
            </w:pPr>
            <w:r w:rsidRPr="00AC3B22">
              <w:rPr>
                <w:szCs w:val="20"/>
              </w:rPr>
              <w:t>Understanding of “push” method as an alternative or when pump is unavailable</w:t>
            </w:r>
          </w:p>
        </w:tc>
        <w:tc>
          <w:tcPr>
            <w:tcW w:w="1559" w:type="dxa"/>
          </w:tcPr>
          <w:p w14:paraId="77944812"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0E9DBFB2"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843" w:type="dxa"/>
            <w:gridSpan w:val="2"/>
          </w:tcPr>
          <w:p w14:paraId="54CFCB88"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0" w:type="dxa"/>
            <w:gridSpan w:val="2"/>
          </w:tcPr>
          <w:p w14:paraId="42BFFF44"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559" w:type="dxa"/>
          </w:tcPr>
          <w:p w14:paraId="5AB0ABE4"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46BF4203"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417" w:type="dxa"/>
          </w:tcPr>
          <w:p w14:paraId="3254546B"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683752DA"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r>
      <w:tr w:rsidR="00705353" w:rsidRPr="00AC3B22" w14:paraId="790AE0E3" w14:textId="77777777" w:rsidTr="007C0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2"/>
          </w:tcPr>
          <w:p w14:paraId="190EF2C0" w14:textId="77777777" w:rsidR="00705353" w:rsidRPr="00AC3B22" w:rsidRDefault="00705353" w:rsidP="00C2243F">
            <w:pPr>
              <w:rPr>
                <w:szCs w:val="20"/>
              </w:rPr>
            </w:pPr>
            <w:r w:rsidRPr="00AC3B22">
              <w:rPr>
                <w:szCs w:val="20"/>
              </w:rPr>
              <w:lastRenderedPageBreak/>
              <w:t>Understanding of how to check product/prepare product and how to report wastage/unused product</w:t>
            </w:r>
          </w:p>
        </w:tc>
        <w:tc>
          <w:tcPr>
            <w:tcW w:w="1559" w:type="dxa"/>
          </w:tcPr>
          <w:p w14:paraId="6D83676B"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6523727F"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843" w:type="dxa"/>
            <w:gridSpan w:val="2"/>
          </w:tcPr>
          <w:p w14:paraId="1BEC7171"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0" w:type="dxa"/>
            <w:gridSpan w:val="2"/>
          </w:tcPr>
          <w:p w14:paraId="58C8C6D4"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559" w:type="dxa"/>
          </w:tcPr>
          <w:p w14:paraId="2980977F"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4540ACDE"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417" w:type="dxa"/>
          </w:tcPr>
          <w:p w14:paraId="5D34904C"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449090AC"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r>
      <w:tr w:rsidR="00705353" w:rsidRPr="00AC3B22" w14:paraId="5F35069D" w14:textId="77777777" w:rsidTr="007C0D98">
        <w:tc>
          <w:tcPr>
            <w:cnfStyle w:val="001000000000" w:firstRow="0" w:lastRow="0" w:firstColumn="1" w:lastColumn="0" w:oddVBand="0" w:evenVBand="0" w:oddHBand="0" w:evenHBand="0" w:firstRowFirstColumn="0" w:firstRowLastColumn="0" w:lastRowFirstColumn="0" w:lastRowLastColumn="0"/>
            <w:tcW w:w="3652" w:type="dxa"/>
            <w:gridSpan w:val="2"/>
          </w:tcPr>
          <w:p w14:paraId="31624C77" w14:textId="77777777" w:rsidR="00705353" w:rsidRPr="00AC3B22" w:rsidRDefault="00705353" w:rsidP="00C2243F">
            <w:pPr>
              <w:rPr>
                <w:szCs w:val="20"/>
              </w:rPr>
            </w:pPr>
            <w:r w:rsidRPr="00AC3B22">
              <w:rPr>
                <w:szCs w:val="20"/>
              </w:rPr>
              <w:t>Ability to prepare infusion site and draw up product from single or multiple vials and prime tubing</w:t>
            </w:r>
          </w:p>
        </w:tc>
        <w:tc>
          <w:tcPr>
            <w:tcW w:w="1559" w:type="dxa"/>
          </w:tcPr>
          <w:p w14:paraId="231C4F91"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10253B74"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843" w:type="dxa"/>
            <w:gridSpan w:val="2"/>
          </w:tcPr>
          <w:p w14:paraId="7F669971"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0" w:type="dxa"/>
            <w:gridSpan w:val="2"/>
          </w:tcPr>
          <w:p w14:paraId="1E198F1F"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559" w:type="dxa"/>
          </w:tcPr>
          <w:p w14:paraId="55945088"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35E25B0E"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417" w:type="dxa"/>
          </w:tcPr>
          <w:p w14:paraId="47CC0645"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79196B44"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r>
      <w:tr w:rsidR="00705353" w:rsidRPr="00AC3B22" w14:paraId="383CB8B5" w14:textId="77777777" w:rsidTr="007C0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2"/>
          </w:tcPr>
          <w:p w14:paraId="104B9911" w14:textId="77777777" w:rsidR="00705353" w:rsidRPr="00AC3B22" w:rsidRDefault="00705353" w:rsidP="00C2243F">
            <w:pPr>
              <w:rPr>
                <w:szCs w:val="20"/>
              </w:rPr>
            </w:pPr>
            <w:r w:rsidRPr="00AC3B22">
              <w:rPr>
                <w:szCs w:val="20"/>
              </w:rPr>
              <w:t>Demonstrated insertion of subcutaneous catheter /checking for blood/what actions to take if blood is present</w:t>
            </w:r>
          </w:p>
        </w:tc>
        <w:tc>
          <w:tcPr>
            <w:tcW w:w="1559" w:type="dxa"/>
          </w:tcPr>
          <w:p w14:paraId="3F3BE775"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782B5BE0"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843" w:type="dxa"/>
            <w:gridSpan w:val="2"/>
          </w:tcPr>
          <w:p w14:paraId="3270A18D"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0" w:type="dxa"/>
            <w:gridSpan w:val="2"/>
          </w:tcPr>
          <w:p w14:paraId="25F27DC2"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559" w:type="dxa"/>
          </w:tcPr>
          <w:p w14:paraId="62CF45A7"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44B01120"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417" w:type="dxa"/>
          </w:tcPr>
          <w:p w14:paraId="318DE353"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2B56B3CE"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r>
      <w:tr w:rsidR="00705353" w:rsidRPr="00AC3B22" w14:paraId="539589F6" w14:textId="77777777" w:rsidTr="007C0D98">
        <w:tc>
          <w:tcPr>
            <w:cnfStyle w:val="001000000000" w:firstRow="0" w:lastRow="0" w:firstColumn="1" w:lastColumn="0" w:oddVBand="0" w:evenVBand="0" w:oddHBand="0" w:evenHBand="0" w:firstRowFirstColumn="0" w:firstRowLastColumn="0" w:lastRowFirstColumn="0" w:lastRowLastColumn="0"/>
            <w:tcW w:w="3652" w:type="dxa"/>
            <w:gridSpan w:val="2"/>
          </w:tcPr>
          <w:p w14:paraId="0C86CD8D" w14:textId="77777777" w:rsidR="00705353" w:rsidRPr="00AC3B22" w:rsidRDefault="00705353" w:rsidP="00C2243F">
            <w:pPr>
              <w:rPr>
                <w:szCs w:val="20"/>
              </w:rPr>
            </w:pPr>
            <w:r w:rsidRPr="00AC3B22">
              <w:rPr>
                <w:szCs w:val="20"/>
              </w:rPr>
              <w:t>Demonstrates appropriate aseptic technique</w:t>
            </w:r>
          </w:p>
        </w:tc>
        <w:tc>
          <w:tcPr>
            <w:tcW w:w="1559" w:type="dxa"/>
          </w:tcPr>
          <w:p w14:paraId="2A884CE0"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49F9FF1F"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843" w:type="dxa"/>
            <w:gridSpan w:val="2"/>
          </w:tcPr>
          <w:p w14:paraId="16BD289F"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0" w:type="dxa"/>
            <w:gridSpan w:val="2"/>
          </w:tcPr>
          <w:p w14:paraId="71CC25DD"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559" w:type="dxa"/>
          </w:tcPr>
          <w:p w14:paraId="3FD581C7"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7CE077BF"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417" w:type="dxa"/>
          </w:tcPr>
          <w:p w14:paraId="4A5ECD07"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31EC5C16"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r>
      <w:tr w:rsidR="00705353" w:rsidRPr="00AC3B22" w14:paraId="6A729FEC" w14:textId="77777777" w:rsidTr="007C0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2"/>
          </w:tcPr>
          <w:p w14:paraId="2ADA97A2" w14:textId="77777777" w:rsidR="00705353" w:rsidRPr="00AC3B22" w:rsidRDefault="00705353" w:rsidP="00C2243F">
            <w:pPr>
              <w:rPr>
                <w:szCs w:val="20"/>
              </w:rPr>
            </w:pPr>
            <w:r w:rsidRPr="00AC3B22">
              <w:rPr>
                <w:szCs w:val="20"/>
              </w:rPr>
              <w:t>Demonstrates accurate administration of treatment, and removal and safe disposal of needle</w:t>
            </w:r>
          </w:p>
        </w:tc>
        <w:tc>
          <w:tcPr>
            <w:tcW w:w="1559" w:type="dxa"/>
          </w:tcPr>
          <w:p w14:paraId="1EF7DF98"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26499779"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843" w:type="dxa"/>
            <w:gridSpan w:val="2"/>
          </w:tcPr>
          <w:p w14:paraId="7044BAD8"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0" w:type="dxa"/>
            <w:gridSpan w:val="2"/>
          </w:tcPr>
          <w:p w14:paraId="17C0F206"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559" w:type="dxa"/>
          </w:tcPr>
          <w:p w14:paraId="601185E7"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1B4AD1D3"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417" w:type="dxa"/>
          </w:tcPr>
          <w:p w14:paraId="20605C81"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2BC973F7"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r>
      <w:tr w:rsidR="00705353" w:rsidRPr="00AC3B22" w14:paraId="6795A2D9" w14:textId="77777777" w:rsidTr="007C0D98">
        <w:tc>
          <w:tcPr>
            <w:cnfStyle w:val="001000000000" w:firstRow="0" w:lastRow="0" w:firstColumn="1" w:lastColumn="0" w:oddVBand="0" w:evenVBand="0" w:oddHBand="0" w:evenHBand="0" w:firstRowFirstColumn="0" w:firstRowLastColumn="0" w:lastRowFirstColumn="0" w:lastRowLastColumn="0"/>
            <w:tcW w:w="3652" w:type="dxa"/>
            <w:gridSpan w:val="2"/>
          </w:tcPr>
          <w:p w14:paraId="4A6E0EBB" w14:textId="77777777" w:rsidR="00705353" w:rsidRPr="00AC3B22" w:rsidRDefault="00705353" w:rsidP="00C2243F">
            <w:pPr>
              <w:rPr>
                <w:szCs w:val="20"/>
              </w:rPr>
            </w:pPr>
            <w:r w:rsidRPr="00AC3B22">
              <w:rPr>
                <w:szCs w:val="20"/>
              </w:rPr>
              <w:t>Demonstrates ability to accurately record infusion treatment information in diary</w:t>
            </w:r>
          </w:p>
        </w:tc>
        <w:tc>
          <w:tcPr>
            <w:tcW w:w="1559" w:type="dxa"/>
          </w:tcPr>
          <w:p w14:paraId="7B37E848"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2AD715E2"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843" w:type="dxa"/>
            <w:gridSpan w:val="2"/>
          </w:tcPr>
          <w:p w14:paraId="186F3F2B"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0" w:type="dxa"/>
            <w:gridSpan w:val="2"/>
          </w:tcPr>
          <w:p w14:paraId="7ED713B5"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559" w:type="dxa"/>
          </w:tcPr>
          <w:p w14:paraId="1C1C04B6"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79ED7AA1"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417" w:type="dxa"/>
          </w:tcPr>
          <w:p w14:paraId="26865B64"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0B6CCA32"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r>
      <w:tr w:rsidR="00705353" w:rsidRPr="00AC3B22" w14:paraId="0DAA15C9" w14:textId="77777777" w:rsidTr="007C0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gridSpan w:val="2"/>
          </w:tcPr>
          <w:p w14:paraId="729551FE" w14:textId="77777777" w:rsidR="00705353" w:rsidRPr="00AC3B22" w:rsidRDefault="00705353" w:rsidP="00C2243F">
            <w:pPr>
              <w:rPr>
                <w:szCs w:val="20"/>
              </w:rPr>
            </w:pPr>
            <w:r w:rsidRPr="00AC3B22">
              <w:rPr>
                <w:szCs w:val="20"/>
              </w:rPr>
              <w:lastRenderedPageBreak/>
              <w:t>Understanding of potential situations/reactions which could result from the infusion</w:t>
            </w:r>
          </w:p>
        </w:tc>
        <w:tc>
          <w:tcPr>
            <w:tcW w:w="1559" w:type="dxa"/>
          </w:tcPr>
          <w:p w14:paraId="65778471"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3520D6F7"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843" w:type="dxa"/>
            <w:gridSpan w:val="2"/>
          </w:tcPr>
          <w:p w14:paraId="47E39B7F"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0" w:type="dxa"/>
            <w:gridSpan w:val="2"/>
          </w:tcPr>
          <w:p w14:paraId="01D121D8"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559" w:type="dxa"/>
          </w:tcPr>
          <w:p w14:paraId="4F0C129E"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1D330541"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1417" w:type="dxa"/>
          </w:tcPr>
          <w:p w14:paraId="495D4E87"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c>
          <w:tcPr>
            <w:tcW w:w="851" w:type="dxa"/>
          </w:tcPr>
          <w:p w14:paraId="1B9A6890" w14:textId="77777777" w:rsidR="00705353" w:rsidRPr="00AC3B22" w:rsidRDefault="00705353" w:rsidP="00C2243F">
            <w:pPr>
              <w:cnfStyle w:val="000000100000" w:firstRow="0" w:lastRow="0" w:firstColumn="0" w:lastColumn="0" w:oddVBand="0" w:evenVBand="0" w:oddHBand="1" w:evenHBand="0" w:firstRowFirstColumn="0" w:firstRowLastColumn="0" w:lastRowFirstColumn="0" w:lastRowLastColumn="0"/>
              <w:rPr>
                <w:szCs w:val="20"/>
              </w:rPr>
            </w:pPr>
          </w:p>
        </w:tc>
      </w:tr>
      <w:tr w:rsidR="00705353" w:rsidRPr="00AC3B22" w14:paraId="32C29616" w14:textId="77777777" w:rsidTr="007C0D98">
        <w:tc>
          <w:tcPr>
            <w:cnfStyle w:val="001000000000" w:firstRow="0" w:lastRow="0" w:firstColumn="1" w:lastColumn="0" w:oddVBand="0" w:evenVBand="0" w:oddHBand="0" w:evenHBand="0" w:firstRowFirstColumn="0" w:firstRowLastColumn="0" w:lastRowFirstColumn="0" w:lastRowLastColumn="0"/>
            <w:tcW w:w="3652" w:type="dxa"/>
            <w:gridSpan w:val="2"/>
          </w:tcPr>
          <w:p w14:paraId="51127FB5" w14:textId="77777777" w:rsidR="00705353" w:rsidRPr="00AC3B22" w:rsidRDefault="00705353" w:rsidP="00C2243F">
            <w:pPr>
              <w:rPr>
                <w:szCs w:val="20"/>
              </w:rPr>
            </w:pPr>
            <w:r w:rsidRPr="00AC3B22">
              <w:rPr>
                <w:szCs w:val="20"/>
              </w:rPr>
              <w:t>Understanding of correct management of any reactions to treatment</w:t>
            </w:r>
          </w:p>
        </w:tc>
        <w:tc>
          <w:tcPr>
            <w:tcW w:w="1559" w:type="dxa"/>
          </w:tcPr>
          <w:p w14:paraId="4DBA2BBA"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7A2C6AC3"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843" w:type="dxa"/>
            <w:gridSpan w:val="2"/>
          </w:tcPr>
          <w:p w14:paraId="1508C622"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0" w:type="dxa"/>
            <w:gridSpan w:val="2"/>
          </w:tcPr>
          <w:p w14:paraId="0CA5D39B"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559" w:type="dxa"/>
          </w:tcPr>
          <w:p w14:paraId="50B39F33"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15EF42B8"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1417" w:type="dxa"/>
          </w:tcPr>
          <w:p w14:paraId="16DF427F"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c>
          <w:tcPr>
            <w:tcW w:w="851" w:type="dxa"/>
          </w:tcPr>
          <w:p w14:paraId="0E06B7B7" w14:textId="77777777" w:rsidR="00705353" w:rsidRPr="00AC3B22" w:rsidRDefault="00705353" w:rsidP="00C2243F">
            <w:pPr>
              <w:cnfStyle w:val="000000000000" w:firstRow="0" w:lastRow="0" w:firstColumn="0" w:lastColumn="0" w:oddVBand="0" w:evenVBand="0" w:oddHBand="0" w:evenHBand="0" w:firstRowFirstColumn="0" w:firstRowLastColumn="0" w:lastRowFirstColumn="0" w:lastRowLastColumn="0"/>
              <w:rPr>
                <w:szCs w:val="20"/>
              </w:rPr>
            </w:pPr>
          </w:p>
        </w:tc>
      </w:tr>
    </w:tbl>
    <w:p w14:paraId="6E04A314" w14:textId="77777777" w:rsidR="00094BBF" w:rsidRDefault="00094BBF" w:rsidP="00094BBF">
      <w:r>
        <w:t>National Blood Authority Form collated from contributions from Octapharma, Baxter and CSL</w:t>
      </w:r>
    </w:p>
    <w:p w14:paraId="42F13558" w14:textId="77777777" w:rsidR="00705353" w:rsidRDefault="00705353" w:rsidP="00705353">
      <w:pPr>
        <w:pStyle w:val="Bullet"/>
        <w:numPr>
          <w:ilvl w:val="0"/>
          <w:numId w:val="0"/>
        </w:numPr>
        <w:rPr>
          <w:b/>
        </w:rPr>
      </w:pPr>
    </w:p>
    <w:p w14:paraId="3A984D35" w14:textId="77777777" w:rsidR="001679DF" w:rsidRDefault="0028383D" w:rsidP="00094BBF">
      <w:pPr>
        <w:pStyle w:val="Bullet"/>
        <w:numPr>
          <w:ilvl w:val="0"/>
          <w:numId w:val="0"/>
        </w:numPr>
        <w:rPr>
          <w:rStyle w:val="Hyperlink"/>
        </w:rPr>
      </w:pPr>
      <w:hyperlink w:anchor="_top" w:history="1">
        <w:r w:rsidR="00705353" w:rsidRPr="00481A6C">
          <w:rPr>
            <w:rStyle w:val="Hyperlink"/>
          </w:rPr>
          <w:t>Back to Contents</w:t>
        </w:r>
      </w:hyperlink>
    </w:p>
    <w:sectPr w:rsidR="001679DF" w:rsidSect="00705353">
      <w:pgSz w:w="16838" w:h="11906" w:orient="landscape" w:code="9"/>
      <w:pgMar w:top="851" w:right="970" w:bottom="1134" w:left="1134"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ED91" w14:textId="77777777" w:rsidR="00A5756A" w:rsidRDefault="00A5756A" w:rsidP="00225769">
      <w:pPr>
        <w:spacing w:after="0" w:line="240" w:lineRule="auto"/>
      </w:pPr>
      <w:r>
        <w:separator/>
      </w:r>
    </w:p>
    <w:p w14:paraId="5F72DBAB" w14:textId="77777777" w:rsidR="00A5756A" w:rsidRDefault="00A5756A"/>
    <w:p w14:paraId="54622309" w14:textId="77777777" w:rsidR="00A5756A" w:rsidRDefault="00A5756A"/>
    <w:p w14:paraId="53E6EA08" w14:textId="77777777" w:rsidR="00A5756A" w:rsidRDefault="00A5756A"/>
    <w:p w14:paraId="5CAD25F9" w14:textId="77777777" w:rsidR="00A5756A" w:rsidRDefault="00A5756A"/>
    <w:p w14:paraId="79969EF7" w14:textId="77777777" w:rsidR="00A5756A" w:rsidRDefault="00A5756A"/>
    <w:p w14:paraId="225D5DF2" w14:textId="77777777" w:rsidR="00A5756A" w:rsidRDefault="00A5756A"/>
  </w:endnote>
  <w:endnote w:type="continuationSeparator" w:id="0">
    <w:p w14:paraId="10B3DDE5" w14:textId="77777777" w:rsidR="00A5756A" w:rsidRDefault="00A5756A" w:rsidP="00225769">
      <w:pPr>
        <w:spacing w:after="0" w:line="240" w:lineRule="auto"/>
      </w:pPr>
      <w:r>
        <w:continuationSeparator/>
      </w:r>
    </w:p>
    <w:p w14:paraId="5F544EDD" w14:textId="77777777" w:rsidR="00A5756A" w:rsidRDefault="00A5756A"/>
    <w:p w14:paraId="406268B9" w14:textId="77777777" w:rsidR="00A5756A" w:rsidRDefault="00A5756A"/>
    <w:p w14:paraId="1A586564" w14:textId="77777777" w:rsidR="00A5756A" w:rsidRDefault="00A5756A"/>
    <w:p w14:paraId="4C365B2F" w14:textId="77777777" w:rsidR="00A5756A" w:rsidRDefault="00A5756A"/>
    <w:p w14:paraId="5C54FA35" w14:textId="77777777" w:rsidR="00A5756A" w:rsidRDefault="00A5756A"/>
    <w:p w14:paraId="430F9ED1" w14:textId="77777777" w:rsidR="00A5756A" w:rsidRDefault="00A57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5BF23173" w14:textId="77777777" w:rsidTr="003B0E72">
      <w:trPr>
        <w:jc w:val="center"/>
      </w:trPr>
      <w:tc>
        <w:tcPr>
          <w:tcW w:w="1515" w:type="dxa"/>
        </w:tcPr>
        <w:p w14:paraId="4200070B"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161AF75B"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2390270A"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6C368153"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020C2D11"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28298579"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5AF97832" w14:textId="77777777" w:rsidTr="003B0E72">
      <w:trPr>
        <w:jc w:val="center"/>
      </w:trPr>
      <w:tc>
        <w:tcPr>
          <w:tcW w:w="1515" w:type="dxa"/>
        </w:tcPr>
        <w:p w14:paraId="755FE5FC" w14:textId="046F6812" w:rsidR="00481A6C" w:rsidRPr="00954F7B" w:rsidRDefault="0028383D" w:rsidP="00481A6C">
          <w:pPr>
            <w:pStyle w:val="Footer"/>
            <w:jc w:val="center"/>
            <w:rPr>
              <w:bCs/>
              <w:iCs/>
              <w:sz w:val="20"/>
              <w:szCs w:val="20"/>
            </w:rPr>
          </w:pPr>
          <w:r>
            <w:rPr>
              <w:bCs/>
              <w:iCs/>
              <w:sz w:val="20"/>
              <w:szCs w:val="20"/>
            </w:rPr>
            <w:t>CHS24</w:t>
          </w:r>
          <w:r w:rsidR="00481A6C" w:rsidRPr="00954F7B">
            <w:rPr>
              <w:bCs/>
              <w:iCs/>
              <w:sz w:val="20"/>
              <w:szCs w:val="20"/>
            </w:rPr>
            <w:t>/</w:t>
          </w:r>
          <w:r>
            <w:rPr>
              <w:bCs/>
              <w:iCs/>
              <w:sz w:val="20"/>
              <w:szCs w:val="20"/>
            </w:rPr>
            <w:t>618</w:t>
          </w:r>
        </w:p>
      </w:tc>
      <w:tc>
        <w:tcPr>
          <w:tcW w:w="965" w:type="dxa"/>
        </w:tcPr>
        <w:p w14:paraId="7B06F33F" w14:textId="0C0A2121" w:rsidR="00481A6C" w:rsidRPr="00954F7B" w:rsidRDefault="0028383D" w:rsidP="00481A6C">
          <w:pPr>
            <w:pStyle w:val="Footer"/>
            <w:jc w:val="center"/>
            <w:rPr>
              <w:bCs/>
              <w:iCs/>
              <w:sz w:val="20"/>
              <w:szCs w:val="20"/>
            </w:rPr>
          </w:pPr>
          <w:r>
            <w:rPr>
              <w:bCs/>
              <w:iCs/>
              <w:sz w:val="20"/>
              <w:szCs w:val="20"/>
            </w:rPr>
            <w:t>1</w:t>
          </w:r>
        </w:p>
      </w:tc>
      <w:tc>
        <w:tcPr>
          <w:tcW w:w="1552" w:type="dxa"/>
        </w:tcPr>
        <w:p w14:paraId="54AEBE15" w14:textId="693DCC9B" w:rsidR="00481A6C" w:rsidRPr="00954F7B" w:rsidRDefault="0028383D" w:rsidP="00481A6C">
          <w:pPr>
            <w:pStyle w:val="Footer"/>
            <w:jc w:val="center"/>
            <w:rPr>
              <w:bCs/>
              <w:iCs/>
              <w:sz w:val="20"/>
              <w:szCs w:val="20"/>
            </w:rPr>
          </w:pPr>
          <w:r>
            <w:rPr>
              <w:bCs/>
              <w:iCs/>
              <w:sz w:val="20"/>
              <w:szCs w:val="20"/>
            </w:rPr>
            <w:t>16</w:t>
          </w:r>
          <w:r w:rsidR="00481A6C" w:rsidRPr="00954F7B">
            <w:rPr>
              <w:bCs/>
              <w:iCs/>
              <w:sz w:val="20"/>
              <w:szCs w:val="20"/>
            </w:rPr>
            <w:t>/</w:t>
          </w:r>
          <w:r>
            <w:rPr>
              <w:bCs/>
              <w:iCs/>
              <w:sz w:val="20"/>
              <w:szCs w:val="20"/>
            </w:rPr>
            <w:t>12</w:t>
          </w:r>
          <w:r w:rsidR="00481A6C" w:rsidRPr="00954F7B">
            <w:rPr>
              <w:bCs/>
              <w:iCs/>
              <w:sz w:val="20"/>
              <w:szCs w:val="20"/>
            </w:rPr>
            <w:t>/</w:t>
          </w:r>
          <w:r>
            <w:rPr>
              <w:bCs/>
              <w:iCs/>
              <w:sz w:val="20"/>
              <w:szCs w:val="20"/>
            </w:rPr>
            <w:t>2024</w:t>
          </w:r>
        </w:p>
      </w:tc>
      <w:tc>
        <w:tcPr>
          <w:tcW w:w="1456" w:type="dxa"/>
        </w:tcPr>
        <w:p w14:paraId="4EBF11C1" w14:textId="2AE22F59" w:rsidR="00481A6C" w:rsidRPr="00954F7B" w:rsidRDefault="0028383D"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12</w:t>
          </w:r>
          <w:r w:rsidR="00481A6C" w:rsidRPr="00954F7B">
            <w:rPr>
              <w:bCs/>
              <w:iCs/>
              <w:sz w:val="20"/>
              <w:szCs w:val="20"/>
            </w:rPr>
            <w:t>/</w:t>
          </w:r>
          <w:r>
            <w:rPr>
              <w:bCs/>
              <w:iCs/>
              <w:sz w:val="20"/>
              <w:szCs w:val="20"/>
            </w:rPr>
            <w:t>2027</w:t>
          </w:r>
        </w:p>
      </w:tc>
      <w:tc>
        <w:tcPr>
          <w:tcW w:w="1746" w:type="dxa"/>
        </w:tcPr>
        <w:p w14:paraId="1319090F" w14:textId="0886D4AA" w:rsidR="00481A6C" w:rsidRPr="00954F7B" w:rsidRDefault="0028383D" w:rsidP="00481A6C">
          <w:pPr>
            <w:pStyle w:val="Footer"/>
            <w:jc w:val="center"/>
            <w:rPr>
              <w:bCs/>
              <w:iCs/>
              <w:sz w:val="20"/>
              <w:szCs w:val="20"/>
            </w:rPr>
          </w:pPr>
          <w:r>
            <w:rPr>
              <w:bCs/>
              <w:iCs/>
              <w:sz w:val="20"/>
              <w:szCs w:val="20"/>
            </w:rPr>
            <w:t>Medical Services Group</w:t>
          </w:r>
        </w:p>
      </w:tc>
      <w:tc>
        <w:tcPr>
          <w:tcW w:w="1836" w:type="dxa"/>
        </w:tcPr>
        <w:p w14:paraId="427D4629"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2F85062F"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14F19811" w14:textId="77777777" w:rsidTr="008E1ED9">
      <w:trPr>
        <w:jc w:val="center"/>
      </w:trPr>
      <w:tc>
        <w:tcPr>
          <w:tcW w:w="1515" w:type="dxa"/>
        </w:tcPr>
        <w:p w14:paraId="2B05ABBD"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139A3E3D"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1F527611"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9881DBA"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35E94136"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507789E3"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5396B27C" w14:textId="77777777" w:rsidTr="008E1ED9">
      <w:trPr>
        <w:jc w:val="center"/>
      </w:trPr>
      <w:tc>
        <w:tcPr>
          <w:tcW w:w="1515" w:type="dxa"/>
        </w:tcPr>
        <w:p w14:paraId="13638C69" w14:textId="26F45115" w:rsidR="008A3DD8" w:rsidRPr="00954F7B" w:rsidRDefault="00A4621D" w:rsidP="008A3DD8">
          <w:pPr>
            <w:pStyle w:val="Footer"/>
            <w:jc w:val="center"/>
            <w:rPr>
              <w:bCs/>
              <w:iCs/>
              <w:sz w:val="20"/>
              <w:szCs w:val="20"/>
            </w:rPr>
          </w:pPr>
          <w:r>
            <w:rPr>
              <w:bCs/>
              <w:iCs/>
              <w:sz w:val="20"/>
              <w:szCs w:val="20"/>
            </w:rPr>
            <w:t>CHS24</w:t>
          </w:r>
          <w:r w:rsidR="008A3DD8" w:rsidRPr="00954F7B">
            <w:rPr>
              <w:bCs/>
              <w:iCs/>
              <w:sz w:val="20"/>
              <w:szCs w:val="20"/>
            </w:rPr>
            <w:t>/</w:t>
          </w:r>
          <w:r>
            <w:rPr>
              <w:bCs/>
              <w:iCs/>
              <w:sz w:val="20"/>
              <w:szCs w:val="20"/>
            </w:rPr>
            <w:t>618</w:t>
          </w:r>
        </w:p>
      </w:tc>
      <w:tc>
        <w:tcPr>
          <w:tcW w:w="965" w:type="dxa"/>
        </w:tcPr>
        <w:p w14:paraId="6D0E4F84" w14:textId="3232C2BE" w:rsidR="008A3DD8" w:rsidRPr="00954F7B" w:rsidRDefault="00A4621D" w:rsidP="008A3DD8">
          <w:pPr>
            <w:pStyle w:val="Footer"/>
            <w:jc w:val="center"/>
            <w:rPr>
              <w:bCs/>
              <w:iCs/>
              <w:sz w:val="20"/>
              <w:szCs w:val="20"/>
            </w:rPr>
          </w:pPr>
          <w:r>
            <w:rPr>
              <w:bCs/>
              <w:iCs/>
              <w:sz w:val="20"/>
              <w:szCs w:val="20"/>
            </w:rPr>
            <w:t>1</w:t>
          </w:r>
        </w:p>
      </w:tc>
      <w:tc>
        <w:tcPr>
          <w:tcW w:w="1552" w:type="dxa"/>
        </w:tcPr>
        <w:p w14:paraId="590D5DB5" w14:textId="3C6EE2E9" w:rsidR="008A3DD8" w:rsidRPr="00954F7B" w:rsidRDefault="00A4621D" w:rsidP="008A3DD8">
          <w:pPr>
            <w:pStyle w:val="Footer"/>
            <w:jc w:val="center"/>
            <w:rPr>
              <w:bCs/>
              <w:iCs/>
              <w:sz w:val="20"/>
              <w:szCs w:val="20"/>
            </w:rPr>
          </w:pPr>
          <w:r>
            <w:rPr>
              <w:bCs/>
              <w:iCs/>
              <w:sz w:val="20"/>
              <w:szCs w:val="20"/>
            </w:rPr>
            <w:t>16</w:t>
          </w:r>
          <w:r w:rsidR="008A3DD8" w:rsidRPr="00954F7B">
            <w:rPr>
              <w:bCs/>
              <w:iCs/>
              <w:sz w:val="20"/>
              <w:szCs w:val="20"/>
            </w:rPr>
            <w:t>/</w:t>
          </w:r>
          <w:r>
            <w:rPr>
              <w:bCs/>
              <w:iCs/>
              <w:sz w:val="20"/>
              <w:szCs w:val="20"/>
            </w:rPr>
            <w:t>12</w:t>
          </w:r>
          <w:r w:rsidR="008A3DD8" w:rsidRPr="00954F7B">
            <w:rPr>
              <w:bCs/>
              <w:iCs/>
              <w:sz w:val="20"/>
              <w:szCs w:val="20"/>
            </w:rPr>
            <w:t>/</w:t>
          </w:r>
          <w:r>
            <w:rPr>
              <w:bCs/>
              <w:iCs/>
              <w:sz w:val="20"/>
              <w:szCs w:val="20"/>
            </w:rPr>
            <w:t>2024</w:t>
          </w:r>
        </w:p>
      </w:tc>
      <w:tc>
        <w:tcPr>
          <w:tcW w:w="1456" w:type="dxa"/>
        </w:tcPr>
        <w:p w14:paraId="70D0D22D" w14:textId="23A7DE85" w:rsidR="008A3DD8" w:rsidRPr="00954F7B" w:rsidRDefault="00A4621D"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12</w:t>
          </w:r>
          <w:r w:rsidR="008A3DD8" w:rsidRPr="00954F7B">
            <w:rPr>
              <w:bCs/>
              <w:iCs/>
              <w:sz w:val="20"/>
              <w:szCs w:val="20"/>
            </w:rPr>
            <w:t>/</w:t>
          </w:r>
          <w:r>
            <w:rPr>
              <w:bCs/>
              <w:iCs/>
              <w:sz w:val="20"/>
              <w:szCs w:val="20"/>
            </w:rPr>
            <w:t>2027</w:t>
          </w:r>
        </w:p>
      </w:tc>
      <w:tc>
        <w:tcPr>
          <w:tcW w:w="1746" w:type="dxa"/>
        </w:tcPr>
        <w:p w14:paraId="161BF7FE" w14:textId="44BBDC48" w:rsidR="008A3DD8" w:rsidRPr="00954F7B" w:rsidRDefault="00A4621D" w:rsidP="008A3DD8">
          <w:pPr>
            <w:pStyle w:val="Footer"/>
            <w:jc w:val="center"/>
            <w:rPr>
              <w:bCs/>
              <w:iCs/>
              <w:sz w:val="20"/>
              <w:szCs w:val="20"/>
            </w:rPr>
          </w:pPr>
          <w:r>
            <w:rPr>
              <w:bCs/>
              <w:iCs/>
              <w:sz w:val="20"/>
              <w:szCs w:val="20"/>
            </w:rPr>
            <w:t>Medical Services</w:t>
          </w:r>
          <w:r w:rsidR="0028383D">
            <w:rPr>
              <w:bCs/>
              <w:iCs/>
              <w:sz w:val="20"/>
              <w:szCs w:val="20"/>
            </w:rPr>
            <w:t xml:space="preserve"> Group</w:t>
          </w:r>
        </w:p>
      </w:tc>
      <w:tc>
        <w:tcPr>
          <w:tcW w:w="1836" w:type="dxa"/>
        </w:tcPr>
        <w:p w14:paraId="4A0597A0"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574A2553"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1F6C" w14:textId="77777777" w:rsidR="00A5756A" w:rsidRDefault="00A5756A" w:rsidP="009D493B">
      <w:pPr>
        <w:spacing w:after="0" w:line="240" w:lineRule="auto"/>
      </w:pPr>
      <w:r>
        <w:separator/>
      </w:r>
    </w:p>
  </w:footnote>
  <w:footnote w:type="continuationSeparator" w:id="0">
    <w:p w14:paraId="130BB479" w14:textId="77777777" w:rsidR="00A5756A" w:rsidRDefault="00A5756A" w:rsidP="00A9080B">
      <w:pPr>
        <w:spacing w:after="0" w:line="240" w:lineRule="auto"/>
      </w:pPr>
      <w:r>
        <w:continuationSeparator/>
      </w:r>
    </w:p>
    <w:p w14:paraId="4317377C" w14:textId="77777777" w:rsidR="00A5756A" w:rsidRDefault="00A5756A"/>
    <w:p w14:paraId="6CB86C5B" w14:textId="77777777" w:rsidR="00A5756A" w:rsidRDefault="00A57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2A4B" w14:textId="77777777" w:rsidR="008A3DD8" w:rsidRDefault="008A3DD8">
    <w:pPr>
      <w:pStyle w:val="Header"/>
    </w:pPr>
    <w:r w:rsidRPr="00324CF9">
      <w:rPr>
        <w:noProof/>
      </w:rPr>
      <w:drawing>
        <wp:inline distT="0" distB="0" distL="0" distR="0" wp14:anchorId="38A611B2" wp14:editId="56019C46">
          <wp:extent cx="3360385" cy="972000"/>
          <wp:effectExtent l="0" t="0" r="0" b="0"/>
          <wp:docPr id="1470633182" name="Picture 1470633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3920"/>
    <w:multiLevelType w:val="hybridMultilevel"/>
    <w:tmpl w:val="5D74A472"/>
    <w:lvl w:ilvl="0" w:tplc="0C09000F">
      <w:start w:val="1"/>
      <w:numFmt w:val="decimal"/>
      <w:lvlText w:val="%1."/>
      <w:lvlJc w:val="left"/>
      <w:pPr>
        <w:ind w:left="861" w:hanging="360"/>
      </w:p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1" w15:restartNumberingAfterBreak="0">
    <w:nsid w:val="12C53655"/>
    <w:multiLevelType w:val="hybridMultilevel"/>
    <w:tmpl w:val="F370D02A"/>
    <w:lvl w:ilvl="0" w:tplc="0C09000F">
      <w:start w:val="1"/>
      <w:numFmt w:val="decimal"/>
      <w:lvlText w:val="%1."/>
      <w:lvlJc w:val="left"/>
      <w:pPr>
        <w:ind w:left="360" w:hanging="360"/>
      </w:pPr>
      <w:rPr>
        <w:rFonts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3" w15:restartNumberingAfterBreak="0">
    <w:nsid w:val="18CD29F8"/>
    <w:multiLevelType w:val="hybridMultilevel"/>
    <w:tmpl w:val="99224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F47474"/>
    <w:multiLevelType w:val="hybridMultilevel"/>
    <w:tmpl w:val="ACE0B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4F2F15"/>
    <w:multiLevelType w:val="hybridMultilevel"/>
    <w:tmpl w:val="075C9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22990DFE"/>
    <w:multiLevelType w:val="hybridMultilevel"/>
    <w:tmpl w:val="A650D5FA"/>
    <w:lvl w:ilvl="0" w:tplc="0F02406E">
      <w:start w:val="1"/>
      <w:numFmt w:val="bullet"/>
      <w:lvlText w:val=""/>
      <w:lvlJc w:val="left"/>
      <w:pPr>
        <w:ind w:left="567" w:hanging="51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61BCC"/>
    <w:multiLevelType w:val="hybridMultilevel"/>
    <w:tmpl w:val="37D428E6"/>
    <w:lvl w:ilvl="0" w:tplc="D132F3F8">
      <w:start w:val="5"/>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3505C2"/>
    <w:multiLevelType w:val="hybridMultilevel"/>
    <w:tmpl w:val="D8A6DA22"/>
    <w:lvl w:ilvl="0" w:tplc="C5EEEF76">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7368AD"/>
    <w:multiLevelType w:val="hybridMultilevel"/>
    <w:tmpl w:val="C43A86D2"/>
    <w:lvl w:ilvl="0" w:tplc="0C090019">
      <w:start w:val="1"/>
      <w:numFmt w:val="lowerLetter"/>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8B5BCB"/>
    <w:multiLevelType w:val="hybridMultilevel"/>
    <w:tmpl w:val="7402D7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5CD2D06"/>
    <w:multiLevelType w:val="hybridMultilevel"/>
    <w:tmpl w:val="1FCC1D54"/>
    <w:lvl w:ilvl="0" w:tplc="8E084C8A">
      <w:start w:val="1"/>
      <w:numFmt w:val="decimal"/>
      <w:pStyle w:val="Tabletitle-numbered"/>
      <w:lvlText w:val="Table %1."/>
      <w:lvlJc w:val="left"/>
      <w:pPr>
        <w:ind w:left="7164"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B562A9"/>
    <w:multiLevelType w:val="multilevel"/>
    <w:tmpl w:val="5FF6D6C8"/>
    <w:styleLink w:val="Style1"/>
    <w:lvl w:ilvl="0">
      <w:start w:val="1"/>
      <w:numFmt w:val="decimal"/>
      <w:lvlText w:val="%1."/>
      <w:lvlJc w:val="left"/>
      <w:pPr>
        <w:ind w:left="360" w:hanging="360"/>
      </w:pPr>
      <w:rPr>
        <w:rFonts w:ascii="Calibri" w:hAnsi="Calibri" w:cs="Times New Roman"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7" w15:restartNumberingAfterBreak="0">
    <w:nsid w:val="46C53BFE"/>
    <w:multiLevelType w:val="hybridMultilevel"/>
    <w:tmpl w:val="83DE75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753BD4"/>
    <w:multiLevelType w:val="hybridMultilevel"/>
    <w:tmpl w:val="CA3264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9D5825"/>
    <w:multiLevelType w:val="hybridMultilevel"/>
    <w:tmpl w:val="74F41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A11718"/>
    <w:multiLevelType w:val="hybridMultilevel"/>
    <w:tmpl w:val="16EC99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90550A5"/>
    <w:multiLevelType w:val="hybridMultilevel"/>
    <w:tmpl w:val="0DA00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9596508"/>
    <w:multiLevelType w:val="hybridMultilevel"/>
    <w:tmpl w:val="862E33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1F37F26"/>
    <w:multiLevelType w:val="hybridMultilevel"/>
    <w:tmpl w:val="57224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880549"/>
    <w:multiLevelType w:val="hybridMultilevel"/>
    <w:tmpl w:val="E15C4A3E"/>
    <w:lvl w:ilvl="0" w:tplc="11F8C758">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8E2FA2"/>
    <w:multiLevelType w:val="multilevel"/>
    <w:tmpl w:val="90DCBC4C"/>
    <w:lvl w:ilvl="0">
      <w:start w:val="1"/>
      <w:numFmt w:val="decimal"/>
      <w:pStyle w:val="Numberedlist"/>
      <w:lvlText w:val="%1."/>
      <w:lvlJc w:val="left"/>
      <w:pPr>
        <w:ind w:left="425" w:hanging="425"/>
      </w:pPr>
      <w:rPr>
        <w:rFonts w:hint="default"/>
        <w:b w:val="0"/>
        <w:bCs/>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6" w15:restartNumberingAfterBreak="0">
    <w:nsid w:val="713B4489"/>
    <w:multiLevelType w:val="hybridMultilevel"/>
    <w:tmpl w:val="F2CE6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F967430"/>
    <w:multiLevelType w:val="multilevel"/>
    <w:tmpl w:val="5FF6D6C8"/>
    <w:numStyleLink w:val="Style1"/>
  </w:abstractNum>
  <w:num w:numId="1" w16cid:durableId="1648431774">
    <w:abstractNumId w:val="6"/>
  </w:num>
  <w:num w:numId="2" w16cid:durableId="842209657">
    <w:abstractNumId w:val="2"/>
  </w:num>
  <w:num w:numId="3" w16cid:durableId="1971085616">
    <w:abstractNumId w:val="14"/>
  </w:num>
  <w:num w:numId="4" w16cid:durableId="252517802">
    <w:abstractNumId w:val="15"/>
  </w:num>
  <w:num w:numId="5" w16cid:durableId="258952063">
    <w:abstractNumId w:val="25"/>
  </w:num>
  <w:num w:numId="6" w16cid:durableId="681904122">
    <w:abstractNumId w:val="12"/>
  </w:num>
  <w:num w:numId="7" w16cid:durableId="836698820">
    <w:abstractNumId w:val="16"/>
  </w:num>
  <w:num w:numId="8" w16cid:durableId="913591473">
    <w:abstractNumId w:val="6"/>
  </w:num>
  <w:num w:numId="9" w16cid:durableId="1368992876">
    <w:abstractNumId w:val="9"/>
  </w:num>
  <w:num w:numId="10" w16cid:durableId="1549994766">
    <w:abstractNumId w:val="20"/>
  </w:num>
  <w:num w:numId="11" w16cid:durableId="92632282">
    <w:abstractNumId w:val="23"/>
  </w:num>
  <w:num w:numId="12" w16cid:durableId="457339835">
    <w:abstractNumId w:val="5"/>
  </w:num>
  <w:num w:numId="13" w16cid:durableId="118379010">
    <w:abstractNumId w:val="22"/>
  </w:num>
  <w:num w:numId="14" w16cid:durableId="1640183610">
    <w:abstractNumId w:val="26"/>
  </w:num>
  <w:num w:numId="15" w16cid:durableId="1721854466">
    <w:abstractNumId w:val="4"/>
  </w:num>
  <w:num w:numId="16" w16cid:durableId="2113815109">
    <w:abstractNumId w:val="7"/>
  </w:num>
  <w:num w:numId="17" w16cid:durableId="845897678">
    <w:abstractNumId w:val="11"/>
  </w:num>
  <w:num w:numId="18" w16cid:durableId="643897982">
    <w:abstractNumId w:val="1"/>
  </w:num>
  <w:num w:numId="19" w16cid:durableId="49890580">
    <w:abstractNumId w:val="10"/>
  </w:num>
  <w:num w:numId="20" w16cid:durableId="466973003">
    <w:abstractNumId w:val="8"/>
  </w:num>
  <w:num w:numId="21" w16cid:durableId="917208269">
    <w:abstractNumId w:val="13"/>
  </w:num>
  <w:num w:numId="22" w16cid:durableId="845898841">
    <w:abstractNumId w:val="27"/>
  </w:num>
  <w:num w:numId="23" w16cid:durableId="2723272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46996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93034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856227">
    <w:abstractNumId w:val="17"/>
  </w:num>
  <w:num w:numId="27" w16cid:durableId="8068858">
    <w:abstractNumId w:val="3"/>
  </w:num>
  <w:num w:numId="28" w16cid:durableId="222181331">
    <w:abstractNumId w:val="24"/>
  </w:num>
  <w:num w:numId="29" w16cid:durableId="1888374031">
    <w:abstractNumId w:val="0"/>
  </w:num>
  <w:num w:numId="30" w16cid:durableId="2041857877">
    <w:abstractNumId w:val="18"/>
  </w:num>
  <w:num w:numId="31" w16cid:durableId="334302996">
    <w:abstractNumId w:val="25"/>
    <w:lvlOverride w:ilvl="0">
      <w:startOverride w:val="1"/>
    </w:lvlOverride>
  </w:num>
  <w:num w:numId="32" w16cid:durableId="2019892724">
    <w:abstractNumId w:val="21"/>
  </w:num>
  <w:num w:numId="33" w16cid:durableId="629213868">
    <w:abstractNumId w:val="12"/>
    <w:lvlOverride w:ilvl="0">
      <w:startOverride w:val="1"/>
    </w:lvlOverride>
  </w:num>
  <w:num w:numId="34" w16cid:durableId="151711334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15"/>
    <w:rsid w:val="00000822"/>
    <w:rsid w:val="00001234"/>
    <w:rsid w:val="00003728"/>
    <w:rsid w:val="00004B91"/>
    <w:rsid w:val="00006344"/>
    <w:rsid w:val="000068B9"/>
    <w:rsid w:val="000115AB"/>
    <w:rsid w:val="00012DA7"/>
    <w:rsid w:val="00014646"/>
    <w:rsid w:val="0001473F"/>
    <w:rsid w:val="00014D0A"/>
    <w:rsid w:val="00015018"/>
    <w:rsid w:val="000246D6"/>
    <w:rsid w:val="00025C12"/>
    <w:rsid w:val="000327B1"/>
    <w:rsid w:val="000347FB"/>
    <w:rsid w:val="00035A11"/>
    <w:rsid w:val="00036249"/>
    <w:rsid w:val="00041D05"/>
    <w:rsid w:val="00042268"/>
    <w:rsid w:val="00043534"/>
    <w:rsid w:val="00046D4C"/>
    <w:rsid w:val="00047707"/>
    <w:rsid w:val="00050A6B"/>
    <w:rsid w:val="000513FD"/>
    <w:rsid w:val="000524B0"/>
    <w:rsid w:val="00052D11"/>
    <w:rsid w:val="00053BD7"/>
    <w:rsid w:val="00053CC3"/>
    <w:rsid w:val="00053D2F"/>
    <w:rsid w:val="0005461D"/>
    <w:rsid w:val="0005626F"/>
    <w:rsid w:val="0005685E"/>
    <w:rsid w:val="000570A6"/>
    <w:rsid w:val="00061582"/>
    <w:rsid w:val="0006217E"/>
    <w:rsid w:val="000707E9"/>
    <w:rsid w:val="00070945"/>
    <w:rsid w:val="000717BA"/>
    <w:rsid w:val="0007270D"/>
    <w:rsid w:val="00075506"/>
    <w:rsid w:val="00080F06"/>
    <w:rsid w:val="00080FC2"/>
    <w:rsid w:val="00081226"/>
    <w:rsid w:val="000825CF"/>
    <w:rsid w:val="00082C60"/>
    <w:rsid w:val="00082EB1"/>
    <w:rsid w:val="00083D66"/>
    <w:rsid w:val="000848B6"/>
    <w:rsid w:val="000858DB"/>
    <w:rsid w:val="000905E4"/>
    <w:rsid w:val="00091091"/>
    <w:rsid w:val="0009157D"/>
    <w:rsid w:val="00091E7C"/>
    <w:rsid w:val="00092236"/>
    <w:rsid w:val="00094BBF"/>
    <w:rsid w:val="00096D01"/>
    <w:rsid w:val="00097F70"/>
    <w:rsid w:val="000A0916"/>
    <w:rsid w:val="000A0C18"/>
    <w:rsid w:val="000A3AA0"/>
    <w:rsid w:val="000A3F9B"/>
    <w:rsid w:val="000A4C7E"/>
    <w:rsid w:val="000A6268"/>
    <w:rsid w:val="000A7D1B"/>
    <w:rsid w:val="000B04DE"/>
    <w:rsid w:val="000B2B5E"/>
    <w:rsid w:val="000B4346"/>
    <w:rsid w:val="000B4DF9"/>
    <w:rsid w:val="000B6A88"/>
    <w:rsid w:val="000C2D85"/>
    <w:rsid w:val="000C36A3"/>
    <w:rsid w:val="000C3973"/>
    <w:rsid w:val="000C48B1"/>
    <w:rsid w:val="000C579D"/>
    <w:rsid w:val="000C57C6"/>
    <w:rsid w:val="000C76AA"/>
    <w:rsid w:val="000D0A42"/>
    <w:rsid w:val="000D1F50"/>
    <w:rsid w:val="000D713F"/>
    <w:rsid w:val="000D742A"/>
    <w:rsid w:val="000E058F"/>
    <w:rsid w:val="000E07C3"/>
    <w:rsid w:val="000E1D08"/>
    <w:rsid w:val="000E5739"/>
    <w:rsid w:val="000E7683"/>
    <w:rsid w:val="000E77F0"/>
    <w:rsid w:val="000F0082"/>
    <w:rsid w:val="000F0876"/>
    <w:rsid w:val="000F1EB3"/>
    <w:rsid w:val="000F288B"/>
    <w:rsid w:val="000F300A"/>
    <w:rsid w:val="000F3A4B"/>
    <w:rsid w:val="000F5AA6"/>
    <w:rsid w:val="000F5BE3"/>
    <w:rsid w:val="000F5C20"/>
    <w:rsid w:val="000F79EA"/>
    <w:rsid w:val="00100C1F"/>
    <w:rsid w:val="0010164B"/>
    <w:rsid w:val="00106AAD"/>
    <w:rsid w:val="00107118"/>
    <w:rsid w:val="00110D97"/>
    <w:rsid w:val="001110AD"/>
    <w:rsid w:val="00112DAD"/>
    <w:rsid w:val="001171E4"/>
    <w:rsid w:val="001171F5"/>
    <w:rsid w:val="0012007C"/>
    <w:rsid w:val="00120AA6"/>
    <w:rsid w:val="00120E2E"/>
    <w:rsid w:val="00121181"/>
    <w:rsid w:val="00122329"/>
    <w:rsid w:val="001232C3"/>
    <w:rsid w:val="001245F1"/>
    <w:rsid w:val="00124B00"/>
    <w:rsid w:val="00126471"/>
    <w:rsid w:val="00126ADF"/>
    <w:rsid w:val="00126BEE"/>
    <w:rsid w:val="00127212"/>
    <w:rsid w:val="00127D91"/>
    <w:rsid w:val="00132299"/>
    <w:rsid w:val="001324A3"/>
    <w:rsid w:val="00135EF0"/>
    <w:rsid w:val="0013675B"/>
    <w:rsid w:val="00136C50"/>
    <w:rsid w:val="00137347"/>
    <w:rsid w:val="00143C66"/>
    <w:rsid w:val="00144A90"/>
    <w:rsid w:val="00146CAA"/>
    <w:rsid w:val="00154D8C"/>
    <w:rsid w:val="0015522B"/>
    <w:rsid w:val="001575C5"/>
    <w:rsid w:val="001600FA"/>
    <w:rsid w:val="001616DD"/>
    <w:rsid w:val="00161AE4"/>
    <w:rsid w:val="00161FDC"/>
    <w:rsid w:val="00164AA5"/>
    <w:rsid w:val="00166052"/>
    <w:rsid w:val="001660FE"/>
    <w:rsid w:val="001668E1"/>
    <w:rsid w:val="001679DF"/>
    <w:rsid w:val="00167C17"/>
    <w:rsid w:val="0017051B"/>
    <w:rsid w:val="001730B1"/>
    <w:rsid w:val="00173EDD"/>
    <w:rsid w:val="00174ECE"/>
    <w:rsid w:val="00175212"/>
    <w:rsid w:val="00175FF8"/>
    <w:rsid w:val="001767CA"/>
    <w:rsid w:val="00181194"/>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67D3"/>
    <w:rsid w:val="00197BE5"/>
    <w:rsid w:val="00197F2E"/>
    <w:rsid w:val="001A0124"/>
    <w:rsid w:val="001A1DD6"/>
    <w:rsid w:val="001A2273"/>
    <w:rsid w:val="001A4A23"/>
    <w:rsid w:val="001A68E2"/>
    <w:rsid w:val="001B0DC3"/>
    <w:rsid w:val="001B1A6A"/>
    <w:rsid w:val="001B329B"/>
    <w:rsid w:val="001B3430"/>
    <w:rsid w:val="001C0F5C"/>
    <w:rsid w:val="001C108E"/>
    <w:rsid w:val="001C223C"/>
    <w:rsid w:val="001C24A7"/>
    <w:rsid w:val="001C263F"/>
    <w:rsid w:val="001C5958"/>
    <w:rsid w:val="001D12A9"/>
    <w:rsid w:val="001D140D"/>
    <w:rsid w:val="001D150B"/>
    <w:rsid w:val="001D195F"/>
    <w:rsid w:val="001D2579"/>
    <w:rsid w:val="001D3A27"/>
    <w:rsid w:val="001D780B"/>
    <w:rsid w:val="001D7907"/>
    <w:rsid w:val="001E0BEA"/>
    <w:rsid w:val="001E0BED"/>
    <w:rsid w:val="001E2C6F"/>
    <w:rsid w:val="001E30A5"/>
    <w:rsid w:val="001E3D5B"/>
    <w:rsid w:val="001E4A13"/>
    <w:rsid w:val="001E4A4A"/>
    <w:rsid w:val="001E4EF9"/>
    <w:rsid w:val="001E579B"/>
    <w:rsid w:val="001E5FF2"/>
    <w:rsid w:val="001E626E"/>
    <w:rsid w:val="001E7077"/>
    <w:rsid w:val="001E7A17"/>
    <w:rsid w:val="001F0765"/>
    <w:rsid w:val="001F1218"/>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1DE8"/>
    <w:rsid w:val="00212F1D"/>
    <w:rsid w:val="00213984"/>
    <w:rsid w:val="002140AE"/>
    <w:rsid w:val="00215382"/>
    <w:rsid w:val="0022138F"/>
    <w:rsid w:val="00225769"/>
    <w:rsid w:val="00225E3B"/>
    <w:rsid w:val="00227104"/>
    <w:rsid w:val="00230054"/>
    <w:rsid w:val="0023668B"/>
    <w:rsid w:val="00237F91"/>
    <w:rsid w:val="00240DC9"/>
    <w:rsid w:val="00241A68"/>
    <w:rsid w:val="00242601"/>
    <w:rsid w:val="002427B0"/>
    <w:rsid w:val="00244149"/>
    <w:rsid w:val="00245BF4"/>
    <w:rsid w:val="00245E56"/>
    <w:rsid w:val="00246EDC"/>
    <w:rsid w:val="00247BAF"/>
    <w:rsid w:val="00251D96"/>
    <w:rsid w:val="00252ADE"/>
    <w:rsid w:val="00253A48"/>
    <w:rsid w:val="00253EC8"/>
    <w:rsid w:val="0025483C"/>
    <w:rsid w:val="00256701"/>
    <w:rsid w:val="0026085A"/>
    <w:rsid w:val="002700D3"/>
    <w:rsid w:val="00270E17"/>
    <w:rsid w:val="0027262B"/>
    <w:rsid w:val="00274308"/>
    <w:rsid w:val="00275AC4"/>
    <w:rsid w:val="00280051"/>
    <w:rsid w:val="00280C5D"/>
    <w:rsid w:val="00281798"/>
    <w:rsid w:val="00281830"/>
    <w:rsid w:val="002827C4"/>
    <w:rsid w:val="002835BE"/>
    <w:rsid w:val="0028383D"/>
    <w:rsid w:val="00284D13"/>
    <w:rsid w:val="00292A6B"/>
    <w:rsid w:val="002932A1"/>
    <w:rsid w:val="00293B6B"/>
    <w:rsid w:val="00294B76"/>
    <w:rsid w:val="00294F1A"/>
    <w:rsid w:val="00295D79"/>
    <w:rsid w:val="0029655B"/>
    <w:rsid w:val="002A0163"/>
    <w:rsid w:val="002A16FD"/>
    <w:rsid w:val="002A295E"/>
    <w:rsid w:val="002B1660"/>
    <w:rsid w:val="002B2713"/>
    <w:rsid w:val="002B2E44"/>
    <w:rsid w:val="002B3511"/>
    <w:rsid w:val="002B3D19"/>
    <w:rsid w:val="002B3F13"/>
    <w:rsid w:val="002B434C"/>
    <w:rsid w:val="002B5D29"/>
    <w:rsid w:val="002C39F9"/>
    <w:rsid w:val="002C58B8"/>
    <w:rsid w:val="002C7500"/>
    <w:rsid w:val="002C75BC"/>
    <w:rsid w:val="002D1CA0"/>
    <w:rsid w:val="002D22CF"/>
    <w:rsid w:val="002D4AE9"/>
    <w:rsid w:val="002D4BB3"/>
    <w:rsid w:val="002D56A1"/>
    <w:rsid w:val="002D59A9"/>
    <w:rsid w:val="002D5A00"/>
    <w:rsid w:val="002D7682"/>
    <w:rsid w:val="002E1E63"/>
    <w:rsid w:val="002E1FA1"/>
    <w:rsid w:val="002E63E1"/>
    <w:rsid w:val="002E6515"/>
    <w:rsid w:val="002E6517"/>
    <w:rsid w:val="002E6687"/>
    <w:rsid w:val="002E7AFA"/>
    <w:rsid w:val="002F289F"/>
    <w:rsid w:val="002F2A26"/>
    <w:rsid w:val="002F61C1"/>
    <w:rsid w:val="002F6957"/>
    <w:rsid w:val="002F6CB3"/>
    <w:rsid w:val="002F7DE5"/>
    <w:rsid w:val="002F7DF1"/>
    <w:rsid w:val="003007EA"/>
    <w:rsid w:val="003027B6"/>
    <w:rsid w:val="00305DD3"/>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5B3"/>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54B88"/>
    <w:rsid w:val="003614AC"/>
    <w:rsid w:val="00363564"/>
    <w:rsid w:val="0036465D"/>
    <w:rsid w:val="00372477"/>
    <w:rsid w:val="00372544"/>
    <w:rsid w:val="00372E8C"/>
    <w:rsid w:val="0037341B"/>
    <w:rsid w:val="003768C5"/>
    <w:rsid w:val="00376B5F"/>
    <w:rsid w:val="00377AD9"/>
    <w:rsid w:val="00380288"/>
    <w:rsid w:val="003817A2"/>
    <w:rsid w:val="0038332E"/>
    <w:rsid w:val="00385359"/>
    <w:rsid w:val="00385468"/>
    <w:rsid w:val="00390CE7"/>
    <w:rsid w:val="00390DAE"/>
    <w:rsid w:val="003932AB"/>
    <w:rsid w:val="00393C61"/>
    <w:rsid w:val="00393FF3"/>
    <w:rsid w:val="0039618C"/>
    <w:rsid w:val="0039633A"/>
    <w:rsid w:val="00396B90"/>
    <w:rsid w:val="003A0BC9"/>
    <w:rsid w:val="003A0D26"/>
    <w:rsid w:val="003A112E"/>
    <w:rsid w:val="003A21CD"/>
    <w:rsid w:val="003A2A53"/>
    <w:rsid w:val="003A2A9E"/>
    <w:rsid w:val="003A40A7"/>
    <w:rsid w:val="003A4D02"/>
    <w:rsid w:val="003A55FF"/>
    <w:rsid w:val="003A5ADA"/>
    <w:rsid w:val="003A6511"/>
    <w:rsid w:val="003A7C41"/>
    <w:rsid w:val="003B0313"/>
    <w:rsid w:val="003B28A5"/>
    <w:rsid w:val="003B33AD"/>
    <w:rsid w:val="003B3F9A"/>
    <w:rsid w:val="003B57A1"/>
    <w:rsid w:val="003B661D"/>
    <w:rsid w:val="003B720D"/>
    <w:rsid w:val="003B760C"/>
    <w:rsid w:val="003C218A"/>
    <w:rsid w:val="003C4430"/>
    <w:rsid w:val="003C5F3E"/>
    <w:rsid w:val="003C7810"/>
    <w:rsid w:val="003D10DD"/>
    <w:rsid w:val="003D1C0C"/>
    <w:rsid w:val="003D3B16"/>
    <w:rsid w:val="003D5590"/>
    <w:rsid w:val="003D60E0"/>
    <w:rsid w:val="003D709B"/>
    <w:rsid w:val="003D7435"/>
    <w:rsid w:val="003D7463"/>
    <w:rsid w:val="003E0103"/>
    <w:rsid w:val="003E019F"/>
    <w:rsid w:val="003E0A22"/>
    <w:rsid w:val="003E727F"/>
    <w:rsid w:val="003E7D3D"/>
    <w:rsid w:val="003F01DF"/>
    <w:rsid w:val="003F2C18"/>
    <w:rsid w:val="003F6C0E"/>
    <w:rsid w:val="003F7B3E"/>
    <w:rsid w:val="0040265B"/>
    <w:rsid w:val="00407C75"/>
    <w:rsid w:val="00411B14"/>
    <w:rsid w:val="00412388"/>
    <w:rsid w:val="00412C91"/>
    <w:rsid w:val="004132C5"/>
    <w:rsid w:val="00414064"/>
    <w:rsid w:val="00415D07"/>
    <w:rsid w:val="00415DFF"/>
    <w:rsid w:val="00417745"/>
    <w:rsid w:val="004207D4"/>
    <w:rsid w:val="00423CA6"/>
    <w:rsid w:val="00427190"/>
    <w:rsid w:val="00430002"/>
    <w:rsid w:val="00430454"/>
    <w:rsid w:val="004308C6"/>
    <w:rsid w:val="004326A8"/>
    <w:rsid w:val="004328A4"/>
    <w:rsid w:val="00436B86"/>
    <w:rsid w:val="0043706A"/>
    <w:rsid w:val="004401B0"/>
    <w:rsid w:val="00441154"/>
    <w:rsid w:val="00441D90"/>
    <w:rsid w:val="00442224"/>
    <w:rsid w:val="004444EE"/>
    <w:rsid w:val="0044611A"/>
    <w:rsid w:val="00447460"/>
    <w:rsid w:val="004524CF"/>
    <w:rsid w:val="00452582"/>
    <w:rsid w:val="00454535"/>
    <w:rsid w:val="00454812"/>
    <w:rsid w:val="004549FE"/>
    <w:rsid w:val="00454D38"/>
    <w:rsid w:val="00455C81"/>
    <w:rsid w:val="00457272"/>
    <w:rsid w:val="00457D10"/>
    <w:rsid w:val="00457DCC"/>
    <w:rsid w:val="00461A18"/>
    <w:rsid w:val="00462060"/>
    <w:rsid w:val="00463C1A"/>
    <w:rsid w:val="00463EEC"/>
    <w:rsid w:val="004640FF"/>
    <w:rsid w:val="00465490"/>
    <w:rsid w:val="00473FD3"/>
    <w:rsid w:val="00474746"/>
    <w:rsid w:val="00474A6A"/>
    <w:rsid w:val="00475AAB"/>
    <w:rsid w:val="00477432"/>
    <w:rsid w:val="004802FE"/>
    <w:rsid w:val="00480537"/>
    <w:rsid w:val="00480DA2"/>
    <w:rsid w:val="00481A6C"/>
    <w:rsid w:val="0048389D"/>
    <w:rsid w:val="00486165"/>
    <w:rsid w:val="0049014C"/>
    <w:rsid w:val="00492356"/>
    <w:rsid w:val="004957A2"/>
    <w:rsid w:val="004A0201"/>
    <w:rsid w:val="004A178D"/>
    <w:rsid w:val="004A1C33"/>
    <w:rsid w:val="004A566E"/>
    <w:rsid w:val="004A670E"/>
    <w:rsid w:val="004A7A7F"/>
    <w:rsid w:val="004B031B"/>
    <w:rsid w:val="004B1E0E"/>
    <w:rsid w:val="004B474F"/>
    <w:rsid w:val="004B502F"/>
    <w:rsid w:val="004C0467"/>
    <w:rsid w:val="004C221A"/>
    <w:rsid w:val="004C39F8"/>
    <w:rsid w:val="004C416A"/>
    <w:rsid w:val="004C55B7"/>
    <w:rsid w:val="004C5D35"/>
    <w:rsid w:val="004D0A68"/>
    <w:rsid w:val="004D20BF"/>
    <w:rsid w:val="004D2C70"/>
    <w:rsid w:val="004D31D0"/>
    <w:rsid w:val="004D31F1"/>
    <w:rsid w:val="004D4286"/>
    <w:rsid w:val="004D46D3"/>
    <w:rsid w:val="004D4733"/>
    <w:rsid w:val="004D4B45"/>
    <w:rsid w:val="004D6C3E"/>
    <w:rsid w:val="004D7B29"/>
    <w:rsid w:val="004E14DE"/>
    <w:rsid w:val="004E2562"/>
    <w:rsid w:val="004E2E2F"/>
    <w:rsid w:val="004E3566"/>
    <w:rsid w:val="004E7CE8"/>
    <w:rsid w:val="004F1BEF"/>
    <w:rsid w:val="004F2430"/>
    <w:rsid w:val="004F2B91"/>
    <w:rsid w:val="004F3034"/>
    <w:rsid w:val="004F435E"/>
    <w:rsid w:val="004F542C"/>
    <w:rsid w:val="004F5D1F"/>
    <w:rsid w:val="004F6A6C"/>
    <w:rsid w:val="00503345"/>
    <w:rsid w:val="00506D24"/>
    <w:rsid w:val="005077D2"/>
    <w:rsid w:val="005118F6"/>
    <w:rsid w:val="0051350A"/>
    <w:rsid w:val="00514AE8"/>
    <w:rsid w:val="00517604"/>
    <w:rsid w:val="00517DA5"/>
    <w:rsid w:val="00517FA4"/>
    <w:rsid w:val="00520796"/>
    <w:rsid w:val="005216E4"/>
    <w:rsid w:val="00522EF9"/>
    <w:rsid w:val="00525801"/>
    <w:rsid w:val="00530642"/>
    <w:rsid w:val="00530F88"/>
    <w:rsid w:val="00532B1C"/>
    <w:rsid w:val="00532EB9"/>
    <w:rsid w:val="00533388"/>
    <w:rsid w:val="00534E1F"/>
    <w:rsid w:val="00536B29"/>
    <w:rsid w:val="00537269"/>
    <w:rsid w:val="005412CE"/>
    <w:rsid w:val="005443C8"/>
    <w:rsid w:val="0054683B"/>
    <w:rsid w:val="00547773"/>
    <w:rsid w:val="005513EB"/>
    <w:rsid w:val="00552527"/>
    <w:rsid w:val="005558E1"/>
    <w:rsid w:val="005564A4"/>
    <w:rsid w:val="0055674C"/>
    <w:rsid w:val="005606CB"/>
    <w:rsid w:val="00563265"/>
    <w:rsid w:val="00563FD8"/>
    <w:rsid w:val="00564817"/>
    <w:rsid w:val="0056512E"/>
    <w:rsid w:val="0056561D"/>
    <w:rsid w:val="0056756C"/>
    <w:rsid w:val="005706E9"/>
    <w:rsid w:val="00570849"/>
    <w:rsid w:val="0057158C"/>
    <w:rsid w:val="00576416"/>
    <w:rsid w:val="005778BD"/>
    <w:rsid w:val="00577C65"/>
    <w:rsid w:val="00581121"/>
    <w:rsid w:val="005840B8"/>
    <w:rsid w:val="00584F1B"/>
    <w:rsid w:val="005867DF"/>
    <w:rsid w:val="005900D8"/>
    <w:rsid w:val="005916F1"/>
    <w:rsid w:val="00592081"/>
    <w:rsid w:val="005A0348"/>
    <w:rsid w:val="005A1FA3"/>
    <w:rsid w:val="005A27C0"/>
    <w:rsid w:val="005A4691"/>
    <w:rsid w:val="005A74FF"/>
    <w:rsid w:val="005A7C67"/>
    <w:rsid w:val="005B194A"/>
    <w:rsid w:val="005B234E"/>
    <w:rsid w:val="005B3D8A"/>
    <w:rsid w:val="005B3EC2"/>
    <w:rsid w:val="005B5B6F"/>
    <w:rsid w:val="005B5C73"/>
    <w:rsid w:val="005B6682"/>
    <w:rsid w:val="005C1D68"/>
    <w:rsid w:val="005C58FA"/>
    <w:rsid w:val="005C5F49"/>
    <w:rsid w:val="005C6B09"/>
    <w:rsid w:val="005C71BC"/>
    <w:rsid w:val="005D2629"/>
    <w:rsid w:val="005D4A78"/>
    <w:rsid w:val="005D54F1"/>
    <w:rsid w:val="005D5820"/>
    <w:rsid w:val="005E03EB"/>
    <w:rsid w:val="005E27E9"/>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0D92"/>
    <w:rsid w:val="006253B6"/>
    <w:rsid w:val="00625A15"/>
    <w:rsid w:val="00627BD8"/>
    <w:rsid w:val="0063178C"/>
    <w:rsid w:val="006347D5"/>
    <w:rsid w:val="006349C4"/>
    <w:rsid w:val="00635114"/>
    <w:rsid w:val="00636177"/>
    <w:rsid w:val="006361D0"/>
    <w:rsid w:val="00637BE8"/>
    <w:rsid w:val="00637C90"/>
    <w:rsid w:val="00637D76"/>
    <w:rsid w:val="00637FAE"/>
    <w:rsid w:val="006408BF"/>
    <w:rsid w:val="00640A07"/>
    <w:rsid w:val="0064271E"/>
    <w:rsid w:val="006431FF"/>
    <w:rsid w:val="0064333A"/>
    <w:rsid w:val="00644F89"/>
    <w:rsid w:val="0064511B"/>
    <w:rsid w:val="00645B32"/>
    <w:rsid w:val="006553EC"/>
    <w:rsid w:val="00655674"/>
    <w:rsid w:val="00656027"/>
    <w:rsid w:val="00656746"/>
    <w:rsid w:val="006623D2"/>
    <w:rsid w:val="00667A53"/>
    <w:rsid w:val="0067005A"/>
    <w:rsid w:val="00680130"/>
    <w:rsid w:val="006824E0"/>
    <w:rsid w:val="00684A68"/>
    <w:rsid w:val="00685883"/>
    <w:rsid w:val="00691C90"/>
    <w:rsid w:val="00692458"/>
    <w:rsid w:val="0069388D"/>
    <w:rsid w:val="00693F12"/>
    <w:rsid w:val="00694390"/>
    <w:rsid w:val="00694946"/>
    <w:rsid w:val="006958F2"/>
    <w:rsid w:val="00697FAD"/>
    <w:rsid w:val="006A0160"/>
    <w:rsid w:val="006A31AB"/>
    <w:rsid w:val="006A4CDF"/>
    <w:rsid w:val="006A5215"/>
    <w:rsid w:val="006A7DB8"/>
    <w:rsid w:val="006B18B2"/>
    <w:rsid w:val="006B3640"/>
    <w:rsid w:val="006B5F26"/>
    <w:rsid w:val="006B61AC"/>
    <w:rsid w:val="006B6C90"/>
    <w:rsid w:val="006B7CA7"/>
    <w:rsid w:val="006C0039"/>
    <w:rsid w:val="006C1521"/>
    <w:rsid w:val="006C39B7"/>
    <w:rsid w:val="006C3C89"/>
    <w:rsid w:val="006C46E3"/>
    <w:rsid w:val="006C4E7E"/>
    <w:rsid w:val="006C7001"/>
    <w:rsid w:val="006C7362"/>
    <w:rsid w:val="006D11DF"/>
    <w:rsid w:val="006D1B0C"/>
    <w:rsid w:val="006D2547"/>
    <w:rsid w:val="006D3EF5"/>
    <w:rsid w:val="006D47A7"/>
    <w:rsid w:val="006D7801"/>
    <w:rsid w:val="006E0951"/>
    <w:rsid w:val="006E10A6"/>
    <w:rsid w:val="006E4456"/>
    <w:rsid w:val="006E462E"/>
    <w:rsid w:val="006E5856"/>
    <w:rsid w:val="006E71A5"/>
    <w:rsid w:val="006E73F9"/>
    <w:rsid w:val="006F0585"/>
    <w:rsid w:val="006F47AA"/>
    <w:rsid w:val="006F73C8"/>
    <w:rsid w:val="00700549"/>
    <w:rsid w:val="00700B1E"/>
    <w:rsid w:val="00700B46"/>
    <w:rsid w:val="00701D17"/>
    <w:rsid w:val="00702088"/>
    <w:rsid w:val="00702564"/>
    <w:rsid w:val="007033DE"/>
    <w:rsid w:val="00703AF4"/>
    <w:rsid w:val="00703CCF"/>
    <w:rsid w:val="00705353"/>
    <w:rsid w:val="00705460"/>
    <w:rsid w:val="00710F6F"/>
    <w:rsid w:val="00712F00"/>
    <w:rsid w:val="00717376"/>
    <w:rsid w:val="0071740A"/>
    <w:rsid w:val="00721B04"/>
    <w:rsid w:val="00721E2A"/>
    <w:rsid w:val="007246BF"/>
    <w:rsid w:val="00724D61"/>
    <w:rsid w:val="007277AF"/>
    <w:rsid w:val="00731AF3"/>
    <w:rsid w:val="00735CAA"/>
    <w:rsid w:val="0073719C"/>
    <w:rsid w:val="00742E09"/>
    <w:rsid w:val="00742F8B"/>
    <w:rsid w:val="00745452"/>
    <w:rsid w:val="00745956"/>
    <w:rsid w:val="00746713"/>
    <w:rsid w:val="00746818"/>
    <w:rsid w:val="007478F2"/>
    <w:rsid w:val="00747FC4"/>
    <w:rsid w:val="007510F5"/>
    <w:rsid w:val="00752457"/>
    <w:rsid w:val="00752E86"/>
    <w:rsid w:val="0075311C"/>
    <w:rsid w:val="0075415F"/>
    <w:rsid w:val="00754815"/>
    <w:rsid w:val="00754898"/>
    <w:rsid w:val="00754A51"/>
    <w:rsid w:val="00755DB1"/>
    <w:rsid w:val="00760169"/>
    <w:rsid w:val="007606B4"/>
    <w:rsid w:val="00760845"/>
    <w:rsid w:val="00763E4C"/>
    <w:rsid w:val="007640E0"/>
    <w:rsid w:val="007665C6"/>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8677D"/>
    <w:rsid w:val="00794435"/>
    <w:rsid w:val="00794ACF"/>
    <w:rsid w:val="007A03A7"/>
    <w:rsid w:val="007A1603"/>
    <w:rsid w:val="007A2BA9"/>
    <w:rsid w:val="007A682A"/>
    <w:rsid w:val="007A7F29"/>
    <w:rsid w:val="007A7F7F"/>
    <w:rsid w:val="007B03DA"/>
    <w:rsid w:val="007B08CB"/>
    <w:rsid w:val="007B1A7B"/>
    <w:rsid w:val="007B3138"/>
    <w:rsid w:val="007B40DC"/>
    <w:rsid w:val="007B4AF4"/>
    <w:rsid w:val="007B5542"/>
    <w:rsid w:val="007B6F78"/>
    <w:rsid w:val="007B75F4"/>
    <w:rsid w:val="007C0D98"/>
    <w:rsid w:val="007C10BA"/>
    <w:rsid w:val="007C2324"/>
    <w:rsid w:val="007C2806"/>
    <w:rsid w:val="007C5C1B"/>
    <w:rsid w:val="007D3448"/>
    <w:rsid w:val="007D5322"/>
    <w:rsid w:val="007E04CD"/>
    <w:rsid w:val="007E4E9A"/>
    <w:rsid w:val="007E6EE6"/>
    <w:rsid w:val="007F29F8"/>
    <w:rsid w:val="007F2D82"/>
    <w:rsid w:val="007F43F2"/>
    <w:rsid w:val="007F48B2"/>
    <w:rsid w:val="007F4EF0"/>
    <w:rsid w:val="007F5CFF"/>
    <w:rsid w:val="007F6F9B"/>
    <w:rsid w:val="0081013E"/>
    <w:rsid w:val="00810C0D"/>
    <w:rsid w:val="008113B4"/>
    <w:rsid w:val="008114F0"/>
    <w:rsid w:val="00811B49"/>
    <w:rsid w:val="008137BD"/>
    <w:rsid w:val="00814D74"/>
    <w:rsid w:val="00814DE5"/>
    <w:rsid w:val="00820942"/>
    <w:rsid w:val="008248D1"/>
    <w:rsid w:val="0082586A"/>
    <w:rsid w:val="008261B4"/>
    <w:rsid w:val="00827EDE"/>
    <w:rsid w:val="00830A35"/>
    <w:rsid w:val="00832EAB"/>
    <w:rsid w:val="008358B4"/>
    <w:rsid w:val="00841891"/>
    <w:rsid w:val="00842EF4"/>
    <w:rsid w:val="00843D15"/>
    <w:rsid w:val="00845AA0"/>
    <w:rsid w:val="00846513"/>
    <w:rsid w:val="008510FF"/>
    <w:rsid w:val="008523C6"/>
    <w:rsid w:val="008530BE"/>
    <w:rsid w:val="008540FA"/>
    <w:rsid w:val="008606A0"/>
    <w:rsid w:val="00861E1B"/>
    <w:rsid w:val="00863446"/>
    <w:rsid w:val="008635B7"/>
    <w:rsid w:val="00863E4E"/>
    <w:rsid w:val="008676D4"/>
    <w:rsid w:val="00867895"/>
    <w:rsid w:val="00875FE9"/>
    <w:rsid w:val="0087684F"/>
    <w:rsid w:val="00876CAC"/>
    <w:rsid w:val="00885A76"/>
    <w:rsid w:val="00886079"/>
    <w:rsid w:val="0088713D"/>
    <w:rsid w:val="00891F34"/>
    <w:rsid w:val="00894E98"/>
    <w:rsid w:val="00895C04"/>
    <w:rsid w:val="008970B7"/>
    <w:rsid w:val="008A0530"/>
    <w:rsid w:val="008A1B21"/>
    <w:rsid w:val="008A3DD8"/>
    <w:rsid w:val="008A3F85"/>
    <w:rsid w:val="008A47BD"/>
    <w:rsid w:val="008A51E8"/>
    <w:rsid w:val="008B0AC9"/>
    <w:rsid w:val="008B0F37"/>
    <w:rsid w:val="008B55D2"/>
    <w:rsid w:val="008B5C21"/>
    <w:rsid w:val="008B791D"/>
    <w:rsid w:val="008C02D2"/>
    <w:rsid w:val="008C1C7C"/>
    <w:rsid w:val="008C208A"/>
    <w:rsid w:val="008D0538"/>
    <w:rsid w:val="008D0D9A"/>
    <w:rsid w:val="008D2CA8"/>
    <w:rsid w:val="008D4AA6"/>
    <w:rsid w:val="008E0CD4"/>
    <w:rsid w:val="008E2267"/>
    <w:rsid w:val="008E6827"/>
    <w:rsid w:val="008F0F03"/>
    <w:rsid w:val="008F1341"/>
    <w:rsid w:val="008F2355"/>
    <w:rsid w:val="008F2CF5"/>
    <w:rsid w:val="008F3034"/>
    <w:rsid w:val="008F3194"/>
    <w:rsid w:val="008F5E84"/>
    <w:rsid w:val="008F65FF"/>
    <w:rsid w:val="008F73C7"/>
    <w:rsid w:val="00901E01"/>
    <w:rsid w:val="00904BC8"/>
    <w:rsid w:val="00906D5B"/>
    <w:rsid w:val="00907133"/>
    <w:rsid w:val="009071E8"/>
    <w:rsid w:val="009118F6"/>
    <w:rsid w:val="00911EB8"/>
    <w:rsid w:val="00912168"/>
    <w:rsid w:val="00912415"/>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3AF0"/>
    <w:rsid w:val="009448F7"/>
    <w:rsid w:val="00945A1D"/>
    <w:rsid w:val="00945CC4"/>
    <w:rsid w:val="00946533"/>
    <w:rsid w:val="009471B3"/>
    <w:rsid w:val="00947A11"/>
    <w:rsid w:val="0095050A"/>
    <w:rsid w:val="0095266F"/>
    <w:rsid w:val="00953E59"/>
    <w:rsid w:val="0095424C"/>
    <w:rsid w:val="0095533A"/>
    <w:rsid w:val="0095646B"/>
    <w:rsid w:val="00957565"/>
    <w:rsid w:val="00957A99"/>
    <w:rsid w:val="00961BAC"/>
    <w:rsid w:val="00964D8D"/>
    <w:rsid w:val="00964EDA"/>
    <w:rsid w:val="00965A01"/>
    <w:rsid w:val="00965EA8"/>
    <w:rsid w:val="0096731B"/>
    <w:rsid w:val="0096785D"/>
    <w:rsid w:val="00970842"/>
    <w:rsid w:val="00971125"/>
    <w:rsid w:val="00971F4F"/>
    <w:rsid w:val="00972D70"/>
    <w:rsid w:val="0097363B"/>
    <w:rsid w:val="009746B1"/>
    <w:rsid w:val="009759AC"/>
    <w:rsid w:val="00975A13"/>
    <w:rsid w:val="00977BFB"/>
    <w:rsid w:val="00982385"/>
    <w:rsid w:val="00982810"/>
    <w:rsid w:val="00983939"/>
    <w:rsid w:val="00984139"/>
    <w:rsid w:val="009903CC"/>
    <w:rsid w:val="00991C91"/>
    <w:rsid w:val="00992B4E"/>
    <w:rsid w:val="009937A0"/>
    <w:rsid w:val="00995B1B"/>
    <w:rsid w:val="009A1396"/>
    <w:rsid w:val="009A2981"/>
    <w:rsid w:val="009A336D"/>
    <w:rsid w:val="009A5010"/>
    <w:rsid w:val="009A63B5"/>
    <w:rsid w:val="009A7037"/>
    <w:rsid w:val="009C11CF"/>
    <w:rsid w:val="009C13FA"/>
    <w:rsid w:val="009C2AED"/>
    <w:rsid w:val="009C3490"/>
    <w:rsid w:val="009C3BB0"/>
    <w:rsid w:val="009C575D"/>
    <w:rsid w:val="009C582C"/>
    <w:rsid w:val="009C72D3"/>
    <w:rsid w:val="009D1FC0"/>
    <w:rsid w:val="009D2863"/>
    <w:rsid w:val="009D4238"/>
    <w:rsid w:val="009D493B"/>
    <w:rsid w:val="009D5E09"/>
    <w:rsid w:val="009D5EE5"/>
    <w:rsid w:val="009D5F1E"/>
    <w:rsid w:val="009D7580"/>
    <w:rsid w:val="009E00C4"/>
    <w:rsid w:val="009E0C7A"/>
    <w:rsid w:val="009E0E38"/>
    <w:rsid w:val="009E13D4"/>
    <w:rsid w:val="009E31CD"/>
    <w:rsid w:val="009E53F4"/>
    <w:rsid w:val="009E59FA"/>
    <w:rsid w:val="009E5F95"/>
    <w:rsid w:val="009F47BC"/>
    <w:rsid w:val="009F70FB"/>
    <w:rsid w:val="009F72C8"/>
    <w:rsid w:val="00A006D5"/>
    <w:rsid w:val="00A00EE8"/>
    <w:rsid w:val="00A01509"/>
    <w:rsid w:val="00A023E7"/>
    <w:rsid w:val="00A02651"/>
    <w:rsid w:val="00A0337B"/>
    <w:rsid w:val="00A035E4"/>
    <w:rsid w:val="00A03809"/>
    <w:rsid w:val="00A0459A"/>
    <w:rsid w:val="00A064D9"/>
    <w:rsid w:val="00A07C43"/>
    <w:rsid w:val="00A116EA"/>
    <w:rsid w:val="00A11739"/>
    <w:rsid w:val="00A14311"/>
    <w:rsid w:val="00A1579B"/>
    <w:rsid w:val="00A20CEA"/>
    <w:rsid w:val="00A24C42"/>
    <w:rsid w:val="00A2629A"/>
    <w:rsid w:val="00A26F1E"/>
    <w:rsid w:val="00A272D4"/>
    <w:rsid w:val="00A2737A"/>
    <w:rsid w:val="00A303C6"/>
    <w:rsid w:val="00A3070D"/>
    <w:rsid w:val="00A31E06"/>
    <w:rsid w:val="00A32873"/>
    <w:rsid w:val="00A32B6F"/>
    <w:rsid w:val="00A333F2"/>
    <w:rsid w:val="00A34DDA"/>
    <w:rsid w:val="00A34EAB"/>
    <w:rsid w:val="00A34FFD"/>
    <w:rsid w:val="00A41E01"/>
    <w:rsid w:val="00A435C8"/>
    <w:rsid w:val="00A45D6C"/>
    <w:rsid w:val="00A4621D"/>
    <w:rsid w:val="00A470E3"/>
    <w:rsid w:val="00A513AA"/>
    <w:rsid w:val="00A56057"/>
    <w:rsid w:val="00A5756A"/>
    <w:rsid w:val="00A57B83"/>
    <w:rsid w:val="00A603E3"/>
    <w:rsid w:val="00A6051F"/>
    <w:rsid w:val="00A60EED"/>
    <w:rsid w:val="00A621FE"/>
    <w:rsid w:val="00A6232E"/>
    <w:rsid w:val="00A64430"/>
    <w:rsid w:val="00A6526A"/>
    <w:rsid w:val="00A65C0A"/>
    <w:rsid w:val="00A66966"/>
    <w:rsid w:val="00A721C0"/>
    <w:rsid w:val="00A7294C"/>
    <w:rsid w:val="00A731B8"/>
    <w:rsid w:val="00A7517C"/>
    <w:rsid w:val="00A75732"/>
    <w:rsid w:val="00A774B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A5457"/>
    <w:rsid w:val="00AB3BAC"/>
    <w:rsid w:val="00AB4AD3"/>
    <w:rsid w:val="00AC0797"/>
    <w:rsid w:val="00AC2EDE"/>
    <w:rsid w:val="00AC53AF"/>
    <w:rsid w:val="00AD4F9D"/>
    <w:rsid w:val="00AD5AF7"/>
    <w:rsid w:val="00AD628A"/>
    <w:rsid w:val="00AE05E1"/>
    <w:rsid w:val="00AE0AC0"/>
    <w:rsid w:val="00AE2123"/>
    <w:rsid w:val="00AE486F"/>
    <w:rsid w:val="00AE57D1"/>
    <w:rsid w:val="00AE59E5"/>
    <w:rsid w:val="00AE629D"/>
    <w:rsid w:val="00AE6938"/>
    <w:rsid w:val="00AE6DBC"/>
    <w:rsid w:val="00AF0A65"/>
    <w:rsid w:val="00AF223D"/>
    <w:rsid w:val="00AF22E7"/>
    <w:rsid w:val="00AF3F61"/>
    <w:rsid w:val="00AF532B"/>
    <w:rsid w:val="00AF5C4F"/>
    <w:rsid w:val="00AF62FB"/>
    <w:rsid w:val="00AF67A9"/>
    <w:rsid w:val="00AF7429"/>
    <w:rsid w:val="00B024D9"/>
    <w:rsid w:val="00B03814"/>
    <w:rsid w:val="00B03FFF"/>
    <w:rsid w:val="00B0502D"/>
    <w:rsid w:val="00B058EF"/>
    <w:rsid w:val="00B07F75"/>
    <w:rsid w:val="00B10AB7"/>
    <w:rsid w:val="00B1151B"/>
    <w:rsid w:val="00B15D72"/>
    <w:rsid w:val="00B170A2"/>
    <w:rsid w:val="00B17F72"/>
    <w:rsid w:val="00B203FF"/>
    <w:rsid w:val="00B22277"/>
    <w:rsid w:val="00B22944"/>
    <w:rsid w:val="00B2488C"/>
    <w:rsid w:val="00B2758D"/>
    <w:rsid w:val="00B27D0C"/>
    <w:rsid w:val="00B30482"/>
    <w:rsid w:val="00B31526"/>
    <w:rsid w:val="00B3226B"/>
    <w:rsid w:val="00B326A7"/>
    <w:rsid w:val="00B33322"/>
    <w:rsid w:val="00B335EF"/>
    <w:rsid w:val="00B33F30"/>
    <w:rsid w:val="00B33FA0"/>
    <w:rsid w:val="00B34124"/>
    <w:rsid w:val="00B3418C"/>
    <w:rsid w:val="00B34980"/>
    <w:rsid w:val="00B351E7"/>
    <w:rsid w:val="00B36C89"/>
    <w:rsid w:val="00B41CEE"/>
    <w:rsid w:val="00B420B6"/>
    <w:rsid w:val="00B450AD"/>
    <w:rsid w:val="00B47F44"/>
    <w:rsid w:val="00B500E8"/>
    <w:rsid w:val="00B506B5"/>
    <w:rsid w:val="00B51862"/>
    <w:rsid w:val="00B52163"/>
    <w:rsid w:val="00B55EF6"/>
    <w:rsid w:val="00B57886"/>
    <w:rsid w:val="00B61582"/>
    <w:rsid w:val="00B6217E"/>
    <w:rsid w:val="00B625F2"/>
    <w:rsid w:val="00B627C5"/>
    <w:rsid w:val="00B64367"/>
    <w:rsid w:val="00B64C8C"/>
    <w:rsid w:val="00B65F91"/>
    <w:rsid w:val="00B6769D"/>
    <w:rsid w:val="00B6772A"/>
    <w:rsid w:val="00B7185D"/>
    <w:rsid w:val="00B83559"/>
    <w:rsid w:val="00B853F1"/>
    <w:rsid w:val="00B858AD"/>
    <w:rsid w:val="00B86A43"/>
    <w:rsid w:val="00B86FCB"/>
    <w:rsid w:val="00B87DEE"/>
    <w:rsid w:val="00B9133D"/>
    <w:rsid w:val="00B91976"/>
    <w:rsid w:val="00B92CED"/>
    <w:rsid w:val="00B94117"/>
    <w:rsid w:val="00B962E8"/>
    <w:rsid w:val="00B968C2"/>
    <w:rsid w:val="00B97975"/>
    <w:rsid w:val="00BA007E"/>
    <w:rsid w:val="00BA028D"/>
    <w:rsid w:val="00BA1722"/>
    <w:rsid w:val="00BA1AD5"/>
    <w:rsid w:val="00BA3E7C"/>
    <w:rsid w:val="00BA53D6"/>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4AD3"/>
    <w:rsid w:val="00BD5515"/>
    <w:rsid w:val="00BD6D69"/>
    <w:rsid w:val="00BE1539"/>
    <w:rsid w:val="00BE1EDE"/>
    <w:rsid w:val="00BE4EDA"/>
    <w:rsid w:val="00BF27FA"/>
    <w:rsid w:val="00BF35EB"/>
    <w:rsid w:val="00BF36A0"/>
    <w:rsid w:val="00BF3884"/>
    <w:rsid w:val="00BF52DE"/>
    <w:rsid w:val="00BF53A7"/>
    <w:rsid w:val="00BF6116"/>
    <w:rsid w:val="00C00318"/>
    <w:rsid w:val="00C01BE9"/>
    <w:rsid w:val="00C027A9"/>
    <w:rsid w:val="00C034D3"/>
    <w:rsid w:val="00C049CA"/>
    <w:rsid w:val="00C055ED"/>
    <w:rsid w:val="00C07276"/>
    <w:rsid w:val="00C11030"/>
    <w:rsid w:val="00C111B1"/>
    <w:rsid w:val="00C11E48"/>
    <w:rsid w:val="00C12554"/>
    <w:rsid w:val="00C132F6"/>
    <w:rsid w:val="00C15F4D"/>
    <w:rsid w:val="00C17417"/>
    <w:rsid w:val="00C202F8"/>
    <w:rsid w:val="00C20D92"/>
    <w:rsid w:val="00C221C1"/>
    <w:rsid w:val="00C24670"/>
    <w:rsid w:val="00C247EA"/>
    <w:rsid w:val="00C25557"/>
    <w:rsid w:val="00C31500"/>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4C4"/>
    <w:rsid w:val="00C57A55"/>
    <w:rsid w:val="00C62A0C"/>
    <w:rsid w:val="00C635E2"/>
    <w:rsid w:val="00C704CF"/>
    <w:rsid w:val="00C724D0"/>
    <w:rsid w:val="00C72507"/>
    <w:rsid w:val="00C74397"/>
    <w:rsid w:val="00C74A04"/>
    <w:rsid w:val="00C76018"/>
    <w:rsid w:val="00C76E2D"/>
    <w:rsid w:val="00C76FFF"/>
    <w:rsid w:val="00C77386"/>
    <w:rsid w:val="00C77FAC"/>
    <w:rsid w:val="00C80421"/>
    <w:rsid w:val="00C818BB"/>
    <w:rsid w:val="00C81DFC"/>
    <w:rsid w:val="00C82214"/>
    <w:rsid w:val="00C824EF"/>
    <w:rsid w:val="00C84E28"/>
    <w:rsid w:val="00C84F08"/>
    <w:rsid w:val="00C90647"/>
    <w:rsid w:val="00C91310"/>
    <w:rsid w:val="00C97DE1"/>
    <w:rsid w:val="00CA0192"/>
    <w:rsid w:val="00CA4238"/>
    <w:rsid w:val="00CA43F1"/>
    <w:rsid w:val="00CA4FDE"/>
    <w:rsid w:val="00CA70E7"/>
    <w:rsid w:val="00CB228A"/>
    <w:rsid w:val="00CB2E17"/>
    <w:rsid w:val="00CB3056"/>
    <w:rsid w:val="00CB3987"/>
    <w:rsid w:val="00CB52AB"/>
    <w:rsid w:val="00CB76F1"/>
    <w:rsid w:val="00CB7E08"/>
    <w:rsid w:val="00CC19C4"/>
    <w:rsid w:val="00CC3C55"/>
    <w:rsid w:val="00CC4843"/>
    <w:rsid w:val="00CC4F4F"/>
    <w:rsid w:val="00CC5AD8"/>
    <w:rsid w:val="00CD06ED"/>
    <w:rsid w:val="00CD434F"/>
    <w:rsid w:val="00CD7C2B"/>
    <w:rsid w:val="00CE0D70"/>
    <w:rsid w:val="00CE1D90"/>
    <w:rsid w:val="00CE2390"/>
    <w:rsid w:val="00CE2446"/>
    <w:rsid w:val="00CE3A93"/>
    <w:rsid w:val="00CE466C"/>
    <w:rsid w:val="00CE5F47"/>
    <w:rsid w:val="00CE6986"/>
    <w:rsid w:val="00CE6F66"/>
    <w:rsid w:val="00CE78F5"/>
    <w:rsid w:val="00CE7FC8"/>
    <w:rsid w:val="00CF24D4"/>
    <w:rsid w:val="00CF3925"/>
    <w:rsid w:val="00D01536"/>
    <w:rsid w:val="00D027B9"/>
    <w:rsid w:val="00D0489B"/>
    <w:rsid w:val="00D052B4"/>
    <w:rsid w:val="00D07A8B"/>
    <w:rsid w:val="00D10F72"/>
    <w:rsid w:val="00D17891"/>
    <w:rsid w:val="00D206E0"/>
    <w:rsid w:val="00D223CA"/>
    <w:rsid w:val="00D228B8"/>
    <w:rsid w:val="00D252F3"/>
    <w:rsid w:val="00D25E0F"/>
    <w:rsid w:val="00D27637"/>
    <w:rsid w:val="00D30343"/>
    <w:rsid w:val="00D3436E"/>
    <w:rsid w:val="00D3635A"/>
    <w:rsid w:val="00D36920"/>
    <w:rsid w:val="00D36B09"/>
    <w:rsid w:val="00D434D3"/>
    <w:rsid w:val="00D4358F"/>
    <w:rsid w:val="00D443D7"/>
    <w:rsid w:val="00D4477C"/>
    <w:rsid w:val="00D5188B"/>
    <w:rsid w:val="00D520E7"/>
    <w:rsid w:val="00D53C66"/>
    <w:rsid w:val="00D56DA0"/>
    <w:rsid w:val="00D609A1"/>
    <w:rsid w:val="00D62793"/>
    <w:rsid w:val="00D627BE"/>
    <w:rsid w:val="00D6578B"/>
    <w:rsid w:val="00D65905"/>
    <w:rsid w:val="00D67E6B"/>
    <w:rsid w:val="00D71B35"/>
    <w:rsid w:val="00D73D63"/>
    <w:rsid w:val="00D74DFD"/>
    <w:rsid w:val="00D770C8"/>
    <w:rsid w:val="00D7771C"/>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24F5"/>
    <w:rsid w:val="00DA48F8"/>
    <w:rsid w:val="00DA5524"/>
    <w:rsid w:val="00DA60A4"/>
    <w:rsid w:val="00DB0295"/>
    <w:rsid w:val="00DB207B"/>
    <w:rsid w:val="00DB3285"/>
    <w:rsid w:val="00DB5138"/>
    <w:rsid w:val="00DB6108"/>
    <w:rsid w:val="00DC008F"/>
    <w:rsid w:val="00DC09AD"/>
    <w:rsid w:val="00DD1734"/>
    <w:rsid w:val="00DD4464"/>
    <w:rsid w:val="00DD5D28"/>
    <w:rsid w:val="00DD6074"/>
    <w:rsid w:val="00DD693A"/>
    <w:rsid w:val="00DE125D"/>
    <w:rsid w:val="00DE3789"/>
    <w:rsid w:val="00DE3E11"/>
    <w:rsid w:val="00DE5620"/>
    <w:rsid w:val="00DE5778"/>
    <w:rsid w:val="00DE5C6B"/>
    <w:rsid w:val="00DE6056"/>
    <w:rsid w:val="00DE6090"/>
    <w:rsid w:val="00DE717F"/>
    <w:rsid w:val="00DF1CBC"/>
    <w:rsid w:val="00DF3EFE"/>
    <w:rsid w:val="00DF4A0B"/>
    <w:rsid w:val="00E01038"/>
    <w:rsid w:val="00E02685"/>
    <w:rsid w:val="00E0642F"/>
    <w:rsid w:val="00E104DF"/>
    <w:rsid w:val="00E1098B"/>
    <w:rsid w:val="00E11EAE"/>
    <w:rsid w:val="00E14D0C"/>
    <w:rsid w:val="00E17DC5"/>
    <w:rsid w:val="00E21634"/>
    <w:rsid w:val="00E25BA6"/>
    <w:rsid w:val="00E27141"/>
    <w:rsid w:val="00E272E4"/>
    <w:rsid w:val="00E31382"/>
    <w:rsid w:val="00E31596"/>
    <w:rsid w:val="00E32BAA"/>
    <w:rsid w:val="00E3510F"/>
    <w:rsid w:val="00E3663A"/>
    <w:rsid w:val="00E367AD"/>
    <w:rsid w:val="00E3733D"/>
    <w:rsid w:val="00E37C2D"/>
    <w:rsid w:val="00E40792"/>
    <w:rsid w:val="00E41BFA"/>
    <w:rsid w:val="00E41E56"/>
    <w:rsid w:val="00E43DCB"/>
    <w:rsid w:val="00E45226"/>
    <w:rsid w:val="00E45436"/>
    <w:rsid w:val="00E47EAF"/>
    <w:rsid w:val="00E537F3"/>
    <w:rsid w:val="00E55664"/>
    <w:rsid w:val="00E563D9"/>
    <w:rsid w:val="00E56F2D"/>
    <w:rsid w:val="00E5710E"/>
    <w:rsid w:val="00E60573"/>
    <w:rsid w:val="00E60DAD"/>
    <w:rsid w:val="00E622E3"/>
    <w:rsid w:val="00E63F4F"/>
    <w:rsid w:val="00E64DA3"/>
    <w:rsid w:val="00E679F9"/>
    <w:rsid w:val="00E7101C"/>
    <w:rsid w:val="00E710F2"/>
    <w:rsid w:val="00E72731"/>
    <w:rsid w:val="00E728D2"/>
    <w:rsid w:val="00E73A87"/>
    <w:rsid w:val="00E76C52"/>
    <w:rsid w:val="00E80B1C"/>
    <w:rsid w:val="00E83CDC"/>
    <w:rsid w:val="00E85F38"/>
    <w:rsid w:val="00E870E4"/>
    <w:rsid w:val="00E8796B"/>
    <w:rsid w:val="00E90C07"/>
    <w:rsid w:val="00E93F27"/>
    <w:rsid w:val="00E94350"/>
    <w:rsid w:val="00E97B77"/>
    <w:rsid w:val="00EA060C"/>
    <w:rsid w:val="00EA401A"/>
    <w:rsid w:val="00EA4041"/>
    <w:rsid w:val="00EA4C6B"/>
    <w:rsid w:val="00EA63D8"/>
    <w:rsid w:val="00EA7109"/>
    <w:rsid w:val="00EB103A"/>
    <w:rsid w:val="00EB256E"/>
    <w:rsid w:val="00EB26B6"/>
    <w:rsid w:val="00EB44CD"/>
    <w:rsid w:val="00EB70EE"/>
    <w:rsid w:val="00EB7477"/>
    <w:rsid w:val="00EB789D"/>
    <w:rsid w:val="00EC0190"/>
    <w:rsid w:val="00EC3146"/>
    <w:rsid w:val="00EC4BB0"/>
    <w:rsid w:val="00EC4C64"/>
    <w:rsid w:val="00EC4DC8"/>
    <w:rsid w:val="00EC7202"/>
    <w:rsid w:val="00ED2843"/>
    <w:rsid w:val="00ED2DE6"/>
    <w:rsid w:val="00ED31D2"/>
    <w:rsid w:val="00ED4AAB"/>
    <w:rsid w:val="00EE0C5F"/>
    <w:rsid w:val="00EE285A"/>
    <w:rsid w:val="00EE2C7C"/>
    <w:rsid w:val="00EE2EBB"/>
    <w:rsid w:val="00EE3372"/>
    <w:rsid w:val="00EE5549"/>
    <w:rsid w:val="00EE5A45"/>
    <w:rsid w:val="00EE6F7A"/>
    <w:rsid w:val="00EE7FB4"/>
    <w:rsid w:val="00EF1F94"/>
    <w:rsid w:val="00EF273A"/>
    <w:rsid w:val="00EF46D9"/>
    <w:rsid w:val="00EF5B23"/>
    <w:rsid w:val="00EF6148"/>
    <w:rsid w:val="00EF7E3E"/>
    <w:rsid w:val="00F00F6A"/>
    <w:rsid w:val="00F03A6B"/>
    <w:rsid w:val="00F04C80"/>
    <w:rsid w:val="00F04F4D"/>
    <w:rsid w:val="00F05AF5"/>
    <w:rsid w:val="00F071B9"/>
    <w:rsid w:val="00F07604"/>
    <w:rsid w:val="00F109DA"/>
    <w:rsid w:val="00F122F6"/>
    <w:rsid w:val="00F139DA"/>
    <w:rsid w:val="00F14625"/>
    <w:rsid w:val="00F15189"/>
    <w:rsid w:val="00F1598A"/>
    <w:rsid w:val="00F20F66"/>
    <w:rsid w:val="00F21E51"/>
    <w:rsid w:val="00F24A68"/>
    <w:rsid w:val="00F25056"/>
    <w:rsid w:val="00F26716"/>
    <w:rsid w:val="00F26C97"/>
    <w:rsid w:val="00F30FA6"/>
    <w:rsid w:val="00F3287A"/>
    <w:rsid w:val="00F34BCF"/>
    <w:rsid w:val="00F351DC"/>
    <w:rsid w:val="00F3576A"/>
    <w:rsid w:val="00F35EB0"/>
    <w:rsid w:val="00F373D8"/>
    <w:rsid w:val="00F37D73"/>
    <w:rsid w:val="00F41308"/>
    <w:rsid w:val="00F41387"/>
    <w:rsid w:val="00F4308C"/>
    <w:rsid w:val="00F43818"/>
    <w:rsid w:val="00F43B50"/>
    <w:rsid w:val="00F44AAE"/>
    <w:rsid w:val="00F4545C"/>
    <w:rsid w:val="00F5132C"/>
    <w:rsid w:val="00F53EE8"/>
    <w:rsid w:val="00F545A8"/>
    <w:rsid w:val="00F5475F"/>
    <w:rsid w:val="00F54857"/>
    <w:rsid w:val="00F5666F"/>
    <w:rsid w:val="00F56E41"/>
    <w:rsid w:val="00F571EC"/>
    <w:rsid w:val="00F57ABE"/>
    <w:rsid w:val="00F61B59"/>
    <w:rsid w:val="00F622D7"/>
    <w:rsid w:val="00F658A9"/>
    <w:rsid w:val="00F71652"/>
    <w:rsid w:val="00F72250"/>
    <w:rsid w:val="00F72592"/>
    <w:rsid w:val="00F74407"/>
    <w:rsid w:val="00F764BE"/>
    <w:rsid w:val="00F77117"/>
    <w:rsid w:val="00F80A12"/>
    <w:rsid w:val="00F826D8"/>
    <w:rsid w:val="00F84AF1"/>
    <w:rsid w:val="00F86E9A"/>
    <w:rsid w:val="00F879C4"/>
    <w:rsid w:val="00F87D53"/>
    <w:rsid w:val="00F9196B"/>
    <w:rsid w:val="00F942C6"/>
    <w:rsid w:val="00F94451"/>
    <w:rsid w:val="00F9448A"/>
    <w:rsid w:val="00F947D6"/>
    <w:rsid w:val="00F94CDC"/>
    <w:rsid w:val="00F9579E"/>
    <w:rsid w:val="00F95B8A"/>
    <w:rsid w:val="00F961BE"/>
    <w:rsid w:val="00FA029F"/>
    <w:rsid w:val="00FA16AF"/>
    <w:rsid w:val="00FA4E6F"/>
    <w:rsid w:val="00FA5C1A"/>
    <w:rsid w:val="00FA6D54"/>
    <w:rsid w:val="00FA6EFF"/>
    <w:rsid w:val="00FB0F2E"/>
    <w:rsid w:val="00FB3E04"/>
    <w:rsid w:val="00FB40FF"/>
    <w:rsid w:val="00FB4F23"/>
    <w:rsid w:val="00FB7092"/>
    <w:rsid w:val="00FC1302"/>
    <w:rsid w:val="00FC1860"/>
    <w:rsid w:val="00FC1B7F"/>
    <w:rsid w:val="00FC1F3B"/>
    <w:rsid w:val="00FC1F8B"/>
    <w:rsid w:val="00FC4A8E"/>
    <w:rsid w:val="00FC5688"/>
    <w:rsid w:val="00FC5696"/>
    <w:rsid w:val="00FC71DD"/>
    <w:rsid w:val="00FD13BC"/>
    <w:rsid w:val="00FD1FA7"/>
    <w:rsid w:val="00FD3169"/>
    <w:rsid w:val="00FD4961"/>
    <w:rsid w:val="00FD7976"/>
    <w:rsid w:val="00FE0686"/>
    <w:rsid w:val="00FE46F1"/>
    <w:rsid w:val="00FE5081"/>
    <w:rsid w:val="00FE70A6"/>
    <w:rsid w:val="00FE77D8"/>
    <w:rsid w:val="00FE7FF1"/>
    <w:rsid w:val="00FF0492"/>
    <w:rsid w:val="00FF0FE9"/>
    <w:rsid w:val="00FF248A"/>
    <w:rsid w:val="00FF3B71"/>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07AB800F"/>
  <w15:docId w15:val="{45933050-222D-4981-8EDA-3C992F94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B15D72"/>
    <w:pPr>
      <w:tabs>
        <w:tab w:val="center" w:leader="hyphen" w:pos="4513"/>
      </w:tabs>
      <w:spacing w:after="120" w:line="360" w:lineRule="exact"/>
      <w:jc w:val="center"/>
      <w:outlineLvl w:val="2"/>
    </w:pPr>
    <w:rPr>
      <w:rFonts w:eastAsia="Times New Roman"/>
      <w:b/>
      <w:bCs/>
      <w:iCs/>
      <w:sz w:val="24"/>
      <w:lang w:val="en-US" w:eastAsia="en-US"/>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B15D72"/>
    <w:rPr>
      <w:rFonts w:eastAsia="Times New Roman"/>
      <w:b/>
      <w:bCs/>
      <w:iCs/>
      <w:lang w:val="en-US" w:eastAsia="en-US"/>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3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360"/>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ListParagraph"/>
    <w:uiPriority w:val="99"/>
    <w:qFormat/>
    <w:rsid w:val="00B97975"/>
    <w:pPr>
      <w:numPr>
        <w:numId w:val="9"/>
      </w:numPr>
      <w:spacing w:before="0" w:after="0" w:line="240" w:lineRule="auto"/>
      <w:ind w:left="425" w:hanging="425"/>
    </w:pPr>
    <w:rPr>
      <w:rFonts w:asciiTheme="majorHAnsi" w:eastAsia="Times New Roman" w:hAnsiTheme="majorHAnsi"/>
      <w:color w:val="auto"/>
      <w:lang w:eastAsia="en-US"/>
    </w:rPr>
  </w:style>
  <w:style w:type="paragraph" w:styleId="ListParagraph">
    <w:name w:val="List Paragraph"/>
    <w:basedOn w:val="Normal"/>
    <w:link w:val="ListParagraphChar"/>
    <w:uiPriority w:val="34"/>
    <w:qFormat/>
    <w:locked/>
    <w:rsid w:val="00B97975"/>
    <w:pPr>
      <w:ind w:left="720"/>
      <w:contextualSpacing/>
    </w:pPr>
  </w:style>
  <w:style w:type="character" w:customStyle="1" w:styleId="ListParagraphChar">
    <w:name w:val="List Paragraph Char"/>
    <w:basedOn w:val="DefaultParagraphFont"/>
    <w:link w:val="ListParagraph"/>
    <w:uiPriority w:val="34"/>
    <w:rsid w:val="00FF3B71"/>
  </w:style>
  <w:style w:type="numbering" w:customStyle="1" w:styleId="Style1">
    <w:name w:val="Style1"/>
    <w:uiPriority w:val="99"/>
    <w:rsid w:val="001679DF"/>
    <w:pPr>
      <w:numPr>
        <w:numId w:val="21"/>
      </w:numPr>
    </w:pPr>
  </w:style>
  <w:style w:type="table" w:styleId="GridTable1Light">
    <w:name w:val="Grid Table 1 Light"/>
    <w:basedOn w:val="TableNormal"/>
    <w:uiPriority w:val="46"/>
    <w:locked/>
    <w:rsid w:val="00705353"/>
    <w:rPr>
      <w:rFonts w:asciiTheme="minorHAnsi" w:eastAsiaTheme="minorHAnsi" w:hAnsiTheme="minorHAnsi" w:cstheme="minorBidi"/>
      <w:color w:val="auto"/>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Grid-Accent5">
    <w:name w:val="Light Grid Accent 5"/>
    <w:basedOn w:val="TableNormal"/>
    <w:uiPriority w:val="62"/>
    <w:rsid w:val="00705353"/>
    <w:rPr>
      <w:rFonts w:asciiTheme="minorHAnsi" w:eastAsiaTheme="minorHAnsi" w:hAnsiTheme="minorHAnsi" w:cstheme="minorBidi"/>
      <w:color w:val="auto"/>
      <w:sz w:val="22"/>
      <w:szCs w:val="22"/>
      <w:lang w:eastAsia="en-US"/>
    </w:rPr>
    <w:tblPr>
      <w:tblStyleRowBandSize w:val="1"/>
      <w:tblStyleColBandSize w:val="1"/>
      <w:tblBorders>
        <w:top w:val="single" w:sz="8" w:space="0" w:color="F172A4" w:themeColor="accent5"/>
        <w:left w:val="single" w:sz="8" w:space="0" w:color="F172A4" w:themeColor="accent5"/>
        <w:bottom w:val="single" w:sz="8" w:space="0" w:color="F172A4" w:themeColor="accent5"/>
        <w:right w:val="single" w:sz="8" w:space="0" w:color="F172A4" w:themeColor="accent5"/>
        <w:insideH w:val="single" w:sz="8" w:space="0" w:color="F172A4" w:themeColor="accent5"/>
        <w:insideV w:val="single" w:sz="8" w:space="0" w:color="F172A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72A4" w:themeColor="accent5"/>
          <w:left w:val="single" w:sz="8" w:space="0" w:color="F172A4" w:themeColor="accent5"/>
          <w:bottom w:val="single" w:sz="18" w:space="0" w:color="F172A4" w:themeColor="accent5"/>
          <w:right w:val="single" w:sz="8" w:space="0" w:color="F172A4" w:themeColor="accent5"/>
          <w:insideH w:val="nil"/>
          <w:insideV w:val="single" w:sz="8" w:space="0" w:color="F172A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72A4" w:themeColor="accent5"/>
          <w:left w:val="single" w:sz="8" w:space="0" w:color="F172A4" w:themeColor="accent5"/>
          <w:bottom w:val="single" w:sz="8" w:space="0" w:color="F172A4" w:themeColor="accent5"/>
          <w:right w:val="single" w:sz="8" w:space="0" w:color="F172A4" w:themeColor="accent5"/>
          <w:insideH w:val="nil"/>
          <w:insideV w:val="single" w:sz="8" w:space="0" w:color="F172A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72A4" w:themeColor="accent5"/>
          <w:left w:val="single" w:sz="8" w:space="0" w:color="F172A4" w:themeColor="accent5"/>
          <w:bottom w:val="single" w:sz="8" w:space="0" w:color="F172A4" w:themeColor="accent5"/>
          <w:right w:val="single" w:sz="8" w:space="0" w:color="F172A4" w:themeColor="accent5"/>
        </w:tcBorders>
      </w:tcPr>
    </w:tblStylePr>
    <w:tblStylePr w:type="band1Vert">
      <w:tblPr/>
      <w:tcPr>
        <w:tcBorders>
          <w:top w:val="single" w:sz="8" w:space="0" w:color="F172A4" w:themeColor="accent5"/>
          <w:left w:val="single" w:sz="8" w:space="0" w:color="F172A4" w:themeColor="accent5"/>
          <w:bottom w:val="single" w:sz="8" w:space="0" w:color="F172A4" w:themeColor="accent5"/>
          <w:right w:val="single" w:sz="8" w:space="0" w:color="F172A4" w:themeColor="accent5"/>
        </w:tcBorders>
        <w:shd w:val="clear" w:color="auto" w:fill="FBDCE8" w:themeFill="accent5" w:themeFillTint="3F"/>
      </w:tcPr>
    </w:tblStylePr>
    <w:tblStylePr w:type="band1Horz">
      <w:tblPr/>
      <w:tcPr>
        <w:tcBorders>
          <w:top w:val="single" w:sz="8" w:space="0" w:color="F172A4" w:themeColor="accent5"/>
          <w:left w:val="single" w:sz="8" w:space="0" w:color="F172A4" w:themeColor="accent5"/>
          <w:bottom w:val="single" w:sz="8" w:space="0" w:color="F172A4" w:themeColor="accent5"/>
          <w:right w:val="single" w:sz="8" w:space="0" w:color="F172A4" w:themeColor="accent5"/>
          <w:insideV w:val="single" w:sz="8" w:space="0" w:color="F172A4" w:themeColor="accent5"/>
        </w:tcBorders>
        <w:shd w:val="clear" w:color="auto" w:fill="FBDCE8" w:themeFill="accent5" w:themeFillTint="3F"/>
      </w:tcPr>
    </w:tblStylePr>
    <w:tblStylePr w:type="band2Horz">
      <w:tblPr/>
      <w:tcPr>
        <w:tcBorders>
          <w:top w:val="single" w:sz="8" w:space="0" w:color="F172A4" w:themeColor="accent5"/>
          <w:left w:val="single" w:sz="8" w:space="0" w:color="F172A4" w:themeColor="accent5"/>
          <w:bottom w:val="single" w:sz="8" w:space="0" w:color="F172A4" w:themeColor="accent5"/>
          <w:right w:val="single" w:sz="8" w:space="0" w:color="F172A4" w:themeColor="accent5"/>
          <w:insideV w:val="single" w:sz="8" w:space="0" w:color="F172A4" w:themeColor="accent5"/>
        </w:tcBorders>
      </w:tcPr>
    </w:tblStylePr>
  </w:style>
  <w:style w:type="table" w:styleId="GridTable6Colorful">
    <w:name w:val="Grid Table 6 Colorful"/>
    <w:basedOn w:val="TableNormal"/>
    <w:uiPriority w:val="51"/>
    <w:locked/>
    <w:rsid w:val="00197BE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portal.blood.gov.au/Portal/" TargetMode="External"/><Relationship Id="rId42" Type="http://schemas.openxmlformats.org/officeDocument/2006/relationships/hyperlink" Target="mailto:support@blood.gov.au" TargetMode="External"/><Relationship Id="rId47" Type="http://schemas.openxmlformats.org/officeDocument/2006/relationships/hyperlink" Target="https://www.ebs.tga.gov.au/ebs/picmi/picmirepository.nsf/PICMI?OpenForm&amp;t=&amp;q=Privigen%20Au&amp;r=/" TargetMode="External"/><Relationship Id="rId63" Type="http://schemas.openxmlformats.org/officeDocument/2006/relationships/hyperlink" Target="https://www.ebs.tga.gov.au/ebs/picmi/picmirepository.nsf/pdf?OpenAgent&amp;id=CP-2022-CMI-01658-1" TargetMode="External"/><Relationship Id="rId68" Type="http://schemas.openxmlformats.org/officeDocument/2006/relationships/hyperlink" Target="https://www.tga.gov.au/resources/resource/guidance/export-human-substances-guidance" TargetMode="External"/><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ifeblood.com.au/sites/default/files/resource-library/2024-04/Comparison_of_Intravenous_Immunoglobulin_Products_available_under_National_LST-00126_V7.pdf" TargetMode="External"/><Relationship Id="rId29" Type="http://schemas.openxmlformats.org/officeDocument/2006/relationships/hyperlink" Target="https://www.allergy.org.au/images/stories/pospapers/ASCIA_Treatment_Plan_SCIG_2024.pdf" TargetMode="External"/><Relationship Id="rId11" Type="http://schemas.openxmlformats.org/officeDocument/2006/relationships/hyperlink" Target="https://www.criteria.blood.gov.au/" TargetMode="External"/><Relationship Id="rId24" Type="http://schemas.openxmlformats.org/officeDocument/2006/relationships/hyperlink" Target="https://aems.tga.gov.au/" TargetMode="External"/><Relationship Id="rId32" Type="http://schemas.openxmlformats.org/officeDocument/2006/relationships/hyperlink" Target="https://www.blood.gov.au/blood-products/immunoglobulin-products/normal-human-immunoglobulin-nhig" TargetMode="External"/><Relationship Id="rId37" Type="http://schemas.openxmlformats.org/officeDocument/2006/relationships/image" Target="media/image8.png"/><Relationship Id="rId40" Type="http://schemas.openxmlformats.org/officeDocument/2006/relationships/hyperlink" Target="http://www.blood.gov.au" TargetMode="External"/><Relationship Id="rId45" Type="http://schemas.openxmlformats.org/officeDocument/2006/relationships/hyperlink" Target="https://www.uptodate.com/contents/overview-of-intravenous-immune-globulin-ivig-therapy?search=patient+educaton+scig&amp;source=search_result&amp;selectedTitle=1%7E150&amp;usage_type=default&amp;display_rank=1" TargetMode="External"/><Relationship Id="rId53" Type="http://schemas.openxmlformats.org/officeDocument/2006/relationships/hyperlink" Target="https://www.ebs.tga.gov.au/ebs/picmi/picmirepository.nsf/PICMI?OpenForm&amp;t=&amp;q=kiovig&amp;r=/" TargetMode="External"/><Relationship Id="rId58" Type="http://schemas.openxmlformats.org/officeDocument/2006/relationships/hyperlink" Target="https://www.idfa.org.au/wp-content/uploads/2022/11/IPOPI_PID-SCIG_Infusions-1.pdf" TargetMode="External"/><Relationship Id="rId66" Type="http://schemas.openxmlformats.org/officeDocument/2006/relationships/image" Target="media/image10.png"/><Relationship Id="rId5" Type="http://schemas.openxmlformats.org/officeDocument/2006/relationships/numbering" Target="numbering.xml"/><Relationship Id="rId61" Type="http://schemas.openxmlformats.org/officeDocument/2006/relationships/hyperlink" Target="https://www.ebs.tga.gov.au/ebs/picmi/picmirepository.nsf/pdf?OpenAgent&amp;id=CP-2015-CMI-01958-1" TargetMode="External"/><Relationship Id="rId19" Type="http://schemas.openxmlformats.org/officeDocument/2006/relationships/hyperlink" Target="https://immunisationhandbook.health.gov.au/" TargetMode="External"/><Relationship Id="rId14" Type="http://schemas.openxmlformats.org/officeDocument/2006/relationships/hyperlink" Target="mailto:dtc@act.gov.au" TargetMode="External"/><Relationship Id="rId22" Type="http://schemas.openxmlformats.org/officeDocument/2006/relationships/image" Target="media/image1.png"/><Relationship Id="rId27" Type="http://schemas.openxmlformats.org/officeDocument/2006/relationships/footer" Target="footer2.xml"/><Relationship Id="rId30" Type="http://schemas.openxmlformats.org/officeDocument/2006/relationships/image" Target="media/image3.png"/><Relationship Id="rId35" Type="http://schemas.openxmlformats.org/officeDocument/2006/relationships/image" Target="media/image6.png"/><Relationship Id="rId43" Type="http://schemas.openxmlformats.org/officeDocument/2006/relationships/hyperlink" Target="https://www.blood.gov.au/immunoglobulin-videos-clinicians-and-patients" TargetMode="External"/><Relationship Id="rId48" Type="http://schemas.openxmlformats.org/officeDocument/2006/relationships/hyperlink" Target="https://www.ebs.tga.gov.au/ebs/picmi/picmirepository.nsf/PICMI?OpenForm&amp;t=&amp;q=Privigen&amp;r=/" TargetMode="External"/><Relationship Id="rId56" Type="http://schemas.openxmlformats.org/officeDocument/2006/relationships/hyperlink" Target="https://www.allergy.org.au/images/pcc/ASCIA_PCC_SCIg_Infusion_Checklist_2021.pdf" TargetMode="External"/><Relationship Id="rId64" Type="http://schemas.openxmlformats.org/officeDocument/2006/relationships/hyperlink" Target="http://www.blood.gov.au" TargetMode="External"/><Relationship Id="rId69" Type="http://schemas.openxmlformats.org/officeDocument/2006/relationships/hyperlink" Target="https://www.allergy.org.au/hp/papers/ascia-travel-plan-for-scig-patients" TargetMode="External"/><Relationship Id="rId8" Type="http://schemas.openxmlformats.org/officeDocument/2006/relationships/webSettings" Target="webSettings.xml"/><Relationship Id="rId51" Type="http://schemas.openxmlformats.org/officeDocument/2006/relationships/hyperlink" Target="https://www.ebs.tga.gov.au/ebs/picmi/picmirepository.nsf/PICMI?OpenForm&amp;t=&amp;q=Gamunex&amp;r=/"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blood.gov.au" TargetMode="External"/><Relationship Id="rId17" Type="http://schemas.openxmlformats.org/officeDocument/2006/relationships/hyperlink" Target="https://www.blood.gov.au/supply-system/governance-immunoglobulin-products" TargetMode="External"/><Relationship Id="rId25" Type="http://schemas.openxmlformats.org/officeDocument/2006/relationships/footer" Target="footer1.xml"/><Relationship Id="rId33" Type="http://schemas.openxmlformats.org/officeDocument/2006/relationships/hyperlink" Target="https://doi.org/10.1002/14651858.CD003313" TargetMode="External"/><Relationship Id="rId38" Type="http://schemas.openxmlformats.org/officeDocument/2006/relationships/hyperlink" Target="https://www.canberrahealthservices.act.gov.au/accessibility" TargetMode="External"/><Relationship Id="rId46" Type="http://schemas.openxmlformats.org/officeDocument/2006/relationships/hyperlink" Target="https://www.auspips.org.au/files/2001377_AusPips%20Brochure_English_A4_v6.5.pdf" TargetMode="External"/><Relationship Id="rId59" Type="http://schemas.openxmlformats.org/officeDocument/2006/relationships/hyperlink" Target="https://www.uptodate.com/contents/subcutaneous-and-intramuscular-immune-globulin-therapy?search=patient+educaton+scig&amp;source=search_result&amp;selectedTitle=2%7E150&amp;usage_type=default&amp;display_rank=2" TargetMode="External"/><Relationship Id="rId67" Type="http://schemas.openxmlformats.org/officeDocument/2006/relationships/hyperlink" Target="https://www.blood.gov.au/supply-system/overseas-supply-blood-products" TargetMode="External"/><Relationship Id="rId20" Type="http://schemas.openxmlformats.org/officeDocument/2006/relationships/hyperlink" Target="https://immunisationhandbook.health.gov.au/contents/vaccine-preventable-diseases/measles" TargetMode="External"/><Relationship Id="rId41" Type="http://schemas.openxmlformats.org/officeDocument/2006/relationships/hyperlink" Target="https://www.blood.gov.au/bloodstar-user-tips-and-support-materials" TargetMode="External"/><Relationship Id="rId54" Type="http://schemas.openxmlformats.org/officeDocument/2006/relationships/hyperlink" Target="https://www.blood.gov.au/sites/default/files/documents/subcutaneous-immunoglobulin-treatment-patient-brochure.pdf" TargetMode="External"/><Relationship Id="rId62" Type="http://schemas.openxmlformats.org/officeDocument/2006/relationships/hyperlink" Target="https://www.ebs.tga.gov.au/ebs/picmi/picmirepository.nsf/pdf?OpenAgent&amp;id=CP-2020-CMI-02577-1"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ifeblood.com.au/sites/default/files/resource-library/2024-04/Comparison_of_Intravenous_Immunoglobulin_Products_available_under_National_LST-00126_V7.pdf" TargetMode="External"/><Relationship Id="rId23" Type="http://schemas.openxmlformats.org/officeDocument/2006/relationships/hyperlink" Target="mailto:TransfusionCNCs@act.gov.au" TargetMode="External"/><Relationship Id="rId28" Type="http://schemas.openxmlformats.org/officeDocument/2006/relationships/hyperlink" Target="https://www.anmfonline.org/wp-content/uploads/2024/07/Immunoglobulin-IVIG_Privigen_ANMFv2.0_20240905.pdf" TargetMode="External"/><Relationship Id="rId36" Type="http://schemas.openxmlformats.org/officeDocument/2006/relationships/image" Target="media/image7.png"/><Relationship Id="rId49" Type="http://schemas.openxmlformats.org/officeDocument/2006/relationships/hyperlink" Target="https://www.ebs.tga.gov.au/ebs/picmi/picmirepository.nsf/PICMI?OpenForm&amp;t=&amp;q=Flebogamma%2010&amp;r=/" TargetMode="External"/><Relationship Id="rId57" Type="http://schemas.openxmlformats.org/officeDocument/2006/relationships/hyperlink" Target="https://www.allergy.org.au/images/pc/ASCIA_PC_PID-IEI_SCIg_General_Information_FAQ_2024.pdf" TargetMode="External"/><Relationship Id="rId10" Type="http://schemas.openxmlformats.org/officeDocument/2006/relationships/endnotes" Target="endnotes.xml"/><Relationship Id="rId31" Type="http://schemas.openxmlformats.org/officeDocument/2006/relationships/image" Target="media/image4.png"/><Relationship Id="rId44" Type="http://schemas.openxmlformats.org/officeDocument/2006/relationships/hyperlink" Target="https://www.uptodate.com/contents/intravenous-immune-globulin-ivig-beyond-the-basics" TargetMode="External"/><Relationship Id="rId52" Type="http://schemas.openxmlformats.org/officeDocument/2006/relationships/hyperlink" Target="https://www.ebs.tga.gov.au/ebs/picmi/picmirepository.nsf/PICMI?OpenForm&amp;t=&amp;q=Octagam%2010&amp;r=/" TargetMode="External"/><Relationship Id="rId60" Type="http://schemas.openxmlformats.org/officeDocument/2006/relationships/hyperlink" Target="https://www.ebs.tga.gov.au/ebs/picmi/picmirepository.nsf/pdf?OpenAgent&amp;id=CP-2023-CMI-01369-1" TargetMode="External"/><Relationship Id="rId65" Type="http://schemas.openxmlformats.org/officeDocument/2006/relationships/hyperlink" Target="https://www.blood.gov.au/bloodstar-user-tips-and-support-materials%23prescribers-and-nurse-practitioners-medical-officer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lood.gov.au/supply-system/governance-immunoglobulin-products" TargetMode="External"/><Relationship Id="rId18" Type="http://schemas.openxmlformats.org/officeDocument/2006/relationships/hyperlink" Target="https://www.health.gov.au/resources/collections/cdna-series-of-national-guidelines-songs?utm_source=health.gov.au&amp;utm_medium=callout-auto-custom&amp;utm_campaign=digital_transformation" TargetMode="External"/><Relationship Id="rId39" Type="http://schemas.openxmlformats.org/officeDocument/2006/relationships/image" Target="media/image9.png"/><Relationship Id="rId34" Type="http://schemas.openxmlformats.org/officeDocument/2006/relationships/image" Target="media/image5.png"/><Relationship Id="rId50" Type="http://schemas.openxmlformats.org/officeDocument/2006/relationships/hyperlink" Target="https://www.ebs.tga.gov.au/ebs/picmi/picmirepository.nsf/PICMI?OpenForm&amp;t=&amp;q=flebogamma%205%25&amp;r=/" TargetMode="External"/><Relationship Id="rId55" Type="http://schemas.openxmlformats.org/officeDocument/2006/relationships/hyperlink" Target="https://www.allergy.org.au/images/pc/ASCIA_PC_PID-IEI_SCIg_General_Information_FAQ_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3.png"/><Relationship Id="rId5" Type="http://schemas.openxmlformats.org/officeDocument/2006/relationships/image" Target="../media/image12.png"/><Relationship Id="rId10" Type="http://schemas.openxmlformats.org/officeDocument/2006/relationships/fontTable" Target="fontTable.xml"/><Relationship Id="rId4" Type="http://schemas.openxmlformats.org/officeDocument/2006/relationships/image" Target="../media/image11.png"/><Relationship Id="rId9" Type="http://schemas.openxmlformats.org/officeDocument/2006/relationships/image" Target="../media/image15.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BB04DF2CC43C3BE16D26B42624347"/>
        <w:category>
          <w:name w:val="General"/>
          <w:gallery w:val="placeholder"/>
        </w:category>
        <w:types>
          <w:type w:val="bbPlcHdr"/>
        </w:types>
        <w:behaviors>
          <w:behavior w:val="content"/>
        </w:behaviors>
        <w:guid w:val="{F02DA904-38CB-4B72-8714-C99F909B6196}"/>
      </w:docPartPr>
      <w:docPartBody>
        <w:p w:rsidR="000E6463" w:rsidRDefault="000E6463">
          <w:pPr>
            <w:pStyle w:val="80DBB04DF2CC43C3BE16D26B42624347"/>
          </w:pPr>
          <w:r>
            <w:rPr>
              <w:noProof/>
              <w:sz w:val="20"/>
              <w:szCs w:val="20"/>
            </w:rPr>
            <w:drawing>
              <wp:inline distT="0" distB="0" distL="0" distR="0" wp14:anchorId="7FF78079" wp14:editId="7FF7807A">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42C6921C44E4185ADFD7583363338CB"/>
        <w:category>
          <w:name w:val="General"/>
          <w:gallery w:val="placeholder"/>
        </w:category>
        <w:types>
          <w:type w:val="bbPlcHdr"/>
        </w:types>
        <w:behaviors>
          <w:behavior w:val="content"/>
        </w:behaviors>
        <w:guid w:val="{3340630F-2BA4-4218-B5A2-3787CE823B53}"/>
      </w:docPartPr>
      <w:docPartBody>
        <w:p w:rsidR="000E6463" w:rsidRDefault="000E6463">
          <w:pPr>
            <w:pStyle w:val="342C6921C44E4185ADFD7583363338CB"/>
          </w:pPr>
          <w:r w:rsidRPr="00EE29F8">
            <w:rPr>
              <w:rStyle w:val="PlaceholderText"/>
            </w:rPr>
            <w:t>Choose an item.</w:t>
          </w:r>
        </w:p>
      </w:docPartBody>
    </w:docPart>
    <w:docPart>
      <w:docPartPr>
        <w:name w:val="2CE989480E6E47A583C27A4B06D154E0"/>
        <w:category>
          <w:name w:val="General"/>
          <w:gallery w:val="placeholder"/>
        </w:category>
        <w:types>
          <w:type w:val="bbPlcHdr"/>
        </w:types>
        <w:behaviors>
          <w:behavior w:val="content"/>
        </w:behaviors>
        <w:guid w:val="{C8EC8C4A-2CEE-4382-B788-D8483986F326}"/>
      </w:docPartPr>
      <w:docPartBody>
        <w:p w:rsidR="000E6463" w:rsidRPr="00F26C97" w:rsidRDefault="000E6463" w:rsidP="003B0E72">
          <w:pPr>
            <w:pStyle w:val="Bottomblocktext"/>
            <w:rPr>
              <w:b/>
              <w:bCs w:val="0"/>
              <w:sz w:val="20"/>
              <w:szCs w:val="20"/>
            </w:rPr>
          </w:pPr>
          <w:r>
            <w:rPr>
              <w:b/>
              <w:bCs w:val="0"/>
              <w:noProof/>
              <w:sz w:val="20"/>
              <w:szCs w:val="20"/>
            </w:rPr>
            <w:drawing>
              <wp:inline distT="0" distB="0" distL="0" distR="0" wp14:anchorId="7FF7807B" wp14:editId="7FF7807C">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FF7807D" wp14:editId="7FF7807E">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0E6463" w:rsidRPr="00F26C97" w:rsidRDefault="000E6463" w:rsidP="003B0E72">
          <w:pPr>
            <w:pStyle w:val="Bottomblocktext"/>
            <w:rPr>
              <w:b/>
              <w:bCs w:val="0"/>
              <w:sz w:val="20"/>
              <w:szCs w:val="20"/>
            </w:rPr>
          </w:pPr>
          <w:r>
            <w:rPr>
              <w:b/>
              <w:bCs w:val="0"/>
              <w:noProof/>
              <w:sz w:val="20"/>
              <w:szCs w:val="20"/>
            </w:rPr>
            <w:drawing>
              <wp:inline distT="0" distB="0" distL="0" distR="0" wp14:anchorId="7FF7807F" wp14:editId="7FF78080">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FF78081" wp14:editId="7FF78082">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0E6463" w:rsidRDefault="00292D87" w:rsidP="003B0E72">
          <w:pPr>
            <w:pStyle w:val="Bottomblocktext"/>
            <w:rPr>
              <w:sz w:val="20"/>
              <w:szCs w:val="20"/>
            </w:rPr>
          </w:pPr>
          <w:hyperlink r:id="rId8" w:history="1">
            <w:r w:rsidR="000E6463" w:rsidRPr="00350211">
              <w:rPr>
                <w:rStyle w:val="Hyperlink"/>
                <w:sz w:val="20"/>
                <w:szCs w:val="20"/>
              </w:rPr>
              <w:t>canberrahealthservices.act.gov.au/accessibility</w:t>
            </w:r>
          </w:hyperlink>
        </w:p>
        <w:p w:rsidR="000E6463" w:rsidRDefault="000E6463">
          <w:pPr>
            <w:pStyle w:val="2CE989480E6E47A583C27A4B06D154E0"/>
          </w:pPr>
          <w:r>
            <w:rPr>
              <w:b/>
              <w:bCs/>
              <w:noProof/>
            </w:rPr>
            <w:drawing>
              <wp:inline distT="0" distB="0" distL="0" distR="0" wp14:anchorId="7FF78083" wp14:editId="7FF78084">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63"/>
    <w:rsid w:val="00001234"/>
    <w:rsid w:val="00091E7C"/>
    <w:rsid w:val="000E6463"/>
    <w:rsid w:val="000F0082"/>
    <w:rsid w:val="001C510C"/>
    <w:rsid w:val="00252ADE"/>
    <w:rsid w:val="00292D87"/>
    <w:rsid w:val="002E2723"/>
    <w:rsid w:val="0038332E"/>
    <w:rsid w:val="003B33AD"/>
    <w:rsid w:val="004C3ED8"/>
    <w:rsid w:val="004E3566"/>
    <w:rsid w:val="00522DA6"/>
    <w:rsid w:val="00625330"/>
    <w:rsid w:val="00656975"/>
    <w:rsid w:val="006968F8"/>
    <w:rsid w:val="007510F5"/>
    <w:rsid w:val="00822986"/>
    <w:rsid w:val="00846513"/>
    <w:rsid w:val="009A78FE"/>
    <w:rsid w:val="00B27D0C"/>
    <w:rsid w:val="00CC19C4"/>
    <w:rsid w:val="00E14D0C"/>
    <w:rsid w:val="00FD75BA"/>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DBB04DF2CC43C3BE16D26B42624347">
    <w:name w:val="80DBB04DF2CC43C3BE16D26B42624347"/>
  </w:style>
  <w:style w:type="character" w:styleId="PlaceholderText">
    <w:name w:val="Placeholder Text"/>
    <w:basedOn w:val="DefaultParagraphFont"/>
    <w:uiPriority w:val="99"/>
    <w:semiHidden/>
    <w:rPr>
      <w:color w:val="808080"/>
    </w:rPr>
  </w:style>
  <w:style w:type="paragraph" w:customStyle="1" w:styleId="342C6921C44E4185ADFD7583363338CB">
    <w:name w:val="342C6921C44E4185ADFD7583363338CB"/>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CE989480E6E47A583C27A4B06D154E0">
    <w:name w:val="2CE989480E6E47A583C27A4B06D15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f088814de1e6135734ab33942661d6">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cb68b2aeedc5df76b5b21187b3ca67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2024-11-26T13:00:00+00:00</Approval_x0020_Date>
    <Review_x0020_Date xmlns="690b2128-8961-48af-a473-22c34a9accba">2027-11-30T13:00:00+00:00</Review_x0020_Date>
    <TaxCatchAll xmlns="c0239a80-7f07-4ed7-82c3-24ad7d76ada5">
      <Value>436</Value>
      <Value>417</Value>
      <Value>416</Value>
      <Value>415</Value>
    </TaxCatchAll>
    <Version_x0020_Number xmlns="690b2128-8961-48af-a473-22c34a9accba">1</Version_x0020_Number>
    <Notes0 xmlns="690b2128-8961-48af-a473-22c34a9accba" xsi:nil="true"/>
    <Key_x0020_Words xmlns="690b2128-8961-48af-a473-22c34a9accba">Immunoglobulin, Intravenous, Subcutaneous, Normal Human, IVIg, SCIg, NHIg, IVIg Infusion Rates, Blood, Products, Transfusion, BloodSTAR Criteria, Ig</Key_x0020_Words>
    <Type_x0020_of_x0020_Document xmlns="690b2128-8961-48af-a473-22c34a9accba">Procedure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CHS21/444 - Immunoglobulin Authorisation and Administration – Adults, Paediatrics and Neonates</Replaces_x003a_>
    <ISD_x0020_Submitted xmlns="690b2128-8961-48af-a473-22c34a9accba">Not Required</ISD_x0020_Submitted>
    <Risk_x0020_Rating xmlns="690b2128-8961-48af-a473-22c34a9accba">High</Risk_x0020_Rating>
    <Description0 xmlns="690b2128-8961-48af-a473-22c34a9accba">The purpose of this document is to provide a systematic and consistent approach for the safe and appropriate administration of Intravenous Immunoglobulin (IVIg), Subcutaneous Immunoglobulin (SCIg) and Normal Human Immunoglobin (NHIg).</Description0>
    <Display_x0020_on_x0020_Internet xmlns="690b2128-8961-48af-a473-22c34a9accba">true</Display_x0020_on_x0020_Internet>
    <Related_x0020_Documents xmlns="690b2128-8961-48af-a473-22c34a9accba" xsi:nil="true"/>
    <Decision_x0020_Number xmlns="690b2128-8961-48af-a473-22c34a9accba">CHS24/618</Decision_x0020_Number>
    <RelatedPolicies_x002c_ProceduresGuidelines xmlns="690b2128-8961-48af-a473-22c34a9accba">
      <Value>15916</Value>
      <Value>14889</Value>
      <Value>16369</Value>
      <Value>17056</Value>
      <Value>17349</Value>
      <Value>17628</Value>
      <Value>17605</Value>
      <Value>16934</Value>
      <Value>16232</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 Recognition Act 2010 (Cth)</TermName>
          <TermId xmlns="http://schemas.microsoft.com/office/infopath/2007/PartnerControls">7e399963-a120-4fa2-8773-c52cd2bc7b82</TermId>
        </TermInfo>
      </Terms>
    </k0794e393e1f41c2810d090eedba34a0>
    <New_x0020_Owner xmlns="690b2128-8961-48af-a473-22c34a9accba">Medical Services Group - ACT Blood Counts</New_x0020_Owner>
  </documentManagement>
</p:properties>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06C47D7C-9891-4A0B-8402-6CB0500D7601}"/>
</file>

<file path=customXml/itemProps4.xml><?xml version="1.0" encoding="utf-8"?>
<ds:datastoreItem xmlns:ds="http://schemas.openxmlformats.org/officeDocument/2006/customXml" ds:itemID="{3A05F3BB-48BE-420C-9C9D-D85C11E49B3A}">
  <ds:schemaRefs>
    <ds:schemaRef ds:uri="http://schemas.microsoft.com/office/2006/metadata/properties"/>
    <ds:schemaRef ds:uri="http://schemas.microsoft.com/office/infopath/2007/PartnerControls"/>
    <ds:schemaRef ds:uri="0c8e588b-9c83-49d3-a6c8-a54de8f95e6a"/>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47</Pages>
  <Words>11342</Words>
  <Characters>64652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75843</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Immunoglobulin Authorisation and Administration – Adults, Paediatrics and Neonates</dc:title>
  <dc:creator>Moran, Elizabeth (Health)</dc:creator>
  <cp:lastModifiedBy>Mathew, Jerrin</cp:lastModifiedBy>
  <cp:revision>24</cp:revision>
  <cp:lastPrinted>2017-05-22T07:29:00Z</cp:lastPrinted>
  <dcterms:created xsi:type="dcterms:W3CDTF">2024-12-09T21:35:00Z</dcterms:created>
  <dcterms:modified xsi:type="dcterms:W3CDTF">2024-12-16T01:59:00Z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(Territory)|ff017976-c7e7-4dc1-b890-63352415bc5e;#436;#Carer Recognition Act 2010 (Cth)|7e399963-a120-4fa2-8773-c52cd2bc7b82</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(Territory)|ff017976-c7e7-4dc1-b890-63352415bc5e;#436;#Carer Recognition Act 2010 (Cth)|7e399963-a120-4fa2-8773-c52cd2bc7b82</vt:lpwstr>
  </property>
</Properties>
</file>