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51A84E" w14:textId="34C8F507" w:rsidR="00EF02B0" w:rsidRPr="005C0911" w:rsidRDefault="00EF02B0" w:rsidP="005C0911">
      <w:pPr>
        <w:rPr>
          <w:b/>
          <w:bCs/>
          <w:sz w:val="44"/>
          <w:szCs w:val="44"/>
        </w:rPr>
      </w:pPr>
      <w:bookmarkStart w:id="0" w:name="_Toc389131241"/>
      <w:bookmarkStart w:id="1" w:name="_Toc389473036"/>
      <w:bookmarkStart w:id="2" w:name="_Toc389473185"/>
      <w:bookmarkStart w:id="3" w:name="_Toc389473272"/>
      <w:bookmarkStart w:id="4" w:name="_Toc392770343"/>
      <w:r w:rsidRPr="005C0911">
        <w:rPr>
          <w:b/>
          <w:bCs/>
          <w:sz w:val="44"/>
          <w:szCs w:val="44"/>
        </w:rPr>
        <w:t>Canberra Health Services</w:t>
      </w:r>
    </w:p>
    <w:bookmarkEnd w:id="0"/>
    <w:bookmarkEnd w:id="1"/>
    <w:bookmarkEnd w:id="2"/>
    <w:bookmarkEnd w:id="3"/>
    <w:bookmarkEnd w:id="4"/>
    <w:p w14:paraId="2F51A84F" w14:textId="3D6B8678" w:rsidR="00EF02B0" w:rsidRPr="00931B93" w:rsidRDefault="00EF02B0" w:rsidP="00EF02B0">
      <w:pPr>
        <w:rPr>
          <w:rFonts w:cs="Arial"/>
          <w:b/>
          <w:i/>
          <w:sz w:val="28"/>
          <w:szCs w:val="44"/>
        </w:rPr>
      </w:pPr>
      <w:r w:rsidRPr="00EF02B0">
        <w:rPr>
          <w:rFonts w:cs="Arial"/>
          <w:b/>
          <w:sz w:val="44"/>
          <w:szCs w:val="44"/>
        </w:rPr>
        <w:t>Procedure</w:t>
      </w:r>
      <w:r w:rsidR="00931B93">
        <w:rPr>
          <w:rFonts w:cs="Arial"/>
          <w:b/>
          <w:sz w:val="44"/>
          <w:szCs w:val="44"/>
        </w:rPr>
        <w:t xml:space="preserve"> </w:t>
      </w:r>
    </w:p>
    <w:p w14:paraId="2F51A850" w14:textId="43CF454F" w:rsidR="007B6904" w:rsidRPr="006A3770" w:rsidRDefault="002D6B7E" w:rsidP="006A3770">
      <w:pPr>
        <w:rPr>
          <w:rFonts w:cs="Arial"/>
          <w:b/>
          <w:i/>
          <w:sz w:val="36"/>
          <w:szCs w:val="36"/>
        </w:rPr>
      </w:pPr>
      <w:r>
        <w:rPr>
          <w:rFonts w:cs="Arial"/>
          <w:b/>
          <w:sz w:val="36"/>
          <w:szCs w:val="36"/>
        </w:rPr>
        <w:t>Management of the Adult with a nontraumatic Subarachnoid Haemorrhage</w:t>
      </w:r>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2F51A852" w14:textId="77777777" w:rsidTr="0074223E">
        <w:trPr>
          <w:cantSplit/>
          <w:trHeight w:val="285"/>
        </w:trPr>
        <w:tc>
          <w:tcPr>
            <w:tcW w:w="9158" w:type="dxa"/>
            <w:shd w:val="clear" w:color="auto" w:fill="A6A6A6" w:themeFill="background1" w:themeFillShade="A6"/>
          </w:tcPr>
          <w:p w14:paraId="2F51A851" w14:textId="77777777" w:rsidR="007B6904" w:rsidRPr="00CD1C0E" w:rsidRDefault="007B6904" w:rsidP="004213C3">
            <w:pPr>
              <w:pStyle w:val="Heading1"/>
            </w:pPr>
            <w:bookmarkStart w:id="5" w:name="_Toc389473273"/>
            <w:bookmarkStart w:id="6" w:name="Contents"/>
            <w:bookmarkStart w:id="7" w:name="_Toc105081139"/>
            <w:bookmarkStart w:id="8" w:name="_Toc106348352"/>
            <w:r w:rsidRPr="00CD1C0E">
              <w:t>Contents</w:t>
            </w:r>
            <w:bookmarkEnd w:id="5"/>
            <w:bookmarkEnd w:id="6"/>
            <w:bookmarkEnd w:id="7"/>
            <w:bookmarkEnd w:id="8"/>
          </w:p>
        </w:tc>
      </w:tr>
    </w:tbl>
    <w:p w14:paraId="2F51A853" w14:textId="77777777" w:rsidR="007B6904" w:rsidRDefault="007B6904" w:rsidP="007B6904"/>
    <w:sdt>
      <w:sdtPr>
        <w:rPr>
          <w:rFonts w:ascii="Calibri" w:hAnsi="Calibri"/>
        </w:rPr>
        <w:id w:val="-1056006640"/>
        <w:docPartObj>
          <w:docPartGallery w:val="Table of Contents"/>
          <w:docPartUnique/>
        </w:docPartObj>
      </w:sdtPr>
      <w:sdtEndPr>
        <w:rPr>
          <w:b/>
          <w:bCs/>
          <w:noProof/>
        </w:rPr>
      </w:sdtEndPr>
      <w:sdtContent>
        <w:p w14:paraId="2AF1FE7C" w14:textId="61D8D57B" w:rsidR="00A94CE5" w:rsidRDefault="00CA6266">
          <w:pPr>
            <w:pStyle w:val="TOC1"/>
            <w:tabs>
              <w:tab w:val="right" w:leader="dot" w:pos="9060"/>
            </w:tabs>
            <w:rPr>
              <w:rFonts w:eastAsiaTheme="minorEastAsia" w:cstheme="minorBidi"/>
              <w:noProof/>
              <w:sz w:val="22"/>
              <w:szCs w:val="22"/>
              <w:lang w:eastAsia="en-AU"/>
            </w:rPr>
          </w:pPr>
          <w:r>
            <w:fldChar w:fldCharType="begin"/>
          </w:r>
          <w:r>
            <w:instrText xml:space="preserve"> TOC \o "1-3" \h \z \u </w:instrText>
          </w:r>
          <w:r>
            <w:fldChar w:fldCharType="separate"/>
          </w:r>
          <w:hyperlink w:anchor="_Toc106348352" w:history="1">
            <w:r w:rsidR="00A94CE5" w:rsidRPr="00600EE6">
              <w:rPr>
                <w:rStyle w:val="Hyperlink"/>
                <w:noProof/>
              </w:rPr>
              <w:t>Contents</w:t>
            </w:r>
            <w:r w:rsidR="00A94CE5">
              <w:rPr>
                <w:noProof/>
                <w:webHidden/>
              </w:rPr>
              <w:tab/>
            </w:r>
            <w:r w:rsidR="00A94CE5">
              <w:rPr>
                <w:noProof/>
                <w:webHidden/>
              </w:rPr>
              <w:fldChar w:fldCharType="begin"/>
            </w:r>
            <w:r w:rsidR="00A94CE5">
              <w:rPr>
                <w:noProof/>
                <w:webHidden/>
              </w:rPr>
              <w:instrText xml:space="preserve"> PAGEREF _Toc106348352 \h </w:instrText>
            </w:r>
            <w:r w:rsidR="00A94CE5">
              <w:rPr>
                <w:noProof/>
                <w:webHidden/>
              </w:rPr>
            </w:r>
            <w:r w:rsidR="00A94CE5">
              <w:rPr>
                <w:noProof/>
                <w:webHidden/>
              </w:rPr>
              <w:fldChar w:fldCharType="separate"/>
            </w:r>
            <w:r w:rsidR="00A94CE5">
              <w:rPr>
                <w:noProof/>
                <w:webHidden/>
              </w:rPr>
              <w:t>1</w:t>
            </w:r>
            <w:r w:rsidR="00A94CE5">
              <w:rPr>
                <w:noProof/>
                <w:webHidden/>
              </w:rPr>
              <w:fldChar w:fldCharType="end"/>
            </w:r>
          </w:hyperlink>
        </w:p>
        <w:p w14:paraId="20BCA2FB" w14:textId="24766699" w:rsidR="00A94CE5" w:rsidRDefault="00A94CE5">
          <w:pPr>
            <w:pStyle w:val="TOC1"/>
            <w:tabs>
              <w:tab w:val="right" w:leader="dot" w:pos="9060"/>
            </w:tabs>
            <w:rPr>
              <w:rFonts w:eastAsiaTheme="minorEastAsia" w:cstheme="minorBidi"/>
              <w:noProof/>
              <w:sz w:val="22"/>
              <w:szCs w:val="22"/>
              <w:lang w:eastAsia="en-AU"/>
            </w:rPr>
          </w:pPr>
          <w:hyperlink w:anchor="_Toc106348353" w:history="1">
            <w:r w:rsidRPr="00600EE6">
              <w:rPr>
                <w:rStyle w:val="Hyperlink"/>
                <w:noProof/>
              </w:rPr>
              <w:t>Purpose</w:t>
            </w:r>
            <w:r>
              <w:rPr>
                <w:noProof/>
                <w:webHidden/>
              </w:rPr>
              <w:tab/>
            </w:r>
            <w:r>
              <w:rPr>
                <w:noProof/>
                <w:webHidden/>
              </w:rPr>
              <w:fldChar w:fldCharType="begin"/>
            </w:r>
            <w:r>
              <w:rPr>
                <w:noProof/>
                <w:webHidden/>
              </w:rPr>
              <w:instrText xml:space="preserve"> PAGEREF _Toc106348353 \h </w:instrText>
            </w:r>
            <w:r>
              <w:rPr>
                <w:noProof/>
                <w:webHidden/>
              </w:rPr>
            </w:r>
            <w:r>
              <w:rPr>
                <w:noProof/>
                <w:webHidden/>
              </w:rPr>
              <w:fldChar w:fldCharType="separate"/>
            </w:r>
            <w:r>
              <w:rPr>
                <w:noProof/>
                <w:webHidden/>
              </w:rPr>
              <w:t>2</w:t>
            </w:r>
            <w:r>
              <w:rPr>
                <w:noProof/>
                <w:webHidden/>
              </w:rPr>
              <w:fldChar w:fldCharType="end"/>
            </w:r>
          </w:hyperlink>
        </w:p>
        <w:p w14:paraId="7FC5390B" w14:textId="4371E2B6" w:rsidR="00A94CE5" w:rsidRDefault="00A94CE5">
          <w:pPr>
            <w:pStyle w:val="TOC1"/>
            <w:tabs>
              <w:tab w:val="right" w:leader="dot" w:pos="9060"/>
            </w:tabs>
            <w:rPr>
              <w:rFonts w:eastAsiaTheme="minorEastAsia" w:cstheme="minorBidi"/>
              <w:noProof/>
              <w:sz w:val="22"/>
              <w:szCs w:val="22"/>
              <w:lang w:eastAsia="en-AU"/>
            </w:rPr>
          </w:pPr>
          <w:hyperlink w:anchor="_Toc106348354" w:history="1">
            <w:r w:rsidRPr="00600EE6">
              <w:rPr>
                <w:rStyle w:val="Hyperlink"/>
                <w:noProof/>
              </w:rPr>
              <w:t>Alerts</w:t>
            </w:r>
            <w:r>
              <w:rPr>
                <w:noProof/>
                <w:webHidden/>
              </w:rPr>
              <w:tab/>
            </w:r>
            <w:r>
              <w:rPr>
                <w:noProof/>
                <w:webHidden/>
              </w:rPr>
              <w:fldChar w:fldCharType="begin"/>
            </w:r>
            <w:r>
              <w:rPr>
                <w:noProof/>
                <w:webHidden/>
              </w:rPr>
              <w:instrText xml:space="preserve"> PAGEREF _Toc106348354 \h </w:instrText>
            </w:r>
            <w:r>
              <w:rPr>
                <w:noProof/>
                <w:webHidden/>
              </w:rPr>
            </w:r>
            <w:r>
              <w:rPr>
                <w:noProof/>
                <w:webHidden/>
              </w:rPr>
              <w:fldChar w:fldCharType="separate"/>
            </w:r>
            <w:r>
              <w:rPr>
                <w:noProof/>
                <w:webHidden/>
              </w:rPr>
              <w:t>2</w:t>
            </w:r>
            <w:r>
              <w:rPr>
                <w:noProof/>
                <w:webHidden/>
              </w:rPr>
              <w:fldChar w:fldCharType="end"/>
            </w:r>
          </w:hyperlink>
        </w:p>
        <w:p w14:paraId="4C2A4E3C" w14:textId="4833C42F" w:rsidR="00A94CE5" w:rsidRDefault="00A94CE5">
          <w:pPr>
            <w:pStyle w:val="TOC1"/>
            <w:tabs>
              <w:tab w:val="right" w:leader="dot" w:pos="9060"/>
            </w:tabs>
            <w:rPr>
              <w:rFonts w:eastAsiaTheme="minorEastAsia" w:cstheme="minorBidi"/>
              <w:noProof/>
              <w:sz w:val="22"/>
              <w:szCs w:val="22"/>
              <w:lang w:eastAsia="en-AU"/>
            </w:rPr>
          </w:pPr>
          <w:hyperlink w:anchor="_Toc106348355" w:history="1">
            <w:r w:rsidRPr="00600EE6">
              <w:rPr>
                <w:rStyle w:val="Hyperlink"/>
                <w:noProof/>
              </w:rPr>
              <w:t>Scope</w:t>
            </w:r>
            <w:r>
              <w:rPr>
                <w:noProof/>
                <w:webHidden/>
              </w:rPr>
              <w:tab/>
            </w:r>
            <w:r>
              <w:rPr>
                <w:noProof/>
                <w:webHidden/>
              </w:rPr>
              <w:fldChar w:fldCharType="begin"/>
            </w:r>
            <w:r>
              <w:rPr>
                <w:noProof/>
                <w:webHidden/>
              </w:rPr>
              <w:instrText xml:space="preserve"> PAGEREF _Toc106348355 \h </w:instrText>
            </w:r>
            <w:r>
              <w:rPr>
                <w:noProof/>
                <w:webHidden/>
              </w:rPr>
            </w:r>
            <w:r>
              <w:rPr>
                <w:noProof/>
                <w:webHidden/>
              </w:rPr>
              <w:fldChar w:fldCharType="separate"/>
            </w:r>
            <w:r>
              <w:rPr>
                <w:noProof/>
                <w:webHidden/>
              </w:rPr>
              <w:t>2</w:t>
            </w:r>
            <w:r>
              <w:rPr>
                <w:noProof/>
                <w:webHidden/>
              </w:rPr>
              <w:fldChar w:fldCharType="end"/>
            </w:r>
          </w:hyperlink>
        </w:p>
        <w:p w14:paraId="0E083BBA" w14:textId="5CA81447" w:rsidR="00A94CE5" w:rsidRDefault="00A94CE5">
          <w:pPr>
            <w:pStyle w:val="TOC1"/>
            <w:tabs>
              <w:tab w:val="right" w:leader="dot" w:pos="9060"/>
            </w:tabs>
            <w:rPr>
              <w:rFonts w:eastAsiaTheme="minorEastAsia" w:cstheme="minorBidi"/>
              <w:noProof/>
              <w:sz w:val="22"/>
              <w:szCs w:val="22"/>
              <w:lang w:eastAsia="en-AU"/>
            </w:rPr>
          </w:pPr>
          <w:hyperlink w:anchor="_Toc106348356" w:history="1">
            <w:r w:rsidRPr="00600EE6">
              <w:rPr>
                <w:rStyle w:val="Hyperlink"/>
                <w:noProof/>
              </w:rPr>
              <w:t>Section 1 –  Subarachnoid Haemorrhage</w:t>
            </w:r>
            <w:r>
              <w:rPr>
                <w:noProof/>
                <w:webHidden/>
              </w:rPr>
              <w:tab/>
            </w:r>
            <w:r>
              <w:rPr>
                <w:noProof/>
                <w:webHidden/>
              </w:rPr>
              <w:fldChar w:fldCharType="begin"/>
            </w:r>
            <w:r>
              <w:rPr>
                <w:noProof/>
                <w:webHidden/>
              </w:rPr>
              <w:instrText xml:space="preserve"> PAGEREF _Toc106348356 \h </w:instrText>
            </w:r>
            <w:r>
              <w:rPr>
                <w:noProof/>
                <w:webHidden/>
              </w:rPr>
            </w:r>
            <w:r>
              <w:rPr>
                <w:noProof/>
                <w:webHidden/>
              </w:rPr>
              <w:fldChar w:fldCharType="separate"/>
            </w:r>
            <w:r>
              <w:rPr>
                <w:noProof/>
                <w:webHidden/>
              </w:rPr>
              <w:t>2</w:t>
            </w:r>
            <w:r>
              <w:rPr>
                <w:noProof/>
                <w:webHidden/>
              </w:rPr>
              <w:fldChar w:fldCharType="end"/>
            </w:r>
          </w:hyperlink>
        </w:p>
        <w:p w14:paraId="6CE7FF92" w14:textId="08383A34" w:rsidR="00A94CE5" w:rsidRDefault="00A94CE5">
          <w:pPr>
            <w:pStyle w:val="TOC2"/>
            <w:tabs>
              <w:tab w:val="right" w:leader="dot" w:pos="9060"/>
            </w:tabs>
            <w:rPr>
              <w:rFonts w:eastAsiaTheme="minorEastAsia" w:cstheme="minorBidi"/>
              <w:noProof/>
              <w:sz w:val="22"/>
              <w:szCs w:val="22"/>
              <w:lang w:eastAsia="en-AU"/>
            </w:rPr>
          </w:pPr>
          <w:hyperlink w:anchor="_Toc106348357" w:history="1">
            <w:r w:rsidRPr="00600EE6">
              <w:rPr>
                <w:rStyle w:val="Hyperlink"/>
                <w:noProof/>
              </w:rPr>
              <w:t>1.1 Initial Nursing Management</w:t>
            </w:r>
            <w:r>
              <w:rPr>
                <w:noProof/>
                <w:webHidden/>
              </w:rPr>
              <w:tab/>
            </w:r>
            <w:r>
              <w:rPr>
                <w:noProof/>
                <w:webHidden/>
              </w:rPr>
              <w:fldChar w:fldCharType="begin"/>
            </w:r>
            <w:r>
              <w:rPr>
                <w:noProof/>
                <w:webHidden/>
              </w:rPr>
              <w:instrText xml:space="preserve"> PAGEREF _Toc106348357 \h </w:instrText>
            </w:r>
            <w:r>
              <w:rPr>
                <w:noProof/>
                <w:webHidden/>
              </w:rPr>
            </w:r>
            <w:r>
              <w:rPr>
                <w:noProof/>
                <w:webHidden/>
              </w:rPr>
              <w:fldChar w:fldCharType="separate"/>
            </w:r>
            <w:r>
              <w:rPr>
                <w:noProof/>
                <w:webHidden/>
              </w:rPr>
              <w:t>3</w:t>
            </w:r>
            <w:r>
              <w:rPr>
                <w:noProof/>
                <w:webHidden/>
              </w:rPr>
              <w:fldChar w:fldCharType="end"/>
            </w:r>
          </w:hyperlink>
        </w:p>
        <w:p w14:paraId="1B447C4D" w14:textId="139251FD" w:rsidR="00A94CE5" w:rsidRDefault="00A94CE5">
          <w:pPr>
            <w:pStyle w:val="TOC1"/>
            <w:tabs>
              <w:tab w:val="right" w:leader="dot" w:pos="9060"/>
            </w:tabs>
            <w:rPr>
              <w:rFonts w:eastAsiaTheme="minorEastAsia" w:cstheme="minorBidi"/>
              <w:noProof/>
              <w:sz w:val="22"/>
              <w:szCs w:val="22"/>
              <w:lang w:eastAsia="en-AU"/>
            </w:rPr>
          </w:pPr>
          <w:hyperlink w:anchor="_Toc106348358" w:history="1">
            <w:r w:rsidRPr="00600EE6">
              <w:rPr>
                <w:rStyle w:val="Hyperlink"/>
                <w:noProof/>
              </w:rPr>
              <w:t>Section 2 –  Treatment of Cerebral Aneurysm</w:t>
            </w:r>
            <w:r>
              <w:rPr>
                <w:noProof/>
                <w:webHidden/>
              </w:rPr>
              <w:tab/>
            </w:r>
            <w:r>
              <w:rPr>
                <w:noProof/>
                <w:webHidden/>
              </w:rPr>
              <w:fldChar w:fldCharType="begin"/>
            </w:r>
            <w:r>
              <w:rPr>
                <w:noProof/>
                <w:webHidden/>
              </w:rPr>
              <w:instrText xml:space="preserve"> PAGEREF _Toc106348358 \h </w:instrText>
            </w:r>
            <w:r>
              <w:rPr>
                <w:noProof/>
                <w:webHidden/>
              </w:rPr>
            </w:r>
            <w:r>
              <w:rPr>
                <w:noProof/>
                <w:webHidden/>
              </w:rPr>
              <w:fldChar w:fldCharType="separate"/>
            </w:r>
            <w:r>
              <w:rPr>
                <w:noProof/>
                <w:webHidden/>
              </w:rPr>
              <w:t>4</w:t>
            </w:r>
            <w:r>
              <w:rPr>
                <w:noProof/>
                <w:webHidden/>
              </w:rPr>
              <w:fldChar w:fldCharType="end"/>
            </w:r>
          </w:hyperlink>
        </w:p>
        <w:p w14:paraId="2D615DFB" w14:textId="04D862E4" w:rsidR="00A94CE5" w:rsidRDefault="00A94CE5">
          <w:pPr>
            <w:pStyle w:val="TOC2"/>
            <w:tabs>
              <w:tab w:val="right" w:leader="dot" w:pos="9060"/>
            </w:tabs>
            <w:rPr>
              <w:rFonts w:eastAsiaTheme="minorEastAsia" w:cstheme="minorBidi"/>
              <w:noProof/>
              <w:sz w:val="22"/>
              <w:szCs w:val="22"/>
              <w:lang w:eastAsia="en-AU"/>
            </w:rPr>
          </w:pPr>
          <w:hyperlink w:anchor="_Toc106348359" w:history="1">
            <w:r w:rsidRPr="00600EE6">
              <w:rPr>
                <w:rStyle w:val="Hyperlink"/>
                <w:noProof/>
              </w:rPr>
              <w:t>2.1 Surgical Aneurysm Clipping</w:t>
            </w:r>
            <w:r>
              <w:rPr>
                <w:noProof/>
                <w:webHidden/>
              </w:rPr>
              <w:tab/>
            </w:r>
            <w:r>
              <w:rPr>
                <w:noProof/>
                <w:webHidden/>
              </w:rPr>
              <w:fldChar w:fldCharType="begin"/>
            </w:r>
            <w:r>
              <w:rPr>
                <w:noProof/>
                <w:webHidden/>
              </w:rPr>
              <w:instrText xml:space="preserve"> PAGEREF _Toc106348359 \h </w:instrText>
            </w:r>
            <w:r>
              <w:rPr>
                <w:noProof/>
                <w:webHidden/>
              </w:rPr>
            </w:r>
            <w:r>
              <w:rPr>
                <w:noProof/>
                <w:webHidden/>
              </w:rPr>
              <w:fldChar w:fldCharType="separate"/>
            </w:r>
            <w:r>
              <w:rPr>
                <w:noProof/>
                <w:webHidden/>
              </w:rPr>
              <w:t>4</w:t>
            </w:r>
            <w:r>
              <w:rPr>
                <w:noProof/>
                <w:webHidden/>
              </w:rPr>
              <w:fldChar w:fldCharType="end"/>
            </w:r>
          </w:hyperlink>
        </w:p>
        <w:p w14:paraId="0B5F2F04" w14:textId="1C21EC92" w:rsidR="00A94CE5" w:rsidRDefault="00A94CE5">
          <w:pPr>
            <w:pStyle w:val="TOC2"/>
            <w:tabs>
              <w:tab w:val="right" w:leader="dot" w:pos="9060"/>
            </w:tabs>
            <w:rPr>
              <w:rFonts w:eastAsiaTheme="minorEastAsia" w:cstheme="minorBidi"/>
              <w:noProof/>
              <w:sz w:val="22"/>
              <w:szCs w:val="22"/>
              <w:lang w:eastAsia="en-AU"/>
            </w:rPr>
          </w:pPr>
          <w:hyperlink w:anchor="_Toc106348360" w:history="1">
            <w:r w:rsidRPr="00600EE6">
              <w:rPr>
                <w:rStyle w:val="Hyperlink"/>
                <w:noProof/>
              </w:rPr>
              <w:t>2.2 Endovascular Coiling</w:t>
            </w:r>
            <w:r>
              <w:rPr>
                <w:noProof/>
                <w:webHidden/>
              </w:rPr>
              <w:tab/>
            </w:r>
            <w:r>
              <w:rPr>
                <w:noProof/>
                <w:webHidden/>
              </w:rPr>
              <w:fldChar w:fldCharType="begin"/>
            </w:r>
            <w:r>
              <w:rPr>
                <w:noProof/>
                <w:webHidden/>
              </w:rPr>
              <w:instrText xml:space="preserve"> PAGEREF _Toc106348360 \h </w:instrText>
            </w:r>
            <w:r>
              <w:rPr>
                <w:noProof/>
                <w:webHidden/>
              </w:rPr>
            </w:r>
            <w:r>
              <w:rPr>
                <w:noProof/>
                <w:webHidden/>
              </w:rPr>
              <w:fldChar w:fldCharType="separate"/>
            </w:r>
            <w:r>
              <w:rPr>
                <w:noProof/>
                <w:webHidden/>
              </w:rPr>
              <w:t>5</w:t>
            </w:r>
            <w:r>
              <w:rPr>
                <w:noProof/>
                <w:webHidden/>
              </w:rPr>
              <w:fldChar w:fldCharType="end"/>
            </w:r>
          </w:hyperlink>
        </w:p>
        <w:p w14:paraId="5D9B7535" w14:textId="3AC8E5E6" w:rsidR="00A94CE5" w:rsidRDefault="00A94CE5">
          <w:pPr>
            <w:pStyle w:val="TOC2"/>
            <w:tabs>
              <w:tab w:val="right" w:leader="dot" w:pos="9060"/>
            </w:tabs>
            <w:rPr>
              <w:rFonts w:eastAsiaTheme="minorEastAsia" w:cstheme="minorBidi"/>
              <w:noProof/>
              <w:sz w:val="22"/>
              <w:szCs w:val="22"/>
              <w:lang w:eastAsia="en-AU"/>
            </w:rPr>
          </w:pPr>
          <w:hyperlink w:anchor="_Toc106348361" w:history="1">
            <w:r w:rsidRPr="00600EE6">
              <w:rPr>
                <w:rStyle w:val="Hyperlink"/>
                <w:noProof/>
              </w:rPr>
              <w:t>2.3 Haemodynamic Targets.</w:t>
            </w:r>
            <w:r>
              <w:rPr>
                <w:noProof/>
                <w:webHidden/>
              </w:rPr>
              <w:tab/>
            </w:r>
            <w:r>
              <w:rPr>
                <w:noProof/>
                <w:webHidden/>
              </w:rPr>
              <w:fldChar w:fldCharType="begin"/>
            </w:r>
            <w:r>
              <w:rPr>
                <w:noProof/>
                <w:webHidden/>
              </w:rPr>
              <w:instrText xml:space="preserve"> PAGEREF _Toc106348361 \h </w:instrText>
            </w:r>
            <w:r>
              <w:rPr>
                <w:noProof/>
                <w:webHidden/>
              </w:rPr>
            </w:r>
            <w:r>
              <w:rPr>
                <w:noProof/>
                <w:webHidden/>
              </w:rPr>
              <w:fldChar w:fldCharType="separate"/>
            </w:r>
            <w:r>
              <w:rPr>
                <w:noProof/>
                <w:webHidden/>
              </w:rPr>
              <w:t>6</w:t>
            </w:r>
            <w:r>
              <w:rPr>
                <w:noProof/>
                <w:webHidden/>
              </w:rPr>
              <w:fldChar w:fldCharType="end"/>
            </w:r>
          </w:hyperlink>
        </w:p>
        <w:p w14:paraId="2FEC5A68" w14:textId="1785DFCE" w:rsidR="00A94CE5" w:rsidRDefault="00A94CE5">
          <w:pPr>
            <w:pStyle w:val="TOC1"/>
            <w:tabs>
              <w:tab w:val="right" w:leader="dot" w:pos="9060"/>
            </w:tabs>
            <w:rPr>
              <w:rFonts w:eastAsiaTheme="minorEastAsia" w:cstheme="minorBidi"/>
              <w:noProof/>
              <w:sz w:val="22"/>
              <w:szCs w:val="22"/>
              <w:lang w:eastAsia="en-AU"/>
            </w:rPr>
          </w:pPr>
          <w:hyperlink w:anchor="_Toc106348362" w:history="1">
            <w:r w:rsidRPr="00600EE6">
              <w:rPr>
                <w:rStyle w:val="Hyperlink"/>
                <w:noProof/>
              </w:rPr>
              <w:t>Section 3 –  Delayed Cerebral Ischaemia</w:t>
            </w:r>
            <w:r>
              <w:rPr>
                <w:noProof/>
                <w:webHidden/>
              </w:rPr>
              <w:tab/>
            </w:r>
            <w:r>
              <w:rPr>
                <w:noProof/>
                <w:webHidden/>
              </w:rPr>
              <w:fldChar w:fldCharType="begin"/>
            </w:r>
            <w:r>
              <w:rPr>
                <w:noProof/>
                <w:webHidden/>
              </w:rPr>
              <w:instrText xml:space="preserve"> PAGEREF _Toc106348362 \h </w:instrText>
            </w:r>
            <w:r>
              <w:rPr>
                <w:noProof/>
                <w:webHidden/>
              </w:rPr>
            </w:r>
            <w:r>
              <w:rPr>
                <w:noProof/>
                <w:webHidden/>
              </w:rPr>
              <w:fldChar w:fldCharType="separate"/>
            </w:r>
            <w:r>
              <w:rPr>
                <w:noProof/>
                <w:webHidden/>
              </w:rPr>
              <w:t>7</w:t>
            </w:r>
            <w:r>
              <w:rPr>
                <w:noProof/>
                <w:webHidden/>
              </w:rPr>
              <w:fldChar w:fldCharType="end"/>
            </w:r>
          </w:hyperlink>
        </w:p>
        <w:p w14:paraId="19550DB1" w14:textId="1BBE409E" w:rsidR="00A94CE5" w:rsidRDefault="00A94CE5">
          <w:pPr>
            <w:pStyle w:val="TOC2"/>
            <w:tabs>
              <w:tab w:val="right" w:leader="dot" w:pos="9060"/>
            </w:tabs>
            <w:rPr>
              <w:rFonts w:eastAsiaTheme="minorEastAsia" w:cstheme="minorBidi"/>
              <w:noProof/>
              <w:sz w:val="22"/>
              <w:szCs w:val="22"/>
              <w:lang w:eastAsia="en-AU"/>
            </w:rPr>
          </w:pPr>
          <w:hyperlink w:anchor="_Toc106348363" w:history="1">
            <w:r w:rsidRPr="00600EE6">
              <w:rPr>
                <w:rStyle w:val="Hyperlink"/>
                <w:noProof/>
              </w:rPr>
              <w:t>3.1 Nimodipine Therapy</w:t>
            </w:r>
            <w:r>
              <w:rPr>
                <w:noProof/>
                <w:webHidden/>
              </w:rPr>
              <w:tab/>
            </w:r>
            <w:r>
              <w:rPr>
                <w:noProof/>
                <w:webHidden/>
              </w:rPr>
              <w:fldChar w:fldCharType="begin"/>
            </w:r>
            <w:r>
              <w:rPr>
                <w:noProof/>
                <w:webHidden/>
              </w:rPr>
              <w:instrText xml:space="preserve"> PAGEREF _Toc106348363 \h </w:instrText>
            </w:r>
            <w:r>
              <w:rPr>
                <w:noProof/>
                <w:webHidden/>
              </w:rPr>
            </w:r>
            <w:r>
              <w:rPr>
                <w:noProof/>
                <w:webHidden/>
              </w:rPr>
              <w:fldChar w:fldCharType="separate"/>
            </w:r>
            <w:r>
              <w:rPr>
                <w:noProof/>
                <w:webHidden/>
              </w:rPr>
              <w:t>8</w:t>
            </w:r>
            <w:r>
              <w:rPr>
                <w:noProof/>
                <w:webHidden/>
              </w:rPr>
              <w:fldChar w:fldCharType="end"/>
            </w:r>
          </w:hyperlink>
        </w:p>
        <w:p w14:paraId="6EFB04D5" w14:textId="7179820F" w:rsidR="00A94CE5" w:rsidRDefault="00A94CE5">
          <w:pPr>
            <w:pStyle w:val="TOC2"/>
            <w:tabs>
              <w:tab w:val="right" w:leader="dot" w:pos="9060"/>
            </w:tabs>
            <w:rPr>
              <w:rFonts w:eastAsiaTheme="minorEastAsia" w:cstheme="minorBidi"/>
              <w:noProof/>
              <w:sz w:val="22"/>
              <w:szCs w:val="22"/>
              <w:lang w:eastAsia="en-AU"/>
            </w:rPr>
          </w:pPr>
          <w:hyperlink w:anchor="_Toc106348364" w:history="1">
            <w:r w:rsidRPr="00600EE6">
              <w:rPr>
                <w:rStyle w:val="Hyperlink"/>
                <w:noProof/>
              </w:rPr>
              <w:t>3.1.1 Oral Nimodipine Procedure:</w:t>
            </w:r>
            <w:r>
              <w:rPr>
                <w:noProof/>
                <w:webHidden/>
              </w:rPr>
              <w:tab/>
            </w:r>
            <w:r>
              <w:rPr>
                <w:noProof/>
                <w:webHidden/>
              </w:rPr>
              <w:fldChar w:fldCharType="begin"/>
            </w:r>
            <w:r>
              <w:rPr>
                <w:noProof/>
                <w:webHidden/>
              </w:rPr>
              <w:instrText xml:space="preserve"> PAGEREF _Toc106348364 \h </w:instrText>
            </w:r>
            <w:r>
              <w:rPr>
                <w:noProof/>
                <w:webHidden/>
              </w:rPr>
            </w:r>
            <w:r>
              <w:rPr>
                <w:noProof/>
                <w:webHidden/>
              </w:rPr>
              <w:fldChar w:fldCharType="separate"/>
            </w:r>
            <w:r>
              <w:rPr>
                <w:noProof/>
                <w:webHidden/>
              </w:rPr>
              <w:t>8</w:t>
            </w:r>
            <w:r>
              <w:rPr>
                <w:noProof/>
                <w:webHidden/>
              </w:rPr>
              <w:fldChar w:fldCharType="end"/>
            </w:r>
          </w:hyperlink>
        </w:p>
        <w:p w14:paraId="2EF54ECC" w14:textId="00BD5B20" w:rsidR="00A94CE5" w:rsidRDefault="00A94CE5">
          <w:pPr>
            <w:pStyle w:val="TOC2"/>
            <w:tabs>
              <w:tab w:val="right" w:leader="dot" w:pos="9060"/>
            </w:tabs>
            <w:rPr>
              <w:rFonts w:eastAsiaTheme="minorEastAsia" w:cstheme="minorBidi"/>
              <w:noProof/>
              <w:sz w:val="22"/>
              <w:szCs w:val="22"/>
              <w:lang w:eastAsia="en-AU"/>
            </w:rPr>
          </w:pPr>
          <w:hyperlink w:anchor="_Toc106348365" w:history="1">
            <w:r w:rsidRPr="00600EE6">
              <w:rPr>
                <w:rStyle w:val="Hyperlink"/>
                <w:noProof/>
              </w:rPr>
              <w:t>3.1.2 Intravenous Nimodipine Infusion Procedure</w:t>
            </w:r>
            <w:r>
              <w:rPr>
                <w:noProof/>
                <w:webHidden/>
              </w:rPr>
              <w:tab/>
            </w:r>
            <w:r>
              <w:rPr>
                <w:noProof/>
                <w:webHidden/>
              </w:rPr>
              <w:fldChar w:fldCharType="begin"/>
            </w:r>
            <w:r>
              <w:rPr>
                <w:noProof/>
                <w:webHidden/>
              </w:rPr>
              <w:instrText xml:space="preserve"> PAGEREF _Toc106348365 \h </w:instrText>
            </w:r>
            <w:r>
              <w:rPr>
                <w:noProof/>
                <w:webHidden/>
              </w:rPr>
            </w:r>
            <w:r>
              <w:rPr>
                <w:noProof/>
                <w:webHidden/>
              </w:rPr>
              <w:fldChar w:fldCharType="separate"/>
            </w:r>
            <w:r>
              <w:rPr>
                <w:noProof/>
                <w:webHidden/>
              </w:rPr>
              <w:t>9</w:t>
            </w:r>
            <w:r>
              <w:rPr>
                <w:noProof/>
                <w:webHidden/>
              </w:rPr>
              <w:fldChar w:fldCharType="end"/>
            </w:r>
          </w:hyperlink>
        </w:p>
        <w:p w14:paraId="13DCC5D9" w14:textId="786AE902" w:rsidR="00A94CE5" w:rsidRDefault="00A94CE5">
          <w:pPr>
            <w:pStyle w:val="TOC1"/>
            <w:tabs>
              <w:tab w:val="right" w:leader="dot" w:pos="9060"/>
            </w:tabs>
            <w:rPr>
              <w:rFonts w:eastAsiaTheme="minorEastAsia" w:cstheme="minorBidi"/>
              <w:noProof/>
              <w:sz w:val="22"/>
              <w:szCs w:val="22"/>
              <w:lang w:eastAsia="en-AU"/>
            </w:rPr>
          </w:pPr>
          <w:hyperlink w:anchor="_Toc106348366" w:history="1">
            <w:r w:rsidRPr="00600EE6">
              <w:rPr>
                <w:rStyle w:val="Hyperlink"/>
                <w:noProof/>
              </w:rPr>
              <w:t>Evaluation</w:t>
            </w:r>
            <w:r>
              <w:rPr>
                <w:noProof/>
                <w:webHidden/>
              </w:rPr>
              <w:tab/>
            </w:r>
            <w:r>
              <w:rPr>
                <w:noProof/>
                <w:webHidden/>
              </w:rPr>
              <w:fldChar w:fldCharType="begin"/>
            </w:r>
            <w:r>
              <w:rPr>
                <w:noProof/>
                <w:webHidden/>
              </w:rPr>
              <w:instrText xml:space="preserve"> PAGEREF _Toc106348366 \h </w:instrText>
            </w:r>
            <w:r>
              <w:rPr>
                <w:noProof/>
                <w:webHidden/>
              </w:rPr>
            </w:r>
            <w:r>
              <w:rPr>
                <w:noProof/>
                <w:webHidden/>
              </w:rPr>
              <w:fldChar w:fldCharType="separate"/>
            </w:r>
            <w:r>
              <w:rPr>
                <w:noProof/>
                <w:webHidden/>
              </w:rPr>
              <w:t>10</w:t>
            </w:r>
            <w:r>
              <w:rPr>
                <w:noProof/>
                <w:webHidden/>
              </w:rPr>
              <w:fldChar w:fldCharType="end"/>
            </w:r>
          </w:hyperlink>
        </w:p>
        <w:p w14:paraId="179ED23A" w14:textId="2E2DEFAF" w:rsidR="00A94CE5" w:rsidRDefault="00A94CE5">
          <w:pPr>
            <w:pStyle w:val="TOC1"/>
            <w:tabs>
              <w:tab w:val="right" w:leader="dot" w:pos="9060"/>
            </w:tabs>
            <w:rPr>
              <w:rFonts w:eastAsiaTheme="minorEastAsia" w:cstheme="minorBidi"/>
              <w:noProof/>
              <w:sz w:val="22"/>
              <w:szCs w:val="22"/>
              <w:lang w:eastAsia="en-AU"/>
            </w:rPr>
          </w:pPr>
          <w:hyperlink w:anchor="_Toc106348367" w:history="1">
            <w:r w:rsidRPr="00600EE6">
              <w:rPr>
                <w:rStyle w:val="Hyperlink"/>
                <w:noProof/>
              </w:rPr>
              <w:t>Related Policies, Procedures, Guidelines and Legislation</w:t>
            </w:r>
            <w:r>
              <w:rPr>
                <w:noProof/>
                <w:webHidden/>
              </w:rPr>
              <w:tab/>
            </w:r>
            <w:r>
              <w:rPr>
                <w:noProof/>
                <w:webHidden/>
              </w:rPr>
              <w:fldChar w:fldCharType="begin"/>
            </w:r>
            <w:r>
              <w:rPr>
                <w:noProof/>
                <w:webHidden/>
              </w:rPr>
              <w:instrText xml:space="preserve"> PAGEREF _Toc106348367 \h </w:instrText>
            </w:r>
            <w:r>
              <w:rPr>
                <w:noProof/>
                <w:webHidden/>
              </w:rPr>
            </w:r>
            <w:r>
              <w:rPr>
                <w:noProof/>
                <w:webHidden/>
              </w:rPr>
              <w:fldChar w:fldCharType="separate"/>
            </w:r>
            <w:r>
              <w:rPr>
                <w:noProof/>
                <w:webHidden/>
              </w:rPr>
              <w:t>10</w:t>
            </w:r>
            <w:r>
              <w:rPr>
                <w:noProof/>
                <w:webHidden/>
              </w:rPr>
              <w:fldChar w:fldCharType="end"/>
            </w:r>
          </w:hyperlink>
        </w:p>
        <w:p w14:paraId="42F3BDFB" w14:textId="6A1E8A37" w:rsidR="00A94CE5" w:rsidRDefault="00A94CE5">
          <w:pPr>
            <w:pStyle w:val="TOC1"/>
            <w:tabs>
              <w:tab w:val="right" w:leader="dot" w:pos="9060"/>
            </w:tabs>
            <w:rPr>
              <w:rFonts w:eastAsiaTheme="minorEastAsia" w:cstheme="minorBidi"/>
              <w:noProof/>
              <w:sz w:val="22"/>
              <w:szCs w:val="22"/>
              <w:lang w:eastAsia="en-AU"/>
            </w:rPr>
          </w:pPr>
          <w:hyperlink w:anchor="_Toc106348368" w:history="1">
            <w:r w:rsidRPr="00600EE6">
              <w:rPr>
                <w:rStyle w:val="Hyperlink"/>
                <w:noProof/>
              </w:rPr>
              <w:t>References</w:t>
            </w:r>
            <w:r>
              <w:rPr>
                <w:noProof/>
                <w:webHidden/>
              </w:rPr>
              <w:tab/>
            </w:r>
            <w:r>
              <w:rPr>
                <w:noProof/>
                <w:webHidden/>
              </w:rPr>
              <w:fldChar w:fldCharType="begin"/>
            </w:r>
            <w:r>
              <w:rPr>
                <w:noProof/>
                <w:webHidden/>
              </w:rPr>
              <w:instrText xml:space="preserve"> PAGEREF _Toc106348368 \h </w:instrText>
            </w:r>
            <w:r>
              <w:rPr>
                <w:noProof/>
                <w:webHidden/>
              </w:rPr>
            </w:r>
            <w:r>
              <w:rPr>
                <w:noProof/>
                <w:webHidden/>
              </w:rPr>
              <w:fldChar w:fldCharType="separate"/>
            </w:r>
            <w:r>
              <w:rPr>
                <w:noProof/>
                <w:webHidden/>
              </w:rPr>
              <w:t>11</w:t>
            </w:r>
            <w:r>
              <w:rPr>
                <w:noProof/>
                <w:webHidden/>
              </w:rPr>
              <w:fldChar w:fldCharType="end"/>
            </w:r>
          </w:hyperlink>
        </w:p>
        <w:p w14:paraId="1BCC27E5" w14:textId="25F71BEE" w:rsidR="00A94CE5" w:rsidRDefault="00A94CE5">
          <w:pPr>
            <w:pStyle w:val="TOC1"/>
            <w:tabs>
              <w:tab w:val="right" w:leader="dot" w:pos="9060"/>
            </w:tabs>
            <w:rPr>
              <w:rFonts w:eastAsiaTheme="minorEastAsia" w:cstheme="minorBidi"/>
              <w:noProof/>
              <w:sz w:val="22"/>
              <w:szCs w:val="22"/>
              <w:lang w:eastAsia="en-AU"/>
            </w:rPr>
          </w:pPr>
          <w:hyperlink w:anchor="_Toc106348369" w:history="1">
            <w:r w:rsidRPr="00600EE6">
              <w:rPr>
                <w:rStyle w:val="Hyperlink"/>
                <w:noProof/>
              </w:rPr>
              <w:t>Search Terms</w:t>
            </w:r>
            <w:r>
              <w:rPr>
                <w:noProof/>
                <w:webHidden/>
              </w:rPr>
              <w:tab/>
            </w:r>
            <w:r>
              <w:rPr>
                <w:noProof/>
                <w:webHidden/>
              </w:rPr>
              <w:fldChar w:fldCharType="begin"/>
            </w:r>
            <w:r>
              <w:rPr>
                <w:noProof/>
                <w:webHidden/>
              </w:rPr>
              <w:instrText xml:space="preserve"> PAGEREF _Toc106348369 \h </w:instrText>
            </w:r>
            <w:r>
              <w:rPr>
                <w:noProof/>
                <w:webHidden/>
              </w:rPr>
            </w:r>
            <w:r>
              <w:rPr>
                <w:noProof/>
                <w:webHidden/>
              </w:rPr>
              <w:fldChar w:fldCharType="separate"/>
            </w:r>
            <w:r>
              <w:rPr>
                <w:noProof/>
                <w:webHidden/>
              </w:rPr>
              <w:t>11</w:t>
            </w:r>
            <w:r>
              <w:rPr>
                <w:noProof/>
                <w:webHidden/>
              </w:rPr>
              <w:fldChar w:fldCharType="end"/>
            </w:r>
          </w:hyperlink>
        </w:p>
        <w:p w14:paraId="53F9F09B" w14:textId="02232A47" w:rsidR="00CA6266" w:rsidRDefault="00CA6266">
          <w:r>
            <w:rPr>
              <w:b/>
              <w:bCs/>
              <w:noProof/>
            </w:rPr>
            <w:fldChar w:fldCharType="end"/>
          </w:r>
        </w:p>
      </w:sdtContent>
    </w:sdt>
    <w:p w14:paraId="2F51A863" w14:textId="1A7FE936" w:rsidR="007B6904" w:rsidRPr="00CA6266" w:rsidRDefault="00CA6266" w:rsidP="00CA6266">
      <w:pPr>
        <w:spacing w:after="200" w:line="276" w:lineRule="auto"/>
        <w:rPr>
          <w:rFonts w:asciiTheme="minorHAnsi" w:hAnsiTheme="minorHAnsi"/>
        </w:rPr>
      </w:pPr>
      <w:r>
        <w:rPr>
          <w:rFonts w:asciiTheme="minorHAnsi" w:hAnsiTheme="minorHAnsi"/>
        </w:rPr>
        <w:br w:type="page"/>
      </w:r>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2F51A865" w14:textId="77777777" w:rsidTr="0074223E">
        <w:trPr>
          <w:cantSplit/>
          <w:trHeight w:val="285"/>
        </w:trPr>
        <w:tc>
          <w:tcPr>
            <w:tcW w:w="9158" w:type="dxa"/>
            <w:shd w:val="clear" w:color="auto" w:fill="A6A6A6" w:themeFill="background1" w:themeFillShade="A6"/>
          </w:tcPr>
          <w:p w14:paraId="2F51A864" w14:textId="77777777" w:rsidR="007B6904" w:rsidRPr="00CD1C0E" w:rsidRDefault="007B6904" w:rsidP="004213C3">
            <w:pPr>
              <w:pStyle w:val="Heading1"/>
            </w:pPr>
            <w:bookmarkStart w:id="9" w:name="_Toc389473274"/>
            <w:bookmarkStart w:id="10" w:name="_Toc105081140"/>
            <w:bookmarkStart w:id="11" w:name="_Toc106348353"/>
            <w:r w:rsidRPr="00CD1C0E">
              <w:lastRenderedPageBreak/>
              <w:t>Purpose</w:t>
            </w:r>
            <w:bookmarkEnd w:id="9"/>
            <w:bookmarkEnd w:id="10"/>
            <w:bookmarkEnd w:id="11"/>
          </w:p>
        </w:tc>
      </w:tr>
    </w:tbl>
    <w:p w14:paraId="6EDC85DC" w14:textId="77777777" w:rsidR="002D6B7E" w:rsidRDefault="002D6B7E" w:rsidP="002D6B7E">
      <w:pPr>
        <w:jc w:val="both"/>
        <w:rPr>
          <w:rFonts w:cs="Arial"/>
          <w:szCs w:val="24"/>
        </w:rPr>
      </w:pPr>
    </w:p>
    <w:p w14:paraId="435FAA5F" w14:textId="39B7A7A3" w:rsidR="002D6B7E" w:rsidRDefault="002D6B7E" w:rsidP="005C0911">
      <w:r>
        <w:t>The purpose of the Management of the Adult with a nontraumatic Subarachnoid Haemorrhage Procedure is to outline the process for optimal care and management of adults within the acute setting with a subarachnoid haemorrhage</w:t>
      </w:r>
      <w:r w:rsidR="00E91915">
        <w:t>, not resulting from a traumatic brain injury (TBI)</w:t>
      </w:r>
      <w:r>
        <w:t>.</w:t>
      </w:r>
    </w:p>
    <w:p w14:paraId="4817C8B1" w14:textId="77777777" w:rsidR="002D6B7E" w:rsidRDefault="002D6B7E" w:rsidP="005C0911"/>
    <w:p w14:paraId="537B0165" w14:textId="77777777" w:rsidR="002D6B7E" w:rsidRPr="009269FB" w:rsidRDefault="002D6B7E" w:rsidP="005C0911">
      <w:r>
        <w:t>Ensure implementation of available management strategies to prevent complications and secondary injury, early recognition of neurological deterioration and appropriate response to complications.</w:t>
      </w:r>
    </w:p>
    <w:p w14:paraId="30F16A64" w14:textId="77777777" w:rsidR="002D6B7E" w:rsidRDefault="002D6B7E" w:rsidP="005C0911"/>
    <w:p w14:paraId="388B4AFB" w14:textId="5CA16F1A" w:rsidR="002D6B7E" w:rsidRDefault="002D6B7E" w:rsidP="005C0911">
      <w:r>
        <w:t>Standardisation of practice means delivery of best practice, continuity of care and optimal clinical outcomes for the patients of the Canberra Health Services</w:t>
      </w:r>
      <w:r w:rsidR="005C0911">
        <w:t xml:space="preserve"> (CHS)</w:t>
      </w:r>
      <w:r>
        <w:t>.</w:t>
      </w:r>
    </w:p>
    <w:p w14:paraId="2F51A86F" w14:textId="77777777" w:rsidR="007B6904" w:rsidRDefault="007B6904" w:rsidP="00931B93">
      <w:pPr>
        <w:rPr>
          <w:rFonts w:cs="Arial"/>
          <w:szCs w:val="24"/>
        </w:rPr>
      </w:pPr>
    </w:p>
    <w:p w14:paraId="2F51A870" w14:textId="77777777" w:rsidR="009E70F4" w:rsidRPr="00CD1C0E" w:rsidRDefault="00A94CE5" w:rsidP="009E70F4">
      <w:pPr>
        <w:jc w:val="right"/>
        <w:rPr>
          <w:rFonts w:cs="Arial"/>
          <w:szCs w:val="24"/>
        </w:rPr>
      </w:pPr>
      <w:hyperlink w:anchor="Contents" w:history="1">
        <w:r w:rsidR="009E70F4" w:rsidRPr="00590902">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74223E" w:rsidRPr="00CD1C0E" w14:paraId="2F51A872" w14:textId="77777777" w:rsidTr="00F1354A">
        <w:trPr>
          <w:cantSplit/>
          <w:trHeight w:val="285"/>
        </w:trPr>
        <w:tc>
          <w:tcPr>
            <w:tcW w:w="9158" w:type="dxa"/>
            <w:shd w:val="clear" w:color="auto" w:fill="A6A6A6" w:themeFill="background1" w:themeFillShade="A6"/>
          </w:tcPr>
          <w:p w14:paraId="2F51A871" w14:textId="0425F811" w:rsidR="0074223E" w:rsidRPr="00CD1C0E" w:rsidRDefault="0074223E" w:rsidP="00F1354A">
            <w:pPr>
              <w:pStyle w:val="Heading1"/>
            </w:pPr>
            <w:bookmarkStart w:id="12" w:name="_Toc389473276"/>
            <w:bookmarkStart w:id="13" w:name="_Toc105081141"/>
            <w:bookmarkStart w:id="14" w:name="_Toc106348354"/>
            <w:r>
              <w:t>Alerts</w:t>
            </w:r>
            <w:bookmarkEnd w:id="12"/>
            <w:bookmarkEnd w:id="13"/>
            <w:bookmarkEnd w:id="14"/>
          </w:p>
        </w:tc>
      </w:tr>
    </w:tbl>
    <w:p w14:paraId="2F51A873" w14:textId="77777777" w:rsidR="007B6904" w:rsidRDefault="007B6904" w:rsidP="007B6904">
      <w:pPr>
        <w:rPr>
          <w:rFonts w:cs="Arial"/>
          <w:b/>
          <w:szCs w:val="24"/>
        </w:rPr>
      </w:pPr>
    </w:p>
    <w:p w14:paraId="02F7C322" w14:textId="77777777" w:rsidR="002D6B7E" w:rsidRPr="00F0065C" w:rsidRDefault="002D6B7E" w:rsidP="002D6B7E">
      <w:pPr>
        <w:pStyle w:val="ListParagraph"/>
        <w:ind w:left="0"/>
        <w:rPr>
          <w:szCs w:val="24"/>
        </w:rPr>
      </w:pPr>
      <w:r w:rsidRPr="005C0911">
        <w:t>This Clinical Procedure has been developed as a guide for clinicians in the care of an adult patient with a subarachnoid haemorrhage, these are not standing orders. Specific plans of treatment and parameters for management should always be sought from the treating Consultant</w:t>
      </w:r>
      <w:r w:rsidRPr="00F0065C">
        <w:rPr>
          <w:szCs w:val="24"/>
        </w:rPr>
        <w:t>.</w:t>
      </w:r>
    </w:p>
    <w:p w14:paraId="2F51A878" w14:textId="77777777" w:rsidR="00DE4E25" w:rsidRDefault="00DE4E25" w:rsidP="007B6904">
      <w:pPr>
        <w:rPr>
          <w:rFonts w:cs="Arial"/>
          <w:b/>
          <w:szCs w:val="24"/>
        </w:rPr>
      </w:pPr>
    </w:p>
    <w:p w14:paraId="2F51A879" w14:textId="77777777" w:rsidR="009E70F4" w:rsidRPr="009121F9" w:rsidRDefault="00A94CE5" w:rsidP="009E70F4">
      <w:pPr>
        <w:jc w:val="right"/>
        <w:rPr>
          <w:rFonts w:cs="Arial"/>
          <w:b/>
          <w:szCs w:val="24"/>
        </w:rPr>
      </w:pPr>
      <w:hyperlink w:anchor="Contents" w:history="1">
        <w:r w:rsidR="009E70F4" w:rsidRPr="00590902">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2F51A87B" w14:textId="77777777" w:rsidTr="0074223E">
        <w:trPr>
          <w:cantSplit/>
          <w:trHeight w:val="285"/>
        </w:trPr>
        <w:tc>
          <w:tcPr>
            <w:tcW w:w="9158" w:type="dxa"/>
            <w:shd w:val="clear" w:color="auto" w:fill="A6A6A6" w:themeFill="background1" w:themeFillShade="A6"/>
          </w:tcPr>
          <w:p w14:paraId="2F51A87A" w14:textId="77777777" w:rsidR="007B6904" w:rsidRPr="003D2D06" w:rsidRDefault="007B6904" w:rsidP="004213C3">
            <w:pPr>
              <w:pStyle w:val="Heading1"/>
            </w:pPr>
            <w:bookmarkStart w:id="15" w:name="_Toc389473277"/>
            <w:bookmarkStart w:id="16" w:name="_Toc105081142"/>
            <w:bookmarkStart w:id="17" w:name="_Toc106348355"/>
            <w:r w:rsidRPr="003D2D06">
              <w:t>Scope</w:t>
            </w:r>
            <w:bookmarkEnd w:id="15"/>
            <w:bookmarkEnd w:id="16"/>
            <w:bookmarkEnd w:id="17"/>
          </w:p>
        </w:tc>
      </w:tr>
    </w:tbl>
    <w:p w14:paraId="2F51A87C" w14:textId="77777777" w:rsidR="007B6904" w:rsidRPr="00CD1C0E" w:rsidRDefault="007B6904" w:rsidP="007B6904">
      <w:pPr>
        <w:rPr>
          <w:szCs w:val="24"/>
        </w:rPr>
      </w:pPr>
    </w:p>
    <w:p w14:paraId="12EB0195" w14:textId="1C730474" w:rsidR="002D6B7E" w:rsidRDefault="002D6B7E" w:rsidP="002D6B7E">
      <w:pPr>
        <w:pStyle w:val="ListBullet"/>
        <w:numPr>
          <w:ilvl w:val="0"/>
          <w:numId w:val="0"/>
        </w:numPr>
        <w:rPr>
          <w:szCs w:val="24"/>
        </w:rPr>
      </w:pPr>
      <w:r>
        <w:rPr>
          <w:szCs w:val="24"/>
        </w:rPr>
        <w:t>This clinical procedure is applicable to all CHS patients who have had radiological confirmation of a subarachnoid haemorrhage and patients admitted for elective securement of a cerebral vascular abnormality such as an aneurysm or arteriovenous malformation.</w:t>
      </w:r>
    </w:p>
    <w:p w14:paraId="5CA870D1" w14:textId="77777777" w:rsidR="002D6B7E" w:rsidRDefault="002D6B7E" w:rsidP="002D6B7E">
      <w:pPr>
        <w:pStyle w:val="ListBullet"/>
        <w:numPr>
          <w:ilvl w:val="0"/>
          <w:numId w:val="0"/>
        </w:numPr>
        <w:rPr>
          <w:szCs w:val="24"/>
        </w:rPr>
      </w:pPr>
    </w:p>
    <w:p w14:paraId="2CBD4307" w14:textId="77777777" w:rsidR="005C0911" w:rsidRDefault="002D6B7E" w:rsidP="002D6B7E">
      <w:pPr>
        <w:pStyle w:val="ListBullet"/>
        <w:numPr>
          <w:ilvl w:val="0"/>
          <w:numId w:val="0"/>
        </w:numPr>
        <w:rPr>
          <w:szCs w:val="24"/>
        </w:rPr>
      </w:pPr>
      <w:r>
        <w:rPr>
          <w:szCs w:val="24"/>
        </w:rPr>
        <w:t>The document applies to</w:t>
      </w:r>
      <w:r w:rsidR="005C0911">
        <w:rPr>
          <w:szCs w:val="24"/>
        </w:rPr>
        <w:t xml:space="preserve"> the following staff working within their scope </w:t>
      </w:r>
      <w:proofErr w:type="spellStart"/>
      <w:r w:rsidR="005C0911">
        <w:rPr>
          <w:szCs w:val="24"/>
        </w:rPr>
        <w:t>fo</w:t>
      </w:r>
      <w:proofErr w:type="spellEnd"/>
      <w:r w:rsidR="005C0911">
        <w:rPr>
          <w:szCs w:val="24"/>
        </w:rPr>
        <w:t xml:space="preserve"> practice:</w:t>
      </w:r>
    </w:p>
    <w:p w14:paraId="520316BC" w14:textId="2CE8DC31" w:rsidR="005C0911" w:rsidRPr="005C0911" w:rsidRDefault="002D6B7E" w:rsidP="005C0911">
      <w:pPr>
        <w:pStyle w:val="ListBullet"/>
      </w:pPr>
      <w:r w:rsidRPr="005C0911">
        <w:t xml:space="preserve">Medical </w:t>
      </w:r>
      <w:r w:rsidR="005C0911">
        <w:t>Officers</w:t>
      </w:r>
    </w:p>
    <w:p w14:paraId="24F4EAFC" w14:textId="30137DCB" w:rsidR="005C0911" w:rsidRPr="005C0911" w:rsidRDefault="002D6B7E" w:rsidP="005C0911">
      <w:pPr>
        <w:pStyle w:val="ListBullet"/>
      </w:pPr>
      <w:r w:rsidRPr="005C0911">
        <w:t>Registered and Enrolled Nurses</w:t>
      </w:r>
    </w:p>
    <w:p w14:paraId="4FB7AEFA" w14:textId="77777777" w:rsidR="005C0911" w:rsidRPr="005C0911" w:rsidRDefault="005C0911" w:rsidP="005C0911">
      <w:pPr>
        <w:pStyle w:val="ListBullet"/>
      </w:pPr>
      <w:r w:rsidRPr="005C0911">
        <w:t xml:space="preserve">Allied Health Professionals </w:t>
      </w:r>
    </w:p>
    <w:p w14:paraId="2F51A885" w14:textId="31546A99" w:rsidR="00931B93" w:rsidRPr="00F14EC1" w:rsidRDefault="002D6B7E" w:rsidP="005C0911">
      <w:pPr>
        <w:pStyle w:val="ListBullet"/>
      </w:pPr>
      <w:r w:rsidRPr="005C0911">
        <w:t>Tertiary students under supervision</w:t>
      </w:r>
      <w:r w:rsidR="005C0911">
        <w:t>.</w:t>
      </w:r>
    </w:p>
    <w:p w14:paraId="2F51A886" w14:textId="77777777" w:rsidR="001F2A9B" w:rsidRDefault="001F2A9B" w:rsidP="00F14EC1"/>
    <w:p w14:paraId="2F51A887" w14:textId="77777777" w:rsidR="007B6904" w:rsidRPr="00CD1C0E" w:rsidRDefault="00A94CE5" w:rsidP="00F14EC1">
      <w:pPr>
        <w:jc w:val="right"/>
      </w:pPr>
      <w:hyperlink w:anchor="Contents" w:history="1">
        <w:r w:rsidR="009E70F4" w:rsidRPr="00590902">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2F51A889" w14:textId="77777777" w:rsidTr="0074223E">
        <w:trPr>
          <w:cantSplit/>
          <w:trHeight w:val="285"/>
        </w:trPr>
        <w:tc>
          <w:tcPr>
            <w:tcW w:w="9158" w:type="dxa"/>
            <w:shd w:val="clear" w:color="auto" w:fill="A6A6A6" w:themeFill="background1" w:themeFillShade="A6"/>
          </w:tcPr>
          <w:p w14:paraId="2F51A888" w14:textId="402D6788" w:rsidR="007B6904" w:rsidRPr="00C76688" w:rsidRDefault="007B6904" w:rsidP="00931B93">
            <w:pPr>
              <w:pStyle w:val="Heading1"/>
            </w:pPr>
            <w:bookmarkStart w:id="18" w:name="_Toc389473278"/>
            <w:bookmarkStart w:id="19" w:name="_Toc105081143"/>
            <w:bookmarkStart w:id="20" w:name="_Toc106348356"/>
            <w:r w:rsidRPr="00C76688">
              <w:t>Section 1 –</w:t>
            </w:r>
            <w:r>
              <w:t xml:space="preserve"> </w:t>
            </w:r>
            <w:bookmarkEnd w:id="18"/>
            <w:r w:rsidR="002D6B7E">
              <w:t xml:space="preserve"> Subarachnoid Haemorrhage</w:t>
            </w:r>
            <w:bookmarkEnd w:id="19"/>
            <w:bookmarkEnd w:id="20"/>
          </w:p>
        </w:tc>
      </w:tr>
    </w:tbl>
    <w:p w14:paraId="2F51A88A" w14:textId="77777777" w:rsidR="007B6904" w:rsidRDefault="007B6904" w:rsidP="007B6904">
      <w:pPr>
        <w:outlineLvl w:val="0"/>
        <w:rPr>
          <w:szCs w:val="24"/>
        </w:rPr>
      </w:pPr>
    </w:p>
    <w:p w14:paraId="3D70A1E6" w14:textId="77777777" w:rsidR="002D6B7E" w:rsidRPr="00F0065C" w:rsidRDefault="002D6B7E" w:rsidP="005C0911">
      <w:r w:rsidRPr="00F0065C">
        <w:t>A subarachnoid haemorrhage (SAH) is a bleed in the subarachnoid layer of the meninges, a SAH</w:t>
      </w:r>
      <w:r>
        <w:t xml:space="preserve"> is most commonly caused by head trauma but</w:t>
      </w:r>
      <w:r w:rsidRPr="00F0065C">
        <w:t xml:space="preserve"> can </w:t>
      </w:r>
      <w:r>
        <w:t xml:space="preserve">also </w:t>
      </w:r>
      <w:r w:rsidRPr="00F0065C">
        <w:t xml:space="preserve">be </w:t>
      </w:r>
      <w:r>
        <w:t>the result of</w:t>
      </w:r>
      <w:r w:rsidRPr="00F0065C">
        <w:t xml:space="preserve"> </w:t>
      </w:r>
      <w:r>
        <w:t>the</w:t>
      </w:r>
      <w:r w:rsidRPr="00F0065C">
        <w:t xml:space="preserve"> rupture of an </w:t>
      </w:r>
      <w:r w:rsidRPr="00F0065C">
        <w:lastRenderedPageBreak/>
        <w:t xml:space="preserve">arterial abnormality such as </w:t>
      </w:r>
      <w:r>
        <w:t xml:space="preserve">cerebral </w:t>
      </w:r>
      <w:r w:rsidRPr="00F0065C">
        <w:t>aneurysm</w:t>
      </w:r>
      <w:r>
        <w:t xml:space="preserve"> or arteriovenous malformation (</w:t>
      </w:r>
      <w:r w:rsidRPr="00F0065C">
        <w:t>AVM</w:t>
      </w:r>
      <w:r>
        <w:t>)</w:t>
      </w:r>
      <w:r w:rsidRPr="00F0065C">
        <w:t xml:space="preserve">. The thin walls of the vessel rupture under pressure from the arterial blood, bleeding into the subarachnoid space. </w:t>
      </w:r>
    </w:p>
    <w:p w14:paraId="24FFD823" w14:textId="77777777" w:rsidR="002D6B7E" w:rsidRDefault="002D6B7E" w:rsidP="005C0911"/>
    <w:p w14:paraId="342AF0F6" w14:textId="5D1613D9" w:rsidR="002D6B7E" w:rsidRPr="005C0911" w:rsidRDefault="002D6B7E" w:rsidP="005C0911">
      <w:r w:rsidRPr="00640FC5">
        <w:t xml:space="preserve">The management of </w:t>
      </w:r>
      <w:r>
        <w:t xml:space="preserve">non-traumatic </w:t>
      </w:r>
      <w:r w:rsidRPr="00640FC5">
        <w:t>subarachnoid haemorrhages in the acute setting is aimed at minimising</w:t>
      </w:r>
      <w:r>
        <w:t xml:space="preserve"> the risk of secondary injury f</w:t>
      </w:r>
      <w:r w:rsidRPr="00640FC5">
        <w:t>r</w:t>
      </w:r>
      <w:r>
        <w:t>o</w:t>
      </w:r>
      <w:r w:rsidRPr="00640FC5">
        <w:t>m the following:</w:t>
      </w:r>
    </w:p>
    <w:p w14:paraId="6E6AE5EE" w14:textId="77777777" w:rsidR="002D6B7E" w:rsidRPr="00640FC5" w:rsidRDefault="002D6B7E" w:rsidP="005C0911">
      <w:pPr>
        <w:pStyle w:val="ListBullet"/>
      </w:pPr>
      <w:r w:rsidRPr="00640FC5">
        <w:rPr>
          <w:b/>
        </w:rPr>
        <w:t>Rebleed</w:t>
      </w:r>
      <w:r w:rsidRPr="00640FC5">
        <w:t xml:space="preserve"> – the maximal frequency of rebleed is in the first 24-48 hours following the initial haemorrhage, peaking again at day 7-10.</w:t>
      </w:r>
    </w:p>
    <w:p w14:paraId="1603D021" w14:textId="77777777" w:rsidR="002D6B7E" w:rsidRPr="00640FC5" w:rsidRDefault="002D6B7E" w:rsidP="005C0911">
      <w:pPr>
        <w:pStyle w:val="ListBullet"/>
      </w:pPr>
      <w:r w:rsidRPr="00640FC5">
        <w:rPr>
          <w:b/>
        </w:rPr>
        <w:t>Acute hydrocephalus</w:t>
      </w:r>
      <w:r w:rsidRPr="00640FC5">
        <w:t xml:space="preserve"> - Tissue pressure from around the structure generally stops the bleeding and allows fibrin and platelets to seal off the site of the bleeding. Although stopping the haemorrhage, this space occupying clot formation can cause problems in itself by interrupting the flow and absorption of cerebrospinal fluid (CSF</w:t>
      </w:r>
      <w:proofErr w:type="gramStart"/>
      <w:r w:rsidRPr="00640FC5">
        <w:t>)</w:t>
      </w:r>
      <w:r>
        <w:t>;</w:t>
      </w:r>
      <w:proofErr w:type="gramEnd"/>
      <w:r w:rsidRPr="00640FC5">
        <w:t xml:space="preserve"> resulting in hydrocephalus. </w:t>
      </w:r>
    </w:p>
    <w:p w14:paraId="2B542E6C" w14:textId="02E8FA48" w:rsidR="002D6B7E" w:rsidRDefault="002D6B7E" w:rsidP="005C0911">
      <w:pPr>
        <w:pStyle w:val="ListBullet"/>
      </w:pPr>
      <w:r>
        <w:rPr>
          <w:b/>
        </w:rPr>
        <w:t xml:space="preserve">Delayed Cerebral </w:t>
      </w:r>
      <w:proofErr w:type="spellStart"/>
      <w:r w:rsidRPr="000D5434">
        <w:rPr>
          <w:b/>
        </w:rPr>
        <w:t>Ischaemia</w:t>
      </w:r>
      <w:proofErr w:type="spellEnd"/>
      <w:r w:rsidRPr="000D5434">
        <w:rPr>
          <w:b/>
        </w:rPr>
        <w:t xml:space="preserve"> (DCI)</w:t>
      </w:r>
      <w:r>
        <w:t xml:space="preserve"> </w:t>
      </w:r>
      <w:r w:rsidRPr="00640FC5">
        <w:t xml:space="preserve">– see </w:t>
      </w:r>
      <w:r w:rsidR="00720637">
        <w:t>S</w:t>
      </w:r>
      <w:r w:rsidRPr="00640FC5">
        <w:t xml:space="preserve">ection </w:t>
      </w:r>
      <w:r w:rsidR="00720637">
        <w:t>3</w:t>
      </w:r>
    </w:p>
    <w:p w14:paraId="67A6CBDD" w14:textId="5FC4D96E" w:rsidR="002D6B7E" w:rsidRDefault="002D6B7E" w:rsidP="002D6B7E">
      <w:pPr>
        <w:numPr>
          <w:ilvl w:val="12"/>
          <w:numId w:val="0"/>
        </w:numPr>
        <w:jc w:val="both"/>
        <w:rPr>
          <w:szCs w:val="24"/>
        </w:rPr>
      </w:pPr>
    </w:p>
    <w:p w14:paraId="1DD63598" w14:textId="1D3919E9" w:rsidR="00A12560" w:rsidRPr="005C0911" w:rsidRDefault="00A12560" w:rsidP="005C0911">
      <w:pPr>
        <w:pStyle w:val="Heading2"/>
      </w:pPr>
      <w:bookmarkStart w:id="21" w:name="_Toc106348357"/>
      <w:r>
        <w:t>1</w:t>
      </w:r>
      <w:r w:rsidRPr="00CE2211">
        <w:t xml:space="preserve">.1 </w:t>
      </w:r>
      <w:r>
        <w:t>Initial Nursing Management</w:t>
      </w:r>
      <w:bookmarkEnd w:id="21"/>
      <w:r>
        <w:t xml:space="preserve"> </w:t>
      </w:r>
    </w:p>
    <w:p w14:paraId="49EA46F8" w14:textId="6232B5D2" w:rsidR="002D6B7E" w:rsidRDefault="002D6B7E" w:rsidP="00CA7C22">
      <w:pPr>
        <w:pStyle w:val="ListParagraph"/>
        <w:numPr>
          <w:ilvl w:val="0"/>
          <w:numId w:val="11"/>
        </w:numPr>
        <w:ind w:left="426" w:hanging="426"/>
        <w:rPr>
          <w:szCs w:val="24"/>
        </w:rPr>
      </w:pPr>
      <w:r>
        <w:rPr>
          <w:szCs w:val="24"/>
        </w:rPr>
        <w:t>Perform</w:t>
      </w:r>
      <w:r w:rsidRPr="00025F79">
        <w:rPr>
          <w:szCs w:val="24"/>
        </w:rPr>
        <w:t xml:space="preserve"> neurological observations </w:t>
      </w:r>
      <w:r>
        <w:rPr>
          <w:szCs w:val="24"/>
        </w:rPr>
        <w:t xml:space="preserve">hourly or other frequency if specified by Neurosurgical team </w:t>
      </w:r>
      <w:r w:rsidRPr="00025F79">
        <w:rPr>
          <w:szCs w:val="24"/>
        </w:rPr>
        <w:t xml:space="preserve">and record as directed in </w:t>
      </w:r>
      <w:r w:rsidRPr="005C0911">
        <w:rPr>
          <w:i/>
          <w:iCs/>
          <w:szCs w:val="24"/>
        </w:rPr>
        <w:t>Neurological Observations</w:t>
      </w:r>
      <w:r w:rsidR="005C0911">
        <w:rPr>
          <w:i/>
          <w:iCs/>
          <w:szCs w:val="24"/>
        </w:rPr>
        <w:t xml:space="preserve"> Procedure</w:t>
      </w:r>
      <w:r>
        <w:rPr>
          <w:szCs w:val="24"/>
        </w:rPr>
        <w:t xml:space="preserve">. </w:t>
      </w:r>
      <w:r w:rsidRPr="00BE5D28">
        <w:rPr>
          <w:szCs w:val="24"/>
        </w:rPr>
        <w:t>Monitor closely for signs and symptoms of raised intracranial pressure</w:t>
      </w:r>
      <w:r w:rsidR="005C0911">
        <w:rPr>
          <w:szCs w:val="24"/>
        </w:rPr>
        <w:t>, see below</w:t>
      </w:r>
      <w:r w:rsidRPr="00BE5D28">
        <w:rPr>
          <w:szCs w:val="24"/>
        </w:rPr>
        <w:t>.</w:t>
      </w:r>
    </w:p>
    <w:p w14:paraId="3BB16259" w14:textId="77777777" w:rsidR="002D6B7E" w:rsidRPr="00BE5D28" w:rsidRDefault="002D6B7E" w:rsidP="00CA7C22">
      <w:pPr>
        <w:pStyle w:val="ListParagraph"/>
        <w:numPr>
          <w:ilvl w:val="0"/>
          <w:numId w:val="11"/>
        </w:numPr>
        <w:ind w:left="426" w:hanging="426"/>
        <w:rPr>
          <w:szCs w:val="24"/>
        </w:rPr>
      </w:pPr>
      <w:r>
        <w:rPr>
          <w:szCs w:val="24"/>
        </w:rPr>
        <w:t xml:space="preserve">Clarify blood pressure/MAP targets for patients admitted prior to the treatment of aneurysm or cerebrovascular cause of SAH. </w:t>
      </w:r>
    </w:p>
    <w:p w14:paraId="1F16CA66" w14:textId="77777777" w:rsidR="002D6B7E" w:rsidRPr="00CE2211" w:rsidRDefault="002D6B7E" w:rsidP="002D6B7E">
      <w:pPr>
        <w:tabs>
          <w:tab w:val="left" w:pos="720"/>
        </w:tabs>
        <w:ind w:left="360"/>
        <w:jc w:val="both"/>
        <w:rPr>
          <w:szCs w:val="24"/>
        </w:rPr>
      </w:pPr>
    </w:p>
    <w:p w14:paraId="4BEB3630" w14:textId="77777777" w:rsidR="005C0911" w:rsidRPr="00081BD8" w:rsidRDefault="005C0911" w:rsidP="005C0911">
      <w:pPr>
        <w:pBdr>
          <w:top w:val="single" w:sz="4" w:space="1" w:color="auto"/>
          <w:left w:val="single" w:sz="4" w:space="4" w:color="auto"/>
          <w:bottom w:val="single" w:sz="4" w:space="1" w:color="auto"/>
          <w:right w:val="single" w:sz="4" w:space="4" w:color="auto"/>
        </w:pBdr>
        <w:rPr>
          <w:b/>
          <w:szCs w:val="24"/>
        </w:rPr>
      </w:pPr>
      <w:r w:rsidRPr="00081BD8">
        <w:rPr>
          <w:b/>
          <w:szCs w:val="24"/>
        </w:rPr>
        <w:t>Signs of Raised Intracranial Pressure</w:t>
      </w:r>
    </w:p>
    <w:p w14:paraId="198ABBC9" w14:textId="6F58EBDF" w:rsidR="005C0911" w:rsidRPr="00081BD8" w:rsidRDefault="005C0911" w:rsidP="005C0911">
      <w:pPr>
        <w:pStyle w:val="ListBullet"/>
        <w:pBdr>
          <w:top w:val="single" w:sz="4" w:space="1" w:color="auto"/>
          <w:left w:val="single" w:sz="4" w:space="4" w:color="auto"/>
          <w:bottom w:val="single" w:sz="4" w:space="1" w:color="auto"/>
          <w:right w:val="single" w:sz="4" w:space="4" w:color="auto"/>
        </w:pBdr>
      </w:pPr>
      <w:r w:rsidRPr="00CE2211">
        <w:rPr>
          <w:noProof/>
          <w:szCs w:val="24"/>
          <w:lang w:eastAsia="en-AU"/>
        </w:rPr>
        <mc:AlternateContent>
          <mc:Choice Requires="wps">
            <w:drawing>
              <wp:anchor distT="0" distB="0" distL="114300" distR="114300" simplePos="0" relativeHeight="251660288" behindDoc="0" locked="0" layoutInCell="1" allowOverlap="1" wp14:anchorId="220B87C9" wp14:editId="049D4814">
                <wp:simplePos x="0" y="0"/>
                <wp:positionH relativeFrom="column">
                  <wp:posOffset>4406900</wp:posOffset>
                </wp:positionH>
                <wp:positionV relativeFrom="paragraph">
                  <wp:posOffset>55563</wp:posOffset>
                </wp:positionV>
                <wp:extent cx="90805" cy="489585"/>
                <wp:effectExtent l="17145" t="17145" r="15875" b="17145"/>
                <wp:wrapNone/>
                <wp:docPr id="3" name="Right Brac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489585"/>
                        </a:xfrm>
                        <a:prstGeom prst="rightBrace">
                          <a:avLst>
                            <a:gd name="adj1" fmla="val 44930"/>
                            <a:gd name="adj2" fmla="val 50000"/>
                          </a:avLst>
                        </a:pr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71B17A8"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3" o:spid="_x0000_s1026" type="#_x0000_t88" style="position:absolute;margin-left:347pt;margin-top:4.4pt;width:7.15pt;height:38.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" strokeweight="1.5pt"/>
            </w:pict>
          </mc:Fallback>
        </mc:AlternateContent>
      </w:r>
      <w:r w:rsidRPr="00081BD8">
        <w:t xml:space="preserve">Hypertension, usually associated with widening pulse pressure  </w:t>
      </w:r>
    </w:p>
    <w:p w14:paraId="7A52DA85" w14:textId="48FD3C6F" w:rsidR="005C0911" w:rsidRPr="00081BD8" w:rsidRDefault="005C0911" w:rsidP="005C0911">
      <w:pPr>
        <w:pStyle w:val="ListBullet"/>
        <w:pBdr>
          <w:top w:val="single" w:sz="4" w:space="1" w:color="auto"/>
          <w:left w:val="single" w:sz="4" w:space="4" w:color="auto"/>
          <w:bottom w:val="single" w:sz="4" w:space="1" w:color="auto"/>
          <w:right w:val="single" w:sz="4" w:space="4" w:color="auto"/>
        </w:pBdr>
      </w:pPr>
      <w:r>
        <w:t>Bradycardia</w:t>
      </w:r>
      <w:r>
        <w:tab/>
      </w:r>
      <w:r>
        <w:tab/>
      </w:r>
      <w:r>
        <w:tab/>
      </w:r>
      <w:r>
        <w:tab/>
      </w:r>
      <w:r>
        <w:tab/>
      </w:r>
      <w:r>
        <w:tab/>
      </w:r>
      <w:r>
        <w:tab/>
      </w:r>
      <w:r>
        <w:tab/>
      </w:r>
      <w:r w:rsidRPr="00081BD8">
        <w:t>Cushing Triad</w:t>
      </w:r>
    </w:p>
    <w:p w14:paraId="32486412" w14:textId="01177604" w:rsidR="005C0911" w:rsidRDefault="005C0911" w:rsidP="005C0911">
      <w:pPr>
        <w:pStyle w:val="ListBullet"/>
        <w:pBdr>
          <w:top w:val="single" w:sz="4" w:space="1" w:color="auto"/>
          <w:left w:val="single" w:sz="4" w:space="4" w:color="auto"/>
          <w:bottom w:val="single" w:sz="4" w:space="1" w:color="auto"/>
          <w:right w:val="single" w:sz="4" w:space="4" w:color="auto"/>
        </w:pBdr>
      </w:pPr>
      <w:r w:rsidRPr="00081BD8">
        <w:t>Irregular respiratory pattern</w:t>
      </w:r>
    </w:p>
    <w:p w14:paraId="7C1737F7" w14:textId="77777777" w:rsidR="005C0911" w:rsidRPr="005C0911" w:rsidRDefault="005C0911" w:rsidP="005C0911">
      <w:pPr>
        <w:pStyle w:val="ListBullet"/>
        <w:numPr>
          <w:ilvl w:val="0"/>
          <w:numId w:val="0"/>
        </w:numPr>
        <w:pBdr>
          <w:top w:val="single" w:sz="4" w:space="1" w:color="auto"/>
          <w:left w:val="single" w:sz="4" w:space="4" w:color="auto"/>
          <w:bottom w:val="single" w:sz="4" w:space="1" w:color="auto"/>
          <w:right w:val="single" w:sz="4" w:space="4" w:color="auto"/>
        </w:pBdr>
      </w:pPr>
    </w:p>
    <w:p w14:paraId="46F75DA0" w14:textId="35629450" w:rsidR="005C0911" w:rsidRPr="005C0911" w:rsidRDefault="005C0911" w:rsidP="005C0911">
      <w:pPr>
        <w:pStyle w:val="ListBullet"/>
        <w:pBdr>
          <w:top w:val="single" w:sz="4" w:space="1" w:color="auto"/>
          <w:left w:val="single" w:sz="4" w:space="4" w:color="auto"/>
          <w:bottom w:val="single" w:sz="4" w:space="1" w:color="auto"/>
          <w:right w:val="single" w:sz="4" w:space="4" w:color="auto"/>
        </w:pBdr>
      </w:pPr>
      <w:r w:rsidRPr="00F0065C">
        <w:t xml:space="preserve">Headache &amp; Nausea </w:t>
      </w:r>
      <w:r>
        <w:t>(</w:t>
      </w:r>
      <w:r w:rsidRPr="00F0065C">
        <w:t>A sudden increase in headache, especially w</w:t>
      </w:r>
      <w:r>
        <w:t xml:space="preserve">ith associated </w:t>
      </w:r>
      <w:r w:rsidRPr="00F0065C">
        <w:t>nausea</w:t>
      </w:r>
      <w:r>
        <w:t>)</w:t>
      </w:r>
      <w:r w:rsidRPr="00F0065C">
        <w:t xml:space="preserve">, Provide analgesia </w:t>
      </w:r>
      <w:r>
        <w:t xml:space="preserve">and anti-emetics as prescribed </w:t>
      </w:r>
      <w:r w:rsidRPr="00F0065C">
        <w:t>but also report to neurosurgical t</w:t>
      </w:r>
      <w:r>
        <w:t xml:space="preserve">eam and increase </w:t>
      </w:r>
      <w:r w:rsidRPr="00F0065C">
        <w:t>frequency of neurological observations.</w:t>
      </w:r>
    </w:p>
    <w:p w14:paraId="2B2CD13D" w14:textId="2390C095" w:rsidR="005C0911" w:rsidRPr="005C0911" w:rsidRDefault="005C0911" w:rsidP="005C0911">
      <w:pPr>
        <w:pStyle w:val="ListBullet"/>
        <w:pBdr>
          <w:top w:val="single" w:sz="4" w:space="1" w:color="auto"/>
          <w:left w:val="single" w:sz="4" w:space="4" w:color="auto"/>
          <w:bottom w:val="single" w:sz="4" w:space="1" w:color="auto"/>
          <w:right w:val="single" w:sz="4" w:space="4" w:color="auto"/>
        </w:pBdr>
      </w:pPr>
      <w:r>
        <w:t xml:space="preserve">Decrease in </w:t>
      </w:r>
      <w:proofErr w:type="spellStart"/>
      <w:r>
        <w:t>Glascow</w:t>
      </w:r>
      <w:proofErr w:type="spellEnd"/>
      <w:r>
        <w:t xml:space="preserve"> Coma Scale (GCS), restlessness &amp; agitation, motor weakness.</w:t>
      </w:r>
    </w:p>
    <w:p w14:paraId="485F6B45" w14:textId="7163DA23" w:rsidR="002D6B7E" w:rsidRPr="00CE2211" w:rsidRDefault="005C0911" w:rsidP="005C0911">
      <w:pPr>
        <w:pStyle w:val="ListBullet"/>
        <w:pBdr>
          <w:top w:val="single" w:sz="4" w:space="1" w:color="auto"/>
          <w:left w:val="single" w:sz="4" w:space="4" w:color="auto"/>
          <w:bottom w:val="single" w:sz="4" w:space="1" w:color="auto"/>
          <w:right w:val="single" w:sz="4" w:space="4" w:color="auto"/>
        </w:pBdr>
      </w:pPr>
      <w:r>
        <w:t xml:space="preserve"> Visual &amp; oculomotor deficits (such as diplopia)</w:t>
      </w:r>
    </w:p>
    <w:p w14:paraId="35A022F5" w14:textId="77777777" w:rsidR="002D6B7E" w:rsidRDefault="002D6B7E" w:rsidP="005C0911">
      <w:pPr>
        <w:jc w:val="both"/>
        <w:rPr>
          <w:szCs w:val="24"/>
        </w:rPr>
      </w:pPr>
    </w:p>
    <w:p w14:paraId="5B69EEBD" w14:textId="70939E70" w:rsidR="002D6B7E" w:rsidRPr="00081BD8" w:rsidRDefault="002D6B7E" w:rsidP="00CA7C22">
      <w:pPr>
        <w:numPr>
          <w:ilvl w:val="0"/>
          <w:numId w:val="12"/>
        </w:numPr>
        <w:ind w:left="426" w:hanging="426"/>
        <w:rPr>
          <w:szCs w:val="24"/>
        </w:rPr>
      </w:pPr>
      <w:r>
        <w:rPr>
          <w:szCs w:val="24"/>
        </w:rPr>
        <w:t>Ensure head of bed</w:t>
      </w:r>
      <w:r w:rsidR="00720637">
        <w:rPr>
          <w:szCs w:val="24"/>
        </w:rPr>
        <w:t xml:space="preserve"> is raised to</w:t>
      </w:r>
      <w:r>
        <w:rPr>
          <w:szCs w:val="24"/>
        </w:rPr>
        <w:t xml:space="preserve"> 30° to optimise cerebral perfusion and minimise </w:t>
      </w:r>
      <w:r w:rsidR="00720637">
        <w:rPr>
          <w:szCs w:val="24"/>
        </w:rPr>
        <w:t>Increased Intracranial Pressure (</w:t>
      </w:r>
      <w:r>
        <w:rPr>
          <w:szCs w:val="24"/>
        </w:rPr>
        <w:t>ICP</w:t>
      </w:r>
      <w:r w:rsidR="00720637">
        <w:rPr>
          <w:szCs w:val="24"/>
        </w:rPr>
        <w:t>)</w:t>
      </w:r>
    </w:p>
    <w:p w14:paraId="09F8AB6B" w14:textId="668539EC" w:rsidR="002D6B7E" w:rsidRPr="00081BD8" w:rsidRDefault="002D6B7E" w:rsidP="00CA7C22">
      <w:pPr>
        <w:numPr>
          <w:ilvl w:val="0"/>
          <w:numId w:val="12"/>
        </w:numPr>
        <w:ind w:left="426" w:hanging="426"/>
        <w:rPr>
          <w:szCs w:val="24"/>
        </w:rPr>
      </w:pPr>
      <w:r w:rsidRPr="00081BD8">
        <w:rPr>
          <w:szCs w:val="24"/>
        </w:rPr>
        <w:t xml:space="preserve">Ensure </w:t>
      </w:r>
      <w:r w:rsidR="00720637">
        <w:rPr>
          <w:szCs w:val="24"/>
        </w:rPr>
        <w:t xml:space="preserve">the patient has </w:t>
      </w:r>
      <w:r w:rsidRPr="00081BD8">
        <w:rPr>
          <w:szCs w:val="24"/>
        </w:rPr>
        <w:t>adequate oxygenation (maintain SpO2 &gt; 95%), as well as maintaining blood pressure within optimal limits (</w:t>
      </w:r>
      <w:r w:rsidR="00720637">
        <w:rPr>
          <w:szCs w:val="24"/>
        </w:rPr>
        <w:t>Systolic Blood Pressure (</w:t>
      </w:r>
      <w:r w:rsidRPr="00081BD8">
        <w:rPr>
          <w:szCs w:val="24"/>
        </w:rPr>
        <w:t>SBP</w:t>
      </w:r>
      <w:r w:rsidR="00720637">
        <w:rPr>
          <w:szCs w:val="24"/>
        </w:rPr>
        <w:t>)</w:t>
      </w:r>
      <w:r w:rsidRPr="00081BD8">
        <w:rPr>
          <w:szCs w:val="24"/>
        </w:rPr>
        <w:t xml:space="preserve"> 120-160 mmHg unless otherwise specified by registrar).</w:t>
      </w:r>
    </w:p>
    <w:p w14:paraId="23D4EAC9" w14:textId="2924CDAB" w:rsidR="002D6B7E" w:rsidRDefault="002D6B7E" w:rsidP="00CA7C22">
      <w:pPr>
        <w:numPr>
          <w:ilvl w:val="0"/>
          <w:numId w:val="13"/>
        </w:numPr>
        <w:tabs>
          <w:tab w:val="left" w:pos="720"/>
        </w:tabs>
        <w:ind w:left="426" w:hanging="426"/>
        <w:rPr>
          <w:szCs w:val="24"/>
        </w:rPr>
      </w:pPr>
      <w:r w:rsidRPr="00A53242">
        <w:rPr>
          <w:szCs w:val="24"/>
        </w:rPr>
        <w:t xml:space="preserve">Control </w:t>
      </w:r>
      <w:r w:rsidR="00720637">
        <w:rPr>
          <w:szCs w:val="24"/>
        </w:rPr>
        <w:t xml:space="preserve">the patient’s </w:t>
      </w:r>
      <w:r w:rsidRPr="00A53242">
        <w:rPr>
          <w:szCs w:val="24"/>
        </w:rPr>
        <w:t>temperature – treat temperature elevation &gt; 38ºC promptly with antipyretic and report to neurosurgical team</w:t>
      </w:r>
      <w:r>
        <w:rPr>
          <w:szCs w:val="24"/>
        </w:rPr>
        <w:t>.</w:t>
      </w:r>
    </w:p>
    <w:p w14:paraId="3A3FDC5D" w14:textId="4CFFD376" w:rsidR="002D6B7E" w:rsidRPr="00A53242" w:rsidRDefault="002D6B7E" w:rsidP="00CA7C22">
      <w:pPr>
        <w:numPr>
          <w:ilvl w:val="0"/>
          <w:numId w:val="13"/>
        </w:numPr>
        <w:tabs>
          <w:tab w:val="left" w:pos="720"/>
        </w:tabs>
        <w:ind w:left="426" w:hanging="426"/>
        <w:rPr>
          <w:szCs w:val="24"/>
        </w:rPr>
      </w:pPr>
      <w:r>
        <w:rPr>
          <w:szCs w:val="24"/>
        </w:rPr>
        <w:t>P</w:t>
      </w:r>
      <w:r w:rsidRPr="00A53242">
        <w:rPr>
          <w:szCs w:val="24"/>
        </w:rPr>
        <w:t>rovide</w:t>
      </w:r>
      <w:r w:rsidR="00720637">
        <w:rPr>
          <w:szCs w:val="24"/>
        </w:rPr>
        <w:t xml:space="preserve"> the patient with</w:t>
      </w:r>
      <w:r w:rsidRPr="00A53242">
        <w:rPr>
          <w:szCs w:val="24"/>
        </w:rPr>
        <w:t xml:space="preserve"> analgesia </w:t>
      </w:r>
      <w:r>
        <w:rPr>
          <w:szCs w:val="24"/>
        </w:rPr>
        <w:t xml:space="preserve">and anti-emetics </w:t>
      </w:r>
      <w:r w:rsidRPr="00A53242">
        <w:rPr>
          <w:szCs w:val="24"/>
        </w:rPr>
        <w:t>as required</w:t>
      </w:r>
      <w:r>
        <w:rPr>
          <w:szCs w:val="24"/>
        </w:rPr>
        <w:t xml:space="preserve"> – noting that sudden increased headache and nausea could be signs of raised intracranial pressure</w:t>
      </w:r>
      <w:r w:rsidRPr="00A53242">
        <w:rPr>
          <w:szCs w:val="24"/>
        </w:rPr>
        <w:t>.</w:t>
      </w:r>
      <w:r>
        <w:rPr>
          <w:szCs w:val="24"/>
        </w:rPr>
        <w:t xml:space="preserve"> </w:t>
      </w:r>
    </w:p>
    <w:p w14:paraId="3EF5B03B" w14:textId="41435FB3" w:rsidR="002D6B7E" w:rsidRPr="00CE2211" w:rsidRDefault="002D6B7E" w:rsidP="00CA7C22">
      <w:pPr>
        <w:numPr>
          <w:ilvl w:val="0"/>
          <w:numId w:val="14"/>
        </w:numPr>
        <w:tabs>
          <w:tab w:val="left" w:pos="720"/>
        </w:tabs>
        <w:ind w:left="426" w:hanging="426"/>
        <w:rPr>
          <w:szCs w:val="24"/>
        </w:rPr>
      </w:pPr>
      <w:r w:rsidRPr="00CE2211">
        <w:rPr>
          <w:szCs w:val="24"/>
        </w:rPr>
        <w:t xml:space="preserve">Administer Nimodipine as charted. (See ‘Nimodipine Therapy’ – Section </w:t>
      </w:r>
      <w:r w:rsidR="00720637">
        <w:rPr>
          <w:szCs w:val="24"/>
        </w:rPr>
        <w:t>3</w:t>
      </w:r>
      <w:r w:rsidRPr="00CE2211">
        <w:rPr>
          <w:szCs w:val="24"/>
        </w:rPr>
        <w:t>.1)</w:t>
      </w:r>
    </w:p>
    <w:p w14:paraId="7276961B" w14:textId="5BAFBDFD" w:rsidR="002D6B7E" w:rsidRDefault="00720637" w:rsidP="00CA7C22">
      <w:pPr>
        <w:numPr>
          <w:ilvl w:val="0"/>
          <w:numId w:val="15"/>
        </w:numPr>
        <w:tabs>
          <w:tab w:val="left" w:pos="720"/>
        </w:tabs>
        <w:ind w:left="426" w:hanging="426"/>
        <w:rPr>
          <w:szCs w:val="24"/>
        </w:rPr>
      </w:pPr>
      <w:r>
        <w:rPr>
          <w:szCs w:val="24"/>
        </w:rPr>
        <w:lastRenderedPageBreak/>
        <w:t>Maintain a s</w:t>
      </w:r>
      <w:r w:rsidR="002D6B7E" w:rsidRPr="00CE2211">
        <w:rPr>
          <w:szCs w:val="24"/>
        </w:rPr>
        <w:t>trict fluid balance</w:t>
      </w:r>
      <w:r>
        <w:rPr>
          <w:szCs w:val="24"/>
        </w:rPr>
        <w:t xml:space="preserve"> chart for the patient</w:t>
      </w:r>
      <w:r w:rsidR="002D6B7E" w:rsidRPr="00CE2211">
        <w:rPr>
          <w:szCs w:val="24"/>
        </w:rPr>
        <w:t>. Monitor oral intake and assess the nee</w:t>
      </w:r>
      <w:r w:rsidR="002D6B7E">
        <w:rPr>
          <w:szCs w:val="24"/>
        </w:rPr>
        <w:t xml:space="preserve">d for intravenous fluids (IVF) </w:t>
      </w:r>
      <w:r w:rsidR="002D6B7E" w:rsidRPr="00CE2211">
        <w:rPr>
          <w:szCs w:val="24"/>
        </w:rPr>
        <w:t xml:space="preserve">to achieve fluid </w:t>
      </w:r>
      <w:r w:rsidR="002D6B7E">
        <w:rPr>
          <w:szCs w:val="24"/>
        </w:rPr>
        <w:t xml:space="preserve">intake target (see section </w:t>
      </w:r>
      <w:r>
        <w:rPr>
          <w:szCs w:val="24"/>
        </w:rPr>
        <w:t>3</w:t>
      </w:r>
      <w:r w:rsidR="002D6B7E">
        <w:rPr>
          <w:szCs w:val="24"/>
        </w:rPr>
        <w:t>.1.3)</w:t>
      </w:r>
      <w:r w:rsidR="002D6B7E" w:rsidRPr="00CE2211">
        <w:rPr>
          <w:szCs w:val="24"/>
        </w:rPr>
        <w:t xml:space="preserve">. </w:t>
      </w:r>
    </w:p>
    <w:p w14:paraId="4A697F5F" w14:textId="0CEB9709" w:rsidR="002D6B7E" w:rsidRPr="00CE2211" w:rsidRDefault="002D6B7E" w:rsidP="00CA7C22">
      <w:pPr>
        <w:numPr>
          <w:ilvl w:val="0"/>
          <w:numId w:val="15"/>
        </w:numPr>
        <w:tabs>
          <w:tab w:val="left" w:pos="720"/>
        </w:tabs>
        <w:ind w:left="426" w:hanging="426"/>
        <w:rPr>
          <w:szCs w:val="24"/>
        </w:rPr>
      </w:pPr>
      <w:r>
        <w:rPr>
          <w:szCs w:val="24"/>
        </w:rPr>
        <w:t xml:space="preserve">Patient should </w:t>
      </w:r>
      <w:r w:rsidR="00720637">
        <w:rPr>
          <w:szCs w:val="24"/>
        </w:rPr>
        <w:t>be weighed</w:t>
      </w:r>
      <w:r>
        <w:rPr>
          <w:szCs w:val="24"/>
        </w:rPr>
        <w:t xml:space="preserve"> daily </w:t>
      </w:r>
      <w:r w:rsidR="00720637">
        <w:rPr>
          <w:szCs w:val="24"/>
        </w:rPr>
        <w:t>with weight</w:t>
      </w:r>
      <w:r>
        <w:rPr>
          <w:szCs w:val="24"/>
        </w:rPr>
        <w:t xml:space="preserve"> recorded </w:t>
      </w:r>
      <w:r w:rsidR="00720637">
        <w:rPr>
          <w:szCs w:val="24"/>
        </w:rPr>
        <w:t xml:space="preserve">on the fluid balance chart </w:t>
      </w:r>
      <w:r>
        <w:rPr>
          <w:szCs w:val="24"/>
        </w:rPr>
        <w:t>to ensure accurate fluid balance.</w:t>
      </w:r>
    </w:p>
    <w:p w14:paraId="4C483933" w14:textId="567D46E5" w:rsidR="002D6B7E" w:rsidRPr="00CE2211" w:rsidRDefault="002D6B7E" w:rsidP="00CA7C22">
      <w:pPr>
        <w:numPr>
          <w:ilvl w:val="0"/>
          <w:numId w:val="15"/>
        </w:numPr>
        <w:tabs>
          <w:tab w:val="left" w:pos="720"/>
        </w:tabs>
        <w:ind w:left="426" w:hanging="426"/>
        <w:rPr>
          <w:szCs w:val="24"/>
        </w:rPr>
      </w:pPr>
      <w:r>
        <w:rPr>
          <w:szCs w:val="24"/>
        </w:rPr>
        <w:t>Ensure blood</w:t>
      </w:r>
      <w:r w:rsidR="00720637">
        <w:rPr>
          <w:szCs w:val="24"/>
        </w:rPr>
        <w:t xml:space="preserve"> tests</w:t>
      </w:r>
      <w:r>
        <w:rPr>
          <w:szCs w:val="24"/>
        </w:rPr>
        <w:t xml:space="preserve"> are taken and c</w:t>
      </w:r>
      <w:r w:rsidRPr="00CE2211">
        <w:rPr>
          <w:szCs w:val="24"/>
        </w:rPr>
        <w:t>heck</w:t>
      </w:r>
      <w:r>
        <w:rPr>
          <w:szCs w:val="24"/>
        </w:rPr>
        <w:t>ed</w:t>
      </w:r>
      <w:r w:rsidRPr="00CE2211">
        <w:rPr>
          <w:szCs w:val="24"/>
        </w:rPr>
        <w:t xml:space="preserve"> daily for electrolyte balance, specifically monitor</w:t>
      </w:r>
      <w:r w:rsidR="00720637">
        <w:rPr>
          <w:szCs w:val="24"/>
        </w:rPr>
        <w:t xml:space="preserve"> the patient</w:t>
      </w:r>
      <w:r w:rsidRPr="00CE2211">
        <w:rPr>
          <w:szCs w:val="24"/>
        </w:rPr>
        <w:t xml:space="preserve"> for hyponatraemia. </w:t>
      </w:r>
    </w:p>
    <w:p w14:paraId="09C743A1" w14:textId="77777777" w:rsidR="002D6B7E" w:rsidRPr="00CE2211" w:rsidRDefault="002D6B7E" w:rsidP="002D6B7E">
      <w:pPr>
        <w:tabs>
          <w:tab w:val="left" w:pos="720"/>
        </w:tabs>
        <w:jc w:val="both"/>
        <w:rPr>
          <w:szCs w:val="24"/>
        </w:rPr>
      </w:pPr>
    </w:p>
    <w:p w14:paraId="04D1C5C3" w14:textId="7AB54747" w:rsidR="00720637" w:rsidRPr="00081BD8" w:rsidRDefault="00720637" w:rsidP="00720637">
      <w:pPr>
        <w:pBdr>
          <w:top w:val="single" w:sz="4" w:space="1" w:color="auto"/>
          <w:left w:val="single" w:sz="4" w:space="4" w:color="auto"/>
          <w:bottom w:val="single" w:sz="4" w:space="1" w:color="auto"/>
          <w:right w:val="single" w:sz="4" w:space="4" w:color="auto"/>
        </w:pBdr>
        <w:rPr>
          <w:szCs w:val="24"/>
        </w:rPr>
      </w:pPr>
      <w:r w:rsidRPr="00720637">
        <w:rPr>
          <w:szCs w:val="24"/>
        </w:rPr>
        <w:t xml:space="preserve"> </w:t>
      </w:r>
      <w:r w:rsidRPr="00720637">
        <w:rPr>
          <w:b/>
          <w:bCs/>
          <w:szCs w:val="24"/>
        </w:rPr>
        <w:t>Note</w:t>
      </w:r>
      <w:r>
        <w:rPr>
          <w:szCs w:val="24"/>
        </w:rPr>
        <w:t xml:space="preserve">: </w:t>
      </w:r>
      <w:r w:rsidRPr="00081BD8">
        <w:rPr>
          <w:szCs w:val="24"/>
        </w:rPr>
        <w:t>If</w:t>
      </w:r>
      <w:r>
        <w:rPr>
          <w:szCs w:val="24"/>
        </w:rPr>
        <w:t xml:space="preserve"> the patient’s</w:t>
      </w:r>
      <w:r w:rsidRPr="00081BD8">
        <w:rPr>
          <w:szCs w:val="24"/>
        </w:rPr>
        <w:t xml:space="preserve"> sodium levels are outside the normal range (135-145 mmol/L), consider obta</w:t>
      </w:r>
      <w:r>
        <w:rPr>
          <w:szCs w:val="24"/>
        </w:rPr>
        <w:t>ining paired urine-serum osmolal</w:t>
      </w:r>
      <w:r w:rsidRPr="00081BD8">
        <w:rPr>
          <w:szCs w:val="24"/>
        </w:rPr>
        <w:t>ity for more definitive diagnosis.</w:t>
      </w:r>
    </w:p>
    <w:p w14:paraId="4AB69F83" w14:textId="77777777" w:rsidR="002D6B7E" w:rsidRPr="00CE2211" w:rsidRDefault="002D6B7E" w:rsidP="002D6B7E">
      <w:pPr>
        <w:tabs>
          <w:tab w:val="left" w:pos="720"/>
        </w:tabs>
        <w:jc w:val="both"/>
        <w:rPr>
          <w:szCs w:val="24"/>
        </w:rPr>
      </w:pPr>
    </w:p>
    <w:p w14:paraId="5B1241B9" w14:textId="3A74DECC" w:rsidR="002D6B7E" w:rsidRPr="00CE2211" w:rsidRDefault="00720637" w:rsidP="00CA7C22">
      <w:pPr>
        <w:numPr>
          <w:ilvl w:val="0"/>
          <w:numId w:val="15"/>
        </w:numPr>
        <w:ind w:left="426" w:hanging="426"/>
        <w:rPr>
          <w:szCs w:val="24"/>
        </w:rPr>
      </w:pPr>
      <w:r>
        <w:rPr>
          <w:szCs w:val="24"/>
        </w:rPr>
        <w:t>Fit the patient with</w:t>
      </w:r>
      <w:r w:rsidR="002D6B7E" w:rsidRPr="00CE2211">
        <w:rPr>
          <w:szCs w:val="24"/>
        </w:rPr>
        <w:t xml:space="preserve"> </w:t>
      </w:r>
      <w:r w:rsidR="002D6B7E">
        <w:rPr>
          <w:szCs w:val="24"/>
        </w:rPr>
        <w:t>thromboembolic device (TEDs)</w:t>
      </w:r>
      <w:r w:rsidR="002D6B7E" w:rsidRPr="00CE2211">
        <w:rPr>
          <w:szCs w:val="24"/>
        </w:rPr>
        <w:t xml:space="preserve">. Continue to reassess </w:t>
      </w:r>
      <w:r>
        <w:rPr>
          <w:szCs w:val="24"/>
        </w:rPr>
        <w:t xml:space="preserve">the patient </w:t>
      </w:r>
      <w:r w:rsidR="002D6B7E" w:rsidRPr="00CE2211">
        <w:rPr>
          <w:szCs w:val="24"/>
        </w:rPr>
        <w:t>every shift for risk and signs of DVT’s</w:t>
      </w:r>
      <w:r w:rsidR="002D6B7E">
        <w:rPr>
          <w:szCs w:val="24"/>
        </w:rPr>
        <w:t xml:space="preserve"> and consider applying mechanical DVT prophylaxis</w:t>
      </w:r>
      <w:r>
        <w:rPr>
          <w:szCs w:val="24"/>
        </w:rPr>
        <w:t xml:space="preserve"> if indicated</w:t>
      </w:r>
      <w:r w:rsidR="002D6B7E" w:rsidRPr="00CE2211">
        <w:rPr>
          <w:szCs w:val="24"/>
        </w:rPr>
        <w:t>.</w:t>
      </w:r>
    </w:p>
    <w:p w14:paraId="66704DF1" w14:textId="3E7759ED" w:rsidR="002D6B7E" w:rsidRPr="00CE2211" w:rsidRDefault="002D6B7E" w:rsidP="00CA7C22">
      <w:pPr>
        <w:numPr>
          <w:ilvl w:val="0"/>
          <w:numId w:val="15"/>
        </w:numPr>
        <w:ind w:left="426" w:hanging="426"/>
        <w:rPr>
          <w:szCs w:val="24"/>
        </w:rPr>
      </w:pPr>
      <w:r w:rsidRPr="00CE2211">
        <w:rPr>
          <w:szCs w:val="24"/>
        </w:rPr>
        <w:t>If patient is immobile, ensure 2-3</w:t>
      </w:r>
      <w:r w:rsidR="00720637">
        <w:rPr>
          <w:szCs w:val="24"/>
        </w:rPr>
        <w:t xml:space="preserve"> hourly</w:t>
      </w:r>
      <w:r w:rsidRPr="00CE2211">
        <w:rPr>
          <w:szCs w:val="24"/>
        </w:rPr>
        <w:t xml:space="preserve"> pressure area care. Continue to reassess </w:t>
      </w:r>
      <w:r w:rsidR="00720637">
        <w:rPr>
          <w:szCs w:val="24"/>
        </w:rPr>
        <w:t xml:space="preserve">the patient </w:t>
      </w:r>
      <w:r w:rsidRPr="00CE2211">
        <w:rPr>
          <w:szCs w:val="24"/>
        </w:rPr>
        <w:t>every shift for risk (</w:t>
      </w:r>
      <w:proofErr w:type="spellStart"/>
      <w:r w:rsidRPr="00CE2211">
        <w:rPr>
          <w:szCs w:val="24"/>
        </w:rPr>
        <w:t>Waterlow</w:t>
      </w:r>
      <w:proofErr w:type="spellEnd"/>
      <w:r w:rsidRPr="00CE2211">
        <w:rPr>
          <w:szCs w:val="24"/>
        </w:rPr>
        <w:t xml:space="preserve"> score) and observe skin.</w:t>
      </w:r>
      <w:r w:rsidR="00720637">
        <w:rPr>
          <w:szCs w:val="24"/>
        </w:rPr>
        <w:t xml:space="preserve"> Refer to </w:t>
      </w:r>
      <w:r w:rsidR="00720637">
        <w:rPr>
          <w:i/>
          <w:iCs/>
          <w:szCs w:val="24"/>
        </w:rPr>
        <w:t>Pressure Injury Prevention and Management – Adul</w:t>
      </w:r>
      <w:r w:rsidR="00AB6FA2">
        <w:rPr>
          <w:i/>
          <w:iCs/>
          <w:szCs w:val="24"/>
        </w:rPr>
        <w:t>t</w:t>
      </w:r>
      <w:r w:rsidR="00720637">
        <w:rPr>
          <w:i/>
          <w:iCs/>
          <w:szCs w:val="24"/>
        </w:rPr>
        <w:t>s, Children and Neonates Procedure</w:t>
      </w:r>
      <w:r w:rsidR="00AB6FA2">
        <w:rPr>
          <w:i/>
          <w:iCs/>
          <w:szCs w:val="24"/>
        </w:rPr>
        <w:t>.</w:t>
      </w:r>
    </w:p>
    <w:p w14:paraId="7D6AFA6D" w14:textId="245378EB" w:rsidR="002D6B7E" w:rsidRDefault="002D6B7E" w:rsidP="00CA7C22">
      <w:pPr>
        <w:numPr>
          <w:ilvl w:val="0"/>
          <w:numId w:val="15"/>
        </w:numPr>
        <w:ind w:left="426" w:hanging="426"/>
        <w:rPr>
          <w:szCs w:val="24"/>
        </w:rPr>
      </w:pPr>
      <w:r>
        <w:rPr>
          <w:szCs w:val="24"/>
        </w:rPr>
        <w:t>Observe</w:t>
      </w:r>
      <w:r w:rsidR="00AB6FA2">
        <w:rPr>
          <w:szCs w:val="24"/>
        </w:rPr>
        <w:t xml:space="preserve"> the patient</w:t>
      </w:r>
      <w:r>
        <w:rPr>
          <w:szCs w:val="24"/>
        </w:rPr>
        <w:t xml:space="preserve"> for dysphagia</w:t>
      </w:r>
      <w:r w:rsidRPr="00CE2211">
        <w:rPr>
          <w:szCs w:val="24"/>
        </w:rPr>
        <w:t>,</w:t>
      </w:r>
      <w:r>
        <w:rPr>
          <w:szCs w:val="24"/>
        </w:rPr>
        <w:t xml:space="preserve"> if signs evident </w:t>
      </w:r>
      <w:r w:rsidR="00AB6FA2">
        <w:rPr>
          <w:szCs w:val="24"/>
        </w:rPr>
        <w:t>–</w:t>
      </w:r>
      <w:r w:rsidRPr="00CE2211">
        <w:rPr>
          <w:szCs w:val="24"/>
        </w:rPr>
        <w:t xml:space="preserve"> keep</w:t>
      </w:r>
      <w:r w:rsidR="00AB6FA2">
        <w:rPr>
          <w:szCs w:val="24"/>
        </w:rPr>
        <w:t xml:space="preserve"> the patient</w:t>
      </w:r>
      <w:r w:rsidRPr="00CE2211">
        <w:rPr>
          <w:szCs w:val="24"/>
        </w:rPr>
        <w:t xml:space="preserve"> N</w:t>
      </w:r>
      <w:r>
        <w:rPr>
          <w:szCs w:val="24"/>
        </w:rPr>
        <w:t>BM and refer for assessment by Speech P</w:t>
      </w:r>
      <w:r w:rsidRPr="00CE2211">
        <w:rPr>
          <w:szCs w:val="24"/>
        </w:rPr>
        <w:t>athology. Provide regular mouth care</w:t>
      </w:r>
      <w:r w:rsidR="00AB6FA2">
        <w:rPr>
          <w:szCs w:val="24"/>
        </w:rPr>
        <w:t xml:space="preserve">, refer to </w:t>
      </w:r>
      <w:r w:rsidR="00AB6FA2">
        <w:rPr>
          <w:i/>
          <w:iCs/>
          <w:szCs w:val="24"/>
        </w:rPr>
        <w:t>Oral Hygiene Procedure.</w:t>
      </w:r>
    </w:p>
    <w:p w14:paraId="0C162CAC" w14:textId="46EDFF6F" w:rsidR="002D6B7E" w:rsidRDefault="002D6B7E" w:rsidP="00CA7C22">
      <w:pPr>
        <w:numPr>
          <w:ilvl w:val="0"/>
          <w:numId w:val="15"/>
        </w:numPr>
        <w:ind w:left="426" w:hanging="426"/>
        <w:rPr>
          <w:szCs w:val="24"/>
        </w:rPr>
      </w:pPr>
      <w:r w:rsidRPr="00CE2211">
        <w:rPr>
          <w:szCs w:val="24"/>
        </w:rPr>
        <w:t>If required, prepare patient for surgery – Cerebral Coili</w:t>
      </w:r>
      <w:r>
        <w:rPr>
          <w:szCs w:val="24"/>
        </w:rPr>
        <w:t xml:space="preserve">ng or Craniotomy. (See Section </w:t>
      </w:r>
      <w:r w:rsidR="00AB6FA2">
        <w:rPr>
          <w:szCs w:val="24"/>
        </w:rPr>
        <w:t>2</w:t>
      </w:r>
      <w:r w:rsidRPr="00CE2211">
        <w:rPr>
          <w:szCs w:val="24"/>
        </w:rPr>
        <w:t xml:space="preserve">) </w:t>
      </w:r>
    </w:p>
    <w:p w14:paraId="2F51A892" w14:textId="50D419D3" w:rsidR="007B6904" w:rsidRDefault="007B6904" w:rsidP="007B6904">
      <w:pPr>
        <w:rPr>
          <w:rFonts w:cs="Arial"/>
          <w:i/>
          <w:szCs w:val="24"/>
        </w:rPr>
      </w:pPr>
    </w:p>
    <w:p w14:paraId="2F51A893" w14:textId="77777777" w:rsidR="007B6904" w:rsidRDefault="00A94CE5" w:rsidP="007B6904">
      <w:pPr>
        <w:jc w:val="right"/>
        <w:rPr>
          <w:rFonts w:cs="Arial"/>
          <w:i/>
          <w:szCs w:val="24"/>
        </w:rPr>
      </w:pPr>
      <w:hyperlink w:anchor="Contents" w:history="1">
        <w:r w:rsidR="007B6904" w:rsidRPr="00590902">
          <w:rPr>
            <w:rStyle w:val="Hyperlink"/>
            <w:rFonts w:cs="Arial"/>
            <w:i/>
            <w:szCs w:val="24"/>
          </w:rPr>
          <w:t>Back to Table of Contents</w:t>
        </w:r>
      </w:hyperlink>
      <w:r w:rsidR="007B6904">
        <w:rPr>
          <w:rFonts w:cs="Arial"/>
          <w:i/>
          <w:szCs w:val="24"/>
        </w:rPr>
        <w:t xml:space="preserve"> </w:t>
      </w:r>
    </w:p>
    <w:p w14:paraId="2F51A894" w14:textId="77777777" w:rsidR="007B6904" w:rsidRDefault="007B6904" w:rsidP="007B6904">
      <w:pPr>
        <w:pStyle w:val="ProcedureTemplate"/>
        <w:framePr w:wrap="around"/>
      </w:pPr>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2F51A896" w14:textId="77777777" w:rsidTr="0074223E">
        <w:trPr>
          <w:cantSplit/>
          <w:trHeight w:val="285"/>
        </w:trPr>
        <w:tc>
          <w:tcPr>
            <w:tcW w:w="9158" w:type="dxa"/>
            <w:shd w:val="clear" w:color="auto" w:fill="A6A6A6" w:themeFill="background1" w:themeFillShade="A6"/>
          </w:tcPr>
          <w:p w14:paraId="2F51A895" w14:textId="48AA9EFD" w:rsidR="007B6904" w:rsidRPr="00C76688" w:rsidRDefault="007B6904" w:rsidP="004213C3">
            <w:pPr>
              <w:pStyle w:val="Heading1"/>
            </w:pPr>
            <w:bookmarkStart w:id="22" w:name="_Toc389473281"/>
            <w:bookmarkStart w:id="23" w:name="_Toc105081144"/>
            <w:bookmarkStart w:id="24" w:name="_Toc106348358"/>
            <w:r w:rsidRPr="00C76688">
              <w:t xml:space="preserve">Section 2 – </w:t>
            </w:r>
            <w:bookmarkEnd w:id="22"/>
            <w:r w:rsidR="002D6B7E" w:rsidRPr="004B28D3">
              <w:rPr>
                <w:szCs w:val="28"/>
              </w:rPr>
              <w:t xml:space="preserve"> Treatment of Cerebral Aneurysm</w:t>
            </w:r>
            <w:bookmarkEnd w:id="23"/>
            <w:bookmarkEnd w:id="24"/>
          </w:p>
        </w:tc>
      </w:tr>
    </w:tbl>
    <w:p w14:paraId="2F51A897" w14:textId="77777777" w:rsidR="007B6904" w:rsidRDefault="007B6904" w:rsidP="007B6904">
      <w:pPr>
        <w:rPr>
          <w:rFonts w:cs="Arial"/>
          <w:b/>
          <w:szCs w:val="24"/>
        </w:rPr>
      </w:pPr>
    </w:p>
    <w:p w14:paraId="7E7A1960" w14:textId="77777777" w:rsidR="002D6B7E" w:rsidRDefault="002D6B7E" w:rsidP="00AB6FA2">
      <w:pPr>
        <w:rPr>
          <w:szCs w:val="24"/>
          <w:lang w:val="en"/>
        </w:rPr>
      </w:pPr>
      <w:r w:rsidRPr="00CE2211">
        <w:rPr>
          <w:szCs w:val="24"/>
          <w:lang w:val="en"/>
        </w:rPr>
        <w:t xml:space="preserve">Approximately 90% of </w:t>
      </w:r>
      <w:r>
        <w:rPr>
          <w:szCs w:val="24"/>
          <w:lang w:val="en"/>
        </w:rPr>
        <w:t xml:space="preserve">non-traumatic </w:t>
      </w:r>
      <w:r w:rsidRPr="00CE2211">
        <w:rPr>
          <w:szCs w:val="24"/>
          <w:lang w:val="en"/>
        </w:rPr>
        <w:t>SAH</w:t>
      </w:r>
      <w:r>
        <w:rPr>
          <w:szCs w:val="24"/>
          <w:lang w:val="en"/>
        </w:rPr>
        <w:t>’s</w:t>
      </w:r>
      <w:r w:rsidRPr="00CE2211">
        <w:rPr>
          <w:szCs w:val="24"/>
          <w:lang w:val="en"/>
        </w:rPr>
        <w:t xml:space="preserve"> can be attributed to </w:t>
      </w:r>
      <w:r>
        <w:rPr>
          <w:szCs w:val="24"/>
          <w:lang w:val="en"/>
        </w:rPr>
        <w:t>a</w:t>
      </w:r>
      <w:r w:rsidRPr="00CE2211">
        <w:rPr>
          <w:szCs w:val="24"/>
          <w:lang w:val="en"/>
        </w:rPr>
        <w:t xml:space="preserve"> cerebral aneurysm rupture. A </w:t>
      </w:r>
      <w:r w:rsidRPr="00CE2211">
        <w:rPr>
          <w:rStyle w:val="Strong"/>
          <w:b w:val="0"/>
          <w:szCs w:val="24"/>
          <w:lang w:val="en"/>
        </w:rPr>
        <w:t>cerebral or intracranial aneurysm</w:t>
      </w:r>
      <w:r w:rsidRPr="00CE2211">
        <w:rPr>
          <w:szCs w:val="24"/>
          <w:lang w:val="en"/>
        </w:rPr>
        <w:t xml:space="preserve"> is an abnormal focal dilation of an artery in the brain that results from a weakening of the inner muscular layer (the intima) of a blood vessel wall. The vessel develops a blister-like dilation that can become thin and rupture without warning. </w:t>
      </w:r>
    </w:p>
    <w:p w14:paraId="2D2C6665" w14:textId="77777777" w:rsidR="002D6B7E" w:rsidRDefault="002D6B7E" w:rsidP="00AB6FA2">
      <w:pPr>
        <w:rPr>
          <w:szCs w:val="24"/>
          <w:lang w:val="en"/>
        </w:rPr>
      </w:pPr>
    </w:p>
    <w:p w14:paraId="1B610789" w14:textId="77777777" w:rsidR="002D6B7E" w:rsidRPr="00CE2211" w:rsidRDefault="002D6B7E" w:rsidP="00AB6FA2">
      <w:pPr>
        <w:rPr>
          <w:rFonts w:cs="Arial"/>
          <w:szCs w:val="24"/>
        </w:rPr>
      </w:pPr>
      <w:r w:rsidRPr="00CE2211">
        <w:rPr>
          <w:rFonts w:cs="Arial"/>
          <w:szCs w:val="24"/>
        </w:rPr>
        <w:t>The focus of initial management following SAH is to secure the offending ane</w:t>
      </w:r>
      <w:r>
        <w:rPr>
          <w:rFonts w:cs="Arial"/>
          <w:szCs w:val="24"/>
        </w:rPr>
        <w:t>urysm and prevent further bleed.</w:t>
      </w:r>
      <w:r w:rsidRPr="00CE2211">
        <w:rPr>
          <w:rFonts w:cs="Arial"/>
          <w:szCs w:val="24"/>
        </w:rPr>
        <w:t xml:space="preserve"> </w:t>
      </w:r>
      <w:r>
        <w:rPr>
          <w:rFonts w:cs="Arial"/>
          <w:szCs w:val="24"/>
        </w:rPr>
        <w:t>D</w:t>
      </w:r>
      <w:r w:rsidRPr="00CE2211">
        <w:rPr>
          <w:rFonts w:cs="Arial"/>
          <w:szCs w:val="24"/>
        </w:rPr>
        <w:t xml:space="preserve">epending on the structure of the aneurysm, this can be achieved by one of two </w:t>
      </w:r>
      <w:proofErr w:type="gramStart"/>
      <w:r w:rsidRPr="00CE2211">
        <w:rPr>
          <w:rFonts w:cs="Arial"/>
          <w:szCs w:val="24"/>
        </w:rPr>
        <w:t>techniques;</w:t>
      </w:r>
      <w:proofErr w:type="gramEnd"/>
      <w:r w:rsidRPr="00CE2211">
        <w:rPr>
          <w:rFonts w:cs="Arial"/>
          <w:szCs w:val="24"/>
        </w:rPr>
        <w:t xml:space="preserve"> Surgical clipping or Endovascular Coiling. These techniques are not only utilised in the event of a ruptured aneurysm, but also as elective procedures for intact aneurysms of a substantial size to prevent rupture and the possibility of SAH in the future</w:t>
      </w:r>
      <w:r>
        <w:rPr>
          <w:rFonts w:cs="Arial"/>
          <w:szCs w:val="24"/>
        </w:rPr>
        <w:t>.</w:t>
      </w:r>
    </w:p>
    <w:p w14:paraId="746ADA40" w14:textId="77777777" w:rsidR="002D6B7E" w:rsidRPr="00CE2211" w:rsidRDefault="002D6B7E" w:rsidP="002D6B7E">
      <w:pPr>
        <w:jc w:val="both"/>
        <w:rPr>
          <w:rFonts w:cs="Arial"/>
          <w:szCs w:val="24"/>
        </w:rPr>
      </w:pPr>
    </w:p>
    <w:p w14:paraId="4243AE07" w14:textId="77777777" w:rsidR="002D6B7E" w:rsidRPr="00CE2211" w:rsidRDefault="002D6B7E" w:rsidP="00A12560">
      <w:pPr>
        <w:pStyle w:val="Heading2"/>
      </w:pPr>
      <w:bookmarkStart w:id="25" w:name="_Hlk105080607"/>
      <w:bookmarkStart w:id="26" w:name="_Toc106348359"/>
      <w:r>
        <w:t>2</w:t>
      </w:r>
      <w:r w:rsidRPr="00CE2211">
        <w:t>.1 Surgical Aneurysm Clipping</w:t>
      </w:r>
      <w:bookmarkEnd w:id="26"/>
    </w:p>
    <w:bookmarkEnd w:id="25"/>
    <w:p w14:paraId="39782839" w14:textId="77777777" w:rsidR="002D6B7E" w:rsidRPr="00CE2211" w:rsidRDefault="002D6B7E" w:rsidP="00AB6FA2">
      <w:pPr>
        <w:rPr>
          <w:rFonts w:cs="Arial"/>
          <w:szCs w:val="24"/>
        </w:rPr>
      </w:pPr>
      <w:r w:rsidRPr="00CE2211">
        <w:rPr>
          <w:rFonts w:cs="Arial"/>
          <w:szCs w:val="24"/>
        </w:rPr>
        <w:t xml:space="preserve">Clipping </w:t>
      </w:r>
      <w:r w:rsidRPr="00CE2211">
        <w:rPr>
          <w:szCs w:val="24"/>
          <w:lang w:val="en"/>
        </w:rPr>
        <w:t xml:space="preserve">is a surgical procedure in which the </w:t>
      </w:r>
      <w:r>
        <w:rPr>
          <w:szCs w:val="24"/>
          <w:lang w:val="en"/>
        </w:rPr>
        <w:t xml:space="preserve">cerebral </w:t>
      </w:r>
      <w:r w:rsidRPr="00CE2211">
        <w:rPr>
          <w:szCs w:val="24"/>
          <w:lang w:val="en"/>
        </w:rPr>
        <w:t xml:space="preserve">blood vessels are accessed via a craniotomy and a small </w:t>
      </w:r>
      <w:r>
        <w:rPr>
          <w:szCs w:val="24"/>
          <w:lang w:val="en"/>
        </w:rPr>
        <w:t>titanium</w:t>
      </w:r>
      <w:r w:rsidRPr="00CE2211">
        <w:rPr>
          <w:szCs w:val="24"/>
          <w:lang w:val="en"/>
        </w:rPr>
        <w:t xml:space="preserve"> clip is placed around the neck of the aneurysm. The aim is </w:t>
      </w:r>
      <w:r w:rsidRPr="00CE2211">
        <w:rPr>
          <w:rFonts w:cs="Arial"/>
          <w:szCs w:val="24"/>
        </w:rPr>
        <w:t>to divert the normal cerebral circulation from the sac like aneurysm, reducing the risk of rupture from high arterial pressures.</w:t>
      </w:r>
    </w:p>
    <w:p w14:paraId="249491CF" w14:textId="77777777" w:rsidR="00CA6266" w:rsidRPr="00CE2211" w:rsidRDefault="00CA6266" w:rsidP="002D6B7E">
      <w:pPr>
        <w:jc w:val="both"/>
        <w:rPr>
          <w:rFonts w:cs="Arial"/>
          <w:szCs w:val="24"/>
        </w:rPr>
      </w:pPr>
    </w:p>
    <w:p w14:paraId="48AA8A8B" w14:textId="77777777" w:rsidR="002D6B7E" w:rsidRPr="00CE2211" w:rsidRDefault="002D6B7E" w:rsidP="002D6B7E">
      <w:pPr>
        <w:jc w:val="both"/>
        <w:rPr>
          <w:rFonts w:cs="Arial"/>
          <w:b/>
          <w:szCs w:val="24"/>
        </w:rPr>
      </w:pPr>
      <w:r>
        <w:rPr>
          <w:rFonts w:cs="Arial"/>
          <w:b/>
          <w:szCs w:val="24"/>
        </w:rPr>
        <w:t xml:space="preserve">Post-Operative </w:t>
      </w:r>
      <w:r w:rsidRPr="00CE2211">
        <w:rPr>
          <w:rFonts w:cs="Arial"/>
          <w:b/>
          <w:szCs w:val="24"/>
        </w:rPr>
        <w:t>Procedure:</w:t>
      </w:r>
    </w:p>
    <w:p w14:paraId="5191D98D" w14:textId="77777777" w:rsidR="002D6B7E" w:rsidRPr="00CE2211" w:rsidRDefault="002D6B7E" w:rsidP="00CA7C22">
      <w:pPr>
        <w:numPr>
          <w:ilvl w:val="0"/>
          <w:numId w:val="19"/>
        </w:numPr>
        <w:ind w:left="426" w:hanging="426"/>
        <w:rPr>
          <w:rFonts w:cs="Arial"/>
          <w:szCs w:val="24"/>
        </w:rPr>
      </w:pPr>
      <w:r w:rsidRPr="00CE2211">
        <w:rPr>
          <w:rFonts w:cs="Arial"/>
          <w:szCs w:val="24"/>
        </w:rPr>
        <w:t>Inform pat</w:t>
      </w:r>
      <w:r>
        <w:rPr>
          <w:rFonts w:cs="Arial"/>
          <w:szCs w:val="24"/>
        </w:rPr>
        <w:t>ient and their families of post-</w:t>
      </w:r>
      <w:r w:rsidRPr="00CE2211">
        <w:rPr>
          <w:rFonts w:cs="Arial"/>
          <w:szCs w:val="24"/>
        </w:rPr>
        <w:t>operative procedure.</w:t>
      </w:r>
    </w:p>
    <w:p w14:paraId="6353D501" w14:textId="4C05C4EA" w:rsidR="002D6B7E" w:rsidRPr="00CE2211" w:rsidRDefault="002D6B7E" w:rsidP="00CA7C22">
      <w:pPr>
        <w:numPr>
          <w:ilvl w:val="0"/>
          <w:numId w:val="19"/>
        </w:numPr>
        <w:ind w:left="426" w:hanging="426"/>
        <w:rPr>
          <w:rFonts w:cs="Arial"/>
          <w:szCs w:val="24"/>
        </w:rPr>
      </w:pPr>
      <w:r>
        <w:rPr>
          <w:rFonts w:cs="Arial"/>
          <w:szCs w:val="24"/>
        </w:rPr>
        <w:lastRenderedPageBreak/>
        <w:t>Pre and Post-</w:t>
      </w:r>
      <w:r w:rsidRPr="00CE2211">
        <w:rPr>
          <w:rFonts w:cs="Arial"/>
          <w:szCs w:val="24"/>
        </w:rPr>
        <w:t xml:space="preserve">operative nursing care </w:t>
      </w:r>
      <w:r>
        <w:rPr>
          <w:rFonts w:cs="Arial"/>
          <w:szCs w:val="24"/>
        </w:rPr>
        <w:t xml:space="preserve">as per </w:t>
      </w:r>
      <w:r w:rsidRPr="00AB6FA2">
        <w:rPr>
          <w:rFonts w:cs="Arial"/>
          <w:i/>
          <w:iCs/>
          <w:szCs w:val="24"/>
        </w:rPr>
        <w:t>Intracranial Surgery: Management of the Adult Patient</w:t>
      </w:r>
      <w:r w:rsidR="00AB6FA2" w:rsidRPr="00AB6FA2">
        <w:rPr>
          <w:rFonts w:cs="Arial"/>
          <w:i/>
          <w:iCs/>
          <w:szCs w:val="24"/>
        </w:rPr>
        <w:t xml:space="preserve"> Procedure</w:t>
      </w:r>
    </w:p>
    <w:p w14:paraId="221F7EF3" w14:textId="77777777" w:rsidR="002D6B7E" w:rsidRPr="00CE2211" w:rsidRDefault="002D6B7E" w:rsidP="00CA7C22">
      <w:pPr>
        <w:numPr>
          <w:ilvl w:val="0"/>
          <w:numId w:val="19"/>
        </w:numPr>
        <w:ind w:left="426" w:hanging="426"/>
        <w:jc w:val="both"/>
        <w:rPr>
          <w:rFonts w:cs="Arial"/>
          <w:szCs w:val="24"/>
        </w:rPr>
      </w:pPr>
      <w:r w:rsidRPr="00CE2211">
        <w:rPr>
          <w:rFonts w:cs="Arial"/>
          <w:szCs w:val="24"/>
        </w:rPr>
        <w:t>Monitor for signs and symptoms of acute cerebral bleed/ raised ICP (See Section 1.1)</w:t>
      </w:r>
    </w:p>
    <w:p w14:paraId="2D560639" w14:textId="77777777" w:rsidR="002D6B7E" w:rsidRPr="00CE2211" w:rsidRDefault="002D6B7E" w:rsidP="002D6B7E">
      <w:pPr>
        <w:ind w:left="273"/>
        <w:jc w:val="both"/>
        <w:rPr>
          <w:rFonts w:cs="Arial"/>
          <w:szCs w:val="24"/>
        </w:rPr>
      </w:pPr>
    </w:p>
    <w:p w14:paraId="294A5BD9" w14:textId="46C065B1" w:rsidR="00A12560" w:rsidRPr="00A12560" w:rsidRDefault="00A12560" w:rsidP="00A12560">
      <w:pPr>
        <w:pStyle w:val="Heading2"/>
      </w:pPr>
      <w:bookmarkStart w:id="27" w:name="_Toc106348360"/>
      <w:r w:rsidRPr="00A12560">
        <w:t>2.</w:t>
      </w:r>
      <w:r>
        <w:t>2</w:t>
      </w:r>
      <w:r w:rsidRPr="00A12560">
        <w:t xml:space="preserve"> Endovascular Coiling</w:t>
      </w:r>
      <w:bookmarkEnd w:id="27"/>
    </w:p>
    <w:p w14:paraId="03FC93A5" w14:textId="77777777" w:rsidR="002D6B7E" w:rsidRDefault="002D6B7E" w:rsidP="00AB6FA2">
      <w:pPr>
        <w:rPr>
          <w:rFonts w:cs="Arial"/>
          <w:szCs w:val="24"/>
        </w:rPr>
      </w:pPr>
      <w:r w:rsidRPr="00CE2211">
        <w:rPr>
          <w:szCs w:val="24"/>
          <w:lang w:val="en"/>
        </w:rPr>
        <w:t xml:space="preserve">Endovascular Coiling is </w:t>
      </w:r>
      <w:r>
        <w:rPr>
          <w:szCs w:val="24"/>
          <w:lang w:val="en"/>
        </w:rPr>
        <w:t xml:space="preserve">an </w:t>
      </w:r>
      <w:r w:rsidRPr="00CE2211">
        <w:rPr>
          <w:szCs w:val="24"/>
          <w:lang w:val="en"/>
        </w:rPr>
        <w:t xml:space="preserve">interventional procedure performed in the angiography suite. The aneurysm is secured by the application of soft </w:t>
      </w:r>
      <w:r>
        <w:rPr>
          <w:szCs w:val="24"/>
          <w:lang w:val="en"/>
        </w:rPr>
        <w:t xml:space="preserve">platinum </w:t>
      </w:r>
      <w:r w:rsidRPr="00CE2211">
        <w:rPr>
          <w:szCs w:val="24"/>
          <w:lang w:val="en"/>
        </w:rPr>
        <w:t xml:space="preserve">wire spirals. A microcatheter is inserted through the femoral </w:t>
      </w:r>
      <w:r>
        <w:rPr>
          <w:szCs w:val="24"/>
          <w:lang w:val="en"/>
        </w:rPr>
        <w:t xml:space="preserve">artery in the leg or radial </w:t>
      </w:r>
      <w:r w:rsidRPr="00CE2211">
        <w:rPr>
          <w:szCs w:val="24"/>
          <w:lang w:val="en"/>
        </w:rPr>
        <w:t xml:space="preserve">artery of the </w:t>
      </w:r>
      <w:r>
        <w:rPr>
          <w:szCs w:val="24"/>
          <w:lang w:val="en"/>
        </w:rPr>
        <w:t>arm</w:t>
      </w:r>
      <w:r w:rsidRPr="00CE2211">
        <w:rPr>
          <w:szCs w:val="24"/>
          <w:lang w:val="en"/>
        </w:rPr>
        <w:t xml:space="preserve"> and carefully advanced into the brain where the coils are deployed into the aneurysm. The insertion of the coil</w:t>
      </w:r>
      <w:r>
        <w:rPr>
          <w:szCs w:val="24"/>
          <w:lang w:val="en"/>
        </w:rPr>
        <w:t>s</w:t>
      </w:r>
      <w:r w:rsidRPr="00CE2211">
        <w:rPr>
          <w:szCs w:val="24"/>
          <w:lang w:val="en"/>
        </w:rPr>
        <w:t xml:space="preserve"> slows the blood flow into the sac like aneurysm, allowing it to thrombo</w:t>
      </w:r>
      <w:r>
        <w:rPr>
          <w:szCs w:val="24"/>
          <w:lang w:val="en"/>
        </w:rPr>
        <w:t>se</w:t>
      </w:r>
      <w:r w:rsidRPr="00CE2211">
        <w:rPr>
          <w:szCs w:val="24"/>
          <w:lang w:val="en"/>
        </w:rPr>
        <w:t xml:space="preserve"> and </w:t>
      </w:r>
      <w:r w:rsidRPr="00CE2211">
        <w:rPr>
          <w:rFonts w:cs="Arial"/>
          <w:szCs w:val="24"/>
        </w:rPr>
        <w:t>resist the entry of high pressured arterial blood.</w:t>
      </w:r>
    </w:p>
    <w:p w14:paraId="0BB8E401" w14:textId="77777777" w:rsidR="002D6B7E" w:rsidRDefault="002D6B7E" w:rsidP="002D6B7E">
      <w:pPr>
        <w:jc w:val="both"/>
        <w:rPr>
          <w:rFonts w:cs="Arial"/>
          <w:szCs w:val="24"/>
        </w:rPr>
      </w:pPr>
    </w:p>
    <w:p w14:paraId="4F0FC3A4" w14:textId="77777777" w:rsidR="002D6B7E" w:rsidRPr="00CE2211" w:rsidRDefault="002D6B7E" w:rsidP="002D6B7E">
      <w:pPr>
        <w:jc w:val="both"/>
        <w:rPr>
          <w:rFonts w:cs="Arial"/>
          <w:b/>
          <w:szCs w:val="24"/>
        </w:rPr>
      </w:pPr>
      <w:r>
        <w:rPr>
          <w:rFonts w:cs="Arial"/>
          <w:b/>
          <w:szCs w:val="24"/>
        </w:rPr>
        <w:t xml:space="preserve">Pre- Operative </w:t>
      </w:r>
      <w:r w:rsidRPr="00CE2211">
        <w:rPr>
          <w:rFonts w:cs="Arial"/>
          <w:b/>
          <w:szCs w:val="24"/>
        </w:rPr>
        <w:t>Procedure:</w:t>
      </w:r>
    </w:p>
    <w:p w14:paraId="2AD15D25" w14:textId="09AFEF22" w:rsidR="002D6B7E" w:rsidRPr="00F8531B" w:rsidRDefault="002D6B7E" w:rsidP="00CA7C22">
      <w:pPr>
        <w:pStyle w:val="ListParagraph"/>
        <w:numPr>
          <w:ilvl w:val="3"/>
          <w:numId w:val="12"/>
        </w:numPr>
        <w:ind w:left="426" w:hanging="426"/>
        <w:rPr>
          <w:rFonts w:cs="Arial"/>
          <w:szCs w:val="24"/>
        </w:rPr>
      </w:pPr>
      <w:r w:rsidRPr="00F8531B">
        <w:rPr>
          <w:szCs w:val="24"/>
        </w:rPr>
        <w:t xml:space="preserve">Fast patient according to </w:t>
      </w:r>
      <w:r w:rsidRPr="00AB6FA2">
        <w:rPr>
          <w:i/>
          <w:iCs/>
          <w:szCs w:val="24"/>
        </w:rPr>
        <w:t>Fasting Guideline for Patients Requiring Sedation or Anaesthetic</w:t>
      </w:r>
      <w:r w:rsidR="00AB6FA2" w:rsidRPr="00AB6FA2">
        <w:rPr>
          <w:i/>
          <w:iCs/>
          <w:szCs w:val="24"/>
        </w:rPr>
        <w:t xml:space="preserve"> procedure</w:t>
      </w:r>
    </w:p>
    <w:p w14:paraId="3CEF23DE" w14:textId="37C6A7FB" w:rsidR="002D6B7E" w:rsidRPr="00F8531B" w:rsidRDefault="00AF10EA" w:rsidP="00CA7C22">
      <w:pPr>
        <w:pStyle w:val="ListParagraph"/>
        <w:numPr>
          <w:ilvl w:val="3"/>
          <w:numId w:val="12"/>
        </w:numPr>
        <w:ind w:left="426" w:hanging="426"/>
        <w:rPr>
          <w:rFonts w:cs="Arial"/>
          <w:szCs w:val="24"/>
        </w:rPr>
      </w:pPr>
      <w:r>
        <w:rPr>
          <w:szCs w:val="24"/>
        </w:rPr>
        <w:t xml:space="preserve">Complete </w:t>
      </w:r>
      <w:r>
        <w:rPr>
          <w:i/>
          <w:iCs/>
          <w:szCs w:val="24"/>
        </w:rPr>
        <w:t xml:space="preserve">Medical Imaging Procedural </w:t>
      </w:r>
      <w:r w:rsidR="002D6B7E" w:rsidRPr="00AF10EA">
        <w:rPr>
          <w:i/>
          <w:iCs/>
          <w:szCs w:val="24"/>
        </w:rPr>
        <w:t>Preparation Checklist</w:t>
      </w:r>
      <w:r w:rsidR="002D6B7E">
        <w:rPr>
          <w:szCs w:val="24"/>
        </w:rPr>
        <w:t xml:space="preserve"> form</w:t>
      </w:r>
      <w:r>
        <w:rPr>
          <w:szCs w:val="24"/>
        </w:rPr>
        <w:t xml:space="preserve"> (60371)</w:t>
      </w:r>
    </w:p>
    <w:p w14:paraId="3D3FC3CE" w14:textId="0A2B3CC3" w:rsidR="002D6B7E" w:rsidRPr="00F8531B" w:rsidRDefault="002D6B7E" w:rsidP="00CA7C22">
      <w:pPr>
        <w:pStyle w:val="ListParagraph"/>
        <w:numPr>
          <w:ilvl w:val="3"/>
          <w:numId w:val="12"/>
        </w:numPr>
        <w:ind w:left="426" w:hanging="426"/>
        <w:rPr>
          <w:rFonts w:cs="Arial"/>
          <w:szCs w:val="24"/>
        </w:rPr>
      </w:pPr>
      <w:r>
        <w:rPr>
          <w:szCs w:val="24"/>
        </w:rPr>
        <w:t xml:space="preserve">Ensure </w:t>
      </w:r>
      <w:r w:rsidR="00AF10EA">
        <w:rPr>
          <w:szCs w:val="24"/>
        </w:rPr>
        <w:t xml:space="preserve">the patient has a </w:t>
      </w:r>
      <w:r>
        <w:rPr>
          <w:szCs w:val="24"/>
        </w:rPr>
        <w:t xml:space="preserve">peripheral intravenous canula </w:t>
      </w:r>
      <w:proofErr w:type="spellStart"/>
      <w:r>
        <w:rPr>
          <w:szCs w:val="24"/>
        </w:rPr>
        <w:t>insitu</w:t>
      </w:r>
      <w:proofErr w:type="spellEnd"/>
      <w:r>
        <w:rPr>
          <w:szCs w:val="24"/>
        </w:rPr>
        <w:t xml:space="preserve"> prior to transfer to </w:t>
      </w:r>
      <w:proofErr w:type="spellStart"/>
      <w:r>
        <w:rPr>
          <w:szCs w:val="24"/>
        </w:rPr>
        <w:t>angiopgraphy</w:t>
      </w:r>
      <w:proofErr w:type="spellEnd"/>
      <w:r>
        <w:rPr>
          <w:szCs w:val="24"/>
        </w:rPr>
        <w:t xml:space="preserve"> suite</w:t>
      </w:r>
    </w:p>
    <w:p w14:paraId="52478C9A" w14:textId="3214EC02" w:rsidR="002D6B7E" w:rsidRPr="00F8531B" w:rsidRDefault="002D6B7E" w:rsidP="00CA7C22">
      <w:pPr>
        <w:pStyle w:val="ListParagraph"/>
        <w:numPr>
          <w:ilvl w:val="3"/>
          <w:numId w:val="12"/>
        </w:numPr>
        <w:ind w:left="426" w:hanging="426"/>
        <w:rPr>
          <w:rFonts w:cs="Arial"/>
          <w:szCs w:val="24"/>
        </w:rPr>
      </w:pPr>
      <w:r>
        <w:rPr>
          <w:szCs w:val="24"/>
        </w:rPr>
        <w:t>Patient consent will be obtained pre procedurally in the Angiography suite</w:t>
      </w:r>
      <w:r w:rsidR="00AF10EA">
        <w:rPr>
          <w:szCs w:val="24"/>
        </w:rPr>
        <w:t xml:space="preserve"> as per </w:t>
      </w:r>
      <w:r w:rsidR="00AF10EA">
        <w:rPr>
          <w:i/>
          <w:iCs/>
          <w:szCs w:val="24"/>
        </w:rPr>
        <w:t>Informed Consent (Clinical) Policy</w:t>
      </w:r>
      <w:r>
        <w:rPr>
          <w:szCs w:val="24"/>
        </w:rPr>
        <w:t>.</w:t>
      </w:r>
    </w:p>
    <w:p w14:paraId="1DE9D6D3" w14:textId="77777777" w:rsidR="002D6B7E" w:rsidRPr="00F8531B" w:rsidRDefault="002D6B7E" w:rsidP="002D6B7E">
      <w:pPr>
        <w:jc w:val="both"/>
        <w:rPr>
          <w:rFonts w:cs="Arial"/>
          <w:szCs w:val="24"/>
        </w:rPr>
      </w:pPr>
    </w:p>
    <w:p w14:paraId="2EE31F31" w14:textId="77777777" w:rsidR="002D6B7E" w:rsidRPr="00CE2211" w:rsidRDefault="002D6B7E" w:rsidP="002D6B7E">
      <w:pPr>
        <w:jc w:val="both"/>
        <w:rPr>
          <w:rFonts w:cs="Arial"/>
          <w:b/>
          <w:szCs w:val="24"/>
        </w:rPr>
      </w:pPr>
      <w:r>
        <w:rPr>
          <w:rFonts w:cs="Arial"/>
          <w:b/>
          <w:szCs w:val="24"/>
        </w:rPr>
        <w:t xml:space="preserve">Post- Operative </w:t>
      </w:r>
      <w:r w:rsidRPr="00CE2211">
        <w:rPr>
          <w:rFonts w:cs="Arial"/>
          <w:b/>
          <w:szCs w:val="24"/>
        </w:rPr>
        <w:t>Procedure:</w:t>
      </w:r>
    </w:p>
    <w:p w14:paraId="5A3059AA" w14:textId="77777777" w:rsidR="002D6B7E" w:rsidRPr="00CE2211" w:rsidRDefault="002D6B7E" w:rsidP="00CA7C22">
      <w:pPr>
        <w:numPr>
          <w:ilvl w:val="0"/>
          <w:numId w:val="20"/>
        </w:numPr>
        <w:ind w:left="426" w:hanging="426"/>
        <w:rPr>
          <w:rFonts w:cs="Arial"/>
          <w:szCs w:val="24"/>
        </w:rPr>
      </w:pPr>
      <w:r w:rsidRPr="00CE2211">
        <w:rPr>
          <w:rFonts w:cs="Arial"/>
          <w:szCs w:val="24"/>
        </w:rPr>
        <w:t>Inform pat</w:t>
      </w:r>
      <w:r>
        <w:rPr>
          <w:rFonts w:cs="Arial"/>
          <w:szCs w:val="24"/>
        </w:rPr>
        <w:t>ient and their families of post-</w:t>
      </w:r>
      <w:r w:rsidRPr="00CE2211">
        <w:rPr>
          <w:rFonts w:cs="Arial"/>
          <w:szCs w:val="24"/>
        </w:rPr>
        <w:t>operative procedure.</w:t>
      </w:r>
    </w:p>
    <w:p w14:paraId="2B81899A" w14:textId="77777777" w:rsidR="00AF10EA" w:rsidRDefault="00AF10EA" w:rsidP="00CA7C22">
      <w:pPr>
        <w:numPr>
          <w:ilvl w:val="0"/>
          <w:numId w:val="20"/>
        </w:numPr>
        <w:ind w:left="426" w:hanging="426"/>
        <w:rPr>
          <w:rFonts w:cs="Arial"/>
          <w:szCs w:val="24"/>
        </w:rPr>
      </w:pPr>
      <w:r>
        <w:rPr>
          <w:rFonts w:cs="Arial"/>
          <w:szCs w:val="24"/>
        </w:rPr>
        <w:t>Perform:</w:t>
      </w:r>
    </w:p>
    <w:p w14:paraId="112017C9" w14:textId="7C3F2AA6" w:rsidR="00AF10EA" w:rsidRDefault="002D6B7E" w:rsidP="00CA7C22">
      <w:pPr>
        <w:pStyle w:val="ListBullet"/>
        <w:numPr>
          <w:ilvl w:val="0"/>
          <w:numId w:val="33"/>
        </w:numPr>
        <w:ind w:left="851" w:hanging="284"/>
      </w:pPr>
      <w:r w:rsidRPr="00CE2211">
        <w:t>1</w:t>
      </w:r>
      <w:r w:rsidR="00AF10EA">
        <w:t xml:space="preserve"> hourly</w:t>
      </w:r>
      <w:r w:rsidRPr="00CE2211">
        <w:t xml:space="preserve"> neurovascular </w:t>
      </w:r>
      <w:proofErr w:type="gramStart"/>
      <w:r w:rsidRPr="00CE2211">
        <w:t>observations</w:t>
      </w:r>
      <w:proofErr w:type="gramEnd"/>
      <w:r w:rsidRPr="00CE2211">
        <w:t xml:space="preserve"> for 12 hours </w:t>
      </w:r>
      <w:r w:rsidR="00AF10EA">
        <w:t>followed by</w:t>
      </w:r>
    </w:p>
    <w:p w14:paraId="6D095D83" w14:textId="76D9451D" w:rsidR="00AF10EA" w:rsidRDefault="002D6B7E" w:rsidP="00CA7C22">
      <w:pPr>
        <w:pStyle w:val="ListBullet"/>
        <w:numPr>
          <w:ilvl w:val="0"/>
          <w:numId w:val="33"/>
        </w:numPr>
        <w:ind w:left="851" w:hanging="284"/>
      </w:pPr>
      <w:r w:rsidRPr="00CE2211">
        <w:t>2</w:t>
      </w:r>
      <w:r w:rsidR="00AF10EA">
        <w:t xml:space="preserve"> hourly</w:t>
      </w:r>
      <w:r w:rsidRPr="00CE2211">
        <w:t xml:space="preserve"> neurovascular observations for 12 hours</w:t>
      </w:r>
      <w:r w:rsidR="00AF10EA">
        <w:t xml:space="preserve"> followed by</w:t>
      </w:r>
    </w:p>
    <w:p w14:paraId="0BECB7D0" w14:textId="083D65C5" w:rsidR="002D6B7E" w:rsidRPr="00CE2211" w:rsidRDefault="002D6B7E" w:rsidP="00CA7C22">
      <w:pPr>
        <w:pStyle w:val="ListBullet"/>
        <w:numPr>
          <w:ilvl w:val="0"/>
          <w:numId w:val="33"/>
        </w:numPr>
        <w:ind w:left="851" w:hanging="284"/>
      </w:pPr>
      <w:r w:rsidRPr="00CE2211">
        <w:t>4</w:t>
      </w:r>
      <w:r w:rsidR="00AF10EA">
        <w:t xml:space="preserve"> hourly observations</w:t>
      </w:r>
      <w:r w:rsidRPr="00CE2211">
        <w:t xml:space="preserve"> thereafter if </w:t>
      </w:r>
      <w:proofErr w:type="spellStart"/>
      <w:r w:rsidRPr="00CE2211">
        <w:t>haemodynamically</w:t>
      </w:r>
      <w:proofErr w:type="spellEnd"/>
      <w:r w:rsidRPr="00CE2211">
        <w:t xml:space="preserve"> and neurologically stable.</w:t>
      </w:r>
    </w:p>
    <w:p w14:paraId="13544D01" w14:textId="7D4B906C" w:rsidR="002D6B7E" w:rsidRPr="00CE2211" w:rsidRDefault="002D6B7E" w:rsidP="00CA7C22">
      <w:pPr>
        <w:numPr>
          <w:ilvl w:val="0"/>
          <w:numId w:val="20"/>
        </w:numPr>
        <w:ind w:left="426" w:hanging="426"/>
        <w:rPr>
          <w:rFonts w:cs="Arial"/>
          <w:szCs w:val="24"/>
        </w:rPr>
      </w:pPr>
      <w:r w:rsidRPr="00CE2211">
        <w:rPr>
          <w:rFonts w:cs="Arial"/>
          <w:szCs w:val="24"/>
        </w:rPr>
        <w:t>Angiography observations</w:t>
      </w:r>
      <w:r w:rsidR="00AF10EA">
        <w:rPr>
          <w:rFonts w:cs="Arial"/>
          <w:szCs w:val="24"/>
        </w:rPr>
        <w:t xml:space="preserve"> are to be performed</w:t>
      </w:r>
      <w:r w:rsidRPr="00CE2211">
        <w:rPr>
          <w:rFonts w:cs="Arial"/>
          <w:szCs w:val="24"/>
        </w:rPr>
        <w:t xml:space="preserve"> as per </w:t>
      </w:r>
      <w:r w:rsidRPr="00AF10EA">
        <w:rPr>
          <w:rFonts w:cs="Arial"/>
          <w:i/>
          <w:iCs/>
          <w:szCs w:val="24"/>
        </w:rPr>
        <w:t>Interventional Radiology</w:t>
      </w:r>
      <w:r w:rsidR="00AF10EA">
        <w:rPr>
          <w:rFonts w:cs="Arial"/>
          <w:i/>
          <w:iCs/>
          <w:szCs w:val="24"/>
        </w:rPr>
        <w:t xml:space="preserve"> </w:t>
      </w:r>
      <w:proofErr w:type="spellStart"/>
      <w:r w:rsidR="00AF10EA">
        <w:rPr>
          <w:rFonts w:cs="Arial"/>
          <w:i/>
          <w:iCs/>
          <w:szCs w:val="24"/>
        </w:rPr>
        <w:t>Gudieline</w:t>
      </w:r>
      <w:proofErr w:type="spellEnd"/>
      <w:r w:rsidRPr="00CE2211">
        <w:rPr>
          <w:rFonts w:cs="Arial"/>
          <w:szCs w:val="24"/>
        </w:rPr>
        <w:t xml:space="preserve">. </w:t>
      </w:r>
    </w:p>
    <w:p w14:paraId="241AD9CF" w14:textId="1DA91926" w:rsidR="002D6B7E" w:rsidRPr="00CE2211" w:rsidRDefault="00AF10EA" w:rsidP="00CA7C22">
      <w:pPr>
        <w:numPr>
          <w:ilvl w:val="0"/>
          <w:numId w:val="20"/>
        </w:numPr>
        <w:ind w:left="426" w:hanging="426"/>
        <w:rPr>
          <w:rFonts w:cs="Arial"/>
          <w:szCs w:val="24"/>
        </w:rPr>
      </w:pPr>
      <w:r>
        <w:rPr>
          <w:rFonts w:cs="Arial"/>
          <w:szCs w:val="24"/>
        </w:rPr>
        <w:t>The patient is to r</w:t>
      </w:r>
      <w:r w:rsidR="002D6B7E" w:rsidRPr="00CE2211">
        <w:rPr>
          <w:rFonts w:cs="Arial"/>
          <w:szCs w:val="24"/>
        </w:rPr>
        <w:t xml:space="preserve">est in bed </w:t>
      </w:r>
      <w:r w:rsidR="002D6B7E">
        <w:rPr>
          <w:rFonts w:cs="Arial"/>
          <w:szCs w:val="24"/>
        </w:rPr>
        <w:t>in supine</w:t>
      </w:r>
      <w:r w:rsidR="002D6B7E" w:rsidRPr="00CE2211">
        <w:rPr>
          <w:rFonts w:cs="Arial"/>
          <w:szCs w:val="24"/>
        </w:rPr>
        <w:t xml:space="preserve"> for 2</w:t>
      </w:r>
      <w:r>
        <w:rPr>
          <w:rFonts w:cs="Arial"/>
          <w:szCs w:val="24"/>
        </w:rPr>
        <w:t xml:space="preserve"> </w:t>
      </w:r>
      <w:r w:rsidR="002D6B7E" w:rsidRPr="00CE2211">
        <w:rPr>
          <w:rFonts w:cs="Arial"/>
          <w:szCs w:val="24"/>
        </w:rPr>
        <w:t xml:space="preserve">hours post procedure, then can have head of bed raised but continue </w:t>
      </w:r>
      <w:r w:rsidR="002D6B7E">
        <w:rPr>
          <w:rFonts w:cs="Arial"/>
          <w:szCs w:val="24"/>
        </w:rPr>
        <w:t>to rest in bed</w:t>
      </w:r>
      <w:r w:rsidR="002D6B7E" w:rsidRPr="00CE2211">
        <w:rPr>
          <w:rFonts w:cs="Arial"/>
          <w:szCs w:val="24"/>
        </w:rPr>
        <w:t xml:space="preserve"> for a further hour. </w:t>
      </w:r>
      <w:r>
        <w:rPr>
          <w:rFonts w:cs="Arial"/>
          <w:szCs w:val="24"/>
        </w:rPr>
        <w:t>The patient may m</w:t>
      </w:r>
      <w:r w:rsidR="002D6B7E" w:rsidRPr="00CE2211">
        <w:rPr>
          <w:rFonts w:cs="Arial"/>
          <w:szCs w:val="24"/>
        </w:rPr>
        <w:t>obilise gently</w:t>
      </w:r>
      <w:r w:rsidR="002D6B7E">
        <w:rPr>
          <w:rFonts w:cs="Arial"/>
          <w:szCs w:val="24"/>
        </w:rPr>
        <w:t xml:space="preserve"> on completion of this hour</w:t>
      </w:r>
      <w:r w:rsidR="002D6B7E" w:rsidRPr="00CE2211">
        <w:rPr>
          <w:rFonts w:cs="Arial"/>
          <w:szCs w:val="24"/>
        </w:rPr>
        <w:t xml:space="preserve"> if no concerns of arterial bleed at puncture site and monitor closely on return to bed.</w:t>
      </w:r>
    </w:p>
    <w:p w14:paraId="493C5489" w14:textId="7483FC12" w:rsidR="00AF10EA" w:rsidRDefault="002D6B7E" w:rsidP="00CA7C22">
      <w:pPr>
        <w:numPr>
          <w:ilvl w:val="0"/>
          <w:numId w:val="20"/>
        </w:numPr>
        <w:ind w:left="426" w:hanging="426"/>
        <w:rPr>
          <w:rFonts w:cs="Arial"/>
          <w:szCs w:val="24"/>
        </w:rPr>
      </w:pPr>
      <w:r w:rsidRPr="00CE2211">
        <w:rPr>
          <w:rFonts w:cs="Arial"/>
          <w:szCs w:val="24"/>
        </w:rPr>
        <w:t>Observe</w:t>
      </w:r>
      <w:r w:rsidR="00AF10EA">
        <w:rPr>
          <w:rFonts w:cs="Arial"/>
          <w:szCs w:val="24"/>
        </w:rPr>
        <w:t xml:space="preserve"> the patient’s</w:t>
      </w:r>
      <w:r w:rsidRPr="00CE2211">
        <w:rPr>
          <w:rFonts w:cs="Arial"/>
          <w:szCs w:val="24"/>
        </w:rPr>
        <w:t xml:space="preserve"> groin </w:t>
      </w:r>
      <w:r>
        <w:rPr>
          <w:rFonts w:cs="Arial"/>
          <w:szCs w:val="24"/>
        </w:rPr>
        <w:t xml:space="preserve">or radial </w:t>
      </w:r>
      <w:r w:rsidRPr="00CE2211">
        <w:rPr>
          <w:rFonts w:cs="Arial"/>
          <w:szCs w:val="24"/>
        </w:rPr>
        <w:t>puncture site for external bleeding as well as asses</w:t>
      </w:r>
      <w:r>
        <w:rPr>
          <w:rFonts w:cs="Arial"/>
          <w:szCs w:val="24"/>
        </w:rPr>
        <w:t>s</w:t>
      </w:r>
      <w:r w:rsidR="00AF10EA">
        <w:rPr>
          <w:rFonts w:cs="Arial"/>
          <w:szCs w:val="24"/>
        </w:rPr>
        <w:t xml:space="preserve"> the patient</w:t>
      </w:r>
      <w:r w:rsidRPr="00CE2211">
        <w:rPr>
          <w:rFonts w:cs="Arial"/>
          <w:szCs w:val="24"/>
        </w:rPr>
        <w:t xml:space="preserve"> for signs of internal haemorrhage such as haematoma</w:t>
      </w:r>
      <w:r w:rsidR="00AF10EA">
        <w:rPr>
          <w:rFonts w:cs="Arial"/>
          <w:szCs w:val="24"/>
        </w:rPr>
        <w:t xml:space="preserve"> and</w:t>
      </w:r>
      <w:r w:rsidRPr="00CE2211">
        <w:rPr>
          <w:rFonts w:cs="Arial"/>
          <w:szCs w:val="24"/>
        </w:rPr>
        <w:t xml:space="preserve"> abdominal/back pain. </w:t>
      </w:r>
      <w:r>
        <w:rPr>
          <w:rFonts w:cs="Arial"/>
          <w:szCs w:val="24"/>
        </w:rPr>
        <w:t>This should be attended</w:t>
      </w:r>
      <w:r w:rsidR="00AF10EA">
        <w:rPr>
          <w:rFonts w:cs="Arial"/>
          <w:szCs w:val="24"/>
        </w:rPr>
        <w:t xml:space="preserve"> every:</w:t>
      </w:r>
    </w:p>
    <w:p w14:paraId="1163F071" w14:textId="0C653009" w:rsidR="00AF10EA" w:rsidRPr="00CA7C22" w:rsidRDefault="002D6B7E" w:rsidP="00CA7C22">
      <w:pPr>
        <w:pStyle w:val="ListBullet"/>
        <w:numPr>
          <w:ilvl w:val="0"/>
          <w:numId w:val="35"/>
        </w:numPr>
        <w:ind w:left="851" w:hanging="284"/>
      </w:pPr>
      <w:r w:rsidRPr="00CA7C22">
        <w:t>15 min</w:t>
      </w:r>
      <w:r w:rsidR="00AF10EA" w:rsidRPr="00CA7C22">
        <w:t>ute</w:t>
      </w:r>
      <w:r w:rsidRPr="00CA7C22">
        <w:t>s for first hour post procedure</w:t>
      </w:r>
    </w:p>
    <w:p w14:paraId="59988239" w14:textId="3D91CE6E" w:rsidR="00AF10EA" w:rsidRPr="00CA7C22" w:rsidRDefault="002D6B7E" w:rsidP="00CA7C22">
      <w:pPr>
        <w:pStyle w:val="ListBullet"/>
        <w:numPr>
          <w:ilvl w:val="0"/>
          <w:numId w:val="35"/>
        </w:numPr>
        <w:ind w:left="851" w:hanging="284"/>
      </w:pPr>
      <w:r w:rsidRPr="00CA7C22">
        <w:t xml:space="preserve">30 minutes for the next 2 hours </w:t>
      </w:r>
    </w:p>
    <w:p w14:paraId="109EEE32" w14:textId="572E8A21" w:rsidR="00AF10EA" w:rsidRPr="00CA7C22" w:rsidRDefault="002D6B7E" w:rsidP="00CA7C22">
      <w:pPr>
        <w:pStyle w:val="ListBullet"/>
        <w:numPr>
          <w:ilvl w:val="0"/>
          <w:numId w:val="35"/>
        </w:numPr>
        <w:ind w:left="851" w:hanging="284"/>
      </w:pPr>
      <w:r w:rsidRPr="00CA7C22">
        <w:t>hourly for following 4 hours</w:t>
      </w:r>
    </w:p>
    <w:p w14:paraId="3522A7C0" w14:textId="446E1D77" w:rsidR="002D6B7E" w:rsidRPr="00CA7C22" w:rsidRDefault="002D6B7E" w:rsidP="00CA7C22">
      <w:pPr>
        <w:pStyle w:val="ListBullet"/>
        <w:numPr>
          <w:ilvl w:val="0"/>
          <w:numId w:val="35"/>
        </w:numPr>
        <w:ind w:left="851" w:hanging="284"/>
      </w:pPr>
      <w:r w:rsidRPr="00CA7C22">
        <w:t>4</w:t>
      </w:r>
      <w:r w:rsidR="00AF10EA" w:rsidRPr="00CA7C22">
        <w:t xml:space="preserve"> hours</w:t>
      </w:r>
      <w:r w:rsidRPr="00CA7C22">
        <w:t xml:space="preserve"> thereafter.</w:t>
      </w:r>
    </w:p>
    <w:p w14:paraId="0D8A4A84" w14:textId="77777777" w:rsidR="002D6B7E" w:rsidRDefault="002D6B7E" w:rsidP="00CA7C22">
      <w:pPr>
        <w:numPr>
          <w:ilvl w:val="0"/>
          <w:numId w:val="20"/>
        </w:numPr>
        <w:ind w:left="426" w:hanging="426"/>
        <w:rPr>
          <w:rFonts w:cs="Arial"/>
          <w:szCs w:val="24"/>
        </w:rPr>
      </w:pPr>
      <w:r>
        <w:rPr>
          <w:rFonts w:cs="Arial"/>
          <w:szCs w:val="24"/>
        </w:rPr>
        <w:t>If access site is radial, release pressure device at intervals relevant to position.</w:t>
      </w:r>
    </w:p>
    <w:p w14:paraId="0D5974A9" w14:textId="6D89C797" w:rsidR="002D6B7E" w:rsidRDefault="002D6B7E" w:rsidP="00CA7C22">
      <w:pPr>
        <w:pStyle w:val="ListBullet"/>
        <w:ind w:left="851" w:hanging="425"/>
      </w:pPr>
      <w:r>
        <w:t>Distal Radial access – release 2 m</w:t>
      </w:r>
      <w:r w:rsidR="00AF10EA">
        <w:t>L</w:t>
      </w:r>
      <w:r>
        <w:t xml:space="preserve"> every 15 min</w:t>
      </w:r>
      <w:r w:rsidR="00AF10EA">
        <w:t>ute</w:t>
      </w:r>
      <w:r>
        <w:t>s using appropriate syringe supplied with device</w:t>
      </w:r>
    </w:p>
    <w:p w14:paraId="3BDD2E8B" w14:textId="6F447821" w:rsidR="002D6B7E" w:rsidRPr="00CE2211" w:rsidRDefault="002D6B7E" w:rsidP="00CA7C22">
      <w:pPr>
        <w:pStyle w:val="ListBullet"/>
        <w:ind w:left="851" w:hanging="425"/>
      </w:pPr>
      <w:r>
        <w:t>Radial Access – release 2 m</w:t>
      </w:r>
      <w:r w:rsidR="00AF10EA">
        <w:t>L</w:t>
      </w:r>
      <w:r>
        <w:t xml:space="preserve"> every 30minutes using appropriate syringe supplied with device</w:t>
      </w:r>
    </w:p>
    <w:p w14:paraId="0BE506C8" w14:textId="77777777" w:rsidR="00AF10EA" w:rsidRDefault="002D6B7E" w:rsidP="00CA7C22">
      <w:pPr>
        <w:numPr>
          <w:ilvl w:val="0"/>
          <w:numId w:val="20"/>
        </w:numPr>
        <w:ind w:left="426" w:hanging="426"/>
        <w:rPr>
          <w:rFonts w:cs="Arial"/>
          <w:szCs w:val="24"/>
        </w:rPr>
      </w:pPr>
      <w:r w:rsidRPr="00CE2211">
        <w:rPr>
          <w:rFonts w:cs="Arial"/>
          <w:szCs w:val="24"/>
        </w:rPr>
        <w:lastRenderedPageBreak/>
        <w:t xml:space="preserve">If arterial bleed is suspected, direct digital pressure (DDP) should be </w:t>
      </w:r>
      <w:proofErr w:type="gramStart"/>
      <w:r w:rsidRPr="00CE2211">
        <w:rPr>
          <w:rFonts w:cs="Arial"/>
          <w:szCs w:val="24"/>
        </w:rPr>
        <w:t>applied</w:t>
      </w:r>
      <w:proofErr w:type="gramEnd"/>
      <w:r w:rsidRPr="00CE2211">
        <w:rPr>
          <w:rFonts w:cs="Arial"/>
          <w:szCs w:val="24"/>
        </w:rPr>
        <w:t xml:space="preserve"> and neurosurgical team</w:t>
      </w:r>
      <w:r w:rsidR="00AF10EA">
        <w:rPr>
          <w:rFonts w:cs="Arial"/>
          <w:szCs w:val="24"/>
        </w:rPr>
        <w:t xml:space="preserve"> should be notified</w:t>
      </w:r>
      <w:r w:rsidRPr="00CE2211">
        <w:rPr>
          <w:rFonts w:cs="Arial"/>
          <w:szCs w:val="24"/>
        </w:rPr>
        <w:t xml:space="preserve"> immediately.</w:t>
      </w:r>
    </w:p>
    <w:p w14:paraId="672621DE" w14:textId="77777777" w:rsidR="00CA7C22" w:rsidRDefault="00CA7C22" w:rsidP="00AF10EA">
      <w:pPr>
        <w:ind w:left="284"/>
        <w:rPr>
          <w:rFonts w:cs="Arial"/>
          <w:b/>
          <w:szCs w:val="24"/>
          <w:u w:val="single"/>
        </w:rPr>
      </w:pPr>
    </w:p>
    <w:p w14:paraId="201BCA5A" w14:textId="3FF2F823" w:rsidR="00AF10EA" w:rsidRDefault="002D6B7E" w:rsidP="00CA7C22">
      <w:pPr>
        <w:ind w:left="426"/>
        <w:rPr>
          <w:rFonts w:cs="Arial"/>
          <w:szCs w:val="24"/>
        </w:rPr>
      </w:pPr>
      <w:r w:rsidRPr="00CE2211">
        <w:rPr>
          <w:rFonts w:cs="Arial"/>
          <w:b/>
          <w:szCs w:val="24"/>
          <w:u w:val="single"/>
        </w:rPr>
        <w:t xml:space="preserve">DO NOT </w:t>
      </w:r>
      <w:r w:rsidRPr="00CE2211">
        <w:rPr>
          <w:rFonts w:cs="Arial"/>
          <w:szCs w:val="24"/>
        </w:rPr>
        <w:t>use sandbags or other means of artificial pressure, release DDP every 15min</w:t>
      </w:r>
      <w:r w:rsidR="00AF10EA">
        <w:rPr>
          <w:rFonts w:cs="Arial"/>
          <w:szCs w:val="24"/>
        </w:rPr>
        <w:t>utes</w:t>
      </w:r>
      <w:r w:rsidRPr="00CE2211">
        <w:rPr>
          <w:rFonts w:cs="Arial"/>
          <w:szCs w:val="24"/>
        </w:rPr>
        <w:t xml:space="preserve"> to allow perfusion </w:t>
      </w:r>
      <w:r w:rsidR="00AF10EA">
        <w:rPr>
          <w:rFonts w:cs="Arial"/>
          <w:szCs w:val="24"/>
        </w:rPr>
        <w:t xml:space="preserve">of the patient’s </w:t>
      </w:r>
      <w:r w:rsidRPr="00CE2211">
        <w:rPr>
          <w:rFonts w:cs="Arial"/>
          <w:szCs w:val="24"/>
        </w:rPr>
        <w:t xml:space="preserve">distal limb. </w:t>
      </w:r>
    </w:p>
    <w:p w14:paraId="2F4F5859" w14:textId="3CEE229B" w:rsidR="002D6B7E" w:rsidRDefault="002D6B7E" w:rsidP="00CA7C22">
      <w:pPr>
        <w:ind w:left="426"/>
        <w:rPr>
          <w:rFonts w:cs="Arial"/>
          <w:szCs w:val="24"/>
        </w:rPr>
      </w:pPr>
      <w:r w:rsidRPr="00CE2211">
        <w:rPr>
          <w:rFonts w:cs="Arial"/>
          <w:szCs w:val="24"/>
        </w:rPr>
        <w:t>Attend observations</w:t>
      </w:r>
      <w:r w:rsidR="00AF10EA">
        <w:rPr>
          <w:rFonts w:cs="Arial"/>
          <w:szCs w:val="24"/>
        </w:rPr>
        <w:t xml:space="preserve"> of the patient</w:t>
      </w:r>
      <w:r w:rsidRPr="00CE2211">
        <w:rPr>
          <w:rFonts w:cs="Arial"/>
          <w:szCs w:val="24"/>
        </w:rPr>
        <w:t xml:space="preserve"> 15 minutely, if patient displays clinical signs of haemorrhage consider escalation to MET call as per</w:t>
      </w:r>
      <w:r w:rsidR="00AF10EA">
        <w:rPr>
          <w:rFonts w:cs="Arial"/>
          <w:szCs w:val="24"/>
        </w:rPr>
        <w:t xml:space="preserve"> </w:t>
      </w:r>
      <w:r w:rsidR="00AF10EA">
        <w:rPr>
          <w:rFonts w:cs="Arial"/>
          <w:i/>
          <w:iCs/>
          <w:szCs w:val="24"/>
        </w:rPr>
        <w:t>Vital Signs and Early Warning Score Procedure</w:t>
      </w:r>
      <w:r w:rsidRPr="00CE2211">
        <w:rPr>
          <w:rFonts w:cs="Arial"/>
          <w:szCs w:val="24"/>
        </w:rPr>
        <w:t>.</w:t>
      </w:r>
    </w:p>
    <w:p w14:paraId="16B26FCD" w14:textId="77777777" w:rsidR="00CA7C22" w:rsidRPr="00CE2211" w:rsidRDefault="00CA7C22" w:rsidP="00CA7C22">
      <w:pPr>
        <w:ind w:left="426"/>
        <w:rPr>
          <w:rFonts w:cs="Arial"/>
          <w:szCs w:val="24"/>
        </w:rPr>
      </w:pPr>
    </w:p>
    <w:p w14:paraId="11FD1D9C" w14:textId="189D4E73" w:rsidR="002D6B7E" w:rsidRDefault="002D6B7E" w:rsidP="00CA7C22">
      <w:pPr>
        <w:numPr>
          <w:ilvl w:val="0"/>
          <w:numId w:val="20"/>
        </w:numPr>
        <w:ind w:left="426" w:hanging="426"/>
        <w:rPr>
          <w:rFonts w:cs="Arial"/>
          <w:szCs w:val="24"/>
        </w:rPr>
      </w:pPr>
      <w:r w:rsidRPr="00CE2211">
        <w:rPr>
          <w:rFonts w:cs="Arial"/>
          <w:szCs w:val="24"/>
        </w:rPr>
        <w:t>If endovascular coiling is an elective procedure</w:t>
      </w:r>
      <w:r>
        <w:rPr>
          <w:rFonts w:cs="Arial"/>
          <w:szCs w:val="24"/>
        </w:rPr>
        <w:t xml:space="preserve"> with the absence of a SAH</w:t>
      </w:r>
      <w:r w:rsidRPr="00CE2211">
        <w:rPr>
          <w:rFonts w:cs="Arial"/>
          <w:szCs w:val="24"/>
        </w:rPr>
        <w:t>, the patient will be prescribed anti</w:t>
      </w:r>
      <w:r>
        <w:rPr>
          <w:rFonts w:cs="Arial"/>
          <w:szCs w:val="24"/>
        </w:rPr>
        <w:t>platelet</w:t>
      </w:r>
      <w:r w:rsidRPr="00CE2211">
        <w:rPr>
          <w:rFonts w:cs="Arial"/>
          <w:szCs w:val="24"/>
        </w:rPr>
        <w:t xml:space="preserve"> therapy (i</w:t>
      </w:r>
      <w:r w:rsidR="00D365F4">
        <w:rPr>
          <w:rFonts w:cs="Arial"/>
          <w:szCs w:val="24"/>
        </w:rPr>
        <w:t>.</w:t>
      </w:r>
      <w:r w:rsidRPr="00CE2211">
        <w:rPr>
          <w:rFonts w:cs="Arial"/>
          <w:szCs w:val="24"/>
        </w:rPr>
        <w:t xml:space="preserve">e. aspirin). Clarify with neurosurgical team if this has not been documented on the </w:t>
      </w:r>
      <w:r w:rsidR="00D365F4">
        <w:rPr>
          <w:rFonts w:cs="Arial"/>
          <w:szCs w:val="24"/>
        </w:rPr>
        <w:t xml:space="preserve">patient’s </w:t>
      </w:r>
      <w:r w:rsidRPr="00CE2211">
        <w:rPr>
          <w:rFonts w:cs="Arial"/>
          <w:szCs w:val="24"/>
        </w:rPr>
        <w:t>medication chart.</w:t>
      </w:r>
    </w:p>
    <w:p w14:paraId="3665A3E4" w14:textId="77777777" w:rsidR="002D6B7E" w:rsidRDefault="002D6B7E" w:rsidP="002D6B7E">
      <w:pPr>
        <w:rPr>
          <w:rFonts w:cs="Arial"/>
          <w:szCs w:val="24"/>
        </w:rPr>
      </w:pPr>
    </w:p>
    <w:p w14:paraId="52BD37DE" w14:textId="0ED63CCC" w:rsidR="002D6B7E" w:rsidRPr="00D365F4" w:rsidRDefault="002D6B7E" w:rsidP="00D365F4">
      <w:pPr>
        <w:pStyle w:val="Heading2"/>
      </w:pPr>
      <w:bookmarkStart w:id="28" w:name="_Toc106348361"/>
      <w:r>
        <w:t>2.3</w:t>
      </w:r>
      <w:r w:rsidRPr="00CE2211">
        <w:t xml:space="preserve"> </w:t>
      </w:r>
      <w:r>
        <w:t>Haemodynamic Targets.</w:t>
      </w:r>
      <w:bookmarkEnd w:id="28"/>
    </w:p>
    <w:p w14:paraId="40152FAB" w14:textId="77777777" w:rsidR="002D6B7E" w:rsidRPr="00CE2211" w:rsidRDefault="002D6B7E" w:rsidP="00D365F4">
      <w:pPr>
        <w:spacing w:after="4"/>
        <w:ind w:right="2"/>
        <w:rPr>
          <w:rFonts w:cs="Arial"/>
          <w:szCs w:val="24"/>
        </w:rPr>
      </w:pPr>
      <w:r w:rsidRPr="00CE2211">
        <w:rPr>
          <w:rFonts w:cs="Arial"/>
          <w:szCs w:val="24"/>
        </w:rPr>
        <w:t>Once the aneurysm has been secured through endovascular coiling or surgical clipping and the risk of rebleed is minimised</w:t>
      </w:r>
      <w:r>
        <w:rPr>
          <w:rFonts w:cs="Arial"/>
          <w:szCs w:val="24"/>
        </w:rPr>
        <w:t>;</w:t>
      </w:r>
      <w:r w:rsidRPr="00CE2211">
        <w:rPr>
          <w:rFonts w:cs="Arial"/>
          <w:szCs w:val="24"/>
        </w:rPr>
        <w:t xml:space="preserve"> </w:t>
      </w:r>
      <w:r>
        <w:rPr>
          <w:rFonts w:cs="Arial"/>
          <w:szCs w:val="24"/>
        </w:rPr>
        <w:t xml:space="preserve">management is aimed at </w:t>
      </w:r>
      <w:r w:rsidRPr="00CE2211">
        <w:rPr>
          <w:rFonts w:cs="Arial"/>
          <w:szCs w:val="24"/>
        </w:rPr>
        <w:t>facilitat</w:t>
      </w:r>
      <w:r>
        <w:rPr>
          <w:rFonts w:cs="Arial"/>
          <w:szCs w:val="24"/>
        </w:rPr>
        <w:t>ing</w:t>
      </w:r>
      <w:r w:rsidRPr="00CE2211">
        <w:rPr>
          <w:rFonts w:cs="Arial"/>
          <w:szCs w:val="24"/>
        </w:rPr>
        <w:t xml:space="preserve"> the flow of arterial blood through the vessel and optimis</w:t>
      </w:r>
      <w:r>
        <w:rPr>
          <w:rFonts w:cs="Arial"/>
          <w:szCs w:val="24"/>
        </w:rPr>
        <w:t>ing</w:t>
      </w:r>
      <w:r w:rsidRPr="00CE2211">
        <w:rPr>
          <w:rFonts w:cs="Arial"/>
          <w:szCs w:val="24"/>
        </w:rPr>
        <w:t xml:space="preserve"> cerebral perfusion. </w:t>
      </w:r>
      <w:r>
        <w:rPr>
          <w:rFonts w:cs="Arial"/>
          <w:szCs w:val="24"/>
        </w:rPr>
        <w:t xml:space="preserve">This is achieved by maintaining haemodynamic targets to keep </w:t>
      </w:r>
      <w:proofErr w:type="gramStart"/>
      <w:r>
        <w:rPr>
          <w:rFonts w:cs="Arial"/>
          <w:szCs w:val="24"/>
        </w:rPr>
        <w:t>patients</w:t>
      </w:r>
      <w:proofErr w:type="gramEnd"/>
      <w:r>
        <w:rPr>
          <w:rFonts w:cs="Arial"/>
          <w:szCs w:val="24"/>
        </w:rPr>
        <w:t xml:space="preserve"> normotensive, normothermic and </w:t>
      </w:r>
      <w:proofErr w:type="spellStart"/>
      <w:r>
        <w:rPr>
          <w:rFonts w:cs="Arial"/>
          <w:szCs w:val="24"/>
        </w:rPr>
        <w:t>euvolaemic</w:t>
      </w:r>
      <w:proofErr w:type="spellEnd"/>
      <w:r>
        <w:rPr>
          <w:rFonts w:cs="Arial"/>
          <w:szCs w:val="24"/>
        </w:rPr>
        <w:t>.</w:t>
      </w:r>
    </w:p>
    <w:p w14:paraId="07D27BCE" w14:textId="424568FB" w:rsidR="002D6B7E" w:rsidRDefault="002D6B7E" w:rsidP="002D6B7E">
      <w:pPr>
        <w:spacing w:after="4"/>
        <w:ind w:right="2"/>
        <w:rPr>
          <w:rFonts w:cs="Arial"/>
          <w:szCs w:val="24"/>
        </w:rPr>
      </w:pPr>
    </w:p>
    <w:p w14:paraId="31257DB9" w14:textId="7916145F" w:rsidR="00D365F4" w:rsidRPr="00081BD8" w:rsidRDefault="00D365F4" w:rsidP="00D365F4">
      <w:pPr>
        <w:pBdr>
          <w:top w:val="single" w:sz="4" w:space="1" w:color="auto"/>
          <w:left w:val="single" w:sz="4" w:space="4" w:color="auto"/>
          <w:bottom w:val="single" w:sz="4" w:space="1" w:color="auto"/>
          <w:right w:val="single" w:sz="4" w:space="4" w:color="auto"/>
        </w:pBdr>
        <w:rPr>
          <w:szCs w:val="24"/>
        </w:rPr>
      </w:pPr>
      <w:r w:rsidRPr="00D365F4">
        <w:rPr>
          <w:b/>
          <w:bCs/>
          <w:szCs w:val="24"/>
        </w:rPr>
        <w:t>Note</w:t>
      </w:r>
      <w:r>
        <w:rPr>
          <w:szCs w:val="24"/>
        </w:rPr>
        <w:t>: The following information is to be used as a guide only. Specific orders and parameters for management should be sought from the treating Consultant.</w:t>
      </w:r>
    </w:p>
    <w:p w14:paraId="3D7E4B8F" w14:textId="77777777" w:rsidR="00D365F4" w:rsidRPr="00CE2211" w:rsidRDefault="00D365F4" w:rsidP="002D6B7E">
      <w:pPr>
        <w:spacing w:after="4"/>
        <w:ind w:right="2"/>
        <w:rPr>
          <w:rFonts w:cs="Arial"/>
          <w:szCs w:val="24"/>
        </w:rPr>
      </w:pPr>
    </w:p>
    <w:p w14:paraId="30E448A8" w14:textId="2D2DCF85" w:rsidR="002D6B7E" w:rsidRDefault="002D6B7E" w:rsidP="00D365F4">
      <w:pPr>
        <w:spacing w:after="4"/>
        <w:ind w:right="2"/>
        <w:rPr>
          <w:rFonts w:cs="Arial"/>
          <w:bCs/>
          <w:szCs w:val="24"/>
          <w:lang w:val="en" w:eastAsia="en-AU"/>
        </w:rPr>
      </w:pPr>
      <w:r>
        <w:rPr>
          <w:rFonts w:cs="Arial"/>
          <w:b/>
          <w:bCs/>
          <w:szCs w:val="24"/>
          <w:lang w:val="en" w:eastAsia="en-AU"/>
        </w:rPr>
        <w:t>Blood Pressure</w:t>
      </w:r>
      <w:r w:rsidRPr="00CE2211">
        <w:rPr>
          <w:rFonts w:cs="Arial"/>
          <w:b/>
          <w:bCs/>
          <w:szCs w:val="24"/>
          <w:lang w:val="en" w:eastAsia="en-AU"/>
        </w:rPr>
        <w:t xml:space="preserve"> </w:t>
      </w:r>
      <w:r>
        <w:rPr>
          <w:rFonts w:cs="Arial"/>
          <w:b/>
          <w:bCs/>
          <w:szCs w:val="24"/>
          <w:lang w:val="en" w:eastAsia="en-AU"/>
        </w:rPr>
        <w:t>–</w:t>
      </w:r>
      <w:r>
        <w:rPr>
          <w:rFonts w:cs="Arial"/>
          <w:bCs/>
          <w:szCs w:val="24"/>
          <w:lang w:val="en" w:eastAsia="en-AU"/>
        </w:rPr>
        <w:t xml:space="preserve"> these targets vary depending on the clinical area of admission and monitoring available although a</w:t>
      </w:r>
      <w:r w:rsidRPr="00CE2211">
        <w:rPr>
          <w:rFonts w:cs="Arial"/>
          <w:bCs/>
          <w:szCs w:val="24"/>
          <w:lang w:val="en" w:eastAsia="en-AU"/>
        </w:rPr>
        <w:t xml:space="preserve"> SBP </w:t>
      </w:r>
      <w:r>
        <w:rPr>
          <w:rFonts w:cs="Arial"/>
          <w:bCs/>
          <w:szCs w:val="24"/>
          <w:lang w:val="en" w:eastAsia="en-AU"/>
        </w:rPr>
        <w:t xml:space="preserve">usually </w:t>
      </w:r>
      <w:r w:rsidRPr="00CE2211">
        <w:rPr>
          <w:rFonts w:cs="Arial"/>
          <w:bCs/>
          <w:szCs w:val="24"/>
          <w:lang w:val="en" w:eastAsia="en-AU"/>
        </w:rPr>
        <w:t>no lower than 120mmHg</w:t>
      </w:r>
      <w:r>
        <w:rPr>
          <w:rFonts w:cs="Arial"/>
          <w:bCs/>
          <w:szCs w:val="24"/>
          <w:lang w:val="en" w:eastAsia="en-AU"/>
        </w:rPr>
        <w:t xml:space="preserve"> (with the aim 120-16</w:t>
      </w:r>
      <w:r w:rsidRPr="00CE2211">
        <w:rPr>
          <w:rFonts w:cs="Arial"/>
          <w:bCs/>
          <w:szCs w:val="24"/>
          <w:lang w:val="en" w:eastAsia="en-AU"/>
        </w:rPr>
        <w:t xml:space="preserve">0mmhg) and </w:t>
      </w:r>
      <w:r w:rsidR="00D365F4">
        <w:rPr>
          <w:rFonts w:cs="Arial"/>
          <w:bCs/>
          <w:szCs w:val="24"/>
          <w:lang w:val="en" w:eastAsia="en-AU"/>
        </w:rPr>
        <w:t>Mean Arterial Pressure (</w:t>
      </w:r>
      <w:r w:rsidRPr="00CE2211">
        <w:rPr>
          <w:rFonts w:cs="Arial"/>
          <w:bCs/>
          <w:szCs w:val="24"/>
          <w:lang w:val="en" w:eastAsia="en-AU"/>
        </w:rPr>
        <w:t>MAP</w:t>
      </w:r>
      <w:r w:rsidR="00D365F4">
        <w:rPr>
          <w:rFonts w:cs="Arial"/>
          <w:bCs/>
          <w:szCs w:val="24"/>
          <w:lang w:val="en" w:eastAsia="en-AU"/>
        </w:rPr>
        <w:t>)</w:t>
      </w:r>
      <w:r w:rsidRPr="00CE2211">
        <w:rPr>
          <w:rFonts w:cs="Arial"/>
          <w:bCs/>
          <w:szCs w:val="24"/>
          <w:lang w:val="en" w:eastAsia="en-AU"/>
        </w:rPr>
        <w:t xml:space="preserve"> 90-130</w:t>
      </w:r>
      <w:r>
        <w:rPr>
          <w:rFonts w:cs="Arial"/>
          <w:bCs/>
          <w:szCs w:val="24"/>
          <w:lang w:val="en" w:eastAsia="en-AU"/>
        </w:rPr>
        <w:t xml:space="preserve"> is</w:t>
      </w:r>
      <w:r w:rsidRPr="00CE2211">
        <w:rPr>
          <w:rFonts w:cs="Arial"/>
          <w:bCs/>
          <w:szCs w:val="24"/>
          <w:lang w:val="en" w:eastAsia="en-AU"/>
        </w:rPr>
        <w:t xml:space="preserve"> </w:t>
      </w:r>
      <w:r>
        <w:rPr>
          <w:rFonts w:cs="Arial"/>
          <w:bCs/>
          <w:szCs w:val="24"/>
          <w:lang w:val="en" w:eastAsia="en-AU"/>
        </w:rPr>
        <w:t>maintained</w:t>
      </w:r>
      <w:r w:rsidRPr="00CE2211">
        <w:rPr>
          <w:rFonts w:cs="Arial"/>
          <w:bCs/>
          <w:szCs w:val="24"/>
          <w:lang w:val="en" w:eastAsia="en-AU"/>
        </w:rPr>
        <w:t xml:space="preserve"> to </w:t>
      </w:r>
      <w:r>
        <w:rPr>
          <w:rFonts w:cs="Arial"/>
          <w:bCs/>
          <w:szCs w:val="24"/>
          <w:lang w:val="en" w:eastAsia="en-AU"/>
        </w:rPr>
        <w:t>assist</w:t>
      </w:r>
      <w:r w:rsidRPr="00CE2211">
        <w:rPr>
          <w:rFonts w:cs="Arial"/>
          <w:bCs/>
          <w:szCs w:val="24"/>
          <w:lang w:val="en" w:eastAsia="en-AU"/>
        </w:rPr>
        <w:t xml:space="preserve"> blood through </w:t>
      </w:r>
      <w:r>
        <w:rPr>
          <w:rFonts w:cs="Arial"/>
          <w:bCs/>
          <w:szCs w:val="24"/>
          <w:lang w:val="en" w:eastAsia="en-AU"/>
        </w:rPr>
        <w:t>any</w:t>
      </w:r>
      <w:r w:rsidRPr="00CE2211">
        <w:rPr>
          <w:rFonts w:cs="Arial"/>
          <w:bCs/>
          <w:szCs w:val="24"/>
          <w:lang w:val="en" w:eastAsia="en-AU"/>
        </w:rPr>
        <w:t xml:space="preserve"> narrowed arteries.</w:t>
      </w:r>
      <w:r>
        <w:rPr>
          <w:rFonts w:cs="Arial"/>
          <w:bCs/>
          <w:szCs w:val="24"/>
          <w:lang w:val="en" w:eastAsia="en-AU"/>
        </w:rPr>
        <w:t xml:space="preserve"> </w:t>
      </w:r>
    </w:p>
    <w:p w14:paraId="40C41F10" w14:textId="77777777" w:rsidR="002D6B7E" w:rsidRDefault="002D6B7E" w:rsidP="00D365F4">
      <w:pPr>
        <w:spacing w:after="4"/>
        <w:ind w:right="2"/>
        <w:rPr>
          <w:rFonts w:cs="Arial"/>
          <w:bCs/>
          <w:szCs w:val="24"/>
          <w:lang w:val="en" w:eastAsia="en-AU"/>
        </w:rPr>
      </w:pPr>
    </w:p>
    <w:p w14:paraId="3EE86DF9" w14:textId="0F172379" w:rsidR="002D6B7E" w:rsidRDefault="002D6B7E" w:rsidP="00D365F4">
      <w:pPr>
        <w:spacing w:after="4"/>
        <w:ind w:right="2"/>
        <w:rPr>
          <w:rFonts w:cs="Arial"/>
          <w:bCs/>
          <w:szCs w:val="24"/>
          <w:lang w:val="en" w:eastAsia="en-AU"/>
        </w:rPr>
      </w:pPr>
      <w:r>
        <w:rPr>
          <w:rFonts w:cs="Arial"/>
          <w:b/>
          <w:bCs/>
          <w:szCs w:val="24"/>
          <w:lang w:val="en" w:eastAsia="en-AU"/>
        </w:rPr>
        <w:t xml:space="preserve">Blood Volume - </w:t>
      </w:r>
      <w:r w:rsidRPr="00CE2211">
        <w:rPr>
          <w:rFonts w:cs="Arial"/>
          <w:bCs/>
          <w:szCs w:val="24"/>
          <w:lang w:val="en" w:eastAsia="en-AU"/>
        </w:rPr>
        <w:t xml:space="preserve">patients will generally be on a fluid target of </w:t>
      </w:r>
      <w:r>
        <w:rPr>
          <w:rFonts w:cs="Arial"/>
          <w:bCs/>
          <w:szCs w:val="24"/>
          <w:lang w:val="en" w:eastAsia="en-AU"/>
        </w:rPr>
        <w:t>40m</w:t>
      </w:r>
      <w:r w:rsidR="00D365F4">
        <w:rPr>
          <w:rFonts w:cs="Arial"/>
          <w:bCs/>
          <w:szCs w:val="24"/>
          <w:lang w:val="en" w:eastAsia="en-AU"/>
        </w:rPr>
        <w:t>L</w:t>
      </w:r>
      <w:r>
        <w:rPr>
          <w:rFonts w:cs="Arial"/>
          <w:bCs/>
          <w:szCs w:val="24"/>
          <w:lang w:val="en" w:eastAsia="en-AU"/>
        </w:rPr>
        <w:t xml:space="preserve"> per kilogram</w:t>
      </w:r>
      <w:r w:rsidRPr="00CE2211">
        <w:rPr>
          <w:rFonts w:cs="Arial"/>
          <w:bCs/>
          <w:szCs w:val="24"/>
          <w:lang w:val="en" w:eastAsia="en-AU"/>
        </w:rPr>
        <w:t xml:space="preserve"> per day to </w:t>
      </w:r>
      <w:r>
        <w:rPr>
          <w:rFonts w:cs="Arial"/>
          <w:bCs/>
          <w:szCs w:val="24"/>
          <w:lang w:val="en" w:eastAsia="en-AU"/>
        </w:rPr>
        <w:t xml:space="preserve">maintain </w:t>
      </w:r>
      <w:proofErr w:type="spellStart"/>
      <w:r>
        <w:rPr>
          <w:rFonts w:cs="Arial"/>
          <w:bCs/>
          <w:szCs w:val="24"/>
          <w:lang w:val="en" w:eastAsia="en-AU"/>
        </w:rPr>
        <w:t>euvolaemia</w:t>
      </w:r>
      <w:proofErr w:type="spellEnd"/>
      <w:r w:rsidRPr="00CE2211">
        <w:rPr>
          <w:rFonts w:cs="Arial"/>
          <w:bCs/>
          <w:szCs w:val="24"/>
          <w:lang w:val="en" w:eastAsia="en-AU"/>
        </w:rPr>
        <w:t>. It is important to maintain a balance between oxygen carrying capacity and viscosity</w:t>
      </w:r>
      <w:r>
        <w:rPr>
          <w:rFonts w:cs="Arial"/>
          <w:bCs/>
          <w:szCs w:val="24"/>
          <w:lang w:val="en" w:eastAsia="en-AU"/>
        </w:rPr>
        <w:t>.</w:t>
      </w:r>
    </w:p>
    <w:p w14:paraId="75CFB608" w14:textId="77777777" w:rsidR="002D6B7E" w:rsidRDefault="002D6B7E" w:rsidP="00D365F4">
      <w:pPr>
        <w:spacing w:after="4"/>
        <w:ind w:right="2"/>
        <w:rPr>
          <w:rFonts w:cs="Arial"/>
          <w:bCs/>
          <w:szCs w:val="24"/>
          <w:lang w:val="en" w:eastAsia="en-AU"/>
        </w:rPr>
      </w:pPr>
    </w:p>
    <w:p w14:paraId="3C87432C" w14:textId="135D1ACB" w:rsidR="002D6B7E" w:rsidRPr="00777EFF" w:rsidRDefault="002D6B7E" w:rsidP="00D365F4">
      <w:pPr>
        <w:spacing w:after="4"/>
        <w:ind w:right="2"/>
        <w:rPr>
          <w:rFonts w:cs="Arial"/>
          <w:b/>
          <w:bCs/>
          <w:szCs w:val="24"/>
          <w:lang w:val="en" w:eastAsia="en-AU"/>
        </w:rPr>
      </w:pPr>
      <w:r w:rsidRPr="00777EFF">
        <w:rPr>
          <w:rFonts w:cs="Arial"/>
          <w:b/>
          <w:bCs/>
          <w:szCs w:val="24"/>
          <w:lang w:val="en" w:eastAsia="en-AU"/>
        </w:rPr>
        <w:t xml:space="preserve">Temperature </w:t>
      </w:r>
      <w:r>
        <w:rPr>
          <w:rFonts w:cs="Arial"/>
          <w:b/>
          <w:bCs/>
          <w:szCs w:val="24"/>
          <w:lang w:val="en" w:eastAsia="en-AU"/>
        </w:rPr>
        <w:t>–</w:t>
      </w:r>
      <w:r w:rsidRPr="00777EFF">
        <w:rPr>
          <w:rFonts w:cs="Arial"/>
          <w:b/>
          <w:bCs/>
          <w:szCs w:val="24"/>
          <w:lang w:val="en" w:eastAsia="en-AU"/>
        </w:rPr>
        <w:t xml:space="preserve"> </w:t>
      </w:r>
      <w:r w:rsidRPr="00777EFF">
        <w:rPr>
          <w:rFonts w:cs="Arial"/>
          <w:bCs/>
          <w:szCs w:val="24"/>
          <w:lang w:val="en" w:eastAsia="en-AU"/>
        </w:rPr>
        <w:t>the</w:t>
      </w:r>
      <w:r>
        <w:rPr>
          <w:rFonts w:cs="Arial"/>
          <w:b/>
          <w:bCs/>
          <w:szCs w:val="24"/>
          <w:lang w:val="en" w:eastAsia="en-AU"/>
        </w:rPr>
        <w:t xml:space="preserve"> </w:t>
      </w:r>
      <w:r>
        <w:t>subarachnoid space is intensely pro-inflammatory and although an increase in temperature can be due to an infective source such as pneumonia, often an infectious source is not identified. Regardless of the source, the presence of a</w:t>
      </w:r>
      <w:r>
        <w:rPr>
          <w:lang w:val="en"/>
        </w:rPr>
        <w:t xml:space="preserve"> temperature of 37.5 °C or greater at any point when</w:t>
      </w:r>
      <w:r w:rsidR="00D365F4">
        <w:rPr>
          <w:lang w:val="en"/>
        </w:rPr>
        <w:t xml:space="preserve"> a patient is</w:t>
      </w:r>
      <w:r>
        <w:rPr>
          <w:lang w:val="en"/>
        </w:rPr>
        <w:t xml:space="preserve"> critically ill trends towards a worse outcome from </w:t>
      </w:r>
      <w:proofErr w:type="spellStart"/>
      <w:r>
        <w:rPr>
          <w:lang w:val="en"/>
        </w:rPr>
        <w:t>thermotoxicity</w:t>
      </w:r>
      <w:proofErr w:type="spellEnd"/>
      <w:r>
        <w:rPr>
          <w:lang w:val="en"/>
        </w:rPr>
        <w:t xml:space="preserve">, and becomes significant at temperatures greater than 38.5 °C. Therefore, hyperthermia should be acted on immediately with </w:t>
      </w:r>
      <w:proofErr w:type="spellStart"/>
      <w:r>
        <w:rPr>
          <w:lang w:val="en"/>
        </w:rPr>
        <w:t>antipyrexials</w:t>
      </w:r>
      <w:proofErr w:type="spellEnd"/>
      <w:r>
        <w:rPr>
          <w:lang w:val="en"/>
        </w:rPr>
        <w:t xml:space="preserve"> where charted (e</w:t>
      </w:r>
      <w:r w:rsidR="00D365F4">
        <w:rPr>
          <w:lang w:val="en"/>
        </w:rPr>
        <w:t>.</w:t>
      </w:r>
      <w:r>
        <w:rPr>
          <w:lang w:val="en"/>
        </w:rPr>
        <w:t>g. paracetamol), consider septic screen</w:t>
      </w:r>
      <w:r w:rsidR="00D365F4">
        <w:rPr>
          <w:lang w:val="en"/>
        </w:rPr>
        <w:t xml:space="preserve"> for the patient</w:t>
      </w:r>
      <w:r>
        <w:rPr>
          <w:lang w:val="en"/>
        </w:rPr>
        <w:t xml:space="preserve"> if it is the first spike in temperature to investigate a possible infective source, treat infective source as soon as possible and actively cool</w:t>
      </w:r>
      <w:r w:rsidR="00D365F4">
        <w:rPr>
          <w:lang w:val="en"/>
        </w:rPr>
        <w:t xml:space="preserve"> the patient</w:t>
      </w:r>
      <w:r>
        <w:rPr>
          <w:lang w:val="en"/>
        </w:rPr>
        <w:t xml:space="preserve"> if required (in the critical care setting).</w:t>
      </w:r>
    </w:p>
    <w:p w14:paraId="55D519E6" w14:textId="77777777" w:rsidR="002D6B7E" w:rsidRDefault="002D6B7E" w:rsidP="002D6B7E">
      <w:pPr>
        <w:jc w:val="both"/>
        <w:rPr>
          <w:rFonts w:cs="Arial"/>
          <w:b/>
          <w:szCs w:val="24"/>
        </w:rPr>
      </w:pPr>
    </w:p>
    <w:p w14:paraId="6B4F7753" w14:textId="77777777" w:rsidR="002D6B7E" w:rsidRPr="00CE2211" w:rsidRDefault="002D6B7E" w:rsidP="002D6B7E">
      <w:pPr>
        <w:jc w:val="both"/>
        <w:rPr>
          <w:rFonts w:cs="Arial"/>
          <w:b/>
          <w:szCs w:val="24"/>
        </w:rPr>
      </w:pPr>
      <w:r w:rsidRPr="00CE2211">
        <w:rPr>
          <w:rFonts w:cs="Arial"/>
          <w:b/>
          <w:szCs w:val="24"/>
        </w:rPr>
        <w:t>Procedure:</w:t>
      </w:r>
    </w:p>
    <w:p w14:paraId="62A1A522" w14:textId="77777777" w:rsidR="002D6B7E" w:rsidRPr="00CE2211" w:rsidRDefault="002D6B7E" w:rsidP="00CA7C22">
      <w:pPr>
        <w:numPr>
          <w:ilvl w:val="0"/>
          <w:numId w:val="18"/>
        </w:numPr>
        <w:ind w:left="426" w:hanging="426"/>
        <w:rPr>
          <w:rFonts w:cs="Arial"/>
          <w:szCs w:val="24"/>
        </w:rPr>
      </w:pPr>
      <w:r w:rsidRPr="00CE2211">
        <w:rPr>
          <w:rFonts w:cs="Arial"/>
          <w:szCs w:val="24"/>
        </w:rPr>
        <w:t>When receiving patient into the unit, clarify haemodynamic targets from patient notes or with the neurosurgical registrar including optimal fluid intake.</w:t>
      </w:r>
    </w:p>
    <w:p w14:paraId="6E48FE76" w14:textId="77777777" w:rsidR="002D6B7E" w:rsidRPr="00CE2211" w:rsidRDefault="002D6B7E" w:rsidP="00CA7C22">
      <w:pPr>
        <w:numPr>
          <w:ilvl w:val="0"/>
          <w:numId w:val="18"/>
        </w:numPr>
        <w:ind w:left="426" w:hanging="426"/>
        <w:rPr>
          <w:rFonts w:cs="Arial"/>
          <w:szCs w:val="24"/>
        </w:rPr>
      </w:pPr>
      <w:r w:rsidRPr="00CE2211">
        <w:rPr>
          <w:rFonts w:cs="Arial"/>
          <w:szCs w:val="24"/>
        </w:rPr>
        <w:t>Educate patient and their family of fluid intake targets.</w:t>
      </w:r>
    </w:p>
    <w:p w14:paraId="0156F167" w14:textId="77777777" w:rsidR="002D6B7E" w:rsidRDefault="002D6B7E" w:rsidP="00CA7C22">
      <w:pPr>
        <w:numPr>
          <w:ilvl w:val="0"/>
          <w:numId w:val="18"/>
        </w:numPr>
        <w:ind w:left="426" w:hanging="426"/>
        <w:rPr>
          <w:rFonts w:cs="Arial"/>
          <w:szCs w:val="24"/>
        </w:rPr>
      </w:pPr>
      <w:r w:rsidRPr="00CE2211">
        <w:rPr>
          <w:rFonts w:cs="Arial"/>
          <w:szCs w:val="24"/>
        </w:rPr>
        <w:lastRenderedPageBreak/>
        <w:t>Commence strict fluid balance chart.</w:t>
      </w:r>
    </w:p>
    <w:p w14:paraId="7F77ABB2" w14:textId="77777777" w:rsidR="002D6B7E" w:rsidRPr="00CE2211" w:rsidRDefault="002D6B7E" w:rsidP="00CA7C22">
      <w:pPr>
        <w:numPr>
          <w:ilvl w:val="0"/>
          <w:numId w:val="18"/>
        </w:numPr>
        <w:ind w:left="426" w:hanging="426"/>
        <w:rPr>
          <w:rFonts w:cs="Arial"/>
          <w:szCs w:val="24"/>
        </w:rPr>
      </w:pPr>
      <w:r>
        <w:rPr>
          <w:rFonts w:cs="Arial"/>
          <w:szCs w:val="24"/>
        </w:rPr>
        <w:t>Commence daily weights, gaining baseline weight on admission.</w:t>
      </w:r>
    </w:p>
    <w:p w14:paraId="2D02BD1C" w14:textId="7DB6C1D9" w:rsidR="002D6B7E" w:rsidRPr="00CE2211" w:rsidRDefault="002D6B7E" w:rsidP="00CA7C22">
      <w:pPr>
        <w:numPr>
          <w:ilvl w:val="0"/>
          <w:numId w:val="18"/>
        </w:numPr>
        <w:ind w:left="426" w:hanging="426"/>
        <w:rPr>
          <w:rFonts w:cs="Arial"/>
          <w:szCs w:val="24"/>
        </w:rPr>
      </w:pPr>
      <w:proofErr w:type="spellStart"/>
      <w:r w:rsidRPr="00CE2211">
        <w:rPr>
          <w:rFonts w:cs="Arial"/>
          <w:szCs w:val="24"/>
        </w:rPr>
        <w:t>Haemodynamically</w:t>
      </w:r>
      <w:proofErr w:type="spellEnd"/>
      <w:r w:rsidRPr="00CE2211">
        <w:rPr>
          <w:rFonts w:cs="Arial"/>
          <w:szCs w:val="24"/>
        </w:rPr>
        <w:t xml:space="preserve"> monitor </w:t>
      </w:r>
      <w:r w:rsidR="008641FB">
        <w:rPr>
          <w:rFonts w:cs="Arial"/>
          <w:szCs w:val="24"/>
        </w:rPr>
        <w:t>the patient hourly</w:t>
      </w:r>
      <w:r w:rsidRPr="00CE2211">
        <w:rPr>
          <w:rFonts w:cs="Arial"/>
          <w:szCs w:val="24"/>
        </w:rPr>
        <w:t xml:space="preserve"> together with neurological observations, report any signs and symptoms of </w:t>
      </w:r>
      <w:r>
        <w:rPr>
          <w:rFonts w:cs="Arial"/>
          <w:szCs w:val="24"/>
        </w:rPr>
        <w:t>DCI</w:t>
      </w:r>
      <w:r w:rsidRPr="00CE2211">
        <w:rPr>
          <w:rFonts w:cs="Arial"/>
          <w:szCs w:val="24"/>
        </w:rPr>
        <w:t>.</w:t>
      </w:r>
      <w:r>
        <w:rPr>
          <w:rFonts w:cs="Arial"/>
          <w:szCs w:val="24"/>
        </w:rPr>
        <w:t xml:space="preserve"> Step down frequency of observations only in consultation with the Neurosurgical Registrar or Clinical Nurse Consultant (CNC) and never less frequently than </w:t>
      </w:r>
      <w:r w:rsidR="008641FB">
        <w:rPr>
          <w:rFonts w:cs="Arial"/>
          <w:szCs w:val="24"/>
        </w:rPr>
        <w:t>4 hourly</w:t>
      </w:r>
      <w:r>
        <w:rPr>
          <w:rFonts w:cs="Arial"/>
          <w:szCs w:val="24"/>
        </w:rPr>
        <w:t>.</w:t>
      </w:r>
    </w:p>
    <w:p w14:paraId="5D1D9A56" w14:textId="74F160CF" w:rsidR="002D6B7E" w:rsidRPr="00CE2211" w:rsidRDefault="002D6B7E" w:rsidP="00CA7C22">
      <w:pPr>
        <w:numPr>
          <w:ilvl w:val="0"/>
          <w:numId w:val="18"/>
        </w:numPr>
        <w:ind w:left="426" w:hanging="426"/>
        <w:rPr>
          <w:rFonts w:cs="Arial"/>
          <w:szCs w:val="24"/>
        </w:rPr>
      </w:pPr>
      <w:r w:rsidRPr="00CE2211">
        <w:rPr>
          <w:rFonts w:cs="Arial"/>
          <w:szCs w:val="24"/>
        </w:rPr>
        <w:t>Ensure</w:t>
      </w:r>
      <w:r w:rsidR="008641FB">
        <w:rPr>
          <w:rFonts w:cs="Arial"/>
          <w:szCs w:val="24"/>
        </w:rPr>
        <w:t xml:space="preserve"> the treating team has</w:t>
      </w:r>
      <w:r w:rsidRPr="00CE2211">
        <w:rPr>
          <w:rFonts w:cs="Arial"/>
          <w:szCs w:val="24"/>
        </w:rPr>
        <w:t xml:space="preserve"> </w:t>
      </w:r>
      <w:r w:rsidR="008641FB">
        <w:rPr>
          <w:rFonts w:cs="Arial"/>
          <w:szCs w:val="24"/>
        </w:rPr>
        <w:t xml:space="preserve">completed </w:t>
      </w:r>
      <w:r w:rsidRPr="00CE2211">
        <w:rPr>
          <w:rFonts w:cs="Arial"/>
          <w:szCs w:val="24"/>
        </w:rPr>
        <w:t xml:space="preserve">a pathology </w:t>
      </w:r>
      <w:r>
        <w:rPr>
          <w:rFonts w:cs="Arial"/>
          <w:szCs w:val="24"/>
        </w:rPr>
        <w:t>order</w:t>
      </w:r>
      <w:r w:rsidRPr="00CE2211">
        <w:rPr>
          <w:rFonts w:cs="Arial"/>
          <w:szCs w:val="24"/>
        </w:rPr>
        <w:t xml:space="preserve"> for a daily sodium level</w:t>
      </w:r>
      <w:r w:rsidR="008641FB">
        <w:rPr>
          <w:rFonts w:cs="Arial"/>
          <w:szCs w:val="24"/>
        </w:rPr>
        <w:t>. B</w:t>
      </w:r>
      <w:r w:rsidRPr="00CE2211">
        <w:rPr>
          <w:rFonts w:cs="Arial"/>
          <w:szCs w:val="24"/>
        </w:rPr>
        <w:t>lood</w:t>
      </w:r>
      <w:r w:rsidR="008641FB">
        <w:rPr>
          <w:rFonts w:cs="Arial"/>
          <w:szCs w:val="24"/>
        </w:rPr>
        <w:t xml:space="preserve"> tests</w:t>
      </w:r>
      <w:r w:rsidRPr="00CE2211">
        <w:rPr>
          <w:rFonts w:cs="Arial"/>
          <w:szCs w:val="24"/>
        </w:rPr>
        <w:t xml:space="preserve"> for patient in the N</w:t>
      </w:r>
      <w:r w:rsidR="008641FB">
        <w:rPr>
          <w:rFonts w:cs="Arial"/>
          <w:szCs w:val="24"/>
        </w:rPr>
        <w:t xml:space="preserve">eurology </w:t>
      </w:r>
      <w:r w:rsidRPr="00CE2211">
        <w:rPr>
          <w:rFonts w:cs="Arial"/>
          <w:szCs w:val="24"/>
        </w:rPr>
        <w:t>A</w:t>
      </w:r>
      <w:r w:rsidR="008641FB">
        <w:rPr>
          <w:rFonts w:cs="Arial"/>
          <w:szCs w:val="24"/>
        </w:rPr>
        <w:t xml:space="preserve">cute </w:t>
      </w:r>
      <w:r w:rsidRPr="00CE2211">
        <w:rPr>
          <w:rFonts w:cs="Arial"/>
          <w:szCs w:val="24"/>
        </w:rPr>
        <w:t>C</w:t>
      </w:r>
      <w:r w:rsidR="008641FB">
        <w:rPr>
          <w:rFonts w:cs="Arial"/>
          <w:szCs w:val="24"/>
        </w:rPr>
        <w:t xml:space="preserve">are </w:t>
      </w:r>
      <w:r w:rsidRPr="00CE2211">
        <w:rPr>
          <w:rFonts w:cs="Arial"/>
          <w:szCs w:val="24"/>
        </w:rPr>
        <w:t>U</w:t>
      </w:r>
      <w:r w:rsidR="008641FB">
        <w:rPr>
          <w:rFonts w:cs="Arial"/>
          <w:szCs w:val="24"/>
        </w:rPr>
        <w:t>nit</w:t>
      </w:r>
      <w:r w:rsidRPr="00CE2211">
        <w:rPr>
          <w:rFonts w:cs="Arial"/>
          <w:szCs w:val="24"/>
        </w:rPr>
        <w:t xml:space="preserve"> </w:t>
      </w:r>
      <w:r w:rsidR="008641FB">
        <w:rPr>
          <w:rFonts w:cs="Arial"/>
          <w:szCs w:val="24"/>
        </w:rPr>
        <w:t xml:space="preserve">(NACU) </w:t>
      </w:r>
      <w:r w:rsidRPr="00CE2211">
        <w:rPr>
          <w:rFonts w:cs="Arial"/>
          <w:szCs w:val="24"/>
        </w:rPr>
        <w:t>should be attended at 0600</w:t>
      </w:r>
      <w:r>
        <w:rPr>
          <w:rFonts w:cs="Arial"/>
          <w:szCs w:val="24"/>
        </w:rPr>
        <w:t xml:space="preserve"> and as per </w:t>
      </w:r>
      <w:r w:rsidRPr="00CA7C22">
        <w:rPr>
          <w:rFonts w:cs="Arial"/>
          <w:szCs w:val="24"/>
        </w:rPr>
        <w:t>Venepuncture Blood Specimen Collection</w:t>
      </w:r>
      <w:r w:rsidR="008641FB" w:rsidRPr="00CA7C22">
        <w:rPr>
          <w:rFonts w:cs="Arial"/>
          <w:szCs w:val="24"/>
        </w:rPr>
        <w:t xml:space="preserve"> procedure</w:t>
      </w:r>
      <w:r w:rsidRPr="00CE2211">
        <w:rPr>
          <w:rFonts w:cs="Arial"/>
          <w:szCs w:val="24"/>
        </w:rPr>
        <w:t xml:space="preserve">. If </w:t>
      </w:r>
      <w:r w:rsidR="008641FB">
        <w:rPr>
          <w:rFonts w:cs="Arial"/>
          <w:szCs w:val="24"/>
        </w:rPr>
        <w:t xml:space="preserve">the patient’s </w:t>
      </w:r>
      <w:r w:rsidRPr="00CE2211">
        <w:rPr>
          <w:rFonts w:cs="Arial"/>
          <w:szCs w:val="24"/>
        </w:rPr>
        <w:t xml:space="preserve">sodium levels are below normal </w:t>
      </w:r>
      <w:proofErr w:type="gramStart"/>
      <w:r w:rsidRPr="00CE2211">
        <w:rPr>
          <w:rFonts w:cs="Arial"/>
          <w:szCs w:val="24"/>
        </w:rPr>
        <w:t>ranges</w:t>
      </w:r>
      <w:proofErr w:type="gramEnd"/>
      <w:r w:rsidRPr="00CE2211">
        <w:rPr>
          <w:rFonts w:cs="Arial"/>
          <w:szCs w:val="24"/>
        </w:rPr>
        <w:t xml:space="preserve"> con</w:t>
      </w:r>
      <w:r>
        <w:rPr>
          <w:rFonts w:cs="Arial"/>
          <w:szCs w:val="24"/>
        </w:rPr>
        <w:t>sider paired serum/urine osmolal</w:t>
      </w:r>
      <w:r w:rsidRPr="00CE2211">
        <w:rPr>
          <w:rFonts w:cs="Arial"/>
          <w:szCs w:val="24"/>
        </w:rPr>
        <w:t>ity for differential diagnosis.</w:t>
      </w:r>
    </w:p>
    <w:p w14:paraId="53B6B3CD" w14:textId="6E01B25F" w:rsidR="002D6B7E" w:rsidRDefault="002D6B7E" w:rsidP="00CA7C22">
      <w:pPr>
        <w:numPr>
          <w:ilvl w:val="0"/>
          <w:numId w:val="18"/>
        </w:numPr>
        <w:ind w:left="426" w:hanging="426"/>
        <w:rPr>
          <w:rFonts w:cs="Arial"/>
          <w:szCs w:val="24"/>
        </w:rPr>
      </w:pPr>
      <w:r w:rsidRPr="00CE2211">
        <w:rPr>
          <w:rFonts w:cs="Arial"/>
          <w:szCs w:val="24"/>
        </w:rPr>
        <w:t xml:space="preserve">Assess </w:t>
      </w:r>
      <w:r w:rsidR="008641FB">
        <w:rPr>
          <w:rFonts w:cs="Arial"/>
          <w:szCs w:val="24"/>
        </w:rPr>
        <w:t xml:space="preserve">the patient’s </w:t>
      </w:r>
      <w:r w:rsidRPr="00CE2211">
        <w:rPr>
          <w:rFonts w:cs="Arial"/>
          <w:szCs w:val="24"/>
        </w:rPr>
        <w:t xml:space="preserve">oral intake due to drowsiness or dysphagia and consider </w:t>
      </w:r>
      <w:r>
        <w:rPr>
          <w:rFonts w:cs="Arial"/>
          <w:szCs w:val="24"/>
        </w:rPr>
        <w:t>speech pathology referral</w:t>
      </w:r>
      <w:r w:rsidRPr="00CE2211">
        <w:rPr>
          <w:rFonts w:cs="Arial"/>
          <w:szCs w:val="24"/>
        </w:rPr>
        <w:t xml:space="preserve"> </w:t>
      </w:r>
      <w:r>
        <w:rPr>
          <w:rFonts w:cs="Arial"/>
          <w:szCs w:val="24"/>
        </w:rPr>
        <w:t>and/</w:t>
      </w:r>
      <w:r w:rsidRPr="00CE2211">
        <w:rPr>
          <w:rFonts w:cs="Arial"/>
          <w:szCs w:val="24"/>
        </w:rPr>
        <w:t xml:space="preserve">or intravenous fluid supplementation if not able to meet fluid </w:t>
      </w:r>
      <w:r w:rsidR="008641FB">
        <w:rPr>
          <w:rFonts w:cs="Arial"/>
          <w:szCs w:val="24"/>
        </w:rPr>
        <w:t xml:space="preserve">intake </w:t>
      </w:r>
      <w:r w:rsidRPr="00CE2211">
        <w:rPr>
          <w:rFonts w:cs="Arial"/>
          <w:szCs w:val="24"/>
        </w:rPr>
        <w:t>targets.</w:t>
      </w:r>
    </w:p>
    <w:p w14:paraId="2F51A89F" w14:textId="799539B0" w:rsidR="007B6904" w:rsidRPr="00931B93" w:rsidRDefault="007B6904" w:rsidP="007B6904">
      <w:pPr>
        <w:rPr>
          <w:rFonts w:cs="Arial"/>
          <w:i/>
          <w:szCs w:val="24"/>
        </w:rPr>
      </w:pPr>
    </w:p>
    <w:p w14:paraId="2F51A8A0" w14:textId="77777777" w:rsidR="007B6904" w:rsidRDefault="00A94CE5" w:rsidP="007B6904">
      <w:pPr>
        <w:jc w:val="right"/>
        <w:rPr>
          <w:rFonts w:cs="Arial"/>
          <w:i/>
          <w:szCs w:val="24"/>
        </w:rPr>
      </w:pPr>
      <w:hyperlink w:anchor="Contents" w:history="1">
        <w:r w:rsidR="007B6904" w:rsidRPr="00590902">
          <w:rPr>
            <w:rStyle w:val="Hyperlink"/>
            <w:rFonts w:cs="Arial"/>
            <w:i/>
            <w:szCs w:val="24"/>
          </w:rPr>
          <w:t>Back to Table of Contents</w:t>
        </w:r>
      </w:hyperlink>
      <w:r w:rsidR="007B6904">
        <w:rPr>
          <w:rFonts w:cs="Arial"/>
          <w:i/>
          <w:szCs w:val="24"/>
        </w:rPr>
        <w:t xml:space="preserve"> </w:t>
      </w:r>
    </w:p>
    <w:p w14:paraId="2F51A8A1" w14:textId="77777777" w:rsidR="007B6904" w:rsidRDefault="007B6904" w:rsidP="007B6904">
      <w:pPr>
        <w:pStyle w:val="ProcedureTemplate"/>
        <w:framePr w:wrap="around"/>
      </w:pPr>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2F51A8A3" w14:textId="77777777" w:rsidTr="0074223E">
        <w:trPr>
          <w:cantSplit/>
          <w:trHeight w:val="285"/>
        </w:trPr>
        <w:tc>
          <w:tcPr>
            <w:tcW w:w="9158" w:type="dxa"/>
            <w:shd w:val="clear" w:color="auto" w:fill="A6A6A6" w:themeFill="background1" w:themeFillShade="A6"/>
          </w:tcPr>
          <w:p w14:paraId="2F51A8A2" w14:textId="0E188FCA" w:rsidR="007B6904" w:rsidRPr="003D2D06" w:rsidRDefault="00962C46" w:rsidP="004213C3">
            <w:pPr>
              <w:pStyle w:val="Heading1"/>
            </w:pPr>
            <w:bookmarkStart w:id="29" w:name="_Toc389473284"/>
            <w:bookmarkStart w:id="30" w:name="_Toc105081145"/>
            <w:bookmarkStart w:id="31" w:name="_Toc106348362"/>
            <w:r>
              <w:t xml:space="preserve">Section </w:t>
            </w:r>
            <w:r w:rsidR="002D6B7E">
              <w:t>3</w:t>
            </w:r>
            <w:r w:rsidR="007B6904" w:rsidRPr="003D2D06">
              <w:t xml:space="preserve"> – </w:t>
            </w:r>
            <w:bookmarkEnd w:id="29"/>
            <w:r w:rsidR="002D6B7E">
              <w:t xml:space="preserve"> Delayed Cerebral </w:t>
            </w:r>
            <w:proofErr w:type="spellStart"/>
            <w:r w:rsidR="002D6B7E">
              <w:t>Ischaemia</w:t>
            </w:r>
            <w:bookmarkEnd w:id="30"/>
            <w:bookmarkEnd w:id="31"/>
            <w:proofErr w:type="spellEnd"/>
          </w:p>
        </w:tc>
      </w:tr>
    </w:tbl>
    <w:p w14:paraId="2F51A8A4" w14:textId="77777777" w:rsidR="007B6904" w:rsidRDefault="007B6904" w:rsidP="007B6904">
      <w:pPr>
        <w:pStyle w:val="Heading2"/>
      </w:pPr>
    </w:p>
    <w:p w14:paraId="145E37E1" w14:textId="77777777" w:rsidR="002D6B7E" w:rsidRDefault="002D6B7E" w:rsidP="008641FB">
      <w:pPr>
        <w:rPr>
          <w:rFonts w:cs="Arial"/>
          <w:szCs w:val="24"/>
        </w:rPr>
      </w:pPr>
      <w:r w:rsidRPr="00CE2211">
        <w:rPr>
          <w:rFonts w:cs="Arial"/>
          <w:szCs w:val="24"/>
        </w:rPr>
        <w:t xml:space="preserve">Occurring in approximately 30% of SAH cases, </w:t>
      </w:r>
      <w:r>
        <w:rPr>
          <w:rFonts w:cs="Arial"/>
          <w:szCs w:val="24"/>
        </w:rPr>
        <w:t xml:space="preserve">delayed cerebral </w:t>
      </w:r>
      <w:proofErr w:type="spellStart"/>
      <w:r>
        <w:rPr>
          <w:rFonts w:cs="Arial"/>
          <w:szCs w:val="24"/>
        </w:rPr>
        <w:t>ischaemia</w:t>
      </w:r>
      <w:proofErr w:type="spellEnd"/>
      <w:r>
        <w:rPr>
          <w:rFonts w:cs="Arial"/>
          <w:szCs w:val="24"/>
        </w:rPr>
        <w:t xml:space="preserve"> (DCI)</w:t>
      </w:r>
      <w:r w:rsidRPr="00CE2211">
        <w:rPr>
          <w:szCs w:val="24"/>
          <w:lang w:val="en"/>
        </w:rPr>
        <w:t xml:space="preserve"> is one of the leading causes of morbidity and mortality following SAH. </w:t>
      </w:r>
      <w:r>
        <w:rPr>
          <w:szCs w:val="24"/>
          <w:lang w:val="en"/>
        </w:rPr>
        <w:t xml:space="preserve">The pathology of </w:t>
      </w:r>
      <w:r>
        <w:rPr>
          <w:rFonts w:cs="Arial"/>
          <w:szCs w:val="24"/>
        </w:rPr>
        <w:t>DCI</w:t>
      </w:r>
      <w:r w:rsidRPr="00CE2211">
        <w:rPr>
          <w:rFonts w:cs="Arial"/>
          <w:szCs w:val="24"/>
        </w:rPr>
        <w:t xml:space="preserve"> is </w:t>
      </w:r>
      <w:r>
        <w:rPr>
          <w:rFonts w:cs="Arial"/>
          <w:szCs w:val="24"/>
        </w:rPr>
        <w:t xml:space="preserve">widely unknown however the presence of oxyhaemoglobin on the external walls of the blood vessels has been implicated as well as </w:t>
      </w:r>
      <w:proofErr w:type="spellStart"/>
      <w:r>
        <w:rPr>
          <w:rFonts w:cs="Arial"/>
          <w:szCs w:val="24"/>
        </w:rPr>
        <w:t>corticol</w:t>
      </w:r>
      <w:proofErr w:type="spellEnd"/>
      <w:r>
        <w:rPr>
          <w:rFonts w:cs="Arial"/>
          <w:szCs w:val="24"/>
        </w:rPr>
        <w:t xml:space="preserve"> depolarisation with the initial haemorrhage preconditioning the cerebral cortices. </w:t>
      </w:r>
      <w:r w:rsidRPr="00CE2211">
        <w:rPr>
          <w:rFonts w:cs="Arial"/>
          <w:szCs w:val="24"/>
        </w:rPr>
        <w:t>In their irritated state</w:t>
      </w:r>
      <w:r>
        <w:rPr>
          <w:rFonts w:cs="Arial"/>
          <w:szCs w:val="24"/>
        </w:rPr>
        <w:t>,</w:t>
      </w:r>
      <w:r w:rsidRPr="00CE2211">
        <w:rPr>
          <w:rFonts w:cs="Arial"/>
          <w:szCs w:val="24"/>
        </w:rPr>
        <w:t xml:space="preserve"> the </w:t>
      </w:r>
      <w:r>
        <w:rPr>
          <w:rFonts w:cs="Arial"/>
          <w:szCs w:val="24"/>
        </w:rPr>
        <w:t xml:space="preserve">arterial muscle constricts, there is luminal inflammation and </w:t>
      </w:r>
      <w:proofErr w:type="spellStart"/>
      <w:r>
        <w:rPr>
          <w:rFonts w:cs="Arial"/>
          <w:szCs w:val="24"/>
        </w:rPr>
        <w:t>microthrombosis</w:t>
      </w:r>
      <w:proofErr w:type="spellEnd"/>
      <w:r>
        <w:rPr>
          <w:rFonts w:cs="Arial"/>
          <w:szCs w:val="24"/>
        </w:rPr>
        <w:t>,</w:t>
      </w:r>
      <w:r w:rsidRPr="00CE2211">
        <w:rPr>
          <w:rFonts w:cs="Arial"/>
          <w:szCs w:val="24"/>
        </w:rPr>
        <w:t xml:space="preserve"> </w:t>
      </w:r>
      <w:r>
        <w:rPr>
          <w:rFonts w:cs="Arial"/>
          <w:szCs w:val="24"/>
        </w:rPr>
        <w:t>arterial medial necrosis and fibrosis all resulting in</w:t>
      </w:r>
      <w:r w:rsidRPr="00CE2211">
        <w:rPr>
          <w:rFonts w:cs="Arial"/>
          <w:szCs w:val="24"/>
        </w:rPr>
        <w:t xml:space="preserve"> cerebral </w:t>
      </w:r>
      <w:proofErr w:type="spellStart"/>
      <w:r w:rsidRPr="00CE2211">
        <w:rPr>
          <w:rFonts w:cs="Arial"/>
          <w:szCs w:val="24"/>
        </w:rPr>
        <w:t>ischaemia</w:t>
      </w:r>
      <w:proofErr w:type="spellEnd"/>
      <w:r w:rsidRPr="00CE2211">
        <w:rPr>
          <w:rFonts w:cs="Arial"/>
          <w:szCs w:val="24"/>
        </w:rPr>
        <w:t xml:space="preserve"> distal to the primary injury. </w:t>
      </w:r>
    </w:p>
    <w:p w14:paraId="59FBE766" w14:textId="77777777" w:rsidR="00676B0C" w:rsidRDefault="00676B0C" w:rsidP="008641FB">
      <w:pPr>
        <w:rPr>
          <w:rFonts w:cs="Arial"/>
          <w:szCs w:val="24"/>
        </w:rPr>
      </w:pPr>
    </w:p>
    <w:p w14:paraId="7D926A08" w14:textId="790899A9" w:rsidR="002D6B7E" w:rsidRDefault="002D6B7E" w:rsidP="008641FB">
      <w:pPr>
        <w:rPr>
          <w:rFonts w:cs="Arial"/>
          <w:szCs w:val="24"/>
        </w:rPr>
      </w:pPr>
      <w:r w:rsidRPr="00CE2211">
        <w:rPr>
          <w:rFonts w:cs="Arial"/>
          <w:szCs w:val="24"/>
        </w:rPr>
        <w:t xml:space="preserve">The greatest risk for </w:t>
      </w:r>
      <w:r>
        <w:rPr>
          <w:rFonts w:cs="Arial"/>
          <w:szCs w:val="24"/>
        </w:rPr>
        <w:t>DCI</w:t>
      </w:r>
      <w:r w:rsidRPr="00CE2211">
        <w:rPr>
          <w:rFonts w:cs="Arial"/>
          <w:szCs w:val="24"/>
        </w:rPr>
        <w:t xml:space="preserve"> occurs day 3-14 post initial bleed with a peak at days 7-10 and can extend to day 21 (day of bleed = day 1).</w:t>
      </w:r>
    </w:p>
    <w:p w14:paraId="1A1A63A0" w14:textId="77777777" w:rsidR="00676B0C" w:rsidRDefault="00676B0C" w:rsidP="008641FB">
      <w:pPr>
        <w:rPr>
          <w:rFonts w:cs="Arial"/>
          <w:szCs w:val="24"/>
        </w:rPr>
      </w:pPr>
    </w:p>
    <w:p w14:paraId="74FAB70E" w14:textId="1550E256" w:rsidR="002D6B7E" w:rsidRDefault="002D6B7E" w:rsidP="008641FB">
      <w:pPr>
        <w:rPr>
          <w:rFonts w:cs="Arial"/>
          <w:szCs w:val="24"/>
        </w:rPr>
      </w:pPr>
      <w:r w:rsidRPr="00CE2211">
        <w:rPr>
          <w:rFonts w:cs="Arial"/>
          <w:szCs w:val="24"/>
        </w:rPr>
        <w:t xml:space="preserve">The </w:t>
      </w:r>
      <w:r>
        <w:rPr>
          <w:rFonts w:cs="Arial"/>
          <w:szCs w:val="24"/>
        </w:rPr>
        <w:t>angiographic diagnosis of</w:t>
      </w:r>
      <w:r w:rsidRPr="00CE2211">
        <w:rPr>
          <w:rFonts w:cs="Arial"/>
          <w:szCs w:val="24"/>
        </w:rPr>
        <w:t xml:space="preserve"> </w:t>
      </w:r>
      <w:r>
        <w:rPr>
          <w:rFonts w:cs="Arial"/>
          <w:szCs w:val="24"/>
        </w:rPr>
        <w:t>DCI</w:t>
      </w:r>
      <w:r w:rsidRPr="00CE2211">
        <w:rPr>
          <w:rFonts w:cs="Arial"/>
          <w:szCs w:val="24"/>
        </w:rPr>
        <w:t xml:space="preserve"> can only be </w:t>
      </w:r>
      <w:r>
        <w:rPr>
          <w:rFonts w:cs="Arial"/>
          <w:szCs w:val="24"/>
        </w:rPr>
        <w:t>made</w:t>
      </w:r>
      <w:r w:rsidRPr="00CE2211">
        <w:rPr>
          <w:rFonts w:cs="Arial"/>
          <w:szCs w:val="24"/>
        </w:rPr>
        <w:t xml:space="preserve"> by digital subtraction angiography (DSA)</w:t>
      </w:r>
      <w:r>
        <w:rPr>
          <w:rFonts w:cs="Arial"/>
          <w:szCs w:val="24"/>
        </w:rPr>
        <w:t xml:space="preserve"> or CT angiography (CTA) however a clinical diagnosis can be made by clinical signs and symptoms together with perfusion studies such as SPECT and CT-perfusion. </w:t>
      </w:r>
    </w:p>
    <w:p w14:paraId="5B07CD44" w14:textId="4F9ECC73" w:rsidR="00CA7C22" w:rsidRDefault="00CA7C22" w:rsidP="008641FB">
      <w:pPr>
        <w:rPr>
          <w:rFonts w:cs="Arial"/>
          <w:szCs w:val="24"/>
        </w:rPr>
      </w:pPr>
    </w:p>
    <w:p w14:paraId="1A162482" w14:textId="20076B3F" w:rsidR="00CA7C22" w:rsidRDefault="00CA7C22" w:rsidP="008641FB">
      <w:pPr>
        <w:rPr>
          <w:rFonts w:cs="Arial"/>
          <w:szCs w:val="24"/>
        </w:rPr>
      </w:pPr>
      <w:r>
        <w:rPr>
          <w:rFonts w:cs="Arial"/>
          <w:szCs w:val="24"/>
        </w:rPr>
        <w:t>Common signs and symptoms of DCI:</w:t>
      </w:r>
    </w:p>
    <w:p w14:paraId="57AA0B3B" w14:textId="6F98344A" w:rsidR="00CA7C22" w:rsidRDefault="00CA7C22" w:rsidP="00CA7C22">
      <w:pPr>
        <w:pStyle w:val="ListParagraph"/>
        <w:numPr>
          <w:ilvl w:val="0"/>
          <w:numId w:val="36"/>
        </w:numPr>
        <w:ind w:left="426" w:hanging="426"/>
        <w:rPr>
          <w:rFonts w:cs="Arial"/>
          <w:szCs w:val="24"/>
        </w:rPr>
      </w:pPr>
      <w:r>
        <w:rPr>
          <w:rFonts w:cs="Arial"/>
          <w:szCs w:val="24"/>
        </w:rPr>
        <w:t>Focal deficit (limb weakness)</w:t>
      </w:r>
    </w:p>
    <w:p w14:paraId="3D1AFEAF" w14:textId="24A511B3" w:rsidR="00CA7C22" w:rsidRDefault="00CA7C22" w:rsidP="00CA7C22">
      <w:pPr>
        <w:pStyle w:val="ListParagraph"/>
        <w:numPr>
          <w:ilvl w:val="0"/>
          <w:numId w:val="36"/>
        </w:numPr>
        <w:ind w:left="426" w:hanging="426"/>
        <w:rPr>
          <w:rFonts w:cs="Arial"/>
          <w:szCs w:val="24"/>
        </w:rPr>
      </w:pPr>
      <w:r>
        <w:rPr>
          <w:rFonts w:cs="Arial"/>
          <w:szCs w:val="24"/>
        </w:rPr>
        <w:t>Cranial nerve deficits</w:t>
      </w:r>
    </w:p>
    <w:p w14:paraId="6BA4D6A4" w14:textId="1EF19DAF" w:rsidR="00CA7C22" w:rsidRDefault="00CA7C22" w:rsidP="00CA7C22">
      <w:pPr>
        <w:pStyle w:val="ListParagraph"/>
        <w:numPr>
          <w:ilvl w:val="0"/>
          <w:numId w:val="36"/>
        </w:numPr>
        <w:ind w:left="426" w:hanging="426"/>
        <w:rPr>
          <w:rFonts w:cs="Arial"/>
          <w:szCs w:val="24"/>
        </w:rPr>
      </w:pPr>
      <w:r>
        <w:rPr>
          <w:rFonts w:cs="Arial"/>
          <w:szCs w:val="24"/>
        </w:rPr>
        <w:t>Confusion</w:t>
      </w:r>
    </w:p>
    <w:p w14:paraId="0DFBA81E" w14:textId="4A7D3EBF" w:rsidR="00CA7C22" w:rsidRDefault="00CA7C22" w:rsidP="00CA7C22">
      <w:pPr>
        <w:pStyle w:val="ListParagraph"/>
        <w:numPr>
          <w:ilvl w:val="0"/>
          <w:numId w:val="36"/>
        </w:numPr>
        <w:ind w:left="426" w:hanging="426"/>
        <w:rPr>
          <w:rFonts w:cs="Arial"/>
          <w:szCs w:val="24"/>
        </w:rPr>
      </w:pPr>
      <w:r>
        <w:rPr>
          <w:rFonts w:cs="Arial"/>
          <w:szCs w:val="24"/>
        </w:rPr>
        <w:t>Dysphasia</w:t>
      </w:r>
    </w:p>
    <w:p w14:paraId="41DD0E83" w14:textId="398A44C1" w:rsidR="00CA7C22" w:rsidRPr="00CA7C22" w:rsidRDefault="00CA7C22" w:rsidP="00CA7C22">
      <w:pPr>
        <w:pStyle w:val="ListParagraph"/>
        <w:numPr>
          <w:ilvl w:val="0"/>
          <w:numId w:val="36"/>
        </w:numPr>
        <w:ind w:left="426" w:hanging="426"/>
        <w:rPr>
          <w:rFonts w:cs="Arial"/>
          <w:szCs w:val="24"/>
        </w:rPr>
      </w:pPr>
      <w:r>
        <w:rPr>
          <w:rFonts w:cs="Arial"/>
          <w:szCs w:val="24"/>
        </w:rPr>
        <w:t>Decreased level of consciousness</w:t>
      </w:r>
    </w:p>
    <w:p w14:paraId="514D818E" w14:textId="77777777" w:rsidR="002D6B7E" w:rsidRDefault="002D6B7E" w:rsidP="002D6B7E">
      <w:pPr>
        <w:jc w:val="both"/>
        <w:rPr>
          <w:rFonts w:cs="Arial"/>
          <w:szCs w:val="24"/>
        </w:rPr>
      </w:pPr>
    </w:p>
    <w:p w14:paraId="237C1CBB" w14:textId="77777777" w:rsidR="00CA7C22" w:rsidRDefault="00CA7C22">
      <w:pPr>
        <w:spacing w:after="200" w:line="276" w:lineRule="auto"/>
        <w:rPr>
          <w:szCs w:val="24"/>
        </w:rPr>
      </w:pPr>
      <w:r>
        <w:rPr>
          <w:szCs w:val="24"/>
        </w:rPr>
        <w:br w:type="page"/>
      </w:r>
    </w:p>
    <w:p w14:paraId="10F175D2" w14:textId="78F67F3C" w:rsidR="008641FB" w:rsidRPr="00F0065C" w:rsidRDefault="008641FB" w:rsidP="008641FB">
      <w:pPr>
        <w:pBdr>
          <w:top w:val="single" w:sz="4" w:space="1" w:color="auto"/>
          <w:left w:val="single" w:sz="4" w:space="1" w:color="auto"/>
          <w:bottom w:val="single" w:sz="4" w:space="1" w:color="auto"/>
          <w:right w:val="single" w:sz="4" w:space="1" w:color="auto"/>
        </w:pBdr>
        <w:rPr>
          <w:szCs w:val="24"/>
        </w:rPr>
      </w:pPr>
      <w:r w:rsidRPr="00F0065C">
        <w:rPr>
          <w:szCs w:val="24"/>
        </w:rPr>
        <w:lastRenderedPageBreak/>
        <w:t xml:space="preserve">Observe for early signs of </w:t>
      </w:r>
      <w:r>
        <w:rPr>
          <w:rFonts w:cs="Arial"/>
          <w:szCs w:val="24"/>
        </w:rPr>
        <w:t>DCI</w:t>
      </w:r>
      <w:r w:rsidRPr="00F0065C">
        <w:rPr>
          <w:szCs w:val="24"/>
        </w:rPr>
        <w:t xml:space="preserve"> by checking for pronator drift </w:t>
      </w:r>
      <w:r>
        <w:rPr>
          <w:szCs w:val="24"/>
        </w:rPr>
        <w:t>in addition to neurological observations</w:t>
      </w:r>
      <w:r w:rsidRPr="00F0065C">
        <w:rPr>
          <w:szCs w:val="24"/>
        </w:rPr>
        <w:t>.</w:t>
      </w:r>
    </w:p>
    <w:p w14:paraId="1A41BC0E" w14:textId="77777777" w:rsidR="008641FB" w:rsidRPr="00F0065C" w:rsidRDefault="008641FB" w:rsidP="008641FB">
      <w:pPr>
        <w:pBdr>
          <w:top w:val="single" w:sz="4" w:space="1" w:color="auto"/>
          <w:left w:val="single" w:sz="4" w:space="1" w:color="auto"/>
          <w:bottom w:val="single" w:sz="4" w:space="1" w:color="auto"/>
          <w:right w:val="single" w:sz="4" w:space="1" w:color="auto"/>
        </w:pBdr>
        <w:rPr>
          <w:szCs w:val="24"/>
        </w:rPr>
      </w:pPr>
      <w:r w:rsidRPr="00F0065C">
        <w:rPr>
          <w:szCs w:val="24"/>
        </w:rPr>
        <w:t>Have the patient hold out both arms, palms up and close their eyes. Watch for one arm to fall below the other and/or one hand to pronate over (to palm down). This assessment will show early signs of weakness.</w:t>
      </w:r>
    </w:p>
    <w:p w14:paraId="4FBD8DCA" w14:textId="77777777" w:rsidR="000B2FBC" w:rsidRDefault="000B2FBC" w:rsidP="008641FB">
      <w:pPr>
        <w:jc w:val="both"/>
        <w:rPr>
          <w:rFonts w:cs="Arial"/>
          <w:b/>
          <w:szCs w:val="24"/>
        </w:rPr>
      </w:pPr>
    </w:p>
    <w:p w14:paraId="7AA5F00F" w14:textId="2D487502" w:rsidR="002D6B7E" w:rsidRPr="00CE2211" w:rsidRDefault="002D6B7E" w:rsidP="008641FB">
      <w:pPr>
        <w:jc w:val="both"/>
        <w:rPr>
          <w:rFonts w:cs="Arial"/>
          <w:b/>
          <w:szCs w:val="24"/>
        </w:rPr>
      </w:pPr>
      <w:r w:rsidRPr="00CE2211">
        <w:rPr>
          <w:rFonts w:cs="Arial"/>
          <w:b/>
          <w:szCs w:val="24"/>
        </w:rPr>
        <w:t>Procedure:</w:t>
      </w:r>
    </w:p>
    <w:p w14:paraId="4AF7593F" w14:textId="77777777" w:rsidR="002D6B7E" w:rsidRPr="004A61D6" w:rsidRDefault="002D6B7E" w:rsidP="000B2FBC">
      <w:pPr>
        <w:pStyle w:val="ListParagraph"/>
        <w:numPr>
          <w:ilvl w:val="0"/>
          <w:numId w:val="30"/>
        </w:numPr>
        <w:ind w:left="426" w:hanging="426"/>
        <w:rPr>
          <w:rFonts w:cs="Arial"/>
          <w:szCs w:val="24"/>
        </w:rPr>
      </w:pPr>
      <w:r w:rsidRPr="004A61D6">
        <w:rPr>
          <w:rFonts w:cs="Arial"/>
          <w:szCs w:val="24"/>
        </w:rPr>
        <w:t>Allocate patient into an acute care area during the risk period for DCI post SAH - ICU or 9B NACU</w:t>
      </w:r>
    </w:p>
    <w:p w14:paraId="796D72B0" w14:textId="77777777" w:rsidR="008641FB" w:rsidRDefault="002D6B7E" w:rsidP="000B2FBC">
      <w:pPr>
        <w:pStyle w:val="ListParagraph"/>
        <w:numPr>
          <w:ilvl w:val="0"/>
          <w:numId w:val="30"/>
        </w:numPr>
        <w:ind w:left="426" w:hanging="426"/>
        <w:rPr>
          <w:rFonts w:cs="Arial"/>
          <w:szCs w:val="24"/>
        </w:rPr>
      </w:pPr>
      <w:r w:rsidRPr="004A61D6">
        <w:rPr>
          <w:rFonts w:cs="Arial"/>
          <w:szCs w:val="24"/>
        </w:rPr>
        <w:t xml:space="preserve">Monitor </w:t>
      </w:r>
      <w:r w:rsidR="008641FB">
        <w:rPr>
          <w:rFonts w:cs="Arial"/>
          <w:szCs w:val="24"/>
        </w:rPr>
        <w:t xml:space="preserve">the patient </w:t>
      </w:r>
      <w:r w:rsidRPr="004A61D6">
        <w:rPr>
          <w:rFonts w:cs="Arial"/>
          <w:szCs w:val="24"/>
        </w:rPr>
        <w:t>for the above signs and symptoms including 1</w:t>
      </w:r>
      <w:r w:rsidR="008641FB">
        <w:rPr>
          <w:rFonts w:cs="Arial"/>
          <w:szCs w:val="24"/>
        </w:rPr>
        <w:t xml:space="preserve"> hourly</w:t>
      </w:r>
      <w:r w:rsidRPr="004A61D6">
        <w:rPr>
          <w:rFonts w:cs="Arial"/>
          <w:szCs w:val="24"/>
        </w:rPr>
        <w:t xml:space="preserve"> neurological observations until specified otherwise by neurosurgical registrar. </w:t>
      </w:r>
    </w:p>
    <w:p w14:paraId="0E27B203" w14:textId="142269C8" w:rsidR="002D6B7E" w:rsidRPr="004A61D6" w:rsidRDefault="002D6B7E" w:rsidP="000B2FBC">
      <w:pPr>
        <w:pStyle w:val="ListParagraph"/>
        <w:ind w:left="426" w:hanging="426"/>
        <w:rPr>
          <w:rFonts w:cs="Arial"/>
          <w:szCs w:val="24"/>
        </w:rPr>
      </w:pPr>
      <w:r w:rsidRPr="004A61D6">
        <w:rPr>
          <w:rFonts w:cs="Arial"/>
          <w:szCs w:val="24"/>
        </w:rPr>
        <w:t xml:space="preserve">Neurological observations </w:t>
      </w:r>
      <w:r w:rsidR="008641FB">
        <w:rPr>
          <w:rFonts w:cs="Arial"/>
          <w:szCs w:val="24"/>
        </w:rPr>
        <w:t xml:space="preserve">must be completed </w:t>
      </w:r>
      <w:r w:rsidRPr="004A61D6">
        <w:rPr>
          <w:rFonts w:cs="Arial"/>
          <w:szCs w:val="24"/>
        </w:rPr>
        <w:t>at a minimal frequency of 4</w:t>
      </w:r>
      <w:r w:rsidR="008641FB">
        <w:rPr>
          <w:rFonts w:cs="Arial"/>
          <w:szCs w:val="24"/>
        </w:rPr>
        <w:t xml:space="preserve"> hourly</w:t>
      </w:r>
      <w:r w:rsidRPr="004A61D6">
        <w:rPr>
          <w:rFonts w:cs="Arial"/>
          <w:szCs w:val="24"/>
        </w:rPr>
        <w:t xml:space="preserve"> for the first 21 days post bleed.</w:t>
      </w:r>
    </w:p>
    <w:p w14:paraId="23E4D4B0" w14:textId="75CDEDBB" w:rsidR="002D6B7E" w:rsidRPr="004A61D6" w:rsidRDefault="002D6B7E" w:rsidP="000B2FBC">
      <w:pPr>
        <w:pStyle w:val="ListParagraph"/>
        <w:numPr>
          <w:ilvl w:val="0"/>
          <w:numId w:val="30"/>
        </w:numPr>
        <w:ind w:left="426" w:hanging="426"/>
        <w:rPr>
          <w:rFonts w:cs="Arial"/>
          <w:szCs w:val="24"/>
        </w:rPr>
      </w:pPr>
      <w:r w:rsidRPr="004A61D6">
        <w:rPr>
          <w:rFonts w:cs="Arial"/>
          <w:szCs w:val="24"/>
        </w:rPr>
        <w:t xml:space="preserve">Report any abnormalities to the neurosurgical team immediately, if </w:t>
      </w:r>
      <w:r w:rsidR="008641FB">
        <w:rPr>
          <w:rFonts w:cs="Arial"/>
          <w:szCs w:val="24"/>
        </w:rPr>
        <w:t xml:space="preserve">the patient experiences </w:t>
      </w:r>
      <w:r w:rsidRPr="004A61D6">
        <w:rPr>
          <w:rFonts w:cs="Arial"/>
          <w:szCs w:val="24"/>
        </w:rPr>
        <w:t>a rapid drop in GCS or signs of DCI observed as outlined above, contact neurosurgical registrar immediately and consider escalating to MET call as per</w:t>
      </w:r>
      <w:r w:rsidR="008641FB">
        <w:rPr>
          <w:rFonts w:cs="Arial"/>
          <w:szCs w:val="24"/>
        </w:rPr>
        <w:t xml:space="preserve"> </w:t>
      </w:r>
      <w:r w:rsidR="008641FB">
        <w:rPr>
          <w:rFonts w:cs="Arial"/>
          <w:i/>
          <w:iCs/>
          <w:szCs w:val="24"/>
        </w:rPr>
        <w:t>Vital Signs and Early Warning Scores Procedure</w:t>
      </w:r>
      <w:r w:rsidRPr="004A61D6">
        <w:rPr>
          <w:rFonts w:cs="Arial"/>
          <w:szCs w:val="24"/>
        </w:rPr>
        <w:t>.</w:t>
      </w:r>
    </w:p>
    <w:p w14:paraId="14C71BB6" w14:textId="77777777" w:rsidR="002D6B7E" w:rsidRDefault="002D6B7E" w:rsidP="002D6B7E">
      <w:pPr>
        <w:jc w:val="both"/>
        <w:rPr>
          <w:rFonts w:cs="Arial"/>
          <w:b/>
          <w:szCs w:val="24"/>
        </w:rPr>
      </w:pPr>
    </w:p>
    <w:p w14:paraId="5D3B315F" w14:textId="78261F48" w:rsidR="002D6B7E" w:rsidRPr="008641FB" w:rsidRDefault="002D6B7E" w:rsidP="008641FB">
      <w:pPr>
        <w:pStyle w:val="Heading2"/>
      </w:pPr>
      <w:bookmarkStart w:id="32" w:name="_Toc106348363"/>
      <w:r>
        <w:t>3</w:t>
      </w:r>
      <w:r w:rsidRPr="00CE2211">
        <w:t>.1 Nimodipine Therapy</w:t>
      </w:r>
      <w:bookmarkEnd w:id="32"/>
    </w:p>
    <w:p w14:paraId="42E1E719" w14:textId="5AC16E6A" w:rsidR="002D6B7E" w:rsidRPr="00CE2211" w:rsidRDefault="002D6B7E" w:rsidP="008641FB">
      <w:pPr>
        <w:rPr>
          <w:color w:val="000000"/>
          <w:szCs w:val="24"/>
        </w:rPr>
      </w:pPr>
      <w:r w:rsidRPr="00CE2211">
        <w:rPr>
          <w:color w:val="000000"/>
          <w:szCs w:val="24"/>
        </w:rPr>
        <w:t xml:space="preserve">Nimodipine is a calcium channel blocker used as a prophylactic measure to reduce the risk of </w:t>
      </w:r>
      <w:r>
        <w:rPr>
          <w:rFonts w:cs="Arial"/>
          <w:szCs w:val="24"/>
        </w:rPr>
        <w:t>DCI</w:t>
      </w:r>
      <w:r w:rsidRPr="00CE2211">
        <w:rPr>
          <w:color w:val="000000"/>
          <w:szCs w:val="24"/>
        </w:rPr>
        <w:t xml:space="preserve"> following SAH. It has been shown to block the calcium influx through L-type calcium channels and causing vascular smooth muscle relaxation (promoting vasodilation). It is recommended at a dose of 60mg 4</w:t>
      </w:r>
      <w:r w:rsidR="008641FB">
        <w:rPr>
          <w:color w:val="000000"/>
          <w:szCs w:val="24"/>
        </w:rPr>
        <w:t xml:space="preserve"> hourly</w:t>
      </w:r>
      <w:r w:rsidRPr="00CE2211">
        <w:rPr>
          <w:color w:val="000000"/>
          <w:szCs w:val="24"/>
        </w:rPr>
        <w:t xml:space="preserve"> for 14 to 21 days post SAH.</w:t>
      </w:r>
    </w:p>
    <w:p w14:paraId="6F6B7EE6" w14:textId="77777777" w:rsidR="002D6B7E" w:rsidRPr="00CE2211" w:rsidRDefault="002D6B7E" w:rsidP="008641FB">
      <w:pPr>
        <w:rPr>
          <w:color w:val="000000"/>
          <w:szCs w:val="24"/>
        </w:rPr>
      </w:pPr>
    </w:p>
    <w:p w14:paraId="09F02F13" w14:textId="77777777" w:rsidR="002D6B7E" w:rsidRPr="00CE2211" w:rsidRDefault="002D6B7E" w:rsidP="008641FB">
      <w:pPr>
        <w:rPr>
          <w:rFonts w:cs="Arial"/>
          <w:szCs w:val="24"/>
        </w:rPr>
      </w:pPr>
      <w:r w:rsidRPr="00CE2211">
        <w:rPr>
          <w:rFonts w:cs="Arial"/>
          <w:szCs w:val="24"/>
        </w:rPr>
        <w:t>Nimodipine is contraindicated in patients with cerebral oedema and/or severely raised ICP.  Strict blood pressure monitoring should be undertaken if the patient is currently taking other antihypertensive treatment.</w:t>
      </w:r>
    </w:p>
    <w:p w14:paraId="5E4AA692" w14:textId="77777777" w:rsidR="002D6B7E" w:rsidRPr="00CE2211" w:rsidRDefault="002D6B7E" w:rsidP="002D6B7E">
      <w:pPr>
        <w:jc w:val="both"/>
        <w:rPr>
          <w:color w:val="000000"/>
          <w:szCs w:val="24"/>
        </w:rPr>
      </w:pPr>
    </w:p>
    <w:p w14:paraId="70E5117E" w14:textId="77777777" w:rsidR="002D6B7E" w:rsidRPr="00CE2211" w:rsidRDefault="002D6B7E" w:rsidP="00A12560">
      <w:pPr>
        <w:pStyle w:val="Heading2"/>
      </w:pPr>
      <w:bookmarkStart w:id="33" w:name="_Toc106348364"/>
      <w:r>
        <w:t xml:space="preserve">3.1.1 Oral Nimodipine </w:t>
      </w:r>
      <w:r w:rsidRPr="00CE2211">
        <w:t>Procedure:</w:t>
      </w:r>
      <w:bookmarkEnd w:id="33"/>
    </w:p>
    <w:p w14:paraId="1EDD028A" w14:textId="77777777" w:rsidR="002D6B7E" w:rsidRPr="00CE2211" w:rsidRDefault="002D6B7E" w:rsidP="000B2FBC">
      <w:pPr>
        <w:numPr>
          <w:ilvl w:val="6"/>
          <w:numId w:val="12"/>
        </w:numPr>
        <w:ind w:left="426" w:hanging="426"/>
        <w:rPr>
          <w:rFonts w:cs="Arial"/>
          <w:szCs w:val="24"/>
        </w:rPr>
      </w:pPr>
      <w:r w:rsidRPr="00CE2211">
        <w:rPr>
          <w:rFonts w:cs="Arial"/>
          <w:szCs w:val="24"/>
        </w:rPr>
        <w:t>Ensure the patient with a SAH has been charted Nimodipine. If not, clarify with the neurosurgical registrar.</w:t>
      </w:r>
    </w:p>
    <w:p w14:paraId="1FB7340A" w14:textId="77777777" w:rsidR="002D6B7E" w:rsidRPr="00CE2211" w:rsidRDefault="002D6B7E" w:rsidP="000B2FBC">
      <w:pPr>
        <w:numPr>
          <w:ilvl w:val="6"/>
          <w:numId w:val="12"/>
        </w:numPr>
        <w:ind w:left="426" w:hanging="426"/>
        <w:rPr>
          <w:rFonts w:cs="Arial"/>
          <w:szCs w:val="24"/>
        </w:rPr>
      </w:pPr>
      <w:r w:rsidRPr="00CE2211">
        <w:rPr>
          <w:rFonts w:cs="Arial"/>
          <w:szCs w:val="24"/>
        </w:rPr>
        <w:t>Explain</w:t>
      </w:r>
      <w:r>
        <w:rPr>
          <w:rFonts w:cs="Arial"/>
          <w:szCs w:val="24"/>
        </w:rPr>
        <w:t xml:space="preserve"> rationale of Nimodipine to</w:t>
      </w:r>
      <w:r w:rsidRPr="00CE2211">
        <w:rPr>
          <w:rFonts w:cs="Arial"/>
          <w:szCs w:val="24"/>
        </w:rPr>
        <w:t xml:space="preserve"> patient</w:t>
      </w:r>
      <w:r>
        <w:rPr>
          <w:rFonts w:cs="Arial"/>
          <w:szCs w:val="24"/>
        </w:rPr>
        <w:t xml:space="preserve"> and/or their family.</w:t>
      </w:r>
    </w:p>
    <w:p w14:paraId="5254172F" w14:textId="77777777" w:rsidR="002D6B7E" w:rsidRDefault="002D6B7E" w:rsidP="000B2FBC">
      <w:pPr>
        <w:numPr>
          <w:ilvl w:val="6"/>
          <w:numId w:val="12"/>
        </w:numPr>
        <w:ind w:left="426" w:hanging="426"/>
        <w:rPr>
          <w:rFonts w:cs="Arial"/>
          <w:szCs w:val="24"/>
        </w:rPr>
      </w:pPr>
      <w:r w:rsidRPr="00CE2211">
        <w:rPr>
          <w:rFonts w:cs="Arial"/>
          <w:szCs w:val="24"/>
        </w:rPr>
        <w:t>Attend observations to determine appropriate blood pressure for the administration of a calcium channel blocker.</w:t>
      </w:r>
    </w:p>
    <w:p w14:paraId="7F0A3EB6" w14:textId="77777777" w:rsidR="002D6B7E" w:rsidRDefault="002D6B7E" w:rsidP="002D6B7E">
      <w:pPr>
        <w:ind w:left="284"/>
        <w:jc w:val="both"/>
        <w:rPr>
          <w:rFonts w:cs="Arial"/>
          <w:szCs w:val="24"/>
        </w:rPr>
      </w:pPr>
    </w:p>
    <w:p w14:paraId="7A2587C0" w14:textId="1E3DC3B9" w:rsidR="008641FB" w:rsidRPr="00081BD8" w:rsidRDefault="008641FB" w:rsidP="008641FB">
      <w:pPr>
        <w:pBdr>
          <w:top w:val="single" w:sz="4" w:space="1" w:color="auto"/>
          <w:left w:val="single" w:sz="4" w:space="4" w:color="auto"/>
          <w:bottom w:val="single" w:sz="4" w:space="1" w:color="auto"/>
          <w:right w:val="single" w:sz="4" w:space="4" w:color="auto"/>
        </w:pBdr>
        <w:rPr>
          <w:szCs w:val="24"/>
        </w:rPr>
      </w:pPr>
      <w:r w:rsidRPr="008641FB">
        <w:rPr>
          <w:b/>
          <w:bCs/>
          <w:szCs w:val="24"/>
        </w:rPr>
        <w:t>Alert:</w:t>
      </w:r>
      <w:r>
        <w:rPr>
          <w:szCs w:val="24"/>
        </w:rPr>
        <w:t xml:space="preserve"> </w:t>
      </w:r>
      <w:r w:rsidRPr="00081BD8">
        <w:rPr>
          <w:szCs w:val="24"/>
        </w:rPr>
        <w:t xml:space="preserve">Nimodipine should </w:t>
      </w:r>
      <w:r w:rsidRPr="00081BD8">
        <w:rPr>
          <w:i/>
          <w:szCs w:val="24"/>
          <w:u w:val="single"/>
        </w:rPr>
        <w:t>NOT</w:t>
      </w:r>
      <w:r w:rsidRPr="00081BD8">
        <w:rPr>
          <w:szCs w:val="24"/>
        </w:rPr>
        <w:t xml:space="preserve"> be withheld without written documentation from the neurosurgical </w:t>
      </w:r>
      <w:r>
        <w:rPr>
          <w:szCs w:val="24"/>
        </w:rPr>
        <w:t>team</w:t>
      </w:r>
      <w:r w:rsidRPr="00081BD8">
        <w:rPr>
          <w:szCs w:val="24"/>
        </w:rPr>
        <w:t xml:space="preserve"> in consultation with a registrar. For concerns about low systolic blood pressure, Nimodipine can be prescribed as 30mg 2</w:t>
      </w:r>
      <w:r w:rsidRPr="008641FB">
        <w:rPr>
          <w:szCs w:val="24"/>
          <w:vertAlign w:val="superscript"/>
        </w:rPr>
        <w:t>nd</w:t>
      </w:r>
      <w:r>
        <w:rPr>
          <w:szCs w:val="24"/>
        </w:rPr>
        <w:t xml:space="preserve"> hourly</w:t>
      </w:r>
      <w:r w:rsidRPr="00081BD8">
        <w:rPr>
          <w:szCs w:val="24"/>
        </w:rPr>
        <w:t>.</w:t>
      </w:r>
    </w:p>
    <w:p w14:paraId="6CA3B874" w14:textId="77777777" w:rsidR="002D6B7E" w:rsidRPr="00CE2211" w:rsidRDefault="002D6B7E" w:rsidP="002D6B7E">
      <w:pPr>
        <w:jc w:val="both"/>
        <w:rPr>
          <w:rFonts w:cs="Arial"/>
          <w:szCs w:val="24"/>
        </w:rPr>
      </w:pPr>
    </w:p>
    <w:p w14:paraId="5FE83266" w14:textId="01D91519" w:rsidR="002D6B7E" w:rsidRPr="00CE2211" w:rsidRDefault="002D6B7E" w:rsidP="000B2FBC">
      <w:pPr>
        <w:numPr>
          <w:ilvl w:val="6"/>
          <w:numId w:val="12"/>
        </w:numPr>
        <w:ind w:left="426" w:hanging="426"/>
        <w:rPr>
          <w:rFonts w:cs="Arial"/>
          <w:szCs w:val="24"/>
        </w:rPr>
      </w:pPr>
      <w:r w:rsidRPr="00CE2211">
        <w:rPr>
          <w:rFonts w:cs="Arial"/>
          <w:szCs w:val="24"/>
        </w:rPr>
        <w:t xml:space="preserve">Consider any dysphagia and safety of administering oral medications, if concerned </w:t>
      </w:r>
      <w:r w:rsidR="008641FB">
        <w:rPr>
          <w:rFonts w:cs="Arial"/>
          <w:szCs w:val="24"/>
        </w:rPr>
        <w:t xml:space="preserve">about the patient’s ability to swallow </w:t>
      </w:r>
      <w:r w:rsidRPr="00CE2211">
        <w:rPr>
          <w:rFonts w:cs="Arial"/>
          <w:szCs w:val="24"/>
        </w:rPr>
        <w:t xml:space="preserve">refer </w:t>
      </w:r>
      <w:r w:rsidR="008641FB">
        <w:rPr>
          <w:rFonts w:cs="Arial"/>
          <w:szCs w:val="24"/>
        </w:rPr>
        <w:t xml:space="preserve">them </w:t>
      </w:r>
      <w:r w:rsidRPr="00CE2211">
        <w:rPr>
          <w:rFonts w:cs="Arial"/>
          <w:szCs w:val="24"/>
        </w:rPr>
        <w:t xml:space="preserve">to speech pathology and contact </w:t>
      </w:r>
      <w:r w:rsidR="008641FB">
        <w:rPr>
          <w:rFonts w:cs="Arial"/>
          <w:szCs w:val="24"/>
        </w:rPr>
        <w:t xml:space="preserve">treating </w:t>
      </w:r>
      <w:r w:rsidRPr="00CE2211">
        <w:rPr>
          <w:rFonts w:cs="Arial"/>
          <w:szCs w:val="24"/>
        </w:rPr>
        <w:t xml:space="preserve">team to change route </w:t>
      </w:r>
      <w:r w:rsidR="008641FB">
        <w:rPr>
          <w:rFonts w:cs="Arial"/>
          <w:szCs w:val="24"/>
        </w:rPr>
        <w:t xml:space="preserve">of nimodipine </w:t>
      </w:r>
      <w:r w:rsidRPr="00CE2211">
        <w:rPr>
          <w:rFonts w:cs="Arial"/>
          <w:szCs w:val="24"/>
        </w:rPr>
        <w:t>to intravenous or consider nasogastric tube.</w:t>
      </w:r>
    </w:p>
    <w:p w14:paraId="69E2616C" w14:textId="73A77A58" w:rsidR="002D6B7E" w:rsidRPr="00CE2211" w:rsidRDefault="002D6B7E" w:rsidP="000B2FBC">
      <w:pPr>
        <w:numPr>
          <w:ilvl w:val="6"/>
          <w:numId w:val="12"/>
        </w:numPr>
        <w:ind w:left="426" w:hanging="426"/>
        <w:rPr>
          <w:rFonts w:cs="Arial"/>
          <w:szCs w:val="24"/>
        </w:rPr>
      </w:pPr>
      <w:r w:rsidRPr="00CE2211">
        <w:rPr>
          <w:rFonts w:cs="Arial"/>
          <w:szCs w:val="24"/>
        </w:rPr>
        <w:t xml:space="preserve">Dispense and administer Nimodipine as prescribed adhering to </w:t>
      </w:r>
      <w:r w:rsidRPr="008641FB">
        <w:rPr>
          <w:rFonts w:cs="Arial"/>
          <w:i/>
          <w:iCs/>
          <w:szCs w:val="24"/>
        </w:rPr>
        <w:t>Medication Handling Polic</w:t>
      </w:r>
      <w:r w:rsidR="008641FB">
        <w:rPr>
          <w:rFonts w:cs="Arial"/>
          <w:i/>
          <w:iCs/>
          <w:szCs w:val="24"/>
        </w:rPr>
        <w:t>y</w:t>
      </w:r>
    </w:p>
    <w:p w14:paraId="6A8053B7" w14:textId="09965F67" w:rsidR="002D6B7E" w:rsidRDefault="002D6B7E" w:rsidP="000B2FBC">
      <w:pPr>
        <w:numPr>
          <w:ilvl w:val="6"/>
          <w:numId w:val="12"/>
        </w:numPr>
        <w:ind w:left="426" w:hanging="426"/>
        <w:rPr>
          <w:rFonts w:cs="Arial"/>
          <w:szCs w:val="24"/>
        </w:rPr>
      </w:pPr>
      <w:r w:rsidRPr="00CE2211">
        <w:rPr>
          <w:rFonts w:cs="Arial"/>
          <w:szCs w:val="24"/>
        </w:rPr>
        <w:lastRenderedPageBreak/>
        <w:t>Continue to monitor</w:t>
      </w:r>
      <w:r w:rsidR="008641FB">
        <w:rPr>
          <w:rFonts w:cs="Arial"/>
          <w:szCs w:val="24"/>
        </w:rPr>
        <w:t xml:space="preserve"> the patient</w:t>
      </w:r>
      <w:r w:rsidRPr="00CE2211">
        <w:rPr>
          <w:rFonts w:cs="Arial"/>
          <w:szCs w:val="24"/>
        </w:rPr>
        <w:t xml:space="preserve"> to ensure the</w:t>
      </w:r>
      <w:r w:rsidR="008641FB">
        <w:rPr>
          <w:rFonts w:cs="Arial"/>
          <w:szCs w:val="24"/>
        </w:rPr>
        <w:t>y</w:t>
      </w:r>
      <w:r w:rsidRPr="00CE2211">
        <w:rPr>
          <w:rFonts w:cs="Arial"/>
          <w:szCs w:val="24"/>
        </w:rPr>
        <w:t xml:space="preserve"> remain </w:t>
      </w:r>
      <w:proofErr w:type="spellStart"/>
      <w:r w:rsidRPr="00CE2211">
        <w:rPr>
          <w:rFonts w:cs="Arial"/>
          <w:szCs w:val="24"/>
        </w:rPr>
        <w:t>haemodynamically</w:t>
      </w:r>
      <w:proofErr w:type="spellEnd"/>
      <w:r w:rsidRPr="00CE2211">
        <w:rPr>
          <w:rFonts w:cs="Arial"/>
          <w:szCs w:val="24"/>
        </w:rPr>
        <w:t xml:space="preserve"> stable post administration.</w:t>
      </w:r>
    </w:p>
    <w:p w14:paraId="68D6AD3C" w14:textId="77777777" w:rsidR="008641FB" w:rsidRPr="008641FB" w:rsidRDefault="008641FB" w:rsidP="008641FB">
      <w:pPr>
        <w:ind w:left="284"/>
        <w:rPr>
          <w:rFonts w:cs="Arial"/>
          <w:szCs w:val="24"/>
        </w:rPr>
      </w:pPr>
    </w:p>
    <w:p w14:paraId="3E4BBBC3" w14:textId="4EEF14F1" w:rsidR="002D6B7E" w:rsidRPr="008641FB" w:rsidRDefault="002D6B7E" w:rsidP="008641FB">
      <w:pPr>
        <w:pStyle w:val="Heading2"/>
      </w:pPr>
      <w:bookmarkStart w:id="34" w:name="_Toc106348365"/>
      <w:r>
        <w:t xml:space="preserve">3.1.2 Intravenous </w:t>
      </w:r>
      <w:r w:rsidRPr="00AD134B">
        <w:t>Nimodipine Infusion</w:t>
      </w:r>
      <w:r>
        <w:t xml:space="preserve"> Procedure</w:t>
      </w:r>
      <w:bookmarkEnd w:id="34"/>
    </w:p>
    <w:p w14:paraId="7A6EED5F" w14:textId="77777777" w:rsidR="002D6B7E" w:rsidRPr="00B35ACB" w:rsidRDefault="002D6B7E" w:rsidP="000B2FBC">
      <w:pPr>
        <w:pStyle w:val="ListParagraph"/>
        <w:numPr>
          <w:ilvl w:val="0"/>
          <w:numId w:val="23"/>
        </w:numPr>
        <w:ind w:left="426" w:hanging="426"/>
        <w:rPr>
          <w:rFonts w:eastAsiaTheme="minorHAnsi"/>
        </w:rPr>
      </w:pPr>
      <w:r>
        <w:rPr>
          <w:rFonts w:eastAsiaTheme="minorHAnsi"/>
        </w:rPr>
        <w:t>I</w:t>
      </w:r>
      <w:r w:rsidRPr="00B35ACB">
        <w:rPr>
          <w:rFonts w:eastAsiaTheme="minorHAnsi"/>
        </w:rPr>
        <w:t>n the clinical environment with continuous BP monitoring, IV Nimodipine may be prescribed.</w:t>
      </w:r>
    </w:p>
    <w:p w14:paraId="0C9544EF" w14:textId="77777777" w:rsidR="002D6B7E" w:rsidRPr="00B35ACB" w:rsidRDefault="002D6B7E" w:rsidP="000B2FBC">
      <w:pPr>
        <w:pStyle w:val="ListParagraph"/>
        <w:numPr>
          <w:ilvl w:val="0"/>
          <w:numId w:val="23"/>
        </w:numPr>
        <w:ind w:left="426" w:hanging="426"/>
        <w:rPr>
          <w:rFonts w:eastAsiaTheme="minorHAnsi"/>
        </w:rPr>
      </w:pPr>
      <w:r w:rsidRPr="00B35ACB">
        <w:rPr>
          <w:rFonts w:eastAsiaTheme="minorHAnsi"/>
        </w:rPr>
        <w:t>Administer as per the table below.</w:t>
      </w:r>
    </w:p>
    <w:p w14:paraId="2BB352D7" w14:textId="77777777" w:rsidR="008641FB" w:rsidRPr="00B35ACB" w:rsidRDefault="008641FB" w:rsidP="002D6B7E">
      <w:pPr>
        <w:rPr>
          <w:rFonts w:eastAsiaTheme="minorHAnsi"/>
        </w:rPr>
      </w:pPr>
    </w:p>
    <w:tbl>
      <w:tblPr>
        <w:tblStyle w:val="TableGrid1"/>
        <w:tblpPr w:leftFromText="180" w:rightFromText="180" w:vertAnchor="text" w:horzAnchor="page" w:tblpX="1459" w:tblpY="79"/>
        <w:tblW w:w="9209" w:type="dxa"/>
        <w:tblLook w:val="04A0" w:firstRow="1" w:lastRow="0" w:firstColumn="1" w:lastColumn="0" w:noHBand="0" w:noVBand="1"/>
      </w:tblPr>
      <w:tblGrid>
        <w:gridCol w:w="1383"/>
        <w:gridCol w:w="1415"/>
        <w:gridCol w:w="1612"/>
        <w:gridCol w:w="1754"/>
        <w:gridCol w:w="1769"/>
        <w:gridCol w:w="1276"/>
      </w:tblGrid>
      <w:tr w:rsidR="002D6B7E" w:rsidRPr="00B35ACB" w14:paraId="2DE993E5" w14:textId="77777777" w:rsidTr="000B2FBC">
        <w:tc>
          <w:tcPr>
            <w:tcW w:w="1383" w:type="dxa"/>
          </w:tcPr>
          <w:p w14:paraId="004C2CEC" w14:textId="77777777" w:rsidR="002D6B7E" w:rsidRPr="000B2FBC" w:rsidRDefault="002D6B7E" w:rsidP="000B2FBC">
            <w:pPr>
              <w:ind w:left="-397" w:firstLine="426"/>
              <w:rPr>
                <w:b/>
                <w:sz w:val="23"/>
                <w:szCs w:val="23"/>
              </w:rPr>
            </w:pPr>
            <w:r w:rsidRPr="000B2FBC">
              <w:rPr>
                <w:b/>
                <w:sz w:val="23"/>
                <w:szCs w:val="23"/>
              </w:rPr>
              <w:t>Medication</w:t>
            </w:r>
          </w:p>
        </w:tc>
        <w:tc>
          <w:tcPr>
            <w:tcW w:w="1415" w:type="dxa"/>
          </w:tcPr>
          <w:p w14:paraId="05641CA6" w14:textId="77777777" w:rsidR="002D6B7E" w:rsidRPr="000B2FBC" w:rsidRDefault="002D6B7E" w:rsidP="000B2FBC">
            <w:pPr>
              <w:rPr>
                <w:b/>
                <w:sz w:val="23"/>
                <w:szCs w:val="23"/>
              </w:rPr>
            </w:pPr>
            <w:r w:rsidRPr="000B2FBC">
              <w:rPr>
                <w:b/>
                <w:sz w:val="23"/>
                <w:szCs w:val="23"/>
              </w:rPr>
              <w:t>Indication/s</w:t>
            </w:r>
          </w:p>
        </w:tc>
        <w:tc>
          <w:tcPr>
            <w:tcW w:w="1612" w:type="dxa"/>
          </w:tcPr>
          <w:p w14:paraId="6CABC7A6" w14:textId="77777777" w:rsidR="002D6B7E" w:rsidRPr="000B2FBC" w:rsidRDefault="002D6B7E" w:rsidP="000B2FBC">
            <w:pPr>
              <w:rPr>
                <w:b/>
                <w:sz w:val="23"/>
                <w:szCs w:val="23"/>
              </w:rPr>
            </w:pPr>
            <w:r w:rsidRPr="000B2FBC">
              <w:rPr>
                <w:b/>
                <w:sz w:val="23"/>
                <w:szCs w:val="23"/>
              </w:rPr>
              <w:t>Infusion concentration</w:t>
            </w:r>
          </w:p>
        </w:tc>
        <w:tc>
          <w:tcPr>
            <w:tcW w:w="1754" w:type="dxa"/>
          </w:tcPr>
          <w:p w14:paraId="15170E20" w14:textId="77777777" w:rsidR="002D6B7E" w:rsidRPr="000B2FBC" w:rsidRDefault="002D6B7E" w:rsidP="000B2FBC">
            <w:pPr>
              <w:rPr>
                <w:b/>
                <w:sz w:val="23"/>
                <w:szCs w:val="23"/>
              </w:rPr>
            </w:pPr>
            <w:r w:rsidRPr="000B2FBC">
              <w:rPr>
                <w:b/>
                <w:sz w:val="23"/>
                <w:szCs w:val="23"/>
              </w:rPr>
              <w:t>Compatible fluids</w:t>
            </w:r>
          </w:p>
        </w:tc>
        <w:tc>
          <w:tcPr>
            <w:tcW w:w="1769" w:type="dxa"/>
          </w:tcPr>
          <w:p w14:paraId="308594A7" w14:textId="77777777" w:rsidR="002D6B7E" w:rsidRPr="000B2FBC" w:rsidRDefault="002D6B7E" w:rsidP="000B2FBC">
            <w:pPr>
              <w:rPr>
                <w:b/>
                <w:sz w:val="23"/>
                <w:szCs w:val="23"/>
              </w:rPr>
            </w:pPr>
            <w:r w:rsidRPr="000B2FBC">
              <w:rPr>
                <w:b/>
                <w:sz w:val="23"/>
                <w:szCs w:val="23"/>
              </w:rPr>
              <w:t xml:space="preserve">Infusion rate </w:t>
            </w:r>
          </w:p>
          <w:p w14:paraId="0FA498E5" w14:textId="77777777" w:rsidR="002D6B7E" w:rsidRPr="000B2FBC" w:rsidRDefault="002D6B7E" w:rsidP="000B2FBC">
            <w:pPr>
              <w:rPr>
                <w:b/>
                <w:sz w:val="23"/>
                <w:szCs w:val="23"/>
              </w:rPr>
            </w:pPr>
            <w:r w:rsidRPr="000B2FBC">
              <w:rPr>
                <w:b/>
                <w:sz w:val="23"/>
                <w:szCs w:val="23"/>
              </w:rPr>
              <w:t>(range)</w:t>
            </w:r>
          </w:p>
        </w:tc>
        <w:tc>
          <w:tcPr>
            <w:tcW w:w="1276" w:type="dxa"/>
          </w:tcPr>
          <w:p w14:paraId="388A54F2" w14:textId="77777777" w:rsidR="002D6B7E" w:rsidRPr="000B2FBC" w:rsidRDefault="002D6B7E" w:rsidP="000B2FBC">
            <w:pPr>
              <w:rPr>
                <w:b/>
                <w:sz w:val="23"/>
                <w:szCs w:val="23"/>
              </w:rPr>
            </w:pPr>
            <w:r w:rsidRPr="000B2FBC">
              <w:rPr>
                <w:b/>
                <w:sz w:val="23"/>
                <w:szCs w:val="23"/>
              </w:rPr>
              <w:t>Comments</w:t>
            </w:r>
          </w:p>
        </w:tc>
      </w:tr>
      <w:tr w:rsidR="002D6B7E" w:rsidRPr="00B35ACB" w14:paraId="2EEB7BBB" w14:textId="77777777" w:rsidTr="000B2FBC">
        <w:tc>
          <w:tcPr>
            <w:tcW w:w="1383" w:type="dxa"/>
          </w:tcPr>
          <w:p w14:paraId="74DB72B5" w14:textId="77777777" w:rsidR="002D6B7E" w:rsidRPr="000B2FBC" w:rsidRDefault="002D6B7E" w:rsidP="000B2FBC">
            <w:pPr>
              <w:rPr>
                <w:rFonts w:eastAsia="Calibri"/>
                <w:sz w:val="23"/>
                <w:szCs w:val="23"/>
              </w:rPr>
            </w:pPr>
            <w:r w:rsidRPr="000B2FBC">
              <w:rPr>
                <w:rFonts w:eastAsia="Calibri"/>
                <w:sz w:val="23"/>
                <w:szCs w:val="23"/>
              </w:rPr>
              <w:t>Nimodipine</w:t>
            </w:r>
          </w:p>
          <w:p w14:paraId="21CC84A3" w14:textId="77777777" w:rsidR="002D6B7E" w:rsidRPr="000B2FBC" w:rsidRDefault="002D6B7E" w:rsidP="000B2FBC">
            <w:pPr>
              <w:rPr>
                <w:rFonts w:eastAsia="Calibri"/>
                <w:b/>
                <w:sz w:val="23"/>
                <w:szCs w:val="23"/>
              </w:rPr>
            </w:pPr>
          </w:p>
          <w:p w14:paraId="3E0936DC" w14:textId="77777777" w:rsidR="002D6B7E" w:rsidRPr="000B2FBC" w:rsidRDefault="002D6B7E" w:rsidP="000B2FBC">
            <w:pPr>
              <w:rPr>
                <w:rFonts w:eastAsia="Calibri"/>
                <w:b/>
                <w:sz w:val="23"/>
                <w:szCs w:val="23"/>
              </w:rPr>
            </w:pPr>
          </w:p>
          <w:p w14:paraId="028A6101" w14:textId="77777777" w:rsidR="002D6B7E" w:rsidRPr="000B2FBC" w:rsidRDefault="002D6B7E" w:rsidP="000B2FBC">
            <w:pPr>
              <w:rPr>
                <w:rFonts w:eastAsia="Calibri"/>
                <w:sz w:val="23"/>
                <w:szCs w:val="23"/>
              </w:rPr>
            </w:pPr>
            <w:r w:rsidRPr="000B2FBC">
              <w:rPr>
                <w:rFonts w:eastAsia="Calibri"/>
                <w:b/>
                <w:sz w:val="23"/>
                <w:szCs w:val="23"/>
              </w:rPr>
              <w:t>CVAD ONLY</w:t>
            </w:r>
            <w:r w:rsidRPr="000B2FBC">
              <w:rPr>
                <w:rFonts w:eastAsia="Calibri"/>
                <w:sz w:val="23"/>
                <w:szCs w:val="23"/>
              </w:rPr>
              <w:t xml:space="preserve"> </w:t>
            </w:r>
          </w:p>
        </w:tc>
        <w:tc>
          <w:tcPr>
            <w:tcW w:w="1415" w:type="dxa"/>
          </w:tcPr>
          <w:p w14:paraId="11B816FE" w14:textId="77777777" w:rsidR="002D6B7E" w:rsidRPr="000B2FBC" w:rsidRDefault="002D6B7E" w:rsidP="000B2FBC">
            <w:pPr>
              <w:rPr>
                <w:rFonts w:eastAsia="Calibri"/>
                <w:sz w:val="23"/>
                <w:szCs w:val="23"/>
              </w:rPr>
            </w:pPr>
            <w:r w:rsidRPr="000B2FBC">
              <w:rPr>
                <w:rFonts w:cs="Arial"/>
                <w:sz w:val="23"/>
                <w:szCs w:val="23"/>
              </w:rPr>
              <w:t>DCI</w:t>
            </w:r>
          </w:p>
        </w:tc>
        <w:tc>
          <w:tcPr>
            <w:tcW w:w="1612" w:type="dxa"/>
          </w:tcPr>
          <w:p w14:paraId="5E56C785" w14:textId="77777777" w:rsidR="002D6B7E" w:rsidRPr="000B2FBC" w:rsidRDefault="002D6B7E" w:rsidP="000B2FBC">
            <w:pPr>
              <w:rPr>
                <w:rFonts w:eastAsia="Calibri"/>
                <w:sz w:val="23"/>
                <w:szCs w:val="23"/>
              </w:rPr>
            </w:pPr>
            <w:r w:rsidRPr="000B2FBC">
              <w:rPr>
                <w:rFonts w:eastAsia="Calibri"/>
                <w:sz w:val="23"/>
                <w:szCs w:val="23"/>
              </w:rPr>
              <w:t>Pre-prepared</w:t>
            </w:r>
          </w:p>
          <w:p w14:paraId="42312178" w14:textId="77777777" w:rsidR="002D6B7E" w:rsidRPr="000B2FBC" w:rsidRDefault="002D6B7E" w:rsidP="000B2FBC">
            <w:pPr>
              <w:rPr>
                <w:rFonts w:eastAsia="Calibri"/>
                <w:sz w:val="23"/>
                <w:szCs w:val="23"/>
              </w:rPr>
            </w:pPr>
            <w:r w:rsidRPr="000B2FBC">
              <w:rPr>
                <w:rFonts w:eastAsia="Calibri"/>
                <w:sz w:val="23"/>
                <w:szCs w:val="23"/>
              </w:rPr>
              <w:t xml:space="preserve"> </w:t>
            </w:r>
          </w:p>
        </w:tc>
        <w:tc>
          <w:tcPr>
            <w:tcW w:w="1754" w:type="dxa"/>
          </w:tcPr>
          <w:p w14:paraId="71DDBE80" w14:textId="77777777" w:rsidR="002D6B7E" w:rsidRPr="000B2FBC" w:rsidRDefault="002D6B7E" w:rsidP="000B2FBC">
            <w:pPr>
              <w:rPr>
                <w:rFonts w:eastAsia="Calibri"/>
                <w:sz w:val="23"/>
                <w:szCs w:val="23"/>
              </w:rPr>
            </w:pPr>
            <w:r w:rsidRPr="000B2FBC">
              <w:rPr>
                <w:rFonts w:eastAsia="Calibri"/>
                <w:sz w:val="23"/>
                <w:szCs w:val="23"/>
              </w:rPr>
              <w:t>Must run a sideline of compatible fluid:</w:t>
            </w:r>
          </w:p>
          <w:p w14:paraId="62E22065" w14:textId="77777777" w:rsidR="002D6B7E" w:rsidRPr="000B2FBC" w:rsidRDefault="002D6B7E" w:rsidP="000B2FBC">
            <w:pPr>
              <w:rPr>
                <w:rFonts w:eastAsia="Calibri"/>
                <w:sz w:val="23"/>
                <w:szCs w:val="23"/>
              </w:rPr>
            </w:pPr>
            <w:r w:rsidRPr="000B2FBC">
              <w:rPr>
                <w:rFonts w:eastAsia="Calibri"/>
                <w:sz w:val="23"/>
                <w:szCs w:val="23"/>
              </w:rPr>
              <w:t>NaCl 0.9%</w:t>
            </w:r>
          </w:p>
          <w:p w14:paraId="1801B21D" w14:textId="77777777" w:rsidR="002D6B7E" w:rsidRPr="000B2FBC" w:rsidRDefault="002D6B7E" w:rsidP="000B2FBC">
            <w:pPr>
              <w:rPr>
                <w:rFonts w:eastAsia="Calibri"/>
                <w:sz w:val="23"/>
                <w:szCs w:val="23"/>
              </w:rPr>
            </w:pPr>
            <w:r w:rsidRPr="000B2FBC">
              <w:rPr>
                <w:rFonts w:eastAsia="Calibri"/>
                <w:sz w:val="23"/>
                <w:szCs w:val="23"/>
              </w:rPr>
              <w:t>Glucose 5%</w:t>
            </w:r>
          </w:p>
          <w:p w14:paraId="141AB9D6" w14:textId="77777777" w:rsidR="002D6B7E" w:rsidRPr="000B2FBC" w:rsidRDefault="002D6B7E" w:rsidP="000B2FBC">
            <w:pPr>
              <w:rPr>
                <w:rFonts w:eastAsia="Calibri"/>
                <w:sz w:val="23"/>
                <w:szCs w:val="23"/>
              </w:rPr>
            </w:pPr>
          </w:p>
          <w:p w14:paraId="6057FC2A" w14:textId="77777777" w:rsidR="002D6B7E" w:rsidRPr="000B2FBC" w:rsidRDefault="002D6B7E" w:rsidP="000B2FBC">
            <w:pPr>
              <w:rPr>
                <w:rFonts w:eastAsia="Calibri"/>
                <w:sz w:val="23"/>
                <w:szCs w:val="23"/>
              </w:rPr>
            </w:pPr>
            <w:r w:rsidRPr="000B2FBC">
              <w:rPr>
                <w:rFonts w:eastAsia="Calibri"/>
                <w:sz w:val="23"/>
                <w:szCs w:val="23"/>
              </w:rPr>
              <w:t xml:space="preserve">(NOTE: Glucose may be contraindicated in patients with a SAH – confirm with Neurosurgical team prior to administering IV Glucose) </w:t>
            </w:r>
          </w:p>
        </w:tc>
        <w:tc>
          <w:tcPr>
            <w:tcW w:w="1769" w:type="dxa"/>
          </w:tcPr>
          <w:p w14:paraId="2A71C4A8" w14:textId="77777777" w:rsidR="002D6B7E" w:rsidRPr="000B2FBC" w:rsidRDefault="002D6B7E" w:rsidP="000B2FBC">
            <w:pPr>
              <w:rPr>
                <w:rFonts w:eastAsia="Calibri"/>
                <w:sz w:val="23"/>
                <w:szCs w:val="23"/>
              </w:rPr>
            </w:pPr>
            <w:r w:rsidRPr="000B2FBC">
              <w:rPr>
                <w:rFonts w:eastAsia="Calibri"/>
                <w:sz w:val="23"/>
                <w:szCs w:val="23"/>
              </w:rPr>
              <w:t xml:space="preserve">0.5-2mg/hr with sideline of fluid (4x the rate) </w:t>
            </w:r>
          </w:p>
          <w:p w14:paraId="69921BFF" w14:textId="77777777" w:rsidR="002D6B7E" w:rsidRPr="000B2FBC" w:rsidRDefault="002D6B7E" w:rsidP="000B2FBC">
            <w:pPr>
              <w:rPr>
                <w:rFonts w:eastAsia="Calibri"/>
                <w:sz w:val="23"/>
                <w:szCs w:val="23"/>
              </w:rPr>
            </w:pPr>
          </w:p>
          <w:p w14:paraId="254903F8" w14:textId="06EEA062" w:rsidR="002D6B7E" w:rsidRPr="000B2FBC" w:rsidRDefault="002D6B7E" w:rsidP="000B2FBC">
            <w:pPr>
              <w:rPr>
                <w:rFonts w:eastAsia="Calibri"/>
                <w:sz w:val="23"/>
                <w:szCs w:val="23"/>
              </w:rPr>
            </w:pPr>
            <w:proofErr w:type="spellStart"/>
            <w:r w:rsidRPr="000B2FBC">
              <w:rPr>
                <w:rFonts w:eastAsia="Calibri"/>
                <w:sz w:val="23"/>
                <w:szCs w:val="23"/>
              </w:rPr>
              <w:t>i</w:t>
            </w:r>
            <w:r w:rsidR="00C54E7D" w:rsidRPr="000B2FBC">
              <w:rPr>
                <w:rFonts w:eastAsia="Calibri"/>
                <w:sz w:val="23"/>
                <w:szCs w:val="23"/>
              </w:rPr>
              <w:t>.</w:t>
            </w:r>
            <w:r w:rsidRPr="000B2FBC">
              <w:rPr>
                <w:rFonts w:eastAsia="Calibri"/>
                <w:sz w:val="23"/>
                <w:szCs w:val="23"/>
              </w:rPr>
              <w:t>e</w:t>
            </w:r>
            <w:proofErr w:type="spellEnd"/>
            <w:r w:rsidRPr="000B2FBC">
              <w:rPr>
                <w:rFonts w:eastAsia="Calibri"/>
                <w:sz w:val="23"/>
                <w:szCs w:val="23"/>
              </w:rPr>
              <w:t xml:space="preserve"> nimodipine at 2.5</w:t>
            </w:r>
            <w:r w:rsidR="00C54E7D" w:rsidRPr="000B2FBC">
              <w:rPr>
                <w:rFonts w:eastAsia="Calibri"/>
                <w:sz w:val="23"/>
                <w:szCs w:val="23"/>
              </w:rPr>
              <w:t>mL</w:t>
            </w:r>
            <w:r w:rsidRPr="000B2FBC">
              <w:rPr>
                <w:rFonts w:eastAsia="Calibri"/>
                <w:sz w:val="23"/>
                <w:szCs w:val="23"/>
              </w:rPr>
              <w:t>/hr requires sideline fluids at rate of 10m</w:t>
            </w:r>
            <w:r w:rsidR="00C54E7D" w:rsidRPr="000B2FBC">
              <w:rPr>
                <w:rFonts w:eastAsia="Calibri"/>
                <w:sz w:val="23"/>
                <w:szCs w:val="23"/>
              </w:rPr>
              <w:t>L</w:t>
            </w:r>
            <w:r w:rsidRPr="000B2FBC">
              <w:rPr>
                <w:rFonts w:eastAsia="Calibri"/>
                <w:sz w:val="23"/>
                <w:szCs w:val="23"/>
              </w:rPr>
              <w:t>/hr</w:t>
            </w:r>
          </w:p>
          <w:p w14:paraId="7D29FE02" w14:textId="77777777" w:rsidR="002D6B7E" w:rsidRPr="000B2FBC" w:rsidRDefault="002D6B7E" w:rsidP="000B2FBC">
            <w:pPr>
              <w:rPr>
                <w:rFonts w:eastAsia="Calibri"/>
                <w:sz w:val="23"/>
                <w:szCs w:val="23"/>
              </w:rPr>
            </w:pPr>
          </w:p>
        </w:tc>
        <w:tc>
          <w:tcPr>
            <w:tcW w:w="1276" w:type="dxa"/>
          </w:tcPr>
          <w:p w14:paraId="4F02866A" w14:textId="77777777" w:rsidR="002D6B7E" w:rsidRPr="000B2FBC" w:rsidRDefault="002D6B7E" w:rsidP="000B2FBC">
            <w:pPr>
              <w:rPr>
                <w:rFonts w:eastAsia="Calibri"/>
                <w:sz w:val="23"/>
                <w:szCs w:val="23"/>
              </w:rPr>
            </w:pPr>
            <w:r w:rsidRPr="000B2FBC">
              <w:rPr>
                <w:rFonts w:eastAsia="Calibri"/>
                <w:sz w:val="23"/>
                <w:szCs w:val="23"/>
              </w:rPr>
              <w:t>Do not mix with other drugs</w:t>
            </w:r>
          </w:p>
        </w:tc>
      </w:tr>
    </w:tbl>
    <w:p w14:paraId="7F65B862" w14:textId="77777777" w:rsidR="002D6B7E" w:rsidRPr="00CA3073" w:rsidRDefault="002D6B7E" w:rsidP="00CA3073">
      <w:pPr>
        <w:rPr>
          <w:rFonts w:eastAsiaTheme="minorHAnsi"/>
        </w:rPr>
      </w:pPr>
    </w:p>
    <w:p w14:paraId="7C5F8660" w14:textId="76122EAE" w:rsidR="002D6B7E" w:rsidRDefault="002D6B7E" w:rsidP="000B2FBC">
      <w:pPr>
        <w:pStyle w:val="ListParagraph"/>
        <w:numPr>
          <w:ilvl w:val="0"/>
          <w:numId w:val="23"/>
        </w:numPr>
        <w:ind w:left="426" w:hanging="426"/>
        <w:rPr>
          <w:rFonts w:eastAsiaTheme="minorHAnsi"/>
        </w:rPr>
      </w:pPr>
      <w:r w:rsidRPr="00B35ACB">
        <w:rPr>
          <w:rFonts w:eastAsiaTheme="minorHAnsi"/>
        </w:rPr>
        <w:t xml:space="preserve">Protect </w:t>
      </w:r>
      <w:r w:rsidR="00C54E7D">
        <w:rPr>
          <w:rFonts w:eastAsiaTheme="minorHAnsi"/>
        </w:rPr>
        <w:t xml:space="preserve">the infusion </w:t>
      </w:r>
      <w:r w:rsidRPr="00B35ACB">
        <w:rPr>
          <w:rFonts w:eastAsiaTheme="minorHAnsi"/>
        </w:rPr>
        <w:t xml:space="preserve">from light </w:t>
      </w:r>
    </w:p>
    <w:p w14:paraId="77B31DF6" w14:textId="592E4CA7" w:rsidR="002D6B7E" w:rsidRPr="00BE23D7" w:rsidRDefault="002D6B7E" w:rsidP="000B2FBC">
      <w:pPr>
        <w:pStyle w:val="ListParagraph"/>
        <w:numPr>
          <w:ilvl w:val="0"/>
          <w:numId w:val="23"/>
        </w:numPr>
        <w:ind w:left="426" w:hanging="426"/>
        <w:rPr>
          <w:rFonts w:eastAsiaTheme="minorHAnsi"/>
        </w:rPr>
      </w:pPr>
      <w:r w:rsidRPr="00BE23D7">
        <w:rPr>
          <w:rFonts w:asciiTheme="minorHAnsi" w:eastAsiaTheme="minorHAnsi" w:hAnsiTheme="minorHAnsi"/>
          <w:szCs w:val="24"/>
        </w:rPr>
        <w:t xml:space="preserve">Other nursing considerations as per oral Nimodipine above and </w:t>
      </w:r>
      <w:r w:rsidRPr="00C54E7D">
        <w:rPr>
          <w:rFonts w:asciiTheme="minorHAnsi" w:hAnsiTheme="minorHAnsi"/>
          <w:i/>
          <w:iCs/>
          <w:szCs w:val="24"/>
        </w:rPr>
        <w:t>Medication Handling</w:t>
      </w:r>
      <w:r w:rsidR="00C54E7D">
        <w:rPr>
          <w:rFonts w:asciiTheme="minorHAnsi" w:hAnsiTheme="minorHAnsi"/>
          <w:i/>
          <w:iCs/>
          <w:szCs w:val="24"/>
        </w:rPr>
        <w:t xml:space="preserve"> Policy</w:t>
      </w:r>
      <w:r w:rsidRPr="00BE23D7">
        <w:rPr>
          <w:rFonts w:asciiTheme="minorHAnsi" w:hAnsiTheme="minorHAnsi"/>
          <w:szCs w:val="24"/>
        </w:rPr>
        <w:t xml:space="preserve">. </w:t>
      </w:r>
      <w:r w:rsidRPr="00BE23D7">
        <w:rPr>
          <w:rFonts w:asciiTheme="minorHAnsi" w:eastAsiaTheme="minorHAnsi" w:hAnsiTheme="minorHAnsi" w:cs="Arial"/>
          <w:color w:val="000000"/>
          <w:szCs w:val="24"/>
        </w:rPr>
        <w:t xml:space="preserve">Maintain MAP and CPP according to pre and post-operative needs </w:t>
      </w:r>
    </w:p>
    <w:p w14:paraId="2D9167C5" w14:textId="77777777" w:rsidR="002D6B7E" w:rsidRPr="00BE23D7" w:rsidRDefault="002D6B7E" w:rsidP="000B2FBC">
      <w:pPr>
        <w:pStyle w:val="ListParagraph"/>
        <w:numPr>
          <w:ilvl w:val="0"/>
          <w:numId w:val="23"/>
        </w:numPr>
        <w:ind w:left="426" w:hanging="426"/>
      </w:pPr>
      <w:r>
        <w:rPr>
          <w:rFonts w:eastAsiaTheme="minorHAnsi"/>
        </w:rPr>
        <w:t>No dosage</w:t>
      </w:r>
      <w:r w:rsidRPr="00BE23D7">
        <w:rPr>
          <w:rFonts w:eastAsiaTheme="minorHAnsi"/>
        </w:rPr>
        <w:t xml:space="preserve"> variations </w:t>
      </w:r>
      <w:r>
        <w:rPr>
          <w:rFonts w:eastAsiaTheme="minorHAnsi"/>
        </w:rPr>
        <w:t>are required</w:t>
      </w:r>
      <w:r w:rsidRPr="00BE23D7">
        <w:rPr>
          <w:rFonts w:eastAsiaTheme="minorHAnsi"/>
        </w:rPr>
        <w:t xml:space="preserve"> unless there are significant weight variances.</w:t>
      </w:r>
    </w:p>
    <w:p w14:paraId="3E46BEB8" w14:textId="77777777" w:rsidR="002D6B7E" w:rsidRPr="00BE23D7" w:rsidRDefault="002D6B7E" w:rsidP="000B2FBC">
      <w:pPr>
        <w:pStyle w:val="ListParagraph"/>
        <w:numPr>
          <w:ilvl w:val="0"/>
          <w:numId w:val="23"/>
        </w:numPr>
        <w:ind w:left="426" w:hanging="426"/>
        <w:rPr>
          <w:rFonts w:eastAsiaTheme="minorHAnsi"/>
        </w:rPr>
      </w:pPr>
      <w:r w:rsidRPr="00BE23D7">
        <w:rPr>
          <w:rFonts w:eastAsiaTheme="minorHAnsi"/>
        </w:rPr>
        <w:t xml:space="preserve">If there is no incidence of delayed cerebral </w:t>
      </w:r>
      <w:proofErr w:type="spellStart"/>
      <w:r w:rsidRPr="00BE23D7">
        <w:rPr>
          <w:rFonts w:eastAsiaTheme="minorHAnsi"/>
        </w:rPr>
        <w:t>ischaemia</w:t>
      </w:r>
      <w:proofErr w:type="spellEnd"/>
      <w:r w:rsidRPr="00BE23D7">
        <w:rPr>
          <w:rFonts w:eastAsiaTheme="minorHAnsi"/>
        </w:rPr>
        <w:t xml:space="preserve"> and </w:t>
      </w:r>
      <w:r>
        <w:rPr>
          <w:rFonts w:eastAsiaTheme="minorHAnsi"/>
        </w:rPr>
        <w:t xml:space="preserve">oral medications are not </w:t>
      </w:r>
      <w:proofErr w:type="gramStart"/>
      <w:r>
        <w:rPr>
          <w:rFonts w:eastAsiaTheme="minorHAnsi"/>
        </w:rPr>
        <w:t>contraindicated</w:t>
      </w:r>
      <w:proofErr w:type="gramEnd"/>
      <w:r>
        <w:rPr>
          <w:rFonts w:eastAsiaTheme="minorHAnsi"/>
        </w:rPr>
        <w:t xml:space="preserve"> then changing to oral therapy should be considered</w:t>
      </w:r>
      <w:r w:rsidRPr="00BE23D7">
        <w:rPr>
          <w:rFonts w:eastAsiaTheme="minorHAnsi"/>
        </w:rPr>
        <w:t xml:space="preserve">. </w:t>
      </w:r>
    </w:p>
    <w:p w14:paraId="3B0F5DA1" w14:textId="77777777" w:rsidR="002D6B7E" w:rsidRPr="00B35ACB" w:rsidRDefault="002D6B7E" w:rsidP="002D6B7E">
      <w:pPr>
        <w:rPr>
          <w:rFonts w:eastAsiaTheme="minorHAnsi"/>
        </w:rPr>
      </w:pPr>
    </w:p>
    <w:p w14:paraId="5787B996" w14:textId="77777777" w:rsidR="002D6B7E" w:rsidRPr="00BE23D7" w:rsidRDefault="002D6B7E" w:rsidP="002D6B7E">
      <w:pPr>
        <w:rPr>
          <w:rFonts w:eastAsiaTheme="minorHAnsi"/>
          <w:b/>
        </w:rPr>
      </w:pPr>
      <w:r w:rsidRPr="00BE23D7">
        <w:rPr>
          <w:rFonts w:eastAsiaTheme="minorHAnsi"/>
          <w:b/>
        </w:rPr>
        <w:t xml:space="preserve">Weaning from IV therapy to oral therapy: </w:t>
      </w:r>
    </w:p>
    <w:p w14:paraId="0CE79001" w14:textId="77777777" w:rsidR="002D6B7E" w:rsidRPr="00BE23D7" w:rsidRDefault="002D6B7E" w:rsidP="000B2FBC">
      <w:pPr>
        <w:pStyle w:val="ListParagraph"/>
        <w:numPr>
          <w:ilvl w:val="0"/>
          <w:numId w:val="24"/>
        </w:numPr>
        <w:ind w:left="426" w:hanging="426"/>
        <w:rPr>
          <w:rFonts w:eastAsiaTheme="minorHAnsi"/>
        </w:rPr>
      </w:pPr>
      <w:r w:rsidRPr="00BE23D7">
        <w:rPr>
          <w:rFonts w:eastAsiaTheme="minorHAnsi"/>
        </w:rPr>
        <w:t xml:space="preserve">Weaning commences when the first dose of oral therapy is administered. </w:t>
      </w:r>
    </w:p>
    <w:p w14:paraId="2A8C280B" w14:textId="77777777" w:rsidR="002D6B7E" w:rsidRPr="00BE23D7" w:rsidRDefault="002D6B7E" w:rsidP="000B2FBC">
      <w:pPr>
        <w:pStyle w:val="ListParagraph"/>
        <w:numPr>
          <w:ilvl w:val="0"/>
          <w:numId w:val="24"/>
        </w:numPr>
        <w:ind w:left="426" w:hanging="426"/>
        <w:rPr>
          <w:rFonts w:eastAsiaTheme="minorHAnsi"/>
        </w:rPr>
      </w:pPr>
      <w:r w:rsidRPr="00BE23D7">
        <w:rPr>
          <w:rFonts w:eastAsiaTheme="minorHAnsi"/>
        </w:rPr>
        <w:t xml:space="preserve">Administer oral </w:t>
      </w:r>
      <w:r>
        <w:rPr>
          <w:rFonts w:eastAsiaTheme="minorHAnsi"/>
        </w:rPr>
        <w:t>or enteral dose</w:t>
      </w:r>
      <w:r w:rsidRPr="00BE23D7">
        <w:rPr>
          <w:rFonts w:eastAsiaTheme="minorHAnsi"/>
        </w:rPr>
        <w:t xml:space="preserve"> of 60mg nimodipine</w:t>
      </w:r>
      <w:r>
        <w:rPr>
          <w:rFonts w:eastAsiaTheme="minorHAnsi"/>
        </w:rPr>
        <w:t>.</w:t>
      </w:r>
    </w:p>
    <w:p w14:paraId="5DE8F1E1" w14:textId="77777777" w:rsidR="002D6B7E" w:rsidRPr="00BE23D7" w:rsidRDefault="002D6B7E" w:rsidP="000B2FBC">
      <w:pPr>
        <w:pStyle w:val="ListParagraph"/>
        <w:numPr>
          <w:ilvl w:val="0"/>
          <w:numId w:val="24"/>
        </w:numPr>
        <w:ind w:left="426" w:hanging="426"/>
        <w:rPr>
          <w:rFonts w:eastAsiaTheme="minorHAnsi"/>
        </w:rPr>
      </w:pPr>
      <w:r w:rsidRPr="00BE23D7">
        <w:rPr>
          <w:rFonts w:eastAsiaTheme="minorHAnsi"/>
        </w:rPr>
        <w:t xml:space="preserve">Wean infusion at a rate of 1 mL every hour for 5 hours, then cease infusion. </w:t>
      </w:r>
    </w:p>
    <w:p w14:paraId="4C94344E" w14:textId="495079D9" w:rsidR="002D6B7E" w:rsidRPr="00BE23D7" w:rsidRDefault="002D6B7E" w:rsidP="000B2FBC">
      <w:pPr>
        <w:pStyle w:val="ListParagraph"/>
        <w:numPr>
          <w:ilvl w:val="0"/>
          <w:numId w:val="24"/>
        </w:numPr>
        <w:ind w:left="426" w:hanging="426"/>
        <w:rPr>
          <w:rFonts w:eastAsiaTheme="minorHAnsi"/>
        </w:rPr>
      </w:pPr>
      <w:r w:rsidRPr="00BE23D7">
        <w:rPr>
          <w:rFonts w:eastAsiaTheme="minorHAnsi"/>
        </w:rPr>
        <w:t xml:space="preserve">Observe for neurological deterioration (decrease in the GCS or development of focal deficit) and report immediately or escalate as per </w:t>
      </w:r>
      <w:r w:rsidRPr="00C54E7D">
        <w:rPr>
          <w:rFonts w:eastAsiaTheme="minorHAnsi"/>
          <w:i/>
          <w:iCs/>
        </w:rPr>
        <w:t>Vital Signs and Early Warning Scores</w:t>
      </w:r>
      <w:r w:rsidR="00C54E7D">
        <w:rPr>
          <w:i/>
          <w:iCs/>
        </w:rPr>
        <w:t xml:space="preserve"> Procedure</w:t>
      </w:r>
    </w:p>
    <w:p w14:paraId="2F51A8AC" w14:textId="61EECCA2" w:rsidR="007B6904" w:rsidRPr="000B2FBC" w:rsidRDefault="002D6B7E" w:rsidP="000B2FBC">
      <w:pPr>
        <w:pStyle w:val="ListParagraph"/>
        <w:numPr>
          <w:ilvl w:val="0"/>
          <w:numId w:val="24"/>
        </w:numPr>
        <w:ind w:left="426" w:hanging="426"/>
        <w:rPr>
          <w:rFonts w:cs="Arial"/>
          <w:szCs w:val="24"/>
        </w:rPr>
      </w:pPr>
      <w:r w:rsidRPr="00BE23D7">
        <w:rPr>
          <w:rFonts w:eastAsiaTheme="minorHAnsi"/>
        </w:rPr>
        <w:t>If the patient does deteriorate neurologically, cease weaning IV nimodipine and return to full IV therapy.</w:t>
      </w:r>
    </w:p>
    <w:p w14:paraId="212D477C" w14:textId="77777777" w:rsidR="000B2FBC" w:rsidRPr="00CA3073" w:rsidRDefault="000B2FBC" w:rsidP="000B2FBC">
      <w:pPr>
        <w:pStyle w:val="ListParagraph"/>
        <w:rPr>
          <w:rFonts w:cs="Arial"/>
          <w:szCs w:val="24"/>
        </w:rPr>
      </w:pPr>
    </w:p>
    <w:p w14:paraId="2F51A8AD" w14:textId="77777777" w:rsidR="007B6904" w:rsidRDefault="00A94CE5" w:rsidP="007B6904">
      <w:pPr>
        <w:jc w:val="right"/>
        <w:rPr>
          <w:rFonts w:cs="Arial"/>
          <w:b/>
          <w:szCs w:val="24"/>
        </w:rPr>
      </w:pPr>
      <w:hyperlink w:anchor="Contents" w:history="1">
        <w:r w:rsidR="007B6904" w:rsidRPr="00590902">
          <w:rPr>
            <w:rStyle w:val="Hyperlink"/>
            <w:rFonts w:cs="Arial"/>
            <w:i/>
            <w:szCs w:val="24"/>
          </w:rPr>
          <w:t>Back to Table of Contents</w:t>
        </w:r>
      </w:hyperlink>
      <w:r w:rsidR="007B6904">
        <w:rPr>
          <w:rFonts w:cs="Arial"/>
          <w:i/>
          <w:szCs w:val="24"/>
        </w:rPr>
        <w:t xml:space="preserve"> </w:t>
      </w:r>
    </w:p>
    <w:p w14:paraId="2F51A8AE" w14:textId="77777777" w:rsidR="007B6904" w:rsidRDefault="007B6904" w:rsidP="007B6904">
      <w:pPr>
        <w:pStyle w:val="ProcedureTemplateinternalheadings"/>
        <w:framePr w:wrap="around"/>
      </w:pPr>
    </w:p>
    <w:tbl>
      <w:tblPr>
        <w:tblpPr w:leftFromText="180" w:rightFromText="180" w:vertAnchor="text" w:horzAnchor="margin" w:tblpY="181"/>
        <w:tblW w:w="9158" w:type="dxa"/>
        <w:tblLook w:val="0000" w:firstRow="0" w:lastRow="0" w:firstColumn="0" w:lastColumn="0" w:noHBand="0" w:noVBand="0"/>
      </w:tblPr>
      <w:tblGrid>
        <w:gridCol w:w="9158"/>
      </w:tblGrid>
      <w:tr w:rsidR="00F9158A" w:rsidRPr="00CD1C0E" w14:paraId="381DE97E" w14:textId="77777777" w:rsidTr="00E73459">
        <w:trPr>
          <w:cantSplit/>
          <w:trHeight w:val="285"/>
        </w:trPr>
        <w:tc>
          <w:tcPr>
            <w:tcW w:w="9158" w:type="dxa"/>
            <w:shd w:val="clear" w:color="auto" w:fill="A6A6A6" w:themeFill="background1" w:themeFillShade="A6"/>
          </w:tcPr>
          <w:p w14:paraId="3B90ABDC" w14:textId="067D01FB" w:rsidR="00F9158A" w:rsidRPr="00CD1C0E" w:rsidRDefault="00F9158A" w:rsidP="00E73459">
            <w:pPr>
              <w:pStyle w:val="Heading1"/>
              <w:tabs>
                <w:tab w:val="left" w:pos="1953"/>
              </w:tabs>
            </w:pPr>
            <w:bookmarkStart w:id="35" w:name="_Toc105081146"/>
            <w:bookmarkStart w:id="36" w:name="_Toc106348366"/>
            <w:r>
              <w:t>Evaluation</w:t>
            </w:r>
            <w:bookmarkEnd w:id="35"/>
            <w:bookmarkEnd w:id="36"/>
            <w:r>
              <w:t xml:space="preserve"> </w:t>
            </w:r>
            <w:r w:rsidR="00E73459">
              <w:tab/>
            </w:r>
          </w:p>
        </w:tc>
      </w:tr>
    </w:tbl>
    <w:p w14:paraId="24D60CF6" w14:textId="77777777" w:rsidR="000B2FBC" w:rsidRDefault="000B2FBC" w:rsidP="00F9158A">
      <w:pPr>
        <w:pStyle w:val="Default"/>
        <w:rPr>
          <w:rFonts w:ascii="Calibri" w:hAnsi="Calibri"/>
          <w:b/>
          <w:bCs/>
        </w:rPr>
      </w:pPr>
    </w:p>
    <w:p w14:paraId="6E93670E" w14:textId="6112AF25" w:rsidR="00F9158A" w:rsidRDefault="00C54E7D" w:rsidP="00F9158A">
      <w:pPr>
        <w:pStyle w:val="Default"/>
        <w:rPr>
          <w:rFonts w:ascii="Calibri" w:hAnsi="Calibri"/>
          <w:b/>
          <w:bCs/>
        </w:rPr>
      </w:pPr>
      <w:r>
        <w:rPr>
          <w:rFonts w:ascii="Calibri" w:hAnsi="Calibri"/>
          <w:b/>
          <w:bCs/>
        </w:rPr>
        <w:t>Outcome</w:t>
      </w:r>
    </w:p>
    <w:p w14:paraId="02FFCD6D" w14:textId="4B7530ED" w:rsidR="00C54E7D" w:rsidRDefault="00C54E7D" w:rsidP="00F9158A">
      <w:pPr>
        <w:pStyle w:val="Default"/>
        <w:rPr>
          <w:rFonts w:ascii="Calibri" w:hAnsi="Calibri"/>
        </w:rPr>
      </w:pPr>
      <w:r>
        <w:rPr>
          <w:rFonts w:ascii="Calibri" w:hAnsi="Calibri"/>
        </w:rPr>
        <w:t>Patients requiring treatment of a nontraumatic subarachnoid haemorrhage are managed as per this procedure.</w:t>
      </w:r>
    </w:p>
    <w:p w14:paraId="69E2CC36" w14:textId="3CC124D6" w:rsidR="00C54E7D" w:rsidRDefault="00C54E7D" w:rsidP="00F9158A">
      <w:pPr>
        <w:pStyle w:val="Default"/>
        <w:rPr>
          <w:rFonts w:ascii="Calibri" w:hAnsi="Calibri"/>
        </w:rPr>
      </w:pPr>
    </w:p>
    <w:p w14:paraId="58AEEAD3" w14:textId="48353E48" w:rsidR="00C54E7D" w:rsidRDefault="00C54E7D" w:rsidP="00F9158A">
      <w:pPr>
        <w:pStyle w:val="Default"/>
        <w:rPr>
          <w:rFonts w:ascii="Calibri" w:hAnsi="Calibri"/>
          <w:b/>
          <w:bCs/>
        </w:rPr>
      </w:pPr>
      <w:r>
        <w:rPr>
          <w:rFonts w:ascii="Calibri" w:hAnsi="Calibri"/>
          <w:b/>
          <w:bCs/>
        </w:rPr>
        <w:t>Measure</w:t>
      </w:r>
    </w:p>
    <w:p w14:paraId="27F37576" w14:textId="103EA113" w:rsidR="00C54E7D" w:rsidRDefault="00C54E7D" w:rsidP="000B2FBC">
      <w:pPr>
        <w:pStyle w:val="ListBullet"/>
        <w:tabs>
          <w:tab w:val="clear" w:pos="1080"/>
        </w:tabs>
        <w:ind w:left="426" w:hanging="426"/>
      </w:pPr>
      <w:r>
        <w:t>Annual review of clinical incident reports related to administration of nimodipine</w:t>
      </w:r>
    </w:p>
    <w:p w14:paraId="4DB605B5" w14:textId="6B23335C" w:rsidR="00C54E7D" w:rsidRDefault="00C54E7D" w:rsidP="000B2FBC">
      <w:pPr>
        <w:pStyle w:val="ListBullet"/>
        <w:tabs>
          <w:tab w:val="clear" w:pos="1080"/>
        </w:tabs>
        <w:ind w:left="426" w:hanging="426"/>
      </w:pPr>
      <w:r>
        <w:t xml:space="preserve">Annual review of MET calls for patients with nontraumatic subarachnoid </w:t>
      </w:r>
      <w:proofErr w:type="spellStart"/>
      <w:r>
        <w:t>heamorrhage</w:t>
      </w:r>
      <w:proofErr w:type="spellEnd"/>
    </w:p>
    <w:p w14:paraId="40763E44" w14:textId="77777777" w:rsidR="00C54E7D" w:rsidRPr="00C54E7D" w:rsidRDefault="00C54E7D" w:rsidP="00C54E7D">
      <w:pPr>
        <w:pStyle w:val="ListBullet"/>
        <w:numPr>
          <w:ilvl w:val="0"/>
          <w:numId w:val="0"/>
        </w:numPr>
        <w:ind w:left="426"/>
      </w:pPr>
    </w:p>
    <w:p w14:paraId="119BA4AD" w14:textId="77777777" w:rsidR="00F9158A" w:rsidRPr="00253F5A" w:rsidRDefault="00A94CE5" w:rsidP="00F9158A">
      <w:pPr>
        <w:jc w:val="right"/>
      </w:pPr>
      <w:hyperlink w:anchor="Contents" w:history="1">
        <w:r w:rsidR="00F9158A" w:rsidRPr="00C91F3F">
          <w:rPr>
            <w:rStyle w:val="Hyperlink"/>
            <w:rFonts w:eastAsiaTheme="majorEastAsia"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2F51A8B6" w14:textId="77777777" w:rsidTr="0074223E">
        <w:trPr>
          <w:cantSplit/>
          <w:trHeight w:val="285"/>
        </w:trPr>
        <w:tc>
          <w:tcPr>
            <w:tcW w:w="9158" w:type="dxa"/>
            <w:shd w:val="clear" w:color="auto" w:fill="A6A6A6" w:themeFill="background1" w:themeFillShade="A6"/>
          </w:tcPr>
          <w:p w14:paraId="2F51A8B5" w14:textId="77777777" w:rsidR="007B6904" w:rsidRPr="00CD1C0E" w:rsidRDefault="00FF56DD" w:rsidP="00FF56DD">
            <w:pPr>
              <w:pStyle w:val="Heading1"/>
            </w:pPr>
            <w:bookmarkStart w:id="37" w:name="_Toc389473287"/>
            <w:bookmarkStart w:id="38" w:name="_Toc105081147"/>
            <w:bookmarkStart w:id="39" w:name="_Toc106348367"/>
            <w:r>
              <w:t xml:space="preserve">Related Policies, </w:t>
            </w:r>
            <w:r w:rsidR="007B6904">
              <w:t>Procedures</w:t>
            </w:r>
            <w:bookmarkEnd w:id="37"/>
            <w:r>
              <w:t>, Guidelines and Legislation</w:t>
            </w:r>
            <w:bookmarkEnd w:id="38"/>
            <w:bookmarkEnd w:id="39"/>
          </w:p>
        </w:tc>
      </w:tr>
    </w:tbl>
    <w:p w14:paraId="43C3CF3A" w14:textId="77777777" w:rsidR="000B2FBC" w:rsidRDefault="000B2FBC" w:rsidP="002D6B7E">
      <w:pPr>
        <w:rPr>
          <w:b/>
          <w:bCs/>
          <w:szCs w:val="24"/>
        </w:rPr>
      </w:pPr>
    </w:p>
    <w:p w14:paraId="3E436F5B" w14:textId="42BC1022" w:rsidR="002D6B7E" w:rsidRDefault="00C54E7D" w:rsidP="002D6B7E">
      <w:pPr>
        <w:rPr>
          <w:b/>
          <w:bCs/>
          <w:szCs w:val="24"/>
        </w:rPr>
      </w:pPr>
      <w:r>
        <w:rPr>
          <w:b/>
          <w:bCs/>
          <w:szCs w:val="24"/>
        </w:rPr>
        <w:t>Policy</w:t>
      </w:r>
    </w:p>
    <w:p w14:paraId="24E67E47" w14:textId="7F749595" w:rsidR="00C54E7D" w:rsidRDefault="00C54E7D" w:rsidP="000B2FBC">
      <w:pPr>
        <w:pStyle w:val="ListBullet"/>
        <w:tabs>
          <w:tab w:val="clear" w:pos="1080"/>
        </w:tabs>
        <w:ind w:left="426" w:hanging="426"/>
      </w:pPr>
      <w:r>
        <w:t>Medication Handling</w:t>
      </w:r>
    </w:p>
    <w:p w14:paraId="780BF2DF" w14:textId="4EFE5A89" w:rsidR="00C54E7D" w:rsidRPr="00C54E7D" w:rsidRDefault="00C54E7D" w:rsidP="000B2FBC">
      <w:pPr>
        <w:pStyle w:val="ListBullet"/>
        <w:tabs>
          <w:tab w:val="clear" w:pos="1080"/>
        </w:tabs>
        <w:ind w:left="426" w:hanging="426"/>
      </w:pPr>
      <w:r>
        <w:t>Informed Consent (Clinical)</w:t>
      </w:r>
    </w:p>
    <w:p w14:paraId="0A426308" w14:textId="77777777" w:rsidR="00C54E7D" w:rsidRPr="00EA5BAC" w:rsidRDefault="00C54E7D" w:rsidP="002D6B7E">
      <w:pPr>
        <w:rPr>
          <w:rFonts w:cs="Arial"/>
          <w:szCs w:val="24"/>
        </w:rPr>
      </w:pPr>
    </w:p>
    <w:p w14:paraId="3C13CF99" w14:textId="77777777" w:rsidR="002D6B7E" w:rsidRPr="000022B4" w:rsidRDefault="002D6B7E" w:rsidP="002D6B7E">
      <w:pPr>
        <w:rPr>
          <w:b/>
        </w:rPr>
      </w:pPr>
      <w:r w:rsidRPr="000022B4">
        <w:rPr>
          <w:b/>
        </w:rPr>
        <w:t>Procedures</w:t>
      </w:r>
    </w:p>
    <w:p w14:paraId="5F0FFCBE" w14:textId="4EED4F16" w:rsidR="002D6B7E" w:rsidRPr="00C54E7D" w:rsidRDefault="002D6B7E" w:rsidP="000B2FBC">
      <w:pPr>
        <w:pStyle w:val="ListBullet"/>
        <w:tabs>
          <w:tab w:val="clear" w:pos="1080"/>
        </w:tabs>
        <w:ind w:left="426" w:hanging="426"/>
      </w:pPr>
      <w:r w:rsidRPr="00C54E7D">
        <w:t xml:space="preserve">Vital Signs and Early Warning </w:t>
      </w:r>
      <w:r w:rsidR="00C54E7D">
        <w:t>Score</w:t>
      </w:r>
    </w:p>
    <w:p w14:paraId="035FEEE7" w14:textId="73C0A2F1" w:rsidR="002D6B7E" w:rsidRPr="00C54E7D" w:rsidRDefault="002D6B7E" w:rsidP="000B2FBC">
      <w:pPr>
        <w:pStyle w:val="ListBullet"/>
        <w:tabs>
          <w:tab w:val="clear" w:pos="1080"/>
        </w:tabs>
        <w:ind w:left="426" w:hanging="426"/>
      </w:pPr>
      <w:r w:rsidRPr="00C54E7D">
        <w:t xml:space="preserve">Neurological Observations </w:t>
      </w:r>
    </w:p>
    <w:p w14:paraId="125CBA49" w14:textId="6B79C8CF" w:rsidR="002D6B7E" w:rsidRDefault="002D6B7E" w:rsidP="000B2FBC">
      <w:pPr>
        <w:pStyle w:val="ListBullet"/>
        <w:tabs>
          <w:tab w:val="clear" w:pos="1080"/>
        </w:tabs>
        <w:ind w:left="426" w:hanging="426"/>
      </w:pPr>
      <w:r>
        <w:t>Venepuncture Blood Specimen Collection</w:t>
      </w:r>
    </w:p>
    <w:p w14:paraId="3A19907B" w14:textId="39B63C26" w:rsidR="00C54E7D" w:rsidRDefault="00C54E7D" w:rsidP="000B2FBC">
      <w:pPr>
        <w:pStyle w:val="ListBullet"/>
        <w:tabs>
          <w:tab w:val="clear" w:pos="1080"/>
        </w:tabs>
        <w:ind w:left="426" w:hanging="426"/>
      </w:pPr>
      <w:r>
        <w:t>Patient Identification and Procedure Matching</w:t>
      </w:r>
    </w:p>
    <w:p w14:paraId="1F2E528D" w14:textId="03AA311B" w:rsidR="00C54E7D" w:rsidRDefault="00C54E7D" w:rsidP="000B2FBC">
      <w:pPr>
        <w:pStyle w:val="ListBullet"/>
        <w:tabs>
          <w:tab w:val="clear" w:pos="1080"/>
        </w:tabs>
        <w:ind w:left="426" w:hanging="426"/>
      </w:pPr>
      <w:r>
        <w:t>Pathology Specimen Handling</w:t>
      </w:r>
    </w:p>
    <w:p w14:paraId="332A8923" w14:textId="35AFC39D" w:rsidR="00C54E7D" w:rsidRDefault="00C54E7D" w:rsidP="000B2FBC">
      <w:pPr>
        <w:pStyle w:val="ListBullet"/>
        <w:tabs>
          <w:tab w:val="clear" w:pos="1080"/>
        </w:tabs>
        <w:ind w:left="426" w:hanging="426"/>
      </w:pPr>
      <w:r>
        <w:t xml:space="preserve">Patient </w:t>
      </w:r>
      <w:proofErr w:type="spellStart"/>
      <w:r>
        <w:t>Identifcation</w:t>
      </w:r>
      <w:proofErr w:type="spellEnd"/>
      <w:r>
        <w:t xml:space="preserve"> - Pathology Specimen Labelling</w:t>
      </w:r>
    </w:p>
    <w:p w14:paraId="32F0394D" w14:textId="5DD7487A" w:rsidR="00C54E7D" w:rsidRDefault="00C54E7D" w:rsidP="000B2FBC">
      <w:pPr>
        <w:pStyle w:val="ListBullet"/>
        <w:tabs>
          <w:tab w:val="clear" w:pos="1080"/>
        </w:tabs>
        <w:ind w:left="426" w:hanging="426"/>
      </w:pPr>
      <w:r>
        <w:t>Peripheral Intravenous Cannula Adults and Children (not neonates)</w:t>
      </w:r>
    </w:p>
    <w:p w14:paraId="6104DD8F" w14:textId="009FB90B" w:rsidR="00C54E7D" w:rsidRDefault="002D0629" w:rsidP="000B2FBC">
      <w:pPr>
        <w:pStyle w:val="ListBullet"/>
        <w:tabs>
          <w:tab w:val="clear" w:pos="1080"/>
        </w:tabs>
        <w:ind w:left="426" w:hanging="426"/>
      </w:pPr>
      <w:r>
        <w:t>Clinical Handover</w:t>
      </w:r>
    </w:p>
    <w:p w14:paraId="536640AF" w14:textId="1CB55B19" w:rsidR="002D0629" w:rsidRPr="000022B4" w:rsidRDefault="002D0629" w:rsidP="000B2FBC">
      <w:pPr>
        <w:pStyle w:val="ListBullet"/>
        <w:tabs>
          <w:tab w:val="clear" w:pos="1080"/>
        </w:tabs>
        <w:ind w:left="426" w:hanging="426"/>
      </w:pPr>
      <w:r>
        <w:t xml:space="preserve">Post Operative Handover and Observations – Adult Patients (First 24 </w:t>
      </w:r>
      <w:proofErr w:type="spellStart"/>
      <w:r>
        <w:t>horus</w:t>
      </w:r>
      <w:proofErr w:type="spellEnd"/>
      <w:r>
        <w:t>)</w:t>
      </w:r>
    </w:p>
    <w:p w14:paraId="0A633600" w14:textId="77777777" w:rsidR="002D6B7E" w:rsidRPr="002E45E3" w:rsidRDefault="002D6B7E" w:rsidP="002D6B7E">
      <w:pPr>
        <w:pStyle w:val="ListBullet"/>
        <w:numPr>
          <w:ilvl w:val="0"/>
          <w:numId w:val="0"/>
        </w:numPr>
      </w:pPr>
    </w:p>
    <w:p w14:paraId="1B1B4950" w14:textId="77777777" w:rsidR="002D6B7E" w:rsidRPr="000022B4" w:rsidRDefault="002D6B7E" w:rsidP="002D6B7E">
      <w:pPr>
        <w:rPr>
          <w:b/>
        </w:rPr>
      </w:pPr>
      <w:r w:rsidRPr="000022B4">
        <w:rPr>
          <w:b/>
        </w:rPr>
        <w:t xml:space="preserve">Guidelines </w:t>
      </w:r>
    </w:p>
    <w:p w14:paraId="00D83518" w14:textId="36670C07" w:rsidR="002D6B7E" w:rsidRPr="00C54E7D" w:rsidRDefault="002D6B7E" w:rsidP="000B2FBC">
      <w:pPr>
        <w:pStyle w:val="ListBullet"/>
        <w:tabs>
          <w:tab w:val="clear" w:pos="1080"/>
        </w:tabs>
        <w:ind w:left="426" w:hanging="426"/>
      </w:pPr>
      <w:r w:rsidRPr="00C54E7D">
        <w:t xml:space="preserve">Fasting Guidelines </w:t>
      </w:r>
      <w:r w:rsidR="002D0629">
        <w:t>for Patients Requiring Sedation or Anaesthesia</w:t>
      </w:r>
    </w:p>
    <w:p w14:paraId="4D1F5383" w14:textId="77777777" w:rsidR="00C54E7D" w:rsidRDefault="00C54E7D" w:rsidP="000B2FBC">
      <w:pPr>
        <w:pStyle w:val="ListBullet"/>
        <w:tabs>
          <w:tab w:val="clear" w:pos="1080"/>
        </w:tabs>
        <w:ind w:left="426" w:hanging="426"/>
      </w:pPr>
      <w:r w:rsidRPr="00C54E7D">
        <w:t>Interventional</w:t>
      </w:r>
      <w:r>
        <w:t xml:space="preserve"> Radiology</w:t>
      </w:r>
    </w:p>
    <w:p w14:paraId="01798196" w14:textId="77777777" w:rsidR="002D6B7E" w:rsidRPr="00536503" w:rsidRDefault="002D6B7E" w:rsidP="002D6B7E"/>
    <w:p w14:paraId="2D6CFCE2" w14:textId="77777777" w:rsidR="002D6B7E" w:rsidRPr="000022B4" w:rsidRDefault="002D6B7E" w:rsidP="002D6B7E">
      <w:pPr>
        <w:rPr>
          <w:b/>
        </w:rPr>
      </w:pPr>
      <w:r w:rsidRPr="000022B4">
        <w:rPr>
          <w:b/>
        </w:rPr>
        <w:t>Legislation</w:t>
      </w:r>
    </w:p>
    <w:p w14:paraId="492E4194" w14:textId="77777777" w:rsidR="002D6B7E" w:rsidRPr="002D0629" w:rsidRDefault="002D6B7E" w:rsidP="000B2FBC">
      <w:pPr>
        <w:pStyle w:val="ListBullet"/>
        <w:tabs>
          <w:tab w:val="clear" w:pos="1080"/>
        </w:tabs>
        <w:ind w:left="426" w:hanging="426"/>
        <w:rPr>
          <w:i/>
          <w:iCs/>
        </w:rPr>
      </w:pPr>
      <w:r w:rsidRPr="002D0629">
        <w:rPr>
          <w:i/>
          <w:iCs/>
        </w:rPr>
        <w:t>Health Records (Privacy and Access) Act 1997</w:t>
      </w:r>
    </w:p>
    <w:p w14:paraId="0E96A34C" w14:textId="77777777" w:rsidR="002D6B7E" w:rsidRPr="002D0629" w:rsidRDefault="002D6B7E" w:rsidP="000B2FBC">
      <w:pPr>
        <w:pStyle w:val="ListBullet"/>
        <w:tabs>
          <w:tab w:val="clear" w:pos="1080"/>
        </w:tabs>
        <w:ind w:left="426" w:hanging="426"/>
        <w:rPr>
          <w:i/>
          <w:iCs/>
        </w:rPr>
      </w:pPr>
      <w:r w:rsidRPr="002D0629">
        <w:rPr>
          <w:i/>
          <w:iCs/>
        </w:rPr>
        <w:t>Human Rights Act 2004</w:t>
      </w:r>
    </w:p>
    <w:p w14:paraId="5FDFC39D" w14:textId="5B3A7491" w:rsidR="002D6B7E" w:rsidRPr="002D0629" w:rsidRDefault="002D6B7E" w:rsidP="000B2FBC">
      <w:pPr>
        <w:pStyle w:val="ListBullet"/>
        <w:tabs>
          <w:tab w:val="clear" w:pos="1080"/>
        </w:tabs>
        <w:ind w:left="426" w:hanging="426"/>
        <w:rPr>
          <w:i/>
          <w:iCs/>
        </w:rPr>
      </w:pPr>
      <w:r w:rsidRPr="002D0629">
        <w:rPr>
          <w:i/>
          <w:iCs/>
        </w:rPr>
        <w:t>Work Health and Safety Act 2011</w:t>
      </w:r>
    </w:p>
    <w:p w14:paraId="35A787D8" w14:textId="50BB6C7E" w:rsidR="00F829C8" w:rsidRDefault="00F829C8" w:rsidP="00F829C8">
      <w:pPr>
        <w:rPr>
          <w:rFonts w:cs="Arial"/>
          <w:i/>
          <w:szCs w:val="24"/>
        </w:rPr>
      </w:pPr>
    </w:p>
    <w:p w14:paraId="413E0699" w14:textId="4CD6E59E" w:rsidR="002D0629" w:rsidRDefault="002D0629" w:rsidP="00F829C8">
      <w:pPr>
        <w:rPr>
          <w:rFonts w:cs="Arial"/>
          <w:b/>
          <w:bCs/>
          <w:iCs/>
          <w:szCs w:val="24"/>
        </w:rPr>
      </w:pPr>
      <w:r>
        <w:rPr>
          <w:rFonts w:cs="Arial"/>
          <w:b/>
          <w:bCs/>
          <w:iCs/>
          <w:szCs w:val="24"/>
        </w:rPr>
        <w:t>Other</w:t>
      </w:r>
    </w:p>
    <w:p w14:paraId="6B33C8B8" w14:textId="335030FF" w:rsidR="002D0629" w:rsidRDefault="002D0629" w:rsidP="000B2FBC">
      <w:pPr>
        <w:pStyle w:val="ListBullet"/>
        <w:tabs>
          <w:tab w:val="clear" w:pos="1080"/>
        </w:tabs>
        <w:ind w:left="426" w:hanging="426"/>
      </w:pPr>
      <w:r>
        <w:t>Australian Charter of Healthcare Rights</w:t>
      </w:r>
    </w:p>
    <w:p w14:paraId="26747982" w14:textId="77777777" w:rsidR="002D0629" w:rsidRPr="002D0629" w:rsidRDefault="002D0629" w:rsidP="002D0629">
      <w:pPr>
        <w:pStyle w:val="ListBullet"/>
        <w:numPr>
          <w:ilvl w:val="0"/>
          <w:numId w:val="0"/>
        </w:numPr>
      </w:pPr>
    </w:p>
    <w:p w14:paraId="2F51A8CA" w14:textId="77777777" w:rsidR="007B6904" w:rsidRDefault="00A94CE5" w:rsidP="007B6904">
      <w:pPr>
        <w:pStyle w:val="ListParagraph"/>
        <w:jc w:val="right"/>
        <w:rPr>
          <w:szCs w:val="24"/>
        </w:rPr>
      </w:pPr>
      <w:hyperlink w:anchor="Contents" w:history="1">
        <w:r w:rsidR="007B6904" w:rsidRPr="00590902">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2F51A8CC" w14:textId="77777777" w:rsidTr="0074223E">
        <w:trPr>
          <w:cantSplit/>
          <w:trHeight w:val="285"/>
        </w:trPr>
        <w:tc>
          <w:tcPr>
            <w:tcW w:w="9158" w:type="dxa"/>
            <w:shd w:val="clear" w:color="auto" w:fill="A6A6A6" w:themeFill="background1" w:themeFillShade="A6"/>
          </w:tcPr>
          <w:p w14:paraId="2F51A8CB" w14:textId="77777777" w:rsidR="007B6904" w:rsidRPr="00CD1C0E" w:rsidRDefault="007B6904" w:rsidP="004213C3">
            <w:pPr>
              <w:pStyle w:val="Heading1"/>
            </w:pPr>
            <w:bookmarkStart w:id="40" w:name="_Toc389473288"/>
            <w:bookmarkStart w:id="41" w:name="_Toc105081148"/>
            <w:bookmarkStart w:id="42" w:name="_Toc106348368"/>
            <w:r>
              <w:lastRenderedPageBreak/>
              <w:t>References</w:t>
            </w:r>
            <w:bookmarkEnd w:id="40"/>
            <w:bookmarkEnd w:id="41"/>
            <w:bookmarkEnd w:id="42"/>
          </w:p>
        </w:tc>
      </w:tr>
    </w:tbl>
    <w:p w14:paraId="7380884B" w14:textId="77777777" w:rsidR="002D6B7E" w:rsidRDefault="002D6B7E" w:rsidP="002D6B7E">
      <w:pPr>
        <w:ind w:left="720"/>
        <w:jc w:val="both"/>
        <w:rPr>
          <w:szCs w:val="24"/>
        </w:rPr>
      </w:pPr>
      <w:bookmarkStart w:id="43" w:name="_Toc389131245"/>
    </w:p>
    <w:p w14:paraId="173DF1A7" w14:textId="27E0BB5C" w:rsidR="002D6B7E" w:rsidRPr="00CE2211" w:rsidRDefault="002D6B7E" w:rsidP="000B2FBC">
      <w:pPr>
        <w:numPr>
          <w:ilvl w:val="0"/>
          <w:numId w:val="29"/>
        </w:numPr>
        <w:ind w:left="426" w:hanging="426"/>
        <w:jc w:val="both"/>
        <w:rPr>
          <w:szCs w:val="24"/>
        </w:rPr>
      </w:pPr>
      <w:r w:rsidRPr="00CE2211">
        <w:rPr>
          <w:szCs w:val="24"/>
        </w:rPr>
        <w:t>Hickey, J. (2003).  The Clinical Practice of Neurological and Neurosurgical Nursing. (5</w:t>
      </w:r>
      <w:r w:rsidRPr="00CE2211">
        <w:rPr>
          <w:szCs w:val="24"/>
          <w:vertAlign w:val="superscript"/>
        </w:rPr>
        <w:t>th</w:t>
      </w:r>
      <w:r w:rsidRPr="00CE2211">
        <w:rPr>
          <w:szCs w:val="24"/>
        </w:rPr>
        <w:t xml:space="preserve"> Ed) L</w:t>
      </w:r>
      <w:r>
        <w:rPr>
          <w:szCs w:val="24"/>
        </w:rPr>
        <w:t xml:space="preserve">ippincott, </w:t>
      </w:r>
      <w:proofErr w:type="gramStart"/>
      <w:r>
        <w:rPr>
          <w:szCs w:val="24"/>
        </w:rPr>
        <w:t>Williams</w:t>
      </w:r>
      <w:proofErr w:type="gramEnd"/>
      <w:r>
        <w:rPr>
          <w:szCs w:val="24"/>
        </w:rPr>
        <w:t xml:space="preserve"> and Wilkins</w:t>
      </w:r>
      <w:r w:rsidRPr="00CE2211">
        <w:rPr>
          <w:szCs w:val="24"/>
        </w:rPr>
        <w:t>: Philadelphia, New York and Sydney.</w:t>
      </w:r>
    </w:p>
    <w:p w14:paraId="3E6C5EAC" w14:textId="77777777" w:rsidR="002D6B7E" w:rsidRPr="00CE2211" w:rsidRDefault="002D6B7E" w:rsidP="000B2FBC">
      <w:pPr>
        <w:numPr>
          <w:ilvl w:val="0"/>
          <w:numId w:val="29"/>
        </w:numPr>
        <w:ind w:left="426" w:hanging="426"/>
        <w:jc w:val="both"/>
        <w:rPr>
          <w:szCs w:val="24"/>
        </w:rPr>
      </w:pPr>
      <w:r w:rsidRPr="00CE2211">
        <w:rPr>
          <w:szCs w:val="24"/>
        </w:rPr>
        <w:t xml:space="preserve">Khurana, V.G. (2006).  Brain Surgery:  A Comprehensive and Practical Resource for Brain Surgery Patients, their Families and Physicians, Bloomington, IN:  </w:t>
      </w:r>
      <w:proofErr w:type="spellStart"/>
      <w:r w:rsidRPr="00CE2211">
        <w:rPr>
          <w:szCs w:val="24"/>
        </w:rPr>
        <w:t>AuthorHouse</w:t>
      </w:r>
      <w:proofErr w:type="spellEnd"/>
      <w:r w:rsidRPr="00CE2211">
        <w:rPr>
          <w:szCs w:val="24"/>
        </w:rPr>
        <w:t>.</w:t>
      </w:r>
    </w:p>
    <w:p w14:paraId="1A098E25" w14:textId="77777777" w:rsidR="00CA6266" w:rsidRDefault="002D6B7E" w:rsidP="000B2FBC">
      <w:pPr>
        <w:numPr>
          <w:ilvl w:val="0"/>
          <w:numId w:val="29"/>
        </w:numPr>
        <w:ind w:left="426" w:hanging="426"/>
        <w:jc w:val="both"/>
        <w:rPr>
          <w:rStyle w:val="selectable"/>
          <w:szCs w:val="24"/>
        </w:rPr>
      </w:pPr>
      <w:r w:rsidRPr="00CE2211">
        <w:rPr>
          <w:rStyle w:val="selectable"/>
          <w:rFonts w:cs="Arial"/>
          <w:color w:val="000000"/>
          <w:szCs w:val="24"/>
          <w:lang w:val="en"/>
        </w:rPr>
        <w:t xml:space="preserve">Aans.org. (2017). </w:t>
      </w:r>
      <w:r w:rsidRPr="00CE2211">
        <w:rPr>
          <w:rStyle w:val="selectable"/>
          <w:rFonts w:cs="Arial"/>
          <w:iCs/>
          <w:color w:val="000000"/>
          <w:szCs w:val="24"/>
          <w:lang w:val="en"/>
        </w:rPr>
        <w:t>​</w:t>
      </w:r>
      <w:r w:rsidRPr="00CE2211">
        <w:rPr>
          <w:rStyle w:val="selectable"/>
          <w:rFonts w:cs="Arial"/>
          <w:i/>
          <w:iCs/>
          <w:color w:val="000000"/>
          <w:szCs w:val="24"/>
          <w:lang w:val="en"/>
        </w:rPr>
        <w:t>AANS | Cerebral Aneurysm</w:t>
      </w:r>
      <w:r w:rsidRPr="00CE2211">
        <w:rPr>
          <w:rStyle w:val="selectable"/>
          <w:rFonts w:cs="Arial"/>
          <w:color w:val="000000"/>
          <w:szCs w:val="24"/>
          <w:lang w:val="en"/>
        </w:rPr>
        <w:t>. [online] Available at: http://www.aans.org/Patients/Neurosurgical-Conditions-and-Treatments/Cerebral-Aneurysm [Accessed 31 May 2017].</w:t>
      </w:r>
    </w:p>
    <w:p w14:paraId="59579B97" w14:textId="2D5B138B" w:rsidR="002D6B7E" w:rsidRPr="00CA6266" w:rsidRDefault="002D6B7E" w:rsidP="000B2FBC">
      <w:pPr>
        <w:numPr>
          <w:ilvl w:val="0"/>
          <w:numId w:val="29"/>
        </w:numPr>
        <w:ind w:left="426" w:hanging="426"/>
        <w:jc w:val="both"/>
        <w:rPr>
          <w:szCs w:val="24"/>
        </w:rPr>
      </w:pPr>
      <w:r w:rsidRPr="00CA6266">
        <w:rPr>
          <w:lang w:val="en"/>
        </w:rPr>
        <w:t xml:space="preserve">Walter, EJ and </w:t>
      </w:r>
      <w:proofErr w:type="spellStart"/>
      <w:r w:rsidRPr="00CA6266">
        <w:rPr>
          <w:lang w:val="en"/>
        </w:rPr>
        <w:t>Carraretto</w:t>
      </w:r>
      <w:proofErr w:type="spellEnd"/>
      <w:r w:rsidRPr="00CA6266">
        <w:rPr>
          <w:lang w:val="en"/>
        </w:rPr>
        <w:t xml:space="preserve">, M 2016. The neurological and cognitive consequences of hyperthermia; </w:t>
      </w:r>
      <w:r w:rsidRPr="00CA6266">
        <w:rPr>
          <w:rStyle w:val="cit"/>
          <w:szCs w:val="24"/>
          <w:lang w:val="en"/>
        </w:rPr>
        <w:t>Critical Care. 20: 199</w:t>
      </w:r>
    </w:p>
    <w:p w14:paraId="10F8E6FF" w14:textId="77777777" w:rsidR="002D6B7E" w:rsidRDefault="002D6B7E" w:rsidP="000B2FBC">
      <w:pPr>
        <w:pStyle w:val="ListParagraph"/>
        <w:numPr>
          <w:ilvl w:val="0"/>
          <w:numId w:val="29"/>
        </w:numPr>
        <w:ind w:left="426" w:hanging="426"/>
        <w:rPr>
          <w:lang w:val="en"/>
        </w:rPr>
      </w:pPr>
      <w:r>
        <w:rPr>
          <w:lang w:val="en"/>
        </w:rPr>
        <w:t xml:space="preserve">Holley, AB 2013. Fever Control and Subarachnoid </w:t>
      </w:r>
      <w:proofErr w:type="spellStart"/>
      <w:r>
        <w:rPr>
          <w:lang w:val="en"/>
        </w:rPr>
        <w:t>Haemorrhage</w:t>
      </w:r>
      <w:proofErr w:type="spellEnd"/>
      <w:r>
        <w:rPr>
          <w:lang w:val="en"/>
        </w:rPr>
        <w:t xml:space="preserve">; Medscape [online]. Available at </w:t>
      </w:r>
      <w:r w:rsidRPr="00C0135A">
        <w:rPr>
          <w:lang w:val="en"/>
        </w:rPr>
        <w:t>http://www.medscape.com/viewarticle/814462</w:t>
      </w:r>
      <w:r>
        <w:rPr>
          <w:lang w:val="en"/>
        </w:rPr>
        <w:t xml:space="preserve">. [Accessed 28 November 2017] </w:t>
      </w:r>
    </w:p>
    <w:p w14:paraId="2F51A8CD" w14:textId="7C70DE39" w:rsidR="007B6904" w:rsidRPr="00CA3073" w:rsidRDefault="002D6B7E" w:rsidP="000B2FBC">
      <w:pPr>
        <w:pStyle w:val="ListParagraph"/>
        <w:numPr>
          <w:ilvl w:val="0"/>
          <w:numId w:val="29"/>
        </w:numPr>
        <w:ind w:left="426" w:hanging="426"/>
        <w:rPr>
          <w:lang w:val="en"/>
        </w:rPr>
      </w:pPr>
      <w:r>
        <w:rPr>
          <w:lang w:val="en"/>
        </w:rPr>
        <w:t xml:space="preserve">McManus, Y &amp; </w:t>
      </w:r>
      <w:proofErr w:type="spellStart"/>
      <w:r>
        <w:rPr>
          <w:lang w:val="en"/>
        </w:rPr>
        <w:t>Shunker</w:t>
      </w:r>
      <w:proofErr w:type="spellEnd"/>
      <w:r>
        <w:rPr>
          <w:lang w:val="en"/>
        </w:rPr>
        <w:t xml:space="preserve">, S (2014). Drug Guideline: Nimodipine; Liverpool Hospital [online] Available at </w:t>
      </w:r>
      <w:r w:rsidRPr="00870475">
        <w:rPr>
          <w:lang w:val="en"/>
        </w:rPr>
        <w:t>https://www.aci.health.nsw.gov.au/__data/assets/pdf_file/0006/306393/liverpoolNimodipine.pdf</w:t>
      </w:r>
      <w:r>
        <w:rPr>
          <w:lang w:val="en"/>
        </w:rPr>
        <w:t xml:space="preserve"> [accessed 3</w:t>
      </w:r>
      <w:r w:rsidRPr="00870475">
        <w:rPr>
          <w:vertAlign w:val="superscript"/>
          <w:lang w:val="en"/>
        </w:rPr>
        <w:t>rd</w:t>
      </w:r>
      <w:r>
        <w:rPr>
          <w:lang w:val="en"/>
        </w:rPr>
        <w:t xml:space="preserve"> July 2018].</w:t>
      </w:r>
    </w:p>
    <w:bookmarkEnd w:id="43"/>
    <w:p w14:paraId="2F51A8D4" w14:textId="77777777" w:rsidR="007B6904" w:rsidRPr="00DE4E25" w:rsidRDefault="007B6904" w:rsidP="007B6904">
      <w:pPr>
        <w:jc w:val="right"/>
        <w:rPr>
          <w:szCs w:val="24"/>
        </w:rPr>
      </w:pPr>
    </w:p>
    <w:p w14:paraId="2F51A8DB" w14:textId="5D664605" w:rsidR="00FF56DD" w:rsidRPr="002D0629" w:rsidRDefault="00A94CE5" w:rsidP="002D0629">
      <w:pPr>
        <w:jc w:val="right"/>
      </w:pPr>
      <w:hyperlink w:anchor="Contents" w:history="1">
        <w:r w:rsidR="007B6904" w:rsidRPr="00590902">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2F51A8DD" w14:textId="77777777" w:rsidTr="0074223E">
        <w:trPr>
          <w:cantSplit/>
          <w:trHeight w:val="285"/>
        </w:trPr>
        <w:tc>
          <w:tcPr>
            <w:tcW w:w="9158" w:type="dxa"/>
            <w:shd w:val="clear" w:color="auto" w:fill="A6A6A6" w:themeFill="background1" w:themeFillShade="A6"/>
          </w:tcPr>
          <w:p w14:paraId="2F51A8DC" w14:textId="77777777" w:rsidR="007B6904" w:rsidRPr="00CD1C0E" w:rsidRDefault="007B6904" w:rsidP="004213C3">
            <w:pPr>
              <w:pStyle w:val="Heading1"/>
            </w:pPr>
            <w:bookmarkStart w:id="44" w:name="_Toc389473290"/>
            <w:bookmarkStart w:id="45" w:name="_Toc105081149"/>
            <w:bookmarkStart w:id="46" w:name="_Toc106348369"/>
            <w:r>
              <w:t>Search Terms</w:t>
            </w:r>
            <w:bookmarkEnd w:id="44"/>
            <w:bookmarkEnd w:id="45"/>
            <w:bookmarkEnd w:id="46"/>
            <w:r>
              <w:t xml:space="preserve"> </w:t>
            </w:r>
          </w:p>
        </w:tc>
      </w:tr>
    </w:tbl>
    <w:p w14:paraId="3CC477C6" w14:textId="77777777" w:rsidR="000B2FBC" w:rsidRDefault="000B2FBC" w:rsidP="002D0629">
      <w:pPr>
        <w:rPr>
          <w:rFonts w:cs="Calibri,Bold"/>
          <w:bCs/>
          <w:iCs/>
          <w:szCs w:val="24"/>
          <w:lang w:eastAsia="en-AU"/>
        </w:rPr>
      </w:pPr>
    </w:p>
    <w:p w14:paraId="2F51A8DE" w14:textId="19E9E35F" w:rsidR="007B6904" w:rsidRPr="002D0629" w:rsidRDefault="002D0629" w:rsidP="002D0629">
      <w:pPr>
        <w:rPr>
          <w:rFonts w:cs="Calibri,Bold"/>
          <w:bCs/>
          <w:iCs/>
          <w:szCs w:val="24"/>
          <w:lang w:eastAsia="en-AU"/>
        </w:rPr>
      </w:pPr>
      <w:r w:rsidRPr="002D0629">
        <w:rPr>
          <w:rFonts w:cs="Calibri,Bold"/>
          <w:bCs/>
          <w:iCs/>
          <w:szCs w:val="24"/>
          <w:lang w:eastAsia="en-AU"/>
        </w:rPr>
        <w:t>Subarachnoid, Haemorrhage</w:t>
      </w:r>
      <w:r>
        <w:rPr>
          <w:rFonts w:cs="Calibri,Bold"/>
          <w:bCs/>
          <w:iCs/>
          <w:szCs w:val="24"/>
          <w:lang w:eastAsia="en-AU"/>
        </w:rPr>
        <w:t xml:space="preserve">, </w:t>
      </w:r>
      <w:r w:rsidRPr="002D0629">
        <w:rPr>
          <w:rFonts w:cs="Calibri,Bold"/>
          <w:bCs/>
          <w:iCs/>
          <w:szCs w:val="24"/>
          <w:lang w:eastAsia="en-AU"/>
        </w:rPr>
        <w:t>SAH</w:t>
      </w:r>
      <w:r>
        <w:rPr>
          <w:rFonts w:cs="Calibri,Bold"/>
          <w:bCs/>
          <w:iCs/>
          <w:szCs w:val="24"/>
          <w:lang w:eastAsia="en-AU"/>
        </w:rPr>
        <w:t xml:space="preserve">, </w:t>
      </w:r>
      <w:r w:rsidRPr="002D0629">
        <w:rPr>
          <w:rFonts w:cs="Calibri,Bold"/>
          <w:bCs/>
          <w:iCs/>
          <w:szCs w:val="24"/>
          <w:lang w:eastAsia="en-AU"/>
        </w:rPr>
        <w:t>Vasospasm</w:t>
      </w:r>
      <w:r>
        <w:rPr>
          <w:rFonts w:cs="Calibri,Bold"/>
          <w:bCs/>
          <w:iCs/>
          <w:szCs w:val="24"/>
          <w:lang w:eastAsia="en-AU"/>
        </w:rPr>
        <w:t xml:space="preserve">, </w:t>
      </w:r>
      <w:r w:rsidRPr="002D0629">
        <w:rPr>
          <w:rFonts w:cs="Calibri,Bold"/>
          <w:bCs/>
          <w:iCs/>
          <w:szCs w:val="24"/>
          <w:lang w:eastAsia="en-AU"/>
        </w:rPr>
        <w:t>Craniotomy</w:t>
      </w:r>
      <w:r>
        <w:rPr>
          <w:rFonts w:cs="Calibri,Bold"/>
          <w:bCs/>
          <w:iCs/>
          <w:szCs w:val="24"/>
          <w:lang w:eastAsia="en-AU"/>
        </w:rPr>
        <w:t xml:space="preserve">, </w:t>
      </w:r>
      <w:r w:rsidRPr="002D0629">
        <w:rPr>
          <w:rFonts w:cs="Calibri,Bold"/>
          <w:bCs/>
          <w:iCs/>
          <w:szCs w:val="24"/>
          <w:lang w:eastAsia="en-AU"/>
        </w:rPr>
        <w:t>stroke</w:t>
      </w:r>
      <w:r>
        <w:rPr>
          <w:rFonts w:cs="Calibri,Bold"/>
          <w:bCs/>
          <w:iCs/>
          <w:szCs w:val="24"/>
          <w:lang w:eastAsia="en-AU"/>
        </w:rPr>
        <w:t xml:space="preserve">, </w:t>
      </w:r>
      <w:r w:rsidRPr="002D0629">
        <w:rPr>
          <w:rFonts w:cs="Calibri,Bold"/>
          <w:bCs/>
          <w:iCs/>
          <w:szCs w:val="24"/>
          <w:lang w:eastAsia="en-AU"/>
        </w:rPr>
        <w:t>nimodipine</w:t>
      </w:r>
      <w:r>
        <w:rPr>
          <w:rFonts w:cs="Calibri,Bold"/>
          <w:bCs/>
          <w:iCs/>
          <w:szCs w:val="24"/>
          <w:lang w:eastAsia="en-AU"/>
        </w:rPr>
        <w:t xml:space="preserve">, </w:t>
      </w:r>
      <w:r w:rsidRPr="002D0629">
        <w:rPr>
          <w:rFonts w:cs="Calibri,Bold"/>
          <w:bCs/>
          <w:iCs/>
          <w:szCs w:val="24"/>
          <w:lang w:eastAsia="en-AU"/>
        </w:rPr>
        <w:t>clipping</w:t>
      </w:r>
      <w:r>
        <w:rPr>
          <w:rFonts w:cs="Calibri,Bold"/>
          <w:bCs/>
          <w:iCs/>
          <w:szCs w:val="24"/>
          <w:lang w:eastAsia="en-AU"/>
        </w:rPr>
        <w:t xml:space="preserve">, </w:t>
      </w:r>
      <w:r w:rsidRPr="002D0629">
        <w:rPr>
          <w:rFonts w:cs="Calibri,Bold"/>
          <w:bCs/>
          <w:iCs/>
          <w:szCs w:val="24"/>
          <w:lang w:eastAsia="en-AU"/>
        </w:rPr>
        <w:t>coiling</w:t>
      </w:r>
      <w:r>
        <w:rPr>
          <w:rFonts w:cs="Calibri,Bold"/>
          <w:bCs/>
          <w:iCs/>
          <w:szCs w:val="24"/>
          <w:lang w:eastAsia="en-AU"/>
        </w:rPr>
        <w:t xml:space="preserve">, </w:t>
      </w:r>
      <w:r w:rsidRPr="002D0629">
        <w:rPr>
          <w:rFonts w:cs="Calibri,Bold"/>
          <w:bCs/>
          <w:iCs/>
          <w:szCs w:val="24"/>
          <w:lang w:eastAsia="en-AU"/>
        </w:rPr>
        <w:t>endovascular</w:t>
      </w:r>
      <w:r>
        <w:rPr>
          <w:rFonts w:cs="Calibri,Bold"/>
          <w:bCs/>
          <w:iCs/>
          <w:szCs w:val="24"/>
          <w:lang w:eastAsia="en-AU"/>
        </w:rPr>
        <w:t xml:space="preserve">, </w:t>
      </w:r>
      <w:r w:rsidRPr="002D0629">
        <w:rPr>
          <w:rFonts w:cs="Calibri,Bold"/>
          <w:bCs/>
          <w:iCs/>
          <w:szCs w:val="24"/>
          <w:lang w:eastAsia="en-AU"/>
        </w:rPr>
        <w:t>cerebral</w:t>
      </w:r>
      <w:r>
        <w:rPr>
          <w:rFonts w:cs="Calibri,Bold"/>
          <w:bCs/>
          <w:iCs/>
          <w:szCs w:val="24"/>
          <w:lang w:eastAsia="en-AU"/>
        </w:rPr>
        <w:t xml:space="preserve">, </w:t>
      </w:r>
      <w:r w:rsidRPr="002D0629">
        <w:rPr>
          <w:rFonts w:cs="Calibri,Bold"/>
          <w:bCs/>
          <w:iCs/>
          <w:szCs w:val="24"/>
          <w:lang w:eastAsia="en-AU"/>
        </w:rPr>
        <w:t>angiography</w:t>
      </w:r>
      <w:r>
        <w:rPr>
          <w:rFonts w:cs="Calibri,Bold"/>
          <w:bCs/>
          <w:iCs/>
          <w:szCs w:val="24"/>
          <w:lang w:eastAsia="en-AU"/>
        </w:rPr>
        <w:t xml:space="preserve">, </w:t>
      </w:r>
      <w:r w:rsidRPr="002D0629">
        <w:rPr>
          <w:rFonts w:cs="Calibri,Bold"/>
          <w:bCs/>
          <w:iCs/>
          <w:szCs w:val="24"/>
          <w:lang w:eastAsia="en-AU"/>
        </w:rPr>
        <w:t>aneurysm</w:t>
      </w:r>
      <w:r>
        <w:rPr>
          <w:rFonts w:cs="Calibri,Bold"/>
          <w:bCs/>
          <w:iCs/>
          <w:szCs w:val="24"/>
          <w:lang w:eastAsia="en-AU"/>
        </w:rPr>
        <w:t xml:space="preserve">, </w:t>
      </w:r>
      <w:r w:rsidRPr="002D0629">
        <w:rPr>
          <w:rFonts w:cs="Calibri,Bold"/>
          <w:bCs/>
          <w:iCs/>
          <w:szCs w:val="24"/>
          <w:lang w:eastAsia="en-AU"/>
        </w:rPr>
        <w:t>DCI</w:t>
      </w:r>
    </w:p>
    <w:p w14:paraId="2F51A8E0" w14:textId="77777777" w:rsidR="007B6904" w:rsidRPr="002D0629" w:rsidRDefault="007B6904" w:rsidP="007B6904">
      <w:pPr>
        <w:jc w:val="both"/>
        <w:rPr>
          <w:rFonts w:asciiTheme="minorHAnsi" w:hAnsiTheme="minorHAnsi" w:cs="Arial"/>
          <w:b/>
          <w:iCs/>
          <w:sz w:val="22"/>
          <w:szCs w:val="22"/>
        </w:rPr>
      </w:pPr>
    </w:p>
    <w:p w14:paraId="2F51A8E1" w14:textId="77777777" w:rsidR="005F3214" w:rsidRPr="00AC7025" w:rsidRDefault="00A94CE5" w:rsidP="00AC7025">
      <w:pPr>
        <w:jc w:val="right"/>
        <w:rPr>
          <w:rFonts w:cs="Calibri,Bold"/>
          <w:bCs/>
          <w:i/>
          <w:szCs w:val="24"/>
          <w:lang w:eastAsia="en-AU"/>
        </w:rPr>
      </w:pPr>
      <w:hyperlink w:anchor="Contents" w:history="1">
        <w:r w:rsidR="007B6904" w:rsidRPr="00590902">
          <w:rPr>
            <w:rStyle w:val="Hyperlink"/>
            <w:rFonts w:cs="Arial"/>
            <w:i/>
            <w:szCs w:val="24"/>
          </w:rPr>
          <w:t>Back to Table of Contents</w:t>
        </w:r>
      </w:hyperlink>
      <w:bookmarkStart w:id="47" w:name="_Toc396995664"/>
    </w:p>
    <w:bookmarkEnd w:id="47"/>
    <w:p w14:paraId="2F51A8E6" w14:textId="77777777" w:rsidR="00FF56DD" w:rsidRDefault="00FF56DD" w:rsidP="007B6904">
      <w:pPr>
        <w:rPr>
          <w:rFonts w:cs="Arial"/>
          <w:szCs w:val="24"/>
        </w:rPr>
      </w:pPr>
    </w:p>
    <w:p w14:paraId="5171DA07" w14:textId="77777777" w:rsidR="000B2FBC" w:rsidRDefault="000B2FBC" w:rsidP="00ED46C3">
      <w:pPr>
        <w:rPr>
          <w:rFonts w:cs="Arial"/>
          <w:b/>
          <w:sz w:val="20"/>
        </w:rPr>
      </w:pPr>
    </w:p>
    <w:p w14:paraId="741BB234" w14:textId="5833AC9D" w:rsidR="00ED46C3" w:rsidRPr="008202D3" w:rsidRDefault="00ED46C3" w:rsidP="00ED46C3">
      <w:pPr>
        <w:rPr>
          <w:rFonts w:cs="Arial"/>
          <w:i/>
          <w:iCs/>
          <w:sz w:val="20"/>
        </w:rPr>
      </w:pPr>
      <w:r w:rsidRPr="008202D3">
        <w:rPr>
          <w:rFonts w:cs="Arial"/>
          <w:b/>
          <w:sz w:val="20"/>
        </w:rPr>
        <w:t>Disclaimer</w:t>
      </w:r>
      <w:r w:rsidRPr="008202D3">
        <w:rPr>
          <w:rFonts w:cs="Arial"/>
          <w:sz w:val="20"/>
        </w:rPr>
        <w:t xml:space="preserve">: </w:t>
      </w:r>
      <w:r w:rsidRPr="008202D3">
        <w:rPr>
          <w:rFonts w:cs="Arial"/>
          <w:i/>
          <w:iCs/>
          <w:sz w:val="20"/>
        </w:rPr>
        <w:t xml:space="preserve">This document has been developed by Canberra Health Services specifically for its own use.  Use of this document and any reliance on the information contained therein by any third party is at his or her own risk and </w:t>
      </w:r>
      <w:r>
        <w:rPr>
          <w:rFonts w:cs="Arial"/>
          <w:i/>
          <w:iCs/>
          <w:sz w:val="20"/>
        </w:rPr>
        <w:t>Canberra Health Services</w:t>
      </w:r>
      <w:r w:rsidRPr="008202D3">
        <w:rPr>
          <w:rFonts w:cs="Arial"/>
          <w:i/>
          <w:iCs/>
          <w:sz w:val="20"/>
        </w:rPr>
        <w:t xml:space="preserve"> assumes no responsibility whatsoever.</w:t>
      </w:r>
    </w:p>
    <w:p w14:paraId="6590710B" w14:textId="17C613F7" w:rsidR="00ED46C3" w:rsidRDefault="00ED46C3" w:rsidP="00ED46C3">
      <w:pPr>
        <w:rPr>
          <w:rFonts w:cs="Arial"/>
          <w:i/>
          <w:iCs/>
          <w:sz w:val="20"/>
        </w:rPr>
      </w:pPr>
    </w:p>
    <w:p w14:paraId="24F8A0E8" w14:textId="77777777" w:rsidR="000B2FBC" w:rsidRPr="008202D3" w:rsidRDefault="000B2FBC" w:rsidP="00ED46C3">
      <w:pPr>
        <w:rPr>
          <w:rFonts w:cs="Arial"/>
          <w:i/>
          <w:iCs/>
          <w:sz w:val="20"/>
        </w:rPr>
      </w:pPr>
    </w:p>
    <w:p w14:paraId="714DB272" w14:textId="77777777" w:rsidR="00ED46C3" w:rsidRPr="008202D3" w:rsidRDefault="00ED46C3" w:rsidP="00ED46C3">
      <w:pPr>
        <w:rPr>
          <w:rFonts w:cs="Arial"/>
          <w:i/>
          <w:iCs/>
          <w:sz w:val="20"/>
        </w:rPr>
      </w:pPr>
      <w:r w:rsidRPr="008202D3">
        <w:rPr>
          <w:rFonts w:cs="Arial"/>
          <w:i/>
          <w:iCs/>
          <w:sz w:val="20"/>
        </w:rPr>
        <w:t>Policy Team ONLY to complete the following:</w:t>
      </w:r>
    </w:p>
    <w:tbl>
      <w:tblPr>
        <w:tblStyle w:val="TableGrid"/>
        <w:tblW w:w="9210" w:type="dxa"/>
        <w:tblLook w:val="04A0" w:firstRow="1" w:lastRow="0" w:firstColumn="1" w:lastColumn="0" w:noHBand="0" w:noVBand="1"/>
      </w:tblPr>
      <w:tblGrid>
        <w:gridCol w:w="1838"/>
        <w:gridCol w:w="2552"/>
        <w:gridCol w:w="2555"/>
        <w:gridCol w:w="2265"/>
      </w:tblGrid>
      <w:tr w:rsidR="00ED46C3" w:rsidRPr="008202D3" w14:paraId="3D8FB228" w14:textId="77777777" w:rsidTr="006576AB">
        <w:tc>
          <w:tcPr>
            <w:tcW w:w="1838" w:type="dxa"/>
          </w:tcPr>
          <w:p w14:paraId="4CC3BE7E" w14:textId="77777777" w:rsidR="00ED46C3" w:rsidRPr="008202D3" w:rsidRDefault="00ED46C3" w:rsidP="004A1316">
            <w:pPr>
              <w:rPr>
                <w:i/>
                <w:sz w:val="20"/>
              </w:rPr>
            </w:pPr>
            <w:r w:rsidRPr="008202D3">
              <w:rPr>
                <w:i/>
                <w:sz w:val="20"/>
              </w:rPr>
              <w:t>Date Amended</w:t>
            </w:r>
          </w:p>
        </w:tc>
        <w:tc>
          <w:tcPr>
            <w:tcW w:w="2552" w:type="dxa"/>
          </w:tcPr>
          <w:p w14:paraId="0C6FC403" w14:textId="77777777" w:rsidR="00ED46C3" w:rsidRPr="008202D3" w:rsidRDefault="00ED46C3" w:rsidP="004A1316">
            <w:pPr>
              <w:rPr>
                <w:i/>
                <w:sz w:val="20"/>
              </w:rPr>
            </w:pPr>
            <w:r w:rsidRPr="008202D3">
              <w:rPr>
                <w:i/>
                <w:sz w:val="20"/>
              </w:rPr>
              <w:t>Section Amended</w:t>
            </w:r>
          </w:p>
        </w:tc>
        <w:tc>
          <w:tcPr>
            <w:tcW w:w="2555" w:type="dxa"/>
          </w:tcPr>
          <w:p w14:paraId="36BF7192" w14:textId="77777777" w:rsidR="00ED46C3" w:rsidRPr="008202D3" w:rsidRDefault="00ED46C3" w:rsidP="004A1316">
            <w:pPr>
              <w:rPr>
                <w:i/>
                <w:sz w:val="20"/>
              </w:rPr>
            </w:pPr>
            <w:r w:rsidRPr="008202D3">
              <w:rPr>
                <w:i/>
                <w:sz w:val="20"/>
              </w:rPr>
              <w:t>Divisional Approval</w:t>
            </w:r>
          </w:p>
        </w:tc>
        <w:tc>
          <w:tcPr>
            <w:tcW w:w="2265" w:type="dxa"/>
          </w:tcPr>
          <w:p w14:paraId="6974B6A4" w14:textId="77777777" w:rsidR="00ED46C3" w:rsidRPr="008202D3" w:rsidRDefault="00ED46C3" w:rsidP="004A1316">
            <w:pPr>
              <w:rPr>
                <w:i/>
                <w:sz w:val="20"/>
              </w:rPr>
            </w:pPr>
            <w:r w:rsidRPr="008202D3">
              <w:rPr>
                <w:i/>
                <w:sz w:val="20"/>
              </w:rPr>
              <w:t xml:space="preserve">Final Approval </w:t>
            </w:r>
          </w:p>
        </w:tc>
      </w:tr>
      <w:tr w:rsidR="00ED46C3" w:rsidRPr="008202D3" w14:paraId="69E49990" w14:textId="77777777" w:rsidTr="006576AB">
        <w:tc>
          <w:tcPr>
            <w:tcW w:w="1838" w:type="dxa"/>
          </w:tcPr>
          <w:p w14:paraId="4CB276AE" w14:textId="473F0C63" w:rsidR="00ED46C3" w:rsidRPr="008202D3" w:rsidRDefault="006576AB" w:rsidP="004A1316">
            <w:pPr>
              <w:rPr>
                <w:i/>
                <w:sz w:val="20"/>
              </w:rPr>
            </w:pPr>
            <w:r>
              <w:rPr>
                <w:i/>
                <w:sz w:val="20"/>
              </w:rPr>
              <w:t>17 June 2022</w:t>
            </w:r>
          </w:p>
        </w:tc>
        <w:tc>
          <w:tcPr>
            <w:tcW w:w="2552" w:type="dxa"/>
          </w:tcPr>
          <w:p w14:paraId="757FDC5B" w14:textId="5B4A86F2" w:rsidR="00ED46C3" w:rsidRPr="008202D3" w:rsidRDefault="006576AB" w:rsidP="004A1316">
            <w:pPr>
              <w:rPr>
                <w:i/>
                <w:sz w:val="20"/>
              </w:rPr>
            </w:pPr>
            <w:r>
              <w:rPr>
                <w:i/>
                <w:sz w:val="20"/>
              </w:rPr>
              <w:t>New Document</w:t>
            </w:r>
          </w:p>
        </w:tc>
        <w:tc>
          <w:tcPr>
            <w:tcW w:w="2555" w:type="dxa"/>
          </w:tcPr>
          <w:p w14:paraId="45358585" w14:textId="4278D7DC" w:rsidR="00ED46C3" w:rsidRPr="008202D3" w:rsidRDefault="006576AB" w:rsidP="004A1316">
            <w:pPr>
              <w:rPr>
                <w:i/>
                <w:sz w:val="20"/>
              </w:rPr>
            </w:pPr>
            <w:r>
              <w:rPr>
                <w:i/>
                <w:sz w:val="20"/>
              </w:rPr>
              <w:t>Lisa Gilmore, ED-Surgery</w:t>
            </w:r>
          </w:p>
        </w:tc>
        <w:tc>
          <w:tcPr>
            <w:tcW w:w="2265" w:type="dxa"/>
          </w:tcPr>
          <w:p w14:paraId="31501FE6" w14:textId="153F2E12" w:rsidR="00ED46C3" w:rsidRPr="008202D3" w:rsidRDefault="006576AB" w:rsidP="004A1316">
            <w:pPr>
              <w:rPr>
                <w:i/>
                <w:sz w:val="20"/>
              </w:rPr>
            </w:pPr>
            <w:r>
              <w:rPr>
                <w:i/>
                <w:sz w:val="20"/>
              </w:rPr>
              <w:t>CHS Policy Committee</w:t>
            </w:r>
          </w:p>
        </w:tc>
      </w:tr>
      <w:tr w:rsidR="00ED46C3" w:rsidRPr="008202D3" w14:paraId="4B9C0359" w14:textId="77777777" w:rsidTr="006576AB">
        <w:tc>
          <w:tcPr>
            <w:tcW w:w="1838" w:type="dxa"/>
          </w:tcPr>
          <w:p w14:paraId="01E40F72" w14:textId="77777777" w:rsidR="00ED46C3" w:rsidRPr="008202D3" w:rsidRDefault="00ED46C3" w:rsidP="004A1316">
            <w:pPr>
              <w:rPr>
                <w:i/>
                <w:sz w:val="20"/>
              </w:rPr>
            </w:pPr>
          </w:p>
        </w:tc>
        <w:tc>
          <w:tcPr>
            <w:tcW w:w="2552" w:type="dxa"/>
          </w:tcPr>
          <w:p w14:paraId="25312BA2" w14:textId="77777777" w:rsidR="00ED46C3" w:rsidRPr="008202D3" w:rsidRDefault="00ED46C3" w:rsidP="004A1316">
            <w:pPr>
              <w:rPr>
                <w:i/>
                <w:sz w:val="20"/>
              </w:rPr>
            </w:pPr>
          </w:p>
        </w:tc>
        <w:tc>
          <w:tcPr>
            <w:tcW w:w="2555" w:type="dxa"/>
          </w:tcPr>
          <w:p w14:paraId="6A63A790" w14:textId="77777777" w:rsidR="00ED46C3" w:rsidRPr="008202D3" w:rsidRDefault="00ED46C3" w:rsidP="004A1316">
            <w:pPr>
              <w:rPr>
                <w:i/>
                <w:sz w:val="20"/>
              </w:rPr>
            </w:pPr>
          </w:p>
        </w:tc>
        <w:tc>
          <w:tcPr>
            <w:tcW w:w="2265" w:type="dxa"/>
          </w:tcPr>
          <w:p w14:paraId="0C203B9F" w14:textId="77777777" w:rsidR="00ED46C3" w:rsidRPr="008202D3" w:rsidRDefault="00ED46C3" w:rsidP="004A1316">
            <w:pPr>
              <w:rPr>
                <w:i/>
                <w:sz w:val="20"/>
              </w:rPr>
            </w:pPr>
          </w:p>
        </w:tc>
      </w:tr>
    </w:tbl>
    <w:p w14:paraId="3B395D33" w14:textId="77777777" w:rsidR="00ED46C3" w:rsidRPr="008202D3" w:rsidRDefault="00ED46C3" w:rsidP="00ED46C3">
      <w:pPr>
        <w:rPr>
          <w:rFonts w:cs="Arial"/>
          <w:sz w:val="20"/>
        </w:rPr>
      </w:pPr>
    </w:p>
    <w:p w14:paraId="22B94EA3" w14:textId="77777777" w:rsidR="00ED46C3" w:rsidRPr="008202D3" w:rsidRDefault="00ED46C3" w:rsidP="00ED46C3">
      <w:pPr>
        <w:rPr>
          <w:rFonts w:cs="Arial"/>
          <w:i/>
          <w:sz w:val="20"/>
        </w:rPr>
      </w:pPr>
      <w:r w:rsidRPr="008202D3">
        <w:rPr>
          <w:rFonts w:cs="Arial"/>
          <w:i/>
          <w:sz w:val="20"/>
        </w:rPr>
        <w:t xml:space="preserve">This document supersedes the following: </w:t>
      </w:r>
    </w:p>
    <w:tbl>
      <w:tblPr>
        <w:tblStyle w:val="TableGrid"/>
        <w:tblW w:w="9209" w:type="dxa"/>
        <w:tblLook w:val="04A0" w:firstRow="1" w:lastRow="0" w:firstColumn="1" w:lastColumn="0" w:noHBand="0" w:noVBand="1"/>
      </w:tblPr>
      <w:tblGrid>
        <w:gridCol w:w="1838"/>
        <w:gridCol w:w="7371"/>
      </w:tblGrid>
      <w:tr w:rsidR="00ED46C3" w:rsidRPr="008202D3" w14:paraId="3DF1741B" w14:textId="77777777" w:rsidTr="006576AB">
        <w:tc>
          <w:tcPr>
            <w:tcW w:w="1838" w:type="dxa"/>
          </w:tcPr>
          <w:p w14:paraId="3A0A8647" w14:textId="77777777" w:rsidR="00ED46C3" w:rsidRPr="008202D3" w:rsidRDefault="00ED46C3" w:rsidP="004A1316">
            <w:pPr>
              <w:rPr>
                <w:i/>
                <w:sz w:val="20"/>
              </w:rPr>
            </w:pPr>
            <w:r w:rsidRPr="008202D3">
              <w:rPr>
                <w:i/>
                <w:sz w:val="20"/>
              </w:rPr>
              <w:t>Document Number</w:t>
            </w:r>
          </w:p>
        </w:tc>
        <w:tc>
          <w:tcPr>
            <w:tcW w:w="7371" w:type="dxa"/>
          </w:tcPr>
          <w:p w14:paraId="40CE1B13" w14:textId="77777777" w:rsidR="00ED46C3" w:rsidRPr="008202D3" w:rsidRDefault="00ED46C3" w:rsidP="004A1316">
            <w:pPr>
              <w:rPr>
                <w:i/>
                <w:sz w:val="20"/>
              </w:rPr>
            </w:pPr>
            <w:r w:rsidRPr="008202D3">
              <w:rPr>
                <w:i/>
                <w:sz w:val="20"/>
              </w:rPr>
              <w:t>Document Name</w:t>
            </w:r>
          </w:p>
        </w:tc>
      </w:tr>
      <w:tr w:rsidR="00ED46C3" w:rsidRPr="008202D3" w14:paraId="389A2F7C" w14:textId="77777777" w:rsidTr="006576AB">
        <w:tc>
          <w:tcPr>
            <w:tcW w:w="1838" w:type="dxa"/>
          </w:tcPr>
          <w:p w14:paraId="72FFFF3B" w14:textId="77777777" w:rsidR="00ED46C3" w:rsidRPr="008202D3" w:rsidRDefault="00ED46C3" w:rsidP="004A1316">
            <w:pPr>
              <w:rPr>
                <w:i/>
                <w:sz w:val="20"/>
              </w:rPr>
            </w:pPr>
          </w:p>
        </w:tc>
        <w:tc>
          <w:tcPr>
            <w:tcW w:w="7371" w:type="dxa"/>
          </w:tcPr>
          <w:p w14:paraId="61EF68F3" w14:textId="77777777" w:rsidR="00ED46C3" w:rsidRPr="008202D3" w:rsidRDefault="00ED46C3" w:rsidP="004A1316">
            <w:pPr>
              <w:rPr>
                <w:i/>
                <w:sz w:val="20"/>
              </w:rPr>
            </w:pPr>
          </w:p>
        </w:tc>
      </w:tr>
      <w:tr w:rsidR="00ED46C3" w:rsidRPr="008202D3" w14:paraId="4414C7E4" w14:textId="77777777" w:rsidTr="006576AB">
        <w:tc>
          <w:tcPr>
            <w:tcW w:w="1838" w:type="dxa"/>
          </w:tcPr>
          <w:p w14:paraId="0E1C6F88" w14:textId="77777777" w:rsidR="00ED46C3" w:rsidRPr="008202D3" w:rsidRDefault="00ED46C3" w:rsidP="004A1316">
            <w:pPr>
              <w:rPr>
                <w:i/>
                <w:sz w:val="20"/>
              </w:rPr>
            </w:pPr>
          </w:p>
        </w:tc>
        <w:tc>
          <w:tcPr>
            <w:tcW w:w="7371" w:type="dxa"/>
          </w:tcPr>
          <w:p w14:paraId="73EF72D2" w14:textId="77777777" w:rsidR="00ED46C3" w:rsidRPr="008202D3" w:rsidRDefault="00ED46C3" w:rsidP="004A1316">
            <w:pPr>
              <w:rPr>
                <w:i/>
                <w:sz w:val="20"/>
              </w:rPr>
            </w:pPr>
          </w:p>
        </w:tc>
      </w:tr>
    </w:tbl>
    <w:p w14:paraId="2F51A904" w14:textId="77777777" w:rsidR="00B12123" w:rsidRPr="00010E74" w:rsidRDefault="00B12123" w:rsidP="00B12123">
      <w:pPr>
        <w:rPr>
          <w:i/>
          <w:sz w:val="20"/>
          <w:szCs w:val="24"/>
        </w:rPr>
      </w:pPr>
    </w:p>
    <w:p w14:paraId="2F51A905" w14:textId="77777777" w:rsidR="00395E36" w:rsidRDefault="00395E36" w:rsidP="007B6904">
      <w:pPr>
        <w:rPr>
          <w:rFonts w:cs="Arial"/>
          <w:szCs w:val="24"/>
        </w:rPr>
      </w:pPr>
    </w:p>
    <w:sectPr w:rsidR="00395E36" w:rsidSect="004213C3">
      <w:headerReference w:type="default" r:id="rId11"/>
      <w:footerReference w:type="default" r:id="rId12"/>
      <w:pgSz w:w="11906" w:h="16838"/>
      <w:pgMar w:top="663" w:right="1418" w:bottom="1440" w:left="1418" w:header="357" w:footer="3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574129" w14:textId="77777777" w:rsidR="000872A2" w:rsidRDefault="000872A2" w:rsidP="00F66CB0">
      <w:r>
        <w:separator/>
      </w:r>
    </w:p>
  </w:endnote>
  <w:endnote w:type="continuationSeparator" w:id="0">
    <w:p w14:paraId="46A7ED81" w14:textId="77777777" w:rsidR="000872A2" w:rsidRDefault="000872A2" w:rsidP="00F66C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Bold">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insideH w:val="single" w:sz="4" w:space="0" w:color="auto"/>
      </w:tblBorders>
      <w:tblLook w:val="00A0" w:firstRow="1" w:lastRow="0" w:firstColumn="1" w:lastColumn="0" w:noHBand="0" w:noVBand="0"/>
    </w:tblPr>
    <w:tblGrid>
      <w:gridCol w:w="1515"/>
      <w:gridCol w:w="965"/>
      <w:gridCol w:w="1552"/>
      <w:gridCol w:w="1456"/>
      <w:gridCol w:w="1746"/>
      <w:gridCol w:w="1836"/>
    </w:tblGrid>
    <w:tr w:rsidR="00E90708" w:rsidRPr="00AE7C5C" w14:paraId="2F51A914" w14:textId="77777777" w:rsidTr="005E1140">
      <w:tc>
        <w:tcPr>
          <w:tcW w:w="1515" w:type="dxa"/>
        </w:tcPr>
        <w:p w14:paraId="2F51A90E" w14:textId="77777777" w:rsidR="00E90708" w:rsidRPr="00B3752F" w:rsidRDefault="00E90708" w:rsidP="004213C3">
          <w:pPr>
            <w:pStyle w:val="Footer"/>
            <w:rPr>
              <w:rFonts w:cs="Arial"/>
              <w:b/>
              <w:bCs/>
              <w:i/>
              <w:sz w:val="20"/>
            </w:rPr>
          </w:pPr>
          <w:r w:rsidRPr="00B3752F">
            <w:rPr>
              <w:rFonts w:cs="Arial"/>
              <w:b/>
              <w:bCs/>
              <w:i/>
              <w:sz w:val="20"/>
            </w:rPr>
            <w:t>Doc Number</w:t>
          </w:r>
        </w:p>
      </w:tc>
      <w:tc>
        <w:tcPr>
          <w:tcW w:w="965" w:type="dxa"/>
        </w:tcPr>
        <w:p w14:paraId="2F51A90F" w14:textId="77777777" w:rsidR="00E90708" w:rsidRPr="00B3752F" w:rsidRDefault="00E90708" w:rsidP="004213C3">
          <w:pPr>
            <w:pStyle w:val="Footer"/>
            <w:rPr>
              <w:rFonts w:cs="Arial"/>
              <w:b/>
              <w:bCs/>
              <w:i/>
              <w:sz w:val="20"/>
            </w:rPr>
          </w:pPr>
          <w:r w:rsidRPr="00B3752F">
            <w:rPr>
              <w:rFonts w:cs="Arial"/>
              <w:b/>
              <w:bCs/>
              <w:i/>
              <w:sz w:val="20"/>
            </w:rPr>
            <w:t>Version</w:t>
          </w:r>
        </w:p>
      </w:tc>
      <w:tc>
        <w:tcPr>
          <w:tcW w:w="1552" w:type="dxa"/>
        </w:tcPr>
        <w:p w14:paraId="2F51A910" w14:textId="77777777" w:rsidR="00E90708" w:rsidRPr="00B3752F" w:rsidRDefault="00E90708" w:rsidP="004213C3">
          <w:pPr>
            <w:pStyle w:val="Footer"/>
            <w:rPr>
              <w:rFonts w:cs="Arial"/>
              <w:b/>
              <w:bCs/>
              <w:i/>
              <w:sz w:val="20"/>
            </w:rPr>
          </w:pPr>
          <w:r w:rsidRPr="00B3752F">
            <w:rPr>
              <w:rFonts w:cs="Arial"/>
              <w:b/>
              <w:bCs/>
              <w:i/>
              <w:sz w:val="20"/>
            </w:rPr>
            <w:t>Issued</w:t>
          </w:r>
        </w:p>
      </w:tc>
      <w:tc>
        <w:tcPr>
          <w:tcW w:w="1456" w:type="dxa"/>
        </w:tcPr>
        <w:p w14:paraId="2F51A911" w14:textId="77777777" w:rsidR="00E90708" w:rsidRPr="00B3752F" w:rsidRDefault="00E90708" w:rsidP="004213C3">
          <w:pPr>
            <w:pStyle w:val="Footer"/>
            <w:rPr>
              <w:rFonts w:cs="Arial"/>
              <w:b/>
              <w:bCs/>
              <w:i/>
              <w:sz w:val="20"/>
            </w:rPr>
          </w:pPr>
          <w:r w:rsidRPr="00B3752F">
            <w:rPr>
              <w:rFonts w:cs="Arial"/>
              <w:b/>
              <w:bCs/>
              <w:i/>
              <w:sz w:val="20"/>
            </w:rPr>
            <w:t>Review Date</w:t>
          </w:r>
        </w:p>
      </w:tc>
      <w:tc>
        <w:tcPr>
          <w:tcW w:w="1746" w:type="dxa"/>
        </w:tcPr>
        <w:p w14:paraId="2F51A912" w14:textId="77777777" w:rsidR="00E90708" w:rsidRPr="00B3752F" w:rsidRDefault="00E90708" w:rsidP="004213C3">
          <w:pPr>
            <w:pStyle w:val="Footer"/>
            <w:rPr>
              <w:rFonts w:cs="Arial"/>
              <w:b/>
              <w:bCs/>
              <w:i/>
              <w:sz w:val="20"/>
            </w:rPr>
          </w:pPr>
          <w:r w:rsidRPr="00B3752F">
            <w:rPr>
              <w:rFonts w:cs="Arial"/>
              <w:b/>
              <w:bCs/>
              <w:i/>
              <w:sz w:val="20"/>
            </w:rPr>
            <w:t>Area Responsible</w:t>
          </w:r>
        </w:p>
      </w:tc>
      <w:tc>
        <w:tcPr>
          <w:tcW w:w="1836" w:type="dxa"/>
        </w:tcPr>
        <w:p w14:paraId="2F51A913" w14:textId="77777777" w:rsidR="00E90708" w:rsidRPr="00B3752F" w:rsidRDefault="00E90708" w:rsidP="004213C3">
          <w:pPr>
            <w:pStyle w:val="Footer"/>
            <w:rPr>
              <w:rFonts w:cs="Arial"/>
              <w:b/>
              <w:bCs/>
              <w:i/>
              <w:sz w:val="20"/>
            </w:rPr>
          </w:pPr>
          <w:r w:rsidRPr="00B3752F">
            <w:rPr>
              <w:rFonts w:cs="Arial"/>
              <w:b/>
              <w:bCs/>
              <w:i/>
              <w:sz w:val="20"/>
            </w:rPr>
            <w:t>Page</w:t>
          </w:r>
        </w:p>
      </w:tc>
    </w:tr>
    <w:tr w:rsidR="00E90708" w14:paraId="2F51A91B" w14:textId="77777777" w:rsidTr="005E1140">
      <w:tc>
        <w:tcPr>
          <w:tcW w:w="1515" w:type="dxa"/>
        </w:tcPr>
        <w:p w14:paraId="2F51A915" w14:textId="456AC850" w:rsidR="00E90708" w:rsidRPr="00542EE6" w:rsidRDefault="00031438" w:rsidP="004213C3">
          <w:pPr>
            <w:pStyle w:val="Footer"/>
            <w:rPr>
              <w:rFonts w:cs="Arial"/>
              <w:b/>
              <w:bCs/>
              <w:sz w:val="20"/>
            </w:rPr>
          </w:pPr>
          <w:r>
            <w:rPr>
              <w:b/>
              <w:sz w:val="20"/>
            </w:rPr>
            <w:t>CHS22/</w:t>
          </w:r>
          <w:r w:rsidR="002F4170">
            <w:rPr>
              <w:b/>
              <w:sz w:val="20"/>
            </w:rPr>
            <w:t>260</w:t>
          </w:r>
        </w:p>
      </w:tc>
      <w:tc>
        <w:tcPr>
          <w:tcW w:w="965" w:type="dxa"/>
        </w:tcPr>
        <w:p w14:paraId="2F51A916" w14:textId="3133B06A" w:rsidR="00E90708" w:rsidRPr="00B3752F" w:rsidRDefault="00031438" w:rsidP="004213C3">
          <w:pPr>
            <w:pStyle w:val="Footer"/>
            <w:rPr>
              <w:rFonts w:cs="Arial"/>
              <w:b/>
              <w:bCs/>
              <w:sz w:val="20"/>
            </w:rPr>
          </w:pPr>
          <w:r>
            <w:rPr>
              <w:rFonts w:cs="Arial"/>
              <w:b/>
              <w:bCs/>
              <w:sz w:val="20"/>
            </w:rPr>
            <w:t>1</w:t>
          </w:r>
        </w:p>
      </w:tc>
      <w:tc>
        <w:tcPr>
          <w:tcW w:w="1552" w:type="dxa"/>
        </w:tcPr>
        <w:p w14:paraId="2F51A917" w14:textId="655B6913" w:rsidR="00E90708" w:rsidRPr="00B3752F" w:rsidRDefault="00031438" w:rsidP="004213C3">
          <w:pPr>
            <w:pStyle w:val="Footer"/>
            <w:rPr>
              <w:rFonts w:cs="Arial"/>
              <w:b/>
              <w:bCs/>
              <w:sz w:val="20"/>
            </w:rPr>
          </w:pPr>
          <w:r>
            <w:rPr>
              <w:rFonts w:cs="Arial"/>
              <w:b/>
              <w:bCs/>
              <w:sz w:val="20"/>
            </w:rPr>
            <w:t>17/06/2022</w:t>
          </w:r>
        </w:p>
      </w:tc>
      <w:tc>
        <w:tcPr>
          <w:tcW w:w="1456" w:type="dxa"/>
        </w:tcPr>
        <w:p w14:paraId="2F51A918" w14:textId="7B2F3F9C" w:rsidR="00E90708" w:rsidRPr="00B3752F" w:rsidRDefault="00031438" w:rsidP="004213C3">
          <w:pPr>
            <w:pStyle w:val="Footer"/>
            <w:rPr>
              <w:rFonts w:cs="Arial"/>
              <w:b/>
              <w:bCs/>
              <w:sz w:val="20"/>
            </w:rPr>
          </w:pPr>
          <w:r>
            <w:rPr>
              <w:rFonts w:cs="Arial"/>
              <w:b/>
              <w:bCs/>
              <w:sz w:val="20"/>
            </w:rPr>
            <w:t>01/07/2026</w:t>
          </w:r>
        </w:p>
      </w:tc>
      <w:tc>
        <w:tcPr>
          <w:tcW w:w="1746" w:type="dxa"/>
        </w:tcPr>
        <w:p w14:paraId="2F51A919" w14:textId="3E6C3D6A" w:rsidR="00E90708" w:rsidRPr="00B3752F" w:rsidRDefault="00031438" w:rsidP="004213C3">
          <w:pPr>
            <w:pStyle w:val="Footer"/>
            <w:rPr>
              <w:rFonts w:cs="Arial"/>
              <w:b/>
              <w:bCs/>
              <w:sz w:val="20"/>
            </w:rPr>
          </w:pPr>
          <w:r>
            <w:rPr>
              <w:rFonts w:cs="Arial"/>
              <w:b/>
              <w:bCs/>
              <w:sz w:val="20"/>
            </w:rPr>
            <w:t>Surgery</w:t>
          </w:r>
        </w:p>
      </w:tc>
      <w:tc>
        <w:tcPr>
          <w:tcW w:w="1836" w:type="dxa"/>
        </w:tcPr>
        <w:p w14:paraId="2F51A91A" w14:textId="77777777" w:rsidR="00E90708" w:rsidRPr="00B3752F" w:rsidRDefault="007B7628" w:rsidP="004213C3">
          <w:pPr>
            <w:pStyle w:val="Footer"/>
            <w:rPr>
              <w:sz w:val="20"/>
            </w:rPr>
          </w:pPr>
          <w:r w:rsidRPr="00B3752F">
            <w:rPr>
              <w:rStyle w:val="PageNumber"/>
              <w:sz w:val="20"/>
            </w:rPr>
            <w:fldChar w:fldCharType="begin"/>
          </w:r>
          <w:r w:rsidR="00E90708" w:rsidRPr="00B3752F">
            <w:rPr>
              <w:rStyle w:val="PageNumber"/>
              <w:sz w:val="20"/>
            </w:rPr>
            <w:instrText xml:space="preserve"> PAGE </w:instrText>
          </w:r>
          <w:r w:rsidRPr="00B3752F">
            <w:rPr>
              <w:rStyle w:val="PageNumber"/>
              <w:sz w:val="20"/>
            </w:rPr>
            <w:fldChar w:fldCharType="separate"/>
          </w:r>
          <w:r w:rsidR="00ED46C3">
            <w:rPr>
              <w:rStyle w:val="PageNumber"/>
              <w:noProof/>
              <w:sz w:val="20"/>
            </w:rPr>
            <w:t>6</w:t>
          </w:r>
          <w:r w:rsidRPr="00B3752F">
            <w:rPr>
              <w:rStyle w:val="PageNumber"/>
              <w:sz w:val="20"/>
            </w:rPr>
            <w:fldChar w:fldCharType="end"/>
          </w:r>
          <w:r w:rsidR="00E90708" w:rsidRPr="00B3752F">
            <w:rPr>
              <w:rStyle w:val="PageNumber"/>
              <w:sz w:val="20"/>
            </w:rPr>
            <w:t xml:space="preserve"> of </w:t>
          </w:r>
          <w:r w:rsidRPr="00B3752F">
            <w:rPr>
              <w:rStyle w:val="PageNumber"/>
              <w:sz w:val="20"/>
            </w:rPr>
            <w:fldChar w:fldCharType="begin"/>
          </w:r>
          <w:r w:rsidR="00E90708" w:rsidRPr="00B3752F">
            <w:rPr>
              <w:rStyle w:val="PageNumber"/>
              <w:sz w:val="20"/>
            </w:rPr>
            <w:instrText xml:space="preserve"> NUMPAGES </w:instrText>
          </w:r>
          <w:r w:rsidRPr="00B3752F">
            <w:rPr>
              <w:rStyle w:val="PageNumber"/>
              <w:sz w:val="20"/>
            </w:rPr>
            <w:fldChar w:fldCharType="separate"/>
          </w:r>
          <w:r w:rsidR="00ED46C3">
            <w:rPr>
              <w:rStyle w:val="PageNumber"/>
              <w:noProof/>
              <w:sz w:val="20"/>
            </w:rPr>
            <w:t>6</w:t>
          </w:r>
          <w:r w:rsidRPr="00B3752F">
            <w:rPr>
              <w:rStyle w:val="PageNumber"/>
              <w:sz w:val="20"/>
            </w:rPr>
            <w:fldChar w:fldCharType="end"/>
          </w:r>
        </w:p>
      </w:tc>
    </w:tr>
    <w:tr w:rsidR="005E1140" w14:paraId="668DA41F" w14:textId="77777777" w:rsidTr="00861252">
      <w:trPr>
        <w:trHeight w:val="231"/>
      </w:trPr>
      <w:tc>
        <w:tcPr>
          <w:tcW w:w="9070" w:type="dxa"/>
          <w:gridSpan w:val="6"/>
          <w:tcBorders>
            <w:top w:val="single" w:sz="4" w:space="0" w:color="auto"/>
            <w:left w:val="single" w:sz="4" w:space="0" w:color="auto"/>
            <w:bottom w:val="single" w:sz="4" w:space="0" w:color="auto"/>
            <w:right w:val="single" w:sz="4" w:space="0" w:color="auto"/>
          </w:tcBorders>
        </w:tcPr>
        <w:p w14:paraId="512A806D" w14:textId="713A0083" w:rsidR="005E1140" w:rsidRPr="002C1428" w:rsidRDefault="005E1140" w:rsidP="005E1140">
          <w:pPr>
            <w:pStyle w:val="Footer"/>
            <w:jc w:val="center"/>
            <w:rPr>
              <w:rStyle w:val="PageNumber"/>
              <w:sz w:val="16"/>
              <w:szCs w:val="16"/>
            </w:rPr>
          </w:pPr>
          <w:r w:rsidRPr="002C1428">
            <w:rPr>
              <w:sz w:val="16"/>
              <w:szCs w:val="16"/>
            </w:rPr>
            <w:t xml:space="preserve">Do not refer to a paper based copy of this policy document. </w:t>
          </w:r>
          <w:r>
            <w:rPr>
              <w:sz w:val="16"/>
              <w:szCs w:val="16"/>
            </w:rPr>
            <w:t>The most current</w:t>
          </w:r>
          <w:r w:rsidRPr="002C1428">
            <w:rPr>
              <w:sz w:val="16"/>
              <w:szCs w:val="16"/>
            </w:rPr>
            <w:t xml:space="preserve"> version</w:t>
          </w:r>
          <w:r>
            <w:rPr>
              <w:sz w:val="16"/>
              <w:szCs w:val="16"/>
            </w:rPr>
            <w:t xml:space="preserve"> can be found</w:t>
          </w:r>
          <w:r w:rsidRPr="002C1428">
            <w:rPr>
              <w:sz w:val="16"/>
              <w:szCs w:val="16"/>
            </w:rPr>
            <w:t xml:space="preserve"> on the </w:t>
          </w:r>
          <w:r w:rsidR="00366924">
            <w:rPr>
              <w:sz w:val="16"/>
              <w:szCs w:val="16"/>
            </w:rPr>
            <w:t>CHS</w:t>
          </w:r>
          <w:r w:rsidRPr="002C1428">
            <w:rPr>
              <w:sz w:val="16"/>
              <w:szCs w:val="16"/>
            </w:rPr>
            <w:t xml:space="preserve"> Policy Register</w:t>
          </w:r>
        </w:p>
      </w:tc>
    </w:tr>
  </w:tbl>
  <w:p w14:paraId="2F51A91D" w14:textId="77777777" w:rsidR="00E90708" w:rsidRPr="00AE7C5C" w:rsidRDefault="00E90708" w:rsidP="00CD15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E0C4DB" w14:textId="77777777" w:rsidR="000872A2" w:rsidRDefault="000872A2" w:rsidP="00F66CB0">
      <w:r>
        <w:separator/>
      </w:r>
    </w:p>
  </w:footnote>
  <w:footnote w:type="continuationSeparator" w:id="0">
    <w:p w14:paraId="499E6B9F" w14:textId="77777777" w:rsidR="000872A2" w:rsidRDefault="000872A2" w:rsidP="00F66C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44"/>
      <w:gridCol w:w="3526"/>
    </w:tblGrid>
    <w:tr w:rsidR="00E90708" w14:paraId="2F51A90C" w14:textId="77777777" w:rsidTr="0074223E">
      <w:trPr>
        <w:trHeight w:val="1418"/>
      </w:trPr>
      <w:tc>
        <w:tcPr>
          <w:tcW w:w="5556" w:type="dxa"/>
          <w:vAlign w:val="center"/>
          <w:hideMark/>
        </w:tcPr>
        <w:p w14:paraId="2F51A90A" w14:textId="5F72D3B6" w:rsidR="00E90708" w:rsidRDefault="00200D04" w:rsidP="0074223E">
          <w:pPr>
            <w:pStyle w:val="Header"/>
            <w:rPr>
              <w:sz w:val="20"/>
            </w:rPr>
          </w:pPr>
          <w:r>
            <w:rPr>
              <w:noProof/>
              <w:sz w:val="20"/>
            </w:rPr>
            <w:drawing>
              <wp:inline distT="0" distB="0" distL="0" distR="0" wp14:anchorId="5330CC0D" wp14:editId="1210EDE2">
                <wp:extent cx="3295650" cy="723900"/>
                <wp:effectExtent l="0" t="0" r="0" b="0"/>
                <wp:docPr id="2" name="Picture 2" descr="Canberra Health Services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nberra Health Services_RGB"/>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295650" cy="723900"/>
                        </a:xfrm>
                        <a:prstGeom prst="rect">
                          <a:avLst/>
                        </a:prstGeom>
                        <a:noFill/>
                        <a:ln>
                          <a:noFill/>
                        </a:ln>
                      </pic:spPr>
                    </pic:pic>
                  </a:graphicData>
                </a:graphic>
              </wp:inline>
            </w:drawing>
          </w:r>
        </w:p>
      </w:tc>
      <w:tc>
        <w:tcPr>
          <w:tcW w:w="3730" w:type="dxa"/>
          <w:vAlign w:val="center"/>
          <w:hideMark/>
        </w:tcPr>
        <w:p w14:paraId="2F51A90B" w14:textId="1C469E82" w:rsidR="00E90708" w:rsidRDefault="002F4170">
          <w:pPr>
            <w:pStyle w:val="Header"/>
            <w:tabs>
              <w:tab w:val="left" w:pos="720"/>
            </w:tabs>
            <w:jc w:val="right"/>
            <w:rPr>
              <w:sz w:val="20"/>
            </w:rPr>
          </w:pPr>
          <w:bookmarkStart w:id="48" w:name="_top"/>
          <w:bookmarkEnd w:id="48"/>
          <w:r>
            <w:rPr>
              <w:sz w:val="20"/>
            </w:rPr>
            <w:t>CHS22/260</w:t>
          </w:r>
        </w:p>
      </w:tc>
    </w:tr>
  </w:tbl>
  <w:p w14:paraId="2F51A90D" w14:textId="77777777" w:rsidR="00E90708" w:rsidRPr="00FC3538" w:rsidRDefault="00E90708">
    <w:pPr>
      <w:pStyle w:val="Header"/>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62FA7A20"/>
    <w:lvl w:ilvl="0">
      <w:start w:val="1"/>
      <w:numFmt w:val="bullet"/>
      <w:pStyle w:val="ListBullet"/>
      <w:lvlText w:val=""/>
      <w:lvlJc w:val="left"/>
      <w:pPr>
        <w:tabs>
          <w:tab w:val="num" w:pos="1080"/>
        </w:tabs>
        <w:ind w:left="1080" w:hanging="360"/>
      </w:pPr>
      <w:rPr>
        <w:rFonts w:ascii="Symbol" w:hAnsi="Symbol" w:hint="default"/>
        <w:color w:val="auto"/>
      </w:rPr>
    </w:lvl>
  </w:abstractNum>
  <w:abstractNum w:abstractNumId="1" w15:restartNumberingAfterBreak="0">
    <w:nsid w:val="036F7A16"/>
    <w:multiLevelType w:val="hybridMultilevel"/>
    <w:tmpl w:val="B81EF36C"/>
    <w:lvl w:ilvl="0" w:tplc="0C090001">
      <w:start w:val="1"/>
      <w:numFmt w:val="bullet"/>
      <w:lvlText w:val=""/>
      <w:lvlJc w:val="left"/>
      <w:pPr>
        <w:tabs>
          <w:tab w:val="num" w:pos="7590"/>
        </w:tabs>
        <w:ind w:left="7590" w:hanging="360"/>
      </w:pPr>
      <w:rPr>
        <w:rFonts w:ascii="Symbol" w:hAnsi="Symbol" w:hint="default"/>
      </w:rPr>
    </w:lvl>
    <w:lvl w:ilvl="1" w:tplc="0C090003" w:tentative="1">
      <w:start w:val="1"/>
      <w:numFmt w:val="bullet"/>
      <w:lvlText w:val="o"/>
      <w:lvlJc w:val="left"/>
      <w:pPr>
        <w:ind w:left="8310" w:hanging="360"/>
      </w:pPr>
      <w:rPr>
        <w:rFonts w:ascii="Courier New" w:hAnsi="Courier New" w:hint="default"/>
      </w:rPr>
    </w:lvl>
    <w:lvl w:ilvl="2" w:tplc="0C090005" w:tentative="1">
      <w:start w:val="1"/>
      <w:numFmt w:val="bullet"/>
      <w:lvlText w:val=""/>
      <w:lvlJc w:val="left"/>
      <w:pPr>
        <w:ind w:left="9030" w:hanging="360"/>
      </w:pPr>
      <w:rPr>
        <w:rFonts w:ascii="Wingdings" w:hAnsi="Wingdings" w:hint="default"/>
      </w:rPr>
    </w:lvl>
    <w:lvl w:ilvl="3" w:tplc="0C090001" w:tentative="1">
      <w:start w:val="1"/>
      <w:numFmt w:val="bullet"/>
      <w:lvlText w:val=""/>
      <w:lvlJc w:val="left"/>
      <w:pPr>
        <w:ind w:left="9750" w:hanging="360"/>
      </w:pPr>
      <w:rPr>
        <w:rFonts w:ascii="Symbol" w:hAnsi="Symbol" w:hint="default"/>
      </w:rPr>
    </w:lvl>
    <w:lvl w:ilvl="4" w:tplc="0C090003" w:tentative="1">
      <w:start w:val="1"/>
      <w:numFmt w:val="bullet"/>
      <w:lvlText w:val="o"/>
      <w:lvlJc w:val="left"/>
      <w:pPr>
        <w:ind w:left="10470" w:hanging="360"/>
      </w:pPr>
      <w:rPr>
        <w:rFonts w:ascii="Courier New" w:hAnsi="Courier New" w:hint="default"/>
      </w:rPr>
    </w:lvl>
    <w:lvl w:ilvl="5" w:tplc="0C090005" w:tentative="1">
      <w:start w:val="1"/>
      <w:numFmt w:val="bullet"/>
      <w:lvlText w:val=""/>
      <w:lvlJc w:val="left"/>
      <w:pPr>
        <w:ind w:left="11190" w:hanging="360"/>
      </w:pPr>
      <w:rPr>
        <w:rFonts w:ascii="Wingdings" w:hAnsi="Wingdings" w:hint="default"/>
      </w:rPr>
    </w:lvl>
    <w:lvl w:ilvl="6" w:tplc="0C090001" w:tentative="1">
      <w:start w:val="1"/>
      <w:numFmt w:val="bullet"/>
      <w:lvlText w:val=""/>
      <w:lvlJc w:val="left"/>
      <w:pPr>
        <w:ind w:left="11910" w:hanging="360"/>
      </w:pPr>
      <w:rPr>
        <w:rFonts w:ascii="Symbol" w:hAnsi="Symbol" w:hint="default"/>
      </w:rPr>
    </w:lvl>
    <w:lvl w:ilvl="7" w:tplc="0C090003" w:tentative="1">
      <w:start w:val="1"/>
      <w:numFmt w:val="bullet"/>
      <w:lvlText w:val="o"/>
      <w:lvlJc w:val="left"/>
      <w:pPr>
        <w:ind w:left="12630" w:hanging="360"/>
      </w:pPr>
      <w:rPr>
        <w:rFonts w:ascii="Courier New" w:hAnsi="Courier New" w:hint="default"/>
      </w:rPr>
    </w:lvl>
    <w:lvl w:ilvl="8" w:tplc="0C090005" w:tentative="1">
      <w:start w:val="1"/>
      <w:numFmt w:val="bullet"/>
      <w:lvlText w:val=""/>
      <w:lvlJc w:val="left"/>
      <w:pPr>
        <w:ind w:left="13350" w:hanging="360"/>
      </w:pPr>
      <w:rPr>
        <w:rFonts w:ascii="Wingdings" w:hAnsi="Wingdings" w:hint="default"/>
      </w:rPr>
    </w:lvl>
  </w:abstractNum>
  <w:abstractNum w:abstractNumId="2" w15:restartNumberingAfterBreak="0">
    <w:nsid w:val="072A09C1"/>
    <w:multiLevelType w:val="hybridMultilevel"/>
    <w:tmpl w:val="B3BEF7EC"/>
    <w:lvl w:ilvl="0" w:tplc="7E7CDD62">
      <w:start w:val="2"/>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5050C8F"/>
    <w:multiLevelType w:val="hybridMultilevel"/>
    <w:tmpl w:val="04F469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B4E2874"/>
    <w:multiLevelType w:val="hybridMultilevel"/>
    <w:tmpl w:val="4178145E"/>
    <w:lvl w:ilvl="0" w:tplc="3D9E342E">
      <w:start w:val="1"/>
      <w:numFmt w:val="decimal"/>
      <w:lvlText w:val="%1."/>
      <w:lvlJc w:val="left"/>
      <w:pPr>
        <w:ind w:left="1232" w:hanging="360"/>
      </w:pPr>
      <w:rPr>
        <w:rFonts w:hint="default"/>
      </w:rPr>
    </w:lvl>
    <w:lvl w:ilvl="1" w:tplc="0C090019" w:tentative="1">
      <w:start w:val="1"/>
      <w:numFmt w:val="lowerLetter"/>
      <w:lvlText w:val="%2."/>
      <w:lvlJc w:val="left"/>
      <w:pPr>
        <w:ind w:left="1952" w:hanging="360"/>
      </w:pPr>
    </w:lvl>
    <w:lvl w:ilvl="2" w:tplc="0C09001B" w:tentative="1">
      <w:start w:val="1"/>
      <w:numFmt w:val="lowerRoman"/>
      <w:lvlText w:val="%3."/>
      <w:lvlJc w:val="right"/>
      <w:pPr>
        <w:ind w:left="2672" w:hanging="180"/>
      </w:pPr>
    </w:lvl>
    <w:lvl w:ilvl="3" w:tplc="0C09000F" w:tentative="1">
      <w:start w:val="1"/>
      <w:numFmt w:val="decimal"/>
      <w:lvlText w:val="%4."/>
      <w:lvlJc w:val="left"/>
      <w:pPr>
        <w:ind w:left="3392" w:hanging="360"/>
      </w:pPr>
    </w:lvl>
    <w:lvl w:ilvl="4" w:tplc="0C090019" w:tentative="1">
      <w:start w:val="1"/>
      <w:numFmt w:val="lowerLetter"/>
      <w:lvlText w:val="%5."/>
      <w:lvlJc w:val="left"/>
      <w:pPr>
        <w:ind w:left="4112" w:hanging="360"/>
      </w:pPr>
    </w:lvl>
    <w:lvl w:ilvl="5" w:tplc="0C09001B" w:tentative="1">
      <w:start w:val="1"/>
      <w:numFmt w:val="lowerRoman"/>
      <w:lvlText w:val="%6."/>
      <w:lvlJc w:val="right"/>
      <w:pPr>
        <w:ind w:left="4832" w:hanging="180"/>
      </w:pPr>
    </w:lvl>
    <w:lvl w:ilvl="6" w:tplc="0C09000F" w:tentative="1">
      <w:start w:val="1"/>
      <w:numFmt w:val="decimal"/>
      <w:lvlText w:val="%7."/>
      <w:lvlJc w:val="left"/>
      <w:pPr>
        <w:ind w:left="5552" w:hanging="360"/>
      </w:pPr>
    </w:lvl>
    <w:lvl w:ilvl="7" w:tplc="0C090019" w:tentative="1">
      <w:start w:val="1"/>
      <w:numFmt w:val="lowerLetter"/>
      <w:lvlText w:val="%8."/>
      <w:lvlJc w:val="left"/>
      <w:pPr>
        <w:ind w:left="6272" w:hanging="360"/>
      </w:pPr>
    </w:lvl>
    <w:lvl w:ilvl="8" w:tplc="0C09001B" w:tentative="1">
      <w:start w:val="1"/>
      <w:numFmt w:val="lowerRoman"/>
      <w:lvlText w:val="%9."/>
      <w:lvlJc w:val="right"/>
      <w:pPr>
        <w:ind w:left="6992" w:hanging="180"/>
      </w:pPr>
    </w:lvl>
  </w:abstractNum>
  <w:abstractNum w:abstractNumId="5" w15:restartNumberingAfterBreak="0">
    <w:nsid w:val="1E6D7DF6"/>
    <w:multiLevelType w:val="hybridMultilevel"/>
    <w:tmpl w:val="410CB9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2240111"/>
    <w:multiLevelType w:val="hybridMultilevel"/>
    <w:tmpl w:val="6F48BB32"/>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 w15:restartNumberingAfterBreak="0">
    <w:nsid w:val="22B075F4"/>
    <w:multiLevelType w:val="hybridMultilevel"/>
    <w:tmpl w:val="D2A6BD42"/>
    <w:lvl w:ilvl="0" w:tplc="0C09000F">
      <w:start w:val="1"/>
      <w:numFmt w:val="decimal"/>
      <w:lvlText w:val="%1."/>
      <w:lvlJc w:val="left"/>
      <w:pPr>
        <w:ind w:left="644" w:hanging="360"/>
      </w:p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8" w15:restartNumberingAfterBreak="0">
    <w:nsid w:val="231941E5"/>
    <w:multiLevelType w:val="multilevel"/>
    <w:tmpl w:val="676E800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8E754DB"/>
    <w:multiLevelType w:val="hybridMultilevel"/>
    <w:tmpl w:val="E3F83682"/>
    <w:lvl w:ilvl="0" w:tplc="FFFFFFFF">
      <w:start w:val="1"/>
      <w:numFmt w:val="upperRoman"/>
      <w:lvlText w:val="%1."/>
      <w:lvlJc w:val="right"/>
      <w:pPr>
        <w:ind w:left="927" w:hanging="360"/>
      </w:p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10" w15:restartNumberingAfterBreak="0">
    <w:nsid w:val="29393D5D"/>
    <w:multiLevelType w:val="hybridMultilevel"/>
    <w:tmpl w:val="6B980A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ADC7831"/>
    <w:multiLevelType w:val="hybridMultilevel"/>
    <w:tmpl w:val="5FA6BFCE"/>
    <w:lvl w:ilvl="0" w:tplc="7D9A01EA">
      <w:start w:val="3"/>
      <w:numFmt w:val="bullet"/>
      <w:lvlText w:val="-"/>
      <w:lvlJc w:val="left"/>
      <w:pPr>
        <w:ind w:left="3600" w:hanging="360"/>
      </w:pPr>
      <w:rPr>
        <w:rFonts w:ascii="Calibri" w:eastAsia="Times New Roman" w:hAnsi="Calibri"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0DF1350"/>
    <w:multiLevelType w:val="hybridMultilevel"/>
    <w:tmpl w:val="D24682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7F50381"/>
    <w:multiLevelType w:val="hybridMultilevel"/>
    <w:tmpl w:val="5720C7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C635222"/>
    <w:multiLevelType w:val="hybridMultilevel"/>
    <w:tmpl w:val="3174B9BC"/>
    <w:lvl w:ilvl="0" w:tplc="7F00826C">
      <w:start w:val="1"/>
      <w:numFmt w:val="decimal"/>
      <w:lvlText w:val="%1."/>
      <w:lvlJc w:val="left"/>
      <w:pPr>
        <w:ind w:left="1080" w:hanging="360"/>
      </w:pPr>
      <w:rPr>
        <w:rFonts w:hint="default"/>
      </w:rPr>
    </w:lvl>
    <w:lvl w:ilvl="1" w:tplc="0C090013">
      <w:start w:val="1"/>
      <w:numFmt w:val="upperRoman"/>
      <w:lvlText w:val="%2."/>
      <w:lvlJc w:val="righ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5" w15:restartNumberingAfterBreak="0">
    <w:nsid w:val="3D3905DF"/>
    <w:multiLevelType w:val="hybridMultilevel"/>
    <w:tmpl w:val="87567F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47C45DC8"/>
    <w:multiLevelType w:val="hybridMultilevel"/>
    <w:tmpl w:val="28268A8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4E1364C7"/>
    <w:multiLevelType w:val="multilevel"/>
    <w:tmpl w:val="D2B85830"/>
    <w:lvl w:ilvl="0">
      <w:start w:val="1"/>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18" w15:restartNumberingAfterBreak="0">
    <w:nsid w:val="4E815FF8"/>
    <w:multiLevelType w:val="hybridMultilevel"/>
    <w:tmpl w:val="D3CAA554"/>
    <w:lvl w:ilvl="0" w:tplc="0C090001">
      <w:start w:val="1"/>
      <w:numFmt w:val="bullet"/>
      <w:lvlText w:val=""/>
      <w:lvlJc w:val="left"/>
      <w:pPr>
        <w:ind w:left="417" w:hanging="360"/>
      </w:pPr>
      <w:rPr>
        <w:rFonts w:ascii="Symbol" w:hAnsi="Symbol" w:hint="default"/>
      </w:rPr>
    </w:lvl>
    <w:lvl w:ilvl="1" w:tplc="0C090003" w:tentative="1">
      <w:start w:val="1"/>
      <w:numFmt w:val="bullet"/>
      <w:lvlText w:val="o"/>
      <w:lvlJc w:val="left"/>
      <w:pPr>
        <w:ind w:left="1137" w:hanging="360"/>
      </w:pPr>
      <w:rPr>
        <w:rFonts w:ascii="Courier New" w:hAnsi="Courier New" w:cs="Courier New" w:hint="default"/>
      </w:rPr>
    </w:lvl>
    <w:lvl w:ilvl="2" w:tplc="0C090005" w:tentative="1">
      <w:start w:val="1"/>
      <w:numFmt w:val="bullet"/>
      <w:lvlText w:val=""/>
      <w:lvlJc w:val="left"/>
      <w:pPr>
        <w:ind w:left="1857" w:hanging="360"/>
      </w:pPr>
      <w:rPr>
        <w:rFonts w:ascii="Wingdings" w:hAnsi="Wingdings" w:hint="default"/>
      </w:rPr>
    </w:lvl>
    <w:lvl w:ilvl="3" w:tplc="0C090001" w:tentative="1">
      <w:start w:val="1"/>
      <w:numFmt w:val="bullet"/>
      <w:lvlText w:val=""/>
      <w:lvlJc w:val="left"/>
      <w:pPr>
        <w:ind w:left="2577" w:hanging="360"/>
      </w:pPr>
      <w:rPr>
        <w:rFonts w:ascii="Symbol" w:hAnsi="Symbol" w:hint="default"/>
      </w:rPr>
    </w:lvl>
    <w:lvl w:ilvl="4" w:tplc="0C090003" w:tentative="1">
      <w:start w:val="1"/>
      <w:numFmt w:val="bullet"/>
      <w:lvlText w:val="o"/>
      <w:lvlJc w:val="left"/>
      <w:pPr>
        <w:ind w:left="3297" w:hanging="360"/>
      </w:pPr>
      <w:rPr>
        <w:rFonts w:ascii="Courier New" w:hAnsi="Courier New" w:cs="Courier New" w:hint="default"/>
      </w:rPr>
    </w:lvl>
    <w:lvl w:ilvl="5" w:tplc="0C090005" w:tentative="1">
      <w:start w:val="1"/>
      <w:numFmt w:val="bullet"/>
      <w:lvlText w:val=""/>
      <w:lvlJc w:val="left"/>
      <w:pPr>
        <w:ind w:left="4017" w:hanging="360"/>
      </w:pPr>
      <w:rPr>
        <w:rFonts w:ascii="Wingdings" w:hAnsi="Wingdings" w:hint="default"/>
      </w:rPr>
    </w:lvl>
    <w:lvl w:ilvl="6" w:tplc="0C090001" w:tentative="1">
      <w:start w:val="1"/>
      <w:numFmt w:val="bullet"/>
      <w:lvlText w:val=""/>
      <w:lvlJc w:val="left"/>
      <w:pPr>
        <w:ind w:left="4737" w:hanging="360"/>
      </w:pPr>
      <w:rPr>
        <w:rFonts w:ascii="Symbol" w:hAnsi="Symbol" w:hint="default"/>
      </w:rPr>
    </w:lvl>
    <w:lvl w:ilvl="7" w:tplc="0C090003" w:tentative="1">
      <w:start w:val="1"/>
      <w:numFmt w:val="bullet"/>
      <w:lvlText w:val="o"/>
      <w:lvlJc w:val="left"/>
      <w:pPr>
        <w:ind w:left="5457" w:hanging="360"/>
      </w:pPr>
      <w:rPr>
        <w:rFonts w:ascii="Courier New" w:hAnsi="Courier New" w:cs="Courier New" w:hint="default"/>
      </w:rPr>
    </w:lvl>
    <w:lvl w:ilvl="8" w:tplc="0C090005" w:tentative="1">
      <w:start w:val="1"/>
      <w:numFmt w:val="bullet"/>
      <w:lvlText w:val=""/>
      <w:lvlJc w:val="left"/>
      <w:pPr>
        <w:ind w:left="6177" w:hanging="360"/>
      </w:pPr>
      <w:rPr>
        <w:rFonts w:ascii="Wingdings" w:hAnsi="Wingdings" w:hint="default"/>
      </w:rPr>
    </w:lvl>
  </w:abstractNum>
  <w:abstractNum w:abstractNumId="19" w15:restartNumberingAfterBreak="0">
    <w:nsid w:val="58A90D95"/>
    <w:multiLevelType w:val="hybridMultilevel"/>
    <w:tmpl w:val="D10400D6"/>
    <w:lvl w:ilvl="0" w:tplc="5262F6CA">
      <w:start w:val="1"/>
      <w:numFmt w:val="decimal"/>
      <w:lvlText w:val="%1."/>
      <w:lvlJc w:val="left"/>
      <w:pPr>
        <w:ind w:left="360" w:hanging="360"/>
      </w:pPr>
      <w:rPr>
        <w:rFonts w:ascii="Calibri" w:eastAsiaTheme="minorHAnsi" w:hAnsi="Calibri" w:cs="Times New Roman"/>
        <w:b w:val="0"/>
      </w:rPr>
    </w:lvl>
    <w:lvl w:ilvl="1" w:tplc="0C090019" w:tentative="1">
      <w:start w:val="1"/>
      <w:numFmt w:val="lowerLetter"/>
      <w:lvlText w:val="%2."/>
      <w:lvlJc w:val="left"/>
      <w:pPr>
        <w:ind w:left="1156" w:hanging="360"/>
      </w:pPr>
    </w:lvl>
    <w:lvl w:ilvl="2" w:tplc="0C09001B" w:tentative="1">
      <w:start w:val="1"/>
      <w:numFmt w:val="lowerRoman"/>
      <w:lvlText w:val="%3."/>
      <w:lvlJc w:val="right"/>
      <w:pPr>
        <w:ind w:left="1876" w:hanging="180"/>
      </w:pPr>
    </w:lvl>
    <w:lvl w:ilvl="3" w:tplc="0C09000F" w:tentative="1">
      <w:start w:val="1"/>
      <w:numFmt w:val="decimal"/>
      <w:lvlText w:val="%4."/>
      <w:lvlJc w:val="left"/>
      <w:pPr>
        <w:ind w:left="2596" w:hanging="360"/>
      </w:pPr>
    </w:lvl>
    <w:lvl w:ilvl="4" w:tplc="0C090019" w:tentative="1">
      <w:start w:val="1"/>
      <w:numFmt w:val="lowerLetter"/>
      <w:lvlText w:val="%5."/>
      <w:lvlJc w:val="left"/>
      <w:pPr>
        <w:ind w:left="3316" w:hanging="360"/>
      </w:pPr>
    </w:lvl>
    <w:lvl w:ilvl="5" w:tplc="0C09001B" w:tentative="1">
      <w:start w:val="1"/>
      <w:numFmt w:val="lowerRoman"/>
      <w:lvlText w:val="%6."/>
      <w:lvlJc w:val="right"/>
      <w:pPr>
        <w:ind w:left="4036" w:hanging="180"/>
      </w:pPr>
    </w:lvl>
    <w:lvl w:ilvl="6" w:tplc="0C09000F" w:tentative="1">
      <w:start w:val="1"/>
      <w:numFmt w:val="decimal"/>
      <w:lvlText w:val="%7."/>
      <w:lvlJc w:val="left"/>
      <w:pPr>
        <w:ind w:left="4756" w:hanging="360"/>
      </w:pPr>
    </w:lvl>
    <w:lvl w:ilvl="7" w:tplc="0C090019" w:tentative="1">
      <w:start w:val="1"/>
      <w:numFmt w:val="lowerLetter"/>
      <w:lvlText w:val="%8."/>
      <w:lvlJc w:val="left"/>
      <w:pPr>
        <w:ind w:left="5476" w:hanging="360"/>
      </w:pPr>
    </w:lvl>
    <w:lvl w:ilvl="8" w:tplc="0C09001B" w:tentative="1">
      <w:start w:val="1"/>
      <w:numFmt w:val="lowerRoman"/>
      <w:lvlText w:val="%9."/>
      <w:lvlJc w:val="right"/>
      <w:pPr>
        <w:ind w:left="6196" w:hanging="180"/>
      </w:pPr>
    </w:lvl>
  </w:abstractNum>
  <w:abstractNum w:abstractNumId="20" w15:restartNumberingAfterBreak="0">
    <w:nsid w:val="5C1012DC"/>
    <w:multiLevelType w:val="hybridMultilevel"/>
    <w:tmpl w:val="F488BBAA"/>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1" w15:restartNumberingAfterBreak="0">
    <w:nsid w:val="5C445FF5"/>
    <w:multiLevelType w:val="hybridMultilevel"/>
    <w:tmpl w:val="E3F83682"/>
    <w:lvl w:ilvl="0" w:tplc="0C090013">
      <w:start w:val="1"/>
      <w:numFmt w:val="upperRoman"/>
      <w:lvlText w:val="%1."/>
      <w:lvlJc w:val="right"/>
      <w:pPr>
        <w:ind w:left="1929" w:hanging="360"/>
      </w:pPr>
    </w:lvl>
    <w:lvl w:ilvl="1" w:tplc="FFFFFFFF" w:tentative="1">
      <w:start w:val="1"/>
      <w:numFmt w:val="lowerLetter"/>
      <w:lvlText w:val="%2."/>
      <w:lvlJc w:val="left"/>
      <w:pPr>
        <w:ind w:left="2649" w:hanging="360"/>
      </w:pPr>
    </w:lvl>
    <w:lvl w:ilvl="2" w:tplc="FFFFFFFF" w:tentative="1">
      <w:start w:val="1"/>
      <w:numFmt w:val="lowerRoman"/>
      <w:lvlText w:val="%3."/>
      <w:lvlJc w:val="right"/>
      <w:pPr>
        <w:ind w:left="3369" w:hanging="180"/>
      </w:pPr>
    </w:lvl>
    <w:lvl w:ilvl="3" w:tplc="FFFFFFFF" w:tentative="1">
      <w:start w:val="1"/>
      <w:numFmt w:val="decimal"/>
      <w:lvlText w:val="%4."/>
      <w:lvlJc w:val="left"/>
      <w:pPr>
        <w:ind w:left="4089" w:hanging="360"/>
      </w:pPr>
    </w:lvl>
    <w:lvl w:ilvl="4" w:tplc="FFFFFFFF" w:tentative="1">
      <w:start w:val="1"/>
      <w:numFmt w:val="lowerLetter"/>
      <w:lvlText w:val="%5."/>
      <w:lvlJc w:val="left"/>
      <w:pPr>
        <w:ind w:left="4809" w:hanging="360"/>
      </w:pPr>
    </w:lvl>
    <w:lvl w:ilvl="5" w:tplc="FFFFFFFF" w:tentative="1">
      <w:start w:val="1"/>
      <w:numFmt w:val="lowerRoman"/>
      <w:lvlText w:val="%6."/>
      <w:lvlJc w:val="right"/>
      <w:pPr>
        <w:ind w:left="5529" w:hanging="180"/>
      </w:pPr>
    </w:lvl>
    <w:lvl w:ilvl="6" w:tplc="FFFFFFFF" w:tentative="1">
      <w:start w:val="1"/>
      <w:numFmt w:val="decimal"/>
      <w:lvlText w:val="%7."/>
      <w:lvlJc w:val="left"/>
      <w:pPr>
        <w:ind w:left="6249" w:hanging="360"/>
      </w:pPr>
    </w:lvl>
    <w:lvl w:ilvl="7" w:tplc="FFFFFFFF" w:tentative="1">
      <w:start w:val="1"/>
      <w:numFmt w:val="lowerLetter"/>
      <w:lvlText w:val="%8."/>
      <w:lvlJc w:val="left"/>
      <w:pPr>
        <w:ind w:left="6969" w:hanging="360"/>
      </w:pPr>
    </w:lvl>
    <w:lvl w:ilvl="8" w:tplc="FFFFFFFF" w:tentative="1">
      <w:start w:val="1"/>
      <w:numFmt w:val="lowerRoman"/>
      <w:lvlText w:val="%9."/>
      <w:lvlJc w:val="right"/>
      <w:pPr>
        <w:ind w:left="7689" w:hanging="180"/>
      </w:pPr>
    </w:lvl>
  </w:abstractNum>
  <w:abstractNum w:abstractNumId="22" w15:restartNumberingAfterBreak="0">
    <w:nsid w:val="5ED96F41"/>
    <w:multiLevelType w:val="hybridMultilevel"/>
    <w:tmpl w:val="BF268ED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15:restartNumberingAfterBreak="0">
    <w:nsid w:val="65326ED7"/>
    <w:multiLevelType w:val="multilevel"/>
    <w:tmpl w:val="34CA76D6"/>
    <w:lvl w:ilvl="0">
      <w:start w:val="1"/>
      <w:numFmt w:val="decimal"/>
      <w:lvlText w:val="%1."/>
      <w:lvlJc w:val="left"/>
      <w:pPr>
        <w:ind w:left="753" w:hanging="360"/>
      </w:pPr>
      <w:rPr>
        <w:rFonts w:hint="default"/>
      </w:rPr>
    </w:lvl>
    <w:lvl w:ilvl="1">
      <w:start w:val="2"/>
      <w:numFmt w:val="decimal"/>
      <w:isLgl/>
      <w:lvlText w:val="%1.%2"/>
      <w:lvlJc w:val="left"/>
      <w:pPr>
        <w:ind w:left="753" w:hanging="360"/>
      </w:pPr>
      <w:rPr>
        <w:rFonts w:hint="default"/>
      </w:rPr>
    </w:lvl>
    <w:lvl w:ilvl="2">
      <w:start w:val="1"/>
      <w:numFmt w:val="decimal"/>
      <w:isLgl/>
      <w:lvlText w:val="%1.%2.%3"/>
      <w:lvlJc w:val="left"/>
      <w:pPr>
        <w:ind w:left="1113" w:hanging="720"/>
      </w:pPr>
      <w:rPr>
        <w:rFonts w:hint="default"/>
      </w:rPr>
    </w:lvl>
    <w:lvl w:ilvl="3">
      <w:start w:val="1"/>
      <w:numFmt w:val="decimal"/>
      <w:isLgl/>
      <w:lvlText w:val="%1.%2.%3.%4"/>
      <w:lvlJc w:val="left"/>
      <w:pPr>
        <w:ind w:left="1113" w:hanging="720"/>
      </w:pPr>
      <w:rPr>
        <w:rFonts w:hint="default"/>
      </w:rPr>
    </w:lvl>
    <w:lvl w:ilvl="4">
      <w:start w:val="1"/>
      <w:numFmt w:val="decimal"/>
      <w:isLgl/>
      <w:lvlText w:val="%1.%2.%3.%4.%5"/>
      <w:lvlJc w:val="left"/>
      <w:pPr>
        <w:ind w:left="1113" w:hanging="720"/>
      </w:pPr>
      <w:rPr>
        <w:rFonts w:hint="default"/>
      </w:rPr>
    </w:lvl>
    <w:lvl w:ilvl="5">
      <w:start w:val="1"/>
      <w:numFmt w:val="decimal"/>
      <w:isLgl/>
      <w:lvlText w:val="%1.%2.%3.%4.%5.%6"/>
      <w:lvlJc w:val="left"/>
      <w:pPr>
        <w:ind w:left="1473" w:hanging="1080"/>
      </w:pPr>
      <w:rPr>
        <w:rFonts w:hint="default"/>
      </w:rPr>
    </w:lvl>
    <w:lvl w:ilvl="6">
      <w:start w:val="1"/>
      <w:numFmt w:val="decimal"/>
      <w:isLgl/>
      <w:lvlText w:val="%1.%2.%3.%4.%5.%6.%7"/>
      <w:lvlJc w:val="left"/>
      <w:pPr>
        <w:ind w:left="1473" w:hanging="1080"/>
      </w:pPr>
      <w:rPr>
        <w:rFonts w:hint="default"/>
      </w:rPr>
    </w:lvl>
    <w:lvl w:ilvl="7">
      <w:start w:val="1"/>
      <w:numFmt w:val="decimal"/>
      <w:isLgl/>
      <w:lvlText w:val="%1.%2.%3.%4.%5.%6.%7.%8"/>
      <w:lvlJc w:val="left"/>
      <w:pPr>
        <w:ind w:left="1833" w:hanging="1440"/>
      </w:pPr>
      <w:rPr>
        <w:rFonts w:hint="default"/>
      </w:rPr>
    </w:lvl>
    <w:lvl w:ilvl="8">
      <w:start w:val="1"/>
      <w:numFmt w:val="decimal"/>
      <w:isLgl/>
      <w:lvlText w:val="%1.%2.%3.%4.%5.%6.%7.%8.%9"/>
      <w:lvlJc w:val="left"/>
      <w:pPr>
        <w:ind w:left="1833" w:hanging="1440"/>
      </w:pPr>
      <w:rPr>
        <w:rFonts w:hint="default"/>
      </w:rPr>
    </w:lvl>
  </w:abstractNum>
  <w:abstractNum w:abstractNumId="24" w15:restartNumberingAfterBreak="0">
    <w:nsid w:val="72E452BE"/>
    <w:multiLevelType w:val="hybridMultilevel"/>
    <w:tmpl w:val="25C091A0"/>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5" w15:restartNumberingAfterBreak="0">
    <w:nsid w:val="73C055EE"/>
    <w:multiLevelType w:val="hybridMultilevel"/>
    <w:tmpl w:val="C81A3BA8"/>
    <w:lvl w:ilvl="0" w:tplc="0C090001">
      <w:start w:val="1"/>
      <w:numFmt w:val="bullet"/>
      <w:lvlText w:val=""/>
      <w:lvlJc w:val="left"/>
      <w:pPr>
        <w:ind w:left="773" w:hanging="360"/>
      </w:pPr>
      <w:rPr>
        <w:rFonts w:ascii="Symbol" w:hAnsi="Symbol" w:hint="default"/>
      </w:rPr>
    </w:lvl>
    <w:lvl w:ilvl="1" w:tplc="0C090003" w:tentative="1">
      <w:start w:val="1"/>
      <w:numFmt w:val="bullet"/>
      <w:lvlText w:val="o"/>
      <w:lvlJc w:val="left"/>
      <w:pPr>
        <w:ind w:left="1493" w:hanging="360"/>
      </w:pPr>
      <w:rPr>
        <w:rFonts w:ascii="Courier New" w:hAnsi="Courier New" w:cs="Courier New" w:hint="default"/>
      </w:rPr>
    </w:lvl>
    <w:lvl w:ilvl="2" w:tplc="0C090005" w:tentative="1">
      <w:start w:val="1"/>
      <w:numFmt w:val="bullet"/>
      <w:lvlText w:val=""/>
      <w:lvlJc w:val="left"/>
      <w:pPr>
        <w:ind w:left="2213" w:hanging="360"/>
      </w:pPr>
      <w:rPr>
        <w:rFonts w:ascii="Wingdings" w:hAnsi="Wingdings" w:hint="default"/>
      </w:rPr>
    </w:lvl>
    <w:lvl w:ilvl="3" w:tplc="0C090001" w:tentative="1">
      <w:start w:val="1"/>
      <w:numFmt w:val="bullet"/>
      <w:lvlText w:val=""/>
      <w:lvlJc w:val="left"/>
      <w:pPr>
        <w:ind w:left="2933" w:hanging="360"/>
      </w:pPr>
      <w:rPr>
        <w:rFonts w:ascii="Symbol" w:hAnsi="Symbol" w:hint="default"/>
      </w:rPr>
    </w:lvl>
    <w:lvl w:ilvl="4" w:tplc="0C090003" w:tentative="1">
      <w:start w:val="1"/>
      <w:numFmt w:val="bullet"/>
      <w:lvlText w:val="o"/>
      <w:lvlJc w:val="left"/>
      <w:pPr>
        <w:ind w:left="3653" w:hanging="360"/>
      </w:pPr>
      <w:rPr>
        <w:rFonts w:ascii="Courier New" w:hAnsi="Courier New" w:cs="Courier New" w:hint="default"/>
      </w:rPr>
    </w:lvl>
    <w:lvl w:ilvl="5" w:tplc="0C090005" w:tentative="1">
      <w:start w:val="1"/>
      <w:numFmt w:val="bullet"/>
      <w:lvlText w:val=""/>
      <w:lvlJc w:val="left"/>
      <w:pPr>
        <w:ind w:left="4373" w:hanging="360"/>
      </w:pPr>
      <w:rPr>
        <w:rFonts w:ascii="Wingdings" w:hAnsi="Wingdings" w:hint="default"/>
      </w:rPr>
    </w:lvl>
    <w:lvl w:ilvl="6" w:tplc="0C090001" w:tentative="1">
      <w:start w:val="1"/>
      <w:numFmt w:val="bullet"/>
      <w:lvlText w:val=""/>
      <w:lvlJc w:val="left"/>
      <w:pPr>
        <w:ind w:left="5093" w:hanging="360"/>
      </w:pPr>
      <w:rPr>
        <w:rFonts w:ascii="Symbol" w:hAnsi="Symbol" w:hint="default"/>
      </w:rPr>
    </w:lvl>
    <w:lvl w:ilvl="7" w:tplc="0C090003" w:tentative="1">
      <w:start w:val="1"/>
      <w:numFmt w:val="bullet"/>
      <w:lvlText w:val="o"/>
      <w:lvlJc w:val="left"/>
      <w:pPr>
        <w:ind w:left="5813" w:hanging="360"/>
      </w:pPr>
      <w:rPr>
        <w:rFonts w:ascii="Courier New" w:hAnsi="Courier New" w:cs="Courier New" w:hint="default"/>
      </w:rPr>
    </w:lvl>
    <w:lvl w:ilvl="8" w:tplc="0C090005" w:tentative="1">
      <w:start w:val="1"/>
      <w:numFmt w:val="bullet"/>
      <w:lvlText w:val=""/>
      <w:lvlJc w:val="left"/>
      <w:pPr>
        <w:ind w:left="6533" w:hanging="360"/>
      </w:pPr>
      <w:rPr>
        <w:rFonts w:ascii="Wingdings" w:hAnsi="Wingdings" w:hint="default"/>
      </w:rPr>
    </w:lvl>
  </w:abstractNum>
  <w:abstractNum w:abstractNumId="26" w15:restartNumberingAfterBreak="0">
    <w:nsid w:val="79837006"/>
    <w:multiLevelType w:val="hybridMultilevel"/>
    <w:tmpl w:val="E690A6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7AF01D08"/>
    <w:multiLevelType w:val="multilevel"/>
    <w:tmpl w:val="0278F2A0"/>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7B9D1C4E"/>
    <w:multiLevelType w:val="hybridMultilevel"/>
    <w:tmpl w:val="295886E2"/>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abstractNumId w:val="0"/>
  </w:num>
  <w:num w:numId="2">
    <w:abstractNumId w:val="1"/>
  </w:num>
  <w:num w:numId="3">
    <w:abstractNumId w:val="26"/>
  </w:num>
  <w:num w:numId="4">
    <w:abstractNumId w:val="3"/>
  </w:num>
  <w:num w:numId="5">
    <w:abstractNumId w:val="5"/>
  </w:num>
  <w:num w:numId="6">
    <w:abstractNumId w:val="28"/>
  </w:num>
  <w:num w:numId="7">
    <w:abstractNumId w:val="18"/>
  </w:num>
  <w:num w:numId="8">
    <w:abstractNumId w:val="0"/>
  </w:num>
  <w:num w:numId="9">
    <w:abstractNumId w:val="0"/>
  </w:num>
  <w:num w:numId="10">
    <w:abstractNumId w:val="16"/>
  </w:num>
  <w:num w:numId="11">
    <w:abstractNumId w:val="17"/>
  </w:num>
  <w:num w:numId="12">
    <w:abstractNumId w:val="17"/>
    <w:lvlOverride w:ilvl="0">
      <w:lvl w:ilvl="0">
        <w:start w:val="1"/>
        <w:numFmt w:val="decimal"/>
        <w:lvlText w:val="%1."/>
        <w:legacy w:legacy="1" w:legacySpace="120" w:legacyIndent="360"/>
        <w:lvlJc w:val="left"/>
        <w:pPr>
          <w:ind w:left="360" w:hanging="360"/>
        </w:pPr>
      </w:lvl>
    </w:lvlOverride>
    <w:lvlOverride w:ilvl="1">
      <w:lvl w:ilvl="1">
        <w:start w:val="1"/>
        <w:numFmt w:val="lowerLetter"/>
        <w:lvlText w:val="%2."/>
        <w:legacy w:legacy="1" w:legacySpace="120" w:legacyIndent="360"/>
        <w:lvlJc w:val="left"/>
        <w:pPr>
          <w:ind w:left="720" w:hanging="360"/>
        </w:pPr>
      </w:lvl>
    </w:lvlOverride>
    <w:lvlOverride w:ilvl="2">
      <w:lvl w:ilvl="2">
        <w:start w:val="1"/>
        <w:numFmt w:val="lowerRoman"/>
        <w:lvlText w:val="%3."/>
        <w:legacy w:legacy="1" w:legacySpace="120" w:legacyIndent="180"/>
        <w:lvlJc w:val="left"/>
        <w:pPr>
          <w:ind w:left="900" w:hanging="180"/>
        </w:pPr>
      </w:lvl>
    </w:lvlOverride>
    <w:lvlOverride w:ilvl="3">
      <w:lvl w:ilvl="3">
        <w:start w:val="1"/>
        <w:numFmt w:val="decimal"/>
        <w:lvlText w:val="%4."/>
        <w:legacy w:legacy="1" w:legacySpace="120" w:legacyIndent="360"/>
        <w:lvlJc w:val="left"/>
        <w:pPr>
          <w:ind w:left="1260" w:hanging="360"/>
        </w:pPr>
      </w:lvl>
    </w:lvlOverride>
    <w:lvlOverride w:ilvl="4">
      <w:lvl w:ilvl="4">
        <w:start w:val="1"/>
        <w:numFmt w:val="lowerLetter"/>
        <w:lvlText w:val="%5."/>
        <w:legacy w:legacy="1" w:legacySpace="120" w:legacyIndent="360"/>
        <w:lvlJc w:val="left"/>
        <w:pPr>
          <w:ind w:left="1620" w:hanging="360"/>
        </w:pPr>
      </w:lvl>
    </w:lvlOverride>
    <w:lvlOverride w:ilvl="5">
      <w:lvl w:ilvl="5">
        <w:start w:val="1"/>
        <w:numFmt w:val="lowerRoman"/>
        <w:lvlText w:val="%6."/>
        <w:legacy w:legacy="1" w:legacySpace="120" w:legacyIndent="180"/>
        <w:lvlJc w:val="left"/>
        <w:pPr>
          <w:ind w:left="1800" w:hanging="180"/>
        </w:pPr>
      </w:lvl>
    </w:lvlOverride>
    <w:lvlOverride w:ilvl="6">
      <w:lvl w:ilvl="6">
        <w:start w:val="1"/>
        <w:numFmt w:val="decimal"/>
        <w:lvlText w:val="%7."/>
        <w:legacy w:legacy="1" w:legacySpace="120" w:legacyIndent="360"/>
        <w:lvlJc w:val="left"/>
        <w:pPr>
          <w:ind w:left="2160" w:hanging="360"/>
        </w:pPr>
      </w:lvl>
    </w:lvlOverride>
    <w:lvlOverride w:ilvl="7">
      <w:lvl w:ilvl="7">
        <w:start w:val="1"/>
        <w:numFmt w:val="lowerLetter"/>
        <w:lvlText w:val="%8."/>
        <w:legacy w:legacy="1" w:legacySpace="120" w:legacyIndent="360"/>
        <w:lvlJc w:val="left"/>
        <w:pPr>
          <w:ind w:left="2520" w:hanging="360"/>
        </w:pPr>
      </w:lvl>
    </w:lvlOverride>
    <w:lvlOverride w:ilvl="8">
      <w:lvl w:ilvl="8">
        <w:start w:val="1"/>
        <w:numFmt w:val="lowerRoman"/>
        <w:lvlText w:val="%9."/>
        <w:legacy w:legacy="1" w:legacySpace="120" w:legacyIndent="180"/>
        <w:lvlJc w:val="left"/>
        <w:pPr>
          <w:ind w:left="2700" w:hanging="180"/>
        </w:pPr>
      </w:lvl>
    </w:lvlOverride>
  </w:num>
  <w:num w:numId="13">
    <w:abstractNumId w:val="17"/>
    <w:lvlOverride w:ilvl="0">
      <w:lvl w:ilvl="0">
        <w:start w:val="1"/>
        <w:numFmt w:val="decimal"/>
        <w:lvlText w:val="%1."/>
        <w:legacy w:legacy="1" w:legacySpace="120" w:legacyIndent="360"/>
        <w:lvlJc w:val="left"/>
        <w:pPr>
          <w:ind w:left="360" w:hanging="360"/>
        </w:pPr>
      </w:lvl>
    </w:lvlOverride>
    <w:lvlOverride w:ilvl="1">
      <w:lvl w:ilvl="1">
        <w:start w:val="1"/>
        <w:numFmt w:val="lowerLetter"/>
        <w:lvlText w:val="%2."/>
        <w:legacy w:legacy="1" w:legacySpace="120" w:legacyIndent="360"/>
        <w:lvlJc w:val="left"/>
        <w:pPr>
          <w:ind w:left="720" w:hanging="360"/>
        </w:pPr>
      </w:lvl>
    </w:lvlOverride>
    <w:lvlOverride w:ilvl="2">
      <w:lvl w:ilvl="2">
        <w:start w:val="1"/>
        <w:numFmt w:val="lowerRoman"/>
        <w:lvlText w:val="%3."/>
        <w:legacy w:legacy="1" w:legacySpace="120" w:legacyIndent="180"/>
        <w:lvlJc w:val="left"/>
        <w:pPr>
          <w:ind w:left="900" w:hanging="180"/>
        </w:pPr>
      </w:lvl>
    </w:lvlOverride>
    <w:lvlOverride w:ilvl="3">
      <w:lvl w:ilvl="3">
        <w:start w:val="1"/>
        <w:numFmt w:val="decimal"/>
        <w:lvlText w:val="%4."/>
        <w:legacy w:legacy="1" w:legacySpace="120" w:legacyIndent="360"/>
        <w:lvlJc w:val="left"/>
        <w:pPr>
          <w:ind w:left="1260" w:hanging="360"/>
        </w:pPr>
      </w:lvl>
    </w:lvlOverride>
    <w:lvlOverride w:ilvl="4">
      <w:lvl w:ilvl="4">
        <w:start w:val="1"/>
        <w:numFmt w:val="lowerLetter"/>
        <w:lvlText w:val="%5."/>
        <w:legacy w:legacy="1" w:legacySpace="120" w:legacyIndent="360"/>
        <w:lvlJc w:val="left"/>
        <w:pPr>
          <w:ind w:left="1620" w:hanging="360"/>
        </w:pPr>
      </w:lvl>
    </w:lvlOverride>
    <w:lvlOverride w:ilvl="5">
      <w:lvl w:ilvl="5">
        <w:start w:val="1"/>
        <w:numFmt w:val="lowerRoman"/>
        <w:lvlText w:val="%6."/>
        <w:legacy w:legacy="1" w:legacySpace="120" w:legacyIndent="180"/>
        <w:lvlJc w:val="left"/>
        <w:pPr>
          <w:ind w:left="1800" w:hanging="180"/>
        </w:pPr>
      </w:lvl>
    </w:lvlOverride>
    <w:lvlOverride w:ilvl="6">
      <w:lvl w:ilvl="6">
        <w:start w:val="1"/>
        <w:numFmt w:val="decimal"/>
        <w:lvlText w:val="%7."/>
        <w:legacy w:legacy="1" w:legacySpace="120" w:legacyIndent="360"/>
        <w:lvlJc w:val="left"/>
        <w:pPr>
          <w:ind w:left="2160" w:hanging="360"/>
        </w:pPr>
      </w:lvl>
    </w:lvlOverride>
    <w:lvlOverride w:ilvl="7">
      <w:lvl w:ilvl="7">
        <w:start w:val="1"/>
        <w:numFmt w:val="lowerLetter"/>
        <w:lvlText w:val="%8."/>
        <w:legacy w:legacy="1" w:legacySpace="120" w:legacyIndent="360"/>
        <w:lvlJc w:val="left"/>
        <w:pPr>
          <w:ind w:left="2520" w:hanging="360"/>
        </w:pPr>
      </w:lvl>
    </w:lvlOverride>
    <w:lvlOverride w:ilvl="8">
      <w:lvl w:ilvl="8">
        <w:start w:val="1"/>
        <w:numFmt w:val="lowerRoman"/>
        <w:lvlText w:val="%9."/>
        <w:legacy w:legacy="1" w:legacySpace="120" w:legacyIndent="180"/>
        <w:lvlJc w:val="left"/>
        <w:pPr>
          <w:ind w:left="2700" w:hanging="180"/>
        </w:pPr>
      </w:lvl>
    </w:lvlOverride>
  </w:num>
  <w:num w:numId="14">
    <w:abstractNumId w:val="17"/>
    <w:lvlOverride w:ilvl="0">
      <w:lvl w:ilvl="0">
        <w:start w:val="1"/>
        <w:numFmt w:val="decimal"/>
        <w:lvlText w:val="%1."/>
        <w:legacy w:legacy="1" w:legacySpace="120" w:legacyIndent="360"/>
        <w:lvlJc w:val="left"/>
        <w:pPr>
          <w:ind w:left="360" w:hanging="360"/>
        </w:pPr>
      </w:lvl>
    </w:lvlOverride>
    <w:lvlOverride w:ilvl="1">
      <w:lvl w:ilvl="1">
        <w:start w:val="1"/>
        <w:numFmt w:val="lowerLetter"/>
        <w:lvlText w:val="%2."/>
        <w:legacy w:legacy="1" w:legacySpace="120" w:legacyIndent="360"/>
        <w:lvlJc w:val="left"/>
        <w:pPr>
          <w:ind w:left="720" w:hanging="360"/>
        </w:pPr>
      </w:lvl>
    </w:lvlOverride>
    <w:lvlOverride w:ilvl="2">
      <w:lvl w:ilvl="2">
        <w:start w:val="1"/>
        <w:numFmt w:val="lowerRoman"/>
        <w:lvlText w:val="%3."/>
        <w:legacy w:legacy="1" w:legacySpace="120" w:legacyIndent="180"/>
        <w:lvlJc w:val="left"/>
        <w:pPr>
          <w:ind w:left="900" w:hanging="180"/>
        </w:pPr>
      </w:lvl>
    </w:lvlOverride>
    <w:lvlOverride w:ilvl="3">
      <w:lvl w:ilvl="3">
        <w:start w:val="1"/>
        <w:numFmt w:val="decimal"/>
        <w:lvlText w:val="%4."/>
        <w:legacy w:legacy="1" w:legacySpace="120" w:legacyIndent="360"/>
        <w:lvlJc w:val="left"/>
        <w:pPr>
          <w:ind w:left="1260" w:hanging="360"/>
        </w:pPr>
      </w:lvl>
    </w:lvlOverride>
    <w:lvlOverride w:ilvl="4">
      <w:lvl w:ilvl="4">
        <w:start w:val="1"/>
        <w:numFmt w:val="lowerLetter"/>
        <w:lvlText w:val="%5."/>
        <w:legacy w:legacy="1" w:legacySpace="120" w:legacyIndent="360"/>
        <w:lvlJc w:val="left"/>
        <w:pPr>
          <w:ind w:left="1620" w:hanging="360"/>
        </w:pPr>
      </w:lvl>
    </w:lvlOverride>
    <w:lvlOverride w:ilvl="5">
      <w:lvl w:ilvl="5">
        <w:start w:val="1"/>
        <w:numFmt w:val="lowerRoman"/>
        <w:lvlText w:val="%6."/>
        <w:legacy w:legacy="1" w:legacySpace="120" w:legacyIndent="180"/>
        <w:lvlJc w:val="left"/>
        <w:pPr>
          <w:ind w:left="1800" w:hanging="180"/>
        </w:pPr>
      </w:lvl>
    </w:lvlOverride>
    <w:lvlOverride w:ilvl="6">
      <w:lvl w:ilvl="6">
        <w:start w:val="1"/>
        <w:numFmt w:val="decimal"/>
        <w:lvlText w:val="%7."/>
        <w:legacy w:legacy="1" w:legacySpace="120" w:legacyIndent="360"/>
        <w:lvlJc w:val="left"/>
        <w:pPr>
          <w:ind w:left="2160" w:hanging="360"/>
        </w:pPr>
      </w:lvl>
    </w:lvlOverride>
    <w:lvlOverride w:ilvl="7">
      <w:lvl w:ilvl="7">
        <w:start w:val="1"/>
        <w:numFmt w:val="lowerLetter"/>
        <w:lvlText w:val="%8."/>
        <w:legacy w:legacy="1" w:legacySpace="120" w:legacyIndent="360"/>
        <w:lvlJc w:val="left"/>
        <w:pPr>
          <w:ind w:left="2520" w:hanging="360"/>
        </w:pPr>
      </w:lvl>
    </w:lvlOverride>
    <w:lvlOverride w:ilvl="8">
      <w:lvl w:ilvl="8">
        <w:start w:val="1"/>
        <w:numFmt w:val="lowerRoman"/>
        <w:lvlText w:val="%9."/>
        <w:legacy w:legacy="1" w:legacySpace="120" w:legacyIndent="180"/>
        <w:lvlJc w:val="left"/>
        <w:pPr>
          <w:ind w:left="2700" w:hanging="180"/>
        </w:pPr>
      </w:lvl>
    </w:lvlOverride>
  </w:num>
  <w:num w:numId="15">
    <w:abstractNumId w:val="17"/>
    <w:lvlOverride w:ilvl="0">
      <w:lvl w:ilvl="0">
        <w:start w:val="1"/>
        <w:numFmt w:val="decimal"/>
        <w:lvlText w:val="%1."/>
        <w:legacy w:legacy="1" w:legacySpace="120" w:legacyIndent="360"/>
        <w:lvlJc w:val="left"/>
        <w:pPr>
          <w:ind w:left="360" w:hanging="360"/>
        </w:pPr>
      </w:lvl>
    </w:lvlOverride>
    <w:lvlOverride w:ilvl="1">
      <w:lvl w:ilvl="1">
        <w:start w:val="1"/>
        <w:numFmt w:val="lowerLetter"/>
        <w:lvlText w:val="%2."/>
        <w:legacy w:legacy="1" w:legacySpace="120" w:legacyIndent="360"/>
        <w:lvlJc w:val="left"/>
        <w:pPr>
          <w:ind w:left="720" w:hanging="360"/>
        </w:pPr>
      </w:lvl>
    </w:lvlOverride>
    <w:lvlOverride w:ilvl="2">
      <w:lvl w:ilvl="2">
        <w:start w:val="1"/>
        <w:numFmt w:val="lowerRoman"/>
        <w:lvlText w:val="%3."/>
        <w:legacy w:legacy="1" w:legacySpace="120" w:legacyIndent="180"/>
        <w:lvlJc w:val="left"/>
        <w:pPr>
          <w:ind w:left="900" w:hanging="180"/>
        </w:pPr>
      </w:lvl>
    </w:lvlOverride>
    <w:lvlOverride w:ilvl="3">
      <w:lvl w:ilvl="3">
        <w:start w:val="1"/>
        <w:numFmt w:val="decimal"/>
        <w:lvlText w:val="%4."/>
        <w:legacy w:legacy="1" w:legacySpace="120" w:legacyIndent="360"/>
        <w:lvlJc w:val="left"/>
        <w:pPr>
          <w:ind w:left="1260" w:hanging="360"/>
        </w:pPr>
      </w:lvl>
    </w:lvlOverride>
    <w:lvlOverride w:ilvl="4">
      <w:lvl w:ilvl="4">
        <w:start w:val="1"/>
        <w:numFmt w:val="lowerLetter"/>
        <w:lvlText w:val="%5."/>
        <w:legacy w:legacy="1" w:legacySpace="120" w:legacyIndent="360"/>
        <w:lvlJc w:val="left"/>
        <w:pPr>
          <w:ind w:left="1620" w:hanging="360"/>
        </w:pPr>
      </w:lvl>
    </w:lvlOverride>
    <w:lvlOverride w:ilvl="5">
      <w:lvl w:ilvl="5">
        <w:start w:val="1"/>
        <w:numFmt w:val="lowerRoman"/>
        <w:lvlText w:val="%6."/>
        <w:legacy w:legacy="1" w:legacySpace="120" w:legacyIndent="180"/>
        <w:lvlJc w:val="left"/>
        <w:pPr>
          <w:ind w:left="1800" w:hanging="180"/>
        </w:pPr>
      </w:lvl>
    </w:lvlOverride>
    <w:lvlOverride w:ilvl="6">
      <w:lvl w:ilvl="6">
        <w:start w:val="1"/>
        <w:numFmt w:val="decimal"/>
        <w:lvlText w:val="%7."/>
        <w:legacy w:legacy="1" w:legacySpace="120" w:legacyIndent="360"/>
        <w:lvlJc w:val="left"/>
        <w:pPr>
          <w:ind w:left="2160" w:hanging="360"/>
        </w:pPr>
      </w:lvl>
    </w:lvlOverride>
    <w:lvlOverride w:ilvl="7">
      <w:lvl w:ilvl="7">
        <w:start w:val="1"/>
        <w:numFmt w:val="lowerLetter"/>
        <w:lvlText w:val="%8."/>
        <w:legacy w:legacy="1" w:legacySpace="120" w:legacyIndent="360"/>
        <w:lvlJc w:val="left"/>
        <w:pPr>
          <w:ind w:left="2520" w:hanging="360"/>
        </w:pPr>
      </w:lvl>
    </w:lvlOverride>
    <w:lvlOverride w:ilvl="8">
      <w:lvl w:ilvl="8">
        <w:start w:val="1"/>
        <w:numFmt w:val="lowerRoman"/>
        <w:lvlText w:val="%9."/>
        <w:legacy w:legacy="1" w:legacySpace="120" w:legacyIndent="180"/>
        <w:lvlJc w:val="left"/>
        <w:pPr>
          <w:ind w:left="2700" w:hanging="180"/>
        </w:pPr>
      </w:lvl>
    </w:lvlOverride>
  </w:num>
  <w:num w:numId="16">
    <w:abstractNumId w:val="11"/>
  </w:num>
  <w:num w:numId="17">
    <w:abstractNumId w:val="8"/>
  </w:num>
  <w:num w:numId="18">
    <w:abstractNumId w:val="4"/>
  </w:num>
  <w:num w:numId="19">
    <w:abstractNumId w:val="23"/>
  </w:num>
  <w:num w:numId="20">
    <w:abstractNumId w:val="14"/>
  </w:num>
  <w:num w:numId="21">
    <w:abstractNumId w:val="27"/>
  </w:num>
  <w:num w:numId="22">
    <w:abstractNumId w:val="2"/>
  </w:num>
  <w:num w:numId="23">
    <w:abstractNumId w:val="19"/>
  </w:num>
  <w:num w:numId="24">
    <w:abstractNumId w:val="6"/>
  </w:num>
  <w:num w:numId="25">
    <w:abstractNumId w:val="12"/>
  </w:num>
  <w:num w:numId="26">
    <w:abstractNumId w:val="10"/>
  </w:num>
  <w:num w:numId="27">
    <w:abstractNumId w:val="13"/>
  </w:num>
  <w:num w:numId="28">
    <w:abstractNumId w:val="15"/>
  </w:num>
  <w:num w:numId="29">
    <w:abstractNumId w:val="20"/>
  </w:num>
  <w:num w:numId="30">
    <w:abstractNumId w:val="7"/>
  </w:num>
  <w:num w:numId="31">
    <w:abstractNumId w:val="25"/>
  </w:num>
  <w:num w:numId="32">
    <w:abstractNumId w:val="24"/>
  </w:num>
  <w:num w:numId="33">
    <w:abstractNumId w:val="21"/>
  </w:num>
  <w:num w:numId="34">
    <w:abstractNumId w:val="0"/>
  </w:num>
  <w:num w:numId="35">
    <w:abstractNumId w:val="9"/>
  </w:num>
  <w:num w:numId="36">
    <w:abstractNumId w:val="22"/>
  </w:num>
  <w:num w:numId="37">
    <w:abstractNumId w:val="0"/>
  </w:num>
  <w:num w:numId="38">
    <w:abstractNumId w:val="0"/>
  </w:num>
  <w:num w:numId="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6904"/>
    <w:rsid w:val="000121C3"/>
    <w:rsid w:val="00015B90"/>
    <w:rsid w:val="0001607A"/>
    <w:rsid w:val="00031438"/>
    <w:rsid w:val="000872A2"/>
    <w:rsid w:val="00091AC9"/>
    <w:rsid w:val="00095ECD"/>
    <w:rsid w:val="000A7335"/>
    <w:rsid w:val="000B1620"/>
    <w:rsid w:val="000B2FBC"/>
    <w:rsid w:val="000B5C8C"/>
    <w:rsid w:val="000B71ED"/>
    <w:rsid w:val="000C59E2"/>
    <w:rsid w:val="000C7B2D"/>
    <w:rsid w:val="000F7B7E"/>
    <w:rsid w:val="00103EEA"/>
    <w:rsid w:val="001115D7"/>
    <w:rsid w:val="00191109"/>
    <w:rsid w:val="00191235"/>
    <w:rsid w:val="001926F4"/>
    <w:rsid w:val="001A0053"/>
    <w:rsid w:val="001B2465"/>
    <w:rsid w:val="001B3435"/>
    <w:rsid w:val="001F2A9B"/>
    <w:rsid w:val="001F6D2D"/>
    <w:rsid w:val="00200D04"/>
    <w:rsid w:val="00201FB6"/>
    <w:rsid w:val="00231F81"/>
    <w:rsid w:val="002405CF"/>
    <w:rsid w:val="00240B97"/>
    <w:rsid w:val="0025382D"/>
    <w:rsid w:val="00263BA6"/>
    <w:rsid w:val="0027264D"/>
    <w:rsid w:val="00285D38"/>
    <w:rsid w:val="00293E43"/>
    <w:rsid w:val="002B5F43"/>
    <w:rsid w:val="002D0629"/>
    <w:rsid w:val="002D6B7E"/>
    <w:rsid w:val="002F4170"/>
    <w:rsid w:val="00313707"/>
    <w:rsid w:val="0032270B"/>
    <w:rsid w:val="00337E7C"/>
    <w:rsid w:val="00351CD9"/>
    <w:rsid w:val="00353CBB"/>
    <w:rsid w:val="003542AE"/>
    <w:rsid w:val="00366924"/>
    <w:rsid w:val="00376A6D"/>
    <w:rsid w:val="00380B98"/>
    <w:rsid w:val="00395E36"/>
    <w:rsid w:val="00396023"/>
    <w:rsid w:val="003C204E"/>
    <w:rsid w:val="003C4BB5"/>
    <w:rsid w:val="003E4CC0"/>
    <w:rsid w:val="003F3D8F"/>
    <w:rsid w:val="00410409"/>
    <w:rsid w:val="00412CED"/>
    <w:rsid w:val="00416751"/>
    <w:rsid w:val="00420F9E"/>
    <w:rsid w:val="004213C3"/>
    <w:rsid w:val="0042413C"/>
    <w:rsid w:val="00427139"/>
    <w:rsid w:val="00431904"/>
    <w:rsid w:val="00431A1C"/>
    <w:rsid w:val="004358E9"/>
    <w:rsid w:val="004537B3"/>
    <w:rsid w:val="0048050C"/>
    <w:rsid w:val="00487DD5"/>
    <w:rsid w:val="004947A7"/>
    <w:rsid w:val="004A2E02"/>
    <w:rsid w:val="004A61D6"/>
    <w:rsid w:val="004B7C43"/>
    <w:rsid w:val="004C2B20"/>
    <w:rsid w:val="004D6932"/>
    <w:rsid w:val="004E28AD"/>
    <w:rsid w:val="004F0F49"/>
    <w:rsid w:val="004F1D05"/>
    <w:rsid w:val="004F2008"/>
    <w:rsid w:val="00505B5D"/>
    <w:rsid w:val="005067CA"/>
    <w:rsid w:val="0052443C"/>
    <w:rsid w:val="0052775E"/>
    <w:rsid w:val="005416F0"/>
    <w:rsid w:val="00542514"/>
    <w:rsid w:val="00546AED"/>
    <w:rsid w:val="005512EF"/>
    <w:rsid w:val="005621E4"/>
    <w:rsid w:val="00590902"/>
    <w:rsid w:val="00592A14"/>
    <w:rsid w:val="00596FD7"/>
    <w:rsid w:val="005A3625"/>
    <w:rsid w:val="005B4738"/>
    <w:rsid w:val="005C0911"/>
    <w:rsid w:val="005C212D"/>
    <w:rsid w:val="005C3CB0"/>
    <w:rsid w:val="005E1140"/>
    <w:rsid w:val="005F3214"/>
    <w:rsid w:val="00612231"/>
    <w:rsid w:val="00635EB1"/>
    <w:rsid w:val="006473BB"/>
    <w:rsid w:val="006576AB"/>
    <w:rsid w:val="0066495D"/>
    <w:rsid w:val="00676B0C"/>
    <w:rsid w:val="00695EB6"/>
    <w:rsid w:val="006A3770"/>
    <w:rsid w:val="006A4D46"/>
    <w:rsid w:val="006A6024"/>
    <w:rsid w:val="006C31FF"/>
    <w:rsid w:val="006C6256"/>
    <w:rsid w:val="006C6B6C"/>
    <w:rsid w:val="006C704D"/>
    <w:rsid w:val="006D31A2"/>
    <w:rsid w:val="0070331D"/>
    <w:rsid w:val="007052B1"/>
    <w:rsid w:val="00711BF4"/>
    <w:rsid w:val="00720637"/>
    <w:rsid w:val="00741B43"/>
    <w:rsid w:val="0074223E"/>
    <w:rsid w:val="007543AC"/>
    <w:rsid w:val="00756537"/>
    <w:rsid w:val="00756A2B"/>
    <w:rsid w:val="007A0EBC"/>
    <w:rsid w:val="007B27F1"/>
    <w:rsid w:val="007B4ABB"/>
    <w:rsid w:val="007B6904"/>
    <w:rsid w:val="007B7628"/>
    <w:rsid w:val="007C36E4"/>
    <w:rsid w:val="007D6573"/>
    <w:rsid w:val="00816782"/>
    <w:rsid w:val="0082141D"/>
    <w:rsid w:val="00827F24"/>
    <w:rsid w:val="00845445"/>
    <w:rsid w:val="00855DA8"/>
    <w:rsid w:val="008641FB"/>
    <w:rsid w:val="00886399"/>
    <w:rsid w:val="008974CA"/>
    <w:rsid w:val="008E1F7F"/>
    <w:rsid w:val="008F00E8"/>
    <w:rsid w:val="00906142"/>
    <w:rsid w:val="00931B93"/>
    <w:rsid w:val="00933EED"/>
    <w:rsid w:val="00940CDE"/>
    <w:rsid w:val="00962C46"/>
    <w:rsid w:val="0097742A"/>
    <w:rsid w:val="0097744F"/>
    <w:rsid w:val="00980EED"/>
    <w:rsid w:val="00991670"/>
    <w:rsid w:val="009B6C8C"/>
    <w:rsid w:val="009C0FCA"/>
    <w:rsid w:val="009C3963"/>
    <w:rsid w:val="009D323C"/>
    <w:rsid w:val="009E350F"/>
    <w:rsid w:val="009E70F4"/>
    <w:rsid w:val="00A12560"/>
    <w:rsid w:val="00A24E42"/>
    <w:rsid w:val="00A35E2D"/>
    <w:rsid w:val="00A446AE"/>
    <w:rsid w:val="00A54CB3"/>
    <w:rsid w:val="00A6659D"/>
    <w:rsid w:val="00A74B8A"/>
    <w:rsid w:val="00A85F61"/>
    <w:rsid w:val="00A86DB3"/>
    <w:rsid w:val="00A92E4F"/>
    <w:rsid w:val="00A94CE5"/>
    <w:rsid w:val="00AA25DC"/>
    <w:rsid w:val="00AB50DD"/>
    <w:rsid w:val="00AB6FA2"/>
    <w:rsid w:val="00AC7025"/>
    <w:rsid w:val="00AD196F"/>
    <w:rsid w:val="00AD3CCE"/>
    <w:rsid w:val="00AF10EA"/>
    <w:rsid w:val="00B07A46"/>
    <w:rsid w:val="00B07DCE"/>
    <w:rsid w:val="00B12123"/>
    <w:rsid w:val="00B21043"/>
    <w:rsid w:val="00B239F2"/>
    <w:rsid w:val="00B42EA0"/>
    <w:rsid w:val="00B44CAC"/>
    <w:rsid w:val="00B573D6"/>
    <w:rsid w:val="00B73E65"/>
    <w:rsid w:val="00B81455"/>
    <w:rsid w:val="00B9627F"/>
    <w:rsid w:val="00BA2415"/>
    <w:rsid w:val="00BA4DB2"/>
    <w:rsid w:val="00BA4F95"/>
    <w:rsid w:val="00BB33F9"/>
    <w:rsid w:val="00BC3CE6"/>
    <w:rsid w:val="00BE5E41"/>
    <w:rsid w:val="00BF078E"/>
    <w:rsid w:val="00BF6299"/>
    <w:rsid w:val="00C24EDC"/>
    <w:rsid w:val="00C25A76"/>
    <w:rsid w:val="00C31EB3"/>
    <w:rsid w:val="00C32206"/>
    <w:rsid w:val="00C422C8"/>
    <w:rsid w:val="00C45C67"/>
    <w:rsid w:val="00C47091"/>
    <w:rsid w:val="00C523FF"/>
    <w:rsid w:val="00C54E7D"/>
    <w:rsid w:val="00C71C3C"/>
    <w:rsid w:val="00C76998"/>
    <w:rsid w:val="00C93E83"/>
    <w:rsid w:val="00CA3073"/>
    <w:rsid w:val="00CA593D"/>
    <w:rsid w:val="00CA6266"/>
    <w:rsid w:val="00CA7C22"/>
    <w:rsid w:val="00CB795D"/>
    <w:rsid w:val="00CC5D11"/>
    <w:rsid w:val="00CD1505"/>
    <w:rsid w:val="00D21780"/>
    <w:rsid w:val="00D23346"/>
    <w:rsid w:val="00D243B8"/>
    <w:rsid w:val="00D34794"/>
    <w:rsid w:val="00D365F4"/>
    <w:rsid w:val="00D4502D"/>
    <w:rsid w:val="00D530CE"/>
    <w:rsid w:val="00D53E3C"/>
    <w:rsid w:val="00D77950"/>
    <w:rsid w:val="00DC3762"/>
    <w:rsid w:val="00DC5C47"/>
    <w:rsid w:val="00DD616A"/>
    <w:rsid w:val="00DE0465"/>
    <w:rsid w:val="00DE4E25"/>
    <w:rsid w:val="00E049ED"/>
    <w:rsid w:val="00E34E6D"/>
    <w:rsid w:val="00E362FD"/>
    <w:rsid w:val="00E37CD4"/>
    <w:rsid w:val="00E57848"/>
    <w:rsid w:val="00E73459"/>
    <w:rsid w:val="00E750BF"/>
    <w:rsid w:val="00E90708"/>
    <w:rsid w:val="00E91915"/>
    <w:rsid w:val="00ED21C3"/>
    <w:rsid w:val="00ED388C"/>
    <w:rsid w:val="00ED46C3"/>
    <w:rsid w:val="00EF02B0"/>
    <w:rsid w:val="00EF13A4"/>
    <w:rsid w:val="00F01B61"/>
    <w:rsid w:val="00F11338"/>
    <w:rsid w:val="00F13AE5"/>
    <w:rsid w:val="00F149FD"/>
    <w:rsid w:val="00F14EC1"/>
    <w:rsid w:val="00F4262F"/>
    <w:rsid w:val="00F53719"/>
    <w:rsid w:val="00F57291"/>
    <w:rsid w:val="00F66CB0"/>
    <w:rsid w:val="00F76C89"/>
    <w:rsid w:val="00F829C8"/>
    <w:rsid w:val="00F9158A"/>
    <w:rsid w:val="00FA29B8"/>
    <w:rsid w:val="00FC7CBC"/>
    <w:rsid w:val="00FD3D92"/>
    <w:rsid w:val="00FF56D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51A84E"/>
  <w15:docId w15:val="{8C341B6C-4682-4F69-B467-0B456AA48F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0053"/>
    <w:pPr>
      <w:spacing w:after="0" w:line="240" w:lineRule="auto"/>
    </w:pPr>
    <w:rPr>
      <w:rFonts w:ascii="Calibri" w:eastAsia="Times New Roman" w:hAnsi="Calibri" w:cs="Times New Roman"/>
      <w:sz w:val="24"/>
      <w:szCs w:val="20"/>
    </w:rPr>
  </w:style>
  <w:style w:type="paragraph" w:styleId="Heading1">
    <w:name w:val="heading 1"/>
    <w:basedOn w:val="Normal"/>
    <w:next w:val="Normal"/>
    <w:link w:val="Heading1Char"/>
    <w:qFormat/>
    <w:rsid w:val="007B6904"/>
    <w:pPr>
      <w:keepNext/>
      <w:spacing w:before="60" w:after="60"/>
      <w:outlineLvl w:val="0"/>
    </w:pPr>
    <w:rPr>
      <w:rFonts w:cs="Arial"/>
      <w:b/>
      <w:iCs/>
      <w:sz w:val="28"/>
    </w:rPr>
  </w:style>
  <w:style w:type="paragraph" w:styleId="Heading2">
    <w:name w:val="heading 2"/>
    <w:basedOn w:val="Normal"/>
    <w:next w:val="Normal"/>
    <w:link w:val="Heading2Char"/>
    <w:uiPriority w:val="9"/>
    <w:unhideWhenUsed/>
    <w:qFormat/>
    <w:rsid w:val="007B6904"/>
    <w:pPr>
      <w:keepNext/>
      <w:keepLines/>
      <w:outlineLvl w:val="1"/>
    </w:pPr>
    <w:rPr>
      <w:rFonts w:eastAsiaTheme="majorEastAsia" w:cstheme="majorBidi"/>
      <w:b/>
      <w:bCs/>
      <w:szCs w:val="26"/>
    </w:rPr>
  </w:style>
  <w:style w:type="paragraph" w:styleId="Heading3">
    <w:name w:val="heading 3"/>
    <w:basedOn w:val="Normal"/>
    <w:next w:val="Normal"/>
    <w:link w:val="Heading3Char"/>
    <w:uiPriority w:val="9"/>
    <w:semiHidden/>
    <w:unhideWhenUsed/>
    <w:rsid w:val="007052B1"/>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B6904"/>
    <w:rPr>
      <w:rFonts w:ascii="Calibri" w:eastAsia="Times New Roman" w:hAnsi="Calibri" w:cs="Arial"/>
      <w:b/>
      <w:iCs/>
      <w:sz w:val="28"/>
      <w:szCs w:val="20"/>
    </w:rPr>
  </w:style>
  <w:style w:type="table" w:styleId="TableGrid">
    <w:name w:val="Table Grid"/>
    <w:basedOn w:val="TableNormal"/>
    <w:uiPriority w:val="59"/>
    <w:rsid w:val="007B6904"/>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7B6904"/>
    <w:pPr>
      <w:tabs>
        <w:tab w:val="center" w:pos="4153"/>
        <w:tab w:val="right" w:pos="8306"/>
      </w:tabs>
    </w:pPr>
  </w:style>
  <w:style w:type="character" w:customStyle="1" w:styleId="FooterChar">
    <w:name w:val="Footer Char"/>
    <w:basedOn w:val="DefaultParagraphFont"/>
    <w:link w:val="Footer"/>
    <w:uiPriority w:val="99"/>
    <w:rsid w:val="007B6904"/>
    <w:rPr>
      <w:rFonts w:ascii="Times New Roman" w:eastAsia="Times New Roman" w:hAnsi="Times New Roman" w:cs="Times New Roman"/>
      <w:sz w:val="24"/>
      <w:szCs w:val="20"/>
    </w:rPr>
  </w:style>
  <w:style w:type="character" w:styleId="PageNumber">
    <w:name w:val="page number"/>
    <w:basedOn w:val="DefaultParagraphFont"/>
    <w:uiPriority w:val="99"/>
    <w:rsid w:val="007B6904"/>
    <w:rPr>
      <w:rFonts w:cs="Times New Roman"/>
    </w:rPr>
  </w:style>
  <w:style w:type="paragraph" w:styleId="Header">
    <w:name w:val="header"/>
    <w:basedOn w:val="Normal"/>
    <w:link w:val="HeaderChar"/>
    <w:rsid w:val="007B6904"/>
    <w:pPr>
      <w:tabs>
        <w:tab w:val="center" w:pos="4153"/>
        <w:tab w:val="right" w:pos="8306"/>
      </w:tabs>
    </w:pPr>
  </w:style>
  <w:style w:type="character" w:customStyle="1" w:styleId="HeaderChar">
    <w:name w:val="Header Char"/>
    <w:basedOn w:val="DefaultParagraphFont"/>
    <w:link w:val="Header"/>
    <w:rsid w:val="007B6904"/>
    <w:rPr>
      <w:rFonts w:ascii="Times New Roman" w:eastAsia="Times New Roman" w:hAnsi="Times New Roman" w:cs="Times New Roman"/>
      <w:sz w:val="24"/>
      <w:szCs w:val="20"/>
    </w:rPr>
  </w:style>
  <w:style w:type="paragraph" w:styleId="ListParagraph">
    <w:name w:val="List Paragraph"/>
    <w:basedOn w:val="Normal"/>
    <w:uiPriority w:val="34"/>
    <w:qFormat/>
    <w:rsid w:val="007B6904"/>
    <w:pPr>
      <w:ind w:left="720"/>
      <w:contextualSpacing/>
    </w:pPr>
  </w:style>
  <w:style w:type="paragraph" w:customStyle="1" w:styleId="Default">
    <w:name w:val="Default"/>
    <w:rsid w:val="007B6904"/>
    <w:pPr>
      <w:autoSpaceDE w:val="0"/>
      <w:autoSpaceDN w:val="0"/>
      <w:adjustRightInd w:val="0"/>
      <w:spacing w:after="0" w:line="240" w:lineRule="auto"/>
    </w:pPr>
    <w:rPr>
      <w:rFonts w:ascii="Times New Roman" w:eastAsia="Times New Roman" w:hAnsi="Times New Roman" w:cs="Times New Roman"/>
      <w:color w:val="000000"/>
      <w:sz w:val="24"/>
      <w:szCs w:val="24"/>
      <w:lang w:eastAsia="en-AU"/>
    </w:rPr>
  </w:style>
  <w:style w:type="character" w:styleId="Hyperlink">
    <w:name w:val="Hyperlink"/>
    <w:basedOn w:val="DefaultParagraphFont"/>
    <w:uiPriority w:val="99"/>
    <w:rsid w:val="007B6904"/>
    <w:rPr>
      <w:rFonts w:cs="Times New Roman"/>
      <w:color w:val="0000FF"/>
      <w:u w:val="single"/>
    </w:rPr>
  </w:style>
  <w:style w:type="paragraph" w:styleId="ListBullet">
    <w:name w:val="List Bullet"/>
    <w:basedOn w:val="Normal"/>
    <w:uiPriority w:val="99"/>
    <w:qFormat/>
    <w:rsid w:val="00F14EC1"/>
    <w:pPr>
      <w:numPr>
        <w:numId w:val="1"/>
      </w:numPr>
    </w:pPr>
  </w:style>
  <w:style w:type="paragraph" w:customStyle="1" w:styleId="ProcedureTemplate">
    <w:name w:val="Procedure Template"/>
    <w:basedOn w:val="Heading1"/>
    <w:rsid w:val="007B6904"/>
    <w:pPr>
      <w:framePr w:hSpace="180" w:wrap="around" w:vAnchor="text" w:hAnchor="margin" w:x="108" w:y="181"/>
    </w:pPr>
    <w:rPr>
      <w:bCs/>
    </w:rPr>
  </w:style>
  <w:style w:type="paragraph" w:customStyle="1" w:styleId="ProcedureTemplateinternalheadings">
    <w:name w:val="Procedure Template internal headings"/>
    <w:basedOn w:val="Heading2"/>
    <w:rsid w:val="007B6904"/>
    <w:pPr>
      <w:framePr w:hSpace="180" w:wrap="around" w:vAnchor="text" w:hAnchor="margin" w:x="108" w:y="181"/>
      <w:spacing w:before="40" w:after="40"/>
    </w:pPr>
    <w:rPr>
      <w:rFonts w:cs="Arial"/>
      <w:szCs w:val="24"/>
    </w:rPr>
  </w:style>
  <w:style w:type="character" w:customStyle="1" w:styleId="Heading2Char">
    <w:name w:val="Heading 2 Char"/>
    <w:basedOn w:val="DefaultParagraphFont"/>
    <w:link w:val="Heading2"/>
    <w:uiPriority w:val="9"/>
    <w:rsid w:val="007B6904"/>
    <w:rPr>
      <w:rFonts w:ascii="Calibri" w:eastAsiaTheme="majorEastAsia" w:hAnsi="Calibri" w:cstheme="majorBidi"/>
      <w:b/>
      <w:bCs/>
      <w:sz w:val="24"/>
      <w:szCs w:val="26"/>
    </w:rPr>
  </w:style>
  <w:style w:type="character" w:styleId="FollowedHyperlink">
    <w:name w:val="FollowedHyperlink"/>
    <w:basedOn w:val="DefaultParagraphFont"/>
    <w:uiPriority w:val="99"/>
    <w:semiHidden/>
    <w:unhideWhenUsed/>
    <w:rsid w:val="007B6904"/>
    <w:rPr>
      <w:color w:val="800080" w:themeColor="followedHyperlink"/>
      <w:u w:val="single"/>
    </w:rPr>
  </w:style>
  <w:style w:type="paragraph" w:styleId="BalloonText">
    <w:name w:val="Balloon Text"/>
    <w:basedOn w:val="Normal"/>
    <w:link w:val="BalloonTextChar"/>
    <w:uiPriority w:val="99"/>
    <w:semiHidden/>
    <w:unhideWhenUsed/>
    <w:rsid w:val="007B6904"/>
    <w:rPr>
      <w:rFonts w:ascii="Tahoma" w:hAnsi="Tahoma" w:cs="Tahoma"/>
      <w:sz w:val="16"/>
      <w:szCs w:val="16"/>
    </w:rPr>
  </w:style>
  <w:style w:type="character" w:customStyle="1" w:styleId="BalloonTextChar">
    <w:name w:val="Balloon Text Char"/>
    <w:basedOn w:val="DefaultParagraphFont"/>
    <w:link w:val="BalloonText"/>
    <w:uiPriority w:val="99"/>
    <w:semiHidden/>
    <w:rsid w:val="007B6904"/>
    <w:rPr>
      <w:rFonts w:ascii="Tahoma" w:eastAsia="Times New Roman" w:hAnsi="Tahoma" w:cs="Tahoma"/>
      <w:sz w:val="16"/>
      <w:szCs w:val="16"/>
    </w:rPr>
  </w:style>
  <w:style w:type="paragraph" w:styleId="TOC1">
    <w:name w:val="toc 1"/>
    <w:basedOn w:val="Normal"/>
    <w:next w:val="Normal"/>
    <w:autoRedefine/>
    <w:uiPriority w:val="39"/>
    <w:unhideWhenUsed/>
    <w:rsid w:val="007B6904"/>
    <w:pPr>
      <w:spacing w:after="100"/>
    </w:pPr>
    <w:rPr>
      <w:rFonts w:asciiTheme="minorHAnsi" w:hAnsiTheme="minorHAnsi"/>
    </w:rPr>
  </w:style>
  <w:style w:type="paragraph" w:styleId="TOC2">
    <w:name w:val="toc 2"/>
    <w:basedOn w:val="Normal"/>
    <w:next w:val="Normal"/>
    <w:autoRedefine/>
    <w:uiPriority w:val="39"/>
    <w:unhideWhenUsed/>
    <w:rsid w:val="007B6904"/>
    <w:pPr>
      <w:spacing w:after="100"/>
      <w:ind w:left="240"/>
    </w:pPr>
    <w:rPr>
      <w:rFonts w:asciiTheme="minorHAnsi" w:hAnsiTheme="minorHAnsi"/>
    </w:rPr>
  </w:style>
  <w:style w:type="character" w:customStyle="1" w:styleId="Heading3Char">
    <w:name w:val="Heading 3 Char"/>
    <w:basedOn w:val="DefaultParagraphFont"/>
    <w:link w:val="Heading3"/>
    <w:uiPriority w:val="9"/>
    <w:semiHidden/>
    <w:rsid w:val="007052B1"/>
    <w:rPr>
      <w:rFonts w:asciiTheme="majorHAnsi" w:eastAsiaTheme="majorEastAsia" w:hAnsiTheme="majorHAnsi" w:cstheme="majorBidi"/>
      <w:b/>
      <w:bCs/>
      <w:color w:val="4F81BD" w:themeColor="accent1"/>
      <w:sz w:val="24"/>
      <w:szCs w:val="20"/>
    </w:rPr>
  </w:style>
  <w:style w:type="character" w:styleId="CommentReference">
    <w:name w:val="annotation reference"/>
    <w:basedOn w:val="DefaultParagraphFont"/>
    <w:uiPriority w:val="99"/>
    <w:semiHidden/>
    <w:unhideWhenUsed/>
    <w:rsid w:val="00CC5D11"/>
    <w:rPr>
      <w:sz w:val="16"/>
      <w:szCs w:val="16"/>
    </w:rPr>
  </w:style>
  <w:style w:type="paragraph" w:styleId="CommentText">
    <w:name w:val="annotation text"/>
    <w:basedOn w:val="Normal"/>
    <w:link w:val="CommentTextChar"/>
    <w:uiPriority w:val="99"/>
    <w:semiHidden/>
    <w:unhideWhenUsed/>
    <w:rsid w:val="00CC5D11"/>
    <w:rPr>
      <w:sz w:val="20"/>
    </w:rPr>
  </w:style>
  <w:style w:type="character" w:customStyle="1" w:styleId="CommentTextChar">
    <w:name w:val="Comment Text Char"/>
    <w:basedOn w:val="DefaultParagraphFont"/>
    <w:link w:val="CommentText"/>
    <w:uiPriority w:val="99"/>
    <w:semiHidden/>
    <w:rsid w:val="00CC5D11"/>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semiHidden/>
    <w:unhideWhenUsed/>
    <w:rsid w:val="00CC5D11"/>
    <w:rPr>
      <w:b/>
      <w:bCs/>
    </w:rPr>
  </w:style>
  <w:style w:type="character" w:customStyle="1" w:styleId="CommentSubjectChar">
    <w:name w:val="Comment Subject Char"/>
    <w:basedOn w:val="CommentTextChar"/>
    <w:link w:val="CommentSubject"/>
    <w:uiPriority w:val="99"/>
    <w:semiHidden/>
    <w:rsid w:val="00CC5D11"/>
    <w:rPr>
      <w:rFonts w:ascii="Calibri" w:eastAsia="Times New Roman" w:hAnsi="Calibri" w:cs="Times New Roman"/>
      <w:b/>
      <w:bCs/>
      <w:sz w:val="20"/>
      <w:szCs w:val="20"/>
    </w:rPr>
  </w:style>
  <w:style w:type="character" w:styleId="Strong">
    <w:name w:val="Strong"/>
    <w:basedOn w:val="DefaultParagraphFont"/>
    <w:uiPriority w:val="22"/>
    <w:qFormat/>
    <w:rsid w:val="002D6B7E"/>
    <w:rPr>
      <w:b/>
      <w:bCs/>
    </w:rPr>
  </w:style>
  <w:style w:type="table" w:customStyle="1" w:styleId="TableGrid1">
    <w:name w:val="Table Grid1"/>
    <w:basedOn w:val="TableNormal"/>
    <w:next w:val="TableGrid"/>
    <w:uiPriority w:val="39"/>
    <w:rsid w:val="002D6B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electable">
    <w:name w:val="selectable"/>
    <w:basedOn w:val="DefaultParagraphFont"/>
    <w:rsid w:val="002D6B7E"/>
  </w:style>
  <w:style w:type="character" w:customStyle="1" w:styleId="cit">
    <w:name w:val="cit"/>
    <w:basedOn w:val="DefaultParagraphFont"/>
    <w:rsid w:val="002D6B7E"/>
  </w:style>
  <w:style w:type="paragraph" w:styleId="TOCHeading">
    <w:name w:val="TOC Heading"/>
    <w:basedOn w:val="Heading1"/>
    <w:next w:val="Normal"/>
    <w:uiPriority w:val="39"/>
    <w:unhideWhenUsed/>
    <w:qFormat/>
    <w:rsid w:val="00CA6266"/>
    <w:pPr>
      <w:keepLines/>
      <w:spacing w:before="240" w:after="0" w:line="259" w:lineRule="auto"/>
      <w:outlineLvl w:val="9"/>
    </w:pPr>
    <w:rPr>
      <w:rFonts w:asciiTheme="majorHAnsi" w:eastAsiaTheme="majorEastAsia" w:hAnsiTheme="majorHAnsi" w:cstheme="majorBidi"/>
      <w:b w:val="0"/>
      <w:iCs w:val="0"/>
      <w:color w:val="365F91" w:themeColor="accent1" w:themeShade="BF"/>
      <w:sz w:val="32"/>
      <w:szCs w:val="3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3216866">
      <w:bodyDiv w:val="1"/>
      <w:marLeft w:val="0"/>
      <w:marRight w:val="0"/>
      <w:marTop w:val="0"/>
      <w:marBottom w:val="0"/>
      <w:divBdr>
        <w:top w:val="none" w:sz="0" w:space="0" w:color="auto"/>
        <w:left w:val="none" w:sz="0" w:space="0" w:color="auto"/>
        <w:bottom w:val="none" w:sz="0" w:space="0" w:color="auto"/>
        <w:right w:val="none" w:sz="0" w:space="0" w:color="auto"/>
      </w:divBdr>
    </w:div>
    <w:div w:id="997465457">
      <w:bodyDiv w:val="1"/>
      <w:marLeft w:val="0"/>
      <w:marRight w:val="0"/>
      <w:marTop w:val="0"/>
      <w:marBottom w:val="0"/>
      <w:divBdr>
        <w:top w:val="none" w:sz="0" w:space="0" w:color="auto"/>
        <w:left w:val="none" w:sz="0" w:space="0" w:color="auto"/>
        <w:bottom w:val="none" w:sz="0" w:space="0" w:color="auto"/>
        <w:right w:val="none" w:sz="0" w:space="0" w:color="auto"/>
      </w:divBdr>
    </w:div>
    <w:div w:id="1030256552">
      <w:bodyDiv w:val="1"/>
      <w:marLeft w:val="0"/>
      <w:marRight w:val="0"/>
      <w:marTop w:val="0"/>
      <w:marBottom w:val="0"/>
      <w:divBdr>
        <w:top w:val="none" w:sz="0" w:space="0" w:color="auto"/>
        <w:left w:val="none" w:sz="0" w:space="0" w:color="auto"/>
        <w:bottom w:val="none" w:sz="0" w:space="0" w:color="auto"/>
        <w:right w:val="none" w:sz="0" w:space="0" w:color="auto"/>
      </w:divBdr>
    </w:div>
    <w:div w:id="1479807023">
      <w:bodyDiv w:val="1"/>
      <w:marLeft w:val="0"/>
      <w:marRight w:val="0"/>
      <w:marTop w:val="0"/>
      <w:marBottom w:val="0"/>
      <w:divBdr>
        <w:top w:val="none" w:sz="0" w:space="0" w:color="auto"/>
        <w:left w:val="none" w:sz="0" w:space="0" w:color="auto"/>
        <w:bottom w:val="none" w:sz="0" w:space="0" w:color="auto"/>
        <w:right w:val="none" w:sz="0" w:space="0" w:color="auto"/>
      </w:divBdr>
    </w:div>
    <w:div w:id="1991328734">
      <w:bodyDiv w:val="1"/>
      <w:marLeft w:val="0"/>
      <w:marRight w:val="0"/>
      <w:marTop w:val="0"/>
      <w:marBottom w:val="0"/>
      <w:divBdr>
        <w:top w:val="none" w:sz="0" w:space="0" w:color="auto"/>
        <w:left w:val="none" w:sz="0" w:space="0" w:color="auto"/>
        <w:bottom w:val="none" w:sz="0" w:space="0" w:color="auto"/>
        <w:right w:val="none" w:sz="0" w:space="0" w:color="auto"/>
      </w:divBdr>
    </w:div>
    <w:div w:id="2078044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052FB6E4F6A904298AC8C7DBBDDD5A1" ma:contentTypeVersion="10" ma:contentTypeDescription="Create a new document." ma:contentTypeScope="" ma:versionID="88b468f552be70f97a05f5a1671b612c">
  <xsd:schema xmlns:xsd="http://www.w3.org/2001/XMLSchema" xmlns:xs="http://www.w3.org/2001/XMLSchema" xmlns:p="http://schemas.microsoft.com/office/2006/metadata/properties" xmlns:ns2="0c8e588b-9c83-49d3-a6c8-a54de8f95e6a" xmlns:ns3="9c2f0412-f90c-42c4-93a0-04fcb973abf1" targetNamespace="http://schemas.microsoft.com/office/2006/metadata/properties" ma:root="true" ma:fieldsID="d05644bfbd43f3a7fa2685e43cf64ee6" ns2:_="" ns3:_="">
    <xsd:import namespace="0c8e588b-9c83-49d3-a6c8-a54de8f95e6a"/>
    <xsd:import namespace="9c2f0412-f90c-42c4-93a0-04fcb973abf1"/>
    <xsd:element name="properties">
      <xsd:complexType>
        <xsd:sequence>
          <xsd:element name="documentManagement">
            <xsd:complexType>
              <xsd:all>
                <xsd:element ref="ns2:Barcode_x0020_New" minOccurs="0"/>
                <xsd:element ref="ns3:MediaServiceMetadata" minOccurs="0"/>
                <xsd:element ref="ns3:MediaServiceFastMetadata" minOccurs="0"/>
                <xsd:element ref="ns3:MediaServiceAutoKeyPoints" minOccurs="0"/>
                <xsd:element ref="ns3:MediaServiceKeyPoints"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8e588b-9c83-49d3-a6c8-a54de8f95e6a" elementFormDefault="qualified">
    <xsd:import namespace="http://schemas.microsoft.com/office/2006/documentManagement/types"/>
    <xsd:import namespace="http://schemas.microsoft.com/office/infopath/2007/PartnerControls"/>
    <xsd:element name="Barcode_x0020_New" ma:index="8" nillable="true" ma:displayName="Barcode New" ma:internalName="Barcode_x0020_New">
      <xsd:simpleType>
        <xsd:restriction base="dms:Text">
          <xsd:maxLength value="255"/>
        </xsd:restriction>
      </xsd:simpleType>
    </xsd:element>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c2f0412-f90c-42c4-93a0-04fcb973abf1" elementFormDefault="qualified">
    <xsd:import namespace="http://schemas.microsoft.com/office/2006/documentManagement/types"/>
    <xsd:import namespace="http://schemas.microsoft.com/office/infopath/2007/PartnerControls"/>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Barcode_x0020_New xmlns="0c8e588b-9c83-49d3-a6c8-a54de8f95e6a" xsi:nil="true"/>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DA4D85D-37FD-4A82-B786-2D707BCAEE4F}">
  <ds:schemaRefs>
    <ds:schemaRef ds:uri="http://schemas.microsoft.com/sharepoint/v3/contenttype/forms"/>
  </ds:schemaRefs>
</ds:datastoreItem>
</file>

<file path=customXml/itemProps2.xml><?xml version="1.0" encoding="utf-8"?>
<ds:datastoreItem xmlns:ds="http://schemas.openxmlformats.org/officeDocument/2006/customXml" ds:itemID="{4406F5B5-7934-4429-A95B-6D7BE237D6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8e588b-9c83-49d3-a6c8-a54de8f95e6a"/>
    <ds:schemaRef ds:uri="9c2f0412-f90c-42c4-93a0-04fcb973ab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97F58B0-E6BF-4237-9984-6DF2E01C04FA}">
  <ds:schemaRefs>
    <ds:schemaRef ds:uri="0c8e588b-9c83-49d3-a6c8-a54de8f95e6a"/>
    <ds:schemaRef ds:uri="http://schemas.microsoft.com/office/2006/documentManagement/types"/>
    <ds:schemaRef ds:uri="http://schemas.openxmlformats.org/package/2006/metadata/core-properties"/>
    <ds:schemaRef ds:uri="http://purl.org/dc/elements/1.1/"/>
    <ds:schemaRef ds:uri="http://www.w3.org/XML/1998/namespace"/>
    <ds:schemaRef ds:uri="http://schemas.microsoft.com/office/2006/metadata/properties"/>
    <ds:schemaRef ds:uri="9c2f0412-f90c-42c4-93a0-04fcb973abf1"/>
    <ds:schemaRef ds:uri="http://purl.org/dc/terms/"/>
    <ds:schemaRef ds:uri="http://schemas.microsoft.com/office/infopath/2007/PartnerControls"/>
    <ds:schemaRef ds:uri="http://purl.org/dc/dcmitype/"/>
  </ds:schemaRefs>
</ds:datastoreItem>
</file>

<file path=customXml/itemProps4.xml><?xml version="1.0" encoding="utf-8"?>
<ds:datastoreItem xmlns:ds="http://schemas.openxmlformats.org/officeDocument/2006/customXml" ds:itemID="{FC384310-5165-4CD1-972A-44FACC4802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TotalTime>
  <Pages>11</Pages>
  <Words>3488</Words>
  <Characters>19886</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
    </vt:vector>
  </TitlesOfParts>
  <Company>ACT Government</Company>
  <LinksUpToDate>false</LinksUpToDate>
  <CharactersWithSpaces>23328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Kerryn Hunter</dc:creator>
  <cp:lastModifiedBy>Stahre, Maria (Health)</cp:lastModifiedBy>
  <cp:revision>9</cp:revision>
  <cp:lastPrinted>2015-01-20T22:40:00Z</cp:lastPrinted>
  <dcterms:created xsi:type="dcterms:W3CDTF">2022-06-16T03:09:00Z</dcterms:created>
  <dcterms:modified xsi:type="dcterms:W3CDTF">2022-06-16T22:52:00Z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0x0101003052FB6E4F6A904298AC8C7DBBDDD5A1</vt:lpwstr>
  </property>
  <property fmtid="{D5CDD505-2E9C-101B-9397-08002B2CF9AE}" pid="3" name="Order">
    <vt:r8>4100</vt:r8>
  </property>
  <property fmtid="{D5CDD505-2E9C-101B-9397-08002B2CF9AE}" pid="4" name="_ExtendedDescription">
    <vt:lpwstr/>
  </property>
</Properties>
</file>