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B7988" w14:textId="77777777" w:rsidR="00197F2E" w:rsidRPr="0007270D" w:rsidRDefault="008606A0" w:rsidP="00241A68">
      <w:pPr>
        <w:pStyle w:val="Heading1"/>
      </w:pPr>
      <w:bookmarkStart w:id="0" w:name="_top"/>
      <w:bookmarkEnd w:id="0"/>
      <w:r w:rsidRPr="0007270D">
        <w:t xml:space="preserve">Guideline </w:t>
      </w:r>
      <w:r w:rsidRPr="00241A68">
        <w:rPr>
          <w:b w:val="0"/>
          <w:bCs w:val="0"/>
        </w:rPr>
        <w:t xml:space="preserve">| </w:t>
      </w:r>
      <w:r w:rsidR="00481A6C" w:rsidRPr="00241A68">
        <w:rPr>
          <w:b w:val="0"/>
          <w:bCs w:val="0"/>
        </w:rPr>
        <w:t>Canberra Health Services</w:t>
      </w:r>
    </w:p>
    <w:p w14:paraId="38BFB076" w14:textId="77777777" w:rsidR="00490E9B" w:rsidRPr="00490E9B" w:rsidRDefault="00490E9B" w:rsidP="00490E9B">
      <w:pPr>
        <w:pStyle w:val="Heading2"/>
        <w:rPr>
          <w:b/>
          <w:iCs/>
        </w:rPr>
      </w:pPr>
      <w:r w:rsidRPr="00490E9B">
        <w:rPr>
          <w:b/>
          <w:iCs/>
        </w:rPr>
        <w:t>Treatment of Infant Haemangiomas</w:t>
      </w:r>
    </w:p>
    <w:p w14:paraId="5E14B7F0" w14:textId="7C060E8A" w:rsidR="00CA4FDE" w:rsidRPr="00C34A10" w:rsidRDefault="00E31596" w:rsidP="00C34A10">
      <w:pPr>
        <w:pStyle w:val="BodyCopy"/>
        <w:spacing w:before="0" w:line="240" w:lineRule="auto"/>
        <w:rPr>
          <w:color w:val="575757" w:themeColor="text2"/>
        </w:rPr>
      </w:pPr>
      <w:r w:rsidRPr="00197F2E">
        <w:t>CHS</w:t>
      </w:r>
      <w:r w:rsidR="00597858">
        <w:t>25/365</w:t>
      </w:r>
      <w:bookmarkStart w:id="1" w:name="_Hlk157074578"/>
    </w:p>
    <w:sdt>
      <w:sdtPr>
        <w:rPr>
          <w:sz w:val="32"/>
          <w:szCs w:val="32"/>
        </w:rPr>
        <w:id w:val="-1206019646"/>
        <w:docPartObj>
          <w:docPartGallery w:val="Table of Contents"/>
          <w:docPartUnique/>
        </w:docPartObj>
      </w:sdtPr>
      <w:sdtEndPr>
        <w:rPr>
          <w:noProof/>
        </w:rPr>
      </w:sdtEndPr>
      <w:sdtContent>
        <w:p w14:paraId="5BE15072" w14:textId="77777777" w:rsidR="00A731B8" w:rsidRPr="000E7683" w:rsidRDefault="00A731B8">
          <w:pPr>
            <w:pStyle w:val="TOCHeading"/>
            <w:rPr>
              <w:rStyle w:val="Heading3Char"/>
              <w:b/>
              <w:bCs w:val="0"/>
            </w:rPr>
          </w:pPr>
          <w:r w:rsidRPr="007B1A7B">
            <w:rPr>
              <w:rStyle w:val="Heading3Char"/>
              <w:b/>
              <w:bCs w:val="0"/>
            </w:rPr>
            <w:t>Contents</w:t>
          </w:r>
        </w:p>
        <w:p w14:paraId="22AA9CC3" w14:textId="5B1E73DB" w:rsidR="00742A96"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13053772" w:history="1">
            <w:r w:rsidR="00742A96" w:rsidRPr="00F25FE4">
              <w:rPr>
                <w:rStyle w:val="Hyperlink"/>
              </w:rPr>
              <w:t>Guideline statement</w:t>
            </w:r>
            <w:r w:rsidR="00742A96">
              <w:rPr>
                <w:webHidden/>
              </w:rPr>
              <w:tab/>
            </w:r>
            <w:r w:rsidR="00742A96">
              <w:rPr>
                <w:webHidden/>
              </w:rPr>
              <w:fldChar w:fldCharType="begin"/>
            </w:r>
            <w:r w:rsidR="00742A96">
              <w:rPr>
                <w:webHidden/>
              </w:rPr>
              <w:instrText xml:space="preserve"> PAGEREF _Toc213053772 \h </w:instrText>
            </w:r>
            <w:r w:rsidR="00742A96">
              <w:rPr>
                <w:webHidden/>
              </w:rPr>
            </w:r>
            <w:r w:rsidR="00742A96">
              <w:rPr>
                <w:webHidden/>
              </w:rPr>
              <w:fldChar w:fldCharType="separate"/>
            </w:r>
            <w:r w:rsidR="00742A96">
              <w:rPr>
                <w:webHidden/>
              </w:rPr>
              <w:t>2</w:t>
            </w:r>
            <w:r w:rsidR="00742A96">
              <w:rPr>
                <w:webHidden/>
              </w:rPr>
              <w:fldChar w:fldCharType="end"/>
            </w:r>
          </w:hyperlink>
        </w:p>
        <w:p w14:paraId="064CA1AF" w14:textId="18DB3714" w:rsidR="00742A96" w:rsidRDefault="00742A96">
          <w:pPr>
            <w:pStyle w:val="TOC1"/>
            <w:rPr>
              <w:rFonts w:asciiTheme="minorHAnsi" w:eastAsiaTheme="minorEastAsia" w:hAnsiTheme="minorHAnsi" w:cstheme="minorBidi"/>
              <w:color w:val="auto"/>
              <w:kern w:val="2"/>
              <w14:ligatures w14:val="standardContextual"/>
            </w:rPr>
          </w:pPr>
          <w:hyperlink w:anchor="_Toc213053773" w:history="1">
            <w:r w:rsidRPr="00F25FE4">
              <w:rPr>
                <w:rStyle w:val="Hyperlink"/>
              </w:rPr>
              <w:t>Scope</w:t>
            </w:r>
            <w:r>
              <w:rPr>
                <w:webHidden/>
              </w:rPr>
              <w:tab/>
            </w:r>
            <w:r>
              <w:rPr>
                <w:webHidden/>
              </w:rPr>
              <w:fldChar w:fldCharType="begin"/>
            </w:r>
            <w:r>
              <w:rPr>
                <w:webHidden/>
              </w:rPr>
              <w:instrText xml:space="preserve"> PAGEREF _Toc213053773 \h </w:instrText>
            </w:r>
            <w:r>
              <w:rPr>
                <w:webHidden/>
              </w:rPr>
            </w:r>
            <w:r>
              <w:rPr>
                <w:webHidden/>
              </w:rPr>
              <w:fldChar w:fldCharType="separate"/>
            </w:r>
            <w:r>
              <w:rPr>
                <w:webHidden/>
              </w:rPr>
              <w:t>2</w:t>
            </w:r>
            <w:r>
              <w:rPr>
                <w:webHidden/>
              </w:rPr>
              <w:fldChar w:fldCharType="end"/>
            </w:r>
          </w:hyperlink>
        </w:p>
        <w:p w14:paraId="44E37CEF" w14:textId="2966BF2C" w:rsidR="00742A96" w:rsidRDefault="00742A96">
          <w:pPr>
            <w:pStyle w:val="TOC1"/>
            <w:rPr>
              <w:rFonts w:asciiTheme="minorHAnsi" w:eastAsiaTheme="minorEastAsia" w:hAnsiTheme="minorHAnsi" w:cstheme="minorBidi"/>
              <w:color w:val="auto"/>
              <w:kern w:val="2"/>
              <w14:ligatures w14:val="standardContextual"/>
            </w:rPr>
          </w:pPr>
          <w:hyperlink w:anchor="_Toc213053774" w:history="1">
            <w:r w:rsidRPr="00F25FE4">
              <w:rPr>
                <w:rStyle w:val="Hyperlink"/>
              </w:rPr>
              <w:t>Section 1 – Indications for Treatment</w:t>
            </w:r>
            <w:r>
              <w:rPr>
                <w:webHidden/>
              </w:rPr>
              <w:tab/>
            </w:r>
            <w:r>
              <w:rPr>
                <w:webHidden/>
              </w:rPr>
              <w:fldChar w:fldCharType="begin"/>
            </w:r>
            <w:r>
              <w:rPr>
                <w:webHidden/>
              </w:rPr>
              <w:instrText xml:space="preserve"> PAGEREF _Toc213053774 \h </w:instrText>
            </w:r>
            <w:r>
              <w:rPr>
                <w:webHidden/>
              </w:rPr>
            </w:r>
            <w:r>
              <w:rPr>
                <w:webHidden/>
              </w:rPr>
              <w:fldChar w:fldCharType="separate"/>
            </w:r>
            <w:r>
              <w:rPr>
                <w:webHidden/>
              </w:rPr>
              <w:t>2</w:t>
            </w:r>
            <w:r>
              <w:rPr>
                <w:webHidden/>
              </w:rPr>
              <w:fldChar w:fldCharType="end"/>
            </w:r>
          </w:hyperlink>
        </w:p>
        <w:p w14:paraId="663CA5CD" w14:textId="2D420769" w:rsidR="00742A96" w:rsidRDefault="00742A96">
          <w:pPr>
            <w:pStyle w:val="TOC1"/>
            <w:rPr>
              <w:rFonts w:asciiTheme="minorHAnsi" w:eastAsiaTheme="minorEastAsia" w:hAnsiTheme="minorHAnsi" w:cstheme="minorBidi"/>
              <w:color w:val="auto"/>
              <w:kern w:val="2"/>
              <w14:ligatures w14:val="standardContextual"/>
            </w:rPr>
          </w:pPr>
          <w:hyperlink w:anchor="_Toc213053775" w:history="1">
            <w:r w:rsidRPr="00F25FE4">
              <w:rPr>
                <w:rStyle w:val="Hyperlink"/>
              </w:rPr>
              <w:t>Section 2 – Medications</w:t>
            </w:r>
            <w:r>
              <w:rPr>
                <w:webHidden/>
              </w:rPr>
              <w:tab/>
            </w:r>
            <w:r>
              <w:rPr>
                <w:webHidden/>
              </w:rPr>
              <w:fldChar w:fldCharType="begin"/>
            </w:r>
            <w:r>
              <w:rPr>
                <w:webHidden/>
              </w:rPr>
              <w:instrText xml:space="preserve"> PAGEREF _Toc213053775 \h </w:instrText>
            </w:r>
            <w:r>
              <w:rPr>
                <w:webHidden/>
              </w:rPr>
            </w:r>
            <w:r>
              <w:rPr>
                <w:webHidden/>
              </w:rPr>
              <w:fldChar w:fldCharType="separate"/>
            </w:r>
            <w:r>
              <w:rPr>
                <w:webHidden/>
              </w:rPr>
              <w:t>3</w:t>
            </w:r>
            <w:r>
              <w:rPr>
                <w:webHidden/>
              </w:rPr>
              <w:fldChar w:fldCharType="end"/>
            </w:r>
          </w:hyperlink>
        </w:p>
        <w:p w14:paraId="3FB1A687" w14:textId="305F7BA1" w:rsidR="00742A96" w:rsidRDefault="00742A96">
          <w:pPr>
            <w:pStyle w:val="TOC1"/>
            <w:rPr>
              <w:rFonts w:asciiTheme="minorHAnsi" w:eastAsiaTheme="minorEastAsia" w:hAnsiTheme="minorHAnsi" w:cstheme="minorBidi"/>
              <w:color w:val="auto"/>
              <w:kern w:val="2"/>
              <w14:ligatures w14:val="standardContextual"/>
            </w:rPr>
          </w:pPr>
          <w:hyperlink w:anchor="_Toc213053776" w:history="1">
            <w:r w:rsidRPr="00F25FE4">
              <w:rPr>
                <w:rStyle w:val="Hyperlink"/>
              </w:rPr>
              <w:t>Section 3 – Systemic Medication Treatment Initiation in Hospital</w:t>
            </w:r>
            <w:r>
              <w:rPr>
                <w:webHidden/>
              </w:rPr>
              <w:tab/>
            </w:r>
            <w:r>
              <w:rPr>
                <w:webHidden/>
              </w:rPr>
              <w:fldChar w:fldCharType="begin"/>
            </w:r>
            <w:r>
              <w:rPr>
                <w:webHidden/>
              </w:rPr>
              <w:instrText xml:space="preserve"> PAGEREF _Toc213053776 \h </w:instrText>
            </w:r>
            <w:r>
              <w:rPr>
                <w:webHidden/>
              </w:rPr>
            </w:r>
            <w:r>
              <w:rPr>
                <w:webHidden/>
              </w:rPr>
              <w:fldChar w:fldCharType="separate"/>
            </w:r>
            <w:r>
              <w:rPr>
                <w:webHidden/>
              </w:rPr>
              <w:t>4</w:t>
            </w:r>
            <w:r>
              <w:rPr>
                <w:webHidden/>
              </w:rPr>
              <w:fldChar w:fldCharType="end"/>
            </w:r>
          </w:hyperlink>
        </w:p>
        <w:p w14:paraId="1D4E68F4" w14:textId="31CCB44D" w:rsidR="00742A96" w:rsidRDefault="00742A96">
          <w:pPr>
            <w:pStyle w:val="TOC1"/>
            <w:rPr>
              <w:rFonts w:asciiTheme="minorHAnsi" w:eastAsiaTheme="minorEastAsia" w:hAnsiTheme="minorHAnsi" w:cstheme="minorBidi"/>
              <w:color w:val="auto"/>
              <w:kern w:val="2"/>
              <w14:ligatures w14:val="standardContextual"/>
            </w:rPr>
          </w:pPr>
          <w:hyperlink w:anchor="_Toc213053777" w:history="1">
            <w:r w:rsidRPr="00F25FE4">
              <w:rPr>
                <w:rStyle w:val="Hyperlink"/>
              </w:rPr>
              <w:t>Section 4 – Medical Follow Up</w:t>
            </w:r>
            <w:r>
              <w:rPr>
                <w:webHidden/>
              </w:rPr>
              <w:tab/>
            </w:r>
            <w:r>
              <w:rPr>
                <w:webHidden/>
              </w:rPr>
              <w:fldChar w:fldCharType="begin"/>
            </w:r>
            <w:r>
              <w:rPr>
                <w:webHidden/>
              </w:rPr>
              <w:instrText xml:space="preserve"> PAGEREF _Toc213053777 \h </w:instrText>
            </w:r>
            <w:r>
              <w:rPr>
                <w:webHidden/>
              </w:rPr>
            </w:r>
            <w:r>
              <w:rPr>
                <w:webHidden/>
              </w:rPr>
              <w:fldChar w:fldCharType="separate"/>
            </w:r>
            <w:r>
              <w:rPr>
                <w:webHidden/>
              </w:rPr>
              <w:t>4</w:t>
            </w:r>
            <w:r>
              <w:rPr>
                <w:webHidden/>
              </w:rPr>
              <w:fldChar w:fldCharType="end"/>
            </w:r>
          </w:hyperlink>
        </w:p>
        <w:p w14:paraId="641D1F4C" w14:textId="17BEEF17" w:rsidR="00742A96" w:rsidRDefault="00742A96">
          <w:pPr>
            <w:pStyle w:val="TOC1"/>
            <w:rPr>
              <w:rFonts w:asciiTheme="minorHAnsi" w:eastAsiaTheme="minorEastAsia" w:hAnsiTheme="minorHAnsi" w:cstheme="minorBidi"/>
              <w:color w:val="auto"/>
              <w:kern w:val="2"/>
              <w14:ligatures w14:val="standardContextual"/>
            </w:rPr>
          </w:pPr>
          <w:hyperlink w:anchor="_Toc213053778" w:history="1">
            <w:r w:rsidRPr="00F25FE4">
              <w:rPr>
                <w:rStyle w:val="Hyperlink"/>
              </w:rPr>
              <w:t>Evaluation</w:t>
            </w:r>
            <w:r>
              <w:rPr>
                <w:webHidden/>
              </w:rPr>
              <w:tab/>
            </w:r>
            <w:r>
              <w:rPr>
                <w:webHidden/>
              </w:rPr>
              <w:fldChar w:fldCharType="begin"/>
            </w:r>
            <w:r>
              <w:rPr>
                <w:webHidden/>
              </w:rPr>
              <w:instrText xml:space="preserve"> PAGEREF _Toc213053778 \h </w:instrText>
            </w:r>
            <w:r>
              <w:rPr>
                <w:webHidden/>
              </w:rPr>
            </w:r>
            <w:r>
              <w:rPr>
                <w:webHidden/>
              </w:rPr>
              <w:fldChar w:fldCharType="separate"/>
            </w:r>
            <w:r>
              <w:rPr>
                <w:webHidden/>
              </w:rPr>
              <w:t>5</w:t>
            </w:r>
            <w:r>
              <w:rPr>
                <w:webHidden/>
              </w:rPr>
              <w:fldChar w:fldCharType="end"/>
            </w:r>
          </w:hyperlink>
        </w:p>
        <w:p w14:paraId="4C468B76" w14:textId="45D007EA" w:rsidR="00742A96" w:rsidRDefault="00742A96">
          <w:pPr>
            <w:pStyle w:val="TOC1"/>
            <w:rPr>
              <w:rFonts w:asciiTheme="minorHAnsi" w:eastAsiaTheme="minorEastAsia" w:hAnsiTheme="minorHAnsi" w:cstheme="minorBidi"/>
              <w:color w:val="auto"/>
              <w:kern w:val="2"/>
              <w14:ligatures w14:val="standardContextual"/>
            </w:rPr>
          </w:pPr>
          <w:hyperlink w:anchor="_Toc213053779" w:history="1">
            <w:r w:rsidRPr="00F25FE4">
              <w:rPr>
                <w:rStyle w:val="Hyperlink"/>
              </w:rPr>
              <w:t>Related policies, procedures, guidelines and legislation</w:t>
            </w:r>
            <w:r>
              <w:rPr>
                <w:webHidden/>
              </w:rPr>
              <w:tab/>
            </w:r>
            <w:r>
              <w:rPr>
                <w:webHidden/>
              </w:rPr>
              <w:fldChar w:fldCharType="begin"/>
            </w:r>
            <w:r>
              <w:rPr>
                <w:webHidden/>
              </w:rPr>
              <w:instrText xml:space="preserve"> PAGEREF _Toc213053779 \h </w:instrText>
            </w:r>
            <w:r>
              <w:rPr>
                <w:webHidden/>
              </w:rPr>
            </w:r>
            <w:r>
              <w:rPr>
                <w:webHidden/>
              </w:rPr>
              <w:fldChar w:fldCharType="separate"/>
            </w:r>
            <w:r>
              <w:rPr>
                <w:webHidden/>
              </w:rPr>
              <w:t>5</w:t>
            </w:r>
            <w:r>
              <w:rPr>
                <w:webHidden/>
              </w:rPr>
              <w:fldChar w:fldCharType="end"/>
            </w:r>
          </w:hyperlink>
        </w:p>
        <w:p w14:paraId="49611A70" w14:textId="39AED687" w:rsidR="00742A96" w:rsidRDefault="00742A96">
          <w:pPr>
            <w:pStyle w:val="TOC1"/>
            <w:rPr>
              <w:rFonts w:asciiTheme="minorHAnsi" w:eastAsiaTheme="minorEastAsia" w:hAnsiTheme="minorHAnsi" w:cstheme="minorBidi"/>
              <w:color w:val="auto"/>
              <w:kern w:val="2"/>
              <w14:ligatures w14:val="standardContextual"/>
            </w:rPr>
          </w:pPr>
          <w:hyperlink w:anchor="_Toc213053780" w:history="1">
            <w:r w:rsidRPr="00F25FE4">
              <w:rPr>
                <w:rStyle w:val="Hyperlink"/>
              </w:rPr>
              <w:t>References</w:t>
            </w:r>
            <w:r>
              <w:rPr>
                <w:webHidden/>
              </w:rPr>
              <w:tab/>
            </w:r>
            <w:r>
              <w:rPr>
                <w:webHidden/>
              </w:rPr>
              <w:fldChar w:fldCharType="begin"/>
            </w:r>
            <w:r>
              <w:rPr>
                <w:webHidden/>
              </w:rPr>
              <w:instrText xml:space="preserve"> PAGEREF _Toc213053780 \h </w:instrText>
            </w:r>
            <w:r>
              <w:rPr>
                <w:webHidden/>
              </w:rPr>
            </w:r>
            <w:r>
              <w:rPr>
                <w:webHidden/>
              </w:rPr>
              <w:fldChar w:fldCharType="separate"/>
            </w:r>
            <w:r>
              <w:rPr>
                <w:webHidden/>
              </w:rPr>
              <w:t>6</w:t>
            </w:r>
            <w:r>
              <w:rPr>
                <w:webHidden/>
              </w:rPr>
              <w:fldChar w:fldCharType="end"/>
            </w:r>
          </w:hyperlink>
        </w:p>
        <w:p w14:paraId="2D401C19" w14:textId="651BF48B" w:rsidR="00742A96" w:rsidRDefault="00742A96">
          <w:pPr>
            <w:pStyle w:val="TOC1"/>
            <w:rPr>
              <w:rFonts w:asciiTheme="minorHAnsi" w:eastAsiaTheme="minorEastAsia" w:hAnsiTheme="minorHAnsi" w:cstheme="minorBidi"/>
              <w:color w:val="auto"/>
              <w:kern w:val="2"/>
              <w14:ligatures w14:val="standardContextual"/>
            </w:rPr>
          </w:pPr>
          <w:hyperlink w:anchor="_Toc213053781" w:history="1">
            <w:r w:rsidRPr="00F25FE4">
              <w:rPr>
                <w:rStyle w:val="Hyperlink"/>
              </w:rPr>
              <w:t>Search terms</w:t>
            </w:r>
            <w:r>
              <w:rPr>
                <w:webHidden/>
              </w:rPr>
              <w:tab/>
            </w:r>
            <w:r>
              <w:rPr>
                <w:webHidden/>
              </w:rPr>
              <w:fldChar w:fldCharType="begin"/>
            </w:r>
            <w:r>
              <w:rPr>
                <w:webHidden/>
              </w:rPr>
              <w:instrText xml:space="preserve"> PAGEREF _Toc213053781 \h </w:instrText>
            </w:r>
            <w:r>
              <w:rPr>
                <w:webHidden/>
              </w:rPr>
            </w:r>
            <w:r>
              <w:rPr>
                <w:webHidden/>
              </w:rPr>
              <w:fldChar w:fldCharType="separate"/>
            </w:r>
            <w:r>
              <w:rPr>
                <w:webHidden/>
              </w:rPr>
              <w:t>6</w:t>
            </w:r>
            <w:r>
              <w:rPr>
                <w:webHidden/>
              </w:rPr>
              <w:fldChar w:fldCharType="end"/>
            </w:r>
          </w:hyperlink>
        </w:p>
        <w:p w14:paraId="3CDA6FA9" w14:textId="0F82A3A8"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22FA7093" w14:textId="77777777" w:rsidR="00FE46F1" w:rsidRDefault="00FE46F1">
      <w:pPr>
        <w:spacing w:before="0" w:after="0" w:line="240" w:lineRule="auto"/>
        <w:rPr>
          <w:rFonts w:eastAsia="Times New Roman"/>
          <w:b/>
          <w:color w:val="FFFFFF" w:themeColor="background1"/>
          <w:szCs w:val="80"/>
          <w:lang w:eastAsia="en-US"/>
        </w:rPr>
      </w:pPr>
    </w:p>
    <w:p w14:paraId="7CBD8A7F" w14:textId="77777777" w:rsidR="00201AF6" w:rsidRDefault="00201AF6">
      <w:pPr>
        <w:spacing w:before="0" w:after="0" w:line="240" w:lineRule="auto"/>
        <w:rPr>
          <w:rFonts w:eastAsia="Times New Roman"/>
          <w:b/>
          <w:bCs/>
          <w:iCs/>
          <w:color w:val="FFFFFF" w:themeColor="background1"/>
          <w:lang w:eastAsia="en-US"/>
        </w:rPr>
      </w:pPr>
      <w:r>
        <w:br w:type="page"/>
      </w:r>
    </w:p>
    <w:p w14:paraId="0E7714D7" w14:textId="09D9425D" w:rsidR="0078367D" w:rsidRPr="00036249" w:rsidRDefault="0078367D" w:rsidP="00036249">
      <w:pPr>
        <w:pStyle w:val="Heading4"/>
      </w:pPr>
      <w:bookmarkStart w:id="2" w:name="_Toc213053772"/>
      <w:r w:rsidRPr="00036249">
        <w:lastRenderedPageBreak/>
        <w:t>Guideline statement</w:t>
      </w:r>
      <w:bookmarkEnd w:id="2"/>
      <w:r w:rsidR="009746B1" w:rsidRPr="00036249">
        <w:t xml:space="preserve"> </w:t>
      </w:r>
    </w:p>
    <w:p w14:paraId="2FC5920D" w14:textId="16C3D052" w:rsidR="00490E9B" w:rsidRPr="00490E9B" w:rsidRDefault="00490E9B" w:rsidP="00490E9B">
      <w:pPr>
        <w:pStyle w:val="BodyCopy"/>
      </w:pPr>
      <w:r>
        <w:t xml:space="preserve">This document guides the treatment of haemangioma in infants </w:t>
      </w:r>
      <w:r w:rsidR="001C5EA1">
        <w:t xml:space="preserve">younger than 18 months </w:t>
      </w:r>
      <w:r>
        <w:t xml:space="preserve">within </w:t>
      </w:r>
      <w:r w:rsidR="001C5EA1">
        <w:t xml:space="preserve">the </w:t>
      </w:r>
      <w:r>
        <w:t>Canberra H</w:t>
      </w:r>
      <w:r w:rsidR="001C5EA1">
        <w:t>ospital</w:t>
      </w:r>
      <w:r>
        <w:t>.</w:t>
      </w:r>
    </w:p>
    <w:p w14:paraId="549F4F90" w14:textId="77777777" w:rsidR="00A6051F" w:rsidRDefault="00A6051F" w:rsidP="00DA5524">
      <w:pPr>
        <w:pStyle w:val="Heading5"/>
        <w:rPr>
          <w:rStyle w:val="Heading5Char"/>
          <w:b/>
          <w:bCs/>
          <w:iCs/>
        </w:rPr>
      </w:pPr>
      <w:r w:rsidRPr="00A6051F">
        <w:rPr>
          <w:rStyle w:val="Heading5Char"/>
          <w:b/>
          <w:bCs/>
          <w:iCs/>
        </w:rPr>
        <w:t>Backgro</w:t>
      </w:r>
      <w:r>
        <w:rPr>
          <w:rStyle w:val="Heading5Char"/>
          <w:b/>
          <w:bCs/>
          <w:iCs/>
        </w:rPr>
        <w:t>und</w:t>
      </w:r>
    </w:p>
    <w:p w14:paraId="6E33748D" w14:textId="0529B11B" w:rsidR="00490E9B" w:rsidRPr="00490E9B" w:rsidRDefault="00490E9B" w:rsidP="00490E9B">
      <w:pPr>
        <w:pStyle w:val="BodyCopy"/>
        <w:rPr>
          <w:rFonts w:eastAsiaTheme="majorEastAsia"/>
        </w:rPr>
      </w:pPr>
      <w:r w:rsidRPr="00490E9B">
        <w:rPr>
          <w:rFonts w:eastAsiaTheme="majorEastAsia"/>
        </w:rPr>
        <w:t>Haemangiomas are benign skin tumours comprised of proliferating vascular endothelial cells. Haemangiomas usually appear at, or shortly after</w:t>
      </w:r>
      <w:r w:rsidR="0005252A">
        <w:rPr>
          <w:rFonts w:eastAsiaTheme="majorEastAsia"/>
        </w:rPr>
        <w:t>,</w:t>
      </w:r>
      <w:r w:rsidRPr="00490E9B">
        <w:rPr>
          <w:rFonts w:eastAsiaTheme="majorEastAsia"/>
        </w:rPr>
        <w:t xml:space="preserve"> birth and grow rapidly. They usually cease growing by 6 to 9 months of age but may continue to grow until 18 months of age or more. Thereafter they slowly reduce in size and largely stop involuting by 5 years of age, sometimes leaving permanent residua such as telangiectasia, scarring or excess fibro-fatty tissue.</w:t>
      </w:r>
    </w:p>
    <w:p w14:paraId="3D99D8FF" w14:textId="1EA4A1B9" w:rsidR="00490E9B" w:rsidRPr="00490E9B" w:rsidRDefault="00490E9B" w:rsidP="00490E9B">
      <w:pPr>
        <w:pStyle w:val="BodyCopy"/>
        <w:rPr>
          <w:rFonts w:eastAsiaTheme="majorEastAsia"/>
        </w:rPr>
      </w:pPr>
      <w:r w:rsidRPr="00490E9B">
        <w:rPr>
          <w:rFonts w:eastAsiaTheme="majorEastAsia"/>
        </w:rPr>
        <w:t>For many haemangiomas, treatment is not required. However, haemangiomas in some locations require treatment to avoid complications such as ulceration, airway compromise or disruption of visual pathways. Haemangiomas with significant risk of deformity or psychosocial impact may also require treatment</w:t>
      </w:r>
      <w:r>
        <w:rPr>
          <w:rFonts w:eastAsiaTheme="majorEastAsia"/>
        </w:rPr>
        <w:t xml:space="preserve">, and earlier intervention lessens </w:t>
      </w:r>
      <w:r w:rsidRPr="00490E9B">
        <w:rPr>
          <w:rFonts w:eastAsiaTheme="majorEastAsia"/>
        </w:rPr>
        <w:t>long-term complications.</w:t>
      </w:r>
    </w:p>
    <w:p w14:paraId="11B56DD4" w14:textId="77777777" w:rsidR="00DA5524" w:rsidRDefault="00DA5524" w:rsidP="00DA5524">
      <w:pPr>
        <w:pStyle w:val="Heading5"/>
        <w:rPr>
          <w:rStyle w:val="Heading5Char"/>
          <w:b/>
          <w:bCs/>
          <w:iCs/>
        </w:rPr>
      </w:pPr>
      <w:r>
        <w:rPr>
          <w:rStyle w:val="Heading5Char"/>
          <w:b/>
          <w:bCs/>
          <w:iCs/>
        </w:rPr>
        <w:t>Key Objective</w:t>
      </w:r>
    </w:p>
    <w:p w14:paraId="78430965" w14:textId="51ED3170" w:rsidR="00DA5524" w:rsidRPr="00DA5524" w:rsidRDefault="00490E9B" w:rsidP="00DA5524">
      <w:pPr>
        <w:pStyle w:val="BodyCopy"/>
        <w:rPr>
          <w:rFonts w:eastAsiaTheme="majorEastAsia"/>
        </w:rPr>
      </w:pPr>
      <w:r>
        <w:t>To guide the safe medical management of infant haemangioma.</w:t>
      </w:r>
    </w:p>
    <w:p w14:paraId="03D4ECE8"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1A91407F" w14:textId="77777777" w:rsidR="0078367D" w:rsidRPr="00AC2EDE" w:rsidRDefault="0078367D" w:rsidP="00197F2E">
      <w:pPr>
        <w:pStyle w:val="Heading4"/>
      </w:pPr>
      <w:bookmarkStart w:id="3" w:name="_Toc213053773"/>
      <w:r w:rsidRPr="00AC2EDE">
        <w:rPr>
          <w:rStyle w:val="Hyperlink"/>
          <w:color w:val="FFFFFF" w:themeColor="background1"/>
          <w:u w:val="none"/>
        </w:rPr>
        <w:t>Scope</w:t>
      </w:r>
      <w:bookmarkEnd w:id="3"/>
    </w:p>
    <w:p w14:paraId="5CE70D96" w14:textId="6D47BD52" w:rsidR="00490E9B" w:rsidRPr="00490E9B" w:rsidRDefault="00490E9B" w:rsidP="00490E9B">
      <w:pPr>
        <w:pStyle w:val="BodyCopy"/>
      </w:pPr>
      <w:r w:rsidRPr="00490E9B">
        <w:t xml:space="preserve">This document applies to the following </w:t>
      </w:r>
      <w:r w:rsidR="001C5EA1">
        <w:t xml:space="preserve">Canberra Hospital </w:t>
      </w:r>
      <w:r w:rsidRPr="00490E9B">
        <w:t>staff working within their scope of practice:</w:t>
      </w:r>
    </w:p>
    <w:p w14:paraId="27011068" w14:textId="77777777" w:rsidR="00490E9B" w:rsidRPr="00490E9B" w:rsidRDefault="00490E9B" w:rsidP="00490E9B">
      <w:pPr>
        <w:pStyle w:val="Bullet"/>
      </w:pPr>
      <w:r w:rsidRPr="00490E9B">
        <w:t>Medical Officers</w:t>
      </w:r>
    </w:p>
    <w:p w14:paraId="6EDF223F" w14:textId="77777777" w:rsidR="00490E9B" w:rsidRPr="00490E9B" w:rsidRDefault="00490E9B" w:rsidP="00490E9B">
      <w:pPr>
        <w:pStyle w:val="Bullet"/>
      </w:pPr>
      <w:r w:rsidRPr="00490E9B">
        <w:t xml:space="preserve">Nursing staff </w:t>
      </w:r>
    </w:p>
    <w:p w14:paraId="2C8AB396" w14:textId="77777777" w:rsidR="001C5EA1" w:rsidRDefault="00490E9B" w:rsidP="512ECCA1">
      <w:pPr>
        <w:pStyle w:val="Bullet"/>
      </w:pPr>
      <w:r>
        <w:t>Pharmacists</w:t>
      </w:r>
    </w:p>
    <w:p w14:paraId="49AAE637" w14:textId="15F7645C" w:rsidR="4C6D5738" w:rsidRDefault="001C5EA1" w:rsidP="512ECCA1">
      <w:pPr>
        <w:pStyle w:val="Bullet"/>
      </w:pPr>
      <w:r>
        <w:t>Students under supervision</w:t>
      </w:r>
    </w:p>
    <w:p w14:paraId="08FAACA6" w14:textId="77777777" w:rsidR="002E1341" w:rsidRDefault="0005252A" w:rsidP="0005252A">
      <w:pPr>
        <w:pStyle w:val="BodyCopy"/>
      </w:pPr>
      <w:r>
        <w:t>This guideline applies to infants up to the age of 18 months.</w:t>
      </w:r>
    </w:p>
    <w:p w14:paraId="1B8FC5B4" w14:textId="26B85752" w:rsidR="00481A6C" w:rsidRPr="00490E9B" w:rsidRDefault="00481A6C" w:rsidP="0005252A">
      <w:pPr>
        <w:pStyle w:val="BodyCopy"/>
      </w:pPr>
      <w:hyperlink w:anchor="_top" w:history="1">
        <w:r w:rsidRPr="00490E9B">
          <w:rPr>
            <w:rStyle w:val="Hyperlink"/>
          </w:rPr>
          <w:t>Back to Contents</w:t>
        </w:r>
      </w:hyperlink>
    </w:p>
    <w:p w14:paraId="75A05072" w14:textId="66BA5EE6" w:rsidR="0078367D" w:rsidRDefault="0078367D" w:rsidP="00197F2E">
      <w:pPr>
        <w:pStyle w:val="Heading4"/>
      </w:pPr>
      <w:bookmarkStart w:id="4" w:name="_Toc213053774"/>
      <w:r>
        <w:t xml:space="preserve">Section 1 </w:t>
      </w:r>
      <w:r w:rsidR="00490E9B">
        <w:t>–</w:t>
      </w:r>
      <w:r>
        <w:t xml:space="preserve"> </w:t>
      </w:r>
      <w:r w:rsidR="00490E9B">
        <w:t>Indications for Treatment</w:t>
      </w:r>
      <w:bookmarkEnd w:id="4"/>
    </w:p>
    <w:p w14:paraId="42D5728F" w14:textId="77777777" w:rsidR="00490E9B" w:rsidRPr="00490E9B" w:rsidRDefault="00490E9B" w:rsidP="00490E9B">
      <w:pPr>
        <w:pStyle w:val="BodyCopy"/>
      </w:pPr>
      <w:r w:rsidRPr="00490E9B">
        <w:t xml:space="preserve">Haemangiomas are treated to prevent ulceration, cosmetic disfigurement and adverse effects on vital organs. </w:t>
      </w:r>
    </w:p>
    <w:p w14:paraId="28CCDF3F" w14:textId="259EF7E1" w:rsidR="00490E9B" w:rsidRPr="00490E9B" w:rsidRDefault="00490E9B" w:rsidP="00490E9B">
      <w:pPr>
        <w:pStyle w:val="BodyCopy"/>
      </w:pPr>
      <w:r>
        <w:t>C</w:t>
      </w:r>
      <w:r w:rsidRPr="00490E9B">
        <w:t>hildren who have haemangiomas with the following features should be considered for treatment:</w:t>
      </w:r>
    </w:p>
    <w:p w14:paraId="569D3A78" w14:textId="77777777" w:rsidR="00490E9B" w:rsidRPr="00490E9B" w:rsidRDefault="00490E9B" w:rsidP="00490E9B">
      <w:pPr>
        <w:pStyle w:val="Bullet"/>
      </w:pPr>
      <w:r w:rsidRPr="00490E9B">
        <w:lastRenderedPageBreak/>
        <w:t>Life or function</w:t>
      </w:r>
      <w:r w:rsidRPr="00490E9B">
        <w:rPr>
          <w:rFonts w:ascii="Cambria Math" w:hAnsi="Cambria Math" w:cs="Cambria Math"/>
        </w:rPr>
        <w:t>‐</w:t>
      </w:r>
      <w:r w:rsidRPr="00490E9B">
        <w:t>threatening infantile haemangiomas</w:t>
      </w:r>
    </w:p>
    <w:p w14:paraId="68D8EB7A" w14:textId="77777777" w:rsidR="00490E9B" w:rsidRPr="00490E9B" w:rsidRDefault="00490E9B" w:rsidP="00490E9B">
      <w:pPr>
        <w:pStyle w:val="Bullet"/>
      </w:pPr>
      <w:r w:rsidRPr="00490E9B">
        <w:t>Airway haemangioma</w:t>
      </w:r>
    </w:p>
    <w:p w14:paraId="64CE9803" w14:textId="77777777" w:rsidR="00490E9B" w:rsidRPr="00490E9B" w:rsidRDefault="00490E9B" w:rsidP="00490E9B">
      <w:pPr>
        <w:pStyle w:val="Bullet"/>
      </w:pPr>
      <w:r w:rsidRPr="00490E9B">
        <w:t>Periorbital or retrobulbar haemangioma at risk of causing visual impairment (risk of amblyopia from visual obstruction or pressure</w:t>
      </w:r>
      <w:r w:rsidRPr="00490E9B">
        <w:rPr>
          <w:rFonts w:ascii="Cambria Math" w:hAnsi="Cambria Math" w:cs="Cambria Math"/>
        </w:rPr>
        <w:t>‐</w:t>
      </w:r>
      <w:r w:rsidRPr="00490E9B">
        <w:t>induced astigmatism)</w:t>
      </w:r>
    </w:p>
    <w:p w14:paraId="64AA8C1F" w14:textId="77777777" w:rsidR="00490E9B" w:rsidRPr="00490E9B" w:rsidRDefault="00490E9B" w:rsidP="00490E9B">
      <w:pPr>
        <w:pStyle w:val="Bullet"/>
      </w:pPr>
      <w:r w:rsidRPr="00490E9B">
        <w:t>Spinal cord involvement</w:t>
      </w:r>
    </w:p>
    <w:p w14:paraId="7DCE63B7" w14:textId="77777777" w:rsidR="00490E9B" w:rsidRPr="00490E9B" w:rsidRDefault="00490E9B" w:rsidP="00490E9B">
      <w:pPr>
        <w:pStyle w:val="Bullet"/>
      </w:pPr>
      <w:r w:rsidRPr="00490E9B">
        <w:t>High flow haemangioma with cardiac compromise – e.g. large hepatic lesions</w:t>
      </w:r>
    </w:p>
    <w:p w14:paraId="71D4573E" w14:textId="77777777" w:rsidR="00490E9B" w:rsidRPr="00490E9B" w:rsidRDefault="00490E9B" w:rsidP="00490E9B">
      <w:pPr>
        <w:pStyle w:val="Bullet"/>
      </w:pPr>
      <w:r w:rsidRPr="00490E9B">
        <w:t>Haemangiomas causing hypothyroidism</w:t>
      </w:r>
    </w:p>
    <w:p w14:paraId="7A23D7C9" w14:textId="77777777" w:rsidR="00490E9B" w:rsidRPr="00490E9B" w:rsidRDefault="00490E9B" w:rsidP="00490E9B">
      <w:pPr>
        <w:pStyle w:val="Bullet"/>
      </w:pPr>
      <w:r w:rsidRPr="00490E9B">
        <w:t>Large haemangiomas interfering with physical development</w:t>
      </w:r>
    </w:p>
    <w:p w14:paraId="4C1A3A5F" w14:textId="77777777" w:rsidR="00490E9B" w:rsidRPr="00490E9B" w:rsidRDefault="00490E9B" w:rsidP="00490E9B">
      <w:pPr>
        <w:pStyle w:val="Bullet"/>
      </w:pPr>
      <w:r w:rsidRPr="00490E9B">
        <w:t>Systemic haemangiomatosis</w:t>
      </w:r>
    </w:p>
    <w:p w14:paraId="253E2E32" w14:textId="77777777" w:rsidR="00490E9B" w:rsidRPr="00490E9B" w:rsidRDefault="00490E9B" w:rsidP="00490E9B">
      <w:pPr>
        <w:pStyle w:val="Bullet"/>
      </w:pPr>
      <w:r w:rsidRPr="00490E9B">
        <w:t>Ulcerated haemangiomas with significant pain</w:t>
      </w:r>
    </w:p>
    <w:p w14:paraId="5D7F0C47" w14:textId="23742AAE" w:rsidR="00490E9B" w:rsidRPr="00490E9B" w:rsidRDefault="00490E9B" w:rsidP="00490E9B">
      <w:pPr>
        <w:pStyle w:val="Bullet"/>
      </w:pPr>
      <w:r w:rsidRPr="00490E9B">
        <w:t>Haemangiomas at significant risk of ulceration</w:t>
      </w:r>
      <w:r w:rsidR="0005252A">
        <w:t>:</w:t>
      </w:r>
    </w:p>
    <w:p w14:paraId="6E06F102" w14:textId="77777777" w:rsidR="00490E9B" w:rsidRPr="00490E9B" w:rsidRDefault="00490E9B" w:rsidP="00490E9B">
      <w:pPr>
        <w:pStyle w:val="Bullet"/>
        <w:numPr>
          <w:ilvl w:val="1"/>
          <w:numId w:val="1"/>
        </w:numPr>
      </w:pPr>
      <w:r w:rsidRPr="00490E9B">
        <w:t>Lip</w:t>
      </w:r>
    </w:p>
    <w:p w14:paraId="1B58C52D" w14:textId="77777777" w:rsidR="00490E9B" w:rsidRPr="00490E9B" w:rsidRDefault="00490E9B" w:rsidP="00490E9B">
      <w:pPr>
        <w:pStyle w:val="Bullet"/>
        <w:numPr>
          <w:ilvl w:val="1"/>
          <w:numId w:val="1"/>
        </w:numPr>
      </w:pPr>
      <w:r w:rsidRPr="00490E9B">
        <w:t>Nappy area</w:t>
      </w:r>
    </w:p>
    <w:p w14:paraId="3791151B" w14:textId="77777777" w:rsidR="00490E9B" w:rsidRPr="00490E9B" w:rsidRDefault="00490E9B" w:rsidP="00490E9B">
      <w:pPr>
        <w:pStyle w:val="Bullet"/>
        <w:numPr>
          <w:ilvl w:val="1"/>
          <w:numId w:val="1"/>
        </w:numPr>
      </w:pPr>
      <w:r w:rsidRPr="00490E9B">
        <w:t>Flexural areas</w:t>
      </w:r>
    </w:p>
    <w:p w14:paraId="4E5E6A02" w14:textId="0EA33ADE" w:rsidR="00AC2EDE" w:rsidRDefault="00490E9B" w:rsidP="00C51DBF">
      <w:pPr>
        <w:pStyle w:val="Bullet"/>
      </w:pPr>
      <w:r w:rsidRPr="00490E9B">
        <w:t xml:space="preserve">Haemangiomas with significant risk of deformity and/or psychosocial impact e.g. affecting the lips, nose, cheeks or ears or large haemangiomas at other sites. </w:t>
      </w:r>
    </w:p>
    <w:p w14:paraId="1715BE13"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38298F3B" w14:textId="4BED81C5" w:rsidR="0078367D" w:rsidRDefault="0078367D" w:rsidP="00A6051F">
      <w:pPr>
        <w:pStyle w:val="Heading4"/>
      </w:pPr>
      <w:bookmarkStart w:id="5" w:name="_Toc213053775"/>
      <w:r>
        <w:t xml:space="preserve">Section 2 </w:t>
      </w:r>
      <w:r w:rsidR="004A42AC">
        <w:t xml:space="preserve">– </w:t>
      </w:r>
      <w:r w:rsidR="00490E9B">
        <w:t>Medications</w:t>
      </w:r>
      <w:bookmarkEnd w:id="5"/>
    </w:p>
    <w:p w14:paraId="78534633" w14:textId="2857B532" w:rsidR="006E79D7" w:rsidRDefault="00481A6C" w:rsidP="00481A6C">
      <w:pPr>
        <w:pStyle w:val="BodyCopy"/>
        <w:rPr>
          <w:rFonts w:eastAsia="Calibri"/>
          <w:bCs w:val="0"/>
          <w:iCs w:val="0"/>
        </w:rPr>
      </w:pPr>
      <w:r w:rsidRPr="00481A6C">
        <w:t>T</w:t>
      </w:r>
      <w:r w:rsidR="006E79D7">
        <w:t xml:space="preserve">here are several beta-adrenergic antagonist agents that may be used to treat infantile haemangioma. In general, atenolol is the preferred option, however topical timolol may be used if a systemic beta-blocker is contraindicated. Comprehensive, updated information including dosage, monitoring requirements, precautions and an evidence summary for each agent </w:t>
      </w:r>
      <w:r w:rsidR="00A65B37">
        <w:t xml:space="preserve">(atenolol, timolol and propranolol) </w:t>
      </w:r>
      <w:r w:rsidR="006E79D7">
        <w:t>is available from the Australasian Neonatal Medicines Formulary (ANMF) via the following link:</w:t>
      </w:r>
      <w:r w:rsidR="0005252A">
        <w:t xml:space="preserve"> </w:t>
      </w:r>
      <w:hyperlink r:id="rId10" w:history="1">
        <w:r w:rsidR="0005252A" w:rsidRPr="0005252A">
          <w:rPr>
            <w:rStyle w:val="Hyperlink"/>
          </w:rPr>
          <w:t>Clinical Resources - ANMF - Australasian Neonatal Medicines Formulary</w:t>
        </w:r>
      </w:hyperlink>
      <w:r w:rsidR="0005252A">
        <w:rPr>
          <w:rFonts w:eastAsia="Calibri"/>
          <w:bCs w:val="0"/>
          <w:iCs w:val="0"/>
        </w:rPr>
        <w:t>.</w:t>
      </w:r>
    </w:p>
    <w:p w14:paraId="24C219B7" w14:textId="185BB7DC" w:rsidR="00A65B37" w:rsidRDefault="00A65B37" w:rsidP="0005252A">
      <w:pPr>
        <w:pStyle w:val="BodyCopy"/>
        <w:pBdr>
          <w:top w:val="single" w:sz="4" w:space="1" w:color="auto"/>
          <w:left w:val="single" w:sz="4" w:space="4" w:color="auto"/>
          <w:bottom w:val="single" w:sz="4" w:space="1" w:color="auto"/>
          <w:right w:val="single" w:sz="4" w:space="4" w:color="auto"/>
        </w:pBdr>
      </w:pPr>
      <w:r w:rsidRPr="00C846FF">
        <w:rPr>
          <w:b/>
        </w:rPr>
        <w:t>Note:</w:t>
      </w:r>
      <w:r>
        <w:rPr>
          <w:rFonts w:eastAsia="Calibri"/>
          <w:bCs w:val="0"/>
          <w:iCs w:val="0"/>
        </w:rPr>
        <w:t xml:space="preserve"> Propranolol 2mg/mL formulation </w:t>
      </w:r>
      <w:r w:rsidR="0005252A">
        <w:rPr>
          <w:rFonts w:eastAsia="Calibri"/>
          <w:bCs w:val="0"/>
          <w:iCs w:val="0"/>
        </w:rPr>
        <w:t xml:space="preserve">requires </w:t>
      </w:r>
      <w:r>
        <w:rPr>
          <w:rFonts w:eastAsia="Calibri"/>
          <w:bCs w:val="0"/>
          <w:iCs w:val="0"/>
        </w:rPr>
        <w:t>a Special Access Scheme (SAS) process.</w:t>
      </w:r>
    </w:p>
    <w:p w14:paraId="796D07DA" w14:textId="10E1AD09" w:rsidR="00AE1093" w:rsidRPr="00AE1093" w:rsidRDefault="00AE1093" w:rsidP="00AE1093">
      <w:pPr>
        <w:pStyle w:val="Heading5"/>
        <w:rPr>
          <w:rFonts w:eastAsia="Times New Roman"/>
        </w:rPr>
      </w:pPr>
      <w:r w:rsidRPr="00AE1093">
        <w:rPr>
          <w:rFonts w:eastAsia="Times New Roman"/>
        </w:rPr>
        <w:t xml:space="preserve">Patients for in-hospital commencement of </w:t>
      </w:r>
      <w:r>
        <w:rPr>
          <w:rFonts w:eastAsia="Times New Roman"/>
        </w:rPr>
        <w:t>medication</w:t>
      </w:r>
    </w:p>
    <w:p w14:paraId="66D33B31" w14:textId="6C9414F0" w:rsidR="00AE1093" w:rsidRPr="00AE1093" w:rsidRDefault="00AE1093" w:rsidP="00AE1093">
      <w:pPr>
        <w:pStyle w:val="Bullet"/>
        <w:numPr>
          <w:ilvl w:val="0"/>
          <w:numId w:val="0"/>
        </w:numPr>
        <w:ind w:left="360" w:hanging="360"/>
      </w:pPr>
      <w:r w:rsidRPr="00AE1093">
        <w:t xml:space="preserve">Consider inpatient commencement of </w:t>
      </w:r>
      <w:r>
        <w:t xml:space="preserve">systemic medical therapy </w:t>
      </w:r>
      <w:r w:rsidRPr="00AE1093">
        <w:t>for the following patients:</w:t>
      </w:r>
    </w:p>
    <w:p w14:paraId="5092B086" w14:textId="77777777" w:rsidR="00AE1093" w:rsidRPr="00AE1093" w:rsidRDefault="00AE1093" w:rsidP="00AE1093">
      <w:pPr>
        <w:pStyle w:val="Bullet"/>
      </w:pPr>
      <w:r w:rsidRPr="00AE1093">
        <w:t>Very young infants (0-4 weeks of age corrected)</w:t>
      </w:r>
    </w:p>
    <w:p w14:paraId="268AE9D6" w14:textId="77777777" w:rsidR="00AE1093" w:rsidRPr="00AE1093" w:rsidRDefault="00AE1093" w:rsidP="00AE1093">
      <w:pPr>
        <w:pStyle w:val="Bullet"/>
      </w:pPr>
      <w:r w:rsidRPr="00AE1093">
        <w:t>Small for gestational age infants</w:t>
      </w:r>
    </w:p>
    <w:p w14:paraId="3A397276" w14:textId="77777777" w:rsidR="00AE1093" w:rsidRPr="00AE1093" w:rsidRDefault="00AE1093" w:rsidP="00AE1093">
      <w:pPr>
        <w:pStyle w:val="Bullet"/>
      </w:pPr>
      <w:r w:rsidRPr="00AE1093">
        <w:t xml:space="preserve">Weight less than 2.5kg </w:t>
      </w:r>
    </w:p>
    <w:p w14:paraId="48E8E9CA" w14:textId="77777777" w:rsidR="00AE1093" w:rsidRDefault="00AE1093" w:rsidP="00AE1093">
      <w:pPr>
        <w:pStyle w:val="Bullet"/>
      </w:pPr>
      <w:r w:rsidRPr="00AE1093">
        <w:t>Those thought to be at particular risk for hypoglycaemia.</w:t>
      </w:r>
    </w:p>
    <w:p w14:paraId="1F9E2A55" w14:textId="77777777" w:rsidR="002E1341" w:rsidRDefault="002E1341" w:rsidP="002E1341">
      <w:pPr>
        <w:pStyle w:val="Bullet"/>
        <w:numPr>
          <w:ilvl w:val="0"/>
          <w:numId w:val="0"/>
        </w:numPr>
      </w:pPr>
    </w:p>
    <w:p w14:paraId="4FA2E041" w14:textId="796F9A96" w:rsidR="002E1341" w:rsidRDefault="002E1341" w:rsidP="002E1341">
      <w:pPr>
        <w:pStyle w:val="Heading5"/>
      </w:pPr>
      <w:r>
        <w:lastRenderedPageBreak/>
        <w:t>Patients not requiring in hospital treatment</w:t>
      </w:r>
    </w:p>
    <w:p w14:paraId="7D2C3BB9" w14:textId="6E7EE406" w:rsidR="002E1341" w:rsidRPr="002E1341" w:rsidRDefault="002E1341" w:rsidP="00742A96">
      <w:pPr>
        <w:pStyle w:val="BodyCopy"/>
      </w:pPr>
      <w:r>
        <w:t xml:space="preserve">Patients that do not require in hospital treatment will be treated as an outpatient.  Any appointments or medication will be arranged by the treating </w:t>
      </w:r>
      <w:r w:rsidR="00742A96">
        <w:t>team</w:t>
      </w:r>
      <w:r>
        <w:t xml:space="preserve">. </w:t>
      </w:r>
    </w:p>
    <w:p w14:paraId="235BB8A1" w14:textId="2BFF2508" w:rsidR="00C145A5" w:rsidRDefault="00481A6C" w:rsidP="0091462B">
      <w:pPr>
        <w:pStyle w:val="BodyCopy"/>
      </w:pPr>
      <w:hyperlink w:anchor="_top" w:history="1">
        <w:r w:rsidRPr="00481A6C">
          <w:rPr>
            <w:rStyle w:val="Hyperlink"/>
            <w:iCs w:val="0"/>
          </w:rPr>
          <w:t>Back to Contents</w:t>
        </w:r>
      </w:hyperlink>
    </w:p>
    <w:p w14:paraId="42C9E09F" w14:textId="77777777" w:rsidR="002E1341" w:rsidRDefault="002E1341" w:rsidP="0091462B">
      <w:pPr>
        <w:pStyle w:val="BodyCopy"/>
      </w:pPr>
    </w:p>
    <w:p w14:paraId="0627C60D" w14:textId="77777777" w:rsidR="002E1341" w:rsidRDefault="002E1341" w:rsidP="0091462B">
      <w:pPr>
        <w:pStyle w:val="BodyCopy"/>
      </w:pPr>
    </w:p>
    <w:p w14:paraId="4AC72B33" w14:textId="77777777" w:rsidR="002E1341" w:rsidRDefault="002E1341" w:rsidP="0091462B">
      <w:pPr>
        <w:pStyle w:val="BodyCopy"/>
      </w:pPr>
    </w:p>
    <w:p w14:paraId="10C6B6FB" w14:textId="2E93679E" w:rsidR="0078367D" w:rsidRDefault="0078367D" w:rsidP="00A6051F">
      <w:pPr>
        <w:pStyle w:val="Heading4"/>
      </w:pPr>
      <w:bookmarkStart w:id="6" w:name="_Toc213053776"/>
      <w:r>
        <w:t xml:space="preserve">Section </w:t>
      </w:r>
      <w:r w:rsidR="00AE1093">
        <w:t>3</w:t>
      </w:r>
      <w:r>
        <w:t xml:space="preserve"> </w:t>
      </w:r>
      <w:r w:rsidR="00AE1093">
        <w:t>–</w:t>
      </w:r>
      <w:r>
        <w:t xml:space="preserve"> </w:t>
      </w:r>
      <w:r w:rsidR="00AE1093">
        <w:t>Systemic Medication</w:t>
      </w:r>
      <w:r w:rsidR="007F0B78">
        <w:t xml:space="preserve"> </w:t>
      </w:r>
      <w:r w:rsidR="4766032A">
        <w:t>Treatment</w:t>
      </w:r>
      <w:r w:rsidR="675B3881">
        <w:t xml:space="preserve"> </w:t>
      </w:r>
      <w:r w:rsidR="00AE1093">
        <w:t>Initiation in Hospital</w:t>
      </w:r>
      <w:bookmarkEnd w:id="6"/>
    </w:p>
    <w:p w14:paraId="60D30D8C" w14:textId="77777777" w:rsidR="00AE1093" w:rsidRPr="00AE1093" w:rsidRDefault="00AE1093" w:rsidP="00AE1093">
      <w:pPr>
        <w:pStyle w:val="Heading5"/>
        <w:rPr>
          <w:rFonts w:eastAsia="Times New Roman"/>
        </w:rPr>
      </w:pPr>
      <w:r w:rsidRPr="00AE1093">
        <w:rPr>
          <w:rFonts w:eastAsia="Times New Roman"/>
        </w:rPr>
        <w:t>Management in Paediatric Day Stay Unit (PDSU):</w:t>
      </w:r>
    </w:p>
    <w:p w14:paraId="0A56A2BB" w14:textId="7B69B992" w:rsidR="00AE1093" w:rsidRDefault="00AE1093" w:rsidP="00AE1093">
      <w:pPr>
        <w:pStyle w:val="Bullet"/>
      </w:pPr>
      <w:r w:rsidRPr="00AE1093">
        <w:t xml:space="preserve">Attend baseline observations: </w:t>
      </w:r>
      <w:bookmarkStart w:id="7" w:name="_Hlk88210577"/>
      <w:r w:rsidR="0005252A">
        <w:t>h</w:t>
      </w:r>
      <w:r w:rsidRPr="00AE1093">
        <w:t xml:space="preserve">eart </w:t>
      </w:r>
      <w:r w:rsidR="0005252A">
        <w:t>r</w:t>
      </w:r>
      <w:r w:rsidRPr="00AE1093">
        <w:t xml:space="preserve">ate, </w:t>
      </w:r>
      <w:r w:rsidR="0005252A">
        <w:t>r</w:t>
      </w:r>
      <w:r w:rsidRPr="00AE1093">
        <w:t xml:space="preserve">espiratory </w:t>
      </w:r>
      <w:r w:rsidR="0005252A">
        <w:t>r</w:t>
      </w:r>
      <w:r w:rsidRPr="00AE1093">
        <w:t xml:space="preserve">ate, oxygen saturation, </w:t>
      </w:r>
      <w:r w:rsidR="0005252A">
        <w:t>b</w:t>
      </w:r>
      <w:r w:rsidRPr="00AE1093">
        <w:t xml:space="preserve">lood </w:t>
      </w:r>
      <w:r w:rsidR="0005252A">
        <w:t>p</w:t>
      </w:r>
      <w:r w:rsidRPr="00AE1093">
        <w:t>ressure, temperature, weight, length, head circumference</w:t>
      </w:r>
      <w:r>
        <w:t>.</w:t>
      </w:r>
    </w:p>
    <w:bookmarkEnd w:id="7"/>
    <w:p w14:paraId="27BF7911" w14:textId="01B458F8" w:rsidR="00AE1093" w:rsidRPr="00AE1093" w:rsidRDefault="00AE1093" w:rsidP="00AE1093">
      <w:pPr>
        <w:pStyle w:val="Bullet"/>
      </w:pPr>
      <w:r w:rsidRPr="00AE1093">
        <w:t>Monitoring during admission:</w:t>
      </w:r>
    </w:p>
    <w:p w14:paraId="77944DC0" w14:textId="44127B20" w:rsidR="00AE1093" w:rsidRPr="00AE1093" w:rsidRDefault="00AE1093" w:rsidP="00AE1093">
      <w:pPr>
        <w:pStyle w:val="Bullet"/>
        <w:numPr>
          <w:ilvl w:val="1"/>
          <w:numId w:val="1"/>
        </w:numPr>
      </w:pPr>
      <w:r w:rsidRPr="00AE1093">
        <w:t xml:space="preserve">Hourly heart rate </w:t>
      </w:r>
      <w:r>
        <w:t xml:space="preserve">and blood pressure </w:t>
      </w:r>
      <w:r w:rsidRPr="00AE1093">
        <w:t>for 3 hours</w:t>
      </w:r>
      <w:r w:rsidR="00E226D2">
        <w:t xml:space="preserve"> post dose.</w:t>
      </w:r>
    </w:p>
    <w:p w14:paraId="0F77B105" w14:textId="7B34AF4D" w:rsidR="00AE1093" w:rsidRPr="00AE1093" w:rsidRDefault="00AE1093" w:rsidP="00AE1093">
      <w:pPr>
        <w:pStyle w:val="Bullet"/>
        <w:numPr>
          <w:ilvl w:val="1"/>
          <w:numId w:val="1"/>
        </w:numPr>
      </w:pPr>
      <w:r w:rsidRPr="00AE1093">
        <w:t>Blood Glucose Level (BGL) to be checked at 3 hours post dose by heel prick</w:t>
      </w:r>
      <w:r w:rsidR="00CA7319">
        <w:t>.</w:t>
      </w:r>
    </w:p>
    <w:p w14:paraId="5438070B" w14:textId="3C5FFC57" w:rsidR="00AE1093" w:rsidRDefault="00AE1093" w:rsidP="00AE1093">
      <w:pPr>
        <w:pStyle w:val="Bullet"/>
        <w:numPr>
          <w:ilvl w:val="1"/>
          <w:numId w:val="1"/>
        </w:numPr>
      </w:pPr>
      <w:r w:rsidRPr="00AE1093">
        <w:t xml:space="preserve">If observations and BGL are stable </w:t>
      </w:r>
      <w:r w:rsidR="0005252A" w:rsidRPr="00AE1093">
        <w:t>(</w:t>
      </w:r>
      <w:r w:rsidR="0005252A">
        <w:t xml:space="preserve">greater than </w:t>
      </w:r>
      <w:r w:rsidRPr="00AE1093">
        <w:t>3.5 mmol/L), and the infant has fed, then discharge home. </w:t>
      </w:r>
    </w:p>
    <w:p w14:paraId="4EC0CAE7" w14:textId="28C130CE" w:rsidR="00AE1093" w:rsidRDefault="00AE1093" w:rsidP="00AE1093">
      <w:pPr>
        <w:pStyle w:val="Bullet"/>
        <w:numPr>
          <w:ilvl w:val="1"/>
          <w:numId w:val="1"/>
        </w:numPr>
      </w:pPr>
      <w:r w:rsidRPr="00AE1093">
        <w:t>If the BGL is 2.0-3.5</w:t>
      </w:r>
      <w:r w:rsidR="0005252A">
        <w:t xml:space="preserve"> </w:t>
      </w:r>
      <w:r w:rsidR="0005252A" w:rsidRPr="00AE1093">
        <w:t>mmol/L</w:t>
      </w:r>
      <w:r w:rsidRPr="00AE1093">
        <w:t xml:space="preserve">, feed the infant and repeat the BGL after. </w:t>
      </w:r>
    </w:p>
    <w:p w14:paraId="7DCEC070" w14:textId="75AD434F" w:rsidR="00AE1093" w:rsidRPr="00AE1093" w:rsidRDefault="00AE1093" w:rsidP="512ECCA1">
      <w:pPr>
        <w:pStyle w:val="Bullet"/>
      </w:pPr>
      <w:r>
        <w:t xml:space="preserve">If the BGL is </w:t>
      </w:r>
      <w:r w:rsidR="0005252A">
        <w:t xml:space="preserve">less than </w:t>
      </w:r>
      <w:r>
        <w:t>2</w:t>
      </w:r>
      <w:r w:rsidR="0005252A">
        <w:t>.0</w:t>
      </w:r>
      <w:r>
        <w:t>, call a Medical Emergency</w:t>
      </w:r>
      <w:r w:rsidR="0085107C">
        <w:t xml:space="preserve"> Team</w:t>
      </w:r>
      <w:r>
        <w:t xml:space="preserve"> (MET)</w:t>
      </w:r>
      <w:r w:rsidR="00345F2F">
        <w:t xml:space="preserve"> response</w:t>
      </w:r>
      <w:r>
        <w:t xml:space="preserve"> </w:t>
      </w:r>
      <w:r w:rsidR="0085107C">
        <w:t xml:space="preserve">(phone 2222) </w:t>
      </w:r>
      <w:r>
        <w:t xml:space="preserve">and consider </w:t>
      </w:r>
      <w:r w:rsidR="0085107C">
        <w:t>intravenous (</w:t>
      </w:r>
      <w:r>
        <w:t>IV</w:t>
      </w:r>
      <w:r w:rsidR="0085107C">
        <w:t>)</w:t>
      </w:r>
      <w:r>
        <w:t xml:space="preserve"> glucose or nasogastric (NG) feed if IV access is not quickly established. </w:t>
      </w:r>
    </w:p>
    <w:p w14:paraId="1525564F" w14:textId="16C44051" w:rsidR="00E226D2" w:rsidRDefault="00E226D2" w:rsidP="00E226D2">
      <w:pPr>
        <w:pStyle w:val="Bullet"/>
      </w:pPr>
      <w:r>
        <w:t xml:space="preserve">Parents should be provided </w:t>
      </w:r>
      <w:r w:rsidR="0085107C">
        <w:t xml:space="preserve">with </w:t>
      </w:r>
      <w:hyperlink r:id="rId11" w:history="1">
        <w:r w:rsidR="0085107C" w:rsidRPr="0085107C">
          <w:rPr>
            <w:rStyle w:val="Hyperlink"/>
            <w:rFonts w:eastAsia="Calibri"/>
          </w:rPr>
          <w:t>Kids Health Info : Treatment for haemangiomas with beta blockers</w:t>
        </w:r>
      </w:hyperlink>
      <w:r w:rsidR="0085107C" w:rsidRPr="0085107C">
        <w:rPr>
          <w:rFonts w:eastAsia="Calibri"/>
        </w:rPr>
        <w:t xml:space="preserve"> </w:t>
      </w:r>
      <w:r w:rsidR="0085107C">
        <w:rPr>
          <w:rFonts w:eastAsia="Calibri"/>
        </w:rPr>
        <w:t xml:space="preserve">available from the Royal Children’s Hospital Melbourne website, </w:t>
      </w:r>
      <w:r>
        <w:rPr>
          <w:rFonts w:eastAsia="Calibri"/>
        </w:rPr>
        <w:t>and the information discussed with them.</w:t>
      </w:r>
    </w:p>
    <w:p w14:paraId="59DB358B" w14:textId="74C06D13" w:rsidR="00AE1093" w:rsidRPr="00AE1093" w:rsidRDefault="00AE1093" w:rsidP="00E226D2">
      <w:pPr>
        <w:pStyle w:val="Bullet"/>
      </w:pPr>
      <w:r w:rsidRPr="00AE1093">
        <w:t xml:space="preserve">The patient </w:t>
      </w:r>
      <w:r w:rsidR="00E226D2">
        <w:t>may be re</w:t>
      </w:r>
      <w:r w:rsidRPr="00AE1093">
        <w:t xml:space="preserve">-admitted </w:t>
      </w:r>
      <w:r w:rsidR="00E226D2">
        <w:t>for dose increases, following the processes outlined above</w:t>
      </w:r>
      <w:r w:rsidRPr="00AE1093">
        <w:t xml:space="preserve">.  </w:t>
      </w:r>
    </w:p>
    <w:p w14:paraId="6807FE24" w14:textId="77777777" w:rsidR="00AE1093" w:rsidRPr="00AE1093" w:rsidRDefault="00AE1093" w:rsidP="0085107C">
      <w:pPr>
        <w:pStyle w:val="BodyCopy"/>
        <w:pBdr>
          <w:top w:val="single" w:sz="4" w:space="1" w:color="auto"/>
          <w:left w:val="single" w:sz="4" w:space="4" w:color="auto"/>
          <w:bottom w:val="single" w:sz="4" w:space="1" w:color="auto"/>
          <w:right w:val="single" w:sz="4" w:space="4" w:color="auto"/>
        </w:pBdr>
      </w:pPr>
      <w:r w:rsidRPr="00AE1093">
        <w:rPr>
          <w:b/>
        </w:rPr>
        <w:t>Note</w:t>
      </w:r>
      <w:r w:rsidRPr="00AE1093">
        <w:t xml:space="preserve">: </w:t>
      </w:r>
    </w:p>
    <w:p w14:paraId="15AD9016" w14:textId="330CED3C" w:rsidR="00AE1093" w:rsidRPr="00AE1093" w:rsidRDefault="00A65B37" w:rsidP="0085107C">
      <w:pPr>
        <w:pStyle w:val="Bullet"/>
        <w:pBdr>
          <w:top w:val="single" w:sz="4" w:space="1" w:color="auto"/>
          <w:left w:val="single" w:sz="4" w:space="4" w:color="auto"/>
          <w:bottom w:val="single" w:sz="4" w:space="1" w:color="auto"/>
          <w:right w:val="single" w:sz="4" w:space="4" w:color="auto"/>
        </w:pBdr>
      </w:pPr>
      <w:r>
        <w:t xml:space="preserve">Withhold the patient’s </w:t>
      </w:r>
      <w:r w:rsidR="00E226D2">
        <w:t>usual</w:t>
      </w:r>
      <w:r w:rsidR="00AE1093" w:rsidRPr="00AE1093">
        <w:t xml:space="preserve"> morning dose of </w:t>
      </w:r>
      <w:r w:rsidR="00E226D2">
        <w:t>medication</w:t>
      </w:r>
      <w:r w:rsidR="00AE1093" w:rsidRPr="00AE1093">
        <w:t xml:space="preserve"> at home on the day of admission. </w:t>
      </w:r>
    </w:p>
    <w:p w14:paraId="4F841A67" w14:textId="3F7A0BBE" w:rsidR="00AE1093" w:rsidRPr="00AE1093" w:rsidRDefault="00E226D2" w:rsidP="512ECCA1">
      <w:pPr>
        <w:pStyle w:val="Bullet"/>
        <w:pBdr>
          <w:top w:val="single" w:sz="4" w:space="1" w:color="auto"/>
          <w:left w:val="single" w:sz="4" w:space="4" w:color="auto"/>
          <w:bottom w:val="single" w:sz="4" w:space="1" w:color="auto"/>
          <w:right w:val="single" w:sz="4" w:space="4" w:color="auto"/>
        </w:pBdr>
      </w:pPr>
      <w:r>
        <w:t xml:space="preserve">If the </w:t>
      </w:r>
      <w:r w:rsidR="001C5EA1">
        <w:t>medication</w:t>
      </w:r>
      <w:r w:rsidR="0F5C5220">
        <w:t xml:space="preserve"> </w:t>
      </w:r>
      <w:r>
        <w:t>dose has been changed</w:t>
      </w:r>
      <w:r w:rsidR="00CA7319">
        <w:t xml:space="preserve"> during the admission</w:t>
      </w:r>
      <w:r>
        <w:t>, t</w:t>
      </w:r>
      <w:r w:rsidR="00AE1093">
        <w:t>he</w:t>
      </w:r>
      <w:r>
        <w:t xml:space="preserve"> new dose</w:t>
      </w:r>
      <w:r w:rsidR="64B95892">
        <w:t xml:space="preserve"> regime</w:t>
      </w:r>
      <w:r>
        <w:t xml:space="preserve"> must be discussed with the </w:t>
      </w:r>
      <w:r w:rsidR="00AE1093">
        <w:t>parents</w:t>
      </w:r>
      <w:r>
        <w:t>,</w:t>
      </w:r>
      <w:r w:rsidR="00AE1093">
        <w:t xml:space="preserve"> </w:t>
      </w:r>
      <w:r>
        <w:t xml:space="preserve">and the bottle </w:t>
      </w:r>
      <w:r w:rsidR="00CA7319">
        <w:t xml:space="preserve">of medication </w:t>
      </w:r>
      <w:r>
        <w:t xml:space="preserve">relabelled by pharmacy </w:t>
      </w:r>
      <w:r w:rsidR="00AE1093">
        <w:t xml:space="preserve">before discharge home. </w:t>
      </w:r>
    </w:p>
    <w:p w14:paraId="217EBABD" w14:textId="77777777" w:rsidR="00481A6C" w:rsidRDefault="00481A6C" w:rsidP="0091462B">
      <w:pPr>
        <w:pStyle w:val="BodyCopy"/>
      </w:pPr>
      <w:hyperlink w:anchor="_top" w:history="1">
        <w:r w:rsidRPr="00481A6C">
          <w:rPr>
            <w:rStyle w:val="Hyperlink"/>
            <w:iCs w:val="0"/>
          </w:rPr>
          <w:t>Back to Contents</w:t>
        </w:r>
      </w:hyperlink>
    </w:p>
    <w:p w14:paraId="749ABDA1" w14:textId="2A44D636" w:rsidR="00E226D2" w:rsidRPr="00AE1093" w:rsidRDefault="00E226D2" w:rsidP="00E226D2">
      <w:pPr>
        <w:pStyle w:val="Heading4"/>
      </w:pPr>
      <w:bookmarkStart w:id="8" w:name="_Toc213053777"/>
      <w:r w:rsidRPr="0078367D">
        <w:t xml:space="preserve">Section </w:t>
      </w:r>
      <w:r>
        <w:t>4</w:t>
      </w:r>
      <w:r w:rsidRPr="0078367D">
        <w:t xml:space="preserve"> </w:t>
      </w:r>
      <w:r>
        <w:t>–</w:t>
      </w:r>
      <w:r w:rsidR="00CE3D55">
        <w:t xml:space="preserve"> </w:t>
      </w:r>
      <w:r>
        <w:t>Medical Follow Up</w:t>
      </w:r>
      <w:bookmarkEnd w:id="8"/>
    </w:p>
    <w:p w14:paraId="6740225F" w14:textId="630DD98A" w:rsidR="00E226D2" w:rsidRPr="00AA7A24" w:rsidRDefault="00E226D2" w:rsidP="512ECCA1">
      <w:pPr>
        <w:pStyle w:val="BodyCopy"/>
        <w:rPr>
          <w:rFonts w:asciiTheme="minorHAnsi" w:eastAsiaTheme="majorEastAsia" w:hAnsiTheme="minorHAnsi"/>
        </w:rPr>
      </w:pPr>
      <w:r w:rsidRPr="512ECCA1">
        <w:rPr>
          <w:rFonts w:eastAsiaTheme="majorEastAsia"/>
        </w:rPr>
        <w:lastRenderedPageBreak/>
        <w:t xml:space="preserve">Monitoring may occur initially at 2 weeks after </w:t>
      </w:r>
      <w:r w:rsidR="007F0B78">
        <w:rPr>
          <w:rFonts w:eastAsiaTheme="majorEastAsia"/>
        </w:rPr>
        <w:t xml:space="preserve">commencing </w:t>
      </w:r>
      <w:r w:rsidR="57E8ED40" w:rsidRPr="512ECCA1">
        <w:rPr>
          <w:rFonts w:eastAsiaTheme="majorEastAsia"/>
        </w:rPr>
        <w:t>treatment</w:t>
      </w:r>
      <w:r w:rsidRPr="512ECCA1">
        <w:rPr>
          <w:rFonts w:eastAsiaTheme="majorEastAsia"/>
        </w:rPr>
        <w:t xml:space="preserve"> and then approximately 2 to 3 monthly</w:t>
      </w:r>
      <w:r w:rsidR="2976A4FE" w:rsidRPr="512ECCA1">
        <w:rPr>
          <w:rFonts w:eastAsiaTheme="majorEastAsia"/>
        </w:rPr>
        <w:t>,</w:t>
      </w:r>
      <w:r w:rsidRPr="512ECCA1">
        <w:rPr>
          <w:rFonts w:eastAsiaTheme="majorEastAsia"/>
        </w:rPr>
        <w:t xml:space="preserve"> or as per consultant. The patient should have regular (approximately monthly) weight checks by </w:t>
      </w:r>
      <w:r w:rsidR="0085107C" w:rsidRPr="512ECCA1">
        <w:rPr>
          <w:rFonts w:eastAsiaTheme="majorEastAsia"/>
        </w:rPr>
        <w:t xml:space="preserve">their </w:t>
      </w:r>
      <w:r w:rsidRPr="512ECCA1">
        <w:rPr>
          <w:rFonts w:eastAsiaTheme="majorEastAsia"/>
        </w:rPr>
        <w:t xml:space="preserve">GP or treating specialist to increase </w:t>
      </w:r>
      <w:r w:rsidR="007F0B78">
        <w:rPr>
          <w:rFonts w:eastAsiaTheme="majorEastAsia"/>
        </w:rPr>
        <w:t xml:space="preserve">medication </w:t>
      </w:r>
      <w:r w:rsidRPr="512ECCA1">
        <w:rPr>
          <w:rFonts w:eastAsiaTheme="majorEastAsia"/>
        </w:rPr>
        <w:t>dose accordingly, if required.</w:t>
      </w:r>
    </w:p>
    <w:p w14:paraId="4405A335" w14:textId="687413A0" w:rsidR="00E226D2" w:rsidRPr="00AA7A24" w:rsidRDefault="00E226D2" w:rsidP="00E226D2">
      <w:pPr>
        <w:pStyle w:val="BodyCopy"/>
      </w:pPr>
      <w:r w:rsidRPr="00AA7A24">
        <w:t xml:space="preserve">Ensure a follow up appointment has been made in </w:t>
      </w:r>
      <w:r>
        <w:t>2</w:t>
      </w:r>
      <w:r w:rsidRPr="00AA7A24">
        <w:t xml:space="preserve"> weeks with the treating </w:t>
      </w:r>
      <w:r w:rsidR="007F0B78">
        <w:t>team</w:t>
      </w:r>
      <w:r w:rsidRPr="00AA7A24">
        <w:t xml:space="preserve"> prior to discharge from PDSU.</w:t>
      </w:r>
    </w:p>
    <w:p w14:paraId="70EEDE91" w14:textId="77777777" w:rsidR="00E226D2" w:rsidRPr="00AA7A24" w:rsidRDefault="00E226D2" w:rsidP="00BC3580">
      <w:pPr>
        <w:pStyle w:val="Heading5"/>
      </w:pPr>
      <w:r w:rsidRPr="00AA7A24">
        <w:t>Duration of Treatment and Cessation of therapy</w:t>
      </w:r>
    </w:p>
    <w:p w14:paraId="16DD5C89" w14:textId="59169041" w:rsidR="00E226D2" w:rsidRPr="00AA7A24" w:rsidRDefault="00BC3580" w:rsidP="00BC3580">
      <w:pPr>
        <w:pStyle w:val="BodyCopy"/>
      </w:pPr>
      <w:r>
        <w:t xml:space="preserve">Treatment may generally be stopped at 1 year of age, and most children don’t require treatment beyond 17 months of age. </w:t>
      </w:r>
      <w:r w:rsidR="38E7EB0F">
        <w:t>Treatment</w:t>
      </w:r>
      <w:r>
        <w:t xml:space="preserve"> may</w:t>
      </w:r>
      <w:r w:rsidR="00E226D2">
        <w:t xml:space="preserve"> be stopped safely without the need for wean</w:t>
      </w:r>
      <w:r>
        <w:t xml:space="preserve">ing. </w:t>
      </w:r>
      <w:r w:rsidR="00E226D2">
        <w:t xml:space="preserve">If rebound growth occurs and is significant, consider restarting </w:t>
      </w:r>
      <w:r>
        <w:t xml:space="preserve">the same </w:t>
      </w:r>
      <w:r w:rsidR="029FBA6E">
        <w:t xml:space="preserve"> </w:t>
      </w:r>
      <w:r>
        <w:t>agent</w:t>
      </w:r>
      <w:r w:rsidR="00E226D2">
        <w:t xml:space="preserve"> at the previous dose.</w:t>
      </w:r>
    </w:p>
    <w:p w14:paraId="15CE9D3C" w14:textId="77777777" w:rsidR="0078367D" w:rsidRDefault="0078367D" w:rsidP="00A6051F">
      <w:pPr>
        <w:pStyle w:val="Heading4"/>
      </w:pPr>
      <w:bookmarkStart w:id="9" w:name="_Toc176348490"/>
      <w:bookmarkStart w:id="10" w:name="_Toc213053778"/>
      <w:r>
        <w:t>Evaluation</w:t>
      </w:r>
      <w:bookmarkStart w:id="11" w:name="_Hlk43366294"/>
      <w:bookmarkEnd w:id="9"/>
      <w:bookmarkEnd w:id="10"/>
    </w:p>
    <w:p w14:paraId="4B4C470B" w14:textId="77777777" w:rsidR="00481A6C" w:rsidRDefault="00481A6C" w:rsidP="00C34A10">
      <w:pPr>
        <w:pStyle w:val="Heading5"/>
      </w:pPr>
      <w:bookmarkStart w:id="12" w:name="_Hlk170467190"/>
      <w:bookmarkEnd w:id="11"/>
      <w:r w:rsidRPr="00C34A10">
        <w:t>Outcome</w:t>
      </w:r>
    </w:p>
    <w:p w14:paraId="75D63B19" w14:textId="4D24E33D" w:rsidR="00C51DBF" w:rsidRPr="00C51DBF" w:rsidRDefault="00C51DBF" w:rsidP="00C51DBF">
      <w:pPr>
        <w:pStyle w:val="Bullet"/>
      </w:pPr>
      <w:bookmarkStart w:id="13" w:name="_Hlk170467240"/>
      <w:bookmarkEnd w:id="12"/>
      <w:r w:rsidRPr="00C51DBF">
        <w:t xml:space="preserve">Infants requiring in-hospital commencement of </w:t>
      </w:r>
      <w:r>
        <w:t xml:space="preserve">beta-adrenergic antagonist agents </w:t>
      </w:r>
      <w:r w:rsidRPr="00C51DBF">
        <w:t>are identified and referred to PDSU</w:t>
      </w:r>
      <w:r w:rsidR="00CA7319">
        <w:t>.</w:t>
      </w:r>
      <w:r w:rsidRPr="00C51DBF">
        <w:t xml:space="preserve"> </w:t>
      </w:r>
    </w:p>
    <w:p w14:paraId="36A63315" w14:textId="76F7CEFC" w:rsidR="00C51DBF" w:rsidRPr="00C51DBF" w:rsidRDefault="00C51DBF" w:rsidP="00C51DBF">
      <w:pPr>
        <w:pStyle w:val="Bullet"/>
      </w:pPr>
      <w:r>
        <w:t xml:space="preserve">All staff caring for patients requiring beta-adrenergic antagonist agents for management of infant haemangioma are aware of the safe initiation of </w:t>
      </w:r>
      <w:r w:rsidR="5868F05C">
        <w:t>treatment</w:t>
      </w:r>
      <w:r w:rsidR="00CA7319">
        <w:t>.</w:t>
      </w:r>
    </w:p>
    <w:p w14:paraId="21026FFE" w14:textId="1288E31E" w:rsidR="00C51DBF" w:rsidRPr="00C51DBF" w:rsidRDefault="00C51DBF" w:rsidP="00C51DBF">
      <w:pPr>
        <w:pStyle w:val="Bullet"/>
      </w:pPr>
      <w:r>
        <w:t xml:space="preserve">Adverse events related to initiation of </w:t>
      </w:r>
      <w:r w:rsidR="007F0B78">
        <w:t xml:space="preserve">treatment </w:t>
      </w:r>
      <w:r>
        <w:t>are closely monitored for and managed promptly.</w:t>
      </w:r>
    </w:p>
    <w:p w14:paraId="2C349A1D" w14:textId="77777777" w:rsidR="00481A6C" w:rsidRPr="00C34A10" w:rsidRDefault="00C34A10" w:rsidP="00C34A10">
      <w:pPr>
        <w:pStyle w:val="Heading5"/>
      </w:pPr>
      <w:r>
        <w:t>Measures</w:t>
      </w:r>
    </w:p>
    <w:bookmarkEnd w:id="13"/>
    <w:p w14:paraId="2FA0607A" w14:textId="51A8EE1F" w:rsidR="00C51DBF" w:rsidRPr="00AA7A24" w:rsidRDefault="00C51DBF" w:rsidP="00C51DBF">
      <w:pPr>
        <w:pStyle w:val="Bullet"/>
      </w:pPr>
      <w:r>
        <w:t>Ongoing monitoring and discussion among the PDSU nursing and medical team (including dermatology)</w:t>
      </w:r>
      <w:r w:rsidR="471A6014">
        <w:t xml:space="preserve"> </w:t>
      </w:r>
      <w:r w:rsidR="007F0B78">
        <w:t>at unit meetings,</w:t>
      </w:r>
      <w:r w:rsidR="007F0B78" w:rsidRPr="007F0B78">
        <w:t xml:space="preserve"> </w:t>
      </w:r>
      <w:r w:rsidR="007F0B78">
        <w:t>with particular attention to adverse events leading to activation of a MET response.</w:t>
      </w:r>
    </w:p>
    <w:p w14:paraId="20396A3E" w14:textId="4BC60D92" w:rsidR="00C51DBF" w:rsidRPr="00AA7A24" w:rsidRDefault="00C51DBF" w:rsidP="00C51DBF">
      <w:pPr>
        <w:pStyle w:val="Bullet"/>
      </w:pPr>
      <w:r>
        <w:t xml:space="preserve">Regular assessment and monitoring of all </w:t>
      </w:r>
      <w:r w:rsidR="00A2616D">
        <w:t>clinical incident</w:t>
      </w:r>
      <w:r w:rsidR="51F71D6D">
        <w:t>s</w:t>
      </w:r>
      <w:r w:rsidR="00A2616D">
        <w:t xml:space="preserve"> </w:t>
      </w:r>
      <w:r w:rsidR="457273EF">
        <w:t>notif</w:t>
      </w:r>
      <w:r w:rsidR="20AE77CC">
        <w:t>i</w:t>
      </w:r>
      <w:r w:rsidR="457273EF">
        <w:t xml:space="preserve">ed in the </w:t>
      </w:r>
      <w:r>
        <w:t>RiskMan</w:t>
      </w:r>
      <w:r w:rsidR="00A2616D">
        <w:t>®</w:t>
      </w:r>
      <w:r w:rsidR="39C8F4E1">
        <w:t xml:space="preserve"> system</w:t>
      </w:r>
      <w:r>
        <w:t xml:space="preserve"> related to</w:t>
      </w:r>
      <w:r w:rsidR="09BC8A33">
        <w:t xml:space="preserve"> t</w:t>
      </w:r>
      <w:r w:rsidR="12362741">
        <w:t>reatment</w:t>
      </w:r>
      <w:r>
        <w:t xml:space="preserve"> initiation</w:t>
      </w:r>
      <w:r w:rsidR="12ECF447">
        <w:t xml:space="preserve"> </w:t>
      </w:r>
      <w:r w:rsidR="39B8F8C8">
        <w:t>withi</w:t>
      </w:r>
      <w:r w:rsidR="194DF7E6">
        <w:t>n PDSU</w:t>
      </w:r>
      <w:r w:rsidR="4601D5EA">
        <w:t xml:space="preserve">. </w:t>
      </w:r>
      <w:r>
        <w:t xml:space="preserve"> </w:t>
      </w:r>
    </w:p>
    <w:p w14:paraId="30D5985F"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0D4342E4" w14:textId="77777777" w:rsidR="00A6051F" w:rsidRDefault="00A6051F" w:rsidP="00A6051F">
      <w:pPr>
        <w:pStyle w:val="Heading4"/>
      </w:pPr>
      <w:bookmarkStart w:id="14" w:name="_Toc213053779"/>
      <w:r>
        <w:t>Related policies, procedures, guidelines and legislation</w:t>
      </w:r>
      <w:bookmarkEnd w:id="14"/>
    </w:p>
    <w:p w14:paraId="3F963A44" w14:textId="77777777" w:rsidR="00481A6C" w:rsidRPr="00A66966" w:rsidRDefault="00481A6C" w:rsidP="00A6051F">
      <w:pPr>
        <w:pStyle w:val="Heading5"/>
      </w:pPr>
      <w:r w:rsidRPr="00A66966">
        <w:t>Policies</w:t>
      </w:r>
    </w:p>
    <w:p w14:paraId="3D938D69" w14:textId="77777777" w:rsidR="00997834" w:rsidRDefault="00997834" w:rsidP="00997834">
      <w:pPr>
        <w:pStyle w:val="Bullet"/>
        <w:numPr>
          <w:ilvl w:val="0"/>
          <w:numId w:val="26"/>
        </w:numPr>
      </w:pPr>
      <w:r>
        <w:t>Nursing and Midwifery Board of Australia (NMBA) Requirements for Practice</w:t>
      </w:r>
    </w:p>
    <w:p w14:paraId="4F2D29DA" w14:textId="12246AB9" w:rsidR="00C51DBF" w:rsidRDefault="00C51DBF" w:rsidP="512ECCA1">
      <w:pPr>
        <w:pStyle w:val="Bullet"/>
      </w:pPr>
      <w:r>
        <w:t>Medication Hand</w:t>
      </w:r>
      <w:r w:rsidR="00A2616D">
        <w:t>l</w:t>
      </w:r>
      <w:r>
        <w:t xml:space="preserve">ing </w:t>
      </w:r>
    </w:p>
    <w:p w14:paraId="1658D0A0" w14:textId="77252207" w:rsidR="72B7E9F8" w:rsidRDefault="72B7E9F8" w:rsidP="512ECCA1">
      <w:pPr>
        <w:pStyle w:val="Bullet"/>
      </w:pPr>
      <w:r>
        <w:t>Clinical incident management</w:t>
      </w:r>
    </w:p>
    <w:p w14:paraId="684399A3" w14:textId="77777777" w:rsidR="00481A6C" w:rsidRDefault="00481A6C" w:rsidP="00A6051F">
      <w:pPr>
        <w:pStyle w:val="Heading5"/>
      </w:pPr>
      <w:r>
        <w:t>Procedures</w:t>
      </w:r>
    </w:p>
    <w:p w14:paraId="046A0305" w14:textId="77777777" w:rsidR="00481A6C" w:rsidRPr="000E7683" w:rsidRDefault="00635114" w:rsidP="000E7683">
      <w:pPr>
        <w:pStyle w:val="Bullet"/>
      </w:pPr>
      <w:r>
        <w:t>Infection Prevention and Control</w:t>
      </w:r>
    </w:p>
    <w:p w14:paraId="72029381" w14:textId="2CB5AD60" w:rsidR="00481A6C" w:rsidRDefault="00481A6C" w:rsidP="000E7683">
      <w:pPr>
        <w:pStyle w:val="Bullet"/>
      </w:pPr>
      <w:r w:rsidRPr="000E7683">
        <w:lastRenderedPageBreak/>
        <w:t xml:space="preserve">Patient Identification and </w:t>
      </w:r>
      <w:r w:rsidR="00A2616D">
        <w:t xml:space="preserve">Health Care Activity </w:t>
      </w:r>
      <w:r w:rsidRPr="000E7683">
        <w:t xml:space="preserve">Matching </w:t>
      </w:r>
    </w:p>
    <w:p w14:paraId="386AC1A1" w14:textId="58B585B5" w:rsidR="00C51DBF" w:rsidRPr="000E7683" w:rsidRDefault="00C51DBF" w:rsidP="00C51DBF">
      <w:pPr>
        <w:pStyle w:val="Bullet"/>
      </w:pPr>
      <w:r>
        <w:t>Vital Signs and Early Warning Scores</w:t>
      </w:r>
      <w:r w:rsidR="00A2616D">
        <w:t xml:space="preserve"> – Canberra Hospital Inpatients</w:t>
      </w:r>
    </w:p>
    <w:p w14:paraId="67F4BF8B" w14:textId="07B9EE34" w:rsidR="69A17F56" w:rsidRDefault="69A17F56" w:rsidP="512ECCA1">
      <w:pPr>
        <w:pStyle w:val="Bullet"/>
      </w:pPr>
      <w:r>
        <w:t>Clinical incident management</w:t>
      </w:r>
    </w:p>
    <w:p w14:paraId="67E1C102" w14:textId="77777777" w:rsidR="00481A6C" w:rsidRDefault="00481A6C" w:rsidP="00A6051F">
      <w:pPr>
        <w:pStyle w:val="Heading5"/>
      </w:pPr>
      <w:r>
        <w:t xml:space="preserve">Guidelines </w:t>
      </w:r>
    </w:p>
    <w:p w14:paraId="5AB66163" w14:textId="77777777" w:rsidR="009746B1" w:rsidRDefault="009746B1" w:rsidP="009746B1">
      <w:pPr>
        <w:pStyle w:val="Bullet"/>
      </w:pPr>
      <w:r>
        <w:t>Consent for Healthcare Treatment</w:t>
      </w:r>
    </w:p>
    <w:p w14:paraId="21C2EFE1" w14:textId="77777777" w:rsidR="00481A6C" w:rsidRDefault="00481A6C" w:rsidP="00A6051F">
      <w:pPr>
        <w:pStyle w:val="Heading5"/>
      </w:pPr>
      <w:r>
        <w:t>Legislation</w:t>
      </w:r>
    </w:p>
    <w:p w14:paraId="4E794734" w14:textId="77777777" w:rsidR="00481A6C" w:rsidRPr="000E7683" w:rsidRDefault="00481A6C" w:rsidP="000E7683">
      <w:pPr>
        <w:pStyle w:val="Bullet"/>
      </w:pPr>
      <w:r w:rsidRPr="00FE46F1">
        <w:rPr>
          <w:i/>
          <w:iCs/>
        </w:rPr>
        <w:t>Health Records (Privacy and Access) Act</w:t>
      </w:r>
      <w:r w:rsidRPr="000E7683">
        <w:t xml:space="preserve"> 1997</w:t>
      </w:r>
    </w:p>
    <w:p w14:paraId="1DAD8623" w14:textId="77777777" w:rsidR="00481A6C" w:rsidRPr="000E7683" w:rsidRDefault="00481A6C" w:rsidP="000E7683">
      <w:pPr>
        <w:pStyle w:val="Bullet"/>
      </w:pPr>
      <w:r w:rsidRPr="00FE46F1">
        <w:rPr>
          <w:i/>
          <w:iCs/>
        </w:rPr>
        <w:t>Human Rights Act</w:t>
      </w:r>
      <w:r w:rsidRPr="000E7683">
        <w:t xml:space="preserve"> 2004</w:t>
      </w:r>
    </w:p>
    <w:p w14:paraId="24FFA3F0" w14:textId="77777777" w:rsidR="00481A6C" w:rsidRDefault="00481A6C" w:rsidP="000E7683">
      <w:pPr>
        <w:pStyle w:val="Bullet"/>
      </w:pPr>
      <w:r w:rsidRPr="00FE46F1">
        <w:rPr>
          <w:i/>
          <w:iCs/>
        </w:rPr>
        <w:t>Work Health and Safety Act</w:t>
      </w:r>
      <w:r w:rsidRPr="000E7683">
        <w:t xml:space="preserve"> 2011</w:t>
      </w:r>
    </w:p>
    <w:p w14:paraId="28943DF1" w14:textId="63458EBE" w:rsidR="00A2616D" w:rsidRPr="000E7683" w:rsidRDefault="00A2616D" w:rsidP="000E7683">
      <w:pPr>
        <w:pStyle w:val="Bullet"/>
      </w:pPr>
      <w:r>
        <w:rPr>
          <w:i/>
          <w:iCs/>
        </w:rPr>
        <w:t xml:space="preserve">Carers Recognition Act </w:t>
      </w:r>
      <w:r w:rsidRPr="00A2616D">
        <w:t>2021</w:t>
      </w:r>
    </w:p>
    <w:p w14:paraId="1F1D2EE2" w14:textId="77777777" w:rsidR="00481A6C" w:rsidRDefault="00481A6C" w:rsidP="00A6051F">
      <w:pPr>
        <w:pStyle w:val="Heading5"/>
      </w:pPr>
      <w:r>
        <w:t>Other</w:t>
      </w:r>
    </w:p>
    <w:p w14:paraId="3D9C4EC5" w14:textId="77777777" w:rsidR="000E7683" w:rsidRDefault="00481A6C" w:rsidP="00A66966">
      <w:pPr>
        <w:pStyle w:val="Bullet"/>
      </w:pPr>
      <w:r w:rsidRPr="00A66966">
        <w:t>Australian</w:t>
      </w:r>
      <w:r w:rsidRPr="000E7683">
        <w:t xml:space="preserve"> Charter of Healthcare Right</w:t>
      </w:r>
      <w:r w:rsidR="00280C5D" w:rsidRPr="000E7683">
        <w:t>s</w:t>
      </w:r>
    </w:p>
    <w:p w14:paraId="3086BE06" w14:textId="77777777" w:rsidR="000E7683" w:rsidRPr="000E7683" w:rsidRDefault="000E7683" w:rsidP="002D7682">
      <w:pPr>
        <w:pStyle w:val="BodyCopy"/>
      </w:pPr>
      <w:hyperlink w:anchor="_top" w:history="1">
        <w:r w:rsidRPr="004A7A7F">
          <w:rPr>
            <w:rStyle w:val="Hyperlink"/>
          </w:rPr>
          <w:t>Back to Contents</w:t>
        </w:r>
      </w:hyperlink>
    </w:p>
    <w:p w14:paraId="3C34B995" w14:textId="77777777" w:rsidR="0078367D" w:rsidRPr="0078367D" w:rsidRDefault="0078367D" w:rsidP="00A6051F">
      <w:pPr>
        <w:pStyle w:val="Heading4"/>
      </w:pPr>
      <w:bookmarkStart w:id="15" w:name="_Toc213053780"/>
      <w:r w:rsidRPr="0078367D">
        <w:t>References</w:t>
      </w:r>
      <w:bookmarkEnd w:id="15"/>
    </w:p>
    <w:p w14:paraId="66880DF3" w14:textId="58212853" w:rsidR="00280C5D" w:rsidRDefault="003E4F7D" w:rsidP="0078367D">
      <w:pPr>
        <w:pStyle w:val="Numberedlist"/>
        <w:rPr>
          <w:lang w:eastAsia="en-US"/>
        </w:rPr>
      </w:pPr>
      <w:r>
        <w:t xml:space="preserve">Australasian Neonatal Medicines Formulary. Atenolol for infantile haemangioma. ANMF. 2022. Available at: </w:t>
      </w:r>
      <w:hyperlink r:id="rId12" w:history="1">
        <w:r w:rsidRPr="003E4F7D">
          <w:rPr>
            <w:rFonts w:eastAsia="Calibri"/>
            <w:color w:val="0000FF"/>
            <w:u w:val="single"/>
          </w:rPr>
          <w:t>Atenolol-for-infantile-haemangioma_ANMFv1.0_20221110.pdf</w:t>
        </w:r>
      </w:hyperlink>
      <w:r>
        <w:rPr>
          <w:lang w:eastAsia="en-US"/>
        </w:rPr>
        <w:t xml:space="preserve"> </w:t>
      </w:r>
    </w:p>
    <w:p w14:paraId="0C8C000B" w14:textId="1A63B250" w:rsidR="00280C5D" w:rsidRDefault="003E4F7D" w:rsidP="0078367D">
      <w:pPr>
        <w:pStyle w:val="Numberedlist"/>
        <w:rPr>
          <w:lang w:eastAsia="en-US"/>
        </w:rPr>
      </w:pPr>
      <w:r>
        <w:t>Australasian Neonatal Medicines Formulary. Timolol - topical. ANMF. 2021. Available at</w:t>
      </w:r>
      <w:r>
        <w:rPr>
          <w:lang w:eastAsia="en-US"/>
        </w:rPr>
        <w:t xml:space="preserve"> </w:t>
      </w:r>
      <w:hyperlink r:id="rId13" w:history="1">
        <w:r w:rsidRPr="006E71E5">
          <w:rPr>
            <w:rStyle w:val="Hyperlink"/>
            <w:lang w:eastAsia="en-US"/>
          </w:rPr>
          <w:t xml:space="preserve">https://www.anmfonline.org/wp-content/uploads/2021/06/timolol-topical-17052021-2.0.pdf </w:t>
        </w:r>
      </w:hyperlink>
    </w:p>
    <w:p w14:paraId="6713E48C" w14:textId="0105886D" w:rsidR="003E4F7D" w:rsidRDefault="003E4F7D" w:rsidP="0078367D">
      <w:pPr>
        <w:pStyle w:val="Numberedlist"/>
        <w:rPr>
          <w:lang w:eastAsia="en-US"/>
        </w:rPr>
      </w:pPr>
      <w:r>
        <w:t xml:space="preserve">Australasian Neonatal Medicines Formulary. Propranolol for infantile haemangioma. ANMF. 2019. Available at: </w:t>
      </w:r>
      <w:hyperlink r:id="rId14" w:history="1">
        <w:r w:rsidRPr="003E4F7D">
          <w:rPr>
            <w:rStyle w:val="Hyperlink"/>
          </w:rPr>
          <w:t>Propranolol-for-infantile-</w:t>
        </w:r>
        <w:r>
          <w:rPr>
            <w:rStyle w:val="Hyperlink"/>
          </w:rPr>
          <w:t>h</w:t>
        </w:r>
        <w:r w:rsidRPr="003E4F7D">
          <w:rPr>
            <w:rStyle w:val="Hyperlink"/>
          </w:rPr>
          <w:t>aemangioma_ANMFv1.0_full_20190415.pdf</w:t>
        </w:r>
      </w:hyperlink>
    </w:p>
    <w:p w14:paraId="45B9912A"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4BEC25F1" w14:textId="77777777" w:rsidR="0078367D" w:rsidRDefault="0078367D" w:rsidP="00A6051F">
      <w:pPr>
        <w:pStyle w:val="Heading4"/>
      </w:pPr>
      <w:bookmarkStart w:id="16" w:name="_Toc213053781"/>
      <w:r>
        <w:t>Search terms</w:t>
      </w:r>
      <w:bookmarkEnd w:id="16"/>
    </w:p>
    <w:p w14:paraId="3D785ECD" w14:textId="4787B685" w:rsidR="00280C5D" w:rsidRDefault="00BC52C7" w:rsidP="0078367D">
      <w:pPr>
        <w:pStyle w:val="BodyCopy"/>
        <w:rPr>
          <w:lang w:eastAsia="en-US"/>
        </w:rPr>
      </w:pPr>
      <w:r>
        <w:rPr>
          <w:lang w:eastAsia="en-US"/>
        </w:rPr>
        <w:t>Propranolol, atenolol, timolol, haemangioma, infant, child, paeds, paediatrics, skin, beta blocker.</w:t>
      </w:r>
    </w:p>
    <w:p w14:paraId="4DD9A68E"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6729E531" w14:textId="77777777" w:rsidR="007B1A7B" w:rsidRDefault="007B1A7B">
      <w:pPr>
        <w:spacing w:before="0" w:after="0" w:line="240" w:lineRule="auto"/>
        <w:rPr>
          <w:rStyle w:val="Hyperlink"/>
          <w:rFonts w:eastAsia="Times New Roman"/>
        </w:rPr>
      </w:pPr>
      <w:r>
        <w:rPr>
          <w:rStyle w:val="Hyperlink"/>
        </w:rPr>
        <w:br w:type="page"/>
      </w:r>
    </w:p>
    <w:p w14:paraId="4D4A70A7" w14:textId="77777777" w:rsidR="009A5010" w:rsidRPr="001F3ED6" w:rsidRDefault="00280C5D" w:rsidP="001F3ED6">
      <w:pPr>
        <w:pStyle w:val="BodyCopy"/>
        <w:rPr>
          <w:rStyle w:val="Bold"/>
        </w:rPr>
      </w:pPr>
      <w:r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1DD49657"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3BD08711" w14:textId="77777777" w:rsidR="00280C5D" w:rsidRDefault="00280C5D" w:rsidP="003B0E72">
            <w:pPr>
              <w:pStyle w:val="Tableheader"/>
            </w:pPr>
            <w:r>
              <w:t>Date amended</w:t>
            </w:r>
          </w:p>
        </w:tc>
        <w:tc>
          <w:tcPr>
            <w:tcW w:w="2477" w:type="dxa"/>
          </w:tcPr>
          <w:p w14:paraId="49DA6D31" w14:textId="77777777" w:rsidR="00280C5D" w:rsidRDefault="00280C5D" w:rsidP="003B0E72">
            <w:pPr>
              <w:pStyle w:val="Tableheader"/>
            </w:pPr>
            <w:r>
              <w:t>Section amended</w:t>
            </w:r>
          </w:p>
        </w:tc>
        <w:tc>
          <w:tcPr>
            <w:tcW w:w="2555" w:type="dxa"/>
          </w:tcPr>
          <w:p w14:paraId="5B9BDEB8" w14:textId="77777777" w:rsidR="00280C5D" w:rsidRDefault="00280C5D" w:rsidP="003B0E72">
            <w:pPr>
              <w:pStyle w:val="Tableheader"/>
            </w:pPr>
            <w:r>
              <w:t>Divisional approval</w:t>
            </w:r>
          </w:p>
        </w:tc>
        <w:tc>
          <w:tcPr>
            <w:tcW w:w="2403" w:type="dxa"/>
          </w:tcPr>
          <w:p w14:paraId="05BC2498" w14:textId="77777777" w:rsidR="00280C5D" w:rsidRDefault="00280C5D" w:rsidP="003B0E72">
            <w:pPr>
              <w:pStyle w:val="Tableheader"/>
            </w:pPr>
            <w:r>
              <w:t>Final approval</w:t>
            </w:r>
          </w:p>
        </w:tc>
      </w:tr>
      <w:tr w:rsidR="00280C5D" w14:paraId="09EFDA25" w14:textId="77777777" w:rsidTr="003B0E72">
        <w:tc>
          <w:tcPr>
            <w:tcW w:w="2476" w:type="dxa"/>
          </w:tcPr>
          <w:p w14:paraId="7F984724" w14:textId="52F16414" w:rsidR="00280C5D" w:rsidRDefault="00597858" w:rsidP="003B0E72">
            <w:pPr>
              <w:pStyle w:val="Tablebody"/>
              <w:rPr>
                <w:lang w:eastAsia="en-US"/>
              </w:rPr>
            </w:pPr>
            <w:r>
              <w:rPr>
                <w:lang w:eastAsia="en-US"/>
              </w:rPr>
              <w:t>3 November 2025</w:t>
            </w:r>
          </w:p>
        </w:tc>
        <w:tc>
          <w:tcPr>
            <w:tcW w:w="2477" w:type="dxa"/>
          </w:tcPr>
          <w:p w14:paraId="0FEE317C" w14:textId="3B39CD63" w:rsidR="00280C5D" w:rsidRDefault="00597858" w:rsidP="003B0E72">
            <w:pPr>
              <w:pStyle w:val="Tablebody"/>
              <w:rPr>
                <w:lang w:eastAsia="en-US"/>
              </w:rPr>
            </w:pPr>
            <w:r>
              <w:rPr>
                <w:lang w:eastAsia="en-US"/>
              </w:rPr>
              <w:t>Complete review</w:t>
            </w:r>
          </w:p>
        </w:tc>
        <w:tc>
          <w:tcPr>
            <w:tcW w:w="2555" w:type="dxa"/>
          </w:tcPr>
          <w:p w14:paraId="3FED09D6" w14:textId="5490590D" w:rsidR="00280C5D" w:rsidRDefault="00597858" w:rsidP="003B0E72">
            <w:pPr>
              <w:pStyle w:val="Tablebody"/>
              <w:rPr>
                <w:lang w:eastAsia="en-US"/>
              </w:rPr>
            </w:pPr>
            <w:r>
              <w:rPr>
                <w:lang w:eastAsia="en-US"/>
              </w:rPr>
              <w:t>Katherine Wakefield, ED WY&amp;C</w:t>
            </w:r>
          </w:p>
        </w:tc>
        <w:tc>
          <w:tcPr>
            <w:tcW w:w="2403" w:type="dxa"/>
          </w:tcPr>
          <w:p w14:paraId="039F1B88" w14:textId="7B060411" w:rsidR="00280C5D" w:rsidRDefault="00597858" w:rsidP="003B0E72">
            <w:pPr>
              <w:pStyle w:val="Tablebody"/>
              <w:rPr>
                <w:lang w:eastAsia="en-US"/>
              </w:rPr>
            </w:pPr>
            <w:r>
              <w:rPr>
                <w:lang w:eastAsia="en-US"/>
              </w:rPr>
              <w:t>CHS Policy Document Review Panel</w:t>
            </w:r>
          </w:p>
        </w:tc>
      </w:tr>
      <w:tr w:rsidR="00280C5D" w14:paraId="3D79EB65" w14:textId="77777777" w:rsidTr="003B0E72">
        <w:tc>
          <w:tcPr>
            <w:tcW w:w="2476" w:type="dxa"/>
          </w:tcPr>
          <w:p w14:paraId="51907796" w14:textId="77777777" w:rsidR="00280C5D" w:rsidRDefault="00280C5D" w:rsidP="003B0E72">
            <w:pPr>
              <w:pStyle w:val="Tablebody"/>
              <w:rPr>
                <w:lang w:eastAsia="en-US"/>
              </w:rPr>
            </w:pPr>
          </w:p>
        </w:tc>
        <w:tc>
          <w:tcPr>
            <w:tcW w:w="2477" w:type="dxa"/>
          </w:tcPr>
          <w:p w14:paraId="2E488D89" w14:textId="77777777" w:rsidR="00280C5D" w:rsidRDefault="00280C5D" w:rsidP="003B0E72">
            <w:pPr>
              <w:pStyle w:val="Tablebody"/>
              <w:rPr>
                <w:lang w:eastAsia="en-US"/>
              </w:rPr>
            </w:pPr>
          </w:p>
        </w:tc>
        <w:tc>
          <w:tcPr>
            <w:tcW w:w="2555" w:type="dxa"/>
          </w:tcPr>
          <w:p w14:paraId="306A84A8" w14:textId="77777777" w:rsidR="00280C5D" w:rsidRDefault="00280C5D" w:rsidP="003B0E72">
            <w:pPr>
              <w:pStyle w:val="Tablebody"/>
              <w:rPr>
                <w:lang w:eastAsia="en-US"/>
              </w:rPr>
            </w:pPr>
          </w:p>
        </w:tc>
        <w:tc>
          <w:tcPr>
            <w:tcW w:w="2403" w:type="dxa"/>
          </w:tcPr>
          <w:p w14:paraId="016FEA3E" w14:textId="77777777" w:rsidR="00280C5D" w:rsidRDefault="00280C5D" w:rsidP="003B0E72">
            <w:pPr>
              <w:pStyle w:val="Tablebody"/>
              <w:rPr>
                <w:lang w:eastAsia="en-US"/>
              </w:rPr>
            </w:pPr>
          </w:p>
        </w:tc>
      </w:tr>
    </w:tbl>
    <w:p w14:paraId="0948553E"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303C3D7F"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36FAD868" w14:textId="77777777" w:rsidR="00280C5D" w:rsidRDefault="00280C5D" w:rsidP="003B0E72">
            <w:pPr>
              <w:pStyle w:val="Tableheader"/>
            </w:pPr>
            <w:r>
              <w:t>Document number</w:t>
            </w:r>
          </w:p>
        </w:tc>
        <w:tc>
          <w:tcPr>
            <w:tcW w:w="7653" w:type="dxa"/>
          </w:tcPr>
          <w:p w14:paraId="504CE00D" w14:textId="77777777" w:rsidR="00280C5D" w:rsidRDefault="00280C5D" w:rsidP="003B0E72">
            <w:pPr>
              <w:pStyle w:val="Tableheader"/>
            </w:pPr>
            <w:r>
              <w:t>Document name</w:t>
            </w:r>
          </w:p>
        </w:tc>
      </w:tr>
      <w:tr w:rsidR="00280C5D" w14:paraId="2E39683D" w14:textId="77777777" w:rsidTr="003B0E72">
        <w:tc>
          <w:tcPr>
            <w:tcW w:w="2548" w:type="dxa"/>
          </w:tcPr>
          <w:p w14:paraId="121004C3" w14:textId="76B86A97" w:rsidR="00280C5D" w:rsidRDefault="00597858" w:rsidP="003B0E72">
            <w:pPr>
              <w:pStyle w:val="Tablebody"/>
              <w:rPr>
                <w:lang w:eastAsia="en-US"/>
              </w:rPr>
            </w:pPr>
            <w:r w:rsidRPr="00597858">
              <w:rPr>
                <w:lang w:val="en-AU" w:eastAsia="en-US"/>
              </w:rPr>
              <w:t>CHS22/072</w:t>
            </w:r>
          </w:p>
        </w:tc>
        <w:tc>
          <w:tcPr>
            <w:tcW w:w="7653" w:type="dxa"/>
          </w:tcPr>
          <w:p w14:paraId="0B93553B" w14:textId="1B7871F4" w:rsidR="00280C5D" w:rsidRDefault="00597858" w:rsidP="003B0E72">
            <w:pPr>
              <w:pStyle w:val="Tablebody"/>
              <w:rPr>
                <w:lang w:eastAsia="en-US"/>
              </w:rPr>
            </w:pPr>
            <w:r w:rsidRPr="00597858">
              <w:rPr>
                <w:lang w:val="en-AU" w:eastAsia="en-US"/>
              </w:rPr>
              <w:t>Propranolol for the Treatment of Infant Haemangiomas</w:t>
            </w:r>
          </w:p>
        </w:tc>
      </w:tr>
      <w:tr w:rsidR="00280C5D" w14:paraId="550A0537" w14:textId="77777777" w:rsidTr="003B0E72">
        <w:tc>
          <w:tcPr>
            <w:tcW w:w="2548" w:type="dxa"/>
          </w:tcPr>
          <w:p w14:paraId="6B60C1A7" w14:textId="77777777" w:rsidR="00280C5D" w:rsidRDefault="00280C5D" w:rsidP="003B0E72">
            <w:pPr>
              <w:pStyle w:val="Tablebody"/>
              <w:rPr>
                <w:lang w:eastAsia="en-US"/>
              </w:rPr>
            </w:pPr>
          </w:p>
        </w:tc>
        <w:tc>
          <w:tcPr>
            <w:tcW w:w="7653" w:type="dxa"/>
          </w:tcPr>
          <w:p w14:paraId="79F2072B" w14:textId="77777777" w:rsidR="00280C5D" w:rsidRDefault="00280C5D" w:rsidP="003B0E72">
            <w:pPr>
              <w:pStyle w:val="Tablebody"/>
              <w:rPr>
                <w:lang w:eastAsia="en-US"/>
              </w:rPr>
            </w:pPr>
          </w:p>
        </w:tc>
      </w:tr>
    </w:tbl>
    <w:p w14:paraId="7C76EDE9" w14:textId="77777777" w:rsidR="00280C5D" w:rsidRPr="001F3ED6" w:rsidRDefault="00280C5D" w:rsidP="001F3ED6">
      <w:pPr>
        <w:pStyle w:val="BodyCopy"/>
        <w:rPr>
          <w:rStyle w:val="Bold"/>
        </w:rPr>
      </w:pPr>
      <w:r w:rsidRPr="001F3ED6">
        <w:rPr>
          <w:rStyle w:val="Bold"/>
        </w:rPr>
        <w:t>Disclaimer</w:t>
      </w:r>
    </w:p>
    <w:p w14:paraId="7992092A"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72768478"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47C4E54E"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4567B4F3" w14:textId="77777777" w:rsidTr="003B0E72">
        <w:tc>
          <w:tcPr>
            <w:tcW w:w="5529" w:type="dxa"/>
            <w:shd w:val="clear" w:color="auto" w:fill="F4F3EE"/>
            <w:tcMar>
              <w:top w:w="142" w:type="dxa"/>
              <w:left w:w="170" w:type="dxa"/>
              <w:bottom w:w="142" w:type="dxa"/>
              <w:right w:w="170" w:type="dxa"/>
            </w:tcMar>
          </w:tcPr>
          <w:bookmarkStart w:id="17" w:name="_Hlk160027189" w:displacedByCustomXml="next"/>
          <w:sdt>
            <w:sdtPr>
              <w:rPr>
                <w:color w:val="auto"/>
                <w:u w:val="single"/>
              </w:rPr>
              <w:id w:val="643171884"/>
              <w:placeholder>
                <w:docPart w:val="9A90BE2DBDBC491D8B45BF3905826AC7"/>
              </w:placeholder>
            </w:sdtPr>
            <w:sdtEndPr>
              <w:rPr>
                <w:color w:val="000000" w:themeColor="text1"/>
                <w:u w:val="none"/>
              </w:rPr>
            </w:sdtEndPr>
            <w:sdtContent>
              <w:p w14:paraId="679DC8F6" w14:textId="77777777" w:rsidR="00280C5D" w:rsidRPr="00350211" w:rsidRDefault="00280C5D" w:rsidP="003B0E72">
                <w:pPr>
                  <w:pStyle w:val="Bottomblocktext"/>
                  <w:rPr>
                    <w:b/>
                    <w:bCs w:val="0"/>
                    <w:sz w:val="20"/>
                    <w:szCs w:val="20"/>
                  </w:rPr>
                </w:pPr>
                <w:r>
                  <w:rPr>
                    <w:noProof/>
                    <w:sz w:val="20"/>
                    <w:szCs w:val="20"/>
                  </w:rPr>
                  <w:drawing>
                    <wp:inline distT="0" distB="0" distL="0" distR="0" wp14:anchorId="4A8D9CD2" wp14:editId="35C608C5">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5"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2B33673A"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6E0BD816"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B1BCF1324C754FBE9D220E9FE679F95F"/>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D50D77D17E5240D3A3A43BCB75C1C6A1"/>
            </w:placeholder>
            <w:showingPlcHdr/>
          </w:sdtPr>
          <w:sdtEndPr/>
          <w:sdtContent>
            <w:tc>
              <w:tcPr>
                <w:tcW w:w="4665" w:type="dxa"/>
                <w:shd w:val="clear" w:color="auto" w:fill="F4F3EE"/>
                <w:tcMar>
                  <w:top w:w="142" w:type="dxa"/>
                  <w:left w:w="170" w:type="dxa"/>
                  <w:bottom w:w="142" w:type="dxa"/>
                  <w:right w:w="170" w:type="dxa"/>
                </w:tcMar>
              </w:tcPr>
              <w:p w14:paraId="576DB0C9"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094B374D" wp14:editId="25952E43">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6"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671C7709" wp14:editId="4A0F8509">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7"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26240555"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06F9245" wp14:editId="634B3F66">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8"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58CC2031" wp14:editId="29FBE679">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7"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4EED6073" w14:textId="77777777" w:rsidR="00280C5D" w:rsidRDefault="00280C5D" w:rsidP="003B0E72">
                <w:pPr>
                  <w:pStyle w:val="Bottomblocktext"/>
                  <w:rPr>
                    <w:sz w:val="20"/>
                    <w:szCs w:val="20"/>
                  </w:rPr>
                </w:pPr>
                <w:hyperlink r:id="rId19" w:history="1">
                  <w:r w:rsidRPr="00350211">
                    <w:rPr>
                      <w:rStyle w:val="Hyperlink"/>
                      <w:sz w:val="20"/>
                      <w:szCs w:val="20"/>
                    </w:rPr>
                    <w:t>canberrahealthservices.act.gov.au/accessibility</w:t>
                  </w:r>
                </w:hyperlink>
              </w:p>
              <w:p w14:paraId="0399FC10" w14:textId="77777777" w:rsidR="00280C5D" w:rsidRDefault="00280C5D" w:rsidP="003B0E72">
                <w:pPr>
                  <w:pStyle w:val="Bottomblocktext"/>
                </w:pPr>
                <w:r>
                  <w:rPr>
                    <w:b/>
                    <w:bCs w:val="0"/>
                    <w:noProof/>
                  </w:rPr>
                  <w:drawing>
                    <wp:inline distT="0" distB="0" distL="0" distR="0" wp14:anchorId="3FC56E4C" wp14:editId="1425383F">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0"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1"/>
      <w:bookmarkEnd w:id="17"/>
    </w:tbl>
    <w:p w14:paraId="36959E87" w14:textId="77777777" w:rsidR="00201AF6" w:rsidRDefault="00201AF6" w:rsidP="000E7683">
      <w:pPr>
        <w:rPr>
          <w:lang w:eastAsia="en-US"/>
        </w:rPr>
      </w:pPr>
    </w:p>
    <w:p w14:paraId="24EF6920" w14:textId="223EC50F" w:rsidR="00201AF6" w:rsidRDefault="00201AF6">
      <w:pPr>
        <w:spacing w:before="0" w:after="0" w:line="240" w:lineRule="auto"/>
        <w:rPr>
          <w:lang w:eastAsia="en-US"/>
        </w:rPr>
      </w:pPr>
    </w:p>
    <w:sectPr w:rsidR="00201AF6" w:rsidSect="0007270D">
      <w:footerReference w:type="default" r:id="rId21"/>
      <w:headerReference w:type="first" r:id="rId22"/>
      <w:footerReference w:type="first" r:id="rId23"/>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9F549" w14:textId="77777777" w:rsidR="00164201" w:rsidRDefault="00164201" w:rsidP="00225769">
      <w:pPr>
        <w:spacing w:after="0" w:line="240" w:lineRule="auto"/>
      </w:pPr>
      <w:r>
        <w:separator/>
      </w:r>
    </w:p>
    <w:p w14:paraId="2C73DDB8" w14:textId="77777777" w:rsidR="00164201" w:rsidRDefault="00164201"/>
    <w:p w14:paraId="740D9A68" w14:textId="77777777" w:rsidR="00164201" w:rsidRDefault="00164201"/>
    <w:p w14:paraId="48E97B52" w14:textId="77777777" w:rsidR="00164201" w:rsidRDefault="00164201"/>
    <w:p w14:paraId="402CD63A" w14:textId="77777777" w:rsidR="00164201" w:rsidRDefault="00164201"/>
    <w:p w14:paraId="132335F5" w14:textId="77777777" w:rsidR="00164201" w:rsidRDefault="00164201"/>
    <w:p w14:paraId="48D9A509" w14:textId="77777777" w:rsidR="00164201" w:rsidRDefault="00164201"/>
  </w:endnote>
  <w:endnote w:type="continuationSeparator" w:id="0">
    <w:p w14:paraId="08736CDB" w14:textId="77777777" w:rsidR="00164201" w:rsidRDefault="00164201" w:rsidP="00225769">
      <w:pPr>
        <w:spacing w:after="0" w:line="240" w:lineRule="auto"/>
      </w:pPr>
      <w:r>
        <w:continuationSeparator/>
      </w:r>
    </w:p>
    <w:p w14:paraId="4F23BB90" w14:textId="77777777" w:rsidR="00164201" w:rsidRDefault="00164201"/>
    <w:p w14:paraId="28DF7162" w14:textId="77777777" w:rsidR="00164201" w:rsidRDefault="00164201"/>
    <w:p w14:paraId="1F0D8FED" w14:textId="77777777" w:rsidR="00164201" w:rsidRDefault="00164201"/>
    <w:p w14:paraId="665729F9" w14:textId="77777777" w:rsidR="00164201" w:rsidRDefault="00164201"/>
    <w:p w14:paraId="38F21C1C" w14:textId="77777777" w:rsidR="00164201" w:rsidRDefault="00164201"/>
    <w:p w14:paraId="3B2D322B" w14:textId="77777777" w:rsidR="00164201" w:rsidRDefault="00164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592"/>
      <w:gridCol w:w="990"/>
    </w:tblGrid>
    <w:tr w:rsidR="00481A6C" w:rsidRPr="006B62B4" w14:paraId="43BC30D2" w14:textId="77777777" w:rsidTr="00597858">
      <w:trPr>
        <w:jc w:val="center"/>
      </w:trPr>
      <w:tc>
        <w:tcPr>
          <w:tcW w:w="1515" w:type="dxa"/>
        </w:tcPr>
        <w:p w14:paraId="6E787AC1"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F0A3BD8"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66A69F83"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14260D3"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592" w:type="dxa"/>
        </w:tcPr>
        <w:p w14:paraId="0A893847"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990" w:type="dxa"/>
        </w:tcPr>
        <w:p w14:paraId="4D40A30E"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481A6C" w:rsidRPr="006B62B4" w14:paraId="5E77A596" w14:textId="77777777" w:rsidTr="00597858">
      <w:trPr>
        <w:jc w:val="center"/>
      </w:trPr>
      <w:tc>
        <w:tcPr>
          <w:tcW w:w="1515" w:type="dxa"/>
        </w:tcPr>
        <w:p w14:paraId="25A9AEE0" w14:textId="229B97A1" w:rsidR="00481A6C" w:rsidRPr="00954F7B" w:rsidRDefault="00597858" w:rsidP="00481A6C">
          <w:pPr>
            <w:pStyle w:val="Footer"/>
            <w:jc w:val="center"/>
            <w:rPr>
              <w:bCs/>
              <w:iCs/>
              <w:sz w:val="20"/>
              <w:szCs w:val="20"/>
            </w:rPr>
          </w:pPr>
          <w:r>
            <w:rPr>
              <w:bCs/>
              <w:iCs/>
              <w:sz w:val="20"/>
              <w:szCs w:val="20"/>
            </w:rPr>
            <w:t>CHS25/365</w:t>
          </w:r>
        </w:p>
      </w:tc>
      <w:tc>
        <w:tcPr>
          <w:tcW w:w="965" w:type="dxa"/>
        </w:tcPr>
        <w:p w14:paraId="79A67EE5" w14:textId="26E1795B" w:rsidR="00481A6C" w:rsidRPr="00954F7B" w:rsidRDefault="00597858" w:rsidP="00481A6C">
          <w:pPr>
            <w:pStyle w:val="Footer"/>
            <w:jc w:val="center"/>
            <w:rPr>
              <w:bCs/>
              <w:iCs/>
              <w:sz w:val="20"/>
              <w:szCs w:val="20"/>
            </w:rPr>
          </w:pPr>
          <w:r>
            <w:rPr>
              <w:bCs/>
              <w:iCs/>
              <w:sz w:val="20"/>
              <w:szCs w:val="20"/>
            </w:rPr>
            <w:t>1</w:t>
          </w:r>
        </w:p>
      </w:tc>
      <w:tc>
        <w:tcPr>
          <w:tcW w:w="1552" w:type="dxa"/>
        </w:tcPr>
        <w:p w14:paraId="035F07E3" w14:textId="2F566429" w:rsidR="00481A6C" w:rsidRPr="00954F7B" w:rsidRDefault="00597858" w:rsidP="00481A6C">
          <w:pPr>
            <w:pStyle w:val="Footer"/>
            <w:jc w:val="center"/>
            <w:rPr>
              <w:bCs/>
              <w:iCs/>
              <w:sz w:val="20"/>
              <w:szCs w:val="20"/>
            </w:rPr>
          </w:pPr>
          <w:r>
            <w:rPr>
              <w:bCs/>
              <w:iCs/>
              <w:sz w:val="20"/>
              <w:szCs w:val="20"/>
            </w:rPr>
            <w:t>03/11/2025</w:t>
          </w:r>
        </w:p>
      </w:tc>
      <w:tc>
        <w:tcPr>
          <w:tcW w:w="1456" w:type="dxa"/>
        </w:tcPr>
        <w:p w14:paraId="6FBE4A22" w14:textId="6D4AC96B" w:rsidR="00481A6C" w:rsidRPr="00954F7B" w:rsidRDefault="00597858" w:rsidP="00481A6C">
          <w:pPr>
            <w:pStyle w:val="Footer"/>
            <w:jc w:val="center"/>
            <w:rPr>
              <w:bCs/>
              <w:iCs/>
              <w:sz w:val="20"/>
              <w:szCs w:val="20"/>
            </w:rPr>
          </w:pPr>
          <w:r>
            <w:rPr>
              <w:bCs/>
              <w:iCs/>
              <w:sz w:val="20"/>
              <w:szCs w:val="20"/>
            </w:rPr>
            <w:t>01/11/2029</w:t>
          </w:r>
        </w:p>
      </w:tc>
      <w:tc>
        <w:tcPr>
          <w:tcW w:w="2592" w:type="dxa"/>
        </w:tcPr>
        <w:p w14:paraId="722EDCCE" w14:textId="745345B3" w:rsidR="00481A6C" w:rsidRPr="00954F7B" w:rsidRDefault="00597858" w:rsidP="00481A6C">
          <w:pPr>
            <w:pStyle w:val="Footer"/>
            <w:jc w:val="center"/>
            <w:rPr>
              <w:bCs/>
              <w:iCs/>
              <w:sz w:val="20"/>
              <w:szCs w:val="20"/>
            </w:rPr>
          </w:pPr>
          <w:r>
            <w:rPr>
              <w:bCs/>
              <w:iCs/>
              <w:sz w:val="20"/>
              <w:szCs w:val="20"/>
            </w:rPr>
            <w:t>Women, Youth &amp; Children (WY&amp;C) - Paediatrics</w:t>
          </w:r>
        </w:p>
      </w:tc>
      <w:tc>
        <w:tcPr>
          <w:tcW w:w="990" w:type="dxa"/>
        </w:tcPr>
        <w:p w14:paraId="0AD9BEC1" w14:textId="77777777" w:rsidR="00481A6C" w:rsidRPr="00954F7B" w:rsidRDefault="00481A6C" w:rsidP="00481A6C">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F186387"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3017"/>
      <w:gridCol w:w="695"/>
    </w:tblGrid>
    <w:tr w:rsidR="008A3DD8" w:rsidRPr="006B62B4" w14:paraId="5CDC6E58" w14:textId="77777777" w:rsidTr="00597858">
      <w:trPr>
        <w:jc w:val="center"/>
      </w:trPr>
      <w:tc>
        <w:tcPr>
          <w:tcW w:w="1515" w:type="dxa"/>
        </w:tcPr>
        <w:p w14:paraId="135D25CD"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777FE3FD"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005A5BCC"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25805064"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3017" w:type="dxa"/>
        </w:tcPr>
        <w:p w14:paraId="4698D768"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565" w:type="dxa"/>
        </w:tcPr>
        <w:p w14:paraId="708C9927"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597858" w:rsidRPr="006B62B4" w14:paraId="34113F33" w14:textId="77777777" w:rsidTr="00597858">
      <w:trPr>
        <w:jc w:val="center"/>
      </w:trPr>
      <w:tc>
        <w:tcPr>
          <w:tcW w:w="1515" w:type="dxa"/>
        </w:tcPr>
        <w:p w14:paraId="0F820581" w14:textId="118064A6" w:rsidR="00597858" w:rsidRPr="00954F7B" w:rsidRDefault="00597858" w:rsidP="00597858">
          <w:pPr>
            <w:pStyle w:val="Footer"/>
            <w:jc w:val="center"/>
            <w:rPr>
              <w:bCs/>
              <w:iCs/>
              <w:sz w:val="20"/>
              <w:szCs w:val="20"/>
            </w:rPr>
          </w:pPr>
          <w:r>
            <w:rPr>
              <w:bCs/>
              <w:iCs/>
              <w:sz w:val="20"/>
              <w:szCs w:val="20"/>
            </w:rPr>
            <w:t>CHS25/365</w:t>
          </w:r>
        </w:p>
      </w:tc>
      <w:tc>
        <w:tcPr>
          <w:tcW w:w="965" w:type="dxa"/>
        </w:tcPr>
        <w:p w14:paraId="0A19F00C" w14:textId="310EC0C4" w:rsidR="00597858" w:rsidRPr="00954F7B" w:rsidRDefault="00597858" w:rsidP="00597858">
          <w:pPr>
            <w:pStyle w:val="Footer"/>
            <w:jc w:val="center"/>
            <w:rPr>
              <w:bCs/>
              <w:iCs/>
              <w:sz w:val="20"/>
              <w:szCs w:val="20"/>
            </w:rPr>
          </w:pPr>
          <w:r>
            <w:rPr>
              <w:bCs/>
              <w:iCs/>
              <w:sz w:val="20"/>
              <w:szCs w:val="20"/>
            </w:rPr>
            <w:t>1</w:t>
          </w:r>
        </w:p>
      </w:tc>
      <w:tc>
        <w:tcPr>
          <w:tcW w:w="1552" w:type="dxa"/>
        </w:tcPr>
        <w:p w14:paraId="201AA918" w14:textId="65A8D2BF" w:rsidR="00597858" w:rsidRPr="00954F7B" w:rsidRDefault="00597858" w:rsidP="00597858">
          <w:pPr>
            <w:pStyle w:val="Footer"/>
            <w:jc w:val="center"/>
            <w:rPr>
              <w:bCs/>
              <w:iCs/>
              <w:sz w:val="20"/>
              <w:szCs w:val="20"/>
            </w:rPr>
          </w:pPr>
          <w:r>
            <w:rPr>
              <w:bCs/>
              <w:iCs/>
              <w:sz w:val="20"/>
              <w:szCs w:val="20"/>
            </w:rPr>
            <w:t>03/11/2025</w:t>
          </w:r>
        </w:p>
      </w:tc>
      <w:tc>
        <w:tcPr>
          <w:tcW w:w="1456" w:type="dxa"/>
        </w:tcPr>
        <w:p w14:paraId="39D5C20E" w14:textId="43E9F749" w:rsidR="00597858" w:rsidRPr="00954F7B" w:rsidRDefault="00597858" w:rsidP="00597858">
          <w:pPr>
            <w:pStyle w:val="Footer"/>
            <w:jc w:val="center"/>
            <w:rPr>
              <w:bCs/>
              <w:iCs/>
              <w:sz w:val="20"/>
              <w:szCs w:val="20"/>
            </w:rPr>
          </w:pPr>
          <w:r>
            <w:rPr>
              <w:bCs/>
              <w:iCs/>
              <w:sz w:val="20"/>
              <w:szCs w:val="20"/>
            </w:rPr>
            <w:t>01/11/2029</w:t>
          </w:r>
        </w:p>
      </w:tc>
      <w:tc>
        <w:tcPr>
          <w:tcW w:w="3017" w:type="dxa"/>
        </w:tcPr>
        <w:p w14:paraId="58825FBD" w14:textId="517B4F96" w:rsidR="00597858" w:rsidRPr="00954F7B" w:rsidRDefault="00597858" w:rsidP="00597858">
          <w:pPr>
            <w:pStyle w:val="Footer"/>
            <w:jc w:val="center"/>
            <w:rPr>
              <w:bCs/>
              <w:iCs/>
              <w:sz w:val="20"/>
              <w:szCs w:val="20"/>
            </w:rPr>
          </w:pPr>
          <w:r>
            <w:rPr>
              <w:bCs/>
              <w:iCs/>
              <w:sz w:val="20"/>
              <w:szCs w:val="20"/>
            </w:rPr>
            <w:t>Women, Youth &amp; Children (WY&amp;C) - Paediatrics</w:t>
          </w:r>
        </w:p>
      </w:tc>
      <w:tc>
        <w:tcPr>
          <w:tcW w:w="565" w:type="dxa"/>
        </w:tcPr>
        <w:p w14:paraId="1C9FA889" w14:textId="77777777" w:rsidR="00597858" w:rsidRPr="00954F7B" w:rsidRDefault="00597858" w:rsidP="0059785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4B2608C"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B8C2B" w14:textId="77777777" w:rsidR="00164201" w:rsidRDefault="00164201" w:rsidP="009D493B">
      <w:pPr>
        <w:spacing w:after="0" w:line="240" w:lineRule="auto"/>
      </w:pPr>
      <w:r>
        <w:separator/>
      </w:r>
    </w:p>
  </w:footnote>
  <w:footnote w:type="continuationSeparator" w:id="0">
    <w:p w14:paraId="69F621E5" w14:textId="77777777" w:rsidR="00164201" w:rsidRDefault="00164201" w:rsidP="00A9080B">
      <w:pPr>
        <w:spacing w:after="0" w:line="240" w:lineRule="auto"/>
      </w:pPr>
      <w:r>
        <w:continuationSeparator/>
      </w:r>
    </w:p>
    <w:p w14:paraId="227F4C13" w14:textId="77777777" w:rsidR="00164201" w:rsidRDefault="00164201"/>
    <w:p w14:paraId="08962E60" w14:textId="77777777" w:rsidR="00164201" w:rsidRDefault="001642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66F8D" w14:textId="77777777" w:rsidR="008A3DD8" w:rsidRDefault="008A3DD8">
    <w:pPr>
      <w:pStyle w:val="Header"/>
    </w:pPr>
    <w:r w:rsidRPr="00324CF9">
      <w:rPr>
        <w:noProof/>
      </w:rPr>
      <w:drawing>
        <wp:inline distT="0" distB="0" distL="0" distR="0" wp14:anchorId="1DED2035" wp14:editId="2CF95D62">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F0A03AC"/>
    <w:lvl w:ilvl="0">
      <w:start w:val="1"/>
      <w:numFmt w:val="bullet"/>
      <w:pStyle w:val="ListBullet"/>
      <w:lvlText w:val=""/>
      <w:lvlJc w:val="left"/>
      <w:pPr>
        <w:tabs>
          <w:tab w:val="num" w:pos="720"/>
        </w:tabs>
        <w:ind w:left="720" w:hanging="360"/>
      </w:pPr>
      <w:rPr>
        <w:rFonts w:ascii="Symbol" w:hAnsi="Symbol" w:hint="default"/>
        <w:color w:val="auto"/>
      </w:rPr>
    </w:lvl>
  </w:abstractNum>
  <w:abstractNum w:abstractNumId="1"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5"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6" w15:restartNumberingAfterBreak="0">
    <w:nsid w:val="265E139E"/>
    <w:multiLevelType w:val="multilevel"/>
    <w:tmpl w:val="776E292A"/>
    <w:lvl w:ilvl="0">
      <w:start w:val="1"/>
      <w:numFmt w:val="bullet"/>
      <w:lvlText w:val="o"/>
      <w:lvlJc w:val="left"/>
      <w:pPr>
        <w:tabs>
          <w:tab w:val="num" w:pos="720"/>
        </w:tabs>
        <w:ind w:left="720" w:hanging="360"/>
      </w:pPr>
      <w:rPr>
        <w:rFonts w:ascii="Courier New" w:hAnsi="Courier New" w:cs="Courier New"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12"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4" w15:restartNumberingAfterBreak="0">
    <w:nsid w:val="4BF35DF3"/>
    <w:multiLevelType w:val="hybridMultilevel"/>
    <w:tmpl w:val="FAD44542"/>
    <w:lvl w:ilvl="0" w:tplc="0C090003">
      <w:start w:val="1"/>
      <w:numFmt w:val="bullet"/>
      <w:lvlText w:val="o"/>
      <w:lvlJc w:val="left"/>
      <w:pPr>
        <w:ind w:left="786" w:hanging="360"/>
      </w:pPr>
      <w:rPr>
        <w:rFonts w:ascii="Courier New" w:hAnsi="Courier New" w:cs="Courier New"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5"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6" w15:restartNumberingAfterBreak="0">
    <w:nsid w:val="7BE974F5"/>
    <w:multiLevelType w:val="hybridMultilevel"/>
    <w:tmpl w:val="5CFA76E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7F0662E1"/>
    <w:multiLevelType w:val="hybridMultilevel"/>
    <w:tmpl w:val="5DA03CB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648431774">
    <w:abstractNumId w:val="5"/>
  </w:num>
  <w:num w:numId="2" w16cid:durableId="842209657">
    <w:abstractNumId w:val="4"/>
  </w:num>
  <w:num w:numId="3" w16cid:durableId="660542573">
    <w:abstractNumId w:val="15"/>
  </w:num>
  <w:num w:numId="4" w16cid:durableId="1971085616">
    <w:abstractNumId w:val="9"/>
  </w:num>
  <w:num w:numId="5" w16cid:durableId="252517802">
    <w:abstractNumId w:val="10"/>
  </w:num>
  <w:num w:numId="6" w16cid:durableId="420297118">
    <w:abstractNumId w:val="13"/>
  </w:num>
  <w:num w:numId="7" w16cid:durableId="3533880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9"/>
    <w:lvlOverride w:ilvl="0">
      <w:startOverride w:val="1"/>
    </w:lvlOverride>
  </w:num>
  <w:num w:numId="9" w16cid:durableId="1747920389">
    <w:abstractNumId w:val="10"/>
    <w:lvlOverride w:ilvl="0">
      <w:startOverride w:val="1"/>
    </w:lvlOverride>
  </w:num>
  <w:num w:numId="10" w16cid:durableId="1001813381">
    <w:abstractNumId w:val="9"/>
    <w:lvlOverride w:ilvl="0">
      <w:startOverride w:val="1"/>
    </w:lvlOverride>
  </w:num>
  <w:num w:numId="11" w16cid:durableId="1103450744">
    <w:abstractNumId w:val="10"/>
    <w:lvlOverride w:ilvl="0">
      <w:startOverride w:val="1"/>
    </w:lvlOverride>
  </w:num>
  <w:num w:numId="12" w16cid:durableId="1549294228">
    <w:abstractNumId w:val="9"/>
    <w:lvlOverride w:ilvl="0">
      <w:startOverride w:val="1"/>
    </w:lvlOverride>
  </w:num>
  <w:num w:numId="13" w16cid:durableId="875854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0"/>
    <w:lvlOverride w:ilvl="0">
      <w:startOverride w:val="1"/>
    </w:lvlOverride>
  </w:num>
  <w:num w:numId="15" w16cid:durableId="12464539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15"/>
  </w:num>
  <w:num w:numId="17" w16cid:durableId="434129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7"/>
  </w:num>
  <w:num w:numId="19" w16cid:durableId="836698820">
    <w:abstractNumId w:val="11"/>
  </w:num>
  <w:num w:numId="20" w16cid:durableId="4028038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12"/>
  </w:num>
  <w:num w:numId="22" w16cid:durableId="200242115">
    <w:abstractNumId w:val="1"/>
  </w:num>
  <w:num w:numId="23" w16cid:durableId="585068731">
    <w:abstractNumId w:val="3"/>
  </w:num>
  <w:num w:numId="24" w16cid:durableId="1431437445">
    <w:abstractNumId w:val="2"/>
  </w:num>
  <w:num w:numId="25" w16cid:durableId="507214046">
    <w:abstractNumId w:val="8"/>
  </w:num>
  <w:num w:numId="26" w16cid:durableId="753861848">
    <w:abstractNumId w:val="5"/>
  </w:num>
  <w:num w:numId="27" w16cid:durableId="1980303007">
    <w:abstractNumId w:val="17"/>
  </w:num>
  <w:num w:numId="28" w16cid:durableId="2048334279">
    <w:abstractNumId w:val="0"/>
  </w:num>
  <w:num w:numId="29" w16cid:durableId="1839878267">
    <w:abstractNumId w:val="6"/>
  </w:num>
  <w:num w:numId="30" w16cid:durableId="1840777783">
    <w:abstractNumId w:val="14"/>
  </w:num>
  <w:num w:numId="31" w16cid:durableId="1665083634">
    <w:abstractNumId w:val="5"/>
  </w:num>
  <w:num w:numId="32" w16cid:durableId="1151753760">
    <w:abstractNumId w:val="16"/>
  </w:num>
  <w:num w:numId="33" w16cid:durableId="163802606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01"/>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52A"/>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5BB8"/>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713F"/>
    <w:rsid w:val="000D742A"/>
    <w:rsid w:val="000E058F"/>
    <w:rsid w:val="000E07C3"/>
    <w:rsid w:val="000E1D08"/>
    <w:rsid w:val="000E216F"/>
    <w:rsid w:val="000E5739"/>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54D8C"/>
    <w:rsid w:val="001575C5"/>
    <w:rsid w:val="001600FA"/>
    <w:rsid w:val="001616DD"/>
    <w:rsid w:val="00161AE4"/>
    <w:rsid w:val="00161FDC"/>
    <w:rsid w:val="00164201"/>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C3"/>
    <w:rsid w:val="001B1A6A"/>
    <w:rsid w:val="001B3430"/>
    <w:rsid w:val="001C0F5C"/>
    <w:rsid w:val="001C108E"/>
    <w:rsid w:val="001C223C"/>
    <w:rsid w:val="001C24A7"/>
    <w:rsid w:val="001C263F"/>
    <w:rsid w:val="001C5958"/>
    <w:rsid w:val="001C5EA1"/>
    <w:rsid w:val="001D12A9"/>
    <w:rsid w:val="001D140D"/>
    <w:rsid w:val="001D150B"/>
    <w:rsid w:val="001D195F"/>
    <w:rsid w:val="001D780B"/>
    <w:rsid w:val="001D7907"/>
    <w:rsid w:val="001E0BEA"/>
    <w:rsid w:val="001E0BED"/>
    <w:rsid w:val="001E2C6F"/>
    <w:rsid w:val="001E30A5"/>
    <w:rsid w:val="001E3D5B"/>
    <w:rsid w:val="001E46B4"/>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4308"/>
    <w:rsid w:val="00280051"/>
    <w:rsid w:val="00280C5D"/>
    <w:rsid w:val="00281798"/>
    <w:rsid w:val="00281830"/>
    <w:rsid w:val="002827C4"/>
    <w:rsid w:val="00284D13"/>
    <w:rsid w:val="00292A6B"/>
    <w:rsid w:val="00293B6B"/>
    <w:rsid w:val="00294759"/>
    <w:rsid w:val="00294B76"/>
    <w:rsid w:val="00294F1A"/>
    <w:rsid w:val="00295D79"/>
    <w:rsid w:val="0029655B"/>
    <w:rsid w:val="002A0163"/>
    <w:rsid w:val="002A295E"/>
    <w:rsid w:val="002B2713"/>
    <w:rsid w:val="002B3511"/>
    <w:rsid w:val="002B3D19"/>
    <w:rsid w:val="002B3F13"/>
    <w:rsid w:val="002B434C"/>
    <w:rsid w:val="002B5D29"/>
    <w:rsid w:val="002C39F9"/>
    <w:rsid w:val="002C58B8"/>
    <w:rsid w:val="002C7500"/>
    <w:rsid w:val="002C75BC"/>
    <w:rsid w:val="002D1CA0"/>
    <w:rsid w:val="002D22CF"/>
    <w:rsid w:val="002D4BB3"/>
    <w:rsid w:val="002D56A1"/>
    <w:rsid w:val="002D59A9"/>
    <w:rsid w:val="002D5A00"/>
    <w:rsid w:val="002D7682"/>
    <w:rsid w:val="002E1341"/>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45F2F"/>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3189"/>
    <w:rsid w:val="00385359"/>
    <w:rsid w:val="00385468"/>
    <w:rsid w:val="00390CE7"/>
    <w:rsid w:val="00390DAE"/>
    <w:rsid w:val="00393C61"/>
    <w:rsid w:val="00393FF3"/>
    <w:rsid w:val="0039618C"/>
    <w:rsid w:val="0039633A"/>
    <w:rsid w:val="00396B90"/>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7810"/>
    <w:rsid w:val="003D10DD"/>
    <w:rsid w:val="003D1C0C"/>
    <w:rsid w:val="003D3B16"/>
    <w:rsid w:val="003D60E0"/>
    <w:rsid w:val="003D709B"/>
    <w:rsid w:val="003D7463"/>
    <w:rsid w:val="003E0103"/>
    <w:rsid w:val="003E0A22"/>
    <w:rsid w:val="003E4F7D"/>
    <w:rsid w:val="003E727F"/>
    <w:rsid w:val="003E7D3D"/>
    <w:rsid w:val="003F01DF"/>
    <w:rsid w:val="003F2C18"/>
    <w:rsid w:val="003F6C0E"/>
    <w:rsid w:val="00407C75"/>
    <w:rsid w:val="00411B14"/>
    <w:rsid w:val="00412C91"/>
    <w:rsid w:val="004132C5"/>
    <w:rsid w:val="00414064"/>
    <w:rsid w:val="00415DFF"/>
    <w:rsid w:val="00417745"/>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CC"/>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89D"/>
    <w:rsid w:val="00486165"/>
    <w:rsid w:val="0049014C"/>
    <w:rsid w:val="00490E9B"/>
    <w:rsid w:val="00492356"/>
    <w:rsid w:val="004957A2"/>
    <w:rsid w:val="004A0201"/>
    <w:rsid w:val="004A178D"/>
    <w:rsid w:val="004A1C33"/>
    <w:rsid w:val="004A42AC"/>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69C3"/>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30642"/>
    <w:rsid w:val="00530F88"/>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97858"/>
    <w:rsid w:val="005A0348"/>
    <w:rsid w:val="005A1FA3"/>
    <w:rsid w:val="005A27C0"/>
    <w:rsid w:val="005A4691"/>
    <w:rsid w:val="005A61F4"/>
    <w:rsid w:val="005A74FF"/>
    <w:rsid w:val="005A7C67"/>
    <w:rsid w:val="005B0CE8"/>
    <w:rsid w:val="005B194A"/>
    <w:rsid w:val="005B234E"/>
    <w:rsid w:val="005B3D8A"/>
    <w:rsid w:val="005B3EC2"/>
    <w:rsid w:val="005C1D68"/>
    <w:rsid w:val="005C58FA"/>
    <w:rsid w:val="005C5F49"/>
    <w:rsid w:val="005C71BC"/>
    <w:rsid w:val="005D1E25"/>
    <w:rsid w:val="005D2629"/>
    <w:rsid w:val="005D4A78"/>
    <w:rsid w:val="005D54F1"/>
    <w:rsid w:val="005D5820"/>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4940"/>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46A54"/>
    <w:rsid w:val="00650B7F"/>
    <w:rsid w:val="006553EC"/>
    <w:rsid w:val="00655674"/>
    <w:rsid w:val="00656027"/>
    <w:rsid w:val="00656746"/>
    <w:rsid w:val="006623D2"/>
    <w:rsid w:val="0067005A"/>
    <w:rsid w:val="00680130"/>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1521"/>
    <w:rsid w:val="006C39B7"/>
    <w:rsid w:val="006C3C89"/>
    <w:rsid w:val="006C4E7E"/>
    <w:rsid w:val="006C58A8"/>
    <w:rsid w:val="006C7001"/>
    <w:rsid w:val="006C7362"/>
    <w:rsid w:val="006D11DF"/>
    <w:rsid w:val="006D2547"/>
    <w:rsid w:val="006D3EF5"/>
    <w:rsid w:val="006D47A7"/>
    <w:rsid w:val="006E0951"/>
    <w:rsid w:val="006E10A6"/>
    <w:rsid w:val="006E4456"/>
    <w:rsid w:val="006E462E"/>
    <w:rsid w:val="006E5856"/>
    <w:rsid w:val="006E71A5"/>
    <w:rsid w:val="006E73F9"/>
    <w:rsid w:val="006E79D7"/>
    <w:rsid w:val="006F0585"/>
    <w:rsid w:val="006F47AA"/>
    <w:rsid w:val="006F73C8"/>
    <w:rsid w:val="00700549"/>
    <w:rsid w:val="00700B1E"/>
    <w:rsid w:val="00700B46"/>
    <w:rsid w:val="00702088"/>
    <w:rsid w:val="00702564"/>
    <w:rsid w:val="007033DE"/>
    <w:rsid w:val="00703CCF"/>
    <w:rsid w:val="00705460"/>
    <w:rsid w:val="00712F00"/>
    <w:rsid w:val="00721B04"/>
    <w:rsid w:val="00721E2A"/>
    <w:rsid w:val="00724D61"/>
    <w:rsid w:val="007277AF"/>
    <w:rsid w:val="00735CAA"/>
    <w:rsid w:val="0073719C"/>
    <w:rsid w:val="00742A96"/>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D3448"/>
    <w:rsid w:val="007E04CD"/>
    <w:rsid w:val="007E4E9A"/>
    <w:rsid w:val="007E4F28"/>
    <w:rsid w:val="007E6EE6"/>
    <w:rsid w:val="007F0B78"/>
    <w:rsid w:val="007F29F8"/>
    <w:rsid w:val="007F2D82"/>
    <w:rsid w:val="007F43F2"/>
    <w:rsid w:val="007F48B2"/>
    <w:rsid w:val="007F4EF0"/>
    <w:rsid w:val="007F5CFF"/>
    <w:rsid w:val="0081013E"/>
    <w:rsid w:val="00810C0D"/>
    <w:rsid w:val="008113B4"/>
    <w:rsid w:val="008114F0"/>
    <w:rsid w:val="00814D74"/>
    <w:rsid w:val="00814DE5"/>
    <w:rsid w:val="00815E85"/>
    <w:rsid w:val="00820942"/>
    <w:rsid w:val="008248D1"/>
    <w:rsid w:val="0082586A"/>
    <w:rsid w:val="008261B4"/>
    <w:rsid w:val="00827EDE"/>
    <w:rsid w:val="00832EAB"/>
    <w:rsid w:val="008358B4"/>
    <w:rsid w:val="00842EF4"/>
    <w:rsid w:val="00843D15"/>
    <w:rsid w:val="00845AA0"/>
    <w:rsid w:val="0085107C"/>
    <w:rsid w:val="008510FF"/>
    <w:rsid w:val="008530BE"/>
    <w:rsid w:val="008540FA"/>
    <w:rsid w:val="008606A0"/>
    <w:rsid w:val="00861E1B"/>
    <w:rsid w:val="00863446"/>
    <w:rsid w:val="00863E4E"/>
    <w:rsid w:val="00867895"/>
    <w:rsid w:val="00875FE9"/>
    <w:rsid w:val="0087684F"/>
    <w:rsid w:val="00876CAC"/>
    <w:rsid w:val="00885A76"/>
    <w:rsid w:val="00886079"/>
    <w:rsid w:val="00891F34"/>
    <w:rsid w:val="00895C04"/>
    <w:rsid w:val="008970B7"/>
    <w:rsid w:val="008A0530"/>
    <w:rsid w:val="008A0810"/>
    <w:rsid w:val="008A08DF"/>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210"/>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109"/>
    <w:rsid w:val="009903CC"/>
    <w:rsid w:val="00995B1B"/>
    <w:rsid w:val="00997834"/>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16D"/>
    <w:rsid w:val="00A2629A"/>
    <w:rsid w:val="00A26F1E"/>
    <w:rsid w:val="00A272D4"/>
    <w:rsid w:val="00A2737A"/>
    <w:rsid w:val="00A303C6"/>
    <w:rsid w:val="00A31E06"/>
    <w:rsid w:val="00A32873"/>
    <w:rsid w:val="00A32B6F"/>
    <w:rsid w:val="00A333F2"/>
    <w:rsid w:val="00A34EAB"/>
    <w:rsid w:val="00A41E01"/>
    <w:rsid w:val="00A435C8"/>
    <w:rsid w:val="00A45D6C"/>
    <w:rsid w:val="00A470E3"/>
    <w:rsid w:val="00A513AA"/>
    <w:rsid w:val="00A6051F"/>
    <w:rsid w:val="00A60EED"/>
    <w:rsid w:val="00A621FE"/>
    <w:rsid w:val="00A6232E"/>
    <w:rsid w:val="00A64430"/>
    <w:rsid w:val="00A65B37"/>
    <w:rsid w:val="00A65C0A"/>
    <w:rsid w:val="00A66966"/>
    <w:rsid w:val="00A721C0"/>
    <w:rsid w:val="00A7294C"/>
    <w:rsid w:val="00A731B8"/>
    <w:rsid w:val="00A7517C"/>
    <w:rsid w:val="00A774B1"/>
    <w:rsid w:val="00A84013"/>
    <w:rsid w:val="00A84E3E"/>
    <w:rsid w:val="00A856B1"/>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B5E0A"/>
    <w:rsid w:val="00AC0797"/>
    <w:rsid w:val="00AC2EDE"/>
    <w:rsid w:val="00AC53AF"/>
    <w:rsid w:val="00AD4F9D"/>
    <w:rsid w:val="00AD628A"/>
    <w:rsid w:val="00AE05E1"/>
    <w:rsid w:val="00AE0AC0"/>
    <w:rsid w:val="00AE1093"/>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0C2B"/>
    <w:rsid w:val="00B024D9"/>
    <w:rsid w:val="00B03FFF"/>
    <w:rsid w:val="00B0502D"/>
    <w:rsid w:val="00B058EF"/>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2163"/>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3580"/>
    <w:rsid w:val="00BC4D26"/>
    <w:rsid w:val="00BC52C7"/>
    <w:rsid w:val="00BC5518"/>
    <w:rsid w:val="00BD054F"/>
    <w:rsid w:val="00BD078D"/>
    <w:rsid w:val="00BD429D"/>
    <w:rsid w:val="00BD44A9"/>
    <w:rsid w:val="00BD6D69"/>
    <w:rsid w:val="00BE1539"/>
    <w:rsid w:val="00BE4EDA"/>
    <w:rsid w:val="00BE7AC7"/>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45A5"/>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DBF"/>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6FF"/>
    <w:rsid w:val="00C84E28"/>
    <w:rsid w:val="00C84F08"/>
    <w:rsid w:val="00C90647"/>
    <w:rsid w:val="00C91310"/>
    <w:rsid w:val="00CA0192"/>
    <w:rsid w:val="00CA43F1"/>
    <w:rsid w:val="00CA4FDE"/>
    <w:rsid w:val="00CA70E7"/>
    <w:rsid w:val="00CA7319"/>
    <w:rsid w:val="00CB228A"/>
    <w:rsid w:val="00CB2E17"/>
    <w:rsid w:val="00CB3056"/>
    <w:rsid w:val="00CB3987"/>
    <w:rsid w:val="00CB7E08"/>
    <w:rsid w:val="00CC4F4F"/>
    <w:rsid w:val="00CC5AD8"/>
    <w:rsid w:val="00CD434F"/>
    <w:rsid w:val="00CE1D90"/>
    <w:rsid w:val="00CE2446"/>
    <w:rsid w:val="00CE3D55"/>
    <w:rsid w:val="00CE5F47"/>
    <w:rsid w:val="00CE6986"/>
    <w:rsid w:val="00CE7442"/>
    <w:rsid w:val="00CE78F5"/>
    <w:rsid w:val="00CF24D4"/>
    <w:rsid w:val="00CF3925"/>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3C66"/>
    <w:rsid w:val="00D56DA0"/>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5D0C"/>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D4464"/>
    <w:rsid w:val="00DD6074"/>
    <w:rsid w:val="00DD693A"/>
    <w:rsid w:val="00DE125D"/>
    <w:rsid w:val="00DE5620"/>
    <w:rsid w:val="00DE5C6B"/>
    <w:rsid w:val="00DE6056"/>
    <w:rsid w:val="00DE6090"/>
    <w:rsid w:val="00DF1CBC"/>
    <w:rsid w:val="00DF3EFE"/>
    <w:rsid w:val="00E02685"/>
    <w:rsid w:val="00E0642F"/>
    <w:rsid w:val="00E104DF"/>
    <w:rsid w:val="00E17DC5"/>
    <w:rsid w:val="00E21634"/>
    <w:rsid w:val="00E226D2"/>
    <w:rsid w:val="00E25BA6"/>
    <w:rsid w:val="00E27141"/>
    <w:rsid w:val="00E272E4"/>
    <w:rsid w:val="00E31382"/>
    <w:rsid w:val="00E31596"/>
    <w:rsid w:val="00E3510F"/>
    <w:rsid w:val="00E3663A"/>
    <w:rsid w:val="00E367AD"/>
    <w:rsid w:val="00E3733D"/>
    <w:rsid w:val="00E40792"/>
    <w:rsid w:val="00E41BFA"/>
    <w:rsid w:val="00E43707"/>
    <w:rsid w:val="00E43DCB"/>
    <w:rsid w:val="00E45226"/>
    <w:rsid w:val="00E45436"/>
    <w:rsid w:val="00E4712A"/>
    <w:rsid w:val="00E47EAF"/>
    <w:rsid w:val="00E55664"/>
    <w:rsid w:val="00E563D9"/>
    <w:rsid w:val="00E56F2D"/>
    <w:rsid w:val="00E5710E"/>
    <w:rsid w:val="00E63941"/>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E285A"/>
    <w:rsid w:val="00EE3372"/>
    <w:rsid w:val="00EE5549"/>
    <w:rsid w:val="00EE5A45"/>
    <w:rsid w:val="00EE6F7A"/>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0B1B"/>
    <w:rsid w:val="00F622D7"/>
    <w:rsid w:val="00F658A9"/>
    <w:rsid w:val="00F71652"/>
    <w:rsid w:val="00F74407"/>
    <w:rsid w:val="00F764BE"/>
    <w:rsid w:val="00F77117"/>
    <w:rsid w:val="00F826D8"/>
    <w:rsid w:val="00F84AF1"/>
    <w:rsid w:val="00F86E9A"/>
    <w:rsid w:val="00F879C4"/>
    <w:rsid w:val="00F87D53"/>
    <w:rsid w:val="00F9196B"/>
    <w:rsid w:val="00F93B27"/>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46F1"/>
    <w:rsid w:val="00FE5081"/>
    <w:rsid w:val="00FE6A99"/>
    <w:rsid w:val="00FE70A6"/>
    <w:rsid w:val="00FE7FF1"/>
    <w:rsid w:val="00FF0FE9"/>
    <w:rsid w:val="00FF248A"/>
    <w:rsid w:val="00FF3F96"/>
    <w:rsid w:val="00FF55B2"/>
    <w:rsid w:val="00FF674A"/>
    <w:rsid w:val="00FF680D"/>
    <w:rsid w:val="029FBA6E"/>
    <w:rsid w:val="049478A4"/>
    <w:rsid w:val="09B0E07C"/>
    <w:rsid w:val="09BC8A33"/>
    <w:rsid w:val="0E9C607C"/>
    <w:rsid w:val="0F5C5220"/>
    <w:rsid w:val="12362741"/>
    <w:rsid w:val="12A25E85"/>
    <w:rsid w:val="12ECF447"/>
    <w:rsid w:val="179DA11F"/>
    <w:rsid w:val="17AB4774"/>
    <w:rsid w:val="194DF7E6"/>
    <w:rsid w:val="1CF34C94"/>
    <w:rsid w:val="20AE77CC"/>
    <w:rsid w:val="21D095BA"/>
    <w:rsid w:val="227466C9"/>
    <w:rsid w:val="24CD5AA3"/>
    <w:rsid w:val="26F5B269"/>
    <w:rsid w:val="2976A4FE"/>
    <w:rsid w:val="29AB242E"/>
    <w:rsid w:val="2E32B243"/>
    <w:rsid w:val="34401756"/>
    <w:rsid w:val="38E7EB0F"/>
    <w:rsid w:val="39B8F8C8"/>
    <w:rsid w:val="39C8F4E1"/>
    <w:rsid w:val="457273EF"/>
    <w:rsid w:val="45A8F38A"/>
    <w:rsid w:val="4601D5EA"/>
    <w:rsid w:val="471A6014"/>
    <w:rsid w:val="4766032A"/>
    <w:rsid w:val="4796DD0C"/>
    <w:rsid w:val="4956A3E1"/>
    <w:rsid w:val="4A015FE1"/>
    <w:rsid w:val="4C6D5738"/>
    <w:rsid w:val="4FBB4200"/>
    <w:rsid w:val="4FC1C12F"/>
    <w:rsid w:val="512ECCA1"/>
    <w:rsid w:val="51F71D6D"/>
    <w:rsid w:val="548F6A8F"/>
    <w:rsid w:val="563D494B"/>
    <w:rsid w:val="57E8ED40"/>
    <w:rsid w:val="57FEBA46"/>
    <w:rsid w:val="586817AA"/>
    <w:rsid w:val="5868F05C"/>
    <w:rsid w:val="5AFDE1F9"/>
    <w:rsid w:val="5F1A89BA"/>
    <w:rsid w:val="60DAD1D1"/>
    <w:rsid w:val="63C2AD02"/>
    <w:rsid w:val="64B95892"/>
    <w:rsid w:val="6616832F"/>
    <w:rsid w:val="675B3881"/>
    <w:rsid w:val="68B58255"/>
    <w:rsid w:val="69A17F56"/>
    <w:rsid w:val="6B81D8E8"/>
    <w:rsid w:val="6ED53681"/>
    <w:rsid w:val="71616F64"/>
    <w:rsid w:val="72B7E9F8"/>
    <w:rsid w:val="75E984B2"/>
    <w:rsid w:val="777599DB"/>
    <w:rsid w:val="77B73B6E"/>
    <w:rsid w:val="798A6D84"/>
    <w:rsid w:val="79BAA38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544CA8BA"/>
  <w15:docId w15:val="{BE96B9D2-D8EC-4253-BDCD-0125EA7AD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Bullet">
    <w:name w:val="List Bullet"/>
    <w:basedOn w:val="Normal"/>
    <w:uiPriority w:val="99"/>
    <w:qFormat/>
    <w:rsid w:val="00490E9B"/>
    <w:pPr>
      <w:numPr>
        <w:numId w:val="28"/>
      </w:numPr>
      <w:spacing w:before="0" w:after="0" w:line="240" w:lineRule="auto"/>
      <w:ind w:left="426" w:hanging="426"/>
    </w:pPr>
    <w:rPr>
      <w:rFonts w:ascii="Calibri" w:eastAsia="Times New Roman" w:hAnsi="Calibri" w:cs="Times New Roman"/>
      <w:color w:val="auto"/>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05879888">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nmfonline.org/wp-content/uploads/2021/06/timolol-topical-17052021-2.0.pdf"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anmfonline.org/wp-content/uploads/2023/05/Atenolol-for-infantile-haemangioma_ANMFv1.0_20221110.pdf" TargetMode="Externa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ch.org.au/kidsinfo/fact_sheets/treatment_for_haemangiomas_with_beta_blockers/"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footer" Target="footer2.xml"/><Relationship Id="rId10" Type="http://schemas.openxmlformats.org/officeDocument/2006/relationships/hyperlink" Target="https://www.anmfonline.org/clinical-resources/" TargetMode="External"/><Relationship Id="rId19" Type="http://schemas.openxmlformats.org/officeDocument/2006/relationships/hyperlink" Target="https://www.canberrahealthservices.act.gov.au/accessibil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nmfonline.org/wp-content/uploads/2022/09/Propranolol-for-infantile-haemangioma_ANMFv1.0_full_20190415.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90BE2DBDBC491D8B45BF3905826AC7"/>
        <w:category>
          <w:name w:val="General"/>
          <w:gallery w:val="placeholder"/>
        </w:category>
        <w:types>
          <w:type w:val="bbPlcHdr"/>
        </w:types>
        <w:behaviors>
          <w:behavior w:val="content"/>
        </w:behaviors>
        <w:guid w:val="{28142DD4-F37A-4E06-AAD4-10AEA2879439}"/>
      </w:docPartPr>
      <w:docPartBody>
        <w:p w:rsidR="008A08DF" w:rsidRDefault="008A08DF">
          <w:pPr>
            <w:pStyle w:val="9A90BE2DBDBC491D8B45BF3905826AC7"/>
          </w:pPr>
          <w:r>
            <w:rPr>
              <w:noProof/>
              <w:sz w:val="20"/>
              <w:szCs w:val="20"/>
            </w:rPr>
            <w:drawing>
              <wp:inline distT="0" distB="0" distL="0" distR="0" wp14:anchorId="2EA953C7" wp14:editId="2EA953C8">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B1BCF1324C754FBE9D220E9FE679F95F"/>
        <w:category>
          <w:name w:val="General"/>
          <w:gallery w:val="placeholder"/>
        </w:category>
        <w:types>
          <w:type w:val="bbPlcHdr"/>
        </w:types>
        <w:behaviors>
          <w:behavior w:val="content"/>
        </w:behaviors>
        <w:guid w:val="{F5AEF983-4680-42EA-A1E0-7A4E5AA747A3}"/>
      </w:docPartPr>
      <w:docPartBody>
        <w:p w:rsidR="008A08DF" w:rsidRDefault="008A08DF">
          <w:pPr>
            <w:pStyle w:val="B1BCF1324C754FBE9D220E9FE679F95F"/>
          </w:pPr>
          <w:r w:rsidRPr="00EE29F8">
            <w:rPr>
              <w:rStyle w:val="PlaceholderText"/>
            </w:rPr>
            <w:t>Choose an item.</w:t>
          </w:r>
        </w:p>
      </w:docPartBody>
    </w:docPart>
    <w:docPart>
      <w:docPartPr>
        <w:name w:val="D50D77D17E5240D3A3A43BCB75C1C6A1"/>
        <w:category>
          <w:name w:val="General"/>
          <w:gallery w:val="placeholder"/>
        </w:category>
        <w:types>
          <w:type w:val="bbPlcHdr"/>
        </w:types>
        <w:behaviors>
          <w:behavior w:val="content"/>
        </w:behaviors>
        <w:guid w:val="{D4B227EA-6BC2-4EE5-9B8A-E748317496F5}"/>
      </w:docPartPr>
      <w:docPartBody>
        <w:p w:rsidR="008A08DF" w:rsidRPr="00F26C97" w:rsidRDefault="008A08DF" w:rsidP="003B0E72">
          <w:pPr>
            <w:pStyle w:val="Bottomblocktext"/>
            <w:rPr>
              <w:b/>
              <w:bCs w:val="0"/>
              <w:sz w:val="20"/>
              <w:szCs w:val="20"/>
            </w:rPr>
          </w:pPr>
          <w:r>
            <w:rPr>
              <w:b/>
              <w:bCs w:val="0"/>
              <w:noProof/>
              <w:sz w:val="20"/>
              <w:szCs w:val="20"/>
            </w:rPr>
            <w:drawing>
              <wp:inline distT="0" distB="0" distL="0" distR="0" wp14:anchorId="2EA953C9" wp14:editId="2EA953CA">
                <wp:extent cx="338275" cy="331065"/>
                <wp:effectExtent l="0" t="0" r="5080" b="0"/>
                <wp:docPr id="1284785863"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EA953CB" wp14:editId="2EA953CC">
                <wp:extent cx="143919" cy="139700"/>
                <wp:effectExtent l="0" t="0" r="8890" b="0"/>
                <wp:docPr id="194100911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8A08DF" w:rsidRPr="00F26C97" w:rsidRDefault="008A08DF" w:rsidP="003B0E72">
          <w:pPr>
            <w:pStyle w:val="Bottomblocktext"/>
            <w:rPr>
              <w:b/>
              <w:bCs w:val="0"/>
              <w:sz w:val="20"/>
              <w:szCs w:val="20"/>
            </w:rPr>
          </w:pPr>
          <w:r>
            <w:rPr>
              <w:b/>
              <w:bCs w:val="0"/>
              <w:noProof/>
              <w:sz w:val="20"/>
              <w:szCs w:val="20"/>
            </w:rPr>
            <w:drawing>
              <wp:inline distT="0" distB="0" distL="0" distR="0" wp14:anchorId="2EA953CD" wp14:editId="2EA953CE">
                <wp:extent cx="326104" cy="323850"/>
                <wp:effectExtent l="0" t="0" r="0" b="0"/>
                <wp:docPr id="1863548746"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EA953CF" wp14:editId="2EA953D0">
                <wp:extent cx="143919" cy="139700"/>
                <wp:effectExtent l="0" t="0" r="8890" b="0"/>
                <wp:docPr id="56404385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8A08DF" w:rsidRDefault="008A08DF" w:rsidP="003B0E72">
          <w:pPr>
            <w:pStyle w:val="Bottomblocktext"/>
            <w:rPr>
              <w:sz w:val="20"/>
              <w:szCs w:val="20"/>
            </w:rPr>
          </w:pPr>
          <w:hyperlink r:id="rId8" w:history="1">
            <w:r w:rsidRPr="00350211">
              <w:rPr>
                <w:rStyle w:val="Hyperlink"/>
                <w:sz w:val="20"/>
                <w:szCs w:val="20"/>
              </w:rPr>
              <w:t>canberrahealthservices.act.gov.au/accessibility</w:t>
            </w:r>
          </w:hyperlink>
        </w:p>
        <w:p w:rsidR="008A08DF" w:rsidRDefault="008A08DF">
          <w:pPr>
            <w:pStyle w:val="D50D77D17E5240D3A3A43BCB75C1C6A1"/>
          </w:pPr>
          <w:r>
            <w:rPr>
              <w:b/>
              <w:bCs/>
              <w:noProof/>
            </w:rPr>
            <w:drawing>
              <wp:inline distT="0" distB="0" distL="0" distR="0" wp14:anchorId="2EA953D1" wp14:editId="2EA953D2">
                <wp:extent cx="1323833" cy="309418"/>
                <wp:effectExtent l="0" t="0" r="0" b="0"/>
                <wp:docPr id="1056120016"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8DF"/>
    <w:rsid w:val="00095BB8"/>
    <w:rsid w:val="000E216F"/>
    <w:rsid w:val="001E46B4"/>
    <w:rsid w:val="005A61F4"/>
    <w:rsid w:val="005D1E25"/>
    <w:rsid w:val="00646A54"/>
    <w:rsid w:val="006C58A8"/>
    <w:rsid w:val="007E4F28"/>
    <w:rsid w:val="008A08DF"/>
    <w:rsid w:val="00990109"/>
    <w:rsid w:val="00B00C2B"/>
    <w:rsid w:val="00E6394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90BE2DBDBC491D8B45BF3905826AC7">
    <w:name w:val="9A90BE2DBDBC491D8B45BF3905826AC7"/>
  </w:style>
  <w:style w:type="character" w:styleId="PlaceholderText">
    <w:name w:val="Placeholder Text"/>
    <w:basedOn w:val="DefaultParagraphFont"/>
    <w:uiPriority w:val="99"/>
    <w:semiHidden/>
    <w:rPr>
      <w:color w:val="808080"/>
    </w:rPr>
  </w:style>
  <w:style w:type="paragraph" w:customStyle="1" w:styleId="B1BCF1324C754FBE9D220E9FE679F95F">
    <w:name w:val="B1BCF1324C754FBE9D220E9FE679F95F"/>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D50D77D17E5240D3A3A43BCB75C1C6A1">
    <w:name w:val="D50D77D17E5240D3A3A43BCB75C1C6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baa89489f6f64e41f55b3cdda9719f36">
  <xsd:schema xmlns:xsd="http://www.w3.org/2001/XMLSchema" xmlns:xs="http://www.w3.org/2001/XMLSchema" xmlns:p="http://schemas.microsoft.com/office/2006/metadata/properties" xmlns:ns2="9452bbcf-1ed2-48a4-a338-c9ad680dbbbb" targetNamespace="http://schemas.microsoft.com/office/2006/metadata/properties" ma:root="true" ma:fieldsID="1246dfdb60b0296429c319c6df19386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324DF37B-C6D8-484C-AF2F-347826AC7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7</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Golley, Pip (Health)</dc:creator>
  <cp:lastModifiedBy>Rusanov, Zoia</cp:lastModifiedBy>
  <cp:revision>6</cp:revision>
  <cp:lastPrinted>2017-05-22T07:29:00Z</cp:lastPrinted>
  <dcterms:created xsi:type="dcterms:W3CDTF">2025-10-27T00:44:00Z</dcterms:created>
  <dcterms:modified xsi:type="dcterms:W3CDTF">2025-11-02T23:51:00Z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