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93C0" w14:textId="23DB4F65"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0F2193C2" w14:textId="00607CA3" w:rsidR="00A86A9D" w:rsidRPr="00362267" w:rsidRDefault="004478B1" w:rsidP="00362267">
      <w:pPr>
        <w:rPr>
          <w:rFonts w:cs="Arial"/>
          <w:b/>
          <w:sz w:val="36"/>
          <w:szCs w:val="36"/>
        </w:rPr>
      </w:pPr>
      <w:r w:rsidRPr="001815B8">
        <w:rPr>
          <w:rFonts w:cs="Arial"/>
          <w:b/>
          <w:sz w:val="36"/>
          <w:szCs w:val="36"/>
        </w:rPr>
        <w:t>Intraoperative Cell Salvage</w:t>
      </w:r>
      <w:r w:rsidR="006F2927">
        <w:rPr>
          <w:rFonts w:cs="Arial"/>
          <w:b/>
          <w:sz w:val="36"/>
          <w:szCs w:val="36"/>
        </w:rPr>
        <w:t xml:space="preserve"> Guideline</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37AD4983" w14:textId="77777777" w:rsidR="001063C3" w:rsidRPr="001063C3" w:rsidRDefault="001063C3" w:rsidP="004478B1">
      <w:pPr>
        <w:rPr>
          <w:szCs w:val="24"/>
        </w:rPr>
      </w:pPr>
    </w:p>
    <w:p w14:paraId="6BD3C69C" w14:textId="0A198D49" w:rsidR="004478B1" w:rsidRPr="001815B8" w:rsidRDefault="004478B1" w:rsidP="004478B1">
      <w:r w:rsidRPr="001815B8">
        <w:t xml:space="preserve">Canberra Health Services (CHS) endorses the use of the National Blood Authority (NBA) Guidance for the Provision of Intraoperative Cell Salvage </w:t>
      </w:r>
      <w:r w:rsidR="00AC19DF">
        <w:t>G</w:t>
      </w:r>
      <w:r w:rsidR="00F866DE">
        <w:t>uideline</w:t>
      </w:r>
      <w:r>
        <w:t>.</w:t>
      </w:r>
    </w:p>
    <w:p w14:paraId="36774B5A" w14:textId="77777777" w:rsidR="004478B1" w:rsidRPr="001815B8" w:rsidRDefault="004478B1" w:rsidP="004478B1">
      <w:pPr>
        <w:rPr>
          <w:rFonts w:asciiTheme="minorHAnsi" w:hAnsiTheme="minorHAnsi" w:cs="Arial"/>
          <w:szCs w:val="24"/>
        </w:rPr>
      </w:pPr>
    </w:p>
    <w:p w14:paraId="19929F21" w14:textId="076B7DF0" w:rsidR="004478B1" w:rsidRPr="001815B8" w:rsidRDefault="00F866DE" w:rsidP="004478B1">
      <w:pPr>
        <w:rPr>
          <w:rFonts w:asciiTheme="minorHAnsi" w:hAnsiTheme="minorHAnsi"/>
          <w:szCs w:val="24"/>
        </w:rPr>
      </w:pPr>
      <w:r w:rsidRPr="001815B8">
        <w:t xml:space="preserve">Guidance for the Provision of Intraoperative Cell Salvage </w:t>
      </w:r>
      <w:r w:rsidR="004478B1" w:rsidRPr="001815B8">
        <w:rPr>
          <w:rFonts w:asciiTheme="minorHAnsi" w:hAnsiTheme="minorHAnsi" w:cs="Arial"/>
          <w:szCs w:val="24"/>
        </w:rPr>
        <w:t xml:space="preserve">is a National Guideline </w:t>
      </w:r>
      <w:r w:rsidR="004478B1" w:rsidRPr="001815B8">
        <w:rPr>
          <w:rFonts w:asciiTheme="minorHAnsi" w:hAnsiTheme="minorHAnsi"/>
          <w:szCs w:val="24"/>
        </w:rPr>
        <w:t xml:space="preserve">with clinical recommendations based on the best scientific evidence available at the time of publication. </w:t>
      </w:r>
    </w:p>
    <w:p w14:paraId="28EF69E4" w14:textId="77777777" w:rsidR="004478B1" w:rsidRPr="001815B8" w:rsidRDefault="004478B1" w:rsidP="004478B1">
      <w:pPr>
        <w:rPr>
          <w:rFonts w:asciiTheme="minorHAnsi" w:hAnsiTheme="minorHAnsi"/>
          <w:szCs w:val="24"/>
        </w:rPr>
      </w:pPr>
    </w:p>
    <w:p w14:paraId="03BE0C73" w14:textId="6AD3DDEE" w:rsidR="004478B1" w:rsidRPr="001815B8" w:rsidRDefault="004478B1" w:rsidP="004478B1">
      <w:pPr>
        <w:autoSpaceDE w:val="0"/>
        <w:autoSpaceDN w:val="0"/>
        <w:adjustRightInd w:val="0"/>
        <w:rPr>
          <w:rFonts w:asciiTheme="minorHAnsi" w:eastAsiaTheme="minorHAnsi" w:hAnsiTheme="minorHAnsi" w:cs="TitilliumText25L-400wt"/>
          <w:color w:val="000006"/>
          <w:szCs w:val="24"/>
        </w:rPr>
      </w:pPr>
      <w:r w:rsidRPr="001815B8">
        <w:rPr>
          <w:rFonts w:asciiTheme="minorHAnsi" w:eastAsiaTheme="minorHAnsi" w:hAnsiTheme="minorHAnsi" w:cs="TitilliumText25L-400wt"/>
          <w:szCs w:val="24"/>
        </w:rPr>
        <w:t>This guideline has been written to support the implementation</w:t>
      </w:r>
      <w:r>
        <w:rPr>
          <w:rFonts w:asciiTheme="minorHAnsi" w:eastAsiaTheme="minorHAnsi" w:hAnsiTheme="minorHAnsi" w:cs="TitilliumText25L-400wt"/>
          <w:szCs w:val="24"/>
        </w:rPr>
        <w:t xml:space="preserve"> of the use of </w:t>
      </w:r>
      <w:r w:rsidRPr="001815B8">
        <w:rPr>
          <w:rFonts w:asciiTheme="minorHAnsi" w:eastAsiaTheme="minorHAnsi" w:hAnsiTheme="minorHAnsi" w:cs="TitilliumText25L-800wt"/>
          <w:szCs w:val="24"/>
        </w:rPr>
        <w:t>washed red blood cells</w:t>
      </w:r>
      <w:r>
        <w:rPr>
          <w:rFonts w:asciiTheme="minorHAnsi" w:eastAsiaTheme="minorHAnsi" w:hAnsiTheme="minorHAnsi" w:cs="TitilliumText25L-800wt"/>
          <w:szCs w:val="24"/>
        </w:rPr>
        <w:t xml:space="preserve"> for re-infusion</w:t>
      </w:r>
      <w:r w:rsidRPr="001815B8">
        <w:rPr>
          <w:rFonts w:asciiTheme="minorHAnsi" w:eastAsiaTheme="minorHAnsi" w:hAnsiTheme="minorHAnsi" w:cs="TitilliumText25L-800wt"/>
          <w:szCs w:val="24"/>
        </w:rPr>
        <w:t xml:space="preserve"> known as Intraoperative Cell Salvage (ICS)</w:t>
      </w:r>
      <w:r w:rsidRPr="001815B8">
        <w:rPr>
          <w:rFonts w:asciiTheme="minorHAnsi" w:eastAsiaTheme="minorHAnsi" w:hAnsiTheme="minorHAnsi" w:cs="TitilliumText25L-400wt"/>
          <w:szCs w:val="24"/>
        </w:rPr>
        <w:t xml:space="preserve">.  </w:t>
      </w:r>
      <w:r w:rsidRPr="001815B8">
        <w:rPr>
          <w:rFonts w:asciiTheme="minorHAnsi" w:eastAsiaTheme="minorHAnsi" w:hAnsiTheme="minorHAnsi" w:cs="TitilliumText25L-400wt"/>
          <w:color w:val="000006"/>
          <w:szCs w:val="24"/>
        </w:rPr>
        <w:t>The intraoperative collection and re-infusion of the patient’s own red blood cells provides an important contribution to reducing the demand for allogenic blood</w:t>
      </w:r>
      <w:r>
        <w:rPr>
          <w:rFonts w:asciiTheme="minorHAnsi" w:eastAsiaTheme="minorHAnsi" w:hAnsiTheme="minorHAnsi" w:cs="TitilliumText25L-400wt"/>
          <w:color w:val="000006"/>
          <w:szCs w:val="24"/>
        </w:rPr>
        <w:t xml:space="preserve"> for transfusion</w:t>
      </w:r>
      <w:r w:rsidRPr="001815B8">
        <w:rPr>
          <w:rFonts w:asciiTheme="minorHAnsi" w:eastAsiaTheme="minorHAnsi" w:hAnsiTheme="minorHAnsi" w:cs="TitilliumText25L-400wt"/>
          <w:color w:val="000006"/>
          <w:szCs w:val="24"/>
        </w:rPr>
        <w:t>.</w:t>
      </w:r>
      <w:r w:rsidRPr="001815B8">
        <w:rPr>
          <w:rFonts w:ascii="TitilliumText25L-400wt" w:eastAsiaTheme="minorHAnsi" w:hAnsi="TitilliumText25L-400wt" w:cs="TitilliumText25L-400wt"/>
          <w:sz w:val="14"/>
          <w:szCs w:val="14"/>
        </w:rPr>
        <w:t xml:space="preserve"> </w:t>
      </w:r>
    </w:p>
    <w:p w14:paraId="2CF0493B" w14:textId="77777777" w:rsidR="004478B1" w:rsidRPr="001815B8" w:rsidRDefault="004478B1" w:rsidP="004478B1">
      <w:pPr>
        <w:autoSpaceDE w:val="0"/>
        <w:autoSpaceDN w:val="0"/>
        <w:adjustRightInd w:val="0"/>
        <w:rPr>
          <w:rFonts w:asciiTheme="minorHAnsi" w:eastAsiaTheme="minorHAnsi" w:hAnsiTheme="minorHAnsi" w:cs="TitilliumText25L-400wt"/>
          <w:color w:val="000006"/>
          <w:szCs w:val="24"/>
        </w:rPr>
      </w:pPr>
    </w:p>
    <w:p w14:paraId="193631C8" w14:textId="7644F7E6" w:rsidR="004478B1" w:rsidRPr="001815B8" w:rsidRDefault="004478B1" w:rsidP="004478B1">
      <w:pPr>
        <w:autoSpaceDE w:val="0"/>
        <w:autoSpaceDN w:val="0"/>
        <w:adjustRightInd w:val="0"/>
        <w:rPr>
          <w:rFonts w:asciiTheme="minorHAnsi" w:eastAsiaTheme="minorHAnsi" w:hAnsiTheme="minorHAnsi" w:cs="TitilliumText25L-400wt"/>
          <w:color w:val="000006"/>
          <w:szCs w:val="24"/>
        </w:rPr>
      </w:pPr>
      <w:r w:rsidRPr="001815B8">
        <w:rPr>
          <w:rFonts w:asciiTheme="minorHAnsi" w:eastAsiaTheme="minorHAnsi" w:hAnsiTheme="minorHAnsi" w:cs="TitilliumText25L-400wt"/>
          <w:color w:val="000006"/>
          <w:szCs w:val="24"/>
        </w:rPr>
        <w:t>Utilising appropriate alternatives to blood transfusion is cost-effective, complies with</w:t>
      </w:r>
    </w:p>
    <w:p w14:paraId="2B300666" w14:textId="5036E7F2" w:rsidR="004478B1" w:rsidRDefault="00AC19DF" w:rsidP="004478B1">
      <w:pPr>
        <w:autoSpaceDE w:val="0"/>
        <w:autoSpaceDN w:val="0"/>
        <w:adjustRightInd w:val="0"/>
        <w:rPr>
          <w:rFonts w:asciiTheme="minorHAnsi" w:eastAsiaTheme="minorHAnsi" w:hAnsiTheme="minorHAnsi" w:cs="TitilliumText25L-400wt"/>
          <w:color w:val="000006"/>
          <w:szCs w:val="24"/>
        </w:rPr>
      </w:pPr>
      <w:r>
        <w:rPr>
          <w:rFonts w:asciiTheme="minorHAnsi" w:eastAsiaTheme="minorHAnsi" w:hAnsiTheme="minorHAnsi" w:cs="TitilliumText25L-400wt"/>
          <w:color w:val="000006"/>
          <w:szCs w:val="24"/>
        </w:rPr>
        <w:t>c</w:t>
      </w:r>
      <w:r w:rsidR="004478B1" w:rsidRPr="001815B8">
        <w:rPr>
          <w:rFonts w:asciiTheme="minorHAnsi" w:eastAsiaTheme="minorHAnsi" w:hAnsiTheme="minorHAnsi" w:cs="TitilliumText25L-400wt"/>
          <w:color w:val="000006"/>
          <w:szCs w:val="24"/>
        </w:rPr>
        <w:t xml:space="preserve">linical </w:t>
      </w:r>
      <w:r>
        <w:rPr>
          <w:rFonts w:asciiTheme="minorHAnsi" w:eastAsiaTheme="minorHAnsi" w:hAnsiTheme="minorHAnsi" w:cs="TitilliumText25L-400wt"/>
          <w:color w:val="000006"/>
          <w:szCs w:val="24"/>
        </w:rPr>
        <w:t>g</w:t>
      </w:r>
      <w:r w:rsidR="004478B1" w:rsidRPr="001815B8">
        <w:rPr>
          <w:rFonts w:asciiTheme="minorHAnsi" w:eastAsiaTheme="minorHAnsi" w:hAnsiTheme="minorHAnsi" w:cs="TitilliumText25L-400wt"/>
          <w:color w:val="000006"/>
          <w:szCs w:val="24"/>
        </w:rPr>
        <w:t xml:space="preserve">overnance </w:t>
      </w:r>
      <w:r w:rsidR="00463117" w:rsidRPr="001815B8">
        <w:rPr>
          <w:rFonts w:asciiTheme="minorHAnsi" w:eastAsiaTheme="minorHAnsi" w:hAnsiTheme="minorHAnsi" w:cs="TitilliumText25L-400wt"/>
          <w:color w:val="000006"/>
          <w:szCs w:val="24"/>
        </w:rPr>
        <w:t>requirements and</w:t>
      </w:r>
      <w:r w:rsidR="004478B1" w:rsidRPr="001815B8">
        <w:rPr>
          <w:rFonts w:asciiTheme="minorHAnsi" w:eastAsiaTheme="minorHAnsi" w:hAnsiTheme="minorHAnsi" w:cs="TitilliumText25L-400wt"/>
          <w:color w:val="000006"/>
          <w:szCs w:val="24"/>
        </w:rPr>
        <w:t xml:space="preserve"> falls within the scope of the </w:t>
      </w:r>
      <w:r w:rsidR="006E3C87" w:rsidRPr="00550B44">
        <w:rPr>
          <w:rFonts w:asciiTheme="minorHAnsi" w:eastAsiaTheme="minorHAnsi" w:hAnsiTheme="minorHAnsi" w:cs="TitilliumText25L-400wt"/>
          <w:color w:val="000006"/>
          <w:szCs w:val="24"/>
        </w:rPr>
        <w:t xml:space="preserve">National Safety and </w:t>
      </w:r>
      <w:r w:rsidR="006E3C87" w:rsidRPr="00550B44">
        <w:rPr>
          <w:rFonts w:asciiTheme="minorHAnsi" w:eastAsiaTheme="minorHAnsi" w:hAnsiTheme="minorHAnsi" w:cs="TitilliumText25L-400wt"/>
          <w:szCs w:val="24"/>
        </w:rPr>
        <w:t xml:space="preserve">Quality Health Service Standards </w:t>
      </w:r>
      <w:r w:rsidR="006E3C87">
        <w:rPr>
          <w:rFonts w:asciiTheme="minorHAnsi" w:eastAsiaTheme="minorHAnsi" w:hAnsiTheme="minorHAnsi" w:cs="TitilliumText25L-400wt"/>
          <w:szCs w:val="24"/>
        </w:rPr>
        <w:t>(</w:t>
      </w:r>
      <w:r w:rsidR="004478B1" w:rsidRPr="001815B8">
        <w:rPr>
          <w:rFonts w:asciiTheme="minorHAnsi" w:eastAsiaTheme="minorHAnsi" w:hAnsiTheme="minorHAnsi" w:cs="TitilliumText25L-400wt"/>
          <w:color w:val="000006"/>
          <w:szCs w:val="24"/>
        </w:rPr>
        <w:t>NSQHS</w:t>
      </w:r>
      <w:r w:rsidR="006E3C87">
        <w:rPr>
          <w:rFonts w:asciiTheme="minorHAnsi" w:eastAsiaTheme="minorHAnsi" w:hAnsiTheme="minorHAnsi" w:cs="TitilliumText25L-400wt"/>
          <w:color w:val="000006"/>
          <w:szCs w:val="24"/>
        </w:rPr>
        <w:t xml:space="preserve">) </w:t>
      </w:r>
      <w:r w:rsidR="004478B1" w:rsidRPr="001815B8">
        <w:rPr>
          <w:rFonts w:asciiTheme="minorHAnsi" w:eastAsiaTheme="minorHAnsi" w:hAnsiTheme="minorHAnsi" w:cs="TitilliumText25L-400wt"/>
          <w:color w:val="000006"/>
          <w:szCs w:val="24"/>
        </w:rPr>
        <w:t xml:space="preserve">Blood </w:t>
      </w:r>
      <w:r w:rsidR="00056765">
        <w:rPr>
          <w:rFonts w:asciiTheme="minorHAnsi" w:eastAsiaTheme="minorHAnsi" w:hAnsiTheme="minorHAnsi" w:cs="TitilliumText25L-400wt"/>
          <w:color w:val="000006"/>
          <w:szCs w:val="24"/>
        </w:rPr>
        <w:t>Management</w:t>
      </w:r>
      <w:r w:rsidR="008B3B0B">
        <w:rPr>
          <w:rFonts w:asciiTheme="minorHAnsi" w:eastAsiaTheme="minorHAnsi" w:hAnsiTheme="minorHAnsi" w:cs="TitilliumText25L-400wt"/>
          <w:color w:val="000006"/>
          <w:szCs w:val="24"/>
        </w:rPr>
        <w:t xml:space="preserve"> Standard</w:t>
      </w:r>
      <w:r w:rsidR="00463117">
        <w:rPr>
          <w:rFonts w:asciiTheme="minorHAnsi" w:eastAsiaTheme="minorHAnsi" w:hAnsiTheme="minorHAnsi" w:cs="TitilliumText25L-400wt"/>
          <w:color w:val="000006"/>
          <w:szCs w:val="24"/>
        </w:rPr>
        <w:t xml:space="preserve"> </w:t>
      </w:r>
      <w:r w:rsidR="004478B1" w:rsidRPr="001815B8">
        <w:rPr>
          <w:rFonts w:asciiTheme="minorHAnsi" w:eastAsiaTheme="minorHAnsi" w:hAnsiTheme="minorHAnsi" w:cs="TitilliumText25L-400wt"/>
          <w:color w:val="000006"/>
          <w:szCs w:val="24"/>
        </w:rPr>
        <w:t>(</w:t>
      </w:r>
      <w:hyperlink r:id="rId11" w:history="1">
        <w:r w:rsidR="00420738" w:rsidRPr="00420738">
          <w:rPr>
            <w:rStyle w:val="Hyperlink"/>
            <w:rFonts w:asciiTheme="minorHAnsi" w:eastAsiaTheme="minorHAnsi" w:hAnsiTheme="minorHAnsi" w:cs="TitilliumText25L-400wt"/>
            <w:szCs w:val="24"/>
          </w:rPr>
          <w:t>https://www.safetyandquality.gov.au/standards/nsqhs-standards/blood-management-standard</w:t>
        </w:r>
      </w:hyperlink>
      <w:r w:rsidR="004478B1" w:rsidRPr="001815B8">
        <w:rPr>
          <w:rFonts w:asciiTheme="minorHAnsi" w:eastAsiaTheme="minorHAnsi" w:hAnsiTheme="minorHAnsi" w:cs="TitilliumText25L-400wt"/>
          <w:color w:val="000006"/>
          <w:szCs w:val="24"/>
        </w:rPr>
        <w:t>)</w:t>
      </w:r>
    </w:p>
    <w:p w14:paraId="5B83430D" w14:textId="41BBF4F7" w:rsidR="004478B1" w:rsidRDefault="004478B1" w:rsidP="004478B1">
      <w:pPr>
        <w:autoSpaceDE w:val="0"/>
        <w:autoSpaceDN w:val="0"/>
        <w:adjustRightInd w:val="0"/>
        <w:rPr>
          <w:rFonts w:asciiTheme="minorHAnsi" w:eastAsiaTheme="minorHAnsi" w:hAnsiTheme="minorHAnsi" w:cs="TitilliumText25L-400wt"/>
          <w:color w:val="000006"/>
          <w:szCs w:val="24"/>
        </w:rPr>
      </w:pPr>
    </w:p>
    <w:p w14:paraId="463E6EB3" w14:textId="77777777" w:rsidR="004478B1" w:rsidRPr="009C2B10" w:rsidRDefault="004478B1" w:rsidP="004478B1">
      <w:pPr>
        <w:pStyle w:val="Heading8"/>
        <w:rPr>
          <w:rFonts w:asciiTheme="minorHAnsi" w:hAnsiTheme="minorHAnsi" w:cstheme="minorHAnsi"/>
          <w:b/>
          <w:bCs/>
          <w:sz w:val="24"/>
          <w:szCs w:val="24"/>
        </w:rPr>
      </w:pPr>
      <w:bookmarkStart w:id="0" w:name="_Toc475363380"/>
      <w:r w:rsidRPr="009C2B10">
        <w:rPr>
          <w:rFonts w:asciiTheme="minorHAnsi" w:hAnsiTheme="minorHAnsi" w:cstheme="minorHAnsi"/>
          <w:b/>
          <w:bCs/>
          <w:sz w:val="24"/>
          <w:szCs w:val="24"/>
        </w:rPr>
        <w:t>Key Objectives</w:t>
      </w:r>
      <w:bookmarkEnd w:id="0"/>
    </w:p>
    <w:p w14:paraId="64299EAB" w14:textId="77777777" w:rsidR="004478B1" w:rsidRPr="001815B8" w:rsidRDefault="004478B1" w:rsidP="004478B1">
      <w:r w:rsidRPr="001815B8">
        <w:t>The key objectives of this document are:</w:t>
      </w:r>
    </w:p>
    <w:p w14:paraId="2BB8F790" w14:textId="29F3CE6F" w:rsidR="004478B1" w:rsidRPr="001815B8" w:rsidRDefault="004478B1" w:rsidP="00001BB6">
      <w:pPr>
        <w:pStyle w:val="ListBullet"/>
      </w:pPr>
      <w:r w:rsidRPr="001815B8">
        <w:t xml:space="preserve">To guide the use of ICS at </w:t>
      </w:r>
      <w:r w:rsidR="00001BB6">
        <w:t>CHS</w:t>
      </w:r>
      <w:r w:rsidRPr="001815B8">
        <w:t xml:space="preserve"> Perioperative Unit </w:t>
      </w:r>
    </w:p>
    <w:p w14:paraId="71FE294C" w14:textId="77777777" w:rsidR="004478B1" w:rsidRPr="001815B8" w:rsidRDefault="004478B1" w:rsidP="00001BB6">
      <w:pPr>
        <w:pStyle w:val="ListBullet"/>
      </w:pPr>
      <w:r w:rsidRPr="001815B8">
        <w:t>To appropriately identify suitable patients, undergoing elective and/or emergency</w:t>
      </w:r>
    </w:p>
    <w:p w14:paraId="3E834E95" w14:textId="6EBA235D" w:rsidR="004478B1" w:rsidRDefault="004478B1" w:rsidP="00001BB6">
      <w:pPr>
        <w:pStyle w:val="ListBullet"/>
      </w:pPr>
      <w:r w:rsidRPr="001815B8">
        <w:t>surgical procedures, where ICS could be of benefit</w:t>
      </w:r>
    </w:p>
    <w:p w14:paraId="320EBC7D" w14:textId="47AA638E" w:rsidR="00F866DE" w:rsidRDefault="004478B1" w:rsidP="00001BB6">
      <w:pPr>
        <w:pStyle w:val="ListBullet"/>
      </w:pPr>
      <w:r w:rsidRPr="001815B8">
        <w:t>To safely utilise ICS in an effective manner</w:t>
      </w:r>
      <w:r w:rsidR="00001BB6">
        <w:t>.</w:t>
      </w:r>
    </w:p>
    <w:p w14:paraId="1D78180E" w14:textId="7DC87BDB" w:rsidR="00AF72DA" w:rsidRDefault="00AF72DA" w:rsidP="00AF72DA"/>
    <w:p w14:paraId="071F0CB2" w14:textId="3CA3D1AD" w:rsidR="00DF512B" w:rsidRPr="00A93682" w:rsidRDefault="005C0826" w:rsidP="00AF72DA">
      <w:pPr>
        <w:rPr>
          <w:b/>
          <w:bCs/>
        </w:rPr>
      </w:pPr>
      <w:r w:rsidRPr="00A93682">
        <w:rPr>
          <w:b/>
          <w:bCs/>
        </w:rPr>
        <w:t>D</w:t>
      </w:r>
      <w:r w:rsidR="00001BB6">
        <w:rPr>
          <w:b/>
          <w:bCs/>
        </w:rPr>
        <w:t>ocumentation</w:t>
      </w:r>
    </w:p>
    <w:p w14:paraId="1116B1E9" w14:textId="5DA26C62" w:rsidR="00DF512B" w:rsidRPr="00A93682" w:rsidRDefault="00764813" w:rsidP="00AF72DA">
      <w:r w:rsidRPr="00A93682">
        <w:t>Access to the D</w:t>
      </w:r>
      <w:r w:rsidR="00001BB6">
        <w:t>igital Health Record (D</w:t>
      </w:r>
      <w:r w:rsidRPr="00A93682">
        <w:t>HR</w:t>
      </w:r>
      <w:r w:rsidR="00001BB6">
        <w:t>)</w:t>
      </w:r>
      <w:r w:rsidRPr="00A93682">
        <w:t xml:space="preserve"> </w:t>
      </w:r>
      <w:r w:rsidR="00001BB6">
        <w:t>ICS</w:t>
      </w:r>
      <w:r w:rsidRPr="00A93682">
        <w:t xml:space="preserve"> documentation is gained through the</w:t>
      </w:r>
      <w:r w:rsidR="00DF512B" w:rsidRPr="00A93682">
        <w:t xml:space="preserve"> following steps:</w:t>
      </w:r>
    </w:p>
    <w:p w14:paraId="31A760AC" w14:textId="714116CF" w:rsidR="00DF512B" w:rsidRPr="00A93682" w:rsidRDefault="00DF512B" w:rsidP="00001BB6">
      <w:pPr>
        <w:pStyle w:val="ListParagraph"/>
        <w:numPr>
          <w:ilvl w:val="0"/>
          <w:numId w:val="10"/>
        </w:numPr>
      </w:pPr>
      <w:r w:rsidRPr="00A93682">
        <w:t>L</w:t>
      </w:r>
      <w:r w:rsidR="00001BB6">
        <w:t>ogin</w:t>
      </w:r>
      <w:r w:rsidRPr="00A93682">
        <w:t xml:space="preserve"> into DHR</w:t>
      </w:r>
    </w:p>
    <w:p w14:paraId="6690C0AA" w14:textId="57801328" w:rsidR="00DF512B" w:rsidRPr="00A93682" w:rsidRDefault="00DF512B" w:rsidP="00001BB6">
      <w:pPr>
        <w:pStyle w:val="ListParagraph"/>
        <w:numPr>
          <w:ilvl w:val="0"/>
          <w:numId w:val="10"/>
        </w:numPr>
      </w:pPr>
      <w:r w:rsidRPr="00A93682">
        <w:t xml:space="preserve">Navigate to </w:t>
      </w:r>
      <w:r w:rsidR="00764813" w:rsidRPr="00A93682">
        <w:t xml:space="preserve">Anaesthetic Nurse </w:t>
      </w:r>
      <w:r w:rsidRPr="00A93682">
        <w:t>OR</w:t>
      </w:r>
      <w:r w:rsidR="00764813" w:rsidRPr="00A93682">
        <w:t xml:space="preserve"> Intraoperative activities section</w:t>
      </w:r>
    </w:p>
    <w:p w14:paraId="1A6424F9" w14:textId="513E20E0" w:rsidR="005C0826" w:rsidRPr="00A93682" w:rsidRDefault="00DF512B" w:rsidP="00001BB6">
      <w:pPr>
        <w:pStyle w:val="ListParagraph"/>
        <w:numPr>
          <w:ilvl w:val="0"/>
          <w:numId w:val="10"/>
        </w:numPr>
      </w:pPr>
      <w:r w:rsidRPr="00A93682">
        <w:t>S</w:t>
      </w:r>
      <w:r w:rsidR="00764813" w:rsidRPr="00A93682">
        <w:t>elect</w:t>
      </w:r>
      <w:r w:rsidR="005C0826" w:rsidRPr="00A93682">
        <w:t xml:space="preserve"> PROCEDURE and subheading</w:t>
      </w:r>
      <w:r w:rsidRPr="00A93682">
        <w:t xml:space="preserve"> E</w:t>
      </w:r>
      <w:r w:rsidR="005C0826" w:rsidRPr="00A93682">
        <w:t>QUIPMENT on left side of page</w:t>
      </w:r>
    </w:p>
    <w:p w14:paraId="0F0287BE" w14:textId="230716C6" w:rsidR="00764813" w:rsidRPr="00A93682" w:rsidRDefault="005C0826" w:rsidP="00001BB6">
      <w:pPr>
        <w:pStyle w:val="ListParagraph"/>
        <w:numPr>
          <w:ilvl w:val="0"/>
          <w:numId w:val="10"/>
        </w:numPr>
      </w:pPr>
      <w:r w:rsidRPr="00A93682">
        <w:t>Select +ADD and choose CELL SAVER</w:t>
      </w:r>
    </w:p>
    <w:p w14:paraId="62017980" w14:textId="61D873EA" w:rsidR="005C0826" w:rsidRPr="00A93682" w:rsidRDefault="005C0826" w:rsidP="00001BB6">
      <w:pPr>
        <w:pStyle w:val="ListParagraph"/>
        <w:numPr>
          <w:ilvl w:val="0"/>
          <w:numId w:val="10"/>
        </w:numPr>
      </w:pPr>
      <w:r w:rsidRPr="00A93682">
        <w:t>Cell Saver Documentation page opens.</w:t>
      </w:r>
    </w:p>
    <w:p w14:paraId="76D38931" w14:textId="77777777" w:rsidR="00764813" w:rsidRPr="00A93682" w:rsidRDefault="00764813" w:rsidP="00AF72DA"/>
    <w:p w14:paraId="0F4474DA" w14:textId="5065132E" w:rsidR="00AF72DA" w:rsidRDefault="00AF72DA" w:rsidP="00AF72DA">
      <w:r w:rsidRPr="00247BFB">
        <w:t xml:space="preserve">Documented re-processed blood to be recorded through the </w:t>
      </w:r>
      <w:r w:rsidR="00001BB6">
        <w:t>DHR</w:t>
      </w:r>
      <w:r w:rsidRPr="00247BFB">
        <w:t xml:space="preserve"> in </w:t>
      </w:r>
      <w:r w:rsidR="007C4D2B" w:rsidRPr="00247BFB">
        <w:t>Anaesthetic Chart</w:t>
      </w:r>
      <w:r w:rsidR="00247BFB" w:rsidRPr="00247BFB">
        <w:t xml:space="preserve"> by the Anaesthetist</w:t>
      </w:r>
      <w:r w:rsidR="007C4D2B" w:rsidRPr="00247BFB">
        <w:t>.</w:t>
      </w:r>
    </w:p>
    <w:p w14:paraId="1707838C" w14:textId="164E45A3" w:rsidR="00FE456D" w:rsidRDefault="00FE456D" w:rsidP="00AF72DA"/>
    <w:p w14:paraId="53D24565" w14:textId="65C70A6D" w:rsidR="00FE456D" w:rsidRDefault="00FE456D" w:rsidP="00AF72DA">
      <w:r>
        <w:rPr>
          <w:noProof/>
        </w:rPr>
        <w:lastRenderedPageBreak/>
        <w:drawing>
          <wp:inline distT="0" distB="0" distL="0" distR="0" wp14:anchorId="2913A489" wp14:editId="2F3AEE6F">
            <wp:extent cx="5116220" cy="3315672"/>
            <wp:effectExtent l="19050" t="19050" r="27305" b="184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41115" cy="3331806"/>
                    </a:xfrm>
                    <a:prstGeom prst="rect">
                      <a:avLst/>
                    </a:prstGeom>
                    <a:ln>
                      <a:solidFill>
                        <a:schemeClr val="tx1"/>
                      </a:solidFill>
                    </a:ln>
                  </pic:spPr>
                </pic:pic>
              </a:graphicData>
            </a:graphic>
          </wp:inline>
        </w:drawing>
      </w:r>
    </w:p>
    <w:p w14:paraId="1FE7F029" w14:textId="1FF51257" w:rsidR="00910364" w:rsidRDefault="00910364" w:rsidP="00AF72DA"/>
    <w:p w14:paraId="17CD44FC" w14:textId="7204BEB2" w:rsidR="00910364" w:rsidRDefault="00910364" w:rsidP="00AF72DA">
      <w:r>
        <w:rPr>
          <w:noProof/>
        </w:rPr>
        <w:drawing>
          <wp:inline distT="0" distB="0" distL="0" distR="0" wp14:anchorId="4E497624" wp14:editId="726023A9">
            <wp:extent cx="5099266" cy="4565726"/>
            <wp:effectExtent l="19050" t="19050" r="25400" b="254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5117091" cy="4581686"/>
                    </a:xfrm>
                    <a:prstGeom prst="rect">
                      <a:avLst/>
                    </a:prstGeom>
                    <a:noFill/>
                    <a:ln>
                      <a:solidFill>
                        <a:schemeClr val="tx1"/>
                      </a:solidFill>
                    </a:ln>
                  </pic:spPr>
                </pic:pic>
              </a:graphicData>
            </a:graphic>
          </wp:inline>
        </w:drawing>
      </w:r>
    </w:p>
    <w:p w14:paraId="00ACDA52" w14:textId="77777777" w:rsidR="00F866DE" w:rsidRPr="00EA3074" w:rsidRDefault="00F866DE" w:rsidP="00F866DE"/>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p w14:paraId="0F2193CD" w14:textId="77777777" w:rsidR="00A86A9D" w:rsidRPr="001502DF" w:rsidRDefault="00A86A9D" w:rsidP="007A238D">
            <w:pPr>
              <w:pStyle w:val="Heading1"/>
              <w:rPr>
                <w:b w:val="0"/>
                <w:szCs w:val="24"/>
              </w:rPr>
            </w:pPr>
            <w:r w:rsidRPr="001502DF">
              <w:rPr>
                <w:szCs w:val="24"/>
              </w:rPr>
              <w:lastRenderedPageBreak/>
              <w:t>Scope</w:t>
            </w:r>
          </w:p>
        </w:tc>
      </w:tr>
    </w:tbl>
    <w:p w14:paraId="0F2193CF" w14:textId="77777777" w:rsidR="00A86A9D" w:rsidRDefault="00A86A9D" w:rsidP="00A86A9D">
      <w:pPr>
        <w:jc w:val="both"/>
        <w:rPr>
          <w:rFonts w:cs="Arial"/>
          <w:b/>
          <w:szCs w:val="24"/>
        </w:rPr>
      </w:pPr>
    </w:p>
    <w:p w14:paraId="0DEAA9D3" w14:textId="1F861D07" w:rsidR="004478B1" w:rsidRPr="001815B8" w:rsidRDefault="00056765" w:rsidP="004478B1">
      <w:pPr>
        <w:autoSpaceDE w:val="0"/>
        <w:autoSpaceDN w:val="0"/>
        <w:adjustRightInd w:val="0"/>
      </w:pPr>
      <w:r>
        <w:t>ICS</w:t>
      </w:r>
      <w:r w:rsidR="004478B1" w:rsidRPr="001815B8">
        <w:t xml:space="preserve"> should be considered in surgery in a clean operative field where substantial blood loss is anticipated. </w:t>
      </w:r>
    </w:p>
    <w:p w14:paraId="7E81BC25" w14:textId="77777777" w:rsidR="004478B1" w:rsidRPr="001815B8" w:rsidRDefault="004478B1" w:rsidP="004478B1">
      <w:pPr>
        <w:autoSpaceDE w:val="0"/>
        <w:autoSpaceDN w:val="0"/>
        <w:adjustRightInd w:val="0"/>
      </w:pPr>
    </w:p>
    <w:p w14:paraId="521BD5FF" w14:textId="1419531A" w:rsidR="004478B1" w:rsidRPr="001815B8" w:rsidRDefault="004478B1" w:rsidP="004478B1">
      <w:pPr>
        <w:rPr>
          <w:szCs w:val="24"/>
        </w:rPr>
      </w:pPr>
      <w:r w:rsidRPr="001815B8">
        <w:rPr>
          <w:szCs w:val="24"/>
        </w:rPr>
        <w:t>This guideline applies to the following CHS staff working within their scope of practice:</w:t>
      </w:r>
    </w:p>
    <w:p w14:paraId="10ED6989" w14:textId="77777777" w:rsidR="004478B1" w:rsidRPr="001815B8" w:rsidRDefault="004478B1" w:rsidP="004478B1">
      <w:pPr>
        <w:pStyle w:val="ListBullet"/>
      </w:pPr>
      <w:r w:rsidRPr="001815B8">
        <w:t>Medical staff</w:t>
      </w:r>
    </w:p>
    <w:p w14:paraId="7EF674B2" w14:textId="77777777" w:rsidR="004478B1" w:rsidRPr="001815B8" w:rsidRDefault="004478B1" w:rsidP="004478B1">
      <w:pPr>
        <w:pStyle w:val="ListBullet"/>
      </w:pPr>
      <w:r w:rsidRPr="001815B8">
        <w:t>Registered Nurses and Midwives</w:t>
      </w:r>
    </w:p>
    <w:p w14:paraId="4FE7DF41" w14:textId="509DAC11" w:rsidR="004478B1" w:rsidRPr="001815B8" w:rsidRDefault="004478B1" w:rsidP="004478B1">
      <w:pPr>
        <w:pStyle w:val="ListBullet"/>
      </w:pPr>
      <w:r w:rsidRPr="001815B8">
        <w:t>Endorsed Enrolled Nurses</w:t>
      </w:r>
      <w:r w:rsidR="00001BB6">
        <w:t>.</w:t>
      </w:r>
    </w:p>
    <w:p w14:paraId="54091074" w14:textId="77777777" w:rsidR="00001BB6" w:rsidRDefault="00001BB6" w:rsidP="00362267">
      <w:pPr>
        <w:rPr>
          <w:rFonts w:asciiTheme="minorHAnsi" w:hAnsiTheme="minorHAnsi"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77791222" w:rsidR="00362267" w:rsidRPr="007A238D" w:rsidRDefault="00362267" w:rsidP="00717EBF">
            <w:pPr>
              <w:pStyle w:val="Heading1"/>
              <w:rPr>
                <w:color w:val="FFFFFF" w:themeColor="background1"/>
              </w:rPr>
            </w:pPr>
            <w:r>
              <w:rPr>
                <w:color w:val="FFFFFF" w:themeColor="background1"/>
              </w:rPr>
              <w:t xml:space="preserve">Which area in </w:t>
            </w:r>
            <w:r w:rsidR="008459BF">
              <w:rPr>
                <w:color w:val="FFFFFF" w:themeColor="background1"/>
              </w:rPr>
              <w:t>Canberra Health Services</w:t>
            </w:r>
            <w:r>
              <w:rPr>
                <w:color w:val="FFFFFF" w:themeColor="background1"/>
              </w:rPr>
              <w:t xml:space="preserve"> can I contact for more information?</w:t>
            </w:r>
          </w:p>
        </w:tc>
      </w:tr>
    </w:tbl>
    <w:p w14:paraId="67746432" w14:textId="77777777" w:rsidR="00E550F7" w:rsidRDefault="00E550F7" w:rsidP="00362267">
      <w:pPr>
        <w:rPr>
          <w:rFonts w:cs="Arial"/>
          <w:iCs/>
          <w:szCs w:val="24"/>
        </w:rPr>
      </w:pPr>
    </w:p>
    <w:p w14:paraId="358DBE56" w14:textId="77777777" w:rsidR="00450687" w:rsidRPr="00F11B4D" w:rsidRDefault="00450687" w:rsidP="00450687">
      <w:pPr>
        <w:rPr>
          <w:rFonts w:cs="Arial"/>
          <w:iCs/>
          <w:szCs w:val="24"/>
        </w:rPr>
      </w:pPr>
      <w:r w:rsidRPr="00F11B4D">
        <w:rPr>
          <w:rFonts w:eastAsia="Calibri" w:cs="Calibri"/>
          <w:b/>
          <w:bCs/>
          <w:szCs w:val="24"/>
        </w:rPr>
        <w:t>Clinical Nurse Consultant, Anaesthetics</w:t>
      </w:r>
    </w:p>
    <w:p w14:paraId="19CBC28F" w14:textId="0A728AE9" w:rsidR="00450687" w:rsidRPr="00F11B4D" w:rsidRDefault="00450687" w:rsidP="00450687">
      <w:pPr>
        <w:rPr>
          <w:rFonts w:eastAsia="Calibri" w:cs="Calibri"/>
          <w:szCs w:val="24"/>
        </w:rPr>
      </w:pPr>
      <w:r w:rsidRPr="00F11B4D">
        <w:rPr>
          <w:rFonts w:eastAsia="Calibri" w:cs="Calibri"/>
          <w:szCs w:val="24"/>
        </w:rPr>
        <w:t>Phone</w:t>
      </w:r>
      <w:r>
        <w:rPr>
          <w:rFonts w:eastAsia="Calibri" w:cs="Calibri"/>
          <w:szCs w:val="24"/>
        </w:rPr>
        <w:t xml:space="preserve"> office:</w:t>
      </w:r>
      <w:r w:rsidR="00001BB6">
        <w:rPr>
          <w:rFonts w:eastAsia="Calibri" w:cs="Calibri"/>
          <w:szCs w:val="24"/>
        </w:rPr>
        <w:t xml:space="preserve"> </w:t>
      </w:r>
      <w:r w:rsidRPr="00F11B4D">
        <w:rPr>
          <w:rFonts w:eastAsia="Calibri" w:cs="Calibri"/>
          <w:szCs w:val="24"/>
        </w:rPr>
        <w:t>02 5124 4218</w:t>
      </w:r>
      <w:r>
        <w:rPr>
          <w:rFonts w:eastAsia="Calibri" w:cs="Calibri"/>
          <w:szCs w:val="24"/>
        </w:rPr>
        <w:t xml:space="preserve">. Perioperative Department </w:t>
      </w:r>
      <w:r w:rsidRPr="00F11B4D">
        <w:rPr>
          <w:rFonts w:eastAsia="Calibri" w:cs="Calibri"/>
          <w:szCs w:val="24"/>
        </w:rPr>
        <w:t>02 5124 2765</w:t>
      </w:r>
    </w:p>
    <w:p w14:paraId="38F3AF35" w14:textId="77777777" w:rsidR="00450687" w:rsidRPr="00F11B4D" w:rsidRDefault="00450687" w:rsidP="00450687">
      <w:pPr>
        <w:rPr>
          <w:rFonts w:eastAsia="Calibri" w:cs="Calibri"/>
          <w:szCs w:val="24"/>
        </w:rPr>
      </w:pPr>
      <w:r w:rsidRPr="00F11B4D">
        <w:rPr>
          <w:rFonts w:eastAsia="Calibri" w:cs="Calibri"/>
          <w:szCs w:val="24"/>
        </w:rPr>
        <w:t xml:space="preserve">Perioperative Unit, Division Surgery, Canberra Health Services, ACT Government </w:t>
      </w:r>
    </w:p>
    <w:p w14:paraId="77955420" w14:textId="77777777" w:rsidR="00450687" w:rsidRPr="00F11B4D" w:rsidRDefault="00450687" w:rsidP="00450687">
      <w:pPr>
        <w:rPr>
          <w:rFonts w:eastAsia="Calibri" w:cs="Calibri"/>
          <w:szCs w:val="24"/>
        </w:rPr>
      </w:pPr>
      <w:r w:rsidRPr="00F11B4D">
        <w:rPr>
          <w:rFonts w:eastAsia="Calibri" w:cs="Calibri"/>
          <w:szCs w:val="24"/>
        </w:rPr>
        <w:t>Building 12, Level 3, Canberra Hospital | PO Box 11, Woden ACT 2606 | act.gov.au</w:t>
      </w:r>
    </w:p>
    <w:p w14:paraId="36C94198" w14:textId="77777777" w:rsidR="00450687" w:rsidRPr="00F11B4D" w:rsidRDefault="00450687" w:rsidP="00450687">
      <w:pPr>
        <w:rPr>
          <w:rFonts w:cs="Arial"/>
          <w:iCs/>
          <w:szCs w:val="24"/>
        </w:rPr>
      </w:pPr>
    </w:p>
    <w:p w14:paraId="61E62255" w14:textId="77777777" w:rsidR="00450687" w:rsidRPr="00F11B4D" w:rsidRDefault="00450687" w:rsidP="00450687">
      <w:pPr>
        <w:rPr>
          <w:rFonts w:eastAsia="Calibri" w:cs="Calibri"/>
          <w:b/>
          <w:bCs/>
          <w:szCs w:val="24"/>
        </w:rPr>
      </w:pPr>
      <w:r w:rsidRPr="00F11B4D">
        <w:rPr>
          <w:rFonts w:cs="Arial"/>
          <w:b/>
          <w:bCs/>
          <w:iCs/>
          <w:szCs w:val="24"/>
        </w:rPr>
        <w:t>ADON Perioperative Unit.</w:t>
      </w:r>
      <w:r w:rsidRPr="00F11B4D">
        <w:rPr>
          <w:rFonts w:eastAsia="Calibri" w:cs="Calibri"/>
          <w:b/>
          <w:bCs/>
          <w:szCs w:val="24"/>
        </w:rPr>
        <w:t xml:space="preserve"> </w:t>
      </w:r>
    </w:p>
    <w:p w14:paraId="54C006F8" w14:textId="77777777" w:rsidR="00450687" w:rsidRPr="00F11B4D" w:rsidRDefault="00450687" w:rsidP="00450687">
      <w:pPr>
        <w:rPr>
          <w:rFonts w:eastAsia="Calibri" w:cs="Calibri"/>
          <w:szCs w:val="24"/>
        </w:rPr>
      </w:pPr>
      <w:r w:rsidRPr="00F11B4D">
        <w:rPr>
          <w:rFonts w:eastAsia="Calibri" w:cs="Calibri"/>
          <w:szCs w:val="24"/>
        </w:rPr>
        <w:t>Phone</w:t>
      </w:r>
      <w:r>
        <w:rPr>
          <w:rFonts w:eastAsia="Calibri" w:cs="Calibri"/>
          <w:szCs w:val="24"/>
        </w:rPr>
        <w:t xml:space="preserve"> office</w:t>
      </w:r>
      <w:r w:rsidRPr="00F11B4D">
        <w:rPr>
          <w:rFonts w:eastAsia="Calibri" w:cs="Calibri"/>
          <w:szCs w:val="24"/>
        </w:rPr>
        <w:t>: 02 5124 3051</w:t>
      </w:r>
      <w:r>
        <w:rPr>
          <w:rFonts w:eastAsia="Calibri" w:cs="Calibri"/>
          <w:szCs w:val="24"/>
        </w:rPr>
        <w:t>.</w:t>
      </w:r>
      <w:r w:rsidRPr="006852C2">
        <w:rPr>
          <w:rFonts w:eastAsia="Calibri" w:cs="Calibri"/>
          <w:szCs w:val="24"/>
        </w:rPr>
        <w:t xml:space="preserve"> </w:t>
      </w:r>
      <w:r>
        <w:rPr>
          <w:rFonts w:eastAsia="Calibri" w:cs="Calibri"/>
          <w:szCs w:val="24"/>
        </w:rPr>
        <w:t>Perioperative Department</w:t>
      </w:r>
      <w:r w:rsidRPr="00F11B4D">
        <w:rPr>
          <w:rFonts w:eastAsia="Calibri" w:cs="Calibri"/>
          <w:szCs w:val="24"/>
        </w:rPr>
        <w:t xml:space="preserve"> 02 5124 2765</w:t>
      </w:r>
    </w:p>
    <w:p w14:paraId="65D84E1B" w14:textId="77777777" w:rsidR="00450687" w:rsidRPr="00F11B4D" w:rsidRDefault="00450687" w:rsidP="00450687">
      <w:pPr>
        <w:rPr>
          <w:rFonts w:eastAsia="Calibri" w:cs="Calibri"/>
          <w:szCs w:val="24"/>
        </w:rPr>
      </w:pPr>
      <w:r w:rsidRPr="00F11B4D">
        <w:rPr>
          <w:rFonts w:eastAsia="Calibri" w:cs="Calibri"/>
          <w:szCs w:val="24"/>
        </w:rPr>
        <w:t xml:space="preserve">Perioperative Unit, Division Surgery, Canberra Health Services, ACT Government </w:t>
      </w:r>
    </w:p>
    <w:p w14:paraId="36393EDF" w14:textId="77777777" w:rsidR="00450687" w:rsidRPr="00F11B4D" w:rsidRDefault="00450687" w:rsidP="00450687">
      <w:pPr>
        <w:rPr>
          <w:rFonts w:eastAsia="Calibri" w:cs="Calibri"/>
          <w:szCs w:val="24"/>
        </w:rPr>
      </w:pPr>
      <w:r w:rsidRPr="00F11B4D">
        <w:rPr>
          <w:rFonts w:eastAsia="Calibri" w:cs="Calibri"/>
          <w:szCs w:val="24"/>
        </w:rPr>
        <w:t>Building 12, Level 3, Canberra Hospital | PO Box 11, Woden ACT 2606 | act.gov.au</w:t>
      </w:r>
    </w:p>
    <w:p w14:paraId="4D2DBB6A" w14:textId="77777777" w:rsidR="00450687" w:rsidRPr="00F11B4D" w:rsidRDefault="00450687" w:rsidP="00450687">
      <w:pPr>
        <w:autoSpaceDE w:val="0"/>
        <w:autoSpaceDN w:val="0"/>
        <w:adjustRightInd w:val="0"/>
        <w:rPr>
          <w:rFonts w:cs="Arial"/>
          <w:b/>
          <w:bCs/>
          <w:iCs/>
          <w:szCs w:val="24"/>
        </w:rPr>
      </w:pPr>
    </w:p>
    <w:p w14:paraId="6E7BB981" w14:textId="77777777" w:rsidR="00450687" w:rsidRPr="00F11B4D" w:rsidRDefault="00450687" w:rsidP="00450687">
      <w:pPr>
        <w:rPr>
          <w:rFonts w:eastAsia="Calibri" w:cs="Calibri"/>
          <w:b/>
          <w:bCs/>
          <w:szCs w:val="24"/>
        </w:rPr>
      </w:pPr>
      <w:r w:rsidRPr="00F11B4D">
        <w:rPr>
          <w:rFonts w:cs="Arial"/>
          <w:b/>
          <w:bCs/>
          <w:iCs/>
          <w:szCs w:val="24"/>
        </w:rPr>
        <w:t>Director of Anaesthesia and Pain Management.</w:t>
      </w:r>
      <w:r w:rsidRPr="00F11B4D">
        <w:rPr>
          <w:rFonts w:eastAsia="Calibri" w:cs="Calibri"/>
          <w:b/>
          <w:bCs/>
          <w:szCs w:val="24"/>
        </w:rPr>
        <w:t xml:space="preserve"> </w:t>
      </w:r>
    </w:p>
    <w:p w14:paraId="1B888E90" w14:textId="77777777" w:rsidR="00450687" w:rsidRPr="00F11B4D" w:rsidRDefault="00450687" w:rsidP="00450687">
      <w:pPr>
        <w:rPr>
          <w:rFonts w:eastAsia="Calibri" w:cs="Calibri"/>
          <w:szCs w:val="24"/>
        </w:rPr>
      </w:pPr>
      <w:r w:rsidRPr="00F11B4D">
        <w:rPr>
          <w:rFonts w:eastAsia="Calibri" w:cs="Calibri"/>
          <w:szCs w:val="24"/>
        </w:rPr>
        <w:t>Phone: 02 5124 3245</w:t>
      </w:r>
    </w:p>
    <w:p w14:paraId="60D1F829" w14:textId="77777777" w:rsidR="00450687" w:rsidRPr="00F11B4D" w:rsidRDefault="00450687" w:rsidP="00450687">
      <w:pPr>
        <w:rPr>
          <w:rFonts w:eastAsia="Calibri" w:cs="Calibri"/>
          <w:szCs w:val="24"/>
        </w:rPr>
      </w:pPr>
      <w:r w:rsidRPr="00F11B4D">
        <w:rPr>
          <w:rFonts w:eastAsia="Calibri" w:cs="Calibri"/>
          <w:szCs w:val="24"/>
        </w:rPr>
        <w:t xml:space="preserve">Department of Anaesthesia Division Surgery, Canberra Health Services, ACT Government </w:t>
      </w:r>
    </w:p>
    <w:p w14:paraId="722A3287" w14:textId="77777777" w:rsidR="00450687" w:rsidRPr="00F11B4D" w:rsidRDefault="00450687" w:rsidP="00450687">
      <w:pPr>
        <w:rPr>
          <w:rFonts w:eastAsia="Calibri" w:cs="Calibri"/>
          <w:szCs w:val="24"/>
        </w:rPr>
      </w:pPr>
      <w:r w:rsidRPr="00F11B4D">
        <w:rPr>
          <w:rFonts w:eastAsia="Calibri" w:cs="Calibri"/>
          <w:szCs w:val="24"/>
        </w:rPr>
        <w:t>Building 12, Level 3, Canberra Hospital | PO Box 11, Woden ACT 2606 | act.gov.au</w:t>
      </w:r>
    </w:p>
    <w:p w14:paraId="0F2193DB" w14:textId="77777777" w:rsidR="00A02258" w:rsidRDefault="00A02258"/>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717EBF">
            <w:pPr>
              <w:pStyle w:val="Heading1"/>
              <w:rPr>
                <w:color w:val="FFFFFF" w:themeColor="background1"/>
              </w:rPr>
            </w:pPr>
            <w:r>
              <w:rPr>
                <w:color w:val="FFFFFF" w:themeColor="background1"/>
              </w:rPr>
              <w:t>How can I access the document?</w:t>
            </w:r>
          </w:p>
        </w:tc>
      </w:tr>
    </w:tbl>
    <w:p w14:paraId="3E45B6AF" w14:textId="77777777" w:rsidR="00EA3074" w:rsidRDefault="00EA3074" w:rsidP="00362267">
      <w:pPr>
        <w:rPr>
          <w:rFonts w:asciiTheme="minorHAnsi" w:hAnsiTheme="minorHAnsi" w:cstheme="minorHAnsi"/>
          <w:iCs/>
          <w:szCs w:val="24"/>
        </w:rPr>
      </w:pPr>
    </w:p>
    <w:p w14:paraId="2EBA6308" w14:textId="300B635D" w:rsidR="00B251C8" w:rsidRPr="00464ACE" w:rsidRDefault="00F866DE" w:rsidP="00362267">
      <w:pPr>
        <w:rPr>
          <w:rFonts w:asciiTheme="minorHAnsi" w:hAnsiTheme="minorHAnsi" w:cstheme="minorHAnsi"/>
          <w:iCs/>
          <w:szCs w:val="24"/>
        </w:rPr>
      </w:pPr>
      <w:r>
        <w:rPr>
          <w:rFonts w:asciiTheme="minorHAnsi" w:hAnsiTheme="minorHAnsi" w:cstheme="minorHAnsi"/>
          <w:iCs/>
          <w:szCs w:val="24"/>
        </w:rPr>
        <w:t>The guideline can be accessed through t</w:t>
      </w:r>
      <w:r w:rsidR="00B251C8" w:rsidRPr="00464ACE">
        <w:rPr>
          <w:rFonts w:asciiTheme="minorHAnsi" w:hAnsiTheme="minorHAnsi" w:cstheme="minorHAnsi"/>
          <w:iCs/>
          <w:szCs w:val="24"/>
        </w:rPr>
        <w:t>he National Blood Authority website</w:t>
      </w:r>
      <w:r>
        <w:rPr>
          <w:rFonts w:asciiTheme="minorHAnsi" w:hAnsiTheme="minorHAnsi" w:cstheme="minorHAnsi"/>
          <w:iCs/>
          <w:szCs w:val="24"/>
        </w:rPr>
        <w:t>:</w:t>
      </w:r>
      <w:r w:rsidR="00B251C8" w:rsidRPr="00464ACE">
        <w:rPr>
          <w:rFonts w:asciiTheme="minorHAnsi" w:hAnsiTheme="minorHAnsi" w:cstheme="minorHAnsi"/>
          <w:iCs/>
          <w:szCs w:val="24"/>
        </w:rPr>
        <w:t xml:space="preserve"> </w:t>
      </w:r>
    </w:p>
    <w:p w14:paraId="0F2193E0" w14:textId="09B4E9B4" w:rsidR="00362267" w:rsidRPr="00001BB6" w:rsidRDefault="00CD00BE" w:rsidP="00F866DE">
      <w:pPr>
        <w:pStyle w:val="ListParagraph"/>
        <w:numPr>
          <w:ilvl w:val="0"/>
          <w:numId w:val="8"/>
        </w:numPr>
        <w:rPr>
          <w:rFonts w:asciiTheme="minorHAnsi" w:hAnsiTheme="minorHAnsi"/>
          <w:i/>
          <w:iCs/>
          <w:szCs w:val="22"/>
        </w:rPr>
      </w:pPr>
      <w:hyperlink r:id="rId15" w:history="1">
        <w:r w:rsidR="005639E1" w:rsidRPr="00001BB6">
          <w:rPr>
            <w:rStyle w:val="Hyperlink"/>
            <w:i/>
            <w:iCs/>
          </w:rPr>
          <w:t>Intraoperative Cell Salvage Guidance.pdf (blood.gov.au)</w:t>
        </w:r>
      </w:hyperlink>
      <w:r w:rsidR="004478B1" w:rsidRPr="00001BB6">
        <w:rPr>
          <w:rFonts w:asciiTheme="minorHAnsi" w:hAnsiTheme="minorHAnsi"/>
          <w:i/>
          <w:iCs/>
          <w:szCs w:val="22"/>
        </w:rPr>
        <w:t xml:space="preserve"> </w:t>
      </w:r>
    </w:p>
    <w:p w14:paraId="797A05E7" w14:textId="6DEB027B" w:rsidR="004478B1" w:rsidRPr="00001BB6" w:rsidRDefault="00CD00BE" w:rsidP="00F866DE">
      <w:pPr>
        <w:pStyle w:val="ListParagraph"/>
        <w:numPr>
          <w:ilvl w:val="0"/>
          <w:numId w:val="8"/>
        </w:numPr>
        <w:rPr>
          <w:rFonts w:cs="Calibri,Bold"/>
          <w:bCs/>
          <w:i/>
          <w:iCs/>
          <w:szCs w:val="24"/>
          <w:lang w:eastAsia="en-AU"/>
        </w:rPr>
      </w:pPr>
      <w:hyperlink r:id="rId16" w:history="1">
        <w:r w:rsidR="004478B1" w:rsidRPr="00001BB6">
          <w:rPr>
            <w:rStyle w:val="Hyperlink"/>
            <w:rFonts w:cs="Calibri,Bold"/>
            <w:bCs/>
            <w:i/>
            <w:iCs/>
            <w:szCs w:val="24"/>
            <w:lang w:eastAsia="en-AU"/>
          </w:rPr>
          <w:t>https://www.blood.gov.au/ics</w:t>
        </w:r>
      </w:hyperlink>
      <w:r w:rsidR="004478B1" w:rsidRPr="00001BB6">
        <w:rPr>
          <w:rFonts w:cs="Calibri,Bold"/>
          <w:bCs/>
          <w:i/>
          <w:iCs/>
          <w:szCs w:val="24"/>
          <w:lang w:eastAsia="en-AU"/>
        </w:rPr>
        <w:t xml:space="preserve"> </w:t>
      </w:r>
    </w:p>
    <w:p w14:paraId="6BCB2297" w14:textId="77777777" w:rsidR="00F866DE" w:rsidRDefault="00F866DE" w:rsidP="00362267">
      <w:pPr>
        <w:rPr>
          <w:rFonts w:cs="Calibri,Bold"/>
          <w:bCs/>
          <w:i/>
          <w:szCs w:val="24"/>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r>
              <w:rPr>
                <w:color w:val="FFFFFF" w:themeColor="background1"/>
              </w:rPr>
              <w:t>Search Terms</w:t>
            </w:r>
          </w:p>
        </w:tc>
      </w:tr>
    </w:tbl>
    <w:p w14:paraId="4F1FB58F" w14:textId="77777777" w:rsidR="00870BC9" w:rsidRDefault="00870BC9" w:rsidP="00056765">
      <w:pPr>
        <w:rPr>
          <w:rFonts w:cs="Calibri,Bold"/>
          <w:bCs/>
          <w:szCs w:val="24"/>
          <w:lang w:eastAsia="en-AU"/>
        </w:rPr>
      </w:pPr>
    </w:p>
    <w:p w14:paraId="0F2193E5" w14:textId="35179E1E" w:rsidR="007A238D" w:rsidRPr="00056765" w:rsidRDefault="00056765" w:rsidP="00056765">
      <w:pPr>
        <w:rPr>
          <w:rFonts w:cs="Calibri,Bold"/>
          <w:bCs/>
          <w:szCs w:val="24"/>
          <w:lang w:eastAsia="en-AU"/>
        </w:rPr>
      </w:pPr>
      <w:r w:rsidRPr="001815B8">
        <w:rPr>
          <w:rFonts w:cs="Calibri,Bold"/>
          <w:bCs/>
          <w:szCs w:val="24"/>
          <w:lang w:eastAsia="en-AU"/>
        </w:rPr>
        <w:t>Intraoperative Cell Salvage, Cell Saver, Cell Saving, Washed Blood</w:t>
      </w:r>
      <w:r w:rsidR="00001BB6">
        <w:rPr>
          <w:rFonts w:cs="Calibri,Bold"/>
          <w:bCs/>
          <w:szCs w:val="24"/>
          <w:lang w:eastAsia="en-AU"/>
        </w:rPr>
        <w:t>, DHR</w:t>
      </w:r>
      <w:r w:rsidRPr="001815B8">
        <w:rPr>
          <w:rFonts w:cs="Calibri,Bold"/>
          <w:bCs/>
          <w:szCs w:val="24"/>
          <w:lang w:eastAsia="en-AU"/>
        </w:rPr>
        <w:t xml:space="preserve"> </w:t>
      </w:r>
    </w:p>
    <w:p w14:paraId="0F2193E6" w14:textId="77777777" w:rsidR="00A86A9D" w:rsidRPr="006019FE" w:rsidRDefault="00A86A9D" w:rsidP="00A86A9D">
      <w:pPr>
        <w:rPr>
          <w:rFonts w:cs="Arial"/>
          <w:szCs w:val="24"/>
        </w:rPr>
      </w:pPr>
    </w:p>
    <w:p w14:paraId="0F2193E7" w14:textId="4708CCAA" w:rsidR="00373B7C" w:rsidRDefault="00720A69" w:rsidP="00373B7C">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373B7C" w:rsidRPr="00D86A19" w14:paraId="0F2193EE" w14:textId="77777777" w:rsidTr="005B3A1A">
        <w:tc>
          <w:tcPr>
            <w:tcW w:w="2265" w:type="dxa"/>
          </w:tcPr>
          <w:p w14:paraId="0F2193EA" w14:textId="77777777" w:rsidR="00373B7C" w:rsidRPr="00D86A19" w:rsidRDefault="00373B7C" w:rsidP="005B3A1A">
            <w:pPr>
              <w:rPr>
                <w:i/>
                <w:sz w:val="20"/>
                <w:szCs w:val="24"/>
              </w:rPr>
            </w:pPr>
            <w:r w:rsidRPr="00D86A19">
              <w:rPr>
                <w:i/>
                <w:sz w:val="20"/>
                <w:szCs w:val="24"/>
              </w:rPr>
              <w:t>Date Amended</w:t>
            </w:r>
          </w:p>
        </w:tc>
        <w:tc>
          <w:tcPr>
            <w:tcW w:w="2265" w:type="dxa"/>
          </w:tcPr>
          <w:p w14:paraId="0F2193EB" w14:textId="77777777" w:rsidR="00373B7C" w:rsidRPr="00D86A19" w:rsidRDefault="00373B7C" w:rsidP="005B3A1A">
            <w:pPr>
              <w:rPr>
                <w:i/>
                <w:sz w:val="20"/>
                <w:szCs w:val="24"/>
              </w:rPr>
            </w:pPr>
            <w:r w:rsidRPr="00D86A19">
              <w:rPr>
                <w:i/>
                <w:sz w:val="20"/>
                <w:szCs w:val="24"/>
              </w:rPr>
              <w:t>Section Amended</w:t>
            </w:r>
          </w:p>
        </w:tc>
        <w:tc>
          <w:tcPr>
            <w:tcW w:w="2265" w:type="dxa"/>
          </w:tcPr>
          <w:p w14:paraId="0F2193EC" w14:textId="77777777" w:rsidR="00373B7C" w:rsidRPr="00D86A19" w:rsidRDefault="00373B7C" w:rsidP="005B3A1A">
            <w:pPr>
              <w:rPr>
                <w:i/>
                <w:sz w:val="20"/>
                <w:szCs w:val="24"/>
              </w:rPr>
            </w:pPr>
            <w:r w:rsidRPr="00D86A19">
              <w:rPr>
                <w:i/>
                <w:sz w:val="20"/>
                <w:szCs w:val="24"/>
              </w:rPr>
              <w:t>Divisional Approval</w:t>
            </w:r>
          </w:p>
        </w:tc>
        <w:tc>
          <w:tcPr>
            <w:tcW w:w="2265"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373B7C" w:rsidRPr="00D86A19" w14:paraId="0F2193F3" w14:textId="77777777" w:rsidTr="005B3A1A">
        <w:tc>
          <w:tcPr>
            <w:tcW w:w="2265" w:type="dxa"/>
          </w:tcPr>
          <w:p w14:paraId="0F2193EF" w14:textId="53ED0655" w:rsidR="00373B7C" w:rsidRPr="00D86A19" w:rsidRDefault="00CD00BE" w:rsidP="005B3A1A">
            <w:pPr>
              <w:rPr>
                <w:i/>
                <w:sz w:val="20"/>
                <w:szCs w:val="24"/>
              </w:rPr>
            </w:pPr>
            <w:r>
              <w:rPr>
                <w:i/>
                <w:sz w:val="20"/>
                <w:szCs w:val="24"/>
              </w:rPr>
              <w:t>10/08</w:t>
            </w:r>
            <w:r w:rsidR="00001BB6">
              <w:rPr>
                <w:i/>
                <w:sz w:val="20"/>
                <w:szCs w:val="24"/>
              </w:rPr>
              <w:t>/2023</w:t>
            </w:r>
          </w:p>
        </w:tc>
        <w:tc>
          <w:tcPr>
            <w:tcW w:w="2265" w:type="dxa"/>
          </w:tcPr>
          <w:p w14:paraId="0F2193F0" w14:textId="305A7F04" w:rsidR="00373B7C" w:rsidRPr="00D86A19" w:rsidRDefault="006D1F73" w:rsidP="005B3A1A">
            <w:pPr>
              <w:rPr>
                <w:i/>
                <w:sz w:val="20"/>
                <w:szCs w:val="24"/>
              </w:rPr>
            </w:pPr>
            <w:r>
              <w:rPr>
                <w:i/>
                <w:sz w:val="20"/>
                <w:szCs w:val="24"/>
              </w:rPr>
              <w:t>Complete Review</w:t>
            </w:r>
          </w:p>
        </w:tc>
        <w:tc>
          <w:tcPr>
            <w:tcW w:w="2265" w:type="dxa"/>
          </w:tcPr>
          <w:p w14:paraId="0F2193F1" w14:textId="718BD28C" w:rsidR="00373B7C" w:rsidRPr="00D86A19" w:rsidRDefault="00CD00BE" w:rsidP="005B3A1A">
            <w:pPr>
              <w:rPr>
                <w:i/>
                <w:sz w:val="20"/>
                <w:szCs w:val="24"/>
              </w:rPr>
            </w:pPr>
            <w:r>
              <w:rPr>
                <w:i/>
                <w:sz w:val="20"/>
                <w:szCs w:val="24"/>
              </w:rPr>
              <w:t>Lisa Gilmore</w:t>
            </w:r>
            <w:r w:rsidR="006D1F73">
              <w:rPr>
                <w:i/>
                <w:sz w:val="20"/>
                <w:szCs w:val="24"/>
              </w:rPr>
              <w:t>, ED Surgery</w:t>
            </w:r>
          </w:p>
        </w:tc>
        <w:tc>
          <w:tcPr>
            <w:tcW w:w="2265" w:type="dxa"/>
          </w:tcPr>
          <w:p w14:paraId="0F2193F2" w14:textId="214E899B" w:rsidR="00373B7C" w:rsidRPr="00D86A19" w:rsidRDefault="00001BB6" w:rsidP="005B3A1A">
            <w:pPr>
              <w:rPr>
                <w:i/>
                <w:sz w:val="20"/>
                <w:szCs w:val="24"/>
              </w:rPr>
            </w:pPr>
            <w:r>
              <w:rPr>
                <w:i/>
                <w:sz w:val="20"/>
                <w:szCs w:val="24"/>
              </w:rPr>
              <w:t xml:space="preserve">Chair, </w:t>
            </w:r>
            <w:r w:rsidR="006D1F73">
              <w:rPr>
                <w:i/>
                <w:sz w:val="20"/>
                <w:szCs w:val="24"/>
              </w:rPr>
              <w:t>CHS Policy Committee</w:t>
            </w:r>
          </w:p>
        </w:tc>
      </w:tr>
      <w:tr w:rsidR="00373B7C" w:rsidRPr="00D86A19" w14:paraId="0F2193F8" w14:textId="77777777" w:rsidTr="005B3A1A">
        <w:tc>
          <w:tcPr>
            <w:tcW w:w="2265" w:type="dxa"/>
          </w:tcPr>
          <w:p w14:paraId="0F2193F4" w14:textId="77777777" w:rsidR="00373B7C" w:rsidRPr="00D86A19" w:rsidRDefault="00373B7C" w:rsidP="005B3A1A">
            <w:pPr>
              <w:rPr>
                <w:i/>
                <w:sz w:val="20"/>
                <w:szCs w:val="24"/>
              </w:rPr>
            </w:pPr>
          </w:p>
        </w:tc>
        <w:tc>
          <w:tcPr>
            <w:tcW w:w="2265" w:type="dxa"/>
          </w:tcPr>
          <w:p w14:paraId="0F2193F5" w14:textId="77777777" w:rsidR="00373B7C" w:rsidRPr="00D86A19" w:rsidRDefault="00373B7C" w:rsidP="005B3A1A">
            <w:pPr>
              <w:rPr>
                <w:i/>
                <w:sz w:val="20"/>
                <w:szCs w:val="24"/>
              </w:rPr>
            </w:pPr>
          </w:p>
        </w:tc>
        <w:tc>
          <w:tcPr>
            <w:tcW w:w="2265" w:type="dxa"/>
          </w:tcPr>
          <w:p w14:paraId="0F2193F6" w14:textId="77777777" w:rsidR="00373B7C" w:rsidRPr="00D86A19" w:rsidRDefault="00373B7C" w:rsidP="005B3A1A">
            <w:pPr>
              <w:rPr>
                <w:i/>
                <w:sz w:val="20"/>
                <w:szCs w:val="24"/>
              </w:rPr>
            </w:pPr>
          </w:p>
        </w:tc>
        <w:tc>
          <w:tcPr>
            <w:tcW w:w="2265" w:type="dxa"/>
          </w:tcPr>
          <w:p w14:paraId="0F2193F7" w14:textId="77777777" w:rsidR="00373B7C" w:rsidRPr="00D86A19" w:rsidRDefault="00373B7C" w:rsidP="005B3A1A">
            <w:pPr>
              <w:rPr>
                <w:i/>
                <w:sz w:val="20"/>
                <w:szCs w:val="24"/>
              </w:rPr>
            </w:pP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73B7C" w:rsidRPr="00D86A19" w14:paraId="0F2193FD" w14:textId="77777777" w:rsidTr="00001BB6">
        <w:trPr>
          <w:trHeight w:val="210"/>
        </w:trPr>
        <w:tc>
          <w:tcPr>
            <w:tcW w:w="2122"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373B7C" w:rsidRPr="00D86A19" w14:paraId="0F219400" w14:textId="77777777" w:rsidTr="40692F31">
        <w:tc>
          <w:tcPr>
            <w:tcW w:w="2122" w:type="dxa"/>
          </w:tcPr>
          <w:p w14:paraId="0F2193FE" w14:textId="2245C811" w:rsidR="00373B7C" w:rsidRPr="00D86A19" w:rsidRDefault="006D1F73" w:rsidP="005B3A1A">
            <w:pPr>
              <w:rPr>
                <w:i/>
                <w:sz w:val="20"/>
                <w:szCs w:val="24"/>
              </w:rPr>
            </w:pPr>
            <w:r>
              <w:rPr>
                <w:i/>
                <w:sz w:val="20"/>
                <w:szCs w:val="24"/>
              </w:rPr>
              <w:t>CH</w:t>
            </w:r>
            <w:r w:rsidR="00001BB6">
              <w:rPr>
                <w:i/>
                <w:sz w:val="20"/>
                <w:szCs w:val="24"/>
              </w:rPr>
              <w:t>S20/205</w:t>
            </w:r>
          </w:p>
        </w:tc>
        <w:tc>
          <w:tcPr>
            <w:tcW w:w="6938" w:type="dxa"/>
          </w:tcPr>
          <w:p w14:paraId="0F2193FF" w14:textId="3B3E2784" w:rsidR="00373B7C" w:rsidRPr="00D86A19" w:rsidRDefault="006D1F73" w:rsidP="40692F31">
            <w:pPr>
              <w:rPr>
                <w:i/>
                <w:iCs/>
                <w:sz w:val="20"/>
              </w:rPr>
            </w:pPr>
            <w:r w:rsidRPr="40692F31">
              <w:rPr>
                <w:i/>
                <w:iCs/>
                <w:sz w:val="20"/>
              </w:rPr>
              <w:t>Intraoperative Cell Salvage Guideline</w:t>
            </w:r>
          </w:p>
        </w:tc>
      </w:tr>
      <w:tr w:rsidR="00373B7C" w:rsidRPr="00D86A19" w14:paraId="0F219403" w14:textId="77777777" w:rsidTr="40692F31">
        <w:tc>
          <w:tcPr>
            <w:tcW w:w="2122" w:type="dxa"/>
          </w:tcPr>
          <w:p w14:paraId="0F219401" w14:textId="77777777" w:rsidR="00373B7C" w:rsidRPr="00D86A19" w:rsidRDefault="00373B7C" w:rsidP="005B3A1A">
            <w:pPr>
              <w:rPr>
                <w:i/>
                <w:sz w:val="20"/>
                <w:szCs w:val="24"/>
              </w:rPr>
            </w:pPr>
          </w:p>
        </w:tc>
        <w:tc>
          <w:tcPr>
            <w:tcW w:w="6938" w:type="dxa"/>
          </w:tcPr>
          <w:p w14:paraId="0F219402" w14:textId="77777777" w:rsidR="00373B7C" w:rsidRPr="00D86A19" w:rsidRDefault="00373B7C" w:rsidP="005B3A1A">
            <w:pPr>
              <w:rPr>
                <w:i/>
                <w:sz w:val="20"/>
                <w:szCs w:val="24"/>
              </w:rPr>
            </w:pPr>
          </w:p>
        </w:tc>
      </w:tr>
    </w:tbl>
    <w:p w14:paraId="0F219404" w14:textId="77777777" w:rsidR="00373B7C" w:rsidRPr="00010E74" w:rsidRDefault="00373B7C" w:rsidP="00373B7C">
      <w:pPr>
        <w:rPr>
          <w:i/>
          <w:sz w:val="20"/>
          <w:szCs w:val="24"/>
        </w:rPr>
      </w:pPr>
    </w:p>
    <w:p w14:paraId="0F219405" w14:textId="77777777" w:rsidR="002F61F7" w:rsidRPr="00A86A9D" w:rsidRDefault="002F61F7" w:rsidP="00373B7C">
      <w:pPr>
        <w:rPr>
          <w:szCs w:val="24"/>
        </w:rPr>
      </w:pPr>
    </w:p>
    <w:sectPr w:rsidR="002F61F7" w:rsidRPr="00A86A9D" w:rsidSect="002F61F7">
      <w:headerReference w:type="default" r:id="rId17"/>
      <w:footerReference w:type="default" r:id="rId18"/>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85563" w14:textId="77777777" w:rsidR="008532C3" w:rsidRDefault="008532C3" w:rsidP="00F66CB0">
      <w:r>
        <w:separator/>
      </w:r>
    </w:p>
  </w:endnote>
  <w:endnote w:type="continuationSeparator" w:id="0">
    <w:p w14:paraId="5C7347F3" w14:textId="77777777" w:rsidR="008532C3" w:rsidRDefault="008532C3"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tilliumText25L-400wt">
    <w:altName w:val="Calibri"/>
    <w:panose1 w:val="00000000000000000000"/>
    <w:charset w:val="00"/>
    <w:family w:val="auto"/>
    <w:notTrueType/>
    <w:pitch w:val="default"/>
    <w:sig w:usb0="00000003" w:usb1="00000000" w:usb2="00000000" w:usb3="00000000" w:csb0="00000001" w:csb1="00000000"/>
  </w:font>
  <w:font w:name="TitilliumText25L-800wt">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0F219414" w14:textId="77777777" w:rsidTr="00CD00BE">
      <w:trPr>
        <w:trHeight w:val="284"/>
      </w:trPr>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4938EF">
      <w:tc>
        <w:tcPr>
          <w:tcW w:w="1515" w:type="dxa"/>
        </w:tcPr>
        <w:p w14:paraId="0F219415" w14:textId="24E8F79B" w:rsidR="00E9072F" w:rsidRPr="00542EE6" w:rsidRDefault="006D1F73" w:rsidP="002F61F7">
          <w:pPr>
            <w:pStyle w:val="Footer"/>
            <w:rPr>
              <w:rFonts w:cs="Arial"/>
              <w:b/>
              <w:bCs/>
              <w:sz w:val="20"/>
            </w:rPr>
          </w:pPr>
          <w:r>
            <w:rPr>
              <w:b/>
              <w:sz w:val="20"/>
            </w:rPr>
            <w:t>CHS2</w:t>
          </w:r>
          <w:r w:rsidR="00001BB6">
            <w:rPr>
              <w:b/>
              <w:sz w:val="20"/>
            </w:rPr>
            <w:t>3/</w:t>
          </w:r>
          <w:r w:rsidR="00CD00BE">
            <w:rPr>
              <w:b/>
              <w:sz w:val="20"/>
            </w:rPr>
            <w:t>235</w:t>
          </w:r>
        </w:p>
      </w:tc>
      <w:tc>
        <w:tcPr>
          <w:tcW w:w="965" w:type="dxa"/>
        </w:tcPr>
        <w:p w14:paraId="0F219416" w14:textId="4EC7468D" w:rsidR="00E9072F" w:rsidRPr="00B3752F" w:rsidRDefault="006D1F73" w:rsidP="002F61F7">
          <w:pPr>
            <w:pStyle w:val="Footer"/>
            <w:rPr>
              <w:rFonts w:cs="Arial"/>
              <w:b/>
              <w:bCs/>
              <w:sz w:val="20"/>
            </w:rPr>
          </w:pPr>
          <w:r>
            <w:rPr>
              <w:rFonts w:cs="Arial"/>
              <w:b/>
              <w:bCs/>
              <w:sz w:val="20"/>
            </w:rPr>
            <w:t>1</w:t>
          </w:r>
        </w:p>
      </w:tc>
      <w:tc>
        <w:tcPr>
          <w:tcW w:w="1552" w:type="dxa"/>
        </w:tcPr>
        <w:p w14:paraId="0F219417" w14:textId="49A15500" w:rsidR="00E9072F" w:rsidRPr="00B3752F" w:rsidRDefault="00CD00BE" w:rsidP="002F61F7">
          <w:pPr>
            <w:pStyle w:val="Footer"/>
            <w:rPr>
              <w:rFonts w:cs="Arial"/>
              <w:b/>
              <w:bCs/>
              <w:sz w:val="20"/>
            </w:rPr>
          </w:pPr>
          <w:r>
            <w:rPr>
              <w:rFonts w:cs="Arial"/>
              <w:b/>
              <w:bCs/>
              <w:sz w:val="20"/>
            </w:rPr>
            <w:t>10/08/2023</w:t>
          </w:r>
        </w:p>
      </w:tc>
      <w:tc>
        <w:tcPr>
          <w:tcW w:w="1456" w:type="dxa"/>
        </w:tcPr>
        <w:p w14:paraId="0F219418" w14:textId="2024EA5D" w:rsidR="00E9072F" w:rsidRPr="00B3752F" w:rsidRDefault="00CD00BE" w:rsidP="00720A69">
          <w:pPr>
            <w:pStyle w:val="Footer"/>
            <w:rPr>
              <w:rFonts w:cs="Arial"/>
              <w:b/>
              <w:bCs/>
              <w:sz w:val="20"/>
            </w:rPr>
          </w:pPr>
          <w:r>
            <w:rPr>
              <w:rFonts w:cs="Arial"/>
              <w:b/>
              <w:bCs/>
              <w:sz w:val="20"/>
            </w:rPr>
            <w:t>01/09/2027</w:t>
          </w:r>
        </w:p>
      </w:tc>
      <w:tc>
        <w:tcPr>
          <w:tcW w:w="1746" w:type="dxa"/>
        </w:tcPr>
        <w:p w14:paraId="0F219419" w14:textId="074920BC" w:rsidR="00E9072F" w:rsidRPr="00B3752F" w:rsidRDefault="006D1F73" w:rsidP="002F61F7">
          <w:pPr>
            <w:pStyle w:val="Footer"/>
            <w:rPr>
              <w:rFonts w:cs="Arial"/>
              <w:b/>
              <w:bCs/>
              <w:sz w:val="20"/>
            </w:rPr>
          </w:pPr>
          <w:r>
            <w:rPr>
              <w:rFonts w:cs="Arial"/>
              <w:b/>
              <w:bCs/>
              <w:sz w:val="20"/>
            </w:rPr>
            <w:t>Surgery</w:t>
          </w:r>
          <w:r w:rsidR="00001BB6">
            <w:rPr>
              <w:rFonts w:cs="Arial"/>
              <w:b/>
              <w:bCs/>
              <w:sz w:val="20"/>
            </w:rPr>
            <w:t xml:space="preserve"> – Peri</w:t>
          </w:r>
          <w:r w:rsidR="00CD00BE">
            <w:rPr>
              <w:rFonts w:cs="Arial"/>
              <w:b/>
              <w:bCs/>
              <w:sz w:val="20"/>
            </w:rPr>
            <w:t>o</w:t>
          </w:r>
          <w:r w:rsidR="00001BB6">
            <w:rPr>
              <w:rFonts w:cs="Arial"/>
              <w:b/>
              <w:bCs/>
              <w:sz w:val="20"/>
            </w:rPr>
            <w:t>p</w:t>
          </w:r>
          <w:r w:rsidR="00CD00BE">
            <w:rPr>
              <w:rFonts w:cs="Arial"/>
              <w:b/>
              <w:bCs/>
              <w:sz w:val="20"/>
            </w:rPr>
            <w:t>erative Unit</w:t>
          </w:r>
        </w:p>
      </w:tc>
      <w:tc>
        <w:tcPr>
          <w:tcW w:w="1836"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870BC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870BC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80FC7" w14:textId="77777777" w:rsidR="008532C3" w:rsidRDefault="008532C3" w:rsidP="00F66CB0">
      <w:r>
        <w:separator/>
      </w:r>
    </w:p>
  </w:footnote>
  <w:footnote w:type="continuationSeparator" w:id="0">
    <w:p w14:paraId="6D81B5B4" w14:textId="77777777" w:rsidR="008532C3" w:rsidRDefault="008532C3"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F6B10" w14:paraId="09252DAC" w14:textId="77777777" w:rsidTr="007264B3">
      <w:trPr>
        <w:trHeight w:val="1418"/>
      </w:trPr>
      <w:tc>
        <w:tcPr>
          <w:tcW w:w="5556" w:type="dxa"/>
          <w:vAlign w:val="center"/>
        </w:tcPr>
        <w:p w14:paraId="09578450" w14:textId="77777777" w:rsidR="00DF6B10" w:rsidRPr="00EF02B0" w:rsidRDefault="00DF6B10" w:rsidP="00DF6B10">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7D7B958D" w14:textId="1D041FDB" w:rsidR="00DF6B10" w:rsidRDefault="006D1F73" w:rsidP="00DF6B10">
          <w:pPr>
            <w:pStyle w:val="Header"/>
            <w:tabs>
              <w:tab w:val="clear" w:pos="4153"/>
              <w:tab w:val="clear" w:pos="8306"/>
            </w:tabs>
            <w:jc w:val="right"/>
            <w:rPr>
              <w:sz w:val="20"/>
            </w:rPr>
          </w:pPr>
          <w:bookmarkStart w:id="1" w:name="_top"/>
          <w:bookmarkEnd w:id="1"/>
          <w:r>
            <w:rPr>
              <w:sz w:val="20"/>
            </w:rPr>
            <w:t>CHS2</w:t>
          </w:r>
          <w:r w:rsidR="00AC19DF">
            <w:rPr>
              <w:sz w:val="20"/>
            </w:rPr>
            <w:t>3/</w:t>
          </w:r>
          <w:r w:rsidR="00CD00BE">
            <w:rPr>
              <w:sz w:val="20"/>
            </w:rPr>
            <w:t>235</w:t>
          </w:r>
        </w:p>
      </w:tc>
    </w:tr>
  </w:tbl>
  <w:p w14:paraId="0F21940D"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F01890"/>
    <w:multiLevelType w:val="hybridMultilevel"/>
    <w:tmpl w:val="DF44F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BCD2975"/>
    <w:multiLevelType w:val="hybridMultilevel"/>
    <w:tmpl w:val="BFEA1EAC"/>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65CD3A7A"/>
    <w:multiLevelType w:val="hybridMultilevel"/>
    <w:tmpl w:val="30E2C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AFA36CB"/>
    <w:multiLevelType w:val="hybridMultilevel"/>
    <w:tmpl w:val="B2DAF2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B1D4DF5"/>
    <w:multiLevelType w:val="hybridMultilevel"/>
    <w:tmpl w:val="046AB558"/>
    <w:lvl w:ilvl="0" w:tplc="A0AA2072">
      <w:start w:val="1"/>
      <w:numFmt w:val="decimal"/>
      <w:lvlText w:val="%1."/>
      <w:lvlJc w:val="left"/>
      <w:pPr>
        <w:ind w:left="360" w:hanging="360"/>
      </w:pPr>
      <w:rPr>
        <w:rFonts w:ascii="Calibri" w:hAnsi="Calibri" w:hint="default"/>
        <w:b w:val="0"/>
        <w:i w:val="0"/>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988362941">
    <w:abstractNumId w:val="0"/>
  </w:num>
  <w:num w:numId="2" w16cid:durableId="697660926">
    <w:abstractNumId w:val="1"/>
  </w:num>
  <w:num w:numId="3" w16cid:durableId="1909345307">
    <w:abstractNumId w:val="8"/>
  </w:num>
  <w:num w:numId="4" w16cid:durableId="1556626003">
    <w:abstractNumId w:val="2"/>
  </w:num>
  <w:num w:numId="5" w16cid:durableId="1160341568">
    <w:abstractNumId w:val="3"/>
  </w:num>
  <w:num w:numId="6" w16cid:durableId="435442406">
    <w:abstractNumId w:val="10"/>
  </w:num>
  <w:num w:numId="7" w16cid:durableId="1460303098">
    <w:abstractNumId w:val="9"/>
  </w:num>
  <w:num w:numId="8" w16cid:durableId="273099835">
    <w:abstractNumId w:val="7"/>
  </w:num>
  <w:num w:numId="9" w16cid:durableId="414471489">
    <w:abstractNumId w:val="6"/>
  </w:num>
  <w:num w:numId="10" w16cid:durableId="627980230">
    <w:abstractNumId w:val="5"/>
  </w:num>
  <w:num w:numId="11" w16cid:durableId="1584490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1BB6"/>
    <w:rsid w:val="000121C3"/>
    <w:rsid w:val="00015B90"/>
    <w:rsid w:val="0001607A"/>
    <w:rsid w:val="00050A68"/>
    <w:rsid w:val="00054474"/>
    <w:rsid w:val="00056765"/>
    <w:rsid w:val="000B5C8C"/>
    <w:rsid w:val="000C59E2"/>
    <w:rsid w:val="000C7B2D"/>
    <w:rsid w:val="000F46D0"/>
    <w:rsid w:val="000F7B7E"/>
    <w:rsid w:val="00103EEA"/>
    <w:rsid w:val="001063C3"/>
    <w:rsid w:val="00115D86"/>
    <w:rsid w:val="00191109"/>
    <w:rsid w:val="001A0053"/>
    <w:rsid w:val="001B2465"/>
    <w:rsid w:val="001F6D2D"/>
    <w:rsid w:val="00211130"/>
    <w:rsid w:val="00240B97"/>
    <w:rsid w:val="00247BFB"/>
    <w:rsid w:val="0025382D"/>
    <w:rsid w:val="00260A1F"/>
    <w:rsid w:val="00263BA6"/>
    <w:rsid w:val="0027264D"/>
    <w:rsid w:val="0028781D"/>
    <w:rsid w:val="00293E43"/>
    <w:rsid w:val="002B5F43"/>
    <w:rsid w:val="002D7104"/>
    <w:rsid w:val="002F61F7"/>
    <w:rsid w:val="00313707"/>
    <w:rsid w:val="00325ED8"/>
    <w:rsid w:val="00344838"/>
    <w:rsid w:val="00362267"/>
    <w:rsid w:val="00373B7C"/>
    <w:rsid w:val="00376A6D"/>
    <w:rsid w:val="00380B98"/>
    <w:rsid w:val="00396023"/>
    <w:rsid w:val="003C4BB5"/>
    <w:rsid w:val="003E4A1C"/>
    <w:rsid w:val="003E4CC0"/>
    <w:rsid w:val="003F3D8F"/>
    <w:rsid w:val="0040217A"/>
    <w:rsid w:val="00412CED"/>
    <w:rsid w:val="00420738"/>
    <w:rsid w:val="00427139"/>
    <w:rsid w:val="004358E9"/>
    <w:rsid w:val="004478B1"/>
    <w:rsid w:val="00450687"/>
    <w:rsid w:val="00463117"/>
    <w:rsid w:val="00464ACE"/>
    <w:rsid w:val="0047523D"/>
    <w:rsid w:val="00487DD5"/>
    <w:rsid w:val="00491A10"/>
    <w:rsid w:val="004938EF"/>
    <w:rsid w:val="004A2E02"/>
    <w:rsid w:val="004A7B75"/>
    <w:rsid w:val="004B7C43"/>
    <w:rsid w:val="004C2B20"/>
    <w:rsid w:val="004E28AD"/>
    <w:rsid w:val="004E2D2A"/>
    <w:rsid w:val="004F1D05"/>
    <w:rsid w:val="005149D6"/>
    <w:rsid w:val="0052443C"/>
    <w:rsid w:val="0052775E"/>
    <w:rsid w:val="00537C9E"/>
    <w:rsid w:val="00542514"/>
    <w:rsid w:val="00546AED"/>
    <w:rsid w:val="005621E4"/>
    <w:rsid w:val="005639E1"/>
    <w:rsid w:val="005869A9"/>
    <w:rsid w:val="00596FD7"/>
    <w:rsid w:val="005A2C1F"/>
    <w:rsid w:val="005A3625"/>
    <w:rsid w:val="005B4738"/>
    <w:rsid w:val="005B6AEF"/>
    <w:rsid w:val="005C0826"/>
    <w:rsid w:val="005C212D"/>
    <w:rsid w:val="005C3CB0"/>
    <w:rsid w:val="005F7499"/>
    <w:rsid w:val="00612231"/>
    <w:rsid w:val="00635EB1"/>
    <w:rsid w:val="00636DD9"/>
    <w:rsid w:val="006473BB"/>
    <w:rsid w:val="0066495D"/>
    <w:rsid w:val="00695EB6"/>
    <w:rsid w:val="006A4D46"/>
    <w:rsid w:val="006A6024"/>
    <w:rsid w:val="006C31FF"/>
    <w:rsid w:val="006C3EF6"/>
    <w:rsid w:val="006C6B6C"/>
    <w:rsid w:val="006C704D"/>
    <w:rsid w:val="006D1F73"/>
    <w:rsid w:val="006E1B0C"/>
    <w:rsid w:val="006E31CB"/>
    <w:rsid w:val="006E3C87"/>
    <w:rsid w:val="006F2927"/>
    <w:rsid w:val="006F5616"/>
    <w:rsid w:val="0070331D"/>
    <w:rsid w:val="00712B30"/>
    <w:rsid w:val="00720A69"/>
    <w:rsid w:val="00741B43"/>
    <w:rsid w:val="00756537"/>
    <w:rsid w:val="00764813"/>
    <w:rsid w:val="0078251B"/>
    <w:rsid w:val="007900C9"/>
    <w:rsid w:val="007A0EBC"/>
    <w:rsid w:val="007A238D"/>
    <w:rsid w:val="007B4ABB"/>
    <w:rsid w:val="007B6904"/>
    <w:rsid w:val="007C0E06"/>
    <w:rsid w:val="007C4D2B"/>
    <w:rsid w:val="0081192D"/>
    <w:rsid w:val="00816782"/>
    <w:rsid w:val="00820072"/>
    <w:rsid w:val="0082141D"/>
    <w:rsid w:val="00827F24"/>
    <w:rsid w:val="008459BF"/>
    <w:rsid w:val="008532C3"/>
    <w:rsid w:val="00855DA8"/>
    <w:rsid w:val="00870BC9"/>
    <w:rsid w:val="00886399"/>
    <w:rsid w:val="008974CA"/>
    <w:rsid w:val="008B3B0B"/>
    <w:rsid w:val="008C08CD"/>
    <w:rsid w:val="008E0BB0"/>
    <w:rsid w:val="008E1F7F"/>
    <w:rsid w:val="008F00E8"/>
    <w:rsid w:val="008F6921"/>
    <w:rsid w:val="00910364"/>
    <w:rsid w:val="0093003E"/>
    <w:rsid w:val="00933EED"/>
    <w:rsid w:val="0093434A"/>
    <w:rsid w:val="00940CDE"/>
    <w:rsid w:val="00942B11"/>
    <w:rsid w:val="00954112"/>
    <w:rsid w:val="0097742A"/>
    <w:rsid w:val="00980EED"/>
    <w:rsid w:val="00991670"/>
    <w:rsid w:val="009B3F8C"/>
    <w:rsid w:val="009B6C8C"/>
    <w:rsid w:val="009C0FCA"/>
    <w:rsid w:val="009C3963"/>
    <w:rsid w:val="009D323C"/>
    <w:rsid w:val="009E2BC4"/>
    <w:rsid w:val="00A02258"/>
    <w:rsid w:val="00A219E6"/>
    <w:rsid w:val="00A35E2D"/>
    <w:rsid w:val="00A6718B"/>
    <w:rsid w:val="00A74B8A"/>
    <w:rsid w:val="00A83C2D"/>
    <w:rsid w:val="00A85F61"/>
    <w:rsid w:val="00A86A9D"/>
    <w:rsid w:val="00A86DB3"/>
    <w:rsid w:val="00A93682"/>
    <w:rsid w:val="00AA25DC"/>
    <w:rsid w:val="00AB1F70"/>
    <w:rsid w:val="00AB4914"/>
    <w:rsid w:val="00AC19DF"/>
    <w:rsid w:val="00AD1E3B"/>
    <w:rsid w:val="00AE7FD2"/>
    <w:rsid w:val="00AF72DA"/>
    <w:rsid w:val="00B21043"/>
    <w:rsid w:val="00B251C8"/>
    <w:rsid w:val="00B338C5"/>
    <w:rsid w:val="00B44CAC"/>
    <w:rsid w:val="00B53465"/>
    <w:rsid w:val="00B573D6"/>
    <w:rsid w:val="00B7783C"/>
    <w:rsid w:val="00B81455"/>
    <w:rsid w:val="00B9627F"/>
    <w:rsid w:val="00BA2415"/>
    <w:rsid w:val="00BA4F95"/>
    <w:rsid w:val="00BB33F9"/>
    <w:rsid w:val="00BC3CE6"/>
    <w:rsid w:val="00BE5E41"/>
    <w:rsid w:val="00BF5214"/>
    <w:rsid w:val="00C24EDC"/>
    <w:rsid w:val="00C25A76"/>
    <w:rsid w:val="00C32206"/>
    <w:rsid w:val="00C45C67"/>
    <w:rsid w:val="00C46419"/>
    <w:rsid w:val="00C46710"/>
    <w:rsid w:val="00C523FF"/>
    <w:rsid w:val="00C71C3C"/>
    <w:rsid w:val="00CA593D"/>
    <w:rsid w:val="00CC71D4"/>
    <w:rsid w:val="00CD00BE"/>
    <w:rsid w:val="00D21780"/>
    <w:rsid w:val="00D23346"/>
    <w:rsid w:val="00D243B8"/>
    <w:rsid w:val="00D34794"/>
    <w:rsid w:val="00D4502D"/>
    <w:rsid w:val="00D530CE"/>
    <w:rsid w:val="00D53E3C"/>
    <w:rsid w:val="00D70BE8"/>
    <w:rsid w:val="00D77950"/>
    <w:rsid w:val="00D80114"/>
    <w:rsid w:val="00D8106C"/>
    <w:rsid w:val="00D86A19"/>
    <w:rsid w:val="00DC3762"/>
    <w:rsid w:val="00DD616A"/>
    <w:rsid w:val="00DE0465"/>
    <w:rsid w:val="00DF512B"/>
    <w:rsid w:val="00DF6B10"/>
    <w:rsid w:val="00E049ED"/>
    <w:rsid w:val="00E34546"/>
    <w:rsid w:val="00E34E6D"/>
    <w:rsid w:val="00E37CD4"/>
    <w:rsid w:val="00E550F7"/>
    <w:rsid w:val="00E57848"/>
    <w:rsid w:val="00E65F32"/>
    <w:rsid w:val="00E9072F"/>
    <w:rsid w:val="00E96207"/>
    <w:rsid w:val="00EA3074"/>
    <w:rsid w:val="00ED21C3"/>
    <w:rsid w:val="00ED388C"/>
    <w:rsid w:val="00EF02B0"/>
    <w:rsid w:val="00F01B61"/>
    <w:rsid w:val="00F0517F"/>
    <w:rsid w:val="00F149FD"/>
    <w:rsid w:val="00F4262F"/>
    <w:rsid w:val="00F53719"/>
    <w:rsid w:val="00F56495"/>
    <w:rsid w:val="00F57291"/>
    <w:rsid w:val="00F66CB0"/>
    <w:rsid w:val="00F76C89"/>
    <w:rsid w:val="00F866DE"/>
    <w:rsid w:val="00FA29B8"/>
    <w:rsid w:val="00FD3D92"/>
    <w:rsid w:val="00FE456D"/>
    <w:rsid w:val="00FF56DD"/>
    <w:rsid w:val="40692F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8">
    <w:name w:val="heading 8"/>
    <w:basedOn w:val="Normal"/>
    <w:next w:val="Normal"/>
    <w:link w:val="Heading8Char"/>
    <w:uiPriority w:val="9"/>
    <w:unhideWhenUsed/>
    <w:qFormat/>
    <w:rsid w:val="004478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1"/>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unhideWhenUsed/>
    <w:rsid w:val="00C46710"/>
    <w:rPr>
      <w:sz w:val="20"/>
    </w:rPr>
  </w:style>
  <w:style w:type="character" w:customStyle="1" w:styleId="CommentTextChar">
    <w:name w:val="Comment Text Char"/>
    <w:basedOn w:val="DefaultParagraphFont"/>
    <w:link w:val="CommentText"/>
    <w:uiPriority w:val="99"/>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customStyle="1" w:styleId="UnresolvedMention1">
    <w:name w:val="Unresolved Mention1"/>
    <w:basedOn w:val="DefaultParagraphFont"/>
    <w:uiPriority w:val="99"/>
    <w:semiHidden/>
    <w:unhideWhenUsed/>
    <w:rsid w:val="004478B1"/>
    <w:rPr>
      <w:color w:val="605E5C"/>
      <w:shd w:val="clear" w:color="auto" w:fill="E1DFDD"/>
    </w:rPr>
  </w:style>
  <w:style w:type="character" w:customStyle="1" w:styleId="Heading8Char">
    <w:name w:val="Heading 8 Char"/>
    <w:basedOn w:val="DefaultParagraphFont"/>
    <w:link w:val="Heading8"/>
    <w:uiPriority w:val="9"/>
    <w:rsid w:val="004478B1"/>
    <w:rPr>
      <w:rFonts w:asciiTheme="majorHAnsi" w:eastAsiaTheme="majorEastAsia" w:hAnsiTheme="majorHAnsi" w:cstheme="majorBidi"/>
      <w:color w:val="272727" w:themeColor="text1" w:themeTint="D8"/>
      <w:sz w:val="21"/>
      <w:szCs w:val="21"/>
    </w:rPr>
  </w:style>
  <w:style w:type="character" w:styleId="UnresolvedMention">
    <w:name w:val="Unresolved Mention"/>
    <w:basedOn w:val="DefaultParagraphFont"/>
    <w:uiPriority w:val="99"/>
    <w:semiHidden/>
    <w:unhideWhenUsed/>
    <w:rsid w:val="00420738"/>
    <w:rPr>
      <w:color w:val="605E5C"/>
      <w:shd w:val="clear" w:color="auto" w:fill="E1DFDD"/>
    </w:rPr>
  </w:style>
  <w:style w:type="paragraph" w:styleId="Revision">
    <w:name w:val="Revision"/>
    <w:hidden/>
    <w:uiPriority w:val="99"/>
    <w:semiHidden/>
    <w:rsid w:val="00BF5214"/>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lood.gov.au/ic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fetyandquality.gov.au/standards/nsqhs-standards/blood-management-standard" TargetMode="External"/><Relationship Id="rId5" Type="http://schemas.openxmlformats.org/officeDocument/2006/relationships/numbering" Target="numbering.xml"/><Relationship Id="rId15" Type="http://schemas.openxmlformats.org/officeDocument/2006/relationships/hyperlink" Target="https://www.blood.gov.au/sites/default/files/Intraoperative%20Cell%20Salvage%20Guidance.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D9B30D.87D610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CHS23/235</Decision_x0020_Number>
    <Description0 xmlns="690b2128-8961-48af-a473-22c34a9accba">Canberra Health Services endorses the use of the National Blood Authority (NBA) Guidance for the Provision of Intraoperative Cell Salvage Guideline.</Description0>
    <Display_x0020_on_x0020_Internet xmlns="690b2128-8961-48af-a473-22c34a9accba">true</Display_x0020_on_x0020_Internet>
    <Review_x0020_Date xmlns="690b2128-8961-48af-a473-22c34a9accba">2027-08-31T14:00:00+00:00</Review_x0020_Date>
    <Approval_x0020_Name_x007c_Committee xmlns="690b2128-8961-48af-a473-22c34a9accba">CHS Policy Committee Chair</Approval_x0020_Name_x007c_Committee>
    <Risk_x0020_Rating xmlns="690b2128-8961-48af-a473-22c34a9accba">Medium</Risk_x0020_Rating>
    <Related_x0020_Documents xmlns="690b2128-8961-48af-a473-22c34a9accba" xsi:nil="true"/>
    <Replaces_x003a_ xmlns="690b2128-8961-48af-a473-22c34a9accba">CHS20/205 Intraoperative Cell Salvage Guideline</Replaces_x003a_>
    <Progress xmlns="690b2128-8961-48af-a473-22c34a9accba" xsi:nil="true"/>
    <TaxCatchAll xmlns="c0239a80-7f07-4ed7-82c3-24ad7d76ada5" xsi:nil="true"/>
    <Key_x0020_Words xmlns="690b2128-8961-48af-a473-22c34a9accba">Intraoperative Cell Salvage, Cell Saver, Cell Saving, Washed Blood, DHR</Key_x0020_Words>
    <Type_x0020_of_x0020_Document xmlns="690b2128-8961-48af-a473-22c34a9accba">Placeholder</Type_x0020_of_x0020_Document>
    <Version_x0020_Number xmlns="690b2128-8961-48af-a473-22c34a9accba">1</Version_x0020_Number>
    <Approval_x0020_Date xmlns="690b2128-8961-48af-a473-22c34a9accba">2023-08-09T14:00:00+00:00</Approval_x0020_Date>
    <Notes0 xmlns="690b2128-8961-48af-a473-22c34a9accba" xsi:nil="true"/>
    <New_x0020_Applies_x0020_To xmlns="690b2128-8961-48af-a473-22c34a9accba">Canberra Health Services</New_x0020_Applies_x0020_To>
    <New_x0020_Owner xmlns="690b2128-8961-48af-a473-22c34a9accba">Surgery - Perioperative Services/Operating Rooms</New_x0020_Owner>
    <Status xmlns="690b2128-8961-48af-a473-22c34a9accba">Approved</Status>
    <ISD_x0020_Submitted xmlns="690b2128-8961-48af-a473-22c34a9accba">Yes</ISD_x0020_Submitted>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3" ma:contentTypeDescription="Create a new document." ma:contentTypeScope="" ma:versionID="ba5275a36f0a3cd1eabcae72882c8f5d">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d57d58b70ad4575884f83286fb72575b"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F058C-E928-43C8-9BF0-43F1BC651431}">
  <ds:schemaRefs>
    <ds:schemaRef ds:uri="http://purl.org/dc/terms/"/>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690b2128-8961-48af-a473-22c34a9accba"/>
    <ds:schemaRef ds:uri="http://schemas.microsoft.com/office/2006/metadata/properties"/>
    <ds:schemaRef ds:uri="http://purl.org/dc/elements/1.1/"/>
    <ds:schemaRef ds:uri="c0239a80-7f07-4ed7-82c3-24ad7d76ada5"/>
    <ds:schemaRef ds:uri="http://purl.org/dc/dcmitype/"/>
  </ds:schemaRefs>
</ds:datastoreItem>
</file>

<file path=customXml/itemProps2.xml><?xml version="1.0" encoding="utf-8"?>
<ds:datastoreItem xmlns:ds="http://schemas.openxmlformats.org/officeDocument/2006/customXml" ds:itemID="{09FBD087-A532-4416-82C8-95923A9F0AE0}">
  <ds:schemaRefs>
    <ds:schemaRef ds:uri="http://schemas.openxmlformats.org/officeDocument/2006/bibliography"/>
  </ds:schemaRefs>
</ds:datastoreItem>
</file>

<file path=customXml/itemProps3.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4.xml><?xml version="1.0" encoding="utf-8"?>
<ds:datastoreItem xmlns:ds="http://schemas.openxmlformats.org/officeDocument/2006/customXml" ds:itemID="{FBF5C419-062D-47BA-A1DE-DD972867E466}"/>
</file>

<file path=docProps/app.xml><?xml version="1.0" encoding="utf-8"?>
<Properties xmlns="http://schemas.openxmlformats.org/officeDocument/2006/extended-properties" xmlns:vt="http://schemas.openxmlformats.org/officeDocument/2006/docPropsVTypes">
  <Template>Normal</Template>
  <TotalTime>72</TotalTime>
  <Pages>4</Pages>
  <Words>610</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Intraoperative Cell Salvage Guideline</vt:lpstr>
    </vt:vector>
  </TitlesOfParts>
  <Company>ACT Government</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Intraoperative Cell Salvage Guideline</dc:title>
  <dc:subject>5;#;#23;#</dc:subject>
  <dc:creator>Kerryn Hunter</dc:creator>
  <cp:lastModifiedBy>Rusanov, Zoia (Health)</cp:lastModifiedBy>
  <cp:revision>4</cp:revision>
  <cp:lastPrinted>2014-07-16T01:36:00Z</cp:lastPrinted>
  <dcterms:created xsi:type="dcterms:W3CDTF">2023-07-25T02:02:00Z</dcterms:created>
  <dcterms:modified xsi:type="dcterms:W3CDTF">2023-08-10T03:27:00Z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ies>
</file>