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7F882286" w14:textId="77777777" w:rsidR="00F95DAB" w:rsidRPr="00B471ED" w:rsidRDefault="00F95DAB" w:rsidP="00F95DAB">
      <w:pPr>
        <w:rPr>
          <w:rFonts w:cs="Arial"/>
          <w:b/>
          <w:sz w:val="40"/>
          <w:szCs w:val="40"/>
        </w:rPr>
      </w:pPr>
      <w:r w:rsidRPr="00B471ED">
        <w:rPr>
          <w:rFonts w:cs="Arial"/>
          <w:b/>
          <w:sz w:val="40"/>
          <w:szCs w:val="40"/>
        </w:rPr>
        <w:t>High</w:t>
      </w:r>
      <w:r>
        <w:rPr>
          <w:rFonts w:cs="Arial"/>
          <w:b/>
          <w:sz w:val="40"/>
          <w:szCs w:val="40"/>
        </w:rPr>
        <w:t>-</w:t>
      </w:r>
      <w:r w:rsidRPr="00B471ED">
        <w:rPr>
          <w:rFonts w:cs="Arial"/>
          <w:b/>
          <w:sz w:val="40"/>
          <w:szCs w:val="40"/>
        </w:rPr>
        <w:t>Risk Medic</w:t>
      </w:r>
      <w:r>
        <w:rPr>
          <w:rFonts w:cs="Arial"/>
          <w:b/>
          <w:sz w:val="40"/>
          <w:szCs w:val="40"/>
        </w:rPr>
        <w:t>ine</w:t>
      </w:r>
      <w:r w:rsidRPr="00B471ED">
        <w:rPr>
          <w:rFonts w:cs="Arial"/>
          <w:b/>
          <w:sz w:val="40"/>
          <w:szCs w:val="40"/>
        </w:rPr>
        <w:t xml:space="preserve"> Standard</w:t>
      </w:r>
    </w:p>
    <w:p w14:paraId="2F51A850" w14:textId="227A83A1" w:rsidR="007B6904" w:rsidRPr="00F95DAB" w:rsidRDefault="00F95DAB" w:rsidP="006A3770">
      <w:pPr>
        <w:rPr>
          <w:rFonts w:cs="Arial"/>
          <w:b/>
          <w:iCs/>
          <w:sz w:val="36"/>
          <w:szCs w:val="36"/>
        </w:rPr>
      </w:pPr>
      <w:r>
        <w:rPr>
          <w:rFonts w:cs="Arial"/>
          <w:b/>
          <w:iCs/>
          <w:sz w:val="36"/>
          <w:szCs w:val="36"/>
        </w:rPr>
        <w:t>Vincristine</w:t>
      </w:r>
      <w:r w:rsidRPr="00B471ED">
        <w:rPr>
          <w:rFonts w:cs="Arial"/>
          <w:b/>
          <w:iCs/>
          <w:sz w:val="36"/>
          <w:szCs w:val="36"/>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96090954"/>
            <w:r w:rsidRPr="00CD1C0E">
              <w:t>Contents</w:t>
            </w:r>
            <w:bookmarkEnd w:id="5"/>
            <w:bookmarkEnd w:id="6"/>
            <w:bookmarkEnd w:id="7"/>
          </w:p>
        </w:tc>
      </w:tr>
    </w:tbl>
    <w:p w14:paraId="2F51A853" w14:textId="77777777" w:rsidR="007B6904" w:rsidRDefault="007B6904" w:rsidP="007B6904"/>
    <w:p w14:paraId="1FAE392F" w14:textId="23F76537" w:rsidR="00331E11" w:rsidRDefault="007B7628">
      <w:pPr>
        <w:pStyle w:val="TOC1"/>
        <w:tabs>
          <w:tab w:val="right" w:leader="dot" w:pos="9060"/>
        </w:tabs>
        <w:rPr>
          <w:rFonts w:eastAsiaTheme="minorEastAsia" w:cstheme="minorBidi"/>
          <w:noProof/>
          <w:sz w:val="22"/>
          <w:szCs w:val="22"/>
          <w:lang w:eastAsia="en-AU"/>
        </w:rPr>
      </w:pPr>
      <w:r>
        <w:fldChar w:fldCharType="begin"/>
      </w:r>
      <w:r w:rsidR="007052B1">
        <w:instrText xml:space="preserve"> TOC \h \z \t "Heading 1,1" </w:instrText>
      </w:r>
      <w:r>
        <w:fldChar w:fldCharType="separate"/>
      </w:r>
      <w:hyperlink w:anchor="_Toc96090954" w:history="1">
        <w:r w:rsidR="00331E11" w:rsidRPr="002F647D">
          <w:rPr>
            <w:rStyle w:val="Hyperlink"/>
            <w:noProof/>
          </w:rPr>
          <w:t>Contents</w:t>
        </w:r>
        <w:r w:rsidR="00331E11">
          <w:rPr>
            <w:noProof/>
            <w:webHidden/>
          </w:rPr>
          <w:tab/>
        </w:r>
        <w:r w:rsidR="00331E11">
          <w:rPr>
            <w:noProof/>
            <w:webHidden/>
          </w:rPr>
          <w:fldChar w:fldCharType="begin"/>
        </w:r>
        <w:r w:rsidR="00331E11">
          <w:rPr>
            <w:noProof/>
            <w:webHidden/>
          </w:rPr>
          <w:instrText xml:space="preserve"> PAGEREF _Toc96090954 \h </w:instrText>
        </w:r>
        <w:r w:rsidR="00331E11">
          <w:rPr>
            <w:noProof/>
            <w:webHidden/>
          </w:rPr>
        </w:r>
        <w:r w:rsidR="00331E11">
          <w:rPr>
            <w:noProof/>
            <w:webHidden/>
          </w:rPr>
          <w:fldChar w:fldCharType="separate"/>
        </w:r>
        <w:r w:rsidR="00331E11">
          <w:rPr>
            <w:noProof/>
            <w:webHidden/>
          </w:rPr>
          <w:t>1</w:t>
        </w:r>
        <w:r w:rsidR="00331E11">
          <w:rPr>
            <w:noProof/>
            <w:webHidden/>
          </w:rPr>
          <w:fldChar w:fldCharType="end"/>
        </w:r>
      </w:hyperlink>
    </w:p>
    <w:p w14:paraId="79D47B7D" w14:textId="6561285A" w:rsidR="00331E11" w:rsidRDefault="00331E11">
      <w:pPr>
        <w:pStyle w:val="TOC1"/>
        <w:tabs>
          <w:tab w:val="right" w:leader="dot" w:pos="9060"/>
        </w:tabs>
        <w:rPr>
          <w:rFonts w:eastAsiaTheme="minorEastAsia" w:cstheme="minorBidi"/>
          <w:noProof/>
          <w:sz w:val="22"/>
          <w:szCs w:val="22"/>
          <w:lang w:eastAsia="en-AU"/>
        </w:rPr>
      </w:pPr>
      <w:hyperlink w:anchor="_Toc96090955" w:history="1">
        <w:r w:rsidRPr="002F647D">
          <w:rPr>
            <w:rStyle w:val="Hyperlink"/>
            <w:noProof/>
          </w:rPr>
          <w:t>Purpose</w:t>
        </w:r>
        <w:r>
          <w:rPr>
            <w:noProof/>
            <w:webHidden/>
          </w:rPr>
          <w:tab/>
        </w:r>
        <w:r>
          <w:rPr>
            <w:noProof/>
            <w:webHidden/>
          </w:rPr>
          <w:fldChar w:fldCharType="begin"/>
        </w:r>
        <w:r>
          <w:rPr>
            <w:noProof/>
            <w:webHidden/>
          </w:rPr>
          <w:instrText xml:space="preserve"> PAGEREF _Toc96090955 \h </w:instrText>
        </w:r>
        <w:r>
          <w:rPr>
            <w:noProof/>
            <w:webHidden/>
          </w:rPr>
        </w:r>
        <w:r>
          <w:rPr>
            <w:noProof/>
            <w:webHidden/>
          </w:rPr>
          <w:fldChar w:fldCharType="separate"/>
        </w:r>
        <w:r>
          <w:rPr>
            <w:noProof/>
            <w:webHidden/>
          </w:rPr>
          <w:t>2</w:t>
        </w:r>
        <w:r>
          <w:rPr>
            <w:noProof/>
            <w:webHidden/>
          </w:rPr>
          <w:fldChar w:fldCharType="end"/>
        </w:r>
      </w:hyperlink>
    </w:p>
    <w:p w14:paraId="67926C2F" w14:textId="14772444" w:rsidR="00331E11" w:rsidRDefault="00331E11">
      <w:pPr>
        <w:pStyle w:val="TOC1"/>
        <w:tabs>
          <w:tab w:val="right" w:leader="dot" w:pos="9060"/>
        </w:tabs>
        <w:rPr>
          <w:rFonts w:eastAsiaTheme="minorEastAsia" w:cstheme="minorBidi"/>
          <w:noProof/>
          <w:sz w:val="22"/>
          <w:szCs w:val="22"/>
          <w:lang w:eastAsia="en-AU"/>
        </w:rPr>
      </w:pPr>
      <w:hyperlink w:anchor="_Toc96090956" w:history="1">
        <w:r w:rsidRPr="002F647D">
          <w:rPr>
            <w:rStyle w:val="Hyperlink"/>
            <w:noProof/>
          </w:rPr>
          <w:t>Alerts</w:t>
        </w:r>
        <w:r>
          <w:rPr>
            <w:noProof/>
            <w:webHidden/>
          </w:rPr>
          <w:tab/>
        </w:r>
        <w:r>
          <w:rPr>
            <w:noProof/>
            <w:webHidden/>
          </w:rPr>
          <w:fldChar w:fldCharType="begin"/>
        </w:r>
        <w:r>
          <w:rPr>
            <w:noProof/>
            <w:webHidden/>
          </w:rPr>
          <w:instrText xml:space="preserve"> PAGEREF _Toc96090956 \h </w:instrText>
        </w:r>
        <w:r>
          <w:rPr>
            <w:noProof/>
            <w:webHidden/>
          </w:rPr>
        </w:r>
        <w:r>
          <w:rPr>
            <w:noProof/>
            <w:webHidden/>
          </w:rPr>
          <w:fldChar w:fldCharType="separate"/>
        </w:r>
        <w:r>
          <w:rPr>
            <w:noProof/>
            <w:webHidden/>
          </w:rPr>
          <w:t>2</w:t>
        </w:r>
        <w:r>
          <w:rPr>
            <w:noProof/>
            <w:webHidden/>
          </w:rPr>
          <w:fldChar w:fldCharType="end"/>
        </w:r>
      </w:hyperlink>
    </w:p>
    <w:p w14:paraId="774D37FD" w14:textId="6EB7A018" w:rsidR="00331E11" w:rsidRDefault="00331E11">
      <w:pPr>
        <w:pStyle w:val="TOC1"/>
        <w:tabs>
          <w:tab w:val="right" w:leader="dot" w:pos="9060"/>
        </w:tabs>
        <w:rPr>
          <w:rFonts w:eastAsiaTheme="minorEastAsia" w:cstheme="minorBidi"/>
          <w:noProof/>
          <w:sz w:val="22"/>
          <w:szCs w:val="22"/>
          <w:lang w:eastAsia="en-AU"/>
        </w:rPr>
      </w:pPr>
      <w:hyperlink w:anchor="_Toc96090957" w:history="1">
        <w:r w:rsidRPr="002F647D">
          <w:rPr>
            <w:rStyle w:val="Hyperlink"/>
            <w:noProof/>
          </w:rPr>
          <w:t>Scope</w:t>
        </w:r>
        <w:r>
          <w:rPr>
            <w:noProof/>
            <w:webHidden/>
          </w:rPr>
          <w:tab/>
        </w:r>
        <w:r>
          <w:rPr>
            <w:noProof/>
            <w:webHidden/>
          </w:rPr>
          <w:fldChar w:fldCharType="begin"/>
        </w:r>
        <w:r>
          <w:rPr>
            <w:noProof/>
            <w:webHidden/>
          </w:rPr>
          <w:instrText xml:space="preserve"> PAGEREF _Toc96090957 \h </w:instrText>
        </w:r>
        <w:r>
          <w:rPr>
            <w:noProof/>
            <w:webHidden/>
          </w:rPr>
        </w:r>
        <w:r>
          <w:rPr>
            <w:noProof/>
            <w:webHidden/>
          </w:rPr>
          <w:fldChar w:fldCharType="separate"/>
        </w:r>
        <w:r>
          <w:rPr>
            <w:noProof/>
            <w:webHidden/>
          </w:rPr>
          <w:t>2</w:t>
        </w:r>
        <w:r>
          <w:rPr>
            <w:noProof/>
            <w:webHidden/>
          </w:rPr>
          <w:fldChar w:fldCharType="end"/>
        </w:r>
      </w:hyperlink>
    </w:p>
    <w:p w14:paraId="6869DAD8" w14:textId="39DBE6D5" w:rsidR="00331E11" w:rsidRDefault="00331E11">
      <w:pPr>
        <w:pStyle w:val="TOC1"/>
        <w:tabs>
          <w:tab w:val="right" w:leader="dot" w:pos="9060"/>
        </w:tabs>
        <w:rPr>
          <w:rFonts w:eastAsiaTheme="minorEastAsia" w:cstheme="minorBidi"/>
          <w:noProof/>
          <w:sz w:val="22"/>
          <w:szCs w:val="22"/>
          <w:lang w:eastAsia="en-AU"/>
        </w:rPr>
      </w:pPr>
      <w:hyperlink w:anchor="_Toc96090958" w:history="1">
        <w:r w:rsidRPr="002F647D">
          <w:rPr>
            <w:rStyle w:val="Hyperlink"/>
            <w:noProof/>
          </w:rPr>
          <w:t>Section 1 – Guideline and Policy requirements</w:t>
        </w:r>
        <w:r>
          <w:rPr>
            <w:noProof/>
            <w:webHidden/>
          </w:rPr>
          <w:tab/>
        </w:r>
        <w:r>
          <w:rPr>
            <w:noProof/>
            <w:webHidden/>
          </w:rPr>
          <w:fldChar w:fldCharType="begin"/>
        </w:r>
        <w:r>
          <w:rPr>
            <w:noProof/>
            <w:webHidden/>
          </w:rPr>
          <w:instrText xml:space="preserve"> PAGEREF _Toc96090958 \h </w:instrText>
        </w:r>
        <w:r>
          <w:rPr>
            <w:noProof/>
            <w:webHidden/>
          </w:rPr>
        </w:r>
        <w:r>
          <w:rPr>
            <w:noProof/>
            <w:webHidden/>
          </w:rPr>
          <w:fldChar w:fldCharType="separate"/>
        </w:r>
        <w:r>
          <w:rPr>
            <w:noProof/>
            <w:webHidden/>
          </w:rPr>
          <w:t>3</w:t>
        </w:r>
        <w:r>
          <w:rPr>
            <w:noProof/>
            <w:webHidden/>
          </w:rPr>
          <w:fldChar w:fldCharType="end"/>
        </w:r>
      </w:hyperlink>
    </w:p>
    <w:p w14:paraId="3FFD8D13" w14:textId="7631BF40" w:rsidR="00331E11" w:rsidRDefault="00331E11">
      <w:pPr>
        <w:pStyle w:val="TOC1"/>
        <w:tabs>
          <w:tab w:val="right" w:leader="dot" w:pos="9060"/>
        </w:tabs>
        <w:rPr>
          <w:rFonts w:eastAsiaTheme="minorEastAsia" w:cstheme="minorBidi"/>
          <w:noProof/>
          <w:sz w:val="22"/>
          <w:szCs w:val="22"/>
          <w:lang w:eastAsia="en-AU"/>
        </w:rPr>
      </w:pPr>
      <w:hyperlink w:anchor="_Toc96090959" w:history="1">
        <w:r w:rsidRPr="002F647D">
          <w:rPr>
            <w:rStyle w:val="Hyperlink"/>
            <w:noProof/>
          </w:rPr>
          <w:t>Section 2 –  Prescriber responsibilities</w:t>
        </w:r>
        <w:r>
          <w:rPr>
            <w:noProof/>
            <w:webHidden/>
          </w:rPr>
          <w:tab/>
        </w:r>
        <w:r>
          <w:rPr>
            <w:noProof/>
            <w:webHidden/>
          </w:rPr>
          <w:fldChar w:fldCharType="begin"/>
        </w:r>
        <w:r>
          <w:rPr>
            <w:noProof/>
            <w:webHidden/>
          </w:rPr>
          <w:instrText xml:space="preserve"> PAGEREF _Toc96090959 \h </w:instrText>
        </w:r>
        <w:r>
          <w:rPr>
            <w:noProof/>
            <w:webHidden/>
          </w:rPr>
        </w:r>
        <w:r>
          <w:rPr>
            <w:noProof/>
            <w:webHidden/>
          </w:rPr>
          <w:fldChar w:fldCharType="separate"/>
        </w:r>
        <w:r>
          <w:rPr>
            <w:noProof/>
            <w:webHidden/>
          </w:rPr>
          <w:t>3</w:t>
        </w:r>
        <w:r>
          <w:rPr>
            <w:noProof/>
            <w:webHidden/>
          </w:rPr>
          <w:fldChar w:fldCharType="end"/>
        </w:r>
      </w:hyperlink>
    </w:p>
    <w:p w14:paraId="7D19EE5C" w14:textId="62704CE9" w:rsidR="00331E11" w:rsidRDefault="00331E11">
      <w:pPr>
        <w:pStyle w:val="TOC1"/>
        <w:tabs>
          <w:tab w:val="right" w:leader="dot" w:pos="9060"/>
        </w:tabs>
        <w:rPr>
          <w:rFonts w:eastAsiaTheme="minorEastAsia" w:cstheme="minorBidi"/>
          <w:noProof/>
          <w:sz w:val="22"/>
          <w:szCs w:val="22"/>
          <w:lang w:eastAsia="en-AU"/>
        </w:rPr>
      </w:pPr>
      <w:hyperlink w:anchor="_Toc96090960" w:history="1">
        <w:r w:rsidRPr="002F647D">
          <w:rPr>
            <w:rStyle w:val="Hyperlink"/>
            <w:noProof/>
          </w:rPr>
          <w:t>Section 3 – Administration</w:t>
        </w:r>
        <w:r>
          <w:rPr>
            <w:noProof/>
            <w:webHidden/>
          </w:rPr>
          <w:tab/>
        </w:r>
        <w:r>
          <w:rPr>
            <w:noProof/>
            <w:webHidden/>
          </w:rPr>
          <w:fldChar w:fldCharType="begin"/>
        </w:r>
        <w:r>
          <w:rPr>
            <w:noProof/>
            <w:webHidden/>
          </w:rPr>
          <w:instrText xml:space="preserve"> PAGEREF _Toc96090960 \h </w:instrText>
        </w:r>
        <w:r>
          <w:rPr>
            <w:noProof/>
            <w:webHidden/>
          </w:rPr>
        </w:r>
        <w:r>
          <w:rPr>
            <w:noProof/>
            <w:webHidden/>
          </w:rPr>
          <w:fldChar w:fldCharType="separate"/>
        </w:r>
        <w:r>
          <w:rPr>
            <w:noProof/>
            <w:webHidden/>
          </w:rPr>
          <w:t>3</w:t>
        </w:r>
        <w:r>
          <w:rPr>
            <w:noProof/>
            <w:webHidden/>
          </w:rPr>
          <w:fldChar w:fldCharType="end"/>
        </w:r>
      </w:hyperlink>
    </w:p>
    <w:p w14:paraId="66DA452B" w14:textId="4C8005DF" w:rsidR="00331E11" w:rsidRDefault="00331E11">
      <w:pPr>
        <w:pStyle w:val="TOC1"/>
        <w:tabs>
          <w:tab w:val="right" w:leader="dot" w:pos="9060"/>
        </w:tabs>
        <w:rPr>
          <w:rFonts w:eastAsiaTheme="minorEastAsia" w:cstheme="minorBidi"/>
          <w:noProof/>
          <w:sz w:val="22"/>
          <w:szCs w:val="22"/>
          <w:lang w:eastAsia="en-AU"/>
        </w:rPr>
      </w:pPr>
      <w:hyperlink w:anchor="_Toc96090961" w:history="1">
        <w:r w:rsidRPr="002F647D">
          <w:rPr>
            <w:rStyle w:val="Hyperlink"/>
            <w:noProof/>
          </w:rPr>
          <w:t>Section 4 – Storage and supply</w:t>
        </w:r>
        <w:r>
          <w:rPr>
            <w:noProof/>
            <w:webHidden/>
          </w:rPr>
          <w:tab/>
        </w:r>
        <w:r>
          <w:rPr>
            <w:noProof/>
            <w:webHidden/>
          </w:rPr>
          <w:fldChar w:fldCharType="begin"/>
        </w:r>
        <w:r>
          <w:rPr>
            <w:noProof/>
            <w:webHidden/>
          </w:rPr>
          <w:instrText xml:space="preserve"> PAGEREF _Toc96090961 \h </w:instrText>
        </w:r>
        <w:r>
          <w:rPr>
            <w:noProof/>
            <w:webHidden/>
          </w:rPr>
        </w:r>
        <w:r>
          <w:rPr>
            <w:noProof/>
            <w:webHidden/>
          </w:rPr>
          <w:fldChar w:fldCharType="separate"/>
        </w:r>
        <w:r>
          <w:rPr>
            <w:noProof/>
            <w:webHidden/>
          </w:rPr>
          <w:t>4</w:t>
        </w:r>
        <w:r>
          <w:rPr>
            <w:noProof/>
            <w:webHidden/>
          </w:rPr>
          <w:fldChar w:fldCharType="end"/>
        </w:r>
      </w:hyperlink>
    </w:p>
    <w:p w14:paraId="5E9C654D" w14:textId="706C19BB" w:rsidR="00331E11" w:rsidRDefault="00331E11">
      <w:pPr>
        <w:pStyle w:val="TOC1"/>
        <w:tabs>
          <w:tab w:val="right" w:leader="dot" w:pos="9060"/>
        </w:tabs>
        <w:rPr>
          <w:rFonts w:eastAsiaTheme="minorEastAsia" w:cstheme="minorBidi"/>
          <w:noProof/>
          <w:sz w:val="22"/>
          <w:szCs w:val="22"/>
          <w:lang w:eastAsia="en-AU"/>
        </w:rPr>
      </w:pPr>
      <w:hyperlink w:anchor="_Toc96090962" w:history="1">
        <w:r w:rsidRPr="002F647D">
          <w:rPr>
            <w:rStyle w:val="Hyperlink"/>
            <w:noProof/>
          </w:rPr>
          <w:t>Section 5 –  Training/Qualifications Required</w:t>
        </w:r>
        <w:r>
          <w:rPr>
            <w:noProof/>
            <w:webHidden/>
          </w:rPr>
          <w:tab/>
        </w:r>
        <w:r>
          <w:rPr>
            <w:noProof/>
            <w:webHidden/>
          </w:rPr>
          <w:fldChar w:fldCharType="begin"/>
        </w:r>
        <w:r>
          <w:rPr>
            <w:noProof/>
            <w:webHidden/>
          </w:rPr>
          <w:instrText xml:space="preserve"> PAGEREF _Toc96090962 \h </w:instrText>
        </w:r>
        <w:r>
          <w:rPr>
            <w:noProof/>
            <w:webHidden/>
          </w:rPr>
        </w:r>
        <w:r>
          <w:rPr>
            <w:noProof/>
            <w:webHidden/>
          </w:rPr>
          <w:fldChar w:fldCharType="separate"/>
        </w:r>
        <w:r>
          <w:rPr>
            <w:noProof/>
            <w:webHidden/>
          </w:rPr>
          <w:t>4</w:t>
        </w:r>
        <w:r>
          <w:rPr>
            <w:noProof/>
            <w:webHidden/>
          </w:rPr>
          <w:fldChar w:fldCharType="end"/>
        </w:r>
      </w:hyperlink>
    </w:p>
    <w:p w14:paraId="30E71D48" w14:textId="5B1C1814" w:rsidR="00331E11" w:rsidRDefault="00331E11">
      <w:pPr>
        <w:pStyle w:val="TOC1"/>
        <w:tabs>
          <w:tab w:val="right" w:leader="dot" w:pos="9060"/>
        </w:tabs>
        <w:rPr>
          <w:rFonts w:eastAsiaTheme="minorEastAsia" w:cstheme="minorBidi"/>
          <w:noProof/>
          <w:sz w:val="22"/>
          <w:szCs w:val="22"/>
          <w:lang w:eastAsia="en-AU"/>
        </w:rPr>
      </w:pPr>
      <w:hyperlink w:anchor="_Toc96090963" w:history="1">
        <w:r w:rsidRPr="002F647D">
          <w:rPr>
            <w:rStyle w:val="Hyperlink"/>
            <w:noProof/>
          </w:rPr>
          <w:t>Evaluation</w:t>
        </w:r>
        <w:r>
          <w:rPr>
            <w:noProof/>
            <w:webHidden/>
          </w:rPr>
          <w:tab/>
        </w:r>
        <w:r>
          <w:rPr>
            <w:noProof/>
            <w:webHidden/>
          </w:rPr>
          <w:fldChar w:fldCharType="begin"/>
        </w:r>
        <w:r>
          <w:rPr>
            <w:noProof/>
            <w:webHidden/>
          </w:rPr>
          <w:instrText xml:space="preserve"> PAGEREF _Toc96090963 \h </w:instrText>
        </w:r>
        <w:r>
          <w:rPr>
            <w:noProof/>
            <w:webHidden/>
          </w:rPr>
        </w:r>
        <w:r>
          <w:rPr>
            <w:noProof/>
            <w:webHidden/>
          </w:rPr>
          <w:fldChar w:fldCharType="separate"/>
        </w:r>
        <w:r>
          <w:rPr>
            <w:noProof/>
            <w:webHidden/>
          </w:rPr>
          <w:t>4</w:t>
        </w:r>
        <w:r>
          <w:rPr>
            <w:noProof/>
            <w:webHidden/>
          </w:rPr>
          <w:fldChar w:fldCharType="end"/>
        </w:r>
      </w:hyperlink>
    </w:p>
    <w:p w14:paraId="2D5B129F" w14:textId="1083EC56" w:rsidR="00331E11" w:rsidRDefault="00331E11">
      <w:pPr>
        <w:pStyle w:val="TOC1"/>
        <w:tabs>
          <w:tab w:val="right" w:leader="dot" w:pos="9060"/>
        </w:tabs>
        <w:rPr>
          <w:rFonts w:eastAsiaTheme="minorEastAsia" w:cstheme="minorBidi"/>
          <w:noProof/>
          <w:sz w:val="22"/>
          <w:szCs w:val="22"/>
          <w:lang w:eastAsia="en-AU"/>
        </w:rPr>
      </w:pPr>
      <w:hyperlink w:anchor="_Toc96090964" w:history="1">
        <w:r w:rsidRPr="002F647D">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_Toc96090964 \h </w:instrText>
        </w:r>
        <w:r>
          <w:rPr>
            <w:noProof/>
            <w:webHidden/>
          </w:rPr>
        </w:r>
        <w:r>
          <w:rPr>
            <w:noProof/>
            <w:webHidden/>
          </w:rPr>
          <w:fldChar w:fldCharType="separate"/>
        </w:r>
        <w:r>
          <w:rPr>
            <w:noProof/>
            <w:webHidden/>
          </w:rPr>
          <w:t>5</w:t>
        </w:r>
        <w:r>
          <w:rPr>
            <w:noProof/>
            <w:webHidden/>
          </w:rPr>
          <w:fldChar w:fldCharType="end"/>
        </w:r>
      </w:hyperlink>
    </w:p>
    <w:p w14:paraId="19E631D5" w14:textId="27CF9D9D" w:rsidR="00331E11" w:rsidRDefault="00331E11">
      <w:pPr>
        <w:pStyle w:val="TOC1"/>
        <w:tabs>
          <w:tab w:val="right" w:leader="dot" w:pos="9060"/>
        </w:tabs>
        <w:rPr>
          <w:rFonts w:eastAsiaTheme="minorEastAsia" w:cstheme="minorBidi"/>
          <w:noProof/>
          <w:sz w:val="22"/>
          <w:szCs w:val="22"/>
          <w:lang w:eastAsia="en-AU"/>
        </w:rPr>
      </w:pPr>
      <w:hyperlink w:anchor="_Toc96090965" w:history="1">
        <w:r w:rsidRPr="002F647D">
          <w:rPr>
            <w:rStyle w:val="Hyperlink"/>
            <w:noProof/>
          </w:rPr>
          <w:t>References</w:t>
        </w:r>
        <w:r>
          <w:rPr>
            <w:noProof/>
            <w:webHidden/>
          </w:rPr>
          <w:tab/>
        </w:r>
        <w:r>
          <w:rPr>
            <w:noProof/>
            <w:webHidden/>
          </w:rPr>
          <w:fldChar w:fldCharType="begin"/>
        </w:r>
        <w:r>
          <w:rPr>
            <w:noProof/>
            <w:webHidden/>
          </w:rPr>
          <w:instrText xml:space="preserve"> PAGEREF _Toc96090965 \h </w:instrText>
        </w:r>
        <w:r>
          <w:rPr>
            <w:noProof/>
            <w:webHidden/>
          </w:rPr>
        </w:r>
        <w:r>
          <w:rPr>
            <w:noProof/>
            <w:webHidden/>
          </w:rPr>
          <w:fldChar w:fldCharType="separate"/>
        </w:r>
        <w:r>
          <w:rPr>
            <w:noProof/>
            <w:webHidden/>
          </w:rPr>
          <w:t>6</w:t>
        </w:r>
        <w:r>
          <w:rPr>
            <w:noProof/>
            <w:webHidden/>
          </w:rPr>
          <w:fldChar w:fldCharType="end"/>
        </w:r>
      </w:hyperlink>
    </w:p>
    <w:p w14:paraId="2F128A94" w14:textId="5898DD57" w:rsidR="00331E11" w:rsidRDefault="00331E11">
      <w:pPr>
        <w:pStyle w:val="TOC1"/>
        <w:tabs>
          <w:tab w:val="right" w:leader="dot" w:pos="9060"/>
        </w:tabs>
        <w:rPr>
          <w:rFonts w:eastAsiaTheme="minorEastAsia" w:cstheme="minorBidi"/>
          <w:noProof/>
          <w:sz w:val="22"/>
          <w:szCs w:val="22"/>
          <w:lang w:eastAsia="en-AU"/>
        </w:rPr>
      </w:pPr>
      <w:hyperlink w:anchor="_Toc96090966" w:history="1">
        <w:r w:rsidRPr="002F647D">
          <w:rPr>
            <w:rStyle w:val="Hyperlink"/>
            <w:noProof/>
          </w:rPr>
          <w:t>Search Terms</w:t>
        </w:r>
        <w:r>
          <w:rPr>
            <w:noProof/>
            <w:webHidden/>
          </w:rPr>
          <w:tab/>
        </w:r>
        <w:r>
          <w:rPr>
            <w:noProof/>
            <w:webHidden/>
          </w:rPr>
          <w:fldChar w:fldCharType="begin"/>
        </w:r>
        <w:r>
          <w:rPr>
            <w:noProof/>
            <w:webHidden/>
          </w:rPr>
          <w:instrText xml:space="preserve"> PAGEREF _Toc96090966 \h </w:instrText>
        </w:r>
        <w:r>
          <w:rPr>
            <w:noProof/>
            <w:webHidden/>
          </w:rPr>
        </w:r>
        <w:r>
          <w:rPr>
            <w:noProof/>
            <w:webHidden/>
          </w:rPr>
          <w:fldChar w:fldCharType="separate"/>
        </w:r>
        <w:r>
          <w:rPr>
            <w:noProof/>
            <w:webHidden/>
          </w:rPr>
          <w:t>6</w:t>
        </w:r>
        <w:r>
          <w:rPr>
            <w:noProof/>
            <w:webHidden/>
          </w:rPr>
          <w:fldChar w:fldCharType="end"/>
        </w:r>
      </w:hyperlink>
    </w:p>
    <w:p w14:paraId="755B0D34" w14:textId="154D4115" w:rsidR="00331E11" w:rsidRDefault="00331E11">
      <w:pPr>
        <w:pStyle w:val="TOC1"/>
        <w:tabs>
          <w:tab w:val="right" w:leader="dot" w:pos="9060"/>
        </w:tabs>
        <w:rPr>
          <w:rFonts w:eastAsiaTheme="minorEastAsia" w:cstheme="minorBidi"/>
          <w:noProof/>
          <w:sz w:val="22"/>
          <w:szCs w:val="22"/>
          <w:lang w:eastAsia="en-AU"/>
        </w:rPr>
      </w:pPr>
      <w:hyperlink w:anchor="_Toc96090967" w:history="1">
        <w:r w:rsidRPr="002F647D">
          <w:rPr>
            <w:rStyle w:val="Hyperlink"/>
            <w:noProof/>
          </w:rPr>
          <w:t>Attachments</w:t>
        </w:r>
        <w:r>
          <w:rPr>
            <w:noProof/>
            <w:webHidden/>
          </w:rPr>
          <w:tab/>
        </w:r>
        <w:r>
          <w:rPr>
            <w:noProof/>
            <w:webHidden/>
          </w:rPr>
          <w:fldChar w:fldCharType="begin"/>
        </w:r>
        <w:r>
          <w:rPr>
            <w:noProof/>
            <w:webHidden/>
          </w:rPr>
          <w:instrText xml:space="preserve"> PAGEREF _Toc96090967 \h </w:instrText>
        </w:r>
        <w:r>
          <w:rPr>
            <w:noProof/>
            <w:webHidden/>
          </w:rPr>
        </w:r>
        <w:r>
          <w:rPr>
            <w:noProof/>
            <w:webHidden/>
          </w:rPr>
          <w:fldChar w:fldCharType="separate"/>
        </w:r>
        <w:r>
          <w:rPr>
            <w:noProof/>
            <w:webHidden/>
          </w:rPr>
          <w:t>6</w:t>
        </w:r>
        <w:r>
          <w:rPr>
            <w:noProof/>
            <w:webHidden/>
          </w:rPr>
          <w:fldChar w:fldCharType="end"/>
        </w:r>
      </w:hyperlink>
    </w:p>
    <w:p w14:paraId="2F51A861" w14:textId="411681FF" w:rsidR="007052B1" w:rsidRDefault="007B7628" w:rsidP="007B6904">
      <w:pPr>
        <w:rPr>
          <w:rFonts w:asciiTheme="minorHAnsi" w:hAnsiTheme="minorHAnsi"/>
        </w:rPr>
      </w:pPr>
      <w:r>
        <w:rPr>
          <w:rFonts w:asciiTheme="minorHAnsi" w:hAnsiTheme="minorHAnsi"/>
        </w:rPr>
        <w:fldChar w:fldCharType="end"/>
      </w:r>
    </w:p>
    <w:p w14:paraId="2F51A863" w14:textId="633D8A9E" w:rsidR="007B6904" w:rsidRPr="009E06D3" w:rsidRDefault="007052B1" w:rsidP="009E06D3">
      <w:pPr>
        <w:spacing w:after="200" w:line="276" w:lineRule="auto"/>
        <w:rPr>
          <w:rFonts w:asciiTheme="minorHAnsi" w:hAnsiTheme="minorHAnsi"/>
        </w:rPr>
      </w:pPr>
      <w:r>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96090955"/>
            <w:r w:rsidRPr="00CD1C0E">
              <w:lastRenderedPageBreak/>
              <w:t>Purpose</w:t>
            </w:r>
            <w:bookmarkEnd w:id="8"/>
            <w:bookmarkEnd w:id="9"/>
          </w:p>
        </w:tc>
      </w:tr>
    </w:tbl>
    <w:p w14:paraId="2F51A866" w14:textId="77777777" w:rsidR="00931B93" w:rsidRDefault="00931B93" w:rsidP="00931B93">
      <w:pPr>
        <w:rPr>
          <w:rFonts w:cs="Arial"/>
          <w:i/>
          <w:szCs w:val="24"/>
        </w:rPr>
      </w:pPr>
    </w:p>
    <w:p w14:paraId="53FF3683" w14:textId="77777777" w:rsidR="00F95DAB" w:rsidRDefault="00F95DAB" w:rsidP="00F95DAB">
      <w:pPr>
        <w:autoSpaceDE w:val="0"/>
        <w:autoSpaceDN w:val="0"/>
        <w:adjustRightInd w:val="0"/>
        <w:rPr>
          <w:rFonts w:eastAsiaTheme="minorHAnsi" w:cs="Arial"/>
          <w:szCs w:val="24"/>
        </w:rPr>
      </w:pPr>
      <w:r w:rsidRPr="001E0B74">
        <w:rPr>
          <w:rFonts w:eastAsiaTheme="minorHAnsi" w:cs="Arial"/>
          <w:szCs w:val="24"/>
        </w:rPr>
        <w:t>This</w:t>
      </w:r>
      <w:r>
        <w:rPr>
          <w:rFonts w:eastAsiaTheme="minorHAnsi" w:cs="Arial"/>
          <w:szCs w:val="24"/>
        </w:rPr>
        <w:t xml:space="preserve"> document sets out the </w:t>
      </w:r>
      <w:r w:rsidRPr="001E0B74">
        <w:rPr>
          <w:rFonts w:eastAsiaTheme="minorHAnsi" w:cs="Arial"/>
          <w:szCs w:val="24"/>
        </w:rPr>
        <w:t>s</w:t>
      </w:r>
      <w:r>
        <w:rPr>
          <w:rFonts w:eastAsiaTheme="minorHAnsi" w:cs="Arial"/>
          <w:szCs w:val="24"/>
        </w:rPr>
        <w:t>tandards</w:t>
      </w:r>
      <w:r w:rsidRPr="001E0B74">
        <w:rPr>
          <w:rFonts w:eastAsiaTheme="minorHAnsi" w:cs="Arial"/>
          <w:szCs w:val="24"/>
        </w:rPr>
        <w:t xml:space="preserve"> for the safe management and the use of</w:t>
      </w:r>
      <w:r>
        <w:rPr>
          <w:rFonts w:eastAsiaTheme="minorHAnsi" w:cs="Arial"/>
          <w:szCs w:val="24"/>
        </w:rPr>
        <w:t xml:space="preserve"> vincristine.</w:t>
      </w:r>
    </w:p>
    <w:p w14:paraId="00DB21D3" w14:textId="77777777" w:rsidR="00F95DAB" w:rsidRDefault="00F95DAB" w:rsidP="00F95DAB">
      <w:pPr>
        <w:autoSpaceDE w:val="0"/>
        <w:autoSpaceDN w:val="0"/>
        <w:adjustRightInd w:val="0"/>
        <w:rPr>
          <w:rFonts w:eastAsiaTheme="minorHAnsi" w:cs="Arial"/>
          <w:szCs w:val="24"/>
        </w:rPr>
      </w:pPr>
    </w:p>
    <w:p w14:paraId="71AD5425" w14:textId="40CAF7E3" w:rsidR="00F95DAB" w:rsidRDefault="00F95DAB" w:rsidP="00F95DAB">
      <w:pPr>
        <w:autoSpaceDE w:val="0"/>
        <w:autoSpaceDN w:val="0"/>
        <w:adjustRightInd w:val="0"/>
        <w:rPr>
          <w:rFonts w:eastAsiaTheme="minorHAnsi" w:cs="Arial"/>
          <w:szCs w:val="24"/>
        </w:rPr>
      </w:pPr>
      <w:bookmarkStart w:id="10" w:name="_Hlk38373613"/>
      <w:r w:rsidRPr="001E0B74">
        <w:rPr>
          <w:rFonts w:eastAsiaTheme="minorHAnsi" w:cs="Arial"/>
          <w:szCs w:val="24"/>
        </w:rPr>
        <w:t xml:space="preserve">Compliance with this </w:t>
      </w:r>
      <w:r>
        <w:rPr>
          <w:rFonts w:eastAsiaTheme="minorHAnsi" w:cs="Arial"/>
          <w:szCs w:val="24"/>
        </w:rPr>
        <w:t>standard</w:t>
      </w:r>
      <w:r w:rsidRPr="001E0B74">
        <w:rPr>
          <w:rFonts w:eastAsiaTheme="minorHAnsi" w:cs="Arial"/>
          <w:szCs w:val="24"/>
        </w:rPr>
        <w:t xml:space="preserve"> </w:t>
      </w:r>
      <w:r>
        <w:rPr>
          <w:rFonts w:eastAsiaTheme="minorHAnsi" w:cs="Arial"/>
          <w:szCs w:val="24"/>
        </w:rPr>
        <w:t xml:space="preserve">is mandatory and </w:t>
      </w:r>
      <w:r w:rsidRPr="001E0B74">
        <w:rPr>
          <w:rFonts w:eastAsiaTheme="minorHAnsi" w:cs="Arial"/>
          <w:szCs w:val="24"/>
        </w:rPr>
        <w:t>will support the clinical workforce in the safe management and use</w:t>
      </w:r>
      <w:r>
        <w:rPr>
          <w:rFonts w:eastAsiaTheme="minorHAnsi" w:cs="Arial"/>
          <w:szCs w:val="24"/>
        </w:rPr>
        <w:t xml:space="preserve"> of vincristine.</w:t>
      </w:r>
    </w:p>
    <w:bookmarkEnd w:id="10"/>
    <w:p w14:paraId="2F51A86F" w14:textId="07246797" w:rsidR="007B6904" w:rsidRDefault="007B6904" w:rsidP="00931B93">
      <w:pPr>
        <w:rPr>
          <w:rFonts w:cs="Arial"/>
          <w:szCs w:val="24"/>
        </w:rPr>
      </w:pPr>
    </w:p>
    <w:p w14:paraId="25DBD177" w14:textId="77777777" w:rsidR="00F95DAB" w:rsidRPr="0073741E" w:rsidRDefault="00F95DAB" w:rsidP="00F95DAB">
      <w:pPr>
        <w:pStyle w:val="Heading2"/>
      </w:pPr>
      <w:bookmarkStart w:id="11" w:name="_Toc60908549"/>
      <w:bookmarkStart w:id="12" w:name="_Toc88032379"/>
      <w:r w:rsidRPr="0073741E">
        <w:t>Background</w:t>
      </w:r>
      <w:bookmarkEnd w:id="11"/>
      <w:bookmarkEnd w:id="12"/>
    </w:p>
    <w:p w14:paraId="7CFF7AB9" w14:textId="28C0E1F4" w:rsidR="00F95DAB" w:rsidRDefault="00F95DAB" w:rsidP="00F95DAB">
      <w:pPr>
        <w:rPr>
          <w:rFonts w:cs="Arial"/>
        </w:rPr>
      </w:pPr>
      <w:r w:rsidRPr="0073741E">
        <w:rPr>
          <w:rFonts w:eastAsiaTheme="minorHAnsi" w:cs="Arial"/>
          <w:szCs w:val="24"/>
        </w:rPr>
        <w:t>Canberra Health Services (CHS) maintains a High-Risk Medicines Register.  This register and its correlating standards form a high-risk medication framework that supports clinical staff to safely manage high-risk medicines and minimise risks associated with their use.</w:t>
      </w:r>
      <w:r>
        <w:rPr>
          <w:rFonts w:eastAsiaTheme="minorHAnsi" w:cs="Arial"/>
          <w:szCs w:val="24"/>
        </w:rPr>
        <w:t xml:space="preserve"> </w:t>
      </w:r>
      <w:r w:rsidRPr="3B77FD41">
        <w:rPr>
          <w:rFonts w:cs="Arial"/>
        </w:rPr>
        <w:t xml:space="preserve">The </w:t>
      </w:r>
      <w:hyperlink r:id="rId11" w:history="1">
        <w:r w:rsidRPr="00D30C19">
          <w:rPr>
            <w:rStyle w:val="Hyperlink"/>
            <w:rFonts w:cs="Arial"/>
          </w:rPr>
          <w:t>CHS High-Risk Medicines Register</w:t>
        </w:r>
      </w:hyperlink>
      <w:r>
        <w:rPr>
          <w:rFonts w:cs="Arial"/>
        </w:rPr>
        <w:t xml:space="preserve"> </w:t>
      </w:r>
      <w:r w:rsidRPr="3B77FD41">
        <w:rPr>
          <w:rFonts w:cs="Arial"/>
        </w:rPr>
        <w:t>is found on the CHS Policy and Guidance Document Register</w:t>
      </w:r>
      <w:r>
        <w:rPr>
          <w:rFonts w:cs="Arial"/>
        </w:rPr>
        <w:t>.</w:t>
      </w:r>
    </w:p>
    <w:p w14:paraId="0AA91666" w14:textId="13CD08D8" w:rsidR="00F95DAB" w:rsidRDefault="00F95DAB" w:rsidP="00F95DAB">
      <w:pPr>
        <w:rPr>
          <w:rFonts w:cs="Arial"/>
        </w:rPr>
      </w:pPr>
    </w:p>
    <w:p w14:paraId="027AC24A" w14:textId="6C966412" w:rsidR="00F95DAB" w:rsidRPr="0073741E" w:rsidRDefault="00F95DAB" w:rsidP="00F95DAB">
      <w:pPr>
        <w:rPr>
          <w:rFonts w:eastAsiaTheme="minorHAnsi" w:cs="Arial"/>
          <w:bCs/>
          <w:szCs w:val="24"/>
        </w:rPr>
      </w:pPr>
      <w:r w:rsidRPr="00796AAC">
        <w:rPr>
          <w:rFonts w:cs="Arial"/>
          <w:szCs w:val="24"/>
        </w:rPr>
        <w:t>Vincristine is a neurotoxic, antineoplastic dr</w:t>
      </w:r>
      <w:r>
        <w:rPr>
          <w:rFonts w:cs="Arial"/>
          <w:szCs w:val="24"/>
        </w:rPr>
        <w:t xml:space="preserve">ug of the vinca alkaloid group. </w:t>
      </w:r>
      <w:r w:rsidRPr="00796AAC">
        <w:rPr>
          <w:rFonts w:cs="Arial"/>
          <w:szCs w:val="24"/>
        </w:rPr>
        <w:t>Accidental administration of vincristine via the intrathecal</w:t>
      </w:r>
      <w:r>
        <w:rPr>
          <w:rFonts w:cs="Arial"/>
          <w:szCs w:val="24"/>
        </w:rPr>
        <w:t xml:space="preserve"> route is fatal in 85% of cases</w:t>
      </w:r>
      <w:r w:rsidRPr="00E46194">
        <w:rPr>
          <w:rFonts w:cs="Arial"/>
          <w:szCs w:val="24"/>
          <w:vertAlign w:val="superscript"/>
        </w:rPr>
        <w:t>1</w:t>
      </w:r>
      <w:r>
        <w:rPr>
          <w:rFonts w:cs="Arial"/>
          <w:szCs w:val="24"/>
        </w:rPr>
        <w:t xml:space="preserve">. Because of this vincristine is included on the </w:t>
      </w:r>
      <w:r w:rsidRPr="0073741E">
        <w:rPr>
          <w:rFonts w:eastAsiaTheme="minorHAnsi" w:cs="Arial"/>
          <w:bCs/>
          <w:szCs w:val="24"/>
        </w:rPr>
        <w:t>CHS High-Risk Medicine Register.</w:t>
      </w:r>
    </w:p>
    <w:p w14:paraId="30F036FC" w14:textId="3A7C5405" w:rsidR="00F95DAB" w:rsidRDefault="00F95DAB" w:rsidP="00F95DAB">
      <w:pPr>
        <w:autoSpaceDE w:val="0"/>
        <w:autoSpaceDN w:val="0"/>
        <w:adjustRightInd w:val="0"/>
        <w:rPr>
          <w:rFonts w:cs="Arial"/>
          <w:szCs w:val="24"/>
        </w:rPr>
      </w:pPr>
    </w:p>
    <w:p w14:paraId="1AA6B91D" w14:textId="5D137A9E" w:rsidR="00F95DAB" w:rsidRDefault="00F95DAB" w:rsidP="00F95DAB">
      <w:pPr>
        <w:autoSpaceDE w:val="0"/>
        <w:autoSpaceDN w:val="0"/>
        <w:adjustRightInd w:val="0"/>
        <w:rPr>
          <w:rFonts w:eastAsiaTheme="minorHAnsi" w:cs="Arial"/>
          <w:szCs w:val="24"/>
        </w:rPr>
      </w:pPr>
      <w:r>
        <w:rPr>
          <w:rFonts w:eastAsiaTheme="minorHAnsi" w:cs="Arial"/>
          <w:szCs w:val="24"/>
        </w:rPr>
        <w:t xml:space="preserve">The following standard </w:t>
      </w:r>
      <w:r w:rsidRPr="00123D14">
        <w:rPr>
          <w:rFonts w:eastAsiaTheme="minorHAnsi" w:cs="Arial"/>
          <w:szCs w:val="24"/>
        </w:rPr>
        <w:t>outline</w:t>
      </w:r>
      <w:r>
        <w:rPr>
          <w:rFonts w:eastAsiaTheme="minorHAnsi" w:cs="Arial"/>
          <w:szCs w:val="24"/>
        </w:rPr>
        <w:t>s</w:t>
      </w:r>
      <w:r w:rsidRPr="00123D14">
        <w:rPr>
          <w:rFonts w:eastAsiaTheme="minorHAnsi" w:cs="Arial"/>
          <w:szCs w:val="24"/>
        </w:rPr>
        <w:t xml:space="preserve"> the</w:t>
      </w:r>
      <w:r>
        <w:rPr>
          <w:rFonts w:eastAsiaTheme="minorHAnsi" w:cs="Arial"/>
          <w:szCs w:val="24"/>
        </w:rPr>
        <w:t xml:space="preserve"> organisation’s</w:t>
      </w:r>
      <w:r w:rsidRPr="00123D14">
        <w:rPr>
          <w:rFonts w:eastAsiaTheme="minorHAnsi" w:cs="Arial"/>
          <w:szCs w:val="24"/>
        </w:rPr>
        <w:t xml:space="preserve"> </w:t>
      </w:r>
      <w:r w:rsidRPr="00123D14">
        <w:rPr>
          <w:rFonts w:eastAsiaTheme="minorHAnsi" w:cs="Arial"/>
          <w:b/>
          <w:bCs/>
          <w:szCs w:val="24"/>
        </w:rPr>
        <w:t xml:space="preserve">minimum </w:t>
      </w:r>
      <w:r w:rsidRPr="00123D14">
        <w:rPr>
          <w:rFonts w:eastAsiaTheme="minorHAnsi" w:cs="Arial"/>
          <w:szCs w:val="24"/>
        </w:rPr>
        <w:t xml:space="preserve">actions </w:t>
      </w:r>
      <w:r>
        <w:rPr>
          <w:rFonts w:eastAsiaTheme="minorHAnsi" w:cs="Arial"/>
          <w:szCs w:val="24"/>
        </w:rPr>
        <w:t xml:space="preserve">that are </w:t>
      </w:r>
      <w:r w:rsidRPr="00123D14">
        <w:rPr>
          <w:rFonts w:eastAsiaTheme="minorHAnsi" w:cs="Arial"/>
          <w:szCs w:val="24"/>
        </w:rPr>
        <w:t>required to mitigate</w:t>
      </w:r>
      <w:r>
        <w:rPr>
          <w:rFonts w:eastAsiaTheme="minorHAnsi" w:cs="Arial"/>
          <w:szCs w:val="24"/>
        </w:rPr>
        <w:t xml:space="preserve"> </w:t>
      </w:r>
      <w:r w:rsidRPr="00123D14">
        <w:rPr>
          <w:rFonts w:eastAsiaTheme="minorHAnsi" w:cs="Arial"/>
          <w:szCs w:val="24"/>
        </w:rPr>
        <w:t>identified risks</w:t>
      </w:r>
      <w:r>
        <w:rPr>
          <w:rFonts w:eastAsiaTheme="minorHAnsi" w:cs="Arial"/>
          <w:szCs w:val="24"/>
        </w:rPr>
        <w:t xml:space="preserve"> associated with vincristine use.  This standard is based on a national alert on vinca alkaloids developed by the Australian Council for Safety and Quality in Health Care and updated by The Australian Commission on Safety and Quality in Health Care in 2019</w:t>
      </w:r>
      <w:r w:rsidRPr="00E46194">
        <w:rPr>
          <w:rFonts w:eastAsiaTheme="minorHAnsi" w:cs="Arial"/>
          <w:szCs w:val="24"/>
          <w:vertAlign w:val="superscript"/>
        </w:rPr>
        <w:t>1</w:t>
      </w:r>
      <w:r>
        <w:rPr>
          <w:rFonts w:eastAsiaTheme="minorHAnsi" w:cs="Arial"/>
          <w:szCs w:val="24"/>
        </w:rPr>
        <w:t>.</w:t>
      </w:r>
    </w:p>
    <w:p w14:paraId="4F53EDEB" w14:textId="77777777" w:rsidR="0077604A" w:rsidRPr="00F95DAB" w:rsidRDefault="0077604A" w:rsidP="00F95DAB">
      <w:pPr>
        <w:autoSpaceDE w:val="0"/>
        <w:autoSpaceDN w:val="0"/>
        <w:adjustRightInd w:val="0"/>
        <w:rPr>
          <w:rFonts w:eastAsiaTheme="minorHAnsi" w:cs="Arial"/>
          <w:szCs w:val="24"/>
        </w:rPr>
      </w:pPr>
    </w:p>
    <w:p w14:paraId="2F51A870" w14:textId="77777777" w:rsidR="009E70F4" w:rsidRPr="00CD1C0E" w:rsidRDefault="00331E11" w:rsidP="009E70F4">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4223E" w:rsidRPr="00CD1C0E" w14:paraId="2F51A872" w14:textId="77777777" w:rsidTr="00F1354A">
        <w:trPr>
          <w:cantSplit/>
          <w:trHeight w:val="285"/>
        </w:trPr>
        <w:tc>
          <w:tcPr>
            <w:tcW w:w="9158" w:type="dxa"/>
            <w:shd w:val="clear" w:color="auto" w:fill="A6A6A6" w:themeFill="background1" w:themeFillShade="A6"/>
          </w:tcPr>
          <w:p w14:paraId="2F51A871" w14:textId="0F04166C" w:rsidR="0074223E" w:rsidRPr="00CD1C0E" w:rsidRDefault="0074223E" w:rsidP="00F1354A">
            <w:pPr>
              <w:pStyle w:val="Heading1"/>
            </w:pPr>
            <w:bookmarkStart w:id="13" w:name="_Toc389473276"/>
            <w:bookmarkStart w:id="14" w:name="_Toc96090956"/>
            <w:r>
              <w:t>Alerts</w:t>
            </w:r>
            <w:bookmarkEnd w:id="13"/>
            <w:bookmarkEnd w:id="14"/>
            <w:r w:rsidR="00AB50DD">
              <w:t xml:space="preserve"> </w:t>
            </w:r>
          </w:p>
        </w:tc>
      </w:tr>
    </w:tbl>
    <w:p w14:paraId="7242D557" w14:textId="77777777" w:rsidR="00F95DAB" w:rsidRDefault="00F95DAB" w:rsidP="00F95DAB">
      <w:pPr>
        <w:rPr>
          <w:rFonts w:eastAsiaTheme="minorHAnsi" w:cs="Arial"/>
          <w:szCs w:val="24"/>
        </w:rPr>
      </w:pPr>
    </w:p>
    <w:p w14:paraId="52BBE871" w14:textId="68ED4A28" w:rsidR="00F95DAB" w:rsidRDefault="00F95DAB" w:rsidP="00F95DAB">
      <w:pPr>
        <w:rPr>
          <w:rFonts w:eastAsiaTheme="minorHAnsi" w:cs="Arial"/>
          <w:szCs w:val="24"/>
        </w:rPr>
      </w:pPr>
      <w:r>
        <w:rPr>
          <w:rFonts w:eastAsiaTheme="minorHAnsi" w:cs="Arial"/>
          <w:szCs w:val="24"/>
        </w:rPr>
        <w:t xml:space="preserve">This standard does not contain </w:t>
      </w:r>
      <w:r w:rsidRPr="00123D14">
        <w:rPr>
          <w:rFonts w:eastAsiaTheme="minorHAnsi" w:cs="Arial"/>
          <w:szCs w:val="24"/>
        </w:rPr>
        <w:t>clinical guidance on therapeutic</w:t>
      </w:r>
      <w:r>
        <w:rPr>
          <w:rFonts w:eastAsiaTheme="minorHAnsi" w:cs="Arial"/>
          <w:szCs w:val="24"/>
        </w:rPr>
        <w:t xml:space="preserve"> use.</w:t>
      </w:r>
    </w:p>
    <w:p w14:paraId="0DD11E4E" w14:textId="77777777" w:rsidR="00F95DAB" w:rsidRDefault="00F95DAB" w:rsidP="00F95DAB">
      <w:pPr>
        <w:rPr>
          <w:rFonts w:eastAsiaTheme="minorHAnsi" w:cs="Arial"/>
          <w:szCs w:val="24"/>
        </w:rPr>
      </w:pPr>
    </w:p>
    <w:p w14:paraId="2A84555A" w14:textId="56447A54" w:rsidR="00F95DAB" w:rsidRDefault="00F95DAB" w:rsidP="00F95DAB">
      <w:r>
        <w:t>Vincristine can be fatal if administered by the intrathecal route.</w:t>
      </w:r>
    </w:p>
    <w:p w14:paraId="31CB2E52" w14:textId="77777777" w:rsidR="00F95DAB" w:rsidRDefault="00F95DAB" w:rsidP="00F95DAB"/>
    <w:p w14:paraId="2F51A878" w14:textId="4C4B11B9" w:rsidR="00DE4E25" w:rsidRDefault="00F95DAB" w:rsidP="007B6904">
      <w:r>
        <w:t>Never prepare Vincristine in a syringe for intravenous administration.  All doses must be prepared and administered from a minibag</w:t>
      </w:r>
      <w:r w:rsidRPr="006A5C5D">
        <w:rPr>
          <w:vertAlign w:val="superscript"/>
        </w:rPr>
        <w:t>2</w:t>
      </w:r>
      <w:r>
        <w:t>.</w:t>
      </w:r>
    </w:p>
    <w:p w14:paraId="76F3BF98" w14:textId="77777777" w:rsidR="0077604A" w:rsidRPr="00F95DAB" w:rsidRDefault="0077604A" w:rsidP="007B6904"/>
    <w:p w14:paraId="2F51A879" w14:textId="77777777" w:rsidR="009E70F4" w:rsidRPr="009121F9" w:rsidRDefault="00331E11" w:rsidP="009E70F4">
      <w:pPr>
        <w:jc w:val="right"/>
        <w:rPr>
          <w:rFonts w:cs="Arial"/>
          <w:b/>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5" w:name="_Toc389473277"/>
            <w:bookmarkStart w:id="16" w:name="_Toc96090957"/>
            <w:r w:rsidRPr="003D2D06">
              <w:t>Scope</w:t>
            </w:r>
            <w:bookmarkEnd w:id="15"/>
            <w:bookmarkEnd w:id="16"/>
          </w:p>
        </w:tc>
      </w:tr>
    </w:tbl>
    <w:p w14:paraId="4062E579" w14:textId="77777777" w:rsidR="009E06D3" w:rsidRDefault="009E06D3" w:rsidP="009E06D3">
      <w:pPr>
        <w:rPr>
          <w:rFonts w:cs="Arial"/>
          <w:i/>
          <w:szCs w:val="24"/>
        </w:rPr>
      </w:pPr>
      <w:r>
        <w:rPr>
          <w:szCs w:val="24"/>
        </w:rPr>
        <w:t xml:space="preserve">This standard applies to all CHS employees and health clinicians </w:t>
      </w:r>
      <w:r>
        <w:t xml:space="preserve">(medical, nursing, midwifery, </w:t>
      </w:r>
      <w:proofErr w:type="gramStart"/>
      <w:r>
        <w:t>pharmacy</w:t>
      </w:r>
      <w:proofErr w:type="gramEnd"/>
      <w:r>
        <w:t xml:space="preserve"> and allied health)</w:t>
      </w:r>
      <w:r>
        <w:rPr>
          <w:szCs w:val="24"/>
        </w:rPr>
        <w:t xml:space="preserve"> </w:t>
      </w:r>
      <w:r>
        <w:t>providing health services</w:t>
      </w:r>
      <w:r>
        <w:rPr>
          <w:szCs w:val="24"/>
        </w:rPr>
        <w:t xml:space="preserve"> to CHS patients</w:t>
      </w:r>
      <w:r>
        <w:t>.</w:t>
      </w:r>
    </w:p>
    <w:p w14:paraId="2F51A886" w14:textId="77777777" w:rsidR="001F2A9B" w:rsidRDefault="001F2A9B" w:rsidP="00F14EC1"/>
    <w:p w14:paraId="175981CD" w14:textId="588AD662" w:rsidR="009E06D3" w:rsidRDefault="00331E11" w:rsidP="009E06D3">
      <w:pPr>
        <w:jc w:val="right"/>
        <w:rPr>
          <w:rStyle w:val="Hyperlink"/>
          <w:rFonts w:cs="Arial"/>
          <w:i/>
          <w:szCs w:val="24"/>
        </w:rPr>
      </w:pPr>
      <w:hyperlink w:anchor="Contents" w:history="1">
        <w:r w:rsidR="009E70F4" w:rsidRPr="00590902">
          <w:rPr>
            <w:rStyle w:val="Hyperlink"/>
            <w:rFonts w:cs="Arial"/>
            <w:i/>
            <w:szCs w:val="24"/>
          </w:rPr>
          <w:t>Back to Table of Contents</w:t>
        </w:r>
      </w:hyperlink>
    </w:p>
    <w:p w14:paraId="311D3EEF" w14:textId="5F8579EF" w:rsidR="009E06D3" w:rsidRDefault="009E06D3" w:rsidP="009E06D3">
      <w:pPr>
        <w:jc w:val="right"/>
      </w:pPr>
    </w:p>
    <w:p w14:paraId="1EA3AF7A" w14:textId="77777777" w:rsidR="009E06D3" w:rsidRPr="009E06D3" w:rsidRDefault="009E06D3" w:rsidP="009E06D3">
      <w:pPr>
        <w:jc w:val="right"/>
        <w:rPr>
          <w:rFonts w:cs="Arial"/>
          <w:i/>
          <w:color w:val="0000FF"/>
          <w:szCs w:val="24"/>
          <w:u w:val="single"/>
        </w:rPr>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0839576C" w:rsidR="007B6904" w:rsidRPr="00C76688" w:rsidRDefault="009E06D3" w:rsidP="00931B93">
            <w:pPr>
              <w:pStyle w:val="Heading1"/>
            </w:pPr>
            <w:bookmarkStart w:id="17" w:name="_Toc47624501"/>
            <w:bookmarkStart w:id="18" w:name="_Toc96090958"/>
            <w:r>
              <w:lastRenderedPageBreak/>
              <w:t>Section 1 – Guideline and Policy requirements</w:t>
            </w:r>
            <w:bookmarkEnd w:id="17"/>
            <w:bookmarkEnd w:id="18"/>
          </w:p>
        </w:tc>
      </w:tr>
    </w:tbl>
    <w:p w14:paraId="2F51A88A" w14:textId="77777777" w:rsidR="007B6904" w:rsidRDefault="007B6904" w:rsidP="007B6904">
      <w:pPr>
        <w:outlineLvl w:val="0"/>
        <w:rPr>
          <w:szCs w:val="24"/>
        </w:rPr>
      </w:pPr>
    </w:p>
    <w:p w14:paraId="142B90AE" w14:textId="77777777" w:rsidR="009E06D3" w:rsidRPr="009E06D3" w:rsidRDefault="009E06D3" w:rsidP="009E06D3">
      <w:pPr>
        <w:rPr>
          <w:rFonts w:eastAsiaTheme="minorHAnsi" w:cs="Arial"/>
          <w:bCs/>
          <w:szCs w:val="24"/>
        </w:rPr>
      </w:pPr>
      <w:r w:rsidRPr="009E06D3">
        <w:rPr>
          <w:rFonts w:cs="Arial"/>
          <w:szCs w:val="24"/>
        </w:rPr>
        <w:t xml:space="preserve">The supply, storage, prescribing, administration and use of vincristine </w:t>
      </w:r>
      <w:r w:rsidRPr="009E06D3">
        <w:rPr>
          <w:rFonts w:eastAsiaTheme="minorHAnsi" w:cs="Arial"/>
          <w:bCs/>
          <w:szCs w:val="24"/>
        </w:rPr>
        <w:t xml:space="preserve">must be in accordance with local guidelines, </w:t>
      </w:r>
      <w:proofErr w:type="gramStart"/>
      <w:r w:rsidRPr="009E06D3">
        <w:rPr>
          <w:rFonts w:eastAsiaTheme="minorHAnsi" w:cs="Arial"/>
          <w:bCs/>
          <w:szCs w:val="24"/>
        </w:rPr>
        <w:t>policies</w:t>
      </w:r>
      <w:proofErr w:type="gramEnd"/>
      <w:r w:rsidRPr="009E06D3">
        <w:rPr>
          <w:rFonts w:eastAsiaTheme="minorHAnsi" w:cs="Arial"/>
          <w:bCs/>
          <w:szCs w:val="24"/>
        </w:rPr>
        <w:t xml:space="preserve"> and procedures.</w:t>
      </w:r>
    </w:p>
    <w:p w14:paraId="665A0E5E" w14:textId="77777777" w:rsidR="009E06D3" w:rsidRPr="009E06D3" w:rsidRDefault="009E06D3" w:rsidP="009E06D3">
      <w:pPr>
        <w:autoSpaceDE w:val="0"/>
        <w:autoSpaceDN w:val="0"/>
        <w:adjustRightInd w:val="0"/>
        <w:rPr>
          <w:rFonts w:eastAsiaTheme="minorHAnsi" w:cs="Arial"/>
          <w:szCs w:val="24"/>
        </w:rPr>
      </w:pPr>
    </w:p>
    <w:p w14:paraId="27E61DF7" w14:textId="77777777" w:rsidR="009E06D3" w:rsidRPr="009E06D3" w:rsidRDefault="009E06D3" w:rsidP="009E06D3">
      <w:pPr>
        <w:autoSpaceDE w:val="0"/>
        <w:autoSpaceDN w:val="0"/>
        <w:adjustRightInd w:val="0"/>
        <w:rPr>
          <w:rFonts w:eastAsiaTheme="minorEastAsia" w:cs="Arial"/>
        </w:rPr>
      </w:pPr>
      <w:r w:rsidRPr="009E06D3">
        <w:rPr>
          <w:rFonts w:eastAsiaTheme="minorEastAsia" w:cs="Arial"/>
        </w:rPr>
        <w:t>CHS Clinical Guidelines, policies and procedures pertaining to vincristine must include the following:</w:t>
      </w:r>
    </w:p>
    <w:p w14:paraId="42186333" w14:textId="77777777" w:rsidR="009E06D3" w:rsidRPr="009E06D3" w:rsidRDefault="009E06D3" w:rsidP="009E06D3">
      <w:pPr>
        <w:numPr>
          <w:ilvl w:val="0"/>
          <w:numId w:val="1"/>
        </w:numPr>
        <w:tabs>
          <w:tab w:val="clear" w:pos="1080"/>
          <w:tab w:val="num" w:pos="360"/>
        </w:tabs>
        <w:ind w:left="360"/>
        <w:rPr>
          <w:rFonts w:eastAsiaTheme="minorHAnsi"/>
        </w:rPr>
      </w:pPr>
      <w:r w:rsidRPr="009E06D3">
        <w:rPr>
          <w:rFonts w:eastAsiaTheme="minorHAnsi"/>
        </w:rPr>
        <w:t>A statement that vincristine is a high-risk medicine</w:t>
      </w:r>
    </w:p>
    <w:p w14:paraId="3CA26688" w14:textId="77777777" w:rsidR="009E06D3" w:rsidRPr="009E06D3" w:rsidRDefault="009E06D3" w:rsidP="009E06D3">
      <w:pPr>
        <w:numPr>
          <w:ilvl w:val="0"/>
          <w:numId w:val="1"/>
        </w:numPr>
        <w:tabs>
          <w:tab w:val="clear" w:pos="1080"/>
          <w:tab w:val="num" w:pos="360"/>
        </w:tabs>
        <w:ind w:left="360"/>
        <w:rPr>
          <w:rFonts w:eastAsiaTheme="minorEastAsia"/>
        </w:rPr>
      </w:pPr>
      <w:r w:rsidRPr="009E06D3">
        <w:rPr>
          <w:rFonts w:eastAsiaTheme="minorEastAsia"/>
        </w:rPr>
        <w:t xml:space="preserve">An alert that vincristine </w:t>
      </w:r>
      <w:r w:rsidRPr="009E06D3">
        <w:t>can be fatal if administered by the intrathecal route</w:t>
      </w:r>
    </w:p>
    <w:p w14:paraId="3D44426D" w14:textId="77777777" w:rsidR="009E06D3" w:rsidRPr="009E06D3" w:rsidRDefault="009E06D3" w:rsidP="009E06D3">
      <w:pPr>
        <w:numPr>
          <w:ilvl w:val="0"/>
          <w:numId w:val="1"/>
        </w:numPr>
        <w:tabs>
          <w:tab w:val="clear" w:pos="1080"/>
          <w:tab w:val="num" w:pos="360"/>
        </w:tabs>
        <w:ind w:left="360"/>
      </w:pPr>
      <w:r w:rsidRPr="009E06D3">
        <w:t xml:space="preserve">A statement that only staff specifically trained and experienced in cancer treatments may prescribe, prepare, </w:t>
      </w:r>
      <w:proofErr w:type="gramStart"/>
      <w:r w:rsidRPr="009E06D3">
        <w:t>dispense</w:t>
      </w:r>
      <w:proofErr w:type="gramEnd"/>
      <w:r w:rsidRPr="009E06D3">
        <w:t xml:space="preserve"> or administer vincristine to patients</w:t>
      </w:r>
    </w:p>
    <w:p w14:paraId="2F51A891" w14:textId="5E5F62B6" w:rsidR="007B6904" w:rsidRPr="009E06D3" w:rsidRDefault="009E06D3" w:rsidP="007B6904">
      <w:pPr>
        <w:numPr>
          <w:ilvl w:val="0"/>
          <w:numId w:val="1"/>
        </w:numPr>
        <w:tabs>
          <w:tab w:val="clear" w:pos="1080"/>
          <w:tab w:val="num" w:pos="360"/>
        </w:tabs>
        <w:ind w:left="360"/>
        <w:rPr>
          <w:rFonts w:cs="Arial"/>
          <w:szCs w:val="24"/>
        </w:rPr>
      </w:pPr>
      <w:r w:rsidRPr="009E06D3">
        <w:t xml:space="preserve">Procedures that segregate chemotherapy administered by the intrathecal route from all other doses given by other routes. For example: Pharmacy requires confirmation from the clinician that all intrathecal chemotherapy administration has been completed prior to releasing intravenous vincristine for the same patient due on the same day. </w:t>
      </w:r>
    </w:p>
    <w:p w14:paraId="2F51A892" w14:textId="77777777" w:rsidR="007B6904" w:rsidRDefault="007B6904" w:rsidP="007B6904">
      <w:pPr>
        <w:rPr>
          <w:rFonts w:cs="Arial"/>
          <w:i/>
          <w:szCs w:val="24"/>
        </w:rPr>
      </w:pPr>
      <w:r>
        <w:rPr>
          <w:rFonts w:cs="Arial"/>
          <w:i/>
          <w:szCs w:val="24"/>
        </w:rPr>
        <w:t xml:space="preserve"> </w:t>
      </w:r>
    </w:p>
    <w:p w14:paraId="2F51A893" w14:textId="77777777" w:rsidR="007B6904" w:rsidRDefault="00331E11"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71795979" w:rsidR="007B6904" w:rsidRPr="00C76688" w:rsidRDefault="007B6904" w:rsidP="004213C3">
            <w:pPr>
              <w:pStyle w:val="Heading1"/>
            </w:pPr>
            <w:bookmarkStart w:id="19" w:name="_Toc389473281"/>
            <w:bookmarkStart w:id="20" w:name="_Toc96090959"/>
            <w:r w:rsidRPr="00C76688">
              <w:t xml:space="preserve">Section 2 – </w:t>
            </w:r>
            <w:bookmarkEnd w:id="19"/>
            <w:r w:rsidR="009E06D3">
              <w:t xml:space="preserve"> Prescriber responsibilities</w:t>
            </w:r>
            <w:bookmarkEnd w:id="20"/>
          </w:p>
        </w:tc>
      </w:tr>
    </w:tbl>
    <w:p w14:paraId="2F51A897" w14:textId="77777777" w:rsidR="007B6904" w:rsidRDefault="007B6904" w:rsidP="007B6904">
      <w:pPr>
        <w:rPr>
          <w:rFonts w:cs="Arial"/>
          <w:b/>
          <w:szCs w:val="24"/>
        </w:rPr>
      </w:pPr>
    </w:p>
    <w:p w14:paraId="79AB0BCE" w14:textId="1F3433C6" w:rsidR="009E06D3" w:rsidRPr="009E06D3" w:rsidRDefault="009E06D3" w:rsidP="009E06D3">
      <w:pPr>
        <w:outlineLvl w:val="0"/>
        <w:rPr>
          <w:szCs w:val="24"/>
        </w:rPr>
      </w:pPr>
      <w:r w:rsidRPr="009E06D3">
        <w:rPr>
          <w:szCs w:val="24"/>
        </w:rPr>
        <w:t>In addition to the general requirements for prescribing and administering high-risk medicines as outlined in the</w:t>
      </w:r>
      <w:r w:rsidR="0077604A">
        <w:rPr>
          <w:szCs w:val="24"/>
        </w:rPr>
        <w:t xml:space="preserve"> </w:t>
      </w:r>
      <w:r w:rsidR="0077604A" w:rsidRPr="00332D1F">
        <w:rPr>
          <w:szCs w:val="24"/>
        </w:rPr>
        <w:t>CHS High-Risk Medicine Policy</w:t>
      </w:r>
      <w:r w:rsidR="00332D1F">
        <w:rPr>
          <w:szCs w:val="24"/>
        </w:rPr>
        <w:t xml:space="preserve">, located on the CHS Policy and Guidance </w:t>
      </w:r>
      <w:proofErr w:type="spellStart"/>
      <w:r w:rsidR="00332D1F">
        <w:rPr>
          <w:szCs w:val="24"/>
        </w:rPr>
        <w:t>Doucments</w:t>
      </w:r>
      <w:proofErr w:type="spellEnd"/>
      <w:r w:rsidR="00332D1F">
        <w:rPr>
          <w:szCs w:val="24"/>
        </w:rPr>
        <w:t xml:space="preserve"> </w:t>
      </w:r>
      <w:proofErr w:type="spellStart"/>
      <w:r w:rsidR="00332D1F">
        <w:rPr>
          <w:szCs w:val="24"/>
        </w:rPr>
        <w:t>Regsiter</w:t>
      </w:r>
      <w:proofErr w:type="spellEnd"/>
      <w:r w:rsidR="00332D1F">
        <w:rPr>
          <w:szCs w:val="24"/>
        </w:rPr>
        <w:t>,</w:t>
      </w:r>
      <w:r w:rsidR="0077604A">
        <w:rPr>
          <w:szCs w:val="24"/>
        </w:rPr>
        <w:t xml:space="preserve"> </w:t>
      </w:r>
      <w:r w:rsidRPr="009E06D3">
        <w:rPr>
          <w:szCs w:val="24"/>
        </w:rPr>
        <w:t>the following apply:</w:t>
      </w:r>
    </w:p>
    <w:p w14:paraId="31F0CD7B" w14:textId="77777777" w:rsidR="009E06D3" w:rsidRPr="009E06D3" w:rsidRDefault="009E06D3" w:rsidP="009E06D3">
      <w:pPr>
        <w:numPr>
          <w:ilvl w:val="0"/>
          <w:numId w:val="11"/>
        </w:numPr>
      </w:pPr>
      <w:r w:rsidRPr="009E06D3">
        <w:t>If possible, choose a protocol which schedules administration of intravenous vincristine on different days from chemotherapy administered by the intrathecal route.</w:t>
      </w:r>
    </w:p>
    <w:p w14:paraId="7E07B408" w14:textId="77777777" w:rsidR="009E06D3" w:rsidRPr="009E06D3" w:rsidRDefault="009E06D3" w:rsidP="009E06D3">
      <w:pPr>
        <w:numPr>
          <w:ilvl w:val="0"/>
          <w:numId w:val="11"/>
        </w:numPr>
        <w:autoSpaceDE w:val="0"/>
        <w:autoSpaceDN w:val="0"/>
        <w:adjustRightInd w:val="0"/>
        <w:contextualSpacing/>
        <w:rPr>
          <w:rFonts w:eastAsiaTheme="minorHAnsi" w:cs="Arial"/>
          <w:color w:val="000000"/>
          <w:szCs w:val="24"/>
        </w:rPr>
      </w:pPr>
      <w:r w:rsidRPr="009E06D3">
        <w:rPr>
          <w:rFonts w:eastAsiaTheme="minorHAnsi" w:cs="Arial"/>
          <w:color w:val="000000"/>
          <w:szCs w:val="24"/>
        </w:rPr>
        <w:t xml:space="preserve">Verbal/telephone orders for vincristine are not acceptable. Verbal/telephone orders may be given to hold or discontinue chemotherapy. </w:t>
      </w:r>
    </w:p>
    <w:p w14:paraId="08929AA2" w14:textId="77777777" w:rsidR="009E06D3" w:rsidRPr="009E06D3" w:rsidRDefault="009E06D3" w:rsidP="009E06D3">
      <w:pPr>
        <w:numPr>
          <w:ilvl w:val="0"/>
          <w:numId w:val="11"/>
        </w:numPr>
        <w:autoSpaceDE w:val="0"/>
        <w:autoSpaceDN w:val="0"/>
        <w:adjustRightInd w:val="0"/>
        <w:contextualSpacing/>
        <w:rPr>
          <w:rFonts w:eastAsiaTheme="minorHAnsi" w:cs="Arial"/>
          <w:color w:val="000000"/>
          <w:szCs w:val="24"/>
        </w:rPr>
      </w:pPr>
      <w:r w:rsidRPr="009E06D3">
        <w:rPr>
          <w:rFonts w:eastAsiaTheme="minorHAnsi" w:cs="Arial"/>
          <w:color w:val="000000"/>
          <w:szCs w:val="24"/>
        </w:rPr>
        <w:t>Ensure effective communication channels between medical, nursing and pharmacy staff responsible for chemotherapy.</w:t>
      </w:r>
    </w:p>
    <w:p w14:paraId="2F51A89F" w14:textId="6DD7E98C" w:rsidR="007B6904" w:rsidRPr="00931B93" w:rsidRDefault="007B6904" w:rsidP="007B6904">
      <w:pPr>
        <w:rPr>
          <w:rFonts w:cs="Arial"/>
          <w:i/>
          <w:szCs w:val="24"/>
        </w:rPr>
      </w:pPr>
    </w:p>
    <w:p w14:paraId="2F51A8A0" w14:textId="77777777" w:rsidR="007B6904" w:rsidRPr="009E06D3" w:rsidRDefault="00331E11" w:rsidP="007B6904">
      <w:pPr>
        <w:jc w:val="right"/>
        <w:rPr>
          <w:rFonts w:cs="Arial"/>
          <w:i/>
          <w:szCs w:val="24"/>
          <w:u w:val="single"/>
        </w:rPr>
      </w:pPr>
      <w:hyperlink w:anchor="Contents" w:history="1">
        <w:r w:rsidR="007B6904" w:rsidRPr="009E06D3">
          <w:rPr>
            <w:rStyle w:val="Hyperlink"/>
            <w:rFonts w:cs="Arial"/>
            <w:i/>
            <w:szCs w:val="24"/>
          </w:rPr>
          <w:t>Back to Table of Contents</w:t>
        </w:r>
      </w:hyperlink>
      <w:r w:rsidR="007B6904" w:rsidRPr="009E06D3">
        <w:rPr>
          <w:rFonts w:cs="Arial"/>
          <w:i/>
          <w:szCs w:val="24"/>
          <w:u w:val="single"/>
        </w:rPr>
        <w:t xml:space="preserve"> </w:t>
      </w:r>
    </w:p>
    <w:p w14:paraId="2F51A8A1"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A3" w14:textId="77777777" w:rsidTr="0074223E">
        <w:trPr>
          <w:cantSplit/>
          <w:trHeight w:val="285"/>
        </w:trPr>
        <w:tc>
          <w:tcPr>
            <w:tcW w:w="9158" w:type="dxa"/>
            <w:shd w:val="clear" w:color="auto" w:fill="A6A6A6" w:themeFill="background1" w:themeFillShade="A6"/>
          </w:tcPr>
          <w:p w14:paraId="2F51A8A2" w14:textId="247A42AD" w:rsidR="007B6904" w:rsidRPr="003D2D06" w:rsidRDefault="009E06D3" w:rsidP="004213C3">
            <w:pPr>
              <w:pStyle w:val="Heading1"/>
            </w:pPr>
            <w:bookmarkStart w:id="21" w:name="_Toc389473284"/>
            <w:bookmarkStart w:id="22" w:name="_Toc393203340"/>
            <w:bookmarkStart w:id="23" w:name="_Toc47624503"/>
            <w:bookmarkStart w:id="24" w:name="_Toc96090960"/>
            <w:r w:rsidRPr="003D2D06">
              <w:t xml:space="preserve">Section </w:t>
            </w:r>
            <w:r>
              <w:t>3</w:t>
            </w:r>
            <w:r w:rsidRPr="003D2D06">
              <w:t xml:space="preserve"> – </w:t>
            </w:r>
            <w:bookmarkEnd w:id="21"/>
            <w:bookmarkEnd w:id="22"/>
            <w:r>
              <w:t>Administration</w:t>
            </w:r>
            <w:bookmarkEnd w:id="23"/>
            <w:bookmarkEnd w:id="24"/>
          </w:p>
        </w:tc>
      </w:tr>
    </w:tbl>
    <w:p w14:paraId="2F51A8A4" w14:textId="77777777" w:rsidR="007B6904" w:rsidRDefault="007B6904" w:rsidP="007B6904">
      <w:pPr>
        <w:pStyle w:val="Heading2"/>
      </w:pPr>
    </w:p>
    <w:p w14:paraId="001EBB02" w14:textId="77777777" w:rsidR="009E06D3" w:rsidRPr="00BC0B27" w:rsidRDefault="009E06D3" w:rsidP="009E06D3">
      <w:pPr>
        <w:pStyle w:val="CommentText"/>
        <w:numPr>
          <w:ilvl w:val="0"/>
          <w:numId w:val="14"/>
        </w:numPr>
        <w:rPr>
          <w:sz w:val="24"/>
          <w:szCs w:val="24"/>
        </w:rPr>
      </w:pPr>
      <w:r w:rsidRPr="00BC0B27">
        <w:rPr>
          <w:rFonts w:eastAsiaTheme="minorEastAsia" w:cs="Calibri"/>
          <w:sz w:val="24"/>
          <w:szCs w:val="24"/>
        </w:rPr>
        <w:t>Only</w:t>
      </w:r>
      <w:r w:rsidRPr="00BC0B27">
        <w:rPr>
          <w:rStyle w:val="CommentReference"/>
          <w:rFonts w:eastAsiaTheme="majorEastAsia"/>
          <w:sz w:val="24"/>
          <w:szCs w:val="24"/>
        </w:rPr>
        <w:t xml:space="preserve"> clinicians who have completed the </w:t>
      </w:r>
      <w:r w:rsidRPr="00332D1F">
        <w:rPr>
          <w:rStyle w:val="CommentReference"/>
          <w:rFonts w:eastAsiaTheme="majorEastAsia"/>
          <w:sz w:val="24"/>
          <w:szCs w:val="24"/>
        </w:rPr>
        <w:t xml:space="preserve">Antineoplastic </w:t>
      </w:r>
      <w:r w:rsidRPr="00BC0B27">
        <w:rPr>
          <w:rStyle w:val="CommentReference"/>
          <w:rFonts w:eastAsiaTheme="majorEastAsia"/>
          <w:sz w:val="24"/>
          <w:szCs w:val="24"/>
        </w:rPr>
        <w:t>Drug Administration Course and been accessed as competent in the skill of administering cytotoxic drugs can administer Vincristine.</w:t>
      </w:r>
      <w:r w:rsidRPr="00BC0B27">
        <w:rPr>
          <w:rFonts w:eastAsiaTheme="minorEastAsia" w:cs="Calibri"/>
        </w:rPr>
        <w:t xml:space="preserve"> </w:t>
      </w:r>
    </w:p>
    <w:p w14:paraId="35F8FCC5" w14:textId="77777777" w:rsidR="009E06D3" w:rsidRPr="00BC0B27" w:rsidRDefault="009E06D3" w:rsidP="009E06D3">
      <w:pPr>
        <w:pStyle w:val="ListParagraph"/>
        <w:numPr>
          <w:ilvl w:val="0"/>
          <w:numId w:val="12"/>
        </w:numPr>
        <w:autoSpaceDE w:val="0"/>
        <w:autoSpaceDN w:val="0"/>
        <w:adjustRightInd w:val="0"/>
        <w:rPr>
          <w:rFonts w:cs="Arial"/>
          <w:szCs w:val="24"/>
        </w:rPr>
      </w:pPr>
      <w:r w:rsidRPr="00072CA2">
        <w:rPr>
          <w:rFonts w:asciiTheme="minorHAnsi" w:hAnsiTheme="minorHAnsi"/>
        </w:rPr>
        <w:t xml:space="preserve">Cytotoxic Personal Protective Equipment (PPE) MUST be worn when administering </w:t>
      </w:r>
      <w:r>
        <w:rPr>
          <w:rFonts w:asciiTheme="minorHAnsi" w:hAnsiTheme="minorHAnsi"/>
        </w:rPr>
        <w:t xml:space="preserve">vincristine and staff </w:t>
      </w:r>
      <w:r w:rsidRPr="00FE328F">
        <w:rPr>
          <w:rFonts w:cs="Arial"/>
          <w:szCs w:val="24"/>
        </w:rPr>
        <w:t xml:space="preserve">should </w:t>
      </w:r>
      <w:r>
        <w:rPr>
          <w:rFonts w:cs="Arial"/>
          <w:szCs w:val="24"/>
        </w:rPr>
        <w:t>be</w:t>
      </w:r>
      <w:r w:rsidRPr="00FE328F">
        <w:rPr>
          <w:rFonts w:cs="Arial"/>
          <w:szCs w:val="24"/>
        </w:rPr>
        <w:t xml:space="preserve"> aware of the work health and safety </w:t>
      </w:r>
      <w:r>
        <w:rPr>
          <w:rFonts w:cs="Arial"/>
          <w:szCs w:val="24"/>
        </w:rPr>
        <w:t>measures</w:t>
      </w:r>
      <w:r w:rsidRPr="00FE328F">
        <w:rPr>
          <w:rFonts w:cs="Arial"/>
          <w:szCs w:val="24"/>
        </w:rPr>
        <w:t xml:space="preserve"> </w:t>
      </w:r>
      <w:r>
        <w:rPr>
          <w:rFonts w:cs="Arial"/>
          <w:szCs w:val="24"/>
        </w:rPr>
        <w:t xml:space="preserve">when </w:t>
      </w:r>
      <w:r w:rsidRPr="00FE328F">
        <w:rPr>
          <w:rFonts w:cs="Arial"/>
          <w:szCs w:val="24"/>
        </w:rPr>
        <w:t>handling cytotoxic drug</w:t>
      </w:r>
      <w:r>
        <w:rPr>
          <w:rFonts w:cs="Arial"/>
          <w:szCs w:val="24"/>
        </w:rPr>
        <w:t>s</w:t>
      </w:r>
      <w:r w:rsidRPr="00FE328F">
        <w:rPr>
          <w:rFonts w:cs="Arial"/>
          <w:szCs w:val="24"/>
        </w:rPr>
        <w:t xml:space="preserve"> and </w:t>
      </w:r>
      <w:r>
        <w:rPr>
          <w:rFonts w:cs="Arial"/>
          <w:szCs w:val="24"/>
        </w:rPr>
        <w:t xml:space="preserve">the </w:t>
      </w:r>
      <w:r w:rsidRPr="00FE328F">
        <w:rPr>
          <w:rFonts w:cs="Arial"/>
          <w:szCs w:val="24"/>
        </w:rPr>
        <w:t>related waste.</w:t>
      </w:r>
    </w:p>
    <w:p w14:paraId="2C05CF27" w14:textId="77777777" w:rsidR="009E06D3" w:rsidRDefault="009E06D3" w:rsidP="009E06D3">
      <w:pPr>
        <w:pStyle w:val="ListParagraph"/>
        <w:numPr>
          <w:ilvl w:val="0"/>
          <w:numId w:val="13"/>
        </w:numPr>
        <w:autoSpaceDE w:val="0"/>
        <w:autoSpaceDN w:val="0"/>
        <w:adjustRightInd w:val="0"/>
        <w:ind w:left="360"/>
        <w:rPr>
          <w:rFonts w:cs="Arial"/>
          <w:szCs w:val="24"/>
        </w:rPr>
      </w:pPr>
      <w:r w:rsidRPr="00796AAC">
        <w:rPr>
          <w:rFonts w:cs="Arial"/>
          <w:szCs w:val="24"/>
        </w:rPr>
        <w:t xml:space="preserve">Vincristine must </w:t>
      </w:r>
      <w:r w:rsidRPr="00796AAC">
        <w:rPr>
          <w:rFonts w:cs="Arial"/>
          <w:b/>
          <w:bCs/>
          <w:szCs w:val="24"/>
        </w:rPr>
        <w:t xml:space="preserve">only </w:t>
      </w:r>
      <w:r w:rsidRPr="00796AAC">
        <w:rPr>
          <w:rFonts w:cs="Arial"/>
          <w:szCs w:val="24"/>
        </w:rPr>
        <w:t xml:space="preserve">ever be administered </w:t>
      </w:r>
      <w:r w:rsidRPr="00796AAC">
        <w:rPr>
          <w:rFonts w:cs="Arial"/>
          <w:b/>
          <w:bCs/>
          <w:szCs w:val="24"/>
        </w:rPr>
        <w:t>intravenously</w:t>
      </w:r>
      <w:r w:rsidRPr="00796AAC">
        <w:rPr>
          <w:rFonts w:cs="Arial"/>
          <w:szCs w:val="24"/>
        </w:rPr>
        <w:t>.</w:t>
      </w:r>
    </w:p>
    <w:p w14:paraId="75E8E095" w14:textId="77777777" w:rsidR="009E06D3" w:rsidRPr="00796AAC" w:rsidRDefault="009E06D3" w:rsidP="009E06D3">
      <w:pPr>
        <w:pStyle w:val="ListParagraph"/>
        <w:numPr>
          <w:ilvl w:val="0"/>
          <w:numId w:val="13"/>
        </w:numPr>
        <w:autoSpaceDE w:val="0"/>
        <w:autoSpaceDN w:val="0"/>
        <w:adjustRightInd w:val="0"/>
        <w:ind w:left="360"/>
        <w:rPr>
          <w:rFonts w:cs="Arial"/>
          <w:szCs w:val="24"/>
        </w:rPr>
      </w:pPr>
      <w:r w:rsidRPr="00796AAC">
        <w:rPr>
          <w:rFonts w:cs="Arial"/>
          <w:szCs w:val="24"/>
        </w:rPr>
        <w:t>A time out checklist and a second person check must be employed prior to</w:t>
      </w:r>
      <w:r>
        <w:rPr>
          <w:rFonts w:cs="Arial"/>
          <w:szCs w:val="24"/>
        </w:rPr>
        <w:t xml:space="preserve"> </w:t>
      </w:r>
      <w:r w:rsidRPr="00796AAC">
        <w:rPr>
          <w:rFonts w:cs="Arial"/>
          <w:szCs w:val="24"/>
        </w:rPr>
        <w:t>administering vincristine to ensure:</w:t>
      </w:r>
    </w:p>
    <w:p w14:paraId="71EC46FB" w14:textId="55BEA68F" w:rsidR="009E06D3" w:rsidRDefault="009E06D3" w:rsidP="009E06D3">
      <w:pPr>
        <w:pStyle w:val="ListParagraph"/>
        <w:numPr>
          <w:ilvl w:val="0"/>
          <w:numId w:val="15"/>
        </w:numPr>
        <w:autoSpaceDE w:val="0"/>
        <w:autoSpaceDN w:val="0"/>
        <w:adjustRightInd w:val="0"/>
        <w:ind w:left="720"/>
        <w:rPr>
          <w:rFonts w:cs="Arial"/>
          <w:szCs w:val="24"/>
        </w:rPr>
      </w:pPr>
      <w:r>
        <w:rPr>
          <w:rFonts w:cs="Arial"/>
          <w:szCs w:val="24"/>
        </w:rPr>
        <w:lastRenderedPageBreak/>
        <w:t xml:space="preserve">Positive identification of patient using 3 core identifiers e.g </w:t>
      </w:r>
      <w:r w:rsidRPr="00796AAC">
        <w:rPr>
          <w:rFonts w:cs="Arial"/>
          <w:szCs w:val="24"/>
        </w:rPr>
        <w:t xml:space="preserve">patient name, </w:t>
      </w:r>
      <w:r>
        <w:rPr>
          <w:rFonts w:eastAsiaTheme="minorEastAsia" w:cs="Arial"/>
        </w:rPr>
        <w:t>URN, date of birth</w:t>
      </w:r>
      <w:r w:rsidR="00332D1F">
        <w:rPr>
          <w:rFonts w:eastAsiaTheme="minorEastAsia" w:cs="Arial"/>
        </w:rPr>
        <w:t xml:space="preserve">, as per </w:t>
      </w:r>
      <w:r w:rsidR="00332D1F" w:rsidRPr="00332D1F">
        <w:rPr>
          <w:rFonts w:eastAsiaTheme="minorEastAsia" w:cs="Arial"/>
          <w:i/>
          <w:iCs/>
        </w:rPr>
        <w:t>Medication Handling Policy</w:t>
      </w:r>
      <w:r w:rsidR="00332D1F">
        <w:rPr>
          <w:rFonts w:eastAsiaTheme="minorEastAsia" w:cs="Arial"/>
        </w:rPr>
        <w:t xml:space="preserve"> </w:t>
      </w:r>
    </w:p>
    <w:p w14:paraId="106C0505" w14:textId="77777777" w:rsidR="009E06D3" w:rsidRPr="00072CA2" w:rsidRDefault="009E06D3" w:rsidP="009E06D3">
      <w:pPr>
        <w:pStyle w:val="ListParagraph"/>
        <w:numPr>
          <w:ilvl w:val="0"/>
          <w:numId w:val="15"/>
        </w:numPr>
        <w:autoSpaceDE w:val="0"/>
        <w:autoSpaceDN w:val="0"/>
        <w:adjustRightInd w:val="0"/>
        <w:ind w:left="720"/>
        <w:rPr>
          <w:rFonts w:cs="Arial"/>
          <w:szCs w:val="24"/>
        </w:rPr>
      </w:pPr>
      <w:r>
        <w:rPr>
          <w:rFonts w:cs="Arial"/>
          <w:szCs w:val="24"/>
        </w:rPr>
        <w:t>Drug, dose ,</w:t>
      </w:r>
      <w:r w:rsidRPr="00796AAC">
        <w:rPr>
          <w:rFonts w:cs="Arial"/>
          <w:szCs w:val="24"/>
        </w:rPr>
        <w:t xml:space="preserve"> </w:t>
      </w:r>
      <w:proofErr w:type="gramStart"/>
      <w:r w:rsidRPr="00796AAC">
        <w:rPr>
          <w:rFonts w:cs="Arial"/>
          <w:szCs w:val="24"/>
        </w:rPr>
        <w:t>route</w:t>
      </w:r>
      <w:proofErr w:type="gramEnd"/>
      <w:r w:rsidRPr="00796AAC">
        <w:rPr>
          <w:rFonts w:cs="Arial"/>
          <w:szCs w:val="24"/>
        </w:rPr>
        <w:t xml:space="preserve"> </w:t>
      </w:r>
      <w:r w:rsidRPr="5CC7B17C">
        <w:rPr>
          <w:rFonts w:eastAsiaTheme="minorEastAsia" w:cs="Arial"/>
        </w:rPr>
        <w:t>and expiry date</w:t>
      </w:r>
      <w:r w:rsidRPr="00796AAC">
        <w:rPr>
          <w:rFonts w:cs="Arial"/>
          <w:szCs w:val="24"/>
        </w:rPr>
        <w:t xml:space="preserve"> have been checked on the bag</w:t>
      </w:r>
      <w:r>
        <w:rPr>
          <w:rFonts w:cs="Arial"/>
          <w:szCs w:val="24"/>
        </w:rPr>
        <w:t xml:space="preserve"> </w:t>
      </w:r>
      <w:r w:rsidRPr="00072CA2">
        <w:rPr>
          <w:rFonts w:cs="Arial"/>
          <w:szCs w:val="24"/>
        </w:rPr>
        <w:t>label</w:t>
      </w:r>
    </w:p>
    <w:p w14:paraId="1B0951C8" w14:textId="77777777" w:rsidR="009E06D3" w:rsidRPr="00467C3E" w:rsidRDefault="009E06D3" w:rsidP="009E06D3">
      <w:pPr>
        <w:pStyle w:val="ListParagraph"/>
        <w:numPr>
          <w:ilvl w:val="0"/>
          <w:numId w:val="15"/>
        </w:numPr>
        <w:autoSpaceDE w:val="0"/>
        <w:autoSpaceDN w:val="0"/>
        <w:adjustRightInd w:val="0"/>
        <w:ind w:left="720"/>
        <w:rPr>
          <w:rFonts w:cs="Arial"/>
          <w:szCs w:val="24"/>
        </w:rPr>
      </w:pPr>
      <w:r w:rsidRPr="00467C3E">
        <w:rPr>
          <w:rFonts w:cs="Arial"/>
          <w:szCs w:val="24"/>
        </w:rPr>
        <w:t xml:space="preserve">It is being connected to a positively identified (correctly labelled) </w:t>
      </w:r>
      <w:r>
        <w:rPr>
          <w:rFonts w:cs="Arial"/>
          <w:szCs w:val="24"/>
        </w:rPr>
        <w:t>chemotherapy</w:t>
      </w:r>
      <w:r w:rsidRPr="00467C3E">
        <w:rPr>
          <w:rFonts w:cs="Arial"/>
          <w:szCs w:val="24"/>
        </w:rPr>
        <w:t xml:space="preserve"> line</w:t>
      </w:r>
    </w:p>
    <w:p w14:paraId="4F932BA3" w14:textId="77777777" w:rsidR="009E06D3" w:rsidRDefault="009E06D3" w:rsidP="009E06D3">
      <w:pPr>
        <w:pStyle w:val="ListParagraph"/>
        <w:numPr>
          <w:ilvl w:val="0"/>
          <w:numId w:val="15"/>
        </w:numPr>
        <w:autoSpaceDE w:val="0"/>
        <w:autoSpaceDN w:val="0"/>
        <w:adjustRightInd w:val="0"/>
        <w:ind w:left="720"/>
        <w:rPr>
          <w:rFonts w:cs="Arial"/>
          <w:szCs w:val="24"/>
        </w:rPr>
      </w:pPr>
      <w:r w:rsidRPr="00467C3E">
        <w:rPr>
          <w:rFonts w:cs="Arial"/>
          <w:szCs w:val="24"/>
        </w:rPr>
        <w:t xml:space="preserve">It is </w:t>
      </w:r>
      <w:r w:rsidRPr="00467C3E">
        <w:rPr>
          <w:rFonts w:cs="Arial"/>
          <w:b/>
          <w:bCs/>
          <w:szCs w:val="24"/>
        </w:rPr>
        <w:t>being administered by the intravenous route</w:t>
      </w:r>
      <w:r w:rsidRPr="00467C3E">
        <w:rPr>
          <w:rFonts w:cs="Arial"/>
          <w:szCs w:val="24"/>
        </w:rPr>
        <w:t>.</w:t>
      </w:r>
    </w:p>
    <w:p w14:paraId="2F51A8AA" w14:textId="7EF5744F" w:rsidR="00201FB6" w:rsidRPr="009E06D3" w:rsidRDefault="009E06D3" w:rsidP="00201FB6">
      <w:pPr>
        <w:pStyle w:val="ListParagraph"/>
        <w:numPr>
          <w:ilvl w:val="0"/>
          <w:numId w:val="16"/>
        </w:numPr>
        <w:autoSpaceDE w:val="0"/>
        <w:autoSpaceDN w:val="0"/>
        <w:adjustRightInd w:val="0"/>
        <w:ind w:left="360"/>
        <w:rPr>
          <w:rFonts w:cs="Arial"/>
          <w:szCs w:val="24"/>
        </w:rPr>
      </w:pPr>
      <w:r w:rsidRPr="00467C3E">
        <w:rPr>
          <w:rFonts w:cs="Arial"/>
          <w:szCs w:val="24"/>
        </w:rPr>
        <w:t>Despite dilution, vincristine remains a vesicant</w:t>
      </w:r>
      <w:r>
        <w:rPr>
          <w:rFonts w:cs="Arial"/>
          <w:szCs w:val="24"/>
        </w:rPr>
        <w:t xml:space="preserve"> and clinicians must monitor for signs of extravasation such as pain, redness or swelling at the IV site.</w:t>
      </w:r>
    </w:p>
    <w:p w14:paraId="2F51A8AC" w14:textId="77777777" w:rsidR="007B6904" w:rsidRDefault="007B6904" w:rsidP="007B6904">
      <w:pPr>
        <w:rPr>
          <w:rFonts w:cs="Arial"/>
          <w:b/>
          <w:szCs w:val="24"/>
        </w:rPr>
      </w:pPr>
    </w:p>
    <w:p w14:paraId="2F51A8AD" w14:textId="7468DCC8" w:rsidR="007B6904" w:rsidRDefault="00331E11"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E06D3" w:rsidRPr="00CD1C0E" w14:paraId="796E2803" w14:textId="77777777" w:rsidTr="00DE0B17">
        <w:trPr>
          <w:cantSplit/>
          <w:trHeight w:val="285"/>
        </w:trPr>
        <w:tc>
          <w:tcPr>
            <w:tcW w:w="9158" w:type="dxa"/>
            <w:shd w:val="clear" w:color="auto" w:fill="A6A6A6" w:themeFill="background1" w:themeFillShade="A6"/>
          </w:tcPr>
          <w:p w14:paraId="33F5D80D" w14:textId="13104D07" w:rsidR="009E06D3" w:rsidRPr="003D2D06" w:rsidRDefault="009E06D3" w:rsidP="00DE0B17">
            <w:pPr>
              <w:pStyle w:val="Heading1"/>
            </w:pPr>
            <w:bookmarkStart w:id="25" w:name="_Toc96090961"/>
            <w:r w:rsidRPr="003D2D06">
              <w:t xml:space="preserve">Section </w:t>
            </w:r>
            <w:r>
              <w:t xml:space="preserve">4 </w:t>
            </w:r>
            <w:r w:rsidRPr="00582CC0">
              <w:t xml:space="preserve">– </w:t>
            </w:r>
            <w:r>
              <w:t>Storage and supply</w:t>
            </w:r>
            <w:bookmarkEnd w:id="25"/>
          </w:p>
        </w:tc>
      </w:tr>
    </w:tbl>
    <w:p w14:paraId="75EAED19" w14:textId="5096CF71" w:rsidR="009E06D3" w:rsidRDefault="009E06D3" w:rsidP="007B6904">
      <w:pPr>
        <w:jc w:val="right"/>
        <w:rPr>
          <w:rFonts w:cs="Arial"/>
          <w:i/>
          <w:szCs w:val="24"/>
        </w:rPr>
      </w:pPr>
    </w:p>
    <w:p w14:paraId="1F97067A" w14:textId="77777777" w:rsidR="009E06D3" w:rsidRPr="00582CC0" w:rsidRDefault="009E06D3" w:rsidP="009E06D3">
      <w:pPr>
        <w:numPr>
          <w:ilvl w:val="0"/>
          <w:numId w:val="17"/>
        </w:numPr>
        <w:autoSpaceDE w:val="0"/>
        <w:autoSpaceDN w:val="0"/>
        <w:adjustRightInd w:val="0"/>
        <w:contextualSpacing/>
        <w:rPr>
          <w:rFonts w:cs="Arial"/>
          <w:szCs w:val="24"/>
        </w:rPr>
      </w:pPr>
      <w:r w:rsidRPr="00582CC0">
        <w:rPr>
          <w:rFonts w:cs="Arial"/>
          <w:szCs w:val="24"/>
        </w:rPr>
        <w:t xml:space="preserve">Doses of vincristine must be prepared in and administered from a </w:t>
      </w:r>
      <w:proofErr w:type="spellStart"/>
      <w:r w:rsidRPr="00582CC0">
        <w:rPr>
          <w:rFonts w:cs="Arial"/>
          <w:szCs w:val="24"/>
        </w:rPr>
        <w:t>minibag</w:t>
      </w:r>
      <w:proofErr w:type="spellEnd"/>
      <w:r w:rsidRPr="00582CC0">
        <w:rPr>
          <w:rFonts w:cs="Arial"/>
          <w:szCs w:val="24"/>
        </w:rPr>
        <w:t xml:space="preserve"> not a syringe.</w:t>
      </w:r>
    </w:p>
    <w:p w14:paraId="7FE04AFC" w14:textId="77777777" w:rsidR="009E06D3" w:rsidRPr="00582CC0" w:rsidRDefault="009E06D3" w:rsidP="009E06D3">
      <w:pPr>
        <w:numPr>
          <w:ilvl w:val="0"/>
          <w:numId w:val="17"/>
        </w:numPr>
        <w:autoSpaceDE w:val="0"/>
        <w:autoSpaceDN w:val="0"/>
        <w:adjustRightInd w:val="0"/>
        <w:contextualSpacing/>
        <w:rPr>
          <w:rFonts w:cs="Arial"/>
          <w:szCs w:val="24"/>
        </w:rPr>
      </w:pPr>
      <w:r w:rsidRPr="00582CC0">
        <w:rPr>
          <w:rFonts w:cs="Arial"/>
          <w:szCs w:val="24"/>
        </w:rPr>
        <w:t xml:space="preserve">All vincristine preparations, including outer wraps, must be labelled with a prominent warning label such as, </w:t>
      </w:r>
      <w:r w:rsidRPr="00582CC0">
        <w:rPr>
          <w:rFonts w:cs="Arial-ItalicMT"/>
          <w:i/>
          <w:iCs/>
          <w:szCs w:val="24"/>
        </w:rPr>
        <w:t xml:space="preserve">“FOR INTRAVENOUS USE ONLY – </w:t>
      </w:r>
      <w:r w:rsidRPr="00582CC0">
        <w:rPr>
          <w:rFonts w:cs="Arial"/>
          <w:i/>
          <w:iCs/>
          <w:szCs w:val="24"/>
        </w:rPr>
        <w:t>FATAL IF GIVEN BY OTHER ROUTES</w:t>
      </w:r>
      <w:r w:rsidRPr="00582CC0">
        <w:rPr>
          <w:rFonts w:cs="ArialMT"/>
          <w:szCs w:val="24"/>
        </w:rPr>
        <w:t xml:space="preserve">”. The outer wrap must also state, “Do not remove </w:t>
      </w:r>
      <w:r w:rsidRPr="00582CC0">
        <w:rPr>
          <w:rFonts w:cs="Arial"/>
          <w:szCs w:val="24"/>
        </w:rPr>
        <w:t>Covering until moment of infusion</w:t>
      </w:r>
      <w:r w:rsidRPr="00582CC0">
        <w:rPr>
          <w:rFonts w:cs="ArialMT"/>
          <w:szCs w:val="24"/>
        </w:rPr>
        <w:t>”.</w:t>
      </w:r>
    </w:p>
    <w:p w14:paraId="5AA9AF7D" w14:textId="639B0731" w:rsidR="009E06D3" w:rsidRPr="00582CC0" w:rsidRDefault="009E06D3" w:rsidP="009E06D3">
      <w:pPr>
        <w:numPr>
          <w:ilvl w:val="0"/>
          <w:numId w:val="17"/>
        </w:numPr>
        <w:spacing w:after="160" w:line="259" w:lineRule="auto"/>
        <w:contextualSpacing/>
        <w:rPr>
          <w:szCs w:val="24"/>
        </w:rPr>
      </w:pPr>
      <w:r w:rsidRPr="00582CC0">
        <w:rPr>
          <w:szCs w:val="24"/>
        </w:rPr>
        <w:t xml:space="preserve">Intrathecal medications must be stored </w:t>
      </w:r>
      <w:r w:rsidR="00950900">
        <w:rPr>
          <w:szCs w:val="24"/>
        </w:rPr>
        <w:t xml:space="preserve">and transported </w:t>
      </w:r>
      <w:r w:rsidRPr="00582CC0">
        <w:rPr>
          <w:szCs w:val="24"/>
        </w:rPr>
        <w:t>separately from all other medications including vincristine.</w:t>
      </w:r>
    </w:p>
    <w:p w14:paraId="3ABE37AF" w14:textId="77777777" w:rsidR="009E06D3" w:rsidRPr="00582CC0" w:rsidRDefault="009E06D3" w:rsidP="009E06D3">
      <w:pPr>
        <w:numPr>
          <w:ilvl w:val="0"/>
          <w:numId w:val="17"/>
        </w:numPr>
        <w:autoSpaceDE w:val="0"/>
        <w:autoSpaceDN w:val="0"/>
        <w:adjustRightInd w:val="0"/>
        <w:contextualSpacing/>
        <w:rPr>
          <w:rFonts w:cs="Arial"/>
          <w:szCs w:val="24"/>
        </w:rPr>
      </w:pPr>
      <w:r w:rsidRPr="00582CC0">
        <w:rPr>
          <w:szCs w:val="24"/>
        </w:rPr>
        <w:t>Intrathecal medications should be stored in the designated bin in pharmacy until required by the ward. Only designated Intrathecal tubs can be used for transport</w:t>
      </w:r>
    </w:p>
    <w:p w14:paraId="44A10987" w14:textId="57D2FC15" w:rsidR="009E06D3" w:rsidRPr="00332D1F" w:rsidRDefault="009E06D3" w:rsidP="00332D1F">
      <w:pPr>
        <w:pStyle w:val="ListBullet"/>
      </w:pPr>
      <w:r w:rsidRPr="00332D1F">
        <w:t>If chemotherapy is prescribed for intrathecal administration in the Operating Suite, only the intrathecal chemotherapy is to accompany the patient to the Operating Suite. No other chemotherapy including vincristine or other intravenous chemotherapy is to be sent</w:t>
      </w:r>
      <w:r w:rsidR="00332D1F">
        <w:t xml:space="preserve"> to Operating Suite.</w:t>
      </w:r>
    </w:p>
    <w:p w14:paraId="6583FDAC" w14:textId="13A7905F" w:rsidR="009E06D3" w:rsidRDefault="009E06D3" w:rsidP="009E06D3">
      <w:pPr>
        <w:jc w:val="right"/>
        <w:rPr>
          <w:rFonts w:cs="Arial"/>
          <w:szCs w:val="24"/>
        </w:rPr>
      </w:pPr>
    </w:p>
    <w:p w14:paraId="1E5A3AAC" w14:textId="3FECC2A6" w:rsidR="009E06D3" w:rsidRDefault="00331E11" w:rsidP="009E06D3">
      <w:pPr>
        <w:jc w:val="right"/>
        <w:rPr>
          <w:rFonts w:cs="Arial"/>
          <w:i/>
          <w:szCs w:val="24"/>
        </w:rPr>
      </w:pPr>
      <w:hyperlink w:anchor="Contents" w:history="1">
        <w:r w:rsidR="009E06D3" w:rsidRPr="00590902">
          <w:rPr>
            <w:rStyle w:val="Hyperlink"/>
            <w:rFonts w:cs="Arial"/>
            <w:i/>
            <w:szCs w:val="24"/>
          </w:rPr>
          <w:t>Back to Table of Contents</w:t>
        </w:r>
      </w:hyperlink>
      <w:r w:rsidR="009E06D3">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E06D3" w:rsidRPr="00CD1C0E" w14:paraId="6E5505C1" w14:textId="77777777" w:rsidTr="00DE0B17">
        <w:trPr>
          <w:cantSplit/>
          <w:trHeight w:val="285"/>
        </w:trPr>
        <w:tc>
          <w:tcPr>
            <w:tcW w:w="9158" w:type="dxa"/>
            <w:shd w:val="clear" w:color="auto" w:fill="A6A6A6" w:themeFill="background1" w:themeFillShade="A6"/>
          </w:tcPr>
          <w:p w14:paraId="488D4320" w14:textId="7ACD3161" w:rsidR="009E06D3" w:rsidRPr="003D2D06" w:rsidRDefault="009E06D3" w:rsidP="00DE0B17">
            <w:pPr>
              <w:pStyle w:val="Heading1"/>
            </w:pPr>
            <w:bookmarkStart w:id="26" w:name="_Toc96090962"/>
            <w:r w:rsidRPr="003D2D06">
              <w:t xml:space="preserve">Section </w:t>
            </w:r>
            <w:r>
              <w:t xml:space="preserve">5 </w:t>
            </w:r>
            <w:r w:rsidRPr="00582CC0">
              <w:t xml:space="preserve">– </w:t>
            </w:r>
            <w:r>
              <w:t xml:space="preserve"> Training/Qualifications Required</w:t>
            </w:r>
            <w:bookmarkEnd w:id="26"/>
          </w:p>
        </w:tc>
      </w:tr>
    </w:tbl>
    <w:p w14:paraId="78F4206F" w14:textId="31D4BFB9" w:rsidR="009E06D3" w:rsidRDefault="009E06D3" w:rsidP="009E06D3">
      <w:pPr>
        <w:jc w:val="right"/>
        <w:rPr>
          <w:rFonts w:cs="Arial"/>
          <w:i/>
          <w:szCs w:val="24"/>
        </w:rPr>
      </w:pPr>
    </w:p>
    <w:p w14:paraId="2FB0E749" w14:textId="2546D141" w:rsidR="009E06D3" w:rsidRDefault="009E06D3" w:rsidP="009E06D3">
      <w:r>
        <w:t xml:space="preserve">Online modules available through </w:t>
      </w:r>
      <w:proofErr w:type="spellStart"/>
      <w:r>
        <w:t>eviQ</w:t>
      </w:r>
      <w:proofErr w:type="spellEnd"/>
      <w:r>
        <w:t xml:space="preserve"> are endorsed for use by Canberra Health Services clinical staff.</w:t>
      </w:r>
      <w:r>
        <w:rPr>
          <w:rFonts w:ascii="Times New Roman" w:hAnsi="Times New Roman"/>
        </w:rPr>
        <w:t xml:space="preserve"> </w:t>
      </w:r>
      <w:r>
        <w:t xml:space="preserve">These modules enable staff to access clinical information related to High-Risk Chemotherapy Medications. Competency assessments must be completed every 12 months and recorded on </w:t>
      </w:r>
      <w:proofErr w:type="spellStart"/>
      <w:r>
        <w:t>Capabiliti</w:t>
      </w:r>
      <w:proofErr w:type="spellEnd"/>
      <w:r>
        <w:t xml:space="preserve"> (Learning Management System) by education staff.</w:t>
      </w:r>
    </w:p>
    <w:p w14:paraId="28D681FB" w14:textId="77777777" w:rsidR="009E06D3" w:rsidRPr="001C41A0" w:rsidRDefault="009E06D3" w:rsidP="009E06D3">
      <w:pPr>
        <w:rPr>
          <w:rFonts w:ascii="Times New Roman" w:hAnsi="Times New Roman"/>
        </w:rPr>
      </w:pPr>
    </w:p>
    <w:p w14:paraId="49CBEF87" w14:textId="689E1B2C" w:rsidR="009E06D3" w:rsidRPr="009E06D3" w:rsidRDefault="00331E11" w:rsidP="009E06D3">
      <w:pPr>
        <w:jc w:val="right"/>
        <w:rPr>
          <w:rFonts w:cs="Arial"/>
          <w:b/>
          <w:szCs w:val="24"/>
        </w:rPr>
      </w:pPr>
      <w:hyperlink w:anchor="Contents" w:history="1">
        <w:r w:rsidR="009E06D3" w:rsidRPr="00C91F3F">
          <w:rPr>
            <w:rStyle w:val="Hyperlink"/>
            <w:rFonts w:eastAsiaTheme="majorEastAsia" w:cs="Arial"/>
            <w:i/>
            <w:szCs w:val="24"/>
          </w:rPr>
          <w:t>Back to Table of Contents</w:t>
        </w:r>
      </w:hyperlink>
      <w:r w:rsidR="009E06D3">
        <w:rPr>
          <w:rFonts w:cs="Arial"/>
          <w:i/>
          <w:szCs w:val="24"/>
        </w:rPr>
        <w:t xml:space="preserve">  </w:t>
      </w:r>
    </w:p>
    <w:p w14:paraId="2F51A8AE" w14:textId="77777777" w:rsidR="007B6904" w:rsidRDefault="007B6904" w:rsidP="007B6904">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9158A" w:rsidRPr="00CD1C0E" w14:paraId="381DE97E" w14:textId="77777777" w:rsidTr="00E73459">
        <w:trPr>
          <w:cantSplit/>
          <w:trHeight w:val="285"/>
        </w:trPr>
        <w:tc>
          <w:tcPr>
            <w:tcW w:w="9158" w:type="dxa"/>
            <w:shd w:val="clear" w:color="auto" w:fill="A6A6A6" w:themeFill="background1" w:themeFillShade="A6"/>
          </w:tcPr>
          <w:p w14:paraId="3B90ABDC" w14:textId="067D01FB" w:rsidR="00F9158A" w:rsidRPr="00CD1C0E" w:rsidRDefault="00F9158A" w:rsidP="00E73459">
            <w:pPr>
              <w:pStyle w:val="Heading1"/>
              <w:tabs>
                <w:tab w:val="left" w:pos="1953"/>
              </w:tabs>
            </w:pPr>
            <w:bookmarkStart w:id="27" w:name="_Toc96090963"/>
            <w:r>
              <w:t>Evaluation</w:t>
            </w:r>
            <w:bookmarkEnd w:id="27"/>
            <w:r>
              <w:t xml:space="preserve"> </w:t>
            </w:r>
            <w:r w:rsidR="00E73459">
              <w:tab/>
            </w:r>
          </w:p>
        </w:tc>
      </w:tr>
    </w:tbl>
    <w:p w14:paraId="6E93670E" w14:textId="77777777" w:rsidR="00F9158A" w:rsidRDefault="00F9158A" w:rsidP="00F9158A">
      <w:pPr>
        <w:pStyle w:val="Default"/>
        <w:rPr>
          <w:rFonts w:ascii="Calibri" w:hAnsi="Calibri"/>
        </w:rPr>
      </w:pPr>
    </w:p>
    <w:p w14:paraId="3A2885A1" w14:textId="77777777" w:rsidR="009E06D3" w:rsidRPr="0073741E" w:rsidRDefault="009E06D3" w:rsidP="009E06D3">
      <w:pPr>
        <w:pStyle w:val="Heading2"/>
        <w:rPr>
          <w:rFonts w:eastAsiaTheme="minorHAnsi"/>
        </w:rPr>
      </w:pPr>
      <w:bookmarkStart w:id="28" w:name="_Toc88032408"/>
      <w:bookmarkStart w:id="29" w:name="_Hlk43366294"/>
      <w:r w:rsidRPr="0073741E">
        <w:rPr>
          <w:rFonts w:eastAsiaTheme="minorHAnsi"/>
        </w:rPr>
        <w:t>Outcome</w:t>
      </w:r>
      <w:bookmarkEnd w:id="28"/>
    </w:p>
    <w:p w14:paraId="3F9B4136" w14:textId="12BD2317" w:rsidR="009E06D3" w:rsidRDefault="009E06D3" w:rsidP="009E06D3">
      <w:pPr>
        <w:rPr>
          <w:rFonts w:eastAsiaTheme="minorHAnsi" w:cs="Arial"/>
          <w:szCs w:val="24"/>
        </w:rPr>
      </w:pPr>
      <w:r w:rsidRPr="0073741E">
        <w:rPr>
          <w:rFonts w:eastAsiaTheme="minorHAnsi" w:cs="Arial"/>
          <w:szCs w:val="24"/>
        </w:rPr>
        <w:t xml:space="preserve">Compliance with evidence-based risk reduction strategies to reduce the potential for patient harm from the use or misuse of </w:t>
      </w:r>
      <w:r>
        <w:rPr>
          <w:rFonts w:eastAsiaTheme="minorHAnsi" w:cs="Arial"/>
          <w:szCs w:val="24"/>
        </w:rPr>
        <w:t>vincristine</w:t>
      </w:r>
      <w:r w:rsidRPr="0073741E">
        <w:rPr>
          <w:rFonts w:eastAsiaTheme="minorHAnsi" w:cs="Arial"/>
          <w:szCs w:val="24"/>
        </w:rPr>
        <w:t>.</w:t>
      </w:r>
    </w:p>
    <w:p w14:paraId="7CF7D4A9" w14:textId="4AA65726" w:rsidR="009E06D3" w:rsidRDefault="009E06D3" w:rsidP="009E06D3">
      <w:pPr>
        <w:rPr>
          <w:rFonts w:eastAsiaTheme="minorHAnsi" w:cs="Arial"/>
          <w:szCs w:val="24"/>
        </w:rPr>
      </w:pPr>
    </w:p>
    <w:p w14:paraId="039EAD89" w14:textId="77777777" w:rsidR="009E06D3" w:rsidRPr="0073741E" w:rsidRDefault="009E06D3" w:rsidP="009E06D3">
      <w:pPr>
        <w:pStyle w:val="Heading2"/>
      </w:pPr>
      <w:bookmarkStart w:id="30" w:name="_Toc88032409"/>
      <w:r w:rsidRPr="0073741E">
        <w:lastRenderedPageBreak/>
        <w:t>Measures</w:t>
      </w:r>
      <w:bookmarkEnd w:id="30"/>
    </w:p>
    <w:p w14:paraId="79740242" w14:textId="38B8D52F" w:rsidR="009E06D3" w:rsidRPr="0073741E" w:rsidRDefault="009E06D3" w:rsidP="00332D1F">
      <w:pPr>
        <w:pStyle w:val="ListBullet"/>
        <w:rPr>
          <w:rFonts w:eastAsiaTheme="minorEastAsia"/>
        </w:rPr>
      </w:pPr>
      <w:r w:rsidRPr="0073741E">
        <w:rPr>
          <w:rFonts w:eastAsiaTheme="minorEastAsia"/>
        </w:rPr>
        <w:t xml:space="preserve">Compliance with the </w:t>
      </w:r>
      <w:r>
        <w:rPr>
          <w:rFonts w:eastAsiaTheme="minorEastAsia"/>
        </w:rPr>
        <w:t xml:space="preserve">Vincristine </w:t>
      </w:r>
      <w:r w:rsidRPr="0073741E">
        <w:rPr>
          <w:rFonts w:eastAsiaTheme="minorEastAsia"/>
        </w:rPr>
        <w:t xml:space="preserve">High-Risk Medicine Standards and associated High-Risk Medicines Policy </w:t>
      </w:r>
      <w:r w:rsidR="00332D1F">
        <w:rPr>
          <w:rFonts w:eastAsiaTheme="minorEastAsia"/>
        </w:rPr>
        <w:t>will</w:t>
      </w:r>
      <w:r w:rsidRPr="0073741E">
        <w:rPr>
          <w:rFonts w:eastAsiaTheme="minorEastAsia"/>
        </w:rPr>
        <w:t xml:space="preserve"> be evaluated through regular audits and analysis of </w:t>
      </w:r>
      <w:r w:rsidR="00332D1F">
        <w:rPr>
          <w:rFonts w:eastAsiaTheme="minorEastAsia"/>
        </w:rPr>
        <w:t xml:space="preserve">clinical </w:t>
      </w:r>
      <w:r w:rsidRPr="0073741E">
        <w:rPr>
          <w:rFonts w:eastAsiaTheme="minorEastAsia"/>
        </w:rPr>
        <w:t xml:space="preserve">incident reports.  This </w:t>
      </w:r>
      <w:r w:rsidR="00332D1F">
        <w:rPr>
          <w:rFonts w:eastAsiaTheme="minorEastAsia"/>
        </w:rPr>
        <w:t>will</w:t>
      </w:r>
      <w:r w:rsidRPr="0073741E">
        <w:rPr>
          <w:rFonts w:eastAsiaTheme="minorEastAsia"/>
        </w:rPr>
        <w:t xml:space="preserve"> include evaluation of safety controls and identification of quality improvement opportunities. </w:t>
      </w:r>
    </w:p>
    <w:p w14:paraId="58E8AFBA" w14:textId="29E4D5E3" w:rsidR="009E06D3" w:rsidRPr="0073741E" w:rsidRDefault="009E06D3" w:rsidP="00332D1F">
      <w:pPr>
        <w:pStyle w:val="ListBullet"/>
        <w:numPr>
          <w:ilvl w:val="0"/>
          <w:numId w:val="0"/>
        </w:numPr>
        <w:ind w:left="426"/>
        <w:rPr>
          <w:rFonts w:eastAsiaTheme="minorHAnsi"/>
        </w:rPr>
      </w:pPr>
      <w:r w:rsidRPr="0073741E">
        <w:rPr>
          <w:rFonts w:eastAsiaTheme="minorHAnsi"/>
        </w:rPr>
        <w:t xml:space="preserve">Feedback of evaluation results </w:t>
      </w:r>
      <w:r w:rsidR="00332D1F">
        <w:rPr>
          <w:rFonts w:eastAsiaTheme="minorHAnsi"/>
        </w:rPr>
        <w:t>will</w:t>
      </w:r>
      <w:r w:rsidRPr="0073741E">
        <w:rPr>
          <w:rFonts w:eastAsiaTheme="minorHAnsi"/>
        </w:rPr>
        <w:t xml:space="preserve"> be provided to staff to assist with motivation, </w:t>
      </w:r>
      <w:proofErr w:type="gramStart"/>
      <w:r w:rsidRPr="0073741E">
        <w:rPr>
          <w:rFonts w:eastAsiaTheme="minorHAnsi"/>
        </w:rPr>
        <w:t>compliance</w:t>
      </w:r>
      <w:proofErr w:type="gramEnd"/>
      <w:r w:rsidRPr="0073741E">
        <w:rPr>
          <w:rFonts w:eastAsiaTheme="minorHAnsi"/>
        </w:rPr>
        <w:t xml:space="preserve"> and continued improvement.</w:t>
      </w:r>
    </w:p>
    <w:bookmarkEnd w:id="29"/>
    <w:p w14:paraId="27756F3B" w14:textId="77777777" w:rsidR="00845445" w:rsidRDefault="00845445" w:rsidP="00F9158A">
      <w:pPr>
        <w:pStyle w:val="Default"/>
        <w:rPr>
          <w:rFonts w:ascii="Calibri" w:hAnsi="Calibri" w:cs="Arial"/>
          <w:i/>
          <w:color w:val="auto"/>
          <w:lang w:eastAsia="en-US"/>
        </w:rPr>
      </w:pPr>
    </w:p>
    <w:p w14:paraId="119BA4AD" w14:textId="77777777" w:rsidR="00F9158A" w:rsidRPr="00253F5A" w:rsidRDefault="00331E11" w:rsidP="00F9158A">
      <w:pPr>
        <w:jc w:val="right"/>
      </w:pPr>
      <w:hyperlink w:anchor="Contents" w:history="1">
        <w:r w:rsidR="00F9158A"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31" w:name="_Toc389473287"/>
            <w:bookmarkStart w:id="32" w:name="_Toc96090964"/>
            <w:r>
              <w:t xml:space="preserve">Related Policies, </w:t>
            </w:r>
            <w:r w:rsidR="007B6904">
              <w:t>Procedures</w:t>
            </w:r>
            <w:bookmarkEnd w:id="31"/>
            <w:r>
              <w:t>, Guidelines and Legislation</w:t>
            </w:r>
            <w:bookmarkEnd w:id="32"/>
          </w:p>
        </w:tc>
      </w:tr>
    </w:tbl>
    <w:p w14:paraId="2F51A8B7" w14:textId="77777777" w:rsidR="007B6904" w:rsidRDefault="007B6904" w:rsidP="007B6904">
      <w:pPr>
        <w:rPr>
          <w:szCs w:val="24"/>
        </w:rPr>
      </w:pPr>
    </w:p>
    <w:p w14:paraId="0327344C" w14:textId="77777777" w:rsidR="009E06D3" w:rsidRPr="0073741E" w:rsidRDefault="009E06D3" w:rsidP="009E06D3">
      <w:pPr>
        <w:rPr>
          <w:b/>
        </w:rPr>
      </w:pPr>
      <w:r w:rsidRPr="0073741E">
        <w:rPr>
          <w:b/>
        </w:rPr>
        <w:t>Policies</w:t>
      </w:r>
    </w:p>
    <w:p w14:paraId="120DFADD" w14:textId="4DBAAA2D" w:rsidR="009E06D3" w:rsidRPr="0073741E" w:rsidRDefault="009E06D3" w:rsidP="009E06D3">
      <w:pPr>
        <w:numPr>
          <w:ilvl w:val="0"/>
          <w:numId w:val="1"/>
        </w:numPr>
        <w:ind w:left="426" w:hanging="426"/>
        <w:rPr>
          <w:rFonts w:ascii="Times New Roman" w:hAnsi="Times New Roman"/>
        </w:rPr>
      </w:pPr>
      <w:r w:rsidRPr="0073741E">
        <w:t>Medication Handling</w:t>
      </w:r>
      <w:r w:rsidR="00332D1F">
        <w:t xml:space="preserve"> </w:t>
      </w:r>
    </w:p>
    <w:p w14:paraId="3D5DAD0E" w14:textId="27629EF5" w:rsidR="009E06D3" w:rsidRPr="0073741E" w:rsidRDefault="009E06D3" w:rsidP="009E06D3">
      <w:pPr>
        <w:numPr>
          <w:ilvl w:val="0"/>
          <w:numId w:val="1"/>
        </w:numPr>
        <w:ind w:left="426" w:hanging="426"/>
        <w:rPr>
          <w:rFonts w:ascii="Times New Roman" w:hAnsi="Times New Roman"/>
        </w:rPr>
      </w:pPr>
      <w:r w:rsidRPr="0073741E">
        <w:t xml:space="preserve">High-Risk Medicines </w:t>
      </w:r>
    </w:p>
    <w:p w14:paraId="4DC4C87A" w14:textId="77777777" w:rsidR="009E06D3" w:rsidRPr="0073741E" w:rsidRDefault="009E06D3" w:rsidP="009E06D3">
      <w:pPr>
        <w:numPr>
          <w:ilvl w:val="0"/>
          <w:numId w:val="1"/>
        </w:numPr>
        <w:ind w:left="426" w:hanging="426"/>
        <w:rPr>
          <w:rFonts w:ascii="Times New Roman" w:hAnsi="Times New Roman"/>
        </w:rPr>
      </w:pPr>
      <w:r w:rsidRPr="0073741E">
        <w:t>High-Risk Medicine Standard – Insulin</w:t>
      </w:r>
    </w:p>
    <w:p w14:paraId="114BDAB9" w14:textId="4C300A12" w:rsidR="009E06D3" w:rsidRPr="009E06D3" w:rsidRDefault="009E06D3" w:rsidP="009E06D3">
      <w:pPr>
        <w:numPr>
          <w:ilvl w:val="0"/>
          <w:numId w:val="1"/>
        </w:numPr>
        <w:ind w:left="426" w:hanging="426"/>
        <w:rPr>
          <w:rFonts w:ascii="Times New Roman" w:hAnsi="Times New Roman"/>
        </w:rPr>
      </w:pPr>
      <w:r w:rsidRPr="0073741E">
        <w:t>High-Risk Medicine Standard – Neuromuscular Blocking Agents</w:t>
      </w:r>
    </w:p>
    <w:p w14:paraId="69FF33A0" w14:textId="108CC505" w:rsidR="009E06D3" w:rsidRPr="009E06D3" w:rsidRDefault="009E06D3" w:rsidP="009E06D3">
      <w:pPr>
        <w:numPr>
          <w:ilvl w:val="0"/>
          <w:numId w:val="1"/>
        </w:numPr>
        <w:ind w:left="426" w:hanging="426"/>
        <w:rPr>
          <w:rFonts w:ascii="Times New Roman" w:hAnsi="Times New Roman"/>
        </w:rPr>
      </w:pPr>
      <w:r w:rsidRPr="0073741E">
        <w:t>High-Risk Medicine Standard</w:t>
      </w:r>
      <w:r>
        <w:t xml:space="preserve"> – Opioids</w:t>
      </w:r>
    </w:p>
    <w:p w14:paraId="114FACC8" w14:textId="151CF85F" w:rsidR="009E06D3" w:rsidRPr="009E06D3" w:rsidRDefault="009E06D3" w:rsidP="009E06D3">
      <w:pPr>
        <w:numPr>
          <w:ilvl w:val="0"/>
          <w:numId w:val="1"/>
        </w:numPr>
        <w:ind w:left="426" w:hanging="426"/>
        <w:rPr>
          <w:rFonts w:ascii="Times New Roman" w:hAnsi="Times New Roman"/>
        </w:rPr>
      </w:pPr>
      <w:r w:rsidRPr="0073741E">
        <w:t>High-Risk Medicine Standard</w:t>
      </w:r>
      <w:r>
        <w:t xml:space="preserve"> – Heparin and other Anticoagulants</w:t>
      </w:r>
    </w:p>
    <w:p w14:paraId="3DE7D8DC" w14:textId="0251467B" w:rsidR="009E06D3" w:rsidRPr="0073741E" w:rsidRDefault="009E06D3" w:rsidP="009E06D3">
      <w:pPr>
        <w:numPr>
          <w:ilvl w:val="0"/>
          <w:numId w:val="1"/>
        </w:numPr>
        <w:ind w:left="426" w:hanging="426"/>
        <w:rPr>
          <w:rFonts w:ascii="Times New Roman" w:hAnsi="Times New Roman"/>
        </w:rPr>
      </w:pPr>
      <w:r w:rsidRPr="0073741E">
        <w:t>High-Risk Medicine Standard</w:t>
      </w:r>
      <w:r>
        <w:t xml:space="preserve"> – Concentrated Potassium and other Electrolytes</w:t>
      </w:r>
    </w:p>
    <w:p w14:paraId="32F6F5E7" w14:textId="77777777" w:rsidR="009E06D3" w:rsidRPr="0073741E" w:rsidRDefault="009E06D3" w:rsidP="009E06D3">
      <w:pPr>
        <w:jc w:val="right"/>
        <w:rPr>
          <w:rFonts w:cs="Arial"/>
          <w:b/>
          <w:szCs w:val="24"/>
        </w:rPr>
      </w:pPr>
    </w:p>
    <w:p w14:paraId="47447336" w14:textId="32D6E4D9" w:rsidR="009E06D3" w:rsidRDefault="00F54157" w:rsidP="009E06D3">
      <w:pPr>
        <w:rPr>
          <w:b/>
        </w:rPr>
      </w:pPr>
      <w:r>
        <w:rPr>
          <w:b/>
        </w:rPr>
        <w:t>Guidelines</w:t>
      </w:r>
    </w:p>
    <w:p w14:paraId="19422E0E" w14:textId="77777777" w:rsidR="00F54157" w:rsidRPr="006A5C5D" w:rsidRDefault="00F54157" w:rsidP="00F54157">
      <w:pPr>
        <w:pStyle w:val="ListParagraph"/>
        <w:numPr>
          <w:ilvl w:val="0"/>
          <w:numId w:val="19"/>
        </w:numPr>
        <w:ind w:left="360"/>
        <w:rPr>
          <w:b/>
        </w:rPr>
      </w:pPr>
      <w:r w:rsidRPr="006A5C5D">
        <w:rPr>
          <w:rFonts w:asciiTheme="minorHAnsi" w:hAnsiTheme="minorHAnsi"/>
          <w:szCs w:val="24"/>
          <w:lang w:eastAsia="en-AU"/>
        </w:rPr>
        <w:t>Clinical Oncology Society of Australia. Guidelines for the Safe Prescribing, Dispensing and Administration of Cancer Chemotherapy</w:t>
      </w:r>
      <w:r w:rsidRPr="006A5C5D">
        <w:rPr>
          <w:rFonts w:ascii="Times New Roman" w:hAnsi="Times New Roman"/>
          <w:szCs w:val="24"/>
          <w:lang w:eastAsia="en-AU"/>
        </w:rPr>
        <w:t>.</w:t>
      </w:r>
    </w:p>
    <w:p w14:paraId="79162448" w14:textId="6C711847" w:rsidR="00F54157" w:rsidRPr="00F54157" w:rsidRDefault="00F54157" w:rsidP="009E06D3">
      <w:pPr>
        <w:pStyle w:val="ListParagraph"/>
        <w:numPr>
          <w:ilvl w:val="0"/>
          <w:numId w:val="19"/>
        </w:numPr>
        <w:ind w:left="360"/>
        <w:rPr>
          <w:b/>
        </w:rPr>
      </w:pPr>
      <w:r w:rsidRPr="006A5C5D">
        <w:rPr>
          <w:rFonts w:cs="Arial"/>
          <w:szCs w:val="24"/>
        </w:rPr>
        <w:t>Chemotherapy Care of the Adult Patient (</w:t>
      </w:r>
      <w:proofErr w:type="spellStart"/>
      <w:r w:rsidRPr="006A5C5D">
        <w:rPr>
          <w:rFonts w:cs="Arial"/>
          <w:szCs w:val="24"/>
        </w:rPr>
        <w:t>eviQ</w:t>
      </w:r>
      <w:proofErr w:type="spellEnd"/>
      <w:r w:rsidRPr="006A5C5D">
        <w:rPr>
          <w:rFonts w:cs="Arial"/>
          <w:szCs w:val="24"/>
        </w:rPr>
        <w:t>)</w:t>
      </w:r>
    </w:p>
    <w:p w14:paraId="64B1F862" w14:textId="77777777" w:rsidR="009E06D3" w:rsidRPr="0073741E" w:rsidRDefault="009E06D3" w:rsidP="009E06D3">
      <w:pPr>
        <w:jc w:val="right"/>
      </w:pPr>
    </w:p>
    <w:p w14:paraId="1A92B1C7" w14:textId="7E70051A" w:rsidR="009E06D3" w:rsidRPr="0073741E" w:rsidRDefault="009E06D3" w:rsidP="009E06D3">
      <w:pPr>
        <w:textAlignment w:val="baseline"/>
        <w:rPr>
          <w:rFonts w:cs="Calibri"/>
          <w:szCs w:val="24"/>
          <w:lang w:eastAsia="en-AU"/>
        </w:rPr>
      </w:pPr>
      <w:r w:rsidRPr="0073741E">
        <w:rPr>
          <w:rFonts w:cs="Calibri"/>
          <w:b/>
          <w:bCs/>
          <w:szCs w:val="24"/>
          <w:lang w:eastAsia="en-AU"/>
        </w:rPr>
        <w:t>Legislation</w:t>
      </w:r>
    </w:p>
    <w:p w14:paraId="08BAE189" w14:textId="77777777" w:rsidR="009E06D3" w:rsidRPr="0073741E" w:rsidRDefault="009E06D3" w:rsidP="009E06D3">
      <w:pPr>
        <w:numPr>
          <w:ilvl w:val="0"/>
          <w:numId w:val="18"/>
        </w:numPr>
        <w:textAlignment w:val="baseline"/>
        <w:rPr>
          <w:rFonts w:asciiTheme="minorHAnsi" w:hAnsiTheme="minorHAnsi" w:cstheme="minorHAnsi"/>
          <w:i/>
          <w:iCs/>
          <w:szCs w:val="24"/>
          <w:lang w:eastAsia="en-AU"/>
        </w:rPr>
      </w:pPr>
      <w:r w:rsidRPr="0073741E">
        <w:rPr>
          <w:rFonts w:ascii="Times New Roman" w:hAnsi="Times New Roman"/>
          <w:i/>
          <w:iCs/>
          <w:szCs w:val="24"/>
          <w:lang w:eastAsia="en-AU"/>
        </w:rPr>
        <w:t xml:space="preserve"> </w:t>
      </w:r>
      <w:r w:rsidRPr="0073741E">
        <w:rPr>
          <w:rFonts w:asciiTheme="minorHAnsi" w:hAnsiTheme="minorHAnsi" w:cstheme="minorHAnsi"/>
          <w:i/>
          <w:iCs/>
          <w:szCs w:val="24"/>
          <w:lang w:eastAsia="en-AU"/>
        </w:rPr>
        <w:t>Australian Charter of Healthcare Rights</w:t>
      </w:r>
    </w:p>
    <w:p w14:paraId="046AE7C4" w14:textId="77777777" w:rsidR="009E06D3" w:rsidRPr="0073741E" w:rsidRDefault="009E06D3" w:rsidP="009E06D3">
      <w:pPr>
        <w:numPr>
          <w:ilvl w:val="0"/>
          <w:numId w:val="18"/>
        </w:numPr>
        <w:textAlignment w:val="baseline"/>
        <w:rPr>
          <w:rFonts w:asciiTheme="minorHAnsi" w:hAnsiTheme="minorHAnsi" w:cstheme="minorHAnsi"/>
          <w:i/>
          <w:iCs/>
          <w:szCs w:val="24"/>
          <w:lang w:eastAsia="en-AU"/>
        </w:rPr>
      </w:pPr>
      <w:r w:rsidRPr="0073741E">
        <w:rPr>
          <w:rFonts w:asciiTheme="minorHAnsi" w:hAnsiTheme="minorHAnsi" w:cstheme="minorHAnsi"/>
          <w:i/>
          <w:iCs/>
          <w:szCs w:val="24"/>
          <w:lang w:eastAsia="en-AU"/>
        </w:rPr>
        <w:t xml:space="preserve"> Human Rights Act </w:t>
      </w:r>
      <w:r w:rsidRPr="0073741E">
        <w:rPr>
          <w:rFonts w:asciiTheme="minorHAnsi" w:hAnsiTheme="minorHAnsi" w:cstheme="minorHAnsi"/>
          <w:szCs w:val="24"/>
          <w:lang w:eastAsia="en-AU"/>
        </w:rPr>
        <w:t>2019</w:t>
      </w:r>
    </w:p>
    <w:p w14:paraId="1449F703" w14:textId="77777777" w:rsidR="009E06D3" w:rsidRPr="0073741E" w:rsidRDefault="009E06D3" w:rsidP="009E06D3">
      <w:pPr>
        <w:numPr>
          <w:ilvl w:val="0"/>
          <w:numId w:val="1"/>
        </w:numPr>
        <w:ind w:left="426" w:hanging="426"/>
        <w:rPr>
          <w:rFonts w:asciiTheme="minorHAnsi" w:hAnsiTheme="minorHAnsi" w:cstheme="minorHAnsi"/>
          <w:szCs w:val="24"/>
        </w:rPr>
      </w:pPr>
      <w:r w:rsidRPr="0073741E">
        <w:rPr>
          <w:rFonts w:asciiTheme="minorHAnsi" w:hAnsiTheme="minorHAnsi" w:cstheme="minorHAnsi"/>
          <w:i/>
          <w:iCs/>
          <w:szCs w:val="24"/>
        </w:rPr>
        <w:t xml:space="preserve">Medicines, Poisons and Therapeutic Goods Act </w:t>
      </w:r>
      <w:r w:rsidRPr="0073741E">
        <w:rPr>
          <w:rFonts w:asciiTheme="minorHAnsi" w:hAnsiTheme="minorHAnsi" w:cstheme="minorHAnsi"/>
          <w:szCs w:val="24"/>
        </w:rPr>
        <w:t>2008</w:t>
      </w:r>
      <w:r w:rsidRPr="0073741E">
        <w:rPr>
          <w:rFonts w:asciiTheme="minorHAnsi" w:hAnsiTheme="minorHAnsi" w:cstheme="minorHAnsi"/>
          <w:i/>
          <w:iCs/>
          <w:szCs w:val="24"/>
        </w:rPr>
        <w:t> </w:t>
      </w:r>
      <w:r w:rsidRPr="0073741E">
        <w:rPr>
          <w:rFonts w:asciiTheme="minorHAnsi" w:hAnsiTheme="minorHAnsi" w:cstheme="minorHAnsi"/>
          <w:szCs w:val="24"/>
        </w:rPr>
        <w:t> </w:t>
      </w:r>
    </w:p>
    <w:p w14:paraId="7495F964" w14:textId="77777777" w:rsidR="009E06D3" w:rsidRPr="0073741E" w:rsidRDefault="009E06D3" w:rsidP="009E06D3">
      <w:pPr>
        <w:numPr>
          <w:ilvl w:val="0"/>
          <w:numId w:val="1"/>
        </w:numPr>
        <w:ind w:left="426" w:hanging="426"/>
        <w:rPr>
          <w:rFonts w:asciiTheme="minorHAnsi" w:hAnsiTheme="minorHAnsi" w:cstheme="minorHAnsi"/>
          <w:szCs w:val="24"/>
        </w:rPr>
      </w:pPr>
      <w:r w:rsidRPr="0073741E">
        <w:rPr>
          <w:rFonts w:asciiTheme="minorHAnsi" w:hAnsiTheme="minorHAnsi" w:cstheme="minorHAnsi"/>
          <w:i/>
          <w:iCs/>
          <w:szCs w:val="24"/>
        </w:rPr>
        <w:t xml:space="preserve">Medicines, Poisons and Therapeutic Goods Regulation </w:t>
      </w:r>
      <w:r w:rsidRPr="0073741E">
        <w:rPr>
          <w:rFonts w:asciiTheme="minorHAnsi" w:hAnsiTheme="minorHAnsi" w:cstheme="minorHAnsi"/>
          <w:szCs w:val="24"/>
        </w:rPr>
        <w:t>2008</w:t>
      </w:r>
      <w:r w:rsidRPr="0073741E">
        <w:rPr>
          <w:rFonts w:asciiTheme="minorHAnsi" w:hAnsiTheme="minorHAnsi" w:cstheme="minorHAnsi"/>
          <w:i/>
          <w:iCs/>
          <w:szCs w:val="24"/>
        </w:rPr>
        <w:t> </w:t>
      </w:r>
      <w:r w:rsidRPr="0073741E">
        <w:rPr>
          <w:rFonts w:asciiTheme="minorHAnsi" w:hAnsiTheme="minorHAnsi" w:cstheme="minorHAnsi"/>
          <w:szCs w:val="24"/>
        </w:rPr>
        <w:t> </w:t>
      </w:r>
    </w:p>
    <w:p w14:paraId="388D6039" w14:textId="77777777" w:rsidR="009E06D3" w:rsidRPr="0073741E" w:rsidRDefault="009E06D3" w:rsidP="009E06D3">
      <w:pPr>
        <w:numPr>
          <w:ilvl w:val="0"/>
          <w:numId w:val="1"/>
        </w:numPr>
        <w:ind w:left="426" w:hanging="426"/>
        <w:rPr>
          <w:rFonts w:asciiTheme="minorHAnsi" w:hAnsiTheme="minorHAnsi" w:cstheme="minorHAnsi"/>
          <w:szCs w:val="24"/>
        </w:rPr>
      </w:pPr>
      <w:r w:rsidRPr="0073741E">
        <w:rPr>
          <w:rFonts w:asciiTheme="minorHAnsi" w:hAnsiTheme="minorHAnsi" w:cstheme="minorHAnsi"/>
          <w:i/>
          <w:iCs/>
          <w:szCs w:val="24"/>
        </w:rPr>
        <w:t xml:space="preserve">Health Practitioner Regulation National Law Act </w:t>
      </w:r>
      <w:r w:rsidRPr="0073741E">
        <w:rPr>
          <w:rFonts w:asciiTheme="minorHAnsi" w:hAnsiTheme="minorHAnsi" w:cstheme="minorHAnsi"/>
          <w:szCs w:val="24"/>
        </w:rPr>
        <w:t>2010 </w:t>
      </w:r>
    </w:p>
    <w:p w14:paraId="22B13DF4" w14:textId="77777777" w:rsidR="009E06D3" w:rsidRPr="0073741E" w:rsidRDefault="009E06D3" w:rsidP="009E06D3">
      <w:pPr>
        <w:numPr>
          <w:ilvl w:val="0"/>
          <w:numId w:val="1"/>
        </w:numPr>
        <w:ind w:left="426" w:hanging="426"/>
        <w:rPr>
          <w:rFonts w:asciiTheme="minorHAnsi" w:hAnsiTheme="minorHAnsi" w:cstheme="minorHAnsi"/>
          <w:szCs w:val="24"/>
        </w:rPr>
      </w:pPr>
      <w:r w:rsidRPr="0073741E">
        <w:rPr>
          <w:rFonts w:asciiTheme="minorHAnsi" w:hAnsiTheme="minorHAnsi" w:cstheme="minorHAnsi"/>
          <w:i/>
          <w:iCs/>
          <w:szCs w:val="24"/>
        </w:rPr>
        <w:t xml:space="preserve">Therapeutic Goods Act </w:t>
      </w:r>
      <w:r w:rsidRPr="0073741E">
        <w:rPr>
          <w:rFonts w:asciiTheme="minorHAnsi" w:hAnsiTheme="minorHAnsi" w:cstheme="minorHAnsi"/>
          <w:szCs w:val="24"/>
        </w:rPr>
        <w:t>1989</w:t>
      </w:r>
      <w:r w:rsidRPr="0073741E">
        <w:rPr>
          <w:rFonts w:asciiTheme="minorHAnsi" w:hAnsiTheme="minorHAnsi" w:cstheme="minorHAnsi"/>
          <w:i/>
          <w:iCs/>
          <w:szCs w:val="24"/>
        </w:rPr>
        <w:t> </w:t>
      </w:r>
      <w:r w:rsidRPr="0073741E">
        <w:rPr>
          <w:rFonts w:asciiTheme="minorHAnsi" w:hAnsiTheme="minorHAnsi" w:cstheme="minorHAnsi"/>
          <w:szCs w:val="24"/>
        </w:rPr>
        <w:t> </w:t>
      </w:r>
    </w:p>
    <w:p w14:paraId="04A28BEA" w14:textId="77777777" w:rsidR="009E06D3" w:rsidRPr="0073741E" w:rsidRDefault="009E06D3" w:rsidP="009E06D3">
      <w:pPr>
        <w:numPr>
          <w:ilvl w:val="0"/>
          <w:numId w:val="1"/>
        </w:numPr>
        <w:ind w:left="426" w:hanging="426"/>
        <w:rPr>
          <w:rFonts w:asciiTheme="minorHAnsi" w:hAnsiTheme="minorHAnsi" w:cstheme="minorHAnsi"/>
          <w:szCs w:val="24"/>
        </w:rPr>
      </w:pPr>
      <w:r w:rsidRPr="0073741E">
        <w:rPr>
          <w:rFonts w:asciiTheme="minorHAnsi" w:hAnsiTheme="minorHAnsi" w:cstheme="minorHAnsi"/>
          <w:i/>
          <w:iCs/>
          <w:szCs w:val="24"/>
        </w:rPr>
        <w:t xml:space="preserve">Therapeutic Goods Regulations </w:t>
      </w:r>
      <w:r w:rsidRPr="0073741E">
        <w:rPr>
          <w:rFonts w:asciiTheme="minorHAnsi" w:hAnsiTheme="minorHAnsi" w:cstheme="minorHAnsi"/>
          <w:szCs w:val="24"/>
        </w:rPr>
        <w:t>1990 </w:t>
      </w:r>
    </w:p>
    <w:p w14:paraId="6ADE546A" w14:textId="77777777" w:rsidR="009E06D3" w:rsidRPr="0073741E" w:rsidRDefault="009E06D3" w:rsidP="009E06D3">
      <w:pPr>
        <w:numPr>
          <w:ilvl w:val="0"/>
          <w:numId w:val="1"/>
        </w:numPr>
        <w:ind w:left="426" w:hanging="426"/>
        <w:rPr>
          <w:rFonts w:asciiTheme="minorHAnsi" w:hAnsiTheme="minorHAnsi" w:cstheme="minorHAnsi"/>
          <w:szCs w:val="24"/>
        </w:rPr>
      </w:pPr>
      <w:r w:rsidRPr="0073741E">
        <w:rPr>
          <w:rFonts w:asciiTheme="minorHAnsi" w:hAnsiTheme="minorHAnsi" w:cstheme="minorHAnsi"/>
          <w:i/>
          <w:iCs/>
          <w:szCs w:val="24"/>
        </w:rPr>
        <w:t xml:space="preserve">Work Health and Safety Act </w:t>
      </w:r>
      <w:r w:rsidRPr="0073741E">
        <w:rPr>
          <w:rFonts w:asciiTheme="minorHAnsi" w:hAnsiTheme="minorHAnsi" w:cstheme="minorHAnsi"/>
          <w:szCs w:val="24"/>
        </w:rPr>
        <w:t>2011 </w:t>
      </w:r>
    </w:p>
    <w:p w14:paraId="6E59607D" w14:textId="77777777" w:rsidR="009E06D3" w:rsidRPr="0073741E" w:rsidRDefault="009E06D3" w:rsidP="009E06D3">
      <w:pPr>
        <w:numPr>
          <w:ilvl w:val="0"/>
          <w:numId w:val="1"/>
        </w:numPr>
        <w:ind w:left="426" w:hanging="426"/>
        <w:rPr>
          <w:rFonts w:asciiTheme="minorHAnsi" w:hAnsiTheme="minorHAnsi" w:cstheme="minorHAnsi"/>
          <w:szCs w:val="24"/>
        </w:rPr>
      </w:pPr>
      <w:r w:rsidRPr="0073741E">
        <w:rPr>
          <w:rFonts w:asciiTheme="minorHAnsi" w:hAnsiTheme="minorHAnsi" w:cstheme="minorHAnsi"/>
          <w:i/>
          <w:iCs/>
          <w:szCs w:val="24"/>
        </w:rPr>
        <w:t xml:space="preserve">Dangerous Substances Act </w:t>
      </w:r>
      <w:r w:rsidRPr="0073741E">
        <w:rPr>
          <w:rFonts w:asciiTheme="minorHAnsi" w:hAnsiTheme="minorHAnsi" w:cstheme="minorHAnsi"/>
          <w:szCs w:val="24"/>
        </w:rPr>
        <w:t>2004 </w:t>
      </w:r>
    </w:p>
    <w:p w14:paraId="75D79085" w14:textId="77777777" w:rsidR="009E06D3" w:rsidRPr="0073741E" w:rsidRDefault="009E06D3" w:rsidP="009E06D3">
      <w:pPr>
        <w:rPr>
          <w:rFonts w:cs="Arial"/>
          <w:i/>
          <w:szCs w:val="24"/>
        </w:rPr>
      </w:pPr>
    </w:p>
    <w:p w14:paraId="35A787D8" w14:textId="226D1113" w:rsidR="00F829C8" w:rsidRDefault="00332D1F" w:rsidP="00F829C8">
      <w:pPr>
        <w:rPr>
          <w:rFonts w:cs="Arial"/>
          <w:b/>
          <w:bCs/>
          <w:iCs/>
          <w:szCs w:val="24"/>
        </w:rPr>
      </w:pPr>
      <w:r>
        <w:rPr>
          <w:rFonts w:cs="Arial"/>
          <w:b/>
          <w:bCs/>
          <w:iCs/>
          <w:szCs w:val="24"/>
        </w:rPr>
        <w:t>Other</w:t>
      </w:r>
    </w:p>
    <w:p w14:paraId="4D34D22E" w14:textId="2B2FCCD1" w:rsidR="00332D1F" w:rsidRPr="00332D1F" w:rsidRDefault="00332D1F" w:rsidP="00332D1F">
      <w:pPr>
        <w:pStyle w:val="ListBullet"/>
      </w:pPr>
      <w:r>
        <w:t>Australian Charter of Healthcare Rights</w:t>
      </w:r>
    </w:p>
    <w:p w14:paraId="2F51A8CA" w14:textId="73963CE2" w:rsidR="007B6904" w:rsidRDefault="00331E11" w:rsidP="007B6904">
      <w:pPr>
        <w:pStyle w:val="ListParagraph"/>
        <w:jc w:val="right"/>
        <w:rPr>
          <w:rStyle w:val="Hyperlink"/>
          <w:rFonts w:cs="Arial"/>
          <w:i/>
          <w:szCs w:val="24"/>
        </w:rPr>
      </w:pPr>
      <w:hyperlink w:anchor="Contents" w:history="1">
        <w:r w:rsidR="007B6904" w:rsidRPr="00590902">
          <w:rPr>
            <w:rStyle w:val="Hyperlink"/>
            <w:rFonts w:cs="Arial"/>
            <w:i/>
            <w:szCs w:val="24"/>
          </w:rPr>
          <w:t>Back to Table of Contents</w:t>
        </w:r>
      </w:hyperlink>
    </w:p>
    <w:p w14:paraId="65AA9FD0" w14:textId="5DC1D630" w:rsidR="00F54157" w:rsidRDefault="00F54157" w:rsidP="007B6904">
      <w:pPr>
        <w:pStyle w:val="ListParagraph"/>
        <w:jc w:val="right"/>
        <w:rPr>
          <w:rStyle w:val="Hyperlink"/>
          <w:rFonts w:cs="Arial"/>
          <w:i/>
          <w:szCs w:val="24"/>
        </w:rPr>
      </w:pPr>
    </w:p>
    <w:p w14:paraId="7042D14B" w14:textId="4F28078E" w:rsidR="00F54157" w:rsidRDefault="00F54157" w:rsidP="007B6904">
      <w:pPr>
        <w:pStyle w:val="ListParagraph"/>
        <w:jc w:val="right"/>
        <w:rPr>
          <w:rStyle w:val="Hyperlink"/>
          <w:rFonts w:cs="Arial"/>
          <w:i/>
          <w:szCs w:val="24"/>
        </w:rPr>
      </w:pPr>
    </w:p>
    <w:p w14:paraId="4DB6A109" w14:textId="77777777" w:rsidR="00F54157" w:rsidRDefault="00F54157" w:rsidP="007B6904">
      <w:pPr>
        <w:pStyle w:val="ListParagraph"/>
        <w:jc w:val="right"/>
        <w:rPr>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4213C3">
            <w:pPr>
              <w:pStyle w:val="Heading1"/>
            </w:pPr>
            <w:bookmarkStart w:id="33" w:name="_Toc389473288"/>
            <w:bookmarkStart w:id="34" w:name="_Toc96090965"/>
            <w:r>
              <w:lastRenderedPageBreak/>
              <w:t>References</w:t>
            </w:r>
            <w:bookmarkEnd w:id="33"/>
            <w:bookmarkEnd w:id="34"/>
          </w:p>
        </w:tc>
      </w:tr>
    </w:tbl>
    <w:p w14:paraId="2F51A8CD" w14:textId="0FE55BA6" w:rsidR="007B6904" w:rsidRDefault="007B6904" w:rsidP="007B6904">
      <w:pPr>
        <w:rPr>
          <w:rFonts w:asciiTheme="majorHAnsi" w:hAnsiTheme="majorHAnsi" w:cstheme="majorHAnsi"/>
          <w:szCs w:val="24"/>
        </w:rPr>
      </w:pPr>
      <w:bookmarkStart w:id="35" w:name="_Toc389131245"/>
    </w:p>
    <w:p w14:paraId="40B2BB25" w14:textId="77777777" w:rsidR="00F54157" w:rsidRDefault="00F54157" w:rsidP="00F54157">
      <w:pPr>
        <w:pStyle w:val="ListParagraph"/>
        <w:numPr>
          <w:ilvl w:val="0"/>
          <w:numId w:val="20"/>
        </w:numPr>
      </w:pPr>
      <w:r>
        <w:t>High Risk Medication Alert – Vincristine. Australian Commission on Safety and Quality in Health Care February 2019.</w:t>
      </w:r>
    </w:p>
    <w:p w14:paraId="23C26238" w14:textId="77777777" w:rsidR="00F54157" w:rsidRDefault="00F54157" w:rsidP="00F54157">
      <w:pPr>
        <w:pStyle w:val="ListParagraph"/>
        <w:numPr>
          <w:ilvl w:val="0"/>
          <w:numId w:val="20"/>
        </w:numPr>
      </w:pPr>
      <w:r>
        <w:t>Institute for Safe Medication Practices (ISMP) Targeted Medication Safety Practices for Hospitals 2020.</w:t>
      </w:r>
    </w:p>
    <w:bookmarkEnd w:id="35"/>
    <w:p w14:paraId="2F51A8D4" w14:textId="77777777" w:rsidR="007B6904" w:rsidRPr="00DE4E25" w:rsidRDefault="007B6904" w:rsidP="00332D1F">
      <w:pPr>
        <w:rPr>
          <w:szCs w:val="24"/>
        </w:rPr>
      </w:pPr>
    </w:p>
    <w:p w14:paraId="2F51A8DB" w14:textId="21EDEB57" w:rsidR="00FF56DD" w:rsidRPr="00F54157" w:rsidRDefault="00331E11" w:rsidP="00F54157">
      <w:pPr>
        <w:jc w:val="right"/>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36" w:name="_Toc389473290"/>
            <w:bookmarkStart w:id="37" w:name="_Toc96090966"/>
            <w:r>
              <w:t>Search Terms</w:t>
            </w:r>
            <w:bookmarkEnd w:id="36"/>
            <w:bookmarkEnd w:id="37"/>
            <w:r>
              <w:t xml:space="preserve"> </w:t>
            </w:r>
          </w:p>
        </w:tc>
      </w:tr>
    </w:tbl>
    <w:p w14:paraId="2F51A8DE" w14:textId="77777777" w:rsidR="007B6904" w:rsidRDefault="007B6904" w:rsidP="007B6904">
      <w:pPr>
        <w:rPr>
          <w:rFonts w:cs="Calibri,Bold"/>
          <w:bCs/>
          <w:i/>
          <w:szCs w:val="24"/>
          <w:lang w:eastAsia="en-AU"/>
        </w:rPr>
      </w:pPr>
    </w:p>
    <w:p w14:paraId="2F51A8DF" w14:textId="6C413284" w:rsidR="005067CA" w:rsidRPr="00F54157" w:rsidRDefault="00F54157" w:rsidP="005067CA">
      <w:pPr>
        <w:rPr>
          <w:rFonts w:cs="Calibri,Bold"/>
          <w:bCs/>
          <w:iCs/>
          <w:szCs w:val="24"/>
          <w:lang w:eastAsia="en-AU"/>
        </w:rPr>
      </w:pPr>
      <w:r>
        <w:rPr>
          <w:lang w:eastAsia="en-AU"/>
        </w:rPr>
        <w:t>High-Risk, high risk, high risk medicines, high-risk medicines, high-risk medications, High-Risk Medicines Register, high risk medicine register, High-Risk Medicine Standards,</w:t>
      </w:r>
      <w:r w:rsidRPr="00B471ED">
        <w:rPr>
          <w:rFonts w:cs="Calibri,Bold"/>
          <w:bCs/>
          <w:iCs/>
          <w:szCs w:val="24"/>
          <w:lang w:eastAsia="en-AU"/>
        </w:rPr>
        <w:t xml:space="preserve"> </w:t>
      </w:r>
      <w:r>
        <w:rPr>
          <w:rFonts w:cs="Calibri,Bold"/>
          <w:bCs/>
          <w:iCs/>
          <w:szCs w:val="24"/>
          <w:lang w:eastAsia="en-AU"/>
        </w:rPr>
        <w:t>High risk medicines standards, High-Risk Medicines Guidelines, Standards, Vincristine, vincristine, vinca alkaloid, Vinca Alkaloid, chemotherapy, Chemotherapy, chemotherapy agents.</w:t>
      </w:r>
    </w:p>
    <w:p w14:paraId="2F51A8E0" w14:textId="77777777" w:rsidR="007B6904" w:rsidRPr="00901883" w:rsidRDefault="007B6904" w:rsidP="007B6904">
      <w:pPr>
        <w:jc w:val="both"/>
        <w:rPr>
          <w:rFonts w:asciiTheme="minorHAnsi" w:hAnsiTheme="minorHAnsi" w:cs="Arial"/>
          <w:b/>
          <w:i/>
          <w:sz w:val="22"/>
          <w:szCs w:val="22"/>
        </w:rPr>
      </w:pPr>
    </w:p>
    <w:p w14:paraId="2F51A8E1" w14:textId="77777777" w:rsidR="005F3214" w:rsidRPr="00AC7025" w:rsidRDefault="00331E11" w:rsidP="00AC7025">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bookmarkStart w:id="38"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2405CF" w:rsidRPr="000F1F60" w14:paraId="2F51A8E3" w14:textId="77777777" w:rsidTr="0074223E">
        <w:trPr>
          <w:cantSplit/>
          <w:trHeight w:val="285"/>
        </w:trPr>
        <w:tc>
          <w:tcPr>
            <w:tcW w:w="9158" w:type="dxa"/>
            <w:shd w:val="clear" w:color="auto" w:fill="A6A6A6" w:themeFill="background1" w:themeFillShade="A6"/>
          </w:tcPr>
          <w:p w14:paraId="2F51A8E2" w14:textId="77777777" w:rsidR="002405CF" w:rsidRPr="000F1F60" w:rsidRDefault="002405CF" w:rsidP="00CC5D11">
            <w:pPr>
              <w:pStyle w:val="Heading1"/>
            </w:pPr>
            <w:bookmarkStart w:id="39" w:name="_Toc96090967"/>
            <w:r>
              <w:t>Attachments</w:t>
            </w:r>
            <w:bookmarkEnd w:id="39"/>
          </w:p>
        </w:tc>
      </w:tr>
      <w:bookmarkEnd w:id="38"/>
    </w:tbl>
    <w:p w14:paraId="2F51A8E6" w14:textId="77777777" w:rsidR="00FF56DD" w:rsidRDefault="00FF56DD" w:rsidP="007B6904">
      <w:pPr>
        <w:rPr>
          <w:rFonts w:cs="Arial"/>
          <w:szCs w:val="24"/>
        </w:rPr>
      </w:pPr>
    </w:p>
    <w:p w14:paraId="741BB234" w14:textId="77777777"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8202D3" w14:paraId="3D8FB228" w14:textId="77777777" w:rsidTr="004A1316">
        <w:tc>
          <w:tcPr>
            <w:tcW w:w="2265" w:type="dxa"/>
          </w:tcPr>
          <w:p w14:paraId="4CC3BE7E" w14:textId="77777777" w:rsidR="00ED46C3" w:rsidRPr="008202D3" w:rsidRDefault="00ED46C3" w:rsidP="004A1316">
            <w:pPr>
              <w:rPr>
                <w:i/>
                <w:sz w:val="20"/>
              </w:rPr>
            </w:pPr>
            <w:r w:rsidRPr="008202D3">
              <w:rPr>
                <w:i/>
                <w:sz w:val="20"/>
              </w:rPr>
              <w:t>Date Amended</w:t>
            </w:r>
          </w:p>
        </w:tc>
        <w:tc>
          <w:tcPr>
            <w:tcW w:w="2265" w:type="dxa"/>
          </w:tcPr>
          <w:p w14:paraId="0C6FC403" w14:textId="77777777" w:rsidR="00ED46C3" w:rsidRPr="008202D3" w:rsidRDefault="00ED46C3" w:rsidP="004A1316">
            <w:pPr>
              <w:rPr>
                <w:i/>
                <w:sz w:val="20"/>
              </w:rPr>
            </w:pPr>
            <w:r w:rsidRPr="008202D3">
              <w:rPr>
                <w:i/>
                <w:sz w:val="20"/>
              </w:rPr>
              <w:t>Section Amended</w:t>
            </w:r>
          </w:p>
        </w:tc>
        <w:tc>
          <w:tcPr>
            <w:tcW w:w="2265" w:type="dxa"/>
          </w:tcPr>
          <w:p w14:paraId="36BF7192" w14:textId="77777777" w:rsidR="00ED46C3" w:rsidRPr="008202D3" w:rsidRDefault="00ED46C3" w:rsidP="004A1316">
            <w:pPr>
              <w:rPr>
                <w:i/>
                <w:sz w:val="20"/>
              </w:rPr>
            </w:pPr>
            <w:r w:rsidRPr="008202D3">
              <w:rPr>
                <w:i/>
                <w:sz w:val="20"/>
              </w:rPr>
              <w:t>Divisional Approval</w:t>
            </w:r>
          </w:p>
        </w:tc>
        <w:tc>
          <w:tcPr>
            <w:tcW w:w="2265" w:type="dxa"/>
          </w:tcPr>
          <w:p w14:paraId="6974B6A4" w14:textId="77777777" w:rsidR="00ED46C3" w:rsidRPr="008202D3" w:rsidRDefault="00ED46C3" w:rsidP="004A1316">
            <w:pPr>
              <w:rPr>
                <w:i/>
                <w:sz w:val="20"/>
              </w:rPr>
            </w:pPr>
            <w:r w:rsidRPr="008202D3">
              <w:rPr>
                <w:i/>
                <w:sz w:val="20"/>
              </w:rPr>
              <w:t xml:space="preserve">Final Approval </w:t>
            </w:r>
          </w:p>
        </w:tc>
      </w:tr>
      <w:tr w:rsidR="00ED46C3" w:rsidRPr="008202D3" w14:paraId="69E49990" w14:textId="77777777" w:rsidTr="004A1316">
        <w:tc>
          <w:tcPr>
            <w:tcW w:w="2265" w:type="dxa"/>
          </w:tcPr>
          <w:p w14:paraId="4CB276AE" w14:textId="676F6C42" w:rsidR="00ED46C3" w:rsidRPr="008202D3" w:rsidRDefault="00331E11" w:rsidP="004A1316">
            <w:pPr>
              <w:rPr>
                <w:i/>
                <w:sz w:val="20"/>
              </w:rPr>
            </w:pPr>
            <w:r>
              <w:rPr>
                <w:i/>
                <w:sz w:val="20"/>
              </w:rPr>
              <w:t>18/02/2022</w:t>
            </w:r>
          </w:p>
        </w:tc>
        <w:tc>
          <w:tcPr>
            <w:tcW w:w="2265" w:type="dxa"/>
          </w:tcPr>
          <w:p w14:paraId="757FDC5B" w14:textId="0E0AD527" w:rsidR="00ED46C3" w:rsidRPr="008202D3" w:rsidRDefault="00331E11" w:rsidP="004A1316">
            <w:pPr>
              <w:rPr>
                <w:i/>
                <w:sz w:val="20"/>
              </w:rPr>
            </w:pPr>
            <w:r>
              <w:rPr>
                <w:i/>
                <w:sz w:val="20"/>
              </w:rPr>
              <w:t>New document</w:t>
            </w:r>
          </w:p>
        </w:tc>
        <w:tc>
          <w:tcPr>
            <w:tcW w:w="2265" w:type="dxa"/>
          </w:tcPr>
          <w:p w14:paraId="45358585" w14:textId="1E1D3CF0" w:rsidR="00ED46C3" w:rsidRPr="008202D3" w:rsidRDefault="00331E11" w:rsidP="004A1316">
            <w:pPr>
              <w:rPr>
                <w:i/>
                <w:sz w:val="20"/>
              </w:rPr>
            </w:pPr>
            <w:r>
              <w:rPr>
                <w:i/>
                <w:sz w:val="20"/>
              </w:rPr>
              <w:t>Ashwin Swaminathan A/g ED Medical Service Group</w:t>
            </w:r>
          </w:p>
        </w:tc>
        <w:tc>
          <w:tcPr>
            <w:tcW w:w="2265" w:type="dxa"/>
          </w:tcPr>
          <w:p w14:paraId="31501FE6" w14:textId="3FF32CA4" w:rsidR="00ED46C3" w:rsidRPr="008202D3" w:rsidRDefault="00331E11" w:rsidP="004A1316">
            <w:pPr>
              <w:rPr>
                <w:i/>
                <w:sz w:val="20"/>
              </w:rPr>
            </w:pPr>
            <w:r>
              <w:rPr>
                <w:i/>
                <w:sz w:val="20"/>
              </w:rPr>
              <w:t>CHS Policy Committee</w:t>
            </w:r>
          </w:p>
        </w:tc>
      </w:tr>
      <w:tr w:rsidR="00ED46C3" w:rsidRPr="008202D3" w14:paraId="4B9C0359" w14:textId="77777777" w:rsidTr="004A1316">
        <w:tc>
          <w:tcPr>
            <w:tcW w:w="2265" w:type="dxa"/>
          </w:tcPr>
          <w:p w14:paraId="01E40F72" w14:textId="77777777" w:rsidR="00ED46C3" w:rsidRPr="008202D3" w:rsidRDefault="00ED46C3" w:rsidP="004A1316">
            <w:pPr>
              <w:rPr>
                <w:i/>
                <w:sz w:val="20"/>
              </w:rPr>
            </w:pPr>
          </w:p>
        </w:tc>
        <w:tc>
          <w:tcPr>
            <w:tcW w:w="2265" w:type="dxa"/>
          </w:tcPr>
          <w:p w14:paraId="25312BA2" w14:textId="77777777" w:rsidR="00ED46C3" w:rsidRPr="008202D3" w:rsidRDefault="00ED46C3" w:rsidP="004A1316">
            <w:pPr>
              <w:rPr>
                <w:i/>
                <w:sz w:val="20"/>
              </w:rPr>
            </w:pPr>
          </w:p>
        </w:tc>
        <w:tc>
          <w:tcPr>
            <w:tcW w:w="2265" w:type="dxa"/>
          </w:tcPr>
          <w:p w14:paraId="6A63A790" w14:textId="77777777" w:rsidR="00ED46C3" w:rsidRPr="008202D3" w:rsidRDefault="00ED46C3" w:rsidP="004A1316">
            <w:pPr>
              <w:rPr>
                <w:i/>
                <w:sz w:val="20"/>
              </w:rPr>
            </w:pPr>
          </w:p>
        </w:tc>
        <w:tc>
          <w:tcPr>
            <w:tcW w:w="2265" w:type="dxa"/>
          </w:tcPr>
          <w:p w14:paraId="0C203B9F" w14:textId="77777777" w:rsidR="00ED46C3" w:rsidRPr="008202D3" w:rsidRDefault="00ED46C3" w:rsidP="004A1316">
            <w:pPr>
              <w:rPr>
                <w:i/>
                <w:sz w:val="20"/>
              </w:rPr>
            </w:pP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4A1316">
        <w:tc>
          <w:tcPr>
            <w:tcW w:w="2122" w:type="dxa"/>
          </w:tcPr>
          <w:p w14:paraId="3A0A8647" w14:textId="77777777" w:rsidR="00ED46C3" w:rsidRPr="008202D3" w:rsidRDefault="00ED46C3" w:rsidP="004A1316">
            <w:pPr>
              <w:rPr>
                <w:i/>
                <w:sz w:val="20"/>
              </w:rPr>
            </w:pPr>
            <w:r w:rsidRPr="008202D3">
              <w:rPr>
                <w:i/>
                <w:sz w:val="20"/>
              </w:rPr>
              <w:t>Document Number</w:t>
            </w:r>
          </w:p>
        </w:tc>
        <w:tc>
          <w:tcPr>
            <w:tcW w:w="6938" w:type="dxa"/>
          </w:tcPr>
          <w:p w14:paraId="40CE1B13" w14:textId="77777777" w:rsidR="00ED46C3" w:rsidRPr="008202D3" w:rsidRDefault="00ED46C3" w:rsidP="004A1316">
            <w:pPr>
              <w:rPr>
                <w:i/>
                <w:sz w:val="20"/>
              </w:rPr>
            </w:pPr>
            <w:r w:rsidRPr="008202D3">
              <w:rPr>
                <w:i/>
                <w:sz w:val="20"/>
              </w:rPr>
              <w:t>Document Name</w:t>
            </w:r>
          </w:p>
        </w:tc>
      </w:tr>
      <w:tr w:rsidR="00ED46C3" w:rsidRPr="008202D3" w14:paraId="389A2F7C" w14:textId="77777777" w:rsidTr="004A1316">
        <w:tc>
          <w:tcPr>
            <w:tcW w:w="2122" w:type="dxa"/>
          </w:tcPr>
          <w:p w14:paraId="72FFFF3B" w14:textId="77777777" w:rsidR="00ED46C3" w:rsidRPr="008202D3" w:rsidRDefault="00ED46C3" w:rsidP="004A1316">
            <w:pPr>
              <w:rPr>
                <w:i/>
                <w:sz w:val="20"/>
              </w:rPr>
            </w:pPr>
          </w:p>
        </w:tc>
        <w:tc>
          <w:tcPr>
            <w:tcW w:w="6938" w:type="dxa"/>
          </w:tcPr>
          <w:p w14:paraId="61EF68F3" w14:textId="77777777" w:rsidR="00ED46C3" w:rsidRPr="008202D3" w:rsidRDefault="00ED46C3" w:rsidP="004A1316">
            <w:pPr>
              <w:rPr>
                <w:i/>
                <w:sz w:val="20"/>
              </w:rPr>
            </w:pPr>
          </w:p>
        </w:tc>
      </w:tr>
      <w:tr w:rsidR="00ED46C3" w:rsidRPr="008202D3" w14:paraId="4414C7E4" w14:textId="77777777" w:rsidTr="004A1316">
        <w:tc>
          <w:tcPr>
            <w:tcW w:w="2122" w:type="dxa"/>
          </w:tcPr>
          <w:p w14:paraId="0E1C6F88" w14:textId="77777777" w:rsidR="00ED46C3" w:rsidRPr="008202D3" w:rsidRDefault="00ED46C3" w:rsidP="004A1316">
            <w:pPr>
              <w:rPr>
                <w:i/>
                <w:sz w:val="20"/>
              </w:rPr>
            </w:pPr>
          </w:p>
        </w:tc>
        <w:tc>
          <w:tcPr>
            <w:tcW w:w="6938" w:type="dxa"/>
          </w:tcPr>
          <w:p w14:paraId="73EF72D2" w14:textId="77777777" w:rsidR="00ED46C3" w:rsidRPr="008202D3" w:rsidRDefault="00ED46C3" w:rsidP="004A1316">
            <w:pPr>
              <w:rPr>
                <w:i/>
                <w:sz w:val="20"/>
              </w:rPr>
            </w:pPr>
          </w:p>
        </w:tc>
      </w:tr>
    </w:tbl>
    <w:p w14:paraId="2F51A904" w14:textId="77777777" w:rsidR="00B12123" w:rsidRPr="00010E74" w:rsidRDefault="00B12123" w:rsidP="00B12123">
      <w:pPr>
        <w:rPr>
          <w:i/>
          <w:sz w:val="20"/>
          <w:szCs w:val="24"/>
        </w:rPr>
      </w:pPr>
    </w:p>
    <w:p w14:paraId="2F51A905" w14:textId="77777777" w:rsidR="00395E36" w:rsidRDefault="00395E36" w:rsidP="007B6904">
      <w:pPr>
        <w:rPr>
          <w:rFonts w:cs="Arial"/>
          <w:szCs w:val="24"/>
        </w:rPr>
      </w:pPr>
    </w:p>
    <w:sectPr w:rsidR="00395E36" w:rsidSect="004213C3">
      <w:headerReference w:type="default" r:id="rId12"/>
      <w:footerReference w:type="default" r:id="rId13"/>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C4023" w14:textId="77777777" w:rsidR="00A6659D" w:rsidRDefault="00A6659D" w:rsidP="00F66CB0">
      <w:r>
        <w:separator/>
      </w:r>
    </w:p>
  </w:endnote>
  <w:endnote w:type="continuationSeparator" w:id="0">
    <w:p w14:paraId="1DA9C9C2" w14:textId="77777777" w:rsidR="00A6659D" w:rsidRDefault="00A6659D"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0" w:usb1="08070000" w:usb2="00000010" w:usb3="00000000" w:csb0="0002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08" w:rsidRPr="00AE7C5C" w14:paraId="2F51A914" w14:textId="77777777" w:rsidTr="005E1140">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456"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1746"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836"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5E1140">
      <w:tc>
        <w:tcPr>
          <w:tcW w:w="1515" w:type="dxa"/>
        </w:tcPr>
        <w:p w14:paraId="2F51A915" w14:textId="1AB4DA2D" w:rsidR="00E90708" w:rsidRPr="00542EE6" w:rsidRDefault="00331E11" w:rsidP="004213C3">
          <w:pPr>
            <w:pStyle w:val="Footer"/>
            <w:rPr>
              <w:rFonts w:cs="Arial"/>
              <w:b/>
              <w:bCs/>
              <w:sz w:val="20"/>
            </w:rPr>
          </w:pPr>
          <w:r>
            <w:rPr>
              <w:b/>
              <w:sz w:val="20"/>
            </w:rPr>
            <w:t>CHS22</w:t>
          </w:r>
          <w:r w:rsidR="00E90708">
            <w:rPr>
              <w:b/>
              <w:sz w:val="20"/>
            </w:rPr>
            <w:t>/</w:t>
          </w:r>
          <w:r>
            <w:rPr>
              <w:b/>
              <w:sz w:val="20"/>
            </w:rPr>
            <w:t>078</w:t>
          </w:r>
        </w:p>
      </w:tc>
      <w:tc>
        <w:tcPr>
          <w:tcW w:w="965" w:type="dxa"/>
        </w:tcPr>
        <w:p w14:paraId="2F51A916" w14:textId="76CB6922" w:rsidR="00E90708" w:rsidRPr="00B3752F" w:rsidRDefault="00331E11" w:rsidP="004213C3">
          <w:pPr>
            <w:pStyle w:val="Footer"/>
            <w:rPr>
              <w:rFonts w:cs="Arial"/>
              <w:b/>
              <w:bCs/>
              <w:sz w:val="20"/>
            </w:rPr>
          </w:pPr>
          <w:r>
            <w:rPr>
              <w:rFonts w:cs="Arial"/>
              <w:b/>
              <w:bCs/>
              <w:sz w:val="20"/>
            </w:rPr>
            <w:t>1</w:t>
          </w:r>
        </w:p>
      </w:tc>
      <w:tc>
        <w:tcPr>
          <w:tcW w:w="1552" w:type="dxa"/>
        </w:tcPr>
        <w:p w14:paraId="2F51A917" w14:textId="7ECDA366" w:rsidR="00E90708" w:rsidRPr="00B3752F" w:rsidRDefault="00331E11" w:rsidP="004213C3">
          <w:pPr>
            <w:pStyle w:val="Footer"/>
            <w:rPr>
              <w:rFonts w:cs="Arial"/>
              <w:b/>
              <w:bCs/>
              <w:sz w:val="20"/>
            </w:rPr>
          </w:pPr>
          <w:r>
            <w:rPr>
              <w:rFonts w:cs="Arial"/>
              <w:b/>
              <w:bCs/>
              <w:sz w:val="20"/>
            </w:rPr>
            <w:t>18/02/2022</w:t>
          </w:r>
        </w:p>
      </w:tc>
      <w:tc>
        <w:tcPr>
          <w:tcW w:w="1456" w:type="dxa"/>
        </w:tcPr>
        <w:p w14:paraId="2F51A918" w14:textId="7CE7451E" w:rsidR="00E90708" w:rsidRPr="00B3752F" w:rsidRDefault="00331E11" w:rsidP="004213C3">
          <w:pPr>
            <w:pStyle w:val="Footer"/>
            <w:rPr>
              <w:rFonts w:cs="Arial"/>
              <w:b/>
              <w:bCs/>
              <w:sz w:val="20"/>
            </w:rPr>
          </w:pPr>
          <w:r>
            <w:rPr>
              <w:rFonts w:cs="Arial"/>
              <w:b/>
              <w:bCs/>
              <w:sz w:val="20"/>
            </w:rPr>
            <w:t>01/03/2025</w:t>
          </w:r>
        </w:p>
      </w:tc>
      <w:tc>
        <w:tcPr>
          <w:tcW w:w="1746" w:type="dxa"/>
        </w:tcPr>
        <w:p w14:paraId="2F51A919" w14:textId="6EB2071B" w:rsidR="00E90708" w:rsidRPr="00B3752F" w:rsidRDefault="00331E11" w:rsidP="004213C3">
          <w:pPr>
            <w:pStyle w:val="Footer"/>
            <w:rPr>
              <w:rFonts w:cs="Arial"/>
              <w:b/>
              <w:bCs/>
              <w:sz w:val="20"/>
            </w:rPr>
          </w:pPr>
          <w:r>
            <w:rPr>
              <w:rFonts w:cs="Arial"/>
              <w:b/>
              <w:bCs/>
              <w:sz w:val="20"/>
            </w:rPr>
            <w:t>MSG- Pharmacy</w:t>
          </w:r>
        </w:p>
      </w:tc>
      <w:tc>
        <w:tcPr>
          <w:tcW w:w="1836"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p>
      </w:tc>
    </w:tr>
    <w:tr w:rsidR="005E1140" w14:paraId="668DA41F"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055F1" w14:textId="77777777" w:rsidR="00A6659D" w:rsidRDefault="00A6659D" w:rsidP="00F66CB0">
      <w:r>
        <w:separator/>
      </w:r>
    </w:p>
  </w:footnote>
  <w:footnote w:type="continuationSeparator" w:id="0">
    <w:p w14:paraId="4BB4A495" w14:textId="77777777" w:rsidR="00A6659D" w:rsidRDefault="00A6659D"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0074223E">
      <w:trPr>
        <w:trHeight w:val="1418"/>
      </w:trPr>
      <w:tc>
        <w:tcPr>
          <w:tcW w:w="5556"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432435DF" w:rsidR="00E90708" w:rsidRDefault="00E90708">
          <w:pPr>
            <w:pStyle w:val="Header"/>
            <w:tabs>
              <w:tab w:val="left" w:pos="720"/>
            </w:tabs>
            <w:jc w:val="right"/>
            <w:rPr>
              <w:sz w:val="20"/>
            </w:rPr>
          </w:pPr>
          <w:bookmarkStart w:id="40" w:name="_top"/>
          <w:bookmarkEnd w:id="40"/>
          <w:r>
            <w:rPr>
              <w:sz w:val="20"/>
            </w:rPr>
            <w:t>CHS</w:t>
          </w:r>
          <w:r w:rsidR="00331E11">
            <w:rPr>
              <w:sz w:val="20"/>
            </w:rPr>
            <w:t>22</w:t>
          </w:r>
          <w:r>
            <w:rPr>
              <w:sz w:val="20"/>
            </w:rPr>
            <w:t>/</w:t>
          </w:r>
          <w:r w:rsidR="00331E11">
            <w:rPr>
              <w:sz w:val="20"/>
            </w:rPr>
            <w:t>078</w:t>
          </w:r>
        </w:p>
      </w:tc>
    </w:tr>
  </w:tbl>
  <w:p w14:paraId="2F51A90D"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0EB78B3"/>
    <w:multiLevelType w:val="hybridMultilevel"/>
    <w:tmpl w:val="A80A0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194EB5"/>
    <w:multiLevelType w:val="hybridMultilevel"/>
    <w:tmpl w:val="2DE4D2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7C1563B"/>
    <w:multiLevelType w:val="hybridMultilevel"/>
    <w:tmpl w:val="27D8FED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25410B8"/>
    <w:multiLevelType w:val="hybridMultilevel"/>
    <w:tmpl w:val="A4EA2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8D7982"/>
    <w:multiLevelType w:val="hybridMultilevel"/>
    <w:tmpl w:val="88C46F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6A210D4"/>
    <w:multiLevelType w:val="hybridMultilevel"/>
    <w:tmpl w:val="A5E25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2" w15:restartNumberingAfterBreak="0">
    <w:nsid w:val="580F0A75"/>
    <w:multiLevelType w:val="hybridMultilevel"/>
    <w:tmpl w:val="B442CEF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1263FA2"/>
    <w:multiLevelType w:val="hybridMultilevel"/>
    <w:tmpl w:val="305EF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4C0008"/>
    <w:multiLevelType w:val="hybridMultilevel"/>
    <w:tmpl w:val="BE788E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C359EA"/>
    <w:multiLevelType w:val="hybridMultilevel"/>
    <w:tmpl w:val="1C10FB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2"/>
  </w:num>
  <w:num w:numId="3">
    <w:abstractNumId w:val="16"/>
  </w:num>
  <w:num w:numId="4">
    <w:abstractNumId w:val="3"/>
  </w:num>
  <w:num w:numId="5">
    <w:abstractNumId w:val="4"/>
  </w:num>
  <w:num w:numId="6">
    <w:abstractNumId w:val="17"/>
  </w:num>
  <w:num w:numId="7">
    <w:abstractNumId w:val="11"/>
  </w:num>
  <w:num w:numId="8">
    <w:abstractNumId w:val="0"/>
  </w:num>
  <w:num w:numId="9">
    <w:abstractNumId w:val="0"/>
  </w:num>
  <w:num w:numId="10">
    <w:abstractNumId w:val="10"/>
  </w:num>
  <w:num w:numId="11">
    <w:abstractNumId w:val="14"/>
  </w:num>
  <w:num w:numId="12">
    <w:abstractNumId w:val="5"/>
  </w:num>
  <w:num w:numId="13">
    <w:abstractNumId w:val="13"/>
  </w:num>
  <w:num w:numId="14">
    <w:abstractNumId w:val="8"/>
  </w:num>
  <w:num w:numId="15">
    <w:abstractNumId w:val="6"/>
  </w:num>
  <w:num w:numId="16">
    <w:abstractNumId w:val="9"/>
  </w:num>
  <w:num w:numId="17">
    <w:abstractNumId w:val="15"/>
  </w:num>
  <w:num w:numId="18">
    <w:abstractNumId w:val="1"/>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607A"/>
    <w:rsid w:val="00091AC9"/>
    <w:rsid w:val="00095ECD"/>
    <w:rsid w:val="000A7335"/>
    <w:rsid w:val="000B1620"/>
    <w:rsid w:val="000B5C8C"/>
    <w:rsid w:val="000B71ED"/>
    <w:rsid w:val="000C59E2"/>
    <w:rsid w:val="000C7B2D"/>
    <w:rsid w:val="000F7B7E"/>
    <w:rsid w:val="00103EEA"/>
    <w:rsid w:val="001115D7"/>
    <w:rsid w:val="00191109"/>
    <w:rsid w:val="00191235"/>
    <w:rsid w:val="001926F4"/>
    <w:rsid w:val="001A0053"/>
    <w:rsid w:val="001B2465"/>
    <w:rsid w:val="001B3435"/>
    <w:rsid w:val="001F2A9B"/>
    <w:rsid w:val="001F6D2D"/>
    <w:rsid w:val="00200D04"/>
    <w:rsid w:val="00201FB6"/>
    <w:rsid w:val="00231F81"/>
    <w:rsid w:val="002405CF"/>
    <w:rsid w:val="00240B97"/>
    <w:rsid w:val="0025382D"/>
    <w:rsid w:val="00263BA6"/>
    <w:rsid w:val="0027264D"/>
    <w:rsid w:val="00285D38"/>
    <w:rsid w:val="00293E43"/>
    <w:rsid w:val="002B5F43"/>
    <w:rsid w:val="00313707"/>
    <w:rsid w:val="0032270B"/>
    <w:rsid w:val="00331E11"/>
    <w:rsid w:val="00332D1F"/>
    <w:rsid w:val="00337E7C"/>
    <w:rsid w:val="00351CD9"/>
    <w:rsid w:val="00353CBB"/>
    <w:rsid w:val="003542AE"/>
    <w:rsid w:val="00366924"/>
    <w:rsid w:val="00376A6D"/>
    <w:rsid w:val="00380B98"/>
    <w:rsid w:val="00395E36"/>
    <w:rsid w:val="00396023"/>
    <w:rsid w:val="003C204E"/>
    <w:rsid w:val="003C4BB5"/>
    <w:rsid w:val="003E4CC0"/>
    <w:rsid w:val="003F3D8F"/>
    <w:rsid w:val="00410409"/>
    <w:rsid w:val="00412CED"/>
    <w:rsid w:val="00416751"/>
    <w:rsid w:val="00420F9E"/>
    <w:rsid w:val="004213C3"/>
    <w:rsid w:val="0042413C"/>
    <w:rsid w:val="00427139"/>
    <w:rsid w:val="00431A1C"/>
    <w:rsid w:val="004358E9"/>
    <w:rsid w:val="004537B3"/>
    <w:rsid w:val="0048050C"/>
    <w:rsid w:val="00487DD5"/>
    <w:rsid w:val="004947A7"/>
    <w:rsid w:val="004A2E02"/>
    <w:rsid w:val="004B7C43"/>
    <w:rsid w:val="004C2B20"/>
    <w:rsid w:val="004D6932"/>
    <w:rsid w:val="004E28AD"/>
    <w:rsid w:val="004F0F49"/>
    <w:rsid w:val="004F1D05"/>
    <w:rsid w:val="004F2008"/>
    <w:rsid w:val="00505B5D"/>
    <w:rsid w:val="005067CA"/>
    <w:rsid w:val="0052443C"/>
    <w:rsid w:val="0052775E"/>
    <w:rsid w:val="005416F0"/>
    <w:rsid w:val="00542514"/>
    <w:rsid w:val="00546AED"/>
    <w:rsid w:val="005512EF"/>
    <w:rsid w:val="005621E4"/>
    <w:rsid w:val="00590902"/>
    <w:rsid w:val="00592A14"/>
    <w:rsid w:val="00596FD7"/>
    <w:rsid w:val="005A3625"/>
    <w:rsid w:val="005B4738"/>
    <w:rsid w:val="005C212D"/>
    <w:rsid w:val="005C3CB0"/>
    <w:rsid w:val="005E1140"/>
    <w:rsid w:val="005F3214"/>
    <w:rsid w:val="00612231"/>
    <w:rsid w:val="00635EB1"/>
    <w:rsid w:val="006473BB"/>
    <w:rsid w:val="0066495D"/>
    <w:rsid w:val="00695EB6"/>
    <w:rsid w:val="006A3770"/>
    <w:rsid w:val="006A4D46"/>
    <w:rsid w:val="006A6024"/>
    <w:rsid w:val="006C31FF"/>
    <w:rsid w:val="006C6256"/>
    <w:rsid w:val="006C6B6C"/>
    <w:rsid w:val="006C704D"/>
    <w:rsid w:val="006D31A2"/>
    <w:rsid w:val="0070331D"/>
    <w:rsid w:val="007052B1"/>
    <w:rsid w:val="00711BF4"/>
    <w:rsid w:val="00741B43"/>
    <w:rsid w:val="0074223E"/>
    <w:rsid w:val="007543AC"/>
    <w:rsid w:val="00756537"/>
    <w:rsid w:val="00756A2B"/>
    <w:rsid w:val="0077604A"/>
    <w:rsid w:val="007A0EBC"/>
    <w:rsid w:val="007B27F1"/>
    <w:rsid w:val="007B4ABB"/>
    <w:rsid w:val="007B6904"/>
    <w:rsid w:val="007B7628"/>
    <w:rsid w:val="007C36E4"/>
    <w:rsid w:val="00816782"/>
    <w:rsid w:val="0082141D"/>
    <w:rsid w:val="00827F24"/>
    <w:rsid w:val="00845445"/>
    <w:rsid w:val="00855DA8"/>
    <w:rsid w:val="00886399"/>
    <w:rsid w:val="008974CA"/>
    <w:rsid w:val="008E1F7F"/>
    <w:rsid w:val="008F00E8"/>
    <w:rsid w:val="00906142"/>
    <w:rsid w:val="00931B93"/>
    <w:rsid w:val="00933EED"/>
    <w:rsid w:val="00940CDE"/>
    <w:rsid w:val="00950900"/>
    <w:rsid w:val="009576F9"/>
    <w:rsid w:val="00962C46"/>
    <w:rsid w:val="0097742A"/>
    <w:rsid w:val="0097744F"/>
    <w:rsid w:val="00980EED"/>
    <w:rsid w:val="00991670"/>
    <w:rsid w:val="009B6C8C"/>
    <w:rsid w:val="009C0FCA"/>
    <w:rsid w:val="009C3963"/>
    <w:rsid w:val="009D323C"/>
    <w:rsid w:val="009E06D3"/>
    <w:rsid w:val="009E70F4"/>
    <w:rsid w:val="00A35E2D"/>
    <w:rsid w:val="00A54CB3"/>
    <w:rsid w:val="00A6659D"/>
    <w:rsid w:val="00A74B8A"/>
    <w:rsid w:val="00A85F61"/>
    <w:rsid w:val="00A86DB3"/>
    <w:rsid w:val="00A92E4F"/>
    <w:rsid w:val="00AA25DC"/>
    <w:rsid w:val="00AB50DD"/>
    <w:rsid w:val="00AC7025"/>
    <w:rsid w:val="00AD196F"/>
    <w:rsid w:val="00AD3CCE"/>
    <w:rsid w:val="00B07A46"/>
    <w:rsid w:val="00B07DCE"/>
    <w:rsid w:val="00B12123"/>
    <w:rsid w:val="00B21043"/>
    <w:rsid w:val="00B42EA0"/>
    <w:rsid w:val="00B44CAC"/>
    <w:rsid w:val="00B573D6"/>
    <w:rsid w:val="00B73E65"/>
    <w:rsid w:val="00B81455"/>
    <w:rsid w:val="00B9627F"/>
    <w:rsid w:val="00BA2415"/>
    <w:rsid w:val="00BA4DB2"/>
    <w:rsid w:val="00BA4F95"/>
    <w:rsid w:val="00BB33F9"/>
    <w:rsid w:val="00BC3CE6"/>
    <w:rsid w:val="00BE5E41"/>
    <w:rsid w:val="00BF078E"/>
    <w:rsid w:val="00C24EDC"/>
    <w:rsid w:val="00C25A76"/>
    <w:rsid w:val="00C31EB3"/>
    <w:rsid w:val="00C32206"/>
    <w:rsid w:val="00C422C8"/>
    <w:rsid w:val="00C45C67"/>
    <w:rsid w:val="00C47091"/>
    <w:rsid w:val="00C523FF"/>
    <w:rsid w:val="00C71C3C"/>
    <w:rsid w:val="00C76998"/>
    <w:rsid w:val="00C93E83"/>
    <w:rsid w:val="00CA593D"/>
    <w:rsid w:val="00CC5D11"/>
    <w:rsid w:val="00CD1505"/>
    <w:rsid w:val="00D21780"/>
    <w:rsid w:val="00D23346"/>
    <w:rsid w:val="00D243B8"/>
    <w:rsid w:val="00D34794"/>
    <w:rsid w:val="00D4502D"/>
    <w:rsid w:val="00D530CE"/>
    <w:rsid w:val="00D53E3C"/>
    <w:rsid w:val="00D77950"/>
    <w:rsid w:val="00DC3762"/>
    <w:rsid w:val="00DC5C47"/>
    <w:rsid w:val="00DD616A"/>
    <w:rsid w:val="00DE0465"/>
    <w:rsid w:val="00DE4E25"/>
    <w:rsid w:val="00E049ED"/>
    <w:rsid w:val="00E34E6D"/>
    <w:rsid w:val="00E362FD"/>
    <w:rsid w:val="00E37CD4"/>
    <w:rsid w:val="00E57848"/>
    <w:rsid w:val="00E73459"/>
    <w:rsid w:val="00E750BF"/>
    <w:rsid w:val="00E90708"/>
    <w:rsid w:val="00EB31F0"/>
    <w:rsid w:val="00ED21C3"/>
    <w:rsid w:val="00ED388C"/>
    <w:rsid w:val="00ED46C3"/>
    <w:rsid w:val="00EF02B0"/>
    <w:rsid w:val="00EF13A4"/>
    <w:rsid w:val="00F01B61"/>
    <w:rsid w:val="00F11338"/>
    <w:rsid w:val="00F13AE5"/>
    <w:rsid w:val="00F149FD"/>
    <w:rsid w:val="00F14EC1"/>
    <w:rsid w:val="00F4262F"/>
    <w:rsid w:val="00F53719"/>
    <w:rsid w:val="00F54157"/>
    <w:rsid w:val="00F57291"/>
    <w:rsid w:val="00F66CB0"/>
    <w:rsid w:val="00F76C89"/>
    <w:rsid w:val="00F829C8"/>
    <w:rsid w:val="00F9158A"/>
    <w:rsid w:val="00F95DAB"/>
    <w:rsid w:val="00FA29B8"/>
    <w:rsid w:val="00FC7CBC"/>
    <w:rsid w:val="00FD3D92"/>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aliases w:val="Recommendation,List Paragraph1,List Paragraph11,FooterText,numbered,Paragraphe de liste1,Bulletr List Paragraph,列出段落,列出段落1,Listeafsnit1,Parágrafo da Lista1,List Paragraph2,List Paragraph21,リスト段落1,Párrafo de lista1,Bullet list,L,Dot pt,列出段"/>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customStyle="1" w:styleId="ListParagraphChar">
    <w:name w:val="List Paragraph Char"/>
    <w:aliases w:val="Recommendation Char,List Paragraph1 Char,List Paragraph11 Char,FooterText Char,numbered Char,Paragraphe de liste1 Char,Bulletr List Paragraph Char,列出段落 Char,列出段落1 Char,Listeafsnit1 Char,Parágrafo da Lista1 Char,List Paragraph2 Char"/>
    <w:link w:val="ListParagraph"/>
    <w:uiPriority w:val="34"/>
    <w:locked/>
    <w:rsid w:val="009E06D3"/>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776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 w:id="20780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tgovernment.sharepoint.com/sites/Intranet-CHS/PolicyRegister/Policy%20and%20Plans%20Register/Forms/HighRisk%20Medicines.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2022-02-17T13:00:00+00:00</Approval_x0020_Date>
    <Review_x0020_Date xmlns="690b2128-8961-48af-a473-22c34a9accba">2025-02-28T13:00:00+00:00</Review_x0020_Date>
    <TaxCatchAll xmlns="c0239a80-7f07-4ed7-82c3-24ad7d76ada5" xsi:nil="true"/>
    <Version_x0020_Number xmlns="690b2128-8961-48af-a473-22c34a9accba">1</Version_x0020_Number>
    <Notes0 xmlns="690b2128-8961-48af-a473-22c34a9accba" xsi:nil="true"/>
    <Key_x0020_Words xmlns="690b2128-8961-48af-a473-22c34a9accba">High-Risk, medicines, medications, Register, Standards, Guidelines, Vincristine, vincristine, vinca alkaloid, Vinca Alkaloid, chemotherapy, Chemotherapy, chemotherapy agents.</Key_x0020_Words>
    <Type_x0020_of_x0020_Document xmlns="690b2128-8961-48af-a473-22c34a9accba">Procedure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 xsi:nil="true"/>
    <Risk_x0020_Rating xmlns="690b2128-8961-48af-a473-22c34a9accba">High</Risk_x0020_Rating>
    <Description0 xmlns="690b2128-8961-48af-a473-22c34a9accba">This document sets out the standards for the safe management and the use of vincristine.</Description0>
    <Display_x0020_on_x0020_Internet xmlns="690b2128-8961-48af-a473-22c34a9accba">true</Display_x0020_on_x0020_Internet>
    <Related_x0020_Documents xmlns="690b2128-8961-48af-a473-22c34a9accba" xsi:nil="true"/>
    <Decision_x0020_Number xmlns="690b2128-8961-48af-a473-22c34a9accba">CHS22/078</Decision_x0020_Number>
    <New_x0020_Owner xmlns="690b2128-8961-48af-a473-22c34a9accba">Medical Services Group - Pharmacy</New_x0020_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2.xml><?xml version="1.0" encoding="utf-8"?>
<ds:datastoreItem xmlns:ds="http://schemas.openxmlformats.org/officeDocument/2006/customXml" ds:itemID="{E99C1EE9-7E36-4A5D-ACC7-988EDAB4F1C7}"/>
</file>

<file path=customXml/itemProps3.xml><?xml version="1.0" encoding="utf-8"?>
<ds:datastoreItem xmlns:ds="http://schemas.openxmlformats.org/officeDocument/2006/customXml" ds:itemID="{297F58B0-E6BF-4237-9984-6DF2E01C04FA}">
  <ds:schemaRefs>
    <ds:schemaRef ds:uri="http://schemas.microsoft.com/office/2006/metadata/properties"/>
    <ds:schemaRef ds:uri="4504225e-b2d9-4497-b505-38d38bf039d6"/>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4.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High-Risk Medicine Standard - Vincristine</dc:title>
  <dc:subject>2;#Medication Safety</dc:subject>
  <dc:creator>Kerryn Hunter</dc:creator>
  <cp:lastModifiedBy>Clissold, Jacqui (Health)</cp:lastModifiedBy>
  <cp:revision>4</cp:revision>
  <cp:lastPrinted>2015-01-20T22:40:00Z</cp:lastPrinted>
  <dcterms:created xsi:type="dcterms:W3CDTF">2022-01-03T23:47:00Z</dcterms:created>
  <dcterms:modified xsi:type="dcterms:W3CDTF">2022-02-18T04:39:00Z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4100</vt:r8>
  </property>
  <property fmtid="{D5CDD505-2E9C-101B-9397-08002B2CF9AE}" pid="4" name="_ExtendedDescription">
    <vt:lpwstr/>
  </property>
</Properties>
</file>